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9"/>
        <w:overflowPunct w:val="0"/>
        <w:adjustRightInd/>
        <w:textAlignment w:val="auto"/>
        <w:rPr>
          <w:rFonts w:ascii="方正仿宋_GBK" w:hAnsi="宋体" w:eastAsia="方正仿宋_GBK"/>
        </w:rPr>
      </w:pPr>
    </w:p>
    <w:p>
      <w:pPr>
        <w:widowControl/>
        <w:jc w:val="center"/>
        <w:rPr>
          <w:rFonts w:hint="eastAsia" w:ascii="仿宋_GB2312" w:hAnsi="仿宋_GB2312" w:eastAsia="仿宋_GB2312" w:cs="仿宋_GB2312"/>
          <w:w w:val="80"/>
          <w:sz w:val="44"/>
          <w:szCs w:val="44"/>
        </w:rPr>
      </w:pPr>
      <w:r>
        <w:rPr>
          <w:rFonts w:hint="eastAsia" w:ascii="仿宋_GB2312" w:hAnsi="仿宋_GB2312" w:eastAsia="仿宋_GB2312" w:cs="仿宋_GB2312"/>
          <w:w w:val="80"/>
          <w:sz w:val="44"/>
          <w:szCs w:val="44"/>
        </w:rPr>
        <w:t>南通市崇川区钟秀街道PAD设备采购及安装项目</w:t>
      </w:r>
    </w:p>
    <w:p>
      <w:pPr>
        <w:tabs>
          <w:tab w:val="left" w:pos="1050"/>
          <w:tab w:val="right" w:leader="dot" w:pos="9402"/>
        </w:tabs>
        <w:jc w:val="center"/>
        <w:rPr>
          <w:rFonts w:hint="eastAsia" w:ascii="仿宋_GB2312" w:hAnsi="仿宋_GB2312" w:eastAsia="仿宋_GB2312" w:cs="仿宋_GB2312"/>
          <w:w w:val="80"/>
          <w:sz w:val="44"/>
          <w:szCs w:val="44"/>
        </w:rPr>
      </w:pPr>
    </w:p>
    <w:p>
      <w:pPr>
        <w:tabs>
          <w:tab w:val="left" w:pos="1050"/>
          <w:tab w:val="right" w:leader="dot" w:pos="9402"/>
        </w:tabs>
        <w:jc w:val="center"/>
        <w:rPr>
          <w:rFonts w:hint="eastAsia" w:ascii="仿宋_GB2312" w:hAnsi="仿宋_GB2312" w:eastAsia="仿宋_GB2312" w:cs="仿宋_GB2312"/>
          <w:w w:val="80"/>
          <w:sz w:val="44"/>
          <w:szCs w:val="44"/>
        </w:rPr>
      </w:pPr>
    </w:p>
    <w:p>
      <w:pPr>
        <w:tabs>
          <w:tab w:val="left" w:pos="1050"/>
          <w:tab w:val="right" w:leader="dot" w:pos="9402"/>
        </w:tabs>
        <w:jc w:val="center"/>
        <w:rPr>
          <w:rFonts w:hint="eastAsia" w:ascii="仿宋_GB2312" w:hAnsi="仿宋_GB2312" w:eastAsia="仿宋_GB2312" w:cs="仿宋_GB2312"/>
          <w:w w:val="80"/>
          <w:sz w:val="44"/>
          <w:szCs w:val="44"/>
        </w:rPr>
      </w:pPr>
    </w:p>
    <w:p>
      <w:pPr>
        <w:tabs>
          <w:tab w:val="left" w:pos="1050"/>
          <w:tab w:val="right" w:leader="dot" w:pos="9402"/>
        </w:tabs>
        <w:rPr>
          <w:rFonts w:hint="eastAsia" w:ascii="仿宋_GB2312" w:hAnsi="仿宋_GB2312" w:eastAsia="仿宋_GB2312" w:cs="仿宋_GB2312"/>
          <w:w w:val="80"/>
          <w:sz w:val="44"/>
          <w:szCs w:val="44"/>
        </w:rPr>
      </w:pPr>
    </w:p>
    <w:p>
      <w:pPr>
        <w:tabs>
          <w:tab w:val="left" w:pos="1050"/>
          <w:tab w:val="right" w:leader="dot" w:pos="9402"/>
        </w:tabs>
        <w:spacing w:line="1600" w:lineRule="exact"/>
        <w:jc w:val="center"/>
        <w:rPr>
          <w:rFonts w:hint="eastAsia" w:ascii="仿宋_GB2312" w:hAnsi="仿宋_GB2312" w:eastAsia="仿宋_GB2312" w:cs="仿宋_GB2312"/>
          <w:sz w:val="72"/>
          <w:szCs w:val="72"/>
        </w:rPr>
      </w:pPr>
      <w:r>
        <w:rPr>
          <w:rFonts w:hint="eastAsia" w:ascii="仿宋_GB2312" w:hAnsi="仿宋_GB2312" w:eastAsia="仿宋_GB2312" w:cs="仿宋_GB2312"/>
          <w:w w:val="80"/>
          <w:sz w:val="72"/>
          <w:szCs w:val="72"/>
        </w:rPr>
        <w:t>询价采购文件</w:t>
      </w:r>
    </w:p>
    <w:p>
      <w:pPr>
        <w:jc w:val="center"/>
        <w:rPr>
          <w:rFonts w:hint="eastAsia" w:ascii="仿宋_GB2312" w:hAnsi="仿宋_GB2312" w:eastAsia="仿宋_GB2312" w:cs="仿宋_GB2312"/>
          <w:b/>
          <w:sz w:val="44"/>
          <w:szCs w:val="44"/>
        </w:rPr>
      </w:pPr>
    </w:p>
    <w:p>
      <w:pPr>
        <w:jc w:val="center"/>
        <w:rPr>
          <w:rFonts w:hint="eastAsia" w:ascii="仿宋_GB2312" w:hAnsi="仿宋_GB2312" w:eastAsia="仿宋_GB2312" w:cs="仿宋_GB2312"/>
          <w:b/>
          <w:sz w:val="44"/>
          <w:szCs w:val="44"/>
        </w:rPr>
      </w:pPr>
    </w:p>
    <w:p>
      <w:pPr>
        <w:tabs>
          <w:tab w:val="left" w:pos="1050"/>
          <w:tab w:val="right" w:leader="dot" w:pos="9402"/>
        </w:tabs>
        <w:spacing w:line="520" w:lineRule="exact"/>
        <w:jc w:val="center"/>
        <w:rPr>
          <w:rFonts w:hint="eastAsia" w:ascii="仿宋_GB2312" w:hAnsi="仿宋_GB2312" w:eastAsia="仿宋_GB2312" w:cs="仿宋_GB2312"/>
          <w:w w:val="80"/>
          <w:sz w:val="32"/>
          <w:szCs w:val="32"/>
        </w:rPr>
      </w:pPr>
      <w:r>
        <w:rPr>
          <w:rFonts w:hint="eastAsia" w:ascii="仿宋_GB2312" w:hAnsi="仿宋_GB2312" w:eastAsia="仿宋_GB2312" w:cs="仿宋_GB2312"/>
          <w:w w:val="80"/>
          <w:sz w:val="32"/>
          <w:szCs w:val="32"/>
        </w:rPr>
        <w:t>（资格后审）</w:t>
      </w:r>
    </w:p>
    <w:p>
      <w:pPr>
        <w:tabs>
          <w:tab w:val="left" w:pos="1050"/>
          <w:tab w:val="right" w:leader="dot" w:pos="9402"/>
        </w:tabs>
        <w:spacing w:line="520" w:lineRule="exact"/>
        <w:jc w:val="center"/>
        <w:rPr>
          <w:rFonts w:hint="eastAsia" w:ascii="仿宋_GB2312" w:hAnsi="仿宋_GB2312" w:eastAsia="仿宋_GB2312" w:cs="仿宋_GB2312"/>
          <w:w w:val="80"/>
          <w:sz w:val="32"/>
          <w:szCs w:val="32"/>
        </w:rPr>
      </w:pPr>
    </w:p>
    <w:p>
      <w:pPr>
        <w:snapToGrid w:val="0"/>
        <w:spacing w:line="360" w:lineRule="auto"/>
        <w:ind w:firstLine="3840" w:firstLineChars="1200"/>
        <w:rPr>
          <w:rFonts w:hint="eastAsia" w:ascii="仿宋_GB2312" w:hAnsi="仿宋_GB2312" w:eastAsia="仿宋_GB2312" w:cs="仿宋_GB2312"/>
          <w:sz w:val="32"/>
          <w:szCs w:val="32"/>
        </w:rPr>
      </w:pPr>
    </w:p>
    <w:p>
      <w:pPr>
        <w:snapToGrid w:val="0"/>
        <w:spacing w:line="360" w:lineRule="auto"/>
        <w:rPr>
          <w:rFonts w:hint="eastAsia" w:ascii="仿宋_GB2312" w:hAnsi="仿宋_GB2312" w:eastAsia="仿宋_GB2312" w:cs="仿宋_GB2312"/>
          <w:b/>
          <w:sz w:val="36"/>
        </w:rPr>
      </w:pPr>
    </w:p>
    <w:p>
      <w:pPr>
        <w:snapToGrid w:val="0"/>
        <w:spacing w:line="360" w:lineRule="auto"/>
        <w:rPr>
          <w:rFonts w:hint="eastAsia" w:ascii="仿宋_GB2312" w:hAnsi="仿宋_GB2312" w:eastAsia="仿宋_GB2312" w:cs="仿宋_GB2312"/>
          <w:b/>
          <w:sz w:val="36"/>
        </w:rPr>
      </w:pPr>
    </w:p>
    <w:p>
      <w:pPr>
        <w:snapToGrid w:val="0"/>
        <w:spacing w:line="360" w:lineRule="auto"/>
        <w:rPr>
          <w:rFonts w:hint="eastAsia" w:ascii="仿宋_GB2312" w:hAnsi="仿宋_GB2312" w:eastAsia="仿宋_GB2312" w:cs="仿宋_GB2312"/>
          <w:b/>
          <w:sz w:val="36"/>
        </w:rPr>
      </w:pPr>
    </w:p>
    <w:p>
      <w:pPr>
        <w:snapToGrid w:val="0"/>
        <w:spacing w:line="360" w:lineRule="auto"/>
        <w:rPr>
          <w:rFonts w:hint="eastAsia" w:ascii="仿宋_GB2312" w:hAnsi="仿宋_GB2312" w:eastAsia="仿宋_GB2312" w:cs="仿宋_GB2312"/>
          <w:b/>
          <w:sz w:val="36"/>
        </w:rPr>
      </w:pPr>
    </w:p>
    <w:p>
      <w:pPr>
        <w:tabs>
          <w:tab w:val="left" w:pos="1050"/>
          <w:tab w:val="right" w:leader="dot" w:pos="9402"/>
        </w:tabs>
        <w:spacing w:line="520" w:lineRule="exact"/>
        <w:jc w:val="center"/>
        <w:rPr>
          <w:rFonts w:hint="eastAsia" w:ascii="仿宋_GB2312" w:hAnsi="仿宋_GB2312" w:eastAsia="仿宋_GB2312" w:cs="仿宋_GB2312"/>
          <w:w w:val="80"/>
          <w:sz w:val="28"/>
          <w:szCs w:val="28"/>
          <w:lang w:eastAsia="zh-CN"/>
        </w:rPr>
      </w:pPr>
      <w:r>
        <w:rPr>
          <w:rFonts w:hint="eastAsia" w:ascii="仿宋_GB2312" w:hAnsi="仿宋_GB2312" w:eastAsia="仿宋_GB2312" w:cs="仿宋_GB2312"/>
          <w:w w:val="80"/>
          <w:sz w:val="28"/>
          <w:szCs w:val="28"/>
        </w:rPr>
        <w:t>招标代理机构：</w:t>
      </w:r>
      <w:r>
        <w:rPr>
          <w:rFonts w:hint="eastAsia" w:ascii="仿宋_GB2312" w:hAnsi="仿宋_GB2312" w:eastAsia="仿宋_GB2312" w:cs="仿宋_GB2312"/>
          <w:w w:val="80"/>
          <w:sz w:val="28"/>
          <w:szCs w:val="28"/>
          <w:lang w:eastAsia="zh-CN"/>
        </w:rPr>
        <w:t>南通市精华建设工程造价咨询有限公司</w:t>
      </w:r>
    </w:p>
    <w:p>
      <w:pPr>
        <w:tabs>
          <w:tab w:val="left" w:pos="1050"/>
          <w:tab w:val="right" w:leader="dot" w:pos="9402"/>
        </w:tabs>
        <w:spacing w:line="520" w:lineRule="exact"/>
        <w:jc w:val="center"/>
        <w:rPr>
          <w:rFonts w:ascii="仿宋_GB2312" w:eastAsia="仿宋_GB2312"/>
          <w:w w:val="80"/>
          <w:sz w:val="28"/>
          <w:szCs w:val="28"/>
        </w:rPr>
        <w:sectPr>
          <w:headerReference r:id="rId4" w:type="first"/>
          <w:footerReference r:id="rId7" w:type="first"/>
          <w:headerReference r:id="rId3" w:type="default"/>
          <w:footerReference r:id="rId5" w:type="default"/>
          <w:footerReference r:id="rId6" w:type="even"/>
          <w:pgSz w:w="11906" w:h="16838"/>
          <w:pgMar w:top="1134" w:right="851" w:bottom="851" w:left="1418" w:header="851" w:footer="992" w:gutter="0"/>
          <w:cols w:space="720" w:num="1"/>
          <w:titlePg/>
          <w:docGrid w:linePitch="380" w:charSpace="-5735"/>
        </w:sectPr>
      </w:pPr>
      <w:r>
        <w:rPr>
          <w:rFonts w:hint="eastAsia" w:ascii="仿宋_GB2312" w:eastAsia="仿宋_GB2312"/>
          <w:w w:val="80"/>
          <w:sz w:val="28"/>
          <w:szCs w:val="28"/>
        </w:rPr>
        <w:t>二○一八年</w:t>
      </w:r>
      <w:r>
        <w:rPr>
          <w:rFonts w:hint="eastAsia" w:ascii="仿宋_GB2312" w:eastAsia="仿宋_GB2312"/>
          <w:w w:val="80"/>
          <w:sz w:val="28"/>
          <w:szCs w:val="28"/>
          <w:lang w:eastAsia="zh-CN"/>
        </w:rPr>
        <w:t>七</w:t>
      </w:r>
      <w:r>
        <w:rPr>
          <w:rFonts w:hint="eastAsia" w:ascii="仿宋_GB2312" w:eastAsia="仿宋_GB2312"/>
          <w:w w:val="80"/>
          <w:sz w:val="28"/>
          <w:szCs w:val="28"/>
        </w:rPr>
        <w:t>月</w:t>
      </w:r>
    </w:p>
    <w:p>
      <w:pPr>
        <w:tabs>
          <w:tab w:val="left" w:pos="1050"/>
          <w:tab w:val="right" w:leader="dot" w:pos="9402"/>
        </w:tabs>
        <w:spacing w:line="520" w:lineRule="exact"/>
        <w:jc w:val="center"/>
        <w:outlineLvl w:val="0"/>
        <w:rPr>
          <w:rFonts w:hint="eastAsia" w:ascii="仿宋_GB2312" w:hAnsi="仿宋_GB2312" w:eastAsia="仿宋_GB2312" w:cs="仿宋_GB2312"/>
          <w:b/>
          <w:w w:val="80"/>
          <w:sz w:val="32"/>
          <w:szCs w:val="32"/>
        </w:rPr>
      </w:pPr>
      <w:r>
        <w:rPr>
          <w:rFonts w:hint="eastAsia" w:ascii="仿宋_GB2312" w:hAnsi="仿宋_GB2312" w:eastAsia="仿宋_GB2312" w:cs="仿宋_GB2312"/>
          <w:b/>
          <w:w w:val="80"/>
          <w:sz w:val="32"/>
          <w:szCs w:val="32"/>
        </w:rPr>
        <w:t>目录</w:t>
      </w:r>
    </w:p>
    <w:p>
      <w:pPr>
        <w:pStyle w:val="6"/>
        <w:overflowPunct w:val="0"/>
        <w:ind w:firstLine="0"/>
        <w:jc w:val="center"/>
        <w:rPr>
          <w:rFonts w:hint="eastAsia" w:ascii="仿宋_GB2312" w:hAnsi="仿宋_GB2312" w:eastAsia="仿宋_GB2312" w:cs="仿宋_GB2312"/>
          <w:sz w:val="30"/>
        </w:rPr>
      </w:pPr>
    </w:p>
    <w:p>
      <w:pPr>
        <w:pStyle w:val="31"/>
        <w:tabs>
          <w:tab w:val="right" w:leader="dot" w:pos="9072"/>
        </w:tabs>
        <w:spacing w:line="1200" w:lineRule="exact"/>
        <w:ind w:right="-2"/>
        <w:jc w:val="center"/>
        <w:rPr>
          <w:rFonts w:hint="eastAsia" w:ascii="仿宋_GB2312" w:hAnsi="仿宋_GB2312" w:eastAsia="仿宋_GB2312" w:cs="仿宋_GB2312"/>
          <w:szCs w:val="24"/>
        </w:rPr>
      </w:pPr>
      <w:r>
        <w:rPr>
          <w:rFonts w:hint="eastAsia" w:ascii="仿宋_GB2312" w:hAnsi="仿宋_GB2312" w:eastAsia="仿宋_GB2312" w:cs="仿宋_GB2312"/>
          <w:b/>
          <w:bCs/>
          <w:sz w:val="30"/>
          <w:szCs w:val="30"/>
        </w:rPr>
        <w:fldChar w:fldCharType="begin"/>
      </w:r>
      <w:r>
        <w:rPr>
          <w:rFonts w:hint="eastAsia" w:ascii="仿宋_GB2312" w:hAnsi="仿宋_GB2312" w:eastAsia="仿宋_GB2312" w:cs="仿宋_GB2312"/>
          <w:b/>
          <w:bCs/>
          <w:sz w:val="30"/>
          <w:szCs w:val="30"/>
        </w:rPr>
        <w:instrText xml:space="preserve"> TOC \o "1-1"</w:instrText>
      </w:r>
      <w:r>
        <w:rPr>
          <w:rFonts w:hint="eastAsia" w:ascii="仿宋_GB2312" w:hAnsi="仿宋_GB2312" w:eastAsia="仿宋_GB2312" w:cs="仿宋_GB2312"/>
          <w:b/>
          <w:bCs/>
          <w:sz w:val="30"/>
          <w:szCs w:val="30"/>
        </w:rPr>
        <w:fldChar w:fldCharType="separate"/>
      </w:r>
      <w:r>
        <w:rPr>
          <w:rFonts w:hint="eastAsia" w:ascii="仿宋_GB2312" w:hAnsi="仿宋_GB2312" w:eastAsia="仿宋_GB2312" w:cs="仿宋_GB2312"/>
          <w:szCs w:val="24"/>
        </w:rPr>
        <w:t>第一章供应商须知</w:t>
      </w:r>
      <w:r>
        <w:rPr>
          <w:rFonts w:hint="eastAsia" w:ascii="仿宋_GB2312" w:hAnsi="仿宋_GB2312" w:eastAsia="仿宋_GB2312" w:cs="仿宋_GB2312"/>
          <w:szCs w:val="24"/>
        </w:rPr>
        <w:tab/>
      </w:r>
      <w:r>
        <w:rPr>
          <w:rFonts w:hint="eastAsia" w:ascii="仿宋_GB2312" w:hAnsi="仿宋_GB2312" w:eastAsia="仿宋_GB2312" w:cs="仿宋_GB2312"/>
          <w:szCs w:val="24"/>
        </w:rPr>
        <w:t>3</w:t>
      </w:r>
    </w:p>
    <w:p>
      <w:pPr>
        <w:pStyle w:val="31"/>
        <w:tabs>
          <w:tab w:val="right" w:leader="dot" w:pos="9072"/>
        </w:tabs>
        <w:spacing w:line="1200" w:lineRule="exact"/>
        <w:ind w:right="-2"/>
        <w:jc w:val="center"/>
        <w:rPr>
          <w:rFonts w:hint="eastAsia" w:ascii="仿宋_GB2312" w:hAnsi="仿宋_GB2312" w:eastAsia="仿宋_GB2312" w:cs="仿宋_GB2312"/>
          <w:szCs w:val="24"/>
        </w:rPr>
      </w:pPr>
      <w:r>
        <w:rPr>
          <w:rFonts w:hint="eastAsia" w:ascii="仿宋_GB2312" w:hAnsi="仿宋_GB2312" w:eastAsia="仿宋_GB2312" w:cs="仿宋_GB2312"/>
          <w:szCs w:val="24"/>
        </w:rPr>
        <w:t>第二章项目需求</w:t>
      </w:r>
      <w:r>
        <w:rPr>
          <w:rFonts w:hint="eastAsia" w:ascii="仿宋_GB2312" w:hAnsi="仿宋_GB2312" w:eastAsia="仿宋_GB2312" w:cs="仿宋_GB2312"/>
          <w:szCs w:val="24"/>
        </w:rPr>
        <w:tab/>
      </w:r>
      <w:r>
        <w:rPr>
          <w:rFonts w:hint="eastAsia" w:ascii="仿宋_GB2312" w:hAnsi="仿宋_GB2312" w:eastAsia="仿宋_GB2312" w:cs="仿宋_GB2312"/>
          <w:szCs w:val="24"/>
        </w:rPr>
        <w:t>8</w:t>
      </w:r>
    </w:p>
    <w:p>
      <w:pPr>
        <w:pStyle w:val="31"/>
        <w:tabs>
          <w:tab w:val="right" w:leader="dot" w:pos="9072"/>
        </w:tabs>
        <w:spacing w:line="1200" w:lineRule="exact"/>
        <w:ind w:right="-2"/>
        <w:jc w:val="center"/>
        <w:rPr>
          <w:rFonts w:hint="eastAsia" w:ascii="仿宋_GB2312" w:hAnsi="仿宋_GB2312" w:eastAsia="仿宋_GB2312" w:cs="仿宋_GB2312"/>
          <w:szCs w:val="24"/>
          <w:lang w:eastAsia="zh-CN"/>
        </w:rPr>
      </w:pPr>
      <w:r>
        <w:rPr>
          <w:rFonts w:hint="eastAsia" w:ascii="仿宋_GB2312" w:hAnsi="仿宋_GB2312" w:eastAsia="仿宋_GB2312" w:cs="仿宋_GB2312"/>
          <w:szCs w:val="24"/>
        </w:rPr>
        <w:t>第三章评审方法和程序</w:t>
      </w:r>
      <w:r>
        <w:rPr>
          <w:rFonts w:hint="eastAsia" w:ascii="仿宋_GB2312" w:hAnsi="仿宋_GB2312" w:eastAsia="仿宋_GB2312" w:cs="仿宋_GB2312"/>
          <w:szCs w:val="24"/>
        </w:rPr>
        <w:tab/>
      </w:r>
      <w:r>
        <w:rPr>
          <w:rFonts w:hint="eastAsia" w:ascii="仿宋_GB2312" w:hAnsi="仿宋_GB2312" w:eastAsia="仿宋_GB2312" w:cs="仿宋_GB2312"/>
          <w:szCs w:val="24"/>
        </w:rPr>
        <w:t>1</w:t>
      </w:r>
      <w:r>
        <w:rPr>
          <w:rFonts w:hint="eastAsia" w:ascii="仿宋_GB2312" w:hAnsi="仿宋_GB2312" w:eastAsia="仿宋_GB2312" w:cs="仿宋_GB2312"/>
          <w:szCs w:val="24"/>
          <w:lang w:val="en-US" w:eastAsia="zh-CN"/>
        </w:rPr>
        <w:t>2</w:t>
      </w:r>
    </w:p>
    <w:p>
      <w:pPr>
        <w:pStyle w:val="31"/>
        <w:tabs>
          <w:tab w:val="right" w:leader="dot" w:pos="9072"/>
        </w:tabs>
        <w:spacing w:line="1200" w:lineRule="exact"/>
        <w:ind w:right="-2"/>
        <w:jc w:val="center"/>
        <w:rPr>
          <w:rFonts w:hint="eastAsia" w:ascii="仿宋_GB2312" w:hAnsi="仿宋_GB2312" w:eastAsia="仿宋_GB2312" w:cs="仿宋_GB2312"/>
          <w:szCs w:val="24"/>
          <w:lang w:eastAsia="zh-CN"/>
        </w:rPr>
      </w:pPr>
      <w:r>
        <w:rPr>
          <w:rFonts w:hint="eastAsia" w:ascii="仿宋_GB2312" w:hAnsi="仿宋_GB2312" w:eastAsia="仿宋_GB2312" w:cs="仿宋_GB2312"/>
          <w:szCs w:val="24"/>
        </w:rPr>
        <w:t>第四章合同授予</w:t>
      </w:r>
      <w:r>
        <w:rPr>
          <w:rFonts w:hint="eastAsia" w:ascii="仿宋_GB2312" w:hAnsi="仿宋_GB2312" w:eastAsia="仿宋_GB2312" w:cs="仿宋_GB2312"/>
          <w:szCs w:val="24"/>
        </w:rPr>
        <w:tab/>
      </w:r>
      <w:r>
        <w:rPr>
          <w:rFonts w:hint="eastAsia" w:ascii="仿宋_GB2312" w:hAnsi="仿宋_GB2312" w:eastAsia="仿宋_GB2312" w:cs="仿宋_GB2312"/>
          <w:szCs w:val="24"/>
        </w:rPr>
        <w:t>1</w:t>
      </w:r>
      <w:r>
        <w:rPr>
          <w:rFonts w:hint="eastAsia" w:ascii="仿宋_GB2312" w:hAnsi="仿宋_GB2312" w:eastAsia="仿宋_GB2312" w:cs="仿宋_GB2312"/>
          <w:szCs w:val="24"/>
          <w:lang w:val="en-US" w:eastAsia="zh-CN"/>
        </w:rPr>
        <w:t>4</w:t>
      </w:r>
    </w:p>
    <w:p>
      <w:pPr>
        <w:pStyle w:val="31"/>
        <w:tabs>
          <w:tab w:val="right" w:leader="dot" w:pos="9072"/>
        </w:tabs>
        <w:spacing w:line="1200" w:lineRule="exact"/>
        <w:ind w:right="-2"/>
        <w:jc w:val="center"/>
        <w:rPr>
          <w:rFonts w:hint="eastAsia" w:ascii="仿宋_GB2312" w:hAnsi="仿宋_GB2312" w:eastAsia="仿宋_GB2312" w:cs="仿宋_GB2312"/>
          <w:szCs w:val="24"/>
          <w:lang w:eastAsia="zh-CN"/>
        </w:rPr>
      </w:pPr>
      <w:r>
        <w:rPr>
          <w:rFonts w:hint="eastAsia" w:ascii="仿宋_GB2312" w:hAnsi="仿宋_GB2312" w:eastAsia="仿宋_GB2312" w:cs="仿宋_GB2312"/>
          <w:szCs w:val="24"/>
        </w:rPr>
        <w:t>第五章履约验收及付款</w:t>
      </w:r>
      <w:r>
        <w:rPr>
          <w:rFonts w:hint="eastAsia" w:ascii="仿宋_GB2312" w:hAnsi="仿宋_GB2312" w:eastAsia="仿宋_GB2312" w:cs="仿宋_GB2312"/>
          <w:szCs w:val="24"/>
        </w:rPr>
        <w:tab/>
      </w:r>
      <w:r>
        <w:rPr>
          <w:rFonts w:hint="eastAsia" w:ascii="仿宋_GB2312" w:hAnsi="仿宋_GB2312" w:eastAsia="仿宋_GB2312" w:cs="仿宋_GB2312"/>
          <w:szCs w:val="24"/>
        </w:rPr>
        <w:t>1</w:t>
      </w:r>
      <w:r>
        <w:rPr>
          <w:rFonts w:hint="eastAsia" w:ascii="仿宋_GB2312" w:hAnsi="仿宋_GB2312" w:eastAsia="仿宋_GB2312" w:cs="仿宋_GB2312"/>
          <w:szCs w:val="24"/>
          <w:lang w:val="en-US" w:eastAsia="zh-CN"/>
        </w:rPr>
        <w:t>4</w:t>
      </w:r>
    </w:p>
    <w:p>
      <w:pPr>
        <w:pStyle w:val="31"/>
        <w:tabs>
          <w:tab w:val="right" w:leader="dot" w:pos="9072"/>
        </w:tabs>
        <w:spacing w:line="1200" w:lineRule="exact"/>
        <w:ind w:right="-2"/>
        <w:jc w:val="center"/>
        <w:rPr>
          <w:rFonts w:hint="eastAsia" w:ascii="仿宋_GB2312" w:hAnsi="仿宋_GB2312" w:eastAsia="仿宋_GB2312" w:cs="仿宋_GB2312"/>
          <w:szCs w:val="24"/>
          <w:lang w:eastAsia="zh-CN"/>
        </w:rPr>
      </w:pPr>
      <w:r>
        <w:rPr>
          <w:rFonts w:hint="eastAsia" w:ascii="仿宋_GB2312" w:hAnsi="仿宋_GB2312" w:eastAsia="仿宋_GB2312" w:cs="仿宋_GB2312"/>
          <w:szCs w:val="24"/>
        </w:rPr>
        <w:t>第六章投标文件相关格式及文件</w:t>
      </w:r>
      <w:r>
        <w:rPr>
          <w:rFonts w:hint="eastAsia" w:ascii="仿宋_GB2312" w:hAnsi="仿宋_GB2312" w:eastAsia="仿宋_GB2312" w:cs="仿宋_GB2312"/>
          <w:szCs w:val="24"/>
        </w:rPr>
        <w:tab/>
      </w:r>
      <w:r>
        <w:rPr>
          <w:rFonts w:hint="eastAsia" w:ascii="仿宋_GB2312" w:hAnsi="仿宋_GB2312" w:eastAsia="仿宋_GB2312" w:cs="仿宋_GB2312"/>
          <w:szCs w:val="24"/>
        </w:rPr>
        <w:t>1</w:t>
      </w:r>
      <w:r>
        <w:rPr>
          <w:rFonts w:hint="eastAsia" w:ascii="仿宋_GB2312" w:hAnsi="仿宋_GB2312" w:eastAsia="仿宋_GB2312" w:cs="仿宋_GB2312"/>
          <w:szCs w:val="24"/>
          <w:lang w:val="en-US" w:eastAsia="zh-CN"/>
        </w:rPr>
        <w:t>5</w:t>
      </w:r>
    </w:p>
    <w:p>
      <w:pPr>
        <w:tabs>
          <w:tab w:val="right" w:leader="dot" w:pos="9072"/>
        </w:tabs>
        <w:spacing w:line="1200" w:lineRule="exact"/>
        <w:ind w:right="-2"/>
        <w:jc w:val="center"/>
        <w:rPr>
          <w:rFonts w:hint="eastAsia" w:ascii="仿宋_GB2312" w:hAnsi="仿宋_GB2312" w:eastAsia="仿宋_GB2312" w:cs="仿宋_GB2312"/>
          <w:sz w:val="30"/>
          <w:szCs w:val="30"/>
        </w:rPr>
      </w:pPr>
    </w:p>
    <w:p>
      <w:pPr>
        <w:adjustRightInd w:val="0"/>
        <w:snapToGrid w:val="0"/>
        <w:ind w:firstLine="602" w:firstLineChars="200"/>
        <w:jc w:val="center"/>
        <w:rPr>
          <w:rFonts w:hint="eastAsia" w:ascii="仿宋_GB2312" w:hAnsi="仿宋_GB2312" w:eastAsia="仿宋_GB2312" w:cs="仿宋_GB2312"/>
          <w:b/>
          <w:w w:val="80"/>
          <w:sz w:val="32"/>
          <w:szCs w:val="32"/>
        </w:rPr>
      </w:pPr>
      <w:r>
        <w:rPr>
          <w:rFonts w:hint="eastAsia" w:ascii="仿宋_GB2312" w:hAnsi="仿宋_GB2312" w:eastAsia="仿宋_GB2312" w:cs="仿宋_GB2312"/>
          <w:b/>
          <w:bCs/>
          <w:sz w:val="30"/>
          <w:szCs w:val="30"/>
        </w:rPr>
        <w:fldChar w:fldCharType="end"/>
      </w:r>
      <w:r>
        <w:rPr>
          <w:rFonts w:hint="eastAsia" w:ascii="仿宋_GB2312" w:hAnsi="仿宋_GB2312" w:eastAsia="仿宋_GB2312" w:cs="仿宋_GB2312"/>
        </w:rPr>
        <w:br w:type="page"/>
      </w:r>
      <w:bookmarkStart w:id="0" w:name="_Toc363573854"/>
      <w:r>
        <w:rPr>
          <w:rFonts w:hint="eastAsia" w:ascii="仿宋_GB2312" w:hAnsi="仿宋_GB2312" w:eastAsia="仿宋_GB2312" w:cs="仿宋_GB2312"/>
          <w:b/>
          <w:w w:val="80"/>
          <w:sz w:val="32"/>
          <w:szCs w:val="32"/>
        </w:rPr>
        <w:t>第一章供应商须知</w:t>
      </w:r>
      <w:bookmarkEnd w:id="0"/>
    </w:p>
    <w:p>
      <w:pPr>
        <w:snapToGrid w:val="0"/>
        <w:spacing w:line="360" w:lineRule="exact"/>
        <w:ind w:firstLine="482" w:firstLineChars="200"/>
        <w:outlineLvl w:val="1"/>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一、说明</w:t>
      </w:r>
    </w:p>
    <w:p>
      <w:pPr>
        <w:snapToGrid w:val="0"/>
        <w:spacing w:line="36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1、本询价采购文件仅适用于本代理机构组织的询价采购活动。</w:t>
      </w:r>
    </w:p>
    <w:p>
      <w:pPr>
        <w:snapToGrid w:val="0"/>
        <w:spacing w:line="36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2、询价采购活动及因本次招标产生的合同受中国法律制约和保护。</w:t>
      </w:r>
    </w:p>
    <w:p>
      <w:pPr>
        <w:snapToGrid w:val="0"/>
        <w:spacing w:line="36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3、询价采购文件的解释权属于代理机构。</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4、供应商在知道或应当知道本项目</w:t>
      </w:r>
      <w:r>
        <w:rPr>
          <w:rFonts w:hint="eastAsia" w:ascii="仿宋_GB2312" w:hAnsi="仿宋_GB2312" w:eastAsia="仿宋_GB2312" w:cs="仿宋_GB2312"/>
          <w:bCs/>
          <w:sz w:val="24"/>
          <w:szCs w:val="24"/>
        </w:rPr>
        <w:t>询价采购</w:t>
      </w:r>
      <w:r>
        <w:rPr>
          <w:rFonts w:hint="eastAsia" w:ascii="仿宋_GB2312" w:hAnsi="仿宋_GB2312" w:eastAsia="仿宋_GB2312" w:cs="仿宋_GB2312"/>
          <w:sz w:val="24"/>
          <w:szCs w:val="24"/>
        </w:rPr>
        <w:t>文件中的所有内容：如内容或页码短缺、资格要求和技术参数出现倾向性或排他性等表述的，应在本项目</w:t>
      </w:r>
      <w:r>
        <w:rPr>
          <w:rFonts w:hint="eastAsia" w:ascii="仿宋_GB2312" w:hAnsi="仿宋_GB2312" w:eastAsia="仿宋_GB2312" w:cs="仿宋_GB2312"/>
          <w:bCs/>
          <w:sz w:val="24"/>
          <w:szCs w:val="24"/>
        </w:rPr>
        <w:t>询价采购</w:t>
      </w:r>
      <w:r>
        <w:rPr>
          <w:rFonts w:hint="eastAsia" w:ascii="仿宋_GB2312" w:hAnsi="仿宋_GB2312" w:eastAsia="仿宋_GB2312" w:cs="仿宋_GB2312"/>
          <w:sz w:val="24"/>
          <w:szCs w:val="24"/>
        </w:rPr>
        <w:t>文件发布后提出询问或是在发布之日后的1个工作日内以书面实名制形式提出质疑；未提出询问或是未在规定期间内提出的视作供应商接受本项目</w:t>
      </w:r>
      <w:r>
        <w:rPr>
          <w:rFonts w:hint="eastAsia" w:ascii="仿宋_GB2312" w:hAnsi="仿宋_GB2312" w:eastAsia="仿宋_GB2312" w:cs="仿宋_GB2312"/>
          <w:bCs/>
          <w:sz w:val="24"/>
          <w:szCs w:val="24"/>
        </w:rPr>
        <w:t>询价采购</w:t>
      </w:r>
      <w:r>
        <w:rPr>
          <w:rFonts w:hint="eastAsia" w:ascii="仿宋_GB2312" w:hAnsi="仿宋_GB2312" w:eastAsia="仿宋_GB2312" w:cs="仿宋_GB2312"/>
          <w:sz w:val="24"/>
          <w:szCs w:val="24"/>
        </w:rPr>
        <w:t>文件中的全部内容；供应商不得在</w:t>
      </w:r>
      <w:r>
        <w:rPr>
          <w:rFonts w:hint="eastAsia" w:ascii="仿宋_GB2312" w:hAnsi="仿宋_GB2312" w:eastAsia="仿宋_GB2312" w:cs="仿宋_GB2312"/>
          <w:bCs/>
          <w:sz w:val="24"/>
          <w:szCs w:val="24"/>
        </w:rPr>
        <w:t>询价采购</w:t>
      </w:r>
      <w:r>
        <w:rPr>
          <w:rFonts w:hint="eastAsia" w:ascii="仿宋_GB2312" w:hAnsi="仿宋_GB2312" w:eastAsia="仿宋_GB2312" w:cs="仿宋_GB2312"/>
          <w:sz w:val="24"/>
          <w:szCs w:val="24"/>
        </w:rPr>
        <w:t>活动期间及询价采购结束后针对本项目</w:t>
      </w:r>
      <w:r>
        <w:rPr>
          <w:rFonts w:hint="eastAsia" w:ascii="仿宋_GB2312" w:hAnsi="仿宋_GB2312" w:eastAsia="仿宋_GB2312" w:cs="仿宋_GB2312"/>
          <w:bCs/>
          <w:sz w:val="24"/>
          <w:szCs w:val="24"/>
        </w:rPr>
        <w:t>询价采购</w:t>
      </w:r>
      <w:r>
        <w:rPr>
          <w:rFonts w:hint="eastAsia" w:ascii="仿宋_GB2312" w:hAnsi="仿宋_GB2312" w:eastAsia="仿宋_GB2312" w:cs="仿宋_GB2312"/>
          <w:sz w:val="24"/>
          <w:szCs w:val="24"/>
        </w:rPr>
        <w:t>文件中的所有内容提出质疑事项。</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bCs/>
          <w:sz w:val="24"/>
          <w:szCs w:val="24"/>
        </w:rPr>
        <w:t>询价采购</w:t>
      </w:r>
      <w:r>
        <w:rPr>
          <w:rFonts w:hint="eastAsia" w:ascii="仿宋_GB2312" w:hAnsi="仿宋_GB2312" w:eastAsia="仿宋_GB2312" w:cs="仿宋_GB2312"/>
          <w:sz w:val="24"/>
          <w:szCs w:val="24"/>
        </w:rPr>
        <w:t>文件项目需求提供的可能涉及到的工艺、材料、设备、商标、样本、技术规范、参数规格、品牌等，仅作为说明并没有限制性，供应商在</w:t>
      </w:r>
      <w:r>
        <w:rPr>
          <w:rFonts w:hint="eastAsia" w:ascii="仿宋_GB2312" w:hAnsi="仿宋_GB2312" w:eastAsia="仿宋_GB2312" w:cs="仿宋_GB2312"/>
          <w:bCs/>
          <w:sz w:val="24"/>
          <w:szCs w:val="24"/>
        </w:rPr>
        <w:t>询价采购</w:t>
      </w:r>
      <w:r>
        <w:rPr>
          <w:rFonts w:hint="eastAsia" w:ascii="仿宋_GB2312" w:hAnsi="仿宋_GB2312" w:eastAsia="仿宋_GB2312" w:cs="仿宋_GB2312"/>
          <w:sz w:val="24"/>
          <w:szCs w:val="24"/>
        </w:rPr>
        <w:t>中可以选用替代标准，但这些替代标准要优于项目需求技术规格中要求的标准，以满足采购人的需要。</w:t>
      </w:r>
    </w:p>
    <w:p>
      <w:pPr>
        <w:snapToGrid w:val="0"/>
        <w:spacing w:line="360" w:lineRule="exact"/>
        <w:ind w:firstLine="482" w:firstLineChars="200"/>
        <w:outlineLvl w:val="1"/>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二、询价采购文件的补充说明、澄清、修改、答疑</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1、代理机构有权对发出的</w:t>
      </w:r>
      <w:r>
        <w:rPr>
          <w:rFonts w:hint="eastAsia" w:ascii="仿宋_GB2312" w:hAnsi="仿宋_GB2312" w:eastAsia="仿宋_GB2312" w:cs="仿宋_GB2312"/>
          <w:bCs/>
          <w:sz w:val="24"/>
          <w:szCs w:val="24"/>
        </w:rPr>
        <w:t>询价采购</w:t>
      </w:r>
      <w:r>
        <w:rPr>
          <w:rFonts w:hint="eastAsia" w:ascii="仿宋_GB2312" w:hAnsi="仿宋_GB2312" w:eastAsia="仿宋_GB2312" w:cs="仿宋_GB2312"/>
          <w:sz w:val="24"/>
          <w:szCs w:val="24"/>
        </w:rPr>
        <w:t>文件进行必要的补充说明、澄清或修改。</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2、凡涉及</w:t>
      </w:r>
      <w:r>
        <w:rPr>
          <w:rFonts w:hint="eastAsia" w:ascii="仿宋_GB2312" w:hAnsi="仿宋_GB2312" w:eastAsia="仿宋_GB2312" w:cs="仿宋_GB2312"/>
          <w:bCs/>
          <w:sz w:val="24"/>
          <w:szCs w:val="24"/>
        </w:rPr>
        <w:t>询价采购</w:t>
      </w:r>
      <w:r>
        <w:rPr>
          <w:rFonts w:hint="eastAsia" w:ascii="仿宋_GB2312" w:hAnsi="仿宋_GB2312" w:eastAsia="仿宋_GB2312" w:cs="仿宋_GB2312"/>
          <w:sz w:val="24"/>
          <w:szCs w:val="24"/>
        </w:rPr>
        <w:t>文件的补充说明、澄清或修改，均以代理机构发布的信息为准。</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3、代理机构对</w:t>
      </w:r>
      <w:r>
        <w:rPr>
          <w:rFonts w:hint="eastAsia" w:ascii="仿宋_GB2312" w:hAnsi="仿宋_GB2312" w:eastAsia="仿宋_GB2312" w:cs="仿宋_GB2312"/>
          <w:bCs/>
          <w:sz w:val="24"/>
          <w:szCs w:val="24"/>
        </w:rPr>
        <w:t>询价采购</w:t>
      </w:r>
      <w:r>
        <w:rPr>
          <w:rFonts w:hint="eastAsia" w:ascii="仿宋_GB2312" w:hAnsi="仿宋_GB2312" w:eastAsia="仿宋_GB2312" w:cs="仿宋_GB2312"/>
          <w:sz w:val="24"/>
          <w:szCs w:val="24"/>
        </w:rPr>
        <w:t>文件的补充说明、澄清或修改，将构成本项目</w:t>
      </w:r>
      <w:r>
        <w:rPr>
          <w:rFonts w:hint="eastAsia" w:ascii="仿宋_GB2312" w:hAnsi="仿宋_GB2312" w:eastAsia="仿宋_GB2312" w:cs="仿宋_GB2312"/>
          <w:bCs/>
          <w:sz w:val="24"/>
          <w:szCs w:val="24"/>
        </w:rPr>
        <w:t>询价采购</w:t>
      </w:r>
      <w:r>
        <w:rPr>
          <w:rFonts w:hint="eastAsia" w:ascii="仿宋_GB2312" w:hAnsi="仿宋_GB2312" w:eastAsia="仿宋_GB2312" w:cs="仿宋_GB2312"/>
          <w:sz w:val="24"/>
          <w:szCs w:val="24"/>
        </w:rPr>
        <w:t>文件的一部分，对供应商具有约束力。</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4、补充说明、澄清或修改的内容可能影响到投标文件编制的，代理机构将在首次提交投标文件截止日1天前，发布补充说明、澄清。</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5、除非代理机构以书面的形式对</w:t>
      </w:r>
      <w:r>
        <w:rPr>
          <w:rFonts w:hint="eastAsia" w:ascii="仿宋_GB2312" w:hAnsi="仿宋_GB2312" w:eastAsia="仿宋_GB2312" w:cs="仿宋_GB2312"/>
          <w:bCs/>
          <w:sz w:val="24"/>
          <w:szCs w:val="24"/>
        </w:rPr>
        <w:t>询价采购</w:t>
      </w:r>
      <w:r>
        <w:rPr>
          <w:rFonts w:hint="eastAsia" w:ascii="仿宋_GB2312" w:hAnsi="仿宋_GB2312" w:eastAsia="仿宋_GB2312" w:cs="仿宋_GB2312"/>
          <w:sz w:val="24"/>
          <w:szCs w:val="24"/>
        </w:rPr>
        <w:t>文件作出澄清、修改、补充并通知到供应商，供应商对涉及</w:t>
      </w:r>
      <w:r>
        <w:rPr>
          <w:rFonts w:hint="eastAsia" w:ascii="仿宋_GB2312" w:hAnsi="仿宋_GB2312" w:eastAsia="仿宋_GB2312" w:cs="仿宋_GB2312"/>
          <w:bCs/>
          <w:sz w:val="24"/>
          <w:szCs w:val="24"/>
        </w:rPr>
        <w:t>询价采购</w:t>
      </w:r>
      <w:r>
        <w:rPr>
          <w:rFonts w:hint="eastAsia" w:ascii="仿宋_GB2312" w:hAnsi="仿宋_GB2312" w:eastAsia="仿宋_GB2312" w:cs="仿宋_GB2312"/>
          <w:sz w:val="24"/>
          <w:szCs w:val="24"/>
        </w:rPr>
        <w:t>文件的任何推论、理解和结论所造成的结果，均由供应商自负。</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6、招标人视情组织答疑会。如有产生答疑且对</w:t>
      </w:r>
      <w:r>
        <w:rPr>
          <w:rFonts w:hint="eastAsia" w:ascii="仿宋_GB2312" w:hAnsi="仿宋_GB2312" w:eastAsia="仿宋_GB2312" w:cs="仿宋_GB2312"/>
          <w:bCs/>
          <w:sz w:val="24"/>
          <w:szCs w:val="24"/>
        </w:rPr>
        <w:t>询价采购</w:t>
      </w:r>
      <w:r>
        <w:rPr>
          <w:rFonts w:hint="eastAsia" w:ascii="仿宋_GB2312" w:hAnsi="仿宋_GB2312" w:eastAsia="仿宋_GB2312" w:cs="仿宋_GB2312"/>
          <w:sz w:val="24"/>
          <w:szCs w:val="24"/>
        </w:rPr>
        <w:t>文件内容有修改，代理机构将按照本须知有关规定，以补充通知的方式发出并通知到供应商。</w:t>
      </w:r>
    </w:p>
    <w:p>
      <w:pPr>
        <w:snapToGrid w:val="0"/>
        <w:spacing w:line="360" w:lineRule="exact"/>
        <w:ind w:firstLine="482" w:firstLineChars="200"/>
        <w:outlineLvl w:val="1"/>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三、包件划分</w:t>
      </w:r>
    </w:p>
    <w:p>
      <w:pPr>
        <w:snapToGrid w:val="0"/>
        <w:spacing w:line="360" w:lineRule="exact"/>
        <w:ind w:firstLine="480" w:firstLineChars="200"/>
        <w:outlineLvl w:val="1"/>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共一个包件。</w:t>
      </w:r>
    </w:p>
    <w:p>
      <w:pPr>
        <w:numPr>
          <w:ilvl w:val="0"/>
          <w:numId w:val="3"/>
        </w:numPr>
        <w:snapToGrid w:val="0"/>
        <w:spacing w:line="360" w:lineRule="exact"/>
        <w:ind w:firstLine="482" w:firstLineChars="200"/>
        <w:outlineLvl w:val="1"/>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项目预算</w:t>
      </w:r>
    </w:p>
    <w:p>
      <w:pPr>
        <w:snapToGrid w:val="0"/>
        <w:spacing w:line="360" w:lineRule="exact"/>
        <w:ind w:firstLine="480" w:firstLineChars="200"/>
        <w:outlineLvl w:val="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人民币</w:t>
      </w:r>
      <w:r>
        <w:rPr>
          <w:rFonts w:hint="eastAsia" w:ascii="仿宋_GB2312" w:hAnsi="仿宋_GB2312" w:eastAsia="仿宋_GB2312" w:cs="仿宋_GB2312"/>
          <w:sz w:val="24"/>
          <w:szCs w:val="24"/>
          <w:lang w:val="en-US" w:eastAsia="zh-CN"/>
        </w:rPr>
        <w:t>4.4</w:t>
      </w:r>
      <w:r>
        <w:rPr>
          <w:rFonts w:hint="eastAsia" w:ascii="仿宋_GB2312" w:hAnsi="仿宋_GB2312" w:eastAsia="仿宋_GB2312" w:cs="仿宋_GB2312"/>
          <w:sz w:val="24"/>
          <w:szCs w:val="24"/>
        </w:rPr>
        <w:t>万元</w:t>
      </w:r>
    </w:p>
    <w:p>
      <w:pPr>
        <w:snapToGrid w:val="0"/>
        <w:spacing w:line="360" w:lineRule="exact"/>
        <w:ind w:firstLine="482" w:firstLineChars="200"/>
        <w:outlineLvl w:val="1"/>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五、投标文件的组成及装订</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1、投标文件分别由：①资格后审资料原件包、②资格后审材料文件、③技术标文件、④商务标文件共4部分组成（以下由文件序号代称）。</w:t>
      </w:r>
    </w:p>
    <w:p>
      <w:pPr>
        <w:spacing w:line="36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供应商按投标文件组成顺序编写，并牢固装订成册。投标文件均需采用A4纸（图纸等除外）。投标文件不得行间插字、涂改、增删。修改错漏处，须经供应商法人代表或其委托的代理人（以下称被委托授权人）签字（或盖章）并加盖公章。</w:t>
      </w:r>
    </w:p>
    <w:p>
      <w:pPr>
        <w:snapToGrid w:val="0"/>
        <w:spacing w:line="36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3、商务标文件中的所有报价表，必须装订成册。</w:t>
      </w:r>
    </w:p>
    <w:p>
      <w:pPr>
        <w:snapToGrid w:val="0"/>
        <w:spacing w:line="360" w:lineRule="exact"/>
        <w:ind w:firstLine="482" w:firstLineChars="200"/>
        <w:outlineLvl w:val="1"/>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六、投标文件的份数、签署和退还</w:t>
      </w:r>
    </w:p>
    <w:p>
      <w:pPr>
        <w:snapToGrid w:val="0"/>
        <w:spacing w:line="360" w:lineRule="exact"/>
        <w:ind w:firstLine="480" w:firstLineChars="200"/>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1、投标文件中，除【①资格后审资料原件包】外的，其余均为一份“正本”和二份“副本”</w:t>
      </w:r>
      <w:r>
        <w:rPr>
          <w:rFonts w:hint="eastAsia" w:ascii="仿宋_GB2312" w:hAnsi="仿宋_GB2312" w:eastAsia="仿宋_GB2312" w:cs="仿宋_GB2312"/>
          <w:b/>
          <w:sz w:val="24"/>
          <w:szCs w:val="24"/>
        </w:rPr>
        <w:t>。</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2、在每一份投标文件上要明确标注项目名称、投标文件各自对应的名称、供应商全称、“正本”、“副本”字样，“正本”和“副本”若有差异，概以“正本”为准。</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3、投标文件中的所有“正本”，须为打印的，其正文内容由法定代表人或被委托授权人签字（或盖章）并加盖公章，“副本”可为“正本”的复印件。</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4、开标程序顺利进行后，除“①资格后审资料原件包”外，其余所有投标文件都将作为档案保存，不论成交与否，代理机构均不退回（未拆封的除外）。</w:t>
      </w:r>
    </w:p>
    <w:p>
      <w:pPr>
        <w:snapToGrid w:val="0"/>
        <w:spacing w:line="360" w:lineRule="exact"/>
        <w:ind w:firstLine="472" w:firstLineChars="196"/>
        <w:outlineLvl w:val="1"/>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七、投标文件的密封及标记</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1、供应商须将本项目投标文件：①、②、③、④</w:t>
      </w:r>
      <w:r>
        <w:rPr>
          <w:rFonts w:hint="eastAsia" w:ascii="仿宋_GB2312" w:hAnsi="仿宋_GB2312" w:eastAsia="仿宋_GB2312" w:cs="仿宋_GB2312"/>
          <w:b/>
          <w:sz w:val="24"/>
          <w:szCs w:val="24"/>
        </w:rPr>
        <w:t>分别单独密封</w:t>
      </w:r>
      <w:r>
        <w:rPr>
          <w:rFonts w:hint="eastAsia" w:ascii="仿宋_GB2312" w:hAnsi="仿宋_GB2312" w:eastAsia="仿宋_GB2312" w:cs="仿宋_GB2312"/>
          <w:sz w:val="24"/>
          <w:szCs w:val="24"/>
        </w:rPr>
        <w:t>。</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2、密封后，应在每一密封件上明确标注项目名称、投标文件各自对应的名称、供应商全称及日期，同时加盖供应商公章。</w:t>
      </w:r>
    </w:p>
    <w:p>
      <w:pPr>
        <w:snapToGrid w:val="0"/>
        <w:spacing w:line="360" w:lineRule="exact"/>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特别提醒：</w:t>
      </w:r>
      <w:r>
        <w:rPr>
          <w:rFonts w:hint="eastAsia" w:ascii="仿宋_GB2312" w:hAnsi="仿宋_GB2312" w:eastAsia="仿宋_GB2312" w:cs="仿宋_GB2312"/>
          <w:sz w:val="24"/>
          <w:szCs w:val="24"/>
        </w:rPr>
        <w:t>投标文件中的①及②、③的“正本”或“副本”中，均不得含有任何商务标文件中的报价表（报价单）的内容，否则作无效投标处理。</w:t>
      </w:r>
    </w:p>
    <w:p>
      <w:pPr>
        <w:snapToGrid w:val="0"/>
        <w:spacing w:line="360" w:lineRule="exact"/>
        <w:ind w:firstLine="472" w:firstLineChars="196"/>
        <w:outlineLvl w:val="1"/>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八、投标文件内容</w:t>
      </w:r>
    </w:p>
    <w:p>
      <w:pPr>
        <w:tabs>
          <w:tab w:val="left" w:pos="720"/>
        </w:tabs>
        <w:spacing w:line="360" w:lineRule="exact"/>
        <w:ind w:firstLine="487" w:firstLineChars="202"/>
        <w:outlineLvl w:val="2"/>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A、资格后审资料原件包（一个密封包）</w:t>
      </w:r>
    </w:p>
    <w:p>
      <w:pPr>
        <w:snapToGrid w:val="0"/>
        <w:spacing w:line="360" w:lineRule="exact"/>
        <w:ind w:firstLine="491" w:firstLineChars="20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【特别提醒】未携带要求的原件或因携带原件不齐全而引起的后果，由供应商自负。</w:t>
      </w:r>
    </w:p>
    <w:p>
      <w:pPr>
        <w:snapToGrid w:val="0"/>
        <w:spacing w:line="360" w:lineRule="exact"/>
        <w:ind w:firstLine="491" w:firstLineChars="20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1、提供《营业执照》（副本）及《税务凳记证》（副本）（提供新版“三证合一”具有统一社会信用代码的营业执照除外）的原件</w:t>
      </w:r>
      <w:r>
        <w:rPr>
          <w:rFonts w:hint="eastAsia" w:ascii="仿宋_GB2312" w:hAnsi="仿宋_GB2312" w:eastAsia="仿宋_GB2312" w:cs="仿宋_GB2312"/>
          <w:sz w:val="24"/>
        </w:rPr>
        <w:t>；</w:t>
      </w:r>
    </w:p>
    <w:p>
      <w:pPr>
        <w:snapToGrid w:val="0"/>
        <w:spacing w:line="360" w:lineRule="exact"/>
        <w:ind w:firstLine="491" w:firstLineChars="20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2、法定代表人参加投标的，必须提供本人身份证原件；如为被委托授权人参加投标的，还须提供法人代表签名或盖章的授权委托书及被委托授权人身份证的这两项原件；</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3、投标人须提供参与本次项目采购活动前三年内，在经营活动中没有重大违法记录的书面《无重大违法记录声明函》的原件，同时须加盖公章（红章）。</w:t>
      </w:r>
    </w:p>
    <w:p>
      <w:pPr>
        <w:snapToGrid w:val="0"/>
        <w:spacing w:line="36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4、</w:t>
      </w:r>
      <w:r>
        <w:rPr>
          <w:rFonts w:hint="eastAsia" w:ascii="黑体" w:hAnsi="黑体" w:eastAsia="黑体" w:cs="黑体"/>
          <w:b/>
          <w:sz w:val="24"/>
          <w:szCs w:val="24"/>
        </w:rPr>
        <w:t>投标文件需要提供的其他资料的原件</w:t>
      </w:r>
      <w:r>
        <w:rPr>
          <w:rFonts w:hint="eastAsia" w:ascii="黑体" w:hAnsi="黑体" w:eastAsia="黑体" w:cs="黑体"/>
          <w:sz w:val="24"/>
          <w:szCs w:val="24"/>
        </w:rPr>
        <w:t>。</w:t>
      </w:r>
    </w:p>
    <w:p>
      <w:pPr>
        <w:snapToGrid w:val="0"/>
        <w:spacing w:line="360" w:lineRule="exact"/>
        <w:ind w:firstLine="487" w:firstLineChars="202"/>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B、资格后审材料文件：</w:t>
      </w:r>
      <w:r>
        <w:rPr>
          <w:rFonts w:hint="eastAsia" w:ascii="仿宋_GB2312" w:hAnsi="仿宋_GB2312" w:eastAsia="仿宋_GB2312" w:cs="仿宋_GB2312"/>
          <w:sz w:val="24"/>
          <w:szCs w:val="24"/>
        </w:rPr>
        <w:t>（</w:t>
      </w:r>
      <w:r>
        <w:rPr>
          <w:rFonts w:hint="eastAsia" w:ascii="仿宋_GB2312" w:hAnsi="仿宋_GB2312" w:eastAsia="仿宋_GB2312" w:cs="仿宋_GB2312"/>
          <w:b/>
          <w:sz w:val="24"/>
          <w:szCs w:val="24"/>
        </w:rPr>
        <w:t>一个密封包，内含：1份“正本”和2份“副本”）</w:t>
      </w:r>
      <w:r>
        <w:rPr>
          <w:rFonts w:hint="eastAsia" w:ascii="仿宋_GB2312" w:hAnsi="仿宋_GB2312" w:eastAsia="仿宋_GB2312" w:cs="仿宋_GB2312"/>
          <w:b/>
          <w:color w:val="000000"/>
          <w:sz w:val="24"/>
          <w:szCs w:val="24"/>
        </w:rPr>
        <w:t>（格式参见第六章）</w:t>
      </w:r>
    </w:p>
    <w:p>
      <w:pPr>
        <w:snapToGrid w:val="0"/>
        <w:spacing w:line="360" w:lineRule="exact"/>
        <w:ind w:firstLine="491" w:firstLineChars="205"/>
        <w:rPr>
          <w:rFonts w:hint="eastAsia" w:ascii="黑体" w:hAnsi="黑体" w:eastAsia="黑体" w:cs="黑体"/>
          <w:b w:val="0"/>
          <w:bCs/>
          <w:sz w:val="24"/>
          <w:szCs w:val="24"/>
        </w:rPr>
      </w:pPr>
      <w:r>
        <w:rPr>
          <w:rFonts w:hint="eastAsia" w:ascii="黑体" w:hAnsi="黑体" w:eastAsia="黑体" w:cs="黑体"/>
          <w:b w:val="0"/>
          <w:bCs/>
          <w:sz w:val="24"/>
          <w:szCs w:val="24"/>
        </w:rPr>
        <w:t>【特别提醒】单位负责人为同一人或者存在直接控股、管理关系的不同供应商，不得同时参与同一采购项目相同标段的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招标采购单位有权取消其成交资格，并由该供应商承担一切责任和损失。</w:t>
      </w:r>
    </w:p>
    <w:p>
      <w:pPr>
        <w:snapToGrid w:val="0"/>
        <w:spacing w:line="360" w:lineRule="exact"/>
        <w:ind w:firstLine="491" w:firstLineChars="20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1、提供《营业执照》（副本）及《税务凳记证》（副本）（提供新版“三证合一”具有统一社会信用代码的营业执照除外）原件的复印件（须加盖公章）；</w:t>
      </w:r>
    </w:p>
    <w:p>
      <w:pPr>
        <w:snapToGrid w:val="0"/>
        <w:spacing w:line="360" w:lineRule="exact"/>
        <w:ind w:firstLine="491" w:firstLineChars="20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如为法定代表人参加投标的，必须提供法定代表人身份证明及本人身份证原件的复印件。如为被委托授权人参加投标的，还须提供法人代表签名或盖章的授权委托书及被委托授权人身份证的这两项原件的复印件（须加盖公章）；</w:t>
      </w:r>
    </w:p>
    <w:p>
      <w:pPr>
        <w:adjustRightInd w:val="0"/>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3、投标人须提供参与本次项目采购活动前三年内，在经营活动中没有重大违法记录的书面《无重大违法记录声明函》的复印件（须加盖公章）；</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4</w:t>
      </w:r>
      <w:r>
        <w:rPr>
          <w:rFonts w:hint="eastAsia" w:ascii="仿宋_GB2312" w:hAnsi="仿宋_GB2312" w:eastAsia="仿宋_GB2312" w:cs="仿宋_GB2312"/>
          <w:sz w:val="24"/>
          <w:szCs w:val="24"/>
        </w:rPr>
        <w:t>、供应商还须提供本</w:t>
      </w:r>
      <w:r>
        <w:rPr>
          <w:rFonts w:hint="eastAsia" w:ascii="仿宋_GB2312" w:hAnsi="仿宋_GB2312" w:eastAsia="仿宋_GB2312" w:cs="仿宋_GB2312"/>
          <w:bCs/>
          <w:sz w:val="24"/>
          <w:szCs w:val="24"/>
        </w:rPr>
        <w:t>询价采购</w:t>
      </w:r>
      <w:r>
        <w:rPr>
          <w:rFonts w:hint="eastAsia" w:ascii="仿宋_GB2312" w:hAnsi="仿宋_GB2312" w:eastAsia="仿宋_GB2312" w:cs="仿宋_GB2312"/>
          <w:sz w:val="24"/>
          <w:szCs w:val="24"/>
        </w:rPr>
        <w:t>文件第六章投标响应文件格式中“三、B”中的“</w:t>
      </w:r>
      <w:r>
        <w:rPr>
          <w:rFonts w:hint="eastAsia" w:ascii="仿宋_GB2312" w:hAnsi="仿宋_GB2312" w:eastAsia="仿宋_GB2312" w:cs="仿宋_GB2312"/>
          <w:b/>
          <w:sz w:val="24"/>
          <w:szCs w:val="24"/>
        </w:rPr>
        <w:t>资格后审材料相关格式文件</w:t>
      </w:r>
      <w:r>
        <w:rPr>
          <w:rFonts w:hint="eastAsia" w:ascii="仿宋_GB2312" w:hAnsi="仿宋_GB2312" w:eastAsia="仿宋_GB2312" w:cs="仿宋_GB2312"/>
          <w:sz w:val="24"/>
          <w:szCs w:val="24"/>
        </w:rPr>
        <w:t>”内的：关于资格文件的声明函。</w:t>
      </w:r>
    </w:p>
    <w:p>
      <w:pPr>
        <w:spacing w:line="360" w:lineRule="exact"/>
        <w:ind w:firstLine="487" w:firstLineChars="202"/>
        <w:outlineLvl w:val="2"/>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C、技术标文件（一个密封包，内含：1份“正本”和2份“副本”。）（格式参见第六章）：</w:t>
      </w:r>
    </w:p>
    <w:p>
      <w:pPr>
        <w:spacing w:line="360" w:lineRule="exact"/>
        <w:ind w:firstLine="484" w:firstLineChars="202"/>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特别提醒】供应商应根据本询价采购文件第二章“项目需求”提供的主要技术规范，服务要求标准等，仔细阅读并在理解的基础上结合第三章“评审方法和程序”内的评审细则，编写编制技术标文件。以下技术标文件的内容，不得有缺项或漏项。否则将有可能被视为未实质性响应询价采购文件要求而作无效投标处理。</w:t>
      </w:r>
    </w:p>
    <w:p>
      <w:pPr>
        <w:spacing w:line="420" w:lineRule="exact"/>
        <w:ind w:firstLine="484" w:firstLineChars="202"/>
        <w:outlineLvl w:val="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1.投标响应函；</w:t>
      </w:r>
    </w:p>
    <w:p>
      <w:pPr>
        <w:spacing w:line="420" w:lineRule="exact"/>
        <w:ind w:firstLine="484" w:firstLineChars="202"/>
        <w:outlineLvl w:val="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2.技术文件：</w:t>
      </w:r>
    </w:p>
    <w:p>
      <w:pPr>
        <w:spacing w:line="42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根据项目需求提供产品的主要技术规范，配置要求和产品标准。投标人编写所提供产品的品牌、产地、型号、详细技术参数、功能配置，应提供的图纸及资料明细、样品图片、质量承诺、使用寿命承诺等。</w:t>
      </w:r>
    </w:p>
    <w:p>
      <w:pPr>
        <w:spacing w:line="420" w:lineRule="exact"/>
        <w:ind w:firstLine="484" w:firstLineChars="202"/>
        <w:outlineLvl w:val="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3.询价响应设备清单：</w:t>
      </w:r>
    </w:p>
    <w:p>
      <w:pPr>
        <w:spacing w:line="42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（1）提供与项目需求清单一致的响应设备清单，清单中须注明项目内每种设备、材料、品牌及技术参数，但不得出现报价。</w:t>
      </w:r>
    </w:p>
    <w:p>
      <w:pPr>
        <w:spacing w:line="420" w:lineRule="exact"/>
        <w:ind w:firstLine="484" w:firstLineChars="202"/>
        <w:rPr>
          <w:rFonts w:hint="eastAsia" w:ascii="黑体" w:hAnsi="黑体" w:eastAsia="黑体" w:cs="黑体"/>
          <w:sz w:val="24"/>
          <w:szCs w:val="24"/>
          <w:u w:val="thick" w:color="FF0000"/>
        </w:rPr>
      </w:pPr>
      <w:r>
        <w:rPr>
          <w:rFonts w:hint="eastAsia" w:ascii="黑体" w:hAnsi="黑体" w:eastAsia="黑体" w:cs="黑体"/>
          <w:sz w:val="24"/>
          <w:szCs w:val="24"/>
          <w:u w:val="thick" w:color="FF0000"/>
        </w:rPr>
        <w:t>（2）</w:t>
      </w:r>
      <w:r>
        <w:rPr>
          <w:rFonts w:hint="eastAsia" w:ascii="黑体" w:hAnsi="黑体" w:eastAsia="黑体" w:cs="黑体"/>
          <w:b/>
          <w:sz w:val="24"/>
          <w:szCs w:val="24"/>
          <w:u w:val="thick" w:color="FF0000"/>
        </w:rPr>
        <w:t>必须提供“PAD”设备制造商：针对本项目的授权书及</w:t>
      </w:r>
      <w:r>
        <w:rPr>
          <w:rFonts w:hint="eastAsia" w:ascii="黑体" w:hAnsi="黑体" w:eastAsia="黑体" w:cs="黑体"/>
          <w:b/>
          <w:sz w:val="24"/>
          <w:szCs w:val="24"/>
          <w:u w:val="thick" w:color="FF0000"/>
          <w:lang w:val="en-US" w:eastAsia="zh-CN"/>
        </w:rPr>
        <w:t>2年</w:t>
      </w:r>
      <w:r>
        <w:rPr>
          <w:rFonts w:hint="eastAsia" w:ascii="黑体" w:hAnsi="黑体" w:eastAsia="黑体" w:cs="黑体"/>
          <w:b/>
          <w:sz w:val="24"/>
          <w:szCs w:val="24"/>
          <w:u w:val="thick" w:color="FF0000"/>
        </w:rPr>
        <w:t>原厂质保函。</w:t>
      </w:r>
    </w:p>
    <w:p>
      <w:pPr>
        <w:spacing w:line="420" w:lineRule="exact"/>
        <w:ind w:firstLine="484" w:firstLineChars="202"/>
        <w:outlineLvl w:val="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4.技术条款响应正负偏离表</w:t>
      </w:r>
    </w:p>
    <w:p>
      <w:pPr>
        <w:spacing w:line="42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（1）投标人必须满足询价文件中针对招标货物提出的全部技术规格与要求，逐一逐条响应填写提交《技术条款响应正负偏离表》； </w:t>
      </w:r>
    </w:p>
    <w:p>
      <w:pPr>
        <w:tabs>
          <w:tab w:val="left" w:pos="720"/>
        </w:tabs>
        <w:spacing w:line="420" w:lineRule="exact"/>
        <w:ind w:firstLine="484" w:firstLineChars="202"/>
        <w:rPr>
          <w:rFonts w:hint="eastAsia" w:ascii="仿宋_GB2312" w:hAnsi="仿宋_GB2312" w:eastAsia="仿宋_GB2312" w:cs="仿宋_GB2312"/>
          <w:sz w:val="24"/>
          <w:szCs w:val="24"/>
          <w:u w:val="thick" w:color="FF0000"/>
        </w:rPr>
      </w:pPr>
      <w:r>
        <w:rPr>
          <w:rFonts w:hint="eastAsia" w:ascii="仿宋_GB2312" w:hAnsi="仿宋_GB2312" w:eastAsia="仿宋_GB2312" w:cs="仿宋_GB2312"/>
          <w:sz w:val="24"/>
          <w:szCs w:val="24"/>
        </w:rPr>
        <w:t>（2）投标人提供的货物和服务与采购人提出的项目需求说明中的技术要求不同，必须在逐一逐条填写响应的《技术条款响应正负偏离表》上明示偏离的部分。</w:t>
      </w:r>
      <w:r>
        <w:rPr>
          <w:rFonts w:hint="eastAsia" w:ascii="黑体" w:hAnsi="黑体" w:eastAsia="黑体" w:cs="黑体"/>
          <w:b/>
          <w:sz w:val="24"/>
          <w:szCs w:val="24"/>
          <w:u w:val="thick" w:color="FF0000"/>
        </w:rPr>
        <w:t>（注：本项目PAD设备的技术规格要求为最低要求，不接受负偏离。</w:t>
      </w:r>
      <w:r>
        <w:rPr>
          <w:rFonts w:hint="eastAsia" w:ascii="仿宋_GB2312" w:hAnsi="仿宋_GB2312" w:eastAsia="仿宋_GB2312" w:cs="仿宋_GB2312"/>
          <w:sz w:val="24"/>
          <w:szCs w:val="24"/>
          <w:u w:val="thick" w:color="FF0000"/>
        </w:rPr>
        <w:t>）</w:t>
      </w:r>
    </w:p>
    <w:p>
      <w:pPr>
        <w:tabs>
          <w:tab w:val="left" w:pos="720"/>
        </w:tabs>
        <w:spacing w:line="420" w:lineRule="exact"/>
        <w:ind w:firstLine="484" w:firstLineChars="202"/>
        <w:outlineLvl w:val="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5.项目需求产品的安装及验收：</w:t>
      </w:r>
    </w:p>
    <w:p>
      <w:pPr>
        <w:tabs>
          <w:tab w:val="left" w:pos="720"/>
        </w:tabs>
        <w:spacing w:line="42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（1）提供需求产品的供货安装方案及安装质量保证措施；</w:t>
      </w:r>
    </w:p>
    <w:p>
      <w:pPr>
        <w:tabs>
          <w:tab w:val="left" w:pos="720"/>
        </w:tabs>
        <w:spacing w:line="42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（2）提供竞标货物产品质量验收标准及验收方案，质量承诺，一旦成交有可能作为采购方验收货物的依据之一。</w:t>
      </w:r>
    </w:p>
    <w:p>
      <w:pPr>
        <w:tabs>
          <w:tab w:val="left" w:pos="720"/>
        </w:tabs>
        <w:spacing w:line="420" w:lineRule="exact"/>
        <w:ind w:firstLine="484" w:firstLineChars="202"/>
        <w:outlineLvl w:val="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6.质保及售后服务（包含但不限于如下的内容）：</w:t>
      </w:r>
    </w:p>
    <w:p>
      <w:pPr>
        <w:tabs>
          <w:tab w:val="left" w:pos="720"/>
        </w:tabs>
        <w:spacing w:line="42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（1）交货时提供免费的操作培训</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提供整体项目的质量三包承诺内容及具体产品售后服务办法。</w:t>
      </w:r>
    </w:p>
    <w:p>
      <w:pPr>
        <w:tabs>
          <w:tab w:val="left" w:pos="720"/>
        </w:tabs>
        <w:spacing w:line="420" w:lineRule="exact"/>
        <w:ind w:firstLine="487" w:firstLineChars="202"/>
        <w:rPr>
          <w:rFonts w:hint="eastAsia" w:ascii="黑体" w:hAnsi="黑体" w:eastAsia="黑体" w:cs="黑体"/>
          <w:b/>
          <w:sz w:val="24"/>
          <w:szCs w:val="24"/>
          <w:u w:val="thick" w:color="FF0000"/>
        </w:rPr>
      </w:pPr>
      <w:r>
        <w:rPr>
          <w:rFonts w:hint="eastAsia" w:ascii="黑体" w:hAnsi="黑体" w:eastAsia="黑体" w:cs="黑体"/>
          <w:b/>
          <w:sz w:val="24"/>
          <w:szCs w:val="24"/>
          <w:u w:val="thick" w:color="FF0000"/>
        </w:rPr>
        <w:t>（2）报价人须满足采购人对项目本地化服务的维护要求并提供相应的承诺函（格式自拟）。</w:t>
      </w:r>
    </w:p>
    <w:p>
      <w:pPr>
        <w:tabs>
          <w:tab w:val="left" w:pos="720"/>
        </w:tabs>
        <w:spacing w:line="42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（3）针对本项目需求产品技术要求，分别提供各需求产品的售后服务承诺函、免费保修时间及服务的内容；</w:t>
      </w:r>
    </w:p>
    <w:p>
      <w:pPr>
        <w:spacing w:line="360" w:lineRule="exact"/>
        <w:ind w:firstLine="487" w:firstLineChars="202"/>
        <w:outlineLvl w:val="2"/>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D、商务标文件</w:t>
      </w:r>
      <w:r>
        <w:rPr>
          <w:rFonts w:hint="eastAsia" w:ascii="仿宋_GB2312" w:hAnsi="仿宋_GB2312" w:eastAsia="仿宋_GB2312" w:cs="仿宋_GB2312"/>
          <w:b/>
          <w:color w:val="000000"/>
          <w:sz w:val="24"/>
          <w:szCs w:val="24"/>
        </w:rPr>
        <w:t>（一个密封包，内含：1份“正本”和2份“副本”。）</w:t>
      </w:r>
      <w:r>
        <w:rPr>
          <w:rFonts w:hint="eastAsia" w:ascii="仿宋_GB2312" w:hAnsi="仿宋_GB2312" w:eastAsia="仿宋_GB2312" w:cs="仿宋_GB2312"/>
          <w:b/>
          <w:sz w:val="24"/>
          <w:szCs w:val="24"/>
        </w:rPr>
        <w:t>（格式参见第六章）：</w:t>
      </w:r>
    </w:p>
    <w:p>
      <w:pPr>
        <w:spacing w:line="360" w:lineRule="exact"/>
        <w:ind w:firstLine="484" w:firstLineChars="202"/>
        <w:rPr>
          <w:rFonts w:hint="eastAsia" w:ascii="仿宋_GB2312" w:hAnsi="仿宋_GB2312" w:eastAsia="仿宋_GB2312" w:cs="仿宋_GB2312"/>
          <w:b/>
          <w:sz w:val="24"/>
          <w:szCs w:val="24"/>
        </w:rPr>
      </w:pPr>
      <w:r>
        <w:rPr>
          <w:rFonts w:hint="eastAsia" w:ascii="黑体" w:hAnsi="黑体" w:eastAsia="黑体" w:cs="黑体"/>
          <w:b w:val="0"/>
          <w:bCs/>
          <w:sz w:val="24"/>
          <w:szCs w:val="24"/>
        </w:rPr>
        <w:t>【特别提醒】商务标文件中的报价，包括本询价采购文件规定涵盖的所有询价采购范围及相应说明的全部内容涉及到的费用。本次询价采购项目的商务付款方式要求，必须全部响应不得有任何负偏离，且不接受任何意在更改的说明，否则作无效投标处理。供应商成交后如据此提出疑义，不履行签订合同等下一步工作，采购人有权没收其全额投标保证金并取消其成交资格。</w:t>
      </w:r>
    </w:p>
    <w:p>
      <w:pPr>
        <w:spacing w:line="36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1、投标报价总表（格式）；</w:t>
      </w:r>
    </w:p>
    <w:p>
      <w:pPr>
        <w:spacing w:line="36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2、投标报价明细表（报价明细表中的内容与项目需求一致）；</w:t>
      </w:r>
    </w:p>
    <w:p>
      <w:pPr>
        <w:snapToGrid w:val="0"/>
        <w:spacing w:line="360" w:lineRule="exact"/>
        <w:ind w:firstLine="496" w:firstLineChars="206"/>
        <w:outlineLvl w:val="1"/>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九、联合体</w:t>
      </w:r>
    </w:p>
    <w:p>
      <w:pPr>
        <w:snapToGrid w:val="0"/>
        <w:spacing w:line="36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本项目不接受多个供应商组成联合体参与投标。</w:t>
      </w:r>
    </w:p>
    <w:p>
      <w:pPr>
        <w:snapToGrid w:val="0"/>
        <w:spacing w:line="360" w:lineRule="exact"/>
        <w:ind w:firstLine="482" w:firstLineChars="200"/>
        <w:outlineLvl w:val="1"/>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十、投标文件递交时间及地址</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供应商必须在</w:t>
      </w:r>
      <w:r>
        <w:rPr>
          <w:rFonts w:hint="eastAsia" w:ascii="仿宋_GB2312" w:hAnsi="仿宋_GB2312" w:eastAsia="仿宋_GB2312" w:cs="仿宋_GB2312"/>
          <w:b/>
          <w:sz w:val="24"/>
          <w:szCs w:val="24"/>
          <w:highlight w:val="yellow"/>
        </w:rPr>
        <w:t>2018年7月</w:t>
      </w:r>
      <w:r>
        <w:rPr>
          <w:rFonts w:hint="eastAsia" w:ascii="仿宋_GB2312" w:hAnsi="仿宋_GB2312" w:eastAsia="仿宋_GB2312" w:cs="仿宋_GB2312"/>
          <w:b/>
          <w:sz w:val="24"/>
          <w:szCs w:val="24"/>
          <w:highlight w:val="yellow"/>
          <w:lang w:val="en-US" w:eastAsia="zh-CN"/>
        </w:rPr>
        <w:t>20</w:t>
      </w:r>
      <w:r>
        <w:rPr>
          <w:rFonts w:hint="eastAsia" w:ascii="仿宋_GB2312" w:hAnsi="仿宋_GB2312" w:eastAsia="仿宋_GB2312" w:cs="仿宋_GB2312"/>
          <w:b/>
          <w:sz w:val="24"/>
          <w:szCs w:val="24"/>
          <w:highlight w:val="yellow"/>
        </w:rPr>
        <w:t>日14:30时前</w:t>
      </w:r>
      <w:r>
        <w:rPr>
          <w:rFonts w:hint="eastAsia" w:ascii="仿宋_GB2312" w:hAnsi="仿宋_GB2312" w:eastAsia="仿宋_GB2312" w:cs="仿宋_GB2312"/>
          <w:sz w:val="24"/>
          <w:szCs w:val="24"/>
        </w:rPr>
        <w:t>，将投标文件送达指定地点，拒绝接收在截止时间后递交的投标文件。地址：崇川区钟秀街道办事处1201会议室，如有变动另行通知。</w:t>
      </w:r>
    </w:p>
    <w:p>
      <w:pPr>
        <w:snapToGrid w:val="0"/>
        <w:spacing w:line="360" w:lineRule="exact"/>
        <w:ind w:firstLine="482" w:firstLineChars="200"/>
        <w:outlineLvl w:val="1"/>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十一、资格审查及评审时间及地址</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资格审查及评审时间为</w:t>
      </w:r>
      <w:r>
        <w:rPr>
          <w:rFonts w:hint="eastAsia" w:ascii="仿宋_GB2312" w:hAnsi="仿宋_GB2312" w:eastAsia="仿宋_GB2312" w:cs="仿宋_GB2312"/>
          <w:b/>
          <w:sz w:val="24"/>
          <w:szCs w:val="24"/>
          <w:highlight w:val="yellow"/>
        </w:rPr>
        <w:t>2018年7月</w:t>
      </w:r>
      <w:r>
        <w:rPr>
          <w:rFonts w:hint="eastAsia" w:ascii="仿宋_GB2312" w:hAnsi="仿宋_GB2312" w:eastAsia="仿宋_GB2312" w:cs="仿宋_GB2312"/>
          <w:b/>
          <w:sz w:val="24"/>
          <w:szCs w:val="24"/>
          <w:highlight w:val="yellow"/>
          <w:lang w:val="en-US" w:eastAsia="zh-CN"/>
        </w:rPr>
        <w:t>20</w:t>
      </w:r>
      <w:r>
        <w:rPr>
          <w:rFonts w:hint="eastAsia" w:ascii="仿宋_GB2312" w:hAnsi="仿宋_GB2312" w:eastAsia="仿宋_GB2312" w:cs="仿宋_GB2312"/>
          <w:b/>
          <w:sz w:val="24"/>
          <w:szCs w:val="24"/>
          <w:highlight w:val="yellow"/>
        </w:rPr>
        <w:t>日14:30时整</w:t>
      </w:r>
      <w:r>
        <w:rPr>
          <w:rFonts w:hint="eastAsia" w:ascii="仿宋_GB2312" w:hAnsi="仿宋_GB2312" w:eastAsia="仿宋_GB2312" w:cs="仿宋_GB2312"/>
          <w:b/>
          <w:sz w:val="24"/>
          <w:szCs w:val="24"/>
        </w:rPr>
        <w:t>。</w:t>
      </w:r>
      <w:r>
        <w:rPr>
          <w:rFonts w:hint="eastAsia" w:ascii="仿宋_GB2312" w:hAnsi="仿宋_GB2312" w:eastAsia="仿宋_GB2312" w:cs="仿宋_GB2312"/>
          <w:sz w:val="24"/>
          <w:szCs w:val="24"/>
        </w:rPr>
        <w:t>地址：崇川区钟秀街道办事处1201会议室，如有变动另行通知。</w:t>
      </w:r>
    </w:p>
    <w:p>
      <w:pPr>
        <w:snapToGrid w:val="0"/>
        <w:spacing w:line="360" w:lineRule="exact"/>
        <w:ind w:firstLine="482" w:firstLineChars="200"/>
        <w:outlineLvl w:val="1"/>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十二、投标报价</w:t>
      </w:r>
    </w:p>
    <w:p>
      <w:pPr>
        <w:snapToGrid w:val="0"/>
        <w:spacing w:line="360" w:lineRule="exact"/>
        <w:ind w:firstLine="494" w:firstLineChars="20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1、本项目不接受任何有选择的报价。</w:t>
      </w:r>
    </w:p>
    <w:p>
      <w:pPr>
        <w:snapToGrid w:val="0"/>
        <w:spacing w:line="360" w:lineRule="exact"/>
        <w:ind w:firstLine="494" w:firstLineChars="20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2、投标报价均以人民币为报价的货币单位。</w:t>
      </w:r>
    </w:p>
    <w:p>
      <w:pPr>
        <w:snapToGrid w:val="0"/>
        <w:spacing w:line="360" w:lineRule="exact"/>
        <w:ind w:firstLine="494" w:firstLineChars="20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3、报价表必须加盖供应商公章且必须经法定代表人或被委托授权人签署。总价和明细价的大小写金额必须一致，若有差异，以大写为准。</w:t>
      </w:r>
    </w:p>
    <w:p>
      <w:pPr>
        <w:snapToGrid w:val="0"/>
        <w:spacing w:line="360" w:lineRule="exact"/>
        <w:ind w:firstLine="494" w:firstLineChars="20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4、报价总价金额与按单价汇总金额不一致的，以单价金额计算结果为准。</w:t>
      </w:r>
    </w:p>
    <w:p>
      <w:pPr>
        <w:snapToGrid w:val="0"/>
        <w:spacing w:line="360" w:lineRule="exact"/>
        <w:ind w:firstLine="494" w:firstLineChars="20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投标报价应包括所有的货物产品设备费、材料费、运输到指定地点的装运费用（含装卸力资）、安装及调试费、相关辅助材料费、检验费、性能介绍、人员培训费用、税费、售后服务、为完成本项目所必须的其他辅助工作的相关费用等所有费用，即项目履行到项目执行结束的过程中所发生的一切费用及响应询价文件要求的所有费用。</w:t>
      </w:r>
    </w:p>
    <w:p>
      <w:pPr>
        <w:snapToGrid w:val="0"/>
        <w:spacing w:line="360" w:lineRule="exact"/>
        <w:ind w:firstLine="494" w:firstLineChars="20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6、除非因特殊原因并经买卖双方协商同意，成交的供应商（以下称中标人）不得再要求追加任何费用。同时，除非合同条款中另有规定，否则，中标人的中标价在合同实施期间不因市场变化因素而变动。</w:t>
      </w:r>
    </w:p>
    <w:p>
      <w:pPr>
        <w:snapToGrid w:val="0"/>
        <w:spacing w:line="360" w:lineRule="exact"/>
        <w:ind w:firstLine="494" w:firstLineChars="20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7、本次投标只允许一次报价。</w:t>
      </w:r>
    </w:p>
    <w:p>
      <w:pPr>
        <w:snapToGrid w:val="0"/>
        <w:spacing w:line="360" w:lineRule="exact"/>
        <w:ind w:firstLine="494" w:firstLineChars="20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8、投标人投标时应充分考虑自身实力、市场风险等因素，合理报价。报价一经确认，单价不做调整，结算时按单价乘以实际数量结算。</w:t>
      </w:r>
    </w:p>
    <w:p>
      <w:pPr>
        <w:snapToGrid w:val="0"/>
        <w:spacing w:line="360" w:lineRule="exact"/>
        <w:ind w:firstLine="494" w:firstLineChars="206"/>
        <w:rPr>
          <w:rFonts w:hint="eastAsia" w:ascii="仿宋_GB2312" w:hAnsi="仿宋_GB2312" w:eastAsia="仿宋_GB2312" w:cs="仿宋_GB2312"/>
          <w:color w:val="0000FF"/>
          <w:sz w:val="24"/>
          <w:szCs w:val="24"/>
        </w:rPr>
      </w:pPr>
      <w:r>
        <w:rPr>
          <w:rFonts w:hint="eastAsia" w:ascii="仿宋_GB2312" w:hAnsi="仿宋_GB2312" w:eastAsia="仿宋_GB2312" w:cs="仿宋_GB2312"/>
          <w:sz w:val="24"/>
          <w:szCs w:val="24"/>
        </w:rPr>
        <w:t>9、投标报价总表中总价与投标报价明细表中的合计总价有差异时，以投标报价总表中总价为准。</w:t>
      </w:r>
    </w:p>
    <w:p>
      <w:pPr>
        <w:snapToGrid w:val="0"/>
        <w:spacing w:line="360" w:lineRule="exact"/>
        <w:ind w:firstLine="496" w:firstLineChars="206"/>
        <w:outlineLvl w:val="1"/>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十三、投标费用：</w:t>
      </w:r>
    </w:p>
    <w:p>
      <w:pPr>
        <w:snapToGrid w:val="0"/>
        <w:spacing w:line="360" w:lineRule="exact"/>
        <w:ind w:firstLine="494" w:firstLineChars="20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1、无论开评过程和结果如何，供应商自行承担与本项目投标有关的全部费用。</w:t>
      </w:r>
    </w:p>
    <w:p>
      <w:pPr>
        <w:snapToGrid w:val="0"/>
        <w:spacing w:line="360" w:lineRule="exact"/>
        <w:ind w:firstLine="494" w:firstLineChars="20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2、本项目招标文件工本费为300元。</w:t>
      </w:r>
    </w:p>
    <w:p>
      <w:pPr>
        <w:snapToGrid w:val="0"/>
        <w:spacing w:line="360" w:lineRule="exact"/>
        <w:ind w:firstLine="482" w:firstLineChars="200"/>
        <w:outlineLvl w:val="1"/>
        <w:rPr>
          <w:rFonts w:hint="eastAsia" w:ascii="仿宋_GB2312" w:hAnsi="仿宋_GB2312" w:eastAsia="仿宋_GB2312" w:cs="仿宋_GB2312"/>
          <w:b/>
          <w:bCs/>
          <w:sz w:val="24"/>
          <w:szCs w:val="24"/>
          <w:lang w:val="zh-CN"/>
        </w:rPr>
      </w:pPr>
      <w:r>
        <w:rPr>
          <w:rFonts w:hint="eastAsia" w:ascii="仿宋_GB2312" w:hAnsi="仿宋_GB2312" w:eastAsia="仿宋_GB2312" w:cs="仿宋_GB2312"/>
          <w:b/>
          <w:bCs/>
          <w:sz w:val="24"/>
          <w:szCs w:val="24"/>
          <w:lang w:val="zh-CN"/>
        </w:rPr>
        <w:t>十四、</w:t>
      </w:r>
      <w:r>
        <w:rPr>
          <w:rFonts w:hint="eastAsia" w:ascii="仿宋_GB2312" w:hAnsi="仿宋_GB2312" w:eastAsia="仿宋_GB2312" w:cs="仿宋_GB2312"/>
          <w:b/>
          <w:bCs/>
          <w:sz w:val="24"/>
          <w:szCs w:val="24"/>
        </w:rPr>
        <w:t>投标</w:t>
      </w:r>
      <w:r>
        <w:rPr>
          <w:rFonts w:hint="eastAsia" w:ascii="仿宋_GB2312" w:hAnsi="仿宋_GB2312" w:eastAsia="仿宋_GB2312" w:cs="仿宋_GB2312"/>
          <w:b/>
          <w:bCs/>
          <w:sz w:val="24"/>
          <w:szCs w:val="24"/>
          <w:lang w:val="zh-CN"/>
        </w:rPr>
        <w:t>保证金</w:t>
      </w:r>
    </w:p>
    <w:p>
      <w:pPr>
        <w:snapToGrid w:val="0"/>
        <w:spacing w:line="360" w:lineRule="exact"/>
        <w:ind w:firstLine="494" w:firstLineChars="20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1、本项目投标保证金为：</w:t>
      </w:r>
      <w:r>
        <w:rPr>
          <w:rFonts w:hint="eastAsia" w:ascii="仿宋_GB2312" w:hAnsi="仿宋_GB2312" w:eastAsia="仿宋_GB2312" w:cs="仿宋_GB2312"/>
          <w:b/>
          <w:sz w:val="24"/>
          <w:szCs w:val="24"/>
        </w:rPr>
        <w:t>人民币</w:t>
      </w:r>
      <w:r>
        <w:rPr>
          <w:rFonts w:hint="eastAsia" w:ascii="仿宋_GB2312" w:hAnsi="仿宋_GB2312" w:eastAsia="仿宋_GB2312" w:cs="仿宋_GB2312"/>
          <w:b/>
          <w:sz w:val="24"/>
          <w:szCs w:val="24"/>
          <w:highlight w:val="none"/>
          <w:u w:val="single"/>
          <w:lang w:eastAsia="zh-CN"/>
        </w:rPr>
        <w:t>壹</w:t>
      </w:r>
      <w:r>
        <w:rPr>
          <w:rFonts w:hint="eastAsia" w:ascii="仿宋_GB2312" w:hAnsi="仿宋_GB2312" w:eastAsia="仿宋_GB2312" w:cs="仿宋_GB2312"/>
          <w:b/>
          <w:sz w:val="24"/>
          <w:szCs w:val="24"/>
          <w:highlight w:val="none"/>
          <w:u w:val="single"/>
        </w:rPr>
        <w:t>仟元</w:t>
      </w:r>
      <w:r>
        <w:rPr>
          <w:rFonts w:hint="eastAsia" w:ascii="仿宋_GB2312" w:hAnsi="仿宋_GB2312" w:eastAsia="仿宋_GB2312" w:cs="仿宋_GB2312"/>
          <w:b/>
          <w:sz w:val="24"/>
          <w:szCs w:val="24"/>
          <w:highlight w:val="none"/>
        </w:rPr>
        <w:t>整（¥</w:t>
      </w:r>
      <w:r>
        <w:rPr>
          <w:rFonts w:hint="eastAsia" w:ascii="仿宋_GB2312" w:hAnsi="仿宋_GB2312" w:eastAsia="仿宋_GB2312" w:cs="仿宋_GB2312"/>
          <w:b/>
          <w:sz w:val="24"/>
          <w:szCs w:val="24"/>
          <w:highlight w:val="none"/>
          <w:lang w:val="en-US" w:eastAsia="zh-CN"/>
        </w:rPr>
        <w:t>1</w:t>
      </w:r>
      <w:r>
        <w:rPr>
          <w:rFonts w:hint="eastAsia" w:ascii="仿宋_GB2312" w:hAnsi="仿宋_GB2312" w:eastAsia="仿宋_GB2312" w:cs="仿宋_GB2312"/>
          <w:b/>
          <w:sz w:val="24"/>
          <w:szCs w:val="24"/>
          <w:highlight w:val="none"/>
        </w:rPr>
        <w:t>000.00元）</w:t>
      </w:r>
      <w:r>
        <w:rPr>
          <w:rFonts w:hint="eastAsia" w:ascii="仿宋_GB2312" w:hAnsi="仿宋_GB2312" w:eastAsia="仿宋_GB2312" w:cs="仿宋_GB2312"/>
          <w:sz w:val="24"/>
          <w:szCs w:val="24"/>
        </w:rPr>
        <w:t>。</w:t>
      </w:r>
    </w:p>
    <w:p>
      <w:pPr>
        <w:snapToGrid w:val="0"/>
        <w:spacing w:line="360" w:lineRule="exact"/>
        <w:ind w:firstLine="460" w:firstLineChars="19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2、供应商交纳的投标保证金采用</w:t>
      </w:r>
      <w:r>
        <w:rPr>
          <w:rFonts w:hint="eastAsia" w:ascii="仿宋_GB2312" w:hAnsi="仿宋_GB2312" w:eastAsia="仿宋_GB2312" w:cs="仿宋_GB2312"/>
          <w:b/>
          <w:sz w:val="24"/>
          <w:szCs w:val="24"/>
          <w:u w:val="single"/>
        </w:rPr>
        <w:t>现金</w:t>
      </w:r>
      <w:r>
        <w:rPr>
          <w:rFonts w:hint="eastAsia" w:ascii="仿宋_GB2312" w:hAnsi="仿宋_GB2312" w:eastAsia="仿宋_GB2312" w:cs="仿宋_GB2312"/>
          <w:sz w:val="24"/>
          <w:szCs w:val="24"/>
        </w:rPr>
        <w:t>的形式（其他形式概不接收）带至投标现场,在递交投标文件时交给采购代理机构。</w:t>
      </w:r>
    </w:p>
    <w:p>
      <w:pPr>
        <w:snapToGrid w:val="0"/>
        <w:spacing w:line="360" w:lineRule="exact"/>
        <w:ind w:firstLine="494" w:firstLineChars="20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3、未按上述要求提交投标保证金的供应商，招标采购单位有权拒绝其投标文件。</w:t>
      </w:r>
    </w:p>
    <w:p>
      <w:pPr>
        <w:snapToGrid w:val="0"/>
        <w:spacing w:line="360" w:lineRule="exact"/>
        <w:ind w:firstLine="494" w:firstLineChars="20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4、未中标供应商其投标保证金，当场退还。中标人的投标保证金将在与采购人签订的合同生效后的</w:t>
      </w:r>
      <w:r>
        <w:rPr>
          <w:rFonts w:hint="eastAsia" w:ascii="仿宋_GB2312" w:hAnsi="仿宋_GB2312" w:eastAsia="仿宋_GB2312" w:cs="仿宋_GB2312"/>
          <w:b/>
          <w:sz w:val="24"/>
          <w:szCs w:val="24"/>
          <w:u w:val="single"/>
        </w:rPr>
        <w:t xml:space="preserve">  5</w:t>
      </w:r>
      <w:r>
        <w:rPr>
          <w:rFonts w:hint="eastAsia" w:ascii="仿宋_GB2312" w:hAnsi="仿宋_GB2312" w:eastAsia="仿宋_GB2312" w:cs="仿宋_GB2312"/>
          <w:sz w:val="24"/>
          <w:szCs w:val="24"/>
        </w:rPr>
        <w:t>个工作日内，予以退还（无息）。</w:t>
      </w:r>
    </w:p>
    <w:p>
      <w:pPr>
        <w:snapToGrid w:val="0"/>
        <w:spacing w:line="360" w:lineRule="exact"/>
        <w:ind w:firstLine="494" w:firstLineChars="20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5、发生下列情况之一，投标保证金将不予退还。</w:t>
      </w:r>
    </w:p>
    <w:p>
      <w:pPr>
        <w:snapToGrid w:val="0"/>
        <w:spacing w:line="360" w:lineRule="exact"/>
        <w:ind w:firstLine="324" w:firstLineChars="13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（1）供应商在提交投标文件截止时间后撤回投标文件的；</w:t>
      </w:r>
    </w:p>
    <w:p>
      <w:pPr>
        <w:snapToGrid w:val="0"/>
        <w:spacing w:line="360" w:lineRule="exact"/>
        <w:ind w:firstLine="324" w:firstLineChars="13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（2）供应商与采购人、其他供应商或者采购代理机构恶意串通的；</w:t>
      </w:r>
    </w:p>
    <w:p>
      <w:pPr>
        <w:snapToGrid w:val="0"/>
        <w:spacing w:line="360" w:lineRule="exact"/>
        <w:ind w:firstLine="324" w:firstLineChars="13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（3）除因不可抗力或询价采购文件认可的情形以外，中标人不与采购人签订合同的；</w:t>
      </w:r>
    </w:p>
    <w:p>
      <w:pPr>
        <w:snapToGrid w:val="0"/>
        <w:spacing w:line="360" w:lineRule="exact"/>
        <w:ind w:firstLine="324" w:firstLineChars="13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（4）供应商在开评标过程中有违反有关法律法规的行为；</w:t>
      </w:r>
    </w:p>
    <w:p>
      <w:pPr>
        <w:snapToGrid w:val="0"/>
        <w:spacing w:line="360" w:lineRule="exact"/>
        <w:ind w:firstLine="324" w:firstLineChars="13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（5）询价采购文件规定的其他情形。</w:t>
      </w:r>
    </w:p>
    <w:p>
      <w:pPr>
        <w:snapToGrid w:val="0"/>
        <w:spacing w:line="360" w:lineRule="exact"/>
        <w:ind w:firstLine="496" w:firstLineChars="206"/>
        <w:outlineLvl w:val="1"/>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十五、付款方式</w:t>
      </w:r>
    </w:p>
    <w:p>
      <w:pPr>
        <w:pStyle w:val="115"/>
        <w:numPr>
          <w:ilvl w:val="0"/>
          <w:numId w:val="0"/>
        </w:numPr>
        <w:spacing w:line="360" w:lineRule="exact"/>
        <w:ind w:firstLine="480" w:firstLineChars="200"/>
        <w:outlineLvl w:val="1"/>
        <w:rPr>
          <w:rFonts w:hint="eastAsia" w:ascii="仿宋_GB2312" w:hAnsi="仿宋_GB2312" w:eastAsia="仿宋_GB2312" w:cs="仿宋_GB2312"/>
          <w:b w:val="0"/>
          <w:sz w:val="24"/>
          <w:szCs w:val="24"/>
        </w:rPr>
      </w:pPr>
      <w:r>
        <w:rPr>
          <w:rFonts w:hint="eastAsia" w:ascii="仿宋_GB2312" w:hAnsi="仿宋_GB2312" w:eastAsia="仿宋_GB2312" w:cs="仿宋_GB2312"/>
          <w:b w:val="0"/>
          <w:sz w:val="24"/>
          <w:szCs w:val="24"/>
        </w:rPr>
        <w:t>产品制作安装到位后，经采购人验收合格后付至合同价的95%，余5%待质保期满后无息结清。</w:t>
      </w:r>
    </w:p>
    <w:p>
      <w:pPr>
        <w:snapToGrid w:val="0"/>
        <w:spacing w:line="360" w:lineRule="exact"/>
        <w:ind w:firstLine="496" w:firstLineChars="206"/>
        <w:outlineLvl w:val="1"/>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十六、供货量调整及结算方式</w:t>
      </w:r>
    </w:p>
    <w:p>
      <w:pPr>
        <w:keepNext w:val="0"/>
        <w:keepLines w:val="0"/>
        <w:pageBreakBefore w:val="0"/>
        <w:widowControl w:val="0"/>
        <w:kinsoku/>
        <w:wordWrap/>
        <w:overflowPunct/>
        <w:topLinePunct w:val="0"/>
        <w:autoSpaceDE/>
        <w:autoSpaceDN/>
        <w:bidi w:val="0"/>
        <w:adjustRightInd/>
        <w:snapToGrid w:val="0"/>
        <w:spacing w:line="360" w:lineRule="exact"/>
        <w:ind w:firstLine="324" w:firstLineChars="135"/>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如因采购人实际需求，供货数量发生变化，中标人须无条件满足采购人需求，确保供货质量并及时供货；结算时按实际供货量进行结算，综合单价不变。</w:t>
      </w:r>
    </w:p>
    <w:p>
      <w:pPr>
        <w:snapToGrid w:val="0"/>
        <w:spacing w:line="360" w:lineRule="exact"/>
        <w:ind w:firstLine="496" w:firstLineChars="206"/>
        <w:outlineLvl w:val="1"/>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十七、代理服务费</w:t>
      </w:r>
    </w:p>
    <w:p>
      <w:pPr>
        <w:keepNext w:val="0"/>
        <w:keepLines w:val="0"/>
        <w:pageBreakBefore w:val="0"/>
        <w:widowControl w:val="0"/>
        <w:kinsoku/>
        <w:wordWrap/>
        <w:overflowPunct/>
        <w:topLinePunct w:val="0"/>
        <w:autoSpaceDE/>
        <w:autoSpaceDN/>
        <w:bidi w:val="0"/>
        <w:adjustRightInd/>
        <w:snapToGrid w:val="0"/>
        <w:spacing w:line="360" w:lineRule="exact"/>
        <w:ind w:firstLine="494" w:firstLineChars="206"/>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b/>
          <w:sz w:val="24"/>
          <w:szCs w:val="24"/>
        </w:rPr>
        <w:t>中标人须缴纳代理服务费：参照国家计委计价格【1980号】文货物类的收费标准，以“差额定率累进法”计算收取；代理服务费不足¥3000.00元的，以¥3000.00元计收。</w:t>
      </w:r>
    </w:p>
    <w:tbl>
      <w:tblPr>
        <w:tblStyle w:val="60"/>
        <w:tblW w:w="9599" w:type="dxa"/>
        <w:jc w:val="center"/>
        <w:tblInd w:w="-4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38"/>
        <w:gridCol w:w="3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4" w:hRule="atLeast"/>
          <w:tblHeader/>
          <w:jc w:val="center"/>
        </w:trPr>
        <w:tc>
          <w:tcPr>
            <w:tcW w:w="6238" w:type="dxa"/>
            <w:vAlign w:val="center"/>
          </w:tcPr>
          <w:p>
            <w:pPr>
              <w:snapToGrid w:val="0"/>
              <w:spacing w:line="360" w:lineRule="exact"/>
              <w:ind w:firstLine="4" w:firstLineChars="2"/>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中标金额</w:t>
            </w:r>
          </w:p>
        </w:tc>
        <w:tc>
          <w:tcPr>
            <w:tcW w:w="3361" w:type="dxa"/>
            <w:vAlign w:val="center"/>
          </w:tcPr>
          <w:p>
            <w:pPr>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货物招标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7" w:hRule="atLeast"/>
          <w:jc w:val="center"/>
        </w:trPr>
        <w:tc>
          <w:tcPr>
            <w:tcW w:w="6238" w:type="dxa"/>
            <w:vAlign w:val="center"/>
          </w:tcPr>
          <w:p>
            <w:pPr>
              <w:snapToGrid w:val="0"/>
              <w:spacing w:line="360" w:lineRule="exact"/>
              <w:ind w:firstLine="4" w:firstLineChars="2"/>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50万（含）以下</w:t>
            </w:r>
          </w:p>
        </w:tc>
        <w:tc>
          <w:tcPr>
            <w:tcW w:w="3361" w:type="dxa"/>
            <w:vAlign w:val="center"/>
          </w:tcPr>
          <w:p>
            <w:pPr>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r>
    </w:tbl>
    <w:p>
      <w:pPr>
        <w:snapToGrid w:val="0"/>
        <w:spacing w:line="360" w:lineRule="exact"/>
        <w:ind w:firstLine="494" w:firstLineChars="20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2、投标人自行考虑包含在投标报价内的该项费用及风险并将其综合在单价内，不得单列。</w:t>
      </w:r>
    </w:p>
    <w:p>
      <w:pPr>
        <w:snapToGrid w:val="0"/>
        <w:spacing w:line="360" w:lineRule="exact"/>
        <w:ind w:firstLine="494" w:firstLineChars="20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3、代理服务费应在《中标通知书》发出送达后3日内一次性付清。</w:t>
      </w: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bookmarkStart w:id="1" w:name="_Toc363573855"/>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r>
        <w:rPr>
          <w:rFonts w:hint="eastAsia" w:ascii="仿宋_GB2312" w:hAnsi="仿宋_GB2312" w:eastAsia="仿宋_GB2312" w:cs="仿宋_GB2312"/>
          <w:b/>
          <w:w w:val="80"/>
          <w:sz w:val="32"/>
          <w:szCs w:val="32"/>
        </w:rPr>
        <w:t>第二章    项目需求</w:t>
      </w:r>
      <w:bookmarkEnd w:id="1"/>
    </w:p>
    <w:p>
      <w:pPr>
        <w:spacing w:line="420" w:lineRule="exact"/>
        <w:ind w:firstLine="482" w:firstLineChars="200"/>
        <w:outlineLvl w:val="1"/>
        <w:rPr>
          <w:rFonts w:hint="eastAsia" w:ascii="仿宋_GB2312" w:hAnsi="仿宋_GB2312" w:eastAsia="仿宋_GB2312" w:cs="仿宋_GB2312"/>
          <w:b/>
          <w:bCs/>
          <w:sz w:val="24"/>
          <w:szCs w:val="24"/>
        </w:rPr>
      </w:pPr>
      <w:bookmarkStart w:id="2" w:name="_Toc13543213"/>
      <w:r>
        <w:rPr>
          <w:rFonts w:hint="eastAsia" w:ascii="仿宋_GB2312" w:hAnsi="仿宋_GB2312" w:eastAsia="仿宋_GB2312" w:cs="仿宋_GB2312"/>
          <w:b/>
          <w:bCs/>
          <w:sz w:val="24"/>
          <w:szCs w:val="24"/>
        </w:rPr>
        <w:t>一、需求总则</w:t>
      </w:r>
    </w:p>
    <w:p>
      <w:pPr>
        <w:spacing w:line="420" w:lineRule="exact"/>
        <w:ind w:firstLine="480" w:firstLineChars="200"/>
        <w:outlineLvl w:val="2"/>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1.优先采购：</w:t>
      </w:r>
    </w:p>
    <w:p>
      <w:pPr>
        <w:spacing w:line="42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政府采购优先采购节能产品和环境标志产品。节能产品是指列入财政部、国家发展和改革委员会制定的《节能产品政府采购清单》的产品。环境标志产品是指列入财政部、国家环保总局制定的《环境标志产品政府采购清单》的产品。</w:t>
      </w:r>
    </w:p>
    <w:p>
      <w:pPr>
        <w:spacing w:line="420" w:lineRule="exact"/>
        <w:ind w:firstLine="480" w:firstLineChars="200"/>
        <w:outlineLvl w:val="2"/>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2.产品要求：</w:t>
      </w:r>
    </w:p>
    <w:p>
      <w:pPr>
        <w:spacing w:line="42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产品必须是全新、未使用过的原装合格正品，完全符合采购文件规定的质量、规格和性能的要求，达到国家或行业规定的标准，实行生产许可证制度的，应提供生产许可证；属于国家强制认证的产品，必须通过认证。</w:t>
      </w:r>
    </w:p>
    <w:p>
      <w:pPr>
        <w:spacing w:line="420" w:lineRule="exact"/>
        <w:ind w:firstLine="480" w:firstLineChars="200"/>
        <w:outlineLvl w:val="2"/>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3.技术响应要求： </w:t>
      </w:r>
    </w:p>
    <w:p>
      <w:pPr>
        <w:spacing w:line="42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技术响应文件的内容，不得有缺陷或漏项。否则有可能被视为未实质性响应招标文件要求而作无效投标处理。技术响应文件应能明确载明：产品品牌、产品功能简介、安装调试完成的时间、免费维保期、维保期内容、维护保修响应时间等。</w:t>
      </w:r>
    </w:p>
    <w:p>
      <w:pPr>
        <w:spacing w:line="420" w:lineRule="exact"/>
        <w:ind w:firstLine="480" w:firstLineChars="200"/>
        <w:outlineLvl w:val="2"/>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4.技术响应有关要求说明：</w:t>
      </w:r>
    </w:p>
    <w:p>
      <w:pPr>
        <w:spacing w:line="42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报价人不能简单照搬照抄采购人项目需求说明中的技术要求，必须作实事求是的响应：</w:t>
      </w:r>
    </w:p>
    <w:p>
      <w:pPr>
        <w:spacing w:line="42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（1）照搬照抄项目需求说明中的技术要求，一旦成交中标，在与采购人签订合同和履约环节中不得提出异议，一切后果和损失由成交人承担。</w:t>
      </w:r>
    </w:p>
    <w:p>
      <w:pPr>
        <w:spacing w:line="42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（2）报价人提供的货物和服务与采购人提出的项目需求说明中的技术要求不同，必须在逐一逐条响应的《技术条款响应正负偏离表》上明示偏离的部分。</w:t>
      </w:r>
    </w:p>
    <w:p>
      <w:pPr>
        <w:spacing w:line="420" w:lineRule="exact"/>
        <w:ind w:firstLine="480" w:firstLineChars="200"/>
        <w:outlineLvl w:val="2"/>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5.主要技术参数：</w:t>
      </w:r>
    </w:p>
    <w:p>
      <w:pPr>
        <w:spacing w:line="42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为鼓励不同品牌的充分竞争，如某主要技术参数属于个别品牌专有，则该主要技术参数不具有限制性，供应商可以自行调整，但必须保证“正偏离”。报价人可对自己的竞标产品涉及的技术参数进行对比参照，并具体提供以下材料：</w:t>
      </w:r>
    </w:p>
    <w:p>
      <w:pPr>
        <w:spacing w:line="42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（1）指标排它性的证明材料；</w:t>
      </w:r>
    </w:p>
    <w:p>
      <w:pPr>
        <w:spacing w:line="42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（2）产品调整对比表；</w:t>
      </w:r>
    </w:p>
    <w:p>
      <w:pPr>
        <w:spacing w:line="42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（3）调整后产品的详细技术参数；</w:t>
      </w:r>
    </w:p>
    <w:p>
      <w:pPr>
        <w:spacing w:line="42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（4）提供竞标产品制造商针对新参数而出具的证明文件：①由制造商提供相关机构出具的检测报告；②制造商的技术白皮书；③制造商的生产许可证；④提供前述①②③项原件的复印件且必须加盖制造商红章。</w:t>
      </w:r>
    </w:p>
    <w:p>
      <w:pPr>
        <w:spacing w:line="420" w:lineRule="exact"/>
        <w:ind w:firstLine="482" w:firstLineChars="200"/>
        <w:outlineLvl w:val="1"/>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二、采购范围</w:t>
      </w:r>
    </w:p>
    <w:p>
      <w:pPr>
        <w:spacing w:line="42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项目需求的设备产品的规格、材质、数量、技术要求、设计和制造标准均为技术先进、产品优质的全新合格产品，并且是从设计、制造、包装、运输到采购人指定地点、负责安装、调试、验收直至最后交付使用及质保的完整性产品项目。</w:t>
      </w:r>
    </w:p>
    <w:p>
      <w:pPr>
        <w:spacing w:line="420" w:lineRule="exact"/>
        <w:ind w:firstLine="482" w:firstLineChars="200"/>
        <w:outlineLvl w:val="1"/>
        <w:rPr>
          <w:rFonts w:hint="eastAsia" w:ascii="仿宋_GB2312" w:hAnsi="仿宋_GB2312" w:eastAsia="仿宋_GB2312" w:cs="仿宋_GB2312"/>
          <w:b/>
          <w:bCs/>
          <w:sz w:val="24"/>
          <w:szCs w:val="24"/>
        </w:rPr>
      </w:pPr>
      <w:bookmarkStart w:id="3" w:name="_Toc13642116"/>
      <w:r>
        <w:rPr>
          <w:rFonts w:hint="eastAsia" w:ascii="仿宋_GB2312" w:hAnsi="仿宋_GB2312" w:eastAsia="仿宋_GB2312" w:cs="仿宋_GB2312"/>
          <w:b/>
          <w:bCs/>
          <w:sz w:val="24"/>
          <w:szCs w:val="24"/>
        </w:rPr>
        <w:t>三、项目概况</w:t>
      </w:r>
    </w:p>
    <w:p>
      <w:pPr>
        <w:spacing w:line="42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1.本项目为南通市崇川区钟秀街道所需的PAD设备采购及安装而提供的询价采购项目。</w:t>
      </w:r>
    </w:p>
    <w:p>
      <w:pPr>
        <w:spacing w:line="42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2.项目范围：含供货及安装调试。</w:t>
      </w:r>
    </w:p>
    <w:p>
      <w:pPr>
        <w:snapToGrid w:val="0"/>
        <w:spacing w:line="420" w:lineRule="exact"/>
        <w:ind w:firstLine="463" w:firstLineChars="192"/>
        <w:outlineLvl w:val="1"/>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四、项目需求产品清单一览表</w:t>
      </w:r>
    </w:p>
    <w:tbl>
      <w:tblPr>
        <w:tblStyle w:val="60"/>
        <w:tblW w:w="96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6593"/>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47" w:type="dxa"/>
            <w:vAlign w:val="center"/>
          </w:tcPr>
          <w:p>
            <w:pPr>
              <w:widowControl/>
              <w:tabs>
                <w:tab w:val="left" w:pos="5325"/>
              </w:tabs>
              <w:snapToGrid w:val="0"/>
              <w:spacing w:line="4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6593" w:type="dxa"/>
            <w:vAlign w:val="center"/>
          </w:tcPr>
          <w:p>
            <w:pPr>
              <w:widowControl/>
              <w:tabs>
                <w:tab w:val="left" w:pos="5325"/>
              </w:tabs>
              <w:snapToGrid w:val="0"/>
              <w:spacing w:line="4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货物名称</w:t>
            </w:r>
          </w:p>
        </w:tc>
        <w:tc>
          <w:tcPr>
            <w:tcW w:w="1767" w:type="dxa"/>
            <w:vAlign w:val="center"/>
          </w:tcPr>
          <w:p>
            <w:pPr>
              <w:widowControl/>
              <w:tabs>
                <w:tab w:val="left" w:pos="5325"/>
              </w:tabs>
              <w:snapToGrid w:val="0"/>
              <w:spacing w:line="4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247" w:type="dxa"/>
            <w:vAlign w:val="center"/>
          </w:tcPr>
          <w:p>
            <w:pPr>
              <w:widowControl/>
              <w:tabs>
                <w:tab w:val="left" w:pos="5325"/>
              </w:tabs>
              <w:snapToGrid w:val="0"/>
              <w:spacing w:line="4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6593" w:type="dxa"/>
            <w:vAlign w:val="center"/>
          </w:tcPr>
          <w:p>
            <w:pPr>
              <w:widowControl/>
              <w:tabs>
                <w:tab w:val="left" w:pos="5325"/>
              </w:tabs>
              <w:snapToGrid w:val="0"/>
              <w:spacing w:line="42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PAD设备</w:t>
            </w:r>
          </w:p>
        </w:tc>
        <w:tc>
          <w:tcPr>
            <w:tcW w:w="1767" w:type="dxa"/>
            <w:vAlign w:val="center"/>
          </w:tcPr>
          <w:p>
            <w:pPr>
              <w:widowControl/>
              <w:tabs>
                <w:tab w:val="left" w:pos="5325"/>
              </w:tabs>
              <w:snapToGrid w:val="0"/>
              <w:spacing w:line="4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0台</w:t>
            </w:r>
          </w:p>
        </w:tc>
      </w:tr>
      <w:bookmarkEnd w:id="3"/>
    </w:tbl>
    <w:p>
      <w:pPr>
        <w:snapToGrid w:val="0"/>
        <w:spacing w:line="420" w:lineRule="exact"/>
        <w:ind w:firstLine="463" w:firstLineChars="192"/>
        <w:outlineLvl w:val="1"/>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五、技术规格要求</w:t>
      </w:r>
      <w:bookmarkStart w:id="4" w:name="_Toc171325649"/>
    </w:p>
    <w:bookmarkEnd w:id="4"/>
    <w:p>
      <w:pPr>
        <w:snapToGrid w:val="0"/>
        <w:spacing w:line="420" w:lineRule="exact"/>
        <w:ind w:firstLine="463" w:firstLineChars="192"/>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1.PAD设备</w:t>
      </w:r>
    </w:p>
    <w:tbl>
      <w:tblPr>
        <w:tblStyle w:val="60"/>
        <w:tblW w:w="9644"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990" w:type="dxa"/>
            <w:vAlign w:val="center"/>
          </w:tcPr>
          <w:p>
            <w:pPr>
              <w:widowControl/>
              <w:adjustRightInd w:val="0"/>
              <w:snapToGrid w:val="0"/>
              <w:spacing w:line="420" w:lineRule="exact"/>
              <w:jc w:val="center"/>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CPU处理器</w:t>
            </w:r>
          </w:p>
        </w:tc>
        <w:tc>
          <w:tcPr>
            <w:tcW w:w="7654" w:type="dxa"/>
            <w:vAlign w:val="center"/>
          </w:tcPr>
          <w:p>
            <w:pPr>
              <w:widowControl/>
              <w:adjustRightInd w:val="0"/>
              <w:snapToGrid w:val="0"/>
              <w:spacing w:line="420" w:lineRule="exact"/>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ARM 架构，核心≥八核 (64位)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990" w:type="dxa"/>
            <w:vAlign w:val="center"/>
          </w:tcPr>
          <w:p>
            <w:pPr>
              <w:widowControl/>
              <w:adjustRightInd w:val="0"/>
              <w:snapToGrid w:val="0"/>
              <w:spacing w:line="420" w:lineRule="exact"/>
              <w:jc w:val="center"/>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最高主频</w:t>
            </w:r>
          </w:p>
        </w:tc>
        <w:tc>
          <w:tcPr>
            <w:tcW w:w="7654" w:type="dxa"/>
            <w:vAlign w:val="center"/>
          </w:tcPr>
          <w:p>
            <w:pPr>
              <w:adjustRightInd w:val="0"/>
              <w:snapToGrid w:val="0"/>
              <w:spacing w:line="420" w:lineRule="exact"/>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至少有4核（含）单核最高主频≥1.4GHZ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990" w:type="dxa"/>
            <w:vAlign w:val="center"/>
          </w:tcPr>
          <w:p>
            <w:pPr>
              <w:widowControl/>
              <w:adjustRightInd w:val="0"/>
              <w:snapToGrid w:val="0"/>
              <w:spacing w:line="420" w:lineRule="exact"/>
              <w:jc w:val="center"/>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最低主频</w:t>
            </w:r>
          </w:p>
        </w:tc>
        <w:tc>
          <w:tcPr>
            <w:tcW w:w="7654" w:type="dxa"/>
            <w:vAlign w:val="center"/>
          </w:tcPr>
          <w:p>
            <w:pPr>
              <w:widowControl/>
              <w:adjustRightInd w:val="0"/>
              <w:snapToGrid w:val="0"/>
              <w:spacing w:line="420" w:lineRule="exact"/>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至少有4核（含）单核最低主频≥1.1GHZ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990" w:type="dxa"/>
            <w:vAlign w:val="center"/>
          </w:tcPr>
          <w:p>
            <w:pPr>
              <w:widowControl/>
              <w:adjustRightInd w:val="0"/>
              <w:snapToGrid w:val="0"/>
              <w:spacing w:line="420" w:lineRule="exact"/>
              <w:jc w:val="center"/>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存储容量</w:t>
            </w:r>
          </w:p>
        </w:tc>
        <w:tc>
          <w:tcPr>
            <w:tcW w:w="7654" w:type="dxa"/>
            <w:vAlign w:val="center"/>
          </w:tcPr>
          <w:p>
            <w:pPr>
              <w:widowControl/>
              <w:adjustRightInd w:val="0"/>
              <w:snapToGrid w:val="0"/>
              <w:spacing w:line="420" w:lineRule="exact"/>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RAM≥3GB ；ROM≥32GB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990" w:type="dxa"/>
            <w:vAlign w:val="center"/>
          </w:tcPr>
          <w:p>
            <w:pPr>
              <w:widowControl/>
              <w:adjustRightInd w:val="0"/>
              <w:snapToGrid w:val="0"/>
              <w:spacing w:line="420" w:lineRule="exact"/>
              <w:jc w:val="center"/>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存储扩展</w:t>
            </w:r>
          </w:p>
        </w:tc>
        <w:tc>
          <w:tcPr>
            <w:tcW w:w="7654" w:type="dxa"/>
            <w:vAlign w:val="center"/>
          </w:tcPr>
          <w:p>
            <w:pPr>
              <w:adjustRightInd w:val="0"/>
              <w:snapToGrid w:val="0"/>
              <w:spacing w:line="420" w:lineRule="exact"/>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支持可扩展容量128G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1990" w:type="dxa"/>
            <w:vAlign w:val="center"/>
          </w:tcPr>
          <w:p>
            <w:pPr>
              <w:widowControl/>
              <w:adjustRightInd w:val="0"/>
              <w:snapToGrid w:val="0"/>
              <w:spacing w:line="420" w:lineRule="exact"/>
              <w:jc w:val="center"/>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操作系统</w:t>
            </w:r>
          </w:p>
        </w:tc>
        <w:tc>
          <w:tcPr>
            <w:tcW w:w="7654" w:type="dxa"/>
            <w:vAlign w:val="center"/>
          </w:tcPr>
          <w:p>
            <w:pPr>
              <w:adjustRightInd w:val="0"/>
              <w:snapToGrid w:val="0"/>
              <w:spacing w:line="420" w:lineRule="exact"/>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Android 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990" w:type="dxa"/>
            <w:vAlign w:val="center"/>
          </w:tcPr>
          <w:p>
            <w:pPr>
              <w:widowControl/>
              <w:adjustRightInd w:val="0"/>
              <w:snapToGrid w:val="0"/>
              <w:spacing w:line="420" w:lineRule="exact"/>
              <w:jc w:val="center"/>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网络制式</w:t>
            </w:r>
          </w:p>
        </w:tc>
        <w:tc>
          <w:tcPr>
            <w:tcW w:w="7654" w:type="dxa"/>
            <w:vAlign w:val="center"/>
          </w:tcPr>
          <w:p>
            <w:pPr>
              <w:adjustRightInd w:val="0"/>
              <w:snapToGrid w:val="0"/>
              <w:spacing w:line="420" w:lineRule="exact"/>
              <w:rPr>
                <w:rFonts w:hint="eastAsia" w:ascii="仿宋_GB2312" w:hAnsi="仿宋_GB2312" w:eastAsia="仿宋_GB2312" w:cs="仿宋_GB2312"/>
                <w:bCs/>
                <w:kern w:val="0"/>
                <w:sz w:val="24"/>
                <w:szCs w:val="24"/>
                <w:highlight w:val="none"/>
                <w:lang w:val="en-US" w:eastAsia="zh-CN"/>
              </w:rPr>
            </w:pPr>
            <w:r>
              <w:rPr>
                <w:rFonts w:hint="eastAsia" w:ascii="仿宋_GB2312" w:hAnsi="仿宋_GB2312" w:eastAsia="仿宋_GB2312" w:cs="仿宋_GB2312"/>
                <w:bCs/>
                <w:kern w:val="0"/>
                <w:sz w:val="24"/>
                <w:szCs w:val="24"/>
                <w:highlight w:val="none"/>
                <w:lang w:val="en-US" w:eastAsia="zh-CN"/>
              </w:rPr>
              <w:t>Wifi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990" w:type="dxa"/>
            <w:vAlign w:val="center"/>
          </w:tcPr>
          <w:p>
            <w:pPr>
              <w:widowControl/>
              <w:adjustRightInd w:val="0"/>
              <w:snapToGrid w:val="0"/>
              <w:spacing w:line="420" w:lineRule="exact"/>
              <w:jc w:val="center"/>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屏幕尺寸与比例</w:t>
            </w:r>
          </w:p>
        </w:tc>
        <w:tc>
          <w:tcPr>
            <w:tcW w:w="7654" w:type="dxa"/>
            <w:vAlign w:val="center"/>
          </w:tcPr>
          <w:p>
            <w:pPr>
              <w:widowControl/>
              <w:adjustRightInd w:val="0"/>
              <w:snapToGrid w:val="0"/>
              <w:spacing w:line="420" w:lineRule="exact"/>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lang w:val="en-US" w:eastAsia="zh-CN"/>
              </w:rPr>
              <w:t>11</w:t>
            </w:r>
            <w:r>
              <w:rPr>
                <w:rFonts w:hint="eastAsia" w:ascii="仿宋_GB2312" w:hAnsi="仿宋_GB2312" w:eastAsia="仿宋_GB2312" w:cs="仿宋_GB2312"/>
                <w:bCs/>
                <w:kern w:val="0"/>
                <w:sz w:val="24"/>
                <w:szCs w:val="24"/>
                <w:highlight w:val="none"/>
              </w:rPr>
              <w:t>.0英寸≥英寸屏幕尺寸规格≥</w:t>
            </w:r>
            <w:r>
              <w:rPr>
                <w:rFonts w:hint="eastAsia" w:ascii="仿宋_GB2312" w:hAnsi="仿宋_GB2312" w:eastAsia="仿宋_GB2312" w:cs="仿宋_GB2312"/>
                <w:bCs/>
                <w:kern w:val="0"/>
                <w:sz w:val="24"/>
                <w:szCs w:val="24"/>
                <w:highlight w:val="none"/>
                <w:lang w:val="en-US" w:eastAsia="zh-CN"/>
              </w:rPr>
              <w:t>10</w:t>
            </w:r>
            <w:r>
              <w:rPr>
                <w:rFonts w:hint="eastAsia" w:ascii="仿宋_GB2312" w:hAnsi="仿宋_GB2312" w:eastAsia="仿宋_GB2312" w:cs="仿宋_GB2312"/>
                <w:bCs/>
                <w:kern w:val="0"/>
                <w:sz w:val="24"/>
                <w:szCs w:val="24"/>
                <w:highlight w:val="none"/>
              </w:rPr>
              <w:t>.0英寸；屏幕比例16:9或16:10；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90" w:type="dxa"/>
            <w:vAlign w:val="center"/>
          </w:tcPr>
          <w:p>
            <w:pPr>
              <w:widowControl/>
              <w:adjustRightInd w:val="0"/>
              <w:snapToGrid w:val="0"/>
              <w:spacing w:line="420" w:lineRule="exact"/>
              <w:jc w:val="center"/>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屏幕分辨率</w:t>
            </w:r>
          </w:p>
        </w:tc>
        <w:tc>
          <w:tcPr>
            <w:tcW w:w="7654" w:type="dxa"/>
            <w:vAlign w:val="center"/>
          </w:tcPr>
          <w:p>
            <w:pPr>
              <w:widowControl/>
              <w:adjustRightInd w:val="0"/>
              <w:snapToGrid w:val="0"/>
              <w:spacing w:line="420" w:lineRule="exact"/>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1920*1200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990" w:type="dxa"/>
            <w:vAlign w:val="center"/>
          </w:tcPr>
          <w:p>
            <w:pPr>
              <w:widowControl/>
              <w:adjustRightInd w:val="0"/>
              <w:snapToGrid w:val="0"/>
              <w:spacing w:line="420" w:lineRule="exact"/>
              <w:jc w:val="center"/>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屏幕类型</w:t>
            </w:r>
          </w:p>
        </w:tc>
        <w:tc>
          <w:tcPr>
            <w:tcW w:w="7654" w:type="dxa"/>
            <w:vAlign w:val="center"/>
          </w:tcPr>
          <w:p>
            <w:pPr>
              <w:widowControl/>
              <w:adjustRightInd w:val="0"/>
              <w:snapToGrid w:val="0"/>
              <w:spacing w:line="420" w:lineRule="exact"/>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电容式多点触控（≥10个点）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990" w:type="dxa"/>
            <w:vAlign w:val="center"/>
          </w:tcPr>
          <w:p>
            <w:pPr>
              <w:widowControl/>
              <w:adjustRightInd w:val="0"/>
              <w:snapToGrid w:val="0"/>
              <w:spacing w:line="420" w:lineRule="exact"/>
              <w:jc w:val="center"/>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摄像头</w:t>
            </w:r>
          </w:p>
        </w:tc>
        <w:tc>
          <w:tcPr>
            <w:tcW w:w="7654" w:type="dxa"/>
            <w:vAlign w:val="center"/>
          </w:tcPr>
          <w:p>
            <w:pPr>
              <w:widowControl/>
              <w:adjustRightInd w:val="0"/>
              <w:snapToGrid w:val="0"/>
              <w:spacing w:line="420" w:lineRule="exact"/>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前置≥</w:t>
            </w:r>
            <w:r>
              <w:rPr>
                <w:rFonts w:hint="eastAsia" w:ascii="仿宋_GB2312" w:hAnsi="仿宋_GB2312" w:eastAsia="仿宋_GB2312" w:cs="仿宋_GB2312"/>
                <w:bCs/>
                <w:kern w:val="0"/>
                <w:sz w:val="24"/>
                <w:szCs w:val="24"/>
                <w:highlight w:val="none"/>
                <w:lang w:val="en-US" w:eastAsia="zh-CN"/>
              </w:rPr>
              <w:t>8</w:t>
            </w:r>
            <w:r>
              <w:rPr>
                <w:rFonts w:hint="eastAsia" w:ascii="仿宋_GB2312" w:hAnsi="仿宋_GB2312" w:eastAsia="仿宋_GB2312" w:cs="仿宋_GB2312"/>
                <w:bCs/>
                <w:kern w:val="0"/>
                <w:sz w:val="24"/>
                <w:szCs w:val="24"/>
                <w:highlight w:val="none"/>
              </w:rPr>
              <w:t>00万像素，后置≥800万像素，自动对焦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1990" w:type="dxa"/>
            <w:vAlign w:val="center"/>
          </w:tcPr>
          <w:p>
            <w:pPr>
              <w:widowControl/>
              <w:adjustRightInd w:val="0"/>
              <w:snapToGrid w:val="0"/>
              <w:spacing w:line="420" w:lineRule="exact"/>
              <w:jc w:val="center"/>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其他</w:t>
            </w:r>
          </w:p>
        </w:tc>
        <w:tc>
          <w:tcPr>
            <w:tcW w:w="7654" w:type="dxa"/>
            <w:vAlign w:val="center"/>
          </w:tcPr>
          <w:p>
            <w:pPr>
              <w:widowControl/>
              <w:adjustRightInd w:val="0"/>
              <w:snapToGrid w:val="0"/>
              <w:spacing w:line="420" w:lineRule="exact"/>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支持WIFI、GPS定位等功能，内置麦克和扬声器，配备原厂皮套、贴膜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990" w:type="dxa"/>
            <w:vAlign w:val="center"/>
          </w:tcPr>
          <w:p>
            <w:pPr>
              <w:widowControl/>
              <w:adjustRightInd w:val="0"/>
              <w:snapToGrid w:val="0"/>
              <w:spacing w:line="420" w:lineRule="exact"/>
              <w:jc w:val="center"/>
              <w:rPr>
                <w:rFonts w:hint="eastAsia" w:ascii="仿宋_GB2312" w:hAnsi="仿宋_GB2312" w:eastAsia="仿宋_GB2312" w:cs="仿宋_GB2312"/>
                <w:bCs/>
                <w:color w:val="FF0000"/>
                <w:kern w:val="0"/>
                <w:sz w:val="24"/>
                <w:szCs w:val="24"/>
                <w:highlight w:val="none"/>
              </w:rPr>
            </w:pPr>
            <w:r>
              <w:rPr>
                <w:rFonts w:hint="eastAsia" w:ascii="仿宋_GB2312" w:hAnsi="仿宋_GB2312" w:eastAsia="仿宋_GB2312" w:cs="仿宋_GB2312"/>
                <w:bCs/>
                <w:kern w:val="0"/>
                <w:sz w:val="24"/>
                <w:szCs w:val="24"/>
                <w:highlight w:val="none"/>
              </w:rPr>
              <w:t>质保期限</w:t>
            </w:r>
          </w:p>
        </w:tc>
        <w:tc>
          <w:tcPr>
            <w:tcW w:w="7654" w:type="dxa"/>
            <w:vAlign w:val="center"/>
          </w:tcPr>
          <w:p>
            <w:pPr>
              <w:widowControl/>
              <w:adjustRightInd w:val="0"/>
              <w:snapToGrid w:val="0"/>
              <w:spacing w:line="420" w:lineRule="exact"/>
              <w:rPr>
                <w:rFonts w:hint="eastAsia" w:ascii="黑体" w:hAnsi="黑体" w:eastAsia="黑体" w:cs="黑体"/>
                <w:b/>
                <w:bCs/>
                <w:kern w:val="0"/>
                <w:sz w:val="24"/>
                <w:szCs w:val="24"/>
                <w:highlight w:val="none"/>
                <w:u w:val="thick" w:color="FF0000"/>
              </w:rPr>
            </w:pPr>
            <w:r>
              <w:rPr>
                <w:rFonts w:hint="eastAsia" w:ascii="黑体" w:hAnsi="黑体" w:eastAsia="黑体" w:cs="黑体"/>
                <w:b/>
                <w:bCs/>
                <w:kern w:val="0"/>
                <w:sz w:val="24"/>
                <w:szCs w:val="24"/>
                <w:highlight w:val="none"/>
                <w:u w:val="thick" w:color="FF0000"/>
              </w:rPr>
              <w:t>交货时提供免费的操作培训</w:t>
            </w:r>
          </w:p>
          <w:p>
            <w:pPr>
              <w:widowControl/>
              <w:adjustRightInd w:val="0"/>
              <w:snapToGrid w:val="0"/>
              <w:spacing w:line="420" w:lineRule="exact"/>
              <w:rPr>
                <w:rFonts w:hint="eastAsia" w:ascii="黑体" w:hAnsi="黑体" w:eastAsia="黑体" w:cs="黑体"/>
                <w:b/>
                <w:bCs/>
                <w:kern w:val="0"/>
                <w:sz w:val="24"/>
                <w:szCs w:val="24"/>
                <w:highlight w:val="none"/>
                <w:u w:val="thick" w:color="FF0000"/>
              </w:rPr>
            </w:pPr>
            <w:r>
              <w:rPr>
                <w:rFonts w:hint="eastAsia" w:ascii="黑体" w:hAnsi="黑体" w:eastAsia="黑体" w:cs="黑体"/>
                <w:b/>
                <w:bCs/>
                <w:kern w:val="0"/>
                <w:sz w:val="24"/>
                <w:szCs w:val="24"/>
                <w:highlight w:val="none"/>
                <w:u w:val="thick" w:color="FF0000"/>
              </w:rPr>
              <w:t>非人为问题2年质保（1年免费更换、第二年免费保修）</w:t>
            </w:r>
          </w:p>
          <w:p>
            <w:pPr>
              <w:widowControl/>
              <w:adjustRightInd w:val="0"/>
              <w:snapToGrid w:val="0"/>
              <w:spacing w:line="420" w:lineRule="exact"/>
              <w:rPr>
                <w:rFonts w:hint="eastAsia" w:ascii="黑体" w:hAnsi="黑体" w:eastAsia="黑体" w:cs="黑体"/>
                <w:b/>
                <w:bCs/>
                <w:kern w:val="0"/>
                <w:sz w:val="24"/>
                <w:szCs w:val="24"/>
                <w:highlight w:val="none"/>
                <w:u w:val="thick" w:color="FF0000"/>
              </w:rPr>
            </w:pPr>
            <w:r>
              <w:rPr>
                <w:rFonts w:hint="eastAsia" w:ascii="黑体" w:hAnsi="黑体" w:eastAsia="黑体" w:cs="黑体"/>
                <w:b/>
                <w:bCs/>
                <w:kern w:val="0"/>
                <w:sz w:val="24"/>
                <w:szCs w:val="24"/>
                <w:highlight w:val="none"/>
                <w:u w:val="thick" w:color="FF0000"/>
              </w:rPr>
              <w:t>服务时间：7X12小时免费上门</w:t>
            </w:r>
          </w:p>
          <w:p>
            <w:pPr>
              <w:widowControl/>
              <w:adjustRightInd w:val="0"/>
              <w:snapToGrid w:val="0"/>
              <w:spacing w:line="420" w:lineRule="exact"/>
              <w:rPr>
                <w:rFonts w:hint="eastAsia" w:ascii="黑体" w:hAnsi="黑体" w:eastAsia="黑体" w:cs="黑体"/>
                <w:b/>
                <w:bCs/>
                <w:kern w:val="0"/>
                <w:sz w:val="24"/>
                <w:szCs w:val="24"/>
                <w:highlight w:val="none"/>
                <w:u w:val="thick" w:color="FF0000"/>
              </w:rPr>
            </w:pPr>
            <w:r>
              <w:rPr>
                <w:rFonts w:hint="eastAsia" w:ascii="黑体" w:hAnsi="黑体" w:eastAsia="黑体" w:cs="黑体"/>
                <w:b/>
                <w:bCs/>
                <w:kern w:val="0"/>
                <w:sz w:val="24"/>
                <w:szCs w:val="24"/>
                <w:highlight w:val="none"/>
                <w:u w:val="thick" w:color="FF0000"/>
              </w:rPr>
              <w:t>质保服务：每年至少2次定期回访检修</w:t>
            </w:r>
          </w:p>
        </w:tc>
      </w:tr>
    </w:tbl>
    <w:p>
      <w:pPr>
        <w:snapToGrid w:val="0"/>
        <w:spacing w:line="420" w:lineRule="exact"/>
        <w:ind w:firstLine="463" w:firstLineChars="192"/>
        <w:outlineLvl w:val="1"/>
        <w:rPr>
          <w:rFonts w:hint="eastAsia" w:ascii="仿宋_GB2312" w:hAnsi="仿宋_GB2312" w:eastAsia="仿宋_GB2312" w:cs="仿宋_GB2312"/>
          <w:b/>
          <w:sz w:val="24"/>
          <w:szCs w:val="24"/>
        </w:rPr>
      </w:pPr>
      <w:r>
        <w:rPr>
          <w:rFonts w:hint="eastAsia" w:ascii="仿宋_GB2312" w:hAnsi="仿宋_GB2312" w:eastAsia="仿宋_GB2312" w:cs="仿宋_GB2312"/>
          <w:b/>
          <w:bCs/>
          <w:sz w:val="24"/>
          <w:szCs w:val="24"/>
        </w:rPr>
        <w:t>六、技术响应要求</w:t>
      </w:r>
    </w:p>
    <w:p>
      <w:pPr>
        <w:spacing w:line="42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1.技术响应文件的内容，不得有缺陷或漏项。否则有可能被视为未实质性响应招标文件要求而作无效投标处理。</w:t>
      </w:r>
    </w:p>
    <w:p>
      <w:pPr>
        <w:spacing w:line="42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2.技术响应文件应能明确载明：产品品牌、产品功能简介、安装完成的时间、免费维保期、维保期内容、维护保修响应时间等。</w:t>
      </w:r>
    </w:p>
    <w:p>
      <w:pPr>
        <w:spacing w:line="420" w:lineRule="exact"/>
        <w:ind w:firstLine="480" w:firstLineChars="200"/>
        <w:rPr>
          <w:rFonts w:hint="eastAsia" w:ascii="黑体" w:hAnsi="黑体" w:eastAsia="黑体" w:cs="黑体"/>
          <w:sz w:val="24"/>
          <w:szCs w:val="24"/>
          <w:u w:val="thick" w:color="FF0000"/>
        </w:rPr>
      </w:pPr>
      <w:r>
        <w:rPr>
          <w:rFonts w:hint="eastAsia" w:ascii="黑体" w:hAnsi="黑体" w:eastAsia="黑体" w:cs="黑体"/>
          <w:sz w:val="24"/>
          <w:szCs w:val="24"/>
          <w:u w:val="thick" w:color="FF0000"/>
        </w:rPr>
        <w:t>3.</w:t>
      </w:r>
      <w:r>
        <w:rPr>
          <w:rFonts w:hint="eastAsia" w:ascii="黑体" w:hAnsi="黑体" w:eastAsia="黑体" w:cs="黑体"/>
          <w:b/>
          <w:sz w:val="24"/>
          <w:szCs w:val="24"/>
          <w:u w:val="thick" w:color="FF0000"/>
        </w:rPr>
        <w:t>本项目PAD设备的技术规格要求为最低要求，不接受负偏离。</w:t>
      </w:r>
    </w:p>
    <w:p>
      <w:pPr>
        <w:spacing w:line="42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4.所有项目，含设备、材料等运输及安装，调试，及相关施工集成所有必需辅材，如清单中未列出，而属于项目所必须的，请自行增加，如有遗漏，视作赠送；项目要求进行设备的安装，在清单中未曾反映的工程量，请自行考虑在报价内，中标后不再作任何更改及费用的增加，但必须保证项目从供货到安装调试的正常进行，由此产生的额外费用视作赠送。</w:t>
      </w:r>
    </w:p>
    <w:p>
      <w:pPr>
        <w:spacing w:line="420" w:lineRule="exact"/>
        <w:ind w:firstLine="482" w:firstLineChars="200"/>
        <w:outlineLvl w:val="1"/>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七、质量要求</w:t>
      </w:r>
    </w:p>
    <w:p>
      <w:pPr>
        <w:spacing w:line="42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1.供应商应保证货物是全新、未使用过的原装合格正品，并完全符合招标文件及本项目合同规定的质量、规格和性能的要求。</w:t>
      </w:r>
    </w:p>
    <w:p>
      <w:pPr>
        <w:spacing w:line="42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成交产品的技术标准按国家标准执行，无国家标准的，按行业标准执行，无国家和行业标准的，按企业标准执行；但在招标文件中有特别要求的，按招标文件中规定的要求执行，并且符合相关法律、法规规定的要求。</w:t>
      </w:r>
    </w:p>
    <w:p>
      <w:pPr>
        <w:spacing w:line="42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3.产品的包装，国家或行业主管部门有规定的，按规定执行。 </w:t>
      </w:r>
    </w:p>
    <w:p>
      <w:pPr>
        <w:spacing w:line="42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4.供应商应保证提供的产品不得侵犯第三方专利权、商标权和工业设计权、版权等。否则，成交人应负全部责任，并承担由此引起的一切后果。</w:t>
      </w:r>
    </w:p>
    <w:p>
      <w:pPr>
        <w:spacing w:line="42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5.供应商应保证其货物在正确安装、正常使用和保养条件下，在其使用寿命期内应具有满意的性能。</w:t>
      </w:r>
    </w:p>
    <w:p>
      <w:pPr>
        <w:spacing w:line="42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6.供应商应采取必要的安全措施保证货物的运输及安装的安全，并承担货物的运输及安装过程中产生的一切风险及全部责任。</w:t>
      </w:r>
    </w:p>
    <w:p>
      <w:pPr>
        <w:snapToGrid w:val="0"/>
        <w:spacing w:line="420" w:lineRule="exact"/>
        <w:ind w:firstLine="463" w:firstLineChars="192"/>
        <w:outlineLvl w:val="1"/>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八、设备交货、安装调试服务</w:t>
      </w:r>
    </w:p>
    <w:p>
      <w:pPr>
        <w:snapToGrid w:val="0"/>
        <w:spacing w:line="420" w:lineRule="exact"/>
        <w:ind w:firstLine="460" w:firstLineChars="192"/>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1.设备交付： </w:t>
      </w:r>
    </w:p>
    <w:p>
      <w:pPr>
        <w:snapToGrid w:val="0"/>
        <w:spacing w:line="420" w:lineRule="exact"/>
        <w:ind w:firstLine="460" w:firstLineChars="192"/>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（1）交货地点：根据采购人要求，产品送至采购人指定的地点进行安装。</w:t>
      </w:r>
    </w:p>
    <w:p>
      <w:pPr>
        <w:snapToGrid w:val="0"/>
        <w:spacing w:line="420" w:lineRule="exact"/>
        <w:ind w:firstLine="460" w:firstLineChars="192"/>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（2）货物装卸、运输涉及到的保险，其费用包含在合同总价中。</w:t>
      </w:r>
    </w:p>
    <w:p>
      <w:pPr>
        <w:snapToGrid w:val="0"/>
        <w:spacing w:line="420" w:lineRule="exact"/>
        <w:ind w:firstLine="460" w:firstLineChars="192"/>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2.项目交付安装调试期：合同签订后</w:t>
      </w:r>
      <w:r>
        <w:rPr>
          <w:rFonts w:hint="eastAsia" w:ascii="仿宋_GB2312" w:hAnsi="仿宋_GB2312" w:eastAsia="仿宋_GB2312" w:cs="仿宋_GB2312"/>
          <w:b/>
          <w:bCs/>
          <w:sz w:val="24"/>
          <w:szCs w:val="24"/>
          <w:highlight w:val="none"/>
          <w:u w:val="thick"/>
          <w:lang w:val="en-US" w:eastAsia="zh-CN"/>
        </w:rPr>
        <w:t>10</w:t>
      </w:r>
      <w:r>
        <w:rPr>
          <w:rFonts w:hint="eastAsia" w:ascii="仿宋_GB2312" w:hAnsi="仿宋_GB2312" w:eastAsia="仿宋_GB2312" w:cs="仿宋_GB2312"/>
          <w:bCs/>
          <w:sz w:val="24"/>
          <w:szCs w:val="24"/>
          <w:highlight w:val="none"/>
          <w:u w:val="thick"/>
        </w:rPr>
        <w:t>“日历天”</w:t>
      </w:r>
      <w:r>
        <w:rPr>
          <w:rFonts w:hint="eastAsia" w:ascii="仿宋_GB2312" w:hAnsi="仿宋_GB2312" w:eastAsia="仿宋_GB2312" w:cs="仿宋_GB2312"/>
          <w:bCs/>
          <w:sz w:val="24"/>
          <w:szCs w:val="24"/>
        </w:rPr>
        <w:t>内送到指定地点并完成安装调试工作。</w:t>
      </w:r>
    </w:p>
    <w:p>
      <w:pPr>
        <w:snapToGrid w:val="0"/>
        <w:spacing w:line="420" w:lineRule="exact"/>
        <w:ind w:firstLine="460" w:firstLineChars="192"/>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3.发货到采购人指定地点时应先用函、电通告采购人。</w:t>
      </w:r>
    </w:p>
    <w:p>
      <w:pPr>
        <w:snapToGrid w:val="0"/>
        <w:spacing w:line="420" w:lineRule="exact"/>
        <w:ind w:firstLine="460" w:firstLineChars="192"/>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4.产品的外观、包装、运输应按国家规定或部颁标准执行，如因供方包装不当以及其它原因造成损坏或丢失，应由供方负一切责任。</w:t>
      </w:r>
    </w:p>
    <w:p>
      <w:pPr>
        <w:snapToGrid w:val="0"/>
        <w:spacing w:line="420" w:lineRule="exact"/>
        <w:ind w:firstLine="460" w:firstLineChars="192"/>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5.合同项目涉及到的产品设备交货时，外包装应完整无破损。</w:t>
      </w:r>
    </w:p>
    <w:p>
      <w:pPr>
        <w:snapToGrid w:val="0"/>
        <w:spacing w:line="420" w:lineRule="exact"/>
        <w:ind w:firstLine="463" w:firstLineChars="192"/>
        <w:outlineLvl w:val="1"/>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九、验收</w:t>
      </w:r>
    </w:p>
    <w:p>
      <w:pPr>
        <w:snapToGrid w:val="0"/>
        <w:spacing w:line="420" w:lineRule="exact"/>
        <w:ind w:firstLine="494" w:firstLineChars="206"/>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1.项目涉及到的货物由采购方组织有关部门进行专项验收；</w:t>
      </w:r>
    </w:p>
    <w:p>
      <w:pPr>
        <w:snapToGrid w:val="0"/>
        <w:spacing w:line="420" w:lineRule="exact"/>
        <w:ind w:firstLine="494" w:firstLineChars="206"/>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2.供应商所供货物在通过专项验收时，应对由于设计、工艺或材料的缺陷而发生的任何不足或故障负责，并承担由此引起的一切后果。</w:t>
      </w:r>
    </w:p>
    <w:p>
      <w:pPr>
        <w:snapToGrid w:val="0"/>
        <w:spacing w:line="420" w:lineRule="exact"/>
        <w:ind w:firstLine="494" w:firstLineChars="206"/>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3.采购人有权拒收未通过专项验收的货物，已供货物按合同货物单价的10%结算。</w:t>
      </w:r>
    </w:p>
    <w:p>
      <w:pPr>
        <w:snapToGrid w:val="0"/>
        <w:spacing w:line="420" w:lineRule="exact"/>
        <w:ind w:firstLine="494" w:firstLineChars="206"/>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4.验收合格的同时，供应商需提供设备随箱质保书、保修证明等书面资料，并按国家制造和安装的标准要求检测验收，质保期自出具项目验收合格报告之日起算；</w:t>
      </w:r>
    </w:p>
    <w:p>
      <w:pPr>
        <w:snapToGrid w:val="0"/>
        <w:spacing w:line="420" w:lineRule="exact"/>
        <w:ind w:firstLine="494" w:firstLineChars="206"/>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5.如双方对验收结果有分歧，则以南通市技术监督局的检测结果为准，检验费由有过失的一方支付。</w:t>
      </w:r>
    </w:p>
    <w:p>
      <w:pPr>
        <w:snapToGrid w:val="0"/>
        <w:spacing w:line="420" w:lineRule="exact"/>
        <w:ind w:firstLine="460" w:firstLineChars="192"/>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6.对于检测不合格的，该批次货物无条件退货并退场。同时采购人认定为供应商自身的原因而导致的该结果，有权取消供应商的成交资格且解除采购合同。</w:t>
      </w:r>
    </w:p>
    <w:p>
      <w:pPr>
        <w:snapToGrid w:val="0"/>
        <w:spacing w:line="420" w:lineRule="exact"/>
        <w:ind w:firstLine="463" w:firstLineChars="192"/>
        <w:outlineLvl w:val="1"/>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十、产品质保期</w:t>
      </w:r>
    </w:p>
    <w:p>
      <w:pPr>
        <w:spacing w:line="420" w:lineRule="exact"/>
        <w:ind w:firstLine="480" w:firstLineChars="200"/>
        <w:rPr>
          <w:rFonts w:hint="eastAsia" w:ascii="黑体" w:hAnsi="黑体" w:eastAsia="黑体" w:cs="黑体"/>
          <w:b w:val="0"/>
          <w:bCs/>
          <w:sz w:val="24"/>
          <w:szCs w:val="24"/>
          <w:u w:val="thick" w:color="FF0000"/>
        </w:rPr>
      </w:pPr>
      <w:r>
        <w:rPr>
          <w:rFonts w:hint="eastAsia" w:ascii="黑体" w:hAnsi="黑体" w:eastAsia="黑体" w:cs="黑体"/>
          <w:b w:val="0"/>
          <w:bCs/>
          <w:sz w:val="24"/>
          <w:szCs w:val="24"/>
          <w:u w:val="thick" w:color="FF0000"/>
        </w:rPr>
        <w:t>1.所有项目产品免费质保期为验收合格之日起计为2年质保（即24个月）。</w:t>
      </w:r>
    </w:p>
    <w:p>
      <w:pPr>
        <w:spacing w:line="420" w:lineRule="exact"/>
        <w:ind w:firstLine="480" w:firstLineChars="200"/>
        <w:rPr>
          <w:rFonts w:hint="eastAsia" w:ascii="黑体" w:hAnsi="黑体" w:eastAsia="黑体" w:cs="黑体"/>
          <w:b w:val="0"/>
          <w:bCs/>
          <w:sz w:val="24"/>
          <w:szCs w:val="24"/>
          <w:u w:val="thick" w:color="FF0000"/>
        </w:rPr>
      </w:pPr>
      <w:r>
        <w:rPr>
          <w:rFonts w:hint="eastAsia" w:ascii="黑体" w:hAnsi="黑体" w:eastAsia="黑体" w:cs="黑体"/>
          <w:b w:val="0"/>
          <w:bCs/>
          <w:sz w:val="24"/>
          <w:szCs w:val="24"/>
          <w:u w:val="thick" w:color="FF0000"/>
        </w:rPr>
        <w:t>2.所有产品终身保修，质保期内包括非人为因素发生的设备修理、更换的费用。同时，成交人对所供设备负有全面维护的责任，以保证设备产品连续、有效的正常运行。</w:t>
      </w:r>
    </w:p>
    <w:p>
      <w:pPr>
        <w:snapToGrid w:val="0"/>
        <w:spacing w:line="420" w:lineRule="exact"/>
        <w:ind w:firstLine="496" w:firstLineChars="206"/>
        <w:outlineLvl w:val="1"/>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十一、售后服务</w:t>
      </w:r>
    </w:p>
    <w:p>
      <w:pPr>
        <w:spacing w:line="420" w:lineRule="exact"/>
        <w:ind w:firstLine="480" w:firstLineChars="200"/>
        <w:rPr>
          <w:rFonts w:hint="eastAsia" w:ascii="仿宋_GB2312" w:hAnsi="仿宋_GB2312" w:eastAsia="仿宋_GB2312" w:cs="仿宋_GB2312"/>
          <w:sz w:val="24"/>
          <w:szCs w:val="24"/>
        </w:rPr>
      </w:pPr>
      <w:r>
        <w:rPr>
          <w:rFonts w:hint="eastAsia" w:ascii="黑体" w:hAnsi="黑体" w:eastAsia="黑体" w:cs="黑体"/>
          <w:b w:val="0"/>
          <w:bCs/>
          <w:sz w:val="24"/>
          <w:szCs w:val="24"/>
          <w:u w:val="none" w:color="auto"/>
        </w:rPr>
        <w:t>1.</w:t>
      </w:r>
      <w:r>
        <w:rPr>
          <w:rFonts w:hint="eastAsia" w:ascii="黑体" w:hAnsi="黑体" w:eastAsia="黑体" w:cs="黑体"/>
          <w:b w:val="0"/>
          <w:bCs/>
          <w:sz w:val="24"/>
          <w:szCs w:val="24"/>
          <w:u w:val="thick" w:color="FF0000"/>
        </w:rPr>
        <w:t>本项目须提供本地化维护服务，</w:t>
      </w:r>
      <w:r>
        <w:rPr>
          <w:rFonts w:hint="eastAsia" w:ascii="仿宋_GB2312" w:hAnsi="仿宋_GB2312" w:eastAsia="仿宋_GB2312" w:cs="仿宋_GB2312"/>
          <w:sz w:val="24"/>
          <w:szCs w:val="24"/>
        </w:rPr>
        <w:t>为此投标响应供应商应提供详细的售后服务方案，包含但不限于提供本地化维护服务的承诺函。</w:t>
      </w:r>
    </w:p>
    <w:p>
      <w:pPr>
        <w:spacing w:line="420" w:lineRule="exact"/>
        <w:ind w:firstLine="480" w:firstLineChars="200"/>
        <w:rPr>
          <w:rFonts w:hint="eastAsia" w:ascii="仿宋_GB2312" w:hAnsi="仿宋_GB2312" w:eastAsia="仿宋_GB2312" w:cs="仿宋_GB2312"/>
          <w:sz w:val="24"/>
          <w:szCs w:val="24"/>
          <w:u w:val="thick" w:color="FF0000"/>
        </w:rPr>
      </w:pPr>
      <w:r>
        <w:rPr>
          <w:rFonts w:hint="eastAsia" w:ascii="仿宋_GB2312" w:hAnsi="仿宋_GB2312" w:eastAsia="仿宋_GB2312" w:cs="仿宋_GB2312"/>
          <w:sz w:val="24"/>
          <w:szCs w:val="24"/>
        </w:rPr>
        <w:t>（1）针对本地化服务，承诺一旦中标：</w:t>
      </w:r>
    </w:p>
    <w:p>
      <w:pPr>
        <w:spacing w:line="420" w:lineRule="exact"/>
        <w:ind w:firstLine="480" w:firstLineChars="200"/>
        <w:rPr>
          <w:rFonts w:hint="eastAsia" w:ascii="仿宋_GB2312" w:hAnsi="仿宋_GB2312" w:eastAsia="仿宋_GB2312" w:cs="仿宋_GB2312"/>
          <w:b w:val="0"/>
          <w:bCs/>
          <w:sz w:val="24"/>
          <w:szCs w:val="24"/>
        </w:rPr>
      </w:pPr>
      <w:r>
        <w:rPr>
          <w:rFonts w:hint="eastAsia" w:ascii="黑体" w:hAnsi="黑体" w:eastAsia="黑体" w:cs="黑体"/>
          <w:b w:val="0"/>
          <w:bCs/>
          <w:sz w:val="24"/>
          <w:szCs w:val="24"/>
          <w:u w:val="thick" w:color="FF0000"/>
        </w:rPr>
        <w:t>提供在南通市范围内有分支机构或代维公司的相关材料供采购单位核实，若不能提供有效的材料则视为供应商自动放弃成交资格并承担所有的违约处理，如投标保证金不予退还及该行为被视作失信行为。分支机构以营业执照（副本）为准，提供原件及其复印件加盖公章；代维公司以报价人与其签订的合作代维协议、代维公司有效的营业执照这2项材料为准；提供相应材料原件及其复印件并加盖公章。</w:t>
      </w:r>
    </w:p>
    <w:p>
      <w:pPr>
        <w:spacing w:line="42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2.供应商承诺</w:t>
      </w:r>
      <w:r>
        <w:rPr>
          <w:rFonts w:hint="eastAsia" w:ascii="仿宋_GB2312" w:hAnsi="仿宋_GB2312" w:eastAsia="仿宋_GB2312" w:cs="仿宋_GB2312"/>
          <w:bCs/>
          <w:sz w:val="24"/>
          <w:szCs w:val="24"/>
        </w:rPr>
        <w:t>无论对其投标产品的售后服务维护有无委托均不能免除其对竞标项目涉及到的产品所作出的售后服务承诺的一切责任。</w:t>
      </w:r>
    </w:p>
    <w:p>
      <w:pPr>
        <w:spacing w:line="42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3.供应商负责安装、调试、配合采购人进行验收，并承担因此发生的一切费用。</w:t>
      </w:r>
    </w:p>
    <w:p>
      <w:pPr>
        <w:spacing w:line="42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4.交货时提供免费的操作培训</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质保内免费提供设备的维修维护，包括非人为因素发生的设备修理、更换的费用。过质保期后应提供上门维修，维修费用只收取零部件成本费。</w:t>
      </w:r>
    </w:p>
    <w:p>
      <w:pPr>
        <w:spacing w:line="42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5.供应商须提供产品出现故障后的维修服务：在接到采购方维修联系通知后1小时内至现场，一般问题4小时内解决，最长不超过12小时解决问题。</w:t>
      </w:r>
    </w:p>
    <w:p>
      <w:pPr>
        <w:tabs>
          <w:tab w:val="left" w:pos="1050"/>
          <w:tab w:val="right" w:leader="dot" w:pos="9402"/>
        </w:tabs>
        <w:spacing w:beforeLines="100" w:line="360" w:lineRule="exact"/>
        <w:outlineLvl w:val="0"/>
        <w:rPr>
          <w:rFonts w:hint="eastAsia" w:ascii="仿宋_GB2312" w:hAnsi="仿宋_GB2312" w:eastAsia="仿宋_GB2312" w:cs="仿宋_GB2312"/>
          <w:sz w:val="24"/>
          <w:szCs w:val="24"/>
        </w:rPr>
      </w:pPr>
    </w:p>
    <w:p>
      <w:pPr>
        <w:tabs>
          <w:tab w:val="left" w:pos="1050"/>
          <w:tab w:val="right" w:leader="dot" w:pos="9402"/>
        </w:tabs>
        <w:spacing w:beforeLines="100" w:line="400" w:lineRule="exact"/>
        <w:outlineLvl w:val="0"/>
        <w:rPr>
          <w:rFonts w:hint="eastAsia" w:ascii="仿宋_GB2312" w:hAnsi="仿宋_GB2312" w:eastAsia="仿宋_GB2312" w:cs="仿宋_GB2312"/>
          <w:bCs/>
          <w:sz w:val="28"/>
          <w:szCs w:val="28"/>
        </w:rPr>
      </w:pPr>
    </w:p>
    <w:p>
      <w:pPr>
        <w:tabs>
          <w:tab w:val="left" w:pos="1050"/>
          <w:tab w:val="right" w:leader="dot" w:pos="9402"/>
        </w:tabs>
        <w:spacing w:beforeLines="100" w:line="400" w:lineRule="exact"/>
        <w:outlineLvl w:val="0"/>
        <w:rPr>
          <w:rFonts w:hint="eastAsia" w:ascii="仿宋_GB2312" w:hAnsi="仿宋_GB2312" w:eastAsia="仿宋_GB2312" w:cs="仿宋_GB2312"/>
          <w:bCs/>
          <w:sz w:val="28"/>
          <w:szCs w:val="28"/>
        </w:rPr>
      </w:pPr>
    </w:p>
    <w:p>
      <w:pPr>
        <w:tabs>
          <w:tab w:val="left" w:pos="1050"/>
          <w:tab w:val="right" w:leader="dot" w:pos="9402"/>
        </w:tabs>
        <w:spacing w:beforeLines="100" w:line="400" w:lineRule="exact"/>
        <w:outlineLvl w:val="0"/>
        <w:rPr>
          <w:rFonts w:hint="eastAsia" w:ascii="仿宋_GB2312" w:hAnsi="仿宋_GB2312" w:eastAsia="仿宋_GB2312" w:cs="仿宋_GB2312"/>
          <w:bCs/>
          <w:sz w:val="28"/>
          <w:szCs w:val="28"/>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r>
        <w:rPr>
          <w:rFonts w:hint="eastAsia" w:ascii="仿宋_GB2312" w:hAnsi="仿宋_GB2312" w:eastAsia="仿宋_GB2312" w:cs="仿宋_GB2312"/>
          <w:b/>
          <w:w w:val="80"/>
          <w:sz w:val="32"/>
          <w:szCs w:val="32"/>
        </w:rPr>
        <w:br w:type="page"/>
      </w: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r>
        <w:rPr>
          <w:rFonts w:hint="eastAsia" w:ascii="仿宋_GB2312" w:hAnsi="仿宋_GB2312" w:eastAsia="仿宋_GB2312" w:cs="仿宋_GB2312"/>
          <w:b/>
          <w:w w:val="80"/>
          <w:sz w:val="32"/>
          <w:szCs w:val="32"/>
        </w:rPr>
        <w:t>第三章</w:t>
      </w:r>
      <w:bookmarkStart w:id="5" w:name="_Toc182848996"/>
      <w:r>
        <w:rPr>
          <w:rFonts w:hint="eastAsia" w:ascii="仿宋_GB2312" w:hAnsi="仿宋_GB2312" w:eastAsia="仿宋_GB2312" w:cs="仿宋_GB2312"/>
          <w:b/>
          <w:w w:val="80"/>
          <w:sz w:val="32"/>
          <w:szCs w:val="32"/>
        </w:rPr>
        <w:t>评标方法和程序</w:t>
      </w:r>
    </w:p>
    <w:bookmarkEnd w:id="5"/>
    <w:p>
      <w:pPr>
        <w:adjustRightInd w:val="0"/>
        <w:snapToGrid w:val="0"/>
        <w:spacing w:line="360" w:lineRule="exact"/>
        <w:ind w:left="416" w:leftChars="160"/>
        <w:outlineLvl w:val="2"/>
        <w:rPr>
          <w:rFonts w:hint="eastAsia" w:ascii="仿宋_GB2312" w:hAnsi="仿宋_GB2312" w:eastAsia="仿宋_GB2312" w:cs="仿宋_GB2312"/>
          <w:bCs/>
          <w:sz w:val="24"/>
          <w:szCs w:val="24"/>
        </w:rPr>
      </w:pPr>
      <w:r>
        <w:rPr>
          <w:rFonts w:hint="eastAsia" w:ascii="仿宋_GB2312" w:hAnsi="仿宋_GB2312" w:eastAsia="仿宋_GB2312" w:cs="仿宋_GB2312"/>
          <w:b/>
          <w:sz w:val="24"/>
          <w:szCs w:val="24"/>
        </w:rPr>
        <w:t>一、评标程序</w:t>
      </w:r>
      <w:r>
        <w:rPr>
          <w:rFonts w:hint="eastAsia" w:ascii="仿宋_GB2312" w:hAnsi="仿宋_GB2312" w:eastAsia="仿宋_GB2312" w:cs="仿宋_GB2312"/>
          <w:bCs/>
          <w:sz w:val="24"/>
          <w:szCs w:val="24"/>
        </w:rPr>
        <w:br w:type="textWrapping"/>
      </w:r>
      <w:r>
        <w:rPr>
          <w:rFonts w:hint="eastAsia" w:ascii="仿宋_GB2312" w:hAnsi="仿宋_GB2312" w:eastAsia="仿宋_GB2312" w:cs="仿宋_GB2312"/>
          <w:bCs/>
          <w:sz w:val="24"/>
          <w:szCs w:val="24"/>
        </w:rPr>
        <w:t>1、成立评标小组。由采购人代表和有关专家依法组成。</w:t>
      </w:r>
      <w:r>
        <w:rPr>
          <w:rFonts w:hint="eastAsia" w:ascii="仿宋_GB2312" w:hAnsi="仿宋_GB2312" w:eastAsia="仿宋_GB2312" w:cs="仿宋_GB2312"/>
          <w:bCs/>
          <w:sz w:val="24"/>
          <w:szCs w:val="24"/>
        </w:rPr>
        <w:br w:type="textWrapping"/>
      </w:r>
      <w:r>
        <w:rPr>
          <w:rFonts w:hint="eastAsia" w:ascii="仿宋_GB2312" w:hAnsi="仿宋_GB2312" w:eastAsia="仿宋_GB2312" w:cs="仿宋_GB2312"/>
          <w:bCs/>
          <w:sz w:val="24"/>
          <w:szCs w:val="24"/>
        </w:rPr>
        <w:t>2、投标人的法定代表人或授权人须持身份证准时参加开标会。</w:t>
      </w:r>
    </w:p>
    <w:p>
      <w:pPr>
        <w:adjustRightInd w:val="0"/>
        <w:snapToGrid w:val="0"/>
        <w:spacing w:line="360" w:lineRule="exact"/>
        <w:ind w:firstLine="482" w:firstLineChars="200"/>
        <w:outlineLvl w:val="2"/>
        <w:rPr>
          <w:rFonts w:hint="eastAsia" w:ascii="仿宋_GB2312" w:hAnsi="仿宋_GB2312" w:eastAsia="仿宋_GB2312" w:cs="仿宋_GB2312"/>
          <w:bCs/>
          <w:sz w:val="24"/>
          <w:szCs w:val="24"/>
        </w:rPr>
      </w:pPr>
      <w:r>
        <w:rPr>
          <w:rFonts w:hint="eastAsia" w:ascii="仿宋_GB2312" w:hAnsi="仿宋_GB2312" w:eastAsia="仿宋_GB2312" w:cs="仿宋_GB2312"/>
          <w:b/>
          <w:sz w:val="24"/>
          <w:szCs w:val="24"/>
        </w:rPr>
        <w:t>二、评标方法</w:t>
      </w:r>
      <w:r>
        <w:rPr>
          <w:rFonts w:hint="eastAsia" w:ascii="仿宋_GB2312" w:hAnsi="仿宋_GB2312" w:eastAsia="仿宋_GB2312" w:cs="仿宋_GB2312"/>
          <w:bCs/>
          <w:sz w:val="24"/>
          <w:szCs w:val="24"/>
        </w:rPr>
        <w:br w:type="textWrapping"/>
      </w:r>
      <w:r>
        <w:rPr>
          <w:rFonts w:hint="eastAsia" w:ascii="仿宋_GB2312" w:hAnsi="仿宋_GB2312" w:eastAsia="仿宋_GB2312" w:cs="仿宋_GB2312"/>
          <w:bCs/>
          <w:sz w:val="24"/>
          <w:szCs w:val="24"/>
        </w:rPr>
        <w:t xml:space="preserve">    评审原则：本项目采用价格单因素评标法，对入围的通过技术评审的投标人，确定商务报价最低的投标人为中标候选人。出现报价相同时（两名或多名中标候选人），则由中标候选人（两名或多名）采用现场抽签方式确定一名中标候选人。</w:t>
      </w:r>
    </w:p>
    <w:p>
      <w:pPr>
        <w:adjustRightInd w:val="0"/>
        <w:snapToGrid w:val="0"/>
        <w:spacing w:line="360" w:lineRule="exact"/>
        <w:ind w:firstLine="480" w:firstLineChars="200"/>
        <w:outlineLvl w:val="2"/>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评审方法：技术通过后最低价中标。</w:t>
      </w:r>
    </w:p>
    <w:p>
      <w:pPr>
        <w:numPr>
          <w:ilvl w:val="0"/>
          <w:numId w:val="4"/>
        </w:numPr>
        <w:adjustRightInd w:val="0"/>
        <w:snapToGrid w:val="0"/>
        <w:spacing w:line="360" w:lineRule="exact"/>
        <w:ind w:firstLine="480" w:firstLineChars="200"/>
        <w:outlineLvl w:val="2"/>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入围办法</w:t>
      </w:r>
      <w:r>
        <w:rPr>
          <w:rFonts w:hint="eastAsia" w:ascii="仿宋_GB2312" w:hAnsi="仿宋_GB2312" w:eastAsia="仿宋_GB2312" w:cs="仿宋_GB2312"/>
          <w:bCs/>
          <w:sz w:val="24"/>
          <w:szCs w:val="24"/>
        </w:rPr>
        <w:br w:type="textWrapping"/>
      </w:r>
      <w:r>
        <w:rPr>
          <w:rFonts w:hint="eastAsia" w:ascii="仿宋_GB2312" w:hAnsi="仿宋_GB2312" w:eastAsia="仿宋_GB2312" w:cs="仿宋_GB2312"/>
          <w:bCs/>
          <w:sz w:val="24"/>
          <w:szCs w:val="24"/>
        </w:rPr>
        <w:t xml:space="preserve">    资格审查合格后，由专家组对供应商提供的技术标文件进行评选，确定各投标人是否通过技术评审。</w:t>
      </w:r>
      <w:r>
        <w:rPr>
          <w:rFonts w:hint="eastAsia" w:ascii="仿宋_GB2312" w:hAnsi="仿宋_GB2312" w:eastAsia="仿宋_GB2312" w:cs="仿宋_GB2312"/>
          <w:bCs/>
          <w:sz w:val="24"/>
          <w:szCs w:val="24"/>
        </w:rPr>
        <w:br w:type="textWrapping"/>
      </w:r>
      <w:r>
        <w:rPr>
          <w:rFonts w:hint="eastAsia" w:ascii="仿宋_GB2312" w:hAnsi="仿宋_GB2312" w:eastAsia="仿宋_GB2312" w:cs="仿宋_GB2312"/>
          <w:bCs/>
          <w:sz w:val="24"/>
          <w:szCs w:val="24"/>
        </w:rPr>
        <w:t xml:space="preserve">   （二）确定成交供应商</w:t>
      </w:r>
      <w:r>
        <w:rPr>
          <w:rFonts w:hint="eastAsia" w:ascii="仿宋_GB2312" w:hAnsi="仿宋_GB2312" w:eastAsia="仿宋_GB2312" w:cs="仿宋_GB2312"/>
          <w:bCs/>
          <w:sz w:val="24"/>
          <w:szCs w:val="24"/>
        </w:rPr>
        <w:br w:type="textWrapping"/>
      </w:r>
      <w:r>
        <w:rPr>
          <w:rFonts w:hint="eastAsia" w:ascii="仿宋_GB2312" w:hAnsi="仿宋_GB2312" w:eastAsia="仿宋_GB2312" w:cs="仿宋_GB2312"/>
          <w:bCs/>
          <w:sz w:val="24"/>
          <w:szCs w:val="24"/>
        </w:rPr>
        <w:t xml:space="preserve">    投标人技术评审通过后，再开启其商务报价文件，商务报价最低的投标人确定为最终中标人。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textAlignment w:val="auto"/>
        <w:outlineLvl w:val="2"/>
        <w:rPr>
          <w:rFonts w:hint="eastAsia" w:ascii="仿宋_GB2312" w:hAnsi="仿宋_GB2312" w:eastAsia="仿宋_GB2312" w:cs="仿宋_GB2312"/>
          <w:bCs/>
          <w:sz w:val="24"/>
          <w:szCs w:val="24"/>
        </w:rPr>
      </w:pPr>
      <w:r>
        <w:rPr>
          <w:rFonts w:hint="eastAsia" w:eastAsia="仿宋_GB2312"/>
          <w:sz w:val="24"/>
          <w:szCs w:val="24"/>
          <w:lang w:eastAsia="zh-CN"/>
        </w:rPr>
        <w:t>（三）</w:t>
      </w:r>
      <w:r>
        <w:rPr>
          <w:rFonts w:hint="eastAsia" w:eastAsia="仿宋_GB2312"/>
          <w:sz w:val="24"/>
          <w:szCs w:val="24"/>
        </w:rPr>
        <w:t>本次项目最高限价</w:t>
      </w:r>
      <w:r>
        <w:rPr>
          <w:rFonts w:hint="eastAsia" w:eastAsia="仿宋_GB2312"/>
          <w:b/>
          <w:sz w:val="24"/>
          <w:szCs w:val="24"/>
          <w:lang w:val="en-US" w:eastAsia="zh-CN"/>
        </w:rPr>
        <w:t>4.4</w:t>
      </w:r>
      <w:r>
        <w:rPr>
          <w:rFonts w:hint="eastAsia" w:eastAsia="仿宋_GB2312"/>
          <w:sz w:val="24"/>
          <w:szCs w:val="24"/>
        </w:rPr>
        <w:t>万元，</w:t>
      </w:r>
      <w:r>
        <w:rPr>
          <w:rFonts w:hint="eastAsia" w:ascii="黑体" w:hAnsi="黑体" w:eastAsia="黑体"/>
          <w:sz w:val="24"/>
          <w:szCs w:val="24"/>
          <w:u w:val="thick" w:color="FF0000"/>
        </w:rPr>
        <w:t>超出各项限价均作无效询价响应处理。</w:t>
      </w:r>
    </w:p>
    <w:p>
      <w:pPr>
        <w:adjustRightInd w:val="0"/>
        <w:snapToGrid w:val="0"/>
        <w:spacing w:line="360" w:lineRule="exact"/>
        <w:ind w:firstLine="482" w:firstLineChars="200"/>
        <w:outlineLvl w:val="2"/>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三、评审程序</w:t>
      </w:r>
      <w:r>
        <w:rPr>
          <w:rFonts w:hint="eastAsia" w:ascii="仿宋_GB2312" w:hAnsi="仿宋_GB2312" w:eastAsia="仿宋_GB2312" w:cs="仿宋_GB2312"/>
          <w:bCs/>
          <w:sz w:val="24"/>
          <w:szCs w:val="24"/>
        </w:rPr>
        <w:br w:type="textWrapping"/>
      </w:r>
      <w:r>
        <w:rPr>
          <w:rFonts w:hint="eastAsia" w:ascii="仿宋_GB2312" w:hAnsi="仿宋_GB2312" w:eastAsia="仿宋_GB2312" w:cs="仿宋_GB2312"/>
          <w:bCs/>
          <w:sz w:val="24"/>
          <w:szCs w:val="24"/>
        </w:rPr>
        <w:t xml:space="preserve">    1、评标小组依据投标文件的规定和要求，对投标人提供的资格证明材料是否齐全、是否满足投标文件的要求进行资格审查，合格的进入技术标评审。</w:t>
      </w:r>
      <w:r>
        <w:rPr>
          <w:rFonts w:hint="eastAsia" w:ascii="仿宋_GB2312" w:hAnsi="仿宋_GB2312" w:eastAsia="仿宋_GB2312" w:cs="仿宋_GB2312"/>
          <w:bCs/>
          <w:sz w:val="24"/>
          <w:szCs w:val="24"/>
        </w:rPr>
        <w:br w:type="textWrapping"/>
      </w:r>
      <w:r>
        <w:rPr>
          <w:rFonts w:hint="eastAsia" w:ascii="仿宋_GB2312" w:hAnsi="仿宋_GB2312" w:eastAsia="仿宋_GB2312" w:cs="仿宋_GB2312"/>
          <w:bCs/>
          <w:sz w:val="24"/>
          <w:szCs w:val="24"/>
        </w:rPr>
        <w:t xml:space="preserve">    2、评标小组对通过资格审查的投标人的技术标文件进行评审。重点评审技术标文件的有效性、完整性和实质性响应程度等。</w:t>
      </w:r>
      <w:r>
        <w:rPr>
          <w:rFonts w:hint="eastAsia" w:ascii="仿宋_GB2312" w:hAnsi="仿宋_GB2312" w:eastAsia="仿宋_GB2312" w:cs="仿宋_GB2312"/>
          <w:bCs/>
          <w:sz w:val="24"/>
          <w:szCs w:val="24"/>
        </w:rPr>
        <w:br w:type="textWrapping"/>
      </w:r>
      <w:r>
        <w:rPr>
          <w:rFonts w:hint="eastAsia" w:ascii="仿宋_GB2312" w:hAnsi="仿宋_GB2312" w:eastAsia="仿宋_GB2312" w:cs="仿宋_GB2312"/>
          <w:bCs/>
          <w:sz w:val="24"/>
          <w:szCs w:val="24"/>
        </w:rPr>
        <w:t xml:space="preserve">    3、评标小组如遇投标文件中含义不明确、同类问题表述不一致或者有明显文字和计算错误的内容，可向投标人质询。投标人的澄清、说明或者补正应当采用书面形式，由其授权的代表签字。但不得超出招标文件的范围或者改变其实质性内容。</w:t>
      </w:r>
      <w:r>
        <w:rPr>
          <w:rFonts w:hint="eastAsia" w:ascii="仿宋_GB2312" w:hAnsi="仿宋_GB2312" w:eastAsia="仿宋_GB2312" w:cs="仿宋_GB2312"/>
          <w:bCs/>
          <w:sz w:val="24"/>
          <w:szCs w:val="24"/>
        </w:rPr>
        <w:br w:type="textWrapping"/>
      </w:r>
      <w:r>
        <w:rPr>
          <w:rFonts w:hint="eastAsia" w:ascii="仿宋_GB2312" w:hAnsi="仿宋_GB2312" w:eastAsia="仿宋_GB2312" w:cs="仿宋_GB2312"/>
          <w:bCs/>
          <w:sz w:val="24"/>
          <w:szCs w:val="24"/>
        </w:rPr>
        <w:t xml:space="preserve">    4、在投标中，任何一方不得透露与评标有关的其他投标人的技术资料、报价和其他信息。招标文件有实质性变动的，评标小组应以书面形式通知所有投标人。</w:t>
      </w:r>
      <w:r>
        <w:rPr>
          <w:rFonts w:hint="eastAsia" w:ascii="仿宋_GB2312" w:hAnsi="仿宋_GB2312" w:eastAsia="仿宋_GB2312" w:cs="仿宋_GB2312"/>
          <w:bCs/>
          <w:sz w:val="24"/>
          <w:szCs w:val="24"/>
        </w:rPr>
        <w:br w:type="textWrapping"/>
      </w:r>
      <w:r>
        <w:rPr>
          <w:rFonts w:hint="eastAsia" w:ascii="仿宋_GB2312" w:hAnsi="仿宋_GB2312" w:eastAsia="仿宋_GB2312" w:cs="仿宋_GB2312"/>
          <w:bCs/>
          <w:sz w:val="24"/>
          <w:szCs w:val="24"/>
        </w:rPr>
        <w:t xml:space="preserve">    5、评标小组按招标文件规定的评标方法和标准，对资格性检查和符合性检查合格的投标人的投标文件进行评审，确定其是否通过各项审查。</w:t>
      </w:r>
      <w:r>
        <w:rPr>
          <w:rFonts w:hint="eastAsia" w:ascii="仿宋_GB2312" w:hAnsi="仿宋_GB2312" w:eastAsia="仿宋_GB2312" w:cs="仿宋_GB2312"/>
          <w:bCs/>
          <w:sz w:val="24"/>
          <w:szCs w:val="24"/>
        </w:rPr>
        <w:br w:type="textWrapping"/>
      </w:r>
      <w:r>
        <w:rPr>
          <w:rFonts w:hint="eastAsia" w:ascii="仿宋_GB2312" w:hAnsi="仿宋_GB2312" w:eastAsia="仿宋_GB2312" w:cs="仿宋_GB2312"/>
          <w:bCs/>
          <w:sz w:val="24"/>
          <w:szCs w:val="24"/>
        </w:rPr>
        <w:t xml:space="preserve">    6、评标小组依据投标人的商务报价，确定中标人，并将结果通知所有投标人。</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b/>
          <w:sz w:val="24"/>
          <w:szCs w:val="24"/>
        </w:rPr>
        <w:t>四、出现下列情形之一的，作无效投标处理</w:t>
      </w:r>
    </w:p>
    <w:p>
      <w:pPr>
        <w:spacing w:line="36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1、未按时交纳投标保证金或金额不足的；</w:t>
      </w:r>
    </w:p>
    <w:p>
      <w:pPr>
        <w:spacing w:line="36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2、投标文件未按规定要求装订、密封、签署、盖章及资料不齐全的；</w:t>
      </w:r>
    </w:p>
    <w:p>
      <w:pPr>
        <w:spacing w:line="36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3、投标文件的资料有虚报或者谎报的；</w:t>
      </w:r>
    </w:p>
    <w:p>
      <w:pPr>
        <w:spacing w:line="36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4、投标文件技术部分出现投标报价的内容；</w:t>
      </w:r>
    </w:p>
    <w:p>
      <w:pPr>
        <w:spacing w:line="36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5、不具备询价采购文件规定的资格要求的；</w:t>
      </w:r>
    </w:p>
    <w:p>
      <w:pPr>
        <w:spacing w:line="36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6、投标文件有重大漏项或重大不合理的；</w:t>
      </w:r>
    </w:p>
    <w:p>
      <w:pPr>
        <w:spacing w:line="36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7、项目技术、方案不满足项目需求中的要求，有重大偏离或保留的；</w:t>
      </w:r>
    </w:p>
    <w:p>
      <w:pPr>
        <w:spacing w:line="36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8、投标报价超出项目预算的；</w:t>
      </w:r>
    </w:p>
    <w:p>
      <w:pPr>
        <w:spacing w:line="36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9、被认定为低于成本报价的；</w:t>
      </w:r>
    </w:p>
    <w:p>
      <w:pPr>
        <w:spacing w:line="36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10、不符合法律、法规和询价采购文件中规定的实质性响应要求的；</w:t>
      </w:r>
    </w:p>
    <w:p>
      <w:pPr>
        <w:spacing w:line="36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11、评标小组认定为其他情况可确定为无效投标的。</w:t>
      </w:r>
    </w:p>
    <w:p>
      <w:pPr>
        <w:snapToGrid w:val="0"/>
        <w:spacing w:line="360" w:lineRule="exact"/>
        <w:ind w:firstLine="487" w:firstLineChars="202"/>
        <w:outlineLvl w:val="1"/>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五、出现下列情形之一的，作废标处理</w:t>
      </w:r>
    </w:p>
    <w:p>
      <w:pPr>
        <w:spacing w:line="36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1、供应商的报价均超出了采购预算，采购人不能支付的；</w:t>
      </w:r>
    </w:p>
    <w:p>
      <w:pPr>
        <w:spacing w:line="36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2、出现影响采购公正的违法、违规行为的；</w:t>
      </w:r>
    </w:p>
    <w:p>
      <w:pPr>
        <w:spacing w:line="36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3、因重大变故，采购任务取消的；</w:t>
      </w:r>
    </w:p>
    <w:p>
      <w:pPr>
        <w:spacing w:line="36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4、评标小组可以认定为废标的其他情况。</w:t>
      </w:r>
    </w:p>
    <w:p>
      <w:pPr>
        <w:snapToGrid w:val="0"/>
        <w:spacing w:line="360" w:lineRule="exact"/>
        <w:ind w:firstLine="487" w:firstLineChars="202"/>
        <w:outlineLvl w:val="1"/>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六、中标通知</w:t>
      </w:r>
    </w:p>
    <w:p>
      <w:pPr>
        <w:spacing w:line="36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投标结束后，中标结果在指定媒体上公示。公示期满，如无异议的，招标人向中标供应商发出《中标通知书》。《中标通知书》一经发出，即具有法律效力。采购人成交供应商依法承担法律责任。</w:t>
      </w:r>
    </w:p>
    <w:p>
      <w:pPr>
        <w:spacing w:line="360" w:lineRule="exact"/>
        <w:ind w:firstLine="487" w:firstLineChars="202"/>
        <w:rPr>
          <w:rFonts w:hint="eastAsia" w:ascii="仿宋_GB2312" w:hAnsi="仿宋_GB2312" w:eastAsia="仿宋_GB2312" w:cs="仿宋_GB2312"/>
          <w:b/>
          <w:kern w:val="0"/>
          <w:sz w:val="24"/>
          <w:szCs w:val="24"/>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ind w:firstLine="426" w:firstLineChars="202"/>
        <w:rPr>
          <w:rFonts w:hint="eastAsia" w:ascii="仿宋_GB2312" w:hAnsi="仿宋_GB2312" w:eastAsia="仿宋_GB2312" w:cs="仿宋_GB2312"/>
          <w:b/>
          <w:kern w:val="0"/>
          <w:sz w:val="21"/>
          <w:szCs w:val="21"/>
        </w:rPr>
      </w:pPr>
    </w:p>
    <w:p>
      <w:pPr>
        <w:spacing w:line="360" w:lineRule="exact"/>
        <w:rPr>
          <w:rFonts w:hint="eastAsia" w:ascii="仿宋_GB2312" w:hAnsi="仿宋_GB2312" w:eastAsia="仿宋_GB2312" w:cs="仿宋_GB2312"/>
          <w:b/>
          <w:kern w:val="0"/>
          <w:sz w:val="21"/>
          <w:szCs w:val="21"/>
        </w:rPr>
      </w:pPr>
    </w:p>
    <w:p>
      <w:pPr>
        <w:spacing w:line="360" w:lineRule="exact"/>
        <w:rPr>
          <w:rFonts w:hint="eastAsia" w:ascii="仿宋_GB2312" w:hAnsi="仿宋_GB2312" w:eastAsia="仿宋_GB2312" w:cs="仿宋_GB2312"/>
          <w:b/>
          <w:kern w:val="0"/>
          <w:sz w:val="21"/>
          <w:szCs w:val="21"/>
        </w:rPr>
      </w:pPr>
    </w:p>
    <w:p>
      <w:pPr>
        <w:spacing w:line="360" w:lineRule="exact"/>
        <w:rPr>
          <w:rFonts w:hint="eastAsia" w:ascii="仿宋_GB2312" w:hAnsi="仿宋_GB2312" w:eastAsia="仿宋_GB2312" w:cs="仿宋_GB2312"/>
          <w:b/>
          <w:kern w:val="0"/>
          <w:sz w:val="21"/>
          <w:szCs w:val="21"/>
        </w:rPr>
      </w:pPr>
    </w:p>
    <w:bookmarkEnd w:id="2"/>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bookmarkStart w:id="6" w:name="_Toc363573857"/>
      <w:r>
        <w:rPr>
          <w:rFonts w:hint="eastAsia" w:ascii="仿宋_GB2312" w:hAnsi="仿宋_GB2312" w:eastAsia="仿宋_GB2312" w:cs="仿宋_GB2312"/>
          <w:b/>
          <w:w w:val="80"/>
          <w:sz w:val="32"/>
          <w:szCs w:val="32"/>
        </w:rPr>
        <w:t>第四章合同授予</w:t>
      </w:r>
      <w:bookmarkEnd w:id="6"/>
    </w:p>
    <w:p>
      <w:pPr>
        <w:spacing w:line="360" w:lineRule="exact"/>
        <w:ind w:firstLine="484" w:firstLineChars="202"/>
        <w:rPr>
          <w:rFonts w:hint="eastAsia" w:ascii="仿宋_GB2312" w:hAnsi="仿宋_GB2312" w:eastAsia="仿宋_GB2312" w:cs="仿宋_GB2312"/>
          <w:kern w:val="0"/>
          <w:sz w:val="24"/>
          <w:szCs w:val="24"/>
        </w:rPr>
      </w:pPr>
      <w:bookmarkStart w:id="7" w:name="_Toc94585343"/>
      <w:bookmarkStart w:id="8" w:name="_Toc363573858"/>
      <w:r>
        <w:rPr>
          <w:rFonts w:hint="eastAsia" w:ascii="仿宋_GB2312" w:hAnsi="仿宋_GB2312" w:eastAsia="仿宋_GB2312" w:cs="仿宋_GB2312"/>
          <w:kern w:val="0"/>
          <w:sz w:val="24"/>
          <w:szCs w:val="24"/>
        </w:rPr>
        <w:t>1、中标人在接到代理机构发出送达的《中标通知书》后3日内与采购人签订采购合同（</w:t>
      </w:r>
      <w:r>
        <w:rPr>
          <w:rFonts w:hint="eastAsia" w:ascii="仿宋_GB2312" w:hAnsi="仿宋_GB2312" w:eastAsia="仿宋_GB2312" w:cs="仿宋_GB2312"/>
          <w:b/>
          <w:kern w:val="0"/>
          <w:sz w:val="24"/>
          <w:szCs w:val="24"/>
        </w:rPr>
        <w:t>一式陆份，采购人、中标人各执三份。</w:t>
      </w:r>
      <w:r>
        <w:rPr>
          <w:rFonts w:hint="eastAsia" w:ascii="仿宋_GB2312" w:hAnsi="仿宋_GB2312" w:eastAsia="仿宋_GB2312" w:cs="仿宋_GB2312"/>
          <w:kern w:val="0"/>
          <w:sz w:val="24"/>
          <w:szCs w:val="24"/>
        </w:rPr>
        <w:t>），所签合同不得对</w:t>
      </w:r>
      <w:r>
        <w:rPr>
          <w:rFonts w:hint="eastAsia" w:ascii="仿宋_GB2312" w:hAnsi="仿宋_GB2312" w:eastAsia="仿宋_GB2312" w:cs="仿宋_GB2312"/>
          <w:sz w:val="24"/>
          <w:szCs w:val="24"/>
        </w:rPr>
        <w:t>询价采购</w:t>
      </w:r>
      <w:r>
        <w:rPr>
          <w:rFonts w:hint="eastAsia" w:ascii="仿宋_GB2312" w:hAnsi="仿宋_GB2312" w:eastAsia="仿宋_GB2312" w:cs="仿宋_GB2312"/>
          <w:kern w:val="0"/>
          <w:sz w:val="24"/>
          <w:szCs w:val="24"/>
        </w:rPr>
        <w:t>文件作实质性修改，否则投标保证金将不予退还，由此给采购人造成损失的，中标人还应承担赔偿责任。采购人不得向中标人提出不合理的要求作为签订合同的条件，不得与中标人私下订立背离</w:t>
      </w:r>
      <w:r>
        <w:rPr>
          <w:rFonts w:hint="eastAsia" w:ascii="仿宋_GB2312" w:hAnsi="仿宋_GB2312" w:eastAsia="仿宋_GB2312" w:cs="仿宋_GB2312"/>
          <w:sz w:val="24"/>
          <w:szCs w:val="24"/>
        </w:rPr>
        <w:t>询价采购</w:t>
      </w:r>
      <w:r>
        <w:rPr>
          <w:rFonts w:hint="eastAsia" w:ascii="仿宋_GB2312" w:hAnsi="仿宋_GB2312" w:eastAsia="仿宋_GB2312" w:cs="仿宋_GB2312"/>
          <w:kern w:val="0"/>
          <w:sz w:val="24"/>
          <w:szCs w:val="24"/>
        </w:rPr>
        <w:t>文件实质性内容的协议。</w:t>
      </w:r>
    </w:p>
    <w:p>
      <w:pPr>
        <w:spacing w:line="360" w:lineRule="exact"/>
        <w:ind w:firstLine="484" w:firstLineChars="202"/>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sz w:val="24"/>
          <w:szCs w:val="24"/>
        </w:rPr>
        <w:t>询价采购</w:t>
      </w:r>
      <w:r>
        <w:rPr>
          <w:rFonts w:hint="eastAsia" w:ascii="仿宋_GB2312" w:hAnsi="仿宋_GB2312" w:eastAsia="仿宋_GB2312" w:cs="仿宋_GB2312"/>
          <w:kern w:val="0"/>
          <w:sz w:val="24"/>
          <w:szCs w:val="24"/>
        </w:rPr>
        <w:t>文件、中标人的投标文件及评审过程中有关书面澄清、承诺等均应作为合同附件，具有同等的法律效力。</w:t>
      </w:r>
    </w:p>
    <w:p>
      <w:pPr>
        <w:spacing w:line="360" w:lineRule="exact"/>
        <w:ind w:firstLine="484" w:firstLineChars="202"/>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3、中标人不得采用转包、分包的形式履行合同，否则，采购人有权终止合同，造成采购人损失的，中标人应承担相应赔偿责任。</w:t>
      </w: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r>
        <w:rPr>
          <w:rFonts w:hint="eastAsia" w:ascii="仿宋_GB2312" w:hAnsi="仿宋_GB2312" w:eastAsia="仿宋_GB2312" w:cs="仿宋_GB2312"/>
          <w:b/>
          <w:w w:val="80"/>
          <w:sz w:val="32"/>
          <w:szCs w:val="32"/>
        </w:rPr>
        <w:t>第五章</w:t>
      </w:r>
      <w:bookmarkEnd w:id="7"/>
      <w:r>
        <w:rPr>
          <w:rFonts w:hint="eastAsia" w:ascii="仿宋_GB2312" w:hAnsi="仿宋_GB2312" w:eastAsia="仿宋_GB2312" w:cs="仿宋_GB2312"/>
          <w:b/>
          <w:w w:val="80"/>
          <w:sz w:val="32"/>
          <w:szCs w:val="32"/>
        </w:rPr>
        <w:t>履约验收及付款</w:t>
      </w:r>
      <w:bookmarkEnd w:id="8"/>
    </w:p>
    <w:p>
      <w:pPr>
        <w:spacing w:line="360" w:lineRule="exact"/>
        <w:ind w:firstLine="484" w:firstLineChars="202"/>
        <w:rPr>
          <w:rFonts w:hint="eastAsia" w:ascii="仿宋_GB2312" w:hAnsi="仿宋_GB2312" w:eastAsia="仿宋_GB2312" w:cs="仿宋_GB2312"/>
          <w:kern w:val="0"/>
          <w:sz w:val="24"/>
          <w:szCs w:val="24"/>
        </w:rPr>
      </w:pPr>
      <w:bookmarkStart w:id="9" w:name="_Toc363573859"/>
      <w:r>
        <w:rPr>
          <w:rFonts w:hint="eastAsia" w:ascii="仿宋_GB2312" w:hAnsi="仿宋_GB2312" w:eastAsia="仿宋_GB2312" w:cs="仿宋_GB2312"/>
          <w:kern w:val="0"/>
          <w:sz w:val="24"/>
          <w:szCs w:val="24"/>
        </w:rPr>
        <w:t>一、采购人和中标人应相互配合，按采购合同约定积极组织本项目的实施，确保服务按时完成。</w:t>
      </w:r>
    </w:p>
    <w:p>
      <w:pPr>
        <w:spacing w:line="360" w:lineRule="exact"/>
        <w:ind w:firstLine="484" w:firstLineChars="202"/>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二、中标供应商履约到位后，中标人应以书面形式向采购单位提出验收申请。采购人接到申请后应及时组织验收。</w:t>
      </w:r>
    </w:p>
    <w:p>
      <w:pPr>
        <w:spacing w:line="360" w:lineRule="exact"/>
        <w:ind w:firstLine="484" w:firstLineChars="202"/>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采购人、中标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tabs>
          <w:tab w:val="left" w:pos="1050"/>
          <w:tab w:val="right" w:leader="dot" w:pos="9402"/>
        </w:tabs>
        <w:spacing w:beforeLines="100" w:line="400" w:lineRule="exact"/>
        <w:jc w:val="center"/>
        <w:outlineLvl w:val="0"/>
        <w:rPr>
          <w:rFonts w:hint="eastAsia" w:ascii="仿宋_GB2312" w:hAnsi="仿宋_GB2312" w:eastAsia="仿宋_GB2312" w:cs="仿宋_GB2312"/>
          <w:b/>
          <w:w w:val="80"/>
          <w:sz w:val="32"/>
          <w:szCs w:val="32"/>
        </w:rPr>
      </w:pPr>
    </w:p>
    <w:p>
      <w:pPr>
        <w:spacing w:line="360" w:lineRule="exact"/>
        <w:ind w:firstLine="520" w:firstLineChars="202"/>
        <w:jc w:val="center"/>
        <w:rPr>
          <w:rFonts w:hint="eastAsia" w:ascii="仿宋_GB2312" w:hAnsi="仿宋_GB2312" w:eastAsia="仿宋_GB2312" w:cs="仿宋_GB2312"/>
          <w:b/>
          <w:w w:val="80"/>
          <w:sz w:val="32"/>
          <w:szCs w:val="32"/>
        </w:rPr>
      </w:pPr>
      <w:r>
        <w:rPr>
          <w:rFonts w:hint="eastAsia" w:ascii="仿宋_GB2312" w:hAnsi="仿宋_GB2312" w:eastAsia="仿宋_GB2312" w:cs="仿宋_GB2312"/>
          <w:b/>
          <w:w w:val="80"/>
          <w:sz w:val="32"/>
          <w:szCs w:val="32"/>
        </w:rPr>
        <w:t>第六章</w:t>
      </w:r>
      <w:bookmarkEnd w:id="9"/>
      <w:bookmarkStart w:id="10" w:name="_Toc363573860"/>
      <w:bookmarkEnd w:id="10"/>
      <w:r>
        <w:rPr>
          <w:rFonts w:hint="eastAsia" w:ascii="仿宋_GB2312" w:hAnsi="仿宋_GB2312" w:eastAsia="仿宋_GB2312" w:cs="仿宋_GB2312"/>
          <w:b/>
          <w:w w:val="80"/>
          <w:sz w:val="32"/>
          <w:szCs w:val="32"/>
        </w:rPr>
        <w:t>投标文件相关格式</w:t>
      </w:r>
    </w:p>
    <w:p>
      <w:pPr>
        <w:adjustRightInd w:val="0"/>
        <w:snapToGrid w:val="0"/>
        <w:spacing w:line="360" w:lineRule="exact"/>
        <w:ind w:firstLine="487" w:firstLineChars="202"/>
        <w:jc w:val="left"/>
        <w:outlineLvl w:val="1"/>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一、投标文件</w:t>
      </w:r>
    </w:p>
    <w:p>
      <w:pPr>
        <w:adjustRightInd w:val="0"/>
        <w:snapToGrid w:val="0"/>
        <w:spacing w:line="360" w:lineRule="exact"/>
        <w:ind w:firstLine="484" w:firstLineChars="202"/>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1、资格审查资料原件包(单独密封)</w:t>
      </w:r>
    </w:p>
    <w:p>
      <w:pPr>
        <w:adjustRightInd w:val="0"/>
        <w:snapToGrid w:val="0"/>
        <w:spacing w:line="360" w:lineRule="exact"/>
        <w:ind w:firstLine="484" w:firstLineChars="202"/>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2、资格后审材料文件(单独密封)</w:t>
      </w:r>
    </w:p>
    <w:p>
      <w:pPr>
        <w:adjustRightInd w:val="0"/>
        <w:snapToGrid w:val="0"/>
        <w:spacing w:line="360" w:lineRule="exact"/>
        <w:ind w:firstLine="484" w:firstLineChars="202"/>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3、技术标文件(单独密封)</w:t>
      </w:r>
    </w:p>
    <w:p>
      <w:pPr>
        <w:spacing w:line="360" w:lineRule="exact"/>
        <w:ind w:firstLine="484" w:firstLineChars="202"/>
        <w:outlineLvl w:val="3"/>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4、商务标文件(单独密封)</w:t>
      </w:r>
    </w:p>
    <w:p>
      <w:pPr>
        <w:spacing w:line="360" w:lineRule="exact"/>
        <w:ind w:firstLine="360" w:firstLineChars="1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（1）投标报价总表；</w:t>
      </w:r>
    </w:p>
    <w:p>
      <w:pPr>
        <w:adjustRightInd w:val="0"/>
        <w:snapToGrid w:val="0"/>
        <w:spacing w:line="360" w:lineRule="exact"/>
        <w:ind w:firstLine="360" w:firstLineChars="150"/>
        <w:jc w:val="left"/>
        <w:rPr>
          <w:rFonts w:hint="eastAsia" w:ascii="仿宋_GB2312" w:hAnsi="仿宋_GB2312" w:eastAsia="仿宋_GB2312" w:cs="仿宋_GB2312"/>
          <w:bCs/>
          <w:color w:val="000000"/>
          <w:sz w:val="24"/>
          <w:szCs w:val="24"/>
        </w:rPr>
      </w:pPr>
      <w:r>
        <w:rPr>
          <w:rFonts w:hint="eastAsia" w:ascii="仿宋_GB2312" w:hAnsi="仿宋_GB2312" w:eastAsia="仿宋_GB2312" w:cs="仿宋_GB2312"/>
          <w:sz w:val="24"/>
          <w:szCs w:val="24"/>
        </w:rPr>
        <w:t>（2）投标报价明细表</w:t>
      </w: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p>
    <w:p>
      <w:pPr>
        <w:tabs>
          <w:tab w:val="left" w:pos="4230"/>
        </w:tabs>
        <w:adjustRightInd w:val="0"/>
        <w:snapToGrid w:val="0"/>
        <w:spacing w:line="360" w:lineRule="exact"/>
        <w:ind w:left="424" w:leftChars="163" w:firstLine="2"/>
        <w:jc w:val="left"/>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ab/>
      </w:r>
    </w:p>
    <w:p>
      <w:pPr>
        <w:adjustRightInd w:val="0"/>
        <w:snapToGrid w:val="0"/>
        <w:spacing w:line="360" w:lineRule="exact"/>
        <w:jc w:val="left"/>
        <w:outlineLvl w:val="1"/>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二、投标文件封面范例</w:t>
      </w:r>
    </w:p>
    <w:p>
      <w:pPr>
        <w:spacing w:line="360" w:lineRule="exact"/>
        <w:jc w:val="center"/>
        <w:rPr>
          <w:rFonts w:hint="eastAsia" w:ascii="仿宋_GB2312" w:hAnsi="仿宋_GB2312" w:eastAsia="仿宋_GB2312" w:cs="仿宋_GB2312"/>
          <w:w w:val="80"/>
          <w:kern w:val="44"/>
          <w:sz w:val="21"/>
          <w:szCs w:val="21"/>
        </w:rPr>
      </w:pPr>
    </w:p>
    <w:p>
      <w:pPr>
        <w:spacing w:line="520" w:lineRule="exact"/>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南通市崇川区钟秀街道PAD设备采购及安装项目</w:t>
      </w:r>
    </w:p>
    <w:p>
      <w:pPr>
        <w:spacing w:line="520" w:lineRule="exact"/>
        <w:jc w:val="center"/>
        <w:rPr>
          <w:rFonts w:hint="eastAsia" w:ascii="仿宋_GB2312" w:hAnsi="仿宋_GB2312" w:eastAsia="仿宋_GB2312" w:cs="仿宋_GB2312"/>
          <w:sz w:val="36"/>
          <w:szCs w:val="36"/>
        </w:rPr>
      </w:pPr>
    </w:p>
    <w:p>
      <w:pPr>
        <w:spacing w:line="520" w:lineRule="exact"/>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投标文件</w:t>
      </w:r>
    </w:p>
    <w:p>
      <w:pPr>
        <w:spacing w:line="240" w:lineRule="exact"/>
        <w:jc w:val="center"/>
        <w:rPr>
          <w:rFonts w:hint="eastAsia" w:ascii="仿宋_GB2312" w:hAnsi="仿宋_GB2312" w:eastAsia="仿宋_GB2312" w:cs="仿宋_GB2312"/>
          <w:b/>
          <w:sz w:val="24"/>
          <w:szCs w:val="24"/>
        </w:rPr>
      </w:pPr>
    </w:p>
    <w:p>
      <w:pPr>
        <w:spacing w:line="360" w:lineRule="exact"/>
        <w:ind w:firstLine="1680" w:firstLineChars="8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对应投标文件，相应填写：  </w:t>
      </w:r>
      <w:r>
        <w:rPr>
          <w:rFonts w:hint="eastAsia" w:ascii="仿宋_GB2312" w:hAnsi="仿宋_GB2312" w:eastAsia="仿宋_GB2312" w:cs="仿宋_GB2312"/>
          <w:bCs/>
          <w:color w:val="000000"/>
          <w:sz w:val="21"/>
          <w:szCs w:val="21"/>
        </w:rPr>
        <w:t>资格后审资料</w:t>
      </w:r>
      <w:r>
        <w:rPr>
          <w:rFonts w:hint="eastAsia" w:ascii="仿宋_GB2312" w:hAnsi="仿宋_GB2312" w:eastAsia="仿宋_GB2312" w:cs="仿宋_GB2312"/>
          <w:sz w:val="21"/>
          <w:szCs w:val="21"/>
        </w:rPr>
        <w:t>原件包</w:t>
      </w:r>
    </w:p>
    <w:p>
      <w:pPr>
        <w:spacing w:line="360" w:lineRule="exact"/>
        <w:ind w:firstLine="4410" w:firstLineChars="2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资格后审材料文件</w:t>
      </w:r>
    </w:p>
    <w:p>
      <w:pPr>
        <w:spacing w:line="360" w:lineRule="exact"/>
        <w:ind w:firstLine="4410" w:firstLineChars="2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技术标文件</w:t>
      </w:r>
    </w:p>
    <w:p>
      <w:pPr>
        <w:spacing w:line="360" w:lineRule="exact"/>
        <w:ind w:firstLine="4410" w:firstLineChars="2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商务标文件</w:t>
      </w:r>
    </w:p>
    <w:p>
      <w:pPr>
        <w:spacing w:line="360" w:lineRule="exact"/>
        <w:ind w:firstLine="4548" w:firstLineChars="2166"/>
        <w:jc w:val="left"/>
        <w:rPr>
          <w:rFonts w:hint="eastAsia" w:ascii="仿宋_GB2312" w:hAnsi="仿宋_GB2312" w:eastAsia="仿宋_GB2312" w:cs="仿宋_GB2312"/>
          <w:sz w:val="21"/>
          <w:szCs w:val="21"/>
        </w:rPr>
      </w:pPr>
    </w:p>
    <w:p>
      <w:pPr>
        <w:spacing w:line="36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（资格后审）</w:t>
      </w:r>
    </w:p>
    <w:p>
      <w:pPr>
        <w:spacing w:line="360" w:lineRule="exact"/>
        <w:jc w:val="center"/>
        <w:rPr>
          <w:rFonts w:hint="eastAsia" w:ascii="仿宋_GB2312" w:hAnsi="仿宋_GB2312" w:eastAsia="仿宋_GB2312" w:cs="仿宋_GB2312"/>
          <w:sz w:val="21"/>
          <w:szCs w:val="21"/>
        </w:rPr>
      </w:pPr>
    </w:p>
    <w:p>
      <w:pPr>
        <w:adjustRightInd w:val="0"/>
        <w:snapToGrid w:val="0"/>
        <w:spacing w:line="360" w:lineRule="exact"/>
        <w:jc w:val="center"/>
        <w:rPr>
          <w:rFonts w:hint="eastAsia" w:ascii="仿宋_GB2312" w:hAnsi="仿宋_GB2312" w:eastAsia="仿宋_GB2312" w:cs="仿宋_GB2312"/>
          <w:sz w:val="21"/>
          <w:szCs w:val="21"/>
        </w:rPr>
      </w:pPr>
    </w:p>
    <w:p>
      <w:pPr>
        <w:adjustRightInd w:val="0"/>
        <w:snapToGrid w:val="0"/>
        <w:spacing w:line="360" w:lineRule="exact"/>
        <w:rPr>
          <w:rFonts w:hint="eastAsia" w:ascii="仿宋_GB2312" w:hAnsi="仿宋_GB2312" w:eastAsia="仿宋_GB2312" w:cs="仿宋_GB2312"/>
          <w:sz w:val="21"/>
          <w:szCs w:val="21"/>
        </w:rPr>
      </w:pPr>
    </w:p>
    <w:p>
      <w:pPr>
        <w:adjustRightInd w:val="0"/>
        <w:snapToGrid w:val="0"/>
        <w:spacing w:line="360" w:lineRule="exact"/>
        <w:jc w:val="center"/>
        <w:rPr>
          <w:rFonts w:hint="eastAsia" w:ascii="仿宋_GB2312" w:hAnsi="仿宋_GB2312" w:eastAsia="仿宋_GB2312" w:cs="仿宋_GB2312"/>
          <w:sz w:val="21"/>
          <w:szCs w:val="21"/>
        </w:rPr>
      </w:pPr>
    </w:p>
    <w:p>
      <w:pPr>
        <w:adjustRightInd w:val="0"/>
        <w:snapToGrid w:val="0"/>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供应商：参加投标单位全称</w:t>
      </w:r>
    </w:p>
    <w:p>
      <w:pPr>
        <w:snapToGrid w:val="0"/>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二○一八年  月  日</w:t>
      </w:r>
    </w:p>
    <w:p>
      <w:pPr>
        <w:adjustRightInd w:val="0"/>
        <w:snapToGrid w:val="0"/>
        <w:spacing w:line="360" w:lineRule="exact"/>
        <w:outlineLvl w:val="1"/>
        <w:rPr>
          <w:rFonts w:hint="eastAsia" w:ascii="仿宋_GB2312" w:hAnsi="仿宋_GB2312" w:eastAsia="仿宋_GB2312" w:cs="仿宋_GB2312"/>
          <w:b/>
          <w:sz w:val="21"/>
          <w:szCs w:val="21"/>
        </w:rPr>
      </w:pPr>
    </w:p>
    <w:p>
      <w:pPr>
        <w:adjustRightInd w:val="0"/>
        <w:snapToGrid w:val="0"/>
        <w:spacing w:line="360" w:lineRule="exact"/>
        <w:outlineLvl w:val="1"/>
        <w:rPr>
          <w:rFonts w:hint="eastAsia" w:ascii="仿宋_GB2312" w:hAnsi="仿宋_GB2312" w:eastAsia="仿宋_GB2312" w:cs="仿宋_GB2312"/>
          <w:b/>
          <w:sz w:val="24"/>
          <w:szCs w:val="24"/>
        </w:rPr>
      </w:pPr>
    </w:p>
    <w:p>
      <w:pPr>
        <w:adjustRightInd w:val="0"/>
        <w:snapToGrid w:val="0"/>
        <w:spacing w:line="360" w:lineRule="exact"/>
        <w:outlineLvl w:val="1"/>
        <w:rPr>
          <w:rFonts w:hint="eastAsia" w:ascii="仿宋_GB2312" w:hAnsi="仿宋_GB2312" w:eastAsia="仿宋_GB2312" w:cs="仿宋_GB2312"/>
          <w:b/>
          <w:sz w:val="24"/>
          <w:szCs w:val="24"/>
        </w:rPr>
      </w:pPr>
    </w:p>
    <w:p>
      <w:pPr>
        <w:adjustRightInd w:val="0"/>
        <w:snapToGrid w:val="0"/>
        <w:spacing w:line="360" w:lineRule="exact"/>
        <w:outlineLvl w:val="1"/>
        <w:rPr>
          <w:rFonts w:hint="eastAsia" w:ascii="仿宋_GB2312" w:hAnsi="仿宋_GB2312" w:eastAsia="仿宋_GB2312" w:cs="仿宋_GB2312"/>
          <w:b/>
          <w:sz w:val="24"/>
          <w:szCs w:val="24"/>
        </w:rPr>
      </w:pPr>
    </w:p>
    <w:p>
      <w:pPr>
        <w:adjustRightInd w:val="0"/>
        <w:snapToGrid w:val="0"/>
        <w:spacing w:line="360" w:lineRule="exact"/>
        <w:outlineLvl w:val="1"/>
        <w:rPr>
          <w:rFonts w:hint="eastAsia" w:ascii="仿宋_GB2312" w:hAnsi="仿宋_GB2312" w:eastAsia="仿宋_GB2312" w:cs="仿宋_GB2312"/>
          <w:b/>
          <w:sz w:val="24"/>
          <w:szCs w:val="24"/>
        </w:rPr>
      </w:pPr>
    </w:p>
    <w:p>
      <w:pPr>
        <w:adjustRightInd w:val="0"/>
        <w:snapToGrid w:val="0"/>
        <w:spacing w:line="360" w:lineRule="exact"/>
        <w:outlineLvl w:val="1"/>
        <w:rPr>
          <w:rFonts w:hint="eastAsia" w:ascii="仿宋_GB2312" w:hAnsi="仿宋_GB2312" w:eastAsia="仿宋_GB2312" w:cs="仿宋_GB2312"/>
          <w:b/>
          <w:sz w:val="24"/>
          <w:szCs w:val="24"/>
        </w:rPr>
      </w:pPr>
    </w:p>
    <w:p>
      <w:pPr>
        <w:adjustRightInd w:val="0"/>
        <w:snapToGrid w:val="0"/>
        <w:spacing w:line="360" w:lineRule="exact"/>
        <w:outlineLvl w:val="1"/>
        <w:rPr>
          <w:rFonts w:hint="eastAsia" w:ascii="仿宋_GB2312" w:hAnsi="仿宋_GB2312" w:eastAsia="仿宋_GB2312" w:cs="仿宋_GB2312"/>
          <w:b/>
          <w:sz w:val="24"/>
          <w:szCs w:val="24"/>
        </w:rPr>
      </w:pPr>
    </w:p>
    <w:p>
      <w:pPr>
        <w:adjustRightInd w:val="0"/>
        <w:snapToGrid w:val="0"/>
        <w:spacing w:line="360" w:lineRule="exact"/>
        <w:outlineLvl w:val="1"/>
        <w:rPr>
          <w:rFonts w:hint="eastAsia" w:ascii="仿宋_GB2312" w:hAnsi="仿宋_GB2312" w:eastAsia="仿宋_GB2312" w:cs="仿宋_GB2312"/>
          <w:b/>
          <w:sz w:val="24"/>
          <w:szCs w:val="24"/>
        </w:rPr>
      </w:pPr>
    </w:p>
    <w:p>
      <w:pPr>
        <w:adjustRightInd w:val="0"/>
        <w:snapToGrid w:val="0"/>
        <w:spacing w:line="360" w:lineRule="exact"/>
        <w:outlineLvl w:val="1"/>
        <w:rPr>
          <w:rFonts w:hint="eastAsia" w:ascii="仿宋_GB2312" w:hAnsi="仿宋_GB2312" w:eastAsia="仿宋_GB2312" w:cs="仿宋_GB2312"/>
          <w:b/>
          <w:sz w:val="24"/>
          <w:szCs w:val="24"/>
        </w:rPr>
      </w:pPr>
    </w:p>
    <w:p>
      <w:pPr>
        <w:adjustRightInd w:val="0"/>
        <w:snapToGrid w:val="0"/>
        <w:spacing w:line="360" w:lineRule="exact"/>
        <w:outlineLvl w:val="1"/>
        <w:rPr>
          <w:rFonts w:hint="eastAsia" w:ascii="仿宋_GB2312" w:hAnsi="仿宋_GB2312" w:eastAsia="仿宋_GB2312" w:cs="仿宋_GB2312"/>
          <w:b/>
          <w:sz w:val="24"/>
          <w:szCs w:val="24"/>
        </w:rPr>
      </w:pPr>
    </w:p>
    <w:p>
      <w:pPr>
        <w:adjustRightInd w:val="0"/>
        <w:snapToGrid w:val="0"/>
        <w:spacing w:line="360" w:lineRule="exact"/>
        <w:outlineLvl w:val="1"/>
        <w:rPr>
          <w:rFonts w:hint="eastAsia" w:ascii="仿宋_GB2312" w:hAnsi="仿宋_GB2312" w:eastAsia="仿宋_GB2312" w:cs="仿宋_GB2312"/>
          <w:b/>
          <w:sz w:val="24"/>
          <w:szCs w:val="24"/>
        </w:rPr>
      </w:pPr>
    </w:p>
    <w:p>
      <w:pPr>
        <w:adjustRightInd w:val="0"/>
        <w:snapToGrid w:val="0"/>
        <w:spacing w:line="360" w:lineRule="exact"/>
        <w:outlineLvl w:val="1"/>
        <w:rPr>
          <w:rFonts w:hint="eastAsia" w:ascii="仿宋_GB2312" w:hAnsi="仿宋_GB2312" w:eastAsia="仿宋_GB2312" w:cs="仿宋_GB2312"/>
          <w:b/>
          <w:sz w:val="24"/>
          <w:szCs w:val="24"/>
        </w:rPr>
      </w:pPr>
    </w:p>
    <w:p>
      <w:pPr>
        <w:adjustRightInd w:val="0"/>
        <w:snapToGrid w:val="0"/>
        <w:spacing w:line="360" w:lineRule="exact"/>
        <w:outlineLvl w:val="1"/>
        <w:rPr>
          <w:rFonts w:hint="eastAsia" w:ascii="仿宋_GB2312" w:hAnsi="仿宋_GB2312" w:eastAsia="仿宋_GB2312" w:cs="仿宋_GB2312"/>
          <w:b/>
          <w:sz w:val="24"/>
          <w:szCs w:val="24"/>
        </w:rPr>
      </w:pPr>
    </w:p>
    <w:p>
      <w:pPr>
        <w:adjustRightInd w:val="0"/>
        <w:snapToGrid w:val="0"/>
        <w:spacing w:line="360" w:lineRule="exact"/>
        <w:outlineLvl w:val="1"/>
        <w:rPr>
          <w:rFonts w:hint="eastAsia" w:ascii="仿宋_GB2312" w:hAnsi="仿宋_GB2312" w:eastAsia="仿宋_GB2312" w:cs="仿宋_GB2312"/>
          <w:b/>
          <w:sz w:val="24"/>
          <w:szCs w:val="24"/>
        </w:rPr>
      </w:pPr>
    </w:p>
    <w:p>
      <w:pPr>
        <w:adjustRightInd w:val="0"/>
        <w:snapToGrid w:val="0"/>
        <w:spacing w:line="360" w:lineRule="exact"/>
        <w:outlineLvl w:val="1"/>
        <w:rPr>
          <w:rFonts w:hint="eastAsia" w:ascii="仿宋_GB2312" w:hAnsi="仿宋_GB2312" w:eastAsia="仿宋_GB2312" w:cs="仿宋_GB2312"/>
          <w:b/>
          <w:sz w:val="24"/>
          <w:szCs w:val="24"/>
        </w:rPr>
      </w:pPr>
    </w:p>
    <w:p>
      <w:pPr>
        <w:adjustRightInd w:val="0"/>
        <w:snapToGrid w:val="0"/>
        <w:spacing w:line="360" w:lineRule="exact"/>
        <w:outlineLvl w:val="1"/>
        <w:rPr>
          <w:rFonts w:hint="eastAsia" w:ascii="仿宋_GB2312" w:hAnsi="仿宋_GB2312" w:eastAsia="仿宋_GB2312" w:cs="仿宋_GB2312"/>
          <w:b/>
          <w:sz w:val="24"/>
          <w:szCs w:val="24"/>
        </w:rPr>
      </w:pPr>
    </w:p>
    <w:p>
      <w:pPr>
        <w:adjustRightInd w:val="0"/>
        <w:snapToGrid w:val="0"/>
        <w:spacing w:line="360" w:lineRule="exact"/>
        <w:outlineLvl w:val="1"/>
        <w:rPr>
          <w:rFonts w:hint="eastAsia" w:ascii="仿宋_GB2312" w:hAnsi="仿宋_GB2312" w:eastAsia="仿宋_GB2312" w:cs="仿宋_GB2312"/>
          <w:b/>
          <w:sz w:val="24"/>
          <w:szCs w:val="24"/>
        </w:rPr>
      </w:pPr>
    </w:p>
    <w:p>
      <w:pPr>
        <w:adjustRightInd w:val="0"/>
        <w:snapToGrid w:val="0"/>
        <w:spacing w:line="360" w:lineRule="exact"/>
        <w:outlineLvl w:val="1"/>
        <w:rPr>
          <w:rFonts w:hint="eastAsia" w:ascii="仿宋_GB2312" w:hAnsi="仿宋_GB2312" w:eastAsia="仿宋_GB2312" w:cs="仿宋_GB2312"/>
          <w:b/>
          <w:sz w:val="24"/>
          <w:szCs w:val="24"/>
        </w:rPr>
      </w:pPr>
    </w:p>
    <w:p>
      <w:pPr>
        <w:adjustRightInd w:val="0"/>
        <w:snapToGrid w:val="0"/>
        <w:spacing w:line="360" w:lineRule="exact"/>
        <w:outlineLvl w:val="1"/>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三、投标文件</w:t>
      </w:r>
    </w:p>
    <w:p>
      <w:pPr>
        <w:adjustRightInd w:val="0"/>
        <w:snapToGrid w:val="0"/>
        <w:spacing w:line="360" w:lineRule="exact"/>
        <w:outlineLvl w:val="2"/>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A、资格审查资料原件包(单独密封)</w:t>
      </w:r>
    </w:p>
    <w:p>
      <w:pPr>
        <w:widowControl/>
        <w:jc w:val="left"/>
        <w:rPr>
          <w:rFonts w:hint="eastAsia" w:ascii="仿宋_GB2312" w:hAnsi="仿宋_GB2312" w:eastAsia="仿宋_GB2312" w:cs="仿宋_GB2312"/>
          <w:b/>
          <w:sz w:val="24"/>
          <w:szCs w:val="24"/>
        </w:rPr>
      </w:pPr>
    </w:p>
    <w:p>
      <w:pPr>
        <w:widowControl/>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B、资格后审材料文件(单独密封)</w:t>
      </w:r>
    </w:p>
    <w:p>
      <w:pPr>
        <w:snapToGrid w:val="0"/>
        <w:spacing w:line="360" w:lineRule="exact"/>
        <w:jc w:val="center"/>
        <w:outlineLvl w:val="4"/>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资格后审材料相关格式文件</w:t>
      </w:r>
    </w:p>
    <w:p>
      <w:pPr>
        <w:snapToGrid w:val="0"/>
        <w:spacing w:line="360" w:lineRule="exact"/>
        <w:jc w:val="center"/>
        <w:outlineLvl w:val="4"/>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1、法定代表人身份证明</w:t>
      </w:r>
    </w:p>
    <w:p>
      <w:pPr>
        <w:snapToGrid w:val="0"/>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南通市崇川区钟秀街道办事处：</w:t>
      </w:r>
    </w:p>
    <w:p>
      <w:pPr>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u w:val="single"/>
        </w:rPr>
        <w:t>先生／女士：</w:t>
      </w:r>
      <w:r>
        <w:rPr>
          <w:rFonts w:hint="eastAsia" w:ascii="仿宋_GB2312" w:hAnsi="仿宋_GB2312" w:eastAsia="仿宋_GB2312" w:cs="仿宋_GB2312"/>
          <w:sz w:val="24"/>
          <w:szCs w:val="24"/>
        </w:rPr>
        <w:t>现任我单位</w:t>
      </w:r>
      <w:r>
        <w:rPr>
          <w:rFonts w:hint="eastAsia" w:ascii="仿宋_GB2312" w:hAnsi="仿宋_GB2312" w:eastAsia="仿宋_GB2312" w:cs="仿宋_GB2312"/>
          <w:sz w:val="24"/>
          <w:szCs w:val="24"/>
          <w:u w:val="single"/>
        </w:rPr>
        <w:t>　　　　　　　</w:t>
      </w:r>
      <w:r>
        <w:rPr>
          <w:rFonts w:hint="eastAsia" w:ascii="仿宋_GB2312" w:hAnsi="仿宋_GB2312" w:eastAsia="仿宋_GB2312" w:cs="仿宋_GB2312"/>
          <w:sz w:val="24"/>
          <w:szCs w:val="24"/>
        </w:rPr>
        <w:t>职务，为法定代表人，特此证明。</w:t>
      </w:r>
    </w:p>
    <w:p>
      <w:pPr>
        <w:snapToGrid w:val="0"/>
        <w:spacing w:line="360" w:lineRule="exact"/>
        <w:jc w:val="left"/>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身份证号码：</w:t>
      </w:r>
    </w:p>
    <w:p>
      <w:pPr>
        <w:snapToGrid w:val="0"/>
        <w:spacing w:line="360" w:lineRule="exact"/>
        <w:ind w:firstLine="484" w:firstLineChars="202"/>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供应商（盖章）</w:t>
      </w:r>
    </w:p>
    <w:p>
      <w:pPr>
        <w:snapToGrid w:val="0"/>
        <w:spacing w:line="360" w:lineRule="exact"/>
        <w:ind w:firstLine="484" w:firstLineChars="202"/>
        <w:jc w:val="righ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年月日</w:t>
      </w:r>
    </w:p>
    <w:p>
      <w:pPr>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注：提供法定代表人的身份证复印件并加盖公章</w:t>
      </w:r>
    </w:p>
    <w:p>
      <w:pPr>
        <w:snapToGrid w:val="0"/>
        <w:spacing w:line="360" w:lineRule="exact"/>
        <w:jc w:val="center"/>
        <w:rPr>
          <w:rFonts w:hint="eastAsia" w:ascii="仿宋_GB2312" w:hAnsi="仿宋_GB2312" w:eastAsia="仿宋_GB2312" w:cs="仿宋_GB2312"/>
          <w:b/>
          <w:bCs/>
          <w:sz w:val="21"/>
          <w:szCs w:val="21"/>
        </w:rPr>
      </w:pPr>
    </w:p>
    <w:p>
      <w:pPr>
        <w:snapToGrid w:val="0"/>
        <w:spacing w:line="360" w:lineRule="exact"/>
        <w:jc w:val="center"/>
        <w:outlineLvl w:val="4"/>
        <w:rPr>
          <w:rFonts w:hint="eastAsia" w:ascii="仿宋_GB2312" w:hAnsi="仿宋_GB2312" w:eastAsia="仿宋_GB2312" w:cs="仿宋_GB2312"/>
          <w:b/>
          <w:bCs/>
          <w:sz w:val="21"/>
          <w:szCs w:val="21"/>
        </w:rPr>
      </w:pPr>
    </w:p>
    <w:p>
      <w:pPr>
        <w:snapToGrid w:val="0"/>
        <w:spacing w:line="360" w:lineRule="exact"/>
        <w:jc w:val="center"/>
        <w:outlineLvl w:val="4"/>
        <w:rPr>
          <w:rFonts w:hint="eastAsia" w:ascii="仿宋_GB2312" w:hAnsi="仿宋_GB2312" w:eastAsia="仿宋_GB2312" w:cs="仿宋_GB2312"/>
          <w:b/>
          <w:bCs/>
          <w:sz w:val="21"/>
          <w:szCs w:val="21"/>
        </w:rPr>
      </w:pPr>
    </w:p>
    <w:p>
      <w:pPr>
        <w:snapToGrid w:val="0"/>
        <w:spacing w:line="360" w:lineRule="exact"/>
        <w:jc w:val="center"/>
        <w:outlineLvl w:val="4"/>
        <w:rPr>
          <w:rFonts w:hint="eastAsia" w:ascii="仿宋_GB2312" w:hAnsi="仿宋_GB2312" w:eastAsia="仿宋_GB2312" w:cs="仿宋_GB2312"/>
          <w:b/>
          <w:bCs/>
          <w:sz w:val="21"/>
          <w:szCs w:val="21"/>
        </w:rPr>
      </w:pPr>
    </w:p>
    <w:p>
      <w:pPr>
        <w:snapToGrid w:val="0"/>
        <w:spacing w:line="360" w:lineRule="exact"/>
        <w:jc w:val="center"/>
        <w:outlineLvl w:val="4"/>
        <w:rPr>
          <w:rFonts w:hint="eastAsia" w:ascii="仿宋_GB2312" w:hAnsi="仿宋_GB2312" w:eastAsia="仿宋_GB2312" w:cs="仿宋_GB2312"/>
          <w:b/>
          <w:bCs/>
          <w:sz w:val="21"/>
          <w:szCs w:val="21"/>
        </w:rPr>
      </w:pPr>
    </w:p>
    <w:p>
      <w:pPr>
        <w:snapToGrid w:val="0"/>
        <w:spacing w:line="360" w:lineRule="exact"/>
        <w:jc w:val="center"/>
        <w:outlineLvl w:val="4"/>
        <w:rPr>
          <w:rFonts w:hint="eastAsia" w:ascii="仿宋_GB2312" w:hAnsi="仿宋_GB2312" w:eastAsia="仿宋_GB2312" w:cs="仿宋_GB2312"/>
          <w:b/>
          <w:bCs/>
          <w:sz w:val="21"/>
          <w:szCs w:val="21"/>
        </w:rPr>
      </w:pPr>
    </w:p>
    <w:p>
      <w:pPr>
        <w:snapToGrid w:val="0"/>
        <w:spacing w:line="360" w:lineRule="exact"/>
        <w:jc w:val="center"/>
        <w:outlineLvl w:val="4"/>
        <w:rPr>
          <w:rFonts w:hint="eastAsia" w:ascii="仿宋_GB2312" w:hAnsi="仿宋_GB2312" w:eastAsia="仿宋_GB2312" w:cs="仿宋_GB2312"/>
          <w:b/>
          <w:bCs/>
          <w:sz w:val="21"/>
          <w:szCs w:val="21"/>
        </w:rPr>
      </w:pPr>
    </w:p>
    <w:p>
      <w:pPr>
        <w:snapToGrid w:val="0"/>
        <w:spacing w:line="360" w:lineRule="exact"/>
        <w:jc w:val="center"/>
        <w:outlineLvl w:val="4"/>
        <w:rPr>
          <w:rFonts w:hint="eastAsia" w:ascii="仿宋_GB2312" w:hAnsi="仿宋_GB2312" w:eastAsia="仿宋_GB2312" w:cs="仿宋_GB2312"/>
          <w:b/>
          <w:bCs/>
          <w:sz w:val="21"/>
          <w:szCs w:val="21"/>
        </w:rPr>
      </w:pPr>
    </w:p>
    <w:p>
      <w:pPr>
        <w:snapToGrid w:val="0"/>
        <w:spacing w:line="360" w:lineRule="exact"/>
        <w:jc w:val="center"/>
        <w:outlineLvl w:val="4"/>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2、法定代表人授权委托书</w:t>
      </w:r>
    </w:p>
    <w:p>
      <w:pPr>
        <w:snapToGrid w:val="0"/>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南通市崇川区钟秀街道办事处：</w:t>
      </w:r>
    </w:p>
    <w:p>
      <w:pPr>
        <w:snapToGrid w:val="0"/>
        <w:spacing w:line="36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本授权委托书声明：我</w:t>
      </w:r>
      <w:r>
        <w:rPr>
          <w:rFonts w:hint="eastAsia" w:ascii="仿宋_GB2312" w:hAnsi="仿宋_GB2312" w:eastAsia="仿宋_GB2312" w:cs="仿宋_GB2312"/>
          <w:sz w:val="24"/>
          <w:szCs w:val="24"/>
          <w:u w:val="single"/>
        </w:rPr>
        <w:t>　　　</w:t>
      </w:r>
      <w:r>
        <w:rPr>
          <w:rFonts w:hint="eastAsia" w:ascii="仿宋_GB2312" w:hAnsi="仿宋_GB2312" w:eastAsia="仿宋_GB2312" w:cs="仿宋_GB2312"/>
          <w:sz w:val="24"/>
          <w:szCs w:val="24"/>
        </w:rPr>
        <w:t>（姓名）系</w:t>
      </w:r>
      <w:r>
        <w:rPr>
          <w:rFonts w:hint="eastAsia" w:ascii="仿宋_GB2312" w:hAnsi="仿宋_GB2312" w:eastAsia="仿宋_GB2312" w:cs="仿宋_GB2312"/>
          <w:sz w:val="24"/>
          <w:szCs w:val="24"/>
          <w:u w:val="single"/>
        </w:rPr>
        <w:t>　　　</w:t>
      </w:r>
      <w:r>
        <w:rPr>
          <w:rFonts w:hint="eastAsia" w:ascii="仿宋_GB2312" w:hAnsi="仿宋_GB2312" w:eastAsia="仿宋_GB2312" w:cs="仿宋_GB2312"/>
          <w:sz w:val="24"/>
          <w:szCs w:val="24"/>
        </w:rPr>
        <w:t>（供应商名称）的法定代表人，现授权委托　　（姓名）为我公司代理人，以本公司的名义参加本项目的询价采购响应活动。代理人在开标、评标、合同谈判过程中所签署的一切文件和处理与之有关的一切事务，我均予以承认。</w:t>
      </w:r>
    </w:p>
    <w:p>
      <w:pPr>
        <w:snapToGrid w:val="0"/>
        <w:spacing w:line="36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被委托授权人无转委权。特此委托。</w:t>
      </w:r>
    </w:p>
    <w:p>
      <w:pPr>
        <w:snapToGrid w:val="0"/>
        <w:spacing w:line="360" w:lineRule="exact"/>
        <w:ind w:firstLine="972" w:firstLineChars="40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被委托授权人身份证号：</w:t>
      </w:r>
    </w:p>
    <w:p>
      <w:pPr>
        <w:snapToGrid w:val="0"/>
        <w:spacing w:line="360" w:lineRule="exact"/>
        <w:ind w:firstLine="972" w:firstLineChars="40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法定代表人签字：</w:t>
      </w:r>
    </w:p>
    <w:p>
      <w:pPr>
        <w:snapToGrid w:val="0"/>
        <w:spacing w:line="360" w:lineRule="exact"/>
        <w:ind w:firstLine="972" w:firstLineChars="40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被委托授权人签字：</w:t>
      </w:r>
    </w:p>
    <w:p>
      <w:pPr>
        <w:snapToGrid w:val="0"/>
        <w:spacing w:line="360" w:lineRule="exact"/>
        <w:ind w:firstLine="484" w:firstLineChars="202"/>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供应商（盖章）</w:t>
      </w:r>
    </w:p>
    <w:p>
      <w:pPr>
        <w:wordWrap w:val="0"/>
        <w:snapToGrid w:val="0"/>
        <w:spacing w:line="360" w:lineRule="exact"/>
        <w:ind w:firstLine="484" w:firstLineChars="202"/>
        <w:jc w:val="righ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年  月  日</w:t>
      </w:r>
    </w:p>
    <w:p>
      <w:pPr>
        <w:snapToGrid w:val="0"/>
        <w:spacing w:line="360" w:lineRule="exact"/>
        <w:ind w:firstLine="321" w:firstLineChars="134"/>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注：提供被委托授权人的身份证复印件盖公章，将身份证原件带至开标现场备查</w:t>
      </w:r>
    </w:p>
    <w:p>
      <w:pPr>
        <w:snapToGrid w:val="0"/>
        <w:spacing w:line="420" w:lineRule="exact"/>
        <w:jc w:val="center"/>
        <w:outlineLvl w:val="4"/>
        <w:rPr>
          <w:rFonts w:hint="eastAsia" w:ascii="仿宋_GB2312" w:hAnsi="仿宋_GB2312" w:eastAsia="仿宋_GB2312" w:cs="仿宋_GB2312"/>
          <w:b/>
          <w:bCs/>
          <w:sz w:val="24"/>
          <w:szCs w:val="24"/>
        </w:rPr>
      </w:pPr>
    </w:p>
    <w:p>
      <w:pPr>
        <w:snapToGrid w:val="0"/>
        <w:spacing w:line="420" w:lineRule="exact"/>
        <w:jc w:val="center"/>
        <w:outlineLvl w:val="4"/>
        <w:rPr>
          <w:rFonts w:hint="eastAsia" w:ascii="仿宋_GB2312" w:hAnsi="仿宋_GB2312" w:eastAsia="仿宋_GB2312" w:cs="仿宋_GB2312"/>
          <w:b/>
          <w:bCs/>
          <w:sz w:val="24"/>
          <w:szCs w:val="24"/>
        </w:rPr>
      </w:pPr>
    </w:p>
    <w:p>
      <w:pPr>
        <w:snapToGrid w:val="0"/>
        <w:spacing w:line="420" w:lineRule="exact"/>
        <w:jc w:val="center"/>
        <w:outlineLvl w:val="4"/>
        <w:rPr>
          <w:rFonts w:hint="eastAsia" w:ascii="仿宋_GB2312" w:hAnsi="仿宋_GB2312" w:eastAsia="仿宋_GB2312" w:cs="仿宋_GB2312"/>
          <w:b/>
          <w:bCs/>
          <w:sz w:val="24"/>
          <w:szCs w:val="24"/>
        </w:rPr>
      </w:pPr>
    </w:p>
    <w:p>
      <w:pPr>
        <w:snapToGrid w:val="0"/>
        <w:spacing w:line="420" w:lineRule="exact"/>
        <w:jc w:val="center"/>
        <w:outlineLvl w:val="4"/>
        <w:rPr>
          <w:rFonts w:hint="eastAsia" w:ascii="仿宋_GB2312" w:hAnsi="仿宋_GB2312" w:eastAsia="仿宋_GB2312" w:cs="仿宋_GB2312"/>
          <w:b/>
          <w:bCs/>
          <w:sz w:val="24"/>
          <w:szCs w:val="24"/>
        </w:rPr>
      </w:pPr>
    </w:p>
    <w:p>
      <w:pPr>
        <w:snapToGrid w:val="0"/>
        <w:spacing w:line="420" w:lineRule="exact"/>
        <w:jc w:val="center"/>
        <w:outlineLvl w:val="4"/>
        <w:rPr>
          <w:rFonts w:hint="eastAsia" w:ascii="仿宋_GB2312" w:hAnsi="仿宋_GB2312" w:eastAsia="仿宋_GB2312" w:cs="仿宋_GB2312"/>
          <w:b/>
          <w:bCs/>
          <w:sz w:val="24"/>
          <w:szCs w:val="24"/>
        </w:rPr>
      </w:pPr>
    </w:p>
    <w:p>
      <w:pPr>
        <w:snapToGrid w:val="0"/>
        <w:spacing w:line="420" w:lineRule="exact"/>
        <w:jc w:val="center"/>
        <w:outlineLvl w:val="4"/>
        <w:rPr>
          <w:rFonts w:hint="eastAsia" w:ascii="仿宋_GB2312" w:hAnsi="仿宋_GB2312" w:eastAsia="仿宋_GB2312" w:cs="仿宋_GB2312"/>
          <w:b/>
          <w:bCs/>
          <w:sz w:val="24"/>
          <w:szCs w:val="24"/>
        </w:rPr>
      </w:pPr>
    </w:p>
    <w:p>
      <w:pPr>
        <w:snapToGrid w:val="0"/>
        <w:spacing w:line="420" w:lineRule="exact"/>
        <w:jc w:val="center"/>
        <w:outlineLvl w:val="4"/>
        <w:rPr>
          <w:rFonts w:hint="eastAsia" w:ascii="仿宋_GB2312" w:hAnsi="仿宋_GB2312" w:eastAsia="仿宋_GB2312" w:cs="仿宋_GB2312"/>
          <w:b/>
          <w:bCs/>
          <w:sz w:val="24"/>
          <w:szCs w:val="24"/>
        </w:rPr>
      </w:pPr>
    </w:p>
    <w:p>
      <w:pPr>
        <w:snapToGrid w:val="0"/>
        <w:spacing w:line="420" w:lineRule="exact"/>
        <w:jc w:val="center"/>
        <w:outlineLvl w:val="4"/>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3.无重大违法记录声明</w:t>
      </w:r>
    </w:p>
    <w:p>
      <w:pPr>
        <w:snapToGrid w:val="0"/>
        <w:spacing w:line="420" w:lineRule="exac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南通市崇川区钟秀街道办事处：</w:t>
      </w:r>
    </w:p>
    <w:p>
      <w:pPr>
        <w:spacing w:line="4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我单位（供应商名称）郑重声明：</w:t>
      </w:r>
    </w:p>
    <w:p>
      <w:pPr>
        <w:keepNext w:val="0"/>
        <w:keepLines w:val="0"/>
        <w:pageBreakBefore w:val="0"/>
        <w:widowControl w:val="0"/>
        <w:kinsoku/>
        <w:wordWrap w:val="0"/>
        <w:overflowPunct/>
        <w:topLinePunct/>
        <w:autoSpaceDE/>
        <w:autoSpaceDN/>
        <w:bidi w:val="0"/>
        <w:adjustRightInd/>
        <w:snapToGrid/>
        <w:spacing w:line="42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参加政府采购活动前3年内在经营活动中</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（在下划线上如实填写：有或没有）重大违法记录。</w:t>
      </w:r>
    </w:p>
    <w:p>
      <w:pPr>
        <w:spacing w:line="42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（说明：政府采购法第二十二条第一款第五项所称重大违法记录，是指供应商因违法经营受到刑事处罚或者责令停产停业、吊销许可证或者执照、较大数额罚款等行政处罚。）</w:t>
      </w:r>
    </w:p>
    <w:p>
      <w:pPr>
        <w:spacing w:line="4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声明人：（公章）</w:t>
      </w:r>
    </w:p>
    <w:p>
      <w:pPr>
        <w:spacing w:line="420" w:lineRule="exact"/>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    日</w:t>
      </w:r>
    </w:p>
    <w:p>
      <w:pPr>
        <w:snapToGrid w:val="0"/>
        <w:spacing w:line="420" w:lineRule="exact"/>
        <w:jc w:val="center"/>
        <w:outlineLvl w:val="4"/>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4、关于资格文件的声明函</w:t>
      </w:r>
    </w:p>
    <w:p>
      <w:pPr>
        <w:snapToGrid w:val="0"/>
        <w:spacing w:line="360" w:lineRule="exact"/>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南通市崇川区钟秀街道办事处：</w:t>
      </w:r>
    </w:p>
    <w:p>
      <w:pPr>
        <w:tabs>
          <w:tab w:val="left" w:pos="1050"/>
          <w:tab w:val="right" w:leader="dot" w:pos="9402"/>
        </w:tabs>
        <w:spacing w:line="520" w:lineRule="exact"/>
        <w:ind w:firstLine="480"/>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本公司愿就贵处组织实施的</w:t>
      </w:r>
      <w:r>
        <w:rPr>
          <w:rFonts w:hint="eastAsia" w:ascii="仿宋_GB2312" w:hAnsi="仿宋_GB2312" w:eastAsia="仿宋_GB2312" w:cs="仿宋_GB2312"/>
          <w:color w:val="000000"/>
          <w:sz w:val="24"/>
          <w:szCs w:val="24"/>
          <w:u w:val="single"/>
          <w:lang w:val="en-US" w:eastAsia="zh-CN"/>
        </w:rPr>
        <w:t xml:space="preserve">                                             </w:t>
      </w:r>
      <w:r>
        <w:rPr>
          <w:rFonts w:hint="eastAsia" w:ascii="仿宋_GB2312" w:hAnsi="仿宋_GB2312" w:eastAsia="仿宋_GB2312" w:cs="仿宋_GB2312"/>
          <w:color w:val="000000"/>
          <w:sz w:val="24"/>
          <w:szCs w:val="24"/>
        </w:rPr>
        <w:t>的</w:t>
      </w:r>
      <w:r>
        <w:rPr>
          <w:rFonts w:hint="eastAsia" w:ascii="仿宋_GB2312" w:hAnsi="仿宋_GB2312" w:eastAsia="仿宋_GB2312" w:cs="仿宋_GB2312"/>
          <w:sz w:val="24"/>
          <w:szCs w:val="24"/>
        </w:rPr>
        <w:t>询价采购</w:t>
      </w:r>
      <w:r>
        <w:rPr>
          <w:rFonts w:hint="eastAsia" w:ascii="仿宋_GB2312" w:hAnsi="仿宋_GB2312" w:eastAsia="仿宋_GB2312" w:cs="仿宋_GB2312"/>
          <w:color w:val="000000"/>
          <w:sz w:val="24"/>
          <w:szCs w:val="24"/>
        </w:rPr>
        <w:t>活动进行投标。本公司所提交的投标文件中所有关于投标资格的文件、证明和陈述均</w:t>
      </w:r>
    </w:p>
    <w:p>
      <w:pPr>
        <w:tabs>
          <w:tab w:val="left" w:pos="1050"/>
          <w:tab w:val="right" w:leader="dot" w:pos="9402"/>
        </w:tabs>
        <w:spacing w:line="52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是真实的、准确的。若与真实情况不符，本公司愿意承担由此而产生的一切后果。</w:t>
      </w:r>
    </w:p>
    <w:p>
      <w:pPr>
        <w:overflowPunct w:val="0"/>
        <w:adjustRightInd w:val="0"/>
        <w:spacing w:line="360" w:lineRule="exact"/>
        <w:ind w:firstLine="420"/>
        <w:jc w:val="right"/>
        <w:textAlignment w:val="baseline"/>
        <w:rPr>
          <w:rFonts w:hint="eastAsia" w:ascii="仿宋_GB2312" w:hAnsi="仿宋_GB2312" w:eastAsia="仿宋_GB2312" w:cs="仿宋_GB2312"/>
          <w:color w:val="000000"/>
          <w:sz w:val="24"/>
          <w:szCs w:val="24"/>
        </w:rPr>
      </w:pPr>
    </w:p>
    <w:p>
      <w:pPr>
        <w:overflowPunct w:val="0"/>
        <w:adjustRightInd w:val="0"/>
        <w:spacing w:line="360" w:lineRule="exact"/>
        <w:ind w:firstLine="420"/>
        <w:jc w:val="right"/>
        <w:textAlignment w:val="baseline"/>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（投标人）法定代表人或被委托授权人（签字或盖章）：</w:t>
      </w:r>
    </w:p>
    <w:p>
      <w:pPr>
        <w:overflowPunct w:val="0"/>
        <w:adjustRightInd w:val="0"/>
        <w:spacing w:line="360" w:lineRule="exact"/>
        <w:ind w:left="1700" w:leftChars="654" w:firstLine="3120" w:firstLineChars="1300"/>
        <w:jc w:val="left"/>
        <w:textAlignment w:val="baseline"/>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（投标人）公章：</w:t>
      </w:r>
    </w:p>
    <w:p>
      <w:pPr>
        <w:overflowPunct w:val="0"/>
        <w:adjustRightInd w:val="0"/>
        <w:spacing w:line="360" w:lineRule="exact"/>
        <w:ind w:firstLine="420"/>
        <w:jc w:val="right"/>
        <w:textAlignment w:val="baseline"/>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年</w:t>
      </w:r>
      <w:r>
        <w:rPr>
          <w:rFonts w:hint="eastAsia" w:ascii="仿宋_GB2312" w:hAnsi="仿宋_GB2312" w:eastAsia="仿宋_GB2312" w:cs="仿宋_GB2312"/>
          <w:color w:val="000000"/>
          <w:sz w:val="21"/>
          <w:szCs w:val="21"/>
        </w:rPr>
        <w:tab/>
      </w:r>
      <w:r>
        <w:rPr>
          <w:rFonts w:hint="eastAsia" w:ascii="仿宋_GB2312" w:hAnsi="仿宋_GB2312" w:eastAsia="仿宋_GB2312" w:cs="仿宋_GB2312"/>
          <w:color w:val="000000"/>
          <w:sz w:val="21"/>
          <w:szCs w:val="21"/>
        </w:rPr>
        <w:t>月</w:t>
      </w:r>
      <w:r>
        <w:rPr>
          <w:rFonts w:hint="eastAsia" w:ascii="仿宋_GB2312" w:hAnsi="仿宋_GB2312" w:eastAsia="仿宋_GB2312" w:cs="仿宋_GB2312"/>
          <w:color w:val="000000"/>
          <w:sz w:val="21"/>
          <w:szCs w:val="21"/>
        </w:rPr>
        <w:tab/>
      </w:r>
      <w:r>
        <w:rPr>
          <w:rFonts w:hint="eastAsia" w:ascii="仿宋_GB2312" w:hAnsi="仿宋_GB2312" w:eastAsia="仿宋_GB2312" w:cs="仿宋_GB2312"/>
          <w:color w:val="000000"/>
          <w:sz w:val="21"/>
          <w:szCs w:val="21"/>
        </w:rPr>
        <w:t>日</w:t>
      </w:r>
    </w:p>
    <w:p>
      <w:pPr>
        <w:snapToGrid w:val="0"/>
        <w:spacing w:line="360" w:lineRule="exact"/>
        <w:rPr>
          <w:rFonts w:hint="eastAsia" w:ascii="仿宋_GB2312" w:hAnsi="仿宋_GB2312" w:eastAsia="仿宋_GB2312" w:cs="仿宋_GB2312"/>
          <w:bCs/>
          <w:color w:val="000000"/>
          <w:sz w:val="21"/>
          <w:szCs w:val="21"/>
        </w:rPr>
      </w:pPr>
    </w:p>
    <w:p>
      <w:pPr>
        <w:snapToGrid w:val="0"/>
        <w:spacing w:line="360" w:lineRule="exact"/>
        <w:rPr>
          <w:rFonts w:hint="eastAsia" w:ascii="仿宋_GB2312" w:hAnsi="仿宋_GB2312" w:eastAsia="仿宋_GB2312" w:cs="仿宋_GB2312"/>
          <w:bCs/>
          <w:color w:val="000000"/>
          <w:sz w:val="21"/>
          <w:szCs w:val="21"/>
        </w:rPr>
      </w:pPr>
    </w:p>
    <w:p>
      <w:pPr>
        <w:snapToGrid w:val="0"/>
        <w:spacing w:line="360" w:lineRule="exact"/>
        <w:rPr>
          <w:rFonts w:hint="eastAsia" w:ascii="仿宋_GB2312" w:hAnsi="仿宋_GB2312" w:eastAsia="仿宋_GB2312" w:cs="仿宋_GB2312"/>
          <w:bCs/>
          <w:color w:val="000000"/>
          <w:sz w:val="21"/>
          <w:szCs w:val="21"/>
        </w:rPr>
      </w:pPr>
    </w:p>
    <w:p>
      <w:pPr>
        <w:snapToGrid w:val="0"/>
        <w:spacing w:line="360" w:lineRule="exact"/>
        <w:rPr>
          <w:rFonts w:hint="eastAsia" w:ascii="仿宋_GB2312" w:hAnsi="仿宋_GB2312" w:eastAsia="仿宋_GB2312" w:cs="仿宋_GB2312"/>
          <w:bCs/>
          <w:color w:val="000000"/>
          <w:sz w:val="21"/>
          <w:szCs w:val="21"/>
        </w:rPr>
      </w:pPr>
    </w:p>
    <w:p>
      <w:pPr>
        <w:snapToGrid w:val="0"/>
        <w:spacing w:line="360" w:lineRule="exact"/>
        <w:outlineLvl w:val="2"/>
        <w:rPr>
          <w:rFonts w:hint="eastAsia" w:ascii="仿宋_GB2312" w:hAnsi="仿宋_GB2312" w:eastAsia="仿宋_GB2312" w:cs="仿宋_GB2312"/>
          <w:b/>
          <w:sz w:val="24"/>
          <w:szCs w:val="24"/>
        </w:rPr>
      </w:pPr>
    </w:p>
    <w:p>
      <w:pPr>
        <w:snapToGrid w:val="0"/>
        <w:spacing w:line="360" w:lineRule="exact"/>
        <w:outlineLvl w:val="2"/>
        <w:rPr>
          <w:rFonts w:hint="eastAsia" w:ascii="仿宋_GB2312" w:hAnsi="仿宋_GB2312" w:eastAsia="仿宋_GB2312" w:cs="仿宋_GB2312"/>
          <w:b/>
          <w:sz w:val="24"/>
          <w:szCs w:val="24"/>
        </w:rPr>
      </w:pPr>
    </w:p>
    <w:p>
      <w:pPr>
        <w:snapToGrid w:val="0"/>
        <w:spacing w:line="360" w:lineRule="exact"/>
        <w:outlineLvl w:val="2"/>
        <w:rPr>
          <w:rFonts w:hint="eastAsia" w:ascii="仿宋_GB2312" w:hAnsi="仿宋_GB2312" w:eastAsia="仿宋_GB2312" w:cs="仿宋_GB2312"/>
          <w:b/>
          <w:sz w:val="24"/>
          <w:szCs w:val="24"/>
        </w:rPr>
      </w:pPr>
    </w:p>
    <w:p>
      <w:pPr>
        <w:snapToGrid w:val="0"/>
        <w:spacing w:line="360" w:lineRule="exact"/>
        <w:outlineLvl w:val="2"/>
        <w:rPr>
          <w:rFonts w:hint="eastAsia" w:ascii="仿宋_GB2312" w:hAnsi="仿宋_GB2312" w:eastAsia="仿宋_GB2312" w:cs="仿宋_GB2312"/>
          <w:b/>
          <w:sz w:val="24"/>
          <w:szCs w:val="24"/>
        </w:rPr>
      </w:pPr>
    </w:p>
    <w:p>
      <w:pPr>
        <w:snapToGrid w:val="0"/>
        <w:spacing w:line="360" w:lineRule="exact"/>
        <w:outlineLvl w:val="2"/>
        <w:rPr>
          <w:rFonts w:hint="eastAsia" w:ascii="仿宋_GB2312" w:hAnsi="仿宋_GB2312" w:eastAsia="仿宋_GB2312" w:cs="仿宋_GB2312"/>
          <w:b/>
          <w:sz w:val="24"/>
          <w:szCs w:val="24"/>
        </w:rPr>
      </w:pPr>
    </w:p>
    <w:p>
      <w:pPr>
        <w:snapToGrid w:val="0"/>
        <w:spacing w:line="360" w:lineRule="exact"/>
        <w:outlineLvl w:val="2"/>
        <w:rPr>
          <w:rFonts w:hint="eastAsia" w:ascii="仿宋_GB2312" w:hAnsi="仿宋_GB2312" w:eastAsia="仿宋_GB2312" w:cs="仿宋_GB2312"/>
          <w:b/>
          <w:sz w:val="24"/>
          <w:szCs w:val="24"/>
        </w:rPr>
      </w:pPr>
    </w:p>
    <w:p>
      <w:pPr>
        <w:snapToGrid w:val="0"/>
        <w:spacing w:line="360" w:lineRule="exact"/>
        <w:outlineLvl w:val="2"/>
        <w:rPr>
          <w:rFonts w:hint="eastAsia" w:ascii="仿宋_GB2312" w:hAnsi="仿宋_GB2312" w:eastAsia="仿宋_GB2312" w:cs="仿宋_GB2312"/>
          <w:b/>
          <w:sz w:val="24"/>
          <w:szCs w:val="24"/>
        </w:rPr>
      </w:pPr>
    </w:p>
    <w:p>
      <w:pPr>
        <w:snapToGrid w:val="0"/>
        <w:spacing w:line="360" w:lineRule="exact"/>
        <w:outlineLvl w:val="2"/>
        <w:rPr>
          <w:rFonts w:hint="eastAsia" w:ascii="仿宋_GB2312" w:hAnsi="仿宋_GB2312" w:eastAsia="仿宋_GB2312" w:cs="仿宋_GB2312"/>
          <w:b/>
          <w:sz w:val="24"/>
          <w:szCs w:val="24"/>
        </w:rPr>
      </w:pPr>
    </w:p>
    <w:p>
      <w:pPr>
        <w:snapToGrid w:val="0"/>
        <w:spacing w:line="360" w:lineRule="exact"/>
        <w:outlineLvl w:val="2"/>
        <w:rPr>
          <w:rFonts w:hint="eastAsia" w:ascii="仿宋_GB2312" w:hAnsi="仿宋_GB2312" w:eastAsia="仿宋_GB2312" w:cs="仿宋_GB2312"/>
          <w:b/>
          <w:sz w:val="24"/>
          <w:szCs w:val="24"/>
        </w:rPr>
      </w:pPr>
    </w:p>
    <w:p>
      <w:pPr>
        <w:snapToGrid w:val="0"/>
        <w:spacing w:line="360" w:lineRule="exact"/>
        <w:outlineLvl w:val="2"/>
        <w:rPr>
          <w:rFonts w:hint="eastAsia" w:ascii="仿宋_GB2312" w:hAnsi="仿宋_GB2312" w:eastAsia="仿宋_GB2312" w:cs="仿宋_GB2312"/>
          <w:b/>
          <w:sz w:val="24"/>
          <w:szCs w:val="24"/>
        </w:rPr>
      </w:pPr>
    </w:p>
    <w:p>
      <w:pPr>
        <w:snapToGrid w:val="0"/>
        <w:spacing w:line="360" w:lineRule="exact"/>
        <w:outlineLvl w:val="2"/>
        <w:rPr>
          <w:rFonts w:hint="eastAsia" w:ascii="仿宋_GB2312" w:hAnsi="仿宋_GB2312" w:eastAsia="仿宋_GB2312" w:cs="仿宋_GB2312"/>
          <w:b/>
          <w:sz w:val="24"/>
          <w:szCs w:val="24"/>
        </w:rPr>
      </w:pPr>
    </w:p>
    <w:p>
      <w:pPr>
        <w:snapToGrid w:val="0"/>
        <w:spacing w:line="360" w:lineRule="exact"/>
        <w:outlineLvl w:val="2"/>
        <w:rPr>
          <w:rFonts w:hint="eastAsia" w:ascii="仿宋_GB2312" w:hAnsi="仿宋_GB2312" w:eastAsia="仿宋_GB2312" w:cs="仿宋_GB2312"/>
          <w:b/>
          <w:sz w:val="24"/>
          <w:szCs w:val="24"/>
        </w:rPr>
      </w:pPr>
    </w:p>
    <w:p>
      <w:pPr>
        <w:snapToGrid w:val="0"/>
        <w:spacing w:line="360" w:lineRule="exact"/>
        <w:outlineLvl w:val="2"/>
        <w:rPr>
          <w:rFonts w:hint="eastAsia" w:ascii="仿宋_GB2312" w:hAnsi="仿宋_GB2312" w:eastAsia="仿宋_GB2312" w:cs="仿宋_GB2312"/>
          <w:b/>
          <w:sz w:val="24"/>
          <w:szCs w:val="24"/>
        </w:rPr>
      </w:pPr>
    </w:p>
    <w:p>
      <w:pPr>
        <w:snapToGrid w:val="0"/>
        <w:spacing w:line="360" w:lineRule="exact"/>
        <w:outlineLvl w:val="2"/>
        <w:rPr>
          <w:rFonts w:hint="eastAsia" w:ascii="仿宋_GB2312" w:hAnsi="仿宋_GB2312" w:eastAsia="仿宋_GB2312" w:cs="仿宋_GB2312"/>
          <w:b/>
          <w:sz w:val="24"/>
          <w:szCs w:val="24"/>
        </w:rPr>
      </w:pPr>
    </w:p>
    <w:p>
      <w:pPr>
        <w:snapToGrid w:val="0"/>
        <w:spacing w:line="360" w:lineRule="exact"/>
        <w:outlineLvl w:val="2"/>
        <w:rPr>
          <w:rFonts w:hint="eastAsia" w:ascii="仿宋_GB2312" w:hAnsi="仿宋_GB2312" w:eastAsia="仿宋_GB2312" w:cs="仿宋_GB2312"/>
          <w:b/>
          <w:sz w:val="24"/>
          <w:szCs w:val="24"/>
        </w:rPr>
      </w:pPr>
    </w:p>
    <w:p>
      <w:pPr>
        <w:snapToGrid w:val="0"/>
        <w:spacing w:line="360" w:lineRule="exact"/>
        <w:outlineLvl w:val="2"/>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C、技术标文件（单独密封）</w:t>
      </w:r>
    </w:p>
    <w:p>
      <w:pPr>
        <w:snapToGrid w:val="0"/>
        <w:spacing w:line="360" w:lineRule="exact"/>
        <w:jc w:val="center"/>
        <w:outlineLvl w:val="3"/>
        <w:rPr>
          <w:rFonts w:hint="eastAsia" w:ascii="仿宋_GB2312" w:hAnsi="仿宋_GB2312" w:eastAsia="仿宋_GB2312" w:cs="仿宋_GB2312"/>
          <w:b/>
          <w:bCs/>
          <w:sz w:val="24"/>
          <w:szCs w:val="24"/>
        </w:rPr>
      </w:pPr>
      <w:r>
        <w:rPr>
          <w:rFonts w:hint="eastAsia" w:ascii="仿宋_GB2312" w:hAnsi="仿宋_GB2312" w:eastAsia="仿宋_GB2312" w:cs="仿宋_GB2312"/>
          <w:b/>
          <w:sz w:val="24"/>
          <w:szCs w:val="24"/>
        </w:rPr>
        <w:t>1</w:t>
      </w:r>
      <w:r>
        <w:rPr>
          <w:rFonts w:hint="eastAsia" w:ascii="仿宋_GB2312" w:hAnsi="仿宋_GB2312" w:eastAsia="仿宋_GB2312" w:cs="仿宋_GB2312"/>
          <w:b/>
          <w:bCs/>
          <w:sz w:val="24"/>
          <w:szCs w:val="24"/>
        </w:rPr>
        <w:t>、投标响应函</w:t>
      </w:r>
    </w:p>
    <w:p>
      <w:pPr>
        <w:snapToGrid w:val="0"/>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南通市崇川区钟秀街道办事处：</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依据贵单位</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（询价采购项目名称)项目招标，我方授权</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（姓名）</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（职务）为全权代表参加该项目投标工作，全权处理本次投标有关事宜。同时，我公司声明如下：</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1、同意并接受询价采购文件的各项要求，遵守询价采购文件中的各项规定，按询价采购文件的要求提供报价。</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2、我公司已经详细阅读了全部询价采购文件及其附件，我方已完全清晰理解询价采购文件的要求，不存在任何含糊不清和误解之处，同意放弃对这些文件所提出的异议和质疑的权利。</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3、我公司已毫无保留地向贵方提供一切所需的证明材料。</w:t>
      </w:r>
    </w:p>
    <w:p>
      <w:pPr>
        <w:snapToGrid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4、我公司承诺在本次询价采购响应中提供的一切文件，复印件均真实有效，绝无任何虚假、伪造和夸大的成份。否则，愿承担相应的后果和法律责任。</w:t>
      </w:r>
    </w:p>
    <w:p>
      <w:pPr>
        <w:snapToGrid w:val="0"/>
        <w:spacing w:line="360" w:lineRule="exact"/>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5、一旦我方中标,我方将根据询价采购文件的要求和投标文件的承诺签订合同，严格履行合同的责任和义务,并保证在询价采购文件规定的时间完成项目，交付采购人验收、使用</w:t>
      </w:r>
      <w:r>
        <w:rPr>
          <w:rFonts w:hint="eastAsia" w:ascii="仿宋_GB2312" w:hAnsi="仿宋_GB2312" w:eastAsia="仿宋_GB2312" w:cs="仿宋_GB2312"/>
          <w:color w:val="000000"/>
          <w:sz w:val="24"/>
          <w:szCs w:val="24"/>
        </w:rPr>
        <w:t>。</w:t>
      </w:r>
    </w:p>
    <w:p>
      <w:pPr>
        <w:snapToGrid w:val="0"/>
        <w:spacing w:line="360" w:lineRule="exact"/>
        <w:ind w:firstLine="480" w:firstLineChars="200"/>
        <w:rPr>
          <w:rFonts w:hint="eastAsia" w:ascii="仿宋_GB2312" w:hAnsi="仿宋_GB2312" w:eastAsia="仿宋_GB2312" w:cs="仿宋_GB2312"/>
          <w:color w:val="000000"/>
          <w:sz w:val="24"/>
          <w:szCs w:val="24"/>
        </w:rPr>
      </w:pPr>
    </w:p>
    <w:p>
      <w:pPr>
        <w:snapToGrid w:val="0"/>
        <w:spacing w:line="360" w:lineRule="exact"/>
        <w:ind w:firstLine="480" w:firstLineChars="20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供应商：（加盖公章）</w:t>
      </w:r>
    </w:p>
    <w:p>
      <w:pPr>
        <w:snapToGrid w:val="0"/>
        <w:spacing w:line="360" w:lineRule="exact"/>
        <w:ind w:firstLine="2400" w:firstLineChars="100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法定代表人或被委托授权人：（签字）</w:t>
      </w:r>
    </w:p>
    <w:p>
      <w:pPr>
        <w:wordWrap w:val="0"/>
        <w:snapToGrid w:val="0"/>
        <w:spacing w:line="360" w:lineRule="exact"/>
        <w:jc w:val="right"/>
        <w:rPr>
          <w:rFonts w:hint="eastAsia" w:ascii="仿宋_GB2312" w:hAnsi="仿宋_GB2312" w:eastAsia="仿宋_GB2312" w:cs="仿宋_GB2312"/>
          <w:sz w:val="21"/>
          <w:szCs w:val="21"/>
        </w:rPr>
      </w:pPr>
      <w:r>
        <w:rPr>
          <w:rFonts w:hint="eastAsia" w:ascii="仿宋_GB2312" w:hAnsi="仿宋_GB2312" w:eastAsia="仿宋_GB2312" w:cs="仿宋_GB2312"/>
          <w:sz w:val="24"/>
          <w:szCs w:val="24"/>
        </w:rPr>
        <w:t>二○一八年  月  日</w:t>
      </w:r>
    </w:p>
    <w:p>
      <w:pPr>
        <w:snapToGrid w:val="0"/>
        <w:spacing w:line="360" w:lineRule="exact"/>
        <w:jc w:val="right"/>
        <w:rPr>
          <w:rFonts w:hint="eastAsia" w:ascii="仿宋_GB2312" w:hAnsi="仿宋_GB2312" w:eastAsia="仿宋_GB2312" w:cs="仿宋_GB2312"/>
          <w:sz w:val="21"/>
          <w:szCs w:val="21"/>
        </w:rPr>
      </w:pPr>
    </w:p>
    <w:p>
      <w:pPr>
        <w:snapToGrid w:val="0"/>
        <w:spacing w:line="360" w:lineRule="exact"/>
        <w:jc w:val="right"/>
        <w:rPr>
          <w:rFonts w:hint="eastAsia" w:ascii="仿宋_GB2312" w:hAnsi="仿宋_GB2312" w:eastAsia="仿宋_GB2312" w:cs="仿宋_GB2312"/>
          <w:sz w:val="21"/>
          <w:szCs w:val="21"/>
        </w:rPr>
      </w:pPr>
    </w:p>
    <w:p>
      <w:pPr>
        <w:snapToGrid w:val="0"/>
        <w:spacing w:line="360" w:lineRule="exact"/>
        <w:jc w:val="right"/>
        <w:rPr>
          <w:rFonts w:hint="eastAsia" w:ascii="仿宋_GB2312" w:hAnsi="仿宋_GB2312" w:eastAsia="仿宋_GB2312" w:cs="仿宋_GB2312"/>
          <w:sz w:val="21"/>
          <w:szCs w:val="21"/>
        </w:rPr>
      </w:pPr>
    </w:p>
    <w:p>
      <w:pPr>
        <w:snapToGrid w:val="0"/>
        <w:spacing w:line="360" w:lineRule="exact"/>
        <w:jc w:val="right"/>
        <w:rPr>
          <w:rFonts w:hint="eastAsia" w:ascii="仿宋_GB2312" w:hAnsi="仿宋_GB2312" w:eastAsia="仿宋_GB2312" w:cs="仿宋_GB2312"/>
          <w:sz w:val="21"/>
          <w:szCs w:val="21"/>
        </w:rPr>
      </w:pPr>
    </w:p>
    <w:p>
      <w:pPr>
        <w:snapToGrid w:val="0"/>
        <w:spacing w:line="360" w:lineRule="exact"/>
        <w:jc w:val="right"/>
        <w:rPr>
          <w:rFonts w:hint="eastAsia" w:ascii="仿宋_GB2312" w:hAnsi="仿宋_GB2312" w:eastAsia="仿宋_GB2312" w:cs="仿宋_GB2312"/>
          <w:sz w:val="21"/>
          <w:szCs w:val="21"/>
        </w:rPr>
      </w:pPr>
    </w:p>
    <w:p>
      <w:pPr>
        <w:snapToGrid w:val="0"/>
        <w:spacing w:line="360" w:lineRule="exact"/>
        <w:jc w:val="right"/>
        <w:rPr>
          <w:rFonts w:hint="eastAsia" w:ascii="仿宋_GB2312" w:hAnsi="仿宋_GB2312" w:eastAsia="仿宋_GB2312" w:cs="仿宋_GB2312"/>
          <w:sz w:val="21"/>
          <w:szCs w:val="21"/>
        </w:rPr>
      </w:pPr>
    </w:p>
    <w:p>
      <w:pPr>
        <w:snapToGrid w:val="0"/>
        <w:spacing w:line="360" w:lineRule="exact"/>
        <w:jc w:val="right"/>
        <w:rPr>
          <w:rFonts w:hint="eastAsia" w:ascii="仿宋_GB2312" w:hAnsi="仿宋_GB2312" w:eastAsia="仿宋_GB2312" w:cs="仿宋_GB2312"/>
          <w:sz w:val="21"/>
          <w:szCs w:val="21"/>
        </w:rPr>
      </w:pPr>
    </w:p>
    <w:p>
      <w:pPr>
        <w:snapToGrid w:val="0"/>
        <w:spacing w:line="360" w:lineRule="exact"/>
        <w:jc w:val="right"/>
        <w:rPr>
          <w:rFonts w:hint="eastAsia" w:ascii="仿宋_GB2312" w:hAnsi="仿宋_GB2312" w:eastAsia="仿宋_GB2312" w:cs="仿宋_GB2312"/>
          <w:sz w:val="21"/>
          <w:szCs w:val="21"/>
        </w:rPr>
      </w:pPr>
    </w:p>
    <w:p>
      <w:pPr>
        <w:snapToGrid w:val="0"/>
        <w:spacing w:line="360" w:lineRule="exact"/>
        <w:jc w:val="right"/>
        <w:rPr>
          <w:rFonts w:hint="eastAsia" w:ascii="仿宋_GB2312" w:hAnsi="仿宋_GB2312" w:eastAsia="仿宋_GB2312" w:cs="仿宋_GB2312"/>
          <w:sz w:val="21"/>
          <w:szCs w:val="21"/>
        </w:rPr>
      </w:pPr>
    </w:p>
    <w:p>
      <w:pPr>
        <w:snapToGrid w:val="0"/>
        <w:spacing w:line="360" w:lineRule="exact"/>
        <w:jc w:val="right"/>
        <w:rPr>
          <w:rFonts w:hint="eastAsia" w:ascii="仿宋_GB2312" w:hAnsi="仿宋_GB2312" w:eastAsia="仿宋_GB2312" w:cs="仿宋_GB2312"/>
          <w:sz w:val="21"/>
          <w:szCs w:val="21"/>
        </w:rPr>
      </w:pPr>
    </w:p>
    <w:p>
      <w:pPr>
        <w:snapToGrid w:val="0"/>
        <w:spacing w:line="360" w:lineRule="exact"/>
        <w:jc w:val="right"/>
        <w:rPr>
          <w:rFonts w:hint="eastAsia" w:ascii="仿宋_GB2312" w:hAnsi="仿宋_GB2312" w:eastAsia="仿宋_GB2312" w:cs="仿宋_GB2312"/>
          <w:sz w:val="21"/>
          <w:szCs w:val="21"/>
        </w:rPr>
      </w:pPr>
    </w:p>
    <w:p>
      <w:pPr>
        <w:spacing w:line="560" w:lineRule="exact"/>
        <w:jc w:val="center"/>
        <w:rPr>
          <w:rFonts w:hint="eastAsia" w:ascii="仿宋_GB2312" w:hAnsi="仿宋_GB2312" w:eastAsia="仿宋_GB2312" w:cs="仿宋_GB2312"/>
          <w:b/>
          <w:color w:val="000000"/>
          <w:sz w:val="36"/>
          <w:szCs w:val="36"/>
        </w:rPr>
      </w:pPr>
    </w:p>
    <w:p>
      <w:pPr>
        <w:spacing w:line="560" w:lineRule="exact"/>
        <w:jc w:val="center"/>
        <w:rPr>
          <w:rFonts w:hint="eastAsia" w:ascii="仿宋_GB2312" w:hAnsi="仿宋_GB2312" w:eastAsia="仿宋_GB2312" w:cs="仿宋_GB2312"/>
          <w:b/>
          <w:color w:val="000000"/>
          <w:sz w:val="36"/>
          <w:szCs w:val="36"/>
        </w:rPr>
      </w:pPr>
    </w:p>
    <w:p>
      <w:pPr>
        <w:spacing w:line="560" w:lineRule="exact"/>
        <w:jc w:val="center"/>
        <w:rPr>
          <w:rFonts w:hint="eastAsia" w:ascii="仿宋_GB2312" w:hAnsi="仿宋_GB2312" w:eastAsia="仿宋_GB2312" w:cs="仿宋_GB2312"/>
          <w:b/>
          <w:color w:val="000000"/>
          <w:sz w:val="36"/>
          <w:szCs w:val="36"/>
        </w:rPr>
      </w:pPr>
    </w:p>
    <w:p>
      <w:pPr>
        <w:spacing w:line="560" w:lineRule="exact"/>
        <w:jc w:val="center"/>
        <w:rPr>
          <w:rFonts w:hint="eastAsia" w:ascii="仿宋_GB2312" w:hAnsi="仿宋_GB2312" w:eastAsia="仿宋_GB2312" w:cs="仿宋_GB2312"/>
          <w:b/>
          <w:color w:val="000000"/>
          <w:sz w:val="36"/>
          <w:szCs w:val="36"/>
        </w:rPr>
      </w:pPr>
    </w:p>
    <w:p>
      <w:pPr>
        <w:spacing w:line="560" w:lineRule="exact"/>
        <w:jc w:val="both"/>
        <w:rPr>
          <w:rFonts w:hint="eastAsia" w:ascii="仿宋_GB2312" w:hAnsi="仿宋_GB2312" w:eastAsia="仿宋_GB2312" w:cs="仿宋_GB2312"/>
          <w:b/>
          <w:color w:val="000000"/>
          <w:sz w:val="36"/>
          <w:szCs w:val="36"/>
        </w:rPr>
      </w:pPr>
    </w:p>
    <w:p>
      <w:pPr>
        <w:spacing w:line="420" w:lineRule="exact"/>
        <w:ind w:firstLine="484" w:firstLineChars="202"/>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2、技术响应文件</w:t>
      </w:r>
    </w:p>
    <w:p>
      <w:pPr>
        <w:spacing w:line="42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根据项目需求提供产品的主要技术规范，配置要求和产品标准。报价人编写所提供产品的品牌、产地、型号、详细技术参数、功能配置，应提供的图纸及资料明细、样品图片、质量承诺、使用寿命承诺等。</w:t>
      </w:r>
    </w:p>
    <w:p>
      <w:pPr>
        <w:spacing w:line="360" w:lineRule="exact"/>
        <w:ind w:firstLine="484" w:firstLineChars="202"/>
        <w:jc w:val="center"/>
        <w:outlineLvl w:val="3"/>
        <w:rPr>
          <w:rFonts w:hint="eastAsia" w:ascii="仿宋_GB2312" w:hAnsi="仿宋_GB2312" w:eastAsia="仿宋_GB2312" w:cs="仿宋_GB2312"/>
          <w:sz w:val="24"/>
          <w:szCs w:val="24"/>
        </w:rPr>
      </w:pPr>
    </w:p>
    <w:p>
      <w:pPr>
        <w:spacing w:line="360" w:lineRule="exact"/>
        <w:ind w:firstLine="484" w:firstLineChars="202"/>
        <w:jc w:val="center"/>
        <w:outlineLvl w:val="3"/>
        <w:rPr>
          <w:rFonts w:hint="eastAsia" w:ascii="仿宋_GB2312" w:hAnsi="仿宋_GB2312" w:eastAsia="仿宋_GB2312" w:cs="仿宋_GB2312"/>
          <w:sz w:val="24"/>
          <w:szCs w:val="24"/>
        </w:rPr>
      </w:pPr>
    </w:p>
    <w:p>
      <w:pPr>
        <w:spacing w:line="360" w:lineRule="exact"/>
        <w:ind w:firstLine="484" w:firstLineChars="202"/>
        <w:jc w:val="center"/>
        <w:outlineLvl w:val="3"/>
        <w:rPr>
          <w:rFonts w:hint="eastAsia" w:ascii="仿宋_GB2312" w:hAnsi="仿宋_GB2312" w:eastAsia="仿宋_GB2312" w:cs="仿宋_GB2312"/>
          <w:sz w:val="24"/>
          <w:szCs w:val="24"/>
        </w:rPr>
      </w:pPr>
    </w:p>
    <w:p>
      <w:pPr>
        <w:spacing w:line="360" w:lineRule="exact"/>
        <w:ind w:firstLine="484" w:firstLineChars="202"/>
        <w:jc w:val="center"/>
        <w:outlineLvl w:val="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3、询价响应设备清单</w:t>
      </w:r>
    </w:p>
    <w:p>
      <w:pPr>
        <w:spacing w:line="360" w:lineRule="exact"/>
        <w:ind w:firstLine="604" w:firstLineChars="252"/>
        <w:outlineLvl w:val="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①提供与项目需求清单一致的响应设备清单，清单中须注明项目内每种设备、材料、品牌及技术参数，但不得出现报价。</w:t>
      </w:r>
    </w:p>
    <w:p>
      <w:pPr>
        <w:spacing w:line="360" w:lineRule="exact"/>
        <w:ind w:firstLine="607" w:firstLineChars="252"/>
        <w:outlineLvl w:val="3"/>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②必须提供“PAD”设备制造商：针对本项目的授权书及</w:t>
      </w:r>
      <w:r>
        <w:rPr>
          <w:rFonts w:hint="eastAsia" w:ascii="仿宋_GB2312" w:hAnsi="仿宋_GB2312" w:eastAsia="仿宋_GB2312" w:cs="仿宋_GB2312"/>
          <w:b/>
          <w:sz w:val="24"/>
          <w:szCs w:val="24"/>
          <w:lang w:val="en-US" w:eastAsia="zh-CN"/>
        </w:rPr>
        <w:t>2年</w:t>
      </w:r>
      <w:r>
        <w:rPr>
          <w:rFonts w:hint="eastAsia" w:ascii="仿宋_GB2312" w:hAnsi="仿宋_GB2312" w:eastAsia="仿宋_GB2312" w:cs="仿宋_GB2312"/>
          <w:b/>
          <w:sz w:val="24"/>
          <w:szCs w:val="24"/>
        </w:rPr>
        <w:t>原厂质保函。</w:t>
      </w:r>
    </w:p>
    <w:p>
      <w:pPr>
        <w:spacing w:line="420" w:lineRule="exact"/>
        <w:ind w:firstLine="480" w:firstLineChars="200"/>
        <w:jc w:val="center"/>
        <w:outlineLvl w:val="3"/>
        <w:rPr>
          <w:rFonts w:hint="eastAsia" w:ascii="仿宋_GB2312" w:hAnsi="仿宋_GB2312" w:eastAsia="仿宋_GB2312" w:cs="仿宋_GB2312"/>
          <w:sz w:val="24"/>
          <w:szCs w:val="24"/>
        </w:rPr>
      </w:pPr>
    </w:p>
    <w:p>
      <w:pPr>
        <w:spacing w:line="420" w:lineRule="exact"/>
        <w:ind w:firstLine="480" w:firstLineChars="200"/>
        <w:jc w:val="center"/>
        <w:outlineLvl w:val="3"/>
        <w:rPr>
          <w:rFonts w:hint="eastAsia" w:ascii="仿宋_GB2312" w:hAnsi="仿宋_GB2312" w:eastAsia="仿宋_GB2312" w:cs="仿宋_GB2312"/>
          <w:sz w:val="24"/>
          <w:szCs w:val="24"/>
        </w:rPr>
      </w:pPr>
    </w:p>
    <w:p>
      <w:pPr>
        <w:spacing w:line="420" w:lineRule="exact"/>
        <w:ind w:firstLine="480" w:firstLineChars="200"/>
        <w:jc w:val="center"/>
        <w:outlineLvl w:val="3"/>
        <w:rPr>
          <w:rFonts w:hint="eastAsia" w:ascii="仿宋_GB2312" w:hAnsi="仿宋_GB2312" w:eastAsia="仿宋_GB2312" w:cs="仿宋_GB2312"/>
          <w:sz w:val="24"/>
          <w:szCs w:val="24"/>
        </w:rPr>
      </w:pPr>
    </w:p>
    <w:p>
      <w:pPr>
        <w:spacing w:line="420" w:lineRule="exact"/>
        <w:ind w:firstLine="480" w:firstLineChars="200"/>
        <w:jc w:val="center"/>
        <w:outlineLvl w:val="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4、技术条款响应正负偏离表</w:t>
      </w:r>
    </w:p>
    <w:p>
      <w:pPr>
        <w:spacing w:line="420" w:lineRule="exact"/>
        <w:ind w:firstLine="480" w:firstLineChars="200"/>
        <w:jc w:val="center"/>
        <w:outlineLvl w:val="3"/>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（与项目需求一致，逐一逐条填写）</w:t>
      </w:r>
    </w:p>
    <w:p>
      <w:pPr>
        <w:spacing w:line="420" w:lineRule="exact"/>
        <w:ind w:firstLine="724" w:firstLineChars="3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（1）报价人必须满足询价文件中针对招标货物提出的全部技术规格与要求，逐一逐条响应填写提交《技术条款响应正负偏离表》； </w:t>
      </w:r>
    </w:p>
    <w:p>
      <w:pPr>
        <w:spacing w:line="420" w:lineRule="exact"/>
        <w:ind w:firstLine="724" w:firstLineChars="3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报价人提供的货物和服务与采购人提出的项目需求说明中的技术要求不同，必须在逐一逐条填写响应的《技术条款响应正负偏离表》上明示偏离的部分。（注：本项目PAD设备的技术规格要求为最低要求，不接受负偏离。）</w:t>
      </w:r>
    </w:p>
    <w:tbl>
      <w:tblPr>
        <w:tblStyle w:val="60"/>
        <w:tblW w:w="9543"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243"/>
        <w:gridCol w:w="1599"/>
        <w:gridCol w:w="1767"/>
        <w:gridCol w:w="2019"/>
        <w:gridCol w:w="1363"/>
        <w:gridCol w:w="8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8" w:hRule="exact"/>
        </w:trPr>
        <w:tc>
          <w:tcPr>
            <w:tcW w:w="743" w:type="dxa"/>
            <w:tcBorders>
              <w:top w:val="single" w:color="auto" w:sz="12" w:space="0"/>
              <w:left w:val="single" w:color="auto" w:sz="12"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243" w:type="dxa"/>
            <w:tcBorders>
              <w:top w:val="single" w:color="auto" w:sz="12"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货物名称</w:t>
            </w:r>
          </w:p>
        </w:tc>
        <w:tc>
          <w:tcPr>
            <w:tcW w:w="1599" w:type="dxa"/>
            <w:tcBorders>
              <w:top w:val="single" w:color="auto" w:sz="12"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品牌型号</w:t>
            </w:r>
          </w:p>
        </w:tc>
        <w:tc>
          <w:tcPr>
            <w:tcW w:w="1767" w:type="dxa"/>
            <w:tcBorders>
              <w:top w:val="single" w:color="auto" w:sz="12"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招标</w:t>
            </w:r>
            <w:r>
              <w:rPr>
                <w:rFonts w:hint="eastAsia" w:ascii="仿宋_GB2312" w:hAnsi="仿宋_GB2312" w:eastAsia="仿宋_GB2312" w:cs="仿宋_GB2312"/>
                <w:b/>
                <w:sz w:val="24"/>
                <w:szCs w:val="24"/>
              </w:rPr>
              <w:t>要求</w:t>
            </w:r>
          </w:p>
        </w:tc>
        <w:tc>
          <w:tcPr>
            <w:tcW w:w="2019" w:type="dxa"/>
            <w:tcBorders>
              <w:top w:val="single" w:color="auto" w:sz="12"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响应技术要求</w:t>
            </w:r>
          </w:p>
        </w:tc>
        <w:tc>
          <w:tcPr>
            <w:tcW w:w="1363" w:type="dxa"/>
            <w:tcBorders>
              <w:top w:val="single" w:color="auto" w:sz="12"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偏离/响应</w:t>
            </w:r>
          </w:p>
        </w:tc>
        <w:tc>
          <w:tcPr>
            <w:tcW w:w="809" w:type="dxa"/>
            <w:tcBorders>
              <w:top w:val="single" w:color="auto" w:sz="12" w:space="0"/>
              <w:left w:val="single" w:color="auto" w:sz="4" w:space="0"/>
              <w:bottom w:val="single" w:color="auto" w:sz="4" w:space="0"/>
              <w:right w:val="single" w:color="auto" w:sz="12" w:space="0"/>
            </w:tcBorders>
            <w:vAlign w:val="center"/>
          </w:tcPr>
          <w:p>
            <w:pPr>
              <w:spacing w:line="4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5" w:hRule="exact"/>
        </w:trPr>
        <w:tc>
          <w:tcPr>
            <w:tcW w:w="743" w:type="dxa"/>
            <w:tcBorders>
              <w:top w:val="single" w:color="auto" w:sz="4" w:space="0"/>
              <w:left w:val="single" w:color="auto" w:sz="12" w:space="0"/>
              <w:bottom w:val="single" w:color="auto" w:sz="4" w:space="0"/>
              <w:right w:val="single" w:color="auto" w:sz="4" w:space="0"/>
            </w:tcBorders>
          </w:tcPr>
          <w:p>
            <w:pPr>
              <w:spacing w:line="4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p>
        </w:tc>
        <w:tc>
          <w:tcPr>
            <w:tcW w:w="15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p>
        </w:tc>
        <w:tc>
          <w:tcPr>
            <w:tcW w:w="201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p>
        </w:tc>
        <w:tc>
          <w:tcPr>
            <w:tcW w:w="136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p>
        </w:tc>
        <w:tc>
          <w:tcPr>
            <w:tcW w:w="809" w:type="dxa"/>
            <w:tcBorders>
              <w:top w:val="single" w:color="auto" w:sz="4" w:space="0"/>
              <w:left w:val="single" w:color="auto" w:sz="4" w:space="0"/>
              <w:bottom w:val="single" w:color="auto" w:sz="4" w:space="0"/>
              <w:right w:val="single" w:color="auto" w:sz="12" w:space="0"/>
            </w:tcBorders>
            <w:vAlign w:val="center"/>
          </w:tcPr>
          <w:p>
            <w:pPr>
              <w:spacing w:line="420" w:lineRule="exact"/>
              <w:jc w:val="cente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5" w:hRule="exact"/>
        </w:trPr>
        <w:tc>
          <w:tcPr>
            <w:tcW w:w="743" w:type="dxa"/>
            <w:tcBorders>
              <w:top w:val="single" w:color="auto" w:sz="4" w:space="0"/>
              <w:left w:val="single" w:color="auto" w:sz="12" w:space="0"/>
              <w:bottom w:val="single" w:color="auto" w:sz="4" w:space="0"/>
              <w:right w:val="single" w:color="auto" w:sz="4" w:space="0"/>
            </w:tcBorders>
          </w:tcPr>
          <w:p>
            <w:pPr>
              <w:spacing w:line="4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2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p>
        </w:tc>
        <w:tc>
          <w:tcPr>
            <w:tcW w:w="15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p>
        </w:tc>
        <w:tc>
          <w:tcPr>
            <w:tcW w:w="201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p>
        </w:tc>
        <w:tc>
          <w:tcPr>
            <w:tcW w:w="136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p>
        </w:tc>
        <w:tc>
          <w:tcPr>
            <w:tcW w:w="809" w:type="dxa"/>
            <w:tcBorders>
              <w:top w:val="single" w:color="auto" w:sz="4" w:space="0"/>
              <w:left w:val="single" w:color="auto" w:sz="4" w:space="0"/>
              <w:bottom w:val="single" w:color="auto" w:sz="4" w:space="0"/>
              <w:right w:val="single" w:color="auto" w:sz="12" w:space="0"/>
            </w:tcBorders>
            <w:vAlign w:val="center"/>
          </w:tcPr>
          <w:p>
            <w:pPr>
              <w:spacing w:line="420" w:lineRule="exact"/>
              <w:jc w:val="cente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5" w:hRule="exact"/>
        </w:trPr>
        <w:tc>
          <w:tcPr>
            <w:tcW w:w="743" w:type="dxa"/>
            <w:tcBorders>
              <w:top w:val="single" w:color="auto" w:sz="4" w:space="0"/>
              <w:left w:val="single" w:color="auto" w:sz="12" w:space="0"/>
              <w:bottom w:val="single" w:color="auto" w:sz="4" w:space="0"/>
              <w:right w:val="single" w:color="auto" w:sz="4" w:space="0"/>
            </w:tcBorders>
          </w:tcPr>
          <w:p>
            <w:pPr>
              <w:spacing w:line="4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2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p>
        </w:tc>
        <w:tc>
          <w:tcPr>
            <w:tcW w:w="15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p>
        </w:tc>
        <w:tc>
          <w:tcPr>
            <w:tcW w:w="201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p>
        </w:tc>
        <w:tc>
          <w:tcPr>
            <w:tcW w:w="136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p>
        </w:tc>
        <w:tc>
          <w:tcPr>
            <w:tcW w:w="809" w:type="dxa"/>
            <w:tcBorders>
              <w:top w:val="single" w:color="auto" w:sz="4" w:space="0"/>
              <w:left w:val="single" w:color="auto" w:sz="4" w:space="0"/>
              <w:bottom w:val="single" w:color="auto" w:sz="4" w:space="0"/>
              <w:right w:val="single" w:color="auto" w:sz="12" w:space="0"/>
            </w:tcBorders>
            <w:vAlign w:val="center"/>
          </w:tcPr>
          <w:p>
            <w:pPr>
              <w:spacing w:line="420" w:lineRule="exact"/>
              <w:jc w:val="cente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trPr>
        <w:tc>
          <w:tcPr>
            <w:tcW w:w="743" w:type="dxa"/>
            <w:tcBorders>
              <w:top w:val="single" w:color="auto" w:sz="4" w:space="0"/>
              <w:left w:val="single" w:color="auto" w:sz="12" w:space="0"/>
              <w:bottom w:val="single" w:color="auto" w:sz="12" w:space="0"/>
              <w:right w:val="single" w:color="auto" w:sz="4" w:space="0"/>
            </w:tcBorders>
          </w:tcPr>
          <w:p>
            <w:pPr>
              <w:spacing w:line="4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43" w:type="dxa"/>
            <w:tcBorders>
              <w:top w:val="single" w:color="auto" w:sz="4" w:space="0"/>
              <w:left w:val="single" w:color="auto" w:sz="4" w:space="0"/>
              <w:bottom w:val="single" w:color="auto" w:sz="12"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p>
        </w:tc>
        <w:tc>
          <w:tcPr>
            <w:tcW w:w="1599" w:type="dxa"/>
            <w:tcBorders>
              <w:top w:val="single" w:color="auto" w:sz="4" w:space="0"/>
              <w:left w:val="single" w:color="auto" w:sz="4" w:space="0"/>
              <w:bottom w:val="single" w:color="auto" w:sz="12"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p>
        </w:tc>
        <w:tc>
          <w:tcPr>
            <w:tcW w:w="1767" w:type="dxa"/>
            <w:tcBorders>
              <w:top w:val="single" w:color="auto" w:sz="4" w:space="0"/>
              <w:left w:val="single" w:color="auto" w:sz="4" w:space="0"/>
              <w:bottom w:val="single" w:color="auto" w:sz="12"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p>
        </w:tc>
        <w:tc>
          <w:tcPr>
            <w:tcW w:w="2019" w:type="dxa"/>
            <w:tcBorders>
              <w:top w:val="single" w:color="auto" w:sz="4" w:space="0"/>
              <w:left w:val="single" w:color="auto" w:sz="4" w:space="0"/>
              <w:bottom w:val="single" w:color="auto" w:sz="12"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p>
        </w:tc>
        <w:tc>
          <w:tcPr>
            <w:tcW w:w="1363" w:type="dxa"/>
            <w:tcBorders>
              <w:top w:val="single" w:color="auto" w:sz="4" w:space="0"/>
              <w:left w:val="single" w:color="auto" w:sz="4" w:space="0"/>
              <w:bottom w:val="single" w:color="auto" w:sz="12" w:space="0"/>
              <w:right w:val="single" w:color="auto" w:sz="4" w:space="0"/>
            </w:tcBorders>
            <w:vAlign w:val="center"/>
          </w:tcPr>
          <w:p>
            <w:pPr>
              <w:spacing w:line="420" w:lineRule="exact"/>
              <w:jc w:val="center"/>
              <w:rPr>
                <w:rFonts w:hint="eastAsia" w:ascii="仿宋_GB2312" w:hAnsi="仿宋_GB2312" w:eastAsia="仿宋_GB2312" w:cs="仿宋_GB2312"/>
                <w:sz w:val="24"/>
                <w:szCs w:val="24"/>
              </w:rPr>
            </w:pPr>
          </w:p>
        </w:tc>
        <w:tc>
          <w:tcPr>
            <w:tcW w:w="809" w:type="dxa"/>
            <w:tcBorders>
              <w:top w:val="single" w:color="auto" w:sz="4" w:space="0"/>
              <w:left w:val="single" w:color="auto" w:sz="4" w:space="0"/>
              <w:bottom w:val="single" w:color="auto" w:sz="12" w:space="0"/>
              <w:right w:val="single" w:color="auto" w:sz="12" w:space="0"/>
            </w:tcBorders>
            <w:vAlign w:val="center"/>
          </w:tcPr>
          <w:p>
            <w:pPr>
              <w:spacing w:line="420" w:lineRule="exact"/>
              <w:jc w:val="center"/>
              <w:rPr>
                <w:rFonts w:hint="eastAsia" w:ascii="仿宋_GB2312" w:hAnsi="仿宋_GB2312" w:eastAsia="仿宋_GB2312" w:cs="仿宋_GB2312"/>
                <w:sz w:val="24"/>
                <w:szCs w:val="24"/>
              </w:rPr>
            </w:pPr>
          </w:p>
        </w:tc>
      </w:tr>
    </w:tbl>
    <w:p>
      <w:pPr>
        <w:spacing w:line="42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w:t>
      </w:r>
    </w:p>
    <w:p>
      <w:pPr>
        <w:spacing w:line="42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① 报价人应对照询价文件技术要求等要求，所投标的物与询价文件的规定有偏离的，应在此表中申明与技术要求条文的正、负偏离，如有例外请说明。</w:t>
      </w:r>
    </w:p>
    <w:p>
      <w:pPr>
        <w:spacing w:line="42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② 该表不作为报价人对所投标的物关于技术要求等详细描述和说明的替代。</w:t>
      </w:r>
    </w:p>
    <w:p>
      <w:pPr>
        <w:spacing w:line="420" w:lineRule="exact"/>
        <w:ind w:firstLine="360" w:firstLineChars="150"/>
        <w:jc w:val="center"/>
        <w:outlineLvl w:val="3"/>
        <w:rPr>
          <w:rFonts w:hint="eastAsia" w:ascii="仿宋_GB2312" w:hAnsi="仿宋_GB2312" w:eastAsia="仿宋_GB2312" w:cs="仿宋_GB2312"/>
          <w:sz w:val="24"/>
          <w:szCs w:val="24"/>
        </w:rPr>
      </w:pPr>
    </w:p>
    <w:p>
      <w:pPr>
        <w:spacing w:line="420" w:lineRule="exact"/>
        <w:ind w:firstLine="360" w:firstLineChars="150"/>
        <w:jc w:val="center"/>
        <w:outlineLvl w:val="3"/>
        <w:rPr>
          <w:rFonts w:hint="eastAsia" w:ascii="仿宋_GB2312" w:hAnsi="仿宋_GB2312" w:eastAsia="仿宋_GB2312" w:cs="仿宋_GB2312"/>
          <w:sz w:val="24"/>
          <w:szCs w:val="24"/>
        </w:rPr>
      </w:pPr>
    </w:p>
    <w:p>
      <w:pPr>
        <w:spacing w:line="420" w:lineRule="exact"/>
        <w:ind w:firstLine="360" w:firstLineChars="150"/>
        <w:jc w:val="center"/>
        <w:outlineLvl w:val="3"/>
        <w:rPr>
          <w:rFonts w:hint="eastAsia" w:ascii="仿宋_GB2312" w:hAnsi="仿宋_GB2312" w:eastAsia="仿宋_GB2312" w:cs="仿宋_GB2312"/>
          <w:sz w:val="24"/>
          <w:szCs w:val="24"/>
        </w:rPr>
      </w:pPr>
    </w:p>
    <w:p>
      <w:pPr>
        <w:spacing w:line="420" w:lineRule="exact"/>
        <w:ind w:firstLine="360" w:firstLineChars="150"/>
        <w:jc w:val="center"/>
        <w:outlineLvl w:val="3"/>
        <w:rPr>
          <w:rFonts w:hint="eastAsia" w:ascii="仿宋_GB2312" w:hAnsi="仿宋_GB2312" w:eastAsia="仿宋_GB2312" w:cs="仿宋_GB2312"/>
          <w:sz w:val="24"/>
          <w:szCs w:val="24"/>
        </w:rPr>
      </w:pPr>
    </w:p>
    <w:p>
      <w:pPr>
        <w:spacing w:line="420" w:lineRule="exact"/>
        <w:ind w:firstLine="360" w:firstLineChars="150"/>
        <w:jc w:val="center"/>
        <w:outlineLvl w:val="3"/>
        <w:rPr>
          <w:rFonts w:hint="eastAsia" w:ascii="仿宋_GB2312" w:hAnsi="仿宋_GB2312" w:eastAsia="仿宋_GB2312" w:cs="仿宋_GB2312"/>
          <w:sz w:val="24"/>
          <w:szCs w:val="24"/>
        </w:rPr>
      </w:pPr>
    </w:p>
    <w:p>
      <w:pPr>
        <w:spacing w:line="420" w:lineRule="exact"/>
        <w:ind w:firstLine="360" w:firstLineChars="150"/>
        <w:jc w:val="center"/>
        <w:outlineLvl w:val="3"/>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b/>
          <w:sz w:val="24"/>
          <w:szCs w:val="24"/>
        </w:rPr>
        <w:t>项目需求产品的安装及验收</w:t>
      </w:r>
    </w:p>
    <w:p>
      <w:pPr>
        <w:tabs>
          <w:tab w:val="left" w:pos="720"/>
        </w:tabs>
        <w:spacing w:line="42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（1）提供需求产品的供货安装方案及安装质量保证措施；</w:t>
      </w:r>
    </w:p>
    <w:p>
      <w:pPr>
        <w:tabs>
          <w:tab w:val="left" w:pos="720"/>
        </w:tabs>
        <w:spacing w:line="42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（2）提供竞标货物产品质量验收标准及验收方案，质量承诺，一旦成交有可能作为采购方验收货物的依据之一。</w:t>
      </w:r>
    </w:p>
    <w:p>
      <w:pPr>
        <w:spacing w:line="420" w:lineRule="exact"/>
        <w:ind w:firstLine="360" w:firstLineChars="150"/>
        <w:jc w:val="center"/>
        <w:outlineLvl w:val="3"/>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6、</w:t>
      </w:r>
      <w:r>
        <w:rPr>
          <w:rFonts w:hint="eastAsia" w:ascii="仿宋_GB2312" w:hAnsi="仿宋_GB2312" w:eastAsia="仿宋_GB2312" w:cs="仿宋_GB2312"/>
          <w:b/>
          <w:sz w:val="24"/>
          <w:szCs w:val="24"/>
        </w:rPr>
        <w:t>质保及售后服务</w:t>
      </w:r>
    </w:p>
    <w:p>
      <w:pPr>
        <w:spacing w:line="420" w:lineRule="exact"/>
        <w:ind w:firstLine="360" w:firstLineChars="150"/>
        <w:jc w:val="center"/>
        <w:outlineLvl w:val="3"/>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（包含但不限于如下的内容）：</w:t>
      </w:r>
    </w:p>
    <w:p>
      <w:pPr>
        <w:tabs>
          <w:tab w:val="left" w:pos="720"/>
        </w:tabs>
        <w:spacing w:line="42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①交货时提供免费的操作培训</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提供整体项目的质量三包承诺内容及具体产品售后服务办法。</w:t>
      </w:r>
      <w:bookmarkStart w:id="11" w:name="_GoBack"/>
      <w:bookmarkEnd w:id="11"/>
    </w:p>
    <w:p>
      <w:pPr>
        <w:tabs>
          <w:tab w:val="left" w:pos="720"/>
        </w:tabs>
        <w:spacing w:line="42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②报价人须满足采购人对项目本地化服务的维护要求并提供相应的承诺函（格式自拟）。</w:t>
      </w:r>
    </w:p>
    <w:p>
      <w:pPr>
        <w:tabs>
          <w:tab w:val="left" w:pos="720"/>
        </w:tabs>
        <w:spacing w:line="42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③针对本项目需求产品技术要求，分别提供各需求产品的售后服务承诺函、免费保修时间及服务的内容；</w:t>
      </w:r>
    </w:p>
    <w:p>
      <w:pPr>
        <w:pStyle w:val="6"/>
        <w:kinsoku w:val="0"/>
        <w:topLinePunct/>
        <w:autoSpaceDE w:val="0"/>
        <w:autoSpaceDN w:val="0"/>
        <w:snapToGrid w:val="0"/>
        <w:spacing w:line="560" w:lineRule="exact"/>
        <w:ind w:firstLine="0"/>
        <w:rPr>
          <w:rFonts w:hint="eastAsia" w:ascii="仿宋_GB2312" w:hAnsi="仿宋_GB2312" w:eastAsia="仿宋_GB2312" w:cs="仿宋_GB2312"/>
          <w:color w:val="000000"/>
          <w:sz w:val="28"/>
          <w:szCs w:val="28"/>
        </w:rPr>
      </w:pPr>
    </w:p>
    <w:p>
      <w:pPr>
        <w:snapToGrid w:val="0"/>
        <w:spacing w:line="360" w:lineRule="exact"/>
        <w:jc w:val="right"/>
        <w:rPr>
          <w:rFonts w:hint="eastAsia" w:ascii="仿宋_GB2312" w:hAnsi="仿宋_GB2312" w:eastAsia="仿宋_GB2312" w:cs="仿宋_GB2312"/>
          <w:sz w:val="21"/>
          <w:szCs w:val="21"/>
        </w:rPr>
      </w:pPr>
    </w:p>
    <w:p>
      <w:pPr>
        <w:snapToGrid w:val="0"/>
        <w:spacing w:line="360" w:lineRule="exact"/>
        <w:outlineLvl w:val="2"/>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D、商务标文件（单独密封）</w:t>
      </w:r>
    </w:p>
    <w:p>
      <w:pPr>
        <w:snapToGrid w:val="0"/>
        <w:spacing w:line="360" w:lineRule="exact"/>
        <w:jc w:val="center"/>
        <w:outlineLvl w:val="3"/>
        <w:rPr>
          <w:rFonts w:hint="eastAsia" w:ascii="仿宋_GB2312" w:hAnsi="仿宋_GB2312" w:eastAsia="仿宋_GB2312" w:cs="仿宋_GB2312"/>
          <w:b/>
          <w:bCs/>
          <w:sz w:val="24"/>
          <w:szCs w:val="24"/>
        </w:rPr>
      </w:pPr>
      <w:r>
        <w:rPr>
          <w:rFonts w:hint="eastAsia" w:ascii="仿宋_GB2312" w:hAnsi="仿宋_GB2312" w:eastAsia="仿宋_GB2312" w:cs="仿宋_GB2312"/>
          <w:b/>
          <w:sz w:val="24"/>
          <w:szCs w:val="24"/>
        </w:rPr>
        <w:t>1、投标</w:t>
      </w:r>
      <w:r>
        <w:rPr>
          <w:rFonts w:hint="eastAsia" w:ascii="仿宋_GB2312" w:hAnsi="仿宋_GB2312" w:eastAsia="仿宋_GB2312" w:cs="仿宋_GB2312"/>
          <w:b/>
          <w:bCs/>
          <w:sz w:val="24"/>
          <w:szCs w:val="24"/>
        </w:rPr>
        <w:t>报价总表（格式表）</w:t>
      </w:r>
    </w:p>
    <w:p>
      <w:pPr>
        <w:spacing w:line="5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项目名称：南通市崇川区钟秀街道PAD设备采购及安装项目</w:t>
      </w:r>
    </w:p>
    <w:tbl>
      <w:tblPr>
        <w:tblStyle w:val="60"/>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44"/>
        <w:gridCol w:w="2718"/>
        <w:gridCol w:w="2268"/>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2244" w:type="dxa"/>
            <w:tcBorders>
              <w:top w:val="single" w:color="auto" w:sz="4" w:space="0"/>
              <w:bottom w:val="single" w:color="auto" w:sz="4" w:space="0"/>
              <w:right w:val="single" w:color="auto" w:sz="4" w:space="0"/>
            </w:tcBorders>
            <w:vAlign w:val="center"/>
          </w:tcPr>
          <w:p>
            <w:pPr>
              <w:spacing w:line="360" w:lineRule="exact"/>
              <w:ind w:left="1" w:firstLine="27" w:firstLineChars="11"/>
              <w:jc w:val="center"/>
              <w:textAlignment w:val="bottom"/>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货物名称</w:t>
            </w:r>
          </w:p>
        </w:tc>
        <w:tc>
          <w:tcPr>
            <w:tcW w:w="2718" w:type="dxa"/>
            <w:tcBorders>
              <w:top w:val="single" w:color="auto" w:sz="4" w:space="0"/>
              <w:left w:val="single" w:color="auto" w:sz="4" w:space="0"/>
              <w:bottom w:val="single" w:color="auto" w:sz="4" w:space="0"/>
              <w:right w:val="single" w:color="auto" w:sz="4" w:space="0"/>
            </w:tcBorders>
            <w:vAlign w:val="center"/>
          </w:tcPr>
          <w:p>
            <w:pPr>
              <w:spacing w:line="360" w:lineRule="exact"/>
              <w:ind w:left="1" w:firstLine="27" w:firstLineChars="11"/>
              <w:textAlignment w:val="bottom"/>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投标报价（元）</w:t>
            </w:r>
          </w:p>
          <w:p>
            <w:pPr>
              <w:spacing w:line="360" w:lineRule="exact"/>
              <w:ind w:left="1" w:firstLine="27" w:firstLineChars="11"/>
              <w:textAlignment w:val="bottom"/>
              <w:rPr>
                <w:rFonts w:hint="eastAsia" w:ascii="仿宋_GB2312" w:hAnsi="仿宋_GB2312" w:eastAsia="仿宋_GB2312" w:cs="仿宋_GB2312"/>
                <w:b/>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ind w:left="1" w:firstLine="27" w:firstLineChars="11"/>
              <w:textAlignment w:val="bottom"/>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项目完成时间</w:t>
            </w:r>
          </w:p>
        </w:tc>
        <w:tc>
          <w:tcPr>
            <w:tcW w:w="2268" w:type="dxa"/>
            <w:tcBorders>
              <w:top w:val="single" w:color="auto" w:sz="4" w:space="0"/>
              <w:left w:val="single" w:color="auto" w:sz="4" w:space="0"/>
              <w:bottom w:val="single" w:color="auto" w:sz="4" w:space="0"/>
            </w:tcBorders>
            <w:vAlign w:val="center"/>
          </w:tcPr>
          <w:p>
            <w:pPr>
              <w:spacing w:line="360" w:lineRule="exact"/>
              <w:ind w:left="1" w:firstLine="27" w:firstLineChars="11"/>
              <w:jc w:val="center"/>
              <w:textAlignment w:val="bottom"/>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3" w:hRule="atLeast"/>
        </w:trPr>
        <w:tc>
          <w:tcPr>
            <w:tcW w:w="2244" w:type="dxa"/>
            <w:tcBorders>
              <w:top w:val="single" w:color="auto" w:sz="4" w:space="0"/>
              <w:bottom w:val="single" w:color="auto" w:sz="4" w:space="0"/>
              <w:right w:val="single" w:color="auto" w:sz="4" w:space="0"/>
            </w:tcBorders>
          </w:tcPr>
          <w:p>
            <w:pPr>
              <w:tabs>
                <w:tab w:val="left" w:pos="1050"/>
                <w:tab w:val="right" w:leader="dot" w:pos="9402"/>
              </w:tabs>
              <w:spacing w:beforeLines="100" w:line="400" w:lineRule="exact"/>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南通市崇川区钟秀街道PAD设备采购及安装项目</w:t>
            </w:r>
          </w:p>
        </w:tc>
        <w:tc>
          <w:tcPr>
            <w:tcW w:w="2718" w:type="dxa"/>
            <w:tcBorders>
              <w:top w:val="single" w:color="auto" w:sz="4" w:space="0"/>
              <w:left w:val="single" w:color="auto" w:sz="4" w:space="0"/>
              <w:bottom w:val="single" w:color="auto" w:sz="4" w:space="0"/>
              <w:right w:val="single" w:color="auto" w:sz="4" w:space="0"/>
            </w:tcBorders>
            <w:vAlign w:val="center"/>
          </w:tcPr>
          <w:p>
            <w:pPr>
              <w:spacing w:line="360" w:lineRule="exact"/>
              <w:ind w:left="1" w:firstLine="26" w:firstLineChars="11"/>
              <w:textAlignment w:val="bottom"/>
              <w:rPr>
                <w:rFonts w:hint="eastAsia" w:ascii="仿宋_GB2312" w:hAnsi="仿宋_GB2312" w:eastAsia="仿宋_GB2312" w:cs="仿宋_GB2312"/>
                <w:kern w:val="0"/>
                <w:sz w:val="24"/>
                <w:szCs w:val="24"/>
              </w:rPr>
            </w:pPr>
          </w:p>
        </w:tc>
        <w:tc>
          <w:tcPr>
            <w:tcW w:w="2268" w:type="dxa"/>
            <w:tcBorders>
              <w:top w:val="single" w:color="auto" w:sz="4" w:space="0"/>
              <w:left w:val="single" w:color="auto" w:sz="4" w:space="0"/>
              <w:right w:val="single" w:color="auto" w:sz="4" w:space="0"/>
            </w:tcBorders>
            <w:vAlign w:val="center"/>
          </w:tcPr>
          <w:p>
            <w:pPr>
              <w:spacing w:line="360" w:lineRule="exact"/>
              <w:ind w:left="1" w:firstLine="26" w:firstLineChars="11"/>
              <w:textAlignment w:val="bottom"/>
              <w:rPr>
                <w:rFonts w:hint="eastAsia" w:ascii="仿宋_GB2312" w:hAnsi="仿宋_GB2312" w:eastAsia="仿宋_GB2312" w:cs="仿宋_GB2312"/>
                <w:b/>
                <w:kern w:val="0"/>
                <w:sz w:val="24"/>
                <w:szCs w:val="24"/>
              </w:rPr>
            </w:pPr>
            <w:r>
              <w:rPr>
                <w:rFonts w:hint="eastAsia" w:ascii="仿宋_GB2312" w:hAnsi="仿宋_GB2312" w:eastAsia="仿宋_GB2312" w:cs="仿宋_GB2312"/>
                <w:kern w:val="0"/>
                <w:sz w:val="24"/>
                <w:szCs w:val="24"/>
              </w:rPr>
              <w:t>完全响应</w:t>
            </w:r>
            <w:r>
              <w:rPr>
                <w:rFonts w:hint="eastAsia" w:ascii="仿宋_GB2312" w:hAnsi="仿宋_GB2312" w:eastAsia="仿宋_GB2312" w:cs="仿宋_GB2312"/>
                <w:sz w:val="24"/>
                <w:szCs w:val="24"/>
              </w:rPr>
              <w:t>询价采购</w:t>
            </w:r>
            <w:r>
              <w:rPr>
                <w:rFonts w:hint="eastAsia" w:ascii="仿宋_GB2312" w:hAnsi="仿宋_GB2312" w:eastAsia="仿宋_GB2312" w:cs="仿宋_GB2312"/>
                <w:kern w:val="0"/>
                <w:sz w:val="24"/>
                <w:szCs w:val="24"/>
              </w:rPr>
              <w:t>文件要求的时间</w:t>
            </w:r>
          </w:p>
        </w:tc>
        <w:tc>
          <w:tcPr>
            <w:tcW w:w="2268" w:type="dxa"/>
            <w:tcBorders>
              <w:top w:val="single" w:color="auto" w:sz="4" w:space="0"/>
              <w:left w:val="single" w:color="auto" w:sz="4" w:space="0"/>
            </w:tcBorders>
            <w:vAlign w:val="center"/>
          </w:tcPr>
          <w:p>
            <w:pPr>
              <w:spacing w:line="360" w:lineRule="exact"/>
              <w:ind w:left="1"/>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完全响应</w:t>
            </w:r>
            <w:r>
              <w:rPr>
                <w:rFonts w:hint="eastAsia" w:ascii="仿宋_GB2312" w:hAnsi="仿宋_GB2312" w:eastAsia="仿宋_GB2312" w:cs="仿宋_GB2312"/>
                <w:sz w:val="24"/>
                <w:szCs w:val="24"/>
              </w:rPr>
              <w:t>询价采购</w:t>
            </w:r>
            <w:r>
              <w:rPr>
                <w:rFonts w:hint="eastAsia" w:ascii="仿宋_GB2312" w:hAnsi="仿宋_GB2312" w:eastAsia="仿宋_GB2312" w:cs="仿宋_GB2312"/>
                <w:kern w:val="0"/>
                <w:sz w:val="24"/>
                <w:szCs w:val="24"/>
              </w:rPr>
              <w:t>文件要求的付款方式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3" w:hRule="atLeast"/>
        </w:trPr>
        <w:tc>
          <w:tcPr>
            <w:tcW w:w="9498" w:type="dxa"/>
            <w:gridSpan w:val="4"/>
            <w:tcBorders>
              <w:top w:val="single" w:color="auto" w:sz="4" w:space="0"/>
              <w:bottom w:val="single" w:color="auto" w:sz="4" w:space="0"/>
            </w:tcBorders>
            <w:vAlign w:val="center"/>
          </w:tcPr>
          <w:p>
            <w:pPr>
              <w:spacing w:line="360" w:lineRule="exact"/>
              <w:ind w:left="1" w:firstLine="27" w:firstLineChars="11"/>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投标报价总价（元）大写：                            小写：</w:t>
            </w:r>
          </w:p>
        </w:tc>
      </w:tr>
    </w:tbl>
    <w:p>
      <w:pPr>
        <w:kinsoku w:val="0"/>
        <w:topLinePunct/>
        <w:snapToGrid w:val="0"/>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投标人：（盖章）</w:t>
      </w:r>
    </w:p>
    <w:p>
      <w:pPr>
        <w:kinsoku w:val="0"/>
        <w:topLinePunct/>
        <w:snapToGrid w:val="0"/>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法定代表人或被委托授权人（签字）：</w:t>
      </w:r>
    </w:p>
    <w:p>
      <w:pPr>
        <w:kinsoku w:val="0"/>
        <w:topLinePunct/>
        <w:snapToGrid w:val="0"/>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日期：</w:t>
      </w:r>
    </w:p>
    <w:p>
      <w:pPr>
        <w:kinsoku w:val="0"/>
        <w:topLinePunct/>
        <w:snapToGrid w:val="0"/>
        <w:spacing w:line="360" w:lineRule="exact"/>
        <w:rPr>
          <w:rFonts w:hint="eastAsia" w:ascii="仿宋_GB2312" w:hAnsi="仿宋_GB2312" w:eastAsia="仿宋_GB2312" w:cs="仿宋_GB2312"/>
          <w:sz w:val="24"/>
          <w:szCs w:val="24"/>
        </w:rPr>
      </w:pPr>
    </w:p>
    <w:p>
      <w:pPr>
        <w:snapToGrid w:val="0"/>
        <w:spacing w:line="360" w:lineRule="exact"/>
        <w:jc w:val="left"/>
        <w:rPr>
          <w:rFonts w:hint="eastAsia" w:ascii="仿宋_GB2312" w:hAnsi="仿宋_GB2312" w:eastAsia="仿宋_GB2312" w:cs="仿宋_GB2312"/>
          <w:sz w:val="24"/>
          <w:szCs w:val="24"/>
        </w:rPr>
      </w:pPr>
    </w:p>
    <w:p>
      <w:pPr>
        <w:snapToGrid w:val="0"/>
        <w:spacing w:line="240" w:lineRule="exact"/>
        <w:ind w:firstLine="496" w:firstLineChars="206"/>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注：</w:t>
      </w:r>
    </w:p>
    <w:p>
      <w:pPr>
        <w:snapToGrid w:val="0"/>
        <w:spacing w:line="240" w:lineRule="exact"/>
        <w:ind w:firstLine="494" w:firstLineChars="206"/>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1、本表为格式表，不得自行改动，必须提供。</w:t>
      </w:r>
    </w:p>
    <w:p>
      <w:pPr>
        <w:snapToGrid w:val="0"/>
        <w:spacing w:line="240" w:lineRule="exact"/>
        <w:ind w:firstLine="494" w:firstLineChars="20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投标报价应包括所有的货物产品设备费、材料费、运输到指定地点的装运费用（含装卸力资）、安装及调试费、相关辅助材料费、检验费、性能介绍、人员培训费用、税费、售后服务、为完成本项目所必须的其他辅助工作的相关费用等所有费用，即项目履行到项目执行结束的过程中所发生的一切费用及响应询价文件要求的所有费用。</w:t>
      </w:r>
    </w:p>
    <w:p>
      <w:pPr>
        <w:snapToGrid w:val="0"/>
        <w:spacing w:line="2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本次询价采购活动项目的响应报价为一次报定价。询价响应成交后，报价即为成交价，除非因特殊原因并经买卖双方协商同意，成交人不得再要求追加任何费用。同时，除非合同条款中另有规定，否则成交人的成交价在合同实施期间不因市场变化因素而变动。</w:t>
      </w:r>
    </w:p>
    <w:p>
      <w:pPr>
        <w:snapToGrid w:val="0"/>
        <w:spacing w:line="240" w:lineRule="exact"/>
        <w:ind w:firstLine="494" w:firstLineChars="206"/>
        <w:rPr>
          <w:rFonts w:hint="eastAsia" w:ascii="仿宋_GB2312" w:hAnsi="仿宋_GB2312" w:eastAsia="仿宋_GB2312" w:cs="仿宋_GB2312"/>
          <w:color w:val="FF0000"/>
          <w:sz w:val="24"/>
          <w:szCs w:val="24"/>
        </w:rPr>
      </w:pPr>
    </w:p>
    <w:p>
      <w:pPr>
        <w:snapToGrid w:val="0"/>
        <w:spacing w:line="240" w:lineRule="exact"/>
        <w:ind w:firstLine="432" w:firstLineChars="206"/>
        <w:rPr>
          <w:rFonts w:hint="eastAsia" w:ascii="仿宋_GB2312" w:hAnsi="仿宋_GB2312" w:eastAsia="仿宋_GB2312" w:cs="仿宋_GB2312"/>
          <w:color w:val="FF0000"/>
          <w:sz w:val="21"/>
          <w:szCs w:val="21"/>
        </w:rPr>
      </w:pPr>
    </w:p>
    <w:p>
      <w:pPr>
        <w:snapToGrid w:val="0"/>
        <w:spacing w:line="240" w:lineRule="exact"/>
        <w:ind w:firstLine="432" w:firstLineChars="206"/>
        <w:rPr>
          <w:rFonts w:hint="eastAsia" w:ascii="仿宋_GB2312" w:hAnsi="仿宋_GB2312" w:eastAsia="仿宋_GB2312" w:cs="仿宋_GB2312"/>
          <w:color w:val="FF0000"/>
          <w:sz w:val="21"/>
          <w:szCs w:val="21"/>
        </w:rPr>
      </w:pPr>
    </w:p>
    <w:p>
      <w:pPr>
        <w:snapToGrid w:val="0"/>
        <w:spacing w:line="240" w:lineRule="exact"/>
        <w:ind w:firstLine="432" w:firstLineChars="206"/>
        <w:rPr>
          <w:rFonts w:hint="eastAsia" w:ascii="仿宋_GB2312" w:hAnsi="仿宋_GB2312" w:eastAsia="仿宋_GB2312" w:cs="仿宋_GB2312"/>
          <w:color w:val="FF0000"/>
          <w:sz w:val="21"/>
          <w:szCs w:val="21"/>
        </w:rPr>
      </w:pPr>
    </w:p>
    <w:p>
      <w:pPr>
        <w:snapToGrid w:val="0"/>
        <w:spacing w:line="240" w:lineRule="exact"/>
        <w:ind w:firstLine="432" w:firstLineChars="206"/>
        <w:rPr>
          <w:rFonts w:hint="eastAsia" w:ascii="仿宋_GB2312" w:hAnsi="仿宋_GB2312" w:eastAsia="仿宋_GB2312" w:cs="仿宋_GB2312"/>
          <w:color w:val="FF0000"/>
          <w:sz w:val="21"/>
          <w:szCs w:val="21"/>
        </w:rPr>
      </w:pPr>
    </w:p>
    <w:p>
      <w:pPr>
        <w:snapToGrid w:val="0"/>
        <w:spacing w:line="360" w:lineRule="exact"/>
        <w:jc w:val="both"/>
        <w:outlineLvl w:val="3"/>
        <w:rPr>
          <w:rFonts w:hint="eastAsia" w:ascii="仿宋_GB2312" w:hAnsi="仿宋_GB2312" w:eastAsia="仿宋_GB2312" w:cs="仿宋_GB2312"/>
          <w:b/>
          <w:sz w:val="24"/>
          <w:szCs w:val="24"/>
        </w:rPr>
      </w:pPr>
    </w:p>
    <w:p>
      <w:pPr>
        <w:snapToGrid w:val="0"/>
        <w:spacing w:line="360" w:lineRule="exact"/>
        <w:jc w:val="center"/>
        <w:outlineLvl w:val="3"/>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2、</w:t>
      </w:r>
      <w:r>
        <w:rPr>
          <w:rFonts w:hint="eastAsia" w:ascii="仿宋_GB2312" w:hAnsi="仿宋_GB2312" w:eastAsia="仿宋_GB2312" w:cs="仿宋_GB2312"/>
          <w:b/>
          <w:bCs/>
          <w:sz w:val="24"/>
          <w:szCs w:val="24"/>
        </w:rPr>
        <w:t>投标报价</w:t>
      </w:r>
      <w:r>
        <w:rPr>
          <w:rFonts w:hint="eastAsia" w:ascii="仿宋_GB2312" w:hAnsi="仿宋_GB2312" w:eastAsia="仿宋_GB2312" w:cs="仿宋_GB2312"/>
          <w:b/>
          <w:sz w:val="24"/>
          <w:szCs w:val="24"/>
        </w:rPr>
        <w:t>明细表</w:t>
      </w:r>
    </w:p>
    <w:p>
      <w:pPr>
        <w:snapToGrid w:val="0"/>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项目名称：南通市崇川区钟秀街道PAD设备采购及安装项目</w:t>
      </w:r>
    </w:p>
    <w:tbl>
      <w:tblPr>
        <w:tblStyle w:val="60"/>
        <w:tblpPr w:leftFromText="180" w:rightFromText="180" w:vertAnchor="text" w:horzAnchor="margin" w:tblpY="6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517"/>
        <w:gridCol w:w="1267"/>
        <w:gridCol w:w="1267"/>
        <w:gridCol w:w="1014"/>
        <w:gridCol w:w="855"/>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92" w:type="dxa"/>
            <w:vAlign w:val="center"/>
          </w:tcPr>
          <w:p>
            <w:pPr>
              <w:snapToGrid w:val="0"/>
              <w:spacing w:line="52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1517" w:type="dxa"/>
            <w:vAlign w:val="center"/>
          </w:tcPr>
          <w:p>
            <w:pPr>
              <w:snapToGrid w:val="0"/>
              <w:spacing w:line="52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设备名称</w:t>
            </w:r>
          </w:p>
        </w:tc>
        <w:tc>
          <w:tcPr>
            <w:tcW w:w="1267" w:type="dxa"/>
            <w:vAlign w:val="center"/>
          </w:tcPr>
          <w:p>
            <w:pPr>
              <w:snapToGrid w:val="0"/>
              <w:spacing w:line="52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品牌</w:t>
            </w:r>
          </w:p>
        </w:tc>
        <w:tc>
          <w:tcPr>
            <w:tcW w:w="1267" w:type="dxa"/>
            <w:vAlign w:val="center"/>
          </w:tcPr>
          <w:p>
            <w:pPr>
              <w:snapToGrid w:val="0"/>
              <w:spacing w:line="52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型号</w:t>
            </w:r>
          </w:p>
        </w:tc>
        <w:tc>
          <w:tcPr>
            <w:tcW w:w="1014" w:type="dxa"/>
            <w:vAlign w:val="center"/>
          </w:tcPr>
          <w:p>
            <w:pPr>
              <w:snapToGrid w:val="0"/>
              <w:spacing w:line="52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单位</w:t>
            </w:r>
          </w:p>
        </w:tc>
        <w:tc>
          <w:tcPr>
            <w:tcW w:w="855" w:type="dxa"/>
            <w:vAlign w:val="center"/>
          </w:tcPr>
          <w:p>
            <w:pPr>
              <w:snapToGrid w:val="0"/>
              <w:spacing w:line="52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数量</w:t>
            </w:r>
          </w:p>
        </w:tc>
        <w:tc>
          <w:tcPr>
            <w:tcW w:w="1701" w:type="dxa"/>
            <w:vAlign w:val="center"/>
          </w:tcPr>
          <w:p>
            <w:pPr>
              <w:snapToGrid w:val="0"/>
              <w:spacing w:line="52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综合单价</w:t>
            </w:r>
          </w:p>
        </w:tc>
        <w:tc>
          <w:tcPr>
            <w:tcW w:w="993" w:type="dxa"/>
            <w:vAlign w:val="center"/>
          </w:tcPr>
          <w:p>
            <w:pPr>
              <w:snapToGrid w:val="0"/>
              <w:spacing w:line="52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92" w:type="dxa"/>
            <w:vAlign w:val="center"/>
          </w:tcPr>
          <w:p>
            <w:pPr>
              <w:snapToGrid w:val="0"/>
              <w:spacing w:line="520" w:lineRule="exact"/>
              <w:rPr>
                <w:rFonts w:hint="eastAsia" w:ascii="仿宋_GB2312" w:hAnsi="仿宋_GB2312" w:eastAsia="仿宋_GB2312" w:cs="仿宋_GB2312"/>
                <w:b/>
                <w:bCs/>
                <w:sz w:val="28"/>
                <w:szCs w:val="28"/>
              </w:rPr>
            </w:pPr>
          </w:p>
        </w:tc>
        <w:tc>
          <w:tcPr>
            <w:tcW w:w="1517" w:type="dxa"/>
            <w:vAlign w:val="center"/>
          </w:tcPr>
          <w:p>
            <w:pPr>
              <w:snapToGrid w:val="0"/>
              <w:spacing w:line="520" w:lineRule="exact"/>
              <w:rPr>
                <w:rFonts w:hint="eastAsia" w:ascii="仿宋_GB2312" w:hAnsi="仿宋_GB2312" w:eastAsia="仿宋_GB2312" w:cs="仿宋_GB2312"/>
                <w:sz w:val="28"/>
                <w:szCs w:val="28"/>
              </w:rPr>
            </w:pPr>
          </w:p>
        </w:tc>
        <w:tc>
          <w:tcPr>
            <w:tcW w:w="1267" w:type="dxa"/>
            <w:vAlign w:val="center"/>
          </w:tcPr>
          <w:p>
            <w:pPr>
              <w:snapToGrid w:val="0"/>
              <w:spacing w:line="520" w:lineRule="exact"/>
              <w:rPr>
                <w:rFonts w:hint="eastAsia" w:ascii="仿宋_GB2312" w:hAnsi="仿宋_GB2312" w:eastAsia="仿宋_GB2312" w:cs="仿宋_GB2312"/>
                <w:sz w:val="28"/>
                <w:szCs w:val="28"/>
              </w:rPr>
            </w:pPr>
          </w:p>
        </w:tc>
        <w:tc>
          <w:tcPr>
            <w:tcW w:w="1267" w:type="dxa"/>
            <w:vAlign w:val="center"/>
          </w:tcPr>
          <w:p>
            <w:pPr>
              <w:snapToGrid w:val="0"/>
              <w:spacing w:line="520" w:lineRule="exact"/>
              <w:rPr>
                <w:rFonts w:hint="eastAsia" w:ascii="仿宋_GB2312" w:hAnsi="仿宋_GB2312" w:eastAsia="仿宋_GB2312" w:cs="仿宋_GB2312"/>
                <w:sz w:val="28"/>
                <w:szCs w:val="28"/>
              </w:rPr>
            </w:pPr>
          </w:p>
        </w:tc>
        <w:tc>
          <w:tcPr>
            <w:tcW w:w="1014" w:type="dxa"/>
            <w:vAlign w:val="center"/>
          </w:tcPr>
          <w:p>
            <w:pPr>
              <w:snapToGrid w:val="0"/>
              <w:spacing w:line="520" w:lineRule="exact"/>
              <w:rPr>
                <w:rFonts w:hint="eastAsia" w:ascii="仿宋_GB2312" w:hAnsi="仿宋_GB2312" w:eastAsia="仿宋_GB2312" w:cs="仿宋_GB2312"/>
                <w:sz w:val="28"/>
                <w:szCs w:val="28"/>
              </w:rPr>
            </w:pPr>
          </w:p>
        </w:tc>
        <w:tc>
          <w:tcPr>
            <w:tcW w:w="855" w:type="dxa"/>
            <w:vAlign w:val="center"/>
          </w:tcPr>
          <w:p>
            <w:pPr>
              <w:snapToGrid w:val="0"/>
              <w:spacing w:line="520" w:lineRule="exact"/>
              <w:rPr>
                <w:rFonts w:hint="eastAsia" w:ascii="仿宋_GB2312" w:hAnsi="仿宋_GB2312" w:eastAsia="仿宋_GB2312" w:cs="仿宋_GB2312"/>
                <w:sz w:val="28"/>
                <w:szCs w:val="28"/>
              </w:rPr>
            </w:pPr>
          </w:p>
        </w:tc>
        <w:tc>
          <w:tcPr>
            <w:tcW w:w="1701" w:type="dxa"/>
            <w:vAlign w:val="center"/>
          </w:tcPr>
          <w:p>
            <w:pPr>
              <w:snapToGrid w:val="0"/>
              <w:spacing w:line="520" w:lineRule="exact"/>
              <w:rPr>
                <w:rFonts w:hint="eastAsia" w:ascii="仿宋_GB2312" w:hAnsi="仿宋_GB2312" w:eastAsia="仿宋_GB2312" w:cs="仿宋_GB2312"/>
                <w:sz w:val="28"/>
                <w:szCs w:val="28"/>
              </w:rPr>
            </w:pPr>
          </w:p>
        </w:tc>
        <w:tc>
          <w:tcPr>
            <w:tcW w:w="993" w:type="dxa"/>
            <w:vAlign w:val="center"/>
          </w:tcPr>
          <w:p>
            <w:pPr>
              <w:snapToGrid w:val="0"/>
              <w:spacing w:line="5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92" w:type="dxa"/>
            <w:vAlign w:val="center"/>
          </w:tcPr>
          <w:p>
            <w:pPr>
              <w:snapToGrid w:val="0"/>
              <w:spacing w:line="520" w:lineRule="exact"/>
              <w:rPr>
                <w:rFonts w:hint="eastAsia" w:ascii="仿宋_GB2312" w:hAnsi="仿宋_GB2312" w:eastAsia="仿宋_GB2312" w:cs="仿宋_GB2312"/>
                <w:b/>
                <w:bCs/>
                <w:sz w:val="28"/>
                <w:szCs w:val="28"/>
              </w:rPr>
            </w:pPr>
          </w:p>
        </w:tc>
        <w:tc>
          <w:tcPr>
            <w:tcW w:w="1517" w:type="dxa"/>
            <w:vAlign w:val="center"/>
          </w:tcPr>
          <w:p>
            <w:pPr>
              <w:snapToGrid w:val="0"/>
              <w:spacing w:line="520" w:lineRule="exact"/>
              <w:rPr>
                <w:rFonts w:hint="eastAsia" w:ascii="仿宋_GB2312" w:hAnsi="仿宋_GB2312" w:eastAsia="仿宋_GB2312" w:cs="仿宋_GB2312"/>
                <w:sz w:val="28"/>
                <w:szCs w:val="28"/>
              </w:rPr>
            </w:pPr>
          </w:p>
        </w:tc>
        <w:tc>
          <w:tcPr>
            <w:tcW w:w="1267" w:type="dxa"/>
            <w:vAlign w:val="center"/>
          </w:tcPr>
          <w:p>
            <w:pPr>
              <w:snapToGrid w:val="0"/>
              <w:spacing w:line="520" w:lineRule="exact"/>
              <w:rPr>
                <w:rFonts w:hint="eastAsia" w:ascii="仿宋_GB2312" w:hAnsi="仿宋_GB2312" w:eastAsia="仿宋_GB2312" w:cs="仿宋_GB2312"/>
                <w:sz w:val="28"/>
                <w:szCs w:val="28"/>
              </w:rPr>
            </w:pPr>
          </w:p>
        </w:tc>
        <w:tc>
          <w:tcPr>
            <w:tcW w:w="1267" w:type="dxa"/>
            <w:vAlign w:val="center"/>
          </w:tcPr>
          <w:p>
            <w:pPr>
              <w:snapToGrid w:val="0"/>
              <w:spacing w:line="520" w:lineRule="exact"/>
              <w:rPr>
                <w:rFonts w:hint="eastAsia" w:ascii="仿宋_GB2312" w:hAnsi="仿宋_GB2312" w:eastAsia="仿宋_GB2312" w:cs="仿宋_GB2312"/>
                <w:sz w:val="28"/>
                <w:szCs w:val="28"/>
              </w:rPr>
            </w:pPr>
          </w:p>
        </w:tc>
        <w:tc>
          <w:tcPr>
            <w:tcW w:w="1014" w:type="dxa"/>
            <w:vAlign w:val="center"/>
          </w:tcPr>
          <w:p>
            <w:pPr>
              <w:snapToGrid w:val="0"/>
              <w:spacing w:line="520" w:lineRule="exact"/>
              <w:rPr>
                <w:rFonts w:hint="eastAsia" w:ascii="仿宋_GB2312" w:hAnsi="仿宋_GB2312" w:eastAsia="仿宋_GB2312" w:cs="仿宋_GB2312"/>
                <w:sz w:val="28"/>
                <w:szCs w:val="28"/>
              </w:rPr>
            </w:pPr>
          </w:p>
        </w:tc>
        <w:tc>
          <w:tcPr>
            <w:tcW w:w="855" w:type="dxa"/>
            <w:vAlign w:val="center"/>
          </w:tcPr>
          <w:p>
            <w:pPr>
              <w:snapToGrid w:val="0"/>
              <w:spacing w:line="520" w:lineRule="exact"/>
              <w:rPr>
                <w:rFonts w:hint="eastAsia" w:ascii="仿宋_GB2312" w:hAnsi="仿宋_GB2312" w:eastAsia="仿宋_GB2312" w:cs="仿宋_GB2312"/>
                <w:sz w:val="28"/>
                <w:szCs w:val="28"/>
              </w:rPr>
            </w:pPr>
          </w:p>
        </w:tc>
        <w:tc>
          <w:tcPr>
            <w:tcW w:w="1701" w:type="dxa"/>
            <w:vAlign w:val="center"/>
          </w:tcPr>
          <w:p>
            <w:pPr>
              <w:snapToGrid w:val="0"/>
              <w:spacing w:line="520" w:lineRule="exact"/>
              <w:rPr>
                <w:rFonts w:hint="eastAsia" w:ascii="仿宋_GB2312" w:hAnsi="仿宋_GB2312" w:eastAsia="仿宋_GB2312" w:cs="仿宋_GB2312"/>
                <w:sz w:val="28"/>
                <w:szCs w:val="28"/>
              </w:rPr>
            </w:pPr>
          </w:p>
        </w:tc>
        <w:tc>
          <w:tcPr>
            <w:tcW w:w="993" w:type="dxa"/>
            <w:vAlign w:val="center"/>
          </w:tcPr>
          <w:p>
            <w:pPr>
              <w:snapToGrid w:val="0"/>
              <w:spacing w:line="5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92" w:type="dxa"/>
            <w:vAlign w:val="center"/>
          </w:tcPr>
          <w:p>
            <w:pPr>
              <w:snapToGrid w:val="0"/>
              <w:spacing w:line="520" w:lineRule="exact"/>
              <w:rPr>
                <w:rFonts w:hint="eastAsia" w:ascii="仿宋_GB2312" w:hAnsi="仿宋_GB2312" w:eastAsia="仿宋_GB2312" w:cs="仿宋_GB2312"/>
                <w:b/>
                <w:bCs/>
                <w:sz w:val="28"/>
                <w:szCs w:val="28"/>
              </w:rPr>
            </w:pPr>
          </w:p>
        </w:tc>
        <w:tc>
          <w:tcPr>
            <w:tcW w:w="1517" w:type="dxa"/>
            <w:vAlign w:val="center"/>
          </w:tcPr>
          <w:p>
            <w:pPr>
              <w:snapToGrid w:val="0"/>
              <w:spacing w:line="520" w:lineRule="exact"/>
              <w:rPr>
                <w:rFonts w:hint="eastAsia" w:ascii="仿宋_GB2312" w:hAnsi="仿宋_GB2312" w:eastAsia="仿宋_GB2312" w:cs="仿宋_GB2312"/>
                <w:sz w:val="28"/>
                <w:szCs w:val="28"/>
              </w:rPr>
            </w:pPr>
          </w:p>
        </w:tc>
        <w:tc>
          <w:tcPr>
            <w:tcW w:w="1267" w:type="dxa"/>
            <w:vAlign w:val="center"/>
          </w:tcPr>
          <w:p>
            <w:pPr>
              <w:snapToGrid w:val="0"/>
              <w:spacing w:line="520" w:lineRule="exact"/>
              <w:rPr>
                <w:rFonts w:hint="eastAsia" w:ascii="仿宋_GB2312" w:hAnsi="仿宋_GB2312" w:eastAsia="仿宋_GB2312" w:cs="仿宋_GB2312"/>
                <w:sz w:val="28"/>
                <w:szCs w:val="28"/>
              </w:rPr>
            </w:pPr>
          </w:p>
        </w:tc>
        <w:tc>
          <w:tcPr>
            <w:tcW w:w="1267" w:type="dxa"/>
            <w:vAlign w:val="center"/>
          </w:tcPr>
          <w:p>
            <w:pPr>
              <w:snapToGrid w:val="0"/>
              <w:spacing w:line="520" w:lineRule="exact"/>
              <w:rPr>
                <w:rFonts w:hint="eastAsia" w:ascii="仿宋_GB2312" w:hAnsi="仿宋_GB2312" w:eastAsia="仿宋_GB2312" w:cs="仿宋_GB2312"/>
                <w:sz w:val="28"/>
                <w:szCs w:val="28"/>
              </w:rPr>
            </w:pPr>
          </w:p>
        </w:tc>
        <w:tc>
          <w:tcPr>
            <w:tcW w:w="1014" w:type="dxa"/>
            <w:vAlign w:val="center"/>
          </w:tcPr>
          <w:p>
            <w:pPr>
              <w:snapToGrid w:val="0"/>
              <w:spacing w:line="520" w:lineRule="exact"/>
              <w:rPr>
                <w:rFonts w:hint="eastAsia" w:ascii="仿宋_GB2312" w:hAnsi="仿宋_GB2312" w:eastAsia="仿宋_GB2312" w:cs="仿宋_GB2312"/>
                <w:sz w:val="28"/>
                <w:szCs w:val="28"/>
              </w:rPr>
            </w:pPr>
          </w:p>
        </w:tc>
        <w:tc>
          <w:tcPr>
            <w:tcW w:w="855" w:type="dxa"/>
            <w:vAlign w:val="center"/>
          </w:tcPr>
          <w:p>
            <w:pPr>
              <w:snapToGrid w:val="0"/>
              <w:spacing w:line="520" w:lineRule="exact"/>
              <w:rPr>
                <w:rFonts w:hint="eastAsia" w:ascii="仿宋_GB2312" w:hAnsi="仿宋_GB2312" w:eastAsia="仿宋_GB2312" w:cs="仿宋_GB2312"/>
                <w:sz w:val="28"/>
                <w:szCs w:val="28"/>
              </w:rPr>
            </w:pPr>
          </w:p>
        </w:tc>
        <w:tc>
          <w:tcPr>
            <w:tcW w:w="1701" w:type="dxa"/>
            <w:vAlign w:val="center"/>
          </w:tcPr>
          <w:p>
            <w:pPr>
              <w:snapToGrid w:val="0"/>
              <w:spacing w:line="520" w:lineRule="exact"/>
              <w:rPr>
                <w:rFonts w:hint="eastAsia" w:ascii="仿宋_GB2312" w:hAnsi="仿宋_GB2312" w:eastAsia="仿宋_GB2312" w:cs="仿宋_GB2312"/>
                <w:sz w:val="28"/>
                <w:szCs w:val="28"/>
              </w:rPr>
            </w:pPr>
          </w:p>
        </w:tc>
        <w:tc>
          <w:tcPr>
            <w:tcW w:w="993" w:type="dxa"/>
            <w:vAlign w:val="center"/>
          </w:tcPr>
          <w:p>
            <w:pPr>
              <w:snapToGrid w:val="0"/>
              <w:spacing w:line="5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exact"/>
        </w:trPr>
        <w:tc>
          <w:tcPr>
            <w:tcW w:w="9606" w:type="dxa"/>
            <w:gridSpan w:val="8"/>
            <w:vAlign w:val="center"/>
          </w:tcPr>
          <w:p>
            <w:pPr>
              <w:snapToGrid w:val="0"/>
              <w:spacing w:line="52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w:t>
            </w:r>
          </w:p>
          <w:p>
            <w:pPr>
              <w:snapToGri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含项目所需配件</w:t>
            </w:r>
          </w:p>
          <w:p>
            <w:pPr>
              <w:snapToGrid w:val="0"/>
              <w:spacing w:line="520" w:lineRule="exact"/>
              <w:rPr>
                <w:rFonts w:hint="eastAsia" w:ascii="仿宋_GB2312" w:hAnsi="仿宋_GB2312" w:eastAsia="仿宋_GB2312" w:cs="仿宋_GB2312"/>
                <w:sz w:val="28"/>
                <w:szCs w:val="28"/>
              </w:rPr>
            </w:pPr>
          </w:p>
          <w:p>
            <w:pPr>
              <w:snapToGrid w:val="0"/>
              <w:spacing w:line="520" w:lineRule="exact"/>
              <w:rPr>
                <w:rFonts w:hint="eastAsia" w:ascii="仿宋_GB2312" w:hAnsi="仿宋_GB2312" w:eastAsia="仿宋_GB2312" w:cs="仿宋_GB2312"/>
                <w:sz w:val="28"/>
                <w:szCs w:val="28"/>
              </w:rPr>
            </w:pPr>
          </w:p>
          <w:p>
            <w:pPr>
              <w:snapToGri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p>
            <w:pPr>
              <w:snapToGrid w:val="0"/>
              <w:spacing w:line="520" w:lineRule="exact"/>
              <w:rPr>
                <w:rFonts w:hint="eastAsia" w:ascii="仿宋_GB2312" w:hAnsi="仿宋_GB2312" w:eastAsia="仿宋_GB2312" w:cs="仿宋_GB2312"/>
                <w:sz w:val="28"/>
                <w:szCs w:val="28"/>
              </w:rPr>
            </w:pPr>
          </w:p>
        </w:tc>
      </w:tr>
    </w:tbl>
    <w:p>
      <w:pPr>
        <w:kinsoku w:val="0"/>
        <w:topLinePunct/>
        <w:snapToGrid w:val="0"/>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投标人：（盖章）</w:t>
      </w:r>
    </w:p>
    <w:p>
      <w:pPr>
        <w:kinsoku w:val="0"/>
        <w:topLinePunct/>
        <w:snapToGrid w:val="0"/>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法定代表人或被委托授权人（签字）：</w:t>
      </w:r>
    </w:p>
    <w:p>
      <w:pPr>
        <w:kinsoku w:val="0"/>
        <w:topLinePunct/>
        <w:snapToGrid w:val="0"/>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日期：</w:t>
      </w:r>
    </w:p>
    <w:p>
      <w:pPr>
        <w:snapToGrid w:val="0"/>
        <w:spacing w:line="240" w:lineRule="exact"/>
        <w:ind w:firstLine="496" w:firstLineChars="206"/>
        <w:rPr>
          <w:rFonts w:hint="eastAsia" w:ascii="仿宋_GB2312" w:hAnsi="仿宋_GB2312" w:eastAsia="仿宋_GB2312" w:cs="仿宋_GB2312"/>
          <w:b/>
          <w:sz w:val="24"/>
          <w:szCs w:val="24"/>
        </w:rPr>
      </w:pPr>
    </w:p>
    <w:p>
      <w:pPr>
        <w:snapToGrid w:val="0"/>
        <w:spacing w:line="240" w:lineRule="exact"/>
        <w:ind w:firstLine="496" w:firstLineChars="206"/>
        <w:rPr>
          <w:rFonts w:hint="eastAsia" w:ascii="仿宋_GB2312" w:hAnsi="仿宋_GB2312" w:eastAsia="仿宋_GB2312" w:cs="仿宋_GB2312"/>
          <w:b/>
          <w:sz w:val="24"/>
          <w:szCs w:val="24"/>
        </w:rPr>
      </w:pPr>
    </w:p>
    <w:p>
      <w:pPr>
        <w:snapToGrid w:val="0"/>
        <w:spacing w:line="240" w:lineRule="exact"/>
        <w:ind w:firstLine="496" w:firstLineChars="206"/>
        <w:rPr>
          <w:rFonts w:hint="eastAsia" w:ascii="仿宋_GB2312" w:hAnsi="仿宋_GB2312" w:eastAsia="仿宋_GB2312" w:cs="仿宋_GB2312"/>
          <w:b/>
          <w:sz w:val="24"/>
          <w:szCs w:val="24"/>
        </w:rPr>
      </w:pPr>
    </w:p>
    <w:p>
      <w:pPr>
        <w:snapToGrid w:val="0"/>
        <w:spacing w:line="240" w:lineRule="exact"/>
        <w:ind w:firstLine="496" w:firstLineChars="206"/>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注：</w:t>
      </w:r>
    </w:p>
    <w:p>
      <w:pPr>
        <w:snapToGrid w:val="0"/>
        <w:spacing w:line="240" w:lineRule="exact"/>
        <w:ind w:firstLine="49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1、本表仅为表式，可自行增减内容。</w:t>
      </w:r>
    </w:p>
    <w:p>
      <w:pPr>
        <w:snapToGrid w:val="0"/>
        <w:spacing w:line="240" w:lineRule="exact"/>
        <w:ind w:firstLine="49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2、如果计算的结果与总价不一致，以单价为准，修正总价。</w:t>
      </w:r>
    </w:p>
    <w:p>
      <w:pPr>
        <w:snapToGrid w:val="0"/>
        <w:spacing w:line="240" w:lineRule="exact"/>
        <w:ind w:firstLine="49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3、如果不提供详细分项报价将视为未实质性响应招标文件。</w:t>
      </w:r>
    </w:p>
    <w:p>
      <w:pPr>
        <w:snapToGrid w:val="0"/>
        <w:spacing w:line="240" w:lineRule="exact"/>
        <w:ind w:firstLine="49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4、投标报价总表中总价与投标报价明细表中的合计总价有差异时，以投标报价总表中总价为准。</w:t>
      </w:r>
    </w:p>
    <w:p>
      <w:pPr>
        <w:snapToGrid w:val="0"/>
        <w:spacing w:line="360" w:lineRule="exact"/>
        <w:rPr>
          <w:rFonts w:hint="eastAsia" w:ascii="仿宋_GB2312" w:hAnsi="仿宋_GB2312" w:eastAsia="仿宋_GB2312" w:cs="仿宋_GB2312"/>
          <w:sz w:val="24"/>
          <w:szCs w:val="24"/>
        </w:rPr>
      </w:pPr>
    </w:p>
    <w:p>
      <w:pPr>
        <w:snapToGrid w:val="0"/>
        <w:spacing w:line="360" w:lineRule="exact"/>
        <w:rPr>
          <w:rFonts w:hint="eastAsia" w:ascii="仿宋_GB2312" w:hAnsi="仿宋_GB2312" w:eastAsia="仿宋_GB2312" w:cs="仿宋_GB2312"/>
          <w:sz w:val="24"/>
          <w:szCs w:val="24"/>
        </w:rPr>
      </w:pPr>
    </w:p>
    <w:p>
      <w:pPr>
        <w:snapToGrid w:val="0"/>
        <w:spacing w:line="360" w:lineRule="exact"/>
        <w:rPr>
          <w:rFonts w:hint="eastAsia" w:ascii="仿宋_GB2312" w:hAnsi="仿宋_GB2312" w:eastAsia="仿宋_GB2312" w:cs="仿宋_GB2312"/>
          <w:sz w:val="24"/>
          <w:szCs w:val="24"/>
        </w:rPr>
      </w:pPr>
    </w:p>
    <w:p>
      <w:pPr>
        <w:snapToGrid w:val="0"/>
        <w:spacing w:line="360" w:lineRule="exact"/>
        <w:rPr>
          <w:rFonts w:hint="eastAsia" w:ascii="仿宋_GB2312" w:hAnsi="仿宋_GB2312" w:eastAsia="仿宋_GB2312" w:cs="仿宋_GB2312"/>
          <w:sz w:val="24"/>
          <w:szCs w:val="24"/>
        </w:rPr>
      </w:pPr>
    </w:p>
    <w:p>
      <w:pPr>
        <w:snapToGrid w:val="0"/>
        <w:spacing w:line="360" w:lineRule="exact"/>
        <w:rPr>
          <w:rFonts w:hint="eastAsia" w:ascii="仿宋_GB2312" w:hAnsi="仿宋_GB2312" w:eastAsia="仿宋_GB2312" w:cs="仿宋_GB2312"/>
          <w:sz w:val="24"/>
          <w:szCs w:val="24"/>
        </w:rPr>
      </w:pPr>
    </w:p>
    <w:p>
      <w:pPr>
        <w:snapToGrid w:val="0"/>
        <w:spacing w:line="360" w:lineRule="exact"/>
        <w:rPr>
          <w:rFonts w:hint="eastAsia" w:ascii="仿宋_GB2312" w:hAnsi="仿宋_GB2312" w:eastAsia="仿宋_GB2312" w:cs="仿宋_GB2312"/>
          <w:sz w:val="24"/>
          <w:szCs w:val="24"/>
        </w:rPr>
      </w:pPr>
    </w:p>
    <w:p>
      <w:pPr>
        <w:snapToGrid w:val="0"/>
        <w:spacing w:line="360" w:lineRule="exact"/>
        <w:rPr>
          <w:rFonts w:hint="eastAsia" w:ascii="仿宋_GB2312" w:hAnsi="仿宋_GB2312" w:eastAsia="仿宋_GB2312" w:cs="仿宋_GB2312"/>
          <w:sz w:val="24"/>
          <w:szCs w:val="24"/>
        </w:rPr>
      </w:pPr>
    </w:p>
    <w:p>
      <w:pPr>
        <w:snapToGrid w:val="0"/>
        <w:spacing w:line="360" w:lineRule="exact"/>
        <w:rPr>
          <w:rFonts w:hint="eastAsia" w:ascii="仿宋_GB2312" w:hAnsi="仿宋_GB2312" w:eastAsia="仿宋_GB2312" w:cs="仿宋_GB2312"/>
          <w:sz w:val="24"/>
          <w:szCs w:val="24"/>
        </w:rPr>
      </w:pPr>
    </w:p>
    <w:p>
      <w:pPr>
        <w:snapToGrid w:val="0"/>
        <w:spacing w:line="360" w:lineRule="exact"/>
        <w:rPr>
          <w:rFonts w:hint="eastAsia" w:ascii="仿宋_GB2312" w:hAnsi="仿宋_GB2312" w:eastAsia="仿宋_GB2312" w:cs="仿宋_GB2312"/>
          <w:sz w:val="24"/>
          <w:szCs w:val="24"/>
        </w:rPr>
      </w:pPr>
    </w:p>
    <w:p>
      <w:pPr>
        <w:snapToGrid w:val="0"/>
        <w:spacing w:line="360" w:lineRule="exact"/>
        <w:rPr>
          <w:rFonts w:hint="eastAsia" w:ascii="仿宋_GB2312" w:hAnsi="仿宋_GB2312" w:eastAsia="仿宋_GB2312" w:cs="仿宋_GB2312"/>
          <w:sz w:val="24"/>
          <w:szCs w:val="24"/>
        </w:rPr>
      </w:pPr>
    </w:p>
    <w:p>
      <w:pPr>
        <w:snapToGrid w:val="0"/>
        <w:spacing w:line="360" w:lineRule="exact"/>
        <w:rPr>
          <w:rFonts w:hint="eastAsia" w:ascii="仿宋_GB2312" w:hAnsi="仿宋_GB2312" w:eastAsia="仿宋_GB2312" w:cs="仿宋_GB2312"/>
          <w:sz w:val="24"/>
          <w:szCs w:val="24"/>
        </w:rPr>
      </w:pPr>
    </w:p>
    <w:p>
      <w:pPr>
        <w:snapToGrid w:val="0"/>
        <w:spacing w:line="360" w:lineRule="exact"/>
        <w:rPr>
          <w:rFonts w:hint="eastAsia" w:ascii="仿宋_GB2312" w:hAnsi="仿宋_GB2312" w:eastAsia="仿宋_GB2312" w:cs="仿宋_GB2312"/>
          <w:sz w:val="24"/>
          <w:szCs w:val="24"/>
        </w:rPr>
      </w:pPr>
    </w:p>
    <w:p>
      <w:pPr>
        <w:snapToGrid w:val="0"/>
        <w:spacing w:line="360" w:lineRule="exact"/>
        <w:rPr>
          <w:rFonts w:hint="eastAsia" w:ascii="仿宋_GB2312" w:hAnsi="仿宋_GB2312" w:eastAsia="仿宋_GB2312" w:cs="仿宋_GB2312"/>
          <w:sz w:val="24"/>
          <w:szCs w:val="24"/>
        </w:rPr>
      </w:pPr>
    </w:p>
    <w:p>
      <w:pPr>
        <w:snapToGrid w:val="0"/>
        <w:spacing w:line="360" w:lineRule="exact"/>
        <w:rPr>
          <w:rFonts w:hint="eastAsia" w:ascii="仿宋_GB2312" w:hAnsi="仿宋_GB2312" w:eastAsia="仿宋_GB2312" w:cs="仿宋_GB2312"/>
          <w:sz w:val="24"/>
          <w:szCs w:val="24"/>
        </w:rPr>
      </w:pPr>
    </w:p>
    <w:p>
      <w:pPr>
        <w:snapToGrid w:val="0"/>
        <w:spacing w:line="360" w:lineRule="exact"/>
        <w:rPr>
          <w:rFonts w:hint="eastAsia" w:ascii="仿宋_GB2312" w:hAnsi="仿宋_GB2312" w:eastAsia="仿宋_GB2312" w:cs="仿宋_GB2312"/>
          <w:sz w:val="24"/>
          <w:szCs w:val="24"/>
        </w:rPr>
      </w:pPr>
    </w:p>
    <w:sectPr>
      <w:headerReference r:id="rId10" w:type="first"/>
      <w:footerReference r:id="rId12" w:type="first"/>
      <w:headerReference r:id="rId8" w:type="default"/>
      <w:footerReference r:id="rId11" w:type="default"/>
      <w:headerReference r:id="rId9" w:type="even"/>
      <w:pgSz w:w="11906" w:h="16838"/>
      <w:pgMar w:top="1418" w:right="851" w:bottom="709" w:left="1418" w:header="851" w:footer="449" w:gutter="0"/>
      <w:cols w:space="720" w:num="1"/>
      <w:titlePg/>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方正仿宋简体">
    <w:altName w:val="宋体"/>
    <w:panose1 w:val="00000000000000000000"/>
    <w:charset w:val="86"/>
    <w:family w:val="auto"/>
    <w:pitch w:val="default"/>
    <w:sig w:usb0="00000000" w:usb1="00000000" w:usb2="00000000" w:usb3="00000000" w:csb0="00040000" w:csb1="00000000"/>
  </w:font>
  <w:font w:name="创艺简仿宋">
    <w:altName w:val="黑体"/>
    <w:panose1 w:val="00000000000000000000"/>
    <w:charset w:val="86"/>
    <w:family w:val="auto"/>
    <w:pitch w:val="default"/>
    <w:sig w:usb0="00000000" w:usb1="00000000" w:usb2="00000010" w:usb3="00000000" w:csb0="00040000" w:csb1="00000000"/>
  </w:font>
  <w:font w:name="Menlo">
    <w:altName w:val="仿宋_GB2312"/>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pict>
        <v:shape id="_x0000_s4102" o:spid="_x0000_s4102"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t>第</w:t>
                </w:r>
                <w:r>
                  <w:fldChar w:fldCharType="begin"/>
                </w:r>
                <w:r>
                  <w:instrText xml:space="preserve"> PAGE  \* MERGEFORMAT </w:instrText>
                </w:r>
                <w:r>
                  <w:fldChar w:fldCharType="separate"/>
                </w:r>
                <w:r>
                  <w:t>19</w:t>
                </w:r>
                <w:r>
                  <w:fldChar w:fldCharType="end"/>
                </w:r>
                <w:r>
                  <w:rPr>
                    <w:rFonts w:hint="eastAsia"/>
                  </w:rPr>
                  <w:t>页共</w:t>
                </w:r>
                <w:r>
                  <w:fldChar w:fldCharType="begin"/>
                </w:r>
                <w:r>
                  <w:instrText xml:space="preserve"> NUMPAGES  \* MERGEFORMAT </w:instrText>
                </w:r>
                <w:r>
                  <w:fldChar w:fldCharType="separate"/>
                </w:r>
                <w:r>
                  <w:t>22</w:t>
                </w:r>
                <w:r>
                  <w:fldChar w:fldCharType="end"/>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8"/>
      </w:rPr>
    </w:pPr>
    <w:r>
      <w:rPr>
        <w:rStyle w:val="48"/>
      </w:rPr>
      <w:fldChar w:fldCharType="begin"/>
    </w:r>
    <w:r>
      <w:rPr>
        <w:rStyle w:val="48"/>
      </w:rPr>
      <w:instrText xml:space="preserve">PAGE  </w:instrText>
    </w:r>
    <w:r>
      <w:rPr>
        <w:rStyle w:val="48"/>
      </w:rPr>
      <w:fldChar w:fldCharType="end"/>
    </w:r>
  </w:p>
  <w:p>
    <w:pPr>
      <w:pStyle w:val="2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060" w:firstLineChars="1700"/>
    </w:pPr>
    <w:r>
      <w:pict>
        <v:shape id="_x0000_s4101" o:spid="_x0000_s4101"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t>第</w:t>
                </w:r>
                <w:r>
                  <w:fldChar w:fldCharType="begin"/>
                </w:r>
                <w:r>
                  <w:instrText xml:space="preserve"> PAGE  \* MERGEFORMAT </w:instrText>
                </w:r>
                <w:r>
                  <w:fldChar w:fldCharType="separate"/>
                </w:r>
                <w:r>
                  <w:t>1</w:t>
                </w:r>
                <w:r>
                  <w:fldChar w:fldCharType="end"/>
                </w:r>
                <w:r>
                  <w:rPr>
                    <w:rFonts w:hint="eastAsia"/>
                  </w:rPr>
                  <w:t>页共</w:t>
                </w:r>
                <w:r>
                  <w:fldChar w:fldCharType="begin"/>
                </w:r>
                <w:r>
                  <w:instrText xml:space="preserve"> NUMPAGES  \* MERGEFORMAT </w:instrText>
                </w:r>
                <w:r>
                  <w:fldChar w:fldCharType="separate"/>
                </w:r>
                <w:r>
                  <w:t>22</w:t>
                </w:r>
                <w:r>
                  <w:fldChar w:fldCharType="end"/>
                </w:r>
                <w:r>
                  <w:rPr>
                    <w:rFonts w:hint="eastAsia"/>
                  </w:rPr>
                  <w:t>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4"/>
      <w:jc w:val="center"/>
    </w:pPr>
    <w:r>
      <w:pict>
        <v:shape id="_x0000_s4100" o:spid="_x0000_s410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t>第</w:t>
                </w:r>
                <w:r>
                  <w:fldChar w:fldCharType="begin"/>
                </w:r>
                <w:r>
                  <w:instrText xml:space="preserve"> PAGE  \* MERGEFORMAT </w:instrText>
                </w:r>
                <w:r>
                  <w:fldChar w:fldCharType="separate"/>
                </w:r>
                <w:r>
                  <w:t>22</w:t>
                </w:r>
                <w:r>
                  <w:fldChar w:fldCharType="end"/>
                </w:r>
                <w:r>
                  <w:rPr>
                    <w:rFonts w:hint="eastAsia"/>
                  </w:rPr>
                  <w:t>页共</w:t>
                </w:r>
                <w:r>
                  <w:fldChar w:fldCharType="begin"/>
                </w:r>
                <w:r>
                  <w:instrText xml:space="preserve"> NUMPAGES  \* MERGEFORMAT </w:instrText>
                </w:r>
                <w:r>
                  <w:fldChar w:fldCharType="separate"/>
                </w:r>
                <w:r>
                  <w:t>22</w:t>
                </w:r>
                <w:r>
                  <w:fldChar w:fldCharType="end"/>
                </w:r>
                <w:r>
                  <w:rPr>
                    <w:rFonts w:hint="eastAsia"/>
                  </w:rPr>
                  <w:t>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180"/>
      <w:jc w:val="center"/>
    </w:pPr>
    <w:r>
      <w:pict>
        <v:shape id="_x0000_s4099" o:spid="_x0000_s409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t>第</w:t>
                </w:r>
                <w:r>
                  <w:fldChar w:fldCharType="begin"/>
                </w:r>
                <w:r>
                  <w:instrText xml:space="preserve"> PAGE  \* MERGEFORMAT </w:instrText>
                </w:r>
                <w:r>
                  <w:fldChar w:fldCharType="separate"/>
                </w:r>
                <w:r>
                  <w:t>2</w:t>
                </w:r>
                <w:r>
                  <w:fldChar w:fldCharType="end"/>
                </w:r>
                <w:r>
                  <w:rPr>
                    <w:rFonts w:hint="eastAsia"/>
                  </w:rPr>
                  <w:t>页共</w:t>
                </w:r>
                <w:r>
                  <w:fldChar w:fldCharType="begin"/>
                </w:r>
                <w:r>
                  <w:instrText xml:space="preserve"> NUMPAGES  \* MERGEFORMAT </w:instrText>
                </w:r>
                <w:r>
                  <w:fldChar w:fldCharType="separate"/>
                </w:r>
                <w:r>
                  <w:t>3</w:t>
                </w:r>
                <w:r>
                  <w:fldChar w:fldCharType="end"/>
                </w:r>
                <w:r>
                  <w:rPr>
                    <w:rFonts w:hint="eastAsia"/>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20" w:lineRule="exact"/>
    </w:pPr>
    <w:r>
      <w:rPr>
        <w:rFonts w:hint="eastAsia" w:ascii="仿宋_GB2312" w:eastAsia="仿宋_GB2312"/>
        <w:b/>
        <w:sz w:val="18"/>
        <w:szCs w:val="22"/>
        <w:u w:val="single"/>
      </w:rPr>
      <w:t>南通市崇川区属学校数学实验室建设项目项目编号</w:t>
    </w:r>
    <w:r>
      <w:rPr>
        <w:rFonts w:ascii="仿宋_GB2312" w:eastAsia="仿宋_GB2312"/>
        <w:b/>
        <w:sz w:val="18"/>
        <w:szCs w:val="22"/>
        <w:u w:val="single"/>
      </w:rPr>
      <w:t xml:space="preserve"> CCCG201769</w:t>
    </w:r>
    <w:r>
      <w:rPr>
        <w:rFonts w:hint="eastAsia" w:ascii="仿宋_GB2312" w:eastAsia="仿宋_GB2312"/>
        <w:b/>
        <w:sz w:val="18"/>
        <w:szCs w:val="22"/>
        <w:u w:val="single"/>
      </w:rPr>
      <w:t>（</w:t>
    </w:r>
    <w:r>
      <w:rPr>
        <w:rFonts w:ascii="仿宋_GB2312" w:eastAsia="仿宋_GB2312"/>
        <w:b/>
        <w:sz w:val="18"/>
        <w:szCs w:val="22"/>
        <w:u w:val="single"/>
      </w:rPr>
      <w:t>JC16</w:t>
    </w:r>
    <w:r>
      <w:rPr>
        <w:rFonts w:hint="eastAsia" w:ascii="仿宋_GB2312" w:eastAsia="仿宋_GB2312"/>
        <w:b/>
        <w:sz w:val="18"/>
        <w:szCs w:val="22"/>
        <w:u w:val="singl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20" w:lineRule="exact"/>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4679"/>
    <w:multiLevelType w:val="multilevel"/>
    <w:tmpl w:val="15824679"/>
    <w:lvl w:ilvl="0" w:tentative="0">
      <w:start w:val="1"/>
      <w:numFmt w:val="decimal"/>
      <w:lvlText w:val="%1."/>
      <w:lvlJc w:val="left"/>
      <w:pPr>
        <w:ind w:left="425" w:hanging="425"/>
      </w:pPr>
      <w:rPr>
        <w:rFonts w:hint="eastAsia" w:cs="Times New Roman"/>
      </w:rPr>
    </w:lvl>
    <w:lvl w:ilvl="1" w:tentative="0">
      <w:start w:val="1"/>
      <w:numFmt w:val="decimal"/>
      <w:pStyle w:val="115"/>
      <w:lvlText w:val="%1.%2."/>
      <w:lvlJc w:val="left"/>
      <w:pPr>
        <w:ind w:left="567" w:hanging="567"/>
      </w:pPr>
      <w:rPr>
        <w:rFonts w:hint="eastAsia" w:cs="Times New Roman"/>
      </w:rPr>
    </w:lvl>
    <w:lvl w:ilvl="2" w:tentative="0">
      <w:start w:val="1"/>
      <w:numFmt w:val="decimal"/>
      <w:pStyle w:val="116"/>
      <w:lvlText w:val="%1.%2.%3."/>
      <w:lvlJc w:val="left"/>
      <w:pPr>
        <w:ind w:left="709" w:hanging="709"/>
      </w:pPr>
      <w:rPr>
        <w:rFonts w:hint="eastAsia" w:cs="Times New Roman"/>
      </w:rPr>
    </w:lvl>
    <w:lvl w:ilvl="3" w:tentative="0">
      <w:start w:val="1"/>
      <w:numFmt w:val="decimal"/>
      <w:lvlText w:val="%1.%2.%3.%4."/>
      <w:lvlJc w:val="left"/>
      <w:pPr>
        <w:ind w:left="851" w:hanging="851"/>
      </w:pPr>
      <w:rPr>
        <w:rFonts w:hint="eastAsia" w:cs="Times New Roman"/>
      </w:rPr>
    </w:lvl>
    <w:lvl w:ilvl="4" w:tentative="0">
      <w:start w:val="1"/>
      <w:numFmt w:val="decimal"/>
      <w:lvlText w:val="%1.%2.%3.%4.%5."/>
      <w:lvlJc w:val="left"/>
      <w:pPr>
        <w:ind w:left="992" w:hanging="992"/>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1276" w:hanging="1276"/>
      </w:pPr>
      <w:rPr>
        <w:rFonts w:hint="eastAsia" w:cs="Times New Roman"/>
      </w:rPr>
    </w:lvl>
    <w:lvl w:ilvl="7" w:tentative="0">
      <w:start w:val="1"/>
      <w:numFmt w:val="decimal"/>
      <w:lvlText w:val="%1.%2.%3.%4.%5.%6.%7.%8."/>
      <w:lvlJc w:val="left"/>
      <w:pPr>
        <w:ind w:left="1418" w:hanging="1418"/>
      </w:pPr>
      <w:rPr>
        <w:rFonts w:hint="eastAsia" w:cs="Times New Roman"/>
      </w:rPr>
    </w:lvl>
    <w:lvl w:ilvl="8" w:tentative="0">
      <w:start w:val="1"/>
      <w:numFmt w:val="decimal"/>
      <w:lvlText w:val="%1.%2.%3.%4.%5.%6.%7.%8.%9."/>
      <w:lvlJc w:val="left"/>
      <w:pPr>
        <w:ind w:left="1559" w:hanging="1559"/>
      </w:pPr>
      <w:rPr>
        <w:rFonts w:hint="eastAsia" w:cs="Times New Roman"/>
      </w:rPr>
    </w:lvl>
  </w:abstractNum>
  <w:abstractNum w:abstractNumId="1">
    <w:nsid w:val="5A0D506A"/>
    <w:multiLevelType w:val="singleLevel"/>
    <w:tmpl w:val="5A0D506A"/>
    <w:lvl w:ilvl="0" w:tentative="0">
      <w:start w:val="4"/>
      <w:numFmt w:val="chineseCounting"/>
      <w:suff w:val="nothing"/>
      <w:lvlText w:val="%1、"/>
      <w:lvlJc w:val="left"/>
      <w:rPr>
        <w:rFonts w:cs="Times New Roman"/>
      </w:rPr>
    </w:lvl>
  </w:abstractNum>
  <w:abstractNum w:abstractNumId="2">
    <w:nsid w:val="66239AED"/>
    <w:multiLevelType w:val="singleLevel"/>
    <w:tmpl w:val="66239AED"/>
    <w:lvl w:ilvl="0" w:tentative="0">
      <w:start w:val="1"/>
      <w:numFmt w:val="chineseCounting"/>
      <w:suff w:val="nothing"/>
      <w:lvlText w:val="（%1）"/>
      <w:lvlJc w:val="left"/>
      <w:rPr>
        <w:rFonts w:hint="eastAsia"/>
      </w:rPr>
    </w:lvl>
  </w:abstractNum>
  <w:abstractNum w:abstractNumId="3">
    <w:nsid w:val="7A3633E2"/>
    <w:multiLevelType w:val="multilevel"/>
    <w:tmpl w:val="7A3633E2"/>
    <w:lvl w:ilvl="0" w:tentative="0">
      <w:start w:val="1"/>
      <w:numFmt w:val="decimal"/>
      <w:lvlText w:val="%1"/>
      <w:lvlJc w:val="left"/>
      <w:pPr>
        <w:tabs>
          <w:tab w:val="left" w:pos="432"/>
        </w:tabs>
        <w:ind w:left="432" w:hanging="432"/>
      </w:pPr>
      <w:rPr>
        <w:rFonts w:cs="Times New Roman"/>
      </w:rPr>
    </w:lvl>
    <w:lvl w:ilvl="1" w:tentative="0">
      <w:start w:val="1"/>
      <w:numFmt w:val="decimal"/>
      <w:lvlText w:val="%1.%2"/>
      <w:lvlJc w:val="left"/>
      <w:pPr>
        <w:tabs>
          <w:tab w:val="left" w:pos="576"/>
        </w:tabs>
        <w:ind w:left="576" w:hanging="576"/>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pStyle w:val="5"/>
      <w:lvlText w:val="%1.%2.%3.%4.%5"/>
      <w:lvlJc w:val="left"/>
      <w:pPr>
        <w:tabs>
          <w:tab w:val="left" w:pos="1008"/>
        </w:tabs>
        <w:ind w:left="1008" w:hanging="1008"/>
      </w:pPr>
      <w:rPr>
        <w:rFonts w:cs="Times New Roman"/>
      </w:rPr>
    </w:lvl>
    <w:lvl w:ilvl="5" w:tentative="0">
      <w:start w:val="1"/>
      <w:numFmt w:val="decimal"/>
      <w:pStyle w:val="7"/>
      <w:lvlText w:val="%1.%2.%3.%4.%5.%6"/>
      <w:lvlJc w:val="left"/>
      <w:pPr>
        <w:tabs>
          <w:tab w:val="left" w:pos="1152"/>
        </w:tabs>
        <w:ind w:left="1152" w:hanging="1152"/>
      </w:pPr>
      <w:rPr>
        <w:rFonts w:cs="Times New Roman"/>
      </w:rPr>
    </w:lvl>
    <w:lvl w:ilvl="6" w:tentative="0">
      <w:start w:val="1"/>
      <w:numFmt w:val="decimal"/>
      <w:pStyle w:val="8"/>
      <w:lvlText w:val="%1.%2.%3.%4.%5.%6.%7"/>
      <w:lvlJc w:val="left"/>
      <w:pPr>
        <w:tabs>
          <w:tab w:val="left" w:pos="1296"/>
        </w:tabs>
        <w:ind w:left="1296" w:hanging="1296"/>
      </w:pPr>
      <w:rPr>
        <w:rFonts w:cs="Times New Roman"/>
      </w:rPr>
    </w:lvl>
    <w:lvl w:ilvl="7" w:tentative="0">
      <w:start w:val="1"/>
      <w:numFmt w:val="decimal"/>
      <w:pStyle w:val="9"/>
      <w:lvlText w:val="%1.%2.%3.%4.%5.%6.%7.%8"/>
      <w:lvlJc w:val="left"/>
      <w:pPr>
        <w:tabs>
          <w:tab w:val="left" w:pos="1440"/>
        </w:tabs>
        <w:ind w:left="1440" w:hanging="1440"/>
      </w:pPr>
      <w:rPr>
        <w:rFonts w:cs="Times New Roman"/>
      </w:rPr>
    </w:lvl>
    <w:lvl w:ilvl="8" w:tentative="0">
      <w:start w:val="1"/>
      <w:numFmt w:val="decimal"/>
      <w:pStyle w:val="10"/>
      <w:lvlText w:val="%1.%2.%3.%4.%5.%6.%7.%8.%9"/>
      <w:lvlJc w:val="left"/>
      <w:pPr>
        <w:tabs>
          <w:tab w:val="left" w:pos="1584"/>
        </w:tabs>
        <w:ind w:left="1584" w:hanging="1584"/>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1"/>
  <w:bordersDoNotSurroundFooter w:val="1"/>
  <w:documentProtection w:enforcement="0"/>
  <w:defaultTabStop w:val="425"/>
  <w:drawingGridHorizontalSpacing w:val="0"/>
  <w:drawingGridVerticalSpacing w:val="190"/>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useFELayout/>
    <w:compatSetting w:name="compatibilityMode" w:uri="http://schemas.microsoft.com/office/word" w:val="12"/>
  </w:compat>
  <w:rsids>
    <w:rsidRoot w:val="00172A27"/>
    <w:rsid w:val="000018D1"/>
    <w:rsid w:val="0000455F"/>
    <w:rsid w:val="00005D23"/>
    <w:rsid w:val="000065D1"/>
    <w:rsid w:val="0000667A"/>
    <w:rsid w:val="0001043F"/>
    <w:rsid w:val="00010F84"/>
    <w:rsid w:val="000120DE"/>
    <w:rsid w:val="00016408"/>
    <w:rsid w:val="00021D1A"/>
    <w:rsid w:val="00026104"/>
    <w:rsid w:val="00026332"/>
    <w:rsid w:val="0002688A"/>
    <w:rsid w:val="00030AED"/>
    <w:rsid w:val="000375E7"/>
    <w:rsid w:val="0004090E"/>
    <w:rsid w:val="00043252"/>
    <w:rsid w:val="00043D3D"/>
    <w:rsid w:val="0005183F"/>
    <w:rsid w:val="0005188F"/>
    <w:rsid w:val="00051F36"/>
    <w:rsid w:val="00052EE4"/>
    <w:rsid w:val="000535F8"/>
    <w:rsid w:val="00054EA7"/>
    <w:rsid w:val="00055B1C"/>
    <w:rsid w:val="00055B77"/>
    <w:rsid w:val="000612D5"/>
    <w:rsid w:val="00062568"/>
    <w:rsid w:val="00062F5C"/>
    <w:rsid w:val="00063331"/>
    <w:rsid w:val="00070471"/>
    <w:rsid w:val="000734A8"/>
    <w:rsid w:val="000751EC"/>
    <w:rsid w:val="00080695"/>
    <w:rsid w:val="00080F94"/>
    <w:rsid w:val="00082795"/>
    <w:rsid w:val="00082C11"/>
    <w:rsid w:val="00084C18"/>
    <w:rsid w:val="00085192"/>
    <w:rsid w:val="00087F0D"/>
    <w:rsid w:val="000A1DE9"/>
    <w:rsid w:val="000A2566"/>
    <w:rsid w:val="000A4191"/>
    <w:rsid w:val="000A5DF9"/>
    <w:rsid w:val="000A6EEE"/>
    <w:rsid w:val="000B19B9"/>
    <w:rsid w:val="000B1D79"/>
    <w:rsid w:val="000B3F2B"/>
    <w:rsid w:val="000B4100"/>
    <w:rsid w:val="000B61D8"/>
    <w:rsid w:val="000B66D9"/>
    <w:rsid w:val="000B6C78"/>
    <w:rsid w:val="000C5B25"/>
    <w:rsid w:val="000C7A29"/>
    <w:rsid w:val="000D07AE"/>
    <w:rsid w:val="000D2520"/>
    <w:rsid w:val="000D5D52"/>
    <w:rsid w:val="000E0699"/>
    <w:rsid w:val="000E7FC1"/>
    <w:rsid w:val="000F0A06"/>
    <w:rsid w:val="000F0F3A"/>
    <w:rsid w:val="000F3068"/>
    <w:rsid w:val="00104C38"/>
    <w:rsid w:val="001060A0"/>
    <w:rsid w:val="0012234F"/>
    <w:rsid w:val="0013129B"/>
    <w:rsid w:val="001318A2"/>
    <w:rsid w:val="00133F64"/>
    <w:rsid w:val="00134A4A"/>
    <w:rsid w:val="0013622E"/>
    <w:rsid w:val="001372D6"/>
    <w:rsid w:val="001405AB"/>
    <w:rsid w:val="001501CD"/>
    <w:rsid w:val="00150DB3"/>
    <w:rsid w:val="001523D0"/>
    <w:rsid w:val="00152B9B"/>
    <w:rsid w:val="00156462"/>
    <w:rsid w:val="0016141A"/>
    <w:rsid w:val="00162476"/>
    <w:rsid w:val="00165311"/>
    <w:rsid w:val="001704E7"/>
    <w:rsid w:val="00170FB0"/>
    <w:rsid w:val="00172A27"/>
    <w:rsid w:val="001734DA"/>
    <w:rsid w:val="00174C07"/>
    <w:rsid w:val="00176730"/>
    <w:rsid w:val="0018042D"/>
    <w:rsid w:val="001808F7"/>
    <w:rsid w:val="00181EAF"/>
    <w:rsid w:val="00182616"/>
    <w:rsid w:val="00183F16"/>
    <w:rsid w:val="00187FF6"/>
    <w:rsid w:val="00190723"/>
    <w:rsid w:val="00194A8E"/>
    <w:rsid w:val="001A2B16"/>
    <w:rsid w:val="001A373D"/>
    <w:rsid w:val="001B7395"/>
    <w:rsid w:val="001C02B0"/>
    <w:rsid w:val="001C1688"/>
    <w:rsid w:val="001C3730"/>
    <w:rsid w:val="001C7824"/>
    <w:rsid w:val="001D0870"/>
    <w:rsid w:val="001D11BB"/>
    <w:rsid w:val="001D16BB"/>
    <w:rsid w:val="001D26D0"/>
    <w:rsid w:val="001D56D1"/>
    <w:rsid w:val="001D65C1"/>
    <w:rsid w:val="001D6AE5"/>
    <w:rsid w:val="001E00D2"/>
    <w:rsid w:val="001E1F91"/>
    <w:rsid w:val="001F78E3"/>
    <w:rsid w:val="002006E8"/>
    <w:rsid w:val="00201CC7"/>
    <w:rsid w:val="0020202D"/>
    <w:rsid w:val="00207585"/>
    <w:rsid w:val="002140B3"/>
    <w:rsid w:val="0021622F"/>
    <w:rsid w:val="00216A7B"/>
    <w:rsid w:val="00217B18"/>
    <w:rsid w:val="00223EF5"/>
    <w:rsid w:val="002344F3"/>
    <w:rsid w:val="0023518E"/>
    <w:rsid w:val="00235D20"/>
    <w:rsid w:val="00240F1A"/>
    <w:rsid w:val="00244886"/>
    <w:rsid w:val="00244D4C"/>
    <w:rsid w:val="00244D6A"/>
    <w:rsid w:val="002454FD"/>
    <w:rsid w:val="00250BB8"/>
    <w:rsid w:val="00251328"/>
    <w:rsid w:val="00251D53"/>
    <w:rsid w:val="00252CC4"/>
    <w:rsid w:val="002562E0"/>
    <w:rsid w:val="00256869"/>
    <w:rsid w:val="0025733C"/>
    <w:rsid w:val="00262955"/>
    <w:rsid w:val="002629E6"/>
    <w:rsid w:val="002643E3"/>
    <w:rsid w:val="00265873"/>
    <w:rsid w:val="002666A9"/>
    <w:rsid w:val="002721D8"/>
    <w:rsid w:val="002726A6"/>
    <w:rsid w:val="002751BF"/>
    <w:rsid w:val="00276FBA"/>
    <w:rsid w:val="00277152"/>
    <w:rsid w:val="002775E2"/>
    <w:rsid w:val="00281543"/>
    <w:rsid w:val="002955D5"/>
    <w:rsid w:val="00295E54"/>
    <w:rsid w:val="002A2B1E"/>
    <w:rsid w:val="002A38C3"/>
    <w:rsid w:val="002A6C57"/>
    <w:rsid w:val="002B0673"/>
    <w:rsid w:val="002B245E"/>
    <w:rsid w:val="002B4617"/>
    <w:rsid w:val="002B692D"/>
    <w:rsid w:val="002B7D4B"/>
    <w:rsid w:val="002B7D50"/>
    <w:rsid w:val="002C0A7E"/>
    <w:rsid w:val="002C51B6"/>
    <w:rsid w:val="002C5644"/>
    <w:rsid w:val="002C58B3"/>
    <w:rsid w:val="002D4084"/>
    <w:rsid w:val="002D7598"/>
    <w:rsid w:val="002D7CDC"/>
    <w:rsid w:val="002E35A3"/>
    <w:rsid w:val="002E635C"/>
    <w:rsid w:val="002E64EF"/>
    <w:rsid w:val="002F0B0A"/>
    <w:rsid w:val="002F7139"/>
    <w:rsid w:val="003022B1"/>
    <w:rsid w:val="0030765A"/>
    <w:rsid w:val="003238AD"/>
    <w:rsid w:val="003239FE"/>
    <w:rsid w:val="003246AC"/>
    <w:rsid w:val="00326FF0"/>
    <w:rsid w:val="0033104B"/>
    <w:rsid w:val="0033212D"/>
    <w:rsid w:val="00334616"/>
    <w:rsid w:val="00336479"/>
    <w:rsid w:val="00340116"/>
    <w:rsid w:val="00341C6F"/>
    <w:rsid w:val="0034269E"/>
    <w:rsid w:val="003474ED"/>
    <w:rsid w:val="003513BB"/>
    <w:rsid w:val="003555D2"/>
    <w:rsid w:val="00357676"/>
    <w:rsid w:val="00361BE0"/>
    <w:rsid w:val="003639FA"/>
    <w:rsid w:val="0036576F"/>
    <w:rsid w:val="00373B67"/>
    <w:rsid w:val="00373DED"/>
    <w:rsid w:val="00374E1A"/>
    <w:rsid w:val="00375987"/>
    <w:rsid w:val="00377E22"/>
    <w:rsid w:val="00377E4F"/>
    <w:rsid w:val="00381008"/>
    <w:rsid w:val="0038256B"/>
    <w:rsid w:val="00382916"/>
    <w:rsid w:val="00385694"/>
    <w:rsid w:val="00386992"/>
    <w:rsid w:val="00387249"/>
    <w:rsid w:val="003877D0"/>
    <w:rsid w:val="0039406B"/>
    <w:rsid w:val="003962B9"/>
    <w:rsid w:val="003A041B"/>
    <w:rsid w:val="003A3FB5"/>
    <w:rsid w:val="003A5458"/>
    <w:rsid w:val="003B17C1"/>
    <w:rsid w:val="003B224B"/>
    <w:rsid w:val="003B5297"/>
    <w:rsid w:val="003B7AB0"/>
    <w:rsid w:val="003C0A12"/>
    <w:rsid w:val="003C2D19"/>
    <w:rsid w:val="003C4AF1"/>
    <w:rsid w:val="003C727A"/>
    <w:rsid w:val="003C7DDD"/>
    <w:rsid w:val="003D0387"/>
    <w:rsid w:val="003D0CAF"/>
    <w:rsid w:val="003D196C"/>
    <w:rsid w:val="003D1E7C"/>
    <w:rsid w:val="003D2ACD"/>
    <w:rsid w:val="003D46EF"/>
    <w:rsid w:val="003D5373"/>
    <w:rsid w:val="003E3026"/>
    <w:rsid w:val="003E4163"/>
    <w:rsid w:val="003E5DD5"/>
    <w:rsid w:val="003E7786"/>
    <w:rsid w:val="003F41CB"/>
    <w:rsid w:val="003F69D9"/>
    <w:rsid w:val="00403E61"/>
    <w:rsid w:val="00414029"/>
    <w:rsid w:val="00414D05"/>
    <w:rsid w:val="0041643E"/>
    <w:rsid w:val="00416FCB"/>
    <w:rsid w:val="00423BB9"/>
    <w:rsid w:val="004257F2"/>
    <w:rsid w:val="00431BA7"/>
    <w:rsid w:val="0043363D"/>
    <w:rsid w:val="0043396C"/>
    <w:rsid w:val="00433F4C"/>
    <w:rsid w:val="00436EEE"/>
    <w:rsid w:val="0044024E"/>
    <w:rsid w:val="0044710D"/>
    <w:rsid w:val="00447819"/>
    <w:rsid w:val="00451E99"/>
    <w:rsid w:val="00453594"/>
    <w:rsid w:val="004535AD"/>
    <w:rsid w:val="00455D6E"/>
    <w:rsid w:val="0046266E"/>
    <w:rsid w:val="00465CCF"/>
    <w:rsid w:val="004708BD"/>
    <w:rsid w:val="00471869"/>
    <w:rsid w:val="004720CE"/>
    <w:rsid w:val="00472909"/>
    <w:rsid w:val="00473101"/>
    <w:rsid w:val="004735A9"/>
    <w:rsid w:val="00473A69"/>
    <w:rsid w:val="004746F8"/>
    <w:rsid w:val="00474FFC"/>
    <w:rsid w:val="004755F9"/>
    <w:rsid w:val="00475FA7"/>
    <w:rsid w:val="00476713"/>
    <w:rsid w:val="00485E37"/>
    <w:rsid w:val="004873F9"/>
    <w:rsid w:val="00491E38"/>
    <w:rsid w:val="004927C1"/>
    <w:rsid w:val="00492D76"/>
    <w:rsid w:val="0049379B"/>
    <w:rsid w:val="004946E1"/>
    <w:rsid w:val="0049592E"/>
    <w:rsid w:val="00497301"/>
    <w:rsid w:val="004A58E9"/>
    <w:rsid w:val="004B416F"/>
    <w:rsid w:val="004B7197"/>
    <w:rsid w:val="004C4D31"/>
    <w:rsid w:val="004C6E5D"/>
    <w:rsid w:val="004D1D17"/>
    <w:rsid w:val="004D4197"/>
    <w:rsid w:val="004D4CC6"/>
    <w:rsid w:val="004D6CF6"/>
    <w:rsid w:val="004E02C9"/>
    <w:rsid w:val="004E47CA"/>
    <w:rsid w:val="004E6397"/>
    <w:rsid w:val="004F28EC"/>
    <w:rsid w:val="004F2A64"/>
    <w:rsid w:val="004F3CE0"/>
    <w:rsid w:val="004F4C2C"/>
    <w:rsid w:val="004F6318"/>
    <w:rsid w:val="004F65E3"/>
    <w:rsid w:val="00500ED9"/>
    <w:rsid w:val="00502872"/>
    <w:rsid w:val="00503B0F"/>
    <w:rsid w:val="0050497A"/>
    <w:rsid w:val="00505FCD"/>
    <w:rsid w:val="00506118"/>
    <w:rsid w:val="0050794E"/>
    <w:rsid w:val="0051338C"/>
    <w:rsid w:val="005238B4"/>
    <w:rsid w:val="0052405F"/>
    <w:rsid w:val="005277E0"/>
    <w:rsid w:val="005325F8"/>
    <w:rsid w:val="005403C4"/>
    <w:rsid w:val="00540E80"/>
    <w:rsid w:val="0054362F"/>
    <w:rsid w:val="005472A9"/>
    <w:rsid w:val="00550CFF"/>
    <w:rsid w:val="005516BC"/>
    <w:rsid w:val="00552183"/>
    <w:rsid w:val="00553021"/>
    <w:rsid w:val="005621B6"/>
    <w:rsid w:val="00562E92"/>
    <w:rsid w:val="00564970"/>
    <w:rsid w:val="00565F9B"/>
    <w:rsid w:val="00566C63"/>
    <w:rsid w:val="00572E5B"/>
    <w:rsid w:val="00574A7A"/>
    <w:rsid w:val="00575C75"/>
    <w:rsid w:val="00577EAF"/>
    <w:rsid w:val="00582BCE"/>
    <w:rsid w:val="0059081A"/>
    <w:rsid w:val="00590F18"/>
    <w:rsid w:val="00593133"/>
    <w:rsid w:val="00596B06"/>
    <w:rsid w:val="005A15C9"/>
    <w:rsid w:val="005A78D4"/>
    <w:rsid w:val="005A7CBE"/>
    <w:rsid w:val="005B46FB"/>
    <w:rsid w:val="005B7E69"/>
    <w:rsid w:val="005C5831"/>
    <w:rsid w:val="005C70FD"/>
    <w:rsid w:val="005D3C3B"/>
    <w:rsid w:val="005D4228"/>
    <w:rsid w:val="005D576F"/>
    <w:rsid w:val="005D64B6"/>
    <w:rsid w:val="005D77DF"/>
    <w:rsid w:val="005E0D3F"/>
    <w:rsid w:val="005E39BE"/>
    <w:rsid w:val="005E3A5A"/>
    <w:rsid w:val="005E3FB9"/>
    <w:rsid w:val="005E4BC7"/>
    <w:rsid w:val="005E7887"/>
    <w:rsid w:val="005F0F8E"/>
    <w:rsid w:val="005F10BC"/>
    <w:rsid w:val="005F2398"/>
    <w:rsid w:val="005F3A91"/>
    <w:rsid w:val="00604A3B"/>
    <w:rsid w:val="0060724C"/>
    <w:rsid w:val="006171B6"/>
    <w:rsid w:val="0061750C"/>
    <w:rsid w:val="00617EC3"/>
    <w:rsid w:val="00624ED6"/>
    <w:rsid w:val="006251D6"/>
    <w:rsid w:val="00630DB5"/>
    <w:rsid w:val="0063178C"/>
    <w:rsid w:val="00632740"/>
    <w:rsid w:val="006345AD"/>
    <w:rsid w:val="00634E16"/>
    <w:rsid w:val="00636441"/>
    <w:rsid w:val="00644677"/>
    <w:rsid w:val="006465E4"/>
    <w:rsid w:val="0064703B"/>
    <w:rsid w:val="006517DB"/>
    <w:rsid w:val="00654AFD"/>
    <w:rsid w:val="00654C95"/>
    <w:rsid w:val="00657D92"/>
    <w:rsid w:val="00660D06"/>
    <w:rsid w:val="00662AF5"/>
    <w:rsid w:val="00663AE4"/>
    <w:rsid w:val="00665AB9"/>
    <w:rsid w:val="00670580"/>
    <w:rsid w:val="00673B84"/>
    <w:rsid w:val="00673E15"/>
    <w:rsid w:val="00674A15"/>
    <w:rsid w:val="00675196"/>
    <w:rsid w:val="006870C9"/>
    <w:rsid w:val="0069366E"/>
    <w:rsid w:val="00693E72"/>
    <w:rsid w:val="00694D07"/>
    <w:rsid w:val="00695244"/>
    <w:rsid w:val="00696C80"/>
    <w:rsid w:val="00697D91"/>
    <w:rsid w:val="006A7B34"/>
    <w:rsid w:val="006B12EB"/>
    <w:rsid w:val="006B2CEA"/>
    <w:rsid w:val="006B5C45"/>
    <w:rsid w:val="006B680E"/>
    <w:rsid w:val="006B69E7"/>
    <w:rsid w:val="006C221E"/>
    <w:rsid w:val="006C5456"/>
    <w:rsid w:val="006C6723"/>
    <w:rsid w:val="006D1759"/>
    <w:rsid w:val="006D4014"/>
    <w:rsid w:val="006D4F53"/>
    <w:rsid w:val="006D5657"/>
    <w:rsid w:val="006D5EB0"/>
    <w:rsid w:val="006E2CBC"/>
    <w:rsid w:val="006E499B"/>
    <w:rsid w:val="006E5E03"/>
    <w:rsid w:val="006F13C0"/>
    <w:rsid w:val="006F1C28"/>
    <w:rsid w:val="006F644E"/>
    <w:rsid w:val="006F6451"/>
    <w:rsid w:val="006F736B"/>
    <w:rsid w:val="007001BD"/>
    <w:rsid w:val="00700BDE"/>
    <w:rsid w:val="00700E0E"/>
    <w:rsid w:val="00701801"/>
    <w:rsid w:val="007020A1"/>
    <w:rsid w:val="00703A46"/>
    <w:rsid w:val="00707754"/>
    <w:rsid w:val="0071080E"/>
    <w:rsid w:val="00710B2A"/>
    <w:rsid w:val="00712DF0"/>
    <w:rsid w:val="007141B2"/>
    <w:rsid w:val="00720EFB"/>
    <w:rsid w:val="0072262C"/>
    <w:rsid w:val="0073050F"/>
    <w:rsid w:val="007310A1"/>
    <w:rsid w:val="00731DFF"/>
    <w:rsid w:val="00734564"/>
    <w:rsid w:val="007358A8"/>
    <w:rsid w:val="00743083"/>
    <w:rsid w:val="007431FD"/>
    <w:rsid w:val="00746F0B"/>
    <w:rsid w:val="007471AC"/>
    <w:rsid w:val="007515A1"/>
    <w:rsid w:val="00752841"/>
    <w:rsid w:val="0075444E"/>
    <w:rsid w:val="00756424"/>
    <w:rsid w:val="00766BAE"/>
    <w:rsid w:val="0076785C"/>
    <w:rsid w:val="007727D6"/>
    <w:rsid w:val="00784898"/>
    <w:rsid w:val="00784988"/>
    <w:rsid w:val="0078644D"/>
    <w:rsid w:val="00786C07"/>
    <w:rsid w:val="007879E5"/>
    <w:rsid w:val="00790BD4"/>
    <w:rsid w:val="00790DA1"/>
    <w:rsid w:val="00795E4E"/>
    <w:rsid w:val="007A3503"/>
    <w:rsid w:val="007A7262"/>
    <w:rsid w:val="007B051A"/>
    <w:rsid w:val="007B1053"/>
    <w:rsid w:val="007B245C"/>
    <w:rsid w:val="007B2934"/>
    <w:rsid w:val="007C0DD4"/>
    <w:rsid w:val="007C3169"/>
    <w:rsid w:val="007C474D"/>
    <w:rsid w:val="007C4B3F"/>
    <w:rsid w:val="007C530B"/>
    <w:rsid w:val="007C5A78"/>
    <w:rsid w:val="007C7E25"/>
    <w:rsid w:val="007C7E3B"/>
    <w:rsid w:val="007D3269"/>
    <w:rsid w:val="007D360F"/>
    <w:rsid w:val="007D41FE"/>
    <w:rsid w:val="007E123D"/>
    <w:rsid w:val="007E1CD4"/>
    <w:rsid w:val="007E6429"/>
    <w:rsid w:val="007E7A5B"/>
    <w:rsid w:val="007F4602"/>
    <w:rsid w:val="007F5139"/>
    <w:rsid w:val="007F5FB5"/>
    <w:rsid w:val="007F62DB"/>
    <w:rsid w:val="007F62DF"/>
    <w:rsid w:val="007F7873"/>
    <w:rsid w:val="00804692"/>
    <w:rsid w:val="00804DC0"/>
    <w:rsid w:val="00806B94"/>
    <w:rsid w:val="00807A54"/>
    <w:rsid w:val="00811438"/>
    <w:rsid w:val="00812D59"/>
    <w:rsid w:val="008140B3"/>
    <w:rsid w:val="00814A60"/>
    <w:rsid w:val="00814F75"/>
    <w:rsid w:val="00814F97"/>
    <w:rsid w:val="00815DE4"/>
    <w:rsid w:val="00817685"/>
    <w:rsid w:val="00825509"/>
    <w:rsid w:val="008357BC"/>
    <w:rsid w:val="00836646"/>
    <w:rsid w:val="00841D12"/>
    <w:rsid w:val="008504BC"/>
    <w:rsid w:val="00850E73"/>
    <w:rsid w:val="00851233"/>
    <w:rsid w:val="008520D8"/>
    <w:rsid w:val="00853F4E"/>
    <w:rsid w:val="00857E59"/>
    <w:rsid w:val="0086055C"/>
    <w:rsid w:val="00861386"/>
    <w:rsid w:val="00861E51"/>
    <w:rsid w:val="00862531"/>
    <w:rsid w:val="00865C4F"/>
    <w:rsid w:val="00870435"/>
    <w:rsid w:val="00872E37"/>
    <w:rsid w:val="008731F0"/>
    <w:rsid w:val="00873F0F"/>
    <w:rsid w:val="008754C1"/>
    <w:rsid w:val="00881A50"/>
    <w:rsid w:val="00890117"/>
    <w:rsid w:val="00893EE9"/>
    <w:rsid w:val="00894C90"/>
    <w:rsid w:val="008971FF"/>
    <w:rsid w:val="008977DD"/>
    <w:rsid w:val="008A3B70"/>
    <w:rsid w:val="008A5656"/>
    <w:rsid w:val="008B0D14"/>
    <w:rsid w:val="008B6075"/>
    <w:rsid w:val="008B7B66"/>
    <w:rsid w:val="008C1F98"/>
    <w:rsid w:val="008C430E"/>
    <w:rsid w:val="008C6ADC"/>
    <w:rsid w:val="008C78E0"/>
    <w:rsid w:val="008D020D"/>
    <w:rsid w:val="008D0962"/>
    <w:rsid w:val="008D25F1"/>
    <w:rsid w:val="008D37F3"/>
    <w:rsid w:val="008D6BA5"/>
    <w:rsid w:val="008D6D55"/>
    <w:rsid w:val="008E11B2"/>
    <w:rsid w:val="008E14FA"/>
    <w:rsid w:val="008E2194"/>
    <w:rsid w:val="008E2395"/>
    <w:rsid w:val="008E3517"/>
    <w:rsid w:val="008E4704"/>
    <w:rsid w:val="008F0649"/>
    <w:rsid w:val="008F50FD"/>
    <w:rsid w:val="008F61EC"/>
    <w:rsid w:val="008F63FF"/>
    <w:rsid w:val="008F7C5C"/>
    <w:rsid w:val="00906843"/>
    <w:rsid w:val="009117A8"/>
    <w:rsid w:val="00914BF4"/>
    <w:rsid w:val="00915157"/>
    <w:rsid w:val="009153B3"/>
    <w:rsid w:val="00915524"/>
    <w:rsid w:val="00916FEC"/>
    <w:rsid w:val="009205E5"/>
    <w:rsid w:val="00920A19"/>
    <w:rsid w:val="009223AF"/>
    <w:rsid w:val="009223B8"/>
    <w:rsid w:val="00923BD2"/>
    <w:rsid w:val="009242F4"/>
    <w:rsid w:val="009268BF"/>
    <w:rsid w:val="0092713F"/>
    <w:rsid w:val="0093012E"/>
    <w:rsid w:val="009312BA"/>
    <w:rsid w:val="00931E69"/>
    <w:rsid w:val="0093686C"/>
    <w:rsid w:val="00936BFF"/>
    <w:rsid w:val="009446EF"/>
    <w:rsid w:val="00952492"/>
    <w:rsid w:val="009551FB"/>
    <w:rsid w:val="009609CA"/>
    <w:rsid w:val="00961D41"/>
    <w:rsid w:val="00964A0C"/>
    <w:rsid w:val="00966DBD"/>
    <w:rsid w:val="00966F6E"/>
    <w:rsid w:val="009671A8"/>
    <w:rsid w:val="009755A8"/>
    <w:rsid w:val="0098452C"/>
    <w:rsid w:val="0098465E"/>
    <w:rsid w:val="00984919"/>
    <w:rsid w:val="00987835"/>
    <w:rsid w:val="00991B71"/>
    <w:rsid w:val="009B03D7"/>
    <w:rsid w:val="009B1AC1"/>
    <w:rsid w:val="009B3670"/>
    <w:rsid w:val="009B3DE0"/>
    <w:rsid w:val="009B3EBC"/>
    <w:rsid w:val="009B4300"/>
    <w:rsid w:val="009B541B"/>
    <w:rsid w:val="009B5AEE"/>
    <w:rsid w:val="009B6252"/>
    <w:rsid w:val="009B7BF6"/>
    <w:rsid w:val="009C2FE9"/>
    <w:rsid w:val="009C4CFC"/>
    <w:rsid w:val="009C51C3"/>
    <w:rsid w:val="009D0C1C"/>
    <w:rsid w:val="009D4E78"/>
    <w:rsid w:val="009D55BD"/>
    <w:rsid w:val="009D6B19"/>
    <w:rsid w:val="009E186F"/>
    <w:rsid w:val="009E3B3E"/>
    <w:rsid w:val="009E49D1"/>
    <w:rsid w:val="009E53F1"/>
    <w:rsid w:val="009F1817"/>
    <w:rsid w:val="009F2E7B"/>
    <w:rsid w:val="009F4958"/>
    <w:rsid w:val="009F6BD4"/>
    <w:rsid w:val="00A004BD"/>
    <w:rsid w:val="00A05904"/>
    <w:rsid w:val="00A05DA0"/>
    <w:rsid w:val="00A1396B"/>
    <w:rsid w:val="00A15624"/>
    <w:rsid w:val="00A15C06"/>
    <w:rsid w:val="00A16696"/>
    <w:rsid w:val="00A166A3"/>
    <w:rsid w:val="00A16DBB"/>
    <w:rsid w:val="00A21C83"/>
    <w:rsid w:val="00A23A63"/>
    <w:rsid w:val="00A23AAD"/>
    <w:rsid w:val="00A25F3B"/>
    <w:rsid w:val="00A30173"/>
    <w:rsid w:val="00A30BA7"/>
    <w:rsid w:val="00A31E63"/>
    <w:rsid w:val="00A34160"/>
    <w:rsid w:val="00A350F3"/>
    <w:rsid w:val="00A374EB"/>
    <w:rsid w:val="00A37ABA"/>
    <w:rsid w:val="00A612C4"/>
    <w:rsid w:val="00A61BC0"/>
    <w:rsid w:val="00A65381"/>
    <w:rsid w:val="00A6740E"/>
    <w:rsid w:val="00A67B29"/>
    <w:rsid w:val="00A71B1D"/>
    <w:rsid w:val="00A72EB0"/>
    <w:rsid w:val="00A72F8E"/>
    <w:rsid w:val="00A77498"/>
    <w:rsid w:val="00A8183D"/>
    <w:rsid w:val="00A81C7D"/>
    <w:rsid w:val="00A82880"/>
    <w:rsid w:val="00A83528"/>
    <w:rsid w:val="00A85A3B"/>
    <w:rsid w:val="00A920DD"/>
    <w:rsid w:val="00A936E7"/>
    <w:rsid w:val="00A95884"/>
    <w:rsid w:val="00A95AEE"/>
    <w:rsid w:val="00A962E0"/>
    <w:rsid w:val="00A97327"/>
    <w:rsid w:val="00AA0577"/>
    <w:rsid w:val="00AA0D52"/>
    <w:rsid w:val="00AA331F"/>
    <w:rsid w:val="00AA7953"/>
    <w:rsid w:val="00AB035D"/>
    <w:rsid w:val="00AB0C20"/>
    <w:rsid w:val="00AB55F2"/>
    <w:rsid w:val="00AB5737"/>
    <w:rsid w:val="00AB7543"/>
    <w:rsid w:val="00AC31C3"/>
    <w:rsid w:val="00AC5398"/>
    <w:rsid w:val="00AC7ACC"/>
    <w:rsid w:val="00AD14B6"/>
    <w:rsid w:val="00AE1B72"/>
    <w:rsid w:val="00AE1DC0"/>
    <w:rsid w:val="00AE2234"/>
    <w:rsid w:val="00AE3851"/>
    <w:rsid w:val="00AE6762"/>
    <w:rsid w:val="00AE7F48"/>
    <w:rsid w:val="00AF061B"/>
    <w:rsid w:val="00AF2133"/>
    <w:rsid w:val="00AF65FC"/>
    <w:rsid w:val="00B020A0"/>
    <w:rsid w:val="00B02272"/>
    <w:rsid w:val="00B04A00"/>
    <w:rsid w:val="00B10397"/>
    <w:rsid w:val="00B12914"/>
    <w:rsid w:val="00B140C7"/>
    <w:rsid w:val="00B15071"/>
    <w:rsid w:val="00B2055A"/>
    <w:rsid w:val="00B20CB8"/>
    <w:rsid w:val="00B2534E"/>
    <w:rsid w:val="00B274DD"/>
    <w:rsid w:val="00B37216"/>
    <w:rsid w:val="00B421B8"/>
    <w:rsid w:val="00B4312C"/>
    <w:rsid w:val="00B459BE"/>
    <w:rsid w:val="00B463E2"/>
    <w:rsid w:val="00B5617F"/>
    <w:rsid w:val="00B56734"/>
    <w:rsid w:val="00B6019E"/>
    <w:rsid w:val="00B60D04"/>
    <w:rsid w:val="00B62582"/>
    <w:rsid w:val="00B70C6A"/>
    <w:rsid w:val="00B71E55"/>
    <w:rsid w:val="00B73C1B"/>
    <w:rsid w:val="00B75680"/>
    <w:rsid w:val="00B7657E"/>
    <w:rsid w:val="00B81D23"/>
    <w:rsid w:val="00B83C28"/>
    <w:rsid w:val="00B83ED9"/>
    <w:rsid w:val="00B84D30"/>
    <w:rsid w:val="00B9357D"/>
    <w:rsid w:val="00B94C27"/>
    <w:rsid w:val="00B96916"/>
    <w:rsid w:val="00B97CAA"/>
    <w:rsid w:val="00B97E46"/>
    <w:rsid w:val="00BA48F9"/>
    <w:rsid w:val="00BA5547"/>
    <w:rsid w:val="00BA57DC"/>
    <w:rsid w:val="00BA5891"/>
    <w:rsid w:val="00BB23A2"/>
    <w:rsid w:val="00BC6FA7"/>
    <w:rsid w:val="00BD0CA8"/>
    <w:rsid w:val="00BD22D7"/>
    <w:rsid w:val="00BD2CFB"/>
    <w:rsid w:val="00BD3DB1"/>
    <w:rsid w:val="00BD49D2"/>
    <w:rsid w:val="00BE041F"/>
    <w:rsid w:val="00BE2428"/>
    <w:rsid w:val="00BE7BB2"/>
    <w:rsid w:val="00BF06CC"/>
    <w:rsid w:val="00BF36F4"/>
    <w:rsid w:val="00BF392F"/>
    <w:rsid w:val="00BF45AC"/>
    <w:rsid w:val="00BF4B65"/>
    <w:rsid w:val="00BF6EFA"/>
    <w:rsid w:val="00BF71AB"/>
    <w:rsid w:val="00C0095D"/>
    <w:rsid w:val="00C02745"/>
    <w:rsid w:val="00C0648E"/>
    <w:rsid w:val="00C12347"/>
    <w:rsid w:val="00C12DA5"/>
    <w:rsid w:val="00C1425C"/>
    <w:rsid w:val="00C14C8A"/>
    <w:rsid w:val="00C222D4"/>
    <w:rsid w:val="00C227FE"/>
    <w:rsid w:val="00C2637A"/>
    <w:rsid w:val="00C26AB0"/>
    <w:rsid w:val="00C307DA"/>
    <w:rsid w:val="00C31457"/>
    <w:rsid w:val="00C31C09"/>
    <w:rsid w:val="00C32F12"/>
    <w:rsid w:val="00C33AAA"/>
    <w:rsid w:val="00C34757"/>
    <w:rsid w:val="00C35197"/>
    <w:rsid w:val="00C36A56"/>
    <w:rsid w:val="00C36DFD"/>
    <w:rsid w:val="00C377B8"/>
    <w:rsid w:val="00C409E5"/>
    <w:rsid w:val="00C47EFB"/>
    <w:rsid w:val="00C5139F"/>
    <w:rsid w:val="00C51453"/>
    <w:rsid w:val="00C52D34"/>
    <w:rsid w:val="00C53181"/>
    <w:rsid w:val="00C60673"/>
    <w:rsid w:val="00C6068F"/>
    <w:rsid w:val="00C613AF"/>
    <w:rsid w:val="00C613E4"/>
    <w:rsid w:val="00C6276C"/>
    <w:rsid w:val="00C63604"/>
    <w:rsid w:val="00C65481"/>
    <w:rsid w:val="00C656DC"/>
    <w:rsid w:val="00C70D61"/>
    <w:rsid w:val="00C716C6"/>
    <w:rsid w:val="00C73EB5"/>
    <w:rsid w:val="00C8073F"/>
    <w:rsid w:val="00C80B00"/>
    <w:rsid w:val="00C82062"/>
    <w:rsid w:val="00C85B31"/>
    <w:rsid w:val="00C86E60"/>
    <w:rsid w:val="00C87B84"/>
    <w:rsid w:val="00C9245A"/>
    <w:rsid w:val="00C928C7"/>
    <w:rsid w:val="00C933B9"/>
    <w:rsid w:val="00C93B50"/>
    <w:rsid w:val="00C96705"/>
    <w:rsid w:val="00C97BA9"/>
    <w:rsid w:val="00CA3FB5"/>
    <w:rsid w:val="00CA68DA"/>
    <w:rsid w:val="00CA6981"/>
    <w:rsid w:val="00CB23DF"/>
    <w:rsid w:val="00CB329F"/>
    <w:rsid w:val="00CB3536"/>
    <w:rsid w:val="00CB3EBB"/>
    <w:rsid w:val="00CB45D2"/>
    <w:rsid w:val="00CB4B04"/>
    <w:rsid w:val="00CB5229"/>
    <w:rsid w:val="00CC014E"/>
    <w:rsid w:val="00CC2E71"/>
    <w:rsid w:val="00CC42A9"/>
    <w:rsid w:val="00CC5043"/>
    <w:rsid w:val="00CD2618"/>
    <w:rsid w:val="00CD5E5A"/>
    <w:rsid w:val="00CE2048"/>
    <w:rsid w:val="00CE348A"/>
    <w:rsid w:val="00CE54C8"/>
    <w:rsid w:val="00CE742C"/>
    <w:rsid w:val="00D049BC"/>
    <w:rsid w:val="00D06EDD"/>
    <w:rsid w:val="00D070A2"/>
    <w:rsid w:val="00D100F2"/>
    <w:rsid w:val="00D12AFC"/>
    <w:rsid w:val="00D142E6"/>
    <w:rsid w:val="00D14C9E"/>
    <w:rsid w:val="00D14E62"/>
    <w:rsid w:val="00D154D9"/>
    <w:rsid w:val="00D161E2"/>
    <w:rsid w:val="00D17779"/>
    <w:rsid w:val="00D20676"/>
    <w:rsid w:val="00D20C28"/>
    <w:rsid w:val="00D23668"/>
    <w:rsid w:val="00D25374"/>
    <w:rsid w:val="00D255CD"/>
    <w:rsid w:val="00D27CE8"/>
    <w:rsid w:val="00D30D9B"/>
    <w:rsid w:val="00D319BA"/>
    <w:rsid w:val="00D37571"/>
    <w:rsid w:val="00D4173D"/>
    <w:rsid w:val="00D42FF8"/>
    <w:rsid w:val="00D4360E"/>
    <w:rsid w:val="00D43F34"/>
    <w:rsid w:val="00D44E74"/>
    <w:rsid w:val="00D45D13"/>
    <w:rsid w:val="00D4670C"/>
    <w:rsid w:val="00D46C50"/>
    <w:rsid w:val="00D5417B"/>
    <w:rsid w:val="00D57BD3"/>
    <w:rsid w:val="00D6005A"/>
    <w:rsid w:val="00D601AD"/>
    <w:rsid w:val="00D626F4"/>
    <w:rsid w:val="00D62768"/>
    <w:rsid w:val="00D62EB3"/>
    <w:rsid w:val="00D663C5"/>
    <w:rsid w:val="00D70741"/>
    <w:rsid w:val="00D70E6F"/>
    <w:rsid w:val="00D719FC"/>
    <w:rsid w:val="00D72AD8"/>
    <w:rsid w:val="00D72D3A"/>
    <w:rsid w:val="00D74F79"/>
    <w:rsid w:val="00D8002D"/>
    <w:rsid w:val="00D812E9"/>
    <w:rsid w:val="00D81626"/>
    <w:rsid w:val="00D834BF"/>
    <w:rsid w:val="00D87F7C"/>
    <w:rsid w:val="00D901F5"/>
    <w:rsid w:val="00D97AA3"/>
    <w:rsid w:val="00D97DB1"/>
    <w:rsid w:val="00DA5140"/>
    <w:rsid w:val="00DA6FF2"/>
    <w:rsid w:val="00DB282A"/>
    <w:rsid w:val="00DB3887"/>
    <w:rsid w:val="00DB5CAE"/>
    <w:rsid w:val="00DC32C6"/>
    <w:rsid w:val="00DD19EC"/>
    <w:rsid w:val="00DD241F"/>
    <w:rsid w:val="00DD2B29"/>
    <w:rsid w:val="00DD2FC7"/>
    <w:rsid w:val="00DD642B"/>
    <w:rsid w:val="00DD73F9"/>
    <w:rsid w:val="00DE1142"/>
    <w:rsid w:val="00DE30A2"/>
    <w:rsid w:val="00DE31D4"/>
    <w:rsid w:val="00DE38D8"/>
    <w:rsid w:val="00DE427A"/>
    <w:rsid w:val="00DE5B57"/>
    <w:rsid w:val="00DE5EE7"/>
    <w:rsid w:val="00DE72A3"/>
    <w:rsid w:val="00DE7732"/>
    <w:rsid w:val="00DF0573"/>
    <w:rsid w:val="00DF1670"/>
    <w:rsid w:val="00DF17B9"/>
    <w:rsid w:val="00DF4D78"/>
    <w:rsid w:val="00E00CF7"/>
    <w:rsid w:val="00E01247"/>
    <w:rsid w:val="00E045CF"/>
    <w:rsid w:val="00E062CA"/>
    <w:rsid w:val="00E07CF2"/>
    <w:rsid w:val="00E1221D"/>
    <w:rsid w:val="00E13D6B"/>
    <w:rsid w:val="00E20A74"/>
    <w:rsid w:val="00E21375"/>
    <w:rsid w:val="00E24C4A"/>
    <w:rsid w:val="00E267E2"/>
    <w:rsid w:val="00E4215F"/>
    <w:rsid w:val="00E44100"/>
    <w:rsid w:val="00E45546"/>
    <w:rsid w:val="00E52109"/>
    <w:rsid w:val="00E52EEC"/>
    <w:rsid w:val="00E56147"/>
    <w:rsid w:val="00E61A58"/>
    <w:rsid w:val="00E63CEF"/>
    <w:rsid w:val="00E64D59"/>
    <w:rsid w:val="00E650E1"/>
    <w:rsid w:val="00E66FC5"/>
    <w:rsid w:val="00E678BE"/>
    <w:rsid w:val="00E70579"/>
    <w:rsid w:val="00E70F7E"/>
    <w:rsid w:val="00E72BCE"/>
    <w:rsid w:val="00E74964"/>
    <w:rsid w:val="00E76C3E"/>
    <w:rsid w:val="00E776BD"/>
    <w:rsid w:val="00E824AC"/>
    <w:rsid w:val="00E877C2"/>
    <w:rsid w:val="00E878A3"/>
    <w:rsid w:val="00E879D7"/>
    <w:rsid w:val="00E90A93"/>
    <w:rsid w:val="00E92E3A"/>
    <w:rsid w:val="00E93780"/>
    <w:rsid w:val="00E94B4D"/>
    <w:rsid w:val="00E9573F"/>
    <w:rsid w:val="00E976C9"/>
    <w:rsid w:val="00EA2E7F"/>
    <w:rsid w:val="00EA4D7A"/>
    <w:rsid w:val="00EA68D3"/>
    <w:rsid w:val="00EA7BC6"/>
    <w:rsid w:val="00EB0DFD"/>
    <w:rsid w:val="00EB1071"/>
    <w:rsid w:val="00EB1171"/>
    <w:rsid w:val="00EB13E2"/>
    <w:rsid w:val="00EB487E"/>
    <w:rsid w:val="00EB7BF3"/>
    <w:rsid w:val="00EC1807"/>
    <w:rsid w:val="00EC3445"/>
    <w:rsid w:val="00EC7448"/>
    <w:rsid w:val="00ED0216"/>
    <w:rsid w:val="00ED1268"/>
    <w:rsid w:val="00ED3279"/>
    <w:rsid w:val="00ED3E27"/>
    <w:rsid w:val="00ED503E"/>
    <w:rsid w:val="00ED5625"/>
    <w:rsid w:val="00ED586C"/>
    <w:rsid w:val="00ED5BF4"/>
    <w:rsid w:val="00EE1637"/>
    <w:rsid w:val="00EE258A"/>
    <w:rsid w:val="00EF144E"/>
    <w:rsid w:val="00EF5BE6"/>
    <w:rsid w:val="00F00984"/>
    <w:rsid w:val="00F00BF7"/>
    <w:rsid w:val="00F01181"/>
    <w:rsid w:val="00F021EC"/>
    <w:rsid w:val="00F03B44"/>
    <w:rsid w:val="00F075F7"/>
    <w:rsid w:val="00F11186"/>
    <w:rsid w:val="00F11B2E"/>
    <w:rsid w:val="00F11DA4"/>
    <w:rsid w:val="00F13CBD"/>
    <w:rsid w:val="00F13DA0"/>
    <w:rsid w:val="00F14B3B"/>
    <w:rsid w:val="00F27E50"/>
    <w:rsid w:val="00F3039A"/>
    <w:rsid w:val="00F3042C"/>
    <w:rsid w:val="00F31D30"/>
    <w:rsid w:val="00F35B96"/>
    <w:rsid w:val="00F4015B"/>
    <w:rsid w:val="00F40583"/>
    <w:rsid w:val="00F419C2"/>
    <w:rsid w:val="00F43A87"/>
    <w:rsid w:val="00F47455"/>
    <w:rsid w:val="00F50507"/>
    <w:rsid w:val="00F52B3C"/>
    <w:rsid w:val="00F549A9"/>
    <w:rsid w:val="00F55B9A"/>
    <w:rsid w:val="00F60BDC"/>
    <w:rsid w:val="00F61CCC"/>
    <w:rsid w:val="00F6436E"/>
    <w:rsid w:val="00F660ED"/>
    <w:rsid w:val="00F66476"/>
    <w:rsid w:val="00F665B7"/>
    <w:rsid w:val="00F67660"/>
    <w:rsid w:val="00F71BB8"/>
    <w:rsid w:val="00F73F9C"/>
    <w:rsid w:val="00F74D0F"/>
    <w:rsid w:val="00F76B6A"/>
    <w:rsid w:val="00F76F16"/>
    <w:rsid w:val="00F80026"/>
    <w:rsid w:val="00F80BD5"/>
    <w:rsid w:val="00F81555"/>
    <w:rsid w:val="00F83B07"/>
    <w:rsid w:val="00F85651"/>
    <w:rsid w:val="00F91D85"/>
    <w:rsid w:val="00F95129"/>
    <w:rsid w:val="00FA27BC"/>
    <w:rsid w:val="00FA53F2"/>
    <w:rsid w:val="00FA788D"/>
    <w:rsid w:val="00FA7D41"/>
    <w:rsid w:val="00FB1B59"/>
    <w:rsid w:val="00FB2B86"/>
    <w:rsid w:val="00FB4F03"/>
    <w:rsid w:val="00FB61FA"/>
    <w:rsid w:val="00FC1B5B"/>
    <w:rsid w:val="00FC321B"/>
    <w:rsid w:val="00FC32D0"/>
    <w:rsid w:val="00FC3F1A"/>
    <w:rsid w:val="00FD12F3"/>
    <w:rsid w:val="00FD4F8A"/>
    <w:rsid w:val="00FE0602"/>
    <w:rsid w:val="00FE40B2"/>
    <w:rsid w:val="00FE7192"/>
    <w:rsid w:val="00FF5172"/>
    <w:rsid w:val="01060A2F"/>
    <w:rsid w:val="01115EBD"/>
    <w:rsid w:val="011F728D"/>
    <w:rsid w:val="01316554"/>
    <w:rsid w:val="015E6DB3"/>
    <w:rsid w:val="01CF2B6B"/>
    <w:rsid w:val="01F05290"/>
    <w:rsid w:val="0230555B"/>
    <w:rsid w:val="025C546E"/>
    <w:rsid w:val="025F0256"/>
    <w:rsid w:val="026672B6"/>
    <w:rsid w:val="02813929"/>
    <w:rsid w:val="028174E5"/>
    <w:rsid w:val="02C35F54"/>
    <w:rsid w:val="03151CB1"/>
    <w:rsid w:val="032E397C"/>
    <w:rsid w:val="037D57BB"/>
    <w:rsid w:val="040B7017"/>
    <w:rsid w:val="04676437"/>
    <w:rsid w:val="04A672B0"/>
    <w:rsid w:val="04B311CB"/>
    <w:rsid w:val="04C24A88"/>
    <w:rsid w:val="04CE1452"/>
    <w:rsid w:val="056754EA"/>
    <w:rsid w:val="05A05574"/>
    <w:rsid w:val="05DA2B01"/>
    <w:rsid w:val="06097B6E"/>
    <w:rsid w:val="064F7881"/>
    <w:rsid w:val="069A32D3"/>
    <w:rsid w:val="06C8673C"/>
    <w:rsid w:val="06CB40CD"/>
    <w:rsid w:val="06CC4C0E"/>
    <w:rsid w:val="06D40937"/>
    <w:rsid w:val="06E174F5"/>
    <w:rsid w:val="073B47C0"/>
    <w:rsid w:val="07503A53"/>
    <w:rsid w:val="07B84B0F"/>
    <w:rsid w:val="07FC3462"/>
    <w:rsid w:val="083322D3"/>
    <w:rsid w:val="08371801"/>
    <w:rsid w:val="08656E64"/>
    <w:rsid w:val="086E42F5"/>
    <w:rsid w:val="089452A2"/>
    <w:rsid w:val="0909558A"/>
    <w:rsid w:val="097B30E9"/>
    <w:rsid w:val="09AD5BDA"/>
    <w:rsid w:val="09B23105"/>
    <w:rsid w:val="09B44374"/>
    <w:rsid w:val="09BE4AEA"/>
    <w:rsid w:val="09D2001A"/>
    <w:rsid w:val="09F951F5"/>
    <w:rsid w:val="0A217542"/>
    <w:rsid w:val="0A6A35CD"/>
    <w:rsid w:val="0B2F2E48"/>
    <w:rsid w:val="0C346FE5"/>
    <w:rsid w:val="0C3C4703"/>
    <w:rsid w:val="0C572716"/>
    <w:rsid w:val="0D18128E"/>
    <w:rsid w:val="0D4947C6"/>
    <w:rsid w:val="0D6057F8"/>
    <w:rsid w:val="0D631CE5"/>
    <w:rsid w:val="0DF25048"/>
    <w:rsid w:val="0E282520"/>
    <w:rsid w:val="0E6D45F9"/>
    <w:rsid w:val="0EA601DE"/>
    <w:rsid w:val="0EEB7CF8"/>
    <w:rsid w:val="0F2D608D"/>
    <w:rsid w:val="0FE55322"/>
    <w:rsid w:val="0FF73B78"/>
    <w:rsid w:val="104E415A"/>
    <w:rsid w:val="109C728C"/>
    <w:rsid w:val="10BD73CC"/>
    <w:rsid w:val="10F06601"/>
    <w:rsid w:val="11552289"/>
    <w:rsid w:val="11D637D8"/>
    <w:rsid w:val="12131759"/>
    <w:rsid w:val="12494BFF"/>
    <w:rsid w:val="1270207B"/>
    <w:rsid w:val="12775274"/>
    <w:rsid w:val="128A320C"/>
    <w:rsid w:val="129E491B"/>
    <w:rsid w:val="12B9724A"/>
    <w:rsid w:val="12BE79A9"/>
    <w:rsid w:val="13574D0D"/>
    <w:rsid w:val="13753078"/>
    <w:rsid w:val="139D423C"/>
    <w:rsid w:val="13B32F44"/>
    <w:rsid w:val="13BF0A10"/>
    <w:rsid w:val="14E87E68"/>
    <w:rsid w:val="155B77FE"/>
    <w:rsid w:val="1584515F"/>
    <w:rsid w:val="15C209F0"/>
    <w:rsid w:val="16071DBE"/>
    <w:rsid w:val="16431759"/>
    <w:rsid w:val="17226A02"/>
    <w:rsid w:val="17AC0503"/>
    <w:rsid w:val="17E56470"/>
    <w:rsid w:val="18555FEC"/>
    <w:rsid w:val="18657C82"/>
    <w:rsid w:val="187A353A"/>
    <w:rsid w:val="188030FA"/>
    <w:rsid w:val="18B45AAD"/>
    <w:rsid w:val="191B65C7"/>
    <w:rsid w:val="193675BF"/>
    <w:rsid w:val="194261D4"/>
    <w:rsid w:val="197869DC"/>
    <w:rsid w:val="19DA1F48"/>
    <w:rsid w:val="1A0B67FD"/>
    <w:rsid w:val="1A247CA8"/>
    <w:rsid w:val="1A3C320F"/>
    <w:rsid w:val="1A425A67"/>
    <w:rsid w:val="1ABA0A30"/>
    <w:rsid w:val="1AC53124"/>
    <w:rsid w:val="1B3255AD"/>
    <w:rsid w:val="1B756948"/>
    <w:rsid w:val="1BB83177"/>
    <w:rsid w:val="1C3A431D"/>
    <w:rsid w:val="1C92253F"/>
    <w:rsid w:val="1CC670EE"/>
    <w:rsid w:val="1D0B5571"/>
    <w:rsid w:val="1D286713"/>
    <w:rsid w:val="1E1E6AB9"/>
    <w:rsid w:val="1E557C85"/>
    <w:rsid w:val="1E62536A"/>
    <w:rsid w:val="1E634E61"/>
    <w:rsid w:val="1E667E15"/>
    <w:rsid w:val="1ED12ECC"/>
    <w:rsid w:val="1F2229D5"/>
    <w:rsid w:val="1F5C627E"/>
    <w:rsid w:val="1F8E4A1F"/>
    <w:rsid w:val="1FA100FB"/>
    <w:rsid w:val="1FC34182"/>
    <w:rsid w:val="20570AA3"/>
    <w:rsid w:val="20C42FD9"/>
    <w:rsid w:val="20E6457D"/>
    <w:rsid w:val="20F73362"/>
    <w:rsid w:val="212F0B83"/>
    <w:rsid w:val="21A11929"/>
    <w:rsid w:val="21A37372"/>
    <w:rsid w:val="21DC224A"/>
    <w:rsid w:val="21EC0812"/>
    <w:rsid w:val="22374965"/>
    <w:rsid w:val="2261397D"/>
    <w:rsid w:val="229D2227"/>
    <w:rsid w:val="22C2053D"/>
    <w:rsid w:val="22F77216"/>
    <w:rsid w:val="2311742C"/>
    <w:rsid w:val="23211EC2"/>
    <w:rsid w:val="23E65ED8"/>
    <w:rsid w:val="24374891"/>
    <w:rsid w:val="248C7ED9"/>
    <w:rsid w:val="25365A2D"/>
    <w:rsid w:val="259D3E68"/>
    <w:rsid w:val="25D52741"/>
    <w:rsid w:val="26502B73"/>
    <w:rsid w:val="26C17979"/>
    <w:rsid w:val="26F86345"/>
    <w:rsid w:val="27EC27AD"/>
    <w:rsid w:val="27FB1F31"/>
    <w:rsid w:val="28452A97"/>
    <w:rsid w:val="2854443C"/>
    <w:rsid w:val="285F14E2"/>
    <w:rsid w:val="285F5C4A"/>
    <w:rsid w:val="286361E3"/>
    <w:rsid w:val="28E01046"/>
    <w:rsid w:val="29102DFF"/>
    <w:rsid w:val="296A1009"/>
    <w:rsid w:val="29C13DFD"/>
    <w:rsid w:val="2A2F7916"/>
    <w:rsid w:val="2A7623C2"/>
    <w:rsid w:val="2A864C63"/>
    <w:rsid w:val="2AB4622F"/>
    <w:rsid w:val="2AF51BF8"/>
    <w:rsid w:val="2AFC6512"/>
    <w:rsid w:val="2B283815"/>
    <w:rsid w:val="2B5B67F5"/>
    <w:rsid w:val="2B6007B5"/>
    <w:rsid w:val="2C3703DB"/>
    <w:rsid w:val="2C6C78C8"/>
    <w:rsid w:val="2C9018E0"/>
    <w:rsid w:val="2C907D07"/>
    <w:rsid w:val="2C9C4793"/>
    <w:rsid w:val="2CA15C86"/>
    <w:rsid w:val="2CAA2FE0"/>
    <w:rsid w:val="2CC04F54"/>
    <w:rsid w:val="2CC8321B"/>
    <w:rsid w:val="2D14722D"/>
    <w:rsid w:val="2D201C06"/>
    <w:rsid w:val="2D3574E6"/>
    <w:rsid w:val="2D3809B7"/>
    <w:rsid w:val="2D5B4AF5"/>
    <w:rsid w:val="2D8C163D"/>
    <w:rsid w:val="2DA17BDC"/>
    <w:rsid w:val="2DAF30B0"/>
    <w:rsid w:val="2E6D7AF3"/>
    <w:rsid w:val="2ED170CE"/>
    <w:rsid w:val="2F0A2386"/>
    <w:rsid w:val="2FE02E0F"/>
    <w:rsid w:val="301B0157"/>
    <w:rsid w:val="301B1DEB"/>
    <w:rsid w:val="30971A44"/>
    <w:rsid w:val="30A71A03"/>
    <w:rsid w:val="30BF2ACE"/>
    <w:rsid w:val="30D23811"/>
    <w:rsid w:val="31200CA6"/>
    <w:rsid w:val="31607A38"/>
    <w:rsid w:val="31687688"/>
    <w:rsid w:val="318A5651"/>
    <w:rsid w:val="318D2772"/>
    <w:rsid w:val="318E78A0"/>
    <w:rsid w:val="319A2232"/>
    <w:rsid w:val="31A70BF9"/>
    <w:rsid w:val="31C70860"/>
    <w:rsid w:val="3206716D"/>
    <w:rsid w:val="32416F51"/>
    <w:rsid w:val="3282444B"/>
    <w:rsid w:val="32D67940"/>
    <w:rsid w:val="32FD3D68"/>
    <w:rsid w:val="331B3E69"/>
    <w:rsid w:val="33242675"/>
    <w:rsid w:val="33242CF8"/>
    <w:rsid w:val="33E82B81"/>
    <w:rsid w:val="33F16546"/>
    <w:rsid w:val="33F215AF"/>
    <w:rsid w:val="34FF015C"/>
    <w:rsid w:val="3568359A"/>
    <w:rsid w:val="35A83B47"/>
    <w:rsid w:val="35C82A07"/>
    <w:rsid w:val="36190864"/>
    <w:rsid w:val="361D38B9"/>
    <w:rsid w:val="364A1F17"/>
    <w:rsid w:val="364C0A75"/>
    <w:rsid w:val="3667199F"/>
    <w:rsid w:val="36697C34"/>
    <w:rsid w:val="367D7D25"/>
    <w:rsid w:val="372259E7"/>
    <w:rsid w:val="37515B3C"/>
    <w:rsid w:val="375B540F"/>
    <w:rsid w:val="37600772"/>
    <w:rsid w:val="379709DA"/>
    <w:rsid w:val="37E86146"/>
    <w:rsid w:val="38527D74"/>
    <w:rsid w:val="389305D5"/>
    <w:rsid w:val="38B431F0"/>
    <w:rsid w:val="38BB3D3A"/>
    <w:rsid w:val="39311689"/>
    <w:rsid w:val="3934711B"/>
    <w:rsid w:val="3A883C92"/>
    <w:rsid w:val="3B5F00FE"/>
    <w:rsid w:val="3BBE29F5"/>
    <w:rsid w:val="3BDF5ACE"/>
    <w:rsid w:val="3C0305C9"/>
    <w:rsid w:val="3C3E7488"/>
    <w:rsid w:val="3C8362B1"/>
    <w:rsid w:val="3CAC4C81"/>
    <w:rsid w:val="3CFC09D4"/>
    <w:rsid w:val="3D2403FF"/>
    <w:rsid w:val="3D2827C1"/>
    <w:rsid w:val="3D3B61A9"/>
    <w:rsid w:val="3D842744"/>
    <w:rsid w:val="3D8430C2"/>
    <w:rsid w:val="3DC414CC"/>
    <w:rsid w:val="3E0D456D"/>
    <w:rsid w:val="3E24017F"/>
    <w:rsid w:val="3E3407AE"/>
    <w:rsid w:val="3E70134B"/>
    <w:rsid w:val="3EDB7B35"/>
    <w:rsid w:val="3EF544F8"/>
    <w:rsid w:val="3F5D6610"/>
    <w:rsid w:val="3FA20AC4"/>
    <w:rsid w:val="400A4B1A"/>
    <w:rsid w:val="40312406"/>
    <w:rsid w:val="404C31B3"/>
    <w:rsid w:val="405A0A55"/>
    <w:rsid w:val="406074F5"/>
    <w:rsid w:val="40640765"/>
    <w:rsid w:val="40CB6FD4"/>
    <w:rsid w:val="40E81D56"/>
    <w:rsid w:val="40F34497"/>
    <w:rsid w:val="413A343D"/>
    <w:rsid w:val="41B04123"/>
    <w:rsid w:val="424F2CFE"/>
    <w:rsid w:val="426B5866"/>
    <w:rsid w:val="429C6867"/>
    <w:rsid w:val="42CD48AC"/>
    <w:rsid w:val="42E73C50"/>
    <w:rsid w:val="42E83117"/>
    <w:rsid w:val="42FE308B"/>
    <w:rsid w:val="431E5DDF"/>
    <w:rsid w:val="432C6112"/>
    <w:rsid w:val="434828C0"/>
    <w:rsid w:val="437B28C2"/>
    <w:rsid w:val="43CC2F25"/>
    <w:rsid w:val="43D62865"/>
    <w:rsid w:val="44232A44"/>
    <w:rsid w:val="447564B1"/>
    <w:rsid w:val="44ED7950"/>
    <w:rsid w:val="450806A8"/>
    <w:rsid w:val="457C1A6C"/>
    <w:rsid w:val="458B3B1C"/>
    <w:rsid w:val="45945B9B"/>
    <w:rsid w:val="45B50A45"/>
    <w:rsid w:val="45EB14C2"/>
    <w:rsid w:val="46BD4D26"/>
    <w:rsid w:val="46FB2CA5"/>
    <w:rsid w:val="473D19FE"/>
    <w:rsid w:val="47602C77"/>
    <w:rsid w:val="477D70C1"/>
    <w:rsid w:val="47DC04C4"/>
    <w:rsid w:val="4839189A"/>
    <w:rsid w:val="487E4FD6"/>
    <w:rsid w:val="48AD12D4"/>
    <w:rsid w:val="48E1043C"/>
    <w:rsid w:val="4905033D"/>
    <w:rsid w:val="493C0149"/>
    <w:rsid w:val="4A251816"/>
    <w:rsid w:val="4A3C135C"/>
    <w:rsid w:val="4A957C5E"/>
    <w:rsid w:val="4AA6284B"/>
    <w:rsid w:val="4AFB6587"/>
    <w:rsid w:val="4B13134E"/>
    <w:rsid w:val="4B6F6FBE"/>
    <w:rsid w:val="4B8C4F59"/>
    <w:rsid w:val="4C277F1A"/>
    <w:rsid w:val="4C327D82"/>
    <w:rsid w:val="4C45632E"/>
    <w:rsid w:val="4C7E5299"/>
    <w:rsid w:val="4CD5501D"/>
    <w:rsid w:val="4CEB10D0"/>
    <w:rsid w:val="4CED2962"/>
    <w:rsid w:val="4D144021"/>
    <w:rsid w:val="4D184377"/>
    <w:rsid w:val="4DB421CC"/>
    <w:rsid w:val="4DD72A05"/>
    <w:rsid w:val="4DEF4CFA"/>
    <w:rsid w:val="4E6E4936"/>
    <w:rsid w:val="4EB25F5A"/>
    <w:rsid w:val="4EFB3187"/>
    <w:rsid w:val="4F430528"/>
    <w:rsid w:val="4F4D11C7"/>
    <w:rsid w:val="4FE81AF8"/>
    <w:rsid w:val="50022B9B"/>
    <w:rsid w:val="500A22A8"/>
    <w:rsid w:val="506430A7"/>
    <w:rsid w:val="50D63FAB"/>
    <w:rsid w:val="51331311"/>
    <w:rsid w:val="5141421C"/>
    <w:rsid w:val="515032C8"/>
    <w:rsid w:val="51A62F31"/>
    <w:rsid w:val="51DE2511"/>
    <w:rsid w:val="527C37B0"/>
    <w:rsid w:val="52984630"/>
    <w:rsid w:val="53482957"/>
    <w:rsid w:val="535117F6"/>
    <w:rsid w:val="53F34AC5"/>
    <w:rsid w:val="54203525"/>
    <w:rsid w:val="54633A29"/>
    <w:rsid w:val="54654500"/>
    <w:rsid w:val="55225BC8"/>
    <w:rsid w:val="552C0C0A"/>
    <w:rsid w:val="5573321C"/>
    <w:rsid w:val="55FE64C0"/>
    <w:rsid w:val="56262043"/>
    <w:rsid w:val="566922FB"/>
    <w:rsid w:val="56787859"/>
    <w:rsid w:val="56996B9F"/>
    <w:rsid w:val="57284A87"/>
    <w:rsid w:val="57801EC5"/>
    <w:rsid w:val="57BB4EC5"/>
    <w:rsid w:val="57F86C38"/>
    <w:rsid w:val="5812112B"/>
    <w:rsid w:val="58226598"/>
    <w:rsid w:val="58F55E39"/>
    <w:rsid w:val="59413558"/>
    <w:rsid w:val="599B26E6"/>
    <w:rsid w:val="59EE4044"/>
    <w:rsid w:val="5A165FE1"/>
    <w:rsid w:val="5A8A4362"/>
    <w:rsid w:val="5B2A792D"/>
    <w:rsid w:val="5B71071E"/>
    <w:rsid w:val="5B9620EE"/>
    <w:rsid w:val="5BC36CD5"/>
    <w:rsid w:val="5C2F6FAB"/>
    <w:rsid w:val="5C320050"/>
    <w:rsid w:val="5CA3046A"/>
    <w:rsid w:val="5CE27F37"/>
    <w:rsid w:val="5CF27851"/>
    <w:rsid w:val="5CF67953"/>
    <w:rsid w:val="5D62246E"/>
    <w:rsid w:val="5D773D59"/>
    <w:rsid w:val="5D8571E4"/>
    <w:rsid w:val="5D883EA2"/>
    <w:rsid w:val="5DDD0C28"/>
    <w:rsid w:val="5DE51AA6"/>
    <w:rsid w:val="5EAF47B7"/>
    <w:rsid w:val="5EE05C0D"/>
    <w:rsid w:val="5EED24D1"/>
    <w:rsid w:val="5F750B19"/>
    <w:rsid w:val="5F771019"/>
    <w:rsid w:val="5F9D1465"/>
    <w:rsid w:val="5FD301A1"/>
    <w:rsid w:val="5FDF0AC9"/>
    <w:rsid w:val="60625604"/>
    <w:rsid w:val="60F06249"/>
    <w:rsid w:val="61036205"/>
    <w:rsid w:val="61074271"/>
    <w:rsid w:val="613C03E2"/>
    <w:rsid w:val="61792762"/>
    <w:rsid w:val="62AA74DB"/>
    <w:rsid w:val="62D03CD9"/>
    <w:rsid w:val="62D1432C"/>
    <w:rsid w:val="62E74FE9"/>
    <w:rsid w:val="62FA54F0"/>
    <w:rsid w:val="63052130"/>
    <w:rsid w:val="632F3972"/>
    <w:rsid w:val="63397E2B"/>
    <w:rsid w:val="635027DD"/>
    <w:rsid w:val="64507592"/>
    <w:rsid w:val="64706193"/>
    <w:rsid w:val="648B03D0"/>
    <w:rsid w:val="649F5F3F"/>
    <w:rsid w:val="64AC3D58"/>
    <w:rsid w:val="64C42B60"/>
    <w:rsid w:val="64C434DB"/>
    <w:rsid w:val="65293FC6"/>
    <w:rsid w:val="65AF6883"/>
    <w:rsid w:val="65BA4CB3"/>
    <w:rsid w:val="65F972C6"/>
    <w:rsid w:val="66757B1B"/>
    <w:rsid w:val="66882B6C"/>
    <w:rsid w:val="66AF69DF"/>
    <w:rsid w:val="66C2428B"/>
    <w:rsid w:val="66CD1B44"/>
    <w:rsid w:val="67096E53"/>
    <w:rsid w:val="675F70FD"/>
    <w:rsid w:val="67A53BFB"/>
    <w:rsid w:val="67BC1668"/>
    <w:rsid w:val="683622DF"/>
    <w:rsid w:val="683E5582"/>
    <w:rsid w:val="68517FB1"/>
    <w:rsid w:val="68BA6E6E"/>
    <w:rsid w:val="68CF3897"/>
    <w:rsid w:val="68DC665A"/>
    <w:rsid w:val="69B00F02"/>
    <w:rsid w:val="69B57A0D"/>
    <w:rsid w:val="69C22990"/>
    <w:rsid w:val="69EC41C7"/>
    <w:rsid w:val="6A1D72DD"/>
    <w:rsid w:val="6A2D1B93"/>
    <w:rsid w:val="6B4D6BA3"/>
    <w:rsid w:val="6B6A1C06"/>
    <w:rsid w:val="6BCB0A1D"/>
    <w:rsid w:val="6C4D2F9A"/>
    <w:rsid w:val="6C6E49B0"/>
    <w:rsid w:val="6CA4407E"/>
    <w:rsid w:val="6CF62CED"/>
    <w:rsid w:val="6D4F57CC"/>
    <w:rsid w:val="6D8434E5"/>
    <w:rsid w:val="6E2F216A"/>
    <w:rsid w:val="6E8005AF"/>
    <w:rsid w:val="6E9E6A68"/>
    <w:rsid w:val="6EC305B9"/>
    <w:rsid w:val="6F2A0F1C"/>
    <w:rsid w:val="6FA421C7"/>
    <w:rsid w:val="6FD54BD0"/>
    <w:rsid w:val="6FEE1CB5"/>
    <w:rsid w:val="702141C0"/>
    <w:rsid w:val="70303528"/>
    <w:rsid w:val="708A7E30"/>
    <w:rsid w:val="70B55AB7"/>
    <w:rsid w:val="70DF7DAA"/>
    <w:rsid w:val="70F27D37"/>
    <w:rsid w:val="70FE5390"/>
    <w:rsid w:val="71BA40A3"/>
    <w:rsid w:val="71E84C97"/>
    <w:rsid w:val="7224446E"/>
    <w:rsid w:val="722F3B39"/>
    <w:rsid w:val="725F2C5D"/>
    <w:rsid w:val="72690461"/>
    <w:rsid w:val="72A476D6"/>
    <w:rsid w:val="72EB0AA4"/>
    <w:rsid w:val="730D656F"/>
    <w:rsid w:val="733A77D9"/>
    <w:rsid w:val="73431BED"/>
    <w:rsid w:val="73483F95"/>
    <w:rsid w:val="73CF25BF"/>
    <w:rsid w:val="743448CC"/>
    <w:rsid w:val="74A74848"/>
    <w:rsid w:val="74FB5A98"/>
    <w:rsid w:val="751D55C4"/>
    <w:rsid w:val="756551A9"/>
    <w:rsid w:val="758562E7"/>
    <w:rsid w:val="75871652"/>
    <w:rsid w:val="75D23670"/>
    <w:rsid w:val="76103A8F"/>
    <w:rsid w:val="76D95B85"/>
    <w:rsid w:val="775252D0"/>
    <w:rsid w:val="79405F4A"/>
    <w:rsid w:val="79852127"/>
    <w:rsid w:val="79911D22"/>
    <w:rsid w:val="799444CF"/>
    <w:rsid w:val="79C51F07"/>
    <w:rsid w:val="79CF5620"/>
    <w:rsid w:val="79FA6DDA"/>
    <w:rsid w:val="79FE1EB2"/>
    <w:rsid w:val="7A377C72"/>
    <w:rsid w:val="7A864A56"/>
    <w:rsid w:val="7AA740B3"/>
    <w:rsid w:val="7AEF0314"/>
    <w:rsid w:val="7B9443FB"/>
    <w:rsid w:val="7BB24CF3"/>
    <w:rsid w:val="7BB456C0"/>
    <w:rsid w:val="7BD40DAA"/>
    <w:rsid w:val="7C2F4A3D"/>
    <w:rsid w:val="7C3E41E8"/>
    <w:rsid w:val="7CC47054"/>
    <w:rsid w:val="7CD203D6"/>
    <w:rsid w:val="7CD51C1E"/>
    <w:rsid w:val="7D291666"/>
    <w:rsid w:val="7D2F0FA6"/>
    <w:rsid w:val="7E567A52"/>
    <w:rsid w:val="7E6951D3"/>
    <w:rsid w:val="7E9B2C88"/>
    <w:rsid w:val="7EE30A84"/>
    <w:rsid w:val="7F1C175B"/>
    <w:rsid w:val="7F2F7805"/>
    <w:rsid w:val="7F73246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99" w:semiHidden="0"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iPriority="0" w:name="caption"/>
    <w:lsdException w:qFormat="1" w:unhideWhenUsed="0" w:uiPriority="99" w:name="table of figures"/>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26"/>
      <w:lang w:val="en-US" w:eastAsia="zh-CN" w:bidi="ar-SA"/>
    </w:rPr>
  </w:style>
  <w:style w:type="paragraph" w:styleId="2">
    <w:name w:val="heading 1"/>
    <w:basedOn w:val="1"/>
    <w:next w:val="1"/>
    <w:link w:val="62"/>
    <w:qFormat/>
    <w:uiPriority w:val="99"/>
    <w:pPr>
      <w:keepNext/>
      <w:keepLines/>
      <w:spacing w:line="578" w:lineRule="auto"/>
      <w:outlineLvl w:val="0"/>
    </w:pPr>
    <w:rPr>
      <w:b/>
      <w:bCs/>
      <w:kern w:val="44"/>
      <w:sz w:val="44"/>
      <w:szCs w:val="44"/>
    </w:rPr>
  </w:style>
  <w:style w:type="paragraph" w:styleId="3">
    <w:name w:val="heading 2"/>
    <w:basedOn w:val="1"/>
    <w:next w:val="1"/>
    <w:link w:val="63"/>
    <w:qFormat/>
    <w:uiPriority w:val="99"/>
    <w:pPr>
      <w:keepNext/>
      <w:keepLines/>
      <w:overflowPunct w:val="0"/>
      <w:adjustRightInd w:val="0"/>
      <w:jc w:val="left"/>
      <w:textAlignment w:val="baseline"/>
      <w:outlineLvl w:val="1"/>
    </w:pPr>
    <w:rPr>
      <w:rFonts w:ascii="宋体" w:hAnsi="宋体"/>
      <w:b/>
    </w:rPr>
  </w:style>
  <w:style w:type="paragraph" w:styleId="4">
    <w:name w:val="heading 3"/>
    <w:basedOn w:val="1"/>
    <w:next w:val="1"/>
    <w:link w:val="64"/>
    <w:qFormat/>
    <w:uiPriority w:val="99"/>
    <w:pPr>
      <w:keepNext/>
      <w:keepLines/>
      <w:adjustRightInd w:val="0"/>
      <w:jc w:val="left"/>
      <w:textAlignment w:val="baseline"/>
      <w:outlineLvl w:val="2"/>
    </w:pPr>
    <w:rPr>
      <w:b/>
      <w:bCs/>
      <w:kern w:val="0"/>
      <w:sz w:val="32"/>
      <w:szCs w:val="32"/>
    </w:rPr>
  </w:style>
  <w:style w:type="paragraph" w:styleId="5">
    <w:name w:val="heading 5"/>
    <w:basedOn w:val="1"/>
    <w:next w:val="6"/>
    <w:link w:val="65"/>
    <w:qFormat/>
    <w:uiPriority w:val="99"/>
    <w:pPr>
      <w:keepNext/>
      <w:keepLines/>
      <w:numPr>
        <w:ilvl w:val="4"/>
        <w:numId w:val="1"/>
      </w:numPr>
      <w:tabs>
        <w:tab w:val="left" w:pos="432"/>
      </w:tabs>
      <w:spacing w:line="376" w:lineRule="auto"/>
      <w:outlineLvl w:val="4"/>
    </w:pPr>
    <w:rPr>
      <w:b/>
      <w:bCs/>
      <w:kern w:val="0"/>
      <w:sz w:val="28"/>
      <w:szCs w:val="28"/>
    </w:rPr>
  </w:style>
  <w:style w:type="paragraph" w:styleId="7">
    <w:name w:val="heading 6"/>
    <w:basedOn w:val="1"/>
    <w:next w:val="6"/>
    <w:link w:val="66"/>
    <w:qFormat/>
    <w:uiPriority w:val="99"/>
    <w:pPr>
      <w:keepNext/>
      <w:keepLines/>
      <w:numPr>
        <w:ilvl w:val="5"/>
        <w:numId w:val="1"/>
      </w:numPr>
      <w:tabs>
        <w:tab w:val="left" w:pos="432"/>
      </w:tabs>
      <w:spacing w:line="320" w:lineRule="auto"/>
      <w:outlineLvl w:val="5"/>
    </w:pPr>
    <w:rPr>
      <w:rFonts w:ascii="Cambria" w:hAnsi="Cambria" w:eastAsia="宋体"/>
      <w:b/>
      <w:bCs/>
      <w:kern w:val="0"/>
      <w:sz w:val="24"/>
      <w:szCs w:val="24"/>
    </w:rPr>
  </w:style>
  <w:style w:type="paragraph" w:styleId="8">
    <w:name w:val="heading 7"/>
    <w:basedOn w:val="1"/>
    <w:next w:val="6"/>
    <w:link w:val="67"/>
    <w:qFormat/>
    <w:uiPriority w:val="99"/>
    <w:pPr>
      <w:keepNext/>
      <w:keepLines/>
      <w:numPr>
        <w:ilvl w:val="6"/>
        <w:numId w:val="1"/>
      </w:numPr>
      <w:tabs>
        <w:tab w:val="left" w:pos="432"/>
      </w:tabs>
      <w:spacing w:line="320" w:lineRule="auto"/>
      <w:outlineLvl w:val="6"/>
    </w:pPr>
    <w:rPr>
      <w:b/>
      <w:bCs/>
      <w:kern w:val="0"/>
      <w:sz w:val="24"/>
      <w:szCs w:val="24"/>
    </w:rPr>
  </w:style>
  <w:style w:type="paragraph" w:styleId="9">
    <w:name w:val="heading 8"/>
    <w:basedOn w:val="1"/>
    <w:next w:val="6"/>
    <w:link w:val="68"/>
    <w:qFormat/>
    <w:uiPriority w:val="99"/>
    <w:pPr>
      <w:keepNext/>
      <w:keepLines/>
      <w:numPr>
        <w:ilvl w:val="7"/>
        <w:numId w:val="1"/>
      </w:numPr>
      <w:tabs>
        <w:tab w:val="left" w:pos="432"/>
      </w:tabs>
      <w:spacing w:line="320" w:lineRule="auto"/>
      <w:outlineLvl w:val="7"/>
    </w:pPr>
    <w:rPr>
      <w:rFonts w:ascii="Cambria" w:hAnsi="Cambria" w:eastAsia="宋体"/>
      <w:kern w:val="0"/>
      <w:sz w:val="24"/>
      <w:szCs w:val="24"/>
    </w:rPr>
  </w:style>
  <w:style w:type="paragraph" w:styleId="10">
    <w:name w:val="heading 9"/>
    <w:basedOn w:val="1"/>
    <w:next w:val="6"/>
    <w:link w:val="69"/>
    <w:qFormat/>
    <w:uiPriority w:val="99"/>
    <w:pPr>
      <w:keepNext/>
      <w:keepLines/>
      <w:numPr>
        <w:ilvl w:val="8"/>
        <w:numId w:val="1"/>
      </w:numPr>
      <w:tabs>
        <w:tab w:val="left" w:pos="432"/>
      </w:tabs>
      <w:spacing w:line="320" w:lineRule="auto"/>
      <w:outlineLvl w:val="8"/>
    </w:pPr>
    <w:rPr>
      <w:rFonts w:ascii="Cambria" w:hAnsi="Cambria" w:eastAsia="宋体"/>
      <w:kern w:val="0"/>
      <w:sz w:val="21"/>
      <w:szCs w:val="21"/>
    </w:rPr>
  </w:style>
  <w:style w:type="character" w:default="1" w:styleId="46">
    <w:name w:val="Default Paragraph Font"/>
    <w:semiHidden/>
    <w:unhideWhenUsed/>
    <w:qFormat/>
    <w:uiPriority w:val="1"/>
  </w:style>
  <w:style w:type="table" w:default="1" w:styleId="60">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link w:val="95"/>
    <w:qFormat/>
    <w:uiPriority w:val="99"/>
    <w:pPr>
      <w:adjustRightInd w:val="0"/>
      <w:ind w:firstLine="420"/>
      <w:jc w:val="left"/>
      <w:textAlignment w:val="baseline"/>
    </w:pPr>
    <w:rPr>
      <w:sz w:val="24"/>
    </w:rPr>
  </w:style>
  <w:style w:type="paragraph" w:styleId="11">
    <w:name w:val="annotation subject"/>
    <w:basedOn w:val="12"/>
    <w:next w:val="12"/>
    <w:link w:val="71"/>
    <w:semiHidden/>
    <w:qFormat/>
    <w:uiPriority w:val="99"/>
    <w:rPr>
      <w:b/>
      <w:bCs/>
      <w:sz w:val="20"/>
    </w:rPr>
  </w:style>
  <w:style w:type="paragraph" w:styleId="12">
    <w:name w:val="annotation text"/>
    <w:basedOn w:val="1"/>
    <w:link w:val="70"/>
    <w:semiHidden/>
    <w:qFormat/>
    <w:uiPriority w:val="99"/>
    <w:pPr>
      <w:jc w:val="left"/>
    </w:pPr>
  </w:style>
  <w:style w:type="paragraph" w:styleId="13">
    <w:name w:val="toc 7"/>
    <w:basedOn w:val="1"/>
    <w:next w:val="1"/>
    <w:semiHidden/>
    <w:qFormat/>
    <w:uiPriority w:val="99"/>
    <w:pPr>
      <w:ind w:left="2520"/>
    </w:pPr>
  </w:style>
  <w:style w:type="paragraph" w:styleId="14">
    <w:name w:val="index 8"/>
    <w:basedOn w:val="1"/>
    <w:next w:val="1"/>
    <w:semiHidden/>
    <w:qFormat/>
    <w:uiPriority w:val="99"/>
    <w:pPr>
      <w:ind w:left="2940"/>
    </w:pPr>
  </w:style>
  <w:style w:type="paragraph" w:styleId="15">
    <w:name w:val="index 5"/>
    <w:basedOn w:val="1"/>
    <w:next w:val="1"/>
    <w:semiHidden/>
    <w:qFormat/>
    <w:uiPriority w:val="99"/>
    <w:pPr>
      <w:ind w:left="1680"/>
    </w:pPr>
  </w:style>
  <w:style w:type="paragraph" w:styleId="16">
    <w:name w:val="Document Map"/>
    <w:basedOn w:val="1"/>
    <w:link w:val="72"/>
    <w:semiHidden/>
    <w:qFormat/>
    <w:uiPriority w:val="99"/>
    <w:pPr>
      <w:shd w:val="clear" w:color="auto" w:fill="000080"/>
    </w:pPr>
    <w:rPr>
      <w:kern w:val="0"/>
      <w:sz w:val="2"/>
    </w:rPr>
  </w:style>
  <w:style w:type="paragraph" w:styleId="17">
    <w:name w:val="index 6"/>
    <w:basedOn w:val="1"/>
    <w:next w:val="1"/>
    <w:semiHidden/>
    <w:qFormat/>
    <w:uiPriority w:val="99"/>
    <w:pPr>
      <w:ind w:left="2100"/>
    </w:pPr>
  </w:style>
  <w:style w:type="paragraph" w:styleId="18">
    <w:name w:val="Body Text"/>
    <w:basedOn w:val="1"/>
    <w:link w:val="73"/>
    <w:qFormat/>
    <w:uiPriority w:val="99"/>
    <w:pPr>
      <w:spacing w:line="400" w:lineRule="exact"/>
    </w:pPr>
    <w:rPr>
      <w:kern w:val="0"/>
      <w:sz w:val="20"/>
    </w:rPr>
  </w:style>
  <w:style w:type="paragraph" w:styleId="19">
    <w:name w:val="Body Text Indent"/>
    <w:basedOn w:val="1"/>
    <w:link w:val="74"/>
    <w:qFormat/>
    <w:uiPriority w:val="99"/>
    <w:pPr>
      <w:spacing w:line="520" w:lineRule="exact"/>
      <w:ind w:left="570"/>
    </w:pPr>
    <w:rPr>
      <w:rFonts w:ascii="方正仿宋简体" w:hAnsi="创艺简仿宋" w:eastAsia="方正仿宋简体"/>
      <w:sz w:val="24"/>
    </w:rPr>
  </w:style>
  <w:style w:type="paragraph" w:styleId="20">
    <w:name w:val="index 4"/>
    <w:basedOn w:val="1"/>
    <w:next w:val="1"/>
    <w:semiHidden/>
    <w:qFormat/>
    <w:uiPriority w:val="99"/>
    <w:pPr>
      <w:ind w:left="1260"/>
    </w:pPr>
  </w:style>
  <w:style w:type="paragraph" w:styleId="21">
    <w:name w:val="toc 5"/>
    <w:basedOn w:val="1"/>
    <w:next w:val="1"/>
    <w:semiHidden/>
    <w:qFormat/>
    <w:uiPriority w:val="99"/>
    <w:pPr>
      <w:ind w:left="1680"/>
    </w:pPr>
  </w:style>
  <w:style w:type="paragraph" w:styleId="22">
    <w:name w:val="toc 3"/>
    <w:basedOn w:val="1"/>
    <w:next w:val="1"/>
    <w:semiHidden/>
    <w:qFormat/>
    <w:uiPriority w:val="99"/>
    <w:pPr>
      <w:ind w:left="840"/>
    </w:pPr>
  </w:style>
  <w:style w:type="paragraph" w:styleId="23">
    <w:name w:val="Plain Text"/>
    <w:basedOn w:val="1"/>
    <w:link w:val="75"/>
    <w:qFormat/>
    <w:uiPriority w:val="99"/>
    <w:rPr>
      <w:rFonts w:ascii="宋体" w:hAnsi="Courier New"/>
    </w:rPr>
  </w:style>
  <w:style w:type="paragraph" w:styleId="24">
    <w:name w:val="toc 8"/>
    <w:basedOn w:val="1"/>
    <w:next w:val="1"/>
    <w:semiHidden/>
    <w:qFormat/>
    <w:uiPriority w:val="99"/>
    <w:pPr>
      <w:ind w:left="2940"/>
    </w:pPr>
  </w:style>
  <w:style w:type="paragraph" w:styleId="25">
    <w:name w:val="index 3"/>
    <w:basedOn w:val="1"/>
    <w:next w:val="1"/>
    <w:semiHidden/>
    <w:qFormat/>
    <w:uiPriority w:val="99"/>
    <w:pPr>
      <w:ind w:left="840"/>
    </w:pPr>
  </w:style>
  <w:style w:type="paragraph" w:styleId="26">
    <w:name w:val="Date"/>
    <w:basedOn w:val="1"/>
    <w:next w:val="1"/>
    <w:link w:val="76"/>
    <w:qFormat/>
    <w:uiPriority w:val="99"/>
    <w:rPr>
      <w:kern w:val="0"/>
      <w:sz w:val="20"/>
    </w:rPr>
  </w:style>
  <w:style w:type="paragraph" w:styleId="27">
    <w:name w:val="Body Text Indent 2"/>
    <w:basedOn w:val="1"/>
    <w:link w:val="77"/>
    <w:qFormat/>
    <w:uiPriority w:val="99"/>
    <w:pPr>
      <w:tabs>
        <w:tab w:val="left" w:pos="0"/>
      </w:tabs>
      <w:spacing w:line="360" w:lineRule="auto"/>
      <w:ind w:firstLine="502" w:firstLineChars="209"/>
    </w:pPr>
    <w:rPr>
      <w:kern w:val="0"/>
      <w:sz w:val="20"/>
    </w:rPr>
  </w:style>
  <w:style w:type="paragraph" w:styleId="28">
    <w:name w:val="Balloon Text"/>
    <w:basedOn w:val="1"/>
    <w:link w:val="78"/>
    <w:semiHidden/>
    <w:qFormat/>
    <w:uiPriority w:val="99"/>
    <w:rPr>
      <w:kern w:val="0"/>
      <w:sz w:val="2"/>
    </w:rPr>
  </w:style>
  <w:style w:type="paragraph" w:styleId="29">
    <w:name w:val="footer"/>
    <w:basedOn w:val="1"/>
    <w:link w:val="79"/>
    <w:qFormat/>
    <w:uiPriority w:val="99"/>
    <w:pPr>
      <w:tabs>
        <w:tab w:val="center" w:pos="4153"/>
        <w:tab w:val="right" w:pos="8306"/>
      </w:tabs>
      <w:snapToGrid w:val="0"/>
      <w:jc w:val="left"/>
    </w:pPr>
    <w:rPr>
      <w:kern w:val="0"/>
      <w:sz w:val="18"/>
      <w:szCs w:val="18"/>
    </w:rPr>
  </w:style>
  <w:style w:type="paragraph" w:styleId="30">
    <w:name w:val="header"/>
    <w:basedOn w:val="1"/>
    <w:link w:val="80"/>
    <w:qFormat/>
    <w:uiPriority w:val="99"/>
    <w:pPr>
      <w:pBdr>
        <w:bottom w:val="single" w:color="auto" w:sz="6" w:space="1"/>
      </w:pBdr>
      <w:tabs>
        <w:tab w:val="center" w:pos="4153"/>
        <w:tab w:val="right" w:pos="8306"/>
      </w:tabs>
      <w:snapToGrid w:val="0"/>
      <w:jc w:val="center"/>
    </w:pPr>
    <w:rPr>
      <w:sz w:val="18"/>
    </w:rPr>
  </w:style>
  <w:style w:type="paragraph" w:styleId="31">
    <w:name w:val="toc 1"/>
    <w:basedOn w:val="1"/>
    <w:next w:val="1"/>
    <w:qFormat/>
    <w:uiPriority w:val="99"/>
    <w:pPr>
      <w:adjustRightInd w:val="0"/>
      <w:jc w:val="left"/>
      <w:textAlignment w:val="baseline"/>
    </w:pPr>
    <w:rPr>
      <w:sz w:val="24"/>
    </w:rPr>
  </w:style>
  <w:style w:type="paragraph" w:styleId="32">
    <w:name w:val="toc 4"/>
    <w:basedOn w:val="1"/>
    <w:next w:val="1"/>
    <w:semiHidden/>
    <w:qFormat/>
    <w:uiPriority w:val="99"/>
    <w:pPr>
      <w:ind w:left="1260"/>
    </w:pPr>
  </w:style>
  <w:style w:type="paragraph" w:styleId="33">
    <w:name w:val="index heading"/>
    <w:basedOn w:val="1"/>
    <w:next w:val="34"/>
    <w:semiHidden/>
    <w:qFormat/>
    <w:uiPriority w:val="99"/>
  </w:style>
  <w:style w:type="paragraph" w:styleId="34">
    <w:name w:val="index 1"/>
    <w:basedOn w:val="1"/>
    <w:next w:val="1"/>
    <w:semiHidden/>
    <w:qFormat/>
    <w:uiPriority w:val="99"/>
  </w:style>
  <w:style w:type="paragraph" w:styleId="35">
    <w:name w:val="footnote text"/>
    <w:basedOn w:val="1"/>
    <w:link w:val="81"/>
    <w:semiHidden/>
    <w:qFormat/>
    <w:uiPriority w:val="99"/>
    <w:pPr>
      <w:snapToGrid w:val="0"/>
      <w:jc w:val="left"/>
    </w:pPr>
    <w:rPr>
      <w:kern w:val="0"/>
      <w:sz w:val="18"/>
      <w:szCs w:val="18"/>
    </w:rPr>
  </w:style>
  <w:style w:type="paragraph" w:styleId="36">
    <w:name w:val="toc 6"/>
    <w:basedOn w:val="1"/>
    <w:next w:val="1"/>
    <w:semiHidden/>
    <w:qFormat/>
    <w:uiPriority w:val="99"/>
    <w:pPr>
      <w:ind w:left="2100"/>
    </w:pPr>
  </w:style>
  <w:style w:type="paragraph" w:styleId="37">
    <w:name w:val="Body Text Indent 3"/>
    <w:basedOn w:val="1"/>
    <w:link w:val="82"/>
    <w:qFormat/>
    <w:uiPriority w:val="99"/>
    <w:pPr>
      <w:spacing w:line="360" w:lineRule="auto"/>
      <w:ind w:firstLine="617" w:firstLineChars="257"/>
    </w:pPr>
    <w:rPr>
      <w:kern w:val="0"/>
      <w:sz w:val="16"/>
      <w:szCs w:val="16"/>
    </w:rPr>
  </w:style>
  <w:style w:type="paragraph" w:styleId="38">
    <w:name w:val="index 7"/>
    <w:basedOn w:val="1"/>
    <w:next w:val="1"/>
    <w:semiHidden/>
    <w:qFormat/>
    <w:uiPriority w:val="99"/>
    <w:pPr>
      <w:ind w:left="2520"/>
    </w:pPr>
  </w:style>
  <w:style w:type="paragraph" w:styleId="39">
    <w:name w:val="index 9"/>
    <w:basedOn w:val="1"/>
    <w:next w:val="1"/>
    <w:semiHidden/>
    <w:qFormat/>
    <w:uiPriority w:val="99"/>
    <w:pPr>
      <w:ind w:left="3360"/>
    </w:pPr>
  </w:style>
  <w:style w:type="paragraph" w:styleId="40">
    <w:name w:val="table of figures"/>
    <w:basedOn w:val="1"/>
    <w:next w:val="1"/>
    <w:semiHidden/>
    <w:qFormat/>
    <w:uiPriority w:val="99"/>
    <w:pPr>
      <w:adjustRightInd w:val="0"/>
      <w:ind w:left="420" w:hanging="420"/>
      <w:jc w:val="left"/>
      <w:textAlignment w:val="baseline"/>
    </w:pPr>
    <w:rPr>
      <w:smallCaps/>
      <w:sz w:val="24"/>
    </w:rPr>
  </w:style>
  <w:style w:type="paragraph" w:styleId="41">
    <w:name w:val="toc 2"/>
    <w:basedOn w:val="1"/>
    <w:next w:val="1"/>
    <w:semiHidden/>
    <w:qFormat/>
    <w:uiPriority w:val="99"/>
    <w:pPr>
      <w:ind w:left="420"/>
    </w:pPr>
  </w:style>
  <w:style w:type="paragraph" w:styleId="42">
    <w:name w:val="toc 9"/>
    <w:basedOn w:val="1"/>
    <w:next w:val="1"/>
    <w:semiHidden/>
    <w:qFormat/>
    <w:uiPriority w:val="99"/>
    <w:pPr>
      <w:ind w:left="3360"/>
    </w:pPr>
  </w:style>
  <w:style w:type="paragraph" w:styleId="43">
    <w:name w:val="HTML Preformatted"/>
    <w:basedOn w:val="1"/>
    <w:link w:val="8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rPr>
  </w:style>
  <w:style w:type="paragraph" w:styleId="44">
    <w:name w:val="Normal (Web)"/>
    <w:basedOn w:val="1"/>
    <w:qFormat/>
    <w:uiPriority w:val="99"/>
    <w:pPr>
      <w:spacing w:before="100" w:beforeAutospacing="1" w:after="100" w:afterAutospacing="1"/>
      <w:jc w:val="left"/>
    </w:pPr>
    <w:rPr>
      <w:kern w:val="0"/>
      <w:sz w:val="24"/>
    </w:rPr>
  </w:style>
  <w:style w:type="paragraph" w:styleId="45">
    <w:name w:val="index 2"/>
    <w:basedOn w:val="1"/>
    <w:next w:val="1"/>
    <w:semiHidden/>
    <w:qFormat/>
    <w:uiPriority w:val="99"/>
    <w:pPr>
      <w:ind w:left="420"/>
    </w:pPr>
  </w:style>
  <w:style w:type="character" w:styleId="47">
    <w:name w:val="Strong"/>
    <w:basedOn w:val="46"/>
    <w:qFormat/>
    <w:uiPriority w:val="99"/>
    <w:rPr>
      <w:rFonts w:cs="Times New Roman"/>
      <w:b/>
    </w:rPr>
  </w:style>
  <w:style w:type="character" w:styleId="48">
    <w:name w:val="page number"/>
    <w:basedOn w:val="46"/>
    <w:qFormat/>
    <w:uiPriority w:val="99"/>
    <w:rPr>
      <w:rFonts w:cs="Times New Roman"/>
    </w:rPr>
  </w:style>
  <w:style w:type="character" w:styleId="49">
    <w:name w:val="FollowedHyperlink"/>
    <w:basedOn w:val="46"/>
    <w:qFormat/>
    <w:uiPriority w:val="99"/>
    <w:rPr>
      <w:rFonts w:cs="Times New Roman"/>
      <w:color w:val="954F72"/>
      <w:u w:val="single"/>
    </w:rPr>
  </w:style>
  <w:style w:type="character" w:styleId="50">
    <w:name w:val="Emphasis"/>
    <w:basedOn w:val="46"/>
    <w:qFormat/>
    <w:uiPriority w:val="99"/>
    <w:rPr>
      <w:rFonts w:cs="Times New Roman"/>
      <w:i/>
    </w:rPr>
  </w:style>
  <w:style w:type="character" w:styleId="51">
    <w:name w:val="line number"/>
    <w:basedOn w:val="46"/>
    <w:qFormat/>
    <w:uiPriority w:val="99"/>
    <w:rPr>
      <w:rFonts w:cs="Times New Roman"/>
    </w:rPr>
  </w:style>
  <w:style w:type="character" w:styleId="52">
    <w:name w:val="HTML Definition"/>
    <w:basedOn w:val="46"/>
    <w:qFormat/>
    <w:uiPriority w:val="99"/>
    <w:rPr>
      <w:rFonts w:cs="Times New Roman"/>
      <w:i/>
    </w:rPr>
  </w:style>
  <w:style w:type="character" w:styleId="53">
    <w:name w:val="Hyperlink"/>
    <w:basedOn w:val="46"/>
    <w:qFormat/>
    <w:uiPriority w:val="99"/>
    <w:rPr>
      <w:rFonts w:cs="Times New Roman"/>
      <w:color w:val="0000FF"/>
      <w:u w:val="single"/>
    </w:rPr>
  </w:style>
  <w:style w:type="character" w:styleId="54">
    <w:name w:val="HTML Code"/>
    <w:basedOn w:val="46"/>
    <w:qFormat/>
    <w:uiPriority w:val="99"/>
    <w:rPr>
      <w:rFonts w:ascii="Menlo" w:hAnsi="Menlo" w:cs="Times New Roman"/>
      <w:color w:val="C7254E"/>
      <w:sz w:val="21"/>
      <w:shd w:val="clear" w:color="auto" w:fill="F9F2F4"/>
    </w:rPr>
  </w:style>
  <w:style w:type="character" w:styleId="55">
    <w:name w:val="annotation reference"/>
    <w:basedOn w:val="46"/>
    <w:semiHidden/>
    <w:qFormat/>
    <w:uiPriority w:val="99"/>
    <w:rPr>
      <w:rFonts w:cs="Times New Roman"/>
      <w:sz w:val="21"/>
    </w:rPr>
  </w:style>
  <w:style w:type="character" w:styleId="56">
    <w:name w:val="HTML Cite"/>
    <w:basedOn w:val="46"/>
    <w:qFormat/>
    <w:uiPriority w:val="99"/>
    <w:rPr>
      <w:rFonts w:cs="Times New Roman"/>
    </w:rPr>
  </w:style>
  <w:style w:type="character" w:styleId="57">
    <w:name w:val="footnote reference"/>
    <w:basedOn w:val="46"/>
    <w:semiHidden/>
    <w:qFormat/>
    <w:uiPriority w:val="99"/>
    <w:rPr>
      <w:rFonts w:cs="Times New Roman"/>
      <w:vertAlign w:val="superscript"/>
    </w:rPr>
  </w:style>
  <w:style w:type="character" w:styleId="58">
    <w:name w:val="HTML Keyboard"/>
    <w:basedOn w:val="46"/>
    <w:qFormat/>
    <w:uiPriority w:val="99"/>
    <w:rPr>
      <w:rFonts w:ascii="Menlo" w:hAnsi="Menlo" w:cs="Times New Roman"/>
      <w:sz w:val="21"/>
    </w:rPr>
  </w:style>
  <w:style w:type="character" w:styleId="59">
    <w:name w:val="HTML Sample"/>
    <w:basedOn w:val="46"/>
    <w:qFormat/>
    <w:uiPriority w:val="99"/>
    <w:rPr>
      <w:rFonts w:ascii="Menlo" w:hAnsi="Menlo" w:cs="Times New Roman"/>
      <w:sz w:val="21"/>
    </w:rPr>
  </w:style>
  <w:style w:type="table" w:styleId="61">
    <w:name w:val="Table Grid"/>
    <w:basedOn w:val="6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2">
    <w:name w:val="标题 1 Char"/>
    <w:basedOn w:val="46"/>
    <w:link w:val="2"/>
    <w:qFormat/>
    <w:locked/>
    <w:uiPriority w:val="99"/>
    <w:rPr>
      <w:rFonts w:eastAsia="楷体_GB2312" w:cs="Times New Roman"/>
      <w:b/>
      <w:kern w:val="44"/>
      <w:sz w:val="44"/>
    </w:rPr>
  </w:style>
  <w:style w:type="character" w:customStyle="1" w:styleId="63">
    <w:name w:val="标题 2 Char"/>
    <w:basedOn w:val="46"/>
    <w:link w:val="3"/>
    <w:qFormat/>
    <w:locked/>
    <w:uiPriority w:val="99"/>
    <w:rPr>
      <w:rFonts w:ascii="宋体" w:hAnsi="宋体" w:eastAsia="楷体_GB2312" w:cs="Times New Roman"/>
      <w:b/>
      <w:kern w:val="2"/>
      <w:sz w:val="26"/>
      <w:lang w:val="en-US" w:eastAsia="zh-CN"/>
    </w:rPr>
  </w:style>
  <w:style w:type="character" w:customStyle="1" w:styleId="64">
    <w:name w:val="标题 3 Char"/>
    <w:basedOn w:val="46"/>
    <w:link w:val="4"/>
    <w:semiHidden/>
    <w:qFormat/>
    <w:locked/>
    <w:uiPriority w:val="99"/>
    <w:rPr>
      <w:rFonts w:eastAsia="楷体_GB2312" w:cs="Times New Roman"/>
      <w:b/>
      <w:sz w:val="32"/>
    </w:rPr>
  </w:style>
  <w:style w:type="character" w:customStyle="1" w:styleId="65">
    <w:name w:val="标题 5 Char"/>
    <w:basedOn w:val="46"/>
    <w:link w:val="5"/>
    <w:semiHidden/>
    <w:qFormat/>
    <w:locked/>
    <w:uiPriority w:val="99"/>
    <w:rPr>
      <w:rFonts w:eastAsia="楷体_GB2312" w:cs="Times New Roman"/>
      <w:b/>
      <w:sz w:val="28"/>
    </w:rPr>
  </w:style>
  <w:style w:type="character" w:customStyle="1" w:styleId="66">
    <w:name w:val="标题 6 Char"/>
    <w:basedOn w:val="46"/>
    <w:link w:val="7"/>
    <w:semiHidden/>
    <w:qFormat/>
    <w:locked/>
    <w:uiPriority w:val="99"/>
    <w:rPr>
      <w:rFonts w:ascii="Cambria" w:hAnsi="Cambria" w:eastAsia="宋体" w:cs="Times New Roman"/>
      <w:b/>
      <w:sz w:val="24"/>
    </w:rPr>
  </w:style>
  <w:style w:type="character" w:customStyle="1" w:styleId="67">
    <w:name w:val="标题 7 Char"/>
    <w:basedOn w:val="46"/>
    <w:link w:val="8"/>
    <w:semiHidden/>
    <w:qFormat/>
    <w:locked/>
    <w:uiPriority w:val="99"/>
    <w:rPr>
      <w:rFonts w:eastAsia="楷体_GB2312" w:cs="Times New Roman"/>
      <w:b/>
      <w:sz w:val="24"/>
    </w:rPr>
  </w:style>
  <w:style w:type="character" w:customStyle="1" w:styleId="68">
    <w:name w:val="标题 8 Char"/>
    <w:basedOn w:val="46"/>
    <w:link w:val="9"/>
    <w:semiHidden/>
    <w:qFormat/>
    <w:locked/>
    <w:uiPriority w:val="99"/>
    <w:rPr>
      <w:rFonts w:ascii="Cambria" w:hAnsi="Cambria" w:eastAsia="宋体" w:cs="Times New Roman"/>
      <w:sz w:val="24"/>
    </w:rPr>
  </w:style>
  <w:style w:type="character" w:customStyle="1" w:styleId="69">
    <w:name w:val="标题 9 Char"/>
    <w:basedOn w:val="46"/>
    <w:link w:val="10"/>
    <w:semiHidden/>
    <w:qFormat/>
    <w:locked/>
    <w:uiPriority w:val="99"/>
    <w:rPr>
      <w:rFonts w:ascii="Cambria" w:hAnsi="Cambria" w:eastAsia="宋体" w:cs="Times New Roman"/>
      <w:sz w:val="21"/>
    </w:rPr>
  </w:style>
  <w:style w:type="character" w:customStyle="1" w:styleId="70">
    <w:name w:val="批注文字 Char"/>
    <w:basedOn w:val="46"/>
    <w:link w:val="12"/>
    <w:semiHidden/>
    <w:qFormat/>
    <w:locked/>
    <w:uiPriority w:val="99"/>
    <w:rPr>
      <w:rFonts w:eastAsia="楷体_GB2312" w:cs="Times New Roman"/>
      <w:kern w:val="2"/>
      <w:sz w:val="26"/>
    </w:rPr>
  </w:style>
  <w:style w:type="character" w:customStyle="1" w:styleId="71">
    <w:name w:val="批注主题 Char"/>
    <w:basedOn w:val="70"/>
    <w:link w:val="11"/>
    <w:semiHidden/>
    <w:qFormat/>
    <w:locked/>
    <w:uiPriority w:val="99"/>
    <w:rPr>
      <w:b/>
      <w:sz w:val="20"/>
    </w:rPr>
  </w:style>
  <w:style w:type="character" w:customStyle="1" w:styleId="72">
    <w:name w:val="文档结构图 Char"/>
    <w:basedOn w:val="46"/>
    <w:link w:val="16"/>
    <w:semiHidden/>
    <w:qFormat/>
    <w:locked/>
    <w:uiPriority w:val="99"/>
    <w:rPr>
      <w:rFonts w:eastAsia="楷体_GB2312" w:cs="Times New Roman"/>
      <w:sz w:val="2"/>
    </w:rPr>
  </w:style>
  <w:style w:type="character" w:customStyle="1" w:styleId="73">
    <w:name w:val="正文文本 Char"/>
    <w:basedOn w:val="46"/>
    <w:link w:val="18"/>
    <w:semiHidden/>
    <w:qFormat/>
    <w:locked/>
    <w:uiPriority w:val="99"/>
    <w:rPr>
      <w:rFonts w:eastAsia="楷体_GB2312" w:cs="Times New Roman"/>
      <w:sz w:val="20"/>
    </w:rPr>
  </w:style>
  <w:style w:type="character" w:customStyle="1" w:styleId="74">
    <w:name w:val="正文文本缩进 Char"/>
    <w:basedOn w:val="46"/>
    <w:link w:val="19"/>
    <w:qFormat/>
    <w:locked/>
    <w:uiPriority w:val="99"/>
    <w:rPr>
      <w:rFonts w:ascii="方正仿宋简体" w:hAnsi="创艺简仿宋" w:eastAsia="方正仿宋简体" w:cs="Times New Roman"/>
      <w:kern w:val="2"/>
      <w:sz w:val="24"/>
      <w:lang w:val="en-US" w:eastAsia="zh-CN"/>
    </w:rPr>
  </w:style>
  <w:style w:type="character" w:customStyle="1" w:styleId="75">
    <w:name w:val="纯文本 Char"/>
    <w:basedOn w:val="46"/>
    <w:link w:val="23"/>
    <w:qFormat/>
    <w:locked/>
    <w:uiPriority w:val="99"/>
    <w:rPr>
      <w:rFonts w:ascii="宋体" w:hAnsi="Courier New" w:eastAsia="楷体_GB2312" w:cs="Times New Roman"/>
      <w:kern w:val="2"/>
      <w:sz w:val="26"/>
      <w:lang w:val="en-US" w:eastAsia="zh-CN"/>
    </w:rPr>
  </w:style>
  <w:style w:type="character" w:customStyle="1" w:styleId="76">
    <w:name w:val="日期 Char"/>
    <w:basedOn w:val="46"/>
    <w:link w:val="26"/>
    <w:semiHidden/>
    <w:qFormat/>
    <w:locked/>
    <w:uiPriority w:val="99"/>
    <w:rPr>
      <w:rFonts w:eastAsia="楷体_GB2312" w:cs="Times New Roman"/>
      <w:sz w:val="20"/>
    </w:rPr>
  </w:style>
  <w:style w:type="character" w:customStyle="1" w:styleId="77">
    <w:name w:val="正文文本缩进 2 Char"/>
    <w:basedOn w:val="46"/>
    <w:link w:val="27"/>
    <w:semiHidden/>
    <w:qFormat/>
    <w:locked/>
    <w:uiPriority w:val="99"/>
    <w:rPr>
      <w:rFonts w:eastAsia="楷体_GB2312" w:cs="Times New Roman"/>
      <w:sz w:val="20"/>
    </w:rPr>
  </w:style>
  <w:style w:type="character" w:customStyle="1" w:styleId="78">
    <w:name w:val="批注框文本 Char"/>
    <w:basedOn w:val="46"/>
    <w:link w:val="28"/>
    <w:semiHidden/>
    <w:qFormat/>
    <w:locked/>
    <w:uiPriority w:val="99"/>
    <w:rPr>
      <w:rFonts w:eastAsia="楷体_GB2312" w:cs="Times New Roman"/>
      <w:sz w:val="2"/>
    </w:rPr>
  </w:style>
  <w:style w:type="character" w:customStyle="1" w:styleId="79">
    <w:name w:val="页脚 Char"/>
    <w:basedOn w:val="46"/>
    <w:link w:val="29"/>
    <w:semiHidden/>
    <w:qFormat/>
    <w:locked/>
    <w:uiPriority w:val="99"/>
    <w:rPr>
      <w:rFonts w:eastAsia="楷体_GB2312" w:cs="Times New Roman"/>
      <w:sz w:val="18"/>
    </w:rPr>
  </w:style>
  <w:style w:type="character" w:customStyle="1" w:styleId="80">
    <w:name w:val="页眉 Char"/>
    <w:basedOn w:val="46"/>
    <w:link w:val="30"/>
    <w:qFormat/>
    <w:locked/>
    <w:uiPriority w:val="99"/>
    <w:rPr>
      <w:rFonts w:eastAsia="楷体_GB2312" w:cs="Times New Roman"/>
      <w:kern w:val="2"/>
      <w:sz w:val="18"/>
    </w:rPr>
  </w:style>
  <w:style w:type="character" w:customStyle="1" w:styleId="81">
    <w:name w:val="脚注文本 Char"/>
    <w:basedOn w:val="46"/>
    <w:link w:val="35"/>
    <w:semiHidden/>
    <w:qFormat/>
    <w:locked/>
    <w:uiPriority w:val="99"/>
    <w:rPr>
      <w:rFonts w:eastAsia="楷体_GB2312" w:cs="Times New Roman"/>
      <w:sz w:val="18"/>
    </w:rPr>
  </w:style>
  <w:style w:type="character" w:customStyle="1" w:styleId="82">
    <w:name w:val="正文文本缩进 3 Char"/>
    <w:basedOn w:val="46"/>
    <w:link w:val="37"/>
    <w:semiHidden/>
    <w:qFormat/>
    <w:locked/>
    <w:uiPriority w:val="99"/>
    <w:rPr>
      <w:rFonts w:eastAsia="楷体_GB2312" w:cs="Times New Roman"/>
      <w:sz w:val="16"/>
    </w:rPr>
  </w:style>
  <w:style w:type="character" w:customStyle="1" w:styleId="83">
    <w:name w:val="HTML 预设格式 Char"/>
    <w:basedOn w:val="46"/>
    <w:link w:val="43"/>
    <w:semiHidden/>
    <w:qFormat/>
    <w:locked/>
    <w:uiPriority w:val="99"/>
    <w:rPr>
      <w:rFonts w:ascii="Courier New" w:hAnsi="Courier New" w:eastAsia="楷体_GB2312" w:cs="Times New Roman"/>
      <w:sz w:val="20"/>
    </w:rPr>
  </w:style>
  <w:style w:type="paragraph" w:customStyle="1" w:styleId="84">
    <w:name w:val="列出段落1"/>
    <w:basedOn w:val="1"/>
    <w:qFormat/>
    <w:uiPriority w:val="99"/>
    <w:pPr>
      <w:ind w:firstLine="420" w:firstLineChars="200"/>
    </w:pPr>
    <w:rPr>
      <w:rFonts w:eastAsia="宋体"/>
      <w:sz w:val="21"/>
      <w:szCs w:val="24"/>
    </w:rPr>
  </w:style>
  <w:style w:type="paragraph" w:customStyle="1" w:styleId="85">
    <w:name w:val="Char"/>
    <w:basedOn w:val="1"/>
    <w:qFormat/>
    <w:uiPriority w:val="99"/>
    <w:pPr>
      <w:widowControl/>
      <w:spacing w:line="240" w:lineRule="exact"/>
      <w:jc w:val="left"/>
    </w:pPr>
    <w:rPr>
      <w:rFonts w:ascii="Verdana" w:hAnsi="Verdana" w:eastAsia="宋体"/>
      <w:kern w:val="0"/>
      <w:sz w:val="21"/>
      <w:lang w:eastAsia="en-US"/>
    </w:rPr>
  </w:style>
  <w:style w:type="paragraph" w:customStyle="1" w:styleId="86">
    <w:name w:val="纯文本1"/>
    <w:basedOn w:val="1"/>
    <w:qFormat/>
    <w:uiPriority w:val="99"/>
    <w:pPr>
      <w:adjustRightInd w:val="0"/>
      <w:textAlignment w:val="baseline"/>
    </w:pPr>
    <w:rPr>
      <w:rFonts w:ascii="宋体" w:hAnsi="Courier New"/>
      <w:sz w:val="28"/>
    </w:rPr>
  </w:style>
  <w:style w:type="paragraph" w:customStyle="1" w:styleId="87">
    <w:name w:val="图"/>
    <w:basedOn w:val="1"/>
    <w:qFormat/>
    <w:uiPriority w:val="99"/>
    <w:pPr>
      <w:keepNext/>
      <w:adjustRightInd w:val="0"/>
      <w:spacing w:line="300" w:lineRule="auto"/>
      <w:jc w:val="center"/>
      <w:textAlignment w:val="center"/>
    </w:pPr>
    <w:rPr>
      <w:rFonts w:eastAsia="宋体"/>
      <w:spacing w:val="20"/>
      <w:kern w:val="0"/>
      <w:sz w:val="24"/>
    </w:rPr>
  </w:style>
  <w:style w:type="paragraph" w:customStyle="1" w:styleId="88">
    <w:name w:val="Char Char1 Char Char Char Char"/>
    <w:basedOn w:val="16"/>
    <w:qFormat/>
    <w:uiPriority w:val="99"/>
    <w:pPr>
      <w:adjustRightInd w:val="0"/>
      <w:snapToGrid w:val="0"/>
      <w:spacing w:line="360" w:lineRule="auto"/>
    </w:pPr>
    <w:rPr>
      <w:rFonts w:ascii="Tahoma" w:hAnsi="Tahoma" w:eastAsia="宋体"/>
      <w:sz w:val="24"/>
      <w:szCs w:val="24"/>
    </w:rPr>
  </w:style>
  <w:style w:type="paragraph" w:customStyle="1" w:styleId="89">
    <w:name w:val="纯文本2"/>
    <w:basedOn w:val="1"/>
    <w:qFormat/>
    <w:uiPriority w:val="99"/>
    <w:pPr>
      <w:adjustRightInd w:val="0"/>
      <w:textAlignment w:val="baseline"/>
    </w:pPr>
    <w:rPr>
      <w:rFonts w:ascii="宋体" w:hAnsi="Courier New"/>
    </w:rPr>
  </w:style>
  <w:style w:type="paragraph" w:customStyle="1" w:styleId="90">
    <w:name w:val="_Style 1"/>
    <w:basedOn w:val="1"/>
    <w:qFormat/>
    <w:uiPriority w:val="99"/>
    <w:pPr>
      <w:ind w:firstLine="420" w:firstLineChars="200"/>
    </w:pPr>
  </w:style>
  <w:style w:type="paragraph" w:customStyle="1" w:styleId="91">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2">
    <w:name w:val="Char1"/>
    <w:basedOn w:val="1"/>
    <w:qFormat/>
    <w:uiPriority w:val="99"/>
    <w:rPr>
      <w:rFonts w:ascii="Tahoma" w:hAnsi="Tahoma" w:eastAsia="宋体"/>
      <w:sz w:val="24"/>
    </w:rPr>
  </w:style>
  <w:style w:type="character" w:customStyle="1" w:styleId="93">
    <w:name w:val="bds_more5"/>
    <w:qFormat/>
    <w:uiPriority w:val="99"/>
  </w:style>
  <w:style w:type="character" w:customStyle="1" w:styleId="94">
    <w:name w:val="noused"/>
    <w:qFormat/>
    <w:uiPriority w:val="99"/>
    <w:rPr>
      <w:b/>
      <w:color w:val="FFFFFF"/>
      <w:sz w:val="21"/>
    </w:rPr>
  </w:style>
  <w:style w:type="character" w:customStyle="1" w:styleId="95">
    <w:name w:val="正文缩进 Char"/>
    <w:link w:val="6"/>
    <w:qFormat/>
    <w:locked/>
    <w:uiPriority w:val="99"/>
    <w:rPr>
      <w:rFonts w:eastAsia="楷体_GB2312"/>
      <w:kern w:val="2"/>
      <w:sz w:val="24"/>
      <w:lang w:val="en-US" w:eastAsia="zh-CN"/>
    </w:rPr>
  </w:style>
  <w:style w:type="character" w:customStyle="1" w:styleId="96">
    <w:name w:val="Char Char2"/>
    <w:qFormat/>
    <w:uiPriority w:val="99"/>
    <w:rPr>
      <w:rFonts w:ascii="宋体" w:hAnsi="宋体" w:eastAsia="楷体_GB2312"/>
      <w:b/>
      <w:kern w:val="2"/>
      <w:sz w:val="26"/>
      <w:lang w:val="en-US" w:eastAsia="zh-CN"/>
    </w:rPr>
  </w:style>
  <w:style w:type="character" w:customStyle="1" w:styleId="97">
    <w:name w:val="bds_nopic1"/>
    <w:qFormat/>
    <w:uiPriority w:val="99"/>
  </w:style>
  <w:style w:type="character" w:customStyle="1" w:styleId="98">
    <w:name w:val="state"/>
    <w:qFormat/>
    <w:uiPriority w:val="99"/>
    <w:rPr>
      <w:b/>
      <w:color w:val="FFFFFF"/>
      <w:sz w:val="19"/>
    </w:rPr>
  </w:style>
  <w:style w:type="character" w:customStyle="1" w:styleId="99">
    <w:name w:val="bds_more6"/>
    <w:qFormat/>
    <w:uiPriority w:val="99"/>
  </w:style>
  <w:style w:type="character" w:customStyle="1" w:styleId="100">
    <w:name w:val="active"/>
    <w:qFormat/>
    <w:uiPriority w:val="99"/>
    <w:rPr>
      <w:color w:val="00FF00"/>
      <w:shd w:val="clear" w:color="auto" w:fill="000000"/>
    </w:rPr>
  </w:style>
  <w:style w:type="character" w:customStyle="1" w:styleId="101">
    <w:name w:val="bds_nopic2"/>
    <w:qFormat/>
    <w:uiPriority w:val="99"/>
  </w:style>
  <w:style w:type="character" w:customStyle="1" w:styleId="102">
    <w:name w:val="hilite6"/>
    <w:qFormat/>
    <w:uiPriority w:val="99"/>
    <w:rPr>
      <w:color w:val="FFFFFF"/>
      <w:shd w:val="clear" w:color="auto" w:fill="776666"/>
    </w:rPr>
  </w:style>
  <w:style w:type="character" w:customStyle="1" w:styleId="103">
    <w:name w:val="active8"/>
    <w:qFormat/>
    <w:uiPriority w:val="99"/>
    <w:rPr>
      <w:color w:val="00FF00"/>
      <w:shd w:val="clear" w:color="auto" w:fill="000000"/>
    </w:rPr>
  </w:style>
  <w:style w:type="character" w:customStyle="1" w:styleId="104">
    <w:name w:val="bds_more8"/>
    <w:qFormat/>
    <w:uiPriority w:val="99"/>
    <w:rPr>
      <w:rFonts w:ascii="宋体" w:hAnsi="宋体" w:eastAsia="宋体"/>
    </w:rPr>
  </w:style>
  <w:style w:type="character" w:customStyle="1" w:styleId="105">
    <w:name w:val="other"/>
    <w:qFormat/>
    <w:uiPriority w:val="99"/>
  </w:style>
  <w:style w:type="character" w:customStyle="1" w:styleId="106">
    <w:name w:val="hover61"/>
    <w:qFormat/>
    <w:uiPriority w:val="99"/>
    <w:rPr>
      <w:shd w:val="clear" w:color="auto" w:fill="FF0000"/>
    </w:rPr>
  </w:style>
  <w:style w:type="character" w:customStyle="1" w:styleId="107">
    <w:name w:val="bsharetext"/>
    <w:qFormat/>
    <w:uiPriority w:val="99"/>
  </w:style>
  <w:style w:type="character" w:customStyle="1" w:styleId="108">
    <w:name w:val="bds_nopic"/>
    <w:qFormat/>
    <w:uiPriority w:val="99"/>
  </w:style>
  <w:style w:type="character" w:customStyle="1" w:styleId="109">
    <w:name w:val="grid2"/>
    <w:qFormat/>
    <w:uiPriority w:val="99"/>
  </w:style>
  <w:style w:type="character" w:customStyle="1" w:styleId="110">
    <w:name w:val="hilite"/>
    <w:qFormat/>
    <w:uiPriority w:val="99"/>
    <w:rPr>
      <w:color w:val="FFFFFF"/>
      <w:shd w:val="clear" w:color="auto" w:fill="776666"/>
    </w:rPr>
  </w:style>
  <w:style w:type="character" w:customStyle="1" w:styleId="111">
    <w:name w:val="bds_more4"/>
    <w:qFormat/>
    <w:uiPriority w:val="99"/>
    <w:rPr>
      <w:rFonts w:ascii="宋体" w:hAnsi="宋体" w:eastAsia="宋体"/>
    </w:rPr>
  </w:style>
  <w:style w:type="character" w:customStyle="1" w:styleId="112">
    <w:name w:val="bds_more7"/>
    <w:qFormat/>
    <w:uiPriority w:val="99"/>
  </w:style>
  <w:style w:type="character" w:customStyle="1" w:styleId="113">
    <w:name w:val="grid"/>
    <w:qFormat/>
    <w:uiPriority w:val="99"/>
  </w:style>
  <w:style w:type="paragraph" w:customStyle="1" w:styleId="114">
    <w:name w:val="_Style 2"/>
    <w:basedOn w:val="1"/>
    <w:qFormat/>
    <w:uiPriority w:val="99"/>
    <w:pPr>
      <w:ind w:firstLine="420" w:firstLineChars="200"/>
    </w:pPr>
  </w:style>
  <w:style w:type="paragraph" w:customStyle="1" w:styleId="115">
    <w:name w:val="2级标题"/>
    <w:basedOn w:val="1"/>
    <w:qFormat/>
    <w:uiPriority w:val="99"/>
    <w:pPr>
      <w:numPr>
        <w:ilvl w:val="1"/>
        <w:numId w:val="2"/>
      </w:numPr>
      <w:jc w:val="left"/>
    </w:pPr>
    <w:rPr>
      <w:rFonts w:ascii="宋体" w:hAnsi="宋体" w:eastAsia="宋体"/>
      <w:b/>
      <w:sz w:val="32"/>
      <w:szCs w:val="32"/>
    </w:rPr>
  </w:style>
  <w:style w:type="paragraph" w:customStyle="1" w:styleId="116">
    <w:name w:val="3级"/>
    <w:basedOn w:val="1"/>
    <w:qFormat/>
    <w:uiPriority w:val="99"/>
    <w:pPr>
      <w:widowControl/>
      <w:numPr>
        <w:ilvl w:val="2"/>
        <w:numId w:val="2"/>
      </w:numPr>
      <w:spacing w:after="200" w:line="360" w:lineRule="auto"/>
      <w:contextualSpacing/>
      <w:jc w:val="left"/>
    </w:pPr>
    <w:rPr>
      <w:rFonts w:ascii="宋体" w:hAnsi="宋体" w:eastAsia="宋体"/>
      <w:b/>
      <w:sz w:val="28"/>
      <w:szCs w:val="21"/>
    </w:rPr>
  </w:style>
  <w:style w:type="paragraph" w:customStyle="1" w:styleId="117">
    <w:name w:val="List Paragraph1"/>
    <w:basedOn w:val="1"/>
    <w:qFormat/>
    <w:uiPriority w:val="99"/>
    <w:pPr>
      <w:ind w:firstLine="420" w:firstLineChars="200"/>
    </w:pPr>
    <w:rPr>
      <w:rFonts w:ascii="Calibri" w:hAnsi="Calibri" w:eastAsia="宋体"/>
      <w:sz w:val="21"/>
      <w:szCs w:val="22"/>
    </w:rPr>
  </w:style>
  <w:style w:type="paragraph" w:styleId="118">
    <w:name w:val="List Paragraph"/>
    <w:basedOn w:val="1"/>
    <w:qFormat/>
    <w:uiPriority w:val="99"/>
    <w:pPr>
      <w:ind w:firstLine="420" w:firstLineChars="200"/>
    </w:pPr>
  </w:style>
  <w:style w:type="paragraph" w:customStyle="1" w:styleId="119">
    <w:name w:val="空半行"/>
    <w:basedOn w:val="1"/>
    <w:qFormat/>
    <w:uiPriority w:val="99"/>
    <w:pPr>
      <w:spacing w:line="120" w:lineRule="exact"/>
    </w:pPr>
    <w:rPr>
      <w:rFonts w:eastAsia="仿宋_GB2312"/>
      <w:color w:val="FFFFFF"/>
      <w:sz w:val="3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2"/>
    <customShpInfo spid="_x0000_s4101"/>
    <customShpInfo spid="_x0000_s4100"/>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南京国衡南通分公司</Company>
  <Pages>22</Pages>
  <Words>1991</Words>
  <Characters>11355</Characters>
  <Lines>94</Lines>
  <Paragraphs>26</Paragraphs>
  <TotalTime>0</TotalTime>
  <ScaleCrop>false</ScaleCrop>
  <LinksUpToDate>false</LinksUpToDate>
  <CharactersWithSpaces>13320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2018-07-05T03:58:00Z</dcterms:created>
  <dc:creator>国衡南通</dc:creator>
  <cp:lastModifiedBy>Administrator</cp:lastModifiedBy>
  <cp:lastPrinted>2017-09-06T06:06:00Z</cp:lastPrinted>
  <dcterms:modified xsi:type="dcterms:W3CDTF">2018-07-10T03:18:08Z</dcterms:modified>
  <dc:title>崇川区政府采购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