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3EC5EC">
      <w:pPr>
        <w:pStyle w:val="112"/>
        <w:overflowPunct w:val="0"/>
        <w:adjustRightInd/>
        <w:textAlignment w:val="auto"/>
        <w:rPr>
          <w:rFonts w:hAnsi="宋体" w:eastAsia="宋体"/>
          <w:sz w:val="28"/>
          <w:szCs w:val="28"/>
        </w:rPr>
      </w:pPr>
      <w:bookmarkStart w:id="10" w:name="_GoBack"/>
      <w:bookmarkEnd w:id="10"/>
    </w:p>
    <w:p w14:paraId="607AA7D3">
      <w:pPr>
        <w:overflowPunct w:val="0"/>
        <w:rPr>
          <w:rFonts w:ascii="宋体" w:hAnsi="宋体" w:eastAsia="宋体"/>
          <w:sz w:val="28"/>
          <w:szCs w:val="28"/>
        </w:rPr>
      </w:pPr>
    </w:p>
    <w:p w14:paraId="2AB17838">
      <w:pPr>
        <w:overflowPunct w:val="0"/>
        <w:rPr>
          <w:rFonts w:ascii="宋体" w:hAnsi="宋体" w:eastAsia="宋体"/>
          <w:sz w:val="28"/>
          <w:szCs w:val="28"/>
        </w:rPr>
      </w:pPr>
    </w:p>
    <w:p w14:paraId="4A3F95BA">
      <w:pPr>
        <w:tabs>
          <w:tab w:val="left" w:pos="6300"/>
        </w:tabs>
        <w:snapToGrid w:val="0"/>
        <w:spacing w:line="300" w:lineRule="auto"/>
        <w:jc w:val="center"/>
        <w:rPr>
          <w:rFonts w:ascii="宋体" w:hAnsi="宋体" w:eastAsia="宋体"/>
          <w:sz w:val="28"/>
          <w:szCs w:val="28"/>
        </w:rPr>
      </w:pPr>
      <w:r>
        <w:rPr>
          <w:rFonts w:hint="eastAsia" w:ascii="宋体" w:hAnsi="宋体" w:eastAsia="宋体" w:cs="宋体"/>
          <w:b/>
          <w:bCs/>
          <w:kern w:val="0"/>
          <w:sz w:val="44"/>
          <w:szCs w:val="44"/>
          <w:lang w:bidi="ar"/>
        </w:rPr>
        <w:t>南通天一置业有限公司安置房衡通嘉苑、外滩雅苑、任港嘉苑、悦泰花园销售结算服务合作单位选聘项目</w:t>
      </w:r>
    </w:p>
    <w:p w14:paraId="0C32990C">
      <w:pPr>
        <w:spacing w:line="1400" w:lineRule="exact"/>
        <w:jc w:val="center"/>
        <w:rPr>
          <w:rFonts w:ascii="宋体" w:hAnsi="宋体" w:eastAsia="宋体"/>
          <w:b/>
          <w:sz w:val="72"/>
          <w:szCs w:val="72"/>
        </w:rPr>
      </w:pPr>
    </w:p>
    <w:p w14:paraId="3B8A44AB">
      <w:pPr>
        <w:spacing w:line="1400" w:lineRule="exact"/>
        <w:jc w:val="center"/>
        <w:rPr>
          <w:rFonts w:ascii="宋体" w:hAnsi="宋体" w:eastAsia="宋体"/>
          <w:b/>
          <w:sz w:val="72"/>
          <w:szCs w:val="72"/>
        </w:rPr>
      </w:pPr>
    </w:p>
    <w:p w14:paraId="1F575DDA">
      <w:pPr>
        <w:spacing w:line="1400" w:lineRule="exact"/>
        <w:jc w:val="center"/>
        <w:rPr>
          <w:rFonts w:ascii="宋体" w:hAnsi="宋体" w:eastAsia="宋体"/>
          <w:b/>
          <w:sz w:val="72"/>
          <w:szCs w:val="72"/>
        </w:rPr>
      </w:pPr>
      <w:r>
        <w:rPr>
          <w:rFonts w:hint="eastAsia" w:ascii="宋体" w:hAnsi="宋体" w:eastAsia="宋体"/>
          <w:b/>
          <w:sz w:val="72"/>
          <w:szCs w:val="72"/>
        </w:rPr>
        <w:t>招标文件</w:t>
      </w:r>
    </w:p>
    <w:p w14:paraId="641B2227">
      <w:pPr>
        <w:jc w:val="center"/>
        <w:rPr>
          <w:rFonts w:ascii="宋体" w:hAnsi="宋体" w:eastAsia="宋体"/>
          <w:b/>
          <w:sz w:val="28"/>
          <w:szCs w:val="28"/>
        </w:rPr>
      </w:pPr>
    </w:p>
    <w:p w14:paraId="4C1F6645">
      <w:pPr>
        <w:jc w:val="center"/>
        <w:rPr>
          <w:rFonts w:ascii="宋体" w:hAnsi="宋体" w:eastAsia="宋体"/>
          <w:sz w:val="28"/>
          <w:szCs w:val="28"/>
        </w:rPr>
      </w:pPr>
      <w:r>
        <w:rPr>
          <w:rFonts w:hint="eastAsia" w:ascii="宋体" w:hAnsi="宋体" w:eastAsia="宋体"/>
          <w:sz w:val="28"/>
          <w:szCs w:val="28"/>
        </w:rPr>
        <w:t>（公开招标、资格后审）</w:t>
      </w:r>
    </w:p>
    <w:p w14:paraId="6A7B5657">
      <w:pPr>
        <w:snapToGrid w:val="0"/>
        <w:spacing w:line="360" w:lineRule="auto"/>
        <w:jc w:val="center"/>
        <w:rPr>
          <w:rFonts w:ascii="宋体" w:hAnsi="宋体" w:eastAsia="宋体"/>
          <w:sz w:val="28"/>
          <w:szCs w:val="28"/>
        </w:rPr>
      </w:pPr>
      <w:r>
        <w:rPr>
          <w:rFonts w:hint="eastAsia" w:ascii="宋体" w:hAnsi="宋体" w:eastAsia="宋体"/>
          <w:sz w:val="28"/>
          <w:szCs w:val="28"/>
        </w:rPr>
        <w:t xml:space="preserve">项目编码 </w:t>
      </w:r>
      <w:r>
        <w:rPr>
          <w:rFonts w:ascii="宋体" w:hAnsi="宋体" w:eastAsia="宋体"/>
          <w:sz w:val="28"/>
          <w:szCs w:val="28"/>
        </w:rPr>
        <w:t xml:space="preserve"> JSHTGC2024-026</w:t>
      </w:r>
    </w:p>
    <w:p w14:paraId="6FCC6F35">
      <w:pPr>
        <w:snapToGrid w:val="0"/>
        <w:spacing w:line="360" w:lineRule="auto"/>
        <w:jc w:val="center"/>
        <w:rPr>
          <w:rFonts w:ascii="宋体" w:hAnsi="宋体" w:eastAsia="宋体"/>
          <w:b/>
          <w:sz w:val="28"/>
          <w:szCs w:val="28"/>
        </w:rPr>
      </w:pPr>
    </w:p>
    <w:p w14:paraId="1AA06F3B">
      <w:pPr>
        <w:snapToGrid w:val="0"/>
        <w:spacing w:line="360" w:lineRule="auto"/>
        <w:jc w:val="center"/>
        <w:rPr>
          <w:rFonts w:ascii="宋体" w:hAnsi="宋体" w:eastAsia="宋体"/>
          <w:b/>
          <w:sz w:val="28"/>
          <w:szCs w:val="28"/>
        </w:rPr>
      </w:pPr>
    </w:p>
    <w:p w14:paraId="32385C35">
      <w:pPr>
        <w:snapToGrid w:val="0"/>
        <w:spacing w:line="360" w:lineRule="auto"/>
        <w:jc w:val="center"/>
        <w:rPr>
          <w:rFonts w:ascii="宋体" w:hAnsi="宋体" w:eastAsia="宋体"/>
          <w:b/>
          <w:sz w:val="28"/>
          <w:szCs w:val="28"/>
        </w:rPr>
      </w:pPr>
    </w:p>
    <w:p w14:paraId="51E78141">
      <w:pPr>
        <w:snapToGrid w:val="0"/>
        <w:spacing w:line="360" w:lineRule="auto"/>
        <w:jc w:val="center"/>
        <w:rPr>
          <w:rFonts w:ascii="宋体" w:hAnsi="宋体" w:eastAsia="宋体"/>
          <w:b/>
          <w:sz w:val="28"/>
          <w:szCs w:val="28"/>
        </w:rPr>
      </w:pPr>
    </w:p>
    <w:p w14:paraId="0BA14765">
      <w:pPr>
        <w:adjustRightInd w:val="0"/>
        <w:snapToGrid w:val="0"/>
        <w:spacing w:line="360" w:lineRule="auto"/>
        <w:ind w:firstLine="1400" w:firstLineChars="500"/>
        <w:rPr>
          <w:rFonts w:ascii="宋体" w:hAnsi="宋体" w:eastAsia="宋体"/>
          <w:sz w:val="28"/>
          <w:szCs w:val="28"/>
        </w:rPr>
      </w:pPr>
      <w:r>
        <w:rPr>
          <w:rFonts w:hint="eastAsia" w:ascii="宋体" w:hAnsi="宋体" w:eastAsia="宋体"/>
          <w:sz w:val="28"/>
          <w:szCs w:val="28"/>
        </w:rPr>
        <w:t>招标人：南通天一置业有限公司</w:t>
      </w:r>
    </w:p>
    <w:p w14:paraId="5F98EDD9">
      <w:pPr>
        <w:adjustRightInd w:val="0"/>
        <w:snapToGrid w:val="0"/>
        <w:spacing w:line="360" w:lineRule="auto"/>
        <w:ind w:firstLine="1400" w:firstLineChars="500"/>
        <w:rPr>
          <w:rFonts w:ascii="宋体" w:hAnsi="宋体" w:eastAsia="宋体" w:cs="仿宋"/>
          <w:sz w:val="28"/>
          <w:szCs w:val="28"/>
        </w:rPr>
      </w:pPr>
      <w:r>
        <w:rPr>
          <w:rFonts w:hint="eastAsia" w:ascii="宋体" w:hAnsi="宋体" w:eastAsia="宋体"/>
          <w:sz w:val="28"/>
          <w:szCs w:val="28"/>
        </w:rPr>
        <w:t>招标代理机构：江苏衡通咨询管理有限公司</w:t>
      </w:r>
    </w:p>
    <w:p w14:paraId="321FA658">
      <w:pPr>
        <w:adjustRightInd w:val="0"/>
        <w:snapToGrid w:val="0"/>
        <w:spacing w:line="360" w:lineRule="auto"/>
        <w:ind w:firstLine="1400" w:firstLineChars="500"/>
        <w:rPr>
          <w:rFonts w:ascii="宋体" w:hAnsi="宋体" w:eastAsia="宋体"/>
          <w:sz w:val="28"/>
          <w:szCs w:val="28"/>
        </w:rPr>
      </w:pPr>
      <w:r>
        <w:rPr>
          <w:rFonts w:hint="eastAsia" w:ascii="宋体" w:hAnsi="宋体" w:eastAsia="宋体"/>
          <w:sz w:val="28"/>
          <w:szCs w:val="28"/>
        </w:rPr>
        <w:t>日期：二○二四年十二月二十日</w:t>
      </w:r>
    </w:p>
    <w:p w14:paraId="1E2D50CC">
      <w:pPr>
        <w:pStyle w:val="8"/>
        <w:overflowPunct w:val="0"/>
        <w:ind w:firstLine="0"/>
        <w:jc w:val="center"/>
        <w:rPr>
          <w:rFonts w:ascii="宋体" w:hAnsi="宋体" w:eastAsia="宋体"/>
          <w:b/>
          <w:sz w:val="28"/>
          <w:szCs w:val="28"/>
        </w:rPr>
      </w:pPr>
      <w:r>
        <w:rPr>
          <w:rFonts w:ascii="宋体" w:hAnsi="宋体" w:eastAsia="宋体"/>
          <w:b/>
          <w:sz w:val="28"/>
          <w:szCs w:val="28"/>
        </w:rPr>
        <w:br w:type="page"/>
      </w:r>
      <w:r>
        <w:rPr>
          <w:rFonts w:hint="eastAsia" w:ascii="宋体" w:hAnsi="宋体" w:eastAsia="宋体"/>
          <w:b/>
          <w:sz w:val="40"/>
          <w:szCs w:val="40"/>
        </w:rPr>
        <w:t>目录</w:t>
      </w:r>
    </w:p>
    <w:p w14:paraId="2F0D2259">
      <w:pPr>
        <w:adjustRightInd w:val="0"/>
        <w:snapToGrid w:val="0"/>
        <w:spacing w:line="360" w:lineRule="auto"/>
        <w:jc w:val="center"/>
        <w:rPr>
          <w:rFonts w:ascii="宋体" w:hAnsi="宋体" w:eastAsia="宋体"/>
          <w:sz w:val="28"/>
          <w:szCs w:val="28"/>
        </w:rPr>
      </w:pPr>
    </w:p>
    <w:p w14:paraId="42E6C773">
      <w:pPr>
        <w:pStyle w:val="2"/>
        <w:spacing w:line="360" w:lineRule="auto"/>
      </w:pPr>
      <w:r>
        <w:fldChar w:fldCharType="begin"/>
      </w:r>
      <w:r>
        <w:instrText xml:space="preserve"> TOC \o "1-1"</w:instrText>
      </w:r>
      <w:r>
        <w:fldChar w:fldCharType="separate"/>
      </w:r>
      <w:r>
        <w:rPr>
          <w:rFonts w:hint="eastAsia"/>
        </w:rPr>
        <w:t>第一章  招标公告</w:t>
      </w:r>
      <w:r>
        <w:t xml:space="preserve">                      </w:t>
      </w:r>
    </w:p>
    <w:p w14:paraId="24A0B9D6">
      <w:pPr>
        <w:pStyle w:val="2"/>
        <w:spacing w:line="360" w:lineRule="auto"/>
      </w:pPr>
      <w:r>
        <w:rPr>
          <w:rFonts w:hint="eastAsia"/>
        </w:rPr>
        <w:t>第二章  投标人须知</w:t>
      </w:r>
      <w:r>
        <w:tab/>
      </w:r>
    </w:p>
    <w:p w14:paraId="37CA7079">
      <w:pPr>
        <w:pStyle w:val="2"/>
        <w:spacing w:line="360" w:lineRule="auto"/>
      </w:pPr>
      <w:r>
        <w:rPr>
          <w:rFonts w:hint="eastAsia"/>
        </w:rPr>
        <w:t>第三章  项目需求</w:t>
      </w:r>
      <w:r>
        <w:tab/>
      </w:r>
    </w:p>
    <w:p w14:paraId="1F2FE261">
      <w:pPr>
        <w:pStyle w:val="2"/>
        <w:spacing w:line="360" w:lineRule="auto"/>
      </w:pPr>
      <w:r>
        <w:rPr>
          <w:rFonts w:hint="eastAsia"/>
        </w:rPr>
        <w:t>第四章  评审方法和程序</w:t>
      </w:r>
      <w:r>
        <w:tab/>
      </w:r>
    </w:p>
    <w:p w14:paraId="2BC0C930">
      <w:pPr>
        <w:pStyle w:val="2"/>
        <w:spacing w:line="360" w:lineRule="auto"/>
      </w:pPr>
      <w:r>
        <w:rPr>
          <w:rFonts w:hint="eastAsia"/>
        </w:rPr>
        <w:t>第五章  合同授予</w:t>
      </w:r>
      <w:r>
        <w:tab/>
      </w:r>
    </w:p>
    <w:p w14:paraId="65ADC385">
      <w:pPr>
        <w:pStyle w:val="2"/>
        <w:spacing w:line="360" w:lineRule="auto"/>
      </w:pPr>
      <w:r>
        <w:rPr>
          <w:rFonts w:hint="eastAsia"/>
        </w:rPr>
        <w:t>第六章  合同及主要条款</w:t>
      </w:r>
      <w:r>
        <w:tab/>
      </w:r>
    </w:p>
    <w:p w14:paraId="020B7BD3">
      <w:pPr>
        <w:pStyle w:val="2"/>
        <w:spacing w:line="360" w:lineRule="auto"/>
      </w:pPr>
      <w:r>
        <w:rPr>
          <w:rFonts w:hint="eastAsia"/>
        </w:rPr>
        <w:t>第七章  履约验收及付款</w:t>
      </w:r>
      <w:r>
        <w:tab/>
      </w:r>
    </w:p>
    <w:p w14:paraId="21DBA5FE">
      <w:pPr>
        <w:pStyle w:val="2"/>
        <w:spacing w:line="360" w:lineRule="auto"/>
      </w:pPr>
      <w:r>
        <w:rPr>
          <w:rFonts w:hint="eastAsia"/>
        </w:rPr>
        <w:t>第八章  质疑与投诉</w:t>
      </w:r>
      <w:r>
        <w:tab/>
      </w:r>
    </w:p>
    <w:p w14:paraId="20B17EF0">
      <w:pPr>
        <w:pStyle w:val="2"/>
        <w:spacing w:line="360" w:lineRule="auto"/>
      </w:pPr>
      <w:r>
        <w:rPr>
          <w:rFonts w:hint="eastAsia"/>
        </w:rPr>
        <w:t>第九章  投标响应文件格式</w:t>
      </w:r>
      <w:r>
        <w:tab/>
      </w:r>
    </w:p>
    <w:p w14:paraId="7A80541C">
      <w:pPr>
        <w:tabs>
          <w:tab w:val="right" w:leader="dot" w:pos="9214"/>
        </w:tabs>
        <w:spacing w:line="360" w:lineRule="auto"/>
        <w:ind w:firstLine="495" w:firstLineChars="177"/>
        <w:rPr>
          <w:rFonts w:ascii="宋体" w:hAnsi="宋体" w:eastAsia="宋体"/>
          <w:sz w:val="28"/>
          <w:szCs w:val="28"/>
        </w:rPr>
      </w:pPr>
    </w:p>
    <w:p w14:paraId="702A41B5">
      <w:pPr>
        <w:adjustRightInd w:val="0"/>
        <w:snapToGrid w:val="0"/>
        <w:spacing w:line="360" w:lineRule="auto"/>
        <w:rPr>
          <w:rFonts w:ascii="宋体" w:hAnsi="宋体" w:eastAsia="宋体"/>
          <w:b/>
          <w:bCs/>
          <w:sz w:val="28"/>
          <w:szCs w:val="28"/>
        </w:rPr>
      </w:pPr>
      <w:r>
        <w:rPr>
          <w:rFonts w:ascii="宋体" w:hAnsi="宋体" w:eastAsia="宋体"/>
          <w:b/>
          <w:bCs/>
          <w:sz w:val="28"/>
          <w:szCs w:val="28"/>
        </w:rPr>
        <w:fldChar w:fldCharType="end"/>
      </w:r>
      <w:bookmarkStart w:id="0" w:name="_Toc363573853"/>
    </w:p>
    <w:p w14:paraId="4E5C14FF">
      <w:pPr>
        <w:snapToGrid w:val="0"/>
        <w:spacing w:line="440" w:lineRule="exact"/>
        <w:ind w:firstLine="560" w:firstLineChars="200"/>
        <w:rPr>
          <w:rFonts w:ascii="宋体" w:hAnsi="宋体" w:eastAsia="宋体"/>
          <w:sz w:val="24"/>
          <w:szCs w:val="24"/>
        </w:rPr>
      </w:pPr>
      <w:r>
        <w:rPr>
          <w:rFonts w:ascii="宋体" w:hAnsi="宋体" w:eastAsia="宋体"/>
          <w:sz w:val="28"/>
          <w:szCs w:val="28"/>
        </w:rPr>
        <w:br w:type="page"/>
      </w:r>
    </w:p>
    <w:bookmarkEnd w:id="0"/>
    <w:p w14:paraId="1E2260E2">
      <w:pPr>
        <w:tabs>
          <w:tab w:val="left" w:pos="6300"/>
        </w:tabs>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尊敬的投标供应商（以下称投标人）：</w:t>
      </w:r>
    </w:p>
    <w:p w14:paraId="693258AD">
      <w:pPr>
        <w:tabs>
          <w:tab w:val="left" w:pos="6300"/>
        </w:tabs>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欢迎参加本采购项目的公开招标。为了保证本次招标顺利进行，请在制作投标响应文件之前，仔细阅读本招标文件的各项条款，并按要求制作和递交投标响应文件。谢谢合作！</w:t>
      </w:r>
    </w:p>
    <w:p w14:paraId="6E6D2EFB">
      <w:pPr>
        <w:tabs>
          <w:tab w:val="left" w:pos="6300"/>
        </w:tabs>
        <w:snapToGrid w:val="0"/>
        <w:spacing w:line="360" w:lineRule="auto"/>
        <w:jc w:val="center"/>
        <w:rPr>
          <w:rFonts w:ascii="宋体" w:hAnsi="宋体" w:eastAsia="宋体"/>
          <w:b/>
          <w:sz w:val="44"/>
          <w:szCs w:val="44"/>
        </w:rPr>
      </w:pPr>
      <w:r>
        <w:rPr>
          <w:rFonts w:hint="eastAsia" w:ascii="宋体" w:hAnsi="宋体" w:eastAsia="宋体"/>
          <w:b/>
          <w:sz w:val="44"/>
          <w:szCs w:val="44"/>
        </w:rPr>
        <w:t>第一章 招标公告</w:t>
      </w:r>
    </w:p>
    <w:p w14:paraId="2DB4F153">
      <w:pPr>
        <w:tabs>
          <w:tab w:val="left" w:pos="6300"/>
        </w:tabs>
        <w:snapToGrid w:val="0"/>
        <w:spacing w:line="360" w:lineRule="auto"/>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u w:val="single"/>
        </w:rPr>
        <w:t>江苏衡通咨询管理有限公司</w:t>
      </w:r>
      <w:r>
        <w:rPr>
          <w:rFonts w:hint="eastAsia" w:asciiTheme="minorEastAsia" w:hAnsiTheme="minorEastAsia" w:eastAsiaTheme="minorEastAsia" w:cstheme="minorEastAsia"/>
          <w:sz w:val="24"/>
          <w:szCs w:val="24"/>
        </w:rPr>
        <w:t>（以下称招标代理机构）受</w:t>
      </w:r>
      <w:r>
        <w:rPr>
          <w:rFonts w:hint="eastAsia" w:asciiTheme="minorEastAsia" w:hAnsiTheme="minorEastAsia" w:eastAsiaTheme="minorEastAsia" w:cstheme="minorEastAsia"/>
          <w:b/>
          <w:bCs/>
          <w:sz w:val="24"/>
          <w:szCs w:val="24"/>
          <w:u w:val="single"/>
        </w:rPr>
        <w:t>南通天一置业有限公司</w:t>
      </w:r>
      <w:r>
        <w:rPr>
          <w:rFonts w:hint="eastAsia" w:asciiTheme="minorEastAsia" w:hAnsiTheme="minorEastAsia" w:eastAsiaTheme="minorEastAsia" w:cstheme="minorEastAsia"/>
          <w:sz w:val="24"/>
          <w:szCs w:val="24"/>
        </w:rPr>
        <w:t>（以下称招标人）的委托，就</w:t>
      </w:r>
      <w:r>
        <w:rPr>
          <w:rFonts w:hint="eastAsia" w:asciiTheme="minorEastAsia" w:hAnsiTheme="minorEastAsia" w:eastAsiaTheme="minorEastAsia" w:cstheme="minorEastAsia"/>
          <w:b/>
          <w:bCs/>
          <w:sz w:val="24"/>
          <w:szCs w:val="24"/>
          <w:u w:val="single"/>
        </w:rPr>
        <w:t>南通天一置业有限公司安置房衡通嘉苑、外滩雅苑、任港嘉苑、悦泰花园销售结算服务合作单位选聘项目</w:t>
      </w:r>
      <w:r>
        <w:rPr>
          <w:rFonts w:hint="eastAsia" w:asciiTheme="minorEastAsia" w:hAnsiTheme="minorEastAsia" w:eastAsiaTheme="minorEastAsia" w:cstheme="minorEastAsia"/>
          <w:sz w:val="24"/>
          <w:szCs w:val="24"/>
        </w:rPr>
        <w:t>组织公开招标，诚邀符合条件的潜在投标人参加投标。</w:t>
      </w:r>
    </w:p>
    <w:p w14:paraId="465D4A38">
      <w:pPr>
        <w:tabs>
          <w:tab w:val="left" w:pos="6300"/>
        </w:tabs>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一、项目名称：</w:t>
      </w:r>
      <w:r>
        <w:rPr>
          <w:rFonts w:hint="eastAsia" w:asciiTheme="minorEastAsia" w:hAnsiTheme="minorEastAsia" w:eastAsiaTheme="minorEastAsia" w:cstheme="minorEastAsia"/>
          <w:b/>
          <w:bCs/>
          <w:sz w:val="24"/>
          <w:szCs w:val="24"/>
          <w:u w:val="single"/>
        </w:rPr>
        <w:t>南通天一置业有限公司安置房衡通嘉苑、外滩雅苑、任港嘉苑、悦泰花园销售结算服务合作单位选聘项目。</w:t>
      </w:r>
    </w:p>
    <w:p w14:paraId="35350991">
      <w:pPr>
        <w:tabs>
          <w:tab w:val="left" w:pos="6300"/>
        </w:tabs>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二、项目预算：本项目预算金额49万元；</w:t>
      </w:r>
    </w:p>
    <w:p w14:paraId="620D99B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b/>
          <w:bCs/>
          <w:sz w:val="24"/>
          <w:szCs w:val="24"/>
          <w:u w:val="single"/>
        </w:rPr>
        <w:t>本项目单价最高限价为：1.60元/㎡，小区规划居住面积为306222㎡，投标人的投标报价高于最高限价的作无效标处理。具体面积如下：</w:t>
      </w:r>
    </w:p>
    <w:tbl>
      <w:tblPr>
        <w:tblStyle w:val="67"/>
        <w:tblW w:w="8407" w:type="dxa"/>
        <w:tblInd w:w="93" w:type="dxa"/>
        <w:tblLayout w:type="autofit"/>
        <w:tblCellMar>
          <w:top w:w="0" w:type="dxa"/>
          <w:left w:w="108" w:type="dxa"/>
          <w:bottom w:w="0" w:type="dxa"/>
          <w:right w:w="108" w:type="dxa"/>
        </w:tblCellMar>
      </w:tblPr>
      <w:tblGrid>
        <w:gridCol w:w="1140"/>
        <w:gridCol w:w="1603"/>
        <w:gridCol w:w="4838"/>
        <w:gridCol w:w="854"/>
      </w:tblGrid>
      <w:tr w14:paraId="1B7856DD">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CF2E6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D347B0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地块名称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161030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规划居住面积(住宅、非机动车库及阁楼面积)</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11BD051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套数</w:t>
            </w:r>
          </w:p>
        </w:tc>
      </w:tr>
      <w:tr w14:paraId="0B17BABB">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A90F2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衡通嘉苑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B77E8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飞跃百度地块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C7E950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住宅：24489㎡、非机：3736㎡</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2F27208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214</w:t>
            </w:r>
          </w:p>
        </w:tc>
      </w:tr>
      <w:tr w14:paraId="6DE8C4EE">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286349B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外滩雅苑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0EAFC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永泰锅炉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7AC3D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住宅：53283㎡、非机：7760㎡</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7AB787F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590</w:t>
            </w:r>
          </w:p>
        </w:tc>
      </w:tr>
      <w:tr w14:paraId="53307036">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5D7DE5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任港嘉苑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A720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五一职工苑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751AA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住宅：31503㎡、非机：3904㎡</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488C8E0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260</w:t>
            </w:r>
          </w:p>
        </w:tc>
      </w:tr>
      <w:tr w14:paraId="7876B194">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44DBC2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悦泰花园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537292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陈桥安置点二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31F3D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住宅：87172㎡、非机：5798㎡</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3763531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728</w:t>
            </w:r>
          </w:p>
        </w:tc>
      </w:tr>
      <w:tr w14:paraId="4734E638">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87650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悦泰花园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3B13C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陈桥安置点三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73BF7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住宅：83622㎡、非机：4955㎡</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2D844AC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682</w:t>
            </w:r>
          </w:p>
        </w:tc>
      </w:tr>
      <w:tr w14:paraId="4303E2C9">
        <w:tblPrEx>
          <w:tblCellMar>
            <w:top w:w="0" w:type="dxa"/>
            <w:left w:w="108" w:type="dxa"/>
            <w:bottom w:w="0" w:type="dxa"/>
            <w:right w:w="108" w:type="dxa"/>
          </w:tblCellMar>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370D8D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B3BC2E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r>
              <w:rPr>
                <w:rFonts w:ascii="宋体" w:hAnsi="宋体" w:eastAsia="宋体" w:cs="宋体"/>
                <w:color w:val="000000"/>
                <w:kern w:val="0"/>
                <w:sz w:val="24"/>
                <w:szCs w:val="24"/>
                <w:lang w:bidi="ar"/>
              </w:rPr>
              <w:t>06222</w:t>
            </w:r>
            <w:r>
              <w:rPr>
                <w:rFonts w:hint="eastAsia" w:ascii="宋体" w:hAnsi="宋体" w:eastAsia="宋体" w:cs="宋体"/>
                <w:color w:val="000000"/>
                <w:kern w:val="0"/>
                <w:sz w:val="24"/>
                <w:szCs w:val="24"/>
                <w:lang w:bidi="ar"/>
              </w:rPr>
              <w:t>㎡</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2EB0784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ascii="宋体" w:hAnsi="宋体" w:eastAsia="宋体" w:cs="宋体"/>
                <w:color w:val="000000"/>
                <w:kern w:val="0"/>
                <w:sz w:val="24"/>
                <w:szCs w:val="24"/>
                <w:lang w:bidi="ar"/>
              </w:rPr>
              <w:t>474</w:t>
            </w:r>
          </w:p>
        </w:tc>
      </w:tr>
    </w:tbl>
    <w:p w14:paraId="0964B47A">
      <w:pPr>
        <w:pStyle w:val="2"/>
      </w:pPr>
    </w:p>
    <w:p w14:paraId="67EAB1B5">
      <w:pPr>
        <w:snapToGrid w:val="0"/>
        <w:spacing w:line="360" w:lineRule="auto"/>
        <w:ind w:firstLine="484" w:firstLineChars="20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四、项目需求及实施期限：详见招标文件第三章；</w:t>
      </w:r>
    </w:p>
    <w:p w14:paraId="158D6158">
      <w:pPr>
        <w:tabs>
          <w:tab w:val="left" w:pos="6300"/>
        </w:tabs>
        <w:snapToGrid w:val="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五、投标人资格：</w:t>
      </w:r>
    </w:p>
    <w:p w14:paraId="33EE7D17">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独立承担民事责任的能力；具有良好的商业信誉和健全的财务会计制度；具有履行合同所必需的设备和专业技术能力；具有依法缴纳税收和社会保障资金的良好记录；参加本次采购活动前三年内，在经营活动中没有重大违法记录。</w:t>
      </w:r>
    </w:p>
    <w:p w14:paraId="256BEF38">
      <w:pPr>
        <w:snapToGrid w:val="0"/>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2、法定代表人参加投标的，必须提供法定代表人身份证明及法定代表人本人身份证复印件(须加盖单位公章)；非法定代表人参加投标的，必须提供法定代表人身份证明及法定代表人签字或盖章的授权委托书及</w:t>
      </w:r>
      <w:r>
        <w:rPr>
          <w:rFonts w:hint="eastAsia" w:ascii="宋体" w:hAnsi="宋体" w:eastAsia="宋体" w:cs="宋体"/>
          <w:bCs/>
          <w:kern w:val="0"/>
          <w:sz w:val="24"/>
          <w:szCs w:val="24"/>
        </w:rPr>
        <w:t>法定代表人、被授权人的两人身份证的复印件；被授权人为投标人正式人员证明材料【提供①与投标人签订的有效劳动合同复印件；②投标人为其缴纳的202</w:t>
      </w:r>
      <w:r>
        <w:rPr>
          <w:rFonts w:ascii="宋体" w:hAnsi="宋体" w:eastAsia="宋体" w:cs="宋体"/>
          <w:bCs/>
          <w:kern w:val="0"/>
          <w:sz w:val="24"/>
          <w:szCs w:val="24"/>
        </w:rPr>
        <w:t>4</w:t>
      </w:r>
      <w:r>
        <w:rPr>
          <w:rFonts w:hint="eastAsia" w:ascii="宋体" w:hAnsi="宋体" w:eastAsia="宋体" w:cs="宋体"/>
          <w:bCs/>
          <w:kern w:val="0"/>
          <w:sz w:val="24"/>
          <w:szCs w:val="24"/>
        </w:rPr>
        <w:t>年</w:t>
      </w:r>
      <w:r>
        <w:rPr>
          <w:rFonts w:ascii="宋体" w:hAnsi="宋体" w:eastAsia="宋体" w:cs="宋体"/>
          <w:bCs/>
          <w:kern w:val="0"/>
          <w:sz w:val="24"/>
          <w:szCs w:val="24"/>
        </w:rPr>
        <w:t>5</w:t>
      </w:r>
      <w:r>
        <w:rPr>
          <w:rFonts w:hint="eastAsia" w:ascii="宋体" w:hAnsi="宋体" w:eastAsia="宋体" w:cs="宋体"/>
          <w:bCs/>
          <w:kern w:val="0"/>
          <w:sz w:val="24"/>
          <w:szCs w:val="24"/>
        </w:rPr>
        <w:t>月-202</w:t>
      </w:r>
      <w:r>
        <w:rPr>
          <w:rFonts w:ascii="宋体" w:hAnsi="宋体" w:eastAsia="宋体" w:cs="宋体"/>
          <w:bCs/>
          <w:kern w:val="0"/>
          <w:sz w:val="24"/>
          <w:szCs w:val="24"/>
        </w:rPr>
        <w:t>4</w:t>
      </w:r>
      <w:r>
        <w:rPr>
          <w:rFonts w:hint="eastAsia" w:ascii="宋体" w:hAnsi="宋体" w:eastAsia="宋体" w:cs="宋体"/>
          <w:bCs/>
          <w:kern w:val="0"/>
          <w:sz w:val="24"/>
          <w:szCs w:val="24"/>
        </w:rPr>
        <w:t>年1</w:t>
      </w:r>
      <w:r>
        <w:rPr>
          <w:rFonts w:ascii="宋体" w:hAnsi="宋体" w:eastAsia="宋体" w:cs="宋体"/>
          <w:bCs/>
          <w:kern w:val="0"/>
          <w:sz w:val="24"/>
          <w:szCs w:val="24"/>
        </w:rPr>
        <w:t>0</w:t>
      </w:r>
      <w:r>
        <w:rPr>
          <w:rFonts w:hint="eastAsia" w:ascii="宋体" w:hAnsi="宋体" w:eastAsia="宋体" w:cs="宋体"/>
          <w:bCs/>
          <w:kern w:val="0"/>
          <w:sz w:val="24"/>
          <w:szCs w:val="24"/>
        </w:rPr>
        <w:t>月连续六个月的社保缴费证明复印件】</w:t>
      </w:r>
      <w:r>
        <w:rPr>
          <w:rFonts w:hint="eastAsia" w:asciiTheme="minorEastAsia" w:hAnsiTheme="minorEastAsia" w:eastAsiaTheme="minorEastAsia" w:cstheme="minorEastAsia"/>
          <w:sz w:val="24"/>
          <w:szCs w:val="24"/>
        </w:rPr>
        <w:t>(须加盖单位公章)</w:t>
      </w:r>
      <w:r>
        <w:rPr>
          <w:rFonts w:hint="eastAsia" w:ascii="宋体" w:hAnsi="宋体" w:eastAsia="宋体" w:cs="宋体"/>
          <w:bCs/>
          <w:kern w:val="0"/>
          <w:sz w:val="24"/>
          <w:szCs w:val="24"/>
        </w:rPr>
        <w:t>。</w:t>
      </w:r>
    </w:p>
    <w:p w14:paraId="19EC855B">
      <w:pPr>
        <w:snapToGrid w:val="0"/>
        <w:spacing w:line="360" w:lineRule="auto"/>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w:t>
      </w:r>
      <w:r>
        <w:rPr>
          <w:rFonts w:hint="eastAsia" w:asciiTheme="minorEastAsia" w:hAnsiTheme="minorEastAsia" w:eastAsiaTheme="minorEastAsia" w:cstheme="minorEastAsia"/>
          <w:b/>
          <w:bCs/>
          <w:sz w:val="24"/>
          <w:szCs w:val="24"/>
        </w:rPr>
        <w:t>不接受</w:t>
      </w:r>
      <w:r>
        <w:rPr>
          <w:rFonts w:hint="eastAsia" w:asciiTheme="minorEastAsia" w:hAnsiTheme="minorEastAsia" w:eastAsiaTheme="minorEastAsia" w:cstheme="minorEastAsia"/>
          <w:sz w:val="24"/>
          <w:szCs w:val="24"/>
        </w:rPr>
        <w:t>联合体投标。</w:t>
      </w:r>
    </w:p>
    <w:p w14:paraId="08ACAAA7">
      <w:pPr>
        <w:snapToGrid w:val="0"/>
        <w:spacing w:line="360" w:lineRule="auto"/>
        <w:ind w:firstLine="493"/>
        <w:rPr>
          <w:rFonts w:asciiTheme="minorEastAsia" w:hAnsiTheme="minorEastAsia" w:eastAsiaTheme="minorEastAsia" w:cstheme="minorEastAsia"/>
          <w:sz w:val="24"/>
          <w:szCs w:val="24"/>
        </w:rPr>
      </w:pPr>
      <w:bookmarkStart w:id="1" w:name="_Toc363573854"/>
      <w:r>
        <w:rPr>
          <w:rFonts w:hint="eastAsia" w:asciiTheme="minorEastAsia" w:hAnsiTheme="minorEastAsia" w:eastAsiaTheme="minorEastAsia" w:cstheme="minorEastAsia"/>
          <w:sz w:val="24"/>
          <w:szCs w:val="24"/>
        </w:rPr>
        <w:t>六、招标文件的获取</w:t>
      </w:r>
    </w:p>
    <w:p w14:paraId="44983C96">
      <w:pPr>
        <w:snapToGrid w:val="0"/>
        <w:spacing w:line="360" w:lineRule="auto"/>
        <w:ind w:firstLine="493"/>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、时间：自本公告发布之日至</w:t>
      </w:r>
      <w:r>
        <w:rPr>
          <w:rFonts w:asciiTheme="minorEastAsia" w:hAnsiTheme="minorEastAsia" w:eastAsiaTheme="minorEastAsia" w:cstheme="minorEastAsia"/>
          <w:sz w:val="24"/>
          <w:szCs w:val="24"/>
        </w:rPr>
        <w:t>2024</w:t>
      </w:r>
      <w:r>
        <w:rPr>
          <w:rFonts w:hint="eastAsia" w:asciiTheme="minorEastAsia" w:hAnsiTheme="minorEastAsia" w:eastAsiaTheme="minorEastAsia" w:cstheme="minorEastAsia"/>
          <w:sz w:val="24"/>
          <w:szCs w:val="24"/>
        </w:rPr>
        <w:t>年1</w:t>
      </w: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月</w:t>
      </w:r>
      <w:r>
        <w:rPr>
          <w:rFonts w:asciiTheme="minorEastAsia" w:hAnsiTheme="minorEastAsia" w:eastAsiaTheme="minorEastAsia" w:cstheme="minorEastAsia"/>
          <w:sz w:val="24"/>
          <w:szCs w:val="24"/>
        </w:rPr>
        <w:t>25</w:t>
      </w:r>
      <w:r>
        <w:rPr>
          <w:rFonts w:hint="eastAsia" w:asciiTheme="minorEastAsia" w:hAnsiTheme="minorEastAsia" w:eastAsiaTheme="minorEastAsia" w:cstheme="minorEastAsia"/>
          <w:sz w:val="24"/>
          <w:szCs w:val="24"/>
        </w:rPr>
        <w:t>日。</w:t>
      </w:r>
    </w:p>
    <w:p w14:paraId="5ABCEBC9">
      <w:pPr>
        <w:snapToGrid w:val="0"/>
        <w:spacing w:line="360" w:lineRule="auto"/>
        <w:ind w:firstLine="493"/>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、地点：南通市崇川区人民政府网</w:t>
      </w:r>
      <w:r>
        <w:rPr>
          <w:rFonts w:asciiTheme="minorEastAsia" w:hAnsiTheme="minorEastAsia" w:eastAsiaTheme="minorEastAsia" w:cstheme="minorEastAsia"/>
          <w:sz w:val="24"/>
          <w:szCs w:val="24"/>
        </w:rPr>
        <w:t xml:space="preserve"> (www.chongchuan.gov.cn)→</w:t>
      </w:r>
      <w:r>
        <w:rPr>
          <w:rFonts w:hint="eastAsia" w:asciiTheme="minorEastAsia" w:hAnsiTheme="minorEastAsia" w:eastAsiaTheme="minorEastAsia" w:cstheme="minorEastAsia"/>
          <w:sz w:val="24"/>
          <w:szCs w:val="24"/>
        </w:rPr>
        <w:t>我要看</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公示公告</w:t>
      </w:r>
    </w:p>
    <w:p w14:paraId="3F206DB1">
      <w:pPr>
        <w:snapToGrid w:val="0"/>
        <w:spacing w:line="360" w:lineRule="auto"/>
        <w:ind w:firstLine="493"/>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、方式：自行下载。</w:t>
      </w:r>
    </w:p>
    <w:p w14:paraId="14EB1EA1">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七、接收投标文件截止时间、开标时间和地点</w:t>
      </w:r>
    </w:p>
    <w:p w14:paraId="26EAC848">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1、投标响应文件接收截止及开标开始时间：</w:t>
      </w:r>
      <w:r>
        <w:rPr>
          <w:rFonts w:hint="eastAsia" w:asciiTheme="minorEastAsia" w:hAnsiTheme="minorEastAsia" w:eastAsiaTheme="minorEastAsia" w:cstheme="minorEastAsia"/>
          <w:b/>
          <w:bCs/>
          <w:sz w:val="24"/>
          <w:szCs w:val="24"/>
          <w:u w:val="single"/>
        </w:rPr>
        <w:t>202</w:t>
      </w:r>
      <w:r>
        <w:rPr>
          <w:rFonts w:asciiTheme="minorEastAsia" w:hAnsiTheme="minorEastAsia" w:eastAsiaTheme="minorEastAsia" w:cstheme="minorEastAsia"/>
          <w:b/>
          <w:bCs/>
          <w:sz w:val="24"/>
          <w:szCs w:val="24"/>
          <w:u w:val="single"/>
        </w:rPr>
        <w:t>5</w:t>
      </w:r>
      <w:r>
        <w:rPr>
          <w:rFonts w:hint="eastAsia" w:asciiTheme="minorEastAsia" w:hAnsiTheme="minorEastAsia" w:eastAsiaTheme="minorEastAsia" w:cstheme="minorEastAsia"/>
          <w:b/>
          <w:bCs/>
          <w:sz w:val="24"/>
          <w:szCs w:val="24"/>
          <w:u w:val="single"/>
        </w:rPr>
        <w:t>年1月</w:t>
      </w:r>
      <w:r>
        <w:rPr>
          <w:rFonts w:asciiTheme="minorEastAsia" w:hAnsiTheme="minorEastAsia" w:eastAsiaTheme="minorEastAsia" w:cstheme="minorEastAsia"/>
          <w:b/>
          <w:bCs/>
          <w:sz w:val="24"/>
          <w:szCs w:val="24"/>
          <w:u w:val="single"/>
        </w:rPr>
        <w:t>10</w:t>
      </w:r>
      <w:r>
        <w:rPr>
          <w:rFonts w:hint="eastAsia" w:asciiTheme="minorEastAsia" w:hAnsiTheme="minorEastAsia" w:eastAsiaTheme="minorEastAsia" w:cstheme="minorEastAsia"/>
          <w:b/>
          <w:bCs/>
          <w:sz w:val="24"/>
          <w:szCs w:val="24"/>
          <w:u w:val="single"/>
        </w:rPr>
        <w:t>日14时00分00秒（北京时间）</w:t>
      </w:r>
      <w:r>
        <w:rPr>
          <w:rFonts w:hint="eastAsia" w:asciiTheme="minorEastAsia" w:hAnsiTheme="minorEastAsia" w:eastAsiaTheme="minorEastAsia" w:cstheme="minorEastAsia"/>
          <w:sz w:val="24"/>
          <w:szCs w:val="24"/>
        </w:rPr>
        <w:t>；</w:t>
      </w:r>
    </w:p>
    <w:p w14:paraId="22B2D398">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b/>
          <w:bCs/>
          <w:sz w:val="24"/>
          <w:szCs w:val="24"/>
          <w:u w:val="single"/>
        </w:rPr>
        <w:t>崇川路一号建发集团二楼会议室，如有变动另行通知</w:t>
      </w:r>
      <w:r>
        <w:rPr>
          <w:rFonts w:hint="eastAsia" w:asciiTheme="minorEastAsia" w:hAnsiTheme="minorEastAsia" w:eastAsiaTheme="minorEastAsia" w:cstheme="minorEastAsia"/>
          <w:sz w:val="24"/>
          <w:szCs w:val="24"/>
        </w:rPr>
        <w:t>；</w:t>
      </w:r>
    </w:p>
    <w:p w14:paraId="59742EB3">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八、公告期限</w:t>
      </w:r>
    </w:p>
    <w:p w14:paraId="3C2DF78A">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w:t>
      </w:r>
      <w:r>
        <w:rPr>
          <w:rFonts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个工作日。</w:t>
      </w:r>
    </w:p>
    <w:p w14:paraId="01B548EC">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八、投标保证金：本项目投标人须缴纳投标保证金</w:t>
      </w:r>
      <w:r>
        <w:rPr>
          <w:rFonts w:hint="eastAsia" w:asciiTheme="minorEastAsia" w:hAnsiTheme="minorEastAsia" w:eastAsiaTheme="minorEastAsia" w:cstheme="minorEastAsia"/>
          <w:b/>
          <w:sz w:val="24"/>
          <w:szCs w:val="24"/>
          <w:u w:val="single"/>
        </w:rPr>
        <w:t>壹万元整（10000元）</w:t>
      </w:r>
      <w:r>
        <w:rPr>
          <w:rFonts w:hint="eastAsia" w:asciiTheme="minorEastAsia" w:hAnsiTheme="minorEastAsia" w:eastAsiaTheme="minorEastAsia" w:cstheme="minorEastAsia"/>
          <w:sz w:val="24"/>
          <w:szCs w:val="24"/>
        </w:rPr>
        <w:t>。</w:t>
      </w:r>
    </w:p>
    <w:p w14:paraId="2B6D6B69">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九、履约保证金：本项目中标后的履约保证金为人民币</w:t>
      </w:r>
      <w:r>
        <w:rPr>
          <w:rFonts w:hint="eastAsia" w:ascii="宋体" w:hAnsi="宋体" w:eastAsia="宋体" w:cs="宋体"/>
          <w:b/>
          <w:sz w:val="24"/>
          <w:szCs w:val="24"/>
          <w:u w:val="single"/>
        </w:rPr>
        <w:t>贰</w:t>
      </w:r>
      <w:r>
        <w:rPr>
          <w:rFonts w:hint="eastAsia" w:ascii="宋体" w:hAnsi="宋体" w:eastAsia="宋体" w:cs="宋体"/>
          <w:b/>
          <w:bCs/>
          <w:sz w:val="24"/>
          <w:szCs w:val="24"/>
          <w:u w:val="single"/>
        </w:rPr>
        <w:t>万</w:t>
      </w:r>
      <w:r>
        <w:rPr>
          <w:rFonts w:hint="eastAsia" w:ascii="宋体" w:hAnsi="宋体" w:eastAsia="宋体" w:cs="宋体"/>
          <w:b/>
          <w:sz w:val="24"/>
          <w:szCs w:val="24"/>
          <w:u w:val="single"/>
        </w:rPr>
        <w:t>元整（20000元）</w:t>
      </w:r>
      <w:r>
        <w:rPr>
          <w:rFonts w:hint="eastAsia" w:asciiTheme="minorEastAsia" w:hAnsiTheme="minorEastAsia" w:eastAsiaTheme="minorEastAsia" w:cstheme="minorEastAsia"/>
          <w:sz w:val="24"/>
          <w:szCs w:val="24"/>
        </w:rPr>
        <w:t>。</w:t>
      </w:r>
    </w:p>
    <w:p w14:paraId="694215F0">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十、投标联系方式：</w:t>
      </w:r>
    </w:p>
    <w:p w14:paraId="584BB4B8">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招标人：南通天一置业有限公司</w:t>
      </w:r>
    </w:p>
    <w:p w14:paraId="46206CBB">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 南通市崇川区学田街道五一路</w:t>
      </w:r>
    </w:p>
    <w:p w14:paraId="60DC8264">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联系人：王工    </w:t>
      </w:r>
    </w:p>
    <w:p w14:paraId="3A6739F6">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lang w:val="en-US" w:eastAsia="zh-CN"/>
        </w:rPr>
        <w:t>0513-66889926</w:t>
      </w:r>
      <w:r>
        <w:rPr>
          <w:rFonts w:hint="eastAsia" w:asciiTheme="minorEastAsia" w:hAnsiTheme="minorEastAsia" w:eastAsiaTheme="minorEastAsia" w:cstheme="minorEastAsia"/>
          <w:sz w:val="24"/>
          <w:szCs w:val="24"/>
        </w:rPr>
        <w:t xml:space="preserve">   </w:t>
      </w:r>
    </w:p>
    <w:p w14:paraId="6C90D1BA">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2、代理机构信息</w:t>
      </w:r>
    </w:p>
    <w:p w14:paraId="49B597FF">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名称：江苏衡通咨询管理有限公司</w:t>
      </w:r>
    </w:p>
    <w:p w14:paraId="74B3C39B">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地址：南通市崇川区桃坞路2号友谊大厦9楼</w:t>
      </w:r>
    </w:p>
    <w:p w14:paraId="7C3918CF">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人：王亮</w:t>
      </w:r>
    </w:p>
    <w:p w14:paraId="53B333D8">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联系电话：1</w:t>
      </w:r>
      <w:r>
        <w:rPr>
          <w:rFonts w:asciiTheme="minorEastAsia" w:hAnsiTheme="minorEastAsia" w:eastAsiaTheme="minorEastAsia" w:cstheme="minorEastAsia"/>
          <w:sz w:val="24"/>
          <w:szCs w:val="24"/>
        </w:rPr>
        <w:t>3861988778</w:t>
      </w:r>
    </w:p>
    <w:p w14:paraId="5C57EA7E">
      <w:pPr>
        <w:snapToGrid w:val="0"/>
        <w:spacing w:line="360" w:lineRule="auto"/>
        <w:ind w:firstLine="49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邮箱：</w:t>
      </w:r>
      <w:r>
        <w:rPr>
          <w:rFonts w:asciiTheme="minorEastAsia" w:hAnsiTheme="minorEastAsia" w:eastAsiaTheme="minorEastAsia" w:cstheme="minorEastAsia"/>
          <w:sz w:val="24"/>
          <w:szCs w:val="24"/>
        </w:rPr>
        <w:t>892261142</w:t>
      </w:r>
      <w:r>
        <w:fldChar w:fldCharType="begin"/>
      </w:r>
      <w:r>
        <w:instrText xml:space="preserve"> HYPERLINK "mailto:1554928213@qq.com" </w:instrText>
      </w:r>
      <w:r>
        <w:fldChar w:fldCharType="separate"/>
      </w:r>
      <w:r>
        <w:rPr>
          <w:rFonts w:hint="eastAsia" w:asciiTheme="minorEastAsia" w:hAnsiTheme="minorEastAsia" w:eastAsiaTheme="minorEastAsia" w:cstheme="minorEastAsia"/>
          <w:sz w:val="24"/>
          <w:szCs w:val="24"/>
        </w:rPr>
        <w:t>@qq.com</w:t>
      </w:r>
      <w:r>
        <w:rPr>
          <w:rFonts w:hint="eastAsia" w:asciiTheme="minorEastAsia" w:hAnsiTheme="minorEastAsia" w:eastAsiaTheme="minorEastAsia" w:cstheme="minorEastAsia"/>
          <w:sz w:val="24"/>
          <w:szCs w:val="24"/>
        </w:rPr>
        <w:fldChar w:fldCharType="end"/>
      </w:r>
    </w:p>
    <w:p w14:paraId="5FC88B93">
      <w:pPr>
        <w:pageBreakBefore/>
        <w:spacing w:line="360" w:lineRule="auto"/>
        <w:jc w:val="center"/>
        <w:rPr>
          <w:rFonts w:ascii="宋体" w:hAnsi="宋体" w:eastAsia="宋体"/>
          <w:b/>
          <w:sz w:val="44"/>
          <w:szCs w:val="44"/>
        </w:rPr>
      </w:pPr>
      <w:r>
        <w:rPr>
          <w:rFonts w:hint="eastAsia" w:ascii="宋体" w:hAnsi="宋体" w:eastAsia="宋体"/>
          <w:b/>
          <w:sz w:val="44"/>
          <w:szCs w:val="44"/>
        </w:rPr>
        <w:t>第二章  投标人须知</w:t>
      </w:r>
      <w:bookmarkEnd w:id="1"/>
    </w:p>
    <w:p w14:paraId="3B991747">
      <w:pPr>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一、说明</w:t>
      </w:r>
    </w:p>
    <w:p w14:paraId="03A75E05">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1、本招标文件仅适用于</w:t>
      </w:r>
      <w:r>
        <w:rPr>
          <w:rFonts w:hint="eastAsia" w:ascii="宋体" w:hAnsi="宋体" w:eastAsia="宋体" w:cs="宋体"/>
          <w:sz w:val="24"/>
          <w:szCs w:val="24"/>
        </w:rPr>
        <w:t>江苏衡通咨询管理有限公司</w:t>
      </w:r>
      <w:r>
        <w:rPr>
          <w:rFonts w:hint="eastAsia" w:ascii="宋体" w:hAnsi="宋体" w:eastAsia="宋体" w:cs="宋体"/>
          <w:bCs/>
          <w:sz w:val="24"/>
          <w:szCs w:val="24"/>
        </w:rPr>
        <w:t>组织的公开招标活动。</w:t>
      </w:r>
    </w:p>
    <w:p w14:paraId="2FF35B5B">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2、公开招标活动及因本次招标产生的合同受中国法律制约和保护。</w:t>
      </w:r>
    </w:p>
    <w:p w14:paraId="48843027">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3、招标文件的解释权属于代理机构。</w:t>
      </w:r>
    </w:p>
    <w:p w14:paraId="675A4E7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投标人在知道或应当知道本项目招标公告及招标文件中的所有内容：如内容或页码短缺、资格要求和技术参数出现倾向性或排他性等表述的，应在本项目招标公告期限及期限届满之日后的7个工作日内提出询问或以书面实名制形式质疑；未提出询问、质疑或是未在规定期间内提出询问、质疑的，视作投标人接受本项目招标公告及招标文件中的全部内容；投标人不得在招标活动期间及招标结束后针对本项目招标公告及招标文件中的所有内容质疑、投诉。非书面形式的不作为日后质疑提出的依据。</w:t>
      </w:r>
    </w:p>
    <w:p w14:paraId="7AF4451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5、投标人应认真审阅招标文件中所有的事项、格式、条款和规范要求等，如果投标人没有按照招标文件要求提交响应文件，或者响应文件没有对招标文件做出实质性响应，其投标文件有可能被拒绝。</w:t>
      </w:r>
    </w:p>
    <w:p w14:paraId="674E986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招标文件项目需求提供的可能涉及到的工艺、材料、设备、技术规范、参数规格等，仅作为说明并没有限制性，投标人在投标中可以选用替代标准，但这些替代标准要优于项目需求技术规格中要求的标准，以满足招标人的需要。</w:t>
      </w:r>
    </w:p>
    <w:p w14:paraId="2658C963">
      <w:pPr>
        <w:spacing w:line="360" w:lineRule="auto"/>
        <w:ind w:firstLine="482" w:firstLineChars="200"/>
        <w:outlineLvl w:val="1"/>
        <w:rPr>
          <w:rFonts w:ascii="宋体" w:hAnsi="宋体" w:eastAsia="宋体" w:cs="宋体"/>
          <w:b/>
          <w:sz w:val="24"/>
          <w:szCs w:val="24"/>
        </w:rPr>
      </w:pPr>
      <w:r>
        <w:rPr>
          <w:rFonts w:hint="eastAsia" w:ascii="宋体" w:hAnsi="宋体" w:eastAsia="宋体" w:cs="宋体"/>
          <w:b/>
          <w:sz w:val="24"/>
          <w:szCs w:val="24"/>
        </w:rPr>
        <w:t>二、招标文件的补充说明、澄清、修改、答疑</w:t>
      </w:r>
    </w:p>
    <w:p w14:paraId="35A36A5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1、代理机构有权对发出的招标文件进行必要的补充说明、澄清或修改。</w:t>
      </w:r>
    </w:p>
    <w:p w14:paraId="5CE0675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2、凡涉及招标文件的补充说明、澄清或修改，均以招标代理机构在“南通市崇川区人民政府网-公示公告栏”内发布的信息为准。</w:t>
      </w:r>
    </w:p>
    <w:p w14:paraId="36897745">
      <w:pPr>
        <w:spacing w:line="360" w:lineRule="auto"/>
        <w:ind w:firstLine="480" w:firstLineChars="200"/>
        <w:outlineLvl w:val="1"/>
        <w:rPr>
          <w:rFonts w:ascii="宋体" w:hAnsi="宋体" w:eastAsia="宋体" w:cs="宋体"/>
          <w:bCs/>
          <w:sz w:val="24"/>
          <w:szCs w:val="24"/>
        </w:rPr>
      </w:pPr>
      <w:r>
        <w:rPr>
          <w:rFonts w:hint="eastAsia" w:ascii="宋体" w:hAnsi="宋体" w:eastAsia="宋体" w:cs="宋体"/>
          <w:bCs/>
          <w:sz w:val="24"/>
          <w:szCs w:val="24"/>
        </w:rPr>
        <w:t>3、招标代理机构对招标文件的补充说明、澄清或修改，将构成本项目招标文件的一部分，对投标人具有约束力。</w:t>
      </w:r>
    </w:p>
    <w:p w14:paraId="13913BA1">
      <w:pPr>
        <w:spacing w:line="360" w:lineRule="auto"/>
        <w:ind w:firstLine="480" w:firstLineChars="200"/>
        <w:outlineLvl w:val="1"/>
        <w:rPr>
          <w:rFonts w:ascii="宋体" w:hAnsi="宋体" w:eastAsia="宋体" w:cs="宋体"/>
          <w:bCs/>
          <w:sz w:val="24"/>
          <w:szCs w:val="24"/>
        </w:rPr>
      </w:pPr>
      <w:r>
        <w:rPr>
          <w:rFonts w:hint="eastAsia" w:ascii="宋体" w:hAnsi="宋体" w:eastAsia="宋体" w:cs="宋体"/>
          <w:bCs/>
          <w:sz w:val="24"/>
          <w:szCs w:val="24"/>
        </w:rPr>
        <w:t>4、补充说明、澄清或修改的内容可能影响到响应文件编制的，招标代理机构将在首次提交投标文件截止日15天前，发布补充说明、澄清或修改公告。不足15日的，应当顺延首次提交投标文件截止之日，在这种情况下，招标代理机构和投标人的权利和义务将受到新的截止期的约束。</w:t>
      </w:r>
    </w:p>
    <w:p w14:paraId="0663F5C6">
      <w:pPr>
        <w:spacing w:line="360" w:lineRule="auto"/>
        <w:ind w:firstLine="480" w:firstLineChars="200"/>
        <w:outlineLvl w:val="1"/>
        <w:rPr>
          <w:rFonts w:ascii="宋体" w:hAnsi="宋体" w:eastAsia="宋体" w:cs="宋体"/>
          <w:bCs/>
          <w:sz w:val="24"/>
          <w:szCs w:val="24"/>
        </w:rPr>
      </w:pPr>
      <w:r>
        <w:rPr>
          <w:rFonts w:hint="eastAsia" w:ascii="宋体" w:hAnsi="宋体" w:eastAsia="宋体" w:cs="宋体"/>
          <w:bCs/>
          <w:sz w:val="24"/>
          <w:szCs w:val="24"/>
        </w:rPr>
        <w:t>5、除非招标代理机构以书面、公告的形式对招标文件作出澄清、修改、补充并通知到投标人，投标人对涉及招标文件的任何推论、理解和结论所造成的结果，均由投标人自负。</w:t>
      </w:r>
    </w:p>
    <w:p w14:paraId="394AD7AE">
      <w:pPr>
        <w:spacing w:line="360" w:lineRule="auto"/>
        <w:ind w:firstLine="480" w:firstLineChars="200"/>
        <w:outlineLvl w:val="1"/>
        <w:rPr>
          <w:rFonts w:ascii="宋体" w:hAnsi="宋体" w:eastAsia="宋体" w:cs="宋体"/>
          <w:b/>
          <w:sz w:val="24"/>
          <w:szCs w:val="24"/>
        </w:rPr>
      </w:pPr>
      <w:r>
        <w:rPr>
          <w:rFonts w:hint="eastAsia" w:ascii="宋体" w:hAnsi="宋体" w:eastAsia="宋体" w:cs="宋体"/>
          <w:bCs/>
          <w:sz w:val="24"/>
          <w:szCs w:val="24"/>
        </w:rPr>
        <w:t>6、招标人不组织答疑会。如有产生答疑且对招标文件内容有修改，招标代理机构将按照本须知有关规定，以补充通知（公告）的方式发出并通知投标人。</w:t>
      </w:r>
    </w:p>
    <w:p w14:paraId="3DE83F97">
      <w:pPr>
        <w:spacing w:line="360" w:lineRule="auto"/>
        <w:ind w:firstLine="482" w:firstLineChars="200"/>
        <w:outlineLvl w:val="1"/>
        <w:rPr>
          <w:rFonts w:ascii="宋体" w:hAnsi="宋体" w:eastAsia="宋体" w:cs="宋体"/>
          <w:b/>
          <w:sz w:val="24"/>
          <w:szCs w:val="24"/>
        </w:rPr>
      </w:pPr>
      <w:r>
        <w:rPr>
          <w:rFonts w:hint="eastAsia" w:ascii="宋体" w:hAnsi="宋体" w:eastAsia="宋体" w:cs="宋体"/>
          <w:b/>
          <w:sz w:val="24"/>
          <w:szCs w:val="24"/>
        </w:rPr>
        <w:t>三、词语释义</w:t>
      </w:r>
    </w:p>
    <w:p w14:paraId="2C77FC5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1、招标代理机构：具体组织实施招标活动的单位组织机构。</w:t>
      </w:r>
    </w:p>
    <w:p w14:paraId="4D7C062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2、投标人：响应招标并且符合招标文件规定资格条件的参加投标竞争的法人、其他组织或者自然人。</w:t>
      </w:r>
    </w:p>
    <w:p w14:paraId="22A7FAB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3、响应：投标人根据招标采购单位发布的招标文件，编制投标文件并按规定投标的行为。</w:t>
      </w:r>
    </w:p>
    <w:p w14:paraId="69FDB15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4、合同：采供双方根据招标文件和中标的投标文件及中标成交通知书规定的内容，而签署的以书面形式所达成的协议，包括所有的附件、附录和构成协议的所有文件。</w:t>
      </w:r>
    </w:p>
    <w:p w14:paraId="18AE83E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5、甲方(招标方)：合同中明确规定的实际购买货物和服务的法人或其他组织和自然人。</w:t>
      </w:r>
    </w:p>
    <w:p w14:paraId="06712CA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6、乙方(投标人)：合同中规定的向采购方提供货物和服务的法人或其他组织和自然人。</w:t>
      </w:r>
    </w:p>
    <w:p w14:paraId="0F1D546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7、货物：系指中标人按本招标文件要求规定的，应向招标人提供的一切设备、备品、备件、工具、手册及其它相关技术资料、材料等。</w:t>
      </w:r>
    </w:p>
    <w:p w14:paraId="4AF9907B">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8、服务：系指本次招标文件规定中标人应承担的与提供货物和服务有关的辅助、伴随服务，比如运输、保险、安装、调试、提供技术援助、培训、配合措施、维护维修响应及合同中规定</w:t>
      </w:r>
      <w:r>
        <w:rPr>
          <w:rFonts w:hint="eastAsia" w:ascii="宋体" w:hAnsi="宋体" w:eastAsia="宋体"/>
          <w:kern w:val="0"/>
          <w:sz w:val="24"/>
          <w:szCs w:val="24"/>
        </w:rPr>
        <w:t>中标人</w:t>
      </w:r>
      <w:r>
        <w:rPr>
          <w:rFonts w:hint="eastAsia" w:ascii="宋体" w:hAnsi="宋体" w:eastAsia="宋体" w:cs="宋体"/>
          <w:sz w:val="24"/>
          <w:szCs w:val="24"/>
        </w:rPr>
        <w:t>应承担的一切义务。</w:t>
      </w:r>
    </w:p>
    <w:p w14:paraId="1598768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9、天：日历日；工作日：指排除国家法定节假日外的其余日历日。</w:t>
      </w:r>
    </w:p>
    <w:p w14:paraId="1CBADD2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10、项目所在地：指本项目所在的南通地区。</w:t>
      </w:r>
    </w:p>
    <w:p w14:paraId="13C45F5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11、交货地点：合同中明确约定供方提交货物和服务的最终到达地点。</w:t>
      </w:r>
    </w:p>
    <w:p w14:paraId="428670F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12、施工地点：合同中明确约定的乙方施工的地点。</w:t>
      </w:r>
    </w:p>
    <w:p w14:paraId="274502B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13、合同价款：根据合同规定，供方在正确地履行合同义务后采购方应支付供方的价款。</w:t>
      </w:r>
    </w:p>
    <w:p w14:paraId="22CE3E8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14、产地：货物开采、生长、生产、最终制造、加工或提供服务的来源地。</w:t>
      </w:r>
    </w:p>
    <w:p w14:paraId="7F7FD76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15、不可抗力：不能预见、不能避免并且不能克服的客观情况。</w:t>
      </w:r>
    </w:p>
    <w:p w14:paraId="205CA6A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16、实质响应：满足有关本次采购标的、数量、质量、价款或者报酬、履行期限、履行地点和方式、违约责任和解决争议方法等招标文件规定的一切要求。</w:t>
      </w:r>
    </w:p>
    <w:p w14:paraId="497243C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17、进口产品、进口件：通过中国海关报关验放进入中国境内且产自关境外的产品。</w:t>
      </w:r>
    </w:p>
    <w:p w14:paraId="33C00B1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18、书面形式：指书面文字、合同书、信件和传真等可以有形地表现所载内容的形式。</w:t>
      </w:r>
    </w:p>
    <w:p w14:paraId="0B69401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19、知识产权：指专利权、商标权、著作权等无形财产专有权的统称。</w:t>
      </w:r>
    </w:p>
    <w:p w14:paraId="28B0B97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20、损失：指合同一方因不履行合同义务致使另一方及第三方遭受的各种损失及损害的费用，还包括但不限于守约方为减轻损害或维护权利而需支付的各种调查费用，差（车）旅费用、律师费用等。</w:t>
      </w:r>
    </w:p>
    <w:p w14:paraId="7942ADB6">
      <w:pPr>
        <w:spacing w:line="360" w:lineRule="auto"/>
        <w:ind w:firstLine="482" w:firstLineChars="200"/>
        <w:outlineLvl w:val="1"/>
        <w:rPr>
          <w:rFonts w:ascii="宋体" w:hAnsi="宋体" w:eastAsia="宋体" w:cs="宋体"/>
          <w:b/>
          <w:sz w:val="24"/>
          <w:szCs w:val="24"/>
        </w:rPr>
      </w:pPr>
      <w:r>
        <w:rPr>
          <w:rFonts w:hint="eastAsia" w:ascii="宋体" w:hAnsi="宋体" w:eastAsia="宋体" w:cs="宋体"/>
          <w:b/>
          <w:sz w:val="24"/>
          <w:szCs w:val="24"/>
        </w:rPr>
        <w:t>四、投标响应文件的组成及装订</w:t>
      </w:r>
    </w:p>
    <w:p w14:paraId="0CAAC490">
      <w:pPr>
        <w:spacing w:line="360" w:lineRule="auto"/>
        <w:ind w:firstLine="480" w:firstLineChars="200"/>
      </w:pPr>
      <w:r>
        <w:rPr>
          <w:rFonts w:hint="eastAsia" w:ascii="宋体" w:hAnsi="宋体" w:eastAsia="宋体" w:cs="宋体"/>
          <w:sz w:val="24"/>
          <w:szCs w:val="24"/>
        </w:rPr>
        <w:t>1、投标文件由：A资格审查文件、B技术标文件、C商务标文件共三部分组成（以下由文件序号代称）。</w:t>
      </w:r>
    </w:p>
    <w:p w14:paraId="788081D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w:t>
      </w:r>
      <w:r>
        <w:rPr>
          <w:rFonts w:hint="eastAsia" w:ascii="宋体" w:hAnsi="宋体" w:eastAsia="宋体" w:cs="宋体"/>
          <w:kern w:val="0"/>
          <w:sz w:val="24"/>
          <w:szCs w:val="24"/>
        </w:rPr>
        <w:t>人</w:t>
      </w:r>
      <w:r>
        <w:rPr>
          <w:rFonts w:hint="eastAsia" w:ascii="宋体" w:hAnsi="宋体" w:eastAsia="宋体" w:cs="宋体"/>
          <w:sz w:val="24"/>
          <w:szCs w:val="24"/>
        </w:rPr>
        <w:t>按投标文件组成顺序编写响应文件，并牢固装订成册。投标文件均需采用A4纸（图纸等除外）装订。不允许使用活页夹、拉杆夹、文件夹、塑料方便式书脊（插入式或穿孔式）装订。投标文件不得行间插字、涂改、增删，如修改错漏处，须经签署投标文件的投标人法人代表或其委托的代理人（以下称被授权人）签字（或盖章）并加盖公章。</w:t>
      </w:r>
    </w:p>
    <w:p w14:paraId="60778FB5">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3、商务标文件中的所有报价表，必须装订成册。</w:t>
      </w:r>
    </w:p>
    <w:p w14:paraId="509BB824">
      <w:pPr>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五、投标文件的份数和签署</w:t>
      </w:r>
    </w:p>
    <w:p w14:paraId="155CBACA">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1、投标文件中，A、B、C均为</w:t>
      </w:r>
      <w:r>
        <w:rPr>
          <w:rFonts w:hint="eastAsia" w:ascii="宋体" w:hAnsi="宋体" w:eastAsia="宋体" w:cs="宋体"/>
          <w:b/>
          <w:sz w:val="24"/>
          <w:szCs w:val="24"/>
        </w:rPr>
        <w:t>一份“正本”和两份“副本”。</w:t>
      </w:r>
    </w:p>
    <w:p w14:paraId="6EB90C2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2、在每一份投标文件上要明确标注项目名称、投标文件各自对应的名称、投标人全称、“正本”、“副本”字样，“正本”和“副本”若有差异，概以“正本”为准。</w:t>
      </w:r>
    </w:p>
    <w:p w14:paraId="0DFB52C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3、投标文件中的所有“正本”，须为打印的，其正文内容按招标文件要求进行签字盖章，“副本”可为“正本”的复印件。</w:t>
      </w:r>
    </w:p>
    <w:p w14:paraId="2462E6C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4、开标程序顺利进行后，所有投标文件都将作为档案保存，不论成交与否，代理机构均不退回（未拆封的除外）。</w:t>
      </w:r>
    </w:p>
    <w:p w14:paraId="3FD8236B">
      <w:pPr>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六、投标文件的密封及标记</w:t>
      </w:r>
    </w:p>
    <w:p w14:paraId="3340034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1、投标人须将本项目投标文件：A、B、C</w:t>
      </w:r>
      <w:r>
        <w:rPr>
          <w:rFonts w:hint="eastAsia" w:ascii="宋体" w:hAnsi="宋体" w:eastAsia="宋体" w:cs="宋体"/>
          <w:b/>
          <w:sz w:val="24"/>
          <w:szCs w:val="24"/>
        </w:rPr>
        <w:t>分别单独密封,单独递交</w:t>
      </w:r>
      <w:r>
        <w:rPr>
          <w:rFonts w:hint="eastAsia" w:ascii="宋体" w:hAnsi="宋体" w:eastAsia="宋体" w:cs="宋体"/>
          <w:sz w:val="24"/>
          <w:szCs w:val="24"/>
        </w:rPr>
        <w:t>。</w:t>
      </w:r>
    </w:p>
    <w:p w14:paraId="43A87C3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2、密封后，应在每一密封的投标文件上明确标注投标项目名称、投标文件各自对应的名称、投标人全称及日期，同时加盖投标人公章。</w:t>
      </w:r>
    </w:p>
    <w:p w14:paraId="5AF9804E">
      <w:pPr>
        <w:spacing w:line="360" w:lineRule="auto"/>
        <w:ind w:firstLine="482" w:firstLineChars="200"/>
        <w:rPr>
          <w:rFonts w:ascii="宋体" w:hAnsi="宋体" w:eastAsia="宋体" w:cs="宋体"/>
          <w:sz w:val="24"/>
          <w:szCs w:val="24"/>
        </w:rPr>
      </w:pPr>
      <w:r>
        <w:rPr>
          <w:rFonts w:hint="eastAsia" w:ascii="宋体" w:hAnsi="宋体" w:eastAsia="宋体" w:cs="宋体"/>
          <w:b/>
          <w:sz w:val="24"/>
          <w:szCs w:val="24"/>
        </w:rPr>
        <w:t>特别提醒：</w:t>
      </w:r>
      <w:r>
        <w:rPr>
          <w:rFonts w:hint="eastAsia" w:ascii="宋体" w:hAnsi="宋体" w:eastAsia="宋体" w:cs="宋体"/>
          <w:sz w:val="24"/>
          <w:szCs w:val="24"/>
        </w:rPr>
        <w:t>投标文件中A或B的“正本”或“副本”中，均不得含有任何商务标文件中的报价表（报价单）的内容，否则作无效标处理。</w:t>
      </w:r>
    </w:p>
    <w:p w14:paraId="663F3D4D">
      <w:pPr>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七、投标文件的有效期</w:t>
      </w:r>
    </w:p>
    <w:p w14:paraId="35A097C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1、自开标日起</w:t>
      </w:r>
      <w:r>
        <w:rPr>
          <w:rFonts w:hint="eastAsia" w:ascii="宋体" w:hAnsi="宋体" w:eastAsia="宋体" w:cs="宋体"/>
          <w:b/>
          <w:sz w:val="24"/>
          <w:szCs w:val="24"/>
          <w:u w:val="single"/>
        </w:rPr>
        <w:t>90个</w:t>
      </w:r>
      <w:r>
        <w:rPr>
          <w:rFonts w:hint="eastAsia" w:ascii="宋体" w:hAnsi="宋体" w:eastAsia="宋体" w:cs="宋体"/>
          <w:sz w:val="24"/>
          <w:szCs w:val="24"/>
          <w:u w:val="single"/>
        </w:rPr>
        <w:t>日历天</w:t>
      </w:r>
      <w:r>
        <w:rPr>
          <w:rFonts w:hint="eastAsia" w:ascii="宋体" w:hAnsi="宋体" w:eastAsia="宋体" w:cs="宋体"/>
          <w:sz w:val="24"/>
          <w:szCs w:val="24"/>
        </w:rPr>
        <w:t>，投标书应保持有效。有效期短于这个规定期限的投标，将被拒绝。</w:t>
      </w:r>
    </w:p>
    <w:p w14:paraId="5977328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在特殊情况下，招标代理机构可与投标人协商延长投标书的有效期。这种要求和答复都应以书面、传真、或电报的形式进行。同意延长有效期的投标人不能修改投标文件，按本须知规定的投标保证金的有效期也相应延长。</w:t>
      </w:r>
    </w:p>
    <w:p w14:paraId="2C41102A">
      <w:pPr>
        <w:spacing w:line="360" w:lineRule="auto"/>
        <w:ind w:firstLine="482" w:firstLineChars="200"/>
        <w:outlineLvl w:val="1"/>
        <w:rPr>
          <w:rFonts w:ascii="宋体" w:hAnsi="宋体" w:eastAsia="宋体" w:cs="宋体"/>
          <w:b/>
          <w:sz w:val="24"/>
          <w:szCs w:val="24"/>
        </w:rPr>
      </w:pPr>
      <w:r>
        <w:rPr>
          <w:rFonts w:hint="eastAsia" w:ascii="宋体" w:hAnsi="宋体" w:eastAsia="宋体" w:cs="宋体"/>
          <w:b/>
          <w:sz w:val="24"/>
          <w:szCs w:val="24"/>
        </w:rPr>
        <w:t>八、投标响应文件内容</w:t>
      </w:r>
    </w:p>
    <w:p w14:paraId="436AF699">
      <w:pPr>
        <w:spacing w:line="360" w:lineRule="auto"/>
        <w:ind w:firstLine="482" w:firstLineChars="200"/>
        <w:outlineLvl w:val="2"/>
        <w:rPr>
          <w:rFonts w:ascii="宋体" w:hAnsi="宋体" w:eastAsia="宋体" w:cs="宋体"/>
          <w:sz w:val="24"/>
          <w:szCs w:val="24"/>
        </w:rPr>
      </w:pPr>
      <w:r>
        <w:rPr>
          <w:rFonts w:hint="eastAsia" w:ascii="宋体" w:hAnsi="宋体" w:eastAsia="宋体" w:cs="宋体"/>
          <w:b/>
          <w:sz w:val="24"/>
          <w:szCs w:val="24"/>
        </w:rPr>
        <w:t>A、资格审查文件（详见第九章）；</w:t>
      </w:r>
    </w:p>
    <w:p w14:paraId="00C46955">
      <w:pPr>
        <w:spacing w:line="360" w:lineRule="auto"/>
        <w:ind w:firstLine="482" w:firstLineChars="200"/>
        <w:outlineLvl w:val="2"/>
        <w:rPr>
          <w:rFonts w:ascii="宋体" w:hAnsi="宋体" w:eastAsia="宋体" w:cs="宋体"/>
          <w:b/>
          <w:sz w:val="24"/>
          <w:szCs w:val="24"/>
        </w:rPr>
      </w:pPr>
      <w:r>
        <w:rPr>
          <w:rFonts w:hint="eastAsia" w:ascii="宋体" w:hAnsi="宋体" w:eastAsia="宋体" w:cs="宋体"/>
          <w:b/>
          <w:sz w:val="24"/>
          <w:szCs w:val="24"/>
        </w:rPr>
        <w:t>B、技术标文件（详见第九章）；</w:t>
      </w:r>
    </w:p>
    <w:p w14:paraId="53D2A62D">
      <w:pPr>
        <w:spacing w:line="360" w:lineRule="auto"/>
        <w:ind w:firstLine="482" w:firstLineChars="200"/>
        <w:outlineLvl w:val="2"/>
        <w:rPr>
          <w:rFonts w:ascii="宋体" w:hAnsi="宋体" w:eastAsia="宋体" w:cs="宋体"/>
          <w:b/>
          <w:sz w:val="24"/>
          <w:szCs w:val="24"/>
        </w:rPr>
      </w:pPr>
      <w:r>
        <w:rPr>
          <w:rFonts w:hint="eastAsia" w:ascii="宋体" w:hAnsi="宋体" w:eastAsia="宋体" w:cs="宋体"/>
          <w:b/>
          <w:sz w:val="24"/>
          <w:szCs w:val="24"/>
        </w:rPr>
        <w:t>C、商务标文件（详见第九章）；</w:t>
      </w:r>
    </w:p>
    <w:p w14:paraId="2EBA9893">
      <w:pPr>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九、</w:t>
      </w:r>
      <w:r>
        <w:rPr>
          <w:rFonts w:hint="eastAsia" w:ascii="宋体" w:hAnsi="宋体" w:eastAsia="宋体" w:cs="宋体"/>
          <w:b/>
          <w:bCs/>
          <w:sz w:val="24"/>
          <w:szCs w:val="24"/>
          <w:u w:val="single"/>
        </w:rPr>
        <w:t>不接收</w:t>
      </w:r>
      <w:r>
        <w:rPr>
          <w:rFonts w:hint="eastAsia" w:ascii="宋体" w:hAnsi="宋体" w:eastAsia="宋体" w:cs="宋体"/>
          <w:b/>
          <w:bCs/>
          <w:sz w:val="24"/>
          <w:szCs w:val="24"/>
        </w:rPr>
        <w:t>联合体投标</w:t>
      </w:r>
    </w:p>
    <w:p w14:paraId="5B4CAD92">
      <w:pPr>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十、投标文件递交时间及地址</w:t>
      </w:r>
    </w:p>
    <w:p w14:paraId="6E8DE40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1、投标人必须在</w:t>
      </w:r>
      <w:r>
        <w:rPr>
          <w:rFonts w:hint="eastAsia" w:ascii="宋体" w:hAnsi="宋体" w:eastAsia="宋体" w:cs="宋体"/>
          <w:b/>
          <w:sz w:val="24"/>
          <w:szCs w:val="24"/>
          <w:u w:val="single"/>
        </w:rPr>
        <w:t xml:space="preserve"> 202</w:t>
      </w:r>
      <w:r>
        <w:rPr>
          <w:rFonts w:ascii="宋体" w:hAnsi="宋体" w:eastAsia="宋体" w:cs="宋体"/>
          <w:b/>
          <w:sz w:val="24"/>
          <w:szCs w:val="24"/>
          <w:u w:val="single"/>
        </w:rPr>
        <w:t>5</w:t>
      </w:r>
      <w:r>
        <w:rPr>
          <w:rFonts w:hint="eastAsia" w:ascii="宋体" w:hAnsi="宋体" w:eastAsia="宋体" w:cs="宋体"/>
          <w:b/>
          <w:sz w:val="24"/>
          <w:szCs w:val="24"/>
          <w:u w:val="single"/>
        </w:rPr>
        <w:t>年1月</w:t>
      </w:r>
      <w:r>
        <w:rPr>
          <w:rFonts w:ascii="宋体" w:hAnsi="宋体" w:eastAsia="宋体" w:cs="宋体"/>
          <w:b/>
          <w:sz w:val="24"/>
          <w:szCs w:val="24"/>
          <w:u w:val="single"/>
        </w:rPr>
        <w:t>10</w:t>
      </w:r>
      <w:r>
        <w:rPr>
          <w:rFonts w:hint="eastAsia" w:ascii="宋体" w:hAnsi="宋体" w:eastAsia="宋体" w:cs="宋体"/>
          <w:b/>
          <w:sz w:val="24"/>
          <w:szCs w:val="24"/>
          <w:u w:val="single"/>
        </w:rPr>
        <w:t>日14时00分前</w:t>
      </w:r>
      <w:r>
        <w:rPr>
          <w:rFonts w:hint="eastAsia" w:ascii="宋体" w:hAnsi="宋体" w:eastAsia="宋体" w:cs="宋体"/>
          <w:sz w:val="24"/>
          <w:szCs w:val="24"/>
        </w:rPr>
        <w:t>，将投标文件送达指定地点，拒绝接收在截止时间后递交的投标文件。</w:t>
      </w:r>
    </w:p>
    <w:p w14:paraId="7151F49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2、地址：</w:t>
      </w:r>
      <w:r>
        <w:rPr>
          <w:rFonts w:hint="eastAsia" w:ascii="宋体" w:hAnsi="宋体" w:eastAsia="宋体" w:cs="宋体"/>
          <w:sz w:val="24"/>
          <w:szCs w:val="24"/>
          <w:u w:val="single"/>
        </w:rPr>
        <w:t xml:space="preserve"> </w:t>
      </w:r>
      <w:r>
        <w:rPr>
          <w:rFonts w:hint="eastAsia" w:asciiTheme="minorEastAsia" w:hAnsiTheme="minorEastAsia" w:eastAsiaTheme="minorEastAsia" w:cstheme="minorEastAsia"/>
          <w:b/>
          <w:bCs/>
          <w:sz w:val="24"/>
          <w:szCs w:val="24"/>
          <w:u w:val="single"/>
        </w:rPr>
        <w:t>崇川路一号建发集团二楼会议室</w:t>
      </w:r>
      <w:r>
        <w:rPr>
          <w:rFonts w:hint="eastAsia" w:ascii="宋体" w:hAnsi="宋体" w:eastAsia="宋体" w:cs="宋体"/>
          <w:sz w:val="24"/>
          <w:szCs w:val="24"/>
          <w:u w:val="single"/>
        </w:rPr>
        <w:t xml:space="preserve"> </w:t>
      </w:r>
      <w:r>
        <w:rPr>
          <w:rFonts w:hint="eastAsia" w:ascii="宋体" w:hAnsi="宋体" w:eastAsia="宋体" w:cs="宋体"/>
          <w:sz w:val="24"/>
          <w:szCs w:val="24"/>
        </w:rPr>
        <w:t>，如有变动另行通知。</w:t>
      </w:r>
    </w:p>
    <w:p w14:paraId="1C010379">
      <w:pPr>
        <w:spacing w:line="360" w:lineRule="auto"/>
        <w:ind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十一、开标评审时间及地址</w:t>
      </w:r>
    </w:p>
    <w:p w14:paraId="61A9F8E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1、开标时间：</w:t>
      </w:r>
      <w:r>
        <w:rPr>
          <w:rFonts w:hint="eastAsia" w:ascii="宋体" w:hAnsi="宋体" w:eastAsia="宋体" w:cs="宋体"/>
          <w:b/>
          <w:sz w:val="24"/>
          <w:szCs w:val="24"/>
          <w:u w:val="single"/>
        </w:rPr>
        <w:t>202</w:t>
      </w:r>
      <w:r>
        <w:rPr>
          <w:rFonts w:ascii="宋体" w:hAnsi="宋体" w:eastAsia="宋体" w:cs="宋体"/>
          <w:b/>
          <w:sz w:val="24"/>
          <w:szCs w:val="24"/>
          <w:u w:val="single"/>
        </w:rPr>
        <w:t>5</w:t>
      </w:r>
      <w:r>
        <w:rPr>
          <w:rFonts w:hint="eastAsia" w:ascii="宋体" w:hAnsi="宋体" w:eastAsia="宋体" w:cs="宋体"/>
          <w:b/>
          <w:sz w:val="24"/>
          <w:szCs w:val="24"/>
          <w:u w:val="single"/>
        </w:rPr>
        <w:t>年1月</w:t>
      </w:r>
      <w:r>
        <w:rPr>
          <w:rFonts w:ascii="宋体" w:hAnsi="宋体" w:eastAsia="宋体" w:cs="宋体"/>
          <w:b/>
          <w:sz w:val="24"/>
          <w:szCs w:val="24"/>
          <w:u w:val="single"/>
        </w:rPr>
        <w:t>10</w:t>
      </w:r>
      <w:r>
        <w:rPr>
          <w:rFonts w:hint="eastAsia" w:ascii="宋体" w:hAnsi="宋体" w:eastAsia="宋体" w:cs="宋体"/>
          <w:b/>
          <w:sz w:val="24"/>
          <w:szCs w:val="24"/>
          <w:u w:val="single"/>
        </w:rPr>
        <w:t xml:space="preserve">日14时00分（北京时间） </w:t>
      </w:r>
      <w:r>
        <w:rPr>
          <w:rFonts w:hint="eastAsia" w:ascii="宋体" w:hAnsi="宋体" w:eastAsia="宋体" w:cs="宋体"/>
          <w:b/>
          <w:sz w:val="24"/>
          <w:szCs w:val="24"/>
        </w:rPr>
        <w:t>。</w:t>
      </w:r>
    </w:p>
    <w:p w14:paraId="3E2E2FB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2、地址：</w:t>
      </w:r>
      <w:r>
        <w:rPr>
          <w:rFonts w:hint="eastAsia" w:ascii="宋体" w:hAnsi="宋体" w:eastAsia="宋体" w:cs="宋体"/>
          <w:b/>
          <w:bCs/>
          <w:sz w:val="24"/>
          <w:szCs w:val="24"/>
          <w:u w:val="single"/>
        </w:rPr>
        <w:t xml:space="preserve"> </w:t>
      </w:r>
      <w:r>
        <w:rPr>
          <w:rFonts w:hint="eastAsia" w:asciiTheme="minorEastAsia" w:hAnsiTheme="minorEastAsia" w:eastAsiaTheme="minorEastAsia" w:cstheme="minorEastAsia"/>
          <w:b/>
          <w:bCs/>
          <w:sz w:val="24"/>
          <w:szCs w:val="24"/>
          <w:u w:val="single"/>
        </w:rPr>
        <w:t>崇川路一号建发集团二楼会议室</w:t>
      </w:r>
      <w:r>
        <w:rPr>
          <w:rFonts w:hint="eastAsia" w:ascii="宋体" w:hAnsi="宋体" w:eastAsia="宋体" w:cs="宋体"/>
          <w:sz w:val="24"/>
          <w:szCs w:val="24"/>
        </w:rPr>
        <w:t>，如有变动另行通知。</w:t>
      </w:r>
    </w:p>
    <w:p w14:paraId="1A58A23E">
      <w:pPr>
        <w:spacing w:line="360" w:lineRule="auto"/>
        <w:ind w:firstLine="482" w:firstLineChars="200"/>
        <w:outlineLvl w:val="1"/>
        <w:rPr>
          <w:rFonts w:ascii="宋体" w:hAnsi="宋体" w:eastAsia="宋体" w:cs="宋体"/>
          <w:b/>
          <w:sz w:val="24"/>
          <w:szCs w:val="24"/>
        </w:rPr>
      </w:pPr>
      <w:r>
        <w:rPr>
          <w:rFonts w:hint="eastAsia" w:ascii="宋体" w:hAnsi="宋体" w:eastAsia="宋体" w:cs="宋体"/>
          <w:b/>
          <w:bCs/>
          <w:sz w:val="24"/>
          <w:szCs w:val="24"/>
        </w:rPr>
        <w:t>十二、</w:t>
      </w:r>
      <w:r>
        <w:rPr>
          <w:rFonts w:hint="eastAsia" w:ascii="宋体" w:hAnsi="宋体" w:eastAsia="宋体" w:cs="宋体"/>
          <w:b/>
          <w:sz w:val="24"/>
          <w:szCs w:val="24"/>
        </w:rPr>
        <w:t>投标报价</w:t>
      </w:r>
    </w:p>
    <w:p w14:paraId="23C4F34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1、本项目不接受任何有选择的报价。</w:t>
      </w:r>
    </w:p>
    <w:p w14:paraId="1F1785A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2、投标报价均以人民币为报价的货币单位。</w:t>
      </w:r>
    </w:p>
    <w:p w14:paraId="4C12DBB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3、报价表必须加盖投标人公章且必须经法定代表人或其委托授权人签署。</w:t>
      </w:r>
    </w:p>
    <w:p w14:paraId="0ABC9E0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4、总价和明细价的大小写金额必须一致，若有差异，以大写为准。</w:t>
      </w:r>
    </w:p>
    <w:p w14:paraId="12CDA99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5、报价总价金额与按单价汇总金额不一致的，以单价金额计算结果为准。</w:t>
      </w:r>
    </w:p>
    <w:p w14:paraId="13C4EDF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6、投标报价应包含项：</w:t>
      </w:r>
      <w:r>
        <w:rPr>
          <w:rFonts w:hint="eastAsia" w:ascii="宋体" w:hAnsi="宋体" w:eastAsia="宋体" w:cs="宋体"/>
          <w:kern w:val="0"/>
          <w:sz w:val="24"/>
          <w:szCs w:val="24"/>
        </w:rPr>
        <w:t>所有的设备使用费、材料费、人员培训费用、税费、售后服务、为完成本项目所必须的其他辅助工作的相关费用等所有费用，即项目履行到项目执行结束的过程中所发生的一切费用及招标文件要求的所有费用。</w:t>
      </w:r>
    </w:p>
    <w:p w14:paraId="6E91282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7、招标文件未列明，而投标人认为必需的费用可列入报价，但须包含在投标报价内。项目投标报价：包括买方项目需求所涉及的所有费用，项目单价按配置及明细报价表中各分项要求填报。</w:t>
      </w:r>
    </w:p>
    <w:p w14:paraId="3600984A">
      <w:pPr>
        <w:spacing w:line="360" w:lineRule="auto"/>
        <w:ind w:firstLine="480" w:firstLineChars="200"/>
        <w:rPr>
          <w:rFonts w:ascii="宋体" w:hAnsi="宋体" w:eastAsia="宋体" w:cs="宋体"/>
          <w:b/>
          <w:sz w:val="24"/>
          <w:szCs w:val="24"/>
        </w:rPr>
      </w:pPr>
      <w:r>
        <w:rPr>
          <w:rFonts w:hint="eastAsia" w:ascii="宋体" w:hAnsi="宋体" w:eastAsia="宋体" w:cs="宋体"/>
          <w:sz w:val="24"/>
          <w:szCs w:val="24"/>
        </w:rPr>
        <w:t>8、投标报价为最终报价，即</w:t>
      </w:r>
      <w:r>
        <w:rPr>
          <w:rFonts w:hint="eastAsia" w:ascii="宋体" w:hAnsi="宋体" w:eastAsia="宋体" w:cs="宋体"/>
          <w:b/>
          <w:sz w:val="24"/>
          <w:szCs w:val="24"/>
        </w:rPr>
        <w:t>本次招标项目仅为一次报价。</w:t>
      </w:r>
    </w:p>
    <w:p w14:paraId="1EA3D97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9、除非因特殊原因并经买卖双方协商同意，中标的投标人（以下称</w:t>
      </w:r>
      <w:r>
        <w:rPr>
          <w:rFonts w:hint="eastAsia" w:ascii="宋体" w:hAnsi="宋体" w:eastAsia="宋体"/>
          <w:kern w:val="0"/>
          <w:sz w:val="24"/>
          <w:szCs w:val="24"/>
        </w:rPr>
        <w:t>中标人</w:t>
      </w:r>
      <w:r>
        <w:rPr>
          <w:rFonts w:hint="eastAsia" w:ascii="宋体" w:hAnsi="宋体" w:eastAsia="宋体" w:cs="宋体"/>
          <w:sz w:val="24"/>
          <w:szCs w:val="24"/>
        </w:rPr>
        <w:t>）不得再要求追加任何费用。同时，除非合同条款中另有规定，否则，</w:t>
      </w:r>
      <w:r>
        <w:rPr>
          <w:rFonts w:hint="eastAsia" w:ascii="宋体" w:hAnsi="宋体" w:eastAsia="宋体"/>
          <w:kern w:val="0"/>
          <w:sz w:val="24"/>
          <w:szCs w:val="24"/>
        </w:rPr>
        <w:t>中标人</w:t>
      </w:r>
      <w:r>
        <w:rPr>
          <w:rFonts w:hint="eastAsia" w:ascii="宋体" w:hAnsi="宋体" w:eastAsia="宋体" w:cs="宋体"/>
          <w:sz w:val="24"/>
          <w:szCs w:val="24"/>
        </w:rPr>
        <w:t>的中标单价在合同实施期间不因市场变化因素而变动。</w:t>
      </w:r>
    </w:p>
    <w:p w14:paraId="0FE2308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10、最低的报价是中标的重要条件，但不是中标的唯一条件。</w:t>
      </w:r>
    </w:p>
    <w:p w14:paraId="25F12A8B">
      <w:pPr>
        <w:spacing w:line="360" w:lineRule="auto"/>
        <w:ind w:firstLine="482" w:firstLineChars="200"/>
        <w:outlineLvl w:val="1"/>
        <w:rPr>
          <w:rFonts w:ascii="宋体" w:hAnsi="宋体" w:eastAsia="宋体" w:cs="宋体"/>
          <w:b/>
          <w:sz w:val="24"/>
          <w:szCs w:val="24"/>
        </w:rPr>
      </w:pPr>
      <w:r>
        <w:rPr>
          <w:rFonts w:hint="eastAsia" w:ascii="宋体" w:hAnsi="宋体" w:eastAsia="宋体" w:cs="宋体"/>
          <w:b/>
          <w:sz w:val="24"/>
          <w:szCs w:val="24"/>
        </w:rPr>
        <w:t>十三、投标保证金</w:t>
      </w:r>
    </w:p>
    <w:p w14:paraId="08455E9C">
      <w:pPr>
        <w:snapToGrid w:val="0"/>
        <w:spacing w:line="420" w:lineRule="exact"/>
        <w:ind w:left="-3" w:leftChars="-1" w:firstLine="431"/>
        <w:outlineLvl w:val="1"/>
        <w:rPr>
          <w:rFonts w:ascii="宋体" w:hAnsi="宋体" w:eastAsia="宋体" w:cs="宋体"/>
          <w:sz w:val="24"/>
          <w:szCs w:val="24"/>
        </w:rPr>
      </w:pPr>
      <w:r>
        <w:rPr>
          <w:rFonts w:hint="eastAsia" w:ascii="宋体" w:hAnsi="宋体" w:eastAsia="宋体" w:cs="宋体"/>
          <w:sz w:val="24"/>
          <w:szCs w:val="24"/>
        </w:rPr>
        <w:t>1、本次投标保证金为</w:t>
      </w:r>
      <w:r>
        <w:rPr>
          <w:rFonts w:hint="eastAsia" w:ascii="宋体" w:hAnsi="宋体" w:eastAsia="宋体" w:cs="宋体"/>
          <w:b/>
          <w:sz w:val="24"/>
          <w:szCs w:val="24"/>
        </w:rPr>
        <w:t>：</w:t>
      </w:r>
      <w:r>
        <w:rPr>
          <w:rFonts w:hint="eastAsia" w:ascii="宋体" w:hAnsi="宋体" w:eastAsia="宋体" w:cs="宋体"/>
          <w:b/>
          <w:sz w:val="24"/>
          <w:szCs w:val="24"/>
          <w:u w:val="single"/>
        </w:rPr>
        <w:t>壹万元整（</w:t>
      </w:r>
      <w:r>
        <w:rPr>
          <w:rFonts w:ascii="宋体" w:hAnsi="宋体" w:eastAsia="宋体" w:cs="宋体"/>
          <w:b/>
          <w:sz w:val="24"/>
          <w:szCs w:val="24"/>
          <w:u w:val="single"/>
        </w:rPr>
        <w:t>10</w:t>
      </w:r>
      <w:r>
        <w:rPr>
          <w:rFonts w:hint="eastAsia" w:ascii="宋体" w:hAnsi="宋体" w:eastAsia="宋体" w:cs="宋体"/>
          <w:b/>
          <w:sz w:val="24"/>
          <w:szCs w:val="24"/>
          <w:u w:val="single"/>
        </w:rPr>
        <w:t>000元</w:t>
      </w:r>
      <w:r>
        <w:rPr>
          <w:rFonts w:hint="eastAsia" w:ascii="宋体" w:hAnsi="宋体" w:eastAsia="宋体" w:cs="宋体"/>
          <w:sz w:val="24"/>
          <w:szCs w:val="24"/>
          <w:u w:val="single"/>
        </w:rPr>
        <w:t>），</w:t>
      </w:r>
      <w:r>
        <w:rPr>
          <w:rFonts w:hint="eastAsia" w:ascii="宋体" w:hAnsi="宋体" w:eastAsia="宋体" w:cs="宋体"/>
          <w:sz w:val="24"/>
          <w:szCs w:val="24"/>
        </w:rPr>
        <w:t>投标保证金金额在本项目递交投标文件截止时间前缴纳。</w:t>
      </w:r>
    </w:p>
    <w:p w14:paraId="5E7FB8F8">
      <w:pPr>
        <w:snapToGrid w:val="0"/>
        <w:spacing w:line="420" w:lineRule="exact"/>
        <w:ind w:left="-3" w:leftChars="-1" w:firstLine="431"/>
        <w:outlineLvl w:val="1"/>
        <w:rPr>
          <w:rFonts w:ascii="宋体" w:hAnsi="宋体" w:eastAsia="宋体" w:cs="宋体"/>
          <w:sz w:val="24"/>
          <w:szCs w:val="24"/>
        </w:rPr>
      </w:pPr>
      <w:r>
        <w:rPr>
          <w:rFonts w:hint="eastAsia" w:ascii="宋体" w:hAnsi="宋体" w:eastAsia="宋体" w:cs="宋体"/>
          <w:sz w:val="24"/>
          <w:szCs w:val="24"/>
        </w:rPr>
        <w:t>2、递交形式：转账、电汇、网银，银行保函、接受现金等形式。各投标人根据企业实际情况合理选择投标保证金的缴纳形式，各类缴纳形式具有同等法律效力。</w:t>
      </w:r>
    </w:p>
    <w:p w14:paraId="511E5742">
      <w:pPr>
        <w:snapToGrid w:val="0"/>
        <w:spacing w:line="420" w:lineRule="exact"/>
        <w:ind w:left="-3" w:leftChars="-1" w:firstLine="431"/>
        <w:outlineLvl w:val="1"/>
        <w:rPr>
          <w:rFonts w:ascii="宋体" w:hAnsi="宋体" w:eastAsia="宋体" w:cs="宋体"/>
          <w:sz w:val="24"/>
          <w:szCs w:val="24"/>
        </w:rPr>
      </w:pPr>
      <w:r>
        <w:rPr>
          <w:rFonts w:hint="eastAsia" w:ascii="宋体" w:hAnsi="宋体" w:eastAsia="宋体" w:cs="宋体"/>
          <w:sz w:val="24"/>
          <w:szCs w:val="24"/>
        </w:rPr>
        <w:t>帐户名：南通天一置业有限公司</w:t>
      </w:r>
    </w:p>
    <w:p w14:paraId="053437E8">
      <w:pPr>
        <w:snapToGrid w:val="0"/>
        <w:spacing w:line="420" w:lineRule="exact"/>
        <w:ind w:left="-3" w:leftChars="-1" w:firstLine="431"/>
        <w:outlineLvl w:val="1"/>
        <w:rPr>
          <w:rFonts w:ascii="宋体" w:hAnsi="宋体" w:eastAsia="宋体" w:cs="宋体"/>
          <w:sz w:val="24"/>
          <w:szCs w:val="24"/>
        </w:rPr>
      </w:pPr>
      <w:r>
        <w:rPr>
          <w:rFonts w:hint="eastAsia" w:ascii="宋体" w:hAnsi="宋体" w:eastAsia="宋体" w:cs="宋体"/>
          <w:sz w:val="24"/>
          <w:szCs w:val="24"/>
        </w:rPr>
        <w:t>开户行：</w:t>
      </w:r>
      <w:r>
        <w:rPr>
          <w:rFonts w:ascii="宋体" w:hAnsi="宋体" w:eastAsia="宋体" w:cs="宋体"/>
          <w:sz w:val="24"/>
          <w:szCs w:val="24"/>
        </w:rPr>
        <w:t xml:space="preserve"> </w:t>
      </w:r>
      <w:r>
        <w:rPr>
          <w:rFonts w:hint="eastAsia" w:ascii="宋体" w:hAnsi="宋体" w:eastAsia="宋体" w:cs="宋体"/>
          <w:sz w:val="24"/>
          <w:szCs w:val="24"/>
        </w:rPr>
        <w:t>中国银行股份有限公司南通解放坝支行</w:t>
      </w:r>
    </w:p>
    <w:p w14:paraId="5AE24FD6">
      <w:pPr>
        <w:snapToGrid w:val="0"/>
        <w:spacing w:line="420" w:lineRule="exact"/>
        <w:ind w:left="-3" w:leftChars="-1" w:firstLine="431"/>
        <w:outlineLvl w:val="1"/>
        <w:rPr>
          <w:rFonts w:ascii="宋体" w:hAnsi="宋体" w:eastAsia="宋体" w:cs="宋体"/>
          <w:sz w:val="24"/>
          <w:szCs w:val="24"/>
        </w:rPr>
      </w:pPr>
      <w:r>
        <w:rPr>
          <w:rFonts w:hint="eastAsia" w:ascii="宋体" w:hAnsi="宋体" w:eastAsia="宋体" w:cs="宋体"/>
          <w:sz w:val="24"/>
          <w:szCs w:val="24"/>
        </w:rPr>
        <w:t>账号：</w:t>
      </w:r>
      <w:r>
        <w:rPr>
          <w:rFonts w:ascii="宋体" w:hAnsi="宋体" w:eastAsia="宋体" w:cs="宋体"/>
          <w:sz w:val="24"/>
          <w:szCs w:val="24"/>
        </w:rPr>
        <w:t>549558202732</w:t>
      </w:r>
    </w:p>
    <w:p w14:paraId="61A93EB3">
      <w:pPr>
        <w:snapToGrid w:val="0"/>
        <w:spacing w:line="420" w:lineRule="exact"/>
        <w:ind w:left="-3" w:leftChars="-1" w:firstLine="431"/>
        <w:outlineLvl w:val="1"/>
        <w:rPr>
          <w:rFonts w:ascii="宋体" w:hAnsi="宋体" w:eastAsia="宋体" w:cs="宋体"/>
          <w:sz w:val="24"/>
          <w:szCs w:val="24"/>
        </w:rPr>
      </w:pPr>
      <w:r>
        <w:rPr>
          <w:rFonts w:hint="eastAsia" w:ascii="宋体" w:hAnsi="宋体" w:eastAsia="宋体" w:cs="宋体"/>
          <w:sz w:val="24"/>
          <w:szCs w:val="24"/>
        </w:rPr>
        <w:t>保证金请备注项目名称、用途，用途统一填写：</w:t>
      </w:r>
      <w:r>
        <w:rPr>
          <w:rFonts w:hint="eastAsia" w:ascii="宋体" w:hAnsi="宋体" w:eastAsia="宋体" w:cs="宋体"/>
          <w:b/>
          <w:bCs/>
          <w:sz w:val="24"/>
          <w:szCs w:val="24"/>
        </w:rPr>
        <w:t>投标保证金。</w:t>
      </w:r>
    </w:p>
    <w:p w14:paraId="34BD2A7F">
      <w:pPr>
        <w:numPr>
          <w:ilvl w:val="0"/>
          <w:numId w:val="3"/>
        </w:numPr>
        <w:snapToGrid w:val="0"/>
        <w:spacing w:line="420" w:lineRule="exact"/>
        <w:ind w:left="-3" w:leftChars="-1" w:firstLine="431"/>
        <w:outlineLvl w:val="1"/>
        <w:rPr>
          <w:rFonts w:ascii="宋体" w:hAnsi="宋体" w:eastAsia="宋体" w:cs="宋体"/>
          <w:b/>
          <w:bCs/>
          <w:sz w:val="24"/>
          <w:szCs w:val="24"/>
        </w:rPr>
      </w:pPr>
      <w:r>
        <w:rPr>
          <w:rFonts w:hint="eastAsia" w:ascii="宋体" w:hAnsi="宋体" w:eastAsia="宋体" w:cs="宋体"/>
          <w:b/>
          <w:sz w:val="24"/>
          <w:szCs w:val="24"/>
        </w:rPr>
        <w:t>各投标人在递交投标文件的同时需递交投标保证金缴纳凭证：</w:t>
      </w:r>
    </w:p>
    <w:p w14:paraId="110EC409">
      <w:pPr>
        <w:snapToGrid w:val="0"/>
        <w:spacing w:line="420" w:lineRule="exact"/>
        <w:ind w:left="-3" w:leftChars="-1"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3.1</w:t>
      </w:r>
      <w:r>
        <w:rPr>
          <w:rFonts w:hint="eastAsia" w:ascii="宋体" w:hAnsi="宋体" w:eastAsia="宋体" w:cs="宋体"/>
          <w:b/>
          <w:sz w:val="24"/>
          <w:szCs w:val="24"/>
        </w:rPr>
        <w:t>以</w:t>
      </w:r>
      <w:r>
        <w:rPr>
          <w:rFonts w:hint="eastAsia" w:ascii="宋体" w:hAnsi="宋体" w:eastAsia="宋体" w:cs="宋体"/>
          <w:b/>
          <w:bCs/>
          <w:sz w:val="24"/>
          <w:szCs w:val="24"/>
        </w:rPr>
        <w:t>转账、电汇、网银形式缴纳投标保证金的，投标人须将投标保证金交纳凭证（无须密封）、企业基本账户开户许可证复印件（加盖单位公章）或《基本存款账户信息》（加盖单位公章），与投标文件一并递交给招标代理查验，未按上述要求提交投标保证金的投标人，有权拒绝其投标文件。</w:t>
      </w:r>
    </w:p>
    <w:p w14:paraId="184329C8">
      <w:pPr>
        <w:snapToGrid w:val="0"/>
        <w:spacing w:line="420" w:lineRule="exact"/>
        <w:ind w:left="-3" w:leftChars="-1"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3.2以银行保函形式缴纳投标保证金的，投标人须提供保函原件或复印件（加盖单位公章），与投标文件一并递交给招标代理查验，未按上述要求提交投标保证金的投标人，有权拒绝其投标文件。</w:t>
      </w:r>
    </w:p>
    <w:p w14:paraId="3CFF6748">
      <w:pPr>
        <w:snapToGrid w:val="0"/>
        <w:spacing w:line="420" w:lineRule="exact"/>
        <w:ind w:left="-3" w:leftChars="-1" w:firstLine="482" w:firstLineChars="200"/>
        <w:outlineLvl w:val="1"/>
        <w:rPr>
          <w:rFonts w:ascii="宋体" w:hAnsi="宋体" w:eastAsia="宋体" w:cs="宋体"/>
          <w:b/>
          <w:bCs/>
          <w:sz w:val="24"/>
          <w:szCs w:val="24"/>
        </w:rPr>
      </w:pPr>
      <w:r>
        <w:rPr>
          <w:rFonts w:hint="eastAsia" w:ascii="宋体" w:hAnsi="宋体" w:eastAsia="宋体" w:cs="宋体"/>
          <w:b/>
          <w:bCs/>
          <w:sz w:val="24"/>
          <w:szCs w:val="24"/>
        </w:rPr>
        <w:t>3.3以现金形式缴纳投标保证金的，投标人须在开标时与投标文件同时递交，请勿和投标文件密封，未按上述要求提交投标保证金的投标人，有权拒绝其投标文件。</w:t>
      </w:r>
    </w:p>
    <w:p w14:paraId="5AFAD67A">
      <w:pPr>
        <w:spacing w:line="360" w:lineRule="auto"/>
        <w:ind w:firstLine="480" w:firstLineChars="200"/>
        <w:rPr>
          <w:rFonts w:ascii="宋体" w:hAnsi="宋体" w:eastAsia="宋体" w:cs="宋体"/>
          <w:sz w:val="24"/>
          <w:szCs w:val="24"/>
        </w:rPr>
      </w:pPr>
      <w:r>
        <w:rPr>
          <w:rFonts w:ascii="宋体" w:hAnsi="宋体" w:eastAsia="宋体" w:cs="宋体"/>
          <w:sz w:val="24"/>
          <w:szCs w:val="24"/>
        </w:rPr>
        <w:t>4、投标保证金退还</w:t>
      </w:r>
    </w:p>
    <w:p w14:paraId="6C432BAA">
      <w:pPr>
        <w:spacing w:line="360" w:lineRule="auto"/>
        <w:ind w:firstLine="480" w:firstLineChars="200"/>
        <w:rPr>
          <w:rFonts w:ascii="宋体" w:hAnsi="宋体" w:eastAsia="宋体" w:cs="宋体"/>
          <w:sz w:val="24"/>
          <w:szCs w:val="24"/>
        </w:rPr>
      </w:pPr>
      <w:r>
        <w:rPr>
          <w:rFonts w:ascii="宋体" w:hAnsi="宋体" w:eastAsia="宋体" w:cs="宋体"/>
          <w:sz w:val="24"/>
          <w:szCs w:val="24"/>
        </w:rPr>
        <w:t>（一）未中标的投标</w:t>
      </w:r>
      <w:r>
        <w:rPr>
          <w:rFonts w:hint="eastAsia" w:ascii="宋体" w:hAnsi="宋体" w:eastAsia="宋体" w:cs="宋体"/>
          <w:sz w:val="24"/>
          <w:szCs w:val="24"/>
        </w:rPr>
        <w:t>人</w:t>
      </w:r>
      <w:r>
        <w:rPr>
          <w:rFonts w:ascii="宋体" w:hAnsi="宋体" w:eastAsia="宋体" w:cs="宋体"/>
          <w:sz w:val="24"/>
          <w:szCs w:val="24"/>
        </w:rPr>
        <w:t>的投标保证金，在定标后5个工作日内予以退还投标保证金；中标人的投标保证金将在招标人与中标人签订的合同生效起 5个工作日内予以退还投标保证金</w:t>
      </w:r>
      <w:r>
        <w:rPr>
          <w:rFonts w:hint="eastAsia" w:ascii="宋体" w:hAnsi="宋体" w:eastAsia="宋体" w:cs="宋体"/>
          <w:sz w:val="24"/>
          <w:szCs w:val="24"/>
        </w:rPr>
        <w:t>。</w:t>
      </w:r>
    </w:p>
    <w:p w14:paraId="17E85DA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（二）发生下列情况之一，投标保证金将不予退还。</w:t>
      </w:r>
    </w:p>
    <w:p w14:paraId="26E165D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①投标人在提交响应文件截止时间后撤回响应文件的；</w:t>
      </w:r>
    </w:p>
    <w:p w14:paraId="04E8A13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②投标人与招标人、其他投标人或者招标代理机构恶意串通的；</w:t>
      </w:r>
    </w:p>
    <w:p w14:paraId="0AF7514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③除因不可抗力或招标文件认可的情形外，</w:t>
      </w:r>
      <w:r>
        <w:rPr>
          <w:rFonts w:hint="eastAsia" w:ascii="宋体" w:hAnsi="宋体" w:eastAsia="宋体"/>
          <w:kern w:val="0"/>
          <w:sz w:val="24"/>
          <w:szCs w:val="24"/>
        </w:rPr>
        <w:t>中标人</w:t>
      </w:r>
      <w:r>
        <w:rPr>
          <w:rFonts w:hint="eastAsia" w:ascii="宋体" w:hAnsi="宋体" w:eastAsia="宋体" w:cs="宋体"/>
          <w:sz w:val="24"/>
          <w:szCs w:val="24"/>
        </w:rPr>
        <w:t>不与招标人签订合同的；</w:t>
      </w:r>
    </w:p>
    <w:p w14:paraId="00DA00D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④</w:t>
      </w:r>
      <w:r>
        <w:rPr>
          <w:rFonts w:hint="eastAsia" w:ascii="宋体" w:hAnsi="宋体" w:eastAsia="宋体"/>
          <w:kern w:val="0"/>
          <w:sz w:val="24"/>
          <w:szCs w:val="24"/>
        </w:rPr>
        <w:t>中标人</w:t>
      </w:r>
      <w:r>
        <w:rPr>
          <w:rFonts w:hint="eastAsia" w:ascii="宋体" w:hAnsi="宋体" w:eastAsia="宋体" w:cs="宋体"/>
          <w:sz w:val="24"/>
          <w:szCs w:val="24"/>
        </w:rPr>
        <w:t>不按本须知相关条款规定缴付招标代理服务费的；</w:t>
      </w:r>
    </w:p>
    <w:p w14:paraId="3FCC8F4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⑤投标人在投标过程中有违反有关法律法规的行为；</w:t>
      </w:r>
    </w:p>
    <w:p w14:paraId="6CA910B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⑥招标文件规定的其他情形。</w:t>
      </w:r>
    </w:p>
    <w:p w14:paraId="385756C6">
      <w:pPr>
        <w:spacing w:line="360" w:lineRule="auto"/>
        <w:ind w:firstLine="482" w:firstLineChars="200"/>
        <w:outlineLvl w:val="1"/>
        <w:rPr>
          <w:rFonts w:ascii="宋体" w:hAnsi="宋体" w:eastAsia="宋体" w:cs="宋体"/>
          <w:b/>
          <w:sz w:val="24"/>
          <w:szCs w:val="24"/>
        </w:rPr>
      </w:pPr>
      <w:r>
        <w:rPr>
          <w:rFonts w:hint="eastAsia" w:ascii="宋体" w:hAnsi="宋体" w:eastAsia="宋体" w:cs="宋体"/>
          <w:b/>
          <w:sz w:val="24"/>
          <w:szCs w:val="24"/>
        </w:rPr>
        <w:t>十四、履约保证金</w:t>
      </w:r>
    </w:p>
    <w:p w14:paraId="7A88B37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1、本项目成交后的履约保证金为人民币</w:t>
      </w:r>
      <w:r>
        <w:rPr>
          <w:rFonts w:hint="eastAsia" w:ascii="宋体" w:hAnsi="宋体" w:eastAsia="宋体" w:cs="宋体"/>
          <w:b/>
          <w:sz w:val="24"/>
          <w:szCs w:val="24"/>
          <w:u w:val="single"/>
        </w:rPr>
        <w:t>贰</w:t>
      </w:r>
      <w:r>
        <w:rPr>
          <w:rFonts w:hint="eastAsia" w:ascii="宋体" w:hAnsi="宋体" w:eastAsia="宋体" w:cs="宋体"/>
          <w:b/>
          <w:bCs/>
          <w:sz w:val="24"/>
          <w:szCs w:val="24"/>
          <w:u w:val="single"/>
        </w:rPr>
        <w:t>万</w:t>
      </w:r>
      <w:r>
        <w:rPr>
          <w:rFonts w:hint="eastAsia" w:ascii="宋体" w:hAnsi="宋体" w:eastAsia="宋体" w:cs="宋体"/>
          <w:b/>
          <w:sz w:val="24"/>
          <w:szCs w:val="24"/>
          <w:u w:val="single"/>
        </w:rPr>
        <w:t>元整</w:t>
      </w:r>
      <w:r>
        <w:rPr>
          <w:rFonts w:hint="eastAsia" w:ascii="宋体" w:hAnsi="宋体" w:eastAsia="宋体" w:cs="宋体"/>
          <w:sz w:val="24"/>
          <w:szCs w:val="24"/>
        </w:rPr>
        <w:t>。</w:t>
      </w:r>
    </w:p>
    <w:p w14:paraId="027F77C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kern w:val="0"/>
          <w:sz w:val="24"/>
          <w:szCs w:val="24"/>
        </w:rPr>
        <w:t>中标人</w:t>
      </w:r>
      <w:r>
        <w:rPr>
          <w:rFonts w:hint="eastAsia" w:ascii="宋体" w:hAnsi="宋体" w:eastAsia="宋体" w:cs="宋体"/>
          <w:sz w:val="24"/>
          <w:szCs w:val="24"/>
        </w:rPr>
        <w:t>的履约保证金须在招标代理通知发出中标通知书之日起3个工作日内汇入招标人账户，</w:t>
      </w:r>
      <w:r>
        <w:rPr>
          <w:rFonts w:hint="eastAsia" w:ascii="宋体" w:hAnsi="宋体" w:eastAsia="宋体"/>
          <w:kern w:val="0"/>
          <w:sz w:val="24"/>
          <w:szCs w:val="24"/>
        </w:rPr>
        <w:t>中标人</w:t>
      </w:r>
      <w:r>
        <w:rPr>
          <w:rFonts w:hint="eastAsia" w:ascii="宋体" w:hAnsi="宋体" w:eastAsia="宋体" w:cs="宋体"/>
          <w:sz w:val="24"/>
          <w:szCs w:val="24"/>
        </w:rPr>
        <w:t>凭“中标通知书”和已经汇至招标人账上的“履约保证金”凭证，并在中标通知书发出之日起30日内与招标人签订合同。超期则视为自动放弃中标资格。</w:t>
      </w:r>
    </w:p>
    <w:p w14:paraId="6CA1AFB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kern w:val="0"/>
          <w:sz w:val="24"/>
          <w:szCs w:val="24"/>
        </w:rPr>
        <w:t>中标人</w:t>
      </w:r>
      <w:r>
        <w:rPr>
          <w:rFonts w:hint="eastAsia" w:ascii="宋体" w:hAnsi="宋体" w:eastAsia="宋体" w:cs="宋体"/>
          <w:sz w:val="24"/>
          <w:szCs w:val="24"/>
        </w:rPr>
        <w:t>在按要求保质保量的完成该项目合同并通过验收后6个月内，招标人凭</w:t>
      </w:r>
      <w:r>
        <w:rPr>
          <w:rFonts w:hint="eastAsia" w:ascii="宋体" w:hAnsi="宋体" w:eastAsia="宋体"/>
          <w:kern w:val="0"/>
          <w:sz w:val="24"/>
          <w:szCs w:val="24"/>
        </w:rPr>
        <w:t>中标人</w:t>
      </w:r>
      <w:r>
        <w:rPr>
          <w:rFonts w:hint="eastAsia" w:ascii="宋体" w:hAnsi="宋体" w:eastAsia="宋体" w:cs="宋体"/>
          <w:sz w:val="24"/>
          <w:szCs w:val="24"/>
        </w:rPr>
        <w:t>提交的申请，一次性无息退还该合同项目的履约保证金。</w:t>
      </w:r>
    </w:p>
    <w:p w14:paraId="22508965">
      <w:pPr>
        <w:spacing w:line="360" w:lineRule="auto"/>
        <w:ind w:firstLine="480" w:firstLineChars="200"/>
        <w:rPr>
          <w:rFonts w:ascii="宋体" w:hAnsi="宋体" w:eastAsia="宋体" w:cs="宋体"/>
          <w:bCs/>
          <w:sz w:val="24"/>
          <w:szCs w:val="24"/>
          <w:lang w:val="zh-CN"/>
        </w:rPr>
      </w:pPr>
      <w:r>
        <w:rPr>
          <w:rFonts w:hint="eastAsia" w:ascii="宋体" w:hAnsi="宋体" w:eastAsia="宋体" w:cs="宋体"/>
          <w:sz w:val="24"/>
          <w:szCs w:val="24"/>
        </w:rPr>
        <w:t>4、由于</w:t>
      </w:r>
      <w:r>
        <w:rPr>
          <w:rFonts w:hint="eastAsia" w:ascii="宋体" w:hAnsi="宋体" w:eastAsia="宋体"/>
          <w:kern w:val="0"/>
          <w:sz w:val="24"/>
          <w:szCs w:val="24"/>
        </w:rPr>
        <w:t>中标人</w:t>
      </w:r>
      <w:r>
        <w:rPr>
          <w:rFonts w:hint="eastAsia" w:ascii="宋体" w:hAnsi="宋体" w:eastAsia="宋体" w:cs="宋体"/>
          <w:sz w:val="24"/>
          <w:szCs w:val="24"/>
        </w:rPr>
        <w:t>原因，在签订合同后出现不按合同履行的情况，招标人有权将履约保证金作为违约金，全额不予退还，同时招标人亦有权终止合同，</w:t>
      </w:r>
      <w:r>
        <w:rPr>
          <w:rFonts w:hint="eastAsia" w:ascii="宋体" w:hAnsi="宋体" w:eastAsia="宋体"/>
          <w:kern w:val="0"/>
          <w:sz w:val="24"/>
          <w:szCs w:val="24"/>
        </w:rPr>
        <w:t>中标人</w:t>
      </w:r>
      <w:r>
        <w:rPr>
          <w:rFonts w:hint="eastAsia" w:ascii="宋体" w:hAnsi="宋体" w:eastAsia="宋体" w:cs="宋体"/>
          <w:sz w:val="24"/>
          <w:szCs w:val="24"/>
        </w:rPr>
        <w:t>还须承担相应的法律赔偿责任。</w:t>
      </w:r>
    </w:p>
    <w:p w14:paraId="4E8BC5DB">
      <w:pPr>
        <w:spacing w:line="360" w:lineRule="auto"/>
        <w:ind w:firstLine="482" w:firstLineChars="200"/>
        <w:outlineLvl w:val="1"/>
        <w:rPr>
          <w:rFonts w:ascii="宋体" w:hAnsi="宋体" w:eastAsia="宋体" w:cs="宋体"/>
          <w:b/>
          <w:sz w:val="24"/>
          <w:szCs w:val="24"/>
        </w:rPr>
      </w:pPr>
      <w:r>
        <w:rPr>
          <w:rFonts w:hint="eastAsia" w:ascii="宋体" w:hAnsi="宋体" w:eastAsia="宋体" w:cs="宋体"/>
          <w:b/>
          <w:sz w:val="24"/>
          <w:szCs w:val="24"/>
        </w:rPr>
        <w:t>十五、付款方式及步骤</w:t>
      </w:r>
    </w:p>
    <w:p w14:paraId="631AE892">
      <w:pPr>
        <w:pStyle w:val="22"/>
        <w:spacing w:line="360" w:lineRule="auto"/>
        <w:ind w:firstLine="480" w:firstLineChars="200"/>
        <w:rPr>
          <w:rFonts w:ascii="宋体" w:hAnsi="宋体" w:eastAsia="宋体" w:cs="宋体"/>
          <w:bCs/>
          <w:kern w:val="0"/>
          <w:sz w:val="24"/>
          <w:szCs w:val="24"/>
        </w:rPr>
      </w:pPr>
      <w:r>
        <w:rPr>
          <w:rFonts w:hint="eastAsia" w:ascii="宋体" w:hAnsi="宋体" w:eastAsia="宋体" w:cs="宋体"/>
          <w:bCs/>
          <w:kern w:val="0"/>
          <w:sz w:val="24"/>
          <w:szCs w:val="24"/>
        </w:rPr>
        <w:t>1、每次付款在现场安置结束后两周内根据本次安置面积乘以0.7元取整支付，剩余款在每年度按实际结算面积及结算单价结算。</w:t>
      </w:r>
    </w:p>
    <w:p w14:paraId="0C4F31FA">
      <w:pPr>
        <w:pStyle w:val="22"/>
        <w:spacing w:line="360" w:lineRule="auto"/>
        <w:ind w:firstLine="480" w:firstLineChars="200"/>
        <w:rPr>
          <w:rFonts w:ascii="宋体" w:hAnsi="宋体" w:eastAsia="宋体" w:cs="宋体"/>
          <w:sz w:val="24"/>
          <w:szCs w:val="24"/>
        </w:rPr>
      </w:pPr>
      <w:r>
        <w:rPr>
          <w:rFonts w:hint="eastAsia" w:ascii="宋体" w:hAnsi="宋体" w:eastAsia="宋体" w:cs="宋体"/>
          <w:bCs/>
          <w:kern w:val="0"/>
          <w:sz w:val="24"/>
          <w:szCs w:val="24"/>
        </w:rPr>
        <w:t>2、如同一小区非零星房源集中安置次数超过三次（含）以上（以集中安置的次数为准），销售代理费用以中标价为基础上浮10%支付含第一次及第二次集中安置销售（此条款为固定条款，不做浮动）。</w:t>
      </w:r>
    </w:p>
    <w:p w14:paraId="3D94D3BA">
      <w:pPr>
        <w:spacing w:line="360" w:lineRule="auto"/>
        <w:ind w:firstLine="482" w:firstLineChars="200"/>
        <w:outlineLvl w:val="1"/>
        <w:rPr>
          <w:rFonts w:ascii="宋体" w:hAnsi="宋体" w:eastAsia="宋体" w:cs="宋体"/>
          <w:b/>
          <w:sz w:val="24"/>
          <w:szCs w:val="24"/>
        </w:rPr>
      </w:pPr>
      <w:r>
        <w:rPr>
          <w:rFonts w:hint="eastAsia" w:ascii="宋体" w:hAnsi="宋体" w:eastAsia="宋体" w:cs="宋体"/>
          <w:b/>
          <w:sz w:val="24"/>
          <w:szCs w:val="24"/>
        </w:rPr>
        <w:t>十六、代理服务费</w:t>
      </w:r>
    </w:p>
    <w:p w14:paraId="294F30A5">
      <w:pPr>
        <w:spacing w:line="360" w:lineRule="auto"/>
        <w:ind w:firstLine="480" w:firstLineChars="200"/>
        <w:outlineLvl w:val="1"/>
        <w:rPr>
          <w:rFonts w:ascii="宋体" w:hAnsi="宋体" w:eastAsia="宋体" w:cs="宋体"/>
          <w:bCs/>
          <w:kern w:val="0"/>
          <w:sz w:val="24"/>
          <w:szCs w:val="24"/>
        </w:rPr>
      </w:pPr>
      <w:r>
        <w:rPr>
          <w:rFonts w:hint="eastAsia" w:ascii="宋体" w:hAnsi="宋体" w:eastAsia="宋体" w:cs="宋体"/>
          <w:bCs/>
          <w:kern w:val="0"/>
          <w:sz w:val="24"/>
          <w:szCs w:val="24"/>
        </w:rPr>
        <w:t>1、</w:t>
      </w:r>
      <w:r>
        <w:rPr>
          <w:rFonts w:hint="eastAsia" w:ascii="宋体" w:hAnsi="宋体" w:eastAsia="宋体"/>
          <w:kern w:val="0"/>
          <w:sz w:val="24"/>
          <w:szCs w:val="24"/>
        </w:rPr>
        <w:t>中标人</w:t>
      </w:r>
      <w:r>
        <w:rPr>
          <w:rFonts w:hint="eastAsia" w:ascii="宋体" w:hAnsi="宋体" w:eastAsia="宋体" w:cs="宋体"/>
          <w:bCs/>
          <w:kern w:val="0"/>
          <w:sz w:val="24"/>
          <w:szCs w:val="24"/>
        </w:rPr>
        <w:t>须缴纳代理服务费</w:t>
      </w:r>
      <w:r>
        <w:rPr>
          <w:rFonts w:ascii="宋体" w:hAnsi="宋体" w:eastAsia="宋体" w:cs="宋体"/>
          <w:bCs/>
          <w:kern w:val="0"/>
          <w:sz w:val="24"/>
          <w:szCs w:val="24"/>
        </w:rPr>
        <w:t>2</w:t>
      </w:r>
      <w:r>
        <w:rPr>
          <w:rFonts w:hint="eastAsia" w:ascii="宋体" w:hAnsi="宋体" w:eastAsia="宋体" w:cs="宋体"/>
          <w:bCs/>
          <w:kern w:val="0"/>
          <w:sz w:val="24"/>
          <w:szCs w:val="24"/>
        </w:rPr>
        <w:t>000元及评审费（具体以实际支出为准）。</w:t>
      </w:r>
    </w:p>
    <w:p w14:paraId="7ED14BCC">
      <w:pPr>
        <w:spacing w:line="360" w:lineRule="auto"/>
        <w:ind w:firstLine="480" w:firstLineChars="200"/>
        <w:outlineLvl w:val="1"/>
        <w:rPr>
          <w:rFonts w:ascii="宋体" w:hAnsi="宋体" w:eastAsia="宋体" w:cs="宋体"/>
          <w:bCs/>
          <w:kern w:val="0"/>
          <w:sz w:val="24"/>
          <w:szCs w:val="24"/>
        </w:rPr>
      </w:pPr>
      <w:r>
        <w:rPr>
          <w:rFonts w:hint="eastAsia" w:ascii="宋体" w:hAnsi="宋体" w:eastAsia="宋体" w:cs="宋体"/>
          <w:bCs/>
          <w:kern w:val="0"/>
          <w:sz w:val="24"/>
          <w:szCs w:val="24"/>
        </w:rPr>
        <w:t>2、投标人自行考虑包含在投标报价内的各项费用及风险，不得单列。</w:t>
      </w:r>
    </w:p>
    <w:p w14:paraId="52032D53">
      <w:pPr>
        <w:spacing w:line="360" w:lineRule="auto"/>
        <w:ind w:firstLine="480" w:firstLineChars="200"/>
        <w:outlineLvl w:val="1"/>
        <w:rPr>
          <w:rFonts w:ascii="宋体" w:hAnsi="宋体" w:eastAsia="宋体" w:cs="宋体"/>
          <w:bCs/>
          <w:kern w:val="0"/>
          <w:sz w:val="24"/>
          <w:szCs w:val="24"/>
        </w:rPr>
      </w:pPr>
      <w:r>
        <w:rPr>
          <w:rFonts w:hint="eastAsia" w:ascii="宋体" w:hAnsi="宋体" w:eastAsia="宋体" w:cs="宋体"/>
          <w:bCs/>
          <w:kern w:val="0"/>
          <w:sz w:val="24"/>
          <w:szCs w:val="24"/>
        </w:rPr>
        <w:t>3、代理服务费及评审费应在领取中标通知书前一次性付清。</w:t>
      </w:r>
    </w:p>
    <w:p w14:paraId="60C2B5A6">
      <w:pPr>
        <w:spacing w:line="360" w:lineRule="auto"/>
        <w:ind w:firstLine="482" w:firstLineChars="200"/>
        <w:outlineLvl w:val="1"/>
        <w:rPr>
          <w:rFonts w:ascii="宋体" w:hAnsi="宋体" w:eastAsia="宋体" w:cs="宋体"/>
          <w:b/>
          <w:sz w:val="24"/>
          <w:szCs w:val="24"/>
        </w:rPr>
      </w:pPr>
      <w:r>
        <w:rPr>
          <w:rFonts w:hint="eastAsia" w:ascii="宋体" w:hAnsi="宋体" w:eastAsia="宋体" w:cs="宋体"/>
          <w:b/>
          <w:sz w:val="24"/>
          <w:szCs w:val="24"/>
        </w:rPr>
        <w:t>十七、知识产权</w:t>
      </w:r>
    </w:p>
    <w:p w14:paraId="612FB85E">
      <w:pPr>
        <w:spacing w:line="360" w:lineRule="auto"/>
        <w:ind w:firstLine="480" w:firstLineChars="200"/>
        <w:rPr>
          <w:rFonts w:ascii="宋体" w:hAnsi="宋体" w:eastAsia="宋体" w:cs="宋体"/>
          <w:sz w:val="24"/>
          <w:szCs w:val="24"/>
        </w:rPr>
      </w:pPr>
      <w:r>
        <w:rPr>
          <w:rFonts w:hint="eastAsia" w:ascii="宋体" w:hAnsi="宋体" w:eastAsia="宋体"/>
          <w:kern w:val="0"/>
          <w:sz w:val="24"/>
          <w:szCs w:val="24"/>
        </w:rPr>
        <w:t>中标人</w:t>
      </w:r>
      <w:r>
        <w:rPr>
          <w:rFonts w:hint="eastAsia" w:ascii="宋体" w:hAnsi="宋体" w:eastAsia="宋体" w:cs="宋体"/>
          <w:sz w:val="24"/>
          <w:szCs w:val="24"/>
        </w:rPr>
        <w:t>应保证本项目需方及最终用户在使用本项目合同标的物的任何部分（含软、硬件及相关配套设备）均不受第三方关于侵犯其所有权，专利权、商标权等一切可能的知识产权侵权的指控。需方或最终用户因此而受到的全部损失包括对第三方的任何赔偿、补偿、垫付的款项以及应对指控而支出的全部费用，均由</w:t>
      </w:r>
      <w:r>
        <w:rPr>
          <w:rFonts w:hint="eastAsia" w:ascii="宋体" w:hAnsi="宋体" w:eastAsia="宋体"/>
          <w:kern w:val="0"/>
          <w:sz w:val="24"/>
          <w:szCs w:val="24"/>
        </w:rPr>
        <w:t>中标人</w:t>
      </w:r>
      <w:r>
        <w:rPr>
          <w:rFonts w:hint="eastAsia" w:ascii="宋体" w:hAnsi="宋体" w:eastAsia="宋体" w:cs="宋体"/>
          <w:sz w:val="24"/>
          <w:szCs w:val="24"/>
        </w:rPr>
        <w:t>承担。</w:t>
      </w:r>
    </w:p>
    <w:p w14:paraId="18754A9C">
      <w:pPr>
        <w:spacing w:line="360" w:lineRule="auto"/>
        <w:ind w:firstLine="482" w:firstLineChars="200"/>
        <w:outlineLvl w:val="1"/>
        <w:rPr>
          <w:rFonts w:ascii="宋体" w:hAnsi="宋体" w:eastAsia="宋体" w:cs="宋体"/>
          <w:b/>
          <w:sz w:val="24"/>
          <w:szCs w:val="24"/>
        </w:rPr>
      </w:pPr>
      <w:r>
        <w:rPr>
          <w:rFonts w:hint="eastAsia" w:ascii="宋体" w:hAnsi="宋体" w:eastAsia="宋体" w:cs="宋体"/>
          <w:b/>
          <w:sz w:val="24"/>
          <w:szCs w:val="24"/>
        </w:rPr>
        <w:t>十八、未尽事宜</w:t>
      </w:r>
    </w:p>
    <w:p w14:paraId="2B3C5F10">
      <w:pPr>
        <w:spacing w:line="360" w:lineRule="auto"/>
        <w:ind w:firstLine="480" w:firstLineChars="200"/>
        <w:rPr>
          <w:rFonts w:ascii="宋体" w:hAnsi="宋体" w:eastAsia="宋体"/>
          <w:sz w:val="24"/>
          <w:szCs w:val="24"/>
        </w:rPr>
      </w:pPr>
      <w:r>
        <w:rPr>
          <w:rFonts w:hint="eastAsia" w:ascii="宋体" w:hAnsi="宋体" w:eastAsia="宋体" w:cs="宋体"/>
          <w:sz w:val="24"/>
          <w:szCs w:val="24"/>
        </w:rPr>
        <w:t>参照相关的法律法规的规定执行。</w:t>
      </w:r>
      <w:bookmarkStart w:id="2" w:name="_Toc363573855"/>
    </w:p>
    <w:p w14:paraId="7A47DC9A">
      <w:pPr>
        <w:pageBreakBefore/>
        <w:spacing w:line="360" w:lineRule="auto"/>
        <w:jc w:val="center"/>
        <w:rPr>
          <w:rFonts w:ascii="宋体" w:hAnsi="宋体" w:eastAsia="宋体"/>
          <w:b/>
          <w:sz w:val="44"/>
          <w:szCs w:val="44"/>
        </w:rPr>
      </w:pPr>
      <w:r>
        <w:rPr>
          <w:rFonts w:hint="eastAsia" w:ascii="宋体" w:hAnsi="宋体" w:eastAsia="宋体"/>
          <w:b/>
          <w:sz w:val="44"/>
          <w:szCs w:val="44"/>
        </w:rPr>
        <w:t>第三章  项目需求</w:t>
      </w:r>
    </w:p>
    <w:bookmarkEnd w:id="2"/>
    <w:p w14:paraId="769FA714">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一、项目概况</w:t>
      </w:r>
    </w:p>
    <w:p w14:paraId="0EFAF460">
      <w:pPr>
        <w:pStyle w:val="153"/>
        <w:ind w:firstLine="480"/>
        <w:rPr>
          <w:rFonts w:cs="宋体"/>
          <w:kern w:val="0"/>
          <w:sz w:val="24"/>
          <w:szCs w:val="24"/>
        </w:rPr>
      </w:pPr>
      <w:r>
        <w:rPr>
          <w:rFonts w:hint="eastAsia" w:cs="宋体"/>
          <w:kern w:val="0"/>
          <w:sz w:val="24"/>
          <w:szCs w:val="24"/>
        </w:rPr>
        <w:t>本次拟聘1家销售结算服务单位作为</w:t>
      </w:r>
      <w:r>
        <w:rPr>
          <w:rFonts w:hint="eastAsia"/>
          <w:sz w:val="24"/>
          <w:szCs w:val="24"/>
        </w:rPr>
        <w:t>衡通嘉苑、外滩雅苑、任港嘉苑、悦泰花园</w:t>
      </w:r>
      <w:r>
        <w:rPr>
          <w:rFonts w:hint="eastAsia" w:cs="宋体"/>
          <w:kern w:val="0"/>
          <w:sz w:val="24"/>
          <w:szCs w:val="24"/>
        </w:rPr>
        <w:t>结算服务合作单位，小区面积如下表所示：</w:t>
      </w:r>
    </w:p>
    <w:p w14:paraId="4C7DBB2D">
      <w:pPr>
        <w:rPr>
          <w:sz w:val="24"/>
          <w:szCs w:val="24"/>
        </w:rPr>
      </w:pPr>
    </w:p>
    <w:tbl>
      <w:tblPr>
        <w:tblStyle w:val="67"/>
        <w:tblW w:w="8407" w:type="dxa"/>
        <w:tblInd w:w="93" w:type="dxa"/>
        <w:tblLayout w:type="autofit"/>
        <w:tblCellMar>
          <w:top w:w="0" w:type="dxa"/>
          <w:left w:w="108" w:type="dxa"/>
          <w:bottom w:w="0" w:type="dxa"/>
          <w:right w:w="108" w:type="dxa"/>
        </w:tblCellMar>
      </w:tblPr>
      <w:tblGrid>
        <w:gridCol w:w="1140"/>
        <w:gridCol w:w="1603"/>
        <w:gridCol w:w="4838"/>
        <w:gridCol w:w="854"/>
      </w:tblGrid>
      <w:tr w14:paraId="1E9D4ACF">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E4286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8EDD34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地块名称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6CE191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规划居住面积(住宅、非机动车库及阁楼面积)</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6BA4715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套数</w:t>
            </w:r>
          </w:p>
        </w:tc>
      </w:tr>
      <w:tr w14:paraId="6D164F14">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34BBB3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衡通嘉苑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59386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飞跃百度地块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D53C4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住宅：24489㎡、非机：3736㎡</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777560F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214</w:t>
            </w:r>
          </w:p>
        </w:tc>
      </w:tr>
      <w:tr w14:paraId="7E9C611F">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BE4A0A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外滩雅苑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F3561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永泰锅炉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E3BB2F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住宅：53283㎡、非机：7760㎡</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534E519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590</w:t>
            </w:r>
          </w:p>
        </w:tc>
      </w:tr>
      <w:tr w14:paraId="14EC693C">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046D19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任港嘉苑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E3FE2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五一职工苑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099E5A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住宅：31503㎡、非机：3904㎡</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7B0BF614">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260</w:t>
            </w:r>
          </w:p>
        </w:tc>
      </w:tr>
      <w:tr w14:paraId="371C8548">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C8DE1F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悦泰花园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278E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陈桥安置点二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85FEC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住宅：87172㎡、非机：5798㎡</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0A8BFAA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728</w:t>
            </w:r>
          </w:p>
        </w:tc>
      </w:tr>
      <w:tr w14:paraId="1B20F62C">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C31EB1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悦泰花园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2153D6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陈桥安置点三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E0928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住宅：83622㎡、非机：4955㎡</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5961E1D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682</w:t>
            </w:r>
          </w:p>
        </w:tc>
      </w:tr>
      <w:tr w14:paraId="2EBF10D8">
        <w:tblPrEx>
          <w:tblCellMar>
            <w:top w:w="0" w:type="dxa"/>
            <w:left w:w="108" w:type="dxa"/>
            <w:bottom w:w="0" w:type="dxa"/>
            <w:right w:w="108" w:type="dxa"/>
          </w:tblCellMar>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A90A5B6">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322C01">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r>
              <w:rPr>
                <w:rFonts w:ascii="宋体" w:hAnsi="宋体" w:eastAsia="宋体" w:cs="宋体"/>
                <w:color w:val="000000"/>
                <w:kern w:val="0"/>
                <w:sz w:val="24"/>
                <w:szCs w:val="24"/>
                <w:lang w:bidi="ar"/>
              </w:rPr>
              <w:t>06222</w:t>
            </w:r>
            <w:r>
              <w:rPr>
                <w:rFonts w:hint="eastAsia" w:ascii="宋体" w:hAnsi="宋体" w:eastAsia="宋体" w:cs="宋体"/>
                <w:color w:val="000000"/>
                <w:kern w:val="0"/>
                <w:sz w:val="24"/>
                <w:szCs w:val="24"/>
                <w:lang w:bidi="ar"/>
              </w:rPr>
              <w:t>㎡</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71CF09F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ascii="宋体" w:hAnsi="宋体" w:eastAsia="宋体" w:cs="宋体"/>
                <w:color w:val="000000"/>
                <w:kern w:val="0"/>
                <w:sz w:val="24"/>
                <w:szCs w:val="24"/>
                <w:lang w:bidi="ar"/>
              </w:rPr>
              <w:t>474</w:t>
            </w:r>
          </w:p>
        </w:tc>
      </w:tr>
    </w:tbl>
    <w:p w14:paraId="69A00D85">
      <w:pPr>
        <w:rPr>
          <w:b/>
          <w:sz w:val="24"/>
          <w:szCs w:val="24"/>
        </w:rPr>
      </w:pPr>
    </w:p>
    <w:p w14:paraId="3C3389B3">
      <w:pPr>
        <w:pStyle w:val="153"/>
        <w:snapToGrid w:val="0"/>
        <w:spacing w:line="360" w:lineRule="auto"/>
        <w:ind w:firstLine="482"/>
        <w:rPr>
          <w:rFonts w:cs="宋体"/>
          <w:b/>
          <w:kern w:val="0"/>
          <w:sz w:val="24"/>
          <w:szCs w:val="24"/>
        </w:rPr>
      </w:pPr>
      <w:r>
        <w:rPr>
          <w:rFonts w:hint="eastAsia" w:cs="宋体"/>
          <w:b/>
          <w:kern w:val="0"/>
          <w:sz w:val="24"/>
          <w:szCs w:val="24"/>
        </w:rPr>
        <w:t>二、工作内容：</w:t>
      </w:r>
    </w:p>
    <w:p w14:paraId="20365E76">
      <w:pPr>
        <w:pStyle w:val="153"/>
        <w:snapToGrid w:val="0"/>
        <w:spacing w:line="360" w:lineRule="auto"/>
        <w:ind w:firstLine="480"/>
        <w:rPr>
          <w:rFonts w:cs="宋体"/>
          <w:kern w:val="0"/>
          <w:sz w:val="24"/>
          <w:szCs w:val="24"/>
        </w:rPr>
      </w:pPr>
      <w:r>
        <w:rPr>
          <w:rFonts w:hint="eastAsia" w:cs="宋体"/>
          <w:kern w:val="0"/>
          <w:sz w:val="24"/>
          <w:szCs w:val="24"/>
        </w:rPr>
        <w:t>1、根据提供的相关资料，制定销售安置方案、购房须知和选房通知书。</w:t>
      </w:r>
    </w:p>
    <w:p w14:paraId="60D2A4D0">
      <w:pPr>
        <w:pStyle w:val="153"/>
        <w:snapToGrid w:val="0"/>
        <w:spacing w:line="360" w:lineRule="auto"/>
        <w:ind w:firstLine="480"/>
        <w:rPr>
          <w:rFonts w:cs="宋体"/>
          <w:kern w:val="0"/>
          <w:sz w:val="24"/>
          <w:szCs w:val="24"/>
        </w:rPr>
      </w:pPr>
      <w:r>
        <w:rPr>
          <w:rFonts w:hint="eastAsia" w:cs="宋体"/>
          <w:kern w:val="0"/>
          <w:sz w:val="24"/>
          <w:szCs w:val="24"/>
        </w:rPr>
        <w:t>2、负责所代理的低价位商品房项目的现场选房、结算、签订合同和合同备案，并向安置户解释合同等相关条款，如产权面积与原销售面积有误，需重新结算，并配合发放产权证明单和新的结算差异表。如销售过程中产生数据输入错误、结算有误或其他引起销售失误的行为，由上述行为产生的纠纷或损失由代理公司承担责任；</w:t>
      </w:r>
    </w:p>
    <w:p w14:paraId="0C09B880">
      <w:pPr>
        <w:pStyle w:val="153"/>
        <w:snapToGrid w:val="0"/>
        <w:spacing w:line="360" w:lineRule="auto"/>
        <w:ind w:firstLine="480"/>
        <w:rPr>
          <w:rFonts w:cs="宋体"/>
          <w:kern w:val="0"/>
          <w:sz w:val="24"/>
          <w:szCs w:val="24"/>
        </w:rPr>
      </w:pPr>
      <w:r>
        <w:rPr>
          <w:rFonts w:hint="eastAsia" w:cs="宋体"/>
          <w:kern w:val="0"/>
          <w:sz w:val="24"/>
          <w:szCs w:val="24"/>
        </w:rPr>
        <w:t>3、根据提供的资料制作现场展示的套型图、车库平面图等图板，如制作有误引起纠纷或损失由代理公司承担责任；</w:t>
      </w:r>
    </w:p>
    <w:p w14:paraId="6BF7C06B">
      <w:pPr>
        <w:pStyle w:val="153"/>
        <w:snapToGrid w:val="0"/>
        <w:spacing w:line="360" w:lineRule="auto"/>
        <w:ind w:firstLine="480"/>
        <w:rPr>
          <w:rFonts w:cs="宋体"/>
          <w:kern w:val="0"/>
          <w:sz w:val="24"/>
          <w:szCs w:val="24"/>
        </w:rPr>
      </w:pPr>
      <w:r>
        <w:rPr>
          <w:rFonts w:hint="eastAsia" w:cs="宋体"/>
          <w:kern w:val="0"/>
          <w:sz w:val="24"/>
          <w:szCs w:val="24"/>
        </w:rPr>
        <w:t>4、负责售楼现场需要的电脑、打印机、纸张、合同文本及订房须知、通知书的印刷；</w:t>
      </w:r>
    </w:p>
    <w:p w14:paraId="1A9DB25F">
      <w:pPr>
        <w:pStyle w:val="153"/>
        <w:snapToGrid w:val="0"/>
        <w:spacing w:line="360" w:lineRule="auto"/>
        <w:ind w:firstLine="480"/>
        <w:rPr>
          <w:rFonts w:cs="宋体"/>
          <w:kern w:val="0"/>
          <w:sz w:val="24"/>
          <w:szCs w:val="24"/>
        </w:rPr>
      </w:pPr>
      <w:r>
        <w:rPr>
          <w:rFonts w:hint="eastAsia" w:cs="宋体"/>
          <w:kern w:val="0"/>
          <w:sz w:val="24"/>
          <w:szCs w:val="24"/>
        </w:rPr>
        <w:t>5、协助现场选房区和签约区的布置，提供布置方案，提供需招标采购的物料清单、现场指挥布置等。</w:t>
      </w:r>
    </w:p>
    <w:p w14:paraId="2ED0B6C3">
      <w:pPr>
        <w:pStyle w:val="153"/>
        <w:snapToGrid w:val="0"/>
        <w:spacing w:line="360" w:lineRule="auto"/>
        <w:ind w:firstLine="480"/>
        <w:rPr>
          <w:rFonts w:cs="宋体"/>
          <w:kern w:val="0"/>
          <w:sz w:val="24"/>
          <w:szCs w:val="24"/>
        </w:rPr>
      </w:pPr>
      <w:r>
        <w:rPr>
          <w:rFonts w:hint="eastAsia" w:cs="宋体"/>
          <w:kern w:val="0"/>
          <w:sz w:val="24"/>
          <w:szCs w:val="24"/>
        </w:rPr>
        <w:t>6、负责统计、汇总小区的所有住宅套型、车库数量，合理配置好各标段的套型比例；</w:t>
      </w:r>
    </w:p>
    <w:p w14:paraId="18001EEC">
      <w:pPr>
        <w:pStyle w:val="153"/>
        <w:snapToGrid w:val="0"/>
        <w:spacing w:line="360" w:lineRule="auto"/>
        <w:ind w:firstLine="480"/>
        <w:rPr>
          <w:rFonts w:cs="宋体"/>
          <w:kern w:val="0"/>
          <w:sz w:val="24"/>
          <w:szCs w:val="24"/>
        </w:rPr>
      </w:pPr>
      <w:r>
        <w:rPr>
          <w:rFonts w:hint="eastAsia" w:cs="宋体"/>
          <w:kern w:val="0"/>
          <w:sz w:val="24"/>
          <w:szCs w:val="24"/>
        </w:rPr>
        <w:t>7、现场分房时的人员最低配置要求：选房区3人，登记处1人，结算处1人，复核1人，合同3人，开票1人。后期到天一公司结算，费用按实际使用人次每人每天汇总支付。</w:t>
      </w:r>
    </w:p>
    <w:p w14:paraId="57AF1388">
      <w:pPr>
        <w:pStyle w:val="153"/>
        <w:snapToGrid w:val="0"/>
        <w:spacing w:line="360" w:lineRule="auto"/>
        <w:ind w:firstLine="480"/>
        <w:rPr>
          <w:rFonts w:cs="宋体"/>
          <w:kern w:val="0"/>
          <w:sz w:val="24"/>
          <w:szCs w:val="24"/>
        </w:rPr>
      </w:pPr>
      <w:r>
        <w:rPr>
          <w:rFonts w:hint="eastAsia" w:cs="宋体"/>
          <w:kern w:val="0"/>
          <w:sz w:val="24"/>
          <w:szCs w:val="24"/>
        </w:rPr>
        <w:t>8、负责录入各项基础数据及销售数据到房产销售系统和我公司销售软件系统及区房征办的销控系统；</w:t>
      </w:r>
    </w:p>
    <w:p w14:paraId="728D3367">
      <w:pPr>
        <w:pStyle w:val="153"/>
        <w:snapToGrid w:val="0"/>
        <w:spacing w:line="360" w:lineRule="auto"/>
        <w:ind w:firstLine="480"/>
        <w:rPr>
          <w:rFonts w:cs="宋体"/>
          <w:kern w:val="0"/>
          <w:sz w:val="24"/>
          <w:szCs w:val="24"/>
        </w:rPr>
      </w:pPr>
      <w:r>
        <w:rPr>
          <w:rFonts w:hint="eastAsia" w:cs="宋体"/>
          <w:kern w:val="0"/>
          <w:sz w:val="24"/>
          <w:szCs w:val="24"/>
        </w:rPr>
        <w:t>9、负责配合审计工作。</w:t>
      </w:r>
    </w:p>
    <w:p w14:paraId="2DF9DEF2">
      <w:pPr>
        <w:pStyle w:val="153"/>
        <w:snapToGrid w:val="0"/>
        <w:spacing w:line="360" w:lineRule="auto"/>
        <w:ind w:firstLine="480"/>
        <w:rPr>
          <w:rFonts w:cs="宋体"/>
          <w:kern w:val="0"/>
          <w:sz w:val="24"/>
          <w:szCs w:val="24"/>
        </w:rPr>
      </w:pPr>
      <w:r>
        <w:rPr>
          <w:rFonts w:hint="eastAsia" w:cs="宋体"/>
          <w:kern w:val="0"/>
          <w:sz w:val="24"/>
          <w:szCs w:val="24"/>
        </w:rPr>
        <w:t>10、招标人向服务方提供结算办公的处所；相关软件、办公电脑、打印机等办公设施由投标人自备。</w:t>
      </w:r>
    </w:p>
    <w:p w14:paraId="65EAAC60">
      <w:pPr>
        <w:pStyle w:val="153"/>
        <w:snapToGrid w:val="0"/>
        <w:spacing w:line="360" w:lineRule="auto"/>
        <w:ind w:firstLine="480"/>
        <w:rPr>
          <w:rFonts w:cs="宋体"/>
          <w:kern w:val="0"/>
          <w:sz w:val="24"/>
          <w:szCs w:val="24"/>
        </w:rPr>
      </w:pPr>
      <w:r>
        <w:rPr>
          <w:rFonts w:hint="eastAsia" w:cs="宋体"/>
          <w:kern w:val="0"/>
          <w:sz w:val="24"/>
          <w:szCs w:val="24"/>
        </w:rPr>
        <w:t>11、以上服务内容未完备的，以招标人具体安排为准。</w:t>
      </w:r>
      <w:bookmarkStart w:id="3" w:name="_Toc363573856"/>
      <w:bookmarkEnd w:id="3"/>
    </w:p>
    <w:p w14:paraId="76E3BD22">
      <w:pPr>
        <w:pStyle w:val="153"/>
        <w:snapToGrid w:val="0"/>
        <w:spacing w:line="360" w:lineRule="auto"/>
        <w:ind w:firstLine="480"/>
        <w:rPr>
          <w:rFonts w:cs="宋体"/>
          <w:kern w:val="0"/>
          <w:sz w:val="24"/>
          <w:szCs w:val="24"/>
        </w:rPr>
      </w:pPr>
      <w:r>
        <w:rPr>
          <w:rFonts w:hint="eastAsia" w:cs="宋体"/>
          <w:kern w:val="0"/>
          <w:sz w:val="24"/>
          <w:szCs w:val="24"/>
        </w:rPr>
        <w:t>12、如发现投标人递交的投标文件有弄虚作假行为，该投标人将记入不良纪录，并上报有关部门。如已中标，招标人有权取消其中标资格，并由该投标人承担一切责任和损失。</w:t>
      </w:r>
    </w:p>
    <w:p w14:paraId="2479C7CF">
      <w:pPr>
        <w:pStyle w:val="153"/>
        <w:snapToGrid w:val="0"/>
        <w:spacing w:line="360" w:lineRule="auto"/>
        <w:ind w:firstLine="480"/>
        <w:rPr>
          <w:rFonts w:cs="宋体"/>
          <w:kern w:val="0"/>
          <w:sz w:val="24"/>
          <w:szCs w:val="24"/>
        </w:rPr>
      </w:pPr>
    </w:p>
    <w:p w14:paraId="123192F5">
      <w:pPr>
        <w:pStyle w:val="2"/>
      </w:pPr>
    </w:p>
    <w:p w14:paraId="6EB3E409">
      <w:pPr>
        <w:pageBreakBefore/>
        <w:spacing w:line="360" w:lineRule="auto"/>
        <w:jc w:val="center"/>
        <w:rPr>
          <w:rFonts w:ascii="宋体" w:hAnsi="宋体" w:eastAsia="宋体"/>
          <w:b/>
          <w:sz w:val="44"/>
          <w:szCs w:val="44"/>
        </w:rPr>
      </w:pPr>
      <w:r>
        <w:rPr>
          <w:rFonts w:hint="eastAsia" w:ascii="宋体" w:hAnsi="宋体" w:eastAsia="宋体"/>
          <w:b/>
          <w:sz w:val="44"/>
          <w:szCs w:val="44"/>
        </w:rPr>
        <w:t>第四章  评审方法和程序</w:t>
      </w:r>
    </w:p>
    <w:p w14:paraId="48961E1A">
      <w:pPr>
        <w:spacing w:line="440" w:lineRule="exact"/>
        <w:ind w:firstLine="482" w:firstLineChars="200"/>
        <w:outlineLvl w:val="1"/>
        <w:rPr>
          <w:rFonts w:ascii="宋体" w:hAnsi="宋体" w:eastAsia="宋体"/>
          <w:b/>
          <w:sz w:val="24"/>
          <w:szCs w:val="24"/>
        </w:rPr>
      </w:pPr>
      <w:r>
        <w:rPr>
          <w:rFonts w:hint="eastAsia" w:ascii="宋体" w:hAnsi="宋体" w:eastAsia="宋体"/>
          <w:b/>
          <w:sz w:val="24"/>
          <w:szCs w:val="24"/>
        </w:rPr>
        <w:t>一、本项目评分采用综合评估法，各投标人资格审查通过后方能进入技术标的开标。先开技术标，技术标打分结束后再开商务标。</w:t>
      </w:r>
    </w:p>
    <w:p w14:paraId="0FBACA81">
      <w:pPr>
        <w:spacing w:line="440" w:lineRule="exact"/>
        <w:ind w:firstLine="482" w:firstLineChars="200"/>
        <w:outlineLvl w:val="1"/>
        <w:rPr>
          <w:rFonts w:ascii="宋体" w:hAnsi="宋体" w:eastAsia="宋体"/>
          <w:b/>
          <w:sz w:val="24"/>
          <w:szCs w:val="24"/>
        </w:rPr>
      </w:pPr>
      <w:r>
        <w:rPr>
          <w:rFonts w:hint="eastAsia" w:ascii="宋体" w:hAnsi="宋体" w:eastAsia="宋体"/>
          <w:b/>
          <w:sz w:val="24"/>
          <w:szCs w:val="24"/>
        </w:rPr>
        <w:t>二、评选程序</w:t>
      </w:r>
    </w:p>
    <w:p w14:paraId="7E8B18D5">
      <w:pPr>
        <w:spacing w:line="440" w:lineRule="exact"/>
        <w:ind w:firstLine="480" w:firstLineChars="200"/>
        <w:outlineLvl w:val="1"/>
        <w:rPr>
          <w:rFonts w:ascii="宋体" w:hAnsi="宋体" w:eastAsia="宋体"/>
          <w:b/>
          <w:sz w:val="24"/>
          <w:szCs w:val="24"/>
        </w:rPr>
      </w:pPr>
      <w:r>
        <w:rPr>
          <w:rFonts w:hint="eastAsia" w:ascii="宋体" w:hAnsi="宋体" w:eastAsia="宋体"/>
          <w:bCs/>
          <w:sz w:val="24"/>
          <w:szCs w:val="24"/>
        </w:rPr>
        <w:t>资格符合性评审→技术标开标、评审→商务标开标、评审→确定中标候选人。</w:t>
      </w:r>
    </w:p>
    <w:p w14:paraId="79655D2B">
      <w:pPr>
        <w:spacing w:line="440" w:lineRule="exact"/>
        <w:ind w:firstLine="482" w:firstLineChars="200"/>
        <w:outlineLvl w:val="1"/>
        <w:rPr>
          <w:rFonts w:ascii="宋体" w:hAnsi="宋体" w:eastAsia="宋体"/>
          <w:b/>
          <w:sz w:val="24"/>
          <w:szCs w:val="24"/>
        </w:rPr>
      </w:pPr>
      <w:r>
        <w:rPr>
          <w:rFonts w:hint="eastAsia" w:ascii="宋体" w:hAnsi="宋体" w:eastAsia="宋体"/>
          <w:b/>
          <w:sz w:val="24"/>
          <w:szCs w:val="24"/>
        </w:rPr>
        <w:t>三、资格审查及办法</w:t>
      </w:r>
    </w:p>
    <w:p w14:paraId="65658C5D">
      <w:pPr>
        <w:spacing w:line="440" w:lineRule="exact"/>
        <w:ind w:firstLine="480" w:firstLineChars="200"/>
        <w:outlineLvl w:val="1"/>
        <w:rPr>
          <w:rFonts w:ascii="宋体" w:hAnsi="宋体" w:eastAsia="宋体"/>
          <w:bCs/>
          <w:sz w:val="24"/>
          <w:szCs w:val="24"/>
        </w:rPr>
      </w:pPr>
      <w:r>
        <w:rPr>
          <w:rFonts w:hint="eastAsia" w:ascii="宋体" w:hAnsi="宋体" w:eastAsia="宋体"/>
          <w:bCs/>
          <w:sz w:val="24"/>
          <w:szCs w:val="24"/>
        </w:rPr>
        <w:t>1、本次资格审查采用合格制，各投标人只有满足资格审查必要合格条件后，方可参与技术标、商务标的评审。</w:t>
      </w:r>
    </w:p>
    <w:p w14:paraId="50545695">
      <w:pPr>
        <w:spacing w:line="440" w:lineRule="exact"/>
        <w:ind w:firstLine="480" w:firstLineChars="200"/>
        <w:outlineLvl w:val="1"/>
        <w:rPr>
          <w:rFonts w:ascii="宋体" w:hAnsi="宋体" w:eastAsia="宋体"/>
          <w:bCs/>
          <w:sz w:val="24"/>
          <w:szCs w:val="24"/>
        </w:rPr>
      </w:pPr>
      <w:r>
        <w:rPr>
          <w:rFonts w:hint="eastAsia" w:ascii="宋体" w:hAnsi="宋体" w:eastAsia="宋体"/>
          <w:bCs/>
          <w:sz w:val="24"/>
          <w:szCs w:val="24"/>
        </w:rPr>
        <w:t>2、评标委员会按下表所列的资格审查必要合格条件，对各投标人递交的资格审查文件进行评审，并公布资格审查合格者名单。</w:t>
      </w:r>
    </w:p>
    <w:p w14:paraId="3147B2BF">
      <w:pPr>
        <w:snapToGrid w:val="0"/>
        <w:spacing w:line="440" w:lineRule="exact"/>
        <w:jc w:val="center"/>
        <w:outlineLvl w:val="1"/>
        <w:rPr>
          <w:rFonts w:ascii="宋体" w:hAnsi="宋体" w:eastAsia="宋体"/>
          <w:b/>
          <w:sz w:val="24"/>
          <w:szCs w:val="24"/>
        </w:rPr>
      </w:pPr>
      <w:r>
        <w:rPr>
          <w:rFonts w:hint="eastAsia" w:ascii="宋体" w:hAnsi="宋体" w:eastAsia="宋体"/>
          <w:b/>
          <w:sz w:val="24"/>
          <w:szCs w:val="24"/>
        </w:rPr>
        <w:t>资格审查需提供的材料</w:t>
      </w:r>
    </w:p>
    <w:tbl>
      <w:tblPr>
        <w:tblStyle w:val="68"/>
        <w:tblpPr w:leftFromText="180" w:rightFromText="180" w:vertAnchor="text" w:horzAnchor="page" w:tblpXSpec="center" w:tblpY="100"/>
        <w:tblOverlap w:val="never"/>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8444"/>
      </w:tblGrid>
      <w:tr w14:paraId="5877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5" w:type="dxa"/>
            <w:vAlign w:val="center"/>
          </w:tcPr>
          <w:p w14:paraId="067768EB">
            <w:pPr>
              <w:adjustRightInd w:val="0"/>
              <w:snapToGrid w:val="0"/>
              <w:jc w:val="center"/>
              <w:outlineLvl w:val="1"/>
              <w:rPr>
                <w:rFonts w:ascii="宋体" w:hAnsi="宋体" w:eastAsia="宋体"/>
                <w:b/>
                <w:bCs/>
                <w:sz w:val="22"/>
                <w:szCs w:val="22"/>
              </w:rPr>
            </w:pPr>
            <w:r>
              <w:rPr>
                <w:rFonts w:hint="eastAsia" w:ascii="宋体" w:hAnsi="宋体" w:eastAsia="宋体"/>
                <w:b/>
                <w:bCs/>
                <w:sz w:val="22"/>
                <w:szCs w:val="22"/>
              </w:rPr>
              <w:t>序号</w:t>
            </w:r>
          </w:p>
        </w:tc>
        <w:tc>
          <w:tcPr>
            <w:tcW w:w="8444" w:type="dxa"/>
            <w:vAlign w:val="center"/>
          </w:tcPr>
          <w:p w14:paraId="6CBBB74D">
            <w:pPr>
              <w:adjustRightInd w:val="0"/>
              <w:snapToGrid w:val="0"/>
              <w:jc w:val="center"/>
              <w:outlineLvl w:val="1"/>
              <w:rPr>
                <w:rFonts w:ascii="宋体" w:hAnsi="宋体" w:eastAsia="宋体"/>
                <w:b/>
                <w:bCs/>
                <w:sz w:val="22"/>
                <w:szCs w:val="22"/>
              </w:rPr>
            </w:pPr>
            <w:r>
              <w:rPr>
                <w:rFonts w:hint="eastAsia" w:ascii="宋体" w:hAnsi="宋体" w:eastAsia="宋体"/>
                <w:b/>
                <w:bCs/>
                <w:sz w:val="22"/>
                <w:szCs w:val="22"/>
              </w:rPr>
              <w:t>需提供材料</w:t>
            </w:r>
          </w:p>
        </w:tc>
      </w:tr>
      <w:tr w14:paraId="4F44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95" w:type="dxa"/>
            <w:vAlign w:val="center"/>
          </w:tcPr>
          <w:p w14:paraId="05CB21B3">
            <w:pPr>
              <w:adjustRightInd w:val="0"/>
              <w:snapToGrid w:val="0"/>
              <w:spacing w:line="440" w:lineRule="exact"/>
              <w:jc w:val="center"/>
              <w:outlineLvl w:val="1"/>
              <w:rPr>
                <w:rFonts w:ascii="宋体" w:hAnsi="宋体" w:eastAsia="宋体"/>
                <w:b/>
                <w:bCs/>
                <w:sz w:val="22"/>
                <w:szCs w:val="22"/>
              </w:rPr>
            </w:pPr>
            <w:r>
              <w:rPr>
                <w:rFonts w:hint="eastAsia" w:ascii="宋体" w:hAnsi="宋体" w:eastAsia="宋体"/>
                <w:b/>
                <w:bCs/>
                <w:sz w:val="22"/>
                <w:szCs w:val="22"/>
              </w:rPr>
              <w:t>1</w:t>
            </w:r>
          </w:p>
        </w:tc>
        <w:tc>
          <w:tcPr>
            <w:tcW w:w="8444" w:type="dxa"/>
            <w:vAlign w:val="center"/>
          </w:tcPr>
          <w:p w14:paraId="3E95277C">
            <w:pPr>
              <w:adjustRightInd w:val="0"/>
              <w:snapToGrid w:val="0"/>
              <w:spacing w:line="440" w:lineRule="exact"/>
              <w:jc w:val="left"/>
              <w:outlineLvl w:val="1"/>
              <w:rPr>
                <w:rFonts w:ascii="宋体" w:hAnsi="宋体" w:eastAsia="宋体"/>
                <w:sz w:val="24"/>
                <w:szCs w:val="24"/>
              </w:rPr>
            </w:pPr>
            <w:r>
              <w:rPr>
                <w:rFonts w:hint="eastAsia" w:ascii="宋体" w:hAnsi="宋体" w:eastAsia="宋体" w:cs="宋体"/>
                <w:bCs/>
                <w:sz w:val="24"/>
                <w:szCs w:val="24"/>
              </w:rPr>
              <w:t>提供投标人声明函原件（格式详见第九章）</w:t>
            </w:r>
          </w:p>
        </w:tc>
      </w:tr>
      <w:tr w14:paraId="1AAF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95" w:type="dxa"/>
            <w:vAlign w:val="center"/>
          </w:tcPr>
          <w:p w14:paraId="7E30DD0A">
            <w:pPr>
              <w:adjustRightInd w:val="0"/>
              <w:snapToGrid w:val="0"/>
              <w:spacing w:line="440" w:lineRule="exact"/>
              <w:jc w:val="center"/>
              <w:outlineLvl w:val="1"/>
              <w:rPr>
                <w:rFonts w:ascii="宋体" w:hAnsi="宋体" w:eastAsia="宋体"/>
                <w:b/>
                <w:bCs/>
                <w:sz w:val="22"/>
                <w:szCs w:val="22"/>
              </w:rPr>
            </w:pPr>
            <w:r>
              <w:rPr>
                <w:rFonts w:hint="eastAsia" w:ascii="宋体" w:hAnsi="宋体" w:eastAsia="宋体"/>
                <w:b/>
                <w:bCs/>
                <w:sz w:val="22"/>
                <w:szCs w:val="22"/>
              </w:rPr>
              <w:t>2</w:t>
            </w:r>
          </w:p>
        </w:tc>
        <w:tc>
          <w:tcPr>
            <w:tcW w:w="8444" w:type="dxa"/>
            <w:vAlign w:val="center"/>
          </w:tcPr>
          <w:p w14:paraId="607F508E">
            <w:pPr>
              <w:spacing w:line="440" w:lineRule="exact"/>
              <w:rPr>
                <w:rFonts w:ascii="宋体" w:hAnsi="宋体" w:eastAsia="宋体"/>
                <w:sz w:val="24"/>
                <w:szCs w:val="24"/>
              </w:rPr>
            </w:pPr>
            <w:r>
              <w:rPr>
                <w:rFonts w:hint="eastAsia" w:ascii="宋体" w:hAnsi="宋体" w:eastAsia="宋体" w:cs="宋体"/>
                <w:bCs/>
                <w:sz w:val="24"/>
                <w:szCs w:val="24"/>
              </w:rPr>
              <w:t>提供</w:t>
            </w:r>
            <w:r>
              <w:rPr>
                <w:rFonts w:ascii="宋体" w:hAnsi="宋体" w:eastAsia="宋体" w:cs="宋体"/>
                <w:bCs/>
                <w:sz w:val="24"/>
                <w:szCs w:val="24"/>
              </w:rPr>
              <w:t>有效的营业执照</w:t>
            </w:r>
            <w:r>
              <w:rPr>
                <w:rFonts w:hint="eastAsia" w:ascii="宋体" w:hAnsi="宋体" w:eastAsia="宋体" w:cs="宋体"/>
                <w:bCs/>
                <w:sz w:val="24"/>
                <w:szCs w:val="24"/>
              </w:rPr>
              <w:t>复印件</w:t>
            </w:r>
            <w:r>
              <w:rPr>
                <w:rFonts w:ascii="宋体" w:hAnsi="宋体" w:eastAsia="宋体" w:cs="宋体"/>
                <w:bCs/>
                <w:sz w:val="24"/>
                <w:szCs w:val="24"/>
              </w:rPr>
              <w:t>。</w:t>
            </w:r>
          </w:p>
        </w:tc>
      </w:tr>
      <w:tr w14:paraId="0765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695" w:type="dxa"/>
            <w:vAlign w:val="center"/>
          </w:tcPr>
          <w:p w14:paraId="4C07EF5B">
            <w:pPr>
              <w:adjustRightInd w:val="0"/>
              <w:snapToGrid w:val="0"/>
              <w:spacing w:line="440" w:lineRule="exact"/>
              <w:jc w:val="center"/>
              <w:outlineLvl w:val="1"/>
              <w:rPr>
                <w:rFonts w:ascii="宋体" w:hAnsi="宋体" w:eastAsia="宋体"/>
                <w:b/>
                <w:bCs/>
                <w:sz w:val="22"/>
                <w:szCs w:val="22"/>
              </w:rPr>
            </w:pPr>
            <w:r>
              <w:rPr>
                <w:rFonts w:hint="eastAsia" w:ascii="宋体" w:hAnsi="宋体" w:eastAsia="宋体"/>
                <w:b/>
                <w:bCs/>
                <w:sz w:val="22"/>
                <w:szCs w:val="22"/>
              </w:rPr>
              <w:t>3</w:t>
            </w:r>
          </w:p>
        </w:tc>
        <w:tc>
          <w:tcPr>
            <w:tcW w:w="8444" w:type="dxa"/>
            <w:vAlign w:val="center"/>
          </w:tcPr>
          <w:p w14:paraId="4BAA6D51">
            <w:pPr>
              <w:spacing w:line="440" w:lineRule="exact"/>
              <w:rPr>
                <w:rFonts w:ascii="宋体" w:hAnsi="宋体" w:eastAsia="宋体" w:cs="宋体"/>
                <w:sz w:val="24"/>
                <w:szCs w:val="24"/>
              </w:rPr>
            </w:pPr>
            <w:r>
              <w:rPr>
                <w:rFonts w:hint="eastAsia" w:ascii="宋体" w:hAnsi="宋体" w:eastAsia="宋体" w:cs="宋体"/>
                <w:sz w:val="24"/>
                <w:szCs w:val="24"/>
              </w:rPr>
              <w:t>法定代表人参加投标的，必须</w:t>
            </w:r>
            <w:r>
              <w:rPr>
                <w:rFonts w:hint="eastAsia" w:ascii="宋体" w:hAnsi="宋体" w:eastAsia="宋体" w:cs="宋体"/>
                <w:bCs/>
                <w:sz w:val="24"/>
                <w:szCs w:val="24"/>
              </w:rPr>
              <w:t>提供法定代表人身份证明及法定代表人本人身份证复印件</w:t>
            </w:r>
            <w:r>
              <w:rPr>
                <w:rFonts w:hint="eastAsia" w:ascii="宋体" w:hAnsi="宋体" w:eastAsia="宋体" w:cs="宋体"/>
                <w:sz w:val="24"/>
                <w:szCs w:val="24"/>
              </w:rPr>
              <w:t>(须加盖单位公章)；非法定代表人参加投标的，必须</w:t>
            </w:r>
            <w:r>
              <w:rPr>
                <w:rFonts w:hint="eastAsia" w:ascii="宋体" w:hAnsi="宋体" w:eastAsia="宋体" w:cs="宋体"/>
                <w:bCs/>
                <w:sz w:val="24"/>
                <w:szCs w:val="24"/>
              </w:rPr>
              <w:t>提供法定代表人身份证明及法定代表人签字或盖章的授权委托书及法定代表人、被授权人的两人身份证的复印件；</w:t>
            </w:r>
            <w:r>
              <w:rPr>
                <w:rFonts w:hint="eastAsia" w:ascii="宋体" w:hAnsi="宋体" w:eastAsia="宋体" w:cs="宋体"/>
                <w:bCs/>
                <w:kern w:val="0"/>
                <w:sz w:val="24"/>
                <w:szCs w:val="24"/>
              </w:rPr>
              <w:t>被授权人为投标人正式人员证明材料【提供①与投标人签订的有效劳动合同复印件；②投标人为其缴纳的202</w:t>
            </w:r>
            <w:r>
              <w:rPr>
                <w:rFonts w:ascii="宋体" w:hAnsi="宋体" w:eastAsia="宋体" w:cs="宋体"/>
                <w:bCs/>
                <w:kern w:val="0"/>
                <w:sz w:val="24"/>
                <w:szCs w:val="24"/>
              </w:rPr>
              <w:t>4</w:t>
            </w:r>
            <w:r>
              <w:rPr>
                <w:rFonts w:hint="eastAsia" w:ascii="宋体" w:hAnsi="宋体" w:eastAsia="宋体" w:cs="宋体"/>
                <w:bCs/>
                <w:kern w:val="0"/>
                <w:sz w:val="24"/>
                <w:szCs w:val="24"/>
              </w:rPr>
              <w:t>年</w:t>
            </w:r>
            <w:r>
              <w:rPr>
                <w:rFonts w:ascii="宋体" w:hAnsi="宋体" w:eastAsia="宋体" w:cs="宋体"/>
                <w:bCs/>
                <w:kern w:val="0"/>
                <w:sz w:val="24"/>
                <w:szCs w:val="24"/>
              </w:rPr>
              <w:t>5</w:t>
            </w:r>
            <w:r>
              <w:rPr>
                <w:rFonts w:hint="eastAsia" w:ascii="宋体" w:hAnsi="宋体" w:eastAsia="宋体" w:cs="宋体"/>
                <w:bCs/>
                <w:kern w:val="0"/>
                <w:sz w:val="24"/>
                <w:szCs w:val="24"/>
              </w:rPr>
              <w:t>月-202</w:t>
            </w:r>
            <w:r>
              <w:rPr>
                <w:rFonts w:ascii="宋体" w:hAnsi="宋体" w:eastAsia="宋体" w:cs="宋体"/>
                <w:bCs/>
                <w:kern w:val="0"/>
                <w:sz w:val="24"/>
                <w:szCs w:val="24"/>
              </w:rPr>
              <w:t>4</w:t>
            </w:r>
            <w:r>
              <w:rPr>
                <w:rFonts w:hint="eastAsia" w:ascii="宋体" w:hAnsi="宋体" w:eastAsia="宋体" w:cs="宋体"/>
                <w:bCs/>
                <w:kern w:val="0"/>
                <w:sz w:val="24"/>
                <w:szCs w:val="24"/>
              </w:rPr>
              <w:t>年1</w:t>
            </w:r>
            <w:r>
              <w:rPr>
                <w:rFonts w:ascii="宋体" w:hAnsi="宋体" w:eastAsia="宋体" w:cs="宋体"/>
                <w:bCs/>
                <w:kern w:val="0"/>
                <w:sz w:val="24"/>
                <w:szCs w:val="24"/>
              </w:rPr>
              <w:t>0</w:t>
            </w:r>
            <w:r>
              <w:rPr>
                <w:rFonts w:hint="eastAsia" w:ascii="宋体" w:hAnsi="宋体" w:eastAsia="宋体" w:cs="宋体"/>
                <w:bCs/>
                <w:kern w:val="0"/>
                <w:sz w:val="24"/>
                <w:szCs w:val="24"/>
              </w:rPr>
              <w:t>月连续六个月的社保缴费证明复印件】</w:t>
            </w:r>
            <w:r>
              <w:rPr>
                <w:rFonts w:hint="eastAsia" w:asciiTheme="minorEastAsia" w:hAnsiTheme="minorEastAsia" w:eastAsiaTheme="minorEastAsia" w:cstheme="minorEastAsia"/>
                <w:sz w:val="24"/>
                <w:szCs w:val="24"/>
              </w:rPr>
              <w:t>(须加盖单位公章)</w:t>
            </w:r>
            <w:r>
              <w:rPr>
                <w:rFonts w:hint="eastAsia" w:ascii="宋体" w:hAnsi="宋体" w:eastAsia="宋体" w:cs="宋体"/>
                <w:sz w:val="24"/>
                <w:szCs w:val="24"/>
              </w:rPr>
              <w:t>。</w:t>
            </w:r>
            <w:r>
              <w:rPr>
                <w:rFonts w:ascii="宋体" w:hAnsi="宋体" w:eastAsia="宋体" w:cs="宋体"/>
                <w:sz w:val="24"/>
                <w:szCs w:val="24"/>
              </w:rPr>
              <w:t>(</w:t>
            </w:r>
            <w:r>
              <w:rPr>
                <w:rFonts w:hint="eastAsia" w:ascii="宋体" w:hAnsi="宋体" w:eastAsia="宋体" w:cs="宋体"/>
                <w:sz w:val="24"/>
                <w:szCs w:val="24"/>
              </w:rPr>
              <w:t>格式详见第九章，</w:t>
            </w:r>
            <w:r>
              <w:rPr>
                <w:rFonts w:ascii="宋体" w:hAnsi="宋体" w:eastAsia="宋体" w:cs="宋体"/>
                <w:sz w:val="24"/>
                <w:szCs w:val="24"/>
              </w:rPr>
              <w:t>须加盖单位公章)。</w:t>
            </w:r>
          </w:p>
        </w:tc>
      </w:tr>
      <w:tr w14:paraId="4556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9139" w:type="dxa"/>
            <w:gridSpan w:val="2"/>
            <w:vAlign w:val="center"/>
          </w:tcPr>
          <w:p w14:paraId="6AB04E73">
            <w:pPr>
              <w:adjustRightInd w:val="0"/>
              <w:snapToGrid w:val="0"/>
              <w:spacing w:line="440" w:lineRule="exact"/>
              <w:jc w:val="left"/>
              <w:outlineLvl w:val="1"/>
              <w:rPr>
                <w:rFonts w:ascii="宋体" w:hAnsi="宋体" w:eastAsia="宋体"/>
                <w:b/>
                <w:bCs/>
                <w:sz w:val="22"/>
                <w:szCs w:val="22"/>
              </w:rPr>
            </w:pPr>
            <w:r>
              <w:rPr>
                <w:rFonts w:hint="eastAsia" w:ascii="宋体" w:hAnsi="宋体" w:eastAsia="宋体"/>
                <w:b/>
                <w:bCs/>
                <w:sz w:val="24"/>
                <w:szCs w:val="24"/>
              </w:rPr>
              <w:t>注：以上材料如为复印件的均须为有效原件的复印件并加盖投标人公章。</w:t>
            </w:r>
          </w:p>
        </w:tc>
      </w:tr>
    </w:tbl>
    <w:p w14:paraId="370E4827">
      <w:pPr>
        <w:spacing w:line="440" w:lineRule="exact"/>
        <w:ind w:firstLine="482" w:firstLineChars="200"/>
        <w:outlineLvl w:val="1"/>
        <w:rPr>
          <w:rFonts w:ascii="宋体" w:hAnsi="宋体" w:eastAsia="宋体"/>
          <w:b/>
          <w:sz w:val="24"/>
          <w:szCs w:val="24"/>
        </w:rPr>
      </w:pPr>
      <w:r>
        <w:rPr>
          <w:rFonts w:hint="eastAsia" w:ascii="宋体" w:hAnsi="宋体" w:eastAsia="宋体"/>
          <w:b/>
          <w:sz w:val="24"/>
          <w:szCs w:val="24"/>
        </w:rPr>
        <w:t>四、评审方法</w:t>
      </w:r>
    </w:p>
    <w:p w14:paraId="2B9F5FBC">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、评标小组将仅按本招标文件载明的方法与规定，为实质上响应招标文件要求的投标文件评审并进行评价和比较。</w:t>
      </w:r>
    </w:p>
    <w:p w14:paraId="3B1967BD">
      <w:pPr>
        <w:spacing w:line="44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、本次项目的技术标和商务标评审总分值为</w:t>
      </w:r>
      <w:r>
        <w:rPr>
          <w:rFonts w:ascii="宋体" w:hAnsi="宋体" w:eastAsia="宋体"/>
          <w:sz w:val="24"/>
          <w:szCs w:val="24"/>
        </w:rPr>
        <w:t>100</w:t>
      </w:r>
      <w:r>
        <w:rPr>
          <w:rFonts w:hint="eastAsia" w:ascii="宋体" w:hAnsi="宋体" w:eastAsia="宋体"/>
          <w:sz w:val="24"/>
          <w:szCs w:val="24"/>
        </w:rPr>
        <w:t>分。两部分评审因素比重如下：</w:t>
      </w:r>
    </w:p>
    <w:p w14:paraId="169A6BF3">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1</w:t>
      </w:r>
      <w:r>
        <w:rPr>
          <w:rFonts w:hint="eastAsia" w:ascii="宋体" w:hAnsi="宋体" w:eastAsia="宋体"/>
          <w:sz w:val="24"/>
          <w:szCs w:val="24"/>
        </w:rPr>
        <w:t>）技术标分值占总分值的比重为</w:t>
      </w:r>
      <w:r>
        <w:rPr>
          <w:rFonts w:ascii="宋体" w:hAnsi="宋体" w:eastAsia="宋体"/>
          <w:b/>
          <w:sz w:val="24"/>
          <w:szCs w:val="24"/>
          <w:u w:val="single"/>
        </w:rPr>
        <w:t>80%</w:t>
      </w:r>
      <w:r>
        <w:rPr>
          <w:rFonts w:hint="eastAsia" w:ascii="宋体" w:hAnsi="宋体" w:eastAsia="宋体"/>
          <w:b/>
          <w:sz w:val="24"/>
          <w:szCs w:val="24"/>
          <w:u w:val="single"/>
        </w:rPr>
        <w:t>（权重）</w:t>
      </w:r>
      <w:r>
        <w:rPr>
          <w:rFonts w:hint="eastAsia" w:ascii="宋体" w:hAnsi="宋体" w:eastAsia="宋体"/>
          <w:b/>
          <w:sz w:val="24"/>
          <w:szCs w:val="24"/>
        </w:rPr>
        <w:t>（四舍五入保留两位小数）；</w:t>
      </w:r>
    </w:p>
    <w:p w14:paraId="6E15D5CA">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2</w:t>
      </w:r>
      <w:r>
        <w:rPr>
          <w:rFonts w:hint="eastAsia" w:ascii="宋体" w:hAnsi="宋体" w:eastAsia="宋体"/>
          <w:sz w:val="24"/>
          <w:szCs w:val="24"/>
        </w:rPr>
        <w:t>）商务标分值占总分值的比重为</w:t>
      </w:r>
      <w:r>
        <w:rPr>
          <w:rFonts w:ascii="宋体" w:hAnsi="宋体" w:eastAsia="宋体"/>
          <w:b/>
          <w:sz w:val="24"/>
          <w:szCs w:val="24"/>
          <w:u w:val="single"/>
        </w:rPr>
        <w:t>20%</w:t>
      </w:r>
      <w:r>
        <w:rPr>
          <w:rFonts w:hint="eastAsia" w:ascii="宋体" w:hAnsi="宋体" w:eastAsia="宋体"/>
          <w:b/>
          <w:sz w:val="24"/>
          <w:szCs w:val="24"/>
          <w:u w:val="single"/>
        </w:rPr>
        <w:t>（权重）</w:t>
      </w:r>
      <w:r>
        <w:rPr>
          <w:rFonts w:hint="eastAsia" w:ascii="宋体" w:hAnsi="宋体" w:eastAsia="宋体"/>
          <w:b/>
          <w:sz w:val="24"/>
          <w:szCs w:val="24"/>
        </w:rPr>
        <w:t>（四舍五入保留两位小数）</w:t>
      </w:r>
      <w:r>
        <w:rPr>
          <w:rFonts w:hint="eastAsia" w:ascii="宋体" w:hAnsi="宋体" w:eastAsia="宋体"/>
          <w:sz w:val="24"/>
          <w:szCs w:val="24"/>
        </w:rPr>
        <w:t>。</w:t>
      </w:r>
    </w:p>
    <w:p w14:paraId="46ED725B">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、评标小组严格按招标文件的要求、条件、评分标准，对投标人所提供货物或服务的先进性、可靠性、售后服务承诺、质量保证承诺等实质性响应内容进行比较。</w:t>
      </w:r>
    </w:p>
    <w:p w14:paraId="5DF2E3E9">
      <w:pPr>
        <w:spacing w:line="440" w:lineRule="exact"/>
        <w:ind w:firstLine="482" w:firstLineChars="200"/>
        <w:rPr>
          <w:rFonts w:ascii="宋体" w:hAnsi="宋体" w:eastAsia="宋体"/>
          <w:b/>
          <w:bCs/>
          <w:sz w:val="24"/>
          <w:szCs w:val="24"/>
        </w:rPr>
      </w:pPr>
      <w:r>
        <w:rPr>
          <w:rFonts w:ascii="宋体" w:hAnsi="宋体" w:eastAsia="宋体"/>
          <w:b/>
          <w:bCs/>
          <w:sz w:val="24"/>
          <w:szCs w:val="24"/>
        </w:rPr>
        <w:t>4</w:t>
      </w:r>
      <w:r>
        <w:rPr>
          <w:rFonts w:hint="eastAsia" w:ascii="宋体" w:hAnsi="宋体" w:eastAsia="宋体"/>
          <w:b/>
          <w:bCs/>
          <w:sz w:val="24"/>
          <w:szCs w:val="24"/>
        </w:rPr>
        <w:t>、技术标文件最终得分取所有评委打分的算术平均值（计算结果均四舍五入保留两位小数）。</w:t>
      </w:r>
    </w:p>
    <w:p w14:paraId="7CECEFC4">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、开启投标人的商务标，投标人的商务标报价得分直接计算取得，与技术标得分相加为投标人的综合得分</w:t>
      </w:r>
      <w:r>
        <w:rPr>
          <w:rFonts w:hint="eastAsia" w:ascii="宋体" w:hAnsi="宋体" w:eastAsia="宋体"/>
          <w:b/>
          <w:bCs/>
          <w:sz w:val="24"/>
          <w:szCs w:val="24"/>
        </w:rPr>
        <w:t>（计算结果均四舍五入保留两位小数）</w:t>
      </w:r>
      <w:r>
        <w:rPr>
          <w:rFonts w:hint="eastAsia" w:ascii="宋体" w:hAnsi="宋体" w:eastAsia="宋体"/>
          <w:sz w:val="24"/>
          <w:szCs w:val="24"/>
        </w:rPr>
        <w:t>。</w:t>
      </w:r>
    </w:p>
    <w:p w14:paraId="440A9E7A">
      <w:pPr>
        <w:spacing w:line="440" w:lineRule="exact"/>
        <w:ind w:firstLine="482" w:firstLineChars="200"/>
        <w:rPr>
          <w:rFonts w:ascii="宋体" w:hAnsi="宋体" w:eastAsia="宋体"/>
          <w:b/>
          <w:bCs/>
          <w:sz w:val="24"/>
          <w:szCs w:val="24"/>
        </w:rPr>
      </w:pPr>
      <w:r>
        <w:rPr>
          <w:rFonts w:ascii="宋体" w:hAnsi="宋体" w:eastAsia="宋体"/>
          <w:b/>
          <w:bCs/>
          <w:sz w:val="24"/>
          <w:szCs w:val="24"/>
        </w:rPr>
        <w:t>6</w:t>
      </w:r>
      <w:r>
        <w:rPr>
          <w:rFonts w:hint="eastAsia" w:ascii="宋体" w:hAnsi="宋体" w:eastAsia="宋体"/>
          <w:b/>
          <w:bCs/>
          <w:sz w:val="24"/>
          <w:szCs w:val="24"/>
        </w:rPr>
        <w:t>、综合得分最高者推荐为中标人并出具评审报告。</w:t>
      </w:r>
    </w:p>
    <w:p w14:paraId="142EDC0E">
      <w:pPr>
        <w:spacing w:line="440" w:lineRule="exact"/>
        <w:ind w:firstLine="482" w:firstLineChars="200"/>
        <w:outlineLvl w:val="1"/>
        <w:rPr>
          <w:rFonts w:ascii="宋体" w:hAnsi="宋体" w:eastAsia="宋体"/>
          <w:b/>
          <w:sz w:val="24"/>
          <w:szCs w:val="24"/>
        </w:rPr>
      </w:pPr>
      <w:r>
        <w:rPr>
          <w:rFonts w:hint="eastAsia" w:ascii="宋体" w:hAnsi="宋体" w:eastAsia="宋体"/>
          <w:b/>
          <w:sz w:val="24"/>
          <w:szCs w:val="24"/>
        </w:rPr>
        <w:t>五、评审细则</w:t>
      </w:r>
    </w:p>
    <w:p w14:paraId="6BE69B38">
      <w:pPr>
        <w:spacing w:line="440" w:lineRule="exact"/>
        <w:ind w:firstLine="480" w:firstLineChars="200"/>
      </w:pPr>
      <w:r>
        <w:rPr>
          <w:rFonts w:hint="eastAsia" w:ascii="宋体" w:hAnsi="宋体" w:eastAsia="宋体"/>
          <w:sz w:val="24"/>
          <w:szCs w:val="24"/>
        </w:rPr>
        <w:t>（一）技术标评分：（</w:t>
      </w:r>
      <w:r>
        <w:rPr>
          <w:rFonts w:ascii="宋体" w:hAnsi="宋体" w:eastAsia="宋体"/>
          <w:sz w:val="24"/>
          <w:szCs w:val="24"/>
        </w:rPr>
        <w:t>80</w:t>
      </w:r>
      <w:r>
        <w:rPr>
          <w:rFonts w:hint="eastAsia" w:ascii="宋体" w:hAnsi="宋体" w:eastAsia="宋体"/>
          <w:sz w:val="24"/>
          <w:szCs w:val="24"/>
        </w:rPr>
        <w:t>分）</w:t>
      </w:r>
    </w:p>
    <w:tbl>
      <w:tblPr>
        <w:tblStyle w:val="6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7310"/>
        <w:gridCol w:w="941"/>
      </w:tblGrid>
      <w:tr w14:paraId="1B7A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49" w:type="dxa"/>
            <w:vAlign w:val="center"/>
          </w:tcPr>
          <w:p w14:paraId="251B3C69">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评审项</w:t>
            </w:r>
          </w:p>
        </w:tc>
        <w:tc>
          <w:tcPr>
            <w:tcW w:w="7310" w:type="dxa"/>
            <w:vAlign w:val="center"/>
          </w:tcPr>
          <w:p w14:paraId="20E95A91">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评分细则</w:t>
            </w:r>
          </w:p>
        </w:tc>
        <w:tc>
          <w:tcPr>
            <w:tcW w:w="941" w:type="dxa"/>
            <w:vAlign w:val="center"/>
          </w:tcPr>
          <w:p w14:paraId="33443F0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满分</w:t>
            </w:r>
          </w:p>
          <w:p w14:paraId="5C32948E">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分值</w:t>
            </w:r>
          </w:p>
        </w:tc>
      </w:tr>
      <w:tr w14:paraId="6542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949" w:type="dxa"/>
            <w:vAlign w:val="center"/>
          </w:tcPr>
          <w:p w14:paraId="329667E7">
            <w:pPr>
              <w:jc w:val="center"/>
              <w:rPr>
                <w:rFonts w:ascii="宋体" w:hAnsi="宋体" w:eastAsia="宋体" w:cs="宋体"/>
                <w:kern w:val="0"/>
                <w:sz w:val="24"/>
                <w:szCs w:val="24"/>
              </w:rPr>
            </w:pPr>
            <w:r>
              <w:rPr>
                <w:rFonts w:hint="eastAsia" w:ascii="宋体" w:hAnsi="宋体" w:eastAsia="宋体" w:cs="宋体"/>
                <w:kern w:val="0"/>
                <w:sz w:val="24"/>
                <w:szCs w:val="24"/>
              </w:rPr>
              <w:t>人员证书实力</w:t>
            </w:r>
          </w:p>
        </w:tc>
        <w:tc>
          <w:tcPr>
            <w:tcW w:w="7310" w:type="dxa"/>
            <w:vAlign w:val="center"/>
          </w:tcPr>
          <w:p w14:paraId="4F1CDB90">
            <w:pPr>
              <w:spacing w:line="440" w:lineRule="exact"/>
              <w:ind w:firstLine="240" w:firstLineChars="100"/>
              <w:rPr>
                <w:rFonts w:ascii="宋体" w:hAnsi="宋体" w:eastAsia="宋体" w:cs="宋体"/>
                <w:kern w:val="0"/>
                <w:sz w:val="24"/>
                <w:szCs w:val="24"/>
              </w:rPr>
            </w:pPr>
            <w:r>
              <w:rPr>
                <w:rFonts w:hint="eastAsia" w:ascii="宋体" w:hAnsi="宋体" w:eastAsia="宋体" w:cs="宋体"/>
                <w:sz w:val="24"/>
                <w:szCs w:val="24"/>
              </w:rPr>
              <w:t>拟派人员中具有会计上岗证的有一个得2分，在此基础上，同时具有会计或财务审计中级职称的得1分，（即每人最多得3分，不具备会计上岗证的，不得分），</w:t>
            </w:r>
            <w:r>
              <w:rPr>
                <w:rFonts w:hint="eastAsia" w:ascii="宋体" w:hAnsi="宋体" w:eastAsia="宋体" w:cs="宋体"/>
                <w:b/>
                <w:sz w:val="24"/>
                <w:szCs w:val="24"/>
              </w:rPr>
              <w:t>本条加分项最多认可3人，最高得9分。</w:t>
            </w:r>
            <w:r>
              <w:rPr>
                <w:rFonts w:hint="eastAsia" w:ascii="宋体" w:hAnsi="宋体" w:eastAsia="宋体" w:cs="宋体"/>
                <w:sz w:val="24"/>
                <w:szCs w:val="24"/>
              </w:rPr>
              <w:t>提供有效的相关证书复印件并加盖公章，否则不得分。</w:t>
            </w:r>
          </w:p>
        </w:tc>
        <w:tc>
          <w:tcPr>
            <w:tcW w:w="941" w:type="dxa"/>
            <w:vAlign w:val="center"/>
          </w:tcPr>
          <w:p w14:paraId="21200A91">
            <w:pPr>
              <w:widowControl/>
              <w:jc w:val="center"/>
              <w:rPr>
                <w:rFonts w:ascii="宋体" w:hAnsi="宋体" w:eastAsia="宋体" w:cs="宋体"/>
                <w:kern w:val="0"/>
                <w:sz w:val="24"/>
                <w:szCs w:val="24"/>
              </w:rPr>
            </w:pPr>
            <w:r>
              <w:rPr>
                <w:rFonts w:hint="eastAsia" w:ascii="宋体" w:hAnsi="宋体" w:eastAsia="宋体" w:cs="宋体"/>
                <w:kern w:val="0"/>
                <w:sz w:val="24"/>
                <w:szCs w:val="24"/>
              </w:rPr>
              <w:t>9分</w:t>
            </w:r>
          </w:p>
        </w:tc>
      </w:tr>
      <w:tr w14:paraId="1CE4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49" w:type="dxa"/>
            <w:vAlign w:val="center"/>
          </w:tcPr>
          <w:p w14:paraId="342D25ED">
            <w:pPr>
              <w:jc w:val="center"/>
              <w:rPr>
                <w:rFonts w:ascii="宋体" w:hAnsi="宋体" w:eastAsia="宋体" w:cs="宋体"/>
                <w:kern w:val="0"/>
                <w:sz w:val="24"/>
                <w:szCs w:val="24"/>
              </w:rPr>
            </w:pPr>
            <w:r>
              <w:rPr>
                <w:rFonts w:hint="eastAsia" w:ascii="宋体" w:hAnsi="宋体" w:eastAsia="宋体" w:cs="宋体"/>
                <w:kern w:val="0"/>
                <w:sz w:val="24"/>
                <w:szCs w:val="24"/>
              </w:rPr>
              <w:t>综合实力</w:t>
            </w:r>
          </w:p>
        </w:tc>
        <w:tc>
          <w:tcPr>
            <w:tcW w:w="7310" w:type="dxa"/>
          </w:tcPr>
          <w:p w14:paraId="4314B9A8">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财务审计报告6分：提供20</w:t>
            </w:r>
            <w:r>
              <w:rPr>
                <w:rFonts w:ascii="宋体" w:hAnsi="宋体" w:eastAsia="宋体" w:cs="宋体"/>
                <w:sz w:val="24"/>
                <w:szCs w:val="24"/>
              </w:rPr>
              <w:t>21</w:t>
            </w:r>
            <w:r>
              <w:rPr>
                <w:rFonts w:hint="eastAsia" w:ascii="宋体" w:hAnsi="宋体" w:eastAsia="宋体" w:cs="宋体"/>
                <w:sz w:val="24"/>
                <w:szCs w:val="24"/>
              </w:rPr>
              <w:t>年财务审计报告的得2分、提供20</w:t>
            </w:r>
            <w:r>
              <w:rPr>
                <w:rFonts w:ascii="宋体" w:hAnsi="宋体" w:eastAsia="宋体" w:cs="宋体"/>
                <w:sz w:val="24"/>
                <w:szCs w:val="24"/>
              </w:rPr>
              <w:t>22</w:t>
            </w:r>
            <w:r>
              <w:rPr>
                <w:rFonts w:hint="eastAsia" w:ascii="宋体" w:hAnsi="宋体" w:eastAsia="宋体" w:cs="宋体"/>
                <w:sz w:val="24"/>
                <w:szCs w:val="24"/>
              </w:rPr>
              <w:t>年财务审计报告的得2分、提供202</w:t>
            </w:r>
            <w:r>
              <w:rPr>
                <w:rFonts w:ascii="宋体" w:hAnsi="宋体" w:eastAsia="宋体" w:cs="宋体"/>
                <w:sz w:val="24"/>
                <w:szCs w:val="24"/>
              </w:rPr>
              <w:t>3</w:t>
            </w:r>
            <w:r>
              <w:rPr>
                <w:rFonts w:hint="eastAsia" w:ascii="宋体" w:hAnsi="宋体" w:eastAsia="宋体" w:cs="宋体"/>
                <w:sz w:val="24"/>
                <w:szCs w:val="24"/>
              </w:rPr>
              <w:t>年财务审计报告的得2分。提供对应的财务审计报告复印件并加盖公章，否则不得分。</w:t>
            </w:r>
          </w:p>
        </w:tc>
        <w:tc>
          <w:tcPr>
            <w:tcW w:w="941" w:type="dxa"/>
            <w:vAlign w:val="center"/>
          </w:tcPr>
          <w:p w14:paraId="0D234397">
            <w:pPr>
              <w:widowControl/>
              <w:jc w:val="center"/>
              <w:rPr>
                <w:rFonts w:ascii="宋体" w:hAnsi="宋体" w:eastAsia="宋体" w:cs="宋体"/>
                <w:kern w:val="0"/>
                <w:sz w:val="24"/>
                <w:szCs w:val="24"/>
              </w:rPr>
            </w:pPr>
            <w:r>
              <w:rPr>
                <w:rFonts w:hint="eastAsia" w:ascii="宋体" w:hAnsi="宋体" w:eastAsia="宋体" w:cs="宋体"/>
                <w:kern w:val="0"/>
                <w:sz w:val="24"/>
                <w:szCs w:val="24"/>
              </w:rPr>
              <w:t>6分</w:t>
            </w:r>
          </w:p>
        </w:tc>
      </w:tr>
      <w:tr w14:paraId="691D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49" w:type="dxa"/>
            <w:vAlign w:val="center"/>
          </w:tcPr>
          <w:p w14:paraId="0E67CCB5">
            <w:pPr>
              <w:jc w:val="center"/>
              <w:rPr>
                <w:rFonts w:ascii="宋体" w:hAnsi="宋体" w:eastAsia="宋体" w:cs="宋体"/>
                <w:kern w:val="0"/>
                <w:sz w:val="24"/>
                <w:szCs w:val="24"/>
              </w:rPr>
            </w:pPr>
            <w:r>
              <w:rPr>
                <w:rFonts w:hint="eastAsia" w:ascii="宋体" w:hAnsi="宋体" w:eastAsia="宋体" w:cs="宋体"/>
                <w:kern w:val="0"/>
                <w:sz w:val="24"/>
                <w:szCs w:val="24"/>
              </w:rPr>
              <w:t>业绩</w:t>
            </w:r>
          </w:p>
        </w:tc>
        <w:tc>
          <w:tcPr>
            <w:tcW w:w="7310" w:type="dxa"/>
          </w:tcPr>
          <w:p w14:paraId="3F24E3D7">
            <w:pPr>
              <w:spacing w:line="440" w:lineRule="exact"/>
              <w:ind w:firstLine="241" w:firstLineChars="100"/>
              <w:rPr>
                <w:rFonts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sz w:val="24"/>
                <w:szCs w:val="24"/>
              </w:rPr>
              <w:t>20</w:t>
            </w:r>
            <w:r>
              <w:rPr>
                <w:rFonts w:ascii="宋体" w:hAnsi="宋体" w:eastAsia="宋体" w:cs="宋体"/>
                <w:sz w:val="24"/>
                <w:szCs w:val="24"/>
              </w:rPr>
              <w:t>20</w:t>
            </w:r>
            <w:r>
              <w:rPr>
                <w:rFonts w:hint="eastAsia" w:ascii="宋体" w:hAnsi="宋体" w:eastAsia="宋体" w:cs="宋体"/>
                <w:sz w:val="24"/>
                <w:szCs w:val="24"/>
              </w:rPr>
              <w:t>年1月1日至投标截止日每有一个拆迁安置小区销售业绩的，得5分，本项最高得分15分。（以上业绩需提供委托单位盖章确认的合同（或中标通知书）及拆迁主管部门盖章确认的业绩证明复印件并加盖公章，业绩证明需明确所代理销售小区为拆迁安置小区。日期以中标通知书或合同或拆迁主管部门的业绩证明为准。）</w:t>
            </w:r>
          </w:p>
          <w:p w14:paraId="05458FC4">
            <w:pPr>
              <w:spacing w:line="440" w:lineRule="exact"/>
              <w:ind w:firstLine="241" w:firstLineChars="100"/>
              <w:rPr>
                <w:rFonts w:ascii="宋体" w:hAnsi="宋体" w:eastAsia="宋体" w:cs="宋体"/>
                <w:sz w:val="24"/>
                <w:szCs w:val="24"/>
              </w:rPr>
            </w:pPr>
            <w:r>
              <w:rPr>
                <w:rFonts w:hint="eastAsia" w:ascii="宋体" w:hAnsi="宋体" w:eastAsia="宋体" w:cs="宋体"/>
                <w:b/>
                <w:sz w:val="24"/>
                <w:szCs w:val="24"/>
              </w:rPr>
              <w:t>2、</w:t>
            </w:r>
            <w:r>
              <w:rPr>
                <w:rFonts w:hint="eastAsia" w:ascii="宋体" w:hAnsi="宋体" w:eastAsia="宋体" w:cs="宋体"/>
                <w:sz w:val="24"/>
                <w:szCs w:val="24"/>
              </w:rPr>
              <w:t>20</w:t>
            </w:r>
            <w:r>
              <w:rPr>
                <w:rFonts w:ascii="宋体" w:hAnsi="宋体" w:eastAsia="宋体" w:cs="宋体"/>
                <w:sz w:val="24"/>
                <w:szCs w:val="24"/>
              </w:rPr>
              <w:t>20</w:t>
            </w:r>
            <w:r>
              <w:rPr>
                <w:rFonts w:hint="eastAsia" w:ascii="宋体" w:hAnsi="宋体" w:eastAsia="宋体" w:cs="宋体"/>
                <w:sz w:val="24"/>
                <w:szCs w:val="24"/>
              </w:rPr>
              <w:t>年1月1日至投标截止日承接过单项工程规划总建筑面积在100000平方米以下的，有1个得2分，单项工程规划总建筑面积在100000平方米及以上的安置小区销售结算业绩的，有1个得5分。</w:t>
            </w:r>
            <w:r>
              <w:rPr>
                <w:rFonts w:hint="eastAsia" w:ascii="宋体" w:hAnsi="宋体" w:eastAsia="宋体" w:cs="宋体"/>
                <w:b/>
                <w:sz w:val="24"/>
                <w:szCs w:val="24"/>
              </w:rPr>
              <w:t>本条加分项，业绩只认可一个，最多得5分；</w:t>
            </w:r>
            <w:r>
              <w:rPr>
                <w:rFonts w:hint="eastAsia" w:ascii="宋体" w:hAnsi="宋体" w:eastAsia="宋体" w:cs="宋体"/>
                <w:sz w:val="24"/>
                <w:szCs w:val="24"/>
              </w:rPr>
              <w:t>（以上业绩需提供委托单位盖章确认的合同（或中标通知书）及拆迁主管部门盖章确认的业绩证明复印件并加盖公章，业绩证明需明确所代理销售小区为拆迁安置小区。日期、建筑面积以中标通知书或合同或拆迁主管部门的业绩证明为准，如以上内容未反映相关业绩内容，则视为未提供，不得分。）</w:t>
            </w:r>
          </w:p>
        </w:tc>
        <w:tc>
          <w:tcPr>
            <w:tcW w:w="941" w:type="dxa"/>
            <w:vAlign w:val="center"/>
          </w:tcPr>
          <w:p w14:paraId="58A911D1">
            <w:pPr>
              <w:widowControl/>
              <w:jc w:val="center"/>
              <w:rPr>
                <w:rFonts w:ascii="宋体" w:hAnsi="宋体" w:eastAsia="宋体" w:cs="宋体"/>
                <w:kern w:val="0"/>
                <w:sz w:val="24"/>
                <w:szCs w:val="24"/>
              </w:rPr>
            </w:pPr>
            <w:r>
              <w:rPr>
                <w:rFonts w:hint="eastAsia" w:ascii="宋体" w:hAnsi="宋体" w:eastAsia="宋体" w:cs="宋体"/>
                <w:kern w:val="0"/>
                <w:sz w:val="24"/>
                <w:szCs w:val="24"/>
              </w:rPr>
              <w:t>20分</w:t>
            </w:r>
          </w:p>
        </w:tc>
      </w:tr>
      <w:tr w14:paraId="3D7B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9" w:type="dxa"/>
            <w:vAlign w:val="center"/>
          </w:tcPr>
          <w:p w14:paraId="271C7AC8">
            <w:pPr>
              <w:jc w:val="center"/>
              <w:rPr>
                <w:rFonts w:ascii="宋体" w:hAnsi="宋体" w:eastAsia="宋体" w:cs="宋体"/>
                <w:kern w:val="0"/>
                <w:sz w:val="24"/>
                <w:szCs w:val="24"/>
              </w:rPr>
            </w:pPr>
            <w:r>
              <w:rPr>
                <w:rFonts w:hint="eastAsia" w:ascii="宋体" w:hAnsi="宋体" w:eastAsia="宋体" w:cs="宋体"/>
                <w:kern w:val="0"/>
                <w:sz w:val="24"/>
                <w:szCs w:val="24"/>
              </w:rPr>
              <w:t>服务方案</w:t>
            </w:r>
          </w:p>
        </w:tc>
        <w:tc>
          <w:tcPr>
            <w:tcW w:w="7310" w:type="dxa"/>
            <w:vAlign w:val="center"/>
          </w:tcPr>
          <w:p w14:paraId="0A9F08DA">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根据所有安置房项目的实际情况从组织管理、管理机制与制度、作业方案、人员安排及设备配备等方面编制服务方案，本项最高得分45分。</w:t>
            </w:r>
          </w:p>
          <w:p w14:paraId="12233D88">
            <w:pPr>
              <w:spacing w:line="440" w:lineRule="exact"/>
              <w:ind w:firstLine="240" w:firstLineChars="100"/>
              <w:rPr>
                <w:rFonts w:ascii="宋体" w:hAnsi="宋体" w:eastAsia="宋体" w:cs="宋体"/>
                <w:sz w:val="24"/>
                <w:szCs w:val="24"/>
              </w:rPr>
            </w:pPr>
            <w:r>
              <w:rPr>
                <w:rFonts w:hint="eastAsia" w:ascii="宋体" w:hAnsi="宋体" w:eastAsia="宋体" w:cs="宋体"/>
                <w:sz w:val="24"/>
                <w:szCs w:val="24"/>
              </w:rPr>
              <w:t>具体如下：</w:t>
            </w:r>
          </w:p>
          <w:p w14:paraId="6CFC55EE">
            <w:pPr>
              <w:spacing w:line="440" w:lineRule="exact"/>
              <w:ind w:firstLine="241" w:firstLineChars="100"/>
              <w:rPr>
                <w:rFonts w:ascii="宋体" w:hAnsi="宋体" w:eastAsia="宋体" w:cs="宋体"/>
                <w:sz w:val="24"/>
                <w:szCs w:val="24"/>
              </w:rPr>
            </w:pPr>
            <w:r>
              <w:rPr>
                <w:rFonts w:hint="eastAsia" w:ascii="宋体" w:hAnsi="宋体" w:eastAsia="宋体" w:cs="宋体"/>
                <w:b/>
                <w:sz w:val="24"/>
                <w:szCs w:val="24"/>
              </w:rPr>
              <w:t>优：</w:t>
            </w:r>
            <w:r>
              <w:rPr>
                <w:rFonts w:hint="eastAsia" w:ascii="宋体" w:hAnsi="宋体" w:eastAsia="宋体" w:cs="宋体"/>
                <w:sz w:val="24"/>
                <w:szCs w:val="24"/>
              </w:rPr>
              <w:t>项目基本概况详细准确完整、相关人员、设备配备充足、具体步骤及解决关键性问题的研究途径详尽、可操作性强、预期成果完整（45分）</w:t>
            </w:r>
          </w:p>
          <w:p w14:paraId="27798F43">
            <w:pPr>
              <w:spacing w:line="440" w:lineRule="exact"/>
              <w:ind w:firstLine="241" w:firstLineChars="100"/>
              <w:rPr>
                <w:rFonts w:ascii="宋体" w:hAnsi="宋体" w:eastAsia="宋体" w:cs="宋体"/>
                <w:sz w:val="24"/>
                <w:szCs w:val="24"/>
              </w:rPr>
            </w:pPr>
            <w:r>
              <w:rPr>
                <w:rFonts w:hint="eastAsia" w:ascii="宋体" w:hAnsi="宋体" w:eastAsia="宋体" w:cs="宋体"/>
                <w:b/>
                <w:sz w:val="24"/>
                <w:szCs w:val="24"/>
              </w:rPr>
              <w:t>良：</w:t>
            </w:r>
            <w:r>
              <w:rPr>
                <w:rFonts w:hint="eastAsia" w:ascii="宋体" w:hAnsi="宋体" w:eastAsia="宋体" w:cs="宋体"/>
                <w:sz w:val="24"/>
                <w:szCs w:val="24"/>
              </w:rPr>
              <w:t>项目基本概况比较准确、相关人员、设备配备较足、具体步骤及解决关键性问题的研究途径比较详尽、可操作性较强。（30分）</w:t>
            </w:r>
          </w:p>
          <w:p w14:paraId="7D79C44B">
            <w:pPr>
              <w:spacing w:line="440" w:lineRule="exact"/>
              <w:ind w:firstLine="241" w:firstLineChars="100"/>
              <w:rPr>
                <w:rFonts w:ascii="宋体" w:hAnsi="宋体" w:eastAsia="宋体" w:cs="宋体"/>
                <w:sz w:val="24"/>
                <w:szCs w:val="24"/>
              </w:rPr>
            </w:pPr>
            <w:r>
              <w:rPr>
                <w:rFonts w:hint="eastAsia" w:ascii="宋体" w:hAnsi="宋体" w:eastAsia="宋体" w:cs="宋体"/>
                <w:b/>
                <w:sz w:val="24"/>
                <w:szCs w:val="24"/>
              </w:rPr>
              <w:t>一般：</w:t>
            </w:r>
            <w:r>
              <w:rPr>
                <w:rFonts w:hint="eastAsia" w:ascii="宋体" w:hAnsi="宋体" w:eastAsia="宋体" w:cs="宋体"/>
                <w:sz w:val="24"/>
                <w:szCs w:val="24"/>
              </w:rPr>
              <w:t>项目基本概况不太准确、相关人员、设备配备不足、具体步骤及解决关键性问题的研究途径欠缺合理性、可操作性不强、预期成果不完整。（15分）</w:t>
            </w:r>
          </w:p>
          <w:p w14:paraId="436C71F9">
            <w:pPr>
              <w:spacing w:line="440" w:lineRule="exact"/>
              <w:ind w:firstLine="241" w:firstLineChars="100"/>
              <w:rPr>
                <w:rFonts w:eastAsia="宋体"/>
                <w:sz w:val="24"/>
                <w:szCs w:val="24"/>
              </w:rPr>
            </w:pPr>
            <w:r>
              <w:rPr>
                <w:rFonts w:hint="eastAsia" w:ascii="宋体" w:hAnsi="宋体" w:eastAsia="宋体" w:cs="宋体"/>
                <w:b/>
                <w:sz w:val="24"/>
                <w:szCs w:val="24"/>
              </w:rPr>
              <w:t>差：</w:t>
            </w:r>
            <w:r>
              <w:rPr>
                <w:rFonts w:hint="eastAsia" w:ascii="宋体" w:hAnsi="宋体" w:eastAsia="宋体" w:cs="宋体"/>
                <w:sz w:val="24"/>
                <w:szCs w:val="24"/>
              </w:rPr>
              <w:t>项目基本概况不准确、相关人员、设备配备不足、具体步骤及解决关键性问题的研究途径不合理、可操作性不强、预期成果不完整。（0分）</w:t>
            </w:r>
          </w:p>
        </w:tc>
        <w:tc>
          <w:tcPr>
            <w:tcW w:w="941" w:type="dxa"/>
            <w:vAlign w:val="center"/>
          </w:tcPr>
          <w:p w14:paraId="325D39B2">
            <w:pPr>
              <w:widowControl/>
              <w:jc w:val="center"/>
              <w:rPr>
                <w:rFonts w:ascii="宋体" w:hAnsi="宋体" w:eastAsia="宋体" w:cs="宋体"/>
                <w:kern w:val="0"/>
                <w:sz w:val="24"/>
                <w:szCs w:val="24"/>
              </w:rPr>
            </w:pPr>
            <w:r>
              <w:rPr>
                <w:rFonts w:hint="eastAsia" w:ascii="宋体" w:hAnsi="宋体" w:eastAsia="宋体" w:cs="宋体"/>
                <w:kern w:val="0"/>
                <w:sz w:val="24"/>
                <w:szCs w:val="24"/>
              </w:rPr>
              <w:t>45分</w:t>
            </w:r>
          </w:p>
        </w:tc>
      </w:tr>
    </w:tbl>
    <w:p w14:paraId="3ACA61C1">
      <w:pPr>
        <w:rPr>
          <w:rFonts w:ascii="Arial"/>
          <w:sz w:val="21"/>
        </w:rPr>
      </w:pPr>
    </w:p>
    <w:p w14:paraId="1EBFBD44">
      <w:pPr>
        <w:spacing w:line="360" w:lineRule="auto"/>
        <w:ind w:firstLine="480" w:firstLineChars="200"/>
        <w:rPr>
          <w:rFonts w:ascii="宋体" w:hAnsi="宋体" w:eastAsia="宋体"/>
          <w:sz w:val="24"/>
          <w:szCs w:val="24"/>
        </w:rPr>
      </w:pPr>
      <w:r>
        <w:rPr>
          <w:rFonts w:hint="eastAsia" w:ascii="宋体" w:hAnsi="宋体" w:eastAsia="宋体"/>
          <w:sz w:val="24"/>
          <w:szCs w:val="24"/>
        </w:rPr>
        <w:t>（二）商务标评分：（</w:t>
      </w:r>
      <w:r>
        <w:rPr>
          <w:rFonts w:ascii="宋体" w:hAnsi="宋体" w:eastAsia="宋体"/>
          <w:sz w:val="24"/>
          <w:szCs w:val="24"/>
        </w:rPr>
        <w:t>20</w:t>
      </w:r>
      <w:r>
        <w:rPr>
          <w:rFonts w:hint="eastAsia" w:ascii="宋体" w:hAnsi="宋体" w:eastAsia="宋体"/>
          <w:sz w:val="24"/>
          <w:szCs w:val="24"/>
        </w:rPr>
        <w:t>分）</w:t>
      </w:r>
    </w:p>
    <w:p w14:paraId="315B3494">
      <w:pPr>
        <w:spacing w:line="360" w:lineRule="auto"/>
        <w:ind w:firstLine="480" w:firstLineChars="200"/>
        <w:rPr>
          <w:rFonts w:asciiTheme="minorEastAsia" w:hAnsiTheme="minorEastAsia" w:eastAsiaTheme="minorEastAsia" w:cstheme="minorEastAsia"/>
          <w:sz w:val="24"/>
          <w:szCs w:val="24"/>
        </w:rPr>
      </w:pPr>
      <w:r>
        <w:rPr>
          <w:rFonts w:hint="eastAsia" w:ascii="宋体" w:hAnsi="宋体" w:eastAsia="宋体" w:cs="宋体"/>
          <w:sz w:val="24"/>
          <w:szCs w:val="24"/>
        </w:rPr>
        <w:t>1、</w:t>
      </w:r>
      <w:r>
        <w:rPr>
          <w:rFonts w:hint="eastAsia" w:asciiTheme="minorEastAsia" w:hAnsiTheme="minorEastAsia" w:eastAsiaTheme="minorEastAsia" w:cstheme="minorEastAsia"/>
          <w:b/>
          <w:bCs/>
          <w:sz w:val="24"/>
          <w:szCs w:val="24"/>
          <w:u w:val="single"/>
        </w:rPr>
        <w:t>本项目单价最高限价为：1.60元/㎡，小区规划居住面积为306222㎡，投标人的投标报价高于最高限价的作无效标处理。具体面积如下：</w:t>
      </w:r>
    </w:p>
    <w:tbl>
      <w:tblPr>
        <w:tblStyle w:val="67"/>
        <w:tblW w:w="8407" w:type="dxa"/>
        <w:tblInd w:w="93" w:type="dxa"/>
        <w:tblLayout w:type="autofit"/>
        <w:tblCellMar>
          <w:top w:w="0" w:type="dxa"/>
          <w:left w:w="108" w:type="dxa"/>
          <w:bottom w:w="0" w:type="dxa"/>
          <w:right w:w="108" w:type="dxa"/>
        </w:tblCellMar>
      </w:tblPr>
      <w:tblGrid>
        <w:gridCol w:w="1140"/>
        <w:gridCol w:w="1603"/>
        <w:gridCol w:w="4838"/>
        <w:gridCol w:w="854"/>
      </w:tblGrid>
      <w:tr w14:paraId="2DAA726E">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2FCE17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项目名称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635C7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地块名称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DE21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规划居住面积(住宅、非机动车库及阁楼面积)</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04B1A24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套数</w:t>
            </w:r>
          </w:p>
        </w:tc>
      </w:tr>
      <w:tr w14:paraId="6A0E66F6">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EF49F2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衡通嘉苑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989A58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飞跃百度地块</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A025A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住宅：24489㎡、非机：3736㎡</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1AD149F1">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214</w:t>
            </w:r>
          </w:p>
        </w:tc>
      </w:tr>
      <w:tr w14:paraId="75A2C961">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590CA7D">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外滩雅苑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B4FAC5">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永泰锅炉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053DD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住宅：53283㎡、非机：7760㎡</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44225EF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590</w:t>
            </w:r>
          </w:p>
        </w:tc>
      </w:tr>
      <w:tr w14:paraId="651850BA">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14744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任港嘉苑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BE240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五一职工苑</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178348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住宅：31503㎡、非机：3904㎡</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7B82D452">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260</w:t>
            </w:r>
          </w:p>
        </w:tc>
      </w:tr>
      <w:tr w14:paraId="7DFA0987">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DDD1CC">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悦泰花园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C68456">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陈桥安置点二</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CF8938">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住宅：87172㎡、非机：5798㎡</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2ED0091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728</w:t>
            </w:r>
          </w:p>
        </w:tc>
      </w:tr>
      <w:tr w14:paraId="45D23E14">
        <w:tblPrEx>
          <w:tblCellMar>
            <w:top w:w="0" w:type="dxa"/>
            <w:left w:w="108" w:type="dxa"/>
            <w:bottom w:w="0" w:type="dxa"/>
            <w:right w:w="108" w:type="dxa"/>
          </w:tblCellMar>
        </w:tblPrEx>
        <w:trPr>
          <w:trHeight w:val="60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C4C6D23">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悦泰花园</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03C38A">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陈桥安置点三</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71474B">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住宅：83622㎡、非机：4955㎡</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66C8F0FE">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682</w:t>
            </w:r>
          </w:p>
        </w:tc>
      </w:tr>
      <w:tr w14:paraId="21111C7E">
        <w:tblPrEx>
          <w:tblCellMar>
            <w:top w:w="0" w:type="dxa"/>
            <w:left w:w="108" w:type="dxa"/>
            <w:bottom w:w="0" w:type="dxa"/>
            <w:right w:w="108" w:type="dxa"/>
          </w:tblCellMar>
        </w:tblPrEx>
        <w:trPr>
          <w:trHeight w:val="600" w:hRule="atLeast"/>
        </w:trPr>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2DA45E22">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合计</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BC022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r>
              <w:rPr>
                <w:rFonts w:ascii="宋体" w:hAnsi="宋体" w:eastAsia="宋体" w:cs="宋体"/>
                <w:color w:val="000000"/>
                <w:kern w:val="0"/>
                <w:sz w:val="24"/>
                <w:szCs w:val="24"/>
                <w:lang w:bidi="ar"/>
              </w:rPr>
              <w:t>06222</w:t>
            </w:r>
            <w:r>
              <w:rPr>
                <w:rFonts w:hint="eastAsia" w:ascii="宋体" w:hAnsi="宋体" w:eastAsia="宋体" w:cs="宋体"/>
                <w:color w:val="000000"/>
                <w:kern w:val="0"/>
                <w:sz w:val="24"/>
                <w:szCs w:val="24"/>
                <w:lang w:bidi="ar"/>
              </w:rPr>
              <w:t>㎡</w:t>
            </w:r>
          </w:p>
        </w:tc>
        <w:tc>
          <w:tcPr>
            <w:tcW w:w="879" w:type="dxa"/>
            <w:tcBorders>
              <w:top w:val="single" w:color="000000" w:sz="4" w:space="0"/>
              <w:left w:val="single" w:color="000000" w:sz="4" w:space="0"/>
              <w:bottom w:val="single" w:color="000000" w:sz="4" w:space="0"/>
              <w:right w:val="single" w:color="000000" w:sz="4" w:space="0"/>
            </w:tcBorders>
            <w:noWrap/>
            <w:vAlign w:val="center"/>
          </w:tcPr>
          <w:p w14:paraId="68ABC77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r>
              <w:rPr>
                <w:rFonts w:ascii="宋体" w:hAnsi="宋体" w:eastAsia="宋体" w:cs="宋体"/>
                <w:color w:val="000000"/>
                <w:kern w:val="0"/>
                <w:sz w:val="24"/>
                <w:szCs w:val="24"/>
                <w:lang w:bidi="ar"/>
              </w:rPr>
              <w:t>474</w:t>
            </w:r>
          </w:p>
        </w:tc>
      </w:tr>
    </w:tbl>
    <w:p w14:paraId="5E09AD25">
      <w:pPr>
        <w:spacing w:line="360" w:lineRule="auto"/>
        <w:ind w:firstLine="480" w:firstLineChars="200"/>
        <w:rPr>
          <w:rFonts w:ascii="宋体" w:hAnsi="宋体" w:eastAsia="宋体" w:cs="宋体"/>
          <w:sz w:val="24"/>
          <w:szCs w:val="24"/>
        </w:rPr>
      </w:pPr>
      <w:r>
        <w:rPr>
          <w:rFonts w:ascii="宋体" w:hAnsi="宋体" w:eastAsia="宋体" w:cs="宋体"/>
          <w:sz w:val="24"/>
          <w:szCs w:val="24"/>
        </w:rPr>
        <w:t xml:space="preserve"> </w:t>
      </w:r>
      <w:r>
        <w:rPr>
          <w:rFonts w:hint="eastAsia" w:ascii="宋体" w:hAnsi="宋体" w:eastAsia="宋体" w:cs="宋体"/>
          <w:sz w:val="24"/>
          <w:szCs w:val="24"/>
        </w:rPr>
        <w:t>2、满足招标文件要求且最后报价最低的投标人的价格为评标基准价，得满分2</w:t>
      </w:r>
      <w:r>
        <w:rPr>
          <w:rFonts w:ascii="宋体" w:hAnsi="宋体" w:eastAsia="宋体" w:cs="宋体"/>
          <w:sz w:val="24"/>
          <w:szCs w:val="24"/>
        </w:rPr>
        <w:t>0</w:t>
      </w:r>
      <w:r>
        <w:rPr>
          <w:rFonts w:hint="eastAsia" w:ascii="宋体" w:hAnsi="宋体" w:eastAsia="宋体" w:cs="宋体"/>
          <w:sz w:val="24"/>
          <w:szCs w:val="24"/>
        </w:rPr>
        <w:t>分，其他投标人的投标报价得分统一按照下列公式计算：</w:t>
      </w:r>
    </w:p>
    <w:p w14:paraId="5E53C0D7">
      <w:pPr>
        <w:spacing w:line="360" w:lineRule="auto"/>
        <w:ind w:firstLine="482" w:firstLineChars="200"/>
        <w:outlineLvl w:val="1"/>
        <w:rPr>
          <w:rFonts w:ascii="宋体" w:hAnsi="宋体" w:eastAsia="宋体" w:cs="宋体"/>
          <w:b/>
          <w:sz w:val="24"/>
          <w:szCs w:val="24"/>
        </w:rPr>
      </w:pPr>
      <w:r>
        <w:rPr>
          <w:rFonts w:hint="eastAsia" w:ascii="宋体" w:hAnsi="宋体" w:eastAsia="宋体" w:cs="宋体"/>
          <w:b/>
          <w:sz w:val="24"/>
          <w:szCs w:val="24"/>
        </w:rPr>
        <w:t>投标报价得分 =（评标基准价/投标报价）×20%×100</w:t>
      </w:r>
    </w:p>
    <w:p w14:paraId="71DE678F">
      <w:pPr>
        <w:pStyle w:val="2"/>
        <w:spacing w:line="360" w:lineRule="auto"/>
        <w:ind w:firstLine="482" w:firstLineChars="200"/>
        <w:rPr>
          <w:b w:val="0"/>
          <w:bCs w:val="0"/>
        </w:rPr>
      </w:pPr>
      <w:r>
        <w:rPr>
          <w:rFonts w:hint="eastAsia"/>
        </w:rPr>
        <w:t>注：</w:t>
      </w:r>
      <w:r>
        <w:rPr>
          <w:rFonts w:hint="eastAsia"/>
          <w:b w:val="0"/>
          <w:bCs w:val="0"/>
        </w:rPr>
        <w:t>后期财务结算借用人员服务费为360元/人/天，此项费用为固定价，不得改动，否则作无效标处理。</w:t>
      </w:r>
    </w:p>
    <w:p w14:paraId="3A24AD61">
      <w:pPr>
        <w:spacing w:line="440" w:lineRule="exact"/>
        <w:ind w:firstLine="480" w:firstLineChars="200"/>
        <w:outlineLvl w:val="2"/>
        <w:rPr>
          <w:rFonts w:ascii="宋体" w:hAnsi="宋体" w:eastAsia="宋体"/>
          <w:sz w:val="24"/>
          <w:szCs w:val="24"/>
        </w:rPr>
      </w:pPr>
      <w:r>
        <w:rPr>
          <w:rFonts w:hint="eastAsia" w:ascii="宋体" w:hAnsi="宋体" w:eastAsia="宋体"/>
          <w:sz w:val="24"/>
          <w:szCs w:val="24"/>
        </w:rPr>
        <w:t>（三）评审争议</w:t>
      </w:r>
    </w:p>
    <w:p w14:paraId="043F3EE3">
      <w:pPr>
        <w:spacing w:line="440" w:lineRule="exact"/>
        <w:ind w:firstLine="480" w:firstLineChars="200"/>
        <w:rPr>
          <w:rFonts w:ascii="宋体" w:hAnsi="宋体" w:eastAsia="宋体"/>
          <w:sz w:val="24"/>
          <w:szCs w:val="24"/>
        </w:rPr>
      </w:pPr>
      <w:r>
        <w:rPr>
          <w:rFonts w:hint="eastAsia" w:ascii="宋体" w:hAnsi="宋体" w:eastAsia="宋体"/>
          <w:sz w:val="24"/>
          <w:szCs w:val="24"/>
        </w:rPr>
        <w:t>评标时评委对评标的细则若有争议，由评标小组各评委集体讨论确定，并对未尽情况有最终解释权。</w:t>
      </w:r>
    </w:p>
    <w:p w14:paraId="1EBB8A99">
      <w:pPr>
        <w:spacing w:line="440" w:lineRule="exact"/>
        <w:ind w:firstLine="480" w:firstLineChars="200"/>
        <w:outlineLvl w:val="2"/>
        <w:rPr>
          <w:rFonts w:ascii="宋体" w:hAnsi="宋体" w:eastAsia="宋体"/>
          <w:sz w:val="24"/>
          <w:szCs w:val="24"/>
        </w:rPr>
      </w:pPr>
      <w:r>
        <w:rPr>
          <w:rFonts w:hint="eastAsia" w:ascii="宋体" w:hAnsi="宋体" w:eastAsia="宋体"/>
          <w:sz w:val="24"/>
          <w:szCs w:val="24"/>
        </w:rPr>
        <w:t>（四）评审结果解释</w:t>
      </w:r>
    </w:p>
    <w:p w14:paraId="367507CB">
      <w:pPr>
        <w:spacing w:line="440" w:lineRule="exact"/>
        <w:ind w:firstLine="480" w:firstLineChars="200"/>
        <w:rPr>
          <w:rFonts w:ascii="宋体" w:hAnsi="宋体" w:eastAsia="宋体"/>
          <w:sz w:val="24"/>
          <w:szCs w:val="24"/>
        </w:rPr>
      </w:pPr>
      <w:r>
        <w:rPr>
          <w:rFonts w:hint="eastAsia" w:ascii="宋体" w:hAnsi="宋体" w:eastAsia="宋体"/>
          <w:sz w:val="24"/>
          <w:szCs w:val="24"/>
        </w:rPr>
        <w:t>对落标的投标人不做落标原因的解释。</w:t>
      </w:r>
    </w:p>
    <w:p w14:paraId="094A4067">
      <w:pPr>
        <w:spacing w:line="440" w:lineRule="exact"/>
        <w:ind w:firstLine="482" w:firstLineChars="200"/>
        <w:outlineLvl w:val="1"/>
        <w:rPr>
          <w:rFonts w:ascii="宋体" w:hAnsi="宋体" w:eastAsia="宋体"/>
          <w:b/>
          <w:sz w:val="24"/>
          <w:szCs w:val="24"/>
        </w:rPr>
      </w:pPr>
      <w:r>
        <w:rPr>
          <w:rFonts w:hint="eastAsia" w:ascii="宋体" w:hAnsi="宋体" w:eastAsia="宋体"/>
          <w:b/>
          <w:sz w:val="24"/>
          <w:szCs w:val="24"/>
        </w:rPr>
        <w:t>六、评审程序</w:t>
      </w:r>
    </w:p>
    <w:p w14:paraId="466E4064">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、评标小组依据投标文件的规定和要求，对投标人提供的资格证明材料是否齐全、是否满足投标文件的要求进行审查，合格的进入评标。</w:t>
      </w:r>
    </w:p>
    <w:p w14:paraId="3C92789A">
      <w:pPr>
        <w:spacing w:line="44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、评标小组对符合资格条件的投标人提交的投标文件进行审查。重点审查投标文件的有效性、完整性和实质性响应程度等。</w:t>
      </w:r>
    </w:p>
    <w:p w14:paraId="5512022B">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评标小组如遇投标文件中含义不明确、同类问题表述不一致或者有明显文字和计算错误的内容，可向投标人质询。投标人的澄清、说明或者补正，应当采用书面形式由投标人代表签字，但不得超出招标文件的范围或者改变其实质性内容。</w:t>
      </w:r>
    </w:p>
    <w:p w14:paraId="7573D438">
      <w:pPr>
        <w:spacing w:line="440" w:lineRule="exact"/>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、投标中的任何一方不得透露与评标有关的其他投标人技术资料、报价和其他信息。招标文件有实质性变动的，评标小组应以书面形式通知所有投标人。</w:t>
      </w:r>
    </w:p>
    <w:p w14:paraId="5A6933F3">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、评标小组按招标文件规定的评标方法和标准，对资格性检查和符合性检查合格的投标人的投标文件进行商务和技术评估，综合比较与评价确定其商务技术得分。</w:t>
      </w:r>
    </w:p>
    <w:p w14:paraId="09AC1408">
      <w:pPr>
        <w:spacing w:line="440" w:lineRule="exact"/>
        <w:ind w:firstLine="482" w:firstLineChars="200"/>
        <w:rPr>
          <w:rFonts w:ascii="宋体" w:hAnsi="宋体" w:eastAsia="宋体"/>
          <w:b/>
          <w:bCs/>
          <w:sz w:val="24"/>
          <w:szCs w:val="24"/>
        </w:rPr>
      </w:pPr>
      <w:r>
        <w:rPr>
          <w:rFonts w:ascii="宋体" w:hAnsi="宋体" w:eastAsia="宋体"/>
          <w:b/>
          <w:bCs/>
          <w:sz w:val="24"/>
          <w:szCs w:val="24"/>
        </w:rPr>
        <w:t>6</w:t>
      </w:r>
      <w:r>
        <w:rPr>
          <w:rFonts w:hint="eastAsia" w:ascii="宋体" w:hAnsi="宋体" w:eastAsia="宋体"/>
          <w:b/>
          <w:bCs/>
          <w:sz w:val="24"/>
          <w:szCs w:val="24"/>
        </w:rPr>
        <w:t>、评标小组依据技术标评审得分确定入围商务标的投标人后，根据投标人的报价，结合其技术标评审得分后为综合得分，并由高到低顺序排列，综合得分最高的确定中标人，并将结果通知所有投标人。</w:t>
      </w:r>
    </w:p>
    <w:p w14:paraId="691ADF47">
      <w:pPr>
        <w:spacing w:line="440" w:lineRule="exact"/>
        <w:ind w:firstLine="482" w:firstLineChars="200"/>
        <w:rPr>
          <w:rFonts w:ascii="宋体" w:hAnsi="宋体" w:eastAsia="宋体"/>
          <w:b/>
          <w:sz w:val="24"/>
          <w:szCs w:val="24"/>
        </w:rPr>
      </w:pPr>
      <w:r>
        <w:rPr>
          <w:rFonts w:ascii="宋体" w:hAnsi="宋体" w:eastAsia="宋体"/>
          <w:b/>
          <w:bCs/>
          <w:sz w:val="24"/>
          <w:szCs w:val="24"/>
        </w:rPr>
        <w:t>7</w:t>
      </w:r>
      <w:r>
        <w:rPr>
          <w:rFonts w:hint="eastAsia" w:ascii="宋体" w:hAnsi="宋体" w:eastAsia="宋体"/>
          <w:b/>
          <w:bCs/>
          <w:sz w:val="24"/>
          <w:szCs w:val="24"/>
        </w:rPr>
        <w:t>、确定中标人的特殊情况处理：采用综合评分法综合得分相同的，按投标报价由低到高顺序排列。综合得分且投标报价相同的，现场抽签确定排名顺序。</w:t>
      </w:r>
      <w:r>
        <w:rPr>
          <w:rFonts w:hint="eastAsia" w:ascii="宋体" w:hAnsi="宋体" w:eastAsia="宋体"/>
          <w:b/>
          <w:sz w:val="24"/>
          <w:szCs w:val="24"/>
        </w:rPr>
        <w:t>本项目第一中标候选人原则上为</w:t>
      </w:r>
      <w:r>
        <w:rPr>
          <w:rFonts w:hint="eastAsia" w:ascii="宋体" w:hAnsi="宋体" w:eastAsia="宋体"/>
          <w:b/>
          <w:kern w:val="0"/>
          <w:sz w:val="24"/>
          <w:szCs w:val="24"/>
        </w:rPr>
        <w:t>中标人</w:t>
      </w:r>
      <w:r>
        <w:rPr>
          <w:rFonts w:hint="eastAsia" w:ascii="宋体" w:hAnsi="宋体" w:eastAsia="宋体"/>
          <w:b/>
          <w:sz w:val="24"/>
          <w:szCs w:val="24"/>
        </w:rPr>
        <w:t>，中标单价为其投标报价。当排名第一的中标候选人放弃中标、因不可抗力不能履行合同、不按照招标文件要求提交履约保证金，或者被查实存在影响中标结果的违法行为等情形，不符合中标条件的，招标人可以按照评标委员会提出的中标候选人名单顺序确定其他中标候选人为中标人，也可以重新招标。</w:t>
      </w:r>
    </w:p>
    <w:p w14:paraId="46BB3E89">
      <w:pPr>
        <w:spacing w:line="440" w:lineRule="exact"/>
        <w:ind w:firstLine="482" w:firstLineChars="200"/>
        <w:outlineLvl w:val="1"/>
        <w:rPr>
          <w:rFonts w:ascii="宋体" w:hAnsi="宋体" w:eastAsia="宋体"/>
          <w:b/>
          <w:sz w:val="24"/>
          <w:szCs w:val="24"/>
        </w:rPr>
      </w:pPr>
      <w:r>
        <w:rPr>
          <w:rFonts w:hint="eastAsia" w:ascii="宋体" w:hAnsi="宋体" w:eastAsia="宋体"/>
          <w:b/>
          <w:sz w:val="24"/>
          <w:szCs w:val="24"/>
        </w:rPr>
        <w:t>有效投标人不足3家的，本次招标作招标失败处理。评标过程中出现本评标办法未尽事宜，由评标委员会根据有关法律、法规讨论并作出最终解释。</w:t>
      </w:r>
    </w:p>
    <w:p w14:paraId="6EBCF657">
      <w:pPr>
        <w:spacing w:line="440" w:lineRule="exact"/>
        <w:ind w:firstLine="482" w:firstLineChars="200"/>
        <w:outlineLvl w:val="1"/>
        <w:rPr>
          <w:rFonts w:ascii="宋体" w:hAnsi="宋体" w:eastAsia="宋体"/>
          <w:b/>
          <w:sz w:val="24"/>
          <w:szCs w:val="24"/>
        </w:rPr>
      </w:pPr>
      <w:bookmarkStart w:id="4" w:name="_Toc13543213"/>
      <w:r>
        <w:rPr>
          <w:rFonts w:hint="eastAsia" w:ascii="宋体" w:hAnsi="宋体" w:eastAsia="宋体"/>
          <w:b/>
          <w:sz w:val="24"/>
          <w:szCs w:val="24"/>
        </w:rPr>
        <w:t>七、出现下列情形之一的，作无效投标处理</w:t>
      </w:r>
    </w:p>
    <w:p w14:paraId="1B9DE6A9">
      <w:pPr>
        <w:spacing w:line="440" w:lineRule="exact"/>
        <w:ind w:firstLine="482" w:firstLineChars="200"/>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、未按要求交纳投标保证金的；</w:t>
      </w:r>
    </w:p>
    <w:p w14:paraId="44289333">
      <w:pPr>
        <w:spacing w:line="440" w:lineRule="exact"/>
        <w:ind w:firstLine="482" w:firstLineChars="200"/>
        <w:rPr>
          <w:rFonts w:ascii="宋体" w:hAnsi="宋体" w:eastAsia="宋体"/>
          <w:b/>
          <w:sz w:val="24"/>
          <w:szCs w:val="24"/>
        </w:rPr>
      </w:pPr>
      <w:r>
        <w:rPr>
          <w:rFonts w:ascii="宋体" w:hAnsi="宋体" w:eastAsia="宋体"/>
          <w:b/>
          <w:sz w:val="24"/>
          <w:szCs w:val="24"/>
        </w:rPr>
        <w:t>2</w:t>
      </w:r>
      <w:r>
        <w:rPr>
          <w:rFonts w:hint="eastAsia" w:ascii="宋体" w:hAnsi="宋体" w:eastAsia="宋体"/>
          <w:b/>
          <w:sz w:val="24"/>
          <w:szCs w:val="24"/>
        </w:rPr>
        <w:t>、投标文件未按规定要求装订、密封、签署、盖章的；</w:t>
      </w:r>
    </w:p>
    <w:p w14:paraId="2C2CC237">
      <w:pPr>
        <w:spacing w:line="440" w:lineRule="exact"/>
        <w:ind w:firstLine="482" w:firstLineChars="200"/>
        <w:rPr>
          <w:rFonts w:ascii="宋体" w:hAnsi="宋体" w:eastAsia="宋体"/>
          <w:b/>
          <w:sz w:val="24"/>
          <w:szCs w:val="24"/>
        </w:rPr>
      </w:pPr>
      <w:r>
        <w:rPr>
          <w:rFonts w:ascii="宋体" w:hAnsi="宋体" w:eastAsia="宋体"/>
          <w:b/>
          <w:sz w:val="24"/>
          <w:szCs w:val="24"/>
        </w:rPr>
        <w:t>3</w:t>
      </w:r>
      <w:r>
        <w:rPr>
          <w:rFonts w:hint="eastAsia" w:ascii="宋体" w:hAnsi="宋体" w:eastAsia="宋体"/>
          <w:b/>
          <w:sz w:val="24"/>
          <w:szCs w:val="24"/>
        </w:rPr>
        <w:t>、报价文件出现在其他投标文件中的；</w:t>
      </w:r>
    </w:p>
    <w:p w14:paraId="1BB45339">
      <w:pPr>
        <w:spacing w:line="440" w:lineRule="exact"/>
        <w:ind w:firstLine="482" w:firstLineChars="200"/>
        <w:rPr>
          <w:rFonts w:ascii="宋体" w:hAnsi="宋体" w:eastAsia="宋体"/>
          <w:b/>
          <w:sz w:val="24"/>
          <w:szCs w:val="24"/>
        </w:rPr>
      </w:pPr>
      <w:r>
        <w:rPr>
          <w:rFonts w:ascii="宋体" w:hAnsi="宋体" w:eastAsia="宋体"/>
          <w:b/>
          <w:sz w:val="24"/>
          <w:szCs w:val="24"/>
        </w:rPr>
        <w:t>4</w:t>
      </w:r>
      <w:r>
        <w:rPr>
          <w:rFonts w:hint="eastAsia" w:ascii="宋体" w:hAnsi="宋体" w:eastAsia="宋体"/>
          <w:b/>
          <w:sz w:val="24"/>
          <w:szCs w:val="24"/>
        </w:rPr>
        <w:t>、不具备招标文件规定的资格要求的；</w:t>
      </w:r>
    </w:p>
    <w:p w14:paraId="562DF016">
      <w:pPr>
        <w:pStyle w:val="22"/>
        <w:spacing w:line="440" w:lineRule="exact"/>
        <w:ind w:firstLine="482" w:firstLineChars="200"/>
        <w:rPr>
          <w:rFonts w:eastAsia="宋体"/>
          <w:b/>
          <w:sz w:val="24"/>
          <w:szCs w:val="24"/>
        </w:rPr>
      </w:pPr>
      <w:r>
        <w:rPr>
          <w:rFonts w:hint="eastAsia" w:ascii="宋体" w:hAnsi="宋体" w:eastAsia="宋体"/>
          <w:b/>
          <w:sz w:val="24"/>
          <w:szCs w:val="24"/>
        </w:rPr>
        <w:t>5、报价超过招标文件中规定的预算金额或者最高限价的；</w:t>
      </w:r>
    </w:p>
    <w:p w14:paraId="3FEBB42C">
      <w:pPr>
        <w:spacing w:line="440" w:lineRule="exact"/>
        <w:ind w:firstLine="482" w:firstLineChars="200"/>
        <w:rPr>
          <w:rFonts w:ascii="宋体" w:hAnsi="宋体" w:eastAsia="宋体"/>
          <w:b/>
          <w:sz w:val="24"/>
          <w:szCs w:val="24"/>
        </w:rPr>
      </w:pPr>
      <w:r>
        <w:rPr>
          <w:rFonts w:hint="eastAsia" w:ascii="宋体" w:hAnsi="宋体" w:eastAsia="宋体"/>
          <w:b/>
          <w:sz w:val="24"/>
          <w:szCs w:val="24"/>
        </w:rPr>
        <w:t>6、同一投标人提交两个（含两个）以上不同的投标报价的；</w:t>
      </w:r>
    </w:p>
    <w:p w14:paraId="00B7C77D">
      <w:pPr>
        <w:spacing w:line="440" w:lineRule="exact"/>
        <w:ind w:firstLine="482" w:firstLineChars="200"/>
        <w:rPr>
          <w:rFonts w:ascii="宋体" w:hAnsi="宋体" w:eastAsia="宋体"/>
          <w:b/>
          <w:sz w:val="24"/>
          <w:szCs w:val="24"/>
        </w:rPr>
      </w:pPr>
      <w:r>
        <w:rPr>
          <w:rFonts w:hint="eastAsia" w:ascii="宋体" w:hAnsi="宋体" w:eastAsia="宋体"/>
          <w:b/>
          <w:sz w:val="24"/>
          <w:szCs w:val="24"/>
        </w:rPr>
        <w:t>7、投标文件含有招标人不能接受的附加条件的；</w:t>
      </w:r>
    </w:p>
    <w:p w14:paraId="38C6C890">
      <w:pPr>
        <w:spacing w:line="440" w:lineRule="exact"/>
        <w:ind w:firstLine="482" w:firstLineChars="200"/>
        <w:rPr>
          <w:rFonts w:ascii="宋体" w:hAnsi="宋体" w:eastAsia="宋体"/>
          <w:b/>
          <w:sz w:val="24"/>
          <w:szCs w:val="24"/>
        </w:rPr>
      </w:pPr>
      <w:r>
        <w:rPr>
          <w:rFonts w:hint="eastAsia" w:ascii="宋体" w:hAnsi="宋体" w:eastAsia="宋体"/>
          <w:b/>
          <w:sz w:val="24"/>
          <w:szCs w:val="24"/>
        </w:rPr>
        <w:t>8、不符合法律、法规和投标文件中规定的其他实质性要求的；</w:t>
      </w:r>
    </w:p>
    <w:p w14:paraId="63906B23">
      <w:pPr>
        <w:spacing w:line="440" w:lineRule="exact"/>
        <w:ind w:firstLine="482" w:firstLineChars="200"/>
        <w:outlineLvl w:val="1"/>
        <w:rPr>
          <w:rFonts w:ascii="宋体" w:hAnsi="宋体" w:eastAsia="宋体"/>
          <w:b/>
          <w:sz w:val="24"/>
          <w:szCs w:val="24"/>
        </w:rPr>
      </w:pPr>
      <w:r>
        <w:rPr>
          <w:rFonts w:hint="eastAsia" w:ascii="宋体" w:hAnsi="宋体" w:eastAsia="宋体"/>
          <w:b/>
          <w:sz w:val="24"/>
          <w:szCs w:val="24"/>
        </w:rPr>
        <w:t>八、出现下列情形之一的，作废标处理</w:t>
      </w:r>
    </w:p>
    <w:p w14:paraId="01C0B1B7">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、符合资格条件或者对招标文件作实质响应的投标人不足</w:t>
      </w:r>
      <w:r>
        <w:rPr>
          <w:rFonts w:ascii="宋体" w:hAnsi="宋体" w:eastAsia="宋体"/>
          <w:sz w:val="24"/>
          <w:szCs w:val="24"/>
        </w:rPr>
        <w:t>3</w:t>
      </w:r>
      <w:r>
        <w:rPr>
          <w:rFonts w:hint="eastAsia" w:ascii="宋体" w:hAnsi="宋体" w:eastAsia="宋体"/>
          <w:sz w:val="24"/>
          <w:szCs w:val="24"/>
        </w:rPr>
        <w:t>家的；</w:t>
      </w:r>
    </w:p>
    <w:p w14:paraId="7E0FED41">
      <w:pPr>
        <w:spacing w:line="440" w:lineRule="exact"/>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、出现影响招标公正的违法违规行为的；</w:t>
      </w:r>
    </w:p>
    <w:p w14:paraId="0D0D2160">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、所有投标人报价超出采购预算价的；</w:t>
      </w:r>
    </w:p>
    <w:p w14:paraId="53DFE953">
      <w:pPr>
        <w:spacing w:line="440" w:lineRule="exact"/>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、因重大变故，采购任务被取消的；</w:t>
      </w:r>
    </w:p>
    <w:p w14:paraId="484E9949">
      <w:pPr>
        <w:spacing w:line="440" w:lineRule="exact"/>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、评标小组依据法律法规可以认定为废标的其他情况。</w:t>
      </w:r>
    </w:p>
    <w:p w14:paraId="6FD479CB">
      <w:pPr>
        <w:spacing w:line="440" w:lineRule="exact"/>
        <w:ind w:firstLine="482" w:firstLineChars="200"/>
        <w:outlineLvl w:val="1"/>
        <w:rPr>
          <w:rFonts w:ascii="宋体" w:hAnsi="宋体" w:eastAsia="宋体"/>
          <w:b/>
          <w:sz w:val="24"/>
          <w:szCs w:val="24"/>
        </w:rPr>
      </w:pPr>
      <w:r>
        <w:rPr>
          <w:rFonts w:hint="eastAsia" w:ascii="宋体" w:hAnsi="宋体" w:eastAsia="宋体"/>
          <w:b/>
          <w:sz w:val="24"/>
          <w:szCs w:val="24"/>
        </w:rPr>
        <w:t>九、中标通知</w:t>
      </w:r>
    </w:p>
    <w:bookmarkEnd w:id="4"/>
    <w:p w14:paraId="404DDDF4">
      <w:pPr>
        <w:spacing w:line="440" w:lineRule="exact"/>
        <w:ind w:firstLine="480" w:firstLineChars="200"/>
        <w:rPr>
          <w:rFonts w:ascii="宋体" w:hAnsi="宋体" w:eastAsia="宋体"/>
          <w:sz w:val="24"/>
          <w:szCs w:val="24"/>
        </w:rPr>
      </w:pPr>
      <w:bookmarkStart w:id="5" w:name="_Toc363573857"/>
      <w:r>
        <w:rPr>
          <w:rFonts w:ascii="宋体" w:hAnsi="宋体" w:eastAsia="宋体"/>
          <w:sz w:val="24"/>
          <w:szCs w:val="24"/>
        </w:rPr>
        <w:t>1、开标结束后，招标人自中标人确定之日起3个工作日内在指定媒体（“南通市崇川区人民政府网</w:t>
      </w:r>
      <w:r>
        <w:rPr>
          <w:rFonts w:hint="eastAsia" w:ascii="宋体" w:hAnsi="宋体" w:eastAsia="宋体"/>
          <w:sz w:val="24"/>
          <w:szCs w:val="24"/>
        </w:rPr>
        <w:t>-</w:t>
      </w:r>
      <w:r>
        <w:rPr>
          <w:rFonts w:ascii="宋体" w:hAnsi="宋体" w:eastAsia="宋体"/>
          <w:sz w:val="24"/>
          <w:szCs w:val="24"/>
        </w:rPr>
        <w:t>公示公告”栏）上公告中标结果。</w:t>
      </w:r>
    </w:p>
    <w:p w14:paraId="7005017B">
      <w:pPr>
        <w:spacing w:line="440" w:lineRule="exact"/>
        <w:ind w:firstLine="480" w:firstLineChars="200"/>
        <w:rPr>
          <w:rFonts w:ascii="宋体" w:hAnsi="宋体" w:eastAsia="宋体"/>
          <w:sz w:val="24"/>
          <w:szCs w:val="24"/>
        </w:rPr>
      </w:pPr>
      <w:r>
        <w:rPr>
          <w:rFonts w:ascii="宋体" w:hAnsi="宋体" w:eastAsia="宋体"/>
          <w:sz w:val="24"/>
          <w:szCs w:val="24"/>
        </w:rPr>
        <w:t>2、中标公告期限为1个工作日，期限结束后向中标人发出《中标通知书》。</w:t>
      </w:r>
    </w:p>
    <w:p w14:paraId="41169BB6">
      <w:pPr>
        <w:spacing w:line="440" w:lineRule="exact"/>
        <w:ind w:firstLine="480" w:firstLineChars="200"/>
        <w:rPr>
          <w:rFonts w:ascii="宋体" w:hAnsi="宋体" w:eastAsia="宋体"/>
          <w:sz w:val="24"/>
          <w:szCs w:val="24"/>
        </w:rPr>
      </w:pPr>
      <w:r>
        <w:rPr>
          <w:rFonts w:ascii="宋体" w:hAnsi="宋体" w:eastAsia="宋体"/>
          <w:sz w:val="24"/>
          <w:szCs w:val="24"/>
        </w:rPr>
        <w:t>3、《中标通知书》一经发出，即具有法律效力。招标人、中标</w:t>
      </w:r>
      <w:r>
        <w:rPr>
          <w:rFonts w:hint="eastAsia" w:ascii="宋体" w:hAnsi="宋体" w:eastAsia="宋体"/>
          <w:sz w:val="24"/>
          <w:szCs w:val="24"/>
        </w:rPr>
        <w:t>人</w:t>
      </w:r>
      <w:r>
        <w:rPr>
          <w:rFonts w:ascii="宋体" w:hAnsi="宋体" w:eastAsia="宋体"/>
          <w:sz w:val="24"/>
          <w:szCs w:val="24"/>
        </w:rPr>
        <w:t>依法承担法律责任。</w:t>
      </w:r>
    </w:p>
    <w:p w14:paraId="50758C5A">
      <w:pPr>
        <w:spacing w:line="360" w:lineRule="auto"/>
        <w:jc w:val="center"/>
        <w:rPr>
          <w:rFonts w:ascii="宋体" w:hAnsi="宋体" w:eastAsia="宋体"/>
          <w:b/>
          <w:sz w:val="28"/>
          <w:szCs w:val="28"/>
        </w:rPr>
      </w:pPr>
      <w:r>
        <w:rPr>
          <w:rFonts w:ascii="宋体" w:hAnsi="宋体" w:eastAsia="宋体"/>
          <w:b/>
          <w:sz w:val="28"/>
          <w:szCs w:val="28"/>
        </w:rPr>
        <w:br w:type="page"/>
      </w:r>
      <w:bookmarkEnd w:id="5"/>
    </w:p>
    <w:p w14:paraId="7EF74EA9">
      <w:pPr>
        <w:spacing w:line="360" w:lineRule="auto"/>
        <w:jc w:val="center"/>
        <w:rPr>
          <w:rFonts w:ascii="宋体" w:hAnsi="宋体" w:eastAsia="宋体" w:cs="宋体"/>
          <w:sz w:val="28"/>
          <w:szCs w:val="28"/>
        </w:rPr>
      </w:pPr>
      <w:r>
        <w:rPr>
          <w:rFonts w:hint="eastAsia" w:ascii="宋体" w:hAnsi="宋体" w:eastAsia="宋体" w:cs="宋体"/>
          <w:b/>
          <w:bCs/>
          <w:kern w:val="44"/>
          <w:sz w:val="44"/>
          <w:szCs w:val="44"/>
        </w:rPr>
        <w:t>第五章 合同授予</w:t>
      </w:r>
    </w:p>
    <w:p w14:paraId="6AA613E7">
      <w:pPr>
        <w:spacing w:line="440" w:lineRule="exact"/>
        <w:ind w:firstLine="480" w:firstLineChars="200"/>
        <w:rPr>
          <w:rFonts w:ascii="宋体" w:hAnsi="宋体" w:eastAsia="宋体"/>
          <w:kern w:val="0"/>
          <w:sz w:val="24"/>
          <w:szCs w:val="24"/>
        </w:rPr>
      </w:pPr>
      <w:r>
        <w:rPr>
          <w:rFonts w:ascii="宋体" w:hAnsi="宋体" w:eastAsia="宋体"/>
          <w:kern w:val="0"/>
          <w:sz w:val="24"/>
          <w:szCs w:val="24"/>
        </w:rPr>
        <w:t>1</w:t>
      </w:r>
      <w:r>
        <w:rPr>
          <w:rFonts w:hint="eastAsia" w:ascii="宋体" w:hAnsi="宋体" w:eastAsia="宋体"/>
          <w:kern w:val="0"/>
          <w:sz w:val="24"/>
          <w:szCs w:val="24"/>
        </w:rPr>
        <w:t>、中标人在接到代理机构发出的《中标通知书》后</w:t>
      </w:r>
      <w:r>
        <w:rPr>
          <w:rFonts w:ascii="宋体" w:hAnsi="宋体" w:eastAsia="宋体"/>
          <w:kern w:val="0"/>
          <w:sz w:val="24"/>
          <w:szCs w:val="24"/>
        </w:rPr>
        <w:t>30</w:t>
      </w:r>
      <w:r>
        <w:rPr>
          <w:rFonts w:hint="eastAsia" w:ascii="宋体" w:hAnsi="宋体" w:eastAsia="宋体"/>
          <w:kern w:val="0"/>
          <w:sz w:val="24"/>
          <w:szCs w:val="24"/>
        </w:rPr>
        <w:t>日内与招标人签订采购合同，所签合同不得对招标文件作实质性修改，否则投标保证金将不予退还，由此给招标人造成损失的，中标人还应承担赔偿责任。招标人不得向中中标人提出不合理的要求作为签订合同的条件，不得与中标人私下订立背离招标文件实质性内容的协议。</w:t>
      </w:r>
    </w:p>
    <w:p w14:paraId="388AEF07">
      <w:pPr>
        <w:spacing w:line="440" w:lineRule="exact"/>
        <w:ind w:firstLine="484" w:firstLineChars="202"/>
        <w:rPr>
          <w:rFonts w:ascii="宋体" w:hAnsi="宋体" w:eastAsia="宋体"/>
          <w:kern w:val="0"/>
          <w:sz w:val="24"/>
          <w:szCs w:val="24"/>
        </w:rPr>
      </w:pPr>
      <w:r>
        <w:rPr>
          <w:rFonts w:ascii="宋体" w:hAnsi="宋体" w:eastAsia="宋体"/>
          <w:kern w:val="0"/>
          <w:sz w:val="24"/>
          <w:szCs w:val="24"/>
        </w:rPr>
        <w:t>2</w:t>
      </w:r>
      <w:r>
        <w:rPr>
          <w:rFonts w:hint="eastAsia" w:ascii="宋体" w:hAnsi="宋体" w:eastAsia="宋体"/>
          <w:kern w:val="0"/>
          <w:sz w:val="24"/>
          <w:szCs w:val="24"/>
        </w:rPr>
        <w:t>、招标文件、中标人的投标文件及招标评审过程中有关书面澄清、承诺等均应作为合同附件，具有同等的法律效力。</w:t>
      </w:r>
    </w:p>
    <w:p w14:paraId="2F89DE36">
      <w:pPr>
        <w:spacing w:line="440" w:lineRule="exact"/>
        <w:ind w:firstLine="484" w:firstLineChars="202"/>
        <w:rPr>
          <w:rFonts w:ascii="宋体" w:hAnsi="宋体" w:eastAsia="宋体"/>
          <w:b/>
          <w:sz w:val="28"/>
          <w:szCs w:val="28"/>
        </w:rPr>
      </w:pPr>
      <w:r>
        <w:rPr>
          <w:rFonts w:hint="eastAsia" w:ascii="宋体" w:hAnsi="宋体" w:eastAsia="宋体"/>
          <w:kern w:val="0"/>
          <w:sz w:val="24"/>
          <w:szCs w:val="24"/>
        </w:rPr>
        <w:t>3、中标人不得采用转包、分包的形式履行合同，否则，招标人有权终止合同，造成招标人损失的，中标人应承担相应赔偿责任。</w:t>
      </w:r>
    </w:p>
    <w:p w14:paraId="61E9BB2B">
      <w:pPr>
        <w:spacing w:line="360" w:lineRule="auto"/>
        <w:jc w:val="center"/>
        <w:rPr>
          <w:rFonts w:ascii="宋体" w:hAnsi="宋体" w:eastAsia="宋体"/>
          <w:b/>
          <w:sz w:val="28"/>
          <w:szCs w:val="28"/>
        </w:rPr>
      </w:pPr>
    </w:p>
    <w:p w14:paraId="15BF6A82">
      <w:pPr>
        <w:pageBreakBefore/>
        <w:spacing w:line="360" w:lineRule="auto"/>
        <w:jc w:val="center"/>
        <w:rPr>
          <w:rFonts w:ascii="宋体" w:hAnsi="宋体" w:eastAsia="宋体" w:cs="宋体"/>
          <w:b/>
          <w:bCs/>
          <w:sz w:val="24"/>
          <w:szCs w:val="24"/>
        </w:rPr>
      </w:pPr>
      <w:r>
        <w:rPr>
          <w:rFonts w:hint="eastAsia" w:ascii="宋体" w:hAnsi="宋体" w:eastAsia="宋体" w:cs="宋体"/>
          <w:b/>
          <w:bCs/>
          <w:kern w:val="44"/>
          <w:sz w:val="44"/>
          <w:szCs w:val="44"/>
        </w:rPr>
        <w:t>第六章 合同及主要条款</w:t>
      </w:r>
    </w:p>
    <w:p w14:paraId="746FC80A">
      <w:pPr>
        <w:spacing w:line="440" w:lineRule="exact"/>
        <w:jc w:val="center"/>
        <w:rPr>
          <w:rFonts w:ascii="宋体" w:hAnsi="宋体" w:eastAsia="宋体" w:cs="宋体"/>
          <w:b/>
          <w:bCs/>
          <w:sz w:val="24"/>
          <w:szCs w:val="24"/>
        </w:rPr>
      </w:pPr>
      <w:r>
        <w:rPr>
          <w:rFonts w:hint="eastAsia" w:ascii="宋体" w:hAnsi="宋体" w:eastAsia="宋体" w:cs="宋体"/>
          <w:b/>
          <w:bCs/>
          <w:sz w:val="24"/>
          <w:szCs w:val="24"/>
        </w:rPr>
        <w:t>第一部分  咨询合同</w:t>
      </w:r>
    </w:p>
    <w:p w14:paraId="1CD2A8A9">
      <w:pPr>
        <w:pStyle w:val="2"/>
      </w:pPr>
    </w:p>
    <w:p w14:paraId="0B7985D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委托人:</w:t>
      </w:r>
      <w:r>
        <w:rPr>
          <w:rFonts w:hint="eastAsia" w:asciiTheme="minorEastAsia" w:hAnsiTheme="minorEastAsia" w:eastAsiaTheme="minorEastAsia" w:cstheme="minorEastAsia"/>
          <w:b/>
          <w:bCs/>
          <w:sz w:val="24"/>
          <w:szCs w:val="24"/>
          <w:u w:val="single"/>
        </w:rPr>
        <w:t>南通天一置业有限公司</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(以下简称:甲方)</w:t>
      </w:r>
    </w:p>
    <w:p w14:paraId="573396A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受托人:</w:t>
      </w:r>
      <w:r>
        <w:rPr>
          <w:rFonts w:hint="eastAsia" w:ascii="宋体" w:hAnsi="宋体" w:eastAsia="宋体" w:cs="宋体"/>
          <w:sz w:val="24"/>
          <w:szCs w:val="24"/>
          <w:u w:val="single"/>
        </w:rPr>
        <w:t xml:space="preserve">                           </w:t>
      </w:r>
      <w:r>
        <w:rPr>
          <w:rFonts w:hint="eastAsia" w:ascii="宋体" w:hAnsi="宋体" w:eastAsia="宋体" w:cs="宋体"/>
          <w:sz w:val="24"/>
          <w:szCs w:val="24"/>
        </w:rPr>
        <w:t>(以下简称:乙方)</w:t>
      </w:r>
    </w:p>
    <w:p w14:paraId="4EC25751">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经过双方协商一致，签订本合同。</w:t>
      </w:r>
    </w:p>
    <w:p w14:paraId="0F25198E">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一、甲方委托乙方为以下项目提供咨询服务</w:t>
      </w:r>
    </w:p>
    <w:p w14:paraId="1D744604">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sz w:val="24"/>
          <w:szCs w:val="24"/>
          <w:u w:val="single"/>
        </w:rPr>
        <w:t xml:space="preserve">                         </w:t>
      </w:r>
    </w:p>
    <w:p w14:paraId="5FB46EB1">
      <w:pPr>
        <w:spacing w:line="440" w:lineRule="exact"/>
        <w:ind w:firstLine="480" w:firstLineChars="200"/>
        <w:jc w:val="left"/>
        <w:rPr>
          <w:rFonts w:ascii="宋体" w:hAnsi="宋体" w:eastAsia="宋体" w:cs="宋体"/>
          <w:sz w:val="24"/>
          <w:szCs w:val="24"/>
          <w:u w:val="single"/>
        </w:rPr>
      </w:pPr>
      <w:r>
        <w:rPr>
          <w:rFonts w:hint="eastAsia" w:ascii="宋体" w:hAnsi="宋体" w:eastAsia="宋体" w:cs="宋体"/>
          <w:sz w:val="24"/>
          <w:szCs w:val="24"/>
        </w:rPr>
        <w:t>2.服务类别:</w:t>
      </w:r>
      <w:r>
        <w:rPr>
          <w:rFonts w:hint="eastAsia"/>
        </w:rPr>
        <w:t xml:space="preserve"> </w:t>
      </w:r>
      <w:r>
        <w:rPr>
          <w:rFonts w:hint="eastAsia" w:asciiTheme="minorEastAsia" w:hAnsiTheme="minorEastAsia" w:eastAsiaTheme="minorEastAsia" w:cstheme="minorEastAsia"/>
          <w:sz w:val="24"/>
          <w:szCs w:val="24"/>
          <w:u w:val="single"/>
        </w:rPr>
        <w:t>衡通嘉苑、外滩雅苑、任港嘉苑、悦泰花园销售结算服务</w:t>
      </w:r>
    </w:p>
    <w:p w14:paraId="0DB6A9E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二、本合同的措辞和用语与所属咨询合同条件及有关附件同义。</w:t>
      </w:r>
    </w:p>
    <w:p w14:paraId="5E7863F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三、下列文件均为本合同的组成部分;</w:t>
      </w:r>
    </w:p>
    <w:p w14:paraId="65697907">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1.合同标准条件;</w:t>
      </w:r>
    </w:p>
    <w:p w14:paraId="3F9C8D8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2.合同专用条件及补充条款;</w:t>
      </w:r>
    </w:p>
    <w:p w14:paraId="2C2FEDA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3.合同执行中共同签署的补充与修正文件。</w:t>
      </w:r>
    </w:p>
    <w:p w14:paraId="2E23658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四、乙方同意按照本合同的规定，承担本合同专用条件中议定范围内的咨询业务。</w:t>
      </w:r>
    </w:p>
    <w:p w14:paraId="5FD540A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五、甲方按照本合同规定的期限、方式、币种、额度向乙方支付酬金。</w:t>
      </w:r>
    </w:p>
    <w:p w14:paraId="6B31B535">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六、乙方按照本合同规定支付甲方履约保证金</w:t>
      </w:r>
      <w:r>
        <w:rPr>
          <w:rFonts w:ascii="宋体" w:hAnsi="宋体" w:eastAsia="宋体" w:cs="宋体"/>
          <w:sz w:val="24"/>
          <w:szCs w:val="24"/>
          <w:u w:val="single"/>
        </w:rPr>
        <w:t>2</w:t>
      </w:r>
      <w:r>
        <w:rPr>
          <w:rFonts w:hint="eastAsia" w:ascii="宋体" w:hAnsi="宋体" w:eastAsia="宋体" w:cs="宋体"/>
          <w:sz w:val="24"/>
          <w:szCs w:val="24"/>
          <w:u w:val="single"/>
        </w:rPr>
        <w:t xml:space="preserve">0000 </w:t>
      </w:r>
      <w:r>
        <w:rPr>
          <w:rFonts w:hint="eastAsia" w:ascii="宋体" w:hAnsi="宋体" w:eastAsia="宋体" w:cs="宋体"/>
          <w:sz w:val="24"/>
          <w:szCs w:val="24"/>
        </w:rPr>
        <w:t>元，乙方在按要求保质保量的完成该项目合同后</w:t>
      </w:r>
      <w:r>
        <w:rPr>
          <w:rFonts w:hint="eastAsia" w:ascii="宋体" w:hAnsi="宋体" w:eastAsia="宋体" w:cs="宋体"/>
          <w:sz w:val="24"/>
          <w:szCs w:val="24"/>
          <w:u w:val="single"/>
        </w:rPr>
        <w:t xml:space="preserve">  6个月内  </w:t>
      </w:r>
      <w:r>
        <w:rPr>
          <w:rFonts w:hint="eastAsia" w:ascii="宋体" w:hAnsi="宋体" w:eastAsia="宋体" w:cs="宋体"/>
          <w:sz w:val="24"/>
          <w:szCs w:val="24"/>
        </w:rPr>
        <w:t>无投诉，甲方凭</w:t>
      </w:r>
      <w:r>
        <w:rPr>
          <w:rFonts w:hint="eastAsia" w:ascii="宋体" w:hAnsi="宋体" w:eastAsia="宋体"/>
          <w:kern w:val="0"/>
          <w:sz w:val="24"/>
          <w:szCs w:val="24"/>
        </w:rPr>
        <w:t>乙方</w:t>
      </w:r>
      <w:r>
        <w:rPr>
          <w:rFonts w:hint="eastAsia" w:ascii="宋体" w:hAnsi="宋体" w:eastAsia="宋体" w:cs="宋体"/>
          <w:sz w:val="24"/>
          <w:szCs w:val="24"/>
        </w:rPr>
        <w:t>提交的申请，一次性无息退还该合同项目的履约保证金。</w:t>
      </w:r>
    </w:p>
    <w:p w14:paraId="0EA95505">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七、本合同的咨询业务工期进度按甲方要求。</w:t>
      </w:r>
    </w:p>
    <w:p w14:paraId="61229B8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八、甲、乙双方经协商终止本协议书或有效期届至，双方不再续约时，乙方应在十天内将承办甲方业务之所有相关资料全部交还予甲方。</w:t>
      </w:r>
    </w:p>
    <w:p w14:paraId="663F16D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九、合同一式陆份，委托人叁份、受托人叁份，经双方代表签字、盖章后生效。</w:t>
      </w:r>
    </w:p>
    <w:p w14:paraId="4C2B34C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委托人:(签章)                           受托人：（签章）</w:t>
      </w:r>
    </w:p>
    <w:p w14:paraId="055915D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法定代表人或授权代表:(签章)            法定代表人或授权代表:(签章)    </w:t>
      </w:r>
    </w:p>
    <w:p w14:paraId="72F15935">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联系电话：                              联系电话：</w:t>
      </w:r>
    </w:p>
    <w:p w14:paraId="2A9CF6B7">
      <w:pPr>
        <w:spacing w:line="440" w:lineRule="exact"/>
        <w:ind w:firstLine="960" w:firstLineChars="400"/>
        <w:rPr>
          <w:rFonts w:ascii="宋体" w:hAnsi="宋体" w:eastAsia="宋体" w:cs="宋体"/>
          <w:sz w:val="24"/>
          <w:szCs w:val="24"/>
        </w:rPr>
      </w:pPr>
      <w:r>
        <w:rPr>
          <w:rFonts w:hint="eastAsia" w:ascii="宋体" w:hAnsi="宋体" w:eastAsia="宋体" w:cs="宋体"/>
          <w:sz w:val="24"/>
          <w:szCs w:val="24"/>
        </w:rPr>
        <w:t>年   月   日                             年   月   日</w:t>
      </w:r>
    </w:p>
    <w:p w14:paraId="305CE54A">
      <w:pPr>
        <w:rPr>
          <w:rFonts w:ascii="宋体" w:hAnsi="宋体" w:eastAsia="宋体" w:cs="宋体"/>
          <w:sz w:val="24"/>
          <w:szCs w:val="24"/>
        </w:rPr>
      </w:pPr>
      <w:r>
        <w:rPr>
          <w:rFonts w:hint="eastAsia" w:ascii="宋体" w:hAnsi="宋体" w:eastAsia="宋体" w:cs="宋体"/>
          <w:sz w:val="24"/>
          <w:szCs w:val="24"/>
        </w:rPr>
        <w:br w:type="page"/>
      </w:r>
    </w:p>
    <w:p w14:paraId="3642AA9D">
      <w:pPr>
        <w:spacing w:line="440" w:lineRule="exact"/>
        <w:jc w:val="center"/>
        <w:rPr>
          <w:rFonts w:ascii="宋体" w:hAnsi="宋体" w:eastAsia="宋体" w:cs="宋体"/>
          <w:sz w:val="24"/>
          <w:szCs w:val="24"/>
        </w:rPr>
      </w:pPr>
      <w:r>
        <w:rPr>
          <w:rFonts w:hint="eastAsia" w:ascii="宋体" w:hAnsi="宋体" w:eastAsia="宋体" w:cs="宋体"/>
          <w:b/>
          <w:bCs/>
          <w:sz w:val="24"/>
          <w:szCs w:val="24"/>
        </w:rPr>
        <w:t>第二部分   咨询合同标准条件</w:t>
      </w:r>
    </w:p>
    <w:p w14:paraId="0AD145F1">
      <w:pPr>
        <w:spacing w:line="440" w:lineRule="exact"/>
        <w:ind w:firstLine="480" w:firstLineChars="200"/>
        <w:jc w:val="center"/>
        <w:rPr>
          <w:rFonts w:ascii="宋体" w:hAnsi="宋体" w:eastAsia="宋体" w:cs="宋体"/>
          <w:sz w:val="24"/>
          <w:szCs w:val="24"/>
        </w:rPr>
      </w:pPr>
      <w:r>
        <w:rPr>
          <w:rFonts w:hint="eastAsia" w:ascii="宋体" w:hAnsi="宋体" w:eastAsia="宋体" w:cs="宋体"/>
          <w:sz w:val="24"/>
          <w:szCs w:val="24"/>
        </w:rPr>
        <w:t>词语定义、适用语言和法律、法规</w:t>
      </w:r>
    </w:p>
    <w:p w14:paraId="7B4D79C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第一条   下列名词和用语，除上下文另有规定外具有如下含义。</w:t>
      </w:r>
    </w:p>
    <w:p w14:paraId="6F86796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1、“委托人”是指委托咨询业务和聘用咨询单位的一方，以及其合法继承人。</w:t>
      </w:r>
    </w:p>
    <w:p w14:paraId="2B47F1B5">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2、“受托人” 是指承担咨询业务和咨询责任的一方，以及其合法继承人。</w:t>
      </w:r>
    </w:p>
    <w:p w14:paraId="275AEE5E">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3、“第三方”是指除委托人、受托人以外与本咨询业务有关的当事人。</w:t>
      </w:r>
    </w:p>
    <w:p w14:paraId="0D4AF68C">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4、“日”是指任何一天零时至第二天零时的时间段。</w:t>
      </w:r>
    </w:p>
    <w:p w14:paraId="47208B72">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第二条   咨询合同适用的是中国的法律、法规、以及项目所在地的地方法规、地方规章。</w:t>
      </w:r>
    </w:p>
    <w:p w14:paraId="60E525BA">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第三条   咨询合同的书写、解释和说明，以汉语为主导语言。当不同语言文本发生不同解释时，以汉语合同文本为准。</w:t>
      </w:r>
    </w:p>
    <w:p w14:paraId="10575CA4">
      <w:pPr>
        <w:spacing w:line="440" w:lineRule="exact"/>
        <w:ind w:firstLine="482" w:firstLineChars="200"/>
        <w:jc w:val="center"/>
        <w:rPr>
          <w:rFonts w:ascii="宋体" w:hAnsi="宋体" w:eastAsia="宋体" w:cs="宋体"/>
          <w:b/>
          <w:bCs/>
          <w:sz w:val="24"/>
          <w:szCs w:val="24"/>
        </w:rPr>
      </w:pPr>
      <w:r>
        <w:rPr>
          <w:rFonts w:hint="eastAsia" w:ascii="宋体" w:hAnsi="宋体" w:eastAsia="宋体" w:cs="宋体"/>
          <w:b/>
          <w:bCs/>
          <w:sz w:val="24"/>
          <w:szCs w:val="24"/>
        </w:rPr>
        <w:t>受托人的义务</w:t>
      </w:r>
    </w:p>
    <w:p w14:paraId="672C0807">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第四条   向委托人提供与咨询业务有关的资料，包括承担本合同业务的专业人员名单、</w:t>
      </w:r>
    </w:p>
    <w:p w14:paraId="2F11A7A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工作计划等，并按合同专用条件中约定的范围实施咨询业务。</w:t>
      </w:r>
    </w:p>
    <w:p w14:paraId="40BC0BE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第五条   受托人在履行本合同期间，向委托人提供的服务包括正常服务、附加服务和额外服务。</w:t>
      </w:r>
    </w:p>
    <w:p w14:paraId="26972B4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1、“正常服务”是指双方在专用条件中约定的咨询工作。</w:t>
      </w:r>
    </w:p>
    <w:p w14:paraId="6EB202B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2、“附加服务”是指在“正常服务”以外，经双方书面协议确定的附加服务。</w:t>
      </w:r>
    </w:p>
    <w:p w14:paraId="2857C91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3、“额外服务”是指不属于“正常服务”和“附加服务”，但根据合同标准条件第十</w:t>
      </w:r>
    </w:p>
    <w:p w14:paraId="4EC4583E">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三条、第二十条和二十二条的规定，受托人应增加的额外工作量。</w:t>
      </w:r>
    </w:p>
    <w:p w14:paraId="0099068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第六条   在履行合同期间或合同规定期间内，不得泄露与本合同规定业务活动有关的保密资料。</w:t>
      </w:r>
    </w:p>
    <w:p w14:paraId="7695FE3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详见专用条款</w:t>
      </w:r>
    </w:p>
    <w:p w14:paraId="7EC4F1BF">
      <w:pPr>
        <w:spacing w:line="440" w:lineRule="exact"/>
        <w:ind w:firstLine="482" w:firstLineChars="200"/>
        <w:jc w:val="center"/>
        <w:rPr>
          <w:rFonts w:ascii="宋体" w:hAnsi="宋体" w:eastAsia="宋体" w:cs="宋体"/>
          <w:b/>
          <w:bCs/>
          <w:sz w:val="24"/>
          <w:szCs w:val="24"/>
        </w:rPr>
      </w:pPr>
      <w:r>
        <w:rPr>
          <w:rFonts w:hint="eastAsia" w:ascii="宋体" w:hAnsi="宋体" w:eastAsia="宋体" w:cs="宋体"/>
          <w:b/>
          <w:bCs/>
          <w:sz w:val="24"/>
          <w:szCs w:val="24"/>
        </w:rPr>
        <w:t>委托人的义务</w:t>
      </w:r>
    </w:p>
    <w:p w14:paraId="0F0F2965">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第七条   委托人负责与本咨询业务有关的第三人的协调，为受托人工作提供外部条件。</w:t>
      </w:r>
    </w:p>
    <w:p w14:paraId="16839BA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第八条   委托人应当在约定的时间内免费向受托人提供与本项目咨询业务有关的资料。</w:t>
      </w:r>
    </w:p>
    <w:p w14:paraId="4975BD6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第九条   委托人应当在约定的时间内就受托人书面提交并要求做出答复的事宜做出书面答复。受托人要求第三人提供有关资料时，委托人或建设单位应该负责转达及资料转送。</w:t>
      </w:r>
    </w:p>
    <w:p w14:paraId="644236F2">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第十条   委托人应当授权胜任本咨询业务的代表，负责与受托人联系。</w:t>
      </w:r>
    </w:p>
    <w:p w14:paraId="1F7C152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第十一条 委托人应当向受托人提供工作规范培训，明确详细的工作规范制度。</w:t>
      </w:r>
    </w:p>
    <w:p w14:paraId="77E8DEFB">
      <w:pPr>
        <w:spacing w:line="440" w:lineRule="exact"/>
        <w:ind w:firstLine="482" w:firstLineChars="200"/>
        <w:jc w:val="center"/>
        <w:rPr>
          <w:rFonts w:ascii="宋体" w:hAnsi="宋体" w:eastAsia="宋体" w:cs="宋体"/>
          <w:b/>
          <w:bCs/>
          <w:sz w:val="24"/>
          <w:szCs w:val="24"/>
        </w:rPr>
      </w:pPr>
      <w:r>
        <w:rPr>
          <w:rFonts w:hint="eastAsia" w:ascii="宋体" w:hAnsi="宋体" w:eastAsia="宋体" w:cs="宋体"/>
          <w:b/>
          <w:bCs/>
          <w:sz w:val="24"/>
          <w:szCs w:val="24"/>
        </w:rPr>
        <w:t>受托人的权利</w:t>
      </w:r>
    </w:p>
    <w:p w14:paraId="03FC52F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第十二条 委托人在委托的咨询业务范围内，授予受托人以下权利:</w:t>
      </w:r>
    </w:p>
    <w:p w14:paraId="3A255DB7">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1、受托人在咨询过程中，如委托人提供的资料不明确时可向委托人提出书面报告。</w:t>
      </w:r>
    </w:p>
    <w:p w14:paraId="48367D1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2、受托人在咨询过程中，有权对第三人提出与本咨询业务有关的问题进行核对或查问。</w:t>
      </w:r>
    </w:p>
    <w:p w14:paraId="051BB42C">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3、受托人在咨询过程中，有到项目现场勘察的权利。</w:t>
      </w:r>
    </w:p>
    <w:p w14:paraId="6ECADCDF">
      <w:pPr>
        <w:spacing w:line="440" w:lineRule="exact"/>
        <w:ind w:firstLine="482" w:firstLineChars="200"/>
        <w:jc w:val="center"/>
        <w:rPr>
          <w:rFonts w:ascii="宋体" w:hAnsi="宋体" w:eastAsia="宋体" w:cs="宋体"/>
          <w:b/>
          <w:bCs/>
          <w:sz w:val="24"/>
          <w:szCs w:val="24"/>
        </w:rPr>
      </w:pPr>
      <w:r>
        <w:rPr>
          <w:rFonts w:hint="eastAsia" w:ascii="宋体" w:hAnsi="宋体" w:eastAsia="宋体" w:cs="宋体"/>
          <w:b/>
          <w:bCs/>
          <w:sz w:val="24"/>
          <w:szCs w:val="24"/>
        </w:rPr>
        <w:t>委托人的权利</w:t>
      </w:r>
    </w:p>
    <w:p w14:paraId="08F9960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第十三条 委托人有下列权利: .</w:t>
      </w:r>
    </w:p>
    <w:p w14:paraId="266870C2">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1、委托人有权向受托人询问工作进展情况及相关的内容。</w:t>
      </w:r>
    </w:p>
    <w:p w14:paraId="2E295F2A">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2、委托人有权阐述对具体问题的意见和建议。</w:t>
      </w:r>
    </w:p>
    <w:p w14:paraId="3179805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3、当委托人认定咨询专业人员不按咨询合同履行其职责，或与第三人串通给委托人造成经济损失的，委托人有权要求更换咨询专业人员，直至终止合同并要求受托人承担相应的赔偿责任。</w:t>
      </w:r>
    </w:p>
    <w:p w14:paraId="32A9BAE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4、委托人有权根据工作规范及结算考核制度对受托人进行考核，具体考核细则见附件。</w:t>
      </w:r>
    </w:p>
    <w:p w14:paraId="49AAE9AB">
      <w:pPr>
        <w:spacing w:line="440" w:lineRule="exact"/>
        <w:ind w:firstLine="482" w:firstLineChars="200"/>
        <w:jc w:val="center"/>
        <w:rPr>
          <w:rFonts w:ascii="宋体" w:hAnsi="宋体" w:eastAsia="宋体" w:cs="宋体"/>
          <w:b/>
          <w:bCs/>
          <w:sz w:val="24"/>
          <w:szCs w:val="24"/>
        </w:rPr>
      </w:pPr>
      <w:r>
        <w:rPr>
          <w:rFonts w:hint="eastAsia" w:ascii="宋体" w:hAnsi="宋体" w:eastAsia="宋体" w:cs="宋体"/>
          <w:b/>
          <w:bCs/>
          <w:sz w:val="24"/>
          <w:szCs w:val="24"/>
        </w:rPr>
        <w:t>受托人的责任</w:t>
      </w:r>
    </w:p>
    <w:p w14:paraId="1FA984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第十四条 受托人的责任期即咨询合同有效期。如因非受托人的责任造成进度的推迟或延误而超过约定的日期，双方应进一步约定相应延长合同有效期。</w:t>
      </w:r>
    </w:p>
    <w:p w14:paraId="2AFC72A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第十五条 受托人责任期内，应当履行咨询合同中约定的义务，因受托人的单方过失造成的经济损失，应当向委托人进行赔偿，并履约保证金不予退还。</w:t>
      </w:r>
    </w:p>
    <w:p w14:paraId="0D0BE8D2">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第十六条 受托人对委托人或第三人所提出的问题不能及时核对或答复，导致合同不能全部或部分履行，受托人应承担责任。</w:t>
      </w:r>
    </w:p>
    <w:p w14:paraId="759F139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第十七条 受托人向委托人提出赔偿要求不能成立时,则应补偿由于该赔偿或其他要求所导致委托人的各种费用的支出。</w:t>
      </w:r>
    </w:p>
    <w:p w14:paraId="2DB86CC7">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第十八条 受托人应认真学习委托方明确的工作规范及制度,严格按照工作规范操作，如果临时出现工作规范之外的问题，应及时向结算大厅负责人汇报，确定流程后方可操作。</w:t>
      </w:r>
    </w:p>
    <w:p w14:paraId="62A1D6C4">
      <w:pPr>
        <w:spacing w:line="440" w:lineRule="exact"/>
        <w:ind w:firstLine="482" w:firstLineChars="200"/>
        <w:jc w:val="center"/>
        <w:rPr>
          <w:rFonts w:ascii="宋体" w:hAnsi="宋体" w:eastAsia="宋体" w:cs="宋体"/>
          <w:b/>
          <w:bCs/>
          <w:sz w:val="24"/>
          <w:szCs w:val="24"/>
        </w:rPr>
      </w:pPr>
    </w:p>
    <w:p w14:paraId="3AB72550">
      <w:pPr>
        <w:spacing w:line="440" w:lineRule="exact"/>
        <w:ind w:firstLine="482" w:firstLineChars="200"/>
        <w:jc w:val="center"/>
        <w:rPr>
          <w:rFonts w:ascii="宋体" w:hAnsi="宋体" w:eastAsia="宋体" w:cs="宋体"/>
          <w:b/>
          <w:bCs/>
          <w:sz w:val="24"/>
          <w:szCs w:val="24"/>
        </w:rPr>
      </w:pPr>
      <w:r>
        <w:rPr>
          <w:rFonts w:hint="eastAsia" w:ascii="宋体" w:hAnsi="宋体" w:eastAsia="宋体" w:cs="宋体"/>
          <w:b/>
          <w:bCs/>
          <w:sz w:val="24"/>
          <w:szCs w:val="24"/>
        </w:rPr>
        <w:t>委托人的责任</w:t>
      </w:r>
    </w:p>
    <w:p w14:paraId="2E6B9B8A">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第十九条   委托人应当履行咨询合同约定的义务，如有违反则应当承担违约责任，赔偿给受托人造成的损失。</w:t>
      </w:r>
    </w:p>
    <w:p w14:paraId="2D1A3FF1">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第二十条   委托人如果向受托人提出赔偿或其他要求不能成立时，则应补偿由于该赔偿或其他要求所导致受托人的各种费用的支出。</w:t>
      </w:r>
    </w:p>
    <w:p w14:paraId="38E8E26B">
      <w:pPr>
        <w:spacing w:line="440" w:lineRule="exact"/>
        <w:ind w:firstLine="482" w:firstLineChars="200"/>
        <w:jc w:val="center"/>
        <w:rPr>
          <w:rFonts w:ascii="宋体" w:hAnsi="宋体" w:eastAsia="宋体" w:cs="宋体"/>
          <w:b/>
          <w:bCs/>
          <w:sz w:val="24"/>
          <w:szCs w:val="24"/>
        </w:rPr>
      </w:pPr>
      <w:r>
        <w:rPr>
          <w:rFonts w:hint="eastAsia" w:ascii="宋体" w:hAnsi="宋体" w:eastAsia="宋体" w:cs="宋体"/>
          <w:b/>
          <w:bCs/>
          <w:sz w:val="24"/>
          <w:szCs w:val="24"/>
        </w:rPr>
        <w:t>合同生效，变更与终止</w:t>
      </w:r>
    </w:p>
    <w:p w14:paraId="7263471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第二十一条 本合同自双方签字盖章之日起生效。</w:t>
      </w:r>
    </w:p>
    <w:p w14:paraId="18DC33F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第二十二条 由于委托人或第三人的原因使受托人工作受到阻碍或延误以致增加了工作量或持续时间，则受托人应当将此情况与可能产生的影响及时书面通知委托人。由此增加的工作量视为额外服务，完成咨询工作的时候应当相应延长。</w:t>
      </w:r>
    </w:p>
    <w:p w14:paraId="4FC2D4B8">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第二十三条 当事人一方要求变更或解除合同时，则应当在30日前通知对方;因变更或解除合同使一方遭受损失的，应由责任方负责赔偿。</w:t>
      </w:r>
    </w:p>
    <w:p w14:paraId="26B4692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第二十四条 受托人由于非自身原因暂停或终止执行咨询业务，由此而增加的恢复执行咨询业务的工作，应视为额外服务，有权得到额外的时间和酬金。</w:t>
      </w:r>
    </w:p>
    <w:p w14:paraId="7876C90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第二十五条 变更或解除合同的通知或协议应当采取书面形式，新的协议未达成之前，原合同仍然有效。</w:t>
      </w:r>
    </w:p>
    <w:p w14:paraId="75BDE75C">
      <w:pPr>
        <w:spacing w:line="440" w:lineRule="exact"/>
        <w:ind w:firstLine="482" w:firstLineChars="200"/>
        <w:jc w:val="center"/>
        <w:rPr>
          <w:rFonts w:ascii="宋体" w:hAnsi="宋体" w:eastAsia="宋体" w:cs="宋体"/>
          <w:b/>
          <w:bCs/>
          <w:sz w:val="24"/>
          <w:szCs w:val="24"/>
        </w:rPr>
      </w:pPr>
      <w:r>
        <w:rPr>
          <w:rFonts w:hint="eastAsia" w:ascii="宋体" w:hAnsi="宋体" w:eastAsia="宋体" w:cs="宋体"/>
          <w:b/>
          <w:bCs/>
          <w:sz w:val="24"/>
          <w:szCs w:val="24"/>
        </w:rPr>
        <w:t>咨询业务的酬金</w:t>
      </w:r>
    </w:p>
    <w:p w14:paraId="6AF9CD09">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第二十六条 正常的咨询业务，附加工作和额外工作的酬金，按照咨询合同专用条件约定的方法计取，并按约定的时间和数额支付。</w:t>
      </w:r>
    </w:p>
    <w:p w14:paraId="611C084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第二十七条 如果委托人在规定的支付期限内未支付咨询酬金，自规定支付之日起，应当向受托人补偿应支付的酬金利息。利息额度由双方商定。</w:t>
      </w:r>
    </w:p>
    <w:p w14:paraId="53123DAB">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第二十八条 如果委托人对受托人提交的支付通知书中酬金或部分酬金项目提出异议,应当在收到支付通知书</w:t>
      </w:r>
      <w:r>
        <w:rPr>
          <w:rFonts w:hint="eastAsia" w:ascii="宋体" w:hAnsi="宋体" w:eastAsia="宋体" w:cs="宋体"/>
          <w:b/>
          <w:bCs/>
          <w:sz w:val="24"/>
          <w:szCs w:val="24"/>
          <w:u w:val="single"/>
        </w:rPr>
        <w:t>十日</w:t>
      </w:r>
      <w:r>
        <w:rPr>
          <w:rFonts w:hint="eastAsia" w:ascii="宋体" w:hAnsi="宋体" w:eastAsia="宋体" w:cs="宋体"/>
          <w:sz w:val="24"/>
          <w:szCs w:val="24"/>
        </w:rPr>
        <w:t>内向受托人发出异议的通知，但委托人不得拖延其无异议酬金项目的支付。</w:t>
      </w:r>
    </w:p>
    <w:p w14:paraId="41CC472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第二十九条 支付咨询酬金所采取的货币币种、汇率由合同专用条件约定。</w:t>
      </w:r>
    </w:p>
    <w:p w14:paraId="36B9ECB2">
      <w:pPr>
        <w:spacing w:line="440" w:lineRule="exact"/>
        <w:ind w:firstLine="482" w:firstLineChars="200"/>
        <w:jc w:val="center"/>
        <w:rPr>
          <w:rFonts w:ascii="宋体" w:hAnsi="宋体" w:eastAsia="宋体" w:cs="宋体"/>
          <w:b/>
          <w:bCs/>
          <w:sz w:val="24"/>
          <w:szCs w:val="24"/>
        </w:rPr>
      </w:pPr>
      <w:r>
        <w:rPr>
          <w:rFonts w:hint="eastAsia" w:ascii="宋体" w:hAnsi="宋体" w:eastAsia="宋体" w:cs="宋体"/>
          <w:b/>
          <w:bCs/>
          <w:sz w:val="24"/>
          <w:szCs w:val="24"/>
        </w:rPr>
        <w:t>其他</w:t>
      </w:r>
    </w:p>
    <w:p w14:paraId="4848FE7D">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第三十条 因咨询业务的需要，受托人在合同约定外的外出考察，经委托人同意，其所需费用由委托人负责。</w:t>
      </w:r>
    </w:p>
    <w:p w14:paraId="5DFCE58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第三十一条 受托人如需外聘专家协助。在委托的咨询业务范围内其费用由受托人承担;</w:t>
      </w:r>
    </w:p>
    <w:p w14:paraId="5F589D55">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在委托的咨询业务范围以外经委托人认可其费用由委托人承担。</w:t>
      </w:r>
    </w:p>
    <w:p w14:paraId="0D36EDB6">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第三十二条 未经对方的书面同意， 各方均不得转让合同约定的权利和义务。</w:t>
      </w:r>
    </w:p>
    <w:p w14:paraId="1F6CA9BA">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第三十三条 除委托人书面同意外，受托人及咨询专业人员不应接受咨询合同以外的与咨询项目有关的任何报酬。受托人不得参与可能与合同规定的与委托人利益相冲突的任何活动。</w:t>
      </w:r>
    </w:p>
    <w:p w14:paraId="50FAEC1D">
      <w:pPr>
        <w:spacing w:line="440" w:lineRule="exact"/>
        <w:ind w:firstLine="482" w:firstLineChars="200"/>
        <w:jc w:val="center"/>
        <w:rPr>
          <w:rFonts w:ascii="宋体" w:hAnsi="宋体" w:eastAsia="宋体" w:cs="宋体"/>
          <w:b/>
          <w:bCs/>
          <w:sz w:val="24"/>
          <w:szCs w:val="24"/>
        </w:rPr>
      </w:pPr>
      <w:r>
        <w:rPr>
          <w:rFonts w:hint="eastAsia" w:ascii="宋体" w:hAnsi="宋体" w:eastAsia="宋体" w:cs="宋体"/>
          <w:b/>
          <w:bCs/>
          <w:sz w:val="24"/>
          <w:szCs w:val="24"/>
        </w:rPr>
        <w:t>合同争议的解决</w:t>
      </w:r>
    </w:p>
    <w:p w14:paraId="3160F742">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第三十四条 因违约或终止合同而引起的损失和损害的赔偿,委托人与受托人之间应当协商解决；如未能达成一致，可提交有关主管部门调解;协商或调解不成的，根据双方约定提交仲裁机关仲裁，或向业务所在地人民法院</w:t>
      </w:r>
      <w:r>
        <w:rPr>
          <w:rFonts w:hint="eastAsia" w:ascii="宋体" w:hAnsi="宋体" w:eastAsia="宋体" w:cs="宋体"/>
          <w:sz w:val="24"/>
          <w:szCs w:val="24"/>
          <w:lang w:eastAsia="zh-CN"/>
        </w:rPr>
        <w:t>提起诉讼</w:t>
      </w:r>
      <w:r>
        <w:rPr>
          <w:rFonts w:hint="eastAsia" w:ascii="宋体" w:hAnsi="宋体" w:eastAsia="宋体" w:cs="宋体"/>
          <w:sz w:val="24"/>
          <w:szCs w:val="24"/>
        </w:rPr>
        <w:t>。</w:t>
      </w:r>
    </w:p>
    <w:p w14:paraId="6F2B4044">
      <w:pPr>
        <w:spacing w:line="440" w:lineRule="exact"/>
        <w:ind w:firstLine="482" w:firstLineChars="200"/>
        <w:jc w:val="center"/>
        <w:rPr>
          <w:rFonts w:ascii="宋体" w:hAnsi="宋体" w:eastAsia="宋体" w:cs="宋体"/>
          <w:b/>
          <w:bCs/>
          <w:sz w:val="24"/>
          <w:szCs w:val="24"/>
        </w:rPr>
      </w:pPr>
      <w:r>
        <w:rPr>
          <w:rFonts w:hint="eastAsia" w:ascii="宋体" w:hAnsi="宋体" w:eastAsia="宋体" w:cs="宋体"/>
          <w:b/>
          <w:bCs/>
          <w:sz w:val="24"/>
          <w:szCs w:val="24"/>
        </w:rPr>
        <w:t>第三部分   咨询合同专用条件</w:t>
      </w:r>
    </w:p>
    <w:p w14:paraId="6475AEE4">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第一条   咨询业务范围和工作内容:</w:t>
      </w:r>
    </w:p>
    <w:p w14:paraId="719C0E52">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1.咨询业务范围：</w:t>
      </w:r>
      <w:r>
        <w:rPr>
          <w:rFonts w:hint="eastAsia" w:asciiTheme="minorEastAsia" w:hAnsiTheme="minorEastAsia" w:eastAsiaTheme="minorEastAsia" w:cstheme="minorEastAsia"/>
          <w:b/>
          <w:bCs/>
          <w:sz w:val="24"/>
          <w:szCs w:val="24"/>
          <w:u w:val="single"/>
        </w:rPr>
        <w:t>衡通嘉苑、外滩雅苑、任港嘉苑、悦泰花园销售结算咨询</w:t>
      </w:r>
    </w:p>
    <w:p w14:paraId="62B37626">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2.咨询工作内容：</w:t>
      </w:r>
      <w:r>
        <w:rPr>
          <w:rFonts w:ascii="宋体" w:hAnsi="宋体" w:eastAsia="宋体" w:cs="宋体"/>
          <w:sz w:val="24"/>
          <w:szCs w:val="24"/>
        </w:rPr>
        <w:t xml:space="preserve"> </w:t>
      </w:r>
    </w:p>
    <w:p w14:paraId="19CA1D9D">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1、根据提供的相关资料，制定销售安置方案、购房须知和选房通知书。</w:t>
      </w:r>
    </w:p>
    <w:p w14:paraId="79DEDC4F">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负责所代理的低价位商品房项目的现场选房、结算、签订合同和合同备案，并向安置户解释合同等相关条款，如产权面积与原销售面积有误，需重新结算，并配合发放产权证明单和新的结算差异表。如销售过程中产生数据输入错误、结算有误或其他引起销售失误的行为，由上述行为产生的纠纷或损失由代理公司承担责任；</w:t>
      </w:r>
    </w:p>
    <w:p w14:paraId="75B6BF74">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3、根据提供的资料制作现场展示的套型图、车库平面图等图板，如制作有误引起纠纷或损失由代理公司承担责任；</w:t>
      </w:r>
    </w:p>
    <w:p w14:paraId="7EDBAF9C">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4、负责售楼现场需要的电脑、打印机、纸张、合同文本及订房须知、通知书的印刷；</w:t>
      </w:r>
    </w:p>
    <w:p w14:paraId="4CECF838">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5、协助现场选房区和签约区的布置，提供布置方案，提供需招标采购的物料清单、现场指挥布置等。</w:t>
      </w:r>
    </w:p>
    <w:p w14:paraId="39FB629F">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6、负责统计、汇总小区的所有住宅套型、车库数量，合理配置好各标段的套型比例；</w:t>
      </w:r>
    </w:p>
    <w:p w14:paraId="7C034546">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7、现场分房时的人员最低配置要求：选房区3人，登记处1人，结算处1人，复核1人，合同3人，开票1人。后期到天一公司结算，费用按实际使用人次每人每天汇总支付。</w:t>
      </w:r>
    </w:p>
    <w:p w14:paraId="248594A1">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8、负责录入各项基础数据及销售数据到房产销售系统和甲方销售软件系统及区房征办的销控系统；</w:t>
      </w:r>
    </w:p>
    <w:p w14:paraId="33A3A441">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9、负责配合审计工作。</w:t>
      </w:r>
    </w:p>
    <w:p w14:paraId="27E11B32">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10、甲方向乙方提供结算办公的处所；相关软件、办公电脑、打印机等办公设施由乙方自备。</w:t>
      </w:r>
    </w:p>
    <w:p w14:paraId="01DD0EE1">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11、以上服务内容未完备的，以甲方具体安排为准。</w:t>
      </w:r>
    </w:p>
    <w:p w14:paraId="3354EF3D">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12、如发现乙方递交的投标文件有弄虚作假行为，将记入不良纪录，并上报有关部门。甲方有权取消其中标资格，并由乙方承担一切责任和损失。</w:t>
      </w:r>
    </w:p>
    <w:p w14:paraId="21132F2A">
      <w:pPr>
        <w:spacing w:line="440" w:lineRule="exact"/>
        <w:ind w:firstLine="364"/>
        <w:rPr>
          <w:rFonts w:ascii="宋体" w:hAnsi="宋体" w:eastAsia="宋体" w:cs="宋体"/>
          <w:sz w:val="24"/>
          <w:szCs w:val="24"/>
        </w:rPr>
      </w:pPr>
      <w:r>
        <w:rPr>
          <w:rFonts w:hint="eastAsia" w:ascii="宋体" w:hAnsi="宋体" w:eastAsia="宋体" w:cs="宋体"/>
          <w:sz w:val="24"/>
          <w:szCs w:val="24"/>
        </w:rPr>
        <w:t>合同履行过程中若变更本次招标提报名单中人员，需提前向招标方申请经招标人同意后方可更换。</w:t>
      </w:r>
    </w:p>
    <w:p w14:paraId="7375F854">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以上服务内容未完备的，以甲方具体安排为准。</w:t>
      </w:r>
    </w:p>
    <w:p w14:paraId="5C25EA98">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第二条   保密条款</w:t>
      </w:r>
    </w:p>
    <w:p w14:paraId="6C42CD23">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在为委托人提供服务过程中，受托人可能会获取与委托人业务或其他事宜有关的保密信息。受托人将遵守中华人民共和国相关法律法规的要求，对执行业务过程中知悉的委托人的保密信息予以保密，除下列情况外: .</w:t>
      </w:r>
    </w:p>
    <w:p w14:paraId="327800E8">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1.1.法律法规允许，并取得委托人的授权;</w:t>
      </w:r>
    </w:p>
    <w:p w14:paraId="1C48C799">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1.2.根据法律法规的规定，为法律诉讼准备文件或提供证据，以及向监管机构报告发现的违反法规行为;</w:t>
      </w:r>
    </w:p>
    <w:p w14:paraId="0C516E10">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1.3.法律法规允许的情况下，在法律诉讼、仲裁中维护自己的合法权益;</w:t>
      </w:r>
    </w:p>
    <w:p w14:paraId="2E836AA7">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1.4.接受法院、检察院、行业协会或监管机构等有权机构的检查，答复其询问和调查;</w:t>
      </w:r>
    </w:p>
    <w:p w14:paraId="6EAC1CF4">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1.5.监管机构对受托人进行行政处罚(包括监管机构处罚前的调查、听证)以及受托人对此提起行政复议;</w:t>
      </w:r>
    </w:p>
    <w:p w14:paraId="2C2D80A5">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1.6.在有关服务的法律程序中受托人作为涉及的一方进行披露或受托人必须要披露;</w:t>
      </w:r>
    </w:p>
    <w:p w14:paraId="74EC1355">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1.7.法律法规、执业准则和职业道德规范规定的其他情形。</w:t>
      </w:r>
    </w:p>
    <w:p w14:paraId="5A47A7F6">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否则受托人不得向除受托人外的第三方披露保密信息。</w:t>
      </w:r>
    </w:p>
    <w:p w14:paraId="1B389E67">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为了进行市场拓展、宣传或者推广受托人的服务，受托人可能会披露曾为委托人工作(包括提供服务)的事实。在这种情况下受托人会提及委托人的名称或使用委托人的logo,并指出该工作(或服务)的一般性质或种类，以及任何已适当进入公众领域的详细信息。</w:t>
      </w:r>
    </w:p>
    <w:p w14:paraId="3F2BA029">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3、受托人为委托人提供服务的人员应对本公司的涉密信息保密。</w:t>
      </w:r>
    </w:p>
    <w:p w14:paraId="0B1C9F3A">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第三条  本项目委托人提供受托人结算业务的处所、结算流程软件、相关办公电脑、打印机等办公设施，按照受托人提交的资料清单及时提供所需结算资料、会计凭证附件、报表及其他资料，并对资料的真实性、合法性、正确性负责。</w:t>
      </w:r>
    </w:p>
    <w:p w14:paraId="7D4DF9C4">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第四条  委托人应在收到对受托人要求做出答复事宜的书面报告后，2日内做出书面答复。若超过上述时限，完成日顺延。</w:t>
      </w:r>
    </w:p>
    <w:p w14:paraId="65F4EB4B">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第五条  受托人责任期内， 因受托人的单方过失造成的经济损失，应当向委托人进行赔偿。</w:t>
      </w:r>
    </w:p>
    <w:p w14:paraId="268CEB36">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第六条  委托人同意按以下计算方法、支付时间与金额，支付受托人的正常酬金;</w:t>
      </w:r>
    </w:p>
    <w:p w14:paraId="4C39DB22">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1、本酬金计算。经双方协商同意按以下方式计算酬金。</w:t>
      </w:r>
    </w:p>
    <w:p w14:paraId="4B967530">
      <w:pPr>
        <w:spacing w:line="440" w:lineRule="exact"/>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服务收费=小区规划居住面积 *合同单价。</w:t>
      </w:r>
    </w:p>
    <w:p w14:paraId="19067A28">
      <w:pPr>
        <w:spacing w:line="440" w:lineRule="exact"/>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合同单价为</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rPr>
        <w:t>元/</w:t>
      </w:r>
      <w:r>
        <w:rPr>
          <w:rFonts w:hint="eastAsia" w:ascii="宋体" w:hAnsi="宋体" w:eastAsia="宋体" w:cs="宋体"/>
          <w:b/>
          <w:bCs/>
          <w:color w:val="000000"/>
          <w:kern w:val="0"/>
          <w:sz w:val="24"/>
          <w:szCs w:val="24"/>
          <w:lang w:bidi="ar"/>
        </w:rPr>
        <w:t>㎡</w:t>
      </w:r>
      <w:r>
        <w:rPr>
          <w:rFonts w:hint="eastAsia" w:ascii="宋体" w:hAnsi="宋体" w:eastAsia="宋体" w:cs="宋体"/>
          <w:b/>
          <w:bCs/>
          <w:sz w:val="24"/>
          <w:szCs w:val="24"/>
        </w:rPr>
        <w:t>，面积</w:t>
      </w:r>
      <w:r>
        <w:rPr>
          <w:rFonts w:hint="eastAsia" w:ascii="宋体" w:hAnsi="宋体" w:eastAsia="宋体" w:cs="宋体"/>
          <w:b/>
          <w:bCs/>
          <w:sz w:val="24"/>
          <w:szCs w:val="24"/>
          <w:u w:val="single"/>
        </w:rPr>
        <w:t xml:space="preserve">        </w:t>
      </w:r>
      <w:r>
        <w:rPr>
          <w:rFonts w:hint="eastAsia" w:ascii="宋体" w:hAnsi="宋体" w:eastAsia="宋体" w:cs="宋体"/>
          <w:b/>
          <w:bCs/>
          <w:color w:val="000000"/>
          <w:kern w:val="0"/>
          <w:sz w:val="24"/>
          <w:szCs w:val="24"/>
          <w:lang w:bidi="ar"/>
        </w:rPr>
        <w:t>㎡，合同总价为</w:t>
      </w:r>
      <w:r>
        <w:rPr>
          <w:rFonts w:hint="eastAsia" w:ascii="宋体" w:hAnsi="宋体" w:eastAsia="宋体" w:cs="宋体"/>
          <w:b/>
          <w:bCs/>
          <w:color w:val="000000"/>
          <w:kern w:val="0"/>
          <w:sz w:val="24"/>
          <w:szCs w:val="24"/>
          <w:u w:val="single"/>
          <w:lang w:bidi="ar"/>
        </w:rPr>
        <w:t xml:space="preserve">        </w:t>
      </w:r>
      <w:r>
        <w:rPr>
          <w:rFonts w:hint="eastAsia" w:ascii="宋体" w:hAnsi="宋体" w:eastAsia="宋体" w:cs="宋体"/>
          <w:b/>
          <w:bCs/>
          <w:color w:val="000000"/>
          <w:kern w:val="0"/>
          <w:sz w:val="24"/>
          <w:szCs w:val="24"/>
          <w:lang w:bidi="ar"/>
        </w:rPr>
        <w:t>元。</w:t>
      </w:r>
    </w:p>
    <w:p w14:paraId="1A491E2E">
      <w:pPr>
        <w:spacing w:line="440" w:lineRule="exact"/>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后期财务结算借用人员服务费为</w:t>
      </w:r>
      <w:r>
        <w:rPr>
          <w:rFonts w:hint="eastAsia" w:ascii="宋体" w:hAnsi="宋体" w:eastAsia="宋体" w:cs="宋体"/>
          <w:b/>
          <w:bCs/>
          <w:sz w:val="24"/>
          <w:szCs w:val="24"/>
          <w:u w:val="single"/>
        </w:rPr>
        <w:t>360元/人/天</w:t>
      </w:r>
      <w:r>
        <w:rPr>
          <w:rFonts w:hint="eastAsia" w:ascii="宋体" w:hAnsi="宋体" w:eastAsia="宋体" w:cs="宋体"/>
          <w:b/>
          <w:bCs/>
          <w:sz w:val="24"/>
          <w:szCs w:val="24"/>
        </w:rPr>
        <w:t>。</w:t>
      </w:r>
    </w:p>
    <w:p w14:paraId="7F010D4A">
      <w:pPr>
        <w:spacing w:line="440" w:lineRule="exact"/>
        <w:ind w:firstLine="482" w:firstLineChars="200"/>
        <w:jc w:val="left"/>
        <w:rPr>
          <w:rFonts w:ascii="宋体" w:hAnsi="宋体" w:eastAsia="宋体" w:cs="宋体"/>
          <w:b/>
          <w:bCs/>
          <w:sz w:val="24"/>
          <w:szCs w:val="24"/>
        </w:rPr>
      </w:pPr>
      <w:r>
        <w:rPr>
          <w:rFonts w:hint="eastAsia" w:ascii="宋体" w:hAnsi="宋体" w:eastAsia="宋体" w:cs="宋体"/>
          <w:b/>
          <w:bCs/>
          <w:sz w:val="24"/>
          <w:szCs w:val="24"/>
        </w:rPr>
        <w:t>2、结算支付。</w:t>
      </w:r>
    </w:p>
    <w:p w14:paraId="61E6B61F">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1、每次付款在现场安置结束后两周内根据本次安置面积乘以0.7元取整支付，剩余款在每年度按实际结算面积及结算单价结算。</w:t>
      </w:r>
    </w:p>
    <w:p w14:paraId="300332EE">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2、如同一小区非零星房源集中安置次数超过三次（含）以上（以集中安置的次数为准），销售代理费用以中标价为基础上浮10%支付含第一次及第二次集中安置销售（此条款为固定条款，不做浮动）。</w:t>
      </w:r>
    </w:p>
    <w:p w14:paraId="3205D4D1">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第七条 双方同意用人民币支付酬金。</w:t>
      </w:r>
    </w:p>
    <w:p w14:paraId="6BC88C68">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第八条 本约定书的所有方面均应适用中华人民共和国法律进行解释并受其约束。本约定书履行地为受托人出具审计报告所在地，因本约定书所引起的或与本约定书有关的任何纠纷或争议(包括关于本约定书条款的存在、效力或终止,或无效之后果)，双方选择以下第 1种解决方式:</w:t>
      </w:r>
    </w:p>
    <w:p w14:paraId="64296440">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1.向业务所在地人民法院提起诉讼;</w:t>
      </w:r>
    </w:p>
    <w:p w14:paraId="3723D325">
      <w:pPr>
        <w:spacing w:line="44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2.提交</w:t>
      </w:r>
      <w:r>
        <w:rPr>
          <w:rFonts w:hint="eastAsia" w:ascii="宋体" w:hAnsi="宋体" w:eastAsia="宋体" w:cs="宋体"/>
          <w:b/>
          <w:bCs/>
          <w:sz w:val="24"/>
          <w:szCs w:val="24"/>
          <w:u w:val="single"/>
        </w:rPr>
        <w:t xml:space="preserve">   南通市  </w:t>
      </w:r>
      <w:r>
        <w:rPr>
          <w:rFonts w:hint="eastAsia" w:ascii="宋体" w:hAnsi="宋体" w:eastAsia="宋体" w:cs="宋体"/>
          <w:sz w:val="24"/>
          <w:szCs w:val="24"/>
        </w:rPr>
        <w:t>仲裁委员会仲裁。</w:t>
      </w:r>
    </w:p>
    <w:p w14:paraId="7520805A">
      <w:pPr>
        <w:spacing w:line="360" w:lineRule="auto"/>
        <w:rPr>
          <w:rFonts w:ascii="宋体" w:hAnsi="宋体" w:eastAsia="宋体" w:cs="宋体"/>
          <w:sz w:val="22"/>
          <w:szCs w:val="24"/>
        </w:rPr>
      </w:pPr>
    </w:p>
    <w:p w14:paraId="3EF7856D">
      <w:pPr>
        <w:spacing w:line="440" w:lineRule="exact"/>
        <w:ind w:firstLine="487" w:firstLineChars="202"/>
        <w:rPr>
          <w:rFonts w:ascii="宋体" w:hAnsi="宋体" w:eastAsia="宋体"/>
          <w:b/>
          <w:sz w:val="28"/>
          <w:szCs w:val="28"/>
        </w:rPr>
      </w:pPr>
      <w:r>
        <w:rPr>
          <w:rFonts w:ascii="宋体" w:hAnsi="宋体" w:eastAsia="宋体" w:cs="宋体"/>
          <w:b/>
          <w:bCs/>
          <w:sz w:val="24"/>
          <w:szCs w:val="24"/>
        </w:rPr>
        <w:br w:type="page"/>
      </w:r>
      <w:bookmarkStart w:id="6" w:name="_Toc94585343"/>
      <w:bookmarkStart w:id="7" w:name="_Toc363573858"/>
    </w:p>
    <w:p w14:paraId="4AD4362E">
      <w:pPr>
        <w:pageBreakBefore/>
        <w:spacing w:line="360" w:lineRule="auto"/>
        <w:jc w:val="center"/>
        <w:rPr>
          <w:rFonts w:ascii="宋体" w:hAnsi="宋体" w:eastAsia="宋体" w:cs="宋体"/>
          <w:b/>
          <w:bCs/>
          <w:kern w:val="44"/>
          <w:sz w:val="44"/>
          <w:szCs w:val="44"/>
        </w:rPr>
      </w:pPr>
      <w:r>
        <w:rPr>
          <w:rFonts w:hint="eastAsia" w:ascii="宋体" w:hAnsi="宋体" w:eastAsia="宋体" w:cs="宋体"/>
          <w:b/>
          <w:bCs/>
          <w:kern w:val="44"/>
          <w:sz w:val="44"/>
          <w:szCs w:val="44"/>
        </w:rPr>
        <w:t>第七章</w:t>
      </w:r>
      <w:bookmarkEnd w:id="6"/>
      <w:r>
        <w:rPr>
          <w:rFonts w:hint="eastAsia" w:ascii="宋体" w:hAnsi="宋体" w:eastAsia="宋体" w:cs="宋体"/>
          <w:b/>
          <w:bCs/>
          <w:kern w:val="44"/>
          <w:sz w:val="44"/>
          <w:szCs w:val="44"/>
        </w:rPr>
        <w:t xml:space="preserve"> 履约验收及付款</w:t>
      </w:r>
      <w:bookmarkEnd w:id="7"/>
    </w:p>
    <w:p w14:paraId="453D62B2">
      <w:pPr>
        <w:spacing w:line="440" w:lineRule="exact"/>
        <w:ind w:firstLine="480" w:firstLineChars="200"/>
        <w:rPr>
          <w:rFonts w:ascii="宋体" w:hAnsi="宋体" w:eastAsia="宋体"/>
          <w:kern w:val="0"/>
          <w:sz w:val="24"/>
          <w:szCs w:val="24"/>
        </w:rPr>
      </w:pPr>
      <w:bookmarkStart w:id="8" w:name="_Toc363573859"/>
      <w:r>
        <w:rPr>
          <w:rFonts w:hint="eastAsia" w:ascii="宋体" w:hAnsi="宋体" w:eastAsia="宋体"/>
          <w:kern w:val="0"/>
          <w:sz w:val="24"/>
          <w:szCs w:val="24"/>
        </w:rPr>
        <w:t>一、招标人和中标人应相互配合，按采购合同约定积极组织本项目的实施，确保按时交货。交货完成后，中标人应以书面形式向招标人提出验收申请，招标人接到申请后应及时组织验收。</w:t>
      </w:r>
    </w:p>
    <w:p w14:paraId="1A1F8180">
      <w:pPr>
        <w:spacing w:line="440" w:lineRule="exact"/>
        <w:ind w:firstLine="480" w:firstLineChars="200"/>
        <w:rPr>
          <w:rFonts w:ascii="宋体" w:hAnsi="宋体" w:eastAsia="宋体"/>
          <w:kern w:val="0"/>
          <w:sz w:val="24"/>
          <w:szCs w:val="24"/>
        </w:rPr>
      </w:pPr>
      <w:r>
        <w:rPr>
          <w:rFonts w:hint="eastAsia" w:ascii="宋体" w:hAnsi="宋体" w:eastAsia="宋体"/>
          <w:kern w:val="0"/>
          <w:sz w:val="24"/>
          <w:szCs w:val="24"/>
        </w:rPr>
        <w:t>二、招标人、中标人不按采购合同规定履约，出现违约情形，应当及时纠正或补偿，造成损失的，按合同约定追究违约责任；履约中发现有假冒、伪劣、走私产品、商业贿赂等违法情形的，应由招标人移交工商、质监、公安等行政执法部门依法查处。</w:t>
      </w:r>
    </w:p>
    <w:p w14:paraId="0E8611DA">
      <w:pPr>
        <w:spacing w:line="440" w:lineRule="exact"/>
        <w:ind w:firstLine="480" w:firstLineChars="200"/>
        <w:rPr>
          <w:rFonts w:ascii="宋体" w:hAnsi="宋体" w:eastAsia="宋体"/>
          <w:kern w:val="0"/>
          <w:sz w:val="24"/>
          <w:szCs w:val="24"/>
        </w:rPr>
      </w:pPr>
      <w:r>
        <w:rPr>
          <w:rFonts w:hint="eastAsia" w:ascii="宋体" w:hAnsi="宋体" w:eastAsia="宋体"/>
          <w:kern w:val="0"/>
          <w:sz w:val="24"/>
          <w:szCs w:val="24"/>
        </w:rPr>
        <w:t>三、按采购合同约定支付的款项，由招标人进行支付。</w:t>
      </w:r>
    </w:p>
    <w:p w14:paraId="255A6777">
      <w:pPr>
        <w:pStyle w:val="22"/>
        <w:spacing w:line="440" w:lineRule="exact"/>
        <w:ind w:firstLine="480" w:firstLineChars="200"/>
        <w:rPr>
          <w:rFonts w:ascii="宋体" w:hAnsi="宋体" w:eastAsia="宋体"/>
          <w:kern w:val="0"/>
          <w:sz w:val="24"/>
          <w:szCs w:val="24"/>
        </w:rPr>
      </w:pPr>
      <w:r>
        <w:rPr>
          <w:rFonts w:hint="eastAsia" w:ascii="宋体" w:hAnsi="宋体" w:eastAsia="宋体"/>
          <w:kern w:val="0"/>
          <w:sz w:val="24"/>
          <w:szCs w:val="24"/>
        </w:rPr>
        <w:t>四、本项目酬金计算。</w:t>
      </w:r>
    </w:p>
    <w:p w14:paraId="551CD8FC">
      <w:pPr>
        <w:spacing w:line="440" w:lineRule="exact"/>
        <w:ind w:firstLine="482" w:firstLineChars="200"/>
        <w:rPr>
          <w:rFonts w:ascii="宋体" w:hAnsi="宋体" w:eastAsia="宋体"/>
          <w:b/>
          <w:bCs/>
          <w:kern w:val="0"/>
          <w:sz w:val="24"/>
          <w:szCs w:val="24"/>
        </w:rPr>
      </w:pPr>
      <w:r>
        <w:rPr>
          <w:rFonts w:hint="eastAsia" w:ascii="宋体" w:hAnsi="宋体" w:eastAsia="宋体"/>
          <w:b/>
          <w:bCs/>
          <w:kern w:val="0"/>
          <w:sz w:val="24"/>
          <w:szCs w:val="24"/>
        </w:rPr>
        <w:t>具体内容详见合同。</w:t>
      </w:r>
    </w:p>
    <w:bookmarkEnd w:id="8"/>
    <w:p w14:paraId="1E79688D">
      <w:pPr>
        <w:pageBreakBefore/>
        <w:spacing w:line="360" w:lineRule="auto"/>
        <w:jc w:val="center"/>
        <w:rPr>
          <w:rFonts w:ascii="宋体" w:hAnsi="宋体" w:eastAsia="宋体" w:cs="宋体"/>
          <w:b/>
          <w:bCs/>
          <w:kern w:val="44"/>
          <w:sz w:val="44"/>
          <w:szCs w:val="44"/>
        </w:rPr>
      </w:pPr>
      <w:bookmarkStart w:id="9" w:name="_Toc363573860"/>
      <w:r>
        <w:rPr>
          <w:rFonts w:hint="eastAsia" w:ascii="宋体" w:hAnsi="宋体" w:eastAsia="宋体" w:cs="宋体"/>
          <w:b/>
          <w:bCs/>
          <w:kern w:val="44"/>
          <w:sz w:val="44"/>
          <w:szCs w:val="44"/>
        </w:rPr>
        <w:t>第八章 质疑与投诉</w:t>
      </w:r>
    </w:p>
    <w:p w14:paraId="7DAB7539">
      <w:pPr>
        <w:snapToGrid w:val="0"/>
        <w:spacing w:line="440" w:lineRule="exact"/>
        <w:ind w:firstLine="426"/>
        <w:rPr>
          <w:rFonts w:ascii="宋体" w:hAnsi="宋体" w:eastAsia="宋体"/>
          <w:sz w:val="24"/>
          <w:szCs w:val="24"/>
        </w:rPr>
      </w:pPr>
      <w:r>
        <w:rPr>
          <w:rFonts w:hint="eastAsia" w:ascii="宋体" w:hAnsi="宋体" w:eastAsia="宋体"/>
          <w:sz w:val="24"/>
          <w:szCs w:val="24"/>
        </w:rPr>
        <w:t>一、质疑的提出</w:t>
      </w:r>
    </w:p>
    <w:p w14:paraId="5852B7EE">
      <w:pPr>
        <w:snapToGrid w:val="0"/>
        <w:spacing w:line="440" w:lineRule="exact"/>
        <w:ind w:firstLine="426"/>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、质疑必须是直接参加本次招投标活动的当事人。</w:t>
      </w:r>
    </w:p>
    <w:p w14:paraId="6DED5B02">
      <w:pPr>
        <w:snapToGrid w:val="0"/>
        <w:spacing w:line="440" w:lineRule="exact"/>
        <w:ind w:firstLine="426"/>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、取得招标文件的投标人应根据招标文件第二章“投标人须知”中“第一条第</w:t>
      </w:r>
      <w:r>
        <w:rPr>
          <w:rFonts w:ascii="宋体" w:hAnsi="宋体" w:eastAsia="宋体"/>
          <w:sz w:val="24"/>
          <w:szCs w:val="24"/>
        </w:rPr>
        <w:t>4</w:t>
      </w:r>
      <w:r>
        <w:rPr>
          <w:rFonts w:hint="eastAsia" w:ascii="宋体" w:hAnsi="宋体" w:eastAsia="宋体"/>
          <w:sz w:val="24"/>
          <w:szCs w:val="24"/>
        </w:rPr>
        <w:t>款”的约定提出质疑，投标文件接收截止后未进行投标登记的投标人，不能就响应文件接收截止后的招标过程、成交结果提出质疑；在招标过程中，凡主持人或评标小组明确提出须由投标人确认的事项，投标人当场无异议的，事后不得提出质疑。</w:t>
      </w:r>
    </w:p>
    <w:p w14:paraId="7BF53D5B">
      <w:pPr>
        <w:snapToGrid w:val="0"/>
        <w:spacing w:line="440" w:lineRule="exact"/>
        <w:ind w:firstLine="426"/>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提出质疑时，必须坚持“谁主张，谁举证”、“实事求是”的原则，不能臆测。属于须由法定部门调查、侦查或先行作出相关认定的事项，质疑人应当依法申请具有法定职权的部门查清、认定，并将相关结果提供给招标人、采购单位。招标人、采购单位不具有法定调查、认定的权限。</w:t>
      </w:r>
    </w:p>
    <w:p w14:paraId="49EE77F4">
      <w:pPr>
        <w:snapToGrid w:val="0"/>
        <w:spacing w:line="440" w:lineRule="exact"/>
        <w:ind w:firstLine="426"/>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、对本次招投标有质疑的，须实名制以书面形式提出，不得进行虚假、恶意质疑。</w:t>
      </w:r>
    </w:p>
    <w:p w14:paraId="05C08B87">
      <w:pPr>
        <w:snapToGrid w:val="0"/>
        <w:spacing w:line="440" w:lineRule="exact"/>
        <w:ind w:firstLine="426"/>
        <w:rPr>
          <w:rFonts w:ascii="宋体" w:hAnsi="宋体" w:eastAsia="宋体"/>
          <w:sz w:val="24"/>
          <w:szCs w:val="24"/>
        </w:rPr>
      </w:pPr>
      <w:r>
        <w:rPr>
          <w:rFonts w:hint="eastAsia" w:ascii="宋体" w:hAnsi="宋体" w:eastAsia="宋体"/>
          <w:sz w:val="24"/>
          <w:szCs w:val="24"/>
        </w:rPr>
        <w:t>质疑人应在质疑有效期内以书面形式提出《质疑函》（请在崇川区相关网站下载中心自行下载），内容应包括质疑事项、主要内容、事实依据、适应法规条款、佐证材料等。同时，质疑人应保证其提出的质疑内容及相关佐证材料的真实性及来源的合法性，并承担相应的法律责任。</w:t>
      </w:r>
    </w:p>
    <w:p w14:paraId="4A2E376A">
      <w:pPr>
        <w:snapToGrid w:val="0"/>
        <w:spacing w:line="440" w:lineRule="exact"/>
        <w:ind w:firstLine="426"/>
        <w:rPr>
          <w:rFonts w:ascii="宋体" w:hAnsi="宋体" w:eastAsia="宋体"/>
          <w:sz w:val="24"/>
          <w:szCs w:val="24"/>
        </w:rPr>
      </w:pPr>
      <w:r>
        <w:rPr>
          <w:rFonts w:hint="eastAsia" w:ascii="宋体" w:hAnsi="宋体" w:eastAsia="宋体"/>
          <w:sz w:val="24"/>
          <w:szCs w:val="24"/>
        </w:rPr>
        <w:t>对不能提供相关佐证材料的、涉及商业秘密的、非书面形式的、非送达的、匿名的《质疑函》作无效质疑处理，将不予受理。</w:t>
      </w:r>
    </w:p>
    <w:p w14:paraId="622A344F">
      <w:pPr>
        <w:snapToGrid w:val="0"/>
        <w:spacing w:line="440" w:lineRule="exact"/>
        <w:ind w:firstLine="426"/>
        <w:rPr>
          <w:rFonts w:ascii="宋体" w:hAnsi="宋体" w:eastAsia="宋体"/>
          <w:sz w:val="24"/>
          <w:szCs w:val="24"/>
        </w:rPr>
      </w:pPr>
      <w:r>
        <w:rPr>
          <w:rFonts w:hint="eastAsia" w:ascii="宋体" w:hAnsi="宋体" w:eastAsia="宋体"/>
          <w:sz w:val="24"/>
          <w:szCs w:val="24"/>
        </w:rPr>
        <w:t>相关佐证材料要具备客观性、关联性、合法性，无法查实的（如宣传册、媒体报道、猜测、推理等）不能作为佐证材料。</w:t>
      </w:r>
    </w:p>
    <w:p w14:paraId="7796BD89">
      <w:pPr>
        <w:snapToGrid w:val="0"/>
        <w:spacing w:line="440" w:lineRule="exact"/>
        <w:ind w:firstLine="426"/>
        <w:rPr>
          <w:rFonts w:ascii="宋体" w:hAnsi="宋体" w:eastAsia="宋体"/>
          <w:sz w:val="24"/>
          <w:szCs w:val="24"/>
        </w:rPr>
      </w:pPr>
      <w:r>
        <w:rPr>
          <w:rFonts w:hint="eastAsia" w:ascii="宋体" w:hAnsi="宋体" w:eastAsia="宋体"/>
          <w:sz w:val="24"/>
          <w:szCs w:val="24"/>
        </w:rPr>
        <w:t>招标人、采购单位不负责搜集相关佐证材料等工作。</w:t>
      </w:r>
    </w:p>
    <w:p w14:paraId="5209E0CC">
      <w:pPr>
        <w:snapToGrid w:val="0"/>
        <w:spacing w:line="440" w:lineRule="exact"/>
        <w:ind w:firstLine="426"/>
        <w:rPr>
          <w:rFonts w:ascii="宋体" w:hAnsi="宋体" w:eastAsia="宋体"/>
          <w:sz w:val="24"/>
          <w:szCs w:val="24"/>
        </w:rPr>
      </w:pPr>
      <w:r>
        <w:rPr>
          <w:rFonts w:hint="eastAsia" w:ascii="宋体" w:hAnsi="宋体" w:eastAsia="宋体"/>
          <w:sz w:val="24"/>
          <w:szCs w:val="24"/>
        </w:rPr>
        <w:t>二、《质疑函》的受理和回复</w:t>
      </w:r>
    </w:p>
    <w:p w14:paraId="47685B35">
      <w:pPr>
        <w:snapToGrid w:val="0"/>
        <w:spacing w:line="440" w:lineRule="exact"/>
        <w:ind w:firstLine="426"/>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、《质疑函》须由质疑人的法定代表人或参加本次招标授权人送达采购单位和招标人。</w:t>
      </w:r>
    </w:p>
    <w:p w14:paraId="3FA13754">
      <w:pPr>
        <w:snapToGrid w:val="0"/>
        <w:spacing w:line="440" w:lineRule="exact"/>
        <w:ind w:firstLine="426"/>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、对符合提出质疑要求的，招标人签收并出具《质疑受理通知书》并在</w:t>
      </w:r>
      <w:r>
        <w:rPr>
          <w:rFonts w:ascii="宋体" w:hAnsi="宋体" w:eastAsia="宋体"/>
          <w:sz w:val="24"/>
          <w:szCs w:val="24"/>
        </w:rPr>
        <w:t>7</w:t>
      </w:r>
      <w:r>
        <w:rPr>
          <w:rFonts w:hint="eastAsia" w:ascii="宋体" w:hAnsi="宋体" w:eastAsia="宋体"/>
          <w:sz w:val="24"/>
          <w:szCs w:val="24"/>
        </w:rPr>
        <w:t>个工作日内以书面形式答复质疑人。在处理过程中，发现需要质疑人进一步补充相关佐证材料的，请质疑人在规定的时间内提供，质疑答复时间相应顺延。质疑人不能按时提供相关佐证材料的，视同放弃质疑。</w:t>
      </w:r>
    </w:p>
    <w:p w14:paraId="3033BA7A">
      <w:pPr>
        <w:snapToGrid w:val="0"/>
        <w:spacing w:line="440" w:lineRule="exact"/>
        <w:ind w:firstLine="426"/>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、对不符合提出质疑要求的，出具《质疑退回通知书》并提出相关补充材料要求，质疑人未在规定时间内提供补充佐证材料的，视同放弃质疑。</w:t>
      </w:r>
    </w:p>
    <w:p w14:paraId="19230C56">
      <w:pPr>
        <w:snapToGrid w:val="0"/>
        <w:spacing w:line="440" w:lineRule="exact"/>
        <w:ind w:firstLine="426"/>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、招标人负责将质疑人提交的质疑相关材料提供给相关专家或评标小组审核，并将审核意见回复质疑人。</w:t>
      </w:r>
    </w:p>
    <w:p w14:paraId="0BB71DE9">
      <w:pPr>
        <w:snapToGrid w:val="0"/>
        <w:spacing w:line="440" w:lineRule="exact"/>
        <w:ind w:firstLine="426"/>
        <w:rPr>
          <w:rFonts w:ascii="宋体" w:hAnsi="宋体" w:eastAsia="宋体"/>
          <w:sz w:val="24"/>
          <w:szCs w:val="24"/>
        </w:rPr>
      </w:pPr>
      <w:r>
        <w:rPr>
          <w:rFonts w:hint="eastAsia" w:ascii="宋体" w:hAnsi="宋体" w:eastAsia="宋体"/>
          <w:sz w:val="24"/>
          <w:szCs w:val="24"/>
        </w:rPr>
        <w:t>必要时，可向被质疑供应商（以下称被质疑人）转发《质疑函》及相关佐证材料。被质疑人应当在要求的时间日期内，以书面形式做出说明回复，并提交相关证据。被质疑人在规定时间内，无正当理由未提交相关证据的，视同放弃说明权利，认可被质疑事项。</w:t>
      </w:r>
    </w:p>
    <w:p w14:paraId="3525E593">
      <w:pPr>
        <w:snapToGrid w:val="0"/>
        <w:spacing w:line="440" w:lineRule="exact"/>
        <w:ind w:firstLine="426"/>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、因质疑情况复杂，组织论证或审查时间较长的，招标人以书面形式通知质疑人，可适当延长质疑回复处理时间。</w:t>
      </w:r>
    </w:p>
    <w:p w14:paraId="608726BC">
      <w:pPr>
        <w:snapToGrid w:val="0"/>
        <w:spacing w:line="440" w:lineRule="exact"/>
        <w:ind w:firstLine="426"/>
        <w:rPr>
          <w:rFonts w:ascii="宋体" w:hAnsi="宋体" w:eastAsia="宋体"/>
          <w:sz w:val="24"/>
          <w:szCs w:val="24"/>
        </w:rPr>
      </w:pPr>
      <w:r>
        <w:rPr>
          <w:rFonts w:hint="eastAsia" w:ascii="宋体" w:hAnsi="宋体" w:eastAsia="宋体"/>
          <w:sz w:val="24"/>
          <w:szCs w:val="24"/>
        </w:rPr>
        <w:t>三、质疑处理</w:t>
      </w:r>
    </w:p>
    <w:p w14:paraId="31802194">
      <w:pPr>
        <w:snapToGrid w:val="0"/>
        <w:spacing w:line="440" w:lineRule="exact"/>
        <w:ind w:firstLine="426"/>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、质疑成立的处理。招标人终止采购，并建议有关部门给相关当事人予以处理。</w:t>
      </w:r>
    </w:p>
    <w:p w14:paraId="538F1328">
      <w:pPr>
        <w:snapToGrid w:val="0"/>
        <w:spacing w:line="440" w:lineRule="exact"/>
        <w:ind w:firstLine="426"/>
        <w:rPr>
          <w:rFonts w:ascii="宋体" w:hAnsi="宋体" w:eastAsia="宋体"/>
          <w:sz w:val="24"/>
          <w:szCs w:val="24"/>
        </w:rPr>
      </w:pPr>
      <w:r>
        <w:rPr>
          <w:rFonts w:ascii="宋体" w:hAnsi="宋体" w:eastAsia="宋体"/>
          <w:sz w:val="24"/>
          <w:szCs w:val="24"/>
        </w:rPr>
        <w:t xml:space="preserve">  2</w:t>
      </w:r>
      <w:r>
        <w:rPr>
          <w:rFonts w:hint="eastAsia" w:ascii="宋体" w:hAnsi="宋体" w:eastAsia="宋体"/>
          <w:sz w:val="24"/>
          <w:szCs w:val="24"/>
        </w:rPr>
        <w:t>、质疑不成立的处理。</w:t>
      </w:r>
    </w:p>
    <w:p w14:paraId="286C3B87">
      <w:pPr>
        <w:snapToGrid w:val="0"/>
        <w:spacing w:line="440" w:lineRule="exact"/>
        <w:ind w:firstLine="426"/>
        <w:rPr>
          <w:rFonts w:ascii="宋体" w:hAnsi="宋体" w:eastAsia="宋体"/>
          <w:sz w:val="24"/>
          <w:szCs w:val="24"/>
        </w:rPr>
      </w:pPr>
      <w:r>
        <w:rPr>
          <w:rFonts w:ascii="宋体" w:hAnsi="宋体" w:eastAsia="宋体"/>
          <w:sz w:val="24"/>
          <w:szCs w:val="24"/>
        </w:rPr>
        <w:t xml:space="preserve">  1</w:t>
      </w:r>
      <w:r>
        <w:rPr>
          <w:rFonts w:hint="eastAsia" w:ascii="宋体" w:hAnsi="宋体" w:eastAsia="宋体"/>
          <w:sz w:val="24"/>
          <w:szCs w:val="24"/>
        </w:rPr>
        <w:t>）质疑人书面《申请撤回质疑函》。</w:t>
      </w:r>
    </w:p>
    <w:p w14:paraId="39811D82">
      <w:pPr>
        <w:snapToGrid w:val="0"/>
        <w:spacing w:line="440" w:lineRule="exact"/>
        <w:ind w:firstLine="426"/>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）质疑人在规定的时间内不配合进行质疑调查处理的，按自动撤回《质疑函》处理。</w:t>
      </w:r>
    </w:p>
    <w:p w14:paraId="41E791F1">
      <w:pPr>
        <w:snapToGrid w:val="0"/>
        <w:spacing w:line="440" w:lineRule="exact"/>
        <w:ind w:firstLine="426"/>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）质疑人不按《质疑函》格式就提出质疑的，视情列入不良供应商名单。</w:t>
      </w:r>
    </w:p>
    <w:p w14:paraId="4604CB07">
      <w:pPr>
        <w:snapToGrid w:val="0"/>
        <w:spacing w:line="440" w:lineRule="exact"/>
        <w:ind w:firstLine="426"/>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质疑人不能提供相关佐证材料的，招标人已指出，质疑人仍然坚持提出质疑的，质疑人虽提供了相关佐证材料，但不能证明其质疑成立的，招标人请质疑人补充相关佐证材料，仍不能证明其质疑成立的，列入不良供应商名单。</w:t>
      </w:r>
    </w:p>
    <w:p w14:paraId="25BC0132">
      <w:pPr>
        <w:snapToGrid w:val="0"/>
        <w:spacing w:line="440" w:lineRule="exact"/>
        <w:ind w:firstLine="426"/>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）对明显有违背事实的、经相关专家或评委认定无依据的、经其他投标人举证无依据的质疑，列入不良供应商名单；视情在崇川区人民政府网及市、省、国家级相关媒体予以披露。</w:t>
      </w:r>
    </w:p>
    <w:p w14:paraId="4303A93B">
      <w:pPr>
        <w:snapToGrid w:val="0"/>
        <w:spacing w:line="440" w:lineRule="exact"/>
        <w:ind w:firstLine="426"/>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）质疑人承担使用虚假材料或恶意方式质疑的法律责任。</w:t>
      </w:r>
    </w:p>
    <w:p w14:paraId="242F6EA2">
      <w:pPr>
        <w:snapToGrid w:val="0"/>
        <w:spacing w:line="440" w:lineRule="exact"/>
        <w:ind w:firstLine="426"/>
        <w:rPr>
          <w:rFonts w:ascii="宋体" w:hAnsi="宋体" w:eastAsia="宋体"/>
          <w:sz w:val="24"/>
          <w:szCs w:val="24"/>
        </w:rPr>
      </w:pPr>
      <w:r>
        <w:rPr>
          <w:rFonts w:hint="eastAsia" w:ascii="宋体" w:hAnsi="宋体" w:eastAsia="宋体"/>
          <w:sz w:val="24"/>
          <w:szCs w:val="24"/>
        </w:rPr>
        <w:t>四、无佐证材料的举报作违约处理</w:t>
      </w:r>
    </w:p>
    <w:p w14:paraId="4267AEAA">
      <w:pPr>
        <w:snapToGrid w:val="0"/>
        <w:spacing w:line="440" w:lineRule="exact"/>
        <w:ind w:firstLine="426"/>
        <w:rPr>
          <w:rFonts w:ascii="宋体" w:hAnsi="宋体" w:eastAsia="宋体"/>
          <w:sz w:val="24"/>
          <w:szCs w:val="24"/>
        </w:rPr>
      </w:pPr>
      <w:r>
        <w:rPr>
          <w:rFonts w:hint="eastAsia" w:ascii="宋体" w:hAnsi="宋体" w:eastAsia="宋体"/>
          <w:sz w:val="24"/>
          <w:szCs w:val="24"/>
        </w:rPr>
        <w:t>供应商不得进行不提供相关佐证材料（含无法查实的如宣传册、媒体报道、猜测、推理等）向有关部门的举报，否则作违约处理，同时对其在</w:t>
      </w:r>
      <w:r>
        <w:rPr>
          <w:rFonts w:ascii="宋体" w:hAnsi="宋体" w:eastAsia="宋体"/>
          <w:sz w:val="24"/>
          <w:szCs w:val="24"/>
        </w:rPr>
        <w:t>1</w:t>
      </w:r>
      <w:r>
        <w:rPr>
          <w:rFonts w:hint="eastAsia" w:ascii="宋体" w:hAnsi="宋体" w:eastAsia="宋体"/>
          <w:sz w:val="24"/>
          <w:szCs w:val="24"/>
        </w:rPr>
        <w:t>至</w:t>
      </w:r>
      <w:r>
        <w:rPr>
          <w:rFonts w:ascii="宋体" w:hAnsi="宋体" w:eastAsia="宋体"/>
          <w:sz w:val="24"/>
          <w:szCs w:val="24"/>
        </w:rPr>
        <w:t>3</w:t>
      </w:r>
      <w:r>
        <w:rPr>
          <w:rFonts w:hint="eastAsia" w:ascii="宋体" w:hAnsi="宋体" w:eastAsia="宋体"/>
          <w:sz w:val="24"/>
          <w:szCs w:val="24"/>
        </w:rPr>
        <w:t>年内禁入崇川区国有企业采购活动的违约处理。</w:t>
      </w:r>
    </w:p>
    <w:p w14:paraId="2336120D">
      <w:pPr>
        <w:snapToGrid w:val="0"/>
        <w:spacing w:line="440" w:lineRule="exact"/>
        <w:ind w:firstLine="426"/>
        <w:rPr>
          <w:rFonts w:ascii="宋体" w:hAnsi="宋体" w:eastAsia="宋体"/>
          <w:sz w:val="24"/>
          <w:szCs w:val="24"/>
        </w:rPr>
      </w:pPr>
      <w:r>
        <w:rPr>
          <w:rFonts w:hint="eastAsia" w:ascii="宋体" w:hAnsi="宋体" w:eastAsia="宋体"/>
          <w:sz w:val="24"/>
          <w:szCs w:val="24"/>
        </w:rPr>
        <w:t>五、投诉的提出</w:t>
      </w:r>
    </w:p>
    <w:p w14:paraId="7D3B62B5">
      <w:pPr>
        <w:snapToGrid w:val="0"/>
        <w:spacing w:line="440" w:lineRule="exact"/>
        <w:ind w:firstLine="426"/>
        <w:rPr>
          <w:rFonts w:ascii="宋体" w:hAnsi="宋体" w:eastAsia="宋体"/>
          <w:sz w:val="24"/>
          <w:szCs w:val="24"/>
        </w:rPr>
      </w:pPr>
      <w:r>
        <w:rPr>
          <w:rFonts w:hint="eastAsia" w:ascii="宋体" w:hAnsi="宋体" w:eastAsia="宋体"/>
          <w:sz w:val="24"/>
          <w:szCs w:val="24"/>
        </w:rPr>
        <w:t>质疑人对招标人的答复不满意或者招标人未在规定的时间内做出答复的，可以在答复期满后15个工作日内向相关监督管理部门投诉。</w:t>
      </w:r>
    </w:p>
    <w:p w14:paraId="786A1BB1">
      <w:pPr>
        <w:snapToGrid w:val="0"/>
        <w:spacing w:line="440" w:lineRule="exact"/>
        <w:ind w:firstLine="426"/>
        <w:rPr>
          <w:rFonts w:ascii="宋体" w:hAnsi="宋体" w:eastAsia="宋体"/>
          <w:sz w:val="24"/>
          <w:szCs w:val="24"/>
        </w:rPr>
      </w:pPr>
      <w:r>
        <w:rPr>
          <w:rFonts w:hint="eastAsia" w:ascii="宋体" w:hAnsi="宋体" w:eastAsia="宋体"/>
          <w:sz w:val="24"/>
          <w:szCs w:val="24"/>
        </w:rPr>
        <w:t>六、投诉不成立的作违约处理</w:t>
      </w:r>
    </w:p>
    <w:p w14:paraId="4D9DF8D8">
      <w:pPr>
        <w:snapToGrid w:val="0"/>
        <w:spacing w:line="440" w:lineRule="exact"/>
        <w:ind w:firstLine="426"/>
        <w:rPr>
          <w:rFonts w:ascii="宋体" w:hAnsi="宋体" w:eastAsia="宋体"/>
          <w:sz w:val="24"/>
          <w:szCs w:val="24"/>
        </w:rPr>
      </w:pPr>
      <w:r>
        <w:rPr>
          <w:rFonts w:hint="eastAsia" w:ascii="宋体" w:hAnsi="宋体" w:eastAsia="宋体"/>
          <w:sz w:val="24"/>
          <w:szCs w:val="24"/>
        </w:rPr>
        <w:t>供应商进行质疑后，招标人回复质疑不成立，供应商仍进行投诉的，并最终投诉不成立的，作违约处理。同时对其在1至3年内禁入崇川区国有企业采购活动的违约处理。</w:t>
      </w:r>
    </w:p>
    <w:p w14:paraId="68CFC03F">
      <w:pPr>
        <w:snapToGrid w:val="0"/>
        <w:spacing w:line="440" w:lineRule="exact"/>
        <w:ind w:firstLine="426"/>
        <w:rPr>
          <w:rFonts w:ascii="宋体" w:hAnsi="宋体" w:eastAsia="宋体"/>
          <w:sz w:val="24"/>
          <w:szCs w:val="24"/>
        </w:rPr>
      </w:pPr>
      <w:r>
        <w:rPr>
          <w:rFonts w:hint="eastAsia" w:ascii="宋体" w:hAnsi="宋体" w:eastAsia="宋体"/>
          <w:sz w:val="24"/>
          <w:szCs w:val="24"/>
        </w:rPr>
        <w:t>七、《质疑函》、《质疑回复函》，质疑、举报、投诉不成立的等相关情况，视情在崇川区人民政府网及市、省、国家级相关媒体予以披露。并建议相关采购机构对该供应商同步实施</w:t>
      </w:r>
      <w:r>
        <w:rPr>
          <w:rFonts w:ascii="宋体" w:hAnsi="宋体" w:eastAsia="宋体"/>
          <w:sz w:val="24"/>
          <w:szCs w:val="24"/>
        </w:rPr>
        <w:t>1</w:t>
      </w:r>
      <w:r>
        <w:rPr>
          <w:rFonts w:hint="eastAsia" w:ascii="宋体" w:hAnsi="宋体" w:eastAsia="宋体"/>
          <w:sz w:val="24"/>
          <w:szCs w:val="24"/>
        </w:rPr>
        <w:t>至</w:t>
      </w:r>
      <w:r>
        <w:rPr>
          <w:rFonts w:ascii="宋体" w:hAnsi="宋体" w:eastAsia="宋体"/>
          <w:sz w:val="24"/>
          <w:szCs w:val="24"/>
        </w:rPr>
        <w:t>3</w:t>
      </w:r>
      <w:r>
        <w:rPr>
          <w:rFonts w:hint="eastAsia" w:ascii="宋体" w:hAnsi="宋体" w:eastAsia="宋体"/>
          <w:sz w:val="24"/>
          <w:szCs w:val="24"/>
        </w:rPr>
        <w:t>年内禁入。</w:t>
      </w:r>
    </w:p>
    <w:p w14:paraId="6F6C132F">
      <w:pPr>
        <w:spacing w:line="440" w:lineRule="exact"/>
        <w:rPr>
          <w:rFonts w:ascii="宋体" w:hAnsi="宋体" w:eastAsia="宋体"/>
          <w:kern w:val="0"/>
          <w:sz w:val="28"/>
          <w:szCs w:val="28"/>
        </w:rPr>
      </w:pPr>
    </w:p>
    <w:p w14:paraId="1CA6E824">
      <w:pPr>
        <w:spacing w:line="320" w:lineRule="exact"/>
        <w:ind w:firstLine="565" w:firstLineChars="202"/>
        <w:rPr>
          <w:rFonts w:ascii="宋体" w:hAnsi="宋体" w:eastAsia="宋体"/>
          <w:kern w:val="0"/>
          <w:sz w:val="28"/>
          <w:szCs w:val="28"/>
        </w:rPr>
      </w:pPr>
    </w:p>
    <w:p w14:paraId="07403C44">
      <w:pPr>
        <w:pageBreakBefore/>
        <w:spacing w:line="360" w:lineRule="auto"/>
        <w:jc w:val="center"/>
        <w:rPr>
          <w:rFonts w:ascii="宋体" w:hAnsi="宋体" w:eastAsia="宋体" w:cs="宋体"/>
          <w:b/>
          <w:bCs/>
          <w:kern w:val="44"/>
          <w:sz w:val="44"/>
          <w:szCs w:val="44"/>
        </w:rPr>
      </w:pPr>
      <w:r>
        <w:rPr>
          <w:rFonts w:hint="eastAsia" w:ascii="宋体" w:hAnsi="宋体" w:eastAsia="宋体" w:cs="宋体"/>
          <w:b/>
          <w:bCs/>
          <w:kern w:val="44"/>
          <w:sz w:val="44"/>
          <w:szCs w:val="44"/>
        </w:rPr>
        <w:t>第九章  投标响应文件格式</w:t>
      </w:r>
      <w:bookmarkEnd w:id="9"/>
    </w:p>
    <w:p w14:paraId="1315A9C9">
      <w:pPr>
        <w:adjustRightInd w:val="0"/>
        <w:snapToGrid w:val="0"/>
        <w:spacing w:line="440" w:lineRule="exact"/>
        <w:ind w:firstLine="487" w:firstLineChars="202"/>
        <w:jc w:val="left"/>
        <w:outlineLvl w:val="1"/>
        <w:rPr>
          <w:rFonts w:ascii="宋体" w:hAnsi="宋体" w:eastAsia="宋体"/>
          <w:b/>
          <w:bCs/>
          <w:sz w:val="24"/>
          <w:szCs w:val="24"/>
        </w:rPr>
      </w:pPr>
      <w:r>
        <w:rPr>
          <w:rFonts w:hint="eastAsia" w:ascii="宋体" w:hAnsi="宋体" w:eastAsia="宋体"/>
          <w:b/>
          <w:bCs/>
          <w:sz w:val="24"/>
          <w:szCs w:val="24"/>
        </w:rPr>
        <w:t>一、投标响应文件由资格审查文件、技术标文件、商务标文件三部分组成。本次招标采用资格后审方式，投标人须将资格审查文件作为响应文件组成部分，按招标文件要求装订密封后一起递交。</w:t>
      </w:r>
    </w:p>
    <w:p w14:paraId="1185FFD4">
      <w:pPr>
        <w:adjustRightInd w:val="0"/>
        <w:snapToGrid w:val="0"/>
        <w:spacing w:line="440" w:lineRule="exact"/>
        <w:ind w:firstLine="487" w:firstLineChars="202"/>
        <w:jc w:val="left"/>
        <w:outlineLvl w:val="1"/>
        <w:rPr>
          <w:rFonts w:ascii="宋体" w:hAnsi="宋体" w:eastAsia="宋体"/>
          <w:b/>
          <w:bCs/>
          <w:sz w:val="24"/>
          <w:szCs w:val="24"/>
        </w:rPr>
      </w:pPr>
      <w:r>
        <w:rPr>
          <w:rFonts w:hint="eastAsia" w:ascii="宋体" w:hAnsi="宋体" w:eastAsia="宋体"/>
          <w:b/>
          <w:bCs/>
          <w:sz w:val="24"/>
          <w:szCs w:val="24"/>
        </w:rPr>
        <w:t>1、资格审查文件（单独装订密封，正本壹份，副本两份）</w:t>
      </w:r>
    </w:p>
    <w:tbl>
      <w:tblPr>
        <w:tblStyle w:val="68"/>
        <w:tblpPr w:leftFromText="180" w:rightFromText="180" w:vertAnchor="text" w:horzAnchor="page" w:tblpXSpec="center" w:tblpY="100"/>
        <w:tblOverlap w:val="never"/>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8444"/>
      </w:tblGrid>
      <w:tr w14:paraId="558C4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95" w:type="dxa"/>
            <w:vAlign w:val="center"/>
          </w:tcPr>
          <w:p w14:paraId="487B86C2">
            <w:pPr>
              <w:adjustRightInd w:val="0"/>
              <w:snapToGrid w:val="0"/>
              <w:jc w:val="center"/>
              <w:outlineLvl w:val="1"/>
              <w:rPr>
                <w:rFonts w:ascii="宋体" w:hAnsi="宋体" w:eastAsia="宋体"/>
                <w:b/>
                <w:bCs/>
                <w:sz w:val="22"/>
                <w:szCs w:val="22"/>
              </w:rPr>
            </w:pPr>
            <w:r>
              <w:rPr>
                <w:rFonts w:hint="eastAsia" w:ascii="宋体" w:hAnsi="宋体" w:eastAsia="宋体"/>
                <w:b/>
                <w:bCs/>
                <w:sz w:val="22"/>
                <w:szCs w:val="22"/>
              </w:rPr>
              <w:t>序号</w:t>
            </w:r>
          </w:p>
        </w:tc>
        <w:tc>
          <w:tcPr>
            <w:tcW w:w="8444" w:type="dxa"/>
            <w:vAlign w:val="center"/>
          </w:tcPr>
          <w:p w14:paraId="454A0298">
            <w:pPr>
              <w:adjustRightInd w:val="0"/>
              <w:snapToGrid w:val="0"/>
              <w:jc w:val="center"/>
              <w:outlineLvl w:val="1"/>
              <w:rPr>
                <w:rFonts w:ascii="宋体" w:hAnsi="宋体" w:eastAsia="宋体"/>
                <w:b/>
                <w:bCs/>
                <w:sz w:val="22"/>
                <w:szCs w:val="22"/>
              </w:rPr>
            </w:pPr>
            <w:r>
              <w:rPr>
                <w:rFonts w:hint="eastAsia" w:ascii="宋体" w:hAnsi="宋体" w:eastAsia="宋体"/>
                <w:b/>
                <w:bCs/>
                <w:sz w:val="22"/>
                <w:szCs w:val="22"/>
              </w:rPr>
              <w:t>需提供材料</w:t>
            </w:r>
          </w:p>
        </w:tc>
      </w:tr>
      <w:tr w14:paraId="2C8C3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695" w:type="dxa"/>
            <w:vAlign w:val="center"/>
          </w:tcPr>
          <w:p w14:paraId="6A0BD017">
            <w:pPr>
              <w:adjustRightInd w:val="0"/>
              <w:snapToGrid w:val="0"/>
              <w:spacing w:line="440" w:lineRule="exact"/>
              <w:jc w:val="center"/>
              <w:outlineLvl w:val="1"/>
              <w:rPr>
                <w:rFonts w:ascii="宋体" w:hAnsi="宋体" w:eastAsia="宋体"/>
                <w:bCs/>
                <w:sz w:val="22"/>
                <w:szCs w:val="22"/>
              </w:rPr>
            </w:pPr>
            <w:r>
              <w:rPr>
                <w:rFonts w:hint="eastAsia" w:ascii="宋体" w:hAnsi="宋体" w:eastAsia="宋体"/>
                <w:bCs/>
                <w:sz w:val="22"/>
                <w:szCs w:val="22"/>
              </w:rPr>
              <w:t>1</w:t>
            </w:r>
          </w:p>
        </w:tc>
        <w:tc>
          <w:tcPr>
            <w:tcW w:w="8444" w:type="dxa"/>
            <w:vAlign w:val="center"/>
          </w:tcPr>
          <w:p w14:paraId="449AA7C0">
            <w:pPr>
              <w:adjustRightInd w:val="0"/>
              <w:snapToGrid w:val="0"/>
              <w:spacing w:line="440" w:lineRule="exact"/>
              <w:jc w:val="left"/>
              <w:outlineLvl w:val="1"/>
              <w:rPr>
                <w:rFonts w:ascii="宋体" w:hAnsi="宋体" w:eastAsia="宋体"/>
                <w:sz w:val="24"/>
                <w:szCs w:val="24"/>
              </w:rPr>
            </w:pPr>
            <w:r>
              <w:rPr>
                <w:rFonts w:hint="eastAsia" w:ascii="宋体" w:hAnsi="宋体" w:eastAsia="宋体" w:cs="宋体"/>
                <w:bCs/>
                <w:sz w:val="24"/>
                <w:szCs w:val="24"/>
              </w:rPr>
              <w:t>提供投标人声明函原件（格式详见第九章）</w:t>
            </w:r>
          </w:p>
        </w:tc>
      </w:tr>
      <w:tr w14:paraId="68E9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695" w:type="dxa"/>
            <w:vAlign w:val="center"/>
          </w:tcPr>
          <w:p w14:paraId="2874824C">
            <w:pPr>
              <w:adjustRightInd w:val="0"/>
              <w:snapToGrid w:val="0"/>
              <w:spacing w:line="440" w:lineRule="exact"/>
              <w:jc w:val="center"/>
              <w:outlineLvl w:val="1"/>
              <w:rPr>
                <w:rFonts w:ascii="宋体" w:hAnsi="宋体" w:eastAsia="宋体"/>
                <w:bCs/>
                <w:sz w:val="22"/>
                <w:szCs w:val="22"/>
              </w:rPr>
            </w:pPr>
            <w:r>
              <w:rPr>
                <w:rFonts w:hint="eastAsia" w:ascii="宋体" w:hAnsi="宋体" w:eastAsia="宋体"/>
                <w:bCs/>
                <w:sz w:val="22"/>
                <w:szCs w:val="22"/>
              </w:rPr>
              <w:t>2</w:t>
            </w:r>
          </w:p>
        </w:tc>
        <w:tc>
          <w:tcPr>
            <w:tcW w:w="8444" w:type="dxa"/>
            <w:vAlign w:val="center"/>
          </w:tcPr>
          <w:p w14:paraId="4FE2BEAE">
            <w:pPr>
              <w:spacing w:line="440" w:lineRule="exact"/>
              <w:rPr>
                <w:rFonts w:ascii="宋体" w:hAnsi="宋体" w:eastAsia="宋体"/>
                <w:sz w:val="24"/>
                <w:szCs w:val="24"/>
              </w:rPr>
            </w:pPr>
            <w:r>
              <w:rPr>
                <w:rFonts w:hint="eastAsia" w:ascii="宋体" w:hAnsi="宋体" w:eastAsia="宋体" w:cs="宋体"/>
                <w:bCs/>
                <w:sz w:val="24"/>
                <w:szCs w:val="24"/>
              </w:rPr>
              <w:t>提供</w:t>
            </w:r>
            <w:r>
              <w:rPr>
                <w:rFonts w:ascii="宋体" w:hAnsi="宋体" w:eastAsia="宋体" w:cs="宋体"/>
                <w:bCs/>
                <w:sz w:val="24"/>
                <w:szCs w:val="24"/>
              </w:rPr>
              <w:t>有效的营业执照</w:t>
            </w:r>
            <w:r>
              <w:rPr>
                <w:rFonts w:hint="eastAsia" w:ascii="宋体" w:hAnsi="宋体" w:eastAsia="宋体" w:cs="宋体"/>
                <w:bCs/>
                <w:sz w:val="24"/>
                <w:szCs w:val="24"/>
              </w:rPr>
              <w:t>复印件</w:t>
            </w:r>
            <w:r>
              <w:rPr>
                <w:rFonts w:ascii="宋体" w:hAnsi="宋体" w:eastAsia="宋体" w:cs="宋体"/>
                <w:bCs/>
                <w:sz w:val="24"/>
                <w:szCs w:val="24"/>
              </w:rPr>
              <w:t>。</w:t>
            </w:r>
          </w:p>
        </w:tc>
      </w:tr>
      <w:tr w14:paraId="4886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jc w:val="center"/>
        </w:trPr>
        <w:tc>
          <w:tcPr>
            <w:tcW w:w="695" w:type="dxa"/>
            <w:vAlign w:val="center"/>
          </w:tcPr>
          <w:p w14:paraId="3C110E60">
            <w:pPr>
              <w:adjustRightInd w:val="0"/>
              <w:snapToGrid w:val="0"/>
              <w:spacing w:line="440" w:lineRule="exact"/>
              <w:jc w:val="center"/>
              <w:outlineLvl w:val="1"/>
              <w:rPr>
                <w:rFonts w:ascii="宋体" w:hAnsi="宋体" w:eastAsia="宋体"/>
                <w:bCs/>
                <w:sz w:val="22"/>
                <w:szCs w:val="22"/>
              </w:rPr>
            </w:pPr>
            <w:r>
              <w:rPr>
                <w:rFonts w:hint="eastAsia" w:ascii="宋体" w:hAnsi="宋体" w:eastAsia="宋体"/>
                <w:bCs/>
                <w:sz w:val="22"/>
                <w:szCs w:val="22"/>
              </w:rPr>
              <w:t>3</w:t>
            </w:r>
          </w:p>
        </w:tc>
        <w:tc>
          <w:tcPr>
            <w:tcW w:w="8444" w:type="dxa"/>
            <w:vAlign w:val="center"/>
          </w:tcPr>
          <w:p w14:paraId="5CE696A5">
            <w:pPr>
              <w:spacing w:line="440" w:lineRule="exact"/>
              <w:rPr>
                <w:rFonts w:ascii="宋体" w:hAnsi="宋体" w:eastAsia="宋体"/>
                <w:sz w:val="24"/>
                <w:szCs w:val="24"/>
              </w:rPr>
            </w:pPr>
            <w:r>
              <w:rPr>
                <w:rFonts w:hint="eastAsia" w:ascii="宋体" w:hAnsi="宋体" w:eastAsia="宋体" w:cs="宋体"/>
                <w:sz w:val="24"/>
                <w:szCs w:val="24"/>
              </w:rPr>
              <w:t>法定代表人参加投标的，必须</w:t>
            </w:r>
            <w:r>
              <w:rPr>
                <w:rFonts w:hint="eastAsia" w:ascii="宋体" w:hAnsi="宋体" w:eastAsia="宋体" w:cs="宋体"/>
                <w:bCs/>
                <w:sz w:val="24"/>
                <w:szCs w:val="24"/>
              </w:rPr>
              <w:t>提供法定代表人身份证明及法定代表人本人身份证复印件</w:t>
            </w:r>
            <w:r>
              <w:rPr>
                <w:rFonts w:hint="eastAsia" w:ascii="宋体" w:hAnsi="宋体" w:eastAsia="宋体" w:cs="宋体"/>
                <w:sz w:val="24"/>
                <w:szCs w:val="24"/>
              </w:rPr>
              <w:t>(须加盖单位公章)；非法定代表人参加投标的，必须</w:t>
            </w:r>
            <w:r>
              <w:rPr>
                <w:rFonts w:hint="eastAsia" w:ascii="宋体" w:hAnsi="宋体" w:eastAsia="宋体" w:cs="宋体"/>
                <w:bCs/>
                <w:sz w:val="24"/>
                <w:szCs w:val="24"/>
              </w:rPr>
              <w:t>提供法定代表人身份证明及法定代表人签字或盖章的授权委托书及法定代表人、被授权人的两人身份证的复印件；</w:t>
            </w:r>
            <w:r>
              <w:rPr>
                <w:rFonts w:hint="eastAsia" w:ascii="宋体" w:hAnsi="宋体" w:eastAsia="宋体" w:cs="宋体"/>
                <w:bCs/>
                <w:kern w:val="0"/>
                <w:sz w:val="24"/>
                <w:szCs w:val="24"/>
              </w:rPr>
              <w:t>被授权人为投标人正式人员证明材料【提供①与投标人签订的有效劳动合同复印件；②投标人为其缴纳的202</w:t>
            </w:r>
            <w:r>
              <w:rPr>
                <w:rFonts w:ascii="宋体" w:hAnsi="宋体" w:eastAsia="宋体" w:cs="宋体"/>
                <w:bCs/>
                <w:kern w:val="0"/>
                <w:sz w:val="24"/>
                <w:szCs w:val="24"/>
              </w:rPr>
              <w:t>4</w:t>
            </w:r>
            <w:r>
              <w:rPr>
                <w:rFonts w:hint="eastAsia" w:ascii="宋体" w:hAnsi="宋体" w:eastAsia="宋体" w:cs="宋体"/>
                <w:bCs/>
                <w:kern w:val="0"/>
                <w:sz w:val="24"/>
                <w:szCs w:val="24"/>
              </w:rPr>
              <w:t>年</w:t>
            </w:r>
            <w:r>
              <w:rPr>
                <w:rFonts w:ascii="宋体" w:hAnsi="宋体" w:eastAsia="宋体" w:cs="宋体"/>
                <w:bCs/>
                <w:kern w:val="0"/>
                <w:sz w:val="24"/>
                <w:szCs w:val="24"/>
              </w:rPr>
              <w:t>5</w:t>
            </w:r>
            <w:r>
              <w:rPr>
                <w:rFonts w:hint="eastAsia" w:ascii="宋体" w:hAnsi="宋体" w:eastAsia="宋体" w:cs="宋体"/>
                <w:bCs/>
                <w:kern w:val="0"/>
                <w:sz w:val="24"/>
                <w:szCs w:val="24"/>
              </w:rPr>
              <w:t>月-202</w:t>
            </w:r>
            <w:r>
              <w:rPr>
                <w:rFonts w:ascii="宋体" w:hAnsi="宋体" w:eastAsia="宋体" w:cs="宋体"/>
                <w:bCs/>
                <w:kern w:val="0"/>
                <w:sz w:val="24"/>
                <w:szCs w:val="24"/>
              </w:rPr>
              <w:t>4</w:t>
            </w:r>
            <w:r>
              <w:rPr>
                <w:rFonts w:hint="eastAsia" w:ascii="宋体" w:hAnsi="宋体" w:eastAsia="宋体" w:cs="宋体"/>
                <w:bCs/>
                <w:kern w:val="0"/>
                <w:sz w:val="24"/>
                <w:szCs w:val="24"/>
              </w:rPr>
              <w:t>年1</w:t>
            </w:r>
            <w:r>
              <w:rPr>
                <w:rFonts w:ascii="宋体" w:hAnsi="宋体" w:eastAsia="宋体" w:cs="宋体"/>
                <w:bCs/>
                <w:kern w:val="0"/>
                <w:sz w:val="24"/>
                <w:szCs w:val="24"/>
              </w:rPr>
              <w:t>0</w:t>
            </w:r>
            <w:r>
              <w:rPr>
                <w:rFonts w:hint="eastAsia" w:ascii="宋体" w:hAnsi="宋体" w:eastAsia="宋体" w:cs="宋体"/>
                <w:bCs/>
                <w:kern w:val="0"/>
                <w:sz w:val="24"/>
                <w:szCs w:val="24"/>
              </w:rPr>
              <w:t>月连续六个月的社保缴费证明复印件】</w:t>
            </w:r>
            <w:r>
              <w:rPr>
                <w:rFonts w:hint="eastAsia" w:asciiTheme="minorEastAsia" w:hAnsiTheme="minorEastAsia" w:eastAsiaTheme="minorEastAsia" w:cstheme="minorEastAsia"/>
                <w:sz w:val="24"/>
                <w:szCs w:val="24"/>
              </w:rPr>
              <w:t>(须加盖单位公章)</w:t>
            </w:r>
            <w:r>
              <w:rPr>
                <w:rFonts w:hint="eastAsia" w:ascii="宋体" w:hAnsi="宋体" w:eastAsia="宋体" w:cs="宋体"/>
                <w:sz w:val="24"/>
                <w:szCs w:val="24"/>
              </w:rPr>
              <w:t>。</w:t>
            </w:r>
            <w:r>
              <w:rPr>
                <w:rFonts w:ascii="宋体" w:hAnsi="宋体" w:eastAsia="宋体" w:cs="宋体"/>
                <w:sz w:val="24"/>
                <w:szCs w:val="24"/>
              </w:rPr>
              <w:t>(</w:t>
            </w:r>
            <w:r>
              <w:rPr>
                <w:rFonts w:hint="eastAsia" w:ascii="宋体" w:hAnsi="宋体" w:eastAsia="宋体" w:cs="宋体"/>
                <w:sz w:val="24"/>
                <w:szCs w:val="24"/>
              </w:rPr>
              <w:t>格式详见第九章，</w:t>
            </w:r>
            <w:r>
              <w:rPr>
                <w:rFonts w:ascii="宋体" w:hAnsi="宋体" w:eastAsia="宋体" w:cs="宋体"/>
                <w:sz w:val="24"/>
                <w:szCs w:val="24"/>
              </w:rPr>
              <w:t>须加盖单位公章)。</w:t>
            </w:r>
          </w:p>
        </w:tc>
      </w:tr>
      <w:tr w14:paraId="4FCD9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9139" w:type="dxa"/>
            <w:gridSpan w:val="2"/>
            <w:vAlign w:val="center"/>
          </w:tcPr>
          <w:p w14:paraId="5332EA01">
            <w:pPr>
              <w:adjustRightInd w:val="0"/>
              <w:snapToGrid w:val="0"/>
              <w:spacing w:line="440" w:lineRule="exact"/>
              <w:jc w:val="left"/>
              <w:outlineLvl w:val="1"/>
              <w:rPr>
                <w:rFonts w:ascii="宋体" w:hAnsi="宋体" w:eastAsia="宋体"/>
                <w:b/>
                <w:bCs/>
                <w:sz w:val="22"/>
                <w:szCs w:val="22"/>
              </w:rPr>
            </w:pPr>
            <w:r>
              <w:rPr>
                <w:rFonts w:hint="eastAsia" w:ascii="宋体" w:hAnsi="宋体" w:eastAsia="宋体"/>
                <w:b/>
                <w:bCs/>
                <w:sz w:val="24"/>
                <w:szCs w:val="24"/>
              </w:rPr>
              <w:t>注：以上材料如为复印件的均须为有效原件的复印件并加盖投标人公章。</w:t>
            </w:r>
          </w:p>
        </w:tc>
      </w:tr>
    </w:tbl>
    <w:p w14:paraId="0C3E2B24">
      <w:pPr>
        <w:autoSpaceDE w:val="0"/>
        <w:adjustRightInd w:val="0"/>
        <w:snapToGrid w:val="0"/>
        <w:spacing w:line="360" w:lineRule="auto"/>
        <w:ind w:firstLine="482" w:firstLineChars="200"/>
        <w:jc w:val="left"/>
        <w:outlineLvl w:val="1"/>
        <w:rPr>
          <w:rFonts w:ascii="宋体" w:hAnsi="宋体" w:eastAsia="宋体"/>
          <w:b/>
          <w:bCs/>
          <w:sz w:val="24"/>
          <w:szCs w:val="24"/>
        </w:rPr>
      </w:pPr>
      <w:r>
        <w:rPr>
          <w:rFonts w:hint="eastAsia" w:ascii="宋体" w:hAnsi="宋体" w:eastAsia="宋体"/>
          <w:b/>
          <w:bCs/>
          <w:sz w:val="24"/>
          <w:szCs w:val="24"/>
        </w:rPr>
        <w:t>2、技术标文件（单独装订密封，正本壹份，副本两份）</w:t>
      </w:r>
    </w:p>
    <w:p w14:paraId="295C91AC">
      <w:pPr>
        <w:autoSpaceDE w:val="0"/>
        <w:adjustRightInd w:val="0"/>
        <w:snapToGrid w:val="0"/>
        <w:spacing w:line="360" w:lineRule="auto"/>
        <w:ind w:firstLine="482" w:firstLineChars="200"/>
        <w:jc w:val="left"/>
        <w:outlineLvl w:val="1"/>
        <w:rPr>
          <w:rFonts w:ascii="宋体" w:hAnsi="宋体" w:eastAsia="宋体"/>
          <w:b/>
          <w:bCs/>
          <w:sz w:val="24"/>
          <w:szCs w:val="24"/>
        </w:rPr>
      </w:pPr>
      <w:r>
        <w:rPr>
          <w:rFonts w:hint="eastAsia" w:ascii="宋体" w:hAnsi="宋体" w:eastAsia="宋体"/>
          <w:b/>
          <w:bCs/>
          <w:sz w:val="24"/>
          <w:szCs w:val="24"/>
        </w:rPr>
        <w:t>①投标响应函（格式参见第九章）。</w:t>
      </w:r>
    </w:p>
    <w:p w14:paraId="00FE882A">
      <w:pPr>
        <w:autoSpaceDE w:val="0"/>
        <w:adjustRightInd w:val="0"/>
        <w:snapToGrid w:val="0"/>
        <w:spacing w:line="360" w:lineRule="auto"/>
        <w:ind w:firstLine="482" w:firstLineChars="200"/>
        <w:jc w:val="left"/>
        <w:outlineLvl w:val="1"/>
        <w:rPr>
          <w:rFonts w:ascii="宋体" w:hAnsi="宋体" w:eastAsia="宋体"/>
          <w:b/>
          <w:bCs/>
          <w:sz w:val="24"/>
          <w:szCs w:val="24"/>
        </w:rPr>
      </w:pPr>
      <w:r>
        <w:rPr>
          <w:rFonts w:hint="eastAsia" w:ascii="宋体" w:hAnsi="宋体" w:eastAsia="宋体"/>
          <w:b/>
          <w:bCs/>
          <w:sz w:val="24"/>
          <w:szCs w:val="24"/>
        </w:rPr>
        <w:t>②第四章“技术标评分”中要求提供的内容。</w:t>
      </w:r>
    </w:p>
    <w:p w14:paraId="2302CED3">
      <w:pPr>
        <w:autoSpaceDE w:val="0"/>
        <w:adjustRightInd w:val="0"/>
        <w:snapToGrid w:val="0"/>
        <w:spacing w:line="360" w:lineRule="auto"/>
        <w:ind w:firstLine="482" w:firstLineChars="200"/>
        <w:jc w:val="left"/>
        <w:outlineLvl w:val="1"/>
        <w:rPr>
          <w:rFonts w:ascii="宋体" w:hAnsi="宋体" w:eastAsia="宋体"/>
          <w:b/>
          <w:bCs/>
          <w:sz w:val="24"/>
          <w:szCs w:val="24"/>
        </w:rPr>
      </w:pPr>
      <w:r>
        <w:rPr>
          <w:rFonts w:hint="eastAsia" w:ascii="宋体" w:hAnsi="宋体" w:eastAsia="宋体"/>
          <w:b/>
          <w:bCs/>
          <w:sz w:val="24"/>
          <w:szCs w:val="24"/>
        </w:rPr>
        <w:t>③招标文件中所涉及的事项需提供的所有资料。</w:t>
      </w:r>
    </w:p>
    <w:p w14:paraId="37BDBD8D">
      <w:pPr>
        <w:autoSpaceDE w:val="0"/>
        <w:adjustRightInd w:val="0"/>
        <w:snapToGrid w:val="0"/>
        <w:spacing w:line="360" w:lineRule="auto"/>
        <w:ind w:firstLine="482" w:firstLineChars="200"/>
        <w:jc w:val="left"/>
        <w:outlineLvl w:val="1"/>
        <w:rPr>
          <w:rFonts w:ascii="宋体" w:hAnsi="宋体" w:eastAsia="宋体"/>
          <w:b/>
          <w:bCs/>
          <w:sz w:val="24"/>
          <w:szCs w:val="24"/>
        </w:rPr>
      </w:pPr>
      <w:r>
        <w:rPr>
          <w:rFonts w:hint="eastAsia" w:ascii="宋体" w:hAnsi="宋体" w:eastAsia="宋体"/>
          <w:b/>
          <w:bCs/>
          <w:sz w:val="24"/>
          <w:szCs w:val="24"/>
        </w:rPr>
        <w:t>④招标文件中未涉及的事项，投标人认为需要提交的其他资料。</w:t>
      </w:r>
    </w:p>
    <w:p w14:paraId="4E64C4B5">
      <w:pPr>
        <w:autoSpaceDE w:val="0"/>
        <w:adjustRightInd w:val="0"/>
        <w:snapToGrid w:val="0"/>
        <w:spacing w:line="360" w:lineRule="auto"/>
        <w:ind w:firstLine="482" w:firstLineChars="200"/>
        <w:jc w:val="left"/>
        <w:outlineLvl w:val="1"/>
        <w:rPr>
          <w:rFonts w:ascii="宋体" w:hAnsi="宋体" w:eastAsia="宋体"/>
          <w:b/>
          <w:bCs/>
          <w:sz w:val="24"/>
          <w:szCs w:val="24"/>
        </w:rPr>
      </w:pPr>
      <w:r>
        <w:rPr>
          <w:rFonts w:hint="eastAsia" w:ascii="宋体" w:hAnsi="宋体" w:eastAsia="宋体"/>
          <w:b/>
          <w:bCs/>
          <w:sz w:val="24"/>
          <w:szCs w:val="24"/>
        </w:rPr>
        <w:t>注：为方便评委评审，请投标人按评标办法中所涉及的事项顺序进行编制，可以补充相关材料。</w:t>
      </w:r>
    </w:p>
    <w:p w14:paraId="2A5E3EC0">
      <w:pPr>
        <w:adjustRightInd w:val="0"/>
        <w:snapToGrid w:val="0"/>
        <w:spacing w:line="360" w:lineRule="auto"/>
        <w:ind w:firstLine="482" w:firstLineChars="200"/>
        <w:jc w:val="left"/>
        <w:outlineLvl w:val="1"/>
        <w:rPr>
          <w:rFonts w:ascii="宋体" w:hAnsi="宋体" w:eastAsia="宋体"/>
          <w:b/>
          <w:bCs/>
          <w:sz w:val="24"/>
          <w:szCs w:val="24"/>
        </w:rPr>
      </w:pPr>
      <w:r>
        <w:rPr>
          <w:rFonts w:hint="eastAsia" w:ascii="宋体" w:hAnsi="宋体" w:eastAsia="宋体"/>
          <w:b/>
          <w:bCs/>
          <w:sz w:val="24"/>
          <w:szCs w:val="24"/>
        </w:rPr>
        <w:t>3、商务标文件（单独装订密封，正本壹份，副本两份）。</w:t>
      </w:r>
    </w:p>
    <w:p w14:paraId="2393E439">
      <w:pPr>
        <w:autoSpaceDE w:val="0"/>
        <w:adjustRightInd w:val="0"/>
        <w:snapToGrid w:val="0"/>
        <w:spacing w:line="360" w:lineRule="auto"/>
        <w:ind w:firstLine="482" w:firstLineChars="200"/>
        <w:jc w:val="left"/>
        <w:outlineLvl w:val="1"/>
        <w:rPr>
          <w:rFonts w:ascii="宋体" w:hAnsi="宋体" w:eastAsia="宋体"/>
          <w:b/>
          <w:bCs/>
          <w:sz w:val="24"/>
          <w:szCs w:val="24"/>
        </w:rPr>
      </w:pPr>
      <w:r>
        <w:rPr>
          <w:rFonts w:hint="eastAsia" w:ascii="宋体" w:hAnsi="宋体" w:eastAsia="宋体"/>
          <w:b/>
          <w:bCs/>
          <w:sz w:val="24"/>
          <w:szCs w:val="24"/>
        </w:rPr>
        <w:t>①、投标响应报价总表（格式参见第九章）。</w:t>
      </w:r>
    </w:p>
    <w:p w14:paraId="25B6B035">
      <w:pPr>
        <w:autoSpaceDE w:val="0"/>
        <w:adjustRightInd w:val="0"/>
        <w:snapToGrid w:val="0"/>
        <w:spacing w:line="360" w:lineRule="auto"/>
        <w:ind w:firstLine="562" w:firstLineChars="200"/>
        <w:jc w:val="center"/>
        <w:outlineLvl w:val="1"/>
        <w:rPr>
          <w:rFonts w:ascii="宋体" w:hAnsi="宋体" w:eastAsia="宋体"/>
          <w:sz w:val="28"/>
          <w:szCs w:val="28"/>
        </w:rPr>
      </w:pPr>
      <w:r>
        <w:rPr>
          <w:rFonts w:ascii="宋体" w:hAnsi="宋体" w:eastAsia="宋体"/>
          <w:b/>
          <w:bCs/>
          <w:sz w:val="28"/>
          <w:szCs w:val="28"/>
        </w:rPr>
        <w:br w:type="page"/>
      </w:r>
      <w:r>
        <w:rPr>
          <w:rFonts w:hint="eastAsia" w:ascii="宋体" w:hAnsi="宋体" w:eastAsia="宋体"/>
          <w:b/>
          <w:bCs/>
          <w:sz w:val="28"/>
          <w:szCs w:val="28"/>
        </w:rPr>
        <w:t>二、投标响应文件封面范例</w:t>
      </w:r>
    </w:p>
    <w:p w14:paraId="0E31CC39">
      <w:pPr>
        <w:pStyle w:val="2"/>
      </w:pPr>
    </w:p>
    <w:tbl>
      <w:tblPr>
        <w:tblStyle w:val="67"/>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0"/>
      </w:tblGrid>
      <w:tr w14:paraId="1D20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3" w:hRule="atLeast"/>
          <w:jc w:val="center"/>
        </w:trPr>
        <w:tc>
          <w:tcPr>
            <w:tcW w:w="8790" w:type="dxa"/>
            <w:noWrap/>
          </w:tcPr>
          <w:p w14:paraId="794DD653">
            <w:pPr>
              <w:pStyle w:val="2"/>
            </w:pPr>
          </w:p>
          <w:p w14:paraId="3833F65D">
            <w:pPr>
              <w:spacing w:line="360" w:lineRule="auto"/>
              <w:jc w:val="center"/>
              <w:rPr>
                <w:rFonts w:ascii="宋体" w:hAnsi="宋体" w:eastAsia="宋体"/>
                <w:b/>
                <w:sz w:val="44"/>
                <w:szCs w:val="44"/>
              </w:rPr>
            </w:pPr>
            <w:r>
              <w:rPr>
                <w:rFonts w:hint="eastAsia" w:ascii="宋体" w:hAnsi="宋体" w:eastAsia="宋体"/>
                <w:b/>
                <w:sz w:val="36"/>
                <w:szCs w:val="36"/>
              </w:rPr>
              <w:t>南通天一置业有限公司安置房衡通嘉苑、外滩雅苑、任港嘉苑、悦泰花园销售结算服务合作单位选聘项目</w:t>
            </w:r>
          </w:p>
          <w:p w14:paraId="72ED9FF3">
            <w:pPr>
              <w:spacing w:line="360" w:lineRule="exact"/>
              <w:jc w:val="center"/>
              <w:rPr>
                <w:rFonts w:ascii="宋体" w:hAnsi="宋体" w:eastAsia="宋体"/>
                <w:sz w:val="32"/>
                <w:szCs w:val="32"/>
              </w:rPr>
            </w:pPr>
          </w:p>
          <w:p w14:paraId="61BBC4CB">
            <w:pPr>
              <w:pStyle w:val="2"/>
            </w:pPr>
          </w:p>
          <w:p w14:paraId="77E888DD"/>
          <w:p w14:paraId="42D37F55">
            <w:pPr>
              <w:spacing w:line="600" w:lineRule="exact"/>
              <w:jc w:val="center"/>
              <w:rPr>
                <w:rFonts w:ascii="宋体" w:hAnsi="宋体" w:eastAsia="宋体"/>
                <w:sz w:val="32"/>
                <w:szCs w:val="32"/>
              </w:rPr>
            </w:pPr>
            <w:r>
              <w:rPr>
                <w:rFonts w:hint="eastAsia" w:ascii="宋体" w:hAnsi="宋体" w:eastAsia="宋体"/>
                <w:sz w:val="32"/>
                <w:szCs w:val="32"/>
              </w:rPr>
              <w:t>投标响应文件</w:t>
            </w:r>
          </w:p>
          <w:p w14:paraId="0995A151">
            <w:pPr>
              <w:spacing w:line="600" w:lineRule="exact"/>
              <w:ind w:firstLine="1600" w:firstLineChars="500"/>
              <w:rPr>
                <w:rFonts w:ascii="宋体" w:hAnsi="宋体" w:eastAsia="宋体"/>
                <w:sz w:val="32"/>
                <w:szCs w:val="32"/>
              </w:rPr>
            </w:pPr>
            <w:r>
              <w:rPr>
                <w:rFonts w:hint="eastAsia" w:ascii="宋体" w:hAnsi="宋体" w:eastAsia="宋体"/>
                <w:sz w:val="32"/>
                <w:szCs w:val="32"/>
              </w:rPr>
              <w:t>对应填写：资格审查文件</w:t>
            </w:r>
          </w:p>
          <w:p w14:paraId="1C60A58C">
            <w:pPr>
              <w:spacing w:line="600" w:lineRule="exact"/>
              <w:ind w:firstLine="1600" w:firstLineChars="500"/>
              <w:rPr>
                <w:rFonts w:ascii="宋体" w:hAnsi="宋体" w:eastAsia="宋体"/>
                <w:sz w:val="32"/>
                <w:szCs w:val="32"/>
              </w:rPr>
            </w:pPr>
            <w:r>
              <w:rPr>
                <w:rFonts w:hint="eastAsia" w:ascii="宋体" w:hAnsi="宋体" w:eastAsia="宋体"/>
                <w:sz w:val="32"/>
                <w:szCs w:val="32"/>
              </w:rPr>
              <w:t>对应填写：技术标文件</w:t>
            </w:r>
          </w:p>
          <w:p w14:paraId="1F71375B">
            <w:pPr>
              <w:spacing w:line="600" w:lineRule="exact"/>
              <w:ind w:firstLine="1600" w:firstLineChars="500"/>
              <w:rPr>
                <w:rFonts w:ascii="宋体" w:hAnsi="宋体" w:eastAsia="宋体"/>
                <w:sz w:val="32"/>
                <w:szCs w:val="32"/>
              </w:rPr>
            </w:pPr>
            <w:r>
              <w:rPr>
                <w:rFonts w:hint="eastAsia" w:ascii="宋体" w:hAnsi="宋体" w:eastAsia="宋体"/>
                <w:sz w:val="32"/>
                <w:szCs w:val="32"/>
              </w:rPr>
              <w:t>对应填写：商务标文件</w:t>
            </w:r>
          </w:p>
          <w:p w14:paraId="777F0E53">
            <w:pPr>
              <w:spacing w:line="320" w:lineRule="exact"/>
              <w:jc w:val="center"/>
              <w:rPr>
                <w:rFonts w:ascii="宋体" w:hAnsi="宋体" w:eastAsia="宋体"/>
                <w:sz w:val="28"/>
                <w:szCs w:val="28"/>
              </w:rPr>
            </w:pPr>
          </w:p>
          <w:p w14:paraId="2BB7773F">
            <w:pPr>
              <w:spacing w:line="320" w:lineRule="exact"/>
              <w:jc w:val="center"/>
              <w:rPr>
                <w:rFonts w:ascii="宋体" w:hAnsi="宋体" w:eastAsia="宋体"/>
                <w:sz w:val="28"/>
                <w:szCs w:val="28"/>
              </w:rPr>
            </w:pPr>
            <w:r>
              <w:rPr>
                <w:rFonts w:hint="eastAsia" w:ascii="宋体" w:hAnsi="宋体" w:eastAsia="宋体"/>
                <w:sz w:val="28"/>
                <w:szCs w:val="28"/>
              </w:rPr>
              <w:t>（资格后审）</w:t>
            </w:r>
          </w:p>
          <w:p w14:paraId="76C9D685">
            <w:pPr>
              <w:spacing w:line="320" w:lineRule="exact"/>
              <w:jc w:val="center"/>
              <w:rPr>
                <w:rFonts w:ascii="宋体" w:hAnsi="宋体" w:eastAsia="宋体"/>
                <w:sz w:val="28"/>
                <w:szCs w:val="28"/>
              </w:rPr>
            </w:pPr>
          </w:p>
          <w:p w14:paraId="299A2808">
            <w:pPr>
              <w:spacing w:line="320" w:lineRule="exact"/>
              <w:jc w:val="center"/>
              <w:rPr>
                <w:rFonts w:ascii="宋体" w:hAnsi="宋体" w:eastAsia="宋体"/>
                <w:sz w:val="28"/>
                <w:szCs w:val="28"/>
              </w:rPr>
            </w:pPr>
          </w:p>
          <w:p w14:paraId="111EA937">
            <w:pPr>
              <w:spacing w:line="320" w:lineRule="exact"/>
              <w:jc w:val="center"/>
              <w:rPr>
                <w:rFonts w:ascii="宋体" w:hAnsi="宋体" w:eastAsia="宋体"/>
                <w:sz w:val="28"/>
                <w:szCs w:val="28"/>
              </w:rPr>
            </w:pPr>
          </w:p>
          <w:p w14:paraId="71A9D497">
            <w:pPr>
              <w:spacing w:line="320" w:lineRule="exact"/>
              <w:jc w:val="center"/>
              <w:rPr>
                <w:rFonts w:ascii="宋体" w:hAnsi="宋体" w:eastAsia="宋体"/>
                <w:sz w:val="28"/>
                <w:szCs w:val="28"/>
              </w:rPr>
            </w:pPr>
          </w:p>
          <w:p w14:paraId="3312DDEC">
            <w:pPr>
              <w:spacing w:line="320" w:lineRule="exact"/>
              <w:jc w:val="center"/>
              <w:rPr>
                <w:rFonts w:ascii="宋体" w:hAnsi="宋体" w:eastAsia="宋体"/>
                <w:sz w:val="28"/>
                <w:szCs w:val="28"/>
              </w:rPr>
            </w:pPr>
          </w:p>
          <w:p w14:paraId="26708070">
            <w:pPr>
              <w:spacing w:line="320" w:lineRule="exact"/>
              <w:jc w:val="center"/>
              <w:rPr>
                <w:rFonts w:ascii="宋体" w:hAnsi="宋体" w:eastAsia="宋体"/>
                <w:sz w:val="28"/>
                <w:szCs w:val="28"/>
              </w:rPr>
            </w:pPr>
          </w:p>
          <w:p w14:paraId="6048E2A9">
            <w:pPr>
              <w:spacing w:line="320" w:lineRule="exact"/>
              <w:jc w:val="center"/>
              <w:rPr>
                <w:rFonts w:ascii="宋体" w:hAnsi="宋体" w:eastAsia="宋体"/>
                <w:sz w:val="28"/>
                <w:szCs w:val="28"/>
              </w:rPr>
            </w:pPr>
          </w:p>
          <w:p w14:paraId="17D729C0">
            <w:pPr>
              <w:spacing w:line="320" w:lineRule="exact"/>
              <w:jc w:val="center"/>
              <w:rPr>
                <w:rFonts w:ascii="宋体" w:hAnsi="宋体" w:eastAsia="宋体"/>
                <w:sz w:val="28"/>
                <w:szCs w:val="28"/>
              </w:rPr>
            </w:pPr>
          </w:p>
          <w:p w14:paraId="653CAF96">
            <w:pPr>
              <w:spacing w:line="320" w:lineRule="exact"/>
              <w:jc w:val="center"/>
              <w:rPr>
                <w:rFonts w:ascii="宋体" w:hAnsi="宋体" w:eastAsia="宋体"/>
                <w:sz w:val="28"/>
                <w:szCs w:val="28"/>
              </w:rPr>
            </w:pPr>
          </w:p>
          <w:p w14:paraId="1767E2F1">
            <w:pPr>
              <w:spacing w:line="320" w:lineRule="exact"/>
              <w:jc w:val="center"/>
              <w:rPr>
                <w:rFonts w:ascii="宋体" w:hAnsi="宋体" w:eastAsia="宋体"/>
                <w:sz w:val="28"/>
                <w:szCs w:val="28"/>
              </w:rPr>
            </w:pPr>
            <w:r>
              <w:rPr>
                <w:rFonts w:hint="eastAsia" w:ascii="宋体" w:hAnsi="宋体" w:eastAsia="宋体"/>
                <w:sz w:val="28"/>
                <w:szCs w:val="28"/>
              </w:rPr>
              <w:t>投标人：参加投标单位全称</w:t>
            </w:r>
          </w:p>
          <w:p w14:paraId="52935171">
            <w:pPr>
              <w:spacing w:line="320" w:lineRule="exact"/>
              <w:jc w:val="center"/>
              <w:rPr>
                <w:rFonts w:ascii="宋体" w:hAnsi="宋体" w:eastAsia="宋体"/>
                <w:sz w:val="28"/>
                <w:szCs w:val="28"/>
              </w:rPr>
            </w:pPr>
          </w:p>
          <w:p w14:paraId="15A3BE77">
            <w:pPr>
              <w:spacing w:line="320" w:lineRule="exact"/>
              <w:jc w:val="center"/>
              <w:rPr>
                <w:rFonts w:ascii="宋体" w:hAnsi="宋体" w:eastAsia="宋体"/>
                <w:sz w:val="28"/>
                <w:szCs w:val="28"/>
              </w:rPr>
            </w:pPr>
            <w:r>
              <w:rPr>
                <w:rFonts w:hint="eastAsia" w:ascii="宋体" w:hAnsi="宋体" w:eastAsia="宋体"/>
                <w:sz w:val="28"/>
                <w:szCs w:val="28"/>
              </w:rPr>
              <w:t>二○二五年   月  日</w:t>
            </w:r>
          </w:p>
        </w:tc>
      </w:tr>
    </w:tbl>
    <w:p w14:paraId="75D027E7">
      <w:pPr>
        <w:numPr>
          <w:ilvl w:val="255"/>
          <w:numId w:val="0"/>
        </w:numPr>
        <w:adjustRightInd w:val="0"/>
        <w:snapToGrid w:val="0"/>
        <w:spacing w:line="360" w:lineRule="auto"/>
        <w:outlineLvl w:val="1"/>
        <w:rPr>
          <w:rFonts w:ascii="宋体" w:hAnsi="宋体" w:eastAsia="宋体"/>
          <w:b/>
          <w:sz w:val="28"/>
          <w:szCs w:val="28"/>
        </w:rPr>
      </w:pPr>
      <w:r>
        <w:rPr>
          <w:rFonts w:ascii="宋体" w:hAnsi="宋体" w:eastAsia="宋体"/>
          <w:b/>
          <w:sz w:val="28"/>
          <w:szCs w:val="28"/>
        </w:rPr>
        <w:br w:type="page"/>
      </w:r>
      <w:r>
        <w:rPr>
          <w:rFonts w:hint="eastAsia" w:ascii="宋体" w:hAnsi="宋体" w:eastAsia="宋体"/>
          <w:b/>
          <w:sz w:val="28"/>
          <w:szCs w:val="28"/>
        </w:rPr>
        <w:t>投标响应文件</w:t>
      </w:r>
    </w:p>
    <w:p w14:paraId="3DCC1EE6">
      <w:pPr>
        <w:adjustRightInd w:val="0"/>
        <w:snapToGrid w:val="0"/>
        <w:spacing w:line="360" w:lineRule="auto"/>
        <w:jc w:val="center"/>
        <w:outlineLvl w:val="1"/>
        <w:rPr>
          <w:rFonts w:ascii="宋体" w:hAnsi="宋体" w:eastAsia="宋体"/>
          <w:b/>
          <w:sz w:val="28"/>
          <w:szCs w:val="28"/>
        </w:rPr>
      </w:pPr>
      <w:r>
        <w:rPr>
          <w:rFonts w:hint="eastAsia" w:ascii="宋体" w:hAnsi="宋体" w:eastAsia="宋体"/>
          <w:b/>
          <w:sz w:val="28"/>
          <w:szCs w:val="28"/>
        </w:rPr>
        <w:t>A、资格审查文件</w:t>
      </w:r>
      <w:r>
        <w:rPr>
          <w:rFonts w:ascii="宋体" w:hAnsi="宋体" w:eastAsia="宋体"/>
          <w:b/>
          <w:sz w:val="28"/>
          <w:szCs w:val="28"/>
        </w:rPr>
        <w:t>(</w:t>
      </w:r>
      <w:r>
        <w:rPr>
          <w:rFonts w:hint="eastAsia" w:ascii="宋体" w:hAnsi="宋体" w:eastAsia="宋体"/>
          <w:b/>
          <w:sz w:val="28"/>
          <w:szCs w:val="28"/>
        </w:rPr>
        <w:t>单独密封</w:t>
      </w:r>
      <w:r>
        <w:rPr>
          <w:rFonts w:ascii="宋体" w:hAnsi="宋体" w:eastAsia="宋体"/>
          <w:b/>
          <w:sz w:val="28"/>
          <w:szCs w:val="28"/>
        </w:rPr>
        <w:t>)</w:t>
      </w:r>
    </w:p>
    <w:p w14:paraId="2017DD93">
      <w:pPr>
        <w:snapToGrid w:val="0"/>
        <w:spacing w:line="360" w:lineRule="auto"/>
        <w:jc w:val="center"/>
        <w:outlineLvl w:val="4"/>
        <w:rPr>
          <w:rFonts w:ascii="宋体" w:hAnsi="宋体" w:eastAsia="宋体"/>
          <w:b/>
          <w:bCs/>
          <w:sz w:val="28"/>
          <w:szCs w:val="28"/>
        </w:rPr>
      </w:pPr>
    </w:p>
    <w:p w14:paraId="468A387C">
      <w:pPr>
        <w:pStyle w:val="110"/>
        <w:snapToGrid w:val="0"/>
        <w:spacing w:line="360" w:lineRule="auto"/>
        <w:ind w:firstLine="0" w:firstLineChars="0"/>
        <w:contextualSpacing/>
        <w:jc w:val="center"/>
        <w:rPr>
          <w:rFonts w:ascii="宋体" w:eastAsia="宋体"/>
          <w:b/>
          <w:sz w:val="28"/>
        </w:rPr>
      </w:pPr>
      <w:r>
        <w:rPr>
          <w:rFonts w:ascii="宋体" w:eastAsia="宋体"/>
          <w:b/>
          <w:sz w:val="28"/>
        </w:rPr>
        <w:t>1</w:t>
      </w:r>
      <w:r>
        <w:rPr>
          <w:rFonts w:hint="eastAsia" w:ascii="宋体" w:eastAsia="宋体"/>
          <w:b/>
          <w:sz w:val="28"/>
        </w:rPr>
        <w:t>、法定代表人身份证明书</w:t>
      </w:r>
    </w:p>
    <w:p w14:paraId="3AF2A766">
      <w:pPr>
        <w:snapToGrid w:val="0"/>
        <w:spacing w:line="360" w:lineRule="auto"/>
        <w:ind w:firstLine="840" w:firstLineChars="350"/>
        <w:contextualSpacing/>
        <w:rPr>
          <w:rFonts w:ascii="宋体" w:hAnsi="宋体" w:eastAsia="宋体" w:cs="宋体"/>
          <w:sz w:val="24"/>
          <w:szCs w:val="24"/>
        </w:rPr>
      </w:pPr>
      <w:r>
        <w:rPr>
          <w:rFonts w:hint="eastAsia" w:ascii="宋体" w:hAnsi="宋体" w:eastAsia="宋体" w:cs="宋体"/>
          <w:sz w:val="24"/>
          <w:szCs w:val="24"/>
          <w:u w:val="single"/>
        </w:rPr>
        <w:t>先生／女士</w:t>
      </w:r>
      <w:r>
        <w:rPr>
          <w:rFonts w:hint="eastAsia" w:ascii="宋体" w:hAnsi="宋体" w:eastAsia="宋体" w:cs="宋体"/>
          <w:sz w:val="24"/>
          <w:szCs w:val="24"/>
        </w:rPr>
        <w:t>：现任我单位</w:t>
      </w:r>
      <w:r>
        <w:rPr>
          <w:rFonts w:hint="eastAsia" w:ascii="宋体" w:hAnsi="宋体" w:eastAsia="宋体" w:cs="宋体"/>
          <w:sz w:val="24"/>
          <w:szCs w:val="24"/>
          <w:u w:val="single"/>
        </w:rPr>
        <w:t>　　　　　　　</w:t>
      </w:r>
      <w:r>
        <w:rPr>
          <w:rFonts w:hint="eastAsia" w:ascii="宋体" w:hAnsi="宋体" w:eastAsia="宋体" w:cs="宋体"/>
          <w:sz w:val="24"/>
          <w:szCs w:val="24"/>
        </w:rPr>
        <w:t>职务，为法定代表人，特此证明。</w:t>
      </w:r>
    </w:p>
    <w:p w14:paraId="49E77CA7">
      <w:pPr>
        <w:snapToGrid w:val="0"/>
        <w:spacing w:line="360" w:lineRule="auto"/>
        <w:contextualSpacing/>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14:paraId="1BD1E68D">
      <w:pPr>
        <w:snapToGrid w:val="0"/>
        <w:spacing w:line="360" w:lineRule="auto"/>
        <w:ind w:firstLine="964" w:firstLineChars="400"/>
        <w:contextualSpacing/>
        <w:rPr>
          <w:rFonts w:ascii="宋体" w:hAnsi="宋体" w:eastAsia="宋体" w:cs="宋体"/>
          <w:b/>
          <w:sz w:val="24"/>
          <w:szCs w:val="24"/>
        </w:rPr>
      </w:pPr>
      <w:r>
        <w:rPr>
          <w:rFonts w:hint="eastAsia" w:ascii="宋体" w:hAnsi="宋体" w:eastAsia="宋体" w:cs="宋体"/>
          <w:b/>
          <w:sz w:val="24"/>
          <w:szCs w:val="24"/>
        </w:rPr>
        <w:t>注：提供法定代表人的身份证复印件</w:t>
      </w:r>
    </w:p>
    <w:p w14:paraId="5E0151EA">
      <w:pPr>
        <w:snapToGrid w:val="0"/>
        <w:spacing w:line="360" w:lineRule="auto"/>
        <w:ind w:firstLine="4440" w:firstLineChars="1850"/>
        <w:contextualSpacing/>
        <w:rPr>
          <w:rFonts w:ascii="宋体" w:hAnsi="宋体" w:eastAsia="宋体" w:cs="宋体"/>
          <w:sz w:val="24"/>
          <w:szCs w:val="24"/>
        </w:rPr>
      </w:pPr>
      <w:r>
        <w:rPr>
          <w:rFonts w:hint="eastAsia" w:ascii="宋体" w:hAnsi="宋体" w:eastAsia="宋体" w:cs="宋体"/>
          <w:sz w:val="24"/>
          <w:szCs w:val="24"/>
        </w:rPr>
        <w:t>投标人（盖章）</w:t>
      </w:r>
    </w:p>
    <w:p w14:paraId="087C152D">
      <w:pPr>
        <w:snapToGrid w:val="0"/>
        <w:spacing w:line="360" w:lineRule="auto"/>
        <w:contextualSpacing/>
        <w:jc w:val="center"/>
        <w:rPr>
          <w:rFonts w:ascii="宋体" w:hAnsi="宋体" w:eastAsia="宋体" w:cs="宋体"/>
          <w:b/>
          <w:sz w:val="24"/>
          <w:szCs w:val="24"/>
        </w:rPr>
      </w:pPr>
      <w:r>
        <w:rPr>
          <w:rFonts w:hint="eastAsia" w:ascii="宋体" w:hAnsi="宋体" w:eastAsia="宋体" w:cs="宋体"/>
          <w:bCs/>
          <w:sz w:val="24"/>
          <w:szCs w:val="24"/>
        </w:rPr>
        <w:t xml:space="preserve">          年  月  日</w:t>
      </w:r>
    </w:p>
    <w:p w14:paraId="43BB0E79">
      <w:pPr>
        <w:pStyle w:val="110"/>
        <w:snapToGrid w:val="0"/>
        <w:spacing w:line="360" w:lineRule="auto"/>
        <w:ind w:firstLine="0" w:firstLineChars="0"/>
        <w:contextualSpacing/>
        <w:jc w:val="center"/>
        <w:rPr>
          <w:rFonts w:ascii="宋体" w:eastAsia="宋体"/>
          <w:b/>
          <w:sz w:val="28"/>
        </w:rPr>
      </w:pPr>
    </w:p>
    <w:p w14:paraId="25E360B7">
      <w:pPr>
        <w:pStyle w:val="110"/>
        <w:snapToGrid w:val="0"/>
        <w:spacing w:line="360" w:lineRule="auto"/>
        <w:ind w:firstLine="0" w:firstLineChars="0"/>
        <w:contextualSpacing/>
        <w:jc w:val="center"/>
        <w:rPr>
          <w:rFonts w:ascii="宋体" w:eastAsia="宋体"/>
          <w:b/>
          <w:sz w:val="28"/>
        </w:rPr>
      </w:pPr>
    </w:p>
    <w:p w14:paraId="7627E1F8">
      <w:pPr>
        <w:pStyle w:val="110"/>
        <w:snapToGrid w:val="0"/>
        <w:spacing w:line="360" w:lineRule="auto"/>
        <w:ind w:firstLine="0" w:firstLineChars="0"/>
        <w:contextualSpacing/>
        <w:jc w:val="center"/>
        <w:rPr>
          <w:rFonts w:ascii="宋体" w:eastAsia="宋体"/>
          <w:b/>
          <w:sz w:val="28"/>
        </w:rPr>
      </w:pPr>
    </w:p>
    <w:p w14:paraId="671A57B4">
      <w:pPr>
        <w:pStyle w:val="110"/>
        <w:snapToGrid w:val="0"/>
        <w:spacing w:line="360" w:lineRule="auto"/>
        <w:ind w:firstLine="0" w:firstLineChars="0"/>
        <w:contextualSpacing/>
        <w:jc w:val="center"/>
        <w:rPr>
          <w:rFonts w:ascii="宋体" w:eastAsia="宋体"/>
          <w:b/>
          <w:sz w:val="28"/>
        </w:rPr>
      </w:pPr>
      <w:r>
        <w:rPr>
          <w:rFonts w:ascii="宋体" w:eastAsia="宋体"/>
          <w:b/>
          <w:sz w:val="28"/>
        </w:rPr>
        <w:t>2</w:t>
      </w:r>
      <w:r>
        <w:rPr>
          <w:rFonts w:hint="eastAsia" w:ascii="宋体" w:eastAsia="宋体"/>
          <w:b/>
          <w:sz w:val="28"/>
        </w:rPr>
        <w:t>、法定代表人授权委托书</w:t>
      </w:r>
    </w:p>
    <w:p w14:paraId="23E4CD3B">
      <w:pPr>
        <w:snapToGrid w:val="0"/>
        <w:spacing w:line="360" w:lineRule="auto"/>
        <w:contextualSpacing/>
        <w:rPr>
          <w:rFonts w:ascii="宋体" w:hAnsi="宋体" w:eastAsia="宋体"/>
          <w:b/>
          <w:sz w:val="24"/>
          <w:szCs w:val="24"/>
        </w:rPr>
      </w:pPr>
      <w:r>
        <w:rPr>
          <w:rFonts w:hint="eastAsia" w:ascii="宋体" w:hAnsi="宋体" w:eastAsia="宋体"/>
          <w:sz w:val="24"/>
          <w:szCs w:val="24"/>
          <w:u w:val="single"/>
        </w:rPr>
        <w:t>　</w:t>
      </w:r>
      <w:r>
        <w:rPr>
          <w:rFonts w:hint="eastAsia" w:asciiTheme="minorEastAsia" w:hAnsiTheme="minorEastAsia" w:eastAsiaTheme="minorEastAsia" w:cstheme="minorEastAsia"/>
          <w:b/>
          <w:bCs/>
          <w:sz w:val="24"/>
          <w:szCs w:val="24"/>
          <w:u w:val="single"/>
        </w:rPr>
        <w:t>南通天一置业有限公司</w:t>
      </w:r>
      <w:r>
        <w:rPr>
          <w:rFonts w:hint="eastAsia" w:ascii="宋体" w:hAnsi="宋体" w:eastAsia="宋体"/>
          <w:sz w:val="24"/>
          <w:szCs w:val="24"/>
          <w:u w:val="single"/>
        </w:rPr>
        <w:t>　</w:t>
      </w:r>
      <w:r>
        <w:rPr>
          <w:rFonts w:hint="eastAsia" w:ascii="宋体" w:hAnsi="宋体" w:eastAsia="宋体"/>
          <w:b/>
          <w:sz w:val="24"/>
          <w:szCs w:val="24"/>
        </w:rPr>
        <w:t>：</w:t>
      </w:r>
    </w:p>
    <w:p w14:paraId="50D4F185">
      <w:pPr>
        <w:pStyle w:val="32"/>
        <w:snapToGrid w:val="0"/>
        <w:spacing w:line="360" w:lineRule="auto"/>
        <w:ind w:firstLine="420"/>
        <w:contextualSpacing/>
        <w:rPr>
          <w:rFonts w:hAnsi="宋体" w:eastAsia="宋体"/>
          <w:sz w:val="24"/>
          <w:szCs w:val="24"/>
        </w:rPr>
      </w:pPr>
      <w:r>
        <w:rPr>
          <w:rFonts w:hint="eastAsia" w:hAnsi="宋体" w:eastAsia="宋体"/>
          <w:sz w:val="24"/>
          <w:szCs w:val="24"/>
        </w:rPr>
        <w:t>本授权委托书声明：我</w:t>
      </w:r>
      <w:r>
        <w:rPr>
          <w:rFonts w:hint="eastAsia" w:hAnsi="宋体" w:eastAsia="宋体"/>
          <w:sz w:val="24"/>
          <w:szCs w:val="24"/>
          <w:u w:val="single"/>
        </w:rPr>
        <w:t>　　　</w:t>
      </w:r>
      <w:r>
        <w:rPr>
          <w:rFonts w:hint="eastAsia" w:hAnsi="宋体" w:eastAsia="宋体"/>
          <w:sz w:val="24"/>
          <w:szCs w:val="24"/>
        </w:rPr>
        <w:t>（姓名）系</w:t>
      </w:r>
      <w:r>
        <w:rPr>
          <w:rFonts w:hint="eastAsia" w:hAnsi="宋体" w:eastAsia="宋体"/>
          <w:sz w:val="24"/>
          <w:szCs w:val="24"/>
          <w:u w:val="single"/>
        </w:rPr>
        <w:t>　　　</w:t>
      </w:r>
      <w:r>
        <w:rPr>
          <w:rFonts w:hint="eastAsia" w:hAnsi="宋体" w:eastAsia="宋体"/>
          <w:sz w:val="24"/>
          <w:szCs w:val="24"/>
        </w:rPr>
        <w:t>（投标人名称）的法定代表人，现授权委托</w:t>
      </w:r>
      <w:r>
        <w:rPr>
          <w:rFonts w:hint="eastAsia" w:hAnsi="宋体" w:eastAsia="宋体"/>
          <w:sz w:val="24"/>
          <w:szCs w:val="24"/>
          <w:u w:val="single"/>
        </w:rPr>
        <w:t>　   　（</w:t>
      </w:r>
      <w:r>
        <w:rPr>
          <w:rFonts w:hint="eastAsia" w:hAnsi="宋体" w:eastAsia="宋体"/>
          <w:sz w:val="24"/>
          <w:szCs w:val="24"/>
        </w:rPr>
        <w:t>姓名）为我公司代理人，以本公司的名义参加本项目的投标活动。代理人在开标、评标、合同谈判过程中所签署的一切文件和处理与之有关的一切事务，我均予以承认。</w:t>
      </w:r>
    </w:p>
    <w:p w14:paraId="1C180D85">
      <w:pPr>
        <w:pStyle w:val="32"/>
        <w:snapToGrid w:val="0"/>
        <w:spacing w:line="360" w:lineRule="auto"/>
        <w:ind w:firstLine="420"/>
        <w:contextualSpacing/>
        <w:rPr>
          <w:rFonts w:hAnsi="宋体" w:eastAsia="宋体"/>
          <w:sz w:val="24"/>
          <w:szCs w:val="24"/>
        </w:rPr>
      </w:pPr>
      <w:r>
        <w:rPr>
          <w:rFonts w:hint="eastAsia" w:hAnsi="宋体" w:eastAsia="宋体"/>
          <w:sz w:val="24"/>
          <w:szCs w:val="24"/>
        </w:rPr>
        <w:t>被授权人无转委权。特此委托。</w:t>
      </w:r>
    </w:p>
    <w:p w14:paraId="7B96BDF9">
      <w:pPr>
        <w:pStyle w:val="32"/>
        <w:snapToGrid w:val="0"/>
        <w:spacing w:line="360" w:lineRule="auto"/>
        <w:ind w:firstLine="420"/>
        <w:contextualSpacing/>
        <w:rPr>
          <w:rFonts w:hAnsi="宋体" w:eastAsia="宋体"/>
          <w:sz w:val="24"/>
          <w:szCs w:val="24"/>
        </w:rPr>
      </w:pPr>
    </w:p>
    <w:p w14:paraId="5C181E41">
      <w:pPr>
        <w:pStyle w:val="32"/>
        <w:snapToGrid w:val="0"/>
        <w:spacing w:line="360" w:lineRule="auto"/>
        <w:ind w:firstLine="480" w:firstLineChars="200"/>
        <w:contextualSpacing/>
        <w:rPr>
          <w:rFonts w:hAnsi="宋体" w:eastAsia="宋体"/>
          <w:sz w:val="24"/>
          <w:szCs w:val="24"/>
          <w:u w:val="single"/>
        </w:rPr>
      </w:pPr>
      <w:r>
        <w:rPr>
          <w:rFonts w:hint="eastAsia" w:hAnsi="宋体" w:eastAsia="宋体"/>
          <w:sz w:val="24"/>
          <w:szCs w:val="24"/>
        </w:rPr>
        <w:t>被授权人身份证号：</w:t>
      </w:r>
      <w:r>
        <w:rPr>
          <w:rFonts w:hint="eastAsia" w:hAnsi="宋体" w:eastAsia="宋体"/>
          <w:sz w:val="24"/>
          <w:szCs w:val="24"/>
          <w:u w:val="single"/>
        </w:rPr>
        <w:t xml:space="preserve">              </w:t>
      </w:r>
    </w:p>
    <w:p w14:paraId="3A74211C">
      <w:pPr>
        <w:snapToGrid w:val="0"/>
        <w:spacing w:line="360" w:lineRule="auto"/>
        <w:ind w:firstLine="480" w:firstLineChars="200"/>
        <w:contextualSpacing/>
        <w:rPr>
          <w:rFonts w:ascii="宋体" w:hAnsi="宋体" w:eastAsia="宋体"/>
          <w:sz w:val="24"/>
          <w:szCs w:val="24"/>
          <w:u w:val="single"/>
        </w:rPr>
      </w:pPr>
      <w:r>
        <w:rPr>
          <w:rFonts w:hint="eastAsia" w:ascii="宋体" w:hAnsi="宋体" w:eastAsia="宋体"/>
          <w:sz w:val="24"/>
          <w:szCs w:val="24"/>
        </w:rPr>
        <w:t>法定代表人签字：</w:t>
      </w:r>
      <w:r>
        <w:rPr>
          <w:rFonts w:hint="eastAsia" w:ascii="宋体" w:hAnsi="宋体" w:eastAsia="宋体"/>
          <w:sz w:val="24"/>
          <w:szCs w:val="24"/>
          <w:u w:val="single"/>
        </w:rPr>
        <w:t xml:space="preserve">                </w:t>
      </w:r>
    </w:p>
    <w:p w14:paraId="52AD316F">
      <w:pPr>
        <w:snapToGrid w:val="0"/>
        <w:spacing w:line="360" w:lineRule="auto"/>
        <w:ind w:firstLine="4440" w:firstLineChars="1850"/>
        <w:contextualSpacing/>
        <w:rPr>
          <w:rFonts w:ascii="宋体" w:hAnsi="宋体" w:eastAsia="宋体"/>
          <w:sz w:val="24"/>
          <w:szCs w:val="24"/>
        </w:rPr>
      </w:pPr>
      <w:r>
        <w:rPr>
          <w:rFonts w:hint="eastAsia" w:ascii="宋体" w:hAnsi="宋体" w:eastAsia="宋体"/>
          <w:sz w:val="24"/>
          <w:szCs w:val="24"/>
        </w:rPr>
        <w:t>投标人（盖章）</w:t>
      </w:r>
    </w:p>
    <w:p w14:paraId="66CB7D07">
      <w:pPr>
        <w:pStyle w:val="36"/>
        <w:snapToGrid w:val="0"/>
        <w:ind w:firstLine="5421" w:firstLineChars="2250"/>
        <w:contextualSpacing/>
        <w:rPr>
          <w:rFonts w:hAnsi="宋体"/>
          <w:bCs w:val="0"/>
          <w:szCs w:val="24"/>
        </w:rPr>
      </w:pPr>
      <w:r>
        <w:rPr>
          <w:rFonts w:hint="eastAsia" w:hAnsi="宋体"/>
          <w:bCs w:val="0"/>
          <w:szCs w:val="24"/>
        </w:rPr>
        <w:t>年   月   日</w:t>
      </w:r>
    </w:p>
    <w:p w14:paraId="75624A57">
      <w:pPr>
        <w:pStyle w:val="32"/>
        <w:snapToGrid w:val="0"/>
        <w:spacing w:line="360" w:lineRule="auto"/>
        <w:ind w:firstLine="420"/>
        <w:contextualSpacing/>
        <w:rPr>
          <w:rFonts w:hAnsi="宋体" w:eastAsia="宋体"/>
          <w:b/>
          <w:sz w:val="28"/>
          <w:szCs w:val="28"/>
        </w:rPr>
      </w:pPr>
    </w:p>
    <w:p w14:paraId="36B06BFC">
      <w:pPr>
        <w:pStyle w:val="32"/>
        <w:snapToGrid w:val="0"/>
        <w:spacing w:line="360" w:lineRule="auto"/>
        <w:ind w:firstLine="420"/>
        <w:contextualSpacing/>
        <w:rPr>
          <w:rFonts w:hAnsi="宋体" w:eastAsia="宋体"/>
          <w:b/>
          <w:sz w:val="24"/>
          <w:szCs w:val="24"/>
        </w:rPr>
      </w:pPr>
      <w:r>
        <w:rPr>
          <w:rFonts w:hint="eastAsia" w:hAnsi="宋体" w:eastAsia="宋体"/>
          <w:b/>
          <w:sz w:val="24"/>
          <w:szCs w:val="24"/>
        </w:rPr>
        <w:t>注：提供法定代表人、被授权人两人的身份证复印件。</w:t>
      </w:r>
    </w:p>
    <w:p w14:paraId="2BA0234D">
      <w:pPr>
        <w:pStyle w:val="110"/>
        <w:snapToGrid w:val="0"/>
        <w:spacing w:line="360" w:lineRule="auto"/>
        <w:ind w:firstLine="0" w:firstLineChars="0"/>
        <w:contextualSpacing/>
        <w:jc w:val="center"/>
        <w:rPr>
          <w:rFonts w:ascii="宋体" w:eastAsia="宋体"/>
          <w:b/>
          <w:sz w:val="28"/>
        </w:rPr>
      </w:pPr>
      <w:r>
        <w:rPr>
          <w:rFonts w:hint="eastAsia" w:ascii="宋体" w:eastAsia="宋体"/>
          <w:b/>
          <w:sz w:val="28"/>
        </w:rPr>
        <w:br w:type="page"/>
      </w:r>
      <w:r>
        <w:rPr>
          <w:rFonts w:hint="eastAsia" w:ascii="宋体" w:eastAsia="宋体"/>
          <w:b/>
          <w:sz w:val="28"/>
        </w:rPr>
        <w:t>3、投标人声明函</w:t>
      </w:r>
    </w:p>
    <w:p w14:paraId="4F2A6F8C">
      <w:pPr>
        <w:snapToGrid w:val="0"/>
        <w:spacing w:line="360" w:lineRule="auto"/>
        <w:rPr>
          <w:rFonts w:ascii="宋体" w:hAnsi="宋体" w:eastAsia="宋体"/>
          <w:bCs/>
          <w:sz w:val="24"/>
          <w:szCs w:val="24"/>
          <w:u w:val="single"/>
        </w:rPr>
      </w:pPr>
      <w:r>
        <w:rPr>
          <w:rFonts w:hint="eastAsia" w:asciiTheme="minorEastAsia" w:hAnsiTheme="minorEastAsia" w:eastAsiaTheme="minorEastAsia" w:cstheme="minorEastAsia"/>
          <w:b/>
          <w:bCs/>
          <w:sz w:val="24"/>
          <w:szCs w:val="24"/>
          <w:u w:val="single"/>
        </w:rPr>
        <w:t>南通天一置业有限公司</w:t>
      </w:r>
      <w:r>
        <w:rPr>
          <w:rFonts w:hint="eastAsia" w:ascii="宋体" w:hAnsi="宋体" w:eastAsia="宋体"/>
          <w:b/>
          <w:sz w:val="24"/>
          <w:szCs w:val="24"/>
        </w:rPr>
        <w:t>：</w:t>
      </w:r>
    </w:p>
    <w:p w14:paraId="79E9117A">
      <w:pPr>
        <w:snapToGrid w:val="0"/>
        <w:spacing w:line="360" w:lineRule="auto"/>
        <w:rPr>
          <w:rFonts w:ascii="宋体" w:hAnsi="宋体" w:eastAsia="宋体"/>
          <w:sz w:val="24"/>
          <w:szCs w:val="24"/>
        </w:rPr>
      </w:pPr>
      <w:r>
        <w:rPr>
          <w:rFonts w:hint="eastAsia" w:ascii="宋体" w:hAnsi="宋体" w:eastAsia="宋体"/>
          <w:sz w:val="24"/>
          <w:szCs w:val="24"/>
        </w:rPr>
        <w:t xml:space="preserve">  我单位</w:t>
      </w:r>
      <w:r>
        <w:rPr>
          <w:rFonts w:hint="eastAsia" w:ascii="宋体" w:hAnsi="宋体" w:eastAsia="宋体"/>
          <w:sz w:val="24"/>
          <w:szCs w:val="24"/>
          <w:u w:val="single"/>
        </w:rPr>
        <w:t>（投标人名称）</w:t>
      </w:r>
      <w:r>
        <w:rPr>
          <w:rFonts w:hint="eastAsia" w:ascii="宋体" w:hAnsi="宋体" w:eastAsia="宋体"/>
          <w:sz w:val="24"/>
          <w:szCs w:val="24"/>
        </w:rPr>
        <w:t>郑重声明：</w:t>
      </w:r>
    </w:p>
    <w:p w14:paraId="3AC7B8D9">
      <w:pPr>
        <w:spacing w:line="520" w:lineRule="exact"/>
        <w:ind w:firstLine="482"/>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Cs/>
          <w:sz w:val="24"/>
          <w:szCs w:val="24"/>
        </w:rPr>
        <w:t>1.我单位具有独立承担民事责任的能力；</w:t>
      </w:r>
    </w:p>
    <w:p w14:paraId="6A68D210">
      <w:pPr>
        <w:spacing w:line="520" w:lineRule="exact"/>
        <w:ind w:firstLine="482"/>
        <w:rPr>
          <w:rFonts w:ascii="宋体" w:hAnsi="宋体" w:eastAsia="宋体" w:cs="宋体"/>
          <w:sz w:val="24"/>
          <w:szCs w:val="24"/>
        </w:rPr>
      </w:pPr>
      <w:r>
        <w:rPr>
          <w:rFonts w:hint="eastAsia" w:ascii="宋体" w:hAnsi="宋体" w:eastAsia="宋体" w:cs="宋体"/>
          <w:sz w:val="24"/>
          <w:szCs w:val="24"/>
        </w:rPr>
        <w:t>2.我单位具有良好的商业信誉和健全的财务会计制度；</w:t>
      </w:r>
    </w:p>
    <w:p w14:paraId="7DA433FD">
      <w:pPr>
        <w:spacing w:line="520" w:lineRule="exact"/>
        <w:ind w:firstLine="482"/>
        <w:rPr>
          <w:rFonts w:ascii="宋体" w:hAnsi="宋体" w:eastAsia="宋体" w:cs="宋体"/>
          <w:sz w:val="24"/>
          <w:szCs w:val="24"/>
        </w:rPr>
      </w:pPr>
      <w:r>
        <w:rPr>
          <w:rFonts w:hint="eastAsia" w:ascii="宋体" w:hAnsi="宋体" w:eastAsia="宋体" w:cs="宋体"/>
          <w:sz w:val="24"/>
          <w:szCs w:val="24"/>
        </w:rPr>
        <w:t>3.我单位具有履行合同所必需的设备和专业技术能力；</w:t>
      </w:r>
    </w:p>
    <w:p w14:paraId="60C2FC71">
      <w:pPr>
        <w:spacing w:line="520" w:lineRule="exact"/>
        <w:ind w:firstLine="482"/>
        <w:rPr>
          <w:rFonts w:ascii="宋体" w:hAnsi="宋体" w:eastAsia="宋体" w:cs="宋体"/>
          <w:sz w:val="24"/>
          <w:szCs w:val="24"/>
        </w:rPr>
      </w:pPr>
      <w:r>
        <w:rPr>
          <w:rFonts w:hint="eastAsia" w:ascii="宋体" w:hAnsi="宋体" w:eastAsia="宋体" w:cs="宋体"/>
          <w:sz w:val="24"/>
          <w:szCs w:val="24"/>
        </w:rPr>
        <w:t>4.我单位有依法缴纳税收和社会保障资金的良好记录；</w:t>
      </w:r>
    </w:p>
    <w:p w14:paraId="0A451219">
      <w:pPr>
        <w:spacing w:line="520" w:lineRule="exact"/>
        <w:ind w:firstLine="482"/>
        <w:rPr>
          <w:rFonts w:ascii="宋体" w:hAnsi="宋体" w:eastAsia="宋体" w:cs="宋体"/>
          <w:sz w:val="24"/>
          <w:szCs w:val="24"/>
        </w:rPr>
      </w:pPr>
      <w:r>
        <w:rPr>
          <w:rFonts w:hint="eastAsia" w:ascii="宋体" w:hAnsi="宋体" w:eastAsia="宋体" w:cs="宋体"/>
          <w:sz w:val="24"/>
          <w:szCs w:val="24"/>
        </w:rPr>
        <w:t>5.我单位参加采购活动前三年内，在经营活动中没有重大违法记录；</w:t>
      </w:r>
    </w:p>
    <w:p w14:paraId="0DDE1EB3">
      <w:pPr>
        <w:spacing w:line="520" w:lineRule="exact"/>
        <w:ind w:firstLine="482"/>
        <w:rPr>
          <w:rFonts w:ascii="宋体" w:hAnsi="宋体" w:eastAsia="宋体" w:cs="宋体"/>
          <w:sz w:val="24"/>
          <w:szCs w:val="24"/>
        </w:rPr>
      </w:pPr>
      <w:r>
        <w:rPr>
          <w:rFonts w:hint="eastAsia" w:ascii="宋体" w:hAnsi="宋体" w:eastAsia="宋体" w:cs="宋体"/>
          <w:sz w:val="24"/>
          <w:szCs w:val="24"/>
        </w:rPr>
        <w:t>6.我单位满足法律、行政法规规定的其他条件。</w:t>
      </w:r>
    </w:p>
    <w:p w14:paraId="4D59F13D">
      <w:pPr>
        <w:snapToGrid w:val="0"/>
        <w:spacing w:line="360" w:lineRule="auto"/>
        <w:rPr>
          <w:rFonts w:ascii="宋体" w:hAnsi="宋体" w:eastAsia="宋体"/>
          <w:sz w:val="24"/>
          <w:szCs w:val="24"/>
        </w:rPr>
      </w:pPr>
    </w:p>
    <w:p w14:paraId="6C569078">
      <w:pPr>
        <w:snapToGrid w:val="0"/>
        <w:spacing w:line="360" w:lineRule="auto"/>
        <w:rPr>
          <w:rFonts w:ascii="宋体" w:hAnsi="宋体" w:eastAsia="宋体"/>
          <w:sz w:val="24"/>
          <w:szCs w:val="24"/>
        </w:rPr>
      </w:pPr>
      <w:r>
        <w:rPr>
          <w:rFonts w:hint="eastAsia" w:ascii="宋体" w:hAnsi="宋体" w:eastAsia="宋体"/>
          <w:sz w:val="24"/>
          <w:szCs w:val="24"/>
        </w:rPr>
        <w:t xml:space="preserve">  声明人：（公章）</w:t>
      </w:r>
    </w:p>
    <w:p w14:paraId="08E02A1F">
      <w:pPr>
        <w:pStyle w:val="32"/>
        <w:snapToGrid w:val="0"/>
        <w:spacing w:line="360" w:lineRule="auto"/>
        <w:ind w:firstLine="240" w:firstLineChars="100"/>
        <w:contextualSpacing/>
        <w:rPr>
          <w:rFonts w:hAnsi="宋体" w:eastAsia="宋体"/>
          <w:b/>
          <w:sz w:val="24"/>
          <w:szCs w:val="24"/>
        </w:rPr>
      </w:pPr>
      <w:r>
        <w:rPr>
          <w:rFonts w:hint="eastAsia" w:hAnsi="宋体" w:eastAsia="宋体"/>
          <w:sz w:val="24"/>
          <w:szCs w:val="24"/>
        </w:rPr>
        <w:t>日期：   年    月   日</w:t>
      </w:r>
    </w:p>
    <w:p w14:paraId="3A5B8B54">
      <w:pPr>
        <w:snapToGrid w:val="0"/>
        <w:spacing w:line="320" w:lineRule="exact"/>
        <w:ind w:left="1493" w:hanging="1493" w:hangingChars="531"/>
        <w:jc w:val="center"/>
        <w:outlineLvl w:val="2"/>
        <w:rPr>
          <w:rFonts w:ascii="宋体" w:hAnsi="宋体" w:eastAsia="宋体"/>
          <w:b/>
          <w:sz w:val="28"/>
          <w:szCs w:val="28"/>
        </w:rPr>
      </w:pPr>
      <w:r>
        <w:rPr>
          <w:rFonts w:ascii="宋体" w:hAnsi="宋体" w:eastAsia="宋体"/>
          <w:b/>
          <w:sz w:val="28"/>
          <w:szCs w:val="28"/>
        </w:rPr>
        <w:br w:type="page"/>
      </w:r>
    </w:p>
    <w:p w14:paraId="44280AFD">
      <w:pPr>
        <w:snapToGrid w:val="0"/>
        <w:spacing w:line="320" w:lineRule="exact"/>
        <w:jc w:val="center"/>
        <w:outlineLvl w:val="2"/>
        <w:rPr>
          <w:rFonts w:ascii="宋体" w:hAnsi="宋体" w:eastAsia="宋体"/>
          <w:b/>
          <w:sz w:val="28"/>
          <w:szCs w:val="28"/>
        </w:rPr>
      </w:pPr>
      <w:r>
        <w:rPr>
          <w:rFonts w:hint="eastAsia" w:ascii="宋体" w:hAnsi="宋体" w:eastAsia="宋体"/>
          <w:b/>
          <w:sz w:val="28"/>
          <w:szCs w:val="28"/>
        </w:rPr>
        <w:t>B、技术标文件（单独密封）</w:t>
      </w:r>
    </w:p>
    <w:p w14:paraId="10F47C46">
      <w:pPr>
        <w:spacing w:line="440" w:lineRule="exact"/>
        <w:jc w:val="center"/>
        <w:outlineLvl w:val="3"/>
        <w:rPr>
          <w:rFonts w:ascii="宋体" w:hAnsi="宋体" w:eastAsia="宋体"/>
          <w:b/>
          <w:bCs/>
          <w:sz w:val="28"/>
          <w:szCs w:val="28"/>
        </w:rPr>
      </w:pPr>
      <w:r>
        <w:rPr>
          <w:rFonts w:hint="eastAsia" w:ascii="宋体" w:hAnsi="宋体" w:eastAsia="宋体"/>
          <w:b/>
          <w:sz w:val="28"/>
          <w:szCs w:val="28"/>
        </w:rPr>
        <w:t>1</w:t>
      </w:r>
      <w:r>
        <w:rPr>
          <w:rFonts w:hint="eastAsia" w:ascii="宋体" w:hAnsi="宋体" w:eastAsia="宋体"/>
          <w:b/>
          <w:bCs/>
          <w:sz w:val="28"/>
          <w:szCs w:val="28"/>
        </w:rPr>
        <w:t>、投标响应函</w:t>
      </w:r>
    </w:p>
    <w:p w14:paraId="2DBF1C11">
      <w:pPr>
        <w:spacing w:line="440" w:lineRule="exact"/>
        <w:jc w:val="center"/>
        <w:rPr>
          <w:rFonts w:ascii="宋体" w:hAnsi="宋体" w:eastAsia="宋体"/>
          <w:b/>
          <w:bCs/>
          <w:sz w:val="28"/>
          <w:szCs w:val="28"/>
        </w:rPr>
      </w:pPr>
      <w:r>
        <w:rPr>
          <w:rFonts w:hint="eastAsia" w:ascii="宋体" w:hAnsi="宋体" w:eastAsia="宋体"/>
          <w:bCs/>
          <w:sz w:val="28"/>
          <w:szCs w:val="28"/>
        </w:rPr>
        <w:t>（格式，不得变动）</w:t>
      </w:r>
    </w:p>
    <w:p w14:paraId="7EAE219E">
      <w:pPr>
        <w:spacing w:line="440" w:lineRule="exact"/>
        <w:rPr>
          <w:rFonts w:ascii="宋体" w:hAnsi="宋体" w:eastAsia="宋体"/>
          <w:sz w:val="24"/>
          <w:szCs w:val="24"/>
          <w:u w:val="single"/>
        </w:rPr>
      </w:pPr>
      <w:r>
        <w:rPr>
          <w:rFonts w:hint="eastAsia" w:asciiTheme="minorEastAsia" w:hAnsiTheme="minorEastAsia" w:eastAsiaTheme="minorEastAsia" w:cstheme="minorEastAsia"/>
          <w:b/>
          <w:bCs/>
          <w:sz w:val="24"/>
          <w:szCs w:val="24"/>
          <w:u w:val="single"/>
        </w:rPr>
        <w:t>南通天一置业有限公司</w:t>
      </w:r>
      <w:r>
        <w:rPr>
          <w:rFonts w:hint="eastAsia" w:ascii="宋体" w:hAnsi="宋体" w:eastAsia="宋体"/>
          <w:sz w:val="24"/>
          <w:szCs w:val="24"/>
          <w:u w:val="single"/>
        </w:rPr>
        <w:t>：</w:t>
      </w:r>
    </w:p>
    <w:p w14:paraId="062ED4A6">
      <w:pPr>
        <w:spacing w:line="440" w:lineRule="exact"/>
        <w:ind w:firstLine="360" w:firstLineChars="150"/>
        <w:rPr>
          <w:rFonts w:ascii="宋体" w:hAnsi="宋体" w:eastAsia="宋体"/>
          <w:sz w:val="24"/>
          <w:szCs w:val="24"/>
        </w:rPr>
      </w:pPr>
      <w:r>
        <w:rPr>
          <w:rFonts w:hint="eastAsia" w:ascii="宋体" w:hAnsi="宋体" w:eastAsia="宋体"/>
          <w:sz w:val="24"/>
          <w:szCs w:val="24"/>
        </w:rPr>
        <w:t>依据贵单位</w:t>
      </w:r>
      <w:r>
        <w:rPr>
          <w:rFonts w:hint="eastAsia" w:ascii="宋体" w:hAnsi="宋体" w:eastAsia="宋体"/>
          <w:sz w:val="24"/>
          <w:szCs w:val="24"/>
          <w:u w:val="single"/>
        </w:rPr>
        <w:t>（招标项目名称)</w:t>
      </w:r>
      <w:r>
        <w:rPr>
          <w:rFonts w:hint="eastAsia" w:ascii="宋体" w:hAnsi="宋体" w:eastAsia="宋体"/>
          <w:sz w:val="24"/>
          <w:szCs w:val="24"/>
        </w:rPr>
        <w:t>项目的邀请，我方经仔细阅读和研究，决定参加本项目的投标，并向贵公司承诺：</w:t>
      </w:r>
    </w:p>
    <w:p w14:paraId="59A6B6BC">
      <w:pPr>
        <w:spacing w:line="440" w:lineRule="exact"/>
        <w:ind w:firstLine="480" w:firstLineChars="200"/>
        <w:rPr>
          <w:rFonts w:ascii="宋体" w:hAnsi="宋体" w:eastAsia="宋体"/>
          <w:sz w:val="24"/>
          <w:szCs w:val="24"/>
        </w:rPr>
      </w:pPr>
      <w:r>
        <w:rPr>
          <w:rFonts w:hint="eastAsia" w:ascii="宋体" w:hAnsi="宋体" w:eastAsia="宋体"/>
          <w:sz w:val="24"/>
          <w:szCs w:val="24"/>
        </w:rPr>
        <w:t>1、愿意按照招标文件的一切要求，提供标的项目的所有服务，投标商务响应见《投标响应报价总表》。</w:t>
      </w:r>
    </w:p>
    <w:p w14:paraId="7493FB1C">
      <w:pPr>
        <w:spacing w:line="440" w:lineRule="exact"/>
        <w:ind w:firstLine="480" w:firstLineChars="200"/>
        <w:rPr>
          <w:rFonts w:ascii="宋体" w:hAnsi="宋体" w:eastAsia="宋体"/>
          <w:sz w:val="24"/>
          <w:szCs w:val="24"/>
        </w:rPr>
      </w:pPr>
      <w:r>
        <w:rPr>
          <w:rFonts w:hint="eastAsia" w:ascii="宋体" w:hAnsi="宋体" w:eastAsia="宋体"/>
          <w:sz w:val="24"/>
          <w:szCs w:val="24"/>
        </w:rPr>
        <w:t>2、我方已经详细审查了全部招标文件，我方已完全清晰理解招标文件的要求，不存在任何含糊不清和误解之处，同意放弃对这些文件所提出的异议和质疑的权利。</w:t>
      </w:r>
    </w:p>
    <w:p w14:paraId="259D36B9">
      <w:pPr>
        <w:spacing w:line="440" w:lineRule="exact"/>
        <w:ind w:firstLine="480" w:firstLineChars="200"/>
        <w:rPr>
          <w:rFonts w:ascii="宋体" w:hAnsi="宋体" w:eastAsia="宋体"/>
          <w:sz w:val="24"/>
          <w:szCs w:val="24"/>
        </w:rPr>
      </w:pPr>
      <w:r>
        <w:rPr>
          <w:rFonts w:hint="eastAsia" w:ascii="宋体" w:hAnsi="宋体" w:eastAsia="宋体"/>
          <w:sz w:val="24"/>
          <w:szCs w:val="24"/>
        </w:rPr>
        <w:t>3、我方愿意提供招标采购单位在招标文件中要求的所有资料，并承诺在本次招标响应中提供的一切文件，无论是原件还是复印件均真实有效，绝无任何虚假、伪造和夸大的成份。否则愿承担相应的后果和法律责任。</w:t>
      </w:r>
    </w:p>
    <w:p w14:paraId="5EE9C361">
      <w:pPr>
        <w:spacing w:line="440" w:lineRule="exact"/>
        <w:ind w:firstLine="480" w:firstLineChars="200"/>
        <w:rPr>
          <w:rFonts w:ascii="宋体" w:hAnsi="宋体" w:eastAsia="宋体"/>
          <w:sz w:val="24"/>
          <w:szCs w:val="24"/>
        </w:rPr>
      </w:pPr>
      <w:r>
        <w:rPr>
          <w:rFonts w:hint="eastAsia" w:ascii="宋体" w:hAnsi="宋体" w:eastAsia="宋体"/>
          <w:sz w:val="24"/>
          <w:szCs w:val="24"/>
        </w:rPr>
        <w:t>4、我方同意按招标文件中的规定，我方的响应文件有效期限为项目开标后的90个日历天，如果我方在规定的有效期内撤回响应文件，接受投标保证金被贵方作为投标违约而不予退还的处理。同时我方愿意按招标文件的规定交纳投标保证金，并同意投标人须知中关于没收投标保证金的规定。</w:t>
      </w:r>
    </w:p>
    <w:p w14:paraId="201CAAE0">
      <w:pPr>
        <w:spacing w:line="440" w:lineRule="exact"/>
        <w:ind w:firstLine="480" w:firstLineChars="200"/>
        <w:rPr>
          <w:rFonts w:ascii="宋体" w:hAnsi="宋体" w:eastAsia="宋体"/>
          <w:sz w:val="24"/>
          <w:szCs w:val="24"/>
        </w:rPr>
      </w:pPr>
      <w:r>
        <w:rPr>
          <w:rFonts w:hint="eastAsia" w:ascii="宋体" w:hAnsi="宋体" w:eastAsia="宋体"/>
          <w:sz w:val="24"/>
          <w:szCs w:val="24"/>
        </w:rPr>
        <w:t>5、我方尊重评审小组所作的评定结果，认为你方有权决定</w:t>
      </w:r>
      <w:r>
        <w:rPr>
          <w:rFonts w:hint="eastAsia" w:ascii="宋体" w:hAnsi="宋体" w:eastAsia="宋体"/>
          <w:kern w:val="0"/>
          <w:sz w:val="24"/>
          <w:szCs w:val="24"/>
        </w:rPr>
        <w:t>中标人</w:t>
      </w:r>
      <w:r>
        <w:rPr>
          <w:rFonts w:hint="eastAsia" w:ascii="宋体" w:hAnsi="宋体" w:eastAsia="宋体"/>
          <w:sz w:val="24"/>
          <w:szCs w:val="24"/>
        </w:rPr>
        <w:t>，还认为你方有权接受或拒绝所有的投标人，同时也清楚理解到投标报价最低并非意味着必定获得中标资格。</w:t>
      </w:r>
    </w:p>
    <w:p w14:paraId="5E1521DF">
      <w:pPr>
        <w:spacing w:line="440" w:lineRule="exact"/>
        <w:ind w:firstLine="480" w:firstLineChars="200"/>
        <w:rPr>
          <w:rFonts w:ascii="宋体" w:hAnsi="宋体" w:eastAsia="宋体"/>
          <w:sz w:val="24"/>
          <w:szCs w:val="24"/>
        </w:rPr>
      </w:pPr>
      <w:r>
        <w:rPr>
          <w:rFonts w:hint="eastAsia" w:ascii="宋体" w:hAnsi="宋体" w:eastAsia="宋体"/>
          <w:sz w:val="24"/>
          <w:szCs w:val="24"/>
        </w:rPr>
        <w:t>6、我方同意被确定中标后若不履行我方投标响应文件中的内容要求和各项承诺及义务的即被视为违约，我方中标资格将被取消。</w:t>
      </w:r>
    </w:p>
    <w:p w14:paraId="745506E5">
      <w:pPr>
        <w:spacing w:line="440" w:lineRule="exact"/>
        <w:ind w:firstLine="480" w:firstLineChars="200"/>
        <w:rPr>
          <w:rFonts w:ascii="宋体" w:hAnsi="宋体" w:eastAsia="宋体"/>
          <w:sz w:val="24"/>
          <w:szCs w:val="24"/>
        </w:rPr>
      </w:pPr>
      <w:r>
        <w:rPr>
          <w:rFonts w:hint="eastAsia" w:ascii="宋体" w:hAnsi="宋体" w:eastAsia="宋体"/>
          <w:sz w:val="24"/>
          <w:szCs w:val="24"/>
        </w:rPr>
        <w:t>7、一旦我方中标，我方将根据招标文件的规定，严格履行文件中规定的每一项要求，按期、按质、按量履行合同服务的义务。我方同意我方若有无法按约定条款履行合同或不适当履行合同等行为，采购方有权取消我方的中标资格。</w:t>
      </w:r>
    </w:p>
    <w:p w14:paraId="2D42DDBB">
      <w:pPr>
        <w:spacing w:line="440" w:lineRule="exact"/>
        <w:ind w:firstLine="480" w:firstLineChars="200"/>
        <w:rPr>
          <w:rFonts w:ascii="宋体" w:hAnsi="宋体" w:eastAsia="宋体"/>
          <w:sz w:val="24"/>
          <w:szCs w:val="24"/>
        </w:rPr>
      </w:pPr>
      <w:r>
        <w:rPr>
          <w:rFonts w:hint="eastAsia" w:ascii="宋体" w:hAnsi="宋体" w:eastAsia="宋体"/>
          <w:sz w:val="24"/>
          <w:szCs w:val="24"/>
        </w:rPr>
        <w:t>8、我方愿意遵守招标文件中所列的收费标准。如果我方中标，我方愿意按招标文件的规定支付应缴纳给代理机构的各项费用；</w:t>
      </w:r>
    </w:p>
    <w:p w14:paraId="09DFFDF5">
      <w:pPr>
        <w:spacing w:line="440" w:lineRule="exact"/>
        <w:ind w:firstLine="480" w:firstLineChars="200"/>
        <w:rPr>
          <w:rFonts w:ascii="宋体" w:hAnsi="宋体" w:eastAsia="宋体"/>
          <w:sz w:val="24"/>
          <w:szCs w:val="24"/>
        </w:rPr>
      </w:pPr>
      <w:r>
        <w:rPr>
          <w:rFonts w:hint="eastAsia" w:ascii="宋体" w:hAnsi="宋体" w:eastAsia="宋体"/>
          <w:sz w:val="24"/>
          <w:szCs w:val="24"/>
        </w:rPr>
        <w:t xml:space="preserve">                             投标人：（加盖公章）</w:t>
      </w:r>
    </w:p>
    <w:p w14:paraId="13278218">
      <w:pPr>
        <w:spacing w:line="440" w:lineRule="exact"/>
        <w:ind w:firstLine="2400" w:firstLineChars="1000"/>
        <w:jc w:val="right"/>
        <w:rPr>
          <w:rFonts w:ascii="宋体" w:hAnsi="宋体" w:eastAsia="宋体"/>
          <w:sz w:val="24"/>
          <w:szCs w:val="24"/>
        </w:rPr>
      </w:pPr>
      <w:r>
        <w:rPr>
          <w:rFonts w:hint="eastAsia" w:ascii="宋体" w:hAnsi="宋体" w:eastAsia="宋体"/>
          <w:sz w:val="24"/>
          <w:szCs w:val="24"/>
        </w:rPr>
        <w:t>法定代表人或被授权人：（签字或盖章）</w:t>
      </w:r>
    </w:p>
    <w:p w14:paraId="3FC5067E">
      <w:pPr>
        <w:spacing w:line="440" w:lineRule="exact"/>
        <w:jc w:val="center"/>
        <w:rPr>
          <w:rFonts w:ascii="宋体" w:hAnsi="宋体" w:eastAsia="宋体"/>
          <w:sz w:val="28"/>
          <w:szCs w:val="28"/>
        </w:rPr>
      </w:pPr>
      <w:r>
        <w:rPr>
          <w:rFonts w:hint="eastAsia" w:ascii="宋体" w:hAnsi="宋体" w:eastAsia="宋体"/>
          <w:sz w:val="24"/>
          <w:szCs w:val="24"/>
        </w:rPr>
        <w:t xml:space="preserve">                        日期：二○二五年   月    日</w:t>
      </w:r>
    </w:p>
    <w:p w14:paraId="00A2F0B3">
      <w:pPr>
        <w:pageBreakBefore/>
        <w:snapToGrid w:val="0"/>
        <w:spacing w:line="320" w:lineRule="exact"/>
        <w:ind w:left="1493" w:hanging="1493" w:hangingChars="531"/>
        <w:jc w:val="center"/>
        <w:outlineLvl w:val="2"/>
        <w:rPr>
          <w:rFonts w:ascii="宋体" w:hAnsi="宋体" w:eastAsia="宋体"/>
          <w:b/>
          <w:sz w:val="28"/>
          <w:szCs w:val="28"/>
        </w:rPr>
      </w:pPr>
      <w:r>
        <w:rPr>
          <w:rFonts w:hint="eastAsia" w:ascii="宋体" w:hAnsi="宋体" w:eastAsia="宋体"/>
          <w:b/>
          <w:sz w:val="28"/>
          <w:szCs w:val="28"/>
        </w:rPr>
        <w:t>C、商务标文件（单独密封）</w:t>
      </w:r>
    </w:p>
    <w:p w14:paraId="70C7099E">
      <w:pPr>
        <w:snapToGrid w:val="0"/>
        <w:spacing w:line="320" w:lineRule="exact"/>
        <w:jc w:val="center"/>
        <w:outlineLvl w:val="3"/>
        <w:rPr>
          <w:rFonts w:ascii="宋体" w:hAnsi="宋体" w:eastAsia="宋体"/>
          <w:b/>
          <w:sz w:val="28"/>
          <w:szCs w:val="28"/>
        </w:rPr>
      </w:pPr>
    </w:p>
    <w:p w14:paraId="0DF385E5">
      <w:pPr>
        <w:snapToGrid w:val="0"/>
        <w:spacing w:line="320" w:lineRule="exact"/>
        <w:jc w:val="center"/>
        <w:outlineLvl w:val="3"/>
        <w:rPr>
          <w:rFonts w:ascii="宋体" w:hAnsi="宋体" w:eastAsia="宋体"/>
          <w:b/>
          <w:bCs/>
          <w:sz w:val="28"/>
          <w:szCs w:val="28"/>
        </w:rPr>
      </w:pPr>
      <w:r>
        <w:rPr>
          <w:rFonts w:ascii="宋体" w:hAnsi="宋体" w:eastAsia="宋体"/>
          <w:b/>
          <w:sz w:val="28"/>
          <w:szCs w:val="28"/>
        </w:rPr>
        <w:t>1</w:t>
      </w:r>
      <w:r>
        <w:rPr>
          <w:rFonts w:hint="eastAsia" w:ascii="宋体" w:hAnsi="宋体" w:eastAsia="宋体"/>
          <w:b/>
          <w:sz w:val="28"/>
          <w:szCs w:val="28"/>
        </w:rPr>
        <w:t>、</w:t>
      </w:r>
      <w:r>
        <w:rPr>
          <w:rFonts w:hint="eastAsia" w:ascii="宋体" w:hAnsi="宋体" w:eastAsia="宋体"/>
          <w:b/>
          <w:bCs/>
          <w:sz w:val="28"/>
          <w:szCs w:val="28"/>
        </w:rPr>
        <w:t>投标响应报价总表</w:t>
      </w:r>
    </w:p>
    <w:tbl>
      <w:tblPr>
        <w:tblStyle w:val="6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6539"/>
      </w:tblGrid>
      <w:tr w14:paraId="151B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6309D166">
            <w:pPr>
              <w:spacing w:line="480" w:lineRule="exact"/>
              <w:jc w:val="center"/>
              <w:rPr>
                <w:rFonts w:ascii="宋体" w:hAnsi="宋体" w:eastAsia="宋体" w:cs="宋体"/>
                <w:b/>
                <w:bCs/>
                <w:sz w:val="24"/>
              </w:rPr>
            </w:pPr>
            <w:r>
              <w:rPr>
                <w:rFonts w:hint="eastAsia" w:ascii="宋体" w:hAnsi="宋体" w:eastAsia="宋体" w:cs="宋体"/>
                <w:b/>
                <w:bCs/>
                <w:sz w:val="24"/>
              </w:rPr>
              <w:t>项目名称</w:t>
            </w:r>
          </w:p>
        </w:tc>
        <w:tc>
          <w:tcPr>
            <w:tcW w:w="6539" w:type="dxa"/>
            <w:tcBorders>
              <w:top w:val="single" w:color="auto" w:sz="4" w:space="0"/>
              <w:left w:val="single" w:color="auto" w:sz="4" w:space="0"/>
              <w:bottom w:val="single" w:color="auto" w:sz="4" w:space="0"/>
              <w:right w:val="single" w:color="auto" w:sz="4" w:space="0"/>
            </w:tcBorders>
            <w:vAlign w:val="center"/>
          </w:tcPr>
          <w:p w14:paraId="0AB32195">
            <w:pPr>
              <w:spacing w:line="480" w:lineRule="exact"/>
              <w:jc w:val="center"/>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南通天一置业有限公司安置房衡通嘉苑、外滩雅苑、任港嘉苑、悦泰花园销售结算服务合作单位选聘项目</w:t>
            </w:r>
          </w:p>
        </w:tc>
      </w:tr>
      <w:tr w14:paraId="6EC0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14:paraId="0D34EA04">
            <w:pPr>
              <w:spacing w:line="480" w:lineRule="exact"/>
              <w:jc w:val="center"/>
              <w:rPr>
                <w:rFonts w:ascii="宋体" w:hAnsi="宋体" w:eastAsia="宋体" w:cs="宋体"/>
                <w:b/>
                <w:bCs/>
                <w:sz w:val="24"/>
              </w:rPr>
            </w:pPr>
            <w:r>
              <w:rPr>
                <w:rFonts w:hint="eastAsia" w:ascii="宋体" w:hAnsi="宋体" w:eastAsia="宋体" w:cs="宋体"/>
                <w:b/>
                <w:bCs/>
                <w:sz w:val="24"/>
              </w:rPr>
              <w:t>投标单价</w:t>
            </w:r>
          </w:p>
        </w:tc>
        <w:tc>
          <w:tcPr>
            <w:tcW w:w="6539" w:type="dxa"/>
            <w:tcBorders>
              <w:top w:val="single" w:color="auto" w:sz="4" w:space="0"/>
              <w:left w:val="single" w:color="auto" w:sz="4" w:space="0"/>
              <w:bottom w:val="single" w:color="auto" w:sz="4" w:space="0"/>
              <w:right w:val="single" w:color="auto" w:sz="4" w:space="0"/>
            </w:tcBorders>
            <w:vAlign w:val="center"/>
          </w:tcPr>
          <w:p w14:paraId="5C70935C">
            <w:pPr>
              <w:spacing w:line="48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（大写）每平方米人民币              。</w:t>
            </w:r>
          </w:p>
          <w:p w14:paraId="42025692">
            <w:pPr>
              <w:spacing w:line="480" w:lineRule="exac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（小写）¥          </w:t>
            </w:r>
            <w:r>
              <w:rPr>
                <w:rFonts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rPr>
              <w:t xml:space="preserve">    （元/㎡）。</w:t>
            </w:r>
          </w:p>
        </w:tc>
      </w:tr>
      <w:tr w14:paraId="55A75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1980" w:type="dxa"/>
            <w:tcBorders>
              <w:left w:val="single" w:color="auto" w:sz="4" w:space="0"/>
              <w:bottom w:val="single" w:color="auto" w:sz="4" w:space="0"/>
              <w:right w:val="single" w:color="auto" w:sz="4" w:space="0"/>
            </w:tcBorders>
            <w:vAlign w:val="center"/>
          </w:tcPr>
          <w:p w14:paraId="2170AA64">
            <w:pPr>
              <w:spacing w:line="360" w:lineRule="exact"/>
              <w:jc w:val="center"/>
              <w:rPr>
                <w:rFonts w:ascii="宋体" w:hAnsi="宋体" w:eastAsia="宋体" w:cs="宋体"/>
                <w:b/>
                <w:bCs/>
                <w:sz w:val="24"/>
              </w:rPr>
            </w:pPr>
            <w:r>
              <w:rPr>
                <w:rFonts w:hint="eastAsia" w:ascii="宋体" w:hAnsi="宋体" w:eastAsia="宋体" w:cs="宋体"/>
                <w:b/>
                <w:bCs/>
                <w:sz w:val="24"/>
              </w:rPr>
              <w:t>后期财务结算借用人员服务费</w:t>
            </w:r>
          </w:p>
        </w:tc>
        <w:tc>
          <w:tcPr>
            <w:tcW w:w="6539" w:type="dxa"/>
            <w:tcBorders>
              <w:top w:val="single" w:color="auto" w:sz="4" w:space="0"/>
              <w:left w:val="single" w:color="auto" w:sz="4" w:space="0"/>
              <w:bottom w:val="single" w:color="auto" w:sz="4" w:space="0"/>
              <w:right w:val="single" w:color="auto" w:sz="4" w:space="0"/>
            </w:tcBorders>
            <w:vAlign w:val="center"/>
          </w:tcPr>
          <w:p w14:paraId="7A457506">
            <w:pPr>
              <w:spacing w:line="360" w:lineRule="auto"/>
              <w:rPr>
                <w:rFonts w:ascii="宋体" w:hAnsi="宋体" w:eastAsia="宋体"/>
                <w:b/>
                <w:bCs/>
                <w:sz w:val="24"/>
                <w:szCs w:val="24"/>
              </w:rPr>
            </w:pPr>
            <w:r>
              <w:rPr>
                <w:rFonts w:hint="eastAsia" w:ascii="宋体" w:hAnsi="宋体" w:eastAsia="宋体"/>
                <w:b/>
                <w:bCs/>
                <w:sz w:val="24"/>
                <w:szCs w:val="24"/>
                <w:u w:val="single"/>
              </w:rPr>
              <w:t>360元/人/天</w:t>
            </w:r>
          </w:p>
        </w:tc>
      </w:tr>
    </w:tbl>
    <w:p w14:paraId="402F6695">
      <w:pPr>
        <w:kinsoku w:val="0"/>
        <w:topLinePunct/>
        <w:snapToGrid w:val="0"/>
        <w:spacing w:line="520" w:lineRule="exact"/>
        <w:rPr>
          <w:rFonts w:ascii="宋体" w:hAnsi="宋体" w:eastAsia="宋体" w:cs="宋体"/>
          <w:sz w:val="24"/>
          <w:szCs w:val="24"/>
        </w:rPr>
      </w:pPr>
      <w:r>
        <w:rPr>
          <w:rFonts w:hint="eastAsia" w:ascii="宋体" w:hAnsi="宋体" w:eastAsia="宋体" w:cs="宋体"/>
          <w:sz w:val="24"/>
          <w:szCs w:val="24"/>
        </w:rPr>
        <w:t xml:space="preserve">投标人：（盖章）             </w:t>
      </w:r>
    </w:p>
    <w:p w14:paraId="7115B8FD">
      <w:pPr>
        <w:kinsoku w:val="0"/>
        <w:topLinePunct/>
        <w:snapToGrid w:val="0"/>
        <w:spacing w:line="520" w:lineRule="exact"/>
        <w:rPr>
          <w:rFonts w:ascii="宋体" w:hAnsi="宋体" w:eastAsia="宋体" w:cs="宋体"/>
          <w:sz w:val="24"/>
          <w:szCs w:val="24"/>
        </w:rPr>
      </w:pPr>
      <w:r>
        <w:rPr>
          <w:rFonts w:hint="eastAsia" w:ascii="宋体" w:hAnsi="宋体" w:eastAsia="宋体" w:cs="宋体"/>
          <w:sz w:val="24"/>
          <w:szCs w:val="24"/>
        </w:rPr>
        <w:t>法定代表人或被授权人（签字或盖章）：</w:t>
      </w:r>
    </w:p>
    <w:p w14:paraId="72FECB56">
      <w:pPr>
        <w:kinsoku w:val="0"/>
        <w:topLinePunct/>
        <w:snapToGrid w:val="0"/>
        <w:spacing w:line="520" w:lineRule="exact"/>
        <w:rPr>
          <w:rFonts w:ascii="宋体" w:hAnsi="宋体" w:eastAsia="宋体" w:cs="宋体"/>
          <w:b/>
          <w:bCs/>
          <w:sz w:val="24"/>
          <w:szCs w:val="24"/>
        </w:rPr>
      </w:pPr>
      <w:r>
        <w:rPr>
          <w:rFonts w:hint="eastAsia" w:ascii="宋体" w:hAnsi="宋体" w:eastAsia="宋体" w:cs="宋体"/>
          <w:sz w:val="24"/>
          <w:szCs w:val="24"/>
        </w:rPr>
        <w:t>日期：</w:t>
      </w:r>
    </w:p>
    <w:p w14:paraId="328F601D">
      <w:pPr>
        <w:spacing w:line="360" w:lineRule="auto"/>
        <w:ind w:firstLine="496" w:firstLineChars="206"/>
        <w:rPr>
          <w:rFonts w:ascii="宋体" w:hAnsi="宋体" w:eastAsia="宋体" w:cs="宋体"/>
          <w:b/>
          <w:bCs/>
          <w:sz w:val="24"/>
          <w:szCs w:val="24"/>
        </w:rPr>
      </w:pPr>
    </w:p>
    <w:p w14:paraId="4EA7FF2A">
      <w:pPr>
        <w:spacing w:line="360" w:lineRule="auto"/>
        <w:ind w:firstLine="496" w:firstLineChars="206"/>
        <w:rPr>
          <w:rFonts w:ascii="宋体" w:hAnsi="宋体" w:eastAsia="宋体" w:cs="宋体"/>
          <w:b/>
          <w:bCs/>
          <w:sz w:val="24"/>
          <w:szCs w:val="24"/>
        </w:rPr>
      </w:pPr>
      <w:r>
        <w:rPr>
          <w:rFonts w:hint="eastAsia" w:ascii="宋体" w:hAnsi="宋体" w:eastAsia="宋体" w:cs="宋体"/>
          <w:b/>
          <w:bCs/>
          <w:sz w:val="24"/>
          <w:szCs w:val="24"/>
        </w:rPr>
        <w:t>注：</w:t>
      </w:r>
    </w:p>
    <w:p w14:paraId="4C33B1DA">
      <w:pPr>
        <w:numPr>
          <w:ilvl w:val="0"/>
          <w:numId w:val="4"/>
        </w:numPr>
        <w:spacing w:line="360" w:lineRule="auto"/>
        <w:ind w:left="0" w:firstLine="482" w:firstLineChars="200"/>
        <w:rPr>
          <w:rFonts w:ascii="宋体" w:hAnsi="宋体" w:eastAsia="宋体" w:cs="宋体"/>
          <w:b/>
          <w:bCs/>
          <w:sz w:val="24"/>
          <w:szCs w:val="24"/>
        </w:rPr>
      </w:pPr>
      <w:r>
        <w:rPr>
          <w:rFonts w:hint="eastAsia" w:ascii="宋体" w:hAnsi="宋体" w:eastAsia="宋体" w:cs="宋体"/>
          <w:b/>
          <w:bCs/>
          <w:sz w:val="24"/>
          <w:szCs w:val="24"/>
        </w:rPr>
        <w:t>本表为格式表，不得自行改动，必须提供。</w:t>
      </w:r>
    </w:p>
    <w:p w14:paraId="11239B1A">
      <w:pPr>
        <w:numPr>
          <w:ilvl w:val="0"/>
          <w:numId w:val="4"/>
        </w:numPr>
        <w:spacing w:line="360" w:lineRule="auto"/>
        <w:ind w:left="0" w:firstLine="482" w:firstLineChars="200"/>
        <w:rPr>
          <w:rFonts w:ascii="宋体" w:hAnsi="宋体" w:eastAsia="宋体" w:cs="宋体"/>
          <w:b/>
          <w:bCs/>
          <w:sz w:val="24"/>
          <w:szCs w:val="24"/>
        </w:rPr>
      </w:pPr>
      <w:r>
        <w:rPr>
          <w:rFonts w:hint="eastAsia" w:ascii="宋体" w:hAnsi="宋体" w:eastAsia="宋体" w:cs="宋体"/>
          <w:b/>
          <w:bCs/>
          <w:sz w:val="24"/>
          <w:szCs w:val="24"/>
        </w:rPr>
        <w:t>投标报价应包含完成本次项目所有的设备使用费、材料费、人员培训费用、税费、售后服务、为完成本项目所必须的其他辅助工作的相关费用等所有费用，即项目履行到项目执行结束的过程中所发生的一切费用及招标文件要求的所有费用。</w:t>
      </w:r>
    </w:p>
    <w:p w14:paraId="0EFB561D">
      <w:pPr>
        <w:numPr>
          <w:ilvl w:val="0"/>
          <w:numId w:val="4"/>
        </w:numPr>
        <w:spacing w:line="360" w:lineRule="auto"/>
        <w:ind w:left="0" w:firstLine="482" w:firstLineChars="200"/>
        <w:rPr>
          <w:rFonts w:ascii="宋体" w:hAnsi="宋体" w:eastAsia="宋体" w:cs="宋体"/>
          <w:b/>
          <w:bCs/>
          <w:sz w:val="24"/>
          <w:szCs w:val="24"/>
        </w:rPr>
      </w:pPr>
      <w:r>
        <w:rPr>
          <w:rFonts w:hint="eastAsia" w:ascii="宋体" w:hAnsi="宋体" w:eastAsia="宋体" w:cs="宋体"/>
          <w:b/>
          <w:bCs/>
          <w:sz w:val="24"/>
          <w:szCs w:val="24"/>
        </w:rPr>
        <w:t>投标人必须按表中规定格式完整、清晰、正确填写，否则，视为无效响应。</w:t>
      </w:r>
    </w:p>
    <w:p w14:paraId="33CC784A">
      <w:pPr>
        <w:numPr>
          <w:ilvl w:val="0"/>
          <w:numId w:val="4"/>
        </w:numPr>
        <w:spacing w:line="360" w:lineRule="auto"/>
        <w:ind w:left="0" w:firstLine="482" w:firstLineChars="200"/>
        <w:rPr>
          <w:rFonts w:ascii="宋体" w:hAnsi="宋体" w:eastAsia="宋体" w:cs="宋体"/>
          <w:b/>
          <w:bCs/>
          <w:sz w:val="24"/>
          <w:szCs w:val="24"/>
        </w:rPr>
      </w:pPr>
      <w:r>
        <w:rPr>
          <w:rFonts w:hint="eastAsia" w:ascii="宋体" w:hAnsi="宋体" w:eastAsia="宋体" w:cs="宋体"/>
          <w:b/>
          <w:bCs/>
          <w:sz w:val="24"/>
          <w:szCs w:val="24"/>
        </w:rPr>
        <w:t>投标响应报价总表中不得填报有选择性报价方案，招标人仅接受一个价格。</w:t>
      </w:r>
    </w:p>
    <w:p w14:paraId="691DDE82">
      <w:pPr>
        <w:pStyle w:val="2"/>
      </w:pPr>
    </w:p>
    <w:p w14:paraId="6BCA4F26">
      <w:pPr>
        <w:snapToGrid w:val="0"/>
        <w:spacing w:line="320" w:lineRule="exact"/>
        <w:outlineLvl w:val="3"/>
      </w:pPr>
    </w:p>
    <w:sectPr>
      <w:headerReference r:id="rId3" w:type="first"/>
      <w:footerReference r:id="rId4" w:type="default"/>
      <w:pgSz w:w="11906" w:h="16838"/>
      <w:pgMar w:top="1440" w:right="1797" w:bottom="1440" w:left="1797" w:header="851" w:footer="176" w:gutter="0"/>
      <w:cols w:space="720" w:num="1"/>
      <w:titlePg/>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Malgun Gothic Semilight"/>
    <w:panose1 w:val="00000000000000000000"/>
    <w:charset w:val="86"/>
    <w:family w:val="auto"/>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创艺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7ED62">
    <w:pPr>
      <w:pStyle w:val="40"/>
      <w:jc w:val="center"/>
    </w:pPr>
  </w:p>
  <w:p w14:paraId="5A848C83">
    <w:pPr>
      <w:pStyle w:val="40"/>
      <w:jc w:val="center"/>
    </w:pPr>
    <w:r>
      <w:rPr>
        <w:rFonts w:hint="eastAsia"/>
      </w:rPr>
      <w:t>【第</w:t>
    </w:r>
    <w:r>
      <w:rPr>
        <w:b/>
        <w:bCs/>
      </w:rPr>
      <w:fldChar w:fldCharType="begin"/>
    </w:r>
    <w:r>
      <w:rPr>
        <w:b/>
        <w:bCs/>
      </w:rPr>
      <w:instrText xml:space="preserve">PAGE</w:instrText>
    </w:r>
    <w:r>
      <w:rPr>
        <w:b/>
        <w:bCs/>
      </w:rPr>
      <w:fldChar w:fldCharType="separate"/>
    </w:r>
    <w:r>
      <w:rPr>
        <w:b/>
        <w:bCs/>
      </w:rPr>
      <w:t>38</w:t>
    </w:r>
    <w:r>
      <w:rPr>
        <w:b/>
        <w:bCs/>
      </w:rPr>
      <w:fldChar w:fldCharType="end"/>
    </w:r>
    <w:r>
      <w:rPr>
        <w:rFonts w:hint="eastAsia"/>
        <w:lang w:val="zh-CN"/>
      </w:rPr>
      <w:t>页</w:t>
    </w:r>
    <w:r>
      <w:rPr>
        <w:lang w:val="zh-CN"/>
      </w:rPr>
      <w:t>/</w:t>
    </w:r>
    <w:r>
      <w:rPr>
        <w:rFonts w:hint="eastAsia"/>
        <w:lang w:val="zh-CN"/>
      </w:rPr>
      <w:t>共</w:t>
    </w:r>
    <w:r>
      <w:rPr>
        <w:b/>
        <w:bCs/>
      </w:rPr>
      <w:fldChar w:fldCharType="begin"/>
    </w:r>
    <w:r>
      <w:rPr>
        <w:b/>
        <w:bCs/>
      </w:rPr>
      <w:instrText xml:space="preserve">NUMPAGES</w:instrText>
    </w:r>
    <w:r>
      <w:rPr>
        <w:b/>
        <w:bCs/>
      </w:rPr>
      <w:fldChar w:fldCharType="separate"/>
    </w:r>
    <w:r>
      <w:rPr>
        <w:b/>
        <w:bCs/>
      </w:rPr>
      <w:t>38</w:t>
    </w:r>
    <w:r>
      <w:rPr>
        <w:b/>
        <w:bCs/>
      </w:rPr>
      <w:fldChar w:fldCharType="end"/>
    </w:r>
    <w:r>
      <w:rPr>
        <w:rFonts w:hint="eastAsia"/>
        <w:lang w:val="zh-CN"/>
      </w:rPr>
      <w:t>页】</w:t>
    </w:r>
  </w:p>
  <w:p w14:paraId="09322ECD">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A79CF">
    <w:pPr>
      <w:pStyle w:val="41"/>
      <w:tabs>
        <w:tab w:val="center" w:pos="0"/>
        <w:tab w:val="clear" w:pos="4153"/>
        <w:tab w:val="clear" w:pos="8306"/>
      </w:tabs>
      <w:ind w:right="360"/>
      <w:jc w:val="both"/>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DC1A31"/>
    <w:multiLevelType w:val="singleLevel"/>
    <w:tmpl w:val="F5DC1A31"/>
    <w:lvl w:ilvl="0" w:tentative="0">
      <w:start w:val="1"/>
      <w:numFmt w:val="decimal"/>
      <w:lvlText w:val="%1."/>
      <w:lvlJc w:val="left"/>
      <w:pPr>
        <w:ind w:left="425" w:hanging="425"/>
      </w:pPr>
      <w:rPr>
        <w:rFonts w:hint="default"/>
      </w:rPr>
    </w:lvl>
  </w:abstractNum>
  <w:abstractNum w:abstractNumId="1">
    <w:nsid w:val="00000004"/>
    <w:multiLevelType w:val="multilevel"/>
    <w:tmpl w:val="00000004"/>
    <w:lvl w:ilvl="0" w:tentative="0">
      <w:start w:val="1"/>
      <w:numFmt w:val="bullet"/>
      <w:pStyle w:val="15"/>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2">
    <w:nsid w:val="00000025"/>
    <w:multiLevelType w:val="multilevel"/>
    <w:tmpl w:val="00000025"/>
    <w:lvl w:ilvl="0" w:tentative="0">
      <w:start w:val="1"/>
      <w:numFmt w:val="decimal"/>
      <w:lvlText w:val="%1"/>
      <w:lvlJc w:val="left"/>
      <w:pPr>
        <w:tabs>
          <w:tab w:val="left" w:pos="432"/>
        </w:tabs>
        <w:ind w:left="432" w:hanging="432"/>
      </w:pPr>
      <w:rPr>
        <w:rFonts w:cs="Times New Roman"/>
      </w:rPr>
    </w:lvl>
    <w:lvl w:ilvl="1" w:tentative="0">
      <w:start w:val="1"/>
      <w:numFmt w:val="decimal"/>
      <w:lvlText w:val="%1.%2"/>
      <w:lvlJc w:val="left"/>
      <w:pPr>
        <w:tabs>
          <w:tab w:val="left" w:pos="576"/>
        </w:tabs>
        <w:ind w:left="576" w:hanging="576"/>
      </w:pPr>
      <w:rPr>
        <w:rFonts w:cs="Times New Roman"/>
      </w:rPr>
    </w:lvl>
    <w:lvl w:ilvl="2" w:tentative="0">
      <w:start w:val="1"/>
      <w:numFmt w:val="decimal"/>
      <w:lvlText w:val="%1.%2.%3"/>
      <w:lvlJc w:val="left"/>
      <w:pPr>
        <w:tabs>
          <w:tab w:val="left" w:pos="720"/>
        </w:tabs>
        <w:ind w:left="720" w:hanging="720"/>
      </w:pPr>
      <w:rPr>
        <w:rFonts w:cs="Times New Roman"/>
      </w:rPr>
    </w:lvl>
    <w:lvl w:ilvl="3" w:tentative="0">
      <w:start w:val="1"/>
      <w:numFmt w:val="decimal"/>
      <w:lvlText w:val="%1.%2.%3.%4"/>
      <w:lvlJc w:val="left"/>
      <w:pPr>
        <w:tabs>
          <w:tab w:val="left" w:pos="864"/>
        </w:tabs>
        <w:ind w:left="864" w:hanging="864"/>
      </w:pPr>
      <w:rPr>
        <w:rFonts w:cs="Times New Roman"/>
      </w:rPr>
    </w:lvl>
    <w:lvl w:ilvl="4" w:tentative="0">
      <w:start w:val="1"/>
      <w:numFmt w:val="decimal"/>
      <w:pStyle w:val="7"/>
      <w:lvlText w:val="%1.%2.%3.%4.%5"/>
      <w:lvlJc w:val="left"/>
      <w:pPr>
        <w:tabs>
          <w:tab w:val="left" w:pos="1008"/>
        </w:tabs>
        <w:ind w:left="1008" w:hanging="1008"/>
      </w:pPr>
      <w:rPr>
        <w:rFonts w:cs="Times New Roman"/>
      </w:rPr>
    </w:lvl>
    <w:lvl w:ilvl="5" w:tentative="0">
      <w:start w:val="1"/>
      <w:numFmt w:val="decimal"/>
      <w:pStyle w:val="9"/>
      <w:lvlText w:val="%1.%2.%3.%4.%5.%6"/>
      <w:lvlJc w:val="left"/>
      <w:pPr>
        <w:tabs>
          <w:tab w:val="left" w:pos="1152"/>
        </w:tabs>
        <w:ind w:left="1152" w:hanging="1152"/>
      </w:pPr>
      <w:rPr>
        <w:rFonts w:cs="Times New Roman"/>
      </w:rPr>
    </w:lvl>
    <w:lvl w:ilvl="6" w:tentative="0">
      <w:start w:val="1"/>
      <w:numFmt w:val="decimal"/>
      <w:pStyle w:val="10"/>
      <w:lvlText w:val="%1.%2.%3.%4.%5.%6.%7"/>
      <w:lvlJc w:val="left"/>
      <w:pPr>
        <w:tabs>
          <w:tab w:val="left" w:pos="1296"/>
        </w:tabs>
        <w:ind w:left="1296" w:hanging="1296"/>
      </w:pPr>
      <w:rPr>
        <w:rFonts w:cs="Times New Roman"/>
      </w:rPr>
    </w:lvl>
    <w:lvl w:ilvl="7" w:tentative="0">
      <w:start w:val="1"/>
      <w:numFmt w:val="decimal"/>
      <w:pStyle w:val="11"/>
      <w:lvlText w:val="%1.%2.%3.%4.%5.%6.%7.%8"/>
      <w:lvlJc w:val="left"/>
      <w:pPr>
        <w:tabs>
          <w:tab w:val="left" w:pos="1440"/>
        </w:tabs>
        <w:ind w:left="1440" w:hanging="1440"/>
      </w:pPr>
      <w:rPr>
        <w:rFonts w:cs="Times New Roman"/>
      </w:rPr>
    </w:lvl>
    <w:lvl w:ilvl="8" w:tentative="0">
      <w:start w:val="1"/>
      <w:numFmt w:val="decimal"/>
      <w:pStyle w:val="12"/>
      <w:lvlText w:val="%1.%2.%3.%4.%5.%6.%7.%8.%9"/>
      <w:lvlJc w:val="left"/>
      <w:pPr>
        <w:tabs>
          <w:tab w:val="left" w:pos="1584"/>
        </w:tabs>
        <w:ind w:left="1584" w:hanging="1584"/>
      </w:pPr>
      <w:rPr>
        <w:rFonts w:cs="Times New Roman"/>
      </w:rPr>
    </w:lvl>
  </w:abstractNum>
  <w:abstractNum w:abstractNumId="3">
    <w:nsid w:val="1FB7404E"/>
    <w:multiLevelType w:val="singleLevel"/>
    <w:tmpl w:val="1FB7404E"/>
    <w:lvl w:ilvl="0" w:tentative="0">
      <w:start w:val="3"/>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5"/>
  <w:drawingGridHorizontalSpacing w:val="117"/>
  <w:drawingGridVerticalSpacing w:val="190"/>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lNmU4ZDRhMzFiYmFkYzNlMjAwOTU1NWNjODY2MGMifQ=="/>
  </w:docVars>
  <w:rsids>
    <w:rsidRoot w:val="00172A27"/>
    <w:rsid w:val="00002C29"/>
    <w:rsid w:val="00003F98"/>
    <w:rsid w:val="00005023"/>
    <w:rsid w:val="00005A80"/>
    <w:rsid w:val="00010040"/>
    <w:rsid w:val="00017C8D"/>
    <w:rsid w:val="00021552"/>
    <w:rsid w:val="000215F2"/>
    <w:rsid w:val="00026EC9"/>
    <w:rsid w:val="000427A7"/>
    <w:rsid w:val="00045EFB"/>
    <w:rsid w:val="00052E22"/>
    <w:rsid w:val="000660BD"/>
    <w:rsid w:val="00067BA7"/>
    <w:rsid w:val="00067D7B"/>
    <w:rsid w:val="00071471"/>
    <w:rsid w:val="00071AF2"/>
    <w:rsid w:val="00071DB6"/>
    <w:rsid w:val="0007426E"/>
    <w:rsid w:val="0007572A"/>
    <w:rsid w:val="00077A58"/>
    <w:rsid w:val="0008498F"/>
    <w:rsid w:val="00085CF6"/>
    <w:rsid w:val="00095177"/>
    <w:rsid w:val="000A14D3"/>
    <w:rsid w:val="000A1C52"/>
    <w:rsid w:val="000A7409"/>
    <w:rsid w:val="000B707F"/>
    <w:rsid w:val="000C2772"/>
    <w:rsid w:val="000C7086"/>
    <w:rsid w:val="000D023B"/>
    <w:rsid w:val="000D4881"/>
    <w:rsid w:val="000D6209"/>
    <w:rsid w:val="000E4791"/>
    <w:rsid w:val="000E47A9"/>
    <w:rsid w:val="000E4E6F"/>
    <w:rsid w:val="000E6DE0"/>
    <w:rsid w:val="000E7211"/>
    <w:rsid w:val="000F63B3"/>
    <w:rsid w:val="000F6676"/>
    <w:rsid w:val="00100A10"/>
    <w:rsid w:val="00101BE7"/>
    <w:rsid w:val="00101D5B"/>
    <w:rsid w:val="001042B2"/>
    <w:rsid w:val="00107932"/>
    <w:rsid w:val="00111DB9"/>
    <w:rsid w:val="00112C27"/>
    <w:rsid w:val="0011375E"/>
    <w:rsid w:val="0011678F"/>
    <w:rsid w:val="00120AD5"/>
    <w:rsid w:val="0013062A"/>
    <w:rsid w:val="00134EFD"/>
    <w:rsid w:val="0014027E"/>
    <w:rsid w:val="00144BEF"/>
    <w:rsid w:val="00145E08"/>
    <w:rsid w:val="00153B96"/>
    <w:rsid w:val="00162212"/>
    <w:rsid w:val="001643B5"/>
    <w:rsid w:val="00171F4C"/>
    <w:rsid w:val="00172A27"/>
    <w:rsid w:val="00183516"/>
    <w:rsid w:val="001838ED"/>
    <w:rsid w:val="0018472B"/>
    <w:rsid w:val="001865FD"/>
    <w:rsid w:val="001904B1"/>
    <w:rsid w:val="001910FF"/>
    <w:rsid w:val="001925E4"/>
    <w:rsid w:val="001A1719"/>
    <w:rsid w:val="001A4833"/>
    <w:rsid w:val="001A6895"/>
    <w:rsid w:val="001B12A9"/>
    <w:rsid w:val="001B29EC"/>
    <w:rsid w:val="001C38CA"/>
    <w:rsid w:val="001E0327"/>
    <w:rsid w:val="001E053B"/>
    <w:rsid w:val="001F1961"/>
    <w:rsid w:val="001F5829"/>
    <w:rsid w:val="002041A6"/>
    <w:rsid w:val="00207697"/>
    <w:rsid w:val="002144E5"/>
    <w:rsid w:val="00217E83"/>
    <w:rsid w:val="00221BE2"/>
    <w:rsid w:val="00223D75"/>
    <w:rsid w:val="002244F5"/>
    <w:rsid w:val="00232078"/>
    <w:rsid w:val="00234357"/>
    <w:rsid w:val="00237C3A"/>
    <w:rsid w:val="00240A64"/>
    <w:rsid w:val="0024130A"/>
    <w:rsid w:val="00241AF0"/>
    <w:rsid w:val="002507AB"/>
    <w:rsid w:val="00256AE0"/>
    <w:rsid w:val="002663AD"/>
    <w:rsid w:val="00270BD1"/>
    <w:rsid w:val="0027696E"/>
    <w:rsid w:val="002771E4"/>
    <w:rsid w:val="00290B19"/>
    <w:rsid w:val="002935F7"/>
    <w:rsid w:val="002A6E5D"/>
    <w:rsid w:val="002B293A"/>
    <w:rsid w:val="002B344C"/>
    <w:rsid w:val="002B37D0"/>
    <w:rsid w:val="002B3F50"/>
    <w:rsid w:val="002B4A5E"/>
    <w:rsid w:val="002B4D43"/>
    <w:rsid w:val="002C5D1A"/>
    <w:rsid w:val="002C72B1"/>
    <w:rsid w:val="002D1436"/>
    <w:rsid w:val="002D2863"/>
    <w:rsid w:val="002E51FE"/>
    <w:rsid w:val="002F058B"/>
    <w:rsid w:val="002F11E8"/>
    <w:rsid w:val="002F2D92"/>
    <w:rsid w:val="002F5F03"/>
    <w:rsid w:val="002F7AF7"/>
    <w:rsid w:val="00301E93"/>
    <w:rsid w:val="0031119A"/>
    <w:rsid w:val="00312B03"/>
    <w:rsid w:val="0031572A"/>
    <w:rsid w:val="0032066C"/>
    <w:rsid w:val="00321A89"/>
    <w:rsid w:val="003229AD"/>
    <w:rsid w:val="00332154"/>
    <w:rsid w:val="00336111"/>
    <w:rsid w:val="00340E62"/>
    <w:rsid w:val="003411DF"/>
    <w:rsid w:val="0034266C"/>
    <w:rsid w:val="0034718A"/>
    <w:rsid w:val="00350C88"/>
    <w:rsid w:val="0035261B"/>
    <w:rsid w:val="00352E82"/>
    <w:rsid w:val="00356025"/>
    <w:rsid w:val="00364780"/>
    <w:rsid w:val="00366800"/>
    <w:rsid w:val="003758E3"/>
    <w:rsid w:val="00380B0B"/>
    <w:rsid w:val="00391326"/>
    <w:rsid w:val="00393840"/>
    <w:rsid w:val="00393AFF"/>
    <w:rsid w:val="00393E62"/>
    <w:rsid w:val="0039665B"/>
    <w:rsid w:val="003A1357"/>
    <w:rsid w:val="003A1516"/>
    <w:rsid w:val="003A2DCF"/>
    <w:rsid w:val="003B0926"/>
    <w:rsid w:val="003B6475"/>
    <w:rsid w:val="003C32AF"/>
    <w:rsid w:val="003C706C"/>
    <w:rsid w:val="003D0404"/>
    <w:rsid w:val="003D06A1"/>
    <w:rsid w:val="003D1227"/>
    <w:rsid w:val="003D2048"/>
    <w:rsid w:val="003D4C9A"/>
    <w:rsid w:val="003E19A8"/>
    <w:rsid w:val="003E2523"/>
    <w:rsid w:val="003E7CFE"/>
    <w:rsid w:val="003F03B5"/>
    <w:rsid w:val="003F0C35"/>
    <w:rsid w:val="003F0DB7"/>
    <w:rsid w:val="003F1B0E"/>
    <w:rsid w:val="003F5827"/>
    <w:rsid w:val="003F66E3"/>
    <w:rsid w:val="004051C4"/>
    <w:rsid w:val="004160B5"/>
    <w:rsid w:val="004161DC"/>
    <w:rsid w:val="00422787"/>
    <w:rsid w:val="00423B76"/>
    <w:rsid w:val="00426045"/>
    <w:rsid w:val="00427D08"/>
    <w:rsid w:val="00431F17"/>
    <w:rsid w:val="00433FEE"/>
    <w:rsid w:val="004362B7"/>
    <w:rsid w:val="0044076B"/>
    <w:rsid w:val="00442942"/>
    <w:rsid w:val="00445122"/>
    <w:rsid w:val="004453C9"/>
    <w:rsid w:val="00445EA0"/>
    <w:rsid w:val="00446045"/>
    <w:rsid w:val="004555F0"/>
    <w:rsid w:val="0045698C"/>
    <w:rsid w:val="00457C92"/>
    <w:rsid w:val="00463408"/>
    <w:rsid w:val="00464A3F"/>
    <w:rsid w:val="00465318"/>
    <w:rsid w:val="004800D2"/>
    <w:rsid w:val="00482779"/>
    <w:rsid w:val="00482D41"/>
    <w:rsid w:val="00483674"/>
    <w:rsid w:val="0048659D"/>
    <w:rsid w:val="00490779"/>
    <w:rsid w:val="00494D3A"/>
    <w:rsid w:val="004969A1"/>
    <w:rsid w:val="004A0B35"/>
    <w:rsid w:val="004A4C9F"/>
    <w:rsid w:val="004A558C"/>
    <w:rsid w:val="004A62ED"/>
    <w:rsid w:val="004B1481"/>
    <w:rsid w:val="004B6FFF"/>
    <w:rsid w:val="004B73C2"/>
    <w:rsid w:val="004B76BC"/>
    <w:rsid w:val="004C0647"/>
    <w:rsid w:val="004C763F"/>
    <w:rsid w:val="004D1D36"/>
    <w:rsid w:val="004D6BD5"/>
    <w:rsid w:val="004D7212"/>
    <w:rsid w:val="004E1A53"/>
    <w:rsid w:val="004F0C76"/>
    <w:rsid w:val="004F1FDB"/>
    <w:rsid w:val="004F31EA"/>
    <w:rsid w:val="004F3278"/>
    <w:rsid w:val="004F5275"/>
    <w:rsid w:val="004F72F6"/>
    <w:rsid w:val="00500C7D"/>
    <w:rsid w:val="00501EE6"/>
    <w:rsid w:val="005024F2"/>
    <w:rsid w:val="00502971"/>
    <w:rsid w:val="00502E9F"/>
    <w:rsid w:val="0050321C"/>
    <w:rsid w:val="005046DD"/>
    <w:rsid w:val="00504B9A"/>
    <w:rsid w:val="00505A3C"/>
    <w:rsid w:val="00510C1F"/>
    <w:rsid w:val="00512E15"/>
    <w:rsid w:val="00516E43"/>
    <w:rsid w:val="00520BDC"/>
    <w:rsid w:val="00527693"/>
    <w:rsid w:val="005320BA"/>
    <w:rsid w:val="00532B1B"/>
    <w:rsid w:val="00534605"/>
    <w:rsid w:val="00540756"/>
    <w:rsid w:val="00553167"/>
    <w:rsid w:val="00555784"/>
    <w:rsid w:val="00561938"/>
    <w:rsid w:val="005626E3"/>
    <w:rsid w:val="00566EBE"/>
    <w:rsid w:val="00566F8B"/>
    <w:rsid w:val="00573C44"/>
    <w:rsid w:val="00574084"/>
    <w:rsid w:val="00574FCD"/>
    <w:rsid w:val="00576696"/>
    <w:rsid w:val="005773B2"/>
    <w:rsid w:val="00581F89"/>
    <w:rsid w:val="00591F81"/>
    <w:rsid w:val="005932E3"/>
    <w:rsid w:val="005951C8"/>
    <w:rsid w:val="005A25D3"/>
    <w:rsid w:val="005A7A75"/>
    <w:rsid w:val="005B283C"/>
    <w:rsid w:val="005B3EED"/>
    <w:rsid w:val="005B4404"/>
    <w:rsid w:val="005B507C"/>
    <w:rsid w:val="005B5FEF"/>
    <w:rsid w:val="005C45C1"/>
    <w:rsid w:val="005C603C"/>
    <w:rsid w:val="005C6ADC"/>
    <w:rsid w:val="005D4FB9"/>
    <w:rsid w:val="005D6345"/>
    <w:rsid w:val="005E03D2"/>
    <w:rsid w:val="005E1A28"/>
    <w:rsid w:val="005E42F1"/>
    <w:rsid w:val="005F0A47"/>
    <w:rsid w:val="00601D4E"/>
    <w:rsid w:val="0060224E"/>
    <w:rsid w:val="006046C4"/>
    <w:rsid w:val="00630DA8"/>
    <w:rsid w:val="00632E87"/>
    <w:rsid w:val="00634BE6"/>
    <w:rsid w:val="00640CC5"/>
    <w:rsid w:val="006420E7"/>
    <w:rsid w:val="00642DD0"/>
    <w:rsid w:val="00655574"/>
    <w:rsid w:val="006608ED"/>
    <w:rsid w:val="00670781"/>
    <w:rsid w:val="00670965"/>
    <w:rsid w:val="006731C5"/>
    <w:rsid w:val="00676B92"/>
    <w:rsid w:val="006779AF"/>
    <w:rsid w:val="006906F1"/>
    <w:rsid w:val="00690D80"/>
    <w:rsid w:val="006937F5"/>
    <w:rsid w:val="006B464A"/>
    <w:rsid w:val="006B7750"/>
    <w:rsid w:val="006C71F7"/>
    <w:rsid w:val="006D65B5"/>
    <w:rsid w:val="006F2731"/>
    <w:rsid w:val="006F4663"/>
    <w:rsid w:val="006F799D"/>
    <w:rsid w:val="006F7B44"/>
    <w:rsid w:val="007020F3"/>
    <w:rsid w:val="00703E72"/>
    <w:rsid w:val="007113ED"/>
    <w:rsid w:val="00713F8E"/>
    <w:rsid w:val="00714822"/>
    <w:rsid w:val="00715E09"/>
    <w:rsid w:val="007248D0"/>
    <w:rsid w:val="007264F2"/>
    <w:rsid w:val="00727F5C"/>
    <w:rsid w:val="00731053"/>
    <w:rsid w:val="00733DD5"/>
    <w:rsid w:val="00737C08"/>
    <w:rsid w:val="00740332"/>
    <w:rsid w:val="007438F9"/>
    <w:rsid w:val="007442C6"/>
    <w:rsid w:val="007539EC"/>
    <w:rsid w:val="007611FB"/>
    <w:rsid w:val="007631D6"/>
    <w:rsid w:val="007672B2"/>
    <w:rsid w:val="00770CAD"/>
    <w:rsid w:val="00771DBB"/>
    <w:rsid w:val="00774076"/>
    <w:rsid w:val="007745D2"/>
    <w:rsid w:val="00775411"/>
    <w:rsid w:val="007868C2"/>
    <w:rsid w:val="00790503"/>
    <w:rsid w:val="00791BD9"/>
    <w:rsid w:val="007947B3"/>
    <w:rsid w:val="007949B6"/>
    <w:rsid w:val="007A3E8D"/>
    <w:rsid w:val="007A5172"/>
    <w:rsid w:val="007B07CF"/>
    <w:rsid w:val="007B2289"/>
    <w:rsid w:val="007C2569"/>
    <w:rsid w:val="007C3B9A"/>
    <w:rsid w:val="007C3D09"/>
    <w:rsid w:val="007C407A"/>
    <w:rsid w:val="007C7CE2"/>
    <w:rsid w:val="007D298F"/>
    <w:rsid w:val="007D2F0F"/>
    <w:rsid w:val="007D5E25"/>
    <w:rsid w:val="007D7100"/>
    <w:rsid w:val="007E0966"/>
    <w:rsid w:val="007E69D0"/>
    <w:rsid w:val="007E7489"/>
    <w:rsid w:val="00800F4E"/>
    <w:rsid w:val="008032B3"/>
    <w:rsid w:val="00811B65"/>
    <w:rsid w:val="00811E21"/>
    <w:rsid w:val="0082130D"/>
    <w:rsid w:val="00821B10"/>
    <w:rsid w:val="00822184"/>
    <w:rsid w:val="0082377C"/>
    <w:rsid w:val="008260FA"/>
    <w:rsid w:val="008306DC"/>
    <w:rsid w:val="00831C5E"/>
    <w:rsid w:val="008322BB"/>
    <w:rsid w:val="00835C87"/>
    <w:rsid w:val="008360FA"/>
    <w:rsid w:val="00836E40"/>
    <w:rsid w:val="008434D5"/>
    <w:rsid w:val="00843E1B"/>
    <w:rsid w:val="008457AB"/>
    <w:rsid w:val="00856184"/>
    <w:rsid w:val="008651BA"/>
    <w:rsid w:val="008723A2"/>
    <w:rsid w:val="00885B23"/>
    <w:rsid w:val="00885E73"/>
    <w:rsid w:val="00886B84"/>
    <w:rsid w:val="00892CBC"/>
    <w:rsid w:val="00895D5C"/>
    <w:rsid w:val="00896AB4"/>
    <w:rsid w:val="00896AD7"/>
    <w:rsid w:val="00897ACD"/>
    <w:rsid w:val="008A304F"/>
    <w:rsid w:val="008A30D0"/>
    <w:rsid w:val="008A355A"/>
    <w:rsid w:val="008A48D1"/>
    <w:rsid w:val="008B1275"/>
    <w:rsid w:val="008B7DE0"/>
    <w:rsid w:val="008D0696"/>
    <w:rsid w:val="008D37AF"/>
    <w:rsid w:val="008D63FD"/>
    <w:rsid w:val="008D6CB8"/>
    <w:rsid w:val="008F1230"/>
    <w:rsid w:val="008F2517"/>
    <w:rsid w:val="008F2592"/>
    <w:rsid w:val="008F32D6"/>
    <w:rsid w:val="008F64F4"/>
    <w:rsid w:val="009078BA"/>
    <w:rsid w:val="00912FA7"/>
    <w:rsid w:val="009130AE"/>
    <w:rsid w:val="00915563"/>
    <w:rsid w:val="00923E42"/>
    <w:rsid w:val="00924B6E"/>
    <w:rsid w:val="00927F7A"/>
    <w:rsid w:val="00931ABA"/>
    <w:rsid w:val="0093205D"/>
    <w:rsid w:val="00934AE9"/>
    <w:rsid w:val="009379DF"/>
    <w:rsid w:val="009432D9"/>
    <w:rsid w:val="00945C8D"/>
    <w:rsid w:val="00951169"/>
    <w:rsid w:val="009552EA"/>
    <w:rsid w:val="00961B40"/>
    <w:rsid w:val="00973B92"/>
    <w:rsid w:val="00977050"/>
    <w:rsid w:val="009866A2"/>
    <w:rsid w:val="00987147"/>
    <w:rsid w:val="00990C15"/>
    <w:rsid w:val="00990C20"/>
    <w:rsid w:val="009A2B6C"/>
    <w:rsid w:val="009B0B66"/>
    <w:rsid w:val="009C3F5E"/>
    <w:rsid w:val="009D4F2A"/>
    <w:rsid w:val="009D6D86"/>
    <w:rsid w:val="009D7820"/>
    <w:rsid w:val="009D7B44"/>
    <w:rsid w:val="009E3FB1"/>
    <w:rsid w:val="009E51FD"/>
    <w:rsid w:val="009F1AF8"/>
    <w:rsid w:val="009F4AE4"/>
    <w:rsid w:val="009F7112"/>
    <w:rsid w:val="00A03560"/>
    <w:rsid w:val="00A1183E"/>
    <w:rsid w:val="00A215DA"/>
    <w:rsid w:val="00A21F21"/>
    <w:rsid w:val="00A2210B"/>
    <w:rsid w:val="00A23479"/>
    <w:rsid w:val="00A27114"/>
    <w:rsid w:val="00A3470B"/>
    <w:rsid w:val="00A34A8F"/>
    <w:rsid w:val="00A34B3C"/>
    <w:rsid w:val="00A40265"/>
    <w:rsid w:val="00A5164D"/>
    <w:rsid w:val="00A537BF"/>
    <w:rsid w:val="00A54DB6"/>
    <w:rsid w:val="00A56CE9"/>
    <w:rsid w:val="00A570CC"/>
    <w:rsid w:val="00A62AA4"/>
    <w:rsid w:val="00A77C4D"/>
    <w:rsid w:val="00A87A72"/>
    <w:rsid w:val="00AA0586"/>
    <w:rsid w:val="00AA0FFC"/>
    <w:rsid w:val="00AA4998"/>
    <w:rsid w:val="00AA5176"/>
    <w:rsid w:val="00AA6197"/>
    <w:rsid w:val="00AB35C0"/>
    <w:rsid w:val="00AB730E"/>
    <w:rsid w:val="00AC62D8"/>
    <w:rsid w:val="00AD14B1"/>
    <w:rsid w:val="00AD30AD"/>
    <w:rsid w:val="00AD3CDC"/>
    <w:rsid w:val="00AE2F4E"/>
    <w:rsid w:val="00AF2D0E"/>
    <w:rsid w:val="00AF593E"/>
    <w:rsid w:val="00AF6C77"/>
    <w:rsid w:val="00AF7671"/>
    <w:rsid w:val="00B00180"/>
    <w:rsid w:val="00B0416D"/>
    <w:rsid w:val="00B0721D"/>
    <w:rsid w:val="00B12E87"/>
    <w:rsid w:val="00B13048"/>
    <w:rsid w:val="00B14D3F"/>
    <w:rsid w:val="00B15021"/>
    <w:rsid w:val="00B20B70"/>
    <w:rsid w:val="00B255F0"/>
    <w:rsid w:val="00B26073"/>
    <w:rsid w:val="00B309B9"/>
    <w:rsid w:val="00B31FE7"/>
    <w:rsid w:val="00B40519"/>
    <w:rsid w:val="00B4220E"/>
    <w:rsid w:val="00B4685A"/>
    <w:rsid w:val="00B656BE"/>
    <w:rsid w:val="00B66305"/>
    <w:rsid w:val="00B6693B"/>
    <w:rsid w:val="00B66BA4"/>
    <w:rsid w:val="00B73C8B"/>
    <w:rsid w:val="00B80A6A"/>
    <w:rsid w:val="00B81AC1"/>
    <w:rsid w:val="00B82B41"/>
    <w:rsid w:val="00B91852"/>
    <w:rsid w:val="00B92713"/>
    <w:rsid w:val="00B934B3"/>
    <w:rsid w:val="00BA0CAA"/>
    <w:rsid w:val="00BA3A1D"/>
    <w:rsid w:val="00BA51C4"/>
    <w:rsid w:val="00BB0E1D"/>
    <w:rsid w:val="00BB2646"/>
    <w:rsid w:val="00BB5468"/>
    <w:rsid w:val="00BB5A40"/>
    <w:rsid w:val="00BB7888"/>
    <w:rsid w:val="00BC370E"/>
    <w:rsid w:val="00BC5997"/>
    <w:rsid w:val="00BD2AD2"/>
    <w:rsid w:val="00BD39FC"/>
    <w:rsid w:val="00BE2643"/>
    <w:rsid w:val="00BE3058"/>
    <w:rsid w:val="00BE67D0"/>
    <w:rsid w:val="00BF21BD"/>
    <w:rsid w:val="00C00FA6"/>
    <w:rsid w:val="00C15A35"/>
    <w:rsid w:val="00C1707A"/>
    <w:rsid w:val="00C2543C"/>
    <w:rsid w:val="00C31615"/>
    <w:rsid w:val="00C321DE"/>
    <w:rsid w:val="00C37CF4"/>
    <w:rsid w:val="00C457DD"/>
    <w:rsid w:val="00C62B81"/>
    <w:rsid w:val="00C700D2"/>
    <w:rsid w:val="00C7054B"/>
    <w:rsid w:val="00C70B3C"/>
    <w:rsid w:val="00C71ACC"/>
    <w:rsid w:val="00C83D94"/>
    <w:rsid w:val="00C85095"/>
    <w:rsid w:val="00C86FEE"/>
    <w:rsid w:val="00C9084C"/>
    <w:rsid w:val="00C925C2"/>
    <w:rsid w:val="00C943BE"/>
    <w:rsid w:val="00CB2361"/>
    <w:rsid w:val="00CB55F1"/>
    <w:rsid w:val="00CB5E33"/>
    <w:rsid w:val="00CC1BE7"/>
    <w:rsid w:val="00CC264C"/>
    <w:rsid w:val="00CC5691"/>
    <w:rsid w:val="00CD4E9D"/>
    <w:rsid w:val="00CD7486"/>
    <w:rsid w:val="00CE0046"/>
    <w:rsid w:val="00CE0783"/>
    <w:rsid w:val="00CE18D9"/>
    <w:rsid w:val="00CF2128"/>
    <w:rsid w:val="00CF2848"/>
    <w:rsid w:val="00CF3F9E"/>
    <w:rsid w:val="00CF635F"/>
    <w:rsid w:val="00D038A5"/>
    <w:rsid w:val="00D05A37"/>
    <w:rsid w:val="00D10612"/>
    <w:rsid w:val="00D128B5"/>
    <w:rsid w:val="00D1355C"/>
    <w:rsid w:val="00D3179E"/>
    <w:rsid w:val="00D36FDD"/>
    <w:rsid w:val="00D37656"/>
    <w:rsid w:val="00D37F18"/>
    <w:rsid w:val="00D413F8"/>
    <w:rsid w:val="00D45039"/>
    <w:rsid w:val="00D50F6C"/>
    <w:rsid w:val="00D5117C"/>
    <w:rsid w:val="00D529A6"/>
    <w:rsid w:val="00D54398"/>
    <w:rsid w:val="00D54A3B"/>
    <w:rsid w:val="00D64287"/>
    <w:rsid w:val="00D65C0C"/>
    <w:rsid w:val="00D71F6A"/>
    <w:rsid w:val="00D732DD"/>
    <w:rsid w:val="00D75619"/>
    <w:rsid w:val="00D75A72"/>
    <w:rsid w:val="00D75F35"/>
    <w:rsid w:val="00D77C6E"/>
    <w:rsid w:val="00D81BEC"/>
    <w:rsid w:val="00D81C3D"/>
    <w:rsid w:val="00D853CA"/>
    <w:rsid w:val="00D87AEA"/>
    <w:rsid w:val="00D9198D"/>
    <w:rsid w:val="00D93F21"/>
    <w:rsid w:val="00D95D67"/>
    <w:rsid w:val="00D95FD4"/>
    <w:rsid w:val="00DB142D"/>
    <w:rsid w:val="00DB3ACE"/>
    <w:rsid w:val="00DC0D0D"/>
    <w:rsid w:val="00DC26F4"/>
    <w:rsid w:val="00DC2C47"/>
    <w:rsid w:val="00DC516F"/>
    <w:rsid w:val="00DC5D48"/>
    <w:rsid w:val="00DD2242"/>
    <w:rsid w:val="00DD23F4"/>
    <w:rsid w:val="00DD7D0F"/>
    <w:rsid w:val="00DE189F"/>
    <w:rsid w:val="00DE791A"/>
    <w:rsid w:val="00DF3E17"/>
    <w:rsid w:val="00E015B9"/>
    <w:rsid w:val="00E03BFD"/>
    <w:rsid w:val="00E04E68"/>
    <w:rsid w:val="00E132D8"/>
    <w:rsid w:val="00E140DC"/>
    <w:rsid w:val="00E14595"/>
    <w:rsid w:val="00E239C8"/>
    <w:rsid w:val="00E272CD"/>
    <w:rsid w:val="00E365EB"/>
    <w:rsid w:val="00E5053D"/>
    <w:rsid w:val="00E53D91"/>
    <w:rsid w:val="00E558B8"/>
    <w:rsid w:val="00E56CFE"/>
    <w:rsid w:val="00E739FA"/>
    <w:rsid w:val="00E80AAD"/>
    <w:rsid w:val="00E82707"/>
    <w:rsid w:val="00E8716E"/>
    <w:rsid w:val="00E90121"/>
    <w:rsid w:val="00E90673"/>
    <w:rsid w:val="00E963F7"/>
    <w:rsid w:val="00EA058C"/>
    <w:rsid w:val="00EA15EE"/>
    <w:rsid w:val="00EA4402"/>
    <w:rsid w:val="00EB0344"/>
    <w:rsid w:val="00EB10EB"/>
    <w:rsid w:val="00EB3732"/>
    <w:rsid w:val="00EB59DC"/>
    <w:rsid w:val="00EC4A86"/>
    <w:rsid w:val="00EC7A2F"/>
    <w:rsid w:val="00ED43CC"/>
    <w:rsid w:val="00ED526D"/>
    <w:rsid w:val="00EE11D0"/>
    <w:rsid w:val="00EE53A7"/>
    <w:rsid w:val="00EF1208"/>
    <w:rsid w:val="00EF1233"/>
    <w:rsid w:val="00EF2C32"/>
    <w:rsid w:val="00F00668"/>
    <w:rsid w:val="00F051B3"/>
    <w:rsid w:val="00F061D2"/>
    <w:rsid w:val="00F07920"/>
    <w:rsid w:val="00F1191B"/>
    <w:rsid w:val="00F13D4F"/>
    <w:rsid w:val="00F17F85"/>
    <w:rsid w:val="00F343CD"/>
    <w:rsid w:val="00F44294"/>
    <w:rsid w:val="00F45DF9"/>
    <w:rsid w:val="00F464C9"/>
    <w:rsid w:val="00F503B1"/>
    <w:rsid w:val="00F51EE0"/>
    <w:rsid w:val="00F52B0B"/>
    <w:rsid w:val="00F55B4D"/>
    <w:rsid w:val="00F605D3"/>
    <w:rsid w:val="00F61783"/>
    <w:rsid w:val="00F61C0E"/>
    <w:rsid w:val="00F63AF6"/>
    <w:rsid w:val="00F72EB9"/>
    <w:rsid w:val="00F75DC5"/>
    <w:rsid w:val="00F771F1"/>
    <w:rsid w:val="00F81DEC"/>
    <w:rsid w:val="00F8204A"/>
    <w:rsid w:val="00F86511"/>
    <w:rsid w:val="00FA1CB5"/>
    <w:rsid w:val="00FA2C35"/>
    <w:rsid w:val="00FA6E93"/>
    <w:rsid w:val="00FB2E85"/>
    <w:rsid w:val="00FB468A"/>
    <w:rsid w:val="00FB6D0E"/>
    <w:rsid w:val="00FC0ABC"/>
    <w:rsid w:val="00FC0C5A"/>
    <w:rsid w:val="00FC1826"/>
    <w:rsid w:val="00FC5B2D"/>
    <w:rsid w:val="00FC68B5"/>
    <w:rsid w:val="00FC6F1E"/>
    <w:rsid w:val="00FD2762"/>
    <w:rsid w:val="00FD439A"/>
    <w:rsid w:val="00FD7538"/>
    <w:rsid w:val="00FF27A8"/>
    <w:rsid w:val="00FF56BA"/>
    <w:rsid w:val="00FF5863"/>
    <w:rsid w:val="00FF6240"/>
    <w:rsid w:val="01145609"/>
    <w:rsid w:val="012810B4"/>
    <w:rsid w:val="012E6D90"/>
    <w:rsid w:val="015974C0"/>
    <w:rsid w:val="016043AA"/>
    <w:rsid w:val="01787946"/>
    <w:rsid w:val="017B5688"/>
    <w:rsid w:val="01816721"/>
    <w:rsid w:val="01973B44"/>
    <w:rsid w:val="019978BC"/>
    <w:rsid w:val="01AC75F0"/>
    <w:rsid w:val="01D134FA"/>
    <w:rsid w:val="01D32DCE"/>
    <w:rsid w:val="01DC3E1D"/>
    <w:rsid w:val="01EE19B6"/>
    <w:rsid w:val="01FD609D"/>
    <w:rsid w:val="02111E69"/>
    <w:rsid w:val="0213141D"/>
    <w:rsid w:val="021C29C7"/>
    <w:rsid w:val="02206C3F"/>
    <w:rsid w:val="02247ACE"/>
    <w:rsid w:val="022950E4"/>
    <w:rsid w:val="02421D02"/>
    <w:rsid w:val="026B1259"/>
    <w:rsid w:val="02745507"/>
    <w:rsid w:val="02753E85"/>
    <w:rsid w:val="027C43B1"/>
    <w:rsid w:val="028F5696"/>
    <w:rsid w:val="029A38EC"/>
    <w:rsid w:val="029C3B08"/>
    <w:rsid w:val="02A76009"/>
    <w:rsid w:val="02AB56B6"/>
    <w:rsid w:val="02AD14F9"/>
    <w:rsid w:val="02BA3F8E"/>
    <w:rsid w:val="02CE17E8"/>
    <w:rsid w:val="02DE7C7D"/>
    <w:rsid w:val="02F56C5D"/>
    <w:rsid w:val="0313544C"/>
    <w:rsid w:val="03343D40"/>
    <w:rsid w:val="033755DF"/>
    <w:rsid w:val="034D6C21"/>
    <w:rsid w:val="035028D8"/>
    <w:rsid w:val="038720C2"/>
    <w:rsid w:val="03885E3A"/>
    <w:rsid w:val="03B64756"/>
    <w:rsid w:val="03BE7AAE"/>
    <w:rsid w:val="03C230FA"/>
    <w:rsid w:val="03C926DB"/>
    <w:rsid w:val="03E219EE"/>
    <w:rsid w:val="03F741BD"/>
    <w:rsid w:val="03FD2384"/>
    <w:rsid w:val="04293179"/>
    <w:rsid w:val="04722D72"/>
    <w:rsid w:val="047A1C27"/>
    <w:rsid w:val="04886DAD"/>
    <w:rsid w:val="048C3708"/>
    <w:rsid w:val="04A71B13"/>
    <w:rsid w:val="04AB0032"/>
    <w:rsid w:val="04EB042F"/>
    <w:rsid w:val="04FE17DC"/>
    <w:rsid w:val="04FF037E"/>
    <w:rsid w:val="05094D59"/>
    <w:rsid w:val="050F05C1"/>
    <w:rsid w:val="05143E2A"/>
    <w:rsid w:val="051A0FB1"/>
    <w:rsid w:val="05377B18"/>
    <w:rsid w:val="053C512E"/>
    <w:rsid w:val="05404C1F"/>
    <w:rsid w:val="055A55B4"/>
    <w:rsid w:val="05614B95"/>
    <w:rsid w:val="0575419C"/>
    <w:rsid w:val="057B4D64"/>
    <w:rsid w:val="05824538"/>
    <w:rsid w:val="058D14E6"/>
    <w:rsid w:val="059D1A03"/>
    <w:rsid w:val="05BD626F"/>
    <w:rsid w:val="05D76C05"/>
    <w:rsid w:val="05DC3DDB"/>
    <w:rsid w:val="05E77334"/>
    <w:rsid w:val="05F60839"/>
    <w:rsid w:val="061537E5"/>
    <w:rsid w:val="06175254"/>
    <w:rsid w:val="061A5470"/>
    <w:rsid w:val="06337FF4"/>
    <w:rsid w:val="06366828"/>
    <w:rsid w:val="063F6C84"/>
    <w:rsid w:val="066C37F1"/>
    <w:rsid w:val="0696086E"/>
    <w:rsid w:val="06B807E5"/>
    <w:rsid w:val="06C63DFD"/>
    <w:rsid w:val="06C673A5"/>
    <w:rsid w:val="06C92A08"/>
    <w:rsid w:val="06D27D65"/>
    <w:rsid w:val="06DA075B"/>
    <w:rsid w:val="06DF0467"/>
    <w:rsid w:val="06E11AE9"/>
    <w:rsid w:val="06F55739"/>
    <w:rsid w:val="07000440"/>
    <w:rsid w:val="072B3AEB"/>
    <w:rsid w:val="073562D9"/>
    <w:rsid w:val="074F1149"/>
    <w:rsid w:val="07536FBE"/>
    <w:rsid w:val="075F55CA"/>
    <w:rsid w:val="0780099C"/>
    <w:rsid w:val="0790350F"/>
    <w:rsid w:val="079052BE"/>
    <w:rsid w:val="07A11279"/>
    <w:rsid w:val="07BC18E1"/>
    <w:rsid w:val="07D377D6"/>
    <w:rsid w:val="07D6482B"/>
    <w:rsid w:val="07D96C64"/>
    <w:rsid w:val="07DC0503"/>
    <w:rsid w:val="07E51AAD"/>
    <w:rsid w:val="07EA70C4"/>
    <w:rsid w:val="07F910B5"/>
    <w:rsid w:val="07FE491D"/>
    <w:rsid w:val="08016696"/>
    <w:rsid w:val="08191757"/>
    <w:rsid w:val="082223BA"/>
    <w:rsid w:val="082425D6"/>
    <w:rsid w:val="082E5202"/>
    <w:rsid w:val="0834033F"/>
    <w:rsid w:val="08362309"/>
    <w:rsid w:val="08386081"/>
    <w:rsid w:val="0854278F"/>
    <w:rsid w:val="085E50AE"/>
    <w:rsid w:val="086A3D60"/>
    <w:rsid w:val="0878022B"/>
    <w:rsid w:val="08892439"/>
    <w:rsid w:val="08D37B58"/>
    <w:rsid w:val="08DB07BA"/>
    <w:rsid w:val="08EA3E56"/>
    <w:rsid w:val="090367E8"/>
    <w:rsid w:val="091F0FEF"/>
    <w:rsid w:val="09214893"/>
    <w:rsid w:val="09424A96"/>
    <w:rsid w:val="095073FA"/>
    <w:rsid w:val="09570789"/>
    <w:rsid w:val="095A2027"/>
    <w:rsid w:val="095E38C5"/>
    <w:rsid w:val="09622C8A"/>
    <w:rsid w:val="098F1CD1"/>
    <w:rsid w:val="09A01647"/>
    <w:rsid w:val="09B90AFC"/>
    <w:rsid w:val="09C86F91"/>
    <w:rsid w:val="09E65669"/>
    <w:rsid w:val="09FE0C04"/>
    <w:rsid w:val="0A087DA5"/>
    <w:rsid w:val="0A0D0E47"/>
    <w:rsid w:val="0A0F4BBF"/>
    <w:rsid w:val="0A481E7F"/>
    <w:rsid w:val="0A6D02C4"/>
    <w:rsid w:val="0A7669ED"/>
    <w:rsid w:val="0A84735B"/>
    <w:rsid w:val="0A86798A"/>
    <w:rsid w:val="0A8729A8"/>
    <w:rsid w:val="0A92134D"/>
    <w:rsid w:val="0AA25A34"/>
    <w:rsid w:val="0ADF0A36"/>
    <w:rsid w:val="0AE47DFA"/>
    <w:rsid w:val="0B1D69EA"/>
    <w:rsid w:val="0B330D82"/>
    <w:rsid w:val="0B4076CB"/>
    <w:rsid w:val="0B444D3D"/>
    <w:rsid w:val="0B544894"/>
    <w:rsid w:val="0B582596"/>
    <w:rsid w:val="0B6837DC"/>
    <w:rsid w:val="0B6B22C9"/>
    <w:rsid w:val="0B786794"/>
    <w:rsid w:val="0B7D1FFD"/>
    <w:rsid w:val="0B971310"/>
    <w:rsid w:val="0BA43EFF"/>
    <w:rsid w:val="0BE36304"/>
    <w:rsid w:val="0BEA2C01"/>
    <w:rsid w:val="0C1E10EA"/>
    <w:rsid w:val="0C2801BA"/>
    <w:rsid w:val="0C2C2F68"/>
    <w:rsid w:val="0C2C7CAB"/>
    <w:rsid w:val="0C3B5596"/>
    <w:rsid w:val="0C403756"/>
    <w:rsid w:val="0C48260B"/>
    <w:rsid w:val="0C8278CB"/>
    <w:rsid w:val="0CBF0389"/>
    <w:rsid w:val="0CCD48BE"/>
    <w:rsid w:val="0CD30126"/>
    <w:rsid w:val="0CEF3A6B"/>
    <w:rsid w:val="0CFA1B57"/>
    <w:rsid w:val="0CFA3905"/>
    <w:rsid w:val="0D10137A"/>
    <w:rsid w:val="0D18163A"/>
    <w:rsid w:val="0D556D8D"/>
    <w:rsid w:val="0D5A0848"/>
    <w:rsid w:val="0D696CDD"/>
    <w:rsid w:val="0D904269"/>
    <w:rsid w:val="0D933D59"/>
    <w:rsid w:val="0D9A50E8"/>
    <w:rsid w:val="0DA731F8"/>
    <w:rsid w:val="0DC45CC1"/>
    <w:rsid w:val="0DE93979"/>
    <w:rsid w:val="0E1221AB"/>
    <w:rsid w:val="0E201B84"/>
    <w:rsid w:val="0E472DE5"/>
    <w:rsid w:val="0E682AF0"/>
    <w:rsid w:val="0E707BF7"/>
    <w:rsid w:val="0E7616B1"/>
    <w:rsid w:val="0E884F40"/>
    <w:rsid w:val="0E8F4521"/>
    <w:rsid w:val="0EA35BB3"/>
    <w:rsid w:val="0EAA6D02"/>
    <w:rsid w:val="0EB13A6B"/>
    <w:rsid w:val="0EC75A69"/>
    <w:rsid w:val="0EED5962"/>
    <w:rsid w:val="0EEF6D6E"/>
    <w:rsid w:val="0F107B79"/>
    <w:rsid w:val="0F5512C6"/>
    <w:rsid w:val="0F7B51C4"/>
    <w:rsid w:val="0F900551"/>
    <w:rsid w:val="0FA055A4"/>
    <w:rsid w:val="0FCE72CB"/>
    <w:rsid w:val="0FD22917"/>
    <w:rsid w:val="0FE32D76"/>
    <w:rsid w:val="0FE5719E"/>
    <w:rsid w:val="0FF02D9D"/>
    <w:rsid w:val="100A1104"/>
    <w:rsid w:val="102F7D69"/>
    <w:rsid w:val="10417A9D"/>
    <w:rsid w:val="10437EA3"/>
    <w:rsid w:val="10484987"/>
    <w:rsid w:val="104A4BA3"/>
    <w:rsid w:val="106F48CD"/>
    <w:rsid w:val="10725EA8"/>
    <w:rsid w:val="10817E99"/>
    <w:rsid w:val="108654B0"/>
    <w:rsid w:val="10AE33DE"/>
    <w:rsid w:val="10B93FE3"/>
    <w:rsid w:val="10C761F4"/>
    <w:rsid w:val="10EC5C5A"/>
    <w:rsid w:val="10EF3F73"/>
    <w:rsid w:val="10F22B45"/>
    <w:rsid w:val="110220E2"/>
    <w:rsid w:val="110765F0"/>
    <w:rsid w:val="1122167C"/>
    <w:rsid w:val="112418EB"/>
    <w:rsid w:val="11380EA0"/>
    <w:rsid w:val="115D26B4"/>
    <w:rsid w:val="118C4D48"/>
    <w:rsid w:val="11987B90"/>
    <w:rsid w:val="11D32976"/>
    <w:rsid w:val="11F0177A"/>
    <w:rsid w:val="11F359F7"/>
    <w:rsid w:val="11FA6155"/>
    <w:rsid w:val="12004B5B"/>
    <w:rsid w:val="1209283C"/>
    <w:rsid w:val="12170AB5"/>
    <w:rsid w:val="122907E8"/>
    <w:rsid w:val="123E24E6"/>
    <w:rsid w:val="12504B4F"/>
    <w:rsid w:val="125D1D7E"/>
    <w:rsid w:val="126B7053"/>
    <w:rsid w:val="126D2DCB"/>
    <w:rsid w:val="12704669"/>
    <w:rsid w:val="12877E71"/>
    <w:rsid w:val="12C117E9"/>
    <w:rsid w:val="12C20DCD"/>
    <w:rsid w:val="12C624DB"/>
    <w:rsid w:val="12DB7D35"/>
    <w:rsid w:val="12DE02E9"/>
    <w:rsid w:val="12F118A8"/>
    <w:rsid w:val="13154088"/>
    <w:rsid w:val="132F48C8"/>
    <w:rsid w:val="13337B71"/>
    <w:rsid w:val="13347445"/>
    <w:rsid w:val="136133E4"/>
    <w:rsid w:val="136F4921"/>
    <w:rsid w:val="139B1B3C"/>
    <w:rsid w:val="139C34AF"/>
    <w:rsid w:val="139E0D62"/>
    <w:rsid w:val="13D34EB0"/>
    <w:rsid w:val="13D754E4"/>
    <w:rsid w:val="13E57B0C"/>
    <w:rsid w:val="13FA243C"/>
    <w:rsid w:val="1424364B"/>
    <w:rsid w:val="1437543F"/>
    <w:rsid w:val="1445483E"/>
    <w:rsid w:val="144E4536"/>
    <w:rsid w:val="14826D13"/>
    <w:rsid w:val="14866F1A"/>
    <w:rsid w:val="148D1503"/>
    <w:rsid w:val="14C8253B"/>
    <w:rsid w:val="14E82BDD"/>
    <w:rsid w:val="14F11A91"/>
    <w:rsid w:val="15033573"/>
    <w:rsid w:val="151B4D60"/>
    <w:rsid w:val="151E03AD"/>
    <w:rsid w:val="15363948"/>
    <w:rsid w:val="153951E6"/>
    <w:rsid w:val="15486DD7"/>
    <w:rsid w:val="15585E82"/>
    <w:rsid w:val="1562473D"/>
    <w:rsid w:val="15673B02"/>
    <w:rsid w:val="156C55BC"/>
    <w:rsid w:val="15B64A89"/>
    <w:rsid w:val="15C94DE8"/>
    <w:rsid w:val="15CC7E09"/>
    <w:rsid w:val="15D078F9"/>
    <w:rsid w:val="15F1786F"/>
    <w:rsid w:val="15FB249C"/>
    <w:rsid w:val="16161084"/>
    <w:rsid w:val="161E3423"/>
    <w:rsid w:val="16273291"/>
    <w:rsid w:val="163C6D3C"/>
    <w:rsid w:val="16423C65"/>
    <w:rsid w:val="167D1103"/>
    <w:rsid w:val="16806E74"/>
    <w:rsid w:val="16897AA8"/>
    <w:rsid w:val="16906B65"/>
    <w:rsid w:val="169419A8"/>
    <w:rsid w:val="169F551D"/>
    <w:rsid w:val="16BB6B43"/>
    <w:rsid w:val="16C805D0"/>
    <w:rsid w:val="16CC1CEE"/>
    <w:rsid w:val="16E6314C"/>
    <w:rsid w:val="16EA49EA"/>
    <w:rsid w:val="16EF5205"/>
    <w:rsid w:val="16F65F21"/>
    <w:rsid w:val="172577D0"/>
    <w:rsid w:val="17273C17"/>
    <w:rsid w:val="175B7696"/>
    <w:rsid w:val="176A5B2B"/>
    <w:rsid w:val="1780534F"/>
    <w:rsid w:val="1787048B"/>
    <w:rsid w:val="178A1F00"/>
    <w:rsid w:val="17914E66"/>
    <w:rsid w:val="17916936"/>
    <w:rsid w:val="181E2472"/>
    <w:rsid w:val="183664F7"/>
    <w:rsid w:val="183D3240"/>
    <w:rsid w:val="18714C97"/>
    <w:rsid w:val="1890352F"/>
    <w:rsid w:val="18982224"/>
    <w:rsid w:val="18AB1B20"/>
    <w:rsid w:val="18C33745"/>
    <w:rsid w:val="18C63235"/>
    <w:rsid w:val="18D47982"/>
    <w:rsid w:val="18DB6E7B"/>
    <w:rsid w:val="19006747"/>
    <w:rsid w:val="19081158"/>
    <w:rsid w:val="1912647A"/>
    <w:rsid w:val="19137AFC"/>
    <w:rsid w:val="1921046B"/>
    <w:rsid w:val="19265A82"/>
    <w:rsid w:val="193C52A5"/>
    <w:rsid w:val="194128BC"/>
    <w:rsid w:val="19520625"/>
    <w:rsid w:val="19550115"/>
    <w:rsid w:val="195C4D12"/>
    <w:rsid w:val="196842EC"/>
    <w:rsid w:val="197113F3"/>
    <w:rsid w:val="197131A1"/>
    <w:rsid w:val="19726F19"/>
    <w:rsid w:val="197B7B7C"/>
    <w:rsid w:val="1981756D"/>
    <w:rsid w:val="19924EC5"/>
    <w:rsid w:val="19D379B8"/>
    <w:rsid w:val="19DE010A"/>
    <w:rsid w:val="19E00326"/>
    <w:rsid w:val="19E716B5"/>
    <w:rsid w:val="19F02B3B"/>
    <w:rsid w:val="19F416DC"/>
    <w:rsid w:val="1A023DF9"/>
    <w:rsid w:val="1A0538E9"/>
    <w:rsid w:val="1A09162B"/>
    <w:rsid w:val="1A1B310D"/>
    <w:rsid w:val="1A1D2842"/>
    <w:rsid w:val="1A294CEC"/>
    <w:rsid w:val="1A2E2E40"/>
    <w:rsid w:val="1A402423"/>
    <w:rsid w:val="1A442663"/>
    <w:rsid w:val="1A495ECC"/>
    <w:rsid w:val="1A5F124B"/>
    <w:rsid w:val="1A6920CA"/>
    <w:rsid w:val="1AC02B20"/>
    <w:rsid w:val="1AC345C1"/>
    <w:rsid w:val="1ACE4623"/>
    <w:rsid w:val="1AD5775F"/>
    <w:rsid w:val="1AEE0821"/>
    <w:rsid w:val="1AF776D6"/>
    <w:rsid w:val="1B291859"/>
    <w:rsid w:val="1B4A7B27"/>
    <w:rsid w:val="1B59213E"/>
    <w:rsid w:val="1B5B5EB7"/>
    <w:rsid w:val="1B60171F"/>
    <w:rsid w:val="1B636B19"/>
    <w:rsid w:val="1B6603B7"/>
    <w:rsid w:val="1B6F3710"/>
    <w:rsid w:val="1B7E7DF7"/>
    <w:rsid w:val="1B8A3166"/>
    <w:rsid w:val="1BA57132"/>
    <w:rsid w:val="1BBB0703"/>
    <w:rsid w:val="1BC51582"/>
    <w:rsid w:val="1BEC2FB3"/>
    <w:rsid w:val="1C0133B5"/>
    <w:rsid w:val="1C136791"/>
    <w:rsid w:val="1C2269D4"/>
    <w:rsid w:val="1C4A7CD9"/>
    <w:rsid w:val="1C580648"/>
    <w:rsid w:val="1C592FD7"/>
    <w:rsid w:val="1C6C18BC"/>
    <w:rsid w:val="1C7A05BE"/>
    <w:rsid w:val="1C900619"/>
    <w:rsid w:val="1CAB4C1C"/>
    <w:rsid w:val="1CDF0421"/>
    <w:rsid w:val="1CDF415C"/>
    <w:rsid w:val="1CED6FE2"/>
    <w:rsid w:val="1D022362"/>
    <w:rsid w:val="1D035BF9"/>
    <w:rsid w:val="1D0D31E0"/>
    <w:rsid w:val="1D104A7F"/>
    <w:rsid w:val="1DB7139E"/>
    <w:rsid w:val="1DE06B47"/>
    <w:rsid w:val="1E0C16EA"/>
    <w:rsid w:val="1E18008F"/>
    <w:rsid w:val="1E2307E2"/>
    <w:rsid w:val="1E326C77"/>
    <w:rsid w:val="1E327124"/>
    <w:rsid w:val="1E537319"/>
    <w:rsid w:val="1E5E102C"/>
    <w:rsid w:val="1E6257AE"/>
    <w:rsid w:val="1E7352C5"/>
    <w:rsid w:val="1E796654"/>
    <w:rsid w:val="1E7F5B46"/>
    <w:rsid w:val="1E890F8D"/>
    <w:rsid w:val="1EAF2075"/>
    <w:rsid w:val="1ECA6EAF"/>
    <w:rsid w:val="1ED2706D"/>
    <w:rsid w:val="1ED33FB6"/>
    <w:rsid w:val="1ED815CC"/>
    <w:rsid w:val="1EDA3596"/>
    <w:rsid w:val="1EE12B77"/>
    <w:rsid w:val="1EFF124F"/>
    <w:rsid w:val="1F0E3240"/>
    <w:rsid w:val="1F100DF0"/>
    <w:rsid w:val="1F1737F0"/>
    <w:rsid w:val="1F185E6D"/>
    <w:rsid w:val="1F291E28"/>
    <w:rsid w:val="1F301408"/>
    <w:rsid w:val="1F394761"/>
    <w:rsid w:val="1F470500"/>
    <w:rsid w:val="1F49071C"/>
    <w:rsid w:val="1F4E5D32"/>
    <w:rsid w:val="1F533349"/>
    <w:rsid w:val="1F705CA9"/>
    <w:rsid w:val="1F745799"/>
    <w:rsid w:val="1F8F25D3"/>
    <w:rsid w:val="1F9A5927"/>
    <w:rsid w:val="1FA616CA"/>
    <w:rsid w:val="1FB328C4"/>
    <w:rsid w:val="1FB72C7E"/>
    <w:rsid w:val="1FCB2EDF"/>
    <w:rsid w:val="1FFC578E"/>
    <w:rsid w:val="201B5812"/>
    <w:rsid w:val="20466AD7"/>
    <w:rsid w:val="204F1D62"/>
    <w:rsid w:val="20533B54"/>
    <w:rsid w:val="20601879"/>
    <w:rsid w:val="206C46C2"/>
    <w:rsid w:val="20847C5E"/>
    <w:rsid w:val="208732AA"/>
    <w:rsid w:val="20896762"/>
    <w:rsid w:val="20987DD0"/>
    <w:rsid w:val="20A7394C"/>
    <w:rsid w:val="20BE2A44"/>
    <w:rsid w:val="20C0056A"/>
    <w:rsid w:val="20C53DD2"/>
    <w:rsid w:val="20CF69FF"/>
    <w:rsid w:val="20D858B3"/>
    <w:rsid w:val="20DB4B74"/>
    <w:rsid w:val="20FD356C"/>
    <w:rsid w:val="20FE778A"/>
    <w:rsid w:val="21022930"/>
    <w:rsid w:val="211F1734"/>
    <w:rsid w:val="21294361"/>
    <w:rsid w:val="213F3B84"/>
    <w:rsid w:val="21535882"/>
    <w:rsid w:val="21843C8D"/>
    <w:rsid w:val="21AE182E"/>
    <w:rsid w:val="21DA565B"/>
    <w:rsid w:val="21E32762"/>
    <w:rsid w:val="21ED1832"/>
    <w:rsid w:val="21FC1A76"/>
    <w:rsid w:val="21FF3314"/>
    <w:rsid w:val="220B7F0B"/>
    <w:rsid w:val="22342FBD"/>
    <w:rsid w:val="223F38FC"/>
    <w:rsid w:val="22652447"/>
    <w:rsid w:val="22804455"/>
    <w:rsid w:val="2288155B"/>
    <w:rsid w:val="22A46395"/>
    <w:rsid w:val="22A76718"/>
    <w:rsid w:val="22DD18A7"/>
    <w:rsid w:val="22F526A1"/>
    <w:rsid w:val="22F95FB5"/>
    <w:rsid w:val="23004223"/>
    <w:rsid w:val="231A0405"/>
    <w:rsid w:val="232B01F9"/>
    <w:rsid w:val="233139A1"/>
    <w:rsid w:val="23411E36"/>
    <w:rsid w:val="234F2BEA"/>
    <w:rsid w:val="235A1AC8"/>
    <w:rsid w:val="23775858"/>
    <w:rsid w:val="238166D6"/>
    <w:rsid w:val="23843AD1"/>
    <w:rsid w:val="23B02B18"/>
    <w:rsid w:val="23DC56BB"/>
    <w:rsid w:val="23F8626D"/>
    <w:rsid w:val="241209A4"/>
    <w:rsid w:val="24150BCD"/>
    <w:rsid w:val="2432352D"/>
    <w:rsid w:val="244514B2"/>
    <w:rsid w:val="245C63C9"/>
    <w:rsid w:val="245E07C6"/>
    <w:rsid w:val="246F29D3"/>
    <w:rsid w:val="247244CC"/>
    <w:rsid w:val="247E6772"/>
    <w:rsid w:val="249B37C8"/>
    <w:rsid w:val="24D9609E"/>
    <w:rsid w:val="24FC40EF"/>
    <w:rsid w:val="250A44A9"/>
    <w:rsid w:val="252C08C4"/>
    <w:rsid w:val="25473008"/>
    <w:rsid w:val="255120D8"/>
    <w:rsid w:val="2560231B"/>
    <w:rsid w:val="256376A5"/>
    <w:rsid w:val="256E4A38"/>
    <w:rsid w:val="25706A02"/>
    <w:rsid w:val="25710085"/>
    <w:rsid w:val="257858B7"/>
    <w:rsid w:val="25A14E0E"/>
    <w:rsid w:val="25C1100C"/>
    <w:rsid w:val="25E64600"/>
    <w:rsid w:val="25F807A6"/>
    <w:rsid w:val="26061115"/>
    <w:rsid w:val="262E5CD2"/>
    <w:rsid w:val="263B7010"/>
    <w:rsid w:val="2641214D"/>
    <w:rsid w:val="2657371E"/>
    <w:rsid w:val="26633E71"/>
    <w:rsid w:val="2685028B"/>
    <w:rsid w:val="268B33C8"/>
    <w:rsid w:val="26A174CB"/>
    <w:rsid w:val="26B24DF9"/>
    <w:rsid w:val="26B741BD"/>
    <w:rsid w:val="26C50688"/>
    <w:rsid w:val="26D94133"/>
    <w:rsid w:val="26F83C3A"/>
    <w:rsid w:val="2705317A"/>
    <w:rsid w:val="271C167D"/>
    <w:rsid w:val="27321A96"/>
    <w:rsid w:val="2754740E"/>
    <w:rsid w:val="275D2FB6"/>
    <w:rsid w:val="27604855"/>
    <w:rsid w:val="276B56D3"/>
    <w:rsid w:val="277063FA"/>
    <w:rsid w:val="278E4F1E"/>
    <w:rsid w:val="27A209C9"/>
    <w:rsid w:val="27A91D58"/>
    <w:rsid w:val="27B54DAA"/>
    <w:rsid w:val="27C070A1"/>
    <w:rsid w:val="27D0311B"/>
    <w:rsid w:val="27DD40F7"/>
    <w:rsid w:val="28060F58"/>
    <w:rsid w:val="28173165"/>
    <w:rsid w:val="283A1500"/>
    <w:rsid w:val="284877C3"/>
    <w:rsid w:val="284C4467"/>
    <w:rsid w:val="28553C8E"/>
    <w:rsid w:val="285C615E"/>
    <w:rsid w:val="285F4B0C"/>
    <w:rsid w:val="286D0FD7"/>
    <w:rsid w:val="28706D19"/>
    <w:rsid w:val="28795BCE"/>
    <w:rsid w:val="28904F86"/>
    <w:rsid w:val="28A54C15"/>
    <w:rsid w:val="28A73B46"/>
    <w:rsid w:val="28B430AA"/>
    <w:rsid w:val="28C36E49"/>
    <w:rsid w:val="28DE1ED5"/>
    <w:rsid w:val="28E53263"/>
    <w:rsid w:val="28F11C08"/>
    <w:rsid w:val="29057462"/>
    <w:rsid w:val="290F02E0"/>
    <w:rsid w:val="29115E06"/>
    <w:rsid w:val="2940049A"/>
    <w:rsid w:val="297E7214"/>
    <w:rsid w:val="299232FD"/>
    <w:rsid w:val="29A1550D"/>
    <w:rsid w:val="29B72649"/>
    <w:rsid w:val="29C54E43"/>
    <w:rsid w:val="29CE1F49"/>
    <w:rsid w:val="29DF1ACE"/>
    <w:rsid w:val="29DF5F05"/>
    <w:rsid w:val="29E11C7D"/>
    <w:rsid w:val="29EA58B7"/>
    <w:rsid w:val="2A290DCC"/>
    <w:rsid w:val="2A2953D2"/>
    <w:rsid w:val="2A391AB9"/>
    <w:rsid w:val="2A522B7B"/>
    <w:rsid w:val="2A704DAF"/>
    <w:rsid w:val="2AB90504"/>
    <w:rsid w:val="2ACA2711"/>
    <w:rsid w:val="2ADC0696"/>
    <w:rsid w:val="2B035C23"/>
    <w:rsid w:val="2B5E5327"/>
    <w:rsid w:val="2B7B3A0B"/>
    <w:rsid w:val="2B940F71"/>
    <w:rsid w:val="2B996587"/>
    <w:rsid w:val="2BA0657F"/>
    <w:rsid w:val="2BAE55DD"/>
    <w:rsid w:val="2BB807BB"/>
    <w:rsid w:val="2BCA4992"/>
    <w:rsid w:val="2BE21CDC"/>
    <w:rsid w:val="2BED0F4E"/>
    <w:rsid w:val="2C077995"/>
    <w:rsid w:val="2C106849"/>
    <w:rsid w:val="2C170A15"/>
    <w:rsid w:val="2C1C51EE"/>
    <w:rsid w:val="2C2B5431"/>
    <w:rsid w:val="2C5801F0"/>
    <w:rsid w:val="2C622E1D"/>
    <w:rsid w:val="2C732934"/>
    <w:rsid w:val="2C934D84"/>
    <w:rsid w:val="2C9C00DD"/>
    <w:rsid w:val="2CDA29B3"/>
    <w:rsid w:val="2CEA570A"/>
    <w:rsid w:val="2D0D4B37"/>
    <w:rsid w:val="2D2325AC"/>
    <w:rsid w:val="2D26209C"/>
    <w:rsid w:val="2D3E0384"/>
    <w:rsid w:val="2D5E1836"/>
    <w:rsid w:val="2D5E3590"/>
    <w:rsid w:val="2D8C3A3D"/>
    <w:rsid w:val="2D937D4C"/>
    <w:rsid w:val="2DAF3E40"/>
    <w:rsid w:val="2DD07331"/>
    <w:rsid w:val="2DEC6E42"/>
    <w:rsid w:val="2E100D83"/>
    <w:rsid w:val="2E1064C3"/>
    <w:rsid w:val="2E5D3029"/>
    <w:rsid w:val="2E7828CE"/>
    <w:rsid w:val="2E8250B1"/>
    <w:rsid w:val="2E860C58"/>
    <w:rsid w:val="2E862DF3"/>
    <w:rsid w:val="2E9F3EB4"/>
    <w:rsid w:val="2EA94167"/>
    <w:rsid w:val="2EB060C2"/>
    <w:rsid w:val="2EB07E70"/>
    <w:rsid w:val="2EB931C8"/>
    <w:rsid w:val="2EC00691"/>
    <w:rsid w:val="2EC4391B"/>
    <w:rsid w:val="2EEF4485"/>
    <w:rsid w:val="2EF97A69"/>
    <w:rsid w:val="2F02792B"/>
    <w:rsid w:val="2F2B5748"/>
    <w:rsid w:val="2F414F6C"/>
    <w:rsid w:val="2F4B5DEA"/>
    <w:rsid w:val="2F763CAE"/>
    <w:rsid w:val="2F792957"/>
    <w:rsid w:val="2FDF661F"/>
    <w:rsid w:val="2FE06533"/>
    <w:rsid w:val="2FF26266"/>
    <w:rsid w:val="2FF342E1"/>
    <w:rsid w:val="2FF95846"/>
    <w:rsid w:val="2FFD70E5"/>
    <w:rsid w:val="300C557A"/>
    <w:rsid w:val="30211D37"/>
    <w:rsid w:val="30275F10"/>
    <w:rsid w:val="30350445"/>
    <w:rsid w:val="30474804"/>
    <w:rsid w:val="305E4463"/>
    <w:rsid w:val="30800E79"/>
    <w:rsid w:val="30823A8E"/>
    <w:rsid w:val="308C054E"/>
    <w:rsid w:val="30A77050"/>
    <w:rsid w:val="30B67293"/>
    <w:rsid w:val="30C85944"/>
    <w:rsid w:val="30EB33E1"/>
    <w:rsid w:val="30F524B2"/>
    <w:rsid w:val="3111173F"/>
    <w:rsid w:val="3115045E"/>
    <w:rsid w:val="31191667"/>
    <w:rsid w:val="3135465C"/>
    <w:rsid w:val="315E3BB3"/>
    <w:rsid w:val="31684A32"/>
    <w:rsid w:val="316A07AA"/>
    <w:rsid w:val="316D6254"/>
    <w:rsid w:val="317E4EA6"/>
    <w:rsid w:val="31824207"/>
    <w:rsid w:val="318D4877"/>
    <w:rsid w:val="3199108F"/>
    <w:rsid w:val="31B45EC9"/>
    <w:rsid w:val="31B53264"/>
    <w:rsid w:val="31B9478C"/>
    <w:rsid w:val="31BE163D"/>
    <w:rsid w:val="31BE4652"/>
    <w:rsid w:val="31CC4FC0"/>
    <w:rsid w:val="31CF685F"/>
    <w:rsid w:val="32036508"/>
    <w:rsid w:val="32097F6C"/>
    <w:rsid w:val="32252923"/>
    <w:rsid w:val="324803BF"/>
    <w:rsid w:val="326F1DF0"/>
    <w:rsid w:val="32786EF6"/>
    <w:rsid w:val="328B4E7C"/>
    <w:rsid w:val="32B76B39"/>
    <w:rsid w:val="32D01089"/>
    <w:rsid w:val="32DB1233"/>
    <w:rsid w:val="32E20814"/>
    <w:rsid w:val="32ED1692"/>
    <w:rsid w:val="3317670F"/>
    <w:rsid w:val="331A1D5C"/>
    <w:rsid w:val="331C3D26"/>
    <w:rsid w:val="33264961"/>
    <w:rsid w:val="332E1CAB"/>
    <w:rsid w:val="3350577D"/>
    <w:rsid w:val="338C6427"/>
    <w:rsid w:val="33D53ED4"/>
    <w:rsid w:val="33D97E69"/>
    <w:rsid w:val="342C61EA"/>
    <w:rsid w:val="3442156A"/>
    <w:rsid w:val="344C4587"/>
    <w:rsid w:val="34677222"/>
    <w:rsid w:val="347A51A8"/>
    <w:rsid w:val="347D6A46"/>
    <w:rsid w:val="34825E0A"/>
    <w:rsid w:val="34833930"/>
    <w:rsid w:val="34A75871"/>
    <w:rsid w:val="34C44675"/>
    <w:rsid w:val="34E012E4"/>
    <w:rsid w:val="34E940DB"/>
    <w:rsid w:val="34FB3F48"/>
    <w:rsid w:val="35002F66"/>
    <w:rsid w:val="35042CC3"/>
    <w:rsid w:val="350B4D3C"/>
    <w:rsid w:val="350B5E00"/>
    <w:rsid w:val="35154ED0"/>
    <w:rsid w:val="35296E74"/>
    <w:rsid w:val="352F698B"/>
    <w:rsid w:val="35335357"/>
    <w:rsid w:val="35633E8E"/>
    <w:rsid w:val="35647C06"/>
    <w:rsid w:val="358F4C83"/>
    <w:rsid w:val="3599165E"/>
    <w:rsid w:val="35B04BF9"/>
    <w:rsid w:val="35BF4E3C"/>
    <w:rsid w:val="35CD1307"/>
    <w:rsid w:val="35DE1766"/>
    <w:rsid w:val="360311CD"/>
    <w:rsid w:val="36121410"/>
    <w:rsid w:val="361311BE"/>
    <w:rsid w:val="361E7DB5"/>
    <w:rsid w:val="36372C24"/>
    <w:rsid w:val="363C7CCA"/>
    <w:rsid w:val="363E0457"/>
    <w:rsid w:val="365657A0"/>
    <w:rsid w:val="36630477"/>
    <w:rsid w:val="366A124C"/>
    <w:rsid w:val="369D1D15"/>
    <w:rsid w:val="36A52284"/>
    <w:rsid w:val="36A71B58"/>
    <w:rsid w:val="36D36DF1"/>
    <w:rsid w:val="36F62AE0"/>
    <w:rsid w:val="371F2036"/>
    <w:rsid w:val="373F7FE3"/>
    <w:rsid w:val="374970B3"/>
    <w:rsid w:val="374C2700"/>
    <w:rsid w:val="37521A1A"/>
    <w:rsid w:val="376E2676"/>
    <w:rsid w:val="37B564F7"/>
    <w:rsid w:val="37C87FD8"/>
    <w:rsid w:val="37D22358"/>
    <w:rsid w:val="37D56B99"/>
    <w:rsid w:val="3831015E"/>
    <w:rsid w:val="38657F1D"/>
    <w:rsid w:val="387939C8"/>
    <w:rsid w:val="388F3B6A"/>
    <w:rsid w:val="38BB18EB"/>
    <w:rsid w:val="38C22C79"/>
    <w:rsid w:val="38C764E2"/>
    <w:rsid w:val="38DA31E9"/>
    <w:rsid w:val="38FC30DE"/>
    <w:rsid w:val="392751D2"/>
    <w:rsid w:val="393B0C7E"/>
    <w:rsid w:val="39557F91"/>
    <w:rsid w:val="396F26D5"/>
    <w:rsid w:val="397B72CC"/>
    <w:rsid w:val="39A419E9"/>
    <w:rsid w:val="39BC1FB5"/>
    <w:rsid w:val="39D215E2"/>
    <w:rsid w:val="39D42A70"/>
    <w:rsid w:val="39E62997"/>
    <w:rsid w:val="39E9692C"/>
    <w:rsid w:val="39F94DC1"/>
    <w:rsid w:val="3A201B04"/>
    <w:rsid w:val="3A257964"/>
    <w:rsid w:val="3A2D4A6A"/>
    <w:rsid w:val="3A3000B7"/>
    <w:rsid w:val="3A327AF0"/>
    <w:rsid w:val="3A455DE9"/>
    <w:rsid w:val="3A494FC3"/>
    <w:rsid w:val="3A655FB2"/>
    <w:rsid w:val="3A695377"/>
    <w:rsid w:val="3A6D30B9"/>
    <w:rsid w:val="3A7206CF"/>
    <w:rsid w:val="3A791A5E"/>
    <w:rsid w:val="3A816B64"/>
    <w:rsid w:val="3A856654"/>
    <w:rsid w:val="3A931309"/>
    <w:rsid w:val="3ACC4283"/>
    <w:rsid w:val="3AD4138A"/>
    <w:rsid w:val="3AE55345"/>
    <w:rsid w:val="3AE673F9"/>
    <w:rsid w:val="3AFE0832"/>
    <w:rsid w:val="3B07350D"/>
    <w:rsid w:val="3B201ED9"/>
    <w:rsid w:val="3B247C1B"/>
    <w:rsid w:val="3B286FE0"/>
    <w:rsid w:val="3B3140E6"/>
    <w:rsid w:val="3B6E0635"/>
    <w:rsid w:val="3BC431AC"/>
    <w:rsid w:val="3BE23E3E"/>
    <w:rsid w:val="3C0435A9"/>
    <w:rsid w:val="3C11422C"/>
    <w:rsid w:val="3C1E0B0E"/>
    <w:rsid w:val="3C1F4AB7"/>
    <w:rsid w:val="3C236125"/>
    <w:rsid w:val="3C300842"/>
    <w:rsid w:val="3C3709A6"/>
    <w:rsid w:val="3C395948"/>
    <w:rsid w:val="3C5C5193"/>
    <w:rsid w:val="3C931E2D"/>
    <w:rsid w:val="3C942B7F"/>
    <w:rsid w:val="3CA37266"/>
    <w:rsid w:val="3CBD46F4"/>
    <w:rsid w:val="3CC33464"/>
    <w:rsid w:val="3CCB40C7"/>
    <w:rsid w:val="3CCF3BB7"/>
    <w:rsid w:val="3CCF5BB2"/>
    <w:rsid w:val="3CEB325F"/>
    <w:rsid w:val="3D023F41"/>
    <w:rsid w:val="3D053A7C"/>
    <w:rsid w:val="3D0C6BB9"/>
    <w:rsid w:val="3D2739F3"/>
    <w:rsid w:val="3D3305EA"/>
    <w:rsid w:val="3D505024"/>
    <w:rsid w:val="3D5176E7"/>
    <w:rsid w:val="3D74475E"/>
    <w:rsid w:val="3D85287D"/>
    <w:rsid w:val="3D9D1F07"/>
    <w:rsid w:val="3DA768E2"/>
    <w:rsid w:val="3DAB4624"/>
    <w:rsid w:val="3DAC5CA6"/>
    <w:rsid w:val="3DB42DAD"/>
    <w:rsid w:val="3DC70D32"/>
    <w:rsid w:val="3DD35929"/>
    <w:rsid w:val="3DD978AB"/>
    <w:rsid w:val="3DF80EEB"/>
    <w:rsid w:val="3E1321C9"/>
    <w:rsid w:val="3E1A5306"/>
    <w:rsid w:val="3E3F2FBE"/>
    <w:rsid w:val="3E642A25"/>
    <w:rsid w:val="3E657C0C"/>
    <w:rsid w:val="3E6A003B"/>
    <w:rsid w:val="3E742C68"/>
    <w:rsid w:val="3E810EE1"/>
    <w:rsid w:val="3EA352FB"/>
    <w:rsid w:val="3EBA43F3"/>
    <w:rsid w:val="3ECF4342"/>
    <w:rsid w:val="3ED6397F"/>
    <w:rsid w:val="3EE24DA0"/>
    <w:rsid w:val="3EE53B65"/>
    <w:rsid w:val="3EFB6EE5"/>
    <w:rsid w:val="3EFE0783"/>
    <w:rsid w:val="3F112034"/>
    <w:rsid w:val="3F1C50AD"/>
    <w:rsid w:val="3F4F5483"/>
    <w:rsid w:val="3F5B3E28"/>
    <w:rsid w:val="3F5E7474"/>
    <w:rsid w:val="3F6525B0"/>
    <w:rsid w:val="3F656A54"/>
    <w:rsid w:val="3F6640D4"/>
    <w:rsid w:val="3F7B0026"/>
    <w:rsid w:val="3F8073EA"/>
    <w:rsid w:val="3FBE0DDF"/>
    <w:rsid w:val="3FC26E5E"/>
    <w:rsid w:val="3FCF2120"/>
    <w:rsid w:val="3FD872AB"/>
    <w:rsid w:val="3FE13306"/>
    <w:rsid w:val="3FE47979"/>
    <w:rsid w:val="3FEB6F5A"/>
    <w:rsid w:val="3FFC233E"/>
    <w:rsid w:val="4010076E"/>
    <w:rsid w:val="402E6E46"/>
    <w:rsid w:val="4037219F"/>
    <w:rsid w:val="40440413"/>
    <w:rsid w:val="40692574"/>
    <w:rsid w:val="406B3BF6"/>
    <w:rsid w:val="407231D7"/>
    <w:rsid w:val="40826BF1"/>
    <w:rsid w:val="40833636"/>
    <w:rsid w:val="408F1FDB"/>
    <w:rsid w:val="40972C3D"/>
    <w:rsid w:val="40C15F0C"/>
    <w:rsid w:val="40C26C22"/>
    <w:rsid w:val="40CD48B1"/>
    <w:rsid w:val="40E439A9"/>
    <w:rsid w:val="40E63BC5"/>
    <w:rsid w:val="410D2F00"/>
    <w:rsid w:val="411424E0"/>
    <w:rsid w:val="411845A3"/>
    <w:rsid w:val="41210759"/>
    <w:rsid w:val="4125649B"/>
    <w:rsid w:val="41285F8B"/>
    <w:rsid w:val="412A5B99"/>
    <w:rsid w:val="415156AA"/>
    <w:rsid w:val="418A27A2"/>
    <w:rsid w:val="41A15C12"/>
    <w:rsid w:val="41A575DC"/>
    <w:rsid w:val="41CD40DC"/>
    <w:rsid w:val="41EA4FEF"/>
    <w:rsid w:val="42134546"/>
    <w:rsid w:val="423170C2"/>
    <w:rsid w:val="42380450"/>
    <w:rsid w:val="42442951"/>
    <w:rsid w:val="425D7468"/>
    <w:rsid w:val="42666D6B"/>
    <w:rsid w:val="4292190E"/>
    <w:rsid w:val="42933225"/>
    <w:rsid w:val="43036368"/>
    <w:rsid w:val="430D5439"/>
    <w:rsid w:val="432033BE"/>
    <w:rsid w:val="432804C5"/>
    <w:rsid w:val="43282273"/>
    <w:rsid w:val="432D7889"/>
    <w:rsid w:val="43340C18"/>
    <w:rsid w:val="434B5F61"/>
    <w:rsid w:val="434D1CD9"/>
    <w:rsid w:val="43713C1A"/>
    <w:rsid w:val="43790D20"/>
    <w:rsid w:val="43946E30"/>
    <w:rsid w:val="439E2535"/>
    <w:rsid w:val="439F6668"/>
    <w:rsid w:val="43C26223"/>
    <w:rsid w:val="43D85A47"/>
    <w:rsid w:val="43DD12AF"/>
    <w:rsid w:val="43E73EDC"/>
    <w:rsid w:val="4439400C"/>
    <w:rsid w:val="44507CD3"/>
    <w:rsid w:val="445826E4"/>
    <w:rsid w:val="44650D7A"/>
    <w:rsid w:val="447F2366"/>
    <w:rsid w:val="448160DE"/>
    <w:rsid w:val="448C05DF"/>
    <w:rsid w:val="449C6A74"/>
    <w:rsid w:val="449D0A3E"/>
    <w:rsid w:val="44A27E03"/>
    <w:rsid w:val="44E93C84"/>
    <w:rsid w:val="44F22B38"/>
    <w:rsid w:val="44F763A1"/>
    <w:rsid w:val="45012D7B"/>
    <w:rsid w:val="450B3BFA"/>
    <w:rsid w:val="450E4744"/>
    <w:rsid w:val="45237196"/>
    <w:rsid w:val="45392515"/>
    <w:rsid w:val="455166AF"/>
    <w:rsid w:val="456D21BF"/>
    <w:rsid w:val="45833790"/>
    <w:rsid w:val="459736E0"/>
    <w:rsid w:val="45A87B69"/>
    <w:rsid w:val="45AA3413"/>
    <w:rsid w:val="45BB5620"/>
    <w:rsid w:val="45F4643C"/>
    <w:rsid w:val="45FB77CB"/>
    <w:rsid w:val="46454EEA"/>
    <w:rsid w:val="464C1B5B"/>
    <w:rsid w:val="46733805"/>
    <w:rsid w:val="467343EC"/>
    <w:rsid w:val="468679DC"/>
    <w:rsid w:val="4689127A"/>
    <w:rsid w:val="469B0FAE"/>
    <w:rsid w:val="46A71700"/>
    <w:rsid w:val="46B90391"/>
    <w:rsid w:val="46BF2EEE"/>
    <w:rsid w:val="46C6602A"/>
    <w:rsid w:val="46DC75FC"/>
    <w:rsid w:val="46EB0621"/>
    <w:rsid w:val="47152B0E"/>
    <w:rsid w:val="47187B6D"/>
    <w:rsid w:val="47305B9A"/>
    <w:rsid w:val="474253F9"/>
    <w:rsid w:val="474F4272"/>
    <w:rsid w:val="47567CDA"/>
    <w:rsid w:val="47637D1D"/>
    <w:rsid w:val="47747BDC"/>
    <w:rsid w:val="478657BA"/>
    <w:rsid w:val="47AC1A38"/>
    <w:rsid w:val="47AF4D11"/>
    <w:rsid w:val="47CA56A6"/>
    <w:rsid w:val="47D6229D"/>
    <w:rsid w:val="47F170D7"/>
    <w:rsid w:val="47FA3CDB"/>
    <w:rsid w:val="47FE35A2"/>
    <w:rsid w:val="48403BBB"/>
    <w:rsid w:val="484C6A03"/>
    <w:rsid w:val="486A6E89"/>
    <w:rsid w:val="48855A71"/>
    <w:rsid w:val="48A405ED"/>
    <w:rsid w:val="48AC020A"/>
    <w:rsid w:val="48BD520B"/>
    <w:rsid w:val="48C20A74"/>
    <w:rsid w:val="48DA5DBD"/>
    <w:rsid w:val="493A685C"/>
    <w:rsid w:val="493F0316"/>
    <w:rsid w:val="494D7DB7"/>
    <w:rsid w:val="497F0713"/>
    <w:rsid w:val="49845D29"/>
    <w:rsid w:val="498875C7"/>
    <w:rsid w:val="49B52386"/>
    <w:rsid w:val="49B605D8"/>
    <w:rsid w:val="49CC7DFC"/>
    <w:rsid w:val="49D071C0"/>
    <w:rsid w:val="49E669E4"/>
    <w:rsid w:val="49E85EFC"/>
    <w:rsid w:val="49EA352C"/>
    <w:rsid w:val="4A0155CC"/>
    <w:rsid w:val="4A1A7EB8"/>
    <w:rsid w:val="4A2C0CE9"/>
    <w:rsid w:val="4A563C41"/>
    <w:rsid w:val="4A5B1180"/>
    <w:rsid w:val="4A653DAC"/>
    <w:rsid w:val="4A7364C9"/>
    <w:rsid w:val="4A873D23"/>
    <w:rsid w:val="4AAE5753"/>
    <w:rsid w:val="4AB4263E"/>
    <w:rsid w:val="4ABB577A"/>
    <w:rsid w:val="4AF13892"/>
    <w:rsid w:val="4AFB07F0"/>
    <w:rsid w:val="4B0B2FF9"/>
    <w:rsid w:val="4B103D18"/>
    <w:rsid w:val="4B1650A7"/>
    <w:rsid w:val="4B267AA2"/>
    <w:rsid w:val="4B3F63AB"/>
    <w:rsid w:val="4B683372"/>
    <w:rsid w:val="4B6F5933"/>
    <w:rsid w:val="4B7D6690"/>
    <w:rsid w:val="4B7E5B45"/>
    <w:rsid w:val="4B867F4D"/>
    <w:rsid w:val="4BBA1ED6"/>
    <w:rsid w:val="4BFC429C"/>
    <w:rsid w:val="4C003D8D"/>
    <w:rsid w:val="4C080E93"/>
    <w:rsid w:val="4C0B7985"/>
    <w:rsid w:val="4C251A45"/>
    <w:rsid w:val="4C293EB0"/>
    <w:rsid w:val="4C2C5AEC"/>
    <w:rsid w:val="4C35155C"/>
    <w:rsid w:val="4C523EBC"/>
    <w:rsid w:val="4C575977"/>
    <w:rsid w:val="4C5C2F8D"/>
    <w:rsid w:val="4C675BBA"/>
    <w:rsid w:val="4C7170B3"/>
    <w:rsid w:val="4C9D15DC"/>
    <w:rsid w:val="4CB87585"/>
    <w:rsid w:val="4CBB5F06"/>
    <w:rsid w:val="4CBD57DA"/>
    <w:rsid w:val="4CD60F91"/>
    <w:rsid w:val="4CDD7C2A"/>
    <w:rsid w:val="4CE70AA9"/>
    <w:rsid w:val="4CF17B79"/>
    <w:rsid w:val="4CF3569F"/>
    <w:rsid w:val="4D207E00"/>
    <w:rsid w:val="4D3161C8"/>
    <w:rsid w:val="4D36558C"/>
    <w:rsid w:val="4D493511"/>
    <w:rsid w:val="4D50068C"/>
    <w:rsid w:val="4D5325E2"/>
    <w:rsid w:val="4D533747"/>
    <w:rsid w:val="4D7A5D81"/>
    <w:rsid w:val="4D7E0706"/>
    <w:rsid w:val="4D8F6F36"/>
    <w:rsid w:val="4D907392"/>
    <w:rsid w:val="4D9E0548"/>
    <w:rsid w:val="4DAE15C6"/>
    <w:rsid w:val="4DC50327"/>
    <w:rsid w:val="4DEF230B"/>
    <w:rsid w:val="4E127DA7"/>
    <w:rsid w:val="4E1365B0"/>
    <w:rsid w:val="4E191136"/>
    <w:rsid w:val="4E2D2160"/>
    <w:rsid w:val="4E361CE8"/>
    <w:rsid w:val="4E61488B"/>
    <w:rsid w:val="4E683E6B"/>
    <w:rsid w:val="4E937284"/>
    <w:rsid w:val="4E992277"/>
    <w:rsid w:val="4EA32381"/>
    <w:rsid w:val="4EAC3D58"/>
    <w:rsid w:val="4EC54E1A"/>
    <w:rsid w:val="4EEF1E97"/>
    <w:rsid w:val="4EFC6876"/>
    <w:rsid w:val="4F066196"/>
    <w:rsid w:val="4F111E0D"/>
    <w:rsid w:val="4F270810"/>
    <w:rsid w:val="4F672375"/>
    <w:rsid w:val="4F7A3E56"/>
    <w:rsid w:val="4FA048FA"/>
    <w:rsid w:val="4FA26F09"/>
    <w:rsid w:val="4FB73780"/>
    <w:rsid w:val="4FDA328D"/>
    <w:rsid w:val="4FEB4D54"/>
    <w:rsid w:val="4FF22045"/>
    <w:rsid w:val="4FF736F9"/>
    <w:rsid w:val="500100D3"/>
    <w:rsid w:val="50146059"/>
    <w:rsid w:val="50210776"/>
    <w:rsid w:val="503C110B"/>
    <w:rsid w:val="504B75A0"/>
    <w:rsid w:val="504D50C7"/>
    <w:rsid w:val="50566671"/>
    <w:rsid w:val="50A73E3F"/>
    <w:rsid w:val="50AD2009"/>
    <w:rsid w:val="50B408C4"/>
    <w:rsid w:val="50BB0282"/>
    <w:rsid w:val="50C3182D"/>
    <w:rsid w:val="50EA4A7B"/>
    <w:rsid w:val="50F32112"/>
    <w:rsid w:val="50F76951"/>
    <w:rsid w:val="510542EB"/>
    <w:rsid w:val="51172DA0"/>
    <w:rsid w:val="515661FD"/>
    <w:rsid w:val="515D3A2F"/>
    <w:rsid w:val="516A1CA8"/>
    <w:rsid w:val="517D5E7F"/>
    <w:rsid w:val="519A07DF"/>
    <w:rsid w:val="51B353FD"/>
    <w:rsid w:val="51C04AD1"/>
    <w:rsid w:val="51D81308"/>
    <w:rsid w:val="51FD6FE5"/>
    <w:rsid w:val="521340EE"/>
    <w:rsid w:val="52151C14"/>
    <w:rsid w:val="52173BDE"/>
    <w:rsid w:val="521A722A"/>
    <w:rsid w:val="521C2FA3"/>
    <w:rsid w:val="52554706"/>
    <w:rsid w:val="5278257F"/>
    <w:rsid w:val="527F6F1F"/>
    <w:rsid w:val="5285323E"/>
    <w:rsid w:val="52884ADC"/>
    <w:rsid w:val="52946FDD"/>
    <w:rsid w:val="52A116FA"/>
    <w:rsid w:val="52AB2578"/>
    <w:rsid w:val="52B4767F"/>
    <w:rsid w:val="52B61649"/>
    <w:rsid w:val="52C11D9C"/>
    <w:rsid w:val="52DE7654"/>
    <w:rsid w:val="52E8557B"/>
    <w:rsid w:val="52FF52F8"/>
    <w:rsid w:val="530A54F1"/>
    <w:rsid w:val="53185E60"/>
    <w:rsid w:val="531E7D28"/>
    <w:rsid w:val="532E7431"/>
    <w:rsid w:val="533D7674"/>
    <w:rsid w:val="535B7AFB"/>
    <w:rsid w:val="53682217"/>
    <w:rsid w:val="53771700"/>
    <w:rsid w:val="538F4EBB"/>
    <w:rsid w:val="53982AFD"/>
    <w:rsid w:val="53B536AF"/>
    <w:rsid w:val="53CE29C2"/>
    <w:rsid w:val="53D55AFF"/>
    <w:rsid w:val="540E1011"/>
    <w:rsid w:val="544F4A67"/>
    <w:rsid w:val="545253A1"/>
    <w:rsid w:val="54851C14"/>
    <w:rsid w:val="54C0055D"/>
    <w:rsid w:val="54C811C0"/>
    <w:rsid w:val="54C82D61"/>
    <w:rsid w:val="54D20290"/>
    <w:rsid w:val="54E31B4D"/>
    <w:rsid w:val="54EA7388"/>
    <w:rsid w:val="54EF470E"/>
    <w:rsid w:val="54FF095A"/>
    <w:rsid w:val="550146D2"/>
    <w:rsid w:val="55254864"/>
    <w:rsid w:val="552A59D6"/>
    <w:rsid w:val="55434CEA"/>
    <w:rsid w:val="55472A2C"/>
    <w:rsid w:val="554F368F"/>
    <w:rsid w:val="556047A1"/>
    <w:rsid w:val="55653CC5"/>
    <w:rsid w:val="556B0F8A"/>
    <w:rsid w:val="55825812"/>
    <w:rsid w:val="55943798"/>
    <w:rsid w:val="55A0213D"/>
    <w:rsid w:val="55AF412E"/>
    <w:rsid w:val="55B17EA6"/>
    <w:rsid w:val="55B55BE8"/>
    <w:rsid w:val="55BB0D24"/>
    <w:rsid w:val="55D10548"/>
    <w:rsid w:val="55DB0393"/>
    <w:rsid w:val="55FF50B5"/>
    <w:rsid w:val="560A5808"/>
    <w:rsid w:val="561B0C94"/>
    <w:rsid w:val="56503A33"/>
    <w:rsid w:val="56660C90"/>
    <w:rsid w:val="56694C24"/>
    <w:rsid w:val="566A3429"/>
    <w:rsid w:val="567F7FA4"/>
    <w:rsid w:val="56A15CDA"/>
    <w:rsid w:val="56B60B6E"/>
    <w:rsid w:val="56E524FD"/>
    <w:rsid w:val="570D1A54"/>
    <w:rsid w:val="57212E09"/>
    <w:rsid w:val="572F19CA"/>
    <w:rsid w:val="5753390A"/>
    <w:rsid w:val="57596A47"/>
    <w:rsid w:val="576F626A"/>
    <w:rsid w:val="57827D4C"/>
    <w:rsid w:val="578527F9"/>
    <w:rsid w:val="578F4443"/>
    <w:rsid w:val="57A9177C"/>
    <w:rsid w:val="57D83E10"/>
    <w:rsid w:val="57D90108"/>
    <w:rsid w:val="57FC0F59"/>
    <w:rsid w:val="580469B3"/>
    <w:rsid w:val="5805272B"/>
    <w:rsid w:val="58120A4B"/>
    <w:rsid w:val="581A4428"/>
    <w:rsid w:val="58562F86"/>
    <w:rsid w:val="5866766D"/>
    <w:rsid w:val="586A5680"/>
    <w:rsid w:val="58733B38"/>
    <w:rsid w:val="588E2720"/>
    <w:rsid w:val="58B32187"/>
    <w:rsid w:val="58B71C77"/>
    <w:rsid w:val="58CD4FF7"/>
    <w:rsid w:val="58D62013"/>
    <w:rsid w:val="58F20F01"/>
    <w:rsid w:val="590649AC"/>
    <w:rsid w:val="59525A79"/>
    <w:rsid w:val="596F2552"/>
    <w:rsid w:val="597933D0"/>
    <w:rsid w:val="598D4786"/>
    <w:rsid w:val="599E2E37"/>
    <w:rsid w:val="59AD2F81"/>
    <w:rsid w:val="59D46859"/>
    <w:rsid w:val="59EA7E2A"/>
    <w:rsid w:val="59F111B9"/>
    <w:rsid w:val="5A225816"/>
    <w:rsid w:val="5A2E5F69"/>
    <w:rsid w:val="5A3572F7"/>
    <w:rsid w:val="5A5534F6"/>
    <w:rsid w:val="5A5A6D5E"/>
    <w:rsid w:val="5A6776CD"/>
    <w:rsid w:val="5A6C6A91"/>
    <w:rsid w:val="5A6E2809"/>
    <w:rsid w:val="5A7D0C9E"/>
    <w:rsid w:val="5A8B6F17"/>
    <w:rsid w:val="5AB127C6"/>
    <w:rsid w:val="5AB741B0"/>
    <w:rsid w:val="5AC95C92"/>
    <w:rsid w:val="5AE40D1D"/>
    <w:rsid w:val="5AF820D3"/>
    <w:rsid w:val="5AFB5446"/>
    <w:rsid w:val="5B157129"/>
    <w:rsid w:val="5B21162A"/>
    <w:rsid w:val="5B4F1822"/>
    <w:rsid w:val="5B5A2D8E"/>
    <w:rsid w:val="5B5B0FE0"/>
    <w:rsid w:val="5B6A7475"/>
    <w:rsid w:val="5B7976B8"/>
    <w:rsid w:val="5BB407B3"/>
    <w:rsid w:val="5BB46942"/>
    <w:rsid w:val="5BC87CF7"/>
    <w:rsid w:val="5BCE29E3"/>
    <w:rsid w:val="5BD3501A"/>
    <w:rsid w:val="5BE005EF"/>
    <w:rsid w:val="5BF67B3F"/>
    <w:rsid w:val="5BFD3E45"/>
    <w:rsid w:val="5C043425"/>
    <w:rsid w:val="5C180C7F"/>
    <w:rsid w:val="5C1D48D3"/>
    <w:rsid w:val="5C2137C1"/>
    <w:rsid w:val="5C3830CF"/>
    <w:rsid w:val="5C44616D"/>
    <w:rsid w:val="5C4A2E02"/>
    <w:rsid w:val="5C4C22FA"/>
    <w:rsid w:val="5C50666A"/>
    <w:rsid w:val="5C545A2F"/>
    <w:rsid w:val="5C5D48E3"/>
    <w:rsid w:val="5C675762"/>
    <w:rsid w:val="5CA173CB"/>
    <w:rsid w:val="5CB14C2F"/>
    <w:rsid w:val="5CBF47F4"/>
    <w:rsid w:val="5CD83CD5"/>
    <w:rsid w:val="5D0D6B67"/>
    <w:rsid w:val="5D172CE4"/>
    <w:rsid w:val="5D192F00"/>
    <w:rsid w:val="5D1C654D"/>
    <w:rsid w:val="5D283143"/>
    <w:rsid w:val="5D487342"/>
    <w:rsid w:val="5D665AE6"/>
    <w:rsid w:val="5D6C64B2"/>
    <w:rsid w:val="5D7243BE"/>
    <w:rsid w:val="5D7F2AAD"/>
    <w:rsid w:val="5D997B9D"/>
    <w:rsid w:val="5DBF512A"/>
    <w:rsid w:val="5DCA5FA9"/>
    <w:rsid w:val="5DE27796"/>
    <w:rsid w:val="5DE66B5A"/>
    <w:rsid w:val="5DF272AD"/>
    <w:rsid w:val="5E015742"/>
    <w:rsid w:val="5E0A45F7"/>
    <w:rsid w:val="5E162F9C"/>
    <w:rsid w:val="5E2A2EEB"/>
    <w:rsid w:val="5E3842C2"/>
    <w:rsid w:val="5E385608"/>
    <w:rsid w:val="5E457D25"/>
    <w:rsid w:val="5E465F58"/>
    <w:rsid w:val="5E4966A0"/>
    <w:rsid w:val="5E4A6B29"/>
    <w:rsid w:val="5E523A51"/>
    <w:rsid w:val="5E68756F"/>
    <w:rsid w:val="5E6A07C9"/>
    <w:rsid w:val="5E6A32E8"/>
    <w:rsid w:val="5E80554F"/>
    <w:rsid w:val="5E824AD5"/>
    <w:rsid w:val="5EA54320"/>
    <w:rsid w:val="5EC7073A"/>
    <w:rsid w:val="5EF86B45"/>
    <w:rsid w:val="5F0B4ACB"/>
    <w:rsid w:val="5F1323DD"/>
    <w:rsid w:val="5F137C13"/>
    <w:rsid w:val="5F2326A3"/>
    <w:rsid w:val="5F2B2A77"/>
    <w:rsid w:val="5F3A53B0"/>
    <w:rsid w:val="5F667F53"/>
    <w:rsid w:val="5F6D529B"/>
    <w:rsid w:val="5F702B80"/>
    <w:rsid w:val="5F8577A9"/>
    <w:rsid w:val="5F917BC6"/>
    <w:rsid w:val="5F950838"/>
    <w:rsid w:val="5FA2748E"/>
    <w:rsid w:val="5FB84304"/>
    <w:rsid w:val="5FBC5DC5"/>
    <w:rsid w:val="60000AD9"/>
    <w:rsid w:val="600F4147"/>
    <w:rsid w:val="60285208"/>
    <w:rsid w:val="60597AB8"/>
    <w:rsid w:val="60681AA9"/>
    <w:rsid w:val="607466A0"/>
    <w:rsid w:val="6082700E"/>
    <w:rsid w:val="60846CD3"/>
    <w:rsid w:val="609603C4"/>
    <w:rsid w:val="609A4358"/>
    <w:rsid w:val="609B1E7E"/>
    <w:rsid w:val="609D5BF6"/>
    <w:rsid w:val="60A056E7"/>
    <w:rsid w:val="60B13450"/>
    <w:rsid w:val="60C2740B"/>
    <w:rsid w:val="60D31CC9"/>
    <w:rsid w:val="60E70C20"/>
    <w:rsid w:val="612400C6"/>
    <w:rsid w:val="615D7134"/>
    <w:rsid w:val="61880654"/>
    <w:rsid w:val="618F340F"/>
    <w:rsid w:val="61B531E9"/>
    <w:rsid w:val="61BF1B9C"/>
    <w:rsid w:val="61DF5D9B"/>
    <w:rsid w:val="61E343EA"/>
    <w:rsid w:val="61F53810"/>
    <w:rsid w:val="61F950AE"/>
    <w:rsid w:val="61FE26C5"/>
    <w:rsid w:val="620717DB"/>
    <w:rsid w:val="62157A0E"/>
    <w:rsid w:val="622579AB"/>
    <w:rsid w:val="622D29C6"/>
    <w:rsid w:val="623460E6"/>
    <w:rsid w:val="623B7475"/>
    <w:rsid w:val="625E1DF1"/>
    <w:rsid w:val="627C183B"/>
    <w:rsid w:val="62B92A90"/>
    <w:rsid w:val="62CA25A7"/>
    <w:rsid w:val="6300246C"/>
    <w:rsid w:val="630737FB"/>
    <w:rsid w:val="630A6E47"/>
    <w:rsid w:val="631C1056"/>
    <w:rsid w:val="633B16F7"/>
    <w:rsid w:val="63516D28"/>
    <w:rsid w:val="63640C4D"/>
    <w:rsid w:val="636522D0"/>
    <w:rsid w:val="63957059"/>
    <w:rsid w:val="63A94DAB"/>
    <w:rsid w:val="63B144DB"/>
    <w:rsid w:val="63B24660"/>
    <w:rsid w:val="63B64775"/>
    <w:rsid w:val="63B95F2E"/>
    <w:rsid w:val="63BD3EBA"/>
    <w:rsid w:val="64204EDE"/>
    <w:rsid w:val="64243F39"/>
    <w:rsid w:val="642F4DB7"/>
    <w:rsid w:val="64416899"/>
    <w:rsid w:val="64485E79"/>
    <w:rsid w:val="646627A3"/>
    <w:rsid w:val="64790728"/>
    <w:rsid w:val="64A07A63"/>
    <w:rsid w:val="64AD31E4"/>
    <w:rsid w:val="64B27796"/>
    <w:rsid w:val="64EF2799"/>
    <w:rsid w:val="6503095F"/>
    <w:rsid w:val="651673BB"/>
    <w:rsid w:val="6518584B"/>
    <w:rsid w:val="652A1A23"/>
    <w:rsid w:val="653D1756"/>
    <w:rsid w:val="65562818"/>
    <w:rsid w:val="6568285E"/>
    <w:rsid w:val="656F7435"/>
    <w:rsid w:val="65736F26"/>
    <w:rsid w:val="65A73073"/>
    <w:rsid w:val="65B37C6A"/>
    <w:rsid w:val="65CF7132"/>
    <w:rsid w:val="65DC0F6F"/>
    <w:rsid w:val="65FA13F5"/>
    <w:rsid w:val="66034A69"/>
    <w:rsid w:val="660A5ADC"/>
    <w:rsid w:val="6616565A"/>
    <w:rsid w:val="66252916"/>
    <w:rsid w:val="66630D48"/>
    <w:rsid w:val="666D7E19"/>
    <w:rsid w:val="667558EB"/>
    <w:rsid w:val="66915709"/>
    <w:rsid w:val="6694184A"/>
    <w:rsid w:val="66A745DE"/>
    <w:rsid w:val="66D93700"/>
    <w:rsid w:val="66DC0AFB"/>
    <w:rsid w:val="66EA3218"/>
    <w:rsid w:val="672C3830"/>
    <w:rsid w:val="67492634"/>
    <w:rsid w:val="675B6AFA"/>
    <w:rsid w:val="675F3C06"/>
    <w:rsid w:val="6764121C"/>
    <w:rsid w:val="67C63C85"/>
    <w:rsid w:val="67C644F4"/>
    <w:rsid w:val="67CB129B"/>
    <w:rsid w:val="67DF6AF4"/>
    <w:rsid w:val="67F325A0"/>
    <w:rsid w:val="67F3434E"/>
    <w:rsid w:val="67F87BB6"/>
    <w:rsid w:val="67FC5FAD"/>
    <w:rsid w:val="67FD5046"/>
    <w:rsid w:val="681A7B2C"/>
    <w:rsid w:val="68386205"/>
    <w:rsid w:val="68415562"/>
    <w:rsid w:val="68460921"/>
    <w:rsid w:val="684E77D6"/>
    <w:rsid w:val="68664B20"/>
    <w:rsid w:val="68703BF0"/>
    <w:rsid w:val="68833924"/>
    <w:rsid w:val="68960EC0"/>
    <w:rsid w:val="689E250C"/>
    <w:rsid w:val="68A45648"/>
    <w:rsid w:val="68B43ADD"/>
    <w:rsid w:val="68CB7079"/>
    <w:rsid w:val="68CD530C"/>
    <w:rsid w:val="691D7E28"/>
    <w:rsid w:val="69272501"/>
    <w:rsid w:val="692C7B17"/>
    <w:rsid w:val="693C6565"/>
    <w:rsid w:val="694766FF"/>
    <w:rsid w:val="694A6CE4"/>
    <w:rsid w:val="694E49CE"/>
    <w:rsid w:val="69545323"/>
    <w:rsid w:val="695E1C9B"/>
    <w:rsid w:val="69717C3A"/>
    <w:rsid w:val="698E07D2"/>
    <w:rsid w:val="69937B96"/>
    <w:rsid w:val="699E02E9"/>
    <w:rsid w:val="69A022B3"/>
    <w:rsid w:val="69B6529F"/>
    <w:rsid w:val="69BA15C7"/>
    <w:rsid w:val="69C67F6C"/>
    <w:rsid w:val="69CF15BF"/>
    <w:rsid w:val="6A0445F0"/>
    <w:rsid w:val="6A0C16F7"/>
    <w:rsid w:val="6A311BF3"/>
    <w:rsid w:val="6A381010"/>
    <w:rsid w:val="6A462E5B"/>
    <w:rsid w:val="6A4E61B3"/>
    <w:rsid w:val="6A505A87"/>
    <w:rsid w:val="6A7D22F9"/>
    <w:rsid w:val="6A8B2F63"/>
    <w:rsid w:val="6A927E4E"/>
    <w:rsid w:val="6A9811DC"/>
    <w:rsid w:val="6AA67D9D"/>
    <w:rsid w:val="6ABB4935"/>
    <w:rsid w:val="6B036F9E"/>
    <w:rsid w:val="6B2C02A3"/>
    <w:rsid w:val="6B431148"/>
    <w:rsid w:val="6B4B624F"/>
    <w:rsid w:val="6B563571"/>
    <w:rsid w:val="6B657311"/>
    <w:rsid w:val="6B8F25DF"/>
    <w:rsid w:val="6B947BF6"/>
    <w:rsid w:val="6B99520C"/>
    <w:rsid w:val="6B9D4CFC"/>
    <w:rsid w:val="6B9D6AAA"/>
    <w:rsid w:val="6BA306E0"/>
    <w:rsid w:val="6BA50055"/>
    <w:rsid w:val="6BAA11C7"/>
    <w:rsid w:val="6BDB75D3"/>
    <w:rsid w:val="6BE20961"/>
    <w:rsid w:val="6BF52432"/>
    <w:rsid w:val="6C0E79A8"/>
    <w:rsid w:val="6C1D408F"/>
    <w:rsid w:val="6C2076DB"/>
    <w:rsid w:val="6C354F35"/>
    <w:rsid w:val="6C663340"/>
    <w:rsid w:val="6C6E0072"/>
    <w:rsid w:val="6C81461E"/>
    <w:rsid w:val="6C841A18"/>
    <w:rsid w:val="6CA8683F"/>
    <w:rsid w:val="6CB467A2"/>
    <w:rsid w:val="6CCF5389"/>
    <w:rsid w:val="6CD56718"/>
    <w:rsid w:val="6CE10C19"/>
    <w:rsid w:val="6CE8644B"/>
    <w:rsid w:val="6CEA055B"/>
    <w:rsid w:val="6CFC3CA5"/>
    <w:rsid w:val="6D111097"/>
    <w:rsid w:val="6D215A53"/>
    <w:rsid w:val="6D2A6A64"/>
    <w:rsid w:val="6D2C27DC"/>
    <w:rsid w:val="6D306804"/>
    <w:rsid w:val="6D4D066F"/>
    <w:rsid w:val="6D6751A2"/>
    <w:rsid w:val="6D6B4986"/>
    <w:rsid w:val="6D7D4DE5"/>
    <w:rsid w:val="6D924450"/>
    <w:rsid w:val="6DB30807"/>
    <w:rsid w:val="6DC20A4A"/>
    <w:rsid w:val="6DEB3308"/>
    <w:rsid w:val="6E013C24"/>
    <w:rsid w:val="6E1F40EF"/>
    <w:rsid w:val="6E290AC9"/>
    <w:rsid w:val="6E34236A"/>
    <w:rsid w:val="6E436467"/>
    <w:rsid w:val="6E510020"/>
    <w:rsid w:val="6E5518BE"/>
    <w:rsid w:val="6E583473"/>
    <w:rsid w:val="6E744038"/>
    <w:rsid w:val="6E9248C1"/>
    <w:rsid w:val="6E9543B1"/>
    <w:rsid w:val="6E9737A6"/>
    <w:rsid w:val="6EAC5256"/>
    <w:rsid w:val="6EC627BC"/>
    <w:rsid w:val="6EDD79EB"/>
    <w:rsid w:val="6EF02054"/>
    <w:rsid w:val="6EF70BC7"/>
    <w:rsid w:val="6F255735"/>
    <w:rsid w:val="6F2B6AC3"/>
    <w:rsid w:val="6F433E0D"/>
    <w:rsid w:val="6F6D675F"/>
    <w:rsid w:val="6F6F075E"/>
    <w:rsid w:val="6F9D7671"/>
    <w:rsid w:val="6FB10D76"/>
    <w:rsid w:val="6FBF03FA"/>
    <w:rsid w:val="6FC41DD8"/>
    <w:rsid w:val="6FC80A6B"/>
    <w:rsid w:val="6FCA62DC"/>
    <w:rsid w:val="6FCF38F2"/>
    <w:rsid w:val="6FD74555"/>
    <w:rsid w:val="6FE70C3C"/>
    <w:rsid w:val="6FFE28AA"/>
    <w:rsid w:val="6FFE7D34"/>
    <w:rsid w:val="700B4C5A"/>
    <w:rsid w:val="7016507D"/>
    <w:rsid w:val="702B4C9D"/>
    <w:rsid w:val="7040034C"/>
    <w:rsid w:val="70671D7D"/>
    <w:rsid w:val="70781894"/>
    <w:rsid w:val="707F2C23"/>
    <w:rsid w:val="70840239"/>
    <w:rsid w:val="708B36A2"/>
    <w:rsid w:val="70932B72"/>
    <w:rsid w:val="7096357A"/>
    <w:rsid w:val="709A7A5C"/>
    <w:rsid w:val="70B623BC"/>
    <w:rsid w:val="70C04FE9"/>
    <w:rsid w:val="70D72A5F"/>
    <w:rsid w:val="70E707C8"/>
    <w:rsid w:val="710C7B0A"/>
    <w:rsid w:val="7121017E"/>
    <w:rsid w:val="71211F2C"/>
    <w:rsid w:val="71333A0D"/>
    <w:rsid w:val="7136650B"/>
    <w:rsid w:val="713F445D"/>
    <w:rsid w:val="71453E6C"/>
    <w:rsid w:val="715E6CDC"/>
    <w:rsid w:val="71662034"/>
    <w:rsid w:val="716B31A7"/>
    <w:rsid w:val="718C20A4"/>
    <w:rsid w:val="719026D2"/>
    <w:rsid w:val="71A072F4"/>
    <w:rsid w:val="71CB6626"/>
    <w:rsid w:val="71D64AC4"/>
    <w:rsid w:val="71E371E1"/>
    <w:rsid w:val="71F16034"/>
    <w:rsid w:val="720A6E64"/>
    <w:rsid w:val="723143F0"/>
    <w:rsid w:val="72442376"/>
    <w:rsid w:val="725A3947"/>
    <w:rsid w:val="726F4F19"/>
    <w:rsid w:val="727B1B10"/>
    <w:rsid w:val="727F5809"/>
    <w:rsid w:val="728E1843"/>
    <w:rsid w:val="729055BB"/>
    <w:rsid w:val="72955A66"/>
    <w:rsid w:val="729D55E2"/>
    <w:rsid w:val="72B905EE"/>
    <w:rsid w:val="72BA43E6"/>
    <w:rsid w:val="72BF37AA"/>
    <w:rsid w:val="72C60FDD"/>
    <w:rsid w:val="72C74D55"/>
    <w:rsid w:val="72C94629"/>
    <w:rsid w:val="72DF209E"/>
    <w:rsid w:val="72DF3E4C"/>
    <w:rsid w:val="72F35B4A"/>
    <w:rsid w:val="72FD0776"/>
    <w:rsid w:val="73263829"/>
    <w:rsid w:val="733A6046"/>
    <w:rsid w:val="734737A0"/>
    <w:rsid w:val="734C0DB6"/>
    <w:rsid w:val="735C36EF"/>
    <w:rsid w:val="736B1B84"/>
    <w:rsid w:val="73972979"/>
    <w:rsid w:val="739C1D3D"/>
    <w:rsid w:val="73AF7CC3"/>
    <w:rsid w:val="73B326ED"/>
    <w:rsid w:val="73BA0FAE"/>
    <w:rsid w:val="73C3376E"/>
    <w:rsid w:val="73CB43D1"/>
    <w:rsid w:val="73CC024C"/>
    <w:rsid w:val="73D17C39"/>
    <w:rsid w:val="73D47729"/>
    <w:rsid w:val="73DC213A"/>
    <w:rsid w:val="73F90F3E"/>
    <w:rsid w:val="740022CC"/>
    <w:rsid w:val="74213FF1"/>
    <w:rsid w:val="743261FE"/>
    <w:rsid w:val="74427546"/>
    <w:rsid w:val="74455F31"/>
    <w:rsid w:val="74470504"/>
    <w:rsid w:val="744F0077"/>
    <w:rsid w:val="745E5BBE"/>
    <w:rsid w:val="7460720F"/>
    <w:rsid w:val="746C1710"/>
    <w:rsid w:val="746E5487"/>
    <w:rsid w:val="74772DE9"/>
    <w:rsid w:val="748051BB"/>
    <w:rsid w:val="74831A8C"/>
    <w:rsid w:val="7487479C"/>
    <w:rsid w:val="749D7B1B"/>
    <w:rsid w:val="74BA691F"/>
    <w:rsid w:val="74DC4AE7"/>
    <w:rsid w:val="74DD0860"/>
    <w:rsid w:val="74DD260E"/>
    <w:rsid w:val="750B0F29"/>
    <w:rsid w:val="751C4541"/>
    <w:rsid w:val="75220020"/>
    <w:rsid w:val="755F74C6"/>
    <w:rsid w:val="756C09D3"/>
    <w:rsid w:val="758B1F91"/>
    <w:rsid w:val="75954C96"/>
    <w:rsid w:val="759F78C3"/>
    <w:rsid w:val="75DA6B4D"/>
    <w:rsid w:val="75DE488F"/>
    <w:rsid w:val="76045978"/>
    <w:rsid w:val="760F4A49"/>
    <w:rsid w:val="761402B1"/>
    <w:rsid w:val="76200A04"/>
    <w:rsid w:val="763444AF"/>
    <w:rsid w:val="76407334"/>
    <w:rsid w:val="76452218"/>
    <w:rsid w:val="76A2766B"/>
    <w:rsid w:val="76A732D3"/>
    <w:rsid w:val="76C84BF7"/>
    <w:rsid w:val="77100A78"/>
    <w:rsid w:val="77147E3D"/>
    <w:rsid w:val="77420E4E"/>
    <w:rsid w:val="775070C7"/>
    <w:rsid w:val="775E5C88"/>
    <w:rsid w:val="77626DFA"/>
    <w:rsid w:val="777D1E86"/>
    <w:rsid w:val="778E5E41"/>
    <w:rsid w:val="779A47E6"/>
    <w:rsid w:val="77AD4519"/>
    <w:rsid w:val="77D00208"/>
    <w:rsid w:val="77F9553F"/>
    <w:rsid w:val="78216CB5"/>
    <w:rsid w:val="78283955"/>
    <w:rsid w:val="783863DB"/>
    <w:rsid w:val="784A620C"/>
    <w:rsid w:val="786372CE"/>
    <w:rsid w:val="786B0C9D"/>
    <w:rsid w:val="787A713C"/>
    <w:rsid w:val="787E1A12"/>
    <w:rsid w:val="78850FF2"/>
    <w:rsid w:val="7892370F"/>
    <w:rsid w:val="78A43B6E"/>
    <w:rsid w:val="78AB1CFD"/>
    <w:rsid w:val="78BB2C66"/>
    <w:rsid w:val="78BE5FE3"/>
    <w:rsid w:val="78F30652"/>
    <w:rsid w:val="78F543CA"/>
    <w:rsid w:val="78FB3062"/>
    <w:rsid w:val="790A2A0F"/>
    <w:rsid w:val="790E548B"/>
    <w:rsid w:val="79134850"/>
    <w:rsid w:val="79256331"/>
    <w:rsid w:val="79272565"/>
    <w:rsid w:val="79330A4E"/>
    <w:rsid w:val="79450781"/>
    <w:rsid w:val="796926C2"/>
    <w:rsid w:val="79764DDF"/>
    <w:rsid w:val="79921C19"/>
    <w:rsid w:val="799534B7"/>
    <w:rsid w:val="79A47B9E"/>
    <w:rsid w:val="79A951B4"/>
    <w:rsid w:val="79C8563A"/>
    <w:rsid w:val="79CA2DD0"/>
    <w:rsid w:val="7A044199"/>
    <w:rsid w:val="7A17211E"/>
    <w:rsid w:val="7A3263AB"/>
    <w:rsid w:val="7A461B28"/>
    <w:rsid w:val="7A8F0D7A"/>
    <w:rsid w:val="7A9279F6"/>
    <w:rsid w:val="7ABD0F17"/>
    <w:rsid w:val="7AC816C6"/>
    <w:rsid w:val="7ACB02FA"/>
    <w:rsid w:val="7ACD0046"/>
    <w:rsid w:val="7ADC6EC3"/>
    <w:rsid w:val="7ADE0E8D"/>
    <w:rsid w:val="7AE25958"/>
    <w:rsid w:val="7AE926D3"/>
    <w:rsid w:val="7AF97A75"/>
    <w:rsid w:val="7B1442DB"/>
    <w:rsid w:val="7B2FDDE5"/>
    <w:rsid w:val="7B735A7A"/>
    <w:rsid w:val="7B827A6B"/>
    <w:rsid w:val="7B8676F6"/>
    <w:rsid w:val="7B937ECA"/>
    <w:rsid w:val="7B971768"/>
    <w:rsid w:val="7BA619AB"/>
    <w:rsid w:val="7BB5399C"/>
    <w:rsid w:val="7BCC1AA5"/>
    <w:rsid w:val="7BDF5409"/>
    <w:rsid w:val="7BEF3538"/>
    <w:rsid w:val="7BF070CA"/>
    <w:rsid w:val="7BFF730D"/>
    <w:rsid w:val="7C0350F4"/>
    <w:rsid w:val="7C0B1E4B"/>
    <w:rsid w:val="7C2823C0"/>
    <w:rsid w:val="7C3945CD"/>
    <w:rsid w:val="7C4A67DB"/>
    <w:rsid w:val="7C541407"/>
    <w:rsid w:val="7C55517F"/>
    <w:rsid w:val="7C6F7FEF"/>
    <w:rsid w:val="7C713D85"/>
    <w:rsid w:val="7C9F2816"/>
    <w:rsid w:val="7CE0309F"/>
    <w:rsid w:val="7D172435"/>
    <w:rsid w:val="7D3D633F"/>
    <w:rsid w:val="7D454856"/>
    <w:rsid w:val="7D5F62B6"/>
    <w:rsid w:val="7D641B1E"/>
    <w:rsid w:val="7D6E1C89"/>
    <w:rsid w:val="7D9A72EE"/>
    <w:rsid w:val="7DCD72DE"/>
    <w:rsid w:val="7DD345AE"/>
    <w:rsid w:val="7DE94569"/>
    <w:rsid w:val="7E22523F"/>
    <w:rsid w:val="7E265025"/>
    <w:rsid w:val="7E2E7A36"/>
    <w:rsid w:val="7E2F5E47"/>
    <w:rsid w:val="7E3239CA"/>
    <w:rsid w:val="7E4011FE"/>
    <w:rsid w:val="7E4454AB"/>
    <w:rsid w:val="7E447259"/>
    <w:rsid w:val="7E563FE8"/>
    <w:rsid w:val="7E5700F6"/>
    <w:rsid w:val="7E5C0A47"/>
    <w:rsid w:val="7E8104AE"/>
    <w:rsid w:val="7E977CD1"/>
    <w:rsid w:val="7EA0627D"/>
    <w:rsid w:val="7ED13AC3"/>
    <w:rsid w:val="7ED14F91"/>
    <w:rsid w:val="7EEA7E01"/>
    <w:rsid w:val="7F0D3AEF"/>
    <w:rsid w:val="7F313C82"/>
    <w:rsid w:val="7F3177DE"/>
    <w:rsid w:val="7F364DF4"/>
    <w:rsid w:val="7F432B54"/>
    <w:rsid w:val="7F512564"/>
    <w:rsid w:val="7F6B429E"/>
    <w:rsid w:val="7F772E08"/>
    <w:rsid w:val="7F912972"/>
    <w:rsid w:val="7F933709"/>
    <w:rsid w:val="7FA848EE"/>
    <w:rsid w:val="7FDF723A"/>
    <w:rsid w:val="7FEE1B73"/>
    <w:rsid w:val="7FF33517"/>
    <w:rsid w:val="D5EFA79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0" w:name="caption" w:locked="1"/>
    <w:lsdException w:qFormat="1" w:unhideWhenUsed="0" w:uiPriority="99" w:semiHidden="0" w:name="table of figures"/>
    <w:lsdException w:uiPriority="99" w:name="envelope address"/>
    <w:lsdException w:qFormat="1"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qFormat="1" w:uiPriority="99"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lang w:val="en-US" w:eastAsia="zh-CN" w:bidi="ar-SA"/>
    </w:rPr>
  </w:style>
  <w:style w:type="paragraph" w:styleId="3">
    <w:name w:val="heading 1"/>
    <w:basedOn w:val="1"/>
    <w:next w:val="1"/>
    <w:link w:val="81"/>
    <w:qFormat/>
    <w:uiPriority w:val="99"/>
    <w:pPr>
      <w:keepNext/>
      <w:keepLines/>
      <w:spacing w:before="340" w:after="330" w:line="578" w:lineRule="auto"/>
      <w:outlineLvl w:val="0"/>
    </w:pPr>
    <w:rPr>
      <w:b/>
      <w:kern w:val="44"/>
      <w:sz w:val="44"/>
    </w:rPr>
  </w:style>
  <w:style w:type="paragraph" w:styleId="4">
    <w:name w:val="heading 2"/>
    <w:basedOn w:val="1"/>
    <w:next w:val="1"/>
    <w:link w:val="82"/>
    <w:qFormat/>
    <w:uiPriority w:val="99"/>
    <w:pPr>
      <w:keepNext/>
      <w:keepLines/>
      <w:overflowPunct w:val="0"/>
      <w:adjustRightInd w:val="0"/>
      <w:jc w:val="left"/>
      <w:textAlignment w:val="baseline"/>
      <w:outlineLvl w:val="1"/>
    </w:pPr>
    <w:rPr>
      <w:rFonts w:ascii="宋体" w:hAnsi="宋体"/>
      <w:b/>
    </w:rPr>
  </w:style>
  <w:style w:type="paragraph" w:styleId="5">
    <w:name w:val="heading 3"/>
    <w:basedOn w:val="1"/>
    <w:next w:val="1"/>
    <w:link w:val="83"/>
    <w:qFormat/>
    <w:uiPriority w:val="99"/>
    <w:pPr>
      <w:keepNext/>
      <w:keepLines/>
      <w:adjustRightInd w:val="0"/>
      <w:jc w:val="left"/>
      <w:textAlignment w:val="baseline"/>
      <w:outlineLvl w:val="2"/>
    </w:pPr>
    <w:rPr>
      <w:b/>
    </w:rPr>
  </w:style>
  <w:style w:type="paragraph" w:styleId="6">
    <w:name w:val="heading 4"/>
    <w:basedOn w:val="1"/>
    <w:next w:val="1"/>
    <w:link w:val="84"/>
    <w:qFormat/>
    <w:uiPriority w:val="99"/>
    <w:pPr>
      <w:keepNext/>
      <w:keepLines/>
      <w:adjustRightInd w:val="0"/>
      <w:spacing w:before="280" w:after="290" w:line="376" w:lineRule="atLeast"/>
      <w:textAlignment w:val="baseline"/>
      <w:outlineLvl w:val="3"/>
    </w:pPr>
    <w:rPr>
      <w:rFonts w:ascii="Arial" w:hAnsi="Arial" w:eastAsia="黑体"/>
      <w:b/>
      <w:sz w:val="28"/>
    </w:rPr>
  </w:style>
  <w:style w:type="paragraph" w:styleId="7">
    <w:name w:val="heading 5"/>
    <w:basedOn w:val="1"/>
    <w:next w:val="8"/>
    <w:link w:val="85"/>
    <w:qFormat/>
    <w:uiPriority w:val="99"/>
    <w:pPr>
      <w:keepNext/>
      <w:keepLines/>
      <w:numPr>
        <w:ilvl w:val="4"/>
        <w:numId w:val="1"/>
      </w:numPr>
      <w:spacing w:before="280" w:after="290" w:line="376" w:lineRule="auto"/>
      <w:outlineLvl w:val="4"/>
    </w:pPr>
    <w:rPr>
      <w:rFonts w:ascii="宋体" w:eastAsia="宋体"/>
      <w:b/>
      <w:spacing w:val="-2"/>
      <w:position w:val="-6"/>
      <w:sz w:val="28"/>
    </w:rPr>
  </w:style>
  <w:style w:type="paragraph" w:styleId="9">
    <w:name w:val="heading 6"/>
    <w:basedOn w:val="1"/>
    <w:next w:val="8"/>
    <w:link w:val="86"/>
    <w:qFormat/>
    <w:uiPriority w:val="99"/>
    <w:pPr>
      <w:keepNext/>
      <w:keepLines/>
      <w:numPr>
        <w:ilvl w:val="5"/>
        <w:numId w:val="1"/>
      </w:numPr>
      <w:spacing w:before="240" w:after="64" w:line="320" w:lineRule="auto"/>
      <w:outlineLvl w:val="5"/>
    </w:pPr>
    <w:rPr>
      <w:rFonts w:ascii="Arial" w:hAnsi="Arial" w:eastAsia="黑体"/>
      <w:b/>
      <w:spacing w:val="-2"/>
      <w:position w:val="-6"/>
      <w:sz w:val="24"/>
    </w:rPr>
  </w:style>
  <w:style w:type="paragraph" w:styleId="10">
    <w:name w:val="heading 7"/>
    <w:basedOn w:val="1"/>
    <w:next w:val="8"/>
    <w:link w:val="87"/>
    <w:qFormat/>
    <w:uiPriority w:val="99"/>
    <w:pPr>
      <w:keepNext/>
      <w:keepLines/>
      <w:numPr>
        <w:ilvl w:val="6"/>
        <w:numId w:val="1"/>
      </w:numPr>
      <w:spacing w:before="240" w:after="64" w:line="320" w:lineRule="auto"/>
      <w:outlineLvl w:val="6"/>
    </w:pPr>
    <w:rPr>
      <w:rFonts w:ascii="宋体" w:eastAsia="宋体"/>
      <w:b/>
      <w:spacing w:val="-2"/>
      <w:position w:val="-6"/>
      <w:sz w:val="24"/>
    </w:rPr>
  </w:style>
  <w:style w:type="paragraph" w:styleId="11">
    <w:name w:val="heading 8"/>
    <w:basedOn w:val="1"/>
    <w:next w:val="8"/>
    <w:link w:val="88"/>
    <w:qFormat/>
    <w:uiPriority w:val="99"/>
    <w:pPr>
      <w:keepNext/>
      <w:keepLines/>
      <w:numPr>
        <w:ilvl w:val="7"/>
        <w:numId w:val="1"/>
      </w:numPr>
      <w:spacing w:before="240" w:after="64" w:line="320" w:lineRule="auto"/>
      <w:outlineLvl w:val="7"/>
    </w:pPr>
    <w:rPr>
      <w:rFonts w:ascii="Arial" w:hAnsi="Arial" w:eastAsia="黑体"/>
      <w:spacing w:val="-2"/>
      <w:position w:val="-6"/>
      <w:sz w:val="24"/>
    </w:rPr>
  </w:style>
  <w:style w:type="paragraph" w:styleId="12">
    <w:name w:val="heading 9"/>
    <w:basedOn w:val="1"/>
    <w:next w:val="8"/>
    <w:link w:val="89"/>
    <w:qFormat/>
    <w:uiPriority w:val="99"/>
    <w:pPr>
      <w:keepNext/>
      <w:keepLines/>
      <w:numPr>
        <w:ilvl w:val="8"/>
        <w:numId w:val="1"/>
      </w:numPr>
      <w:spacing w:before="240" w:after="64" w:line="320" w:lineRule="auto"/>
      <w:outlineLvl w:val="8"/>
    </w:pPr>
    <w:rPr>
      <w:rFonts w:ascii="Arial" w:hAnsi="Arial" w:eastAsia="黑体"/>
      <w:spacing w:val="-2"/>
      <w:position w:val="-6"/>
      <w:sz w:val="28"/>
    </w:rPr>
  </w:style>
  <w:style w:type="character" w:default="1" w:styleId="69">
    <w:name w:val="Default Paragraph Font"/>
    <w:semiHidden/>
    <w:unhideWhenUsed/>
    <w:qFormat/>
    <w:uiPriority w:val="1"/>
  </w:style>
  <w:style w:type="table" w:default="1" w:styleId="6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99"/>
    <w:pPr>
      <w:adjustRightInd w:val="0"/>
      <w:jc w:val="left"/>
      <w:textAlignment w:val="baseline"/>
    </w:pPr>
    <w:rPr>
      <w:rFonts w:ascii="宋体" w:hAnsi="宋体" w:eastAsia="宋体" w:cs="宋体"/>
      <w:b/>
      <w:bCs/>
      <w:sz w:val="24"/>
      <w:szCs w:val="24"/>
    </w:rPr>
  </w:style>
  <w:style w:type="paragraph" w:styleId="8">
    <w:name w:val="Normal Indent"/>
    <w:basedOn w:val="1"/>
    <w:link w:val="138"/>
    <w:qFormat/>
    <w:uiPriority w:val="99"/>
    <w:pPr>
      <w:adjustRightInd w:val="0"/>
      <w:ind w:firstLine="420"/>
      <w:jc w:val="left"/>
      <w:textAlignment w:val="baseline"/>
    </w:pPr>
    <w:rPr>
      <w:sz w:val="24"/>
    </w:rPr>
  </w:style>
  <w:style w:type="paragraph" w:styleId="13">
    <w:name w:val="List 3"/>
    <w:basedOn w:val="1"/>
    <w:qFormat/>
    <w:uiPriority w:val="99"/>
    <w:pPr>
      <w:ind w:left="100" w:leftChars="400" w:hanging="200" w:hangingChars="200"/>
    </w:pPr>
    <w:rPr>
      <w:rFonts w:eastAsia="宋体"/>
      <w:sz w:val="21"/>
    </w:rPr>
  </w:style>
  <w:style w:type="paragraph" w:styleId="14">
    <w:name w:val="toc 7"/>
    <w:basedOn w:val="1"/>
    <w:next w:val="1"/>
    <w:qFormat/>
    <w:uiPriority w:val="99"/>
    <w:pPr>
      <w:ind w:left="2520"/>
    </w:pPr>
  </w:style>
  <w:style w:type="paragraph" w:styleId="15">
    <w:name w:val="List Number 2"/>
    <w:basedOn w:val="1"/>
    <w:qFormat/>
    <w:uiPriority w:val="99"/>
    <w:pPr>
      <w:widowControl/>
      <w:numPr>
        <w:ilvl w:val="0"/>
        <w:numId w:val="2"/>
      </w:numPr>
      <w:tabs>
        <w:tab w:val="left" w:pos="820"/>
      </w:tabs>
      <w:spacing w:afterLines="50"/>
      <w:jc w:val="left"/>
    </w:pPr>
    <w:rPr>
      <w:rFonts w:eastAsia="宋体"/>
      <w:kern w:val="0"/>
      <w:sz w:val="24"/>
    </w:rPr>
  </w:style>
  <w:style w:type="paragraph" w:styleId="16">
    <w:name w:val="index 8"/>
    <w:basedOn w:val="1"/>
    <w:next w:val="1"/>
    <w:qFormat/>
    <w:uiPriority w:val="99"/>
    <w:pPr>
      <w:ind w:left="2940"/>
    </w:pPr>
  </w:style>
  <w:style w:type="paragraph" w:styleId="17">
    <w:name w:val="index 5"/>
    <w:basedOn w:val="1"/>
    <w:next w:val="1"/>
    <w:qFormat/>
    <w:uiPriority w:val="99"/>
    <w:pPr>
      <w:ind w:left="1680"/>
    </w:pPr>
  </w:style>
  <w:style w:type="paragraph" w:styleId="18">
    <w:name w:val="Document Map"/>
    <w:basedOn w:val="1"/>
    <w:link w:val="94"/>
    <w:qFormat/>
    <w:uiPriority w:val="99"/>
    <w:pPr>
      <w:shd w:val="clear" w:color="auto" w:fill="000080"/>
    </w:pPr>
  </w:style>
  <w:style w:type="paragraph" w:styleId="19">
    <w:name w:val="annotation text"/>
    <w:basedOn w:val="1"/>
    <w:link w:val="90"/>
    <w:autoRedefine/>
    <w:qFormat/>
    <w:uiPriority w:val="99"/>
    <w:pPr>
      <w:jc w:val="left"/>
    </w:pPr>
  </w:style>
  <w:style w:type="paragraph" w:styleId="20">
    <w:name w:val="index 6"/>
    <w:basedOn w:val="1"/>
    <w:next w:val="1"/>
    <w:qFormat/>
    <w:uiPriority w:val="99"/>
    <w:pPr>
      <w:ind w:left="2100"/>
    </w:pPr>
  </w:style>
  <w:style w:type="paragraph" w:styleId="21">
    <w:name w:val="Body Text 3"/>
    <w:basedOn w:val="1"/>
    <w:link w:val="95"/>
    <w:qFormat/>
    <w:uiPriority w:val="99"/>
    <w:pPr>
      <w:spacing w:line="360" w:lineRule="auto"/>
    </w:pPr>
    <w:rPr>
      <w:rFonts w:eastAsia="宋体"/>
      <w:b/>
      <w:sz w:val="21"/>
    </w:rPr>
  </w:style>
  <w:style w:type="paragraph" w:styleId="22">
    <w:name w:val="Body Text"/>
    <w:basedOn w:val="1"/>
    <w:next w:val="23"/>
    <w:link w:val="92"/>
    <w:qFormat/>
    <w:uiPriority w:val="99"/>
    <w:pPr>
      <w:spacing w:line="400" w:lineRule="exact"/>
    </w:pPr>
    <w:rPr>
      <w:rFonts w:ascii="楷体_GB2312"/>
      <w:sz w:val="28"/>
    </w:rPr>
  </w:style>
  <w:style w:type="paragraph" w:customStyle="1" w:styleId="23">
    <w:name w:val="目录 82"/>
    <w:next w:val="1"/>
    <w:qFormat/>
    <w:uiPriority w:val="0"/>
    <w:pPr>
      <w:wordWrap w:val="0"/>
      <w:ind w:left="2550"/>
      <w:jc w:val="both"/>
    </w:pPr>
    <w:rPr>
      <w:rFonts w:ascii="Calibri" w:hAnsi="Calibri" w:eastAsia="宋体" w:cs="Times New Roman"/>
      <w:sz w:val="21"/>
      <w:lang w:val="en-US" w:eastAsia="zh-CN" w:bidi="ar-SA"/>
    </w:rPr>
  </w:style>
  <w:style w:type="paragraph" w:styleId="24">
    <w:name w:val="Body Text Indent"/>
    <w:basedOn w:val="1"/>
    <w:next w:val="25"/>
    <w:link w:val="96"/>
    <w:autoRedefine/>
    <w:qFormat/>
    <w:uiPriority w:val="99"/>
    <w:pPr>
      <w:spacing w:line="520" w:lineRule="exact"/>
      <w:ind w:left="570"/>
    </w:pPr>
    <w:rPr>
      <w:rFonts w:ascii="方正仿宋简体" w:hAnsi="创艺简仿宋" w:eastAsia="方正仿宋简体"/>
      <w:sz w:val="24"/>
    </w:rPr>
  </w:style>
  <w:style w:type="paragraph" w:styleId="25">
    <w:name w:val="envelope return"/>
    <w:basedOn w:val="1"/>
    <w:autoRedefine/>
    <w:unhideWhenUsed/>
    <w:qFormat/>
    <w:uiPriority w:val="99"/>
    <w:pPr>
      <w:snapToGrid w:val="0"/>
    </w:pPr>
    <w:rPr>
      <w:rFonts w:ascii="Arial" w:hAnsi="Arial"/>
    </w:rPr>
  </w:style>
  <w:style w:type="paragraph" w:styleId="26">
    <w:name w:val="List 2"/>
    <w:basedOn w:val="1"/>
    <w:autoRedefine/>
    <w:qFormat/>
    <w:uiPriority w:val="99"/>
    <w:pPr>
      <w:ind w:left="100" w:leftChars="200" w:hanging="200" w:hangingChars="200"/>
    </w:pPr>
    <w:rPr>
      <w:rFonts w:eastAsia="宋体"/>
      <w:sz w:val="21"/>
    </w:rPr>
  </w:style>
  <w:style w:type="paragraph" w:styleId="27">
    <w:name w:val="List Continue"/>
    <w:basedOn w:val="1"/>
    <w:autoRedefine/>
    <w:qFormat/>
    <w:uiPriority w:val="99"/>
    <w:pPr>
      <w:spacing w:after="120"/>
      <w:ind w:left="420" w:leftChars="200"/>
    </w:pPr>
    <w:rPr>
      <w:rFonts w:eastAsia="宋体"/>
      <w:sz w:val="21"/>
    </w:rPr>
  </w:style>
  <w:style w:type="paragraph" w:styleId="28">
    <w:name w:val="Block Text"/>
    <w:basedOn w:val="1"/>
    <w:autoRedefine/>
    <w:qFormat/>
    <w:uiPriority w:val="99"/>
    <w:pPr>
      <w:autoSpaceDE w:val="0"/>
      <w:autoSpaceDN w:val="0"/>
      <w:adjustRightInd w:val="0"/>
      <w:spacing w:line="300" w:lineRule="auto"/>
      <w:ind w:left="29" w:leftChars="12" w:right="6" w:firstLine="560" w:firstLineChars="200"/>
    </w:pPr>
    <w:rPr>
      <w:rFonts w:eastAsia="宋体"/>
      <w:kern w:val="0"/>
      <w:sz w:val="28"/>
    </w:rPr>
  </w:style>
  <w:style w:type="paragraph" w:styleId="29">
    <w:name w:val="index 4"/>
    <w:basedOn w:val="1"/>
    <w:next w:val="1"/>
    <w:autoRedefine/>
    <w:qFormat/>
    <w:uiPriority w:val="99"/>
    <w:pPr>
      <w:ind w:left="1260"/>
    </w:pPr>
  </w:style>
  <w:style w:type="paragraph" w:styleId="30">
    <w:name w:val="toc 5"/>
    <w:basedOn w:val="1"/>
    <w:next w:val="1"/>
    <w:autoRedefine/>
    <w:qFormat/>
    <w:uiPriority w:val="99"/>
    <w:pPr>
      <w:ind w:left="1680"/>
    </w:pPr>
  </w:style>
  <w:style w:type="paragraph" w:styleId="31">
    <w:name w:val="toc 3"/>
    <w:basedOn w:val="1"/>
    <w:next w:val="1"/>
    <w:autoRedefine/>
    <w:qFormat/>
    <w:uiPriority w:val="99"/>
    <w:pPr>
      <w:ind w:left="840"/>
    </w:pPr>
  </w:style>
  <w:style w:type="paragraph" w:styleId="32">
    <w:name w:val="Plain Text"/>
    <w:basedOn w:val="1"/>
    <w:link w:val="97"/>
    <w:autoRedefine/>
    <w:qFormat/>
    <w:uiPriority w:val="99"/>
    <w:rPr>
      <w:rFonts w:ascii="宋体" w:hAnsi="Courier New"/>
    </w:rPr>
  </w:style>
  <w:style w:type="paragraph" w:styleId="33">
    <w:name w:val="toc 8"/>
    <w:basedOn w:val="1"/>
    <w:next w:val="1"/>
    <w:autoRedefine/>
    <w:qFormat/>
    <w:uiPriority w:val="99"/>
    <w:pPr>
      <w:ind w:left="2940"/>
    </w:pPr>
  </w:style>
  <w:style w:type="paragraph" w:styleId="34">
    <w:name w:val="index 3"/>
    <w:basedOn w:val="1"/>
    <w:next w:val="1"/>
    <w:autoRedefine/>
    <w:qFormat/>
    <w:uiPriority w:val="99"/>
    <w:pPr>
      <w:ind w:left="840"/>
    </w:pPr>
  </w:style>
  <w:style w:type="paragraph" w:styleId="35">
    <w:name w:val="Date"/>
    <w:basedOn w:val="1"/>
    <w:next w:val="1"/>
    <w:link w:val="98"/>
    <w:autoRedefine/>
    <w:qFormat/>
    <w:uiPriority w:val="99"/>
    <w:rPr>
      <w:rFonts w:ascii="宋体" w:hAnsi="宋体"/>
      <w:sz w:val="24"/>
    </w:rPr>
  </w:style>
  <w:style w:type="paragraph" w:styleId="36">
    <w:name w:val="Body Text Indent 2"/>
    <w:basedOn w:val="1"/>
    <w:link w:val="99"/>
    <w:autoRedefine/>
    <w:qFormat/>
    <w:uiPriority w:val="99"/>
    <w:pPr>
      <w:tabs>
        <w:tab w:val="left" w:pos="0"/>
      </w:tabs>
      <w:spacing w:line="360" w:lineRule="auto"/>
      <w:ind w:firstLine="502" w:firstLineChars="209"/>
    </w:pPr>
    <w:rPr>
      <w:rFonts w:ascii="宋体" w:eastAsia="宋体"/>
      <w:b/>
      <w:bCs/>
      <w:sz w:val="24"/>
    </w:rPr>
  </w:style>
  <w:style w:type="paragraph" w:styleId="37">
    <w:name w:val="endnote text"/>
    <w:basedOn w:val="1"/>
    <w:link w:val="100"/>
    <w:autoRedefine/>
    <w:qFormat/>
    <w:uiPriority w:val="99"/>
    <w:pPr>
      <w:snapToGrid w:val="0"/>
      <w:jc w:val="left"/>
    </w:pPr>
  </w:style>
  <w:style w:type="paragraph" w:styleId="38">
    <w:name w:val="List Continue 5"/>
    <w:basedOn w:val="1"/>
    <w:autoRedefine/>
    <w:qFormat/>
    <w:uiPriority w:val="99"/>
    <w:pPr>
      <w:spacing w:after="120"/>
      <w:ind w:left="2100" w:leftChars="1000"/>
    </w:pPr>
    <w:rPr>
      <w:rFonts w:eastAsia="宋体"/>
      <w:sz w:val="21"/>
    </w:rPr>
  </w:style>
  <w:style w:type="paragraph" w:styleId="39">
    <w:name w:val="Balloon Text"/>
    <w:basedOn w:val="1"/>
    <w:link w:val="101"/>
    <w:autoRedefine/>
    <w:qFormat/>
    <w:uiPriority w:val="99"/>
    <w:rPr>
      <w:sz w:val="18"/>
      <w:szCs w:val="18"/>
    </w:rPr>
  </w:style>
  <w:style w:type="paragraph" w:styleId="40">
    <w:name w:val="footer"/>
    <w:basedOn w:val="1"/>
    <w:link w:val="102"/>
    <w:autoRedefine/>
    <w:qFormat/>
    <w:uiPriority w:val="99"/>
    <w:pPr>
      <w:tabs>
        <w:tab w:val="center" w:pos="4153"/>
        <w:tab w:val="right" w:pos="8306"/>
      </w:tabs>
      <w:snapToGrid w:val="0"/>
      <w:jc w:val="left"/>
    </w:pPr>
    <w:rPr>
      <w:sz w:val="18"/>
    </w:rPr>
  </w:style>
  <w:style w:type="paragraph" w:styleId="41">
    <w:name w:val="header"/>
    <w:basedOn w:val="1"/>
    <w:link w:val="103"/>
    <w:autoRedefine/>
    <w:qFormat/>
    <w:uiPriority w:val="99"/>
    <w:pPr>
      <w:pBdr>
        <w:bottom w:val="single" w:color="auto" w:sz="6" w:space="1"/>
      </w:pBdr>
      <w:tabs>
        <w:tab w:val="center" w:pos="4153"/>
        <w:tab w:val="right" w:pos="8306"/>
      </w:tabs>
      <w:snapToGrid w:val="0"/>
      <w:jc w:val="center"/>
    </w:pPr>
    <w:rPr>
      <w:sz w:val="18"/>
    </w:rPr>
  </w:style>
  <w:style w:type="paragraph" w:styleId="42">
    <w:name w:val="List Continue 4"/>
    <w:basedOn w:val="1"/>
    <w:autoRedefine/>
    <w:qFormat/>
    <w:uiPriority w:val="99"/>
    <w:pPr>
      <w:spacing w:after="120"/>
      <w:ind w:left="1680" w:leftChars="800"/>
    </w:pPr>
    <w:rPr>
      <w:rFonts w:eastAsia="宋体"/>
      <w:sz w:val="21"/>
    </w:rPr>
  </w:style>
  <w:style w:type="paragraph" w:styleId="43">
    <w:name w:val="toc 4"/>
    <w:basedOn w:val="1"/>
    <w:next w:val="1"/>
    <w:qFormat/>
    <w:uiPriority w:val="99"/>
    <w:pPr>
      <w:ind w:left="1260"/>
    </w:pPr>
  </w:style>
  <w:style w:type="paragraph" w:styleId="44">
    <w:name w:val="index heading"/>
    <w:basedOn w:val="1"/>
    <w:next w:val="45"/>
    <w:autoRedefine/>
    <w:qFormat/>
    <w:uiPriority w:val="99"/>
  </w:style>
  <w:style w:type="paragraph" w:styleId="45">
    <w:name w:val="index 1"/>
    <w:basedOn w:val="1"/>
    <w:next w:val="1"/>
    <w:autoRedefine/>
    <w:qFormat/>
    <w:uiPriority w:val="99"/>
  </w:style>
  <w:style w:type="paragraph" w:styleId="46">
    <w:name w:val="List"/>
    <w:basedOn w:val="1"/>
    <w:qFormat/>
    <w:uiPriority w:val="99"/>
    <w:pPr>
      <w:ind w:left="200" w:hanging="200" w:hangingChars="200"/>
    </w:pPr>
    <w:rPr>
      <w:rFonts w:eastAsia="宋体"/>
      <w:sz w:val="21"/>
    </w:rPr>
  </w:style>
  <w:style w:type="paragraph" w:styleId="47">
    <w:name w:val="footnote text"/>
    <w:basedOn w:val="1"/>
    <w:link w:val="104"/>
    <w:autoRedefine/>
    <w:qFormat/>
    <w:uiPriority w:val="99"/>
    <w:pPr>
      <w:snapToGrid w:val="0"/>
      <w:jc w:val="left"/>
    </w:pPr>
    <w:rPr>
      <w:sz w:val="18"/>
    </w:rPr>
  </w:style>
  <w:style w:type="paragraph" w:styleId="48">
    <w:name w:val="toc 6"/>
    <w:basedOn w:val="1"/>
    <w:next w:val="1"/>
    <w:autoRedefine/>
    <w:qFormat/>
    <w:uiPriority w:val="99"/>
    <w:pPr>
      <w:ind w:left="2100"/>
    </w:pPr>
  </w:style>
  <w:style w:type="paragraph" w:styleId="49">
    <w:name w:val="List 5"/>
    <w:basedOn w:val="1"/>
    <w:autoRedefine/>
    <w:qFormat/>
    <w:uiPriority w:val="99"/>
    <w:pPr>
      <w:ind w:left="100" w:leftChars="800" w:hanging="200" w:hangingChars="200"/>
    </w:pPr>
    <w:rPr>
      <w:rFonts w:eastAsia="宋体"/>
      <w:sz w:val="21"/>
    </w:rPr>
  </w:style>
  <w:style w:type="paragraph" w:styleId="50">
    <w:name w:val="Body Text Indent 3"/>
    <w:basedOn w:val="1"/>
    <w:link w:val="105"/>
    <w:autoRedefine/>
    <w:qFormat/>
    <w:uiPriority w:val="99"/>
    <w:pPr>
      <w:spacing w:line="360" w:lineRule="auto"/>
      <w:ind w:firstLine="617" w:firstLineChars="257"/>
    </w:pPr>
    <w:rPr>
      <w:rFonts w:eastAsia="宋体"/>
      <w:sz w:val="24"/>
      <w:szCs w:val="24"/>
    </w:rPr>
  </w:style>
  <w:style w:type="paragraph" w:styleId="51">
    <w:name w:val="index 7"/>
    <w:basedOn w:val="1"/>
    <w:next w:val="1"/>
    <w:autoRedefine/>
    <w:qFormat/>
    <w:uiPriority w:val="99"/>
    <w:pPr>
      <w:ind w:left="2520"/>
    </w:pPr>
  </w:style>
  <w:style w:type="paragraph" w:styleId="52">
    <w:name w:val="index 9"/>
    <w:basedOn w:val="1"/>
    <w:next w:val="1"/>
    <w:autoRedefine/>
    <w:qFormat/>
    <w:uiPriority w:val="99"/>
    <w:pPr>
      <w:ind w:left="3360"/>
    </w:pPr>
  </w:style>
  <w:style w:type="paragraph" w:styleId="53">
    <w:name w:val="table of figures"/>
    <w:basedOn w:val="1"/>
    <w:next w:val="1"/>
    <w:autoRedefine/>
    <w:qFormat/>
    <w:uiPriority w:val="99"/>
    <w:pPr>
      <w:adjustRightInd w:val="0"/>
      <w:ind w:left="420" w:hanging="420"/>
      <w:jc w:val="left"/>
      <w:textAlignment w:val="baseline"/>
    </w:pPr>
    <w:rPr>
      <w:smallCaps/>
      <w:sz w:val="24"/>
    </w:rPr>
  </w:style>
  <w:style w:type="paragraph" w:styleId="54">
    <w:name w:val="toc 2"/>
    <w:basedOn w:val="1"/>
    <w:next w:val="1"/>
    <w:autoRedefine/>
    <w:qFormat/>
    <w:uiPriority w:val="99"/>
    <w:pPr>
      <w:ind w:left="420"/>
    </w:pPr>
  </w:style>
  <w:style w:type="paragraph" w:styleId="55">
    <w:name w:val="toc 9"/>
    <w:basedOn w:val="1"/>
    <w:next w:val="1"/>
    <w:autoRedefine/>
    <w:qFormat/>
    <w:uiPriority w:val="99"/>
    <w:pPr>
      <w:ind w:left="3360"/>
    </w:pPr>
  </w:style>
  <w:style w:type="paragraph" w:styleId="56">
    <w:name w:val="Body Text 2"/>
    <w:basedOn w:val="1"/>
    <w:link w:val="106"/>
    <w:qFormat/>
    <w:uiPriority w:val="99"/>
    <w:rPr>
      <w:rFonts w:ascii="宋体" w:hAnsi="宋体" w:eastAsia="宋体"/>
      <w:sz w:val="24"/>
    </w:rPr>
  </w:style>
  <w:style w:type="paragraph" w:styleId="57">
    <w:name w:val="List 4"/>
    <w:basedOn w:val="1"/>
    <w:autoRedefine/>
    <w:qFormat/>
    <w:uiPriority w:val="99"/>
    <w:pPr>
      <w:ind w:left="100" w:leftChars="600" w:hanging="200" w:hangingChars="200"/>
    </w:pPr>
    <w:rPr>
      <w:rFonts w:eastAsia="宋体"/>
      <w:sz w:val="21"/>
    </w:rPr>
  </w:style>
  <w:style w:type="paragraph" w:styleId="58">
    <w:name w:val="List Continue 2"/>
    <w:basedOn w:val="1"/>
    <w:autoRedefine/>
    <w:qFormat/>
    <w:uiPriority w:val="99"/>
    <w:pPr>
      <w:spacing w:after="120"/>
      <w:ind w:left="840" w:leftChars="400"/>
    </w:pPr>
    <w:rPr>
      <w:rFonts w:eastAsia="宋体"/>
      <w:sz w:val="21"/>
    </w:rPr>
  </w:style>
  <w:style w:type="paragraph" w:styleId="59">
    <w:name w:val="HTML Preformatted"/>
    <w:basedOn w:val="1"/>
    <w:link w:val="107"/>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60">
    <w:name w:val="Normal (Web)"/>
    <w:basedOn w:val="1"/>
    <w:autoRedefine/>
    <w:qFormat/>
    <w:uiPriority w:val="99"/>
    <w:pPr>
      <w:widowControl/>
      <w:spacing w:before="100" w:beforeAutospacing="1" w:after="100" w:afterAutospacing="1"/>
      <w:jc w:val="left"/>
    </w:pPr>
    <w:rPr>
      <w:rFonts w:ascii="宋体" w:hAnsi="宋体" w:eastAsia="宋体"/>
      <w:kern w:val="0"/>
      <w:sz w:val="24"/>
    </w:rPr>
  </w:style>
  <w:style w:type="paragraph" w:styleId="61">
    <w:name w:val="List Continue 3"/>
    <w:basedOn w:val="1"/>
    <w:autoRedefine/>
    <w:qFormat/>
    <w:uiPriority w:val="99"/>
    <w:pPr>
      <w:spacing w:after="120"/>
      <w:ind w:left="1260" w:leftChars="600"/>
    </w:pPr>
    <w:rPr>
      <w:rFonts w:eastAsia="宋体"/>
      <w:sz w:val="21"/>
    </w:rPr>
  </w:style>
  <w:style w:type="paragraph" w:styleId="62">
    <w:name w:val="index 2"/>
    <w:basedOn w:val="1"/>
    <w:next w:val="1"/>
    <w:autoRedefine/>
    <w:qFormat/>
    <w:uiPriority w:val="99"/>
    <w:pPr>
      <w:ind w:left="420"/>
    </w:pPr>
  </w:style>
  <w:style w:type="paragraph" w:styleId="63">
    <w:name w:val="Title"/>
    <w:basedOn w:val="1"/>
    <w:next w:val="1"/>
    <w:link w:val="108"/>
    <w:autoRedefine/>
    <w:qFormat/>
    <w:uiPriority w:val="99"/>
    <w:pPr>
      <w:widowControl/>
      <w:adjustRightInd w:val="0"/>
      <w:snapToGrid w:val="0"/>
      <w:spacing w:line="520" w:lineRule="exact"/>
      <w:ind w:left="566" w:leftChars="65" w:hanging="423" w:hangingChars="151"/>
      <w:jc w:val="left"/>
      <w:outlineLvl w:val="0"/>
    </w:pPr>
    <w:rPr>
      <w:rFonts w:ascii="黑体" w:hAnsi="微软雅黑" w:eastAsia="黑体"/>
      <w:bCs/>
      <w:kern w:val="16"/>
      <w:sz w:val="28"/>
      <w:szCs w:val="24"/>
    </w:rPr>
  </w:style>
  <w:style w:type="paragraph" w:styleId="64">
    <w:name w:val="annotation subject"/>
    <w:basedOn w:val="19"/>
    <w:next w:val="19"/>
    <w:link w:val="91"/>
    <w:autoRedefine/>
    <w:qFormat/>
    <w:uiPriority w:val="99"/>
    <w:rPr>
      <w:b/>
      <w:bCs/>
    </w:rPr>
  </w:style>
  <w:style w:type="paragraph" w:styleId="65">
    <w:name w:val="Body Text First Indent"/>
    <w:basedOn w:val="1"/>
    <w:link w:val="93"/>
    <w:autoRedefine/>
    <w:qFormat/>
    <w:uiPriority w:val="99"/>
    <w:pPr>
      <w:spacing w:line="360" w:lineRule="auto"/>
      <w:ind w:firstLine="482"/>
    </w:pPr>
    <w:rPr>
      <w:rFonts w:ascii="楷体_GB2312"/>
      <w:b/>
      <w:sz w:val="24"/>
    </w:rPr>
  </w:style>
  <w:style w:type="paragraph" w:styleId="66">
    <w:name w:val="Body Text First Indent 2"/>
    <w:basedOn w:val="24"/>
    <w:autoRedefine/>
    <w:unhideWhenUsed/>
    <w:qFormat/>
    <w:uiPriority w:val="99"/>
    <w:pPr>
      <w:ind w:firstLine="420" w:firstLineChars="200"/>
    </w:pPr>
  </w:style>
  <w:style w:type="table" w:styleId="68">
    <w:name w:val="Table Grid"/>
    <w:basedOn w:val="67"/>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0">
    <w:name w:val="Strong"/>
    <w:basedOn w:val="69"/>
    <w:autoRedefine/>
    <w:qFormat/>
    <w:uiPriority w:val="99"/>
    <w:rPr>
      <w:rFonts w:cs="Times New Roman"/>
      <w:b/>
      <w:bCs/>
    </w:rPr>
  </w:style>
  <w:style w:type="character" w:styleId="71">
    <w:name w:val="endnote reference"/>
    <w:basedOn w:val="69"/>
    <w:autoRedefine/>
    <w:qFormat/>
    <w:uiPriority w:val="99"/>
    <w:rPr>
      <w:rFonts w:cs="Times New Roman"/>
      <w:vertAlign w:val="superscript"/>
    </w:rPr>
  </w:style>
  <w:style w:type="character" w:styleId="72">
    <w:name w:val="page number"/>
    <w:basedOn w:val="69"/>
    <w:autoRedefine/>
    <w:qFormat/>
    <w:uiPriority w:val="99"/>
    <w:rPr>
      <w:rFonts w:cs="Times New Roman"/>
    </w:rPr>
  </w:style>
  <w:style w:type="character" w:styleId="73">
    <w:name w:val="FollowedHyperlink"/>
    <w:basedOn w:val="69"/>
    <w:qFormat/>
    <w:uiPriority w:val="99"/>
    <w:rPr>
      <w:rFonts w:cs="Times New Roman"/>
      <w:color w:val="800080"/>
      <w:u w:val="single"/>
    </w:rPr>
  </w:style>
  <w:style w:type="character" w:styleId="74">
    <w:name w:val="Emphasis"/>
    <w:basedOn w:val="69"/>
    <w:qFormat/>
    <w:uiPriority w:val="99"/>
    <w:rPr>
      <w:rFonts w:cs="Times New Roman"/>
      <w:i/>
    </w:rPr>
  </w:style>
  <w:style w:type="character" w:styleId="75">
    <w:name w:val="line number"/>
    <w:basedOn w:val="69"/>
    <w:qFormat/>
    <w:uiPriority w:val="99"/>
    <w:rPr>
      <w:rFonts w:cs="Times New Roman"/>
    </w:rPr>
  </w:style>
  <w:style w:type="character" w:styleId="76">
    <w:name w:val="Hyperlink"/>
    <w:basedOn w:val="69"/>
    <w:qFormat/>
    <w:uiPriority w:val="99"/>
    <w:rPr>
      <w:rFonts w:cs="Times New Roman"/>
      <w:color w:val="0000FF"/>
      <w:u w:val="single"/>
    </w:rPr>
  </w:style>
  <w:style w:type="character" w:styleId="77">
    <w:name w:val="annotation reference"/>
    <w:basedOn w:val="69"/>
    <w:qFormat/>
    <w:uiPriority w:val="99"/>
    <w:rPr>
      <w:rFonts w:cs="Times New Roman"/>
      <w:sz w:val="21"/>
    </w:rPr>
  </w:style>
  <w:style w:type="character" w:styleId="78">
    <w:name w:val="footnote reference"/>
    <w:basedOn w:val="69"/>
    <w:qFormat/>
    <w:uiPriority w:val="99"/>
    <w:rPr>
      <w:rFonts w:cs="Times New Roman"/>
      <w:vertAlign w:val="superscript"/>
    </w:rPr>
  </w:style>
  <w:style w:type="paragraph" w:customStyle="1" w:styleId="79">
    <w:name w:val="style4"/>
    <w:basedOn w:val="1"/>
    <w:next w:val="80"/>
    <w:qFormat/>
    <w:uiPriority w:val="99"/>
    <w:pPr>
      <w:widowControl/>
      <w:spacing w:before="280" w:after="280"/>
    </w:pPr>
    <w:rPr>
      <w:rFonts w:ascii="宋体"/>
      <w:sz w:val="18"/>
    </w:rPr>
  </w:style>
  <w:style w:type="paragraph" w:customStyle="1" w:styleId="80">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81">
    <w:name w:val="标题 1 字符"/>
    <w:basedOn w:val="69"/>
    <w:link w:val="3"/>
    <w:qFormat/>
    <w:locked/>
    <w:uiPriority w:val="99"/>
    <w:rPr>
      <w:rFonts w:eastAsia="楷体_GB2312"/>
      <w:b/>
      <w:kern w:val="44"/>
      <w:sz w:val="44"/>
    </w:rPr>
  </w:style>
  <w:style w:type="character" w:customStyle="1" w:styleId="82">
    <w:name w:val="标题 2 字符"/>
    <w:basedOn w:val="69"/>
    <w:link w:val="4"/>
    <w:qFormat/>
    <w:locked/>
    <w:uiPriority w:val="99"/>
    <w:rPr>
      <w:rFonts w:ascii="宋体" w:hAnsi="宋体" w:eastAsia="楷体_GB2312"/>
      <w:b/>
      <w:kern w:val="2"/>
      <w:sz w:val="26"/>
      <w:lang w:val="en-US" w:eastAsia="zh-CN"/>
    </w:rPr>
  </w:style>
  <w:style w:type="character" w:customStyle="1" w:styleId="83">
    <w:name w:val="标题 3 字符"/>
    <w:basedOn w:val="69"/>
    <w:link w:val="5"/>
    <w:qFormat/>
    <w:locked/>
    <w:uiPriority w:val="99"/>
    <w:rPr>
      <w:rFonts w:eastAsia="楷体_GB2312"/>
      <w:b/>
      <w:kern w:val="2"/>
      <w:sz w:val="26"/>
    </w:rPr>
  </w:style>
  <w:style w:type="character" w:customStyle="1" w:styleId="84">
    <w:name w:val="标题 4 字符"/>
    <w:basedOn w:val="69"/>
    <w:link w:val="6"/>
    <w:qFormat/>
    <w:locked/>
    <w:uiPriority w:val="99"/>
    <w:rPr>
      <w:rFonts w:ascii="Arial" w:hAnsi="Arial" w:eastAsia="黑体"/>
      <w:b/>
      <w:kern w:val="2"/>
      <w:sz w:val="28"/>
    </w:rPr>
  </w:style>
  <w:style w:type="character" w:customStyle="1" w:styleId="85">
    <w:name w:val="标题 5 字符"/>
    <w:basedOn w:val="69"/>
    <w:link w:val="7"/>
    <w:qFormat/>
    <w:locked/>
    <w:uiPriority w:val="99"/>
    <w:rPr>
      <w:rFonts w:ascii="宋体"/>
      <w:b/>
      <w:spacing w:val="-2"/>
      <w:position w:val="-6"/>
      <w:sz w:val="28"/>
      <w:szCs w:val="20"/>
    </w:rPr>
  </w:style>
  <w:style w:type="character" w:customStyle="1" w:styleId="86">
    <w:name w:val="标题 6 字符"/>
    <w:basedOn w:val="69"/>
    <w:link w:val="9"/>
    <w:qFormat/>
    <w:uiPriority w:val="99"/>
    <w:rPr>
      <w:rFonts w:ascii="Arial" w:hAnsi="Arial" w:eastAsia="黑体"/>
      <w:b/>
      <w:spacing w:val="-2"/>
      <w:position w:val="-6"/>
      <w:sz w:val="24"/>
      <w:szCs w:val="20"/>
    </w:rPr>
  </w:style>
  <w:style w:type="character" w:customStyle="1" w:styleId="87">
    <w:name w:val="标题 7 字符"/>
    <w:basedOn w:val="69"/>
    <w:link w:val="10"/>
    <w:qFormat/>
    <w:uiPriority w:val="99"/>
    <w:rPr>
      <w:rFonts w:ascii="宋体"/>
      <w:b/>
      <w:spacing w:val="-2"/>
      <w:position w:val="-6"/>
      <w:sz w:val="24"/>
      <w:szCs w:val="20"/>
    </w:rPr>
  </w:style>
  <w:style w:type="character" w:customStyle="1" w:styleId="88">
    <w:name w:val="标题 8 字符"/>
    <w:basedOn w:val="69"/>
    <w:link w:val="11"/>
    <w:qFormat/>
    <w:uiPriority w:val="99"/>
    <w:rPr>
      <w:rFonts w:ascii="Arial" w:hAnsi="Arial" w:eastAsia="黑体"/>
      <w:spacing w:val="-2"/>
      <w:position w:val="-6"/>
      <w:sz w:val="24"/>
      <w:szCs w:val="20"/>
    </w:rPr>
  </w:style>
  <w:style w:type="character" w:customStyle="1" w:styleId="89">
    <w:name w:val="标题 9 字符"/>
    <w:basedOn w:val="69"/>
    <w:link w:val="12"/>
    <w:qFormat/>
    <w:uiPriority w:val="99"/>
    <w:rPr>
      <w:rFonts w:ascii="Arial" w:hAnsi="Arial" w:eastAsia="黑体"/>
      <w:spacing w:val="-2"/>
      <w:position w:val="-6"/>
      <w:sz w:val="28"/>
      <w:szCs w:val="20"/>
    </w:rPr>
  </w:style>
  <w:style w:type="character" w:customStyle="1" w:styleId="90">
    <w:name w:val="批注文字 字符"/>
    <w:basedOn w:val="69"/>
    <w:link w:val="19"/>
    <w:qFormat/>
    <w:locked/>
    <w:uiPriority w:val="99"/>
    <w:rPr>
      <w:rFonts w:eastAsia="楷体_GB2312"/>
      <w:kern w:val="2"/>
      <w:sz w:val="26"/>
    </w:rPr>
  </w:style>
  <w:style w:type="character" w:customStyle="1" w:styleId="91">
    <w:name w:val="批注主题 字符"/>
    <w:basedOn w:val="90"/>
    <w:link w:val="64"/>
    <w:semiHidden/>
    <w:qFormat/>
    <w:uiPriority w:val="99"/>
    <w:rPr>
      <w:rFonts w:eastAsia="楷体_GB2312"/>
      <w:b/>
      <w:bCs/>
      <w:kern w:val="2"/>
      <w:sz w:val="26"/>
      <w:szCs w:val="20"/>
    </w:rPr>
  </w:style>
  <w:style w:type="character" w:customStyle="1" w:styleId="92">
    <w:name w:val="正文文本 字符"/>
    <w:basedOn w:val="69"/>
    <w:link w:val="22"/>
    <w:qFormat/>
    <w:locked/>
    <w:uiPriority w:val="99"/>
    <w:rPr>
      <w:rFonts w:ascii="楷体_GB2312" w:eastAsia="楷体_GB2312"/>
      <w:kern w:val="2"/>
      <w:sz w:val="28"/>
    </w:rPr>
  </w:style>
  <w:style w:type="character" w:customStyle="1" w:styleId="93">
    <w:name w:val="正文首行缩进 字符"/>
    <w:basedOn w:val="92"/>
    <w:link w:val="65"/>
    <w:qFormat/>
    <w:locked/>
    <w:uiPriority w:val="99"/>
    <w:rPr>
      <w:rFonts w:ascii="楷体_GB2312" w:eastAsia="楷体_GB2312"/>
      <w:b/>
      <w:kern w:val="2"/>
      <w:sz w:val="24"/>
    </w:rPr>
  </w:style>
  <w:style w:type="character" w:customStyle="1" w:styleId="94">
    <w:name w:val="文档结构图 字符"/>
    <w:basedOn w:val="69"/>
    <w:link w:val="18"/>
    <w:semiHidden/>
    <w:qFormat/>
    <w:uiPriority w:val="99"/>
    <w:rPr>
      <w:rFonts w:eastAsia="楷体_GB2312"/>
      <w:sz w:val="0"/>
      <w:szCs w:val="0"/>
    </w:rPr>
  </w:style>
  <w:style w:type="character" w:customStyle="1" w:styleId="95">
    <w:name w:val="正文文本 3 字符"/>
    <w:basedOn w:val="69"/>
    <w:link w:val="21"/>
    <w:qFormat/>
    <w:locked/>
    <w:uiPriority w:val="99"/>
    <w:rPr>
      <w:b/>
      <w:kern w:val="2"/>
      <w:sz w:val="21"/>
    </w:rPr>
  </w:style>
  <w:style w:type="character" w:customStyle="1" w:styleId="96">
    <w:name w:val="正文文本缩进 字符"/>
    <w:basedOn w:val="69"/>
    <w:link w:val="24"/>
    <w:qFormat/>
    <w:locked/>
    <w:uiPriority w:val="99"/>
    <w:rPr>
      <w:rFonts w:ascii="方正仿宋简体" w:hAnsi="创艺简仿宋" w:eastAsia="方正仿宋简体"/>
      <w:kern w:val="2"/>
      <w:sz w:val="24"/>
      <w:lang w:val="en-US" w:eastAsia="zh-CN"/>
    </w:rPr>
  </w:style>
  <w:style w:type="character" w:customStyle="1" w:styleId="97">
    <w:name w:val="纯文本 字符"/>
    <w:basedOn w:val="69"/>
    <w:link w:val="32"/>
    <w:qFormat/>
    <w:locked/>
    <w:uiPriority w:val="99"/>
    <w:rPr>
      <w:rFonts w:ascii="宋体" w:hAnsi="Courier New" w:eastAsia="楷体_GB2312"/>
      <w:kern w:val="2"/>
      <w:sz w:val="26"/>
      <w:lang w:val="en-US" w:eastAsia="zh-CN"/>
    </w:rPr>
  </w:style>
  <w:style w:type="character" w:customStyle="1" w:styleId="98">
    <w:name w:val="日期 字符"/>
    <w:basedOn w:val="69"/>
    <w:link w:val="35"/>
    <w:semiHidden/>
    <w:qFormat/>
    <w:uiPriority w:val="99"/>
    <w:rPr>
      <w:rFonts w:eastAsia="楷体_GB2312"/>
      <w:sz w:val="26"/>
      <w:szCs w:val="20"/>
    </w:rPr>
  </w:style>
  <w:style w:type="character" w:customStyle="1" w:styleId="99">
    <w:name w:val="正文文本缩进 2 字符"/>
    <w:basedOn w:val="69"/>
    <w:link w:val="36"/>
    <w:semiHidden/>
    <w:qFormat/>
    <w:uiPriority w:val="99"/>
    <w:rPr>
      <w:rFonts w:eastAsia="楷体_GB2312"/>
      <w:sz w:val="26"/>
      <w:szCs w:val="20"/>
    </w:rPr>
  </w:style>
  <w:style w:type="character" w:customStyle="1" w:styleId="100">
    <w:name w:val="尾注文本 字符"/>
    <w:basedOn w:val="69"/>
    <w:link w:val="37"/>
    <w:qFormat/>
    <w:locked/>
    <w:uiPriority w:val="99"/>
    <w:rPr>
      <w:rFonts w:eastAsia="楷体_GB2312" w:cs="Times New Roman"/>
      <w:kern w:val="2"/>
      <w:sz w:val="26"/>
    </w:rPr>
  </w:style>
  <w:style w:type="character" w:customStyle="1" w:styleId="101">
    <w:name w:val="批注框文本 字符"/>
    <w:basedOn w:val="69"/>
    <w:link w:val="39"/>
    <w:qFormat/>
    <w:locked/>
    <w:uiPriority w:val="99"/>
    <w:rPr>
      <w:rFonts w:eastAsia="楷体_GB2312"/>
      <w:kern w:val="2"/>
      <w:sz w:val="18"/>
    </w:rPr>
  </w:style>
  <w:style w:type="character" w:customStyle="1" w:styleId="102">
    <w:name w:val="页脚 字符"/>
    <w:basedOn w:val="69"/>
    <w:link w:val="40"/>
    <w:qFormat/>
    <w:locked/>
    <w:uiPriority w:val="99"/>
    <w:rPr>
      <w:rFonts w:eastAsia="楷体_GB2312"/>
      <w:kern w:val="2"/>
      <w:sz w:val="18"/>
    </w:rPr>
  </w:style>
  <w:style w:type="character" w:customStyle="1" w:styleId="103">
    <w:name w:val="页眉 字符"/>
    <w:basedOn w:val="69"/>
    <w:link w:val="41"/>
    <w:qFormat/>
    <w:locked/>
    <w:uiPriority w:val="99"/>
    <w:rPr>
      <w:rFonts w:eastAsia="楷体_GB2312"/>
      <w:kern w:val="2"/>
      <w:sz w:val="18"/>
    </w:rPr>
  </w:style>
  <w:style w:type="character" w:customStyle="1" w:styleId="104">
    <w:name w:val="脚注文本 字符"/>
    <w:basedOn w:val="69"/>
    <w:link w:val="47"/>
    <w:semiHidden/>
    <w:qFormat/>
    <w:uiPriority w:val="99"/>
    <w:rPr>
      <w:rFonts w:eastAsia="楷体_GB2312"/>
      <w:sz w:val="18"/>
      <w:szCs w:val="18"/>
    </w:rPr>
  </w:style>
  <w:style w:type="character" w:customStyle="1" w:styleId="105">
    <w:name w:val="正文文本缩进 3 字符"/>
    <w:basedOn w:val="69"/>
    <w:link w:val="50"/>
    <w:semiHidden/>
    <w:qFormat/>
    <w:uiPriority w:val="99"/>
    <w:rPr>
      <w:rFonts w:eastAsia="楷体_GB2312"/>
      <w:sz w:val="16"/>
      <w:szCs w:val="16"/>
    </w:rPr>
  </w:style>
  <w:style w:type="character" w:customStyle="1" w:styleId="106">
    <w:name w:val="正文文本 2 字符"/>
    <w:basedOn w:val="69"/>
    <w:link w:val="56"/>
    <w:qFormat/>
    <w:locked/>
    <w:uiPriority w:val="99"/>
    <w:rPr>
      <w:rFonts w:ascii="宋体" w:eastAsia="宋体"/>
      <w:kern w:val="2"/>
      <w:sz w:val="24"/>
    </w:rPr>
  </w:style>
  <w:style w:type="character" w:customStyle="1" w:styleId="107">
    <w:name w:val="HTML 预设格式 字符"/>
    <w:basedOn w:val="69"/>
    <w:link w:val="59"/>
    <w:qFormat/>
    <w:locked/>
    <w:uiPriority w:val="99"/>
    <w:rPr>
      <w:rFonts w:ascii="黑体" w:hAnsi="Courier New" w:eastAsia="黑体"/>
    </w:rPr>
  </w:style>
  <w:style w:type="character" w:customStyle="1" w:styleId="108">
    <w:name w:val="标题 字符"/>
    <w:basedOn w:val="69"/>
    <w:link w:val="63"/>
    <w:qFormat/>
    <w:locked/>
    <w:uiPriority w:val="99"/>
    <w:rPr>
      <w:rFonts w:ascii="黑体" w:hAnsi="微软雅黑" w:eastAsia="黑体"/>
      <w:kern w:val="16"/>
      <w:sz w:val="24"/>
    </w:rPr>
  </w:style>
  <w:style w:type="paragraph" w:customStyle="1" w:styleId="109">
    <w:name w:val="默认段落字体 Para Char Char Char Char Char Char Char Char Char Char"/>
    <w:basedOn w:val="1"/>
    <w:qFormat/>
    <w:uiPriority w:val="99"/>
    <w:pPr>
      <w:snapToGrid w:val="0"/>
      <w:spacing w:line="360" w:lineRule="auto"/>
    </w:pPr>
    <w:rPr>
      <w:rFonts w:eastAsia="宋体"/>
      <w:sz w:val="21"/>
      <w:szCs w:val="24"/>
    </w:rPr>
  </w:style>
  <w:style w:type="paragraph" w:customStyle="1" w:styleId="110">
    <w:name w:val="正文缩进2格"/>
    <w:basedOn w:val="1"/>
    <w:link w:val="142"/>
    <w:autoRedefine/>
    <w:qFormat/>
    <w:uiPriority w:val="99"/>
    <w:pPr>
      <w:spacing w:line="600" w:lineRule="exact"/>
      <w:ind w:firstLine="639" w:firstLineChars="206"/>
    </w:pPr>
    <w:rPr>
      <w:rFonts w:ascii="仿宋_GB2312" w:hAnsi="宋体" w:eastAsia="仿宋_GB2312"/>
      <w:sz w:val="31"/>
      <w:szCs w:val="28"/>
    </w:rPr>
  </w:style>
  <w:style w:type="paragraph" w:customStyle="1" w:styleId="111">
    <w:name w:val="列出段落2"/>
    <w:basedOn w:val="1"/>
    <w:qFormat/>
    <w:uiPriority w:val="99"/>
    <w:pPr>
      <w:widowControl/>
      <w:ind w:left="720"/>
      <w:contextualSpacing/>
      <w:jc w:val="left"/>
    </w:pPr>
    <w:rPr>
      <w:rFonts w:ascii="Cambria" w:hAnsi="Cambria" w:eastAsia="宋体"/>
      <w:kern w:val="0"/>
      <w:sz w:val="22"/>
      <w:szCs w:val="22"/>
      <w:lang w:eastAsia="en-US"/>
    </w:rPr>
  </w:style>
  <w:style w:type="paragraph" w:customStyle="1" w:styleId="112">
    <w:name w:val="纯文本1"/>
    <w:basedOn w:val="1"/>
    <w:qFormat/>
    <w:uiPriority w:val="99"/>
    <w:pPr>
      <w:adjustRightInd w:val="0"/>
      <w:textAlignment w:val="baseline"/>
    </w:pPr>
    <w:rPr>
      <w:rFonts w:ascii="宋体" w:hAnsi="Courier New"/>
    </w:rPr>
  </w:style>
  <w:style w:type="paragraph" w:customStyle="1" w:styleId="113">
    <w:name w:val="Style Heading 3 +"/>
    <w:basedOn w:val="5"/>
    <w:link w:val="136"/>
    <w:qFormat/>
    <w:uiPriority w:val="99"/>
    <w:pPr>
      <w:adjustRightInd/>
      <w:spacing w:before="120" w:after="120" w:line="120" w:lineRule="atLeast"/>
      <w:jc w:val="both"/>
      <w:textAlignment w:val="auto"/>
    </w:pPr>
    <w:rPr>
      <w:rFonts w:eastAsia="宋体"/>
      <w:sz w:val="28"/>
    </w:rPr>
  </w:style>
  <w:style w:type="paragraph" w:customStyle="1" w:styleId="114">
    <w:name w:val="正文文本 21"/>
    <w:basedOn w:val="1"/>
    <w:link w:val="137"/>
    <w:qFormat/>
    <w:uiPriority w:val="99"/>
    <w:pPr>
      <w:spacing w:before="280" w:after="120" w:line="480" w:lineRule="auto"/>
      <w:ind w:left="420" w:hanging="420"/>
    </w:pPr>
    <w:rPr>
      <w:rFonts w:ascii="Calibri" w:hAnsi="Calibri" w:eastAsia="宋体"/>
      <w:kern w:val="0"/>
      <w:sz w:val="21"/>
    </w:rPr>
  </w:style>
  <w:style w:type="paragraph" w:styleId="115">
    <w:name w:val="List Paragraph"/>
    <w:basedOn w:val="1"/>
    <w:qFormat/>
    <w:uiPriority w:val="99"/>
    <w:pPr>
      <w:ind w:firstLine="420" w:firstLineChars="200"/>
    </w:pPr>
    <w:rPr>
      <w:rFonts w:eastAsia="宋体"/>
      <w:sz w:val="21"/>
      <w:szCs w:val="24"/>
    </w:rPr>
  </w:style>
  <w:style w:type="paragraph" w:customStyle="1" w:styleId="116">
    <w:name w:val="Char Char Char1 Char"/>
    <w:basedOn w:val="1"/>
    <w:qFormat/>
    <w:uiPriority w:val="99"/>
    <w:rPr>
      <w:rFonts w:eastAsia="宋体"/>
      <w:sz w:val="21"/>
    </w:rPr>
  </w:style>
  <w:style w:type="paragraph" w:customStyle="1" w:styleId="117">
    <w:name w:val="Char Char Char Char"/>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18">
    <w:name w:val="6"/>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19">
    <w:name w:val="图文"/>
    <w:basedOn w:val="1"/>
    <w:qFormat/>
    <w:uiPriority w:val="99"/>
    <w:pPr>
      <w:adjustRightInd w:val="0"/>
      <w:snapToGrid w:val="0"/>
      <w:spacing w:after="50" w:line="360" w:lineRule="auto"/>
    </w:pPr>
    <w:rPr>
      <w:rFonts w:eastAsia="宋体"/>
      <w:sz w:val="24"/>
    </w:rPr>
  </w:style>
  <w:style w:type="paragraph" w:customStyle="1" w:styleId="120">
    <w:name w:val="1"/>
    <w:basedOn w:val="1"/>
    <w:next w:val="32"/>
    <w:qFormat/>
    <w:uiPriority w:val="99"/>
    <w:rPr>
      <w:rFonts w:ascii="宋体" w:hAnsi="Courier New" w:eastAsia="宋体"/>
      <w:sz w:val="21"/>
    </w:rPr>
  </w:style>
  <w:style w:type="paragraph" w:customStyle="1" w:styleId="121">
    <w:name w:val="Char Char1 Char Char Char Char"/>
    <w:basedOn w:val="18"/>
    <w:qFormat/>
    <w:uiPriority w:val="99"/>
    <w:pPr>
      <w:adjustRightInd w:val="0"/>
      <w:snapToGrid w:val="0"/>
      <w:spacing w:line="360" w:lineRule="auto"/>
    </w:pPr>
    <w:rPr>
      <w:rFonts w:ascii="Tahoma" w:hAnsi="Tahoma" w:eastAsia="宋体"/>
      <w:sz w:val="24"/>
      <w:szCs w:val="24"/>
    </w:rPr>
  </w:style>
  <w:style w:type="paragraph" w:customStyle="1" w:styleId="122">
    <w:name w:val="简单回函地址"/>
    <w:basedOn w:val="1"/>
    <w:qFormat/>
    <w:uiPriority w:val="99"/>
    <w:rPr>
      <w:rFonts w:eastAsia="宋体"/>
      <w:sz w:val="21"/>
    </w:rPr>
  </w:style>
  <w:style w:type="paragraph" w:customStyle="1" w:styleId="123">
    <w:name w:val="默认段落字体 Para Char Char Char Char"/>
    <w:basedOn w:val="1"/>
    <w:qFormat/>
    <w:uiPriority w:val="99"/>
    <w:rPr>
      <w:rFonts w:eastAsia="宋体"/>
      <w:sz w:val="21"/>
    </w:rPr>
  </w:style>
  <w:style w:type="paragraph" w:customStyle="1" w:styleId="124">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25">
    <w:name w:val="默认段落字体 Para Char Char Char"/>
    <w:basedOn w:val="1"/>
    <w:qFormat/>
    <w:uiPriority w:val="99"/>
    <w:pPr>
      <w:spacing w:line="360" w:lineRule="auto"/>
      <w:ind w:firstLine="200" w:firstLineChars="200"/>
    </w:pPr>
    <w:rPr>
      <w:rFonts w:eastAsia="宋体"/>
      <w:sz w:val="24"/>
      <w:szCs w:val="24"/>
    </w:rPr>
  </w:style>
  <w:style w:type="paragraph" w:customStyle="1" w:styleId="126">
    <w:name w:val="样式1"/>
    <w:basedOn w:val="6"/>
    <w:qFormat/>
    <w:uiPriority w:val="99"/>
    <w:pPr>
      <w:adjustRightInd/>
      <w:spacing w:before="0" w:after="0" w:line="376" w:lineRule="auto"/>
      <w:textAlignment w:val="auto"/>
    </w:pPr>
    <w:rPr>
      <w:rFonts w:cs="Arial"/>
      <w:sz w:val="24"/>
      <w:szCs w:val="24"/>
    </w:rPr>
  </w:style>
  <w:style w:type="paragraph" w:customStyle="1" w:styleId="127">
    <w:name w:val="列出段落1"/>
    <w:basedOn w:val="1"/>
    <w:qFormat/>
    <w:uiPriority w:val="99"/>
    <w:pPr>
      <w:widowControl/>
      <w:spacing w:before="100" w:beforeAutospacing="1" w:after="100" w:afterAutospacing="1"/>
      <w:jc w:val="left"/>
    </w:pPr>
    <w:rPr>
      <w:rFonts w:ascii="Arial" w:hAnsi="Arial" w:eastAsia="宋体" w:cs="Arial"/>
      <w:color w:val="000000"/>
      <w:sz w:val="18"/>
      <w:szCs w:val="18"/>
    </w:rPr>
  </w:style>
  <w:style w:type="paragraph" w:customStyle="1" w:styleId="128">
    <w:name w:val="Char"/>
    <w:basedOn w:val="1"/>
    <w:qFormat/>
    <w:uiPriority w:val="99"/>
    <w:pPr>
      <w:widowControl/>
      <w:spacing w:after="160" w:line="240" w:lineRule="exact"/>
      <w:jc w:val="left"/>
    </w:pPr>
    <w:rPr>
      <w:rFonts w:ascii="Verdana" w:hAnsi="Verdana" w:eastAsia="宋体"/>
      <w:kern w:val="0"/>
      <w:sz w:val="21"/>
      <w:lang w:eastAsia="en-US"/>
    </w:rPr>
  </w:style>
  <w:style w:type="paragraph" w:customStyle="1" w:styleId="129">
    <w:name w:val="Char1"/>
    <w:basedOn w:val="1"/>
    <w:qFormat/>
    <w:uiPriority w:val="99"/>
    <w:rPr>
      <w:rFonts w:ascii="Tahoma" w:hAnsi="Tahoma" w:eastAsia="宋体"/>
      <w:sz w:val="24"/>
    </w:rPr>
  </w:style>
  <w:style w:type="paragraph" w:customStyle="1" w:styleId="130">
    <w:name w:val="图"/>
    <w:basedOn w:val="1"/>
    <w:qFormat/>
    <w:uiPriority w:val="99"/>
    <w:pPr>
      <w:keepNext/>
      <w:adjustRightInd w:val="0"/>
      <w:spacing w:before="60" w:after="60" w:line="300" w:lineRule="auto"/>
      <w:jc w:val="center"/>
      <w:textAlignment w:val="center"/>
    </w:pPr>
    <w:rPr>
      <w:rFonts w:eastAsia="宋体"/>
      <w:spacing w:val="20"/>
      <w:kern w:val="0"/>
      <w:sz w:val="24"/>
    </w:rPr>
  </w:style>
  <w:style w:type="paragraph" w:customStyle="1" w:styleId="131">
    <w:name w:val="纯文本11"/>
    <w:basedOn w:val="1"/>
    <w:qFormat/>
    <w:uiPriority w:val="99"/>
    <w:pPr>
      <w:adjustRightInd w:val="0"/>
      <w:textAlignment w:val="baseline"/>
    </w:pPr>
    <w:rPr>
      <w:rFonts w:ascii="宋体" w:hAnsi="Courier New"/>
      <w:sz w:val="28"/>
    </w:rPr>
  </w:style>
  <w:style w:type="paragraph" w:customStyle="1" w:styleId="132">
    <w:name w:val="Char2"/>
    <w:basedOn w:val="1"/>
    <w:qFormat/>
    <w:uiPriority w:val="99"/>
    <w:pPr>
      <w:widowControl/>
      <w:spacing w:after="160" w:line="240" w:lineRule="exact"/>
      <w:jc w:val="left"/>
    </w:pPr>
    <w:rPr>
      <w:rFonts w:ascii="Verdana" w:hAnsi="Verdana" w:eastAsia="仿宋_GB2312"/>
      <w:kern w:val="0"/>
      <w:sz w:val="24"/>
      <w:lang w:eastAsia="en-US"/>
    </w:rPr>
  </w:style>
  <w:style w:type="paragraph" w:customStyle="1" w:styleId="133">
    <w:name w:val="reader-word-lay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3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35">
    <w:name w:val="style1"/>
    <w:basedOn w:val="69"/>
    <w:qFormat/>
    <w:uiPriority w:val="99"/>
    <w:rPr>
      <w:rFonts w:cs="Times New Roman"/>
    </w:rPr>
  </w:style>
  <w:style w:type="character" w:customStyle="1" w:styleId="136">
    <w:name w:val="Style Heading 3 + Char Char"/>
    <w:link w:val="113"/>
    <w:qFormat/>
    <w:locked/>
    <w:uiPriority w:val="99"/>
    <w:rPr>
      <w:b/>
      <w:kern w:val="2"/>
      <w:sz w:val="28"/>
    </w:rPr>
  </w:style>
  <w:style w:type="character" w:customStyle="1" w:styleId="137">
    <w:name w:val="正文文本 2 Char2"/>
    <w:link w:val="114"/>
    <w:qFormat/>
    <w:locked/>
    <w:uiPriority w:val="99"/>
    <w:rPr>
      <w:rFonts w:ascii="Calibri" w:hAnsi="Calibri"/>
      <w:sz w:val="21"/>
    </w:rPr>
  </w:style>
  <w:style w:type="character" w:customStyle="1" w:styleId="138">
    <w:name w:val="正文缩进 字符"/>
    <w:link w:val="8"/>
    <w:qFormat/>
    <w:locked/>
    <w:uiPriority w:val="99"/>
    <w:rPr>
      <w:rFonts w:eastAsia="楷体_GB2312"/>
      <w:kern w:val="2"/>
      <w:sz w:val="24"/>
      <w:lang w:val="en-US" w:eastAsia="zh-CN"/>
    </w:rPr>
  </w:style>
  <w:style w:type="character" w:customStyle="1" w:styleId="139">
    <w:name w:val="font21"/>
    <w:basedOn w:val="69"/>
    <w:qFormat/>
    <w:uiPriority w:val="99"/>
    <w:rPr>
      <w:rFonts w:ascii="宋体" w:hAnsi="宋体" w:eastAsia="宋体" w:cs="宋体"/>
      <w:color w:val="000000"/>
      <w:sz w:val="20"/>
      <w:szCs w:val="20"/>
      <w:u w:val="none"/>
    </w:rPr>
  </w:style>
  <w:style w:type="character" w:customStyle="1" w:styleId="140">
    <w:name w:val="font11"/>
    <w:basedOn w:val="69"/>
    <w:qFormat/>
    <w:uiPriority w:val="99"/>
    <w:rPr>
      <w:rFonts w:ascii="Times New Roman" w:hAnsi="Times New Roman" w:cs="Times New Roman"/>
      <w:color w:val="000000"/>
      <w:sz w:val="20"/>
      <w:szCs w:val="20"/>
      <w:u w:val="none"/>
    </w:rPr>
  </w:style>
  <w:style w:type="character" w:customStyle="1" w:styleId="141">
    <w:name w:val="ALT+Z Char"/>
    <w:basedOn w:val="69"/>
    <w:qFormat/>
    <w:uiPriority w:val="99"/>
    <w:rPr>
      <w:rFonts w:eastAsia="宋体" w:cs="Times New Roman"/>
      <w:kern w:val="2"/>
      <w:sz w:val="21"/>
      <w:lang w:val="en-US" w:eastAsia="zh-CN" w:bidi="ar-SA"/>
    </w:rPr>
  </w:style>
  <w:style w:type="character" w:customStyle="1" w:styleId="142">
    <w:name w:val="正文缩进2格 Char Char"/>
    <w:basedOn w:val="69"/>
    <w:link w:val="110"/>
    <w:qFormat/>
    <w:locked/>
    <w:uiPriority w:val="99"/>
    <w:rPr>
      <w:rFonts w:ascii="仿宋_GB2312" w:hAnsi="宋体" w:eastAsia="仿宋_GB2312" w:cs="Times New Roman"/>
      <w:kern w:val="2"/>
      <w:sz w:val="28"/>
      <w:szCs w:val="28"/>
      <w:lang w:val="en-US" w:eastAsia="zh-CN" w:bidi="ar-SA"/>
    </w:rPr>
  </w:style>
  <w:style w:type="character" w:customStyle="1" w:styleId="143">
    <w:name w:val="font41"/>
    <w:basedOn w:val="69"/>
    <w:qFormat/>
    <w:uiPriority w:val="99"/>
    <w:rPr>
      <w:rFonts w:ascii="宋体" w:hAnsi="宋体" w:eastAsia="宋体" w:cs="宋体"/>
      <w:b/>
      <w:color w:val="000000"/>
      <w:sz w:val="20"/>
      <w:szCs w:val="20"/>
      <w:u w:val="none"/>
    </w:rPr>
  </w:style>
  <w:style w:type="character" w:customStyle="1" w:styleId="144">
    <w:name w:val="apple-converted-space"/>
    <w:qFormat/>
    <w:uiPriority w:val="99"/>
  </w:style>
  <w:style w:type="character" w:customStyle="1" w:styleId="145">
    <w:name w:val="font01"/>
    <w:basedOn w:val="69"/>
    <w:qFormat/>
    <w:uiPriority w:val="99"/>
    <w:rPr>
      <w:rFonts w:ascii="宋体" w:hAnsi="宋体" w:eastAsia="宋体" w:cs="Times New Roman"/>
      <w:color w:val="000000"/>
      <w:sz w:val="20"/>
      <w:szCs w:val="20"/>
      <w:u w:val="none"/>
    </w:rPr>
  </w:style>
  <w:style w:type="character" w:customStyle="1" w:styleId="146">
    <w:name w:val="Char Char2"/>
    <w:qFormat/>
    <w:uiPriority w:val="99"/>
    <w:rPr>
      <w:rFonts w:ascii="宋体" w:hAnsi="宋体" w:eastAsia="楷体_GB2312"/>
      <w:b/>
      <w:kern w:val="2"/>
      <w:sz w:val="26"/>
      <w:lang w:val="en-US" w:eastAsia="zh-CN"/>
    </w:rPr>
  </w:style>
  <w:style w:type="character" w:customStyle="1" w:styleId="147">
    <w:name w:val="a-size-large"/>
    <w:basedOn w:val="69"/>
    <w:qFormat/>
    <w:uiPriority w:val="99"/>
    <w:rPr>
      <w:rFonts w:cs="Times New Roman"/>
    </w:rPr>
  </w:style>
  <w:style w:type="character" w:customStyle="1" w:styleId="148">
    <w:name w:val="普通文字 Char1"/>
    <w:basedOn w:val="69"/>
    <w:qFormat/>
    <w:uiPriority w:val="99"/>
    <w:rPr>
      <w:rFonts w:ascii="宋体" w:hAnsi="Courier New" w:eastAsia="宋体" w:cs="Times New Roman"/>
      <w:kern w:val="2"/>
      <w:sz w:val="21"/>
      <w:lang w:val="en-US" w:eastAsia="zh-CN" w:bidi="ar-SA"/>
    </w:rPr>
  </w:style>
  <w:style w:type="character" w:customStyle="1" w:styleId="149">
    <w:name w:val="正文缩进2格 Char"/>
    <w:basedOn w:val="69"/>
    <w:qFormat/>
    <w:uiPriority w:val="99"/>
    <w:rPr>
      <w:rFonts w:ascii="仿宋_GB2312" w:hAnsi="宋体" w:eastAsia="仿宋_GB2312" w:cs="Times New Roman"/>
      <w:kern w:val="2"/>
      <w:sz w:val="28"/>
      <w:szCs w:val="28"/>
      <w:lang w:val="en-US" w:eastAsia="zh-CN" w:bidi="ar-SA"/>
    </w:rPr>
  </w:style>
  <w:style w:type="paragraph" w:customStyle="1" w:styleId="150">
    <w:name w:val="修订1"/>
    <w:hidden/>
    <w:qFormat/>
    <w:uiPriority w:val="99"/>
    <w:rPr>
      <w:rFonts w:ascii="Times New Roman" w:hAnsi="Times New Roman" w:eastAsia="楷体_GB2312" w:cs="Times New Roman"/>
      <w:kern w:val="2"/>
      <w:sz w:val="26"/>
      <w:lang w:val="en-US" w:eastAsia="zh-CN" w:bidi="ar-SA"/>
    </w:rPr>
  </w:style>
  <w:style w:type="character" w:customStyle="1" w:styleId="151">
    <w:name w:val="noused"/>
    <w:qFormat/>
    <w:uiPriority w:val="0"/>
    <w:rPr>
      <w:b/>
      <w:color w:val="FFFFFF"/>
      <w:sz w:val="21"/>
      <w:szCs w:val="21"/>
    </w:rPr>
  </w:style>
  <w:style w:type="table" w:customStyle="1" w:styleId="152">
    <w:name w:val="Table Normal"/>
    <w:semiHidden/>
    <w:unhideWhenUsed/>
    <w:qFormat/>
    <w:uiPriority w:val="0"/>
    <w:tblPr>
      <w:tblCellMar>
        <w:top w:w="0" w:type="dxa"/>
        <w:left w:w="0" w:type="dxa"/>
        <w:bottom w:w="0" w:type="dxa"/>
        <w:right w:w="0" w:type="dxa"/>
      </w:tblCellMar>
    </w:tblPr>
  </w:style>
  <w:style w:type="paragraph" w:customStyle="1" w:styleId="153">
    <w:name w:val="sh4"/>
    <w:basedOn w:val="1"/>
    <w:qFormat/>
    <w:uiPriority w:val="0"/>
    <w:pPr>
      <w:spacing w:line="460" w:lineRule="exact"/>
      <w:ind w:firstLine="200" w:firstLineChars="200"/>
    </w:pPr>
    <w:rPr>
      <w:rFonts w:ascii="宋体" w:hAnsi="宋体" w:eastAsia="宋体"/>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59DD5-EE97-437F-BCC9-47BC5899A4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6263</Words>
  <Characters>6491</Characters>
  <Lines>153</Lines>
  <Paragraphs>43</Paragraphs>
  <TotalTime>0</TotalTime>
  <ScaleCrop>false</ScaleCrop>
  <LinksUpToDate>false</LinksUpToDate>
  <CharactersWithSpaces>6564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2024-11-08T01:53:00Z</dcterms:created>
  <dc:creator>戴健秋</dc:creator>
  <cp:keywords>江苏三师土地房地产评估有限公司南通分公司</cp:keywords>
  <cp:lastModifiedBy>0803</cp:lastModifiedBy>
  <cp:lastPrinted>2019-02-19T19:21:00Z</cp:lastPrinted>
  <dcterms:modified xsi:type="dcterms:W3CDTF">2025-11-25T02:06:15Z</dcterms:modified>
  <dc:title>南通市崇川区政府采购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FF59804577994E9695B15C5B8D31E0FF_13</vt:lpwstr>
  </property>
  <property fmtid="{D5CDD505-2E9C-101B-9397-08002B2CF9AE}" pid="4" name="KSOTemplateDocerSaveRecord">
    <vt:lpwstr>eyJoZGlkIjoiYWUwNmZkNDQxZTk1MjIzMDk3MmJlZmIyYWI1ODA2MzIiLCJ1c2VySWQiOiIxNDYxNDUyNDQ3In0=</vt:lpwstr>
  </property>
</Properties>
</file>