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DD38F3">
      <w:pPr>
        <w:spacing w:line="360" w:lineRule="auto"/>
        <w:jc w:val="center"/>
        <w:rPr>
          <w:rFonts w:hint="eastAsia" w:ascii="仿宋" w:hAnsi="仿宋" w:eastAsia="仿宋" w:cs="仿宋"/>
          <w:b/>
          <w:bCs/>
          <w:color w:val="auto"/>
          <w:sz w:val="36"/>
          <w:szCs w:val="36"/>
          <w:highlight w:val="none"/>
        </w:rPr>
      </w:pPr>
    </w:p>
    <w:p w14:paraId="737D3FDA">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南通市崇川国有资产投资发展有限公司及其下属子公司2026年度消防检测项目</w:t>
      </w:r>
    </w:p>
    <w:p w14:paraId="667D6DF2">
      <w:pPr>
        <w:spacing w:line="360" w:lineRule="auto"/>
        <w:jc w:val="center"/>
        <w:rPr>
          <w:rFonts w:hint="eastAsia" w:ascii="仿宋" w:hAnsi="仿宋" w:eastAsia="仿宋" w:cs="仿宋"/>
          <w:bCs/>
          <w:color w:val="auto"/>
          <w:sz w:val="52"/>
          <w:szCs w:val="52"/>
          <w:highlight w:val="none"/>
        </w:rPr>
      </w:pPr>
    </w:p>
    <w:p w14:paraId="476CA6CA">
      <w:pPr>
        <w:spacing w:line="360" w:lineRule="auto"/>
        <w:jc w:val="center"/>
        <w:rPr>
          <w:rFonts w:hint="eastAsia" w:ascii="仿宋" w:hAnsi="仿宋" w:eastAsia="仿宋" w:cs="仿宋"/>
          <w:bCs/>
          <w:color w:val="auto"/>
          <w:sz w:val="52"/>
          <w:szCs w:val="52"/>
          <w:highlight w:val="none"/>
        </w:rPr>
      </w:pPr>
    </w:p>
    <w:p w14:paraId="08BFDF39">
      <w:pPr>
        <w:pStyle w:val="31"/>
        <w:rPr>
          <w:rFonts w:hint="eastAsia" w:ascii="仿宋" w:hAnsi="仿宋" w:eastAsia="仿宋" w:cs="仿宋"/>
          <w:color w:val="auto"/>
          <w:highlight w:val="none"/>
        </w:rPr>
      </w:pPr>
    </w:p>
    <w:p w14:paraId="1BFD5F48">
      <w:pPr>
        <w:spacing w:line="360" w:lineRule="auto"/>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 xml:space="preserve">招标文件 </w:t>
      </w:r>
    </w:p>
    <w:p w14:paraId="5EB4B9C9">
      <w:pPr>
        <w:spacing w:line="360" w:lineRule="auto"/>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（资格后审）</w:t>
      </w:r>
    </w:p>
    <w:p w14:paraId="778A9377">
      <w:pPr>
        <w:spacing w:line="360" w:lineRule="auto"/>
        <w:jc w:val="center"/>
        <w:rPr>
          <w:rFonts w:hint="eastAsia" w:ascii="仿宋" w:hAnsi="仿宋" w:eastAsia="仿宋" w:cs="仿宋"/>
          <w:bCs/>
          <w:color w:val="auto"/>
          <w:sz w:val="36"/>
          <w:szCs w:val="36"/>
          <w:highlight w:val="none"/>
        </w:rPr>
      </w:pPr>
    </w:p>
    <w:p w14:paraId="5E729D67">
      <w:pPr>
        <w:spacing w:line="360" w:lineRule="auto"/>
        <w:jc w:val="center"/>
        <w:rPr>
          <w:rFonts w:hint="eastAsia" w:ascii="仿宋" w:hAnsi="仿宋" w:eastAsia="仿宋" w:cs="仿宋"/>
          <w:color w:val="auto"/>
          <w:sz w:val="25"/>
          <w:highlight w:val="none"/>
        </w:rPr>
      </w:pPr>
    </w:p>
    <w:p w14:paraId="3D89F30E">
      <w:pPr>
        <w:spacing w:line="360" w:lineRule="auto"/>
        <w:jc w:val="center"/>
        <w:rPr>
          <w:rFonts w:hint="eastAsia" w:ascii="仿宋" w:hAnsi="仿宋" w:eastAsia="仿宋" w:cs="仿宋"/>
          <w:color w:val="auto"/>
          <w:sz w:val="25"/>
          <w:highlight w:val="none"/>
        </w:rPr>
      </w:pPr>
    </w:p>
    <w:p w14:paraId="2A8CE3BF">
      <w:pPr>
        <w:spacing w:line="360" w:lineRule="auto"/>
        <w:rPr>
          <w:rFonts w:hint="eastAsia" w:ascii="仿宋" w:hAnsi="仿宋" w:eastAsia="仿宋" w:cs="仿宋"/>
          <w:color w:val="auto"/>
          <w:sz w:val="25"/>
          <w:highlight w:val="none"/>
        </w:rPr>
      </w:pPr>
    </w:p>
    <w:p w14:paraId="334E4479">
      <w:pPr>
        <w:spacing w:line="360" w:lineRule="auto"/>
        <w:jc w:val="center"/>
        <w:rPr>
          <w:rFonts w:hint="eastAsia" w:ascii="仿宋" w:hAnsi="仿宋" w:eastAsia="仿宋" w:cs="仿宋"/>
          <w:color w:val="auto"/>
          <w:sz w:val="25"/>
          <w:highlight w:val="none"/>
        </w:rPr>
      </w:pPr>
    </w:p>
    <w:p w14:paraId="73EA1185">
      <w:pPr>
        <w:spacing w:line="360" w:lineRule="auto"/>
        <w:jc w:val="center"/>
        <w:rPr>
          <w:rFonts w:hint="eastAsia" w:ascii="仿宋" w:hAnsi="仿宋" w:eastAsia="仿宋" w:cs="仿宋"/>
          <w:color w:val="auto"/>
          <w:sz w:val="25"/>
          <w:highlight w:val="none"/>
        </w:rPr>
      </w:pPr>
    </w:p>
    <w:p w14:paraId="58690206">
      <w:pPr>
        <w:spacing w:line="360" w:lineRule="auto"/>
        <w:jc w:val="center"/>
        <w:rPr>
          <w:rFonts w:hint="eastAsia" w:ascii="仿宋" w:hAnsi="仿宋" w:eastAsia="仿宋" w:cs="仿宋"/>
          <w:color w:val="auto"/>
          <w:sz w:val="25"/>
          <w:highlight w:val="none"/>
        </w:rPr>
      </w:pPr>
    </w:p>
    <w:p w14:paraId="0BC47C6D">
      <w:pPr>
        <w:spacing w:line="360" w:lineRule="auto"/>
        <w:jc w:val="center"/>
        <w:rPr>
          <w:rFonts w:hint="eastAsia" w:ascii="仿宋" w:hAnsi="仿宋" w:eastAsia="仿宋" w:cs="仿宋"/>
          <w:color w:val="auto"/>
          <w:sz w:val="25"/>
          <w:highlight w:val="none"/>
        </w:rPr>
      </w:pPr>
    </w:p>
    <w:p w14:paraId="2881B5A5">
      <w:pPr>
        <w:spacing w:line="360" w:lineRule="auto"/>
        <w:jc w:val="center"/>
        <w:rPr>
          <w:rFonts w:hint="eastAsia" w:ascii="仿宋" w:hAnsi="仿宋" w:eastAsia="仿宋" w:cs="仿宋"/>
          <w:color w:val="auto"/>
          <w:sz w:val="25"/>
          <w:highlight w:val="none"/>
        </w:rPr>
      </w:pPr>
    </w:p>
    <w:p w14:paraId="34E243B9">
      <w:pPr>
        <w:spacing w:line="360" w:lineRule="auto"/>
        <w:ind w:firstLine="790" w:firstLineChars="246"/>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招　标　人：南通市崇川国有资产投资发展有限公司</w:t>
      </w:r>
    </w:p>
    <w:p w14:paraId="696470F3">
      <w:pPr>
        <w:spacing w:line="360" w:lineRule="auto"/>
        <w:ind w:firstLine="790" w:firstLineChars="246"/>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招标代理人：苏州新一造价师价格事务所有限公司</w:t>
      </w:r>
    </w:p>
    <w:p w14:paraId="47AB36FC">
      <w:pPr>
        <w:spacing w:line="360" w:lineRule="auto"/>
        <w:ind w:firstLine="790" w:firstLineChars="246"/>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二〇二</w:t>
      </w: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年十</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月</w:t>
      </w:r>
    </w:p>
    <w:p w14:paraId="4234E74F">
      <w:pPr>
        <w:tabs>
          <w:tab w:val="left" w:pos="3990"/>
        </w:tabs>
        <w:spacing w:after="120" w:line="360" w:lineRule="auto"/>
        <w:jc w:val="center"/>
        <w:rPr>
          <w:rFonts w:hint="eastAsia" w:ascii="仿宋" w:hAnsi="仿宋" w:eastAsia="仿宋" w:cs="仿宋"/>
          <w:color w:val="auto"/>
          <w:spacing w:val="32"/>
          <w:sz w:val="44"/>
          <w:highlight w:val="none"/>
        </w:rPr>
      </w:pPr>
    </w:p>
    <w:p w14:paraId="12B4D5B5">
      <w:pPr>
        <w:widowControl/>
        <w:shd w:val="clear" w:color="auto" w:fill="FFFFFF"/>
        <w:spacing w:line="480" w:lineRule="atLeast"/>
        <w:jc w:val="center"/>
        <w:rPr>
          <w:rFonts w:ascii="Times New Roman" w:hAnsi="Times New Roman"/>
          <w:b/>
          <w:kern w:val="0"/>
          <w:sz w:val="32"/>
          <w:szCs w:val="32"/>
          <w:shd w:val="clear" w:color="auto" w:fill="FFFFFF"/>
        </w:rPr>
      </w:pPr>
      <w:bookmarkStart w:id="0" w:name="_Toc19192"/>
      <w:bookmarkStart w:id="1" w:name="_Toc19335"/>
      <w:r>
        <w:rPr>
          <w:rFonts w:hint="eastAsia" w:ascii="Times New Roman" w:hAnsi="Times New Roman"/>
          <w:b/>
          <w:sz w:val="32"/>
          <w:szCs w:val="32"/>
          <w:lang w:eastAsia="zh-CN"/>
        </w:rPr>
        <w:t>南通市崇川国有资产投资发展有限公司及其下属子公司2026年度消防检测项目</w:t>
      </w:r>
      <w:r>
        <w:rPr>
          <w:rFonts w:ascii="Times New Roman" w:hAnsi="Times New Roman"/>
          <w:b/>
          <w:sz w:val="32"/>
          <w:szCs w:val="32"/>
        </w:rPr>
        <w:t>招标公告（资格后审）</w:t>
      </w:r>
    </w:p>
    <w:p w14:paraId="0C4E5037">
      <w:pPr>
        <w:widowControl/>
        <w:shd w:val="clear" w:color="auto" w:fill="FFFFFF"/>
        <w:spacing w:before="360" w:after="100" w:afterAutospacing="1" w:line="360" w:lineRule="auto"/>
        <w:ind w:firstLine="482"/>
        <w:contextualSpacing/>
        <w:jc w:val="left"/>
        <w:rPr>
          <w:rFonts w:ascii="Times New Roman" w:hAnsi="Times New Roman"/>
          <w:kern w:val="0"/>
          <w:sz w:val="24"/>
          <w:szCs w:val="24"/>
          <w:shd w:val="clear" w:color="auto" w:fill="FFFFFF"/>
        </w:rPr>
      </w:pPr>
    </w:p>
    <w:p w14:paraId="48D34FE3">
      <w:pPr>
        <w:widowControl/>
        <w:shd w:val="clear" w:color="auto" w:fill="FFFFFF"/>
        <w:spacing w:before="360" w:after="100" w:afterAutospacing="1" w:line="360" w:lineRule="auto"/>
        <w:ind w:firstLine="482"/>
        <w:contextualSpacing/>
        <w:jc w:val="left"/>
        <w:rPr>
          <w:rFonts w:ascii="Times New Roman" w:hAnsi="Times New Roman"/>
          <w:kern w:val="0"/>
          <w:sz w:val="24"/>
          <w:szCs w:val="24"/>
        </w:rPr>
      </w:pPr>
      <w:r>
        <w:rPr>
          <w:rFonts w:ascii="Times New Roman" w:hAnsi="Times New Roman"/>
          <w:kern w:val="0"/>
          <w:sz w:val="24"/>
          <w:szCs w:val="24"/>
          <w:shd w:val="clear" w:color="auto" w:fill="FFFFFF"/>
        </w:rPr>
        <w:t>1、</w:t>
      </w:r>
      <w:r>
        <w:rPr>
          <w:rFonts w:hint="eastAsia" w:ascii="Times New Roman" w:hAnsi="Times New Roman"/>
          <w:b/>
          <w:bCs/>
          <w:kern w:val="0"/>
          <w:sz w:val="24"/>
          <w:szCs w:val="24"/>
          <w:u w:val="single"/>
          <w:lang w:eastAsia="zh-CN"/>
        </w:rPr>
        <w:t>南通市崇川国有资产投资发展有限公司</w:t>
      </w:r>
      <w:r>
        <w:rPr>
          <w:rFonts w:ascii="Times New Roman" w:hAnsi="Times New Roman"/>
          <w:kern w:val="0"/>
          <w:sz w:val="24"/>
          <w:szCs w:val="24"/>
          <w:shd w:val="clear" w:color="auto" w:fill="FFFFFF"/>
        </w:rPr>
        <w:t>的</w:t>
      </w:r>
      <w:r>
        <w:rPr>
          <w:rFonts w:hint="eastAsia" w:ascii="Times New Roman" w:hAnsi="Times New Roman"/>
          <w:b/>
          <w:bCs/>
          <w:kern w:val="0"/>
          <w:sz w:val="24"/>
          <w:szCs w:val="24"/>
          <w:u w:val="single"/>
          <w:lang w:eastAsia="zh-CN"/>
        </w:rPr>
        <w:t>南通市崇川国有资产投资发展有限公司及其下属子公司2026年度消防检测项目</w:t>
      </w:r>
      <w:r>
        <w:rPr>
          <w:rFonts w:ascii="Times New Roman" w:hAnsi="Times New Roman"/>
          <w:kern w:val="0"/>
          <w:sz w:val="24"/>
          <w:szCs w:val="24"/>
          <w:shd w:val="clear" w:color="auto" w:fill="FFFFFF"/>
        </w:rPr>
        <w:t>已经由相关部门批准建设，工程所需资金来源为</w:t>
      </w:r>
      <w:r>
        <w:rPr>
          <w:rFonts w:ascii="Times New Roman" w:hAnsi="Times New Roman"/>
          <w:b/>
          <w:bCs/>
          <w:kern w:val="0"/>
          <w:sz w:val="24"/>
          <w:szCs w:val="24"/>
          <w:u w:val="single"/>
        </w:rPr>
        <w:t xml:space="preserve">自筹 </w:t>
      </w:r>
      <w:r>
        <w:rPr>
          <w:rFonts w:ascii="Times New Roman" w:hAnsi="Times New Roman"/>
          <w:kern w:val="0"/>
          <w:sz w:val="24"/>
          <w:szCs w:val="24"/>
          <w:shd w:val="clear" w:color="auto" w:fill="FFFFFF"/>
        </w:rPr>
        <w:t>。现对</w:t>
      </w:r>
      <w:r>
        <w:rPr>
          <w:rFonts w:hint="eastAsia" w:ascii="Times New Roman" w:hAnsi="Times New Roman"/>
          <w:b/>
          <w:bCs/>
          <w:kern w:val="0"/>
          <w:sz w:val="24"/>
          <w:szCs w:val="24"/>
          <w:u w:val="single"/>
          <w:lang w:eastAsia="zh-CN"/>
        </w:rPr>
        <w:t>南通市崇川国有资产投资发展有限公司及其下属子公司2026年度消防检测项目</w:t>
      </w:r>
      <w:r>
        <w:rPr>
          <w:rFonts w:ascii="Times New Roman" w:hAnsi="Times New Roman"/>
          <w:kern w:val="0"/>
          <w:sz w:val="24"/>
          <w:szCs w:val="24"/>
          <w:shd w:val="clear" w:color="auto" w:fill="FFFFFF"/>
        </w:rPr>
        <w:t>进行公开招标，邀请合格的潜在投标人参加本工程的资格后审。</w:t>
      </w:r>
    </w:p>
    <w:p w14:paraId="7A91CF8E">
      <w:pPr>
        <w:widowControl/>
        <w:shd w:val="clear" w:color="auto" w:fill="FFFFFF"/>
        <w:spacing w:before="360" w:after="100" w:afterAutospacing="1" w:line="360" w:lineRule="auto"/>
        <w:ind w:firstLine="482"/>
        <w:contextualSpacing/>
        <w:jc w:val="left"/>
        <w:rPr>
          <w:rFonts w:ascii="Times New Roman" w:hAnsi="Times New Roman"/>
          <w:kern w:val="0"/>
          <w:sz w:val="24"/>
          <w:szCs w:val="24"/>
        </w:rPr>
      </w:pPr>
      <w:r>
        <w:rPr>
          <w:rFonts w:ascii="Times New Roman" w:hAnsi="Times New Roman"/>
          <w:kern w:val="0"/>
          <w:sz w:val="24"/>
          <w:szCs w:val="24"/>
          <w:shd w:val="clear" w:color="auto" w:fill="FFFFFF"/>
        </w:rPr>
        <w:t>2、</w:t>
      </w:r>
      <w:r>
        <w:rPr>
          <w:rFonts w:hint="eastAsia" w:ascii="Times New Roman" w:hAnsi="Times New Roman"/>
          <w:b/>
          <w:bCs/>
          <w:kern w:val="0"/>
          <w:sz w:val="24"/>
          <w:szCs w:val="24"/>
          <w:u w:val="single"/>
          <w:lang w:eastAsia="zh-CN"/>
        </w:rPr>
        <w:t xml:space="preserve">苏州新一造价师价格事务所有限公司 </w:t>
      </w:r>
      <w:r>
        <w:rPr>
          <w:rFonts w:ascii="Times New Roman" w:hAnsi="Times New Roman"/>
          <w:kern w:val="0"/>
          <w:sz w:val="24"/>
          <w:szCs w:val="24"/>
          <w:shd w:val="clear" w:color="auto" w:fill="FFFFFF"/>
        </w:rPr>
        <w:t>受招标人委托具体负责本工程的招标事宜。</w:t>
      </w:r>
    </w:p>
    <w:p w14:paraId="34A3C048">
      <w:pPr>
        <w:widowControl/>
        <w:shd w:val="clear" w:color="auto" w:fill="FFFFFF"/>
        <w:spacing w:before="360" w:after="100" w:afterAutospacing="1" w:line="360" w:lineRule="auto"/>
        <w:ind w:firstLine="482"/>
        <w:contextualSpacing/>
        <w:jc w:val="left"/>
        <w:rPr>
          <w:rFonts w:ascii="Times New Roman" w:hAnsi="Times New Roman"/>
          <w:kern w:val="0"/>
          <w:sz w:val="24"/>
          <w:szCs w:val="24"/>
        </w:rPr>
      </w:pPr>
      <w:r>
        <w:rPr>
          <w:rFonts w:ascii="Times New Roman" w:hAnsi="Times New Roman"/>
          <w:kern w:val="0"/>
          <w:sz w:val="24"/>
          <w:szCs w:val="24"/>
          <w:shd w:val="clear" w:color="auto" w:fill="FFFFFF"/>
        </w:rPr>
        <w:t>3、工程概况:</w:t>
      </w:r>
    </w:p>
    <w:p w14:paraId="44851C17">
      <w:pPr>
        <w:widowControl/>
        <w:shd w:val="clear" w:color="auto" w:fill="FFFFFF"/>
        <w:spacing w:before="360" w:after="100" w:afterAutospacing="1" w:line="360" w:lineRule="auto"/>
        <w:ind w:firstLine="482"/>
        <w:contextualSpacing/>
        <w:jc w:val="left"/>
        <w:rPr>
          <w:rFonts w:ascii="Times New Roman" w:hAnsi="Times New Roman"/>
          <w:kern w:val="0"/>
          <w:sz w:val="24"/>
          <w:szCs w:val="24"/>
        </w:rPr>
      </w:pPr>
      <w:r>
        <w:rPr>
          <w:rFonts w:ascii="Times New Roman" w:hAnsi="Times New Roman"/>
          <w:kern w:val="0"/>
          <w:sz w:val="24"/>
          <w:szCs w:val="24"/>
          <w:shd w:val="clear" w:color="auto" w:fill="FFFFFF"/>
        </w:rPr>
        <w:t>（1）工程地点：</w:t>
      </w:r>
      <w:r>
        <w:rPr>
          <w:rFonts w:ascii="Times New Roman" w:hAnsi="Times New Roman"/>
          <w:kern w:val="11"/>
          <w:sz w:val="24"/>
        </w:rPr>
        <w:t>南通市崇川区</w:t>
      </w:r>
    </w:p>
    <w:p w14:paraId="604C8AD8">
      <w:pPr>
        <w:widowControl/>
        <w:shd w:val="clear" w:color="auto" w:fill="FFFFFF"/>
        <w:spacing w:before="360" w:after="100" w:afterAutospacing="1" w:line="360" w:lineRule="auto"/>
        <w:ind w:firstLine="482"/>
        <w:contextualSpacing/>
        <w:jc w:val="left"/>
        <w:rPr>
          <w:rFonts w:ascii="Times New Roman" w:hAnsi="Times New Roman"/>
          <w:kern w:val="0"/>
          <w:sz w:val="24"/>
          <w:szCs w:val="24"/>
        </w:rPr>
      </w:pPr>
      <w:r>
        <w:rPr>
          <w:rFonts w:ascii="Times New Roman" w:hAnsi="Times New Roman"/>
          <w:kern w:val="0"/>
          <w:sz w:val="24"/>
          <w:szCs w:val="24"/>
          <w:shd w:val="clear" w:color="auto" w:fill="FFFFFF"/>
        </w:rPr>
        <w:t>（2）工期要求：</w:t>
      </w:r>
      <w:r>
        <w:rPr>
          <w:rFonts w:hint="eastAsia"/>
          <w:sz w:val="24"/>
        </w:rPr>
        <w:t>接到采购人通知后3天内组织人员到场检测，并应在30日历天内（含节假日在内，所有检测不得以休息日作为拖延检测借口）完成现场检测工作和向采购人提交消防检测意见书。</w:t>
      </w:r>
    </w:p>
    <w:p w14:paraId="6938DE77">
      <w:pPr>
        <w:widowControl/>
        <w:shd w:val="clear" w:color="auto" w:fill="FFFFFF"/>
        <w:spacing w:before="360" w:after="100" w:afterAutospacing="1" w:line="360" w:lineRule="auto"/>
        <w:ind w:firstLine="482"/>
        <w:contextualSpacing/>
        <w:jc w:val="left"/>
        <w:rPr>
          <w:rFonts w:ascii="Times New Roman" w:hAnsi="Times New Roman"/>
          <w:b/>
          <w:bCs/>
          <w:kern w:val="0"/>
          <w:sz w:val="24"/>
          <w:szCs w:val="24"/>
          <w:u w:val="single"/>
        </w:rPr>
      </w:pPr>
      <w:r>
        <w:rPr>
          <w:rFonts w:ascii="Times New Roman" w:hAnsi="Times New Roman"/>
          <w:kern w:val="0"/>
          <w:sz w:val="24"/>
          <w:szCs w:val="24"/>
          <w:shd w:val="clear" w:color="auto" w:fill="FFFFFF"/>
        </w:rPr>
        <w:t>4、本次招标工程共分</w:t>
      </w:r>
      <w:r>
        <w:rPr>
          <w:rFonts w:ascii="Times New Roman" w:hAnsi="Times New Roman"/>
          <w:b/>
          <w:bCs/>
          <w:kern w:val="0"/>
          <w:sz w:val="24"/>
          <w:szCs w:val="24"/>
          <w:u w:val="single"/>
        </w:rPr>
        <w:t xml:space="preserve"> 壹 </w:t>
      </w:r>
      <w:r>
        <w:rPr>
          <w:rFonts w:ascii="Times New Roman" w:hAnsi="Times New Roman"/>
          <w:kern w:val="0"/>
          <w:sz w:val="24"/>
          <w:szCs w:val="24"/>
          <w:shd w:val="clear" w:color="auto" w:fill="FFFFFF"/>
        </w:rPr>
        <w:t>个标段，招标内容如下：</w:t>
      </w:r>
      <w:r>
        <w:rPr>
          <w:rFonts w:hint="eastAsia" w:ascii="Times New Roman" w:hAnsi="Times New Roman"/>
          <w:b/>
          <w:bCs/>
          <w:kern w:val="0"/>
          <w:sz w:val="24"/>
          <w:szCs w:val="24"/>
          <w:u w:val="single"/>
          <w:shd w:val="clear" w:color="auto" w:fill="FFFFFF"/>
          <w:lang w:eastAsia="zh-CN"/>
        </w:rPr>
        <w:t>南通市崇川国有资产投资发展有限公司及其下属子公司2026年度消防检测项目</w:t>
      </w:r>
      <w:r>
        <w:rPr>
          <w:rFonts w:ascii="Times New Roman" w:hAnsi="Times New Roman"/>
          <w:b/>
          <w:bCs/>
          <w:kern w:val="0"/>
          <w:sz w:val="24"/>
          <w:szCs w:val="24"/>
          <w:u w:val="single"/>
        </w:rPr>
        <w:t>。</w:t>
      </w:r>
    </w:p>
    <w:p w14:paraId="3F8072C5">
      <w:pPr>
        <w:widowControl/>
        <w:shd w:val="clear" w:color="auto" w:fill="FFFFFF"/>
        <w:spacing w:before="360" w:after="100" w:afterAutospacing="1" w:line="360" w:lineRule="auto"/>
        <w:ind w:firstLine="482"/>
        <w:contextualSpacing/>
        <w:jc w:val="left"/>
        <w:rPr>
          <w:rFonts w:ascii="Times New Roman" w:hAnsi="Times New Roman"/>
          <w:kern w:val="0"/>
          <w:sz w:val="24"/>
          <w:szCs w:val="24"/>
        </w:rPr>
      </w:pPr>
      <w:r>
        <w:rPr>
          <w:rFonts w:ascii="Times New Roman" w:hAnsi="Times New Roman"/>
          <w:kern w:val="0"/>
          <w:sz w:val="24"/>
          <w:szCs w:val="24"/>
          <w:shd w:val="clear" w:color="auto" w:fill="FFFFFF"/>
        </w:rPr>
        <w:t>5、申请人应当具备的资格条件：</w:t>
      </w:r>
    </w:p>
    <w:p w14:paraId="2849DFB5">
      <w:pPr>
        <w:widowControl/>
        <w:shd w:val="clear" w:color="auto" w:fill="FFFFFF"/>
        <w:spacing w:before="360" w:after="100" w:afterAutospacing="1" w:line="360" w:lineRule="auto"/>
        <w:ind w:firstLine="482"/>
        <w:contextualSpacing/>
        <w:jc w:val="left"/>
        <w:rPr>
          <w:rFonts w:ascii="Times New Roman" w:hAnsi="Times New Roman"/>
          <w:kern w:val="0"/>
          <w:sz w:val="24"/>
          <w:szCs w:val="24"/>
          <w:shd w:val="clear" w:color="auto" w:fill="FFFFFF"/>
        </w:rPr>
      </w:pPr>
      <w:r>
        <w:rPr>
          <w:rFonts w:ascii="Times New Roman" w:hAnsi="Times New Roman"/>
          <w:kern w:val="0"/>
          <w:sz w:val="24"/>
          <w:szCs w:val="24"/>
          <w:shd w:val="clear" w:color="auto" w:fill="FFFFFF"/>
        </w:rPr>
        <w:t>（1）</w:t>
      </w:r>
      <w:r>
        <w:rPr>
          <w:rFonts w:hint="eastAsia" w:ascii="Times New Roman" w:hAnsi="Times New Roman"/>
          <w:kern w:val="0"/>
          <w:sz w:val="24"/>
          <w:szCs w:val="24"/>
          <w:shd w:val="clear" w:color="auto" w:fill="FFFFFF"/>
        </w:rPr>
        <w:t>法定代表人身份证明书（格式详见第四章）</w:t>
      </w:r>
      <w:r>
        <w:rPr>
          <w:rFonts w:ascii="Times New Roman" w:hAnsi="Times New Roman"/>
          <w:kern w:val="0"/>
          <w:sz w:val="24"/>
          <w:szCs w:val="24"/>
          <w:shd w:val="clear" w:color="auto" w:fill="FFFFFF"/>
        </w:rPr>
        <w:t>。</w:t>
      </w:r>
    </w:p>
    <w:p w14:paraId="6650B953">
      <w:pPr>
        <w:widowControl/>
        <w:shd w:val="clear" w:color="auto" w:fill="FFFFFF"/>
        <w:spacing w:before="360" w:after="100" w:afterAutospacing="1" w:line="360" w:lineRule="auto"/>
        <w:ind w:firstLine="482"/>
        <w:contextualSpacing/>
        <w:jc w:val="left"/>
        <w:rPr>
          <w:rFonts w:ascii="Times New Roman" w:hAnsi="Times New Roman"/>
          <w:kern w:val="0"/>
          <w:sz w:val="24"/>
          <w:szCs w:val="24"/>
          <w:shd w:val="clear" w:color="auto" w:fill="FFFFFF"/>
        </w:rPr>
      </w:pPr>
      <w:r>
        <w:rPr>
          <w:rFonts w:ascii="Times New Roman" w:hAnsi="Times New Roman"/>
          <w:kern w:val="0"/>
          <w:sz w:val="24"/>
          <w:szCs w:val="24"/>
          <w:shd w:val="clear" w:color="auto" w:fill="FFFFFF"/>
        </w:rPr>
        <w:t>（2）</w:t>
      </w:r>
      <w:r>
        <w:rPr>
          <w:rFonts w:hint="eastAsia" w:ascii="Times New Roman" w:hAnsi="Times New Roman"/>
          <w:kern w:val="0"/>
          <w:sz w:val="24"/>
          <w:szCs w:val="24"/>
          <w:shd w:val="clear" w:color="auto" w:fill="FFFFFF"/>
        </w:rPr>
        <w:t>授权委托书（如有授权）（格式详见第四章）</w:t>
      </w:r>
      <w:r>
        <w:rPr>
          <w:rFonts w:ascii="Times New Roman" w:hAnsi="Times New Roman"/>
          <w:kern w:val="0"/>
          <w:sz w:val="24"/>
          <w:szCs w:val="24"/>
          <w:shd w:val="clear" w:color="auto" w:fill="FFFFFF"/>
        </w:rPr>
        <w:t>；</w:t>
      </w:r>
    </w:p>
    <w:p w14:paraId="56F64F37">
      <w:pPr>
        <w:widowControl/>
        <w:shd w:val="clear" w:color="auto" w:fill="FFFFFF"/>
        <w:spacing w:before="360" w:after="100" w:afterAutospacing="1" w:line="360" w:lineRule="auto"/>
        <w:ind w:firstLine="482"/>
        <w:contextualSpacing/>
        <w:jc w:val="left"/>
        <w:rPr>
          <w:rFonts w:ascii="Times New Roman" w:hAnsi="Times New Roman"/>
          <w:kern w:val="0"/>
          <w:sz w:val="24"/>
          <w:szCs w:val="24"/>
          <w:shd w:val="clear" w:color="auto" w:fill="FFFFFF"/>
        </w:rPr>
      </w:pPr>
      <w:r>
        <w:rPr>
          <w:rFonts w:ascii="Times New Roman" w:hAnsi="Times New Roman"/>
          <w:kern w:val="0"/>
          <w:sz w:val="24"/>
          <w:szCs w:val="24"/>
          <w:shd w:val="clear" w:color="auto" w:fill="FFFFFF"/>
        </w:rPr>
        <w:t>（3）</w:t>
      </w:r>
      <w:r>
        <w:rPr>
          <w:rFonts w:hint="eastAsia" w:ascii="Times New Roman" w:hAnsi="Times New Roman"/>
          <w:kern w:val="0"/>
          <w:sz w:val="24"/>
          <w:szCs w:val="24"/>
          <w:shd w:val="clear" w:color="auto" w:fill="FFFFFF"/>
        </w:rPr>
        <w:t>有效的企业营业执照（副本）</w:t>
      </w:r>
      <w:r>
        <w:rPr>
          <w:rFonts w:ascii="Times New Roman" w:hAnsi="Times New Roman"/>
          <w:kern w:val="0"/>
          <w:sz w:val="24"/>
          <w:szCs w:val="24"/>
          <w:shd w:val="clear" w:color="auto" w:fill="FFFFFF"/>
        </w:rPr>
        <w:t>；</w:t>
      </w:r>
    </w:p>
    <w:p w14:paraId="1EAE3F9A">
      <w:pPr>
        <w:widowControl/>
        <w:shd w:val="clear" w:color="auto" w:fill="FFFFFF"/>
        <w:spacing w:before="360" w:after="100" w:afterAutospacing="1" w:line="360" w:lineRule="auto"/>
        <w:ind w:firstLine="482"/>
        <w:contextualSpacing/>
        <w:jc w:val="left"/>
        <w:rPr>
          <w:rFonts w:hint="eastAsia" w:ascii="Times New Roman" w:hAnsi="Times New Roman"/>
          <w:kern w:val="0"/>
          <w:sz w:val="24"/>
          <w:szCs w:val="24"/>
          <w:shd w:val="clear" w:color="auto" w:fill="FFFFFF"/>
        </w:rPr>
      </w:pPr>
      <w:r>
        <w:rPr>
          <w:rFonts w:hint="eastAsia" w:ascii="Times New Roman" w:hAnsi="Times New Roman"/>
          <w:kern w:val="0"/>
          <w:sz w:val="24"/>
          <w:szCs w:val="24"/>
          <w:shd w:val="clear" w:color="auto" w:fill="FFFFFF"/>
        </w:rPr>
        <w:t>（4）有效的企业资质证书（副本）；（为社会消防技术服务信息系统中消防设施维护保养检测类企业，以“社会消防技术服务信息系统”网站截图为准；</w:t>
      </w:r>
    </w:p>
    <w:p w14:paraId="301BA082">
      <w:pPr>
        <w:widowControl/>
        <w:shd w:val="clear" w:color="auto" w:fill="FFFFFF"/>
        <w:spacing w:before="360" w:after="100" w:afterAutospacing="1" w:line="360" w:lineRule="auto"/>
        <w:ind w:firstLine="482"/>
        <w:contextualSpacing/>
        <w:jc w:val="left"/>
        <w:rPr>
          <w:rFonts w:hint="eastAsia" w:ascii="Times New Roman" w:hAnsi="Times New Roman" w:eastAsia="宋体"/>
          <w:kern w:val="0"/>
          <w:sz w:val="24"/>
          <w:szCs w:val="24"/>
          <w:shd w:val="clear" w:color="auto" w:fill="FFFFFF"/>
          <w:lang w:eastAsia="zh-CN"/>
        </w:rPr>
      </w:pPr>
      <w:r>
        <w:rPr>
          <w:rFonts w:hint="eastAsia" w:ascii="Times New Roman" w:hAnsi="Times New Roman"/>
          <w:kern w:val="0"/>
          <w:sz w:val="24"/>
          <w:szCs w:val="24"/>
          <w:shd w:val="clear" w:color="auto" w:fill="FFFFFF"/>
        </w:rPr>
        <w:t>（5）拟派项目负责人具有消防工程师执业资格证书且为投标企业正式人员（必须提供：（提供有效证书复印件、与投标企业签订的有效劳动合同书）</w:t>
      </w:r>
      <w:r>
        <w:rPr>
          <w:rFonts w:hint="eastAsia" w:ascii="Times New Roman" w:hAnsi="Times New Roman"/>
          <w:kern w:val="0"/>
          <w:sz w:val="24"/>
          <w:szCs w:val="24"/>
          <w:shd w:val="clear" w:color="auto" w:fill="FFFFFF"/>
          <w:lang w:eastAsia="zh-CN"/>
        </w:rPr>
        <w:t>；</w:t>
      </w:r>
    </w:p>
    <w:p w14:paraId="2325E04A">
      <w:pPr>
        <w:spacing w:line="440" w:lineRule="exact"/>
        <w:ind w:firstLine="480" w:firstLineChars="200"/>
        <w:rPr>
          <w:rFonts w:hint="eastAsia" w:ascii="Times New Roman" w:hAnsi="Times New Roman" w:eastAsia="宋体"/>
          <w:kern w:val="0"/>
          <w:sz w:val="24"/>
          <w:szCs w:val="24"/>
          <w:shd w:val="clear" w:color="auto" w:fill="FFFFFF"/>
          <w:lang w:eastAsia="zh-CN"/>
        </w:rPr>
      </w:pPr>
      <w:r>
        <w:rPr>
          <w:rFonts w:hint="eastAsia" w:ascii="Times New Roman" w:hAnsi="Times New Roman"/>
          <w:kern w:val="0"/>
          <w:sz w:val="24"/>
          <w:szCs w:val="24"/>
          <w:shd w:val="clear" w:color="auto" w:fill="FFFFFF"/>
          <w:lang w:eastAsia="zh-CN"/>
        </w:rPr>
        <w:t>（</w:t>
      </w:r>
      <w:r>
        <w:rPr>
          <w:rFonts w:hint="eastAsia" w:ascii="Times New Roman" w:hAnsi="Times New Roman"/>
          <w:kern w:val="0"/>
          <w:sz w:val="24"/>
          <w:szCs w:val="24"/>
          <w:shd w:val="clear" w:color="auto" w:fill="FFFFFF"/>
          <w:lang w:val="en-US" w:eastAsia="zh-CN"/>
        </w:rPr>
        <w:t>6</w:t>
      </w:r>
      <w:r>
        <w:rPr>
          <w:rFonts w:hint="eastAsia" w:ascii="Times New Roman" w:hAnsi="Times New Roman"/>
          <w:kern w:val="0"/>
          <w:sz w:val="24"/>
          <w:szCs w:val="24"/>
          <w:shd w:val="clear" w:color="auto" w:fill="FFFFFF"/>
          <w:lang w:eastAsia="zh-CN"/>
        </w:rPr>
        <w:t>）</w:t>
      </w:r>
      <w:r>
        <w:rPr>
          <w:rFonts w:hint="eastAsia"/>
          <w:sz w:val="24"/>
        </w:rPr>
        <w:t>投标人认为必要的其他资料。</w:t>
      </w:r>
    </w:p>
    <w:p w14:paraId="6E0C8D39">
      <w:pPr>
        <w:widowControl/>
        <w:shd w:val="clear" w:color="auto" w:fill="FFFFFF"/>
        <w:spacing w:before="360" w:after="100" w:afterAutospacing="1" w:line="360" w:lineRule="auto"/>
        <w:ind w:firstLine="482"/>
        <w:contextualSpacing/>
        <w:jc w:val="left"/>
        <w:rPr>
          <w:rFonts w:ascii="Times New Roman" w:hAnsi="Times New Roman"/>
          <w:kern w:val="0"/>
          <w:sz w:val="24"/>
          <w:szCs w:val="24"/>
        </w:rPr>
      </w:pPr>
      <w:r>
        <w:rPr>
          <w:rFonts w:ascii="Times New Roman" w:hAnsi="Times New Roman"/>
          <w:kern w:val="0"/>
          <w:sz w:val="24"/>
          <w:szCs w:val="24"/>
          <w:shd w:val="clear" w:color="auto" w:fill="FFFFFF"/>
        </w:rPr>
        <w:t>6、如发现投标人递交的资格后审材料有弄虚作假行为，该投标人将记入不良记录，并上报有关部门。如已中标，招标人有权取消其中标资格，并由该投标人承担一切责任和损失。</w:t>
      </w:r>
    </w:p>
    <w:p w14:paraId="557A3069">
      <w:pPr>
        <w:widowControl/>
        <w:shd w:val="clear" w:color="auto" w:fill="FFFFFF"/>
        <w:spacing w:before="360" w:after="100" w:afterAutospacing="1" w:line="360" w:lineRule="auto"/>
        <w:ind w:firstLine="482"/>
        <w:contextualSpacing/>
        <w:jc w:val="left"/>
        <w:rPr>
          <w:rFonts w:ascii="Times New Roman" w:hAnsi="Times New Roman"/>
          <w:kern w:val="0"/>
          <w:sz w:val="24"/>
          <w:szCs w:val="24"/>
          <w:shd w:val="clear" w:color="auto" w:fill="FFFFFF"/>
        </w:rPr>
      </w:pPr>
      <w:r>
        <w:rPr>
          <w:rFonts w:ascii="Times New Roman" w:hAnsi="Times New Roman"/>
          <w:kern w:val="0"/>
          <w:sz w:val="24"/>
          <w:szCs w:val="24"/>
          <w:shd w:val="clear" w:color="auto" w:fill="FFFFFF"/>
        </w:rPr>
        <w:t>7、本工程投标申请人的资格审查采用资格后审的方式，无需另行进行网上报名，各投标人须于</w:t>
      </w:r>
      <w:r>
        <w:rPr>
          <w:rFonts w:ascii="Times New Roman" w:hAnsi="Times New Roman"/>
          <w:b/>
          <w:bCs/>
          <w:kern w:val="0"/>
          <w:sz w:val="24"/>
          <w:szCs w:val="24"/>
          <w:u w:val="single"/>
        </w:rPr>
        <w:t>202</w:t>
      </w:r>
      <w:r>
        <w:rPr>
          <w:rFonts w:hint="eastAsia" w:ascii="Times New Roman" w:hAnsi="Times New Roman"/>
          <w:b/>
          <w:bCs/>
          <w:kern w:val="0"/>
          <w:sz w:val="24"/>
          <w:szCs w:val="24"/>
          <w:u w:val="single"/>
          <w:lang w:val="en-US" w:eastAsia="zh-CN"/>
        </w:rPr>
        <w:t>5</w:t>
      </w:r>
      <w:r>
        <w:rPr>
          <w:rFonts w:ascii="Times New Roman" w:hAnsi="Times New Roman"/>
          <w:b/>
          <w:bCs/>
          <w:kern w:val="0"/>
          <w:sz w:val="24"/>
          <w:szCs w:val="24"/>
        </w:rPr>
        <w:t>年</w:t>
      </w:r>
      <w:r>
        <w:rPr>
          <w:rFonts w:hint="eastAsia" w:ascii="Times New Roman" w:hAnsi="Times New Roman"/>
          <w:b/>
          <w:bCs/>
          <w:kern w:val="0"/>
          <w:sz w:val="24"/>
          <w:szCs w:val="24"/>
          <w:u w:val="single"/>
          <w:lang w:val="en-US" w:eastAsia="zh-CN"/>
        </w:rPr>
        <w:t>12</w:t>
      </w:r>
      <w:r>
        <w:rPr>
          <w:rFonts w:ascii="Times New Roman" w:hAnsi="Times New Roman"/>
          <w:b/>
          <w:bCs/>
          <w:kern w:val="0"/>
          <w:sz w:val="24"/>
          <w:szCs w:val="24"/>
        </w:rPr>
        <w:t>月</w:t>
      </w:r>
      <w:r>
        <w:rPr>
          <w:rFonts w:ascii="Times New Roman" w:hAnsi="Times New Roman"/>
          <w:b/>
          <w:bCs/>
          <w:kern w:val="0"/>
          <w:sz w:val="24"/>
          <w:szCs w:val="24"/>
          <w:u w:val="single"/>
        </w:rPr>
        <w:t xml:space="preserve"> </w:t>
      </w:r>
      <w:r>
        <w:rPr>
          <w:rFonts w:hint="eastAsia"/>
          <w:b/>
          <w:bCs/>
          <w:kern w:val="0"/>
          <w:sz w:val="24"/>
          <w:szCs w:val="24"/>
          <w:u w:val="single"/>
          <w:lang w:val="en-US" w:eastAsia="zh-CN"/>
        </w:rPr>
        <w:t>15</w:t>
      </w:r>
      <w:r>
        <w:rPr>
          <w:rFonts w:ascii="Times New Roman" w:hAnsi="Times New Roman"/>
          <w:b/>
          <w:bCs/>
          <w:kern w:val="0"/>
          <w:sz w:val="24"/>
          <w:szCs w:val="24"/>
        </w:rPr>
        <w:t>日</w:t>
      </w:r>
      <w:r>
        <w:rPr>
          <w:rFonts w:hint="eastAsia"/>
          <w:b/>
          <w:bCs/>
          <w:kern w:val="0"/>
          <w:sz w:val="24"/>
          <w:szCs w:val="24"/>
          <w:u w:val="single"/>
          <w:lang w:val="en-US" w:eastAsia="zh-CN"/>
        </w:rPr>
        <w:t>09</w:t>
      </w:r>
      <w:r>
        <w:rPr>
          <w:rFonts w:ascii="Times New Roman" w:hAnsi="Times New Roman"/>
          <w:b/>
          <w:bCs/>
          <w:kern w:val="0"/>
          <w:sz w:val="24"/>
          <w:szCs w:val="24"/>
        </w:rPr>
        <w:t>时</w:t>
      </w:r>
      <w:r>
        <w:rPr>
          <w:rFonts w:hint="eastAsia"/>
          <w:b/>
          <w:bCs/>
          <w:kern w:val="0"/>
          <w:sz w:val="24"/>
          <w:szCs w:val="24"/>
          <w:u w:val="single"/>
          <w:lang w:val="en-US" w:eastAsia="zh-CN"/>
        </w:rPr>
        <w:t>30</w:t>
      </w:r>
      <w:r>
        <w:rPr>
          <w:rFonts w:ascii="Times New Roman" w:hAnsi="Times New Roman"/>
          <w:b/>
          <w:bCs/>
          <w:kern w:val="0"/>
          <w:sz w:val="24"/>
          <w:szCs w:val="24"/>
        </w:rPr>
        <w:t>分</w:t>
      </w:r>
      <w:r>
        <w:rPr>
          <w:rFonts w:ascii="Times New Roman" w:hAnsi="Times New Roman"/>
          <w:b/>
          <w:sz w:val="24"/>
        </w:rPr>
        <w:t>（北京时间）</w:t>
      </w:r>
      <w:r>
        <w:rPr>
          <w:rFonts w:ascii="Times New Roman" w:hAnsi="Times New Roman"/>
          <w:kern w:val="0"/>
          <w:sz w:val="24"/>
          <w:szCs w:val="24"/>
          <w:shd w:val="clear" w:color="auto" w:fill="FFFFFF"/>
        </w:rPr>
        <w:t>以前将投标文件提交至</w:t>
      </w:r>
      <w:r>
        <w:rPr>
          <w:rFonts w:hint="eastAsia" w:ascii="Times New Roman" w:hAnsi="Times New Roman"/>
          <w:b/>
          <w:snapToGrid w:val="0"/>
          <w:kern w:val="0"/>
          <w:sz w:val="24"/>
        </w:rPr>
        <w:t>南通市崇川区崇川路1号崇川国投集团109会议室</w:t>
      </w:r>
      <w:r>
        <w:rPr>
          <w:rFonts w:ascii="Times New Roman" w:hAnsi="Times New Roman"/>
          <w:kern w:val="0"/>
          <w:sz w:val="24"/>
          <w:szCs w:val="24"/>
          <w:shd w:val="clear" w:color="auto" w:fill="FFFFFF"/>
        </w:rPr>
        <w:t>，并在</w:t>
      </w:r>
      <w:r>
        <w:rPr>
          <w:rFonts w:ascii="Times New Roman" w:hAnsi="Times New Roman"/>
          <w:b/>
          <w:bCs/>
          <w:kern w:val="0"/>
          <w:sz w:val="24"/>
          <w:szCs w:val="24"/>
          <w:u w:val="single"/>
        </w:rPr>
        <w:t>202</w:t>
      </w:r>
      <w:r>
        <w:rPr>
          <w:rFonts w:hint="eastAsia" w:ascii="Times New Roman" w:hAnsi="Times New Roman"/>
          <w:b/>
          <w:bCs/>
          <w:kern w:val="0"/>
          <w:sz w:val="24"/>
          <w:szCs w:val="24"/>
          <w:u w:val="single"/>
          <w:lang w:val="en-US" w:eastAsia="zh-CN"/>
        </w:rPr>
        <w:t>5</w:t>
      </w:r>
      <w:r>
        <w:rPr>
          <w:rFonts w:ascii="Times New Roman" w:hAnsi="Times New Roman"/>
          <w:b/>
          <w:bCs/>
          <w:kern w:val="0"/>
          <w:sz w:val="24"/>
          <w:szCs w:val="24"/>
        </w:rPr>
        <w:t>年</w:t>
      </w:r>
      <w:r>
        <w:rPr>
          <w:rFonts w:ascii="Times New Roman" w:hAnsi="Times New Roman"/>
          <w:b/>
          <w:bCs/>
          <w:kern w:val="0"/>
          <w:sz w:val="24"/>
          <w:szCs w:val="24"/>
          <w:u w:val="single"/>
        </w:rPr>
        <w:t> 1</w:t>
      </w:r>
      <w:r>
        <w:rPr>
          <w:rFonts w:hint="eastAsia" w:ascii="Times New Roman" w:hAnsi="Times New Roman"/>
          <w:b/>
          <w:bCs/>
          <w:kern w:val="0"/>
          <w:sz w:val="24"/>
          <w:szCs w:val="24"/>
          <w:u w:val="single"/>
          <w:lang w:val="en-US" w:eastAsia="zh-CN"/>
        </w:rPr>
        <w:t>2</w:t>
      </w:r>
      <w:r>
        <w:rPr>
          <w:rFonts w:ascii="Times New Roman" w:hAnsi="Times New Roman"/>
          <w:b/>
          <w:bCs/>
          <w:kern w:val="0"/>
          <w:sz w:val="24"/>
          <w:szCs w:val="24"/>
        </w:rPr>
        <w:t>月</w:t>
      </w:r>
      <w:r>
        <w:rPr>
          <w:rFonts w:hint="eastAsia"/>
          <w:b/>
          <w:bCs/>
          <w:kern w:val="0"/>
          <w:sz w:val="24"/>
          <w:szCs w:val="24"/>
          <w:lang w:val="en-US" w:eastAsia="zh-CN"/>
        </w:rPr>
        <w:t>15</w:t>
      </w:r>
      <w:r>
        <w:rPr>
          <w:rFonts w:ascii="Times New Roman" w:hAnsi="Times New Roman"/>
          <w:b/>
          <w:bCs/>
          <w:kern w:val="0"/>
          <w:sz w:val="24"/>
          <w:szCs w:val="24"/>
          <w:u w:val="single"/>
        </w:rPr>
        <w:t xml:space="preserve"> </w:t>
      </w:r>
      <w:r>
        <w:rPr>
          <w:rFonts w:ascii="Times New Roman" w:hAnsi="Times New Roman"/>
          <w:b/>
          <w:bCs/>
          <w:kern w:val="0"/>
          <w:sz w:val="24"/>
          <w:szCs w:val="24"/>
        </w:rPr>
        <w:t>日</w:t>
      </w:r>
      <w:r>
        <w:rPr>
          <w:rFonts w:hint="eastAsia"/>
          <w:b/>
          <w:bCs/>
          <w:kern w:val="0"/>
          <w:sz w:val="24"/>
          <w:szCs w:val="24"/>
          <w:u w:val="single"/>
          <w:lang w:val="en-US" w:eastAsia="zh-CN"/>
        </w:rPr>
        <w:t>09</w:t>
      </w:r>
      <w:r>
        <w:rPr>
          <w:rFonts w:ascii="Times New Roman" w:hAnsi="Times New Roman"/>
          <w:b/>
          <w:bCs/>
          <w:kern w:val="0"/>
          <w:sz w:val="24"/>
          <w:szCs w:val="24"/>
        </w:rPr>
        <w:t>时</w:t>
      </w:r>
      <w:r>
        <w:rPr>
          <w:rFonts w:hint="eastAsia"/>
          <w:b/>
          <w:bCs/>
          <w:kern w:val="0"/>
          <w:sz w:val="24"/>
          <w:szCs w:val="24"/>
          <w:u w:val="single"/>
          <w:lang w:val="en-US" w:eastAsia="zh-CN"/>
        </w:rPr>
        <w:t>30</w:t>
      </w:r>
      <w:r>
        <w:rPr>
          <w:rFonts w:ascii="Times New Roman" w:hAnsi="Times New Roman"/>
          <w:b/>
          <w:bCs/>
          <w:kern w:val="0"/>
          <w:sz w:val="24"/>
          <w:szCs w:val="24"/>
        </w:rPr>
        <w:t>分</w:t>
      </w:r>
      <w:r>
        <w:rPr>
          <w:rFonts w:ascii="Times New Roman" w:hAnsi="Times New Roman"/>
          <w:b/>
          <w:sz w:val="24"/>
        </w:rPr>
        <w:t>（北京时间）</w:t>
      </w:r>
      <w:r>
        <w:rPr>
          <w:rFonts w:ascii="Times New Roman" w:hAnsi="Times New Roman"/>
          <w:kern w:val="0"/>
          <w:sz w:val="24"/>
          <w:szCs w:val="24"/>
          <w:shd w:val="clear" w:color="auto" w:fill="FFFFFF"/>
        </w:rPr>
        <w:t>开标。逾期送达的投标文件将被拒绝。</w:t>
      </w:r>
    </w:p>
    <w:p w14:paraId="3F1DF97A">
      <w:pPr>
        <w:widowControl/>
        <w:shd w:val="clear" w:color="auto" w:fill="FFFFFF"/>
        <w:spacing w:before="360" w:after="100" w:afterAutospacing="1" w:line="360" w:lineRule="auto"/>
        <w:ind w:firstLine="482"/>
        <w:contextualSpacing/>
        <w:jc w:val="left"/>
        <w:rPr>
          <w:rFonts w:ascii="Times New Roman" w:hAnsi="Times New Roman"/>
          <w:kern w:val="0"/>
          <w:sz w:val="24"/>
          <w:szCs w:val="24"/>
        </w:rPr>
      </w:pPr>
      <w:r>
        <w:rPr>
          <w:rFonts w:ascii="Times New Roman" w:hAnsi="Times New Roman"/>
          <w:kern w:val="0"/>
          <w:sz w:val="24"/>
          <w:szCs w:val="24"/>
          <w:shd w:val="clear" w:color="auto" w:fill="FFFFFF"/>
        </w:rPr>
        <w:t>8、招标文件等材料从本公告附件下载；招标文件、修改、补充公布的网址及栏目：“南通市崇川区人民政府网</w:t>
      </w:r>
      <w:r>
        <w:rPr>
          <w:rFonts w:hint="eastAsia" w:ascii="Times New Roman" w:hAnsi="Times New Roman"/>
          <w:kern w:val="0"/>
          <w:sz w:val="24"/>
          <w:szCs w:val="24"/>
          <w:shd w:val="clear" w:color="auto" w:fill="FFFFFF"/>
        </w:rPr>
        <w:t>-公示公告栏</w:t>
      </w:r>
      <w:r>
        <w:rPr>
          <w:rFonts w:ascii="Times New Roman" w:hAnsi="Times New Roman"/>
          <w:kern w:val="0"/>
          <w:sz w:val="24"/>
          <w:szCs w:val="24"/>
          <w:shd w:val="clear" w:color="auto" w:fill="FFFFFF"/>
        </w:rPr>
        <w:t>”。请各投标人自行关注，否则，引起的所有损失由投标人自行承担。</w:t>
      </w:r>
    </w:p>
    <w:p w14:paraId="645E4B8C">
      <w:pPr>
        <w:widowControl/>
        <w:shd w:val="clear" w:color="auto" w:fill="FFFFFF"/>
        <w:spacing w:before="360" w:after="100" w:afterAutospacing="1" w:line="360" w:lineRule="auto"/>
        <w:ind w:firstLine="482"/>
        <w:contextualSpacing/>
        <w:jc w:val="left"/>
        <w:rPr>
          <w:rFonts w:hint="eastAsia" w:ascii="Times New Roman" w:hAnsi="Times New Roman"/>
          <w:kern w:val="0"/>
          <w:sz w:val="24"/>
          <w:szCs w:val="24"/>
        </w:rPr>
      </w:pPr>
      <w:r>
        <w:rPr>
          <w:rFonts w:ascii="Times New Roman" w:hAnsi="Times New Roman"/>
          <w:kern w:val="0"/>
          <w:sz w:val="24"/>
          <w:szCs w:val="24"/>
          <w:shd w:val="clear" w:color="auto" w:fill="FFFFFF"/>
        </w:rPr>
        <w:t>9、评标办法详见招标文件。</w:t>
      </w:r>
    </w:p>
    <w:p w14:paraId="2A92F17D">
      <w:pPr>
        <w:widowControl/>
        <w:shd w:val="clear" w:color="auto" w:fill="FFFFFF"/>
        <w:spacing w:before="360" w:after="100" w:afterAutospacing="1" w:line="360" w:lineRule="auto"/>
        <w:ind w:firstLine="482"/>
        <w:contextualSpacing/>
        <w:jc w:val="left"/>
        <w:rPr>
          <w:rFonts w:ascii="Times New Roman" w:hAnsi="Times New Roman"/>
          <w:kern w:val="0"/>
          <w:sz w:val="24"/>
          <w:szCs w:val="24"/>
        </w:rPr>
      </w:pPr>
      <w:r>
        <w:rPr>
          <w:rFonts w:ascii="Times New Roman" w:hAnsi="Times New Roman"/>
          <w:kern w:val="0"/>
          <w:sz w:val="24"/>
          <w:szCs w:val="24"/>
          <w:shd w:val="clear" w:color="auto" w:fill="FFFFFF"/>
        </w:rPr>
        <w:t>1</w:t>
      </w:r>
      <w:r>
        <w:rPr>
          <w:rFonts w:hint="eastAsia" w:ascii="Times New Roman" w:hAnsi="Times New Roman"/>
          <w:kern w:val="0"/>
          <w:sz w:val="24"/>
          <w:szCs w:val="24"/>
          <w:shd w:val="clear" w:color="auto" w:fill="FFFFFF"/>
        </w:rPr>
        <w:t>0</w:t>
      </w:r>
      <w:r>
        <w:rPr>
          <w:rFonts w:ascii="Times New Roman" w:hAnsi="Times New Roman"/>
          <w:kern w:val="0"/>
          <w:sz w:val="24"/>
          <w:szCs w:val="24"/>
          <w:shd w:val="clear" w:color="auto" w:fill="FFFFFF"/>
        </w:rPr>
        <w:t>、其他信息</w:t>
      </w:r>
    </w:p>
    <w:p w14:paraId="300BBFC0">
      <w:pPr>
        <w:widowControl/>
        <w:shd w:val="clear" w:color="auto" w:fill="FFFFFF"/>
        <w:spacing w:before="360" w:after="100" w:afterAutospacing="1" w:line="360" w:lineRule="auto"/>
        <w:ind w:firstLine="482"/>
        <w:contextualSpacing/>
        <w:jc w:val="left"/>
        <w:rPr>
          <w:rFonts w:hint="eastAsia" w:ascii="Times New Roman" w:hAnsi="Times New Roman"/>
          <w:kern w:val="0"/>
          <w:sz w:val="24"/>
          <w:szCs w:val="24"/>
          <w:shd w:val="clear" w:color="auto" w:fill="FFFFFF"/>
        </w:rPr>
      </w:pPr>
      <w:r>
        <w:rPr>
          <w:rFonts w:hint="eastAsia" w:ascii="Times New Roman" w:hAnsi="Times New Roman"/>
          <w:kern w:val="0"/>
          <w:sz w:val="24"/>
          <w:szCs w:val="24"/>
          <w:shd w:val="clear" w:color="auto" w:fill="FFFFFF"/>
        </w:rPr>
        <w:t>招标人：南通市崇川国有资产投资发展有限公司</w:t>
      </w:r>
    </w:p>
    <w:p w14:paraId="562D2788">
      <w:pPr>
        <w:widowControl/>
        <w:shd w:val="clear" w:color="auto" w:fill="FFFFFF"/>
        <w:spacing w:before="360" w:after="100" w:afterAutospacing="1" w:line="360" w:lineRule="auto"/>
        <w:ind w:firstLine="482"/>
        <w:contextualSpacing/>
        <w:jc w:val="left"/>
        <w:rPr>
          <w:rFonts w:hint="eastAsia" w:ascii="Times New Roman" w:hAnsi="Times New Roman"/>
          <w:kern w:val="0"/>
          <w:sz w:val="24"/>
          <w:szCs w:val="24"/>
          <w:shd w:val="clear" w:color="auto" w:fill="FFFFFF"/>
        </w:rPr>
      </w:pPr>
      <w:r>
        <w:rPr>
          <w:rFonts w:hint="eastAsia" w:ascii="Times New Roman" w:hAnsi="Times New Roman"/>
          <w:kern w:val="0"/>
          <w:sz w:val="24"/>
          <w:szCs w:val="24"/>
          <w:shd w:val="clear" w:color="auto" w:fill="FFFFFF"/>
        </w:rPr>
        <w:t>地 址：南通市崇川区崇川路1号</w:t>
      </w:r>
    </w:p>
    <w:p w14:paraId="595C8439">
      <w:pPr>
        <w:widowControl/>
        <w:shd w:val="clear" w:color="auto" w:fill="FFFFFF"/>
        <w:spacing w:before="360" w:after="100" w:afterAutospacing="1" w:line="360" w:lineRule="auto"/>
        <w:ind w:firstLine="482"/>
        <w:contextualSpacing/>
        <w:jc w:val="left"/>
        <w:rPr>
          <w:rFonts w:hint="eastAsia" w:ascii="Times New Roman" w:hAnsi="Times New Roman"/>
          <w:kern w:val="0"/>
          <w:sz w:val="24"/>
          <w:szCs w:val="24"/>
          <w:shd w:val="clear" w:color="auto" w:fill="FFFFFF"/>
        </w:rPr>
      </w:pPr>
      <w:r>
        <w:rPr>
          <w:rFonts w:hint="eastAsia" w:ascii="Times New Roman" w:hAnsi="Times New Roman"/>
          <w:kern w:val="0"/>
          <w:sz w:val="24"/>
          <w:szCs w:val="24"/>
          <w:shd w:val="clear" w:color="auto" w:fill="FFFFFF"/>
        </w:rPr>
        <w:t xml:space="preserve">联系人：王工 </w:t>
      </w:r>
    </w:p>
    <w:p w14:paraId="759F1461">
      <w:pPr>
        <w:widowControl/>
        <w:shd w:val="clear" w:color="auto" w:fill="FFFFFF"/>
        <w:spacing w:before="360" w:after="100" w:afterAutospacing="1" w:line="360" w:lineRule="auto"/>
        <w:ind w:firstLine="482"/>
        <w:contextualSpacing/>
        <w:jc w:val="left"/>
        <w:rPr>
          <w:rFonts w:hint="eastAsia" w:ascii="Times New Roman" w:hAnsi="Times New Roman"/>
          <w:kern w:val="0"/>
          <w:sz w:val="24"/>
          <w:szCs w:val="24"/>
          <w:shd w:val="clear" w:color="auto" w:fill="FFFFFF"/>
        </w:rPr>
      </w:pPr>
      <w:r>
        <w:rPr>
          <w:rFonts w:hint="eastAsia" w:ascii="Times New Roman" w:hAnsi="Times New Roman"/>
          <w:kern w:val="0"/>
          <w:sz w:val="24"/>
          <w:szCs w:val="24"/>
          <w:shd w:val="clear" w:color="auto" w:fill="FFFFFF"/>
        </w:rPr>
        <w:t>联系电话：0513-66889905</w:t>
      </w:r>
    </w:p>
    <w:p w14:paraId="644662D9">
      <w:pPr>
        <w:widowControl/>
        <w:shd w:val="clear" w:color="auto" w:fill="FFFFFF"/>
        <w:spacing w:before="360" w:after="100" w:afterAutospacing="1" w:line="360" w:lineRule="auto"/>
        <w:ind w:firstLine="482"/>
        <w:contextualSpacing/>
        <w:jc w:val="left"/>
        <w:rPr>
          <w:rFonts w:hint="eastAsia" w:ascii="Times New Roman" w:hAnsi="Times New Roman"/>
          <w:kern w:val="0"/>
          <w:sz w:val="24"/>
          <w:szCs w:val="24"/>
          <w:shd w:val="clear" w:color="auto" w:fill="FFFFFF"/>
        </w:rPr>
      </w:pPr>
      <w:r>
        <w:rPr>
          <w:rFonts w:hint="eastAsia" w:ascii="Times New Roman" w:hAnsi="Times New Roman"/>
          <w:kern w:val="0"/>
          <w:sz w:val="24"/>
          <w:szCs w:val="24"/>
          <w:shd w:val="clear" w:color="auto" w:fill="FFFFFF"/>
        </w:rPr>
        <w:t>名称：苏州新一造价师价格事务所有限公司</w:t>
      </w:r>
    </w:p>
    <w:p w14:paraId="26FC7432">
      <w:pPr>
        <w:widowControl/>
        <w:shd w:val="clear" w:color="auto" w:fill="FFFFFF"/>
        <w:spacing w:before="360" w:after="100" w:afterAutospacing="1" w:line="360" w:lineRule="auto"/>
        <w:ind w:firstLine="482"/>
        <w:contextualSpacing/>
        <w:jc w:val="left"/>
        <w:rPr>
          <w:rFonts w:hint="eastAsia" w:ascii="Times New Roman" w:hAnsi="Times New Roman"/>
          <w:kern w:val="0"/>
          <w:sz w:val="24"/>
          <w:szCs w:val="24"/>
          <w:shd w:val="clear" w:color="auto" w:fill="FFFFFF"/>
        </w:rPr>
      </w:pPr>
      <w:r>
        <w:rPr>
          <w:rFonts w:hint="eastAsia" w:ascii="Times New Roman" w:hAnsi="Times New Roman"/>
          <w:kern w:val="0"/>
          <w:sz w:val="24"/>
          <w:szCs w:val="24"/>
          <w:shd w:val="clear" w:color="auto" w:fill="FFFFFF"/>
        </w:rPr>
        <w:t>地址：南通市经济技术开发区长通路9号（飞马国际中心A座1205室）</w:t>
      </w:r>
    </w:p>
    <w:p w14:paraId="36EDE3D7">
      <w:pPr>
        <w:widowControl/>
        <w:shd w:val="clear" w:color="auto" w:fill="FFFFFF"/>
        <w:spacing w:before="360" w:after="100" w:afterAutospacing="1" w:line="360" w:lineRule="auto"/>
        <w:ind w:firstLine="482"/>
        <w:contextualSpacing/>
        <w:jc w:val="left"/>
        <w:rPr>
          <w:rFonts w:hint="eastAsia" w:ascii="Times New Roman" w:hAnsi="Times New Roman"/>
          <w:kern w:val="0"/>
          <w:sz w:val="24"/>
          <w:szCs w:val="24"/>
          <w:shd w:val="clear" w:color="auto" w:fill="FFFFFF"/>
        </w:rPr>
      </w:pPr>
      <w:r>
        <w:rPr>
          <w:rFonts w:hint="eastAsia" w:ascii="Times New Roman" w:hAnsi="Times New Roman"/>
          <w:kern w:val="0"/>
          <w:sz w:val="24"/>
          <w:szCs w:val="24"/>
          <w:shd w:val="clear" w:color="auto" w:fill="FFFFFF"/>
        </w:rPr>
        <w:t>联系方式：代工 、周工</w:t>
      </w:r>
    </w:p>
    <w:p w14:paraId="038E1691">
      <w:pPr>
        <w:widowControl/>
        <w:shd w:val="clear" w:color="auto" w:fill="FFFFFF"/>
        <w:spacing w:before="360" w:after="100" w:afterAutospacing="1" w:line="360" w:lineRule="auto"/>
        <w:ind w:firstLine="482"/>
        <w:contextualSpacing/>
        <w:jc w:val="left"/>
        <w:rPr>
          <w:rFonts w:ascii="Times New Roman" w:hAnsi="Times New Roman"/>
          <w:kern w:val="0"/>
          <w:sz w:val="24"/>
          <w:szCs w:val="24"/>
        </w:rPr>
      </w:pPr>
      <w:r>
        <w:rPr>
          <w:rFonts w:hint="eastAsia" w:ascii="Times New Roman" w:hAnsi="Times New Roman"/>
          <w:kern w:val="0"/>
          <w:sz w:val="24"/>
          <w:szCs w:val="24"/>
          <w:shd w:val="clear" w:color="auto" w:fill="FFFFFF"/>
        </w:rPr>
        <w:t>联系电话：0513-69895668</w:t>
      </w:r>
    </w:p>
    <w:p w14:paraId="34FA77D1">
      <w:pPr>
        <w:widowControl/>
        <w:shd w:val="clear" w:color="auto" w:fill="FFFFFF"/>
        <w:spacing w:before="360" w:after="100" w:afterAutospacing="1" w:line="360" w:lineRule="exact"/>
        <w:ind w:firstLine="482"/>
        <w:jc w:val="right"/>
        <w:rPr>
          <w:rFonts w:ascii="Times New Roman" w:hAnsi="Times New Roman"/>
          <w:kern w:val="0"/>
          <w:sz w:val="24"/>
          <w:szCs w:val="24"/>
        </w:rPr>
      </w:pPr>
      <w:r>
        <w:rPr>
          <w:rFonts w:ascii="Times New Roman" w:hAnsi="Times New Roman"/>
          <w:kern w:val="0"/>
          <w:sz w:val="24"/>
          <w:szCs w:val="24"/>
          <w:shd w:val="clear" w:color="auto" w:fill="FFFFFF"/>
        </w:rPr>
        <w:t>202</w:t>
      </w:r>
      <w:r>
        <w:rPr>
          <w:rFonts w:hint="eastAsia" w:ascii="Times New Roman" w:hAnsi="Times New Roman"/>
          <w:kern w:val="0"/>
          <w:sz w:val="24"/>
          <w:szCs w:val="24"/>
          <w:shd w:val="clear" w:color="auto" w:fill="FFFFFF"/>
          <w:lang w:val="en-US" w:eastAsia="zh-CN"/>
        </w:rPr>
        <w:t>5</w:t>
      </w:r>
      <w:r>
        <w:rPr>
          <w:rFonts w:ascii="Times New Roman" w:hAnsi="Times New Roman"/>
          <w:kern w:val="0"/>
          <w:sz w:val="24"/>
          <w:szCs w:val="24"/>
          <w:shd w:val="clear" w:color="auto" w:fill="FFFFFF"/>
        </w:rPr>
        <w:t>年</w:t>
      </w:r>
      <w:r>
        <w:rPr>
          <w:rFonts w:hint="eastAsia"/>
          <w:kern w:val="0"/>
          <w:sz w:val="24"/>
          <w:szCs w:val="24"/>
          <w:shd w:val="clear" w:color="auto" w:fill="FFFFFF"/>
          <w:lang w:val="en-US" w:eastAsia="zh-CN"/>
        </w:rPr>
        <w:t>12</w:t>
      </w:r>
      <w:r>
        <w:rPr>
          <w:rFonts w:ascii="Times New Roman" w:hAnsi="Times New Roman"/>
          <w:kern w:val="0"/>
          <w:sz w:val="24"/>
          <w:szCs w:val="24"/>
          <w:shd w:val="clear" w:color="auto" w:fill="FFFFFF"/>
        </w:rPr>
        <w:t>月</w:t>
      </w:r>
      <w:r>
        <w:rPr>
          <w:rFonts w:hint="eastAsia"/>
          <w:kern w:val="0"/>
          <w:sz w:val="24"/>
          <w:szCs w:val="24"/>
          <w:shd w:val="clear" w:color="auto" w:fill="FFFFFF"/>
          <w:lang w:val="en-US" w:eastAsia="zh-CN"/>
        </w:rPr>
        <w:t>3</w:t>
      </w:r>
      <w:r>
        <w:rPr>
          <w:rFonts w:ascii="Times New Roman" w:hAnsi="Times New Roman"/>
          <w:kern w:val="0"/>
          <w:sz w:val="24"/>
          <w:szCs w:val="24"/>
          <w:shd w:val="clear" w:color="auto" w:fill="FFFFFF"/>
        </w:rPr>
        <w:t>日</w:t>
      </w:r>
    </w:p>
    <w:p w14:paraId="20CB2498"/>
    <w:p w14:paraId="68ED827F">
      <w:pPr>
        <w:spacing w:line="360" w:lineRule="auto"/>
        <w:jc w:val="center"/>
        <w:rPr>
          <w:rFonts w:hint="eastAsia" w:ascii="仿宋" w:hAnsi="仿宋" w:eastAsia="仿宋" w:cs="仿宋"/>
          <w:b/>
          <w:bCs/>
          <w:color w:val="auto"/>
          <w:sz w:val="36"/>
          <w:szCs w:val="36"/>
          <w:highlight w:val="none"/>
        </w:rPr>
      </w:pPr>
    </w:p>
    <w:p w14:paraId="0A55AC88">
      <w:pPr>
        <w:spacing w:line="360" w:lineRule="auto"/>
        <w:jc w:val="center"/>
        <w:rPr>
          <w:rFonts w:hint="eastAsia" w:ascii="仿宋" w:hAnsi="仿宋" w:eastAsia="仿宋" w:cs="仿宋"/>
          <w:b/>
          <w:bCs/>
          <w:color w:val="auto"/>
          <w:sz w:val="36"/>
          <w:szCs w:val="36"/>
          <w:highlight w:val="none"/>
        </w:rPr>
      </w:pPr>
    </w:p>
    <w:p w14:paraId="1C76FA0F">
      <w:pPr>
        <w:spacing w:line="360" w:lineRule="auto"/>
        <w:jc w:val="center"/>
        <w:rPr>
          <w:rFonts w:hint="eastAsia" w:ascii="仿宋" w:hAnsi="仿宋" w:eastAsia="仿宋" w:cs="仿宋"/>
          <w:b/>
          <w:bCs/>
          <w:color w:val="auto"/>
          <w:sz w:val="36"/>
          <w:szCs w:val="36"/>
          <w:highlight w:val="none"/>
        </w:rPr>
      </w:pPr>
    </w:p>
    <w:p w14:paraId="4E3868A1">
      <w:pPr>
        <w:spacing w:line="360" w:lineRule="auto"/>
        <w:jc w:val="center"/>
        <w:rPr>
          <w:rFonts w:hint="eastAsia" w:ascii="仿宋" w:hAnsi="仿宋" w:eastAsia="仿宋" w:cs="仿宋"/>
          <w:b/>
          <w:bCs/>
          <w:color w:val="auto"/>
          <w:sz w:val="36"/>
          <w:szCs w:val="36"/>
          <w:highlight w:val="none"/>
        </w:rPr>
      </w:pPr>
    </w:p>
    <w:p w14:paraId="493F38B0">
      <w:pPr>
        <w:spacing w:line="360" w:lineRule="auto"/>
        <w:jc w:val="center"/>
        <w:rPr>
          <w:rFonts w:hint="eastAsia" w:ascii="仿宋" w:hAnsi="仿宋" w:eastAsia="仿宋" w:cs="仿宋"/>
          <w:b/>
          <w:bCs/>
          <w:color w:val="auto"/>
          <w:sz w:val="36"/>
          <w:szCs w:val="36"/>
          <w:highlight w:val="none"/>
        </w:rPr>
      </w:pPr>
    </w:p>
    <w:p w14:paraId="475ACDE6">
      <w:pPr>
        <w:spacing w:line="360" w:lineRule="auto"/>
        <w:jc w:val="center"/>
        <w:rPr>
          <w:rFonts w:hint="eastAsia" w:ascii="仿宋" w:hAnsi="仿宋" w:eastAsia="仿宋" w:cs="仿宋"/>
          <w:b/>
          <w:bCs/>
          <w:color w:val="auto"/>
          <w:sz w:val="36"/>
          <w:szCs w:val="36"/>
          <w:highlight w:val="none"/>
        </w:rPr>
      </w:pPr>
    </w:p>
    <w:p w14:paraId="4FAAB894">
      <w:pPr>
        <w:spacing w:line="360" w:lineRule="auto"/>
        <w:jc w:val="center"/>
        <w:rPr>
          <w:rFonts w:hint="eastAsia" w:ascii="仿宋" w:hAnsi="仿宋" w:eastAsia="仿宋" w:cs="仿宋"/>
          <w:b/>
          <w:bCs/>
          <w:color w:val="auto"/>
          <w:sz w:val="36"/>
          <w:szCs w:val="36"/>
          <w:highlight w:val="none"/>
        </w:rPr>
      </w:pPr>
    </w:p>
    <w:p w14:paraId="0A8BF161">
      <w:pPr>
        <w:spacing w:line="360" w:lineRule="auto"/>
        <w:jc w:val="center"/>
        <w:rPr>
          <w:rFonts w:hint="eastAsia" w:ascii="仿宋" w:hAnsi="仿宋" w:eastAsia="仿宋" w:cs="仿宋"/>
          <w:b/>
          <w:bCs/>
          <w:color w:val="auto"/>
          <w:sz w:val="36"/>
          <w:szCs w:val="36"/>
          <w:highlight w:val="none"/>
        </w:rPr>
      </w:pPr>
    </w:p>
    <w:p w14:paraId="508EA126">
      <w:pPr>
        <w:spacing w:line="360" w:lineRule="auto"/>
        <w:jc w:val="center"/>
        <w:rPr>
          <w:rFonts w:hint="eastAsia" w:ascii="仿宋" w:hAnsi="仿宋" w:eastAsia="仿宋" w:cs="仿宋"/>
          <w:b/>
          <w:bCs/>
          <w:color w:val="auto"/>
          <w:sz w:val="36"/>
          <w:szCs w:val="36"/>
          <w:highlight w:val="none"/>
        </w:rPr>
      </w:pPr>
    </w:p>
    <w:p w14:paraId="232FC1BC">
      <w:pPr>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第一章 投标人须知及投标人须知前附表</w:t>
      </w:r>
      <w:bookmarkEnd w:id="0"/>
      <w:bookmarkEnd w:id="1"/>
    </w:p>
    <w:p w14:paraId="26DE9E07">
      <w:pPr>
        <w:spacing w:beforeLines="50" w:afterLines="50" w:line="360" w:lineRule="auto"/>
        <w:jc w:val="center"/>
        <w:outlineLvl w:val="0"/>
        <w:rPr>
          <w:rFonts w:hint="eastAsia" w:ascii="仿宋" w:hAnsi="仿宋" w:eastAsia="仿宋" w:cs="仿宋"/>
          <w:b/>
          <w:bCs/>
          <w:color w:val="auto"/>
          <w:sz w:val="30"/>
          <w:highlight w:val="none"/>
        </w:rPr>
      </w:pPr>
      <w:bookmarkStart w:id="2" w:name="_Toc8173"/>
      <w:bookmarkStart w:id="3" w:name="_Toc2861262"/>
      <w:bookmarkStart w:id="4" w:name="_Toc26910"/>
      <w:r>
        <w:rPr>
          <w:rFonts w:hint="eastAsia" w:ascii="仿宋" w:hAnsi="仿宋" w:eastAsia="仿宋" w:cs="仿宋"/>
          <w:b/>
          <w:bCs/>
          <w:color w:val="auto"/>
          <w:sz w:val="30"/>
          <w:highlight w:val="none"/>
        </w:rPr>
        <w:t>一、投标人须知前附表</w:t>
      </w:r>
      <w:bookmarkEnd w:id="2"/>
      <w:bookmarkEnd w:id="3"/>
      <w:bookmarkEnd w:id="4"/>
    </w:p>
    <w:tbl>
      <w:tblPr>
        <w:tblStyle w:val="3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789"/>
      </w:tblGrid>
      <w:tr w14:paraId="02F9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vAlign w:val="center"/>
          </w:tcPr>
          <w:p w14:paraId="63A6555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8789" w:type="dxa"/>
            <w:vAlign w:val="center"/>
          </w:tcPr>
          <w:p w14:paraId="62E3E2B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内容规定</w:t>
            </w:r>
          </w:p>
        </w:tc>
      </w:tr>
      <w:tr w14:paraId="0515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817" w:type="dxa"/>
            <w:vAlign w:val="center"/>
          </w:tcPr>
          <w:p w14:paraId="53ED44C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789" w:type="dxa"/>
            <w:vAlign w:val="center"/>
          </w:tcPr>
          <w:p w14:paraId="24169DC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1、项目名称：南通市崇川国有资产投资发展有限公司及其下属子公司2026年度消防检测项目</w:t>
            </w:r>
          </w:p>
          <w:p w14:paraId="7C21087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2、受检建筑类别使用性质：住宅、配套公建、厂房、人防、普通地下车库等</w:t>
            </w:r>
          </w:p>
          <w:p w14:paraId="03732823">
            <w:pPr>
              <w:pStyle w:val="5"/>
              <w:snapToGrid w:val="0"/>
              <w:spacing w:line="36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3、工程规模：住宅类只算地下面积；公建、厂房、人防、地下车库按消防审核面积结算</w:t>
            </w:r>
          </w:p>
          <w:p w14:paraId="47B17AA1">
            <w:pPr>
              <w:pStyle w:val="77"/>
              <w:spacing w:line="360" w:lineRule="auto"/>
              <w:ind w:firstLine="0" w:firstLineChars="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bCs/>
                <w:color w:val="auto"/>
                <w:kern w:val="0"/>
                <w:sz w:val="24"/>
                <w:szCs w:val="24"/>
                <w:highlight w:val="none"/>
              </w:rPr>
              <w:t>交货或者服务期限和地点：</w:t>
            </w:r>
            <w:r>
              <w:rPr>
                <w:rFonts w:hint="eastAsia" w:ascii="仿宋" w:hAnsi="仿宋" w:eastAsia="仿宋" w:cs="仿宋"/>
                <w:color w:val="auto"/>
                <w:sz w:val="24"/>
                <w:szCs w:val="24"/>
                <w:highlight w:val="none"/>
              </w:rPr>
              <w:t>接到采购人通知后3天内组织人员到场检测，并应在30日历天内（含节假日在内，所有检测不得以休息日作为拖延检测借口）完成现场检测工作和向采购人提交消防检测意见书。</w:t>
            </w:r>
            <w:bookmarkStart w:id="87" w:name="_GoBack"/>
            <w:bookmarkEnd w:id="87"/>
          </w:p>
          <w:p w14:paraId="1C76488D">
            <w:pPr>
              <w:pStyle w:val="77"/>
              <w:spacing w:line="360" w:lineRule="auto"/>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5、质量标准或者考核标准</w:t>
            </w:r>
          </w:p>
          <w:p w14:paraId="2F36E534">
            <w:pPr>
              <w:pStyle w:val="77"/>
              <w:spacing w:line="360" w:lineRule="auto"/>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（1）检测单位应严格按照中华人民共和国建筑消防设施的维护管理国家标准、江苏省消防条例、相关法律法规、技术标准，开展建筑消防设 施检测技术服务活动，确保消防设备正常运行，满足现行消防规范的要求。并对检测质量负责。 </w:t>
            </w:r>
          </w:p>
          <w:p w14:paraId="60BEC2ED">
            <w:pPr>
              <w:pStyle w:val="77"/>
              <w:spacing w:line="360" w:lineRule="auto"/>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（2）严格按照《建筑消防设施的维护管理》（GB25201）等消防技术标准规定的内容、程序、周期等要求，对约定范围内的消防设施开展检查、测试等技术服务。 </w:t>
            </w:r>
          </w:p>
          <w:p w14:paraId="51355D32">
            <w:pPr>
              <w:pStyle w:val="77"/>
              <w:spacing w:line="360" w:lineRule="auto"/>
              <w:ind w:firstLine="0" w:firstLineChars="0"/>
              <w:jc w:val="left"/>
              <w:rPr>
                <w:rFonts w:hint="eastAsia" w:ascii="仿宋" w:hAnsi="仿宋" w:eastAsia="仿宋" w:cs="仿宋"/>
                <w:color w:val="auto"/>
                <w:sz w:val="24"/>
                <w:szCs w:val="24"/>
                <w:highlight w:val="none"/>
                <w:u w:val="single"/>
              </w:rPr>
            </w:pPr>
            <w:r>
              <w:rPr>
                <w:rFonts w:hint="eastAsia" w:ascii="仿宋" w:hAnsi="仿宋" w:eastAsia="仿宋" w:cs="仿宋"/>
                <w:bCs/>
                <w:color w:val="auto"/>
                <w:kern w:val="0"/>
                <w:sz w:val="24"/>
                <w:szCs w:val="24"/>
                <w:highlight w:val="none"/>
              </w:rPr>
              <w:t>（3）必须符合《江苏省建筑消防设施维修保养技术服务管理暂行办法》。</w:t>
            </w:r>
          </w:p>
        </w:tc>
      </w:tr>
      <w:tr w14:paraId="1B1E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817" w:type="dxa"/>
            <w:vAlign w:val="center"/>
          </w:tcPr>
          <w:p w14:paraId="512D774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789" w:type="dxa"/>
            <w:vAlign w:val="center"/>
          </w:tcPr>
          <w:p w14:paraId="33A90921">
            <w:pPr>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采购内容：</w:t>
            </w:r>
          </w:p>
          <w:p w14:paraId="7AF7B5FA">
            <w:pPr>
              <w:pStyle w:val="77"/>
              <w:spacing w:line="360" w:lineRule="auto"/>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color w:val="auto"/>
                <w:sz w:val="24"/>
                <w:highlight w:val="none"/>
              </w:rPr>
              <w:t>消</w:t>
            </w:r>
            <w:r>
              <w:rPr>
                <w:rFonts w:hint="eastAsia" w:ascii="仿宋" w:hAnsi="仿宋" w:eastAsia="仿宋" w:cs="仿宋"/>
                <w:bCs/>
                <w:color w:val="auto"/>
                <w:kern w:val="0"/>
                <w:sz w:val="24"/>
                <w:szCs w:val="24"/>
                <w:highlight w:val="none"/>
              </w:rPr>
              <w:t>防供配电设施、火灾自动报警系统、消防供水、室内消火栓系统、自动喷水灭火系统、泡沫灭火系统、气体灭火系统、机械加压送风系统、机械排烟系统、应急照明灯、疏散指示标志灯、应急广播系统、消防专用电话、消防电梯、灭火器、</w:t>
            </w:r>
          </w:p>
          <w:p w14:paraId="1F4C8222">
            <w:pPr>
              <w:pStyle w:val="77"/>
              <w:spacing w:line="360" w:lineRule="auto"/>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消防分隔设施、钢结构防火涂料等。</w:t>
            </w:r>
          </w:p>
        </w:tc>
      </w:tr>
      <w:tr w14:paraId="13A9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vAlign w:val="center"/>
          </w:tcPr>
          <w:p w14:paraId="037E187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789" w:type="dxa"/>
            <w:vAlign w:val="center"/>
          </w:tcPr>
          <w:p w14:paraId="1089028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资金来源：自筹</w:t>
            </w:r>
          </w:p>
          <w:p w14:paraId="0DA330E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招标方式：公开招标</w:t>
            </w:r>
          </w:p>
          <w:p w14:paraId="35F5BD91">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投标保证金数额</w:t>
            </w:r>
            <w:r>
              <w:rPr>
                <w:rFonts w:hint="eastAsia" w:ascii="仿宋" w:hAnsi="仿宋" w:eastAsia="仿宋" w:cs="仿宋"/>
                <w:b/>
                <w:color w:val="auto"/>
                <w:sz w:val="24"/>
                <w:szCs w:val="24"/>
                <w:highlight w:val="none"/>
              </w:rPr>
              <w:t>：贰仟元整</w:t>
            </w:r>
          </w:p>
          <w:p w14:paraId="12FEFB4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履约保证金的形式：银行转账（必须从投标人基本账户转出）</w:t>
            </w:r>
            <w:r>
              <w:rPr>
                <w:rFonts w:hint="eastAsia" w:ascii="仿宋" w:hAnsi="仿宋" w:eastAsia="仿宋" w:cs="仿宋"/>
                <w:color w:val="auto"/>
                <w:sz w:val="24"/>
                <w:szCs w:val="24"/>
                <w:highlight w:val="none"/>
                <w:lang w:val="en-US" w:eastAsia="zh-CN"/>
              </w:rPr>
              <w:t>或电汇或见索即付银行保函形式</w:t>
            </w:r>
            <w:r>
              <w:rPr>
                <w:rFonts w:hint="eastAsia" w:ascii="仿宋" w:hAnsi="仿宋" w:eastAsia="仿宋" w:cs="仿宋"/>
                <w:color w:val="auto"/>
                <w:sz w:val="24"/>
                <w:szCs w:val="24"/>
                <w:highlight w:val="none"/>
              </w:rPr>
              <w:t>。</w:t>
            </w:r>
          </w:p>
          <w:p w14:paraId="1C5FB3A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履约保证金额为：</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0000元。招标人发出中标通知书后5个工作日内，中标人应向招标人递交履终保证金，否则招标人有权按中标人自动放弃中标资格处理，同时投标保证金不予退还，该金额不足以弥补给招标人造成的直接和间接损失的(包括但不限于二次招标发生的招标费用、中标差价、招标代理服务费等)，中标人应予补足。</w:t>
            </w:r>
          </w:p>
        </w:tc>
      </w:tr>
      <w:tr w14:paraId="243B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1A62970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789" w:type="dxa"/>
            <w:vAlign w:val="center"/>
          </w:tcPr>
          <w:p w14:paraId="05E26E16">
            <w:pPr>
              <w:pStyle w:val="5"/>
              <w:tabs>
                <w:tab w:val="left" w:pos="1000"/>
              </w:tabs>
              <w:spacing w:line="36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本工程不组织现场踏勘，投标人自行与招标人联系对现场及其周围环境进行考察，以便投标人获取有关编制投标文件的签署合同所涉及现场的资料。投标人承担踏勘现场所发生的自身费用。</w:t>
            </w:r>
          </w:p>
          <w:p w14:paraId="1863DD25">
            <w:pPr>
              <w:pStyle w:val="5"/>
              <w:tabs>
                <w:tab w:val="left" w:pos="1000"/>
              </w:tabs>
              <w:spacing w:line="36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招标人向投标人提供有关现场的资料和数据，是招标人现有的能使投标人利用的资料，但招标人对投标人由此而做出的推论、理解和结论概不负责。</w:t>
            </w:r>
          </w:p>
        </w:tc>
      </w:tr>
      <w:tr w14:paraId="402F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17" w:type="dxa"/>
            <w:vAlign w:val="center"/>
          </w:tcPr>
          <w:p w14:paraId="7C32910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789" w:type="dxa"/>
            <w:vAlign w:val="center"/>
          </w:tcPr>
          <w:p w14:paraId="07535847">
            <w:pP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投标有效期：</w:t>
            </w:r>
            <w:r>
              <w:rPr>
                <w:rFonts w:hint="eastAsia" w:ascii="仿宋" w:hAnsi="仿宋" w:eastAsia="仿宋" w:cs="仿宋"/>
                <w:color w:val="auto"/>
                <w:sz w:val="24"/>
                <w:szCs w:val="24"/>
                <w:highlight w:val="none"/>
              </w:rPr>
              <w:t>投标截止日后</w:t>
            </w:r>
            <w:r>
              <w:rPr>
                <w:rFonts w:hint="eastAsia" w:ascii="仿宋" w:hAnsi="仿宋" w:eastAsia="仿宋" w:cs="仿宋"/>
                <w:b/>
                <w:color w:val="auto"/>
                <w:sz w:val="24"/>
                <w:szCs w:val="24"/>
                <w:highlight w:val="none"/>
                <w:u w:val="single"/>
                <w:lang w:val="en-US" w:eastAsia="zh-CN"/>
              </w:rPr>
              <w:t>60</w:t>
            </w:r>
            <w:r>
              <w:rPr>
                <w:rFonts w:hint="eastAsia" w:ascii="仿宋" w:hAnsi="仿宋" w:eastAsia="仿宋" w:cs="仿宋"/>
                <w:color w:val="auto"/>
                <w:sz w:val="24"/>
                <w:szCs w:val="24"/>
                <w:highlight w:val="none"/>
              </w:rPr>
              <w:t>日历天内有效。</w:t>
            </w:r>
          </w:p>
          <w:p w14:paraId="5B2E4652">
            <w:pPr>
              <w:pStyle w:val="5"/>
              <w:snapToGrid w:val="0"/>
              <w:spacing w:line="360" w:lineRule="auto"/>
              <w:ind w:firstLine="0"/>
              <w:jc w:val="lef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投标文件份数：</w:t>
            </w:r>
            <w:r>
              <w:rPr>
                <w:rFonts w:hint="eastAsia" w:ascii="仿宋" w:hAnsi="仿宋" w:eastAsia="仿宋" w:cs="仿宋"/>
                <w:color w:val="auto"/>
                <w:sz w:val="24"/>
                <w:szCs w:val="24"/>
                <w:highlight w:val="none"/>
              </w:rPr>
              <w:t>A.</w:t>
            </w:r>
            <w:r>
              <w:rPr>
                <w:rFonts w:hint="eastAsia" w:ascii="仿宋" w:hAnsi="仿宋" w:eastAsia="仿宋" w:cs="仿宋"/>
                <w:bCs/>
                <w:color w:val="auto"/>
                <w:sz w:val="24"/>
                <w:szCs w:val="24"/>
                <w:highlight w:val="none"/>
              </w:rPr>
              <w:t>资格审查文件：正本</w:t>
            </w:r>
            <w:r>
              <w:rPr>
                <w:rFonts w:hint="eastAsia" w:ascii="仿宋" w:hAnsi="仿宋" w:eastAsia="仿宋" w:cs="仿宋"/>
                <w:bCs/>
                <w:color w:val="auto"/>
                <w:sz w:val="24"/>
                <w:szCs w:val="24"/>
                <w:highlight w:val="none"/>
                <w:u w:val="single"/>
              </w:rPr>
              <w:t>壹</w:t>
            </w:r>
            <w:r>
              <w:rPr>
                <w:rFonts w:hint="eastAsia" w:ascii="仿宋" w:hAnsi="仿宋" w:eastAsia="仿宋" w:cs="仿宋"/>
                <w:bCs/>
                <w:color w:val="auto"/>
                <w:sz w:val="24"/>
                <w:szCs w:val="24"/>
                <w:highlight w:val="none"/>
              </w:rPr>
              <w:t>份，副本</w:t>
            </w:r>
            <w:r>
              <w:rPr>
                <w:rFonts w:hint="eastAsia" w:ascii="仿宋" w:hAnsi="仿宋" w:eastAsia="仿宋" w:cs="仿宋"/>
                <w:bCs/>
                <w:color w:val="auto"/>
                <w:sz w:val="24"/>
                <w:szCs w:val="24"/>
                <w:highlight w:val="none"/>
                <w:u w:val="single"/>
              </w:rPr>
              <w:t>贰</w:t>
            </w:r>
            <w:r>
              <w:rPr>
                <w:rFonts w:hint="eastAsia" w:ascii="仿宋" w:hAnsi="仿宋" w:eastAsia="仿宋" w:cs="仿宋"/>
                <w:bCs/>
                <w:color w:val="auto"/>
                <w:sz w:val="24"/>
                <w:szCs w:val="24"/>
                <w:highlight w:val="none"/>
              </w:rPr>
              <w:t>份，共</w:t>
            </w:r>
            <w:r>
              <w:rPr>
                <w:rFonts w:hint="eastAsia" w:ascii="仿宋" w:hAnsi="仿宋" w:eastAsia="仿宋" w:cs="仿宋"/>
                <w:bCs/>
                <w:color w:val="auto"/>
                <w:sz w:val="24"/>
                <w:szCs w:val="24"/>
                <w:highlight w:val="none"/>
                <w:u w:val="single"/>
              </w:rPr>
              <w:t>叁</w:t>
            </w:r>
            <w:r>
              <w:rPr>
                <w:rFonts w:hint="eastAsia" w:ascii="仿宋" w:hAnsi="仿宋" w:eastAsia="仿宋" w:cs="仿宋"/>
                <w:bCs/>
                <w:color w:val="auto"/>
                <w:sz w:val="24"/>
                <w:szCs w:val="24"/>
                <w:highlight w:val="none"/>
              </w:rPr>
              <w:t>份；</w:t>
            </w:r>
          </w:p>
          <w:p w14:paraId="54B5604C">
            <w:pPr>
              <w:pStyle w:val="5"/>
              <w:snapToGrid w:val="0"/>
              <w:spacing w:line="360" w:lineRule="auto"/>
              <w:ind w:firstLine="1800" w:firstLineChars="7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B.</w:t>
            </w:r>
            <w:r>
              <w:rPr>
                <w:rFonts w:hint="eastAsia" w:ascii="仿宋" w:hAnsi="仿宋" w:eastAsia="仿宋" w:cs="仿宋"/>
                <w:bCs/>
                <w:color w:val="auto"/>
                <w:sz w:val="24"/>
                <w:szCs w:val="24"/>
                <w:highlight w:val="none"/>
                <w:lang w:val="en-US" w:eastAsia="zh-CN"/>
              </w:rPr>
              <w:t>价格</w:t>
            </w:r>
            <w:r>
              <w:rPr>
                <w:rFonts w:hint="eastAsia" w:ascii="仿宋" w:hAnsi="仿宋" w:eastAsia="仿宋" w:cs="仿宋"/>
                <w:bCs/>
                <w:color w:val="auto"/>
                <w:sz w:val="24"/>
                <w:szCs w:val="24"/>
                <w:highlight w:val="none"/>
              </w:rPr>
              <w:t>标文件：正本</w:t>
            </w:r>
            <w:r>
              <w:rPr>
                <w:rFonts w:hint="eastAsia" w:ascii="仿宋" w:hAnsi="仿宋" w:eastAsia="仿宋" w:cs="仿宋"/>
                <w:bCs/>
                <w:color w:val="auto"/>
                <w:sz w:val="24"/>
                <w:szCs w:val="24"/>
                <w:highlight w:val="none"/>
                <w:u w:val="single"/>
              </w:rPr>
              <w:t>壹</w:t>
            </w:r>
            <w:r>
              <w:rPr>
                <w:rFonts w:hint="eastAsia" w:ascii="仿宋" w:hAnsi="仿宋" w:eastAsia="仿宋" w:cs="仿宋"/>
                <w:bCs/>
                <w:color w:val="auto"/>
                <w:sz w:val="24"/>
                <w:szCs w:val="24"/>
                <w:highlight w:val="none"/>
              </w:rPr>
              <w:t>份，副本</w:t>
            </w:r>
            <w:r>
              <w:rPr>
                <w:rFonts w:hint="eastAsia" w:ascii="仿宋" w:hAnsi="仿宋" w:eastAsia="仿宋" w:cs="仿宋"/>
                <w:bCs/>
                <w:color w:val="auto"/>
                <w:sz w:val="24"/>
                <w:szCs w:val="24"/>
                <w:highlight w:val="none"/>
                <w:u w:val="single"/>
              </w:rPr>
              <w:t>贰</w:t>
            </w:r>
            <w:r>
              <w:rPr>
                <w:rFonts w:hint="eastAsia" w:ascii="仿宋" w:hAnsi="仿宋" w:eastAsia="仿宋" w:cs="仿宋"/>
                <w:bCs/>
                <w:color w:val="auto"/>
                <w:sz w:val="24"/>
                <w:szCs w:val="24"/>
                <w:highlight w:val="none"/>
              </w:rPr>
              <w:t>份，共</w:t>
            </w:r>
            <w:r>
              <w:rPr>
                <w:rFonts w:hint="eastAsia" w:ascii="仿宋" w:hAnsi="仿宋" w:eastAsia="仿宋" w:cs="仿宋"/>
                <w:bCs/>
                <w:color w:val="auto"/>
                <w:sz w:val="24"/>
                <w:szCs w:val="24"/>
                <w:highlight w:val="none"/>
                <w:u w:val="single"/>
              </w:rPr>
              <w:t>叁</w:t>
            </w:r>
            <w:r>
              <w:rPr>
                <w:rFonts w:hint="eastAsia" w:ascii="仿宋" w:hAnsi="仿宋" w:eastAsia="仿宋" w:cs="仿宋"/>
                <w:bCs/>
                <w:color w:val="auto"/>
                <w:sz w:val="24"/>
                <w:szCs w:val="24"/>
                <w:highlight w:val="none"/>
              </w:rPr>
              <w:t>份。</w:t>
            </w:r>
          </w:p>
        </w:tc>
      </w:tr>
      <w:tr w14:paraId="6592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817" w:type="dxa"/>
            <w:vAlign w:val="center"/>
          </w:tcPr>
          <w:p w14:paraId="409F35E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789" w:type="dxa"/>
            <w:vAlign w:val="center"/>
          </w:tcPr>
          <w:p w14:paraId="0641B278">
            <w:pPr>
              <w:spacing w:line="360" w:lineRule="auto"/>
              <w:jc w:val="left"/>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投标文件递交截止时间：</w:t>
            </w:r>
            <w:r>
              <w:rPr>
                <w:rFonts w:hint="eastAsia" w:ascii="仿宋" w:hAnsi="仿宋" w:eastAsia="仿宋" w:cs="仿宋"/>
                <w:b/>
                <w:color w:val="auto"/>
                <w:sz w:val="24"/>
                <w:szCs w:val="24"/>
                <w:highlight w:val="none"/>
                <w:u w:val="single"/>
                <w:lang w:val="en-US" w:eastAsia="zh-CN"/>
              </w:rPr>
              <w:t>2025</w:t>
            </w:r>
            <w:r>
              <w:rPr>
                <w:rFonts w:hint="eastAsia" w:ascii="仿宋" w:hAnsi="仿宋" w:eastAsia="仿宋" w:cs="仿宋"/>
                <w:b/>
                <w:color w:val="auto"/>
                <w:sz w:val="24"/>
                <w:szCs w:val="24"/>
                <w:highlight w:val="none"/>
                <w:u w:val="single"/>
              </w:rPr>
              <w:t>年</w:t>
            </w:r>
            <w:r>
              <w:rPr>
                <w:rFonts w:hint="eastAsia" w:ascii="仿宋" w:hAnsi="仿宋" w:eastAsia="仿宋" w:cs="仿宋"/>
                <w:b/>
                <w:color w:val="auto"/>
                <w:sz w:val="24"/>
                <w:szCs w:val="24"/>
                <w:highlight w:val="none"/>
                <w:u w:val="single"/>
                <w:lang w:val="en-US" w:eastAsia="zh-CN"/>
              </w:rPr>
              <w:t>12</w:t>
            </w:r>
            <w:r>
              <w:rPr>
                <w:rFonts w:hint="eastAsia" w:ascii="仿宋" w:hAnsi="仿宋" w:eastAsia="仿宋" w:cs="仿宋"/>
                <w:b/>
                <w:color w:val="auto"/>
                <w:sz w:val="24"/>
                <w:szCs w:val="24"/>
                <w:highlight w:val="none"/>
                <w:u w:val="single"/>
              </w:rPr>
              <w:t>月</w:t>
            </w:r>
            <w:r>
              <w:rPr>
                <w:rFonts w:hint="eastAsia" w:ascii="仿宋" w:hAnsi="仿宋" w:eastAsia="仿宋" w:cs="仿宋"/>
                <w:b/>
                <w:color w:val="auto"/>
                <w:sz w:val="24"/>
                <w:szCs w:val="24"/>
                <w:highlight w:val="none"/>
                <w:u w:val="single"/>
                <w:lang w:val="en-US" w:eastAsia="zh-CN"/>
              </w:rPr>
              <w:t>15</w:t>
            </w:r>
            <w:r>
              <w:rPr>
                <w:rFonts w:hint="eastAsia" w:ascii="仿宋" w:hAnsi="仿宋" w:eastAsia="仿宋" w:cs="仿宋"/>
                <w:b/>
                <w:color w:val="auto"/>
                <w:sz w:val="24"/>
                <w:szCs w:val="24"/>
                <w:highlight w:val="none"/>
                <w:u w:val="single"/>
              </w:rPr>
              <w:t>日9时30分</w:t>
            </w:r>
          </w:p>
          <w:p w14:paraId="22FFB1C1">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提交地点：</w:t>
            </w:r>
            <w:r>
              <w:rPr>
                <w:rFonts w:hint="eastAsia" w:ascii="宋体" w:hAnsi="宋体" w:cs="宋体"/>
                <w:color w:val="auto"/>
                <w:sz w:val="24"/>
                <w:szCs w:val="24"/>
                <w:highlight w:val="none"/>
                <w:u w:val="single"/>
                <w:lang w:eastAsia="zh-CN"/>
              </w:rPr>
              <w:t>南通市崇川区崇川路1号崇川国投集团109会议室</w:t>
            </w:r>
          </w:p>
        </w:tc>
      </w:tr>
      <w:tr w14:paraId="4780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817" w:type="dxa"/>
            <w:vAlign w:val="center"/>
          </w:tcPr>
          <w:p w14:paraId="7484DEC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789" w:type="dxa"/>
            <w:vAlign w:val="center"/>
          </w:tcPr>
          <w:p w14:paraId="7B1FCCD4">
            <w:pPr>
              <w:spacing w:line="360" w:lineRule="auto"/>
              <w:jc w:val="left"/>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开标时间：</w:t>
            </w:r>
            <w:r>
              <w:rPr>
                <w:rFonts w:hint="eastAsia" w:ascii="仿宋" w:hAnsi="仿宋" w:eastAsia="仿宋" w:cs="仿宋"/>
                <w:b/>
                <w:color w:val="auto"/>
                <w:sz w:val="24"/>
                <w:szCs w:val="24"/>
                <w:highlight w:val="none"/>
                <w:u w:val="single"/>
                <w:lang w:val="en-US" w:eastAsia="zh-CN"/>
              </w:rPr>
              <w:t>2025</w:t>
            </w:r>
            <w:r>
              <w:rPr>
                <w:rFonts w:hint="eastAsia" w:ascii="仿宋" w:hAnsi="仿宋" w:eastAsia="仿宋" w:cs="仿宋"/>
                <w:b/>
                <w:color w:val="auto"/>
                <w:sz w:val="24"/>
                <w:szCs w:val="24"/>
                <w:highlight w:val="none"/>
                <w:u w:val="single"/>
              </w:rPr>
              <w:t>年</w:t>
            </w:r>
            <w:r>
              <w:rPr>
                <w:rFonts w:hint="eastAsia" w:ascii="仿宋" w:hAnsi="仿宋" w:eastAsia="仿宋" w:cs="仿宋"/>
                <w:b/>
                <w:color w:val="auto"/>
                <w:sz w:val="24"/>
                <w:szCs w:val="24"/>
                <w:highlight w:val="none"/>
                <w:u w:val="single"/>
                <w:lang w:val="en-US" w:eastAsia="zh-CN"/>
              </w:rPr>
              <w:t>12</w:t>
            </w:r>
            <w:r>
              <w:rPr>
                <w:rFonts w:hint="eastAsia" w:ascii="仿宋" w:hAnsi="仿宋" w:eastAsia="仿宋" w:cs="仿宋"/>
                <w:b/>
                <w:color w:val="auto"/>
                <w:sz w:val="24"/>
                <w:szCs w:val="24"/>
                <w:highlight w:val="none"/>
                <w:u w:val="single"/>
              </w:rPr>
              <w:t>月</w:t>
            </w:r>
            <w:r>
              <w:rPr>
                <w:rFonts w:hint="eastAsia" w:ascii="仿宋" w:hAnsi="仿宋" w:eastAsia="仿宋" w:cs="仿宋"/>
                <w:b/>
                <w:color w:val="auto"/>
                <w:sz w:val="24"/>
                <w:szCs w:val="24"/>
                <w:highlight w:val="none"/>
                <w:u w:val="single"/>
                <w:lang w:val="en-US" w:eastAsia="zh-CN"/>
              </w:rPr>
              <w:t>15</w:t>
            </w:r>
            <w:r>
              <w:rPr>
                <w:rFonts w:hint="eastAsia" w:ascii="仿宋" w:hAnsi="仿宋" w:eastAsia="仿宋" w:cs="仿宋"/>
                <w:b/>
                <w:color w:val="auto"/>
                <w:sz w:val="24"/>
                <w:szCs w:val="24"/>
                <w:highlight w:val="none"/>
                <w:u w:val="single"/>
              </w:rPr>
              <w:t>日9时30分</w:t>
            </w:r>
          </w:p>
          <w:p w14:paraId="70802F1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开标地点：</w:t>
            </w:r>
            <w:r>
              <w:rPr>
                <w:rFonts w:hint="eastAsia" w:ascii="宋体" w:hAnsi="宋体" w:cs="宋体"/>
                <w:color w:val="auto"/>
                <w:sz w:val="24"/>
                <w:szCs w:val="24"/>
                <w:highlight w:val="none"/>
                <w:u w:val="single"/>
                <w:lang w:eastAsia="zh-CN"/>
              </w:rPr>
              <w:t>南通市崇川区崇川路1号崇川国投集团109会议室</w:t>
            </w:r>
          </w:p>
        </w:tc>
      </w:tr>
      <w:tr w14:paraId="521E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17" w:type="dxa"/>
            <w:vAlign w:val="center"/>
          </w:tcPr>
          <w:p w14:paraId="5BFB93C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789" w:type="dxa"/>
            <w:vAlign w:val="center"/>
          </w:tcPr>
          <w:p w14:paraId="2DE750F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中标人在收到</w:t>
            </w:r>
            <w:r>
              <w:rPr>
                <w:rFonts w:hint="eastAsia" w:ascii="仿宋" w:hAnsi="仿宋" w:eastAsia="仿宋" w:cs="仿宋"/>
                <w:bCs/>
                <w:color w:val="auto"/>
                <w:sz w:val="24"/>
                <w:szCs w:val="24"/>
                <w:highlight w:val="none"/>
                <w:lang w:val="en-US" w:eastAsia="zh-CN"/>
              </w:rPr>
              <w:t>招标人检测任务后7日内完成合同签订（根据每个地块单独签订合同）</w:t>
            </w:r>
            <w:r>
              <w:rPr>
                <w:rFonts w:hint="eastAsia" w:ascii="仿宋" w:hAnsi="仿宋" w:eastAsia="仿宋" w:cs="仿宋"/>
                <w:bCs/>
                <w:color w:val="auto"/>
                <w:sz w:val="24"/>
                <w:szCs w:val="24"/>
                <w:highlight w:val="none"/>
                <w:lang w:eastAsia="zh-CN"/>
              </w:rPr>
              <w:t>。</w:t>
            </w:r>
          </w:p>
        </w:tc>
      </w:tr>
      <w:tr w14:paraId="38AD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817" w:type="dxa"/>
            <w:vAlign w:val="center"/>
          </w:tcPr>
          <w:p w14:paraId="694DF50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8789" w:type="dxa"/>
            <w:vAlign w:val="center"/>
          </w:tcPr>
          <w:p w14:paraId="42B20902">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招标人：南通市崇川国有资产投资发展有限公司</w:t>
            </w:r>
          </w:p>
          <w:p w14:paraId="784BA57C">
            <w:pPr>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址：南通市崇川区</w:t>
            </w:r>
            <w:r>
              <w:rPr>
                <w:rFonts w:hint="eastAsia" w:ascii="仿宋" w:hAnsi="仿宋" w:eastAsia="仿宋" w:cs="仿宋"/>
                <w:bCs/>
                <w:color w:val="auto"/>
                <w:sz w:val="24"/>
                <w:szCs w:val="24"/>
                <w:highlight w:val="none"/>
                <w:lang w:val="en-US" w:eastAsia="zh-CN"/>
              </w:rPr>
              <w:t>崇川路1号</w:t>
            </w:r>
          </w:p>
          <w:p w14:paraId="71E418BF">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联系人：王工 </w:t>
            </w:r>
          </w:p>
          <w:p w14:paraId="7A6DEC9C">
            <w:pPr>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联系电话：0513-66889905</w:t>
            </w:r>
          </w:p>
        </w:tc>
      </w:tr>
      <w:tr w14:paraId="7A7C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trPr>
        <w:tc>
          <w:tcPr>
            <w:tcW w:w="817" w:type="dxa"/>
            <w:vAlign w:val="center"/>
          </w:tcPr>
          <w:p w14:paraId="74BDDB55">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p>
        </w:tc>
        <w:tc>
          <w:tcPr>
            <w:tcW w:w="8789" w:type="dxa"/>
            <w:vAlign w:val="center"/>
          </w:tcPr>
          <w:p w14:paraId="79D6BD12">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名称：苏州新一造价师价格事务所有限公司</w:t>
            </w:r>
          </w:p>
          <w:p w14:paraId="6CA31585">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地址：南通市经济技术开发区长通路9号（飞马国际中心A座1205室）</w:t>
            </w:r>
          </w:p>
          <w:p w14:paraId="497EDEB1">
            <w:pPr>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 xml:space="preserve">联系方式：代工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周工</w:t>
            </w:r>
          </w:p>
          <w:p w14:paraId="5CB86DF1">
            <w:pPr>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联系电话：</w:t>
            </w:r>
            <w:r>
              <w:rPr>
                <w:rFonts w:hint="eastAsia" w:ascii="仿宋" w:hAnsi="仿宋" w:eastAsia="仿宋" w:cs="仿宋"/>
                <w:bCs/>
                <w:color w:val="auto"/>
                <w:sz w:val="24"/>
                <w:szCs w:val="24"/>
                <w:highlight w:val="none"/>
              </w:rPr>
              <w:t>0513-69895668</w:t>
            </w:r>
          </w:p>
        </w:tc>
      </w:tr>
    </w:tbl>
    <w:p w14:paraId="17A1702B">
      <w:pPr>
        <w:spacing w:line="360" w:lineRule="auto"/>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bookmarkStart w:id="5" w:name="_Toc14851"/>
      <w:bookmarkStart w:id="6" w:name="_Toc2861263"/>
      <w:bookmarkStart w:id="7" w:name="_Toc31187"/>
      <w:r>
        <w:rPr>
          <w:rFonts w:hint="eastAsia" w:ascii="仿宋" w:hAnsi="仿宋" w:eastAsia="仿宋" w:cs="仿宋"/>
          <w:b/>
          <w:color w:val="auto"/>
          <w:sz w:val="36"/>
          <w:highlight w:val="none"/>
        </w:rPr>
        <w:t>二、投标须知</w:t>
      </w:r>
      <w:bookmarkEnd w:id="5"/>
      <w:bookmarkEnd w:id="6"/>
      <w:bookmarkEnd w:id="7"/>
    </w:p>
    <w:p w14:paraId="422251C6">
      <w:pPr>
        <w:spacing w:line="360" w:lineRule="auto"/>
        <w:jc w:val="center"/>
        <w:outlineLvl w:val="0"/>
        <w:rPr>
          <w:rFonts w:hint="eastAsia" w:ascii="仿宋" w:hAnsi="仿宋" w:eastAsia="仿宋" w:cs="仿宋"/>
          <w:b/>
          <w:color w:val="auto"/>
          <w:sz w:val="36"/>
          <w:highlight w:val="none"/>
        </w:rPr>
      </w:pPr>
      <w:bookmarkStart w:id="8" w:name="_Toc2861264"/>
      <w:r>
        <w:rPr>
          <w:rFonts w:hint="eastAsia" w:ascii="仿宋" w:hAnsi="仿宋" w:eastAsia="仿宋" w:cs="仿宋"/>
          <w:b/>
          <w:color w:val="auto"/>
          <w:sz w:val="32"/>
          <w:highlight w:val="none"/>
        </w:rPr>
        <w:t>（一）总则</w:t>
      </w:r>
      <w:bookmarkEnd w:id="8"/>
    </w:p>
    <w:p w14:paraId="12D77E67">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1、项目说明</w:t>
      </w:r>
    </w:p>
    <w:p w14:paraId="558DAEFC">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1.1本招标项目说明详见投标须知前附表（以下简称“前附表”）第1项。</w:t>
      </w:r>
    </w:p>
    <w:p w14:paraId="28EC633E">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1.2本招标项目按照《中华人民共和国招标投标法》等有关法律、行政法规和部门规章以及地方政府部门有关规定，通过公开招标方式选定消防检测单位。</w:t>
      </w:r>
    </w:p>
    <w:p w14:paraId="7CA588BB">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1.3工期间的水、电由中标人负责，费用自理。施工中必须按时清理施工场地，垃圾必须清理离场。竣工时对施工场所全面打扫，做到无污染。</w:t>
      </w:r>
    </w:p>
    <w:p w14:paraId="2D948E58">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中标人在施工中做到项目负责人全程现场管理。如涉及到安全或质量问题由中标人全权负责。若验收审查不合格，中标人将进行重新检测至验收审查合格为止，再次验收审查费由中标人承担。在项目施工中必须严格遵守相关的法规、规范和现场采购人的规定，督促现场施工人员规范操作，采取严格有力的安全防护措施，做好安全防护工作（包括施工现场防护等），确保施工安装的人身安全，相关专业技术岗位必须持证上岗，一切安全责任均由中标人自负。</w:t>
      </w:r>
    </w:p>
    <w:p w14:paraId="6E223B24">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中标人必须遵守政府有关主管部门对施工噪音、环境保护和安全生产等的管理规定，如因中标人的原因，导致扰民投诉及相关部门罚款的，均由中标人负责处理，费用自理。且中标人必须负责协调检测过程中一切矛盾。</w:t>
      </w:r>
    </w:p>
    <w:p w14:paraId="1DA5E223">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1.6若供应商存在部分项目无相应检测资质时，需委托具有资质的检测单位进行检测并出具报告，所需费用在报价时予以充分考虑，采购人不另行支付本报价外的任何费用。</w:t>
      </w:r>
    </w:p>
    <w:p w14:paraId="0E0C9653">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1.7成交供应商检测中发现的不符合项，有义务根据工程实际情况提出整改建议，由采购单位组织相关单位对各消防系统进行必要调试和整改，以达到检测规程所要求的合格判定标准。</w:t>
      </w:r>
    </w:p>
    <w:p w14:paraId="7C169B4E">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1.8在履约期限内，成交供应商履约能力达不到采购方考核标准及相关技术规范要求时，采购方有权单方面解除合同。</w:t>
      </w:r>
    </w:p>
    <w:p w14:paraId="353BD7C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2、技术要求或者服务要求</w:t>
      </w:r>
    </w:p>
    <w:p w14:paraId="2CE78E1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2.1质量要求需符合国家、省、市有关行业主管部门制定的标准、规范及设计院的设计要求。 </w:t>
      </w:r>
    </w:p>
    <w:p w14:paraId="3DD1257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2.2本项目的技术标准与规范：本项目采用的技术标准与规范按《建筑消防设施检测技术规范》 (GB/T 44481—2024)、《建筑消防设施技术检验规程》（DB46/T 527-2021）执行，如有变更以最新发布的为准，并保证通过消防部门验收。</w:t>
      </w:r>
    </w:p>
    <w:p w14:paraId="696A3FD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3、资金来源</w:t>
      </w:r>
    </w:p>
    <w:p w14:paraId="4B423D3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3.1本工程资金来源见前附表第3项。</w:t>
      </w:r>
    </w:p>
    <w:p w14:paraId="1019007F">
      <w:pPr>
        <w:tabs>
          <w:tab w:val="left" w:pos="265"/>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4、投标人资格要求</w:t>
      </w:r>
    </w:p>
    <w:p w14:paraId="222D7D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4.1投标人应当具备的主要</w:t>
      </w:r>
      <w:r>
        <w:rPr>
          <w:rFonts w:hint="eastAsia" w:ascii="仿宋" w:hAnsi="仿宋" w:eastAsia="仿宋" w:cs="仿宋"/>
          <w:b/>
          <w:color w:val="auto"/>
          <w:kern w:val="0"/>
          <w:sz w:val="24"/>
          <w:szCs w:val="24"/>
          <w:highlight w:val="none"/>
        </w:rPr>
        <w:t>资格条件：</w:t>
      </w:r>
    </w:p>
    <w:p w14:paraId="74B6E82E">
      <w:pPr>
        <w:pStyle w:val="77"/>
        <w:spacing w:line="360" w:lineRule="auto"/>
        <w:ind w:firstLineChars="0"/>
        <w:jc w:val="left"/>
        <w:rPr>
          <w:rFonts w:hint="eastAsia" w:ascii="仿宋" w:hAnsi="仿宋" w:eastAsia="仿宋" w:cs="仿宋"/>
          <w:color w:val="auto"/>
          <w:kern w:val="0"/>
          <w:sz w:val="24"/>
          <w:highlight w:val="none"/>
          <w:u w:val="single"/>
        </w:rPr>
      </w:pPr>
      <w:r>
        <w:rPr>
          <w:rFonts w:hint="eastAsia" w:ascii="仿宋" w:hAnsi="仿宋" w:eastAsia="仿宋" w:cs="仿宋"/>
          <w:color w:val="auto"/>
          <w:spacing w:val="-9"/>
          <w:sz w:val="24"/>
          <w:szCs w:val="24"/>
          <w:highlight w:val="none"/>
        </w:rPr>
        <w:t>4.1.1</w:t>
      </w:r>
      <w:bookmarkStart w:id="9" w:name="_Hlk57029859"/>
      <w:r>
        <w:rPr>
          <w:rFonts w:hint="eastAsia" w:ascii="仿宋" w:hAnsi="仿宋" w:eastAsia="仿宋" w:cs="仿宋"/>
          <w:color w:val="auto"/>
          <w:spacing w:val="-9"/>
          <w:sz w:val="24"/>
          <w:szCs w:val="24"/>
          <w:highlight w:val="none"/>
        </w:rPr>
        <w:t>参加投标的单位必须具有独立法人资格并且</w:t>
      </w:r>
      <w:bookmarkEnd w:id="9"/>
      <w:r>
        <w:rPr>
          <w:rFonts w:hint="eastAsia" w:ascii="仿宋" w:hAnsi="仿宋" w:eastAsia="仿宋" w:cs="仿宋"/>
          <w:color w:val="auto"/>
          <w:kern w:val="0"/>
          <w:sz w:val="24"/>
          <w:highlight w:val="none"/>
        </w:rPr>
        <w:t>为</w:t>
      </w:r>
      <w:r>
        <w:rPr>
          <w:rFonts w:hint="eastAsia" w:ascii="仿宋" w:hAnsi="仿宋" w:eastAsia="仿宋" w:cs="仿宋"/>
          <w:color w:val="auto"/>
          <w:kern w:val="0"/>
          <w:sz w:val="24"/>
          <w:highlight w:val="none"/>
          <w:u w:val="single"/>
        </w:rPr>
        <w:t>社会消防技术服务信息系统中消防设施维护保养检测类企业，以“社会消防技术服务信息系统”网站截图为准；</w:t>
      </w:r>
    </w:p>
    <w:p w14:paraId="7CC404A0">
      <w:pPr>
        <w:pStyle w:val="77"/>
        <w:spacing w:line="360" w:lineRule="auto"/>
        <w:ind w:firstLineChars="0"/>
        <w:jc w:val="left"/>
        <w:rPr>
          <w:rFonts w:hint="eastAsia" w:ascii="仿宋" w:hAnsi="仿宋" w:eastAsia="仿宋" w:cs="仿宋"/>
          <w:color w:val="auto"/>
          <w:kern w:val="0"/>
          <w:sz w:val="24"/>
          <w:highlight w:val="none"/>
          <w:u w:val="single"/>
        </w:rPr>
      </w:pPr>
      <w:r>
        <w:rPr>
          <w:rFonts w:hint="eastAsia" w:ascii="仿宋" w:hAnsi="仿宋" w:eastAsia="仿宋" w:cs="仿宋"/>
          <w:color w:val="auto"/>
          <w:spacing w:val="-4"/>
          <w:sz w:val="24"/>
          <w:szCs w:val="24"/>
          <w:highlight w:val="none"/>
        </w:rPr>
        <w:t xml:space="preserve"> 4.1.2参加投标的项目负责人必须</w:t>
      </w:r>
      <w:r>
        <w:rPr>
          <w:rFonts w:hint="eastAsia" w:ascii="仿宋" w:hAnsi="仿宋" w:eastAsia="仿宋" w:cs="仿宋"/>
          <w:color w:val="auto"/>
          <w:kern w:val="0"/>
          <w:sz w:val="24"/>
          <w:highlight w:val="none"/>
        </w:rPr>
        <w:t>具有</w:t>
      </w:r>
      <w:r>
        <w:rPr>
          <w:rFonts w:hint="eastAsia" w:ascii="仿宋" w:hAnsi="仿宋" w:eastAsia="仿宋" w:cs="仿宋"/>
          <w:color w:val="auto"/>
          <w:kern w:val="0"/>
          <w:sz w:val="24"/>
          <w:highlight w:val="none"/>
          <w:u w:val="single"/>
        </w:rPr>
        <w:t>注册消防工程师执业资格，该项目负责人为企业正式成员</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rPr>
        <w:t>。</w:t>
      </w:r>
    </w:p>
    <w:p w14:paraId="174B0899">
      <w:pPr>
        <w:pStyle w:val="77"/>
        <w:spacing w:line="360" w:lineRule="auto"/>
        <w:ind w:firstLineChars="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4.2以下条件属于资格审查的必要合格条件：</w:t>
      </w:r>
    </w:p>
    <w:p w14:paraId="5047EC6D">
      <w:pPr>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(1)具有独立订立合同的能力；</w:t>
      </w:r>
    </w:p>
    <w:p w14:paraId="06A55656">
      <w:pPr>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szCs w:val="24"/>
          <w:highlight w:val="none"/>
        </w:rPr>
        <w:t>未处于被责令停业、投标资格被取消或者财产被接管、冻结和破产状态</w:t>
      </w:r>
      <w:r>
        <w:rPr>
          <w:rFonts w:hint="eastAsia" w:ascii="仿宋" w:hAnsi="仿宋" w:eastAsia="仿宋" w:cs="仿宋"/>
          <w:color w:val="auto"/>
          <w:kern w:val="0"/>
          <w:sz w:val="24"/>
          <w:szCs w:val="24"/>
          <w:highlight w:val="none"/>
        </w:rPr>
        <w:t>；</w:t>
      </w:r>
    </w:p>
    <w:p w14:paraId="00A668A7">
      <w:pPr>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(3)企业没有因骗取中标或者严重违约以及因消防检测原因发生重大工程质量事故等问题，被有关部门暂停投标资格并在暂停期内；</w:t>
      </w:r>
    </w:p>
    <w:p w14:paraId="6C7E3D20">
      <w:pPr>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sz w:val="24"/>
          <w:szCs w:val="24"/>
          <w:highlight w:val="none"/>
        </w:rPr>
        <w:t>企业的资质类别、等级和项目负责人的资质等级满足招标文件要求；</w:t>
      </w:r>
    </w:p>
    <w:p w14:paraId="3DA817FF">
      <w:pPr>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(5)资格审查材料中的重要内容没有失实或者弄虚作假；</w:t>
      </w:r>
    </w:p>
    <w:p w14:paraId="1E60F3D2">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sz w:val="24"/>
          <w:szCs w:val="24"/>
          <w:highlight w:val="none"/>
        </w:rPr>
        <w:t>拟派项目负责人为投标企业正式人员（</w:t>
      </w:r>
      <w:r>
        <w:rPr>
          <w:rFonts w:hint="eastAsia" w:ascii="仿宋" w:hAnsi="仿宋" w:eastAsia="仿宋" w:cs="仿宋"/>
          <w:bCs/>
          <w:color w:val="auto"/>
          <w:sz w:val="24"/>
          <w:szCs w:val="24"/>
          <w:highlight w:val="none"/>
        </w:rPr>
        <w:t>必须提供：与投标企业签订的有效劳动合同书</w:t>
      </w:r>
      <w:r>
        <w:rPr>
          <w:rFonts w:hint="eastAsia" w:ascii="仿宋" w:hAnsi="仿宋" w:eastAsia="仿宋" w:cs="仿宋"/>
          <w:color w:val="auto"/>
          <w:sz w:val="24"/>
          <w:szCs w:val="24"/>
          <w:highlight w:val="none"/>
        </w:rPr>
        <w:t>）；</w:t>
      </w:r>
    </w:p>
    <w:p w14:paraId="27D4BE96">
      <w:pPr>
        <w:pStyle w:val="31"/>
        <w:rPr>
          <w:rFonts w:hint="eastAsia" w:ascii="仿宋" w:hAnsi="仿宋" w:eastAsia="仿宋" w:cs="仿宋"/>
          <w:color w:val="auto"/>
          <w:highlight w:val="none"/>
        </w:rPr>
      </w:pPr>
      <w:r>
        <w:rPr>
          <w:rFonts w:hint="eastAsia" w:ascii="仿宋" w:hAnsi="仿宋" w:eastAsia="仿宋" w:cs="仿宋"/>
          <w:bCs/>
          <w:color w:val="auto"/>
          <w:sz w:val="24"/>
          <w:highlight w:val="none"/>
        </w:rPr>
        <w:t xml:space="preserve"> （7）第三章中投标文件格式中要求提供的其他表格；</w:t>
      </w:r>
    </w:p>
    <w:p w14:paraId="72A7F7E0">
      <w:pPr>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(8)本项目不接受联合体投标；</w:t>
      </w:r>
    </w:p>
    <w:p w14:paraId="1A83DDA7">
      <w:pPr>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(9)单位负责人为同一或者存在控股、管理关系的不同单位，不得参加同一标段投标或者未划分标段的同一招标项目的招标。</w:t>
      </w:r>
    </w:p>
    <w:p w14:paraId="402753BF">
      <w:pPr>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(10)符合法律、法规规定的其他条件。</w:t>
      </w:r>
    </w:p>
    <w:p w14:paraId="0D175099">
      <w:pPr>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未尽之处具体详见招标文件“评标办法”中的“资格审查标准汇总表”。提供的资格审查材料及审查标准，前后矛盾的以《资格审查标准汇总表》为准。</w:t>
      </w:r>
    </w:p>
    <w:p w14:paraId="119004A9">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5、投标费用</w:t>
      </w:r>
    </w:p>
    <w:p w14:paraId="5679D3E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投标人应承担投标文件编制与递交等参加本次招标活动所涉及的一切费用。无论投标结果如何，招标人对上述费用不负任何责任。</w:t>
      </w:r>
    </w:p>
    <w:p w14:paraId="4E1BE2D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本项目招标代理费2000元及评委评审费（</w:t>
      </w:r>
      <w:r>
        <w:rPr>
          <w:rFonts w:hint="eastAsia" w:ascii="仿宋" w:hAnsi="仿宋" w:eastAsia="仿宋" w:cs="仿宋"/>
          <w:color w:val="auto"/>
          <w:sz w:val="24"/>
          <w:szCs w:val="24"/>
          <w:highlight w:val="none"/>
          <w:lang w:val="en-US" w:eastAsia="zh-CN"/>
        </w:rPr>
        <w:t>按实际支付</w:t>
      </w:r>
      <w:r>
        <w:rPr>
          <w:rFonts w:hint="eastAsia" w:ascii="仿宋" w:hAnsi="仿宋" w:eastAsia="仿宋" w:cs="仿宋"/>
          <w:color w:val="auto"/>
          <w:sz w:val="24"/>
          <w:szCs w:val="24"/>
          <w:highlight w:val="none"/>
        </w:rPr>
        <w:t>）由中标人承担，请参加的投标人在成本中自行考虑，包含在响应报价内的该项费用及风险并将其综合在单价内，不得单列。</w:t>
      </w:r>
    </w:p>
    <w:p w14:paraId="67033922">
      <w:pPr>
        <w:pStyle w:val="17"/>
        <w:rPr>
          <w:rFonts w:hint="eastAsia" w:ascii="仿宋" w:hAnsi="仿宋" w:eastAsia="仿宋" w:cs="仿宋"/>
          <w:color w:val="auto"/>
          <w:highlight w:val="none"/>
        </w:rPr>
      </w:pPr>
      <w:r>
        <w:rPr>
          <w:rFonts w:hint="eastAsia" w:ascii="仿宋" w:hAnsi="仿宋" w:eastAsia="仿宋" w:cs="仿宋"/>
          <w:color w:val="auto"/>
          <w:szCs w:val="24"/>
          <w:highlight w:val="none"/>
        </w:rPr>
        <w:t>投标人应承担投标文件编制与递交等参加本次招标活动所涉及的一切费用。无论投标结果如何，招标人对上述费用不负任何责任。</w:t>
      </w:r>
    </w:p>
    <w:p w14:paraId="5B8908C0">
      <w:pPr>
        <w:pStyle w:val="31"/>
        <w:rPr>
          <w:rFonts w:hint="eastAsia" w:ascii="仿宋" w:hAnsi="仿宋" w:eastAsia="仿宋" w:cs="仿宋"/>
          <w:color w:val="auto"/>
          <w:highlight w:val="none"/>
        </w:rPr>
      </w:pPr>
    </w:p>
    <w:p w14:paraId="05CE1374">
      <w:pPr>
        <w:snapToGrid w:val="0"/>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（二）招标文件内容、澄清及修改</w:t>
      </w:r>
    </w:p>
    <w:p w14:paraId="4D71007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6、招标文件的组成</w:t>
      </w:r>
    </w:p>
    <w:p w14:paraId="7C34007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6.1招标文件包括下列内容:</w:t>
      </w:r>
    </w:p>
    <w:p w14:paraId="14B905F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第一章：投标须知</w:t>
      </w:r>
    </w:p>
    <w:p w14:paraId="0EF762B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第二章：合同条款</w:t>
      </w:r>
    </w:p>
    <w:p w14:paraId="3BA52D5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第三章：投标文件格式</w:t>
      </w:r>
    </w:p>
    <w:p w14:paraId="3FFAD9F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第四章：评标办法</w:t>
      </w:r>
    </w:p>
    <w:p w14:paraId="3F31A36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6.2除上述内容外，招标人发出</w:t>
      </w:r>
      <w:r>
        <w:rPr>
          <w:rFonts w:hint="eastAsia" w:ascii="仿宋" w:hAnsi="仿宋" w:eastAsia="仿宋" w:cs="仿宋"/>
          <w:color w:val="auto"/>
          <w:kern w:val="0"/>
          <w:sz w:val="24"/>
          <w:szCs w:val="24"/>
          <w:highlight w:val="none"/>
        </w:rPr>
        <w:t>的</w:t>
      </w:r>
      <w:r>
        <w:rPr>
          <w:rFonts w:hint="eastAsia" w:ascii="仿宋" w:hAnsi="仿宋" w:eastAsia="仿宋" w:cs="仿宋"/>
          <w:color w:val="auto"/>
          <w:sz w:val="24"/>
          <w:szCs w:val="24"/>
          <w:highlight w:val="none"/>
        </w:rPr>
        <w:t>对招标文件的所有澄清和修改内容，均作为招标文件的组成部分，对招标人和投标人起约束作用。投标人在投标截止时间前，应通过</w:t>
      </w:r>
      <w:r>
        <w:rPr>
          <w:rFonts w:hint="eastAsia" w:ascii="仿宋" w:hAnsi="仿宋" w:eastAsia="仿宋" w:cs="仿宋"/>
          <w:b/>
          <w:bCs/>
          <w:color w:val="auto"/>
          <w:sz w:val="24"/>
          <w:szCs w:val="24"/>
          <w:highlight w:val="none"/>
        </w:rPr>
        <w:t>南通市崇川区人民政府网http://www.chongchuan.gov.cn/公告公示栏</w:t>
      </w:r>
      <w:r>
        <w:rPr>
          <w:rFonts w:hint="eastAsia" w:ascii="仿宋" w:hAnsi="仿宋" w:eastAsia="仿宋" w:cs="仿宋"/>
          <w:color w:val="auto"/>
          <w:sz w:val="24"/>
          <w:szCs w:val="24"/>
          <w:highlight w:val="none"/>
        </w:rPr>
        <w:t>随时查阅有关该工程招标文件的澄清、招标文件的修改(招标答疑、补遗文件)等内容。</w:t>
      </w:r>
      <w:r>
        <w:rPr>
          <w:rFonts w:hint="eastAsia" w:ascii="仿宋" w:hAnsi="仿宋" w:eastAsia="仿宋" w:cs="仿宋"/>
          <w:b/>
          <w:bCs/>
          <w:color w:val="auto"/>
          <w:sz w:val="24"/>
          <w:szCs w:val="24"/>
          <w:highlight w:val="none"/>
        </w:rPr>
        <w:t>投标人查阅如有遗漏，其风险应由投标人自行承担</w:t>
      </w:r>
      <w:r>
        <w:rPr>
          <w:rFonts w:hint="eastAsia" w:ascii="仿宋" w:hAnsi="仿宋" w:eastAsia="仿宋" w:cs="仿宋"/>
          <w:color w:val="auto"/>
          <w:sz w:val="24"/>
          <w:szCs w:val="24"/>
          <w:highlight w:val="none"/>
        </w:rPr>
        <w:t>。</w:t>
      </w:r>
    </w:p>
    <w:p w14:paraId="43D932C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6.3投标人应认真审阅招标文件所有的内容，如果投标人的投标文件不能实质性地响应招标文件要求，将作废标处理。</w:t>
      </w:r>
    </w:p>
    <w:p w14:paraId="514C2F2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7、招标文件的澄清</w:t>
      </w:r>
    </w:p>
    <w:p w14:paraId="1266883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7.1投标人从</w:t>
      </w:r>
      <w:r>
        <w:rPr>
          <w:rFonts w:hint="eastAsia" w:ascii="仿宋" w:hAnsi="仿宋" w:eastAsia="仿宋" w:cs="仿宋"/>
          <w:b/>
          <w:bCs/>
          <w:color w:val="auto"/>
          <w:sz w:val="24"/>
          <w:szCs w:val="24"/>
          <w:highlight w:val="none"/>
        </w:rPr>
        <w:t>南通市崇川区人民政府网http://www.chongchuan.gov.cn/公告公示栏</w:t>
      </w:r>
      <w:r>
        <w:rPr>
          <w:rFonts w:hint="eastAsia" w:ascii="仿宋" w:hAnsi="仿宋" w:eastAsia="仿宋" w:cs="仿宋"/>
          <w:color w:val="auto"/>
          <w:sz w:val="24"/>
          <w:szCs w:val="24"/>
          <w:highlight w:val="none"/>
        </w:rPr>
        <w:t>下载招标文件后应仔细阅读和检查招标文件的全部内容。如发现缺页或附件不全，应及时向招标人提出，以便补齐。</w:t>
      </w:r>
    </w:p>
    <w:p w14:paraId="0EE6361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7.2招标人不组织集中答疑，投标人如对招标公告、招标文件等文件存在前后矛盾，部分条款说明不清、存在歧义、违反相关法律法规，存在限制性条款等有疑问的应在</w:t>
      </w:r>
      <w:r>
        <w:rPr>
          <w:rFonts w:hint="eastAsia" w:ascii="仿宋" w:hAnsi="仿宋" w:eastAsia="仿宋" w:cs="仿宋"/>
          <w:b/>
          <w:bCs/>
          <w:color w:val="auto"/>
          <w:sz w:val="24"/>
          <w:szCs w:val="24"/>
          <w:highlight w:val="none"/>
          <w:u w:val="single"/>
          <w:lang w:val="en-US" w:eastAsia="zh-CN"/>
        </w:rPr>
        <w:t>2025</w:t>
      </w:r>
      <w:r>
        <w:rPr>
          <w:rFonts w:hint="eastAsia" w:ascii="仿宋" w:hAnsi="仿宋" w:eastAsia="仿宋" w:cs="仿宋"/>
          <w:b/>
          <w:bCs/>
          <w:color w:val="auto"/>
          <w:sz w:val="24"/>
          <w:szCs w:val="24"/>
          <w:highlight w:val="none"/>
          <w:u w:val="single"/>
        </w:rPr>
        <w:t>年</w:t>
      </w:r>
      <w:r>
        <w:rPr>
          <w:rFonts w:hint="eastAsia" w:ascii="仿宋" w:hAnsi="仿宋" w:eastAsia="仿宋" w:cs="仿宋"/>
          <w:b/>
          <w:bCs/>
          <w:color w:val="auto"/>
          <w:sz w:val="24"/>
          <w:szCs w:val="24"/>
          <w:highlight w:val="none"/>
          <w:u w:val="single"/>
          <w:lang w:val="en-US" w:eastAsia="zh-CN"/>
        </w:rPr>
        <w:t>12</w:t>
      </w:r>
      <w:r>
        <w:rPr>
          <w:rFonts w:hint="eastAsia" w:ascii="仿宋" w:hAnsi="仿宋" w:eastAsia="仿宋" w:cs="仿宋"/>
          <w:b/>
          <w:bCs/>
          <w:color w:val="auto"/>
          <w:sz w:val="24"/>
          <w:szCs w:val="24"/>
          <w:highlight w:val="none"/>
          <w:u w:val="single"/>
        </w:rPr>
        <w:t>月</w:t>
      </w:r>
      <w:r>
        <w:rPr>
          <w:rFonts w:hint="eastAsia" w:ascii="仿宋" w:hAnsi="仿宋" w:eastAsia="仿宋" w:cs="仿宋"/>
          <w:b/>
          <w:bCs/>
          <w:color w:val="auto"/>
          <w:sz w:val="24"/>
          <w:szCs w:val="24"/>
          <w:highlight w:val="none"/>
          <w:u w:val="single"/>
          <w:lang w:val="en-US" w:eastAsia="zh-CN"/>
        </w:rPr>
        <w:t>5</w:t>
      </w:r>
      <w:r>
        <w:rPr>
          <w:rFonts w:hint="eastAsia" w:ascii="仿宋" w:hAnsi="仿宋" w:eastAsia="仿宋" w:cs="仿宋"/>
          <w:b/>
          <w:bCs/>
          <w:color w:val="auto"/>
          <w:sz w:val="24"/>
          <w:szCs w:val="24"/>
          <w:highlight w:val="none"/>
          <w:u w:val="single"/>
        </w:rPr>
        <w:t>日17时</w:t>
      </w:r>
      <w:r>
        <w:rPr>
          <w:rFonts w:hint="eastAsia" w:ascii="仿宋" w:hAnsi="仿宋" w:eastAsia="仿宋" w:cs="仿宋"/>
          <w:color w:val="auto"/>
          <w:sz w:val="24"/>
          <w:szCs w:val="24"/>
          <w:highlight w:val="none"/>
        </w:rPr>
        <w:t>前向招标人提出澄清要求，以电子文件形式发送至指定邮箱：ntxyjhy@163.com（不具单位名称，不加盖单位公章）。招标人在收到疑问材料后2日内予以解答，并于</w:t>
      </w:r>
      <w:r>
        <w:rPr>
          <w:rFonts w:hint="eastAsia" w:ascii="仿宋" w:hAnsi="仿宋" w:eastAsia="仿宋" w:cs="仿宋"/>
          <w:b/>
          <w:bCs/>
          <w:color w:val="auto"/>
          <w:sz w:val="24"/>
          <w:szCs w:val="24"/>
          <w:highlight w:val="none"/>
          <w:u w:val="single"/>
          <w:lang w:val="en-US" w:eastAsia="zh-CN"/>
        </w:rPr>
        <w:t>2025</w:t>
      </w:r>
      <w:r>
        <w:rPr>
          <w:rFonts w:hint="eastAsia" w:ascii="仿宋" w:hAnsi="仿宋" w:eastAsia="仿宋" w:cs="仿宋"/>
          <w:b/>
          <w:bCs/>
          <w:color w:val="auto"/>
          <w:sz w:val="24"/>
          <w:szCs w:val="24"/>
          <w:highlight w:val="none"/>
          <w:u w:val="single"/>
        </w:rPr>
        <w:t>年</w:t>
      </w:r>
      <w:r>
        <w:rPr>
          <w:rFonts w:hint="eastAsia" w:ascii="仿宋" w:hAnsi="仿宋" w:eastAsia="仿宋" w:cs="仿宋"/>
          <w:b/>
          <w:bCs/>
          <w:color w:val="auto"/>
          <w:sz w:val="24"/>
          <w:szCs w:val="24"/>
          <w:highlight w:val="none"/>
          <w:u w:val="single"/>
          <w:lang w:val="en-US" w:eastAsia="zh-CN"/>
        </w:rPr>
        <w:t>12</w:t>
      </w:r>
      <w:r>
        <w:rPr>
          <w:rFonts w:hint="eastAsia" w:ascii="仿宋" w:hAnsi="仿宋" w:eastAsia="仿宋" w:cs="仿宋"/>
          <w:b/>
          <w:bCs/>
          <w:color w:val="auto"/>
          <w:sz w:val="24"/>
          <w:szCs w:val="24"/>
          <w:highlight w:val="none"/>
          <w:u w:val="single"/>
        </w:rPr>
        <w:t>月</w:t>
      </w:r>
      <w:r>
        <w:rPr>
          <w:rFonts w:hint="eastAsia" w:ascii="仿宋" w:hAnsi="仿宋" w:eastAsia="仿宋" w:cs="仿宋"/>
          <w:b/>
          <w:bCs/>
          <w:color w:val="auto"/>
          <w:sz w:val="24"/>
          <w:szCs w:val="24"/>
          <w:highlight w:val="none"/>
          <w:u w:val="single"/>
          <w:lang w:val="en-US" w:eastAsia="zh-CN"/>
        </w:rPr>
        <w:t>8</w:t>
      </w:r>
      <w:r>
        <w:rPr>
          <w:rFonts w:hint="eastAsia" w:ascii="仿宋" w:hAnsi="仿宋" w:eastAsia="仿宋" w:cs="仿宋"/>
          <w:b/>
          <w:bCs/>
          <w:color w:val="auto"/>
          <w:sz w:val="24"/>
          <w:szCs w:val="24"/>
          <w:highlight w:val="none"/>
          <w:u w:val="single"/>
        </w:rPr>
        <w:t>日17时</w:t>
      </w:r>
      <w:r>
        <w:rPr>
          <w:rFonts w:hint="eastAsia" w:ascii="仿宋" w:hAnsi="仿宋" w:eastAsia="仿宋" w:cs="仿宋"/>
          <w:color w:val="auto"/>
          <w:sz w:val="24"/>
          <w:szCs w:val="24"/>
          <w:highlight w:val="none"/>
        </w:rPr>
        <w:t>前将解答内容（若有）以电子文档上传至</w:t>
      </w:r>
      <w:r>
        <w:rPr>
          <w:rFonts w:hint="eastAsia" w:ascii="仿宋" w:hAnsi="仿宋" w:eastAsia="仿宋" w:cs="仿宋"/>
          <w:b/>
          <w:bCs/>
          <w:color w:val="auto"/>
          <w:sz w:val="24"/>
          <w:szCs w:val="24"/>
          <w:highlight w:val="none"/>
        </w:rPr>
        <w:t>南通市崇川区人民政府网http://www.chongchuan.gov.cn/公告公示栏</w:t>
      </w:r>
      <w:r>
        <w:rPr>
          <w:rFonts w:hint="eastAsia" w:ascii="仿宋" w:hAnsi="仿宋" w:eastAsia="仿宋" w:cs="仿宋"/>
          <w:color w:val="auto"/>
          <w:sz w:val="24"/>
          <w:szCs w:val="24"/>
          <w:highlight w:val="none"/>
        </w:rPr>
        <w:t>，请各潜在投标人在</w:t>
      </w:r>
      <w:r>
        <w:rPr>
          <w:rFonts w:hint="eastAsia" w:ascii="仿宋" w:hAnsi="仿宋" w:eastAsia="仿宋" w:cs="仿宋"/>
          <w:b/>
          <w:bCs/>
          <w:color w:val="auto"/>
          <w:sz w:val="24"/>
          <w:szCs w:val="24"/>
          <w:highlight w:val="none"/>
        </w:rPr>
        <w:t>南通市崇川区人民政府网http://www.chongchuan.gov.cn/公告公示栏</w:t>
      </w:r>
      <w:r>
        <w:rPr>
          <w:rFonts w:hint="eastAsia" w:ascii="仿宋" w:hAnsi="仿宋" w:eastAsia="仿宋" w:cs="仿宋"/>
          <w:color w:val="auto"/>
          <w:sz w:val="24"/>
          <w:szCs w:val="24"/>
          <w:highlight w:val="none"/>
        </w:rPr>
        <w:t>自行下载。</w:t>
      </w:r>
    </w:p>
    <w:p w14:paraId="63E09F76">
      <w:pPr>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在投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1CC96EB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7.3招标文件的澄清答疑将在投标人须知前附表规定的时间前，在</w:t>
      </w:r>
      <w:r>
        <w:rPr>
          <w:rFonts w:hint="eastAsia" w:ascii="仿宋" w:hAnsi="仿宋" w:eastAsia="仿宋" w:cs="仿宋"/>
          <w:b/>
          <w:bCs/>
          <w:color w:val="auto"/>
          <w:sz w:val="24"/>
          <w:szCs w:val="24"/>
          <w:highlight w:val="none"/>
        </w:rPr>
        <w:t>南通市崇川区人民政府网http://www.chongchuan.gov.cn/公告公示栏</w:t>
      </w:r>
      <w:r>
        <w:rPr>
          <w:rFonts w:hint="eastAsia" w:ascii="仿宋" w:hAnsi="仿宋" w:eastAsia="仿宋" w:cs="仿宋"/>
          <w:color w:val="auto"/>
          <w:sz w:val="24"/>
          <w:szCs w:val="24"/>
          <w:highlight w:val="none"/>
        </w:rPr>
        <w:t>向所有投标人公示，但招标人不指明澄清问题的来源。</w:t>
      </w:r>
    </w:p>
    <w:p w14:paraId="679B28FF">
      <w:pPr>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投标人对招标人提供的招标文件所做出的推论、解释和结论，招标人概不负责。投标人由于对招标文件的任何推论和误解均由投标人自负。</w:t>
      </w:r>
    </w:p>
    <w:p w14:paraId="505CAACF">
      <w:pPr>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在投标截止时间3天前，招标人可以修改招标文件，并以电子文档形式在</w:t>
      </w:r>
      <w:r>
        <w:rPr>
          <w:rFonts w:hint="eastAsia" w:ascii="仿宋" w:hAnsi="仿宋" w:eastAsia="仿宋" w:cs="仿宋"/>
          <w:b/>
          <w:bCs/>
          <w:color w:val="auto"/>
          <w:sz w:val="24"/>
          <w:szCs w:val="24"/>
          <w:highlight w:val="none"/>
        </w:rPr>
        <w:t>南通市崇川区人民政府网http://www.chongchuan.gov.cn/公告公示栏</w:t>
      </w:r>
      <w:r>
        <w:rPr>
          <w:rFonts w:hint="eastAsia" w:ascii="仿宋" w:hAnsi="仿宋" w:eastAsia="仿宋" w:cs="仿宋"/>
          <w:color w:val="auto"/>
          <w:sz w:val="24"/>
          <w:szCs w:val="24"/>
          <w:highlight w:val="none"/>
        </w:rPr>
        <w:t>发布。如果修改招标文件的时间距投标截止时间不足3天，相应延长投标截止时间。</w:t>
      </w:r>
    </w:p>
    <w:p w14:paraId="5EC9A18A">
      <w:pPr>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8、招标文件的修改</w:t>
      </w:r>
    </w:p>
    <w:p w14:paraId="3D3E7FCC">
      <w:pPr>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8.1招标文件发布后，在投标截止期前，确需对招标文件进行修改的，招标人以招标文件澄清、答疑方式，经</w:t>
      </w:r>
      <w:r>
        <w:rPr>
          <w:rFonts w:hint="eastAsia" w:ascii="仿宋" w:hAnsi="仿宋" w:eastAsia="仿宋" w:cs="仿宋"/>
          <w:b/>
          <w:bCs/>
          <w:color w:val="auto"/>
          <w:sz w:val="24"/>
          <w:szCs w:val="24"/>
          <w:highlight w:val="none"/>
        </w:rPr>
        <w:t>南通市崇川区人民政府网http://www.chongchuan.gov.cn/公告公示栏</w:t>
      </w:r>
      <w:r>
        <w:rPr>
          <w:rFonts w:hint="eastAsia" w:ascii="仿宋" w:hAnsi="仿宋" w:eastAsia="仿宋" w:cs="仿宋"/>
          <w:color w:val="auto"/>
          <w:sz w:val="24"/>
          <w:szCs w:val="24"/>
          <w:highlight w:val="none"/>
        </w:rPr>
        <w:t>向所有投标人公示。</w:t>
      </w:r>
    </w:p>
    <w:p w14:paraId="1B1651EF">
      <w:pPr>
        <w:spacing w:line="5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8.2招标人在投标截止期前对招标文件的所作澄清、答疑、修改作为招标文件的组成部分，对招标人、投标人均具有约束力。</w:t>
      </w:r>
      <w:r>
        <w:rPr>
          <w:rFonts w:hint="eastAsia" w:ascii="仿宋" w:hAnsi="仿宋" w:eastAsia="仿宋" w:cs="仿宋"/>
          <w:color w:val="auto"/>
          <w:sz w:val="24"/>
          <w:highlight w:val="none"/>
        </w:rPr>
        <w:t>如果修改招标文件时间距投标截止时间不足15天，为保证投标人合理时间编制投标文件，招标人应合理延长递交投标文件的截止日期。</w:t>
      </w:r>
    </w:p>
    <w:p w14:paraId="1BB90702">
      <w:pPr>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8.3本工程采用电子答疑，招标人对招标文件的所作澄清、答疑、修改均以</w:t>
      </w:r>
      <w:r>
        <w:rPr>
          <w:rFonts w:hint="eastAsia" w:ascii="仿宋" w:hAnsi="仿宋" w:eastAsia="仿宋" w:cs="仿宋"/>
          <w:b/>
          <w:bCs/>
          <w:color w:val="auto"/>
          <w:sz w:val="24"/>
          <w:szCs w:val="24"/>
          <w:highlight w:val="none"/>
        </w:rPr>
        <w:t>南通市崇川区人民政府网http://www.chongchuan.gov.cn/公告公示栏</w:t>
      </w:r>
      <w:r>
        <w:rPr>
          <w:rFonts w:hint="eastAsia" w:ascii="仿宋" w:hAnsi="仿宋" w:eastAsia="仿宋" w:cs="仿宋"/>
          <w:color w:val="auto"/>
          <w:sz w:val="24"/>
          <w:szCs w:val="24"/>
          <w:highlight w:val="none"/>
        </w:rPr>
        <w:t>上公布的内容为准。招标文件的答疑内容前后期相互矛盾时，以公示时间在后的文件为准。投标人应在投标截止时间前随时查看</w:t>
      </w:r>
      <w:r>
        <w:rPr>
          <w:rFonts w:hint="eastAsia" w:ascii="仿宋" w:hAnsi="仿宋" w:eastAsia="仿宋" w:cs="仿宋"/>
          <w:b/>
          <w:bCs/>
          <w:color w:val="auto"/>
          <w:sz w:val="24"/>
          <w:szCs w:val="24"/>
          <w:highlight w:val="none"/>
        </w:rPr>
        <w:t>南通市崇川区人民政府网http://www.chongchuan.gov.cn/公告公示栏</w:t>
      </w:r>
      <w:r>
        <w:rPr>
          <w:rFonts w:hint="eastAsia" w:ascii="仿宋" w:hAnsi="仿宋" w:eastAsia="仿宋" w:cs="仿宋"/>
          <w:color w:val="auto"/>
          <w:sz w:val="24"/>
          <w:szCs w:val="24"/>
          <w:highlight w:val="none"/>
        </w:rPr>
        <w:t>中有关该项目招标文件的答疑内容。投标人因自身原因未能及时掌握上述网上公示信息，由此造成投标损失自负。</w:t>
      </w:r>
    </w:p>
    <w:p w14:paraId="4EEFBC0B">
      <w:pPr>
        <w:pStyle w:val="17"/>
        <w:rPr>
          <w:rFonts w:hint="eastAsia" w:ascii="仿宋" w:hAnsi="仿宋" w:eastAsia="仿宋" w:cs="仿宋"/>
          <w:color w:val="auto"/>
          <w:highlight w:val="none"/>
        </w:rPr>
      </w:pPr>
    </w:p>
    <w:p w14:paraId="3958C804">
      <w:pPr>
        <w:snapToGrid w:val="0"/>
        <w:spacing w:line="500" w:lineRule="exact"/>
        <w:jc w:val="center"/>
        <w:rPr>
          <w:rFonts w:hint="eastAsia" w:ascii="仿宋" w:hAnsi="仿宋" w:eastAsia="仿宋" w:cs="仿宋"/>
          <w:b/>
          <w:color w:val="auto"/>
          <w:sz w:val="36"/>
          <w:highlight w:val="none"/>
        </w:rPr>
      </w:pPr>
      <w:r>
        <w:rPr>
          <w:rFonts w:hint="eastAsia" w:ascii="仿宋" w:hAnsi="仿宋" w:eastAsia="仿宋" w:cs="仿宋"/>
          <w:b/>
          <w:color w:val="auto"/>
          <w:sz w:val="32"/>
          <w:highlight w:val="none"/>
        </w:rPr>
        <w:t>(三)投标报价</w:t>
      </w:r>
    </w:p>
    <w:p w14:paraId="4D6E8457">
      <w:pPr>
        <w:snapToGrid w:val="0"/>
        <w:spacing w:line="5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9、除非招标文件中另有规定,</w:t>
      </w:r>
      <w:r>
        <w:rPr>
          <w:rFonts w:hint="eastAsia" w:ascii="仿宋" w:hAnsi="仿宋" w:eastAsia="仿宋" w:cs="仿宋"/>
          <w:b/>
          <w:bCs/>
          <w:color w:val="auto"/>
          <w:sz w:val="24"/>
          <w:szCs w:val="24"/>
          <w:highlight w:val="none"/>
        </w:rPr>
        <w:t>投标报价中应包括完成本项目检测所需的一切费用</w:t>
      </w:r>
      <w:r>
        <w:rPr>
          <w:rFonts w:hint="eastAsia" w:ascii="仿宋" w:hAnsi="仿宋" w:eastAsia="仿宋" w:cs="仿宋"/>
          <w:b/>
          <w:color w:val="auto"/>
          <w:sz w:val="24"/>
          <w:szCs w:val="24"/>
          <w:highlight w:val="none"/>
        </w:rPr>
        <w:t>，包括①完成检测工程的消防系统检测所需的人工费、机械费、材料费、管理费、税金、利润等所有费用。②完成相关检测规范、标准规定的所有工作内容的费用。③检测人员的食宿、办公等设施费用。④完成本项目所需要的全部资料收集费、文件整理费、文印、刻录等费用；⑤与南通市消防支队的协调沟通所需的人工等费用；⑥其它不可预见费、由法律确定的应由乙方承担的各项保险费等；</w:t>
      </w:r>
    </w:p>
    <w:p w14:paraId="1B0DD72F">
      <w:pPr>
        <w:pStyle w:val="14"/>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9.1投标报价要求：</w:t>
      </w:r>
    </w:p>
    <w:p w14:paraId="2D8F6A41">
      <w:pPr>
        <w:pStyle w:val="14"/>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9.1.1本项目检测费采用固定单价报价。</w:t>
      </w:r>
    </w:p>
    <w:p w14:paraId="15EF8531">
      <w:pPr>
        <w:pStyle w:val="14"/>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9.1.2投标报价的原则：</w:t>
      </w:r>
    </w:p>
    <w:p w14:paraId="1FE95BA1">
      <w:pPr>
        <w:pStyle w:val="14"/>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最高限价为人民币0.5</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 xml:space="preserve">元/ 平方米（住宅类只算地下面积；公建、厂房、人防、地下车库按消防审核面积结算）。投标报价（单价）高于或等于最高限价（单价）的报价文件视为无效报价文件，作废标处理。 </w:t>
      </w:r>
    </w:p>
    <w:p w14:paraId="75FF7A4C">
      <w:pPr>
        <w:pStyle w:val="14"/>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其他未尽事宜在答疑及第四章合同条款中明确。</w:t>
      </w:r>
    </w:p>
    <w:p w14:paraId="6CD98477">
      <w:pPr>
        <w:snapToGrid w:val="0"/>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（四）投标文件</w:t>
      </w:r>
    </w:p>
    <w:p w14:paraId="47AF5AE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10、投标文件包括下列内容：</w:t>
      </w:r>
    </w:p>
    <w:p w14:paraId="54327371">
      <w:pPr>
        <w:pStyle w:val="5"/>
        <w:tabs>
          <w:tab w:val="left" w:pos="1000"/>
        </w:tabs>
        <w:snapToGrid w:val="0"/>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本项目投标文件由</w:t>
      </w:r>
      <w:r>
        <w:rPr>
          <w:rFonts w:hint="eastAsia" w:ascii="仿宋" w:hAnsi="仿宋" w:eastAsia="仿宋" w:cs="仿宋"/>
          <w:b/>
          <w:bCs/>
          <w:color w:val="auto"/>
          <w:sz w:val="24"/>
          <w:szCs w:val="24"/>
          <w:highlight w:val="none"/>
        </w:rPr>
        <w:t>资格审查文件、</w:t>
      </w:r>
      <w:r>
        <w:rPr>
          <w:rFonts w:hint="eastAsia" w:ascii="仿宋" w:hAnsi="仿宋" w:eastAsia="仿宋" w:cs="仿宋"/>
          <w:b/>
          <w:bCs/>
          <w:color w:val="auto"/>
          <w:sz w:val="24"/>
          <w:szCs w:val="24"/>
          <w:highlight w:val="none"/>
          <w:lang w:val="en-US" w:eastAsia="zh-CN"/>
        </w:rPr>
        <w:t>价格</w:t>
      </w:r>
      <w:r>
        <w:rPr>
          <w:rFonts w:hint="eastAsia" w:ascii="仿宋" w:hAnsi="仿宋" w:eastAsia="仿宋" w:cs="仿宋"/>
          <w:b/>
          <w:bCs/>
          <w:color w:val="auto"/>
          <w:sz w:val="24"/>
          <w:szCs w:val="24"/>
          <w:highlight w:val="none"/>
        </w:rPr>
        <w:t>标文件</w:t>
      </w:r>
      <w:r>
        <w:rPr>
          <w:rFonts w:hint="eastAsia" w:ascii="仿宋" w:hAnsi="仿宋" w:eastAsia="仿宋" w:cs="仿宋"/>
          <w:bCs/>
          <w:color w:val="auto"/>
          <w:sz w:val="24"/>
          <w:szCs w:val="24"/>
          <w:highlight w:val="none"/>
        </w:rPr>
        <w:t>二部分组成。</w:t>
      </w:r>
    </w:p>
    <w:p w14:paraId="592EF44B">
      <w:pPr>
        <w:pStyle w:val="5"/>
        <w:tabs>
          <w:tab w:val="left" w:pos="1000"/>
        </w:tabs>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10.1 资格审查文件应包括下列内容：</w:t>
      </w:r>
    </w:p>
    <w:p w14:paraId="252BDD1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10.1.1</w:t>
      </w:r>
      <w:r>
        <w:rPr>
          <w:rFonts w:hint="eastAsia" w:ascii="仿宋" w:hAnsi="仿宋" w:eastAsia="仿宋" w:cs="仿宋"/>
          <w:color w:val="auto"/>
          <w:sz w:val="24"/>
          <w:szCs w:val="24"/>
          <w:highlight w:val="none"/>
        </w:rPr>
        <w:t>法定代表人身份证明书（格式详见第四章）；</w:t>
      </w:r>
    </w:p>
    <w:p w14:paraId="2E23607F">
      <w:pPr>
        <w:pStyle w:val="5"/>
        <w:tabs>
          <w:tab w:val="left" w:pos="1000"/>
        </w:tabs>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10.1.2授权委托书（如有授权）（格式详见第四章）</w:t>
      </w:r>
      <w:r>
        <w:rPr>
          <w:rFonts w:hint="eastAsia" w:ascii="仿宋" w:hAnsi="仿宋" w:eastAsia="仿宋" w:cs="仿宋"/>
          <w:bCs/>
          <w:color w:val="auto"/>
          <w:sz w:val="24"/>
          <w:szCs w:val="24"/>
          <w:highlight w:val="none"/>
        </w:rPr>
        <w:t>；</w:t>
      </w:r>
    </w:p>
    <w:p w14:paraId="163BA6B4">
      <w:pPr>
        <w:pStyle w:val="5"/>
        <w:tabs>
          <w:tab w:val="left" w:pos="1000"/>
        </w:tabs>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10.1.3</w:t>
      </w:r>
      <w:r>
        <w:rPr>
          <w:rFonts w:hint="eastAsia" w:ascii="仿宋" w:hAnsi="仿宋" w:eastAsia="仿宋" w:cs="仿宋"/>
          <w:color w:val="auto"/>
          <w:sz w:val="24"/>
          <w:highlight w:val="none"/>
          <w:lang w:val="zh-CN"/>
        </w:rPr>
        <w:t>有效的企业营业执照（副本）</w:t>
      </w:r>
      <w:r>
        <w:rPr>
          <w:rFonts w:hint="eastAsia" w:ascii="仿宋" w:hAnsi="仿宋" w:eastAsia="仿宋" w:cs="仿宋"/>
          <w:bCs/>
          <w:color w:val="auto"/>
          <w:sz w:val="24"/>
          <w:szCs w:val="24"/>
          <w:highlight w:val="none"/>
        </w:rPr>
        <w:t>；</w:t>
      </w:r>
    </w:p>
    <w:p w14:paraId="0AB1635D">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10.1.4</w:t>
      </w:r>
      <w:r>
        <w:rPr>
          <w:rFonts w:hint="eastAsia" w:ascii="仿宋" w:hAnsi="仿宋" w:eastAsia="仿宋" w:cs="仿宋"/>
          <w:color w:val="auto"/>
          <w:sz w:val="24"/>
          <w:highlight w:val="none"/>
          <w:lang w:val="zh-CN"/>
        </w:rPr>
        <w:t>有效的企业资质证书（副本）；</w:t>
      </w:r>
      <w:r>
        <w:rPr>
          <w:rFonts w:hint="eastAsia" w:ascii="仿宋" w:hAnsi="仿宋" w:eastAsia="仿宋" w:cs="仿宋"/>
          <w:bCs/>
          <w:color w:val="auto"/>
          <w:sz w:val="24"/>
          <w:szCs w:val="24"/>
          <w:highlight w:val="none"/>
        </w:rPr>
        <w:t>（为</w:t>
      </w:r>
      <w:r>
        <w:rPr>
          <w:rFonts w:hint="eastAsia" w:ascii="仿宋" w:hAnsi="仿宋" w:eastAsia="仿宋" w:cs="仿宋"/>
          <w:color w:val="auto"/>
          <w:kern w:val="0"/>
          <w:sz w:val="24"/>
          <w:highlight w:val="none"/>
        </w:rPr>
        <w:t>社会消防技术服务信息系统中消防设施维护保养检测类企业，以“社会消防技术服务信息系统”网站截图为准；</w:t>
      </w:r>
    </w:p>
    <w:p w14:paraId="3836A10F">
      <w:pPr>
        <w:pStyle w:val="77"/>
        <w:spacing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rPr>
        <w:t>10.1.5</w:t>
      </w:r>
      <w:r>
        <w:rPr>
          <w:rFonts w:hint="eastAsia" w:ascii="仿宋" w:hAnsi="仿宋" w:eastAsia="仿宋" w:cs="仿宋"/>
          <w:color w:val="auto"/>
          <w:sz w:val="24"/>
          <w:highlight w:val="none"/>
        </w:rPr>
        <w:t>拟派项目负责人具有消防工程师执业资格证书且为投标企业正式人员（</w:t>
      </w:r>
      <w:r>
        <w:rPr>
          <w:rFonts w:hint="eastAsia" w:ascii="仿宋" w:hAnsi="仿宋" w:eastAsia="仿宋" w:cs="仿宋"/>
          <w:bCs/>
          <w:color w:val="auto"/>
          <w:sz w:val="24"/>
          <w:highlight w:val="none"/>
        </w:rPr>
        <w:t>必须提供：（提供有效证书复印件、与投标企业签订的有效劳动合同书</w:t>
      </w:r>
      <w:r>
        <w:rPr>
          <w:rFonts w:hint="eastAsia" w:ascii="仿宋" w:hAnsi="仿宋" w:eastAsia="仿宋" w:cs="仿宋"/>
          <w:color w:val="auto"/>
          <w:sz w:val="24"/>
          <w:highlight w:val="none"/>
        </w:rPr>
        <w:t>）；</w:t>
      </w:r>
    </w:p>
    <w:p w14:paraId="5DF6AF3A">
      <w:pPr>
        <w:pStyle w:val="5"/>
        <w:tabs>
          <w:tab w:val="left" w:pos="10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10.1.6投标人认为必要的其他资料。</w:t>
      </w:r>
    </w:p>
    <w:p w14:paraId="04904A57">
      <w:pPr>
        <w:pStyle w:val="5"/>
        <w:tabs>
          <w:tab w:val="left" w:pos="1000"/>
        </w:tabs>
        <w:snapToGrid w:val="0"/>
        <w:spacing w:line="360" w:lineRule="auto"/>
        <w:ind w:firstLine="482" w:firstLineChars="200"/>
        <w:rPr>
          <w:rFonts w:hint="eastAsia" w:ascii="仿宋" w:hAnsi="仿宋" w:eastAsia="仿宋" w:cs="仿宋"/>
          <w:b/>
          <w:bCs/>
          <w:color w:val="auto"/>
          <w:sz w:val="24"/>
          <w:szCs w:val="24"/>
          <w:highlight w:val="none"/>
          <w:u w:val="wave"/>
        </w:rPr>
      </w:pPr>
      <w:r>
        <w:rPr>
          <w:rFonts w:hint="eastAsia" w:ascii="仿宋" w:hAnsi="仿宋" w:eastAsia="仿宋" w:cs="仿宋"/>
          <w:b/>
          <w:bCs/>
          <w:color w:val="auto"/>
          <w:sz w:val="24"/>
          <w:szCs w:val="24"/>
          <w:highlight w:val="none"/>
          <w:u w:val="wave"/>
        </w:rPr>
        <w:t>以上所有复印件均需加盖投标单位公章,</w:t>
      </w:r>
      <w:r>
        <w:rPr>
          <w:rFonts w:hint="eastAsia" w:ascii="仿宋" w:hAnsi="仿宋" w:eastAsia="仿宋" w:cs="仿宋"/>
          <w:b/>
          <w:color w:val="auto"/>
          <w:sz w:val="24"/>
          <w:highlight w:val="none"/>
          <w:u w:val="wave"/>
        </w:rPr>
        <w:t>原件须携带至开标现场，以便</w:t>
      </w:r>
      <w:r>
        <w:rPr>
          <w:rFonts w:hint="eastAsia" w:ascii="仿宋" w:hAnsi="仿宋" w:eastAsia="仿宋" w:cs="仿宋"/>
          <w:b/>
          <w:color w:val="auto"/>
          <w:sz w:val="24"/>
          <w:highlight w:val="none"/>
          <w:u w:val="wave"/>
          <w:lang w:val="en-US" w:eastAsia="zh-CN"/>
        </w:rPr>
        <w:t>备查</w:t>
      </w:r>
      <w:r>
        <w:rPr>
          <w:rFonts w:hint="eastAsia" w:ascii="仿宋" w:hAnsi="仿宋" w:eastAsia="仿宋" w:cs="仿宋"/>
          <w:b/>
          <w:color w:val="auto"/>
          <w:sz w:val="24"/>
          <w:highlight w:val="none"/>
          <w:u w:val="wave"/>
        </w:rPr>
        <w:t>。</w:t>
      </w:r>
    </w:p>
    <w:p w14:paraId="167C9C9E">
      <w:pPr>
        <w:snapToGrid w:val="0"/>
        <w:spacing w:line="360" w:lineRule="auto"/>
        <w:ind w:firstLine="482" w:firstLineChars="200"/>
        <w:rPr>
          <w:rFonts w:hint="eastAsia" w:ascii="仿宋" w:hAnsi="仿宋" w:eastAsia="仿宋" w:cs="仿宋"/>
          <w:b/>
          <w:color w:val="auto"/>
          <w:sz w:val="24"/>
          <w:highlight w:val="none"/>
          <w:u w:val="wave"/>
        </w:rPr>
      </w:pPr>
      <w:r>
        <w:rPr>
          <w:rFonts w:hint="eastAsia" w:ascii="仿宋" w:hAnsi="仿宋" w:eastAsia="仿宋" w:cs="仿宋"/>
          <w:b/>
          <w:color w:val="auto"/>
          <w:sz w:val="24"/>
          <w:highlight w:val="none"/>
          <w:u w:val="wave"/>
        </w:rPr>
        <w:t>未尽之处具体详见第五章“评标办法”中的“资格审查标准汇总表”。提供的资格审查材料及审查标准，前后矛盾的以《资格审查标准汇总表》为准。</w:t>
      </w:r>
    </w:p>
    <w:p w14:paraId="0137EF3A">
      <w:pPr>
        <w:pStyle w:val="5"/>
        <w:tabs>
          <w:tab w:val="left" w:pos="1000"/>
        </w:tabs>
        <w:snapToGrid w:val="0"/>
        <w:spacing w:line="36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10.2</w:t>
      </w:r>
      <w:r>
        <w:rPr>
          <w:rFonts w:hint="eastAsia" w:ascii="仿宋" w:hAnsi="仿宋" w:eastAsia="仿宋" w:cs="仿宋"/>
          <w:b/>
          <w:bCs/>
          <w:color w:val="auto"/>
          <w:sz w:val="24"/>
          <w:szCs w:val="24"/>
          <w:highlight w:val="none"/>
          <w:lang w:val="en-US" w:eastAsia="zh-CN"/>
        </w:rPr>
        <w:t>价格</w:t>
      </w:r>
      <w:r>
        <w:rPr>
          <w:rFonts w:hint="eastAsia" w:ascii="仿宋" w:hAnsi="仿宋" w:eastAsia="仿宋" w:cs="仿宋"/>
          <w:b/>
          <w:bCs/>
          <w:color w:val="auto"/>
          <w:sz w:val="24"/>
          <w:szCs w:val="24"/>
          <w:highlight w:val="none"/>
        </w:rPr>
        <w:t>标文件应包括下列内容</w:t>
      </w:r>
      <w:r>
        <w:rPr>
          <w:rFonts w:hint="eastAsia" w:ascii="仿宋" w:hAnsi="仿宋" w:eastAsia="仿宋" w:cs="仿宋"/>
          <w:bCs/>
          <w:color w:val="auto"/>
          <w:sz w:val="24"/>
          <w:szCs w:val="24"/>
          <w:highlight w:val="none"/>
        </w:rPr>
        <w:t>：</w:t>
      </w:r>
    </w:p>
    <w:p w14:paraId="737855ED">
      <w:pPr>
        <w:pStyle w:val="5"/>
        <w:tabs>
          <w:tab w:val="left" w:pos="1000"/>
        </w:tabs>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10.2.1投标函（格式详见第四章）</w:t>
      </w:r>
    </w:p>
    <w:p w14:paraId="39F56333">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11、投标保证金</w:t>
      </w:r>
    </w:p>
    <w:p w14:paraId="57EE320D">
      <w:pPr>
        <w:spacing w:line="360" w:lineRule="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11.1投标人必须按照前附表规定于投标文件提交截止时间前将投标保证金缴纳凭证和基本账户开户许可证复印件（加盖单位公章）或《基本存款账户信息》复印件（加盖单位公章）交给招标代理查验；</w:t>
      </w:r>
    </w:p>
    <w:p w14:paraId="2F412436">
      <w:pPr>
        <w:spacing w:line="360" w:lineRule="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（1）如投标保证金采用银行汇票形式，须同时递交投标保证金银行汇票原件（无须密封）和基本账户开户许可证（或基本存款账户信息）复印件供招标人代表查验，否则其投标文件不予接收。</w:t>
      </w:r>
    </w:p>
    <w:p w14:paraId="1F8CED23">
      <w:pPr>
        <w:spacing w:line="360" w:lineRule="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投标保证金（银行汇票形式）上必须注明收款人</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用途</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投标保证金</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汇款人</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投标单位名称。（帐户名：苏州新一造价师价格事务所有限公司第一分公司，开户行：中国工商银行股份有限公司南通城山路支行，账号：1111821709100319823）。中标单位的投标保证金有效期在投标截止日后60天内有效；</w:t>
      </w:r>
    </w:p>
    <w:p w14:paraId="424B09F4">
      <w:pPr>
        <w:spacing w:line="360" w:lineRule="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如投标保证金采用银行保函形式，须同时提供：①银行保函原件（无须密封）、②基本账户开户许可证（或基本存款账户信息）复印件（无须密封）、③保函费用由投标人基本账户汇出的证明（无须密封），否则其投标文件不予接收。投标保证金（银行保函）开具对象为</w:t>
      </w:r>
      <w:r>
        <w:rPr>
          <w:rFonts w:hint="eastAsia" w:ascii="仿宋" w:hAnsi="仿宋" w:eastAsia="仿宋" w:cs="仿宋"/>
          <w:b w:val="0"/>
          <w:bCs w:val="0"/>
          <w:color w:val="auto"/>
          <w:sz w:val="24"/>
          <w:highlight w:val="none"/>
          <w:u w:val="single"/>
        </w:rPr>
        <w:t>苏州新一造价师价格事务所有限公司第一分公司</w:t>
      </w:r>
      <w:r>
        <w:rPr>
          <w:rFonts w:hint="eastAsia" w:ascii="仿宋" w:hAnsi="仿宋" w:eastAsia="仿宋" w:cs="仿宋"/>
          <w:b w:val="0"/>
          <w:bCs w:val="0"/>
          <w:color w:val="auto"/>
          <w:sz w:val="24"/>
          <w:highlight w:val="none"/>
        </w:rPr>
        <w:t>。保函上显示的投保项目名称须为本项目（如保函上显示项目名称）。投标保函上投保的投标保证金须在投标有效期内持续有效。投标保函须为银行保函（见索即付，具体格式详见招标文件内“附件：见索即付投标保函”），投标保证金银行保函应由投标人基本账户所在网点的当地银行或其上级银行机构出具。</w:t>
      </w:r>
    </w:p>
    <w:p w14:paraId="03DF0009">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特别提醒：</w:t>
      </w:r>
    </w:p>
    <w:p w14:paraId="07592226">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（1）本</w:t>
      </w:r>
      <w:r>
        <w:rPr>
          <w:rFonts w:hint="eastAsia" w:ascii="仿宋" w:hAnsi="仿宋" w:eastAsia="仿宋" w:cs="仿宋"/>
          <w:b/>
          <w:color w:val="auto"/>
          <w:sz w:val="24"/>
          <w:highlight w:val="none"/>
          <w:lang w:val="en-US" w:eastAsia="zh-CN"/>
        </w:rPr>
        <w:t>项目</w:t>
      </w:r>
      <w:r>
        <w:rPr>
          <w:rFonts w:hint="eastAsia" w:ascii="仿宋" w:hAnsi="仿宋" w:eastAsia="仿宋" w:cs="仿宋"/>
          <w:b/>
          <w:color w:val="auto"/>
          <w:sz w:val="24"/>
          <w:highlight w:val="none"/>
        </w:rPr>
        <w:t>投标保证金的形式为银行汇票或银行保函</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转账</w:t>
      </w:r>
      <w:r>
        <w:rPr>
          <w:rFonts w:hint="eastAsia" w:ascii="仿宋" w:hAnsi="仿宋" w:eastAsia="仿宋" w:cs="仿宋"/>
          <w:b/>
          <w:color w:val="auto"/>
          <w:sz w:val="24"/>
          <w:highlight w:val="none"/>
        </w:rPr>
        <w:t>形式。</w:t>
      </w:r>
    </w:p>
    <w:p w14:paraId="01A0EFEE">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（2）保证金形式，收款人、用途、汇款人、银行保函格式、银行保函开具对象等必须符合招标文件规定，否则其投标文件不予接收。</w:t>
      </w:r>
    </w:p>
    <w:p w14:paraId="7DDD2621">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各投标人必须以企业法人基本存款账户办理保证金缴纳手续，否则其投标文件不予接收。若投标保证金缴纳方式为见索即付银行保函的，银行保函应由投标人基本账户所在网点的当地银行或其上级银行机构出具，保函中应明确投标项目，担保金额、受益人、保证人、被保证人等具体内容。保函费用必须由投标人基本账户汇出。</w:t>
      </w:r>
    </w:p>
    <w:p w14:paraId="2627CC3C">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（4）中标单位的投标保证金有效期在投标截止日后60天内有效，在缴纳履约保证金前，如投标保证金已失效，中标单位应主动延续投标保证金的有效期，否则招标人有权在保证金失效后取消中标人的中标资格</w:t>
      </w:r>
    </w:p>
    <w:p w14:paraId="444B0225">
      <w:pPr>
        <w:spacing w:line="360" w:lineRule="auto"/>
        <w:ind w:left="51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凡出现弄虚作假现象的投标单位，投标保证金一律不予退还。</w:t>
      </w:r>
    </w:p>
    <w:p w14:paraId="3852862C">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11.2 </w:t>
      </w:r>
      <w:r>
        <w:rPr>
          <w:rFonts w:hint="eastAsia" w:ascii="仿宋" w:hAnsi="仿宋" w:eastAsia="仿宋" w:cs="仿宋"/>
          <w:b/>
          <w:bCs/>
          <w:color w:val="auto"/>
          <w:sz w:val="24"/>
          <w:highlight w:val="none"/>
        </w:rPr>
        <w:t>未中标单位的投标保证金在其定标后予以退还。</w:t>
      </w:r>
    </w:p>
    <w:p w14:paraId="3D5EA67F">
      <w:pPr>
        <w:spacing w:line="360" w:lineRule="auto"/>
        <w:ind w:firstLine="480"/>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11.3 </w:t>
      </w:r>
      <w:r>
        <w:rPr>
          <w:rFonts w:hint="eastAsia" w:ascii="仿宋" w:hAnsi="仿宋" w:eastAsia="仿宋" w:cs="仿宋"/>
          <w:b/>
          <w:color w:val="auto"/>
          <w:sz w:val="24"/>
          <w:highlight w:val="none"/>
        </w:rPr>
        <w:t>中标单位的投标保证金在检测服务合同生效后一周内予以退还。</w:t>
      </w:r>
    </w:p>
    <w:p w14:paraId="4308FA4A">
      <w:pPr>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 xml:space="preserve">    11.4投标人在投标有效期内撤回投标文件，投标人的投标保证金不予</w:t>
      </w:r>
      <w:r>
        <w:rPr>
          <w:rFonts w:hint="eastAsia" w:ascii="仿宋" w:hAnsi="仿宋" w:eastAsia="仿宋" w:cs="仿宋"/>
          <w:color w:val="auto"/>
          <w:sz w:val="24"/>
          <w:highlight w:val="none"/>
        </w:rPr>
        <w:t>退还。中标通知书发出后，除不可抗力情况外，中标人出现下列情形之一的，招标人将取消其中标资格，并不予退还其投标保证金：</w:t>
      </w:r>
    </w:p>
    <w:p w14:paraId="07276B33">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11.4.1放弃中标项目的；</w:t>
      </w:r>
    </w:p>
    <w:p w14:paraId="221E0FE9">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11.4.2拒不按照招标文件的要求提交履约保证金的；</w:t>
      </w:r>
    </w:p>
    <w:p w14:paraId="43EAD7DC">
      <w:pPr>
        <w:widowControl/>
        <w:spacing w:line="36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11.4.3不与招标人签订合同的，或者在签订合同时向招标人提出附加条件或者更改合同实质性内容的。</w:t>
      </w:r>
    </w:p>
    <w:p w14:paraId="43BC7EFB">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存在上述11.4行为的，招标人不退还投标保证金并上交国库，参与投标的企业将视为遵守以上处理条款。</w:t>
      </w:r>
    </w:p>
    <w:p w14:paraId="2DCBECA9">
      <w:pPr>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12、投标人应当使用本招标文件提供的投标文件表式，表式可以按同样格式进行扩展。</w:t>
      </w:r>
    </w:p>
    <w:p w14:paraId="7A542863">
      <w:pPr>
        <w:pStyle w:val="5"/>
        <w:tabs>
          <w:tab w:val="left" w:pos="1000"/>
        </w:tabs>
        <w:adjustRightInd w:val="0"/>
        <w:snapToGrid w:val="0"/>
        <w:spacing w:line="360" w:lineRule="auto"/>
        <w:ind w:firstLine="482" w:firstLineChars="20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13、投标文件的要求</w:t>
      </w:r>
    </w:p>
    <w:p w14:paraId="6D8270BE">
      <w:pPr>
        <w:pStyle w:val="5"/>
        <w:tabs>
          <w:tab w:val="left" w:pos="1000"/>
        </w:tabs>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13.1投标文件应使用招标文件第四章所提供的投标文件格式。</w:t>
      </w:r>
    </w:p>
    <w:p w14:paraId="14E0DF01">
      <w:pPr>
        <w:pStyle w:val="5"/>
        <w:tabs>
          <w:tab w:val="left" w:pos="1000"/>
        </w:tabs>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13.2</w:t>
      </w:r>
      <w:r>
        <w:rPr>
          <w:rFonts w:hint="eastAsia" w:ascii="仿宋" w:hAnsi="仿宋" w:eastAsia="仿宋" w:cs="仿宋"/>
          <w:bCs/>
          <w:color w:val="auto"/>
          <w:kern w:val="0"/>
          <w:sz w:val="24"/>
          <w:szCs w:val="24"/>
          <w:highlight w:val="none"/>
        </w:rPr>
        <w:t>投标人不得以他人名义投标，也不得利用伪造、转让、无效或者租借的资质证书参加投标。</w:t>
      </w:r>
    </w:p>
    <w:p w14:paraId="4A8CD4B5">
      <w:pPr>
        <w:pStyle w:val="5"/>
        <w:tabs>
          <w:tab w:val="left" w:pos="1000"/>
        </w:tabs>
        <w:adjustRightInd w:val="0"/>
        <w:snapToGrid w:val="0"/>
        <w:spacing w:line="360" w:lineRule="auto"/>
        <w:ind w:firstLine="482" w:firstLineChars="200"/>
        <w:textAlignment w:val="baseline"/>
        <w:outlineLvl w:val="0"/>
        <w:rPr>
          <w:rFonts w:hint="eastAsia" w:ascii="仿宋" w:hAnsi="仿宋" w:eastAsia="仿宋" w:cs="仿宋"/>
          <w:b/>
          <w:color w:val="auto"/>
          <w:sz w:val="24"/>
          <w:szCs w:val="24"/>
          <w:highlight w:val="none"/>
        </w:rPr>
      </w:pPr>
      <w:bookmarkStart w:id="10" w:name="_Toc2861266"/>
      <w:r>
        <w:rPr>
          <w:rFonts w:hint="eastAsia" w:ascii="仿宋" w:hAnsi="仿宋" w:eastAsia="仿宋" w:cs="仿宋"/>
          <w:b/>
          <w:color w:val="auto"/>
          <w:sz w:val="24"/>
          <w:szCs w:val="24"/>
          <w:highlight w:val="none"/>
        </w:rPr>
        <w:t>14、投标文件的份数和签署</w:t>
      </w:r>
      <w:bookmarkEnd w:id="10"/>
    </w:p>
    <w:p w14:paraId="55251314">
      <w:pPr>
        <w:pStyle w:val="5"/>
        <w:tabs>
          <w:tab w:val="left" w:pos="1000"/>
        </w:tabs>
        <w:snapToGrid w:val="0"/>
        <w:spacing w:line="360" w:lineRule="auto"/>
        <w:ind w:firstLine="480" w:firstLineChars="200"/>
        <w:outlineLvl w:val="0"/>
        <w:rPr>
          <w:rFonts w:hint="eastAsia" w:ascii="仿宋" w:hAnsi="仿宋" w:eastAsia="仿宋" w:cs="仿宋"/>
          <w:bCs/>
          <w:color w:val="auto"/>
          <w:sz w:val="24"/>
          <w:szCs w:val="24"/>
          <w:highlight w:val="none"/>
        </w:rPr>
      </w:pPr>
      <w:bookmarkStart w:id="11" w:name="_Toc2861267"/>
      <w:r>
        <w:rPr>
          <w:rFonts w:hint="eastAsia" w:ascii="仿宋" w:hAnsi="仿宋" w:eastAsia="仿宋" w:cs="仿宋"/>
          <w:bCs/>
          <w:color w:val="auto"/>
          <w:sz w:val="24"/>
          <w:szCs w:val="24"/>
          <w:highlight w:val="none"/>
        </w:rPr>
        <w:t>14.1 投标人应按投标须知前附表第5项规定的套数提交投标文件。</w:t>
      </w:r>
      <w:bookmarkEnd w:id="11"/>
    </w:p>
    <w:p w14:paraId="0B67E0ED">
      <w:pPr>
        <w:pStyle w:val="5"/>
        <w:tabs>
          <w:tab w:val="left" w:pos="1000"/>
        </w:tabs>
        <w:snapToGrid w:val="0"/>
        <w:spacing w:line="360" w:lineRule="auto"/>
        <w:ind w:firstLine="480" w:firstLineChars="200"/>
        <w:outlineLvl w:val="0"/>
        <w:rPr>
          <w:rFonts w:hint="eastAsia" w:ascii="仿宋" w:hAnsi="仿宋" w:eastAsia="仿宋" w:cs="仿宋"/>
          <w:bCs/>
          <w:color w:val="auto"/>
          <w:sz w:val="24"/>
          <w:szCs w:val="24"/>
          <w:highlight w:val="none"/>
        </w:rPr>
      </w:pPr>
      <w:bookmarkStart w:id="12" w:name="_Toc2861268"/>
      <w:r>
        <w:rPr>
          <w:rFonts w:hint="eastAsia" w:ascii="仿宋" w:hAnsi="仿宋" w:eastAsia="仿宋" w:cs="仿宋"/>
          <w:bCs/>
          <w:color w:val="auto"/>
          <w:sz w:val="24"/>
          <w:szCs w:val="24"/>
          <w:highlight w:val="none"/>
        </w:rPr>
        <w:t xml:space="preserve">14.2 投标文件的正本和副本均需打印或使用不褪色的蓝、黑墨水笔书写，字迹应清晰易于辨认，并应在投标文件封面上清楚的注明“正本”或“副本”。正本与副本如有不一致之处，则以正本为准, </w:t>
      </w:r>
      <w:r>
        <w:rPr>
          <w:rFonts w:hint="eastAsia" w:ascii="仿宋" w:hAnsi="仿宋" w:eastAsia="仿宋" w:cs="仿宋"/>
          <w:bCs/>
          <w:snapToGrid w:val="0"/>
          <w:color w:val="auto"/>
          <w:sz w:val="24"/>
          <w:highlight w:val="none"/>
        </w:rPr>
        <w:t>投标人</w:t>
      </w:r>
      <w:r>
        <w:rPr>
          <w:rFonts w:hint="eastAsia" w:ascii="仿宋" w:hAnsi="仿宋" w:eastAsia="仿宋" w:cs="仿宋"/>
          <w:color w:val="auto"/>
          <w:sz w:val="24"/>
          <w:highlight w:val="none"/>
        </w:rPr>
        <w:t>自行承担由此可能产生的风险</w:t>
      </w:r>
      <w:r>
        <w:rPr>
          <w:rFonts w:hint="eastAsia" w:ascii="仿宋" w:hAnsi="仿宋" w:eastAsia="仿宋" w:cs="仿宋"/>
          <w:bCs/>
          <w:color w:val="auto"/>
          <w:sz w:val="24"/>
          <w:szCs w:val="24"/>
          <w:highlight w:val="none"/>
        </w:rPr>
        <w:t>。</w:t>
      </w:r>
      <w:bookmarkEnd w:id="12"/>
    </w:p>
    <w:p w14:paraId="2F8EE4C9">
      <w:pPr>
        <w:pStyle w:val="5"/>
        <w:tabs>
          <w:tab w:val="left" w:pos="1000"/>
        </w:tabs>
        <w:snapToGrid w:val="0"/>
        <w:spacing w:line="360" w:lineRule="auto"/>
        <w:ind w:firstLine="480" w:firstLineChars="200"/>
        <w:outlineLvl w:val="0"/>
        <w:rPr>
          <w:rFonts w:hint="eastAsia" w:ascii="仿宋" w:hAnsi="仿宋" w:eastAsia="仿宋" w:cs="仿宋"/>
          <w:bCs/>
          <w:color w:val="auto"/>
          <w:sz w:val="24"/>
          <w:szCs w:val="24"/>
          <w:highlight w:val="none"/>
        </w:rPr>
      </w:pPr>
      <w:bookmarkStart w:id="13" w:name="_Toc2861269"/>
      <w:r>
        <w:rPr>
          <w:rFonts w:hint="eastAsia" w:ascii="仿宋" w:hAnsi="仿宋" w:eastAsia="仿宋" w:cs="仿宋"/>
          <w:bCs/>
          <w:snapToGrid w:val="0"/>
          <w:color w:val="auto"/>
          <w:sz w:val="24"/>
          <w:highlight w:val="none"/>
        </w:rPr>
        <w:t>14.3 投标文件应按招标文件第四章投标文件格式的规定填写、签字、盖章。</w:t>
      </w:r>
      <w:bookmarkEnd w:id="13"/>
    </w:p>
    <w:p w14:paraId="5BFDDB37">
      <w:pPr>
        <w:pStyle w:val="5"/>
        <w:tabs>
          <w:tab w:val="left" w:pos="1000"/>
        </w:tabs>
        <w:snapToGrid w:val="0"/>
        <w:spacing w:line="360" w:lineRule="auto"/>
        <w:ind w:firstLine="480" w:firstLineChars="200"/>
        <w:outlineLvl w:val="0"/>
        <w:rPr>
          <w:rFonts w:hint="eastAsia" w:ascii="仿宋" w:hAnsi="仿宋" w:eastAsia="仿宋" w:cs="仿宋"/>
          <w:bCs/>
          <w:color w:val="auto"/>
          <w:sz w:val="24"/>
          <w:szCs w:val="24"/>
          <w:highlight w:val="none"/>
        </w:rPr>
      </w:pPr>
      <w:bookmarkStart w:id="14" w:name="_Toc2861270"/>
      <w:r>
        <w:rPr>
          <w:rFonts w:hint="eastAsia" w:ascii="仿宋" w:hAnsi="仿宋" w:eastAsia="仿宋" w:cs="仿宋"/>
          <w:bCs/>
          <w:color w:val="auto"/>
          <w:sz w:val="24"/>
          <w:szCs w:val="24"/>
          <w:highlight w:val="none"/>
        </w:rPr>
        <w:t>14.4 全套投标文件应无涂改或行间插字和增删，如有修改，修改之处均应盖投标人</w:t>
      </w:r>
      <w:r>
        <w:rPr>
          <w:rFonts w:hint="eastAsia" w:ascii="仿宋" w:hAnsi="仿宋" w:eastAsia="仿宋" w:cs="仿宋"/>
          <w:bCs/>
          <w:snapToGrid w:val="0"/>
          <w:color w:val="auto"/>
          <w:sz w:val="24"/>
          <w:highlight w:val="none"/>
        </w:rPr>
        <w:t>法人章</w:t>
      </w:r>
      <w:r>
        <w:rPr>
          <w:rFonts w:hint="eastAsia" w:ascii="仿宋" w:hAnsi="仿宋" w:eastAsia="仿宋" w:cs="仿宋"/>
          <w:bCs/>
          <w:color w:val="auto"/>
          <w:sz w:val="24"/>
          <w:szCs w:val="24"/>
          <w:highlight w:val="none"/>
        </w:rPr>
        <w:t>。</w:t>
      </w:r>
      <w:bookmarkEnd w:id="14"/>
    </w:p>
    <w:p w14:paraId="090547E4">
      <w:pPr>
        <w:tabs>
          <w:tab w:val="left" w:pos="1784"/>
        </w:tabs>
        <w:snapToGrid w:val="0"/>
        <w:spacing w:line="360" w:lineRule="auto"/>
        <w:jc w:val="center"/>
        <w:rPr>
          <w:rFonts w:hint="eastAsia" w:ascii="仿宋" w:hAnsi="仿宋" w:eastAsia="仿宋" w:cs="仿宋"/>
          <w:b/>
          <w:color w:val="auto"/>
          <w:sz w:val="36"/>
          <w:highlight w:val="none"/>
        </w:rPr>
      </w:pPr>
      <w:r>
        <w:rPr>
          <w:rFonts w:hint="eastAsia" w:ascii="仿宋" w:hAnsi="仿宋" w:eastAsia="仿宋" w:cs="仿宋"/>
          <w:b/>
          <w:color w:val="auto"/>
          <w:sz w:val="32"/>
          <w:highlight w:val="none"/>
        </w:rPr>
        <w:t>（五）投标文件的递交</w:t>
      </w:r>
    </w:p>
    <w:p w14:paraId="0E09E61D">
      <w:pPr>
        <w:pStyle w:val="5"/>
        <w:tabs>
          <w:tab w:val="left" w:pos="1000"/>
        </w:tabs>
        <w:adjustRightInd w:val="0"/>
        <w:snapToGrid w:val="0"/>
        <w:spacing w:line="360" w:lineRule="auto"/>
        <w:ind w:firstLine="482" w:firstLineChars="200"/>
        <w:textAlignment w:val="baseline"/>
        <w:outlineLvl w:val="0"/>
        <w:rPr>
          <w:rFonts w:hint="eastAsia" w:ascii="仿宋" w:hAnsi="仿宋" w:eastAsia="仿宋" w:cs="仿宋"/>
          <w:b/>
          <w:color w:val="auto"/>
          <w:sz w:val="24"/>
          <w:szCs w:val="24"/>
          <w:highlight w:val="none"/>
        </w:rPr>
      </w:pPr>
      <w:bookmarkStart w:id="15" w:name="_Toc2861271"/>
      <w:r>
        <w:rPr>
          <w:rFonts w:hint="eastAsia" w:ascii="仿宋" w:hAnsi="仿宋" w:eastAsia="仿宋" w:cs="仿宋"/>
          <w:b/>
          <w:color w:val="auto"/>
          <w:sz w:val="24"/>
          <w:szCs w:val="24"/>
          <w:highlight w:val="none"/>
        </w:rPr>
        <w:t>15、投标文件的装订、包封、密封和标志</w:t>
      </w:r>
      <w:bookmarkEnd w:id="15"/>
    </w:p>
    <w:p w14:paraId="36C8E585">
      <w:pPr>
        <w:pStyle w:val="5"/>
        <w:tabs>
          <w:tab w:val="left" w:pos="1000"/>
        </w:tabs>
        <w:snapToGrid w:val="0"/>
        <w:spacing w:line="360" w:lineRule="auto"/>
        <w:ind w:firstLine="480" w:firstLineChars="200"/>
        <w:outlineLvl w:val="0"/>
        <w:rPr>
          <w:rFonts w:hint="eastAsia" w:ascii="仿宋" w:hAnsi="仿宋" w:eastAsia="仿宋" w:cs="仿宋"/>
          <w:bCs/>
          <w:color w:val="auto"/>
          <w:sz w:val="24"/>
          <w:szCs w:val="24"/>
          <w:highlight w:val="none"/>
        </w:rPr>
      </w:pPr>
      <w:bookmarkStart w:id="16" w:name="_Toc2861272"/>
      <w:r>
        <w:rPr>
          <w:rFonts w:hint="eastAsia" w:ascii="仿宋" w:hAnsi="仿宋" w:eastAsia="仿宋" w:cs="仿宋"/>
          <w:bCs/>
          <w:color w:val="auto"/>
          <w:sz w:val="24"/>
          <w:szCs w:val="24"/>
          <w:highlight w:val="none"/>
        </w:rPr>
        <w:t>15.1投标文件的</w:t>
      </w:r>
      <w:r>
        <w:rPr>
          <w:rFonts w:hint="eastAsia" w:ascii="仿宋" w:hAnsi="仿宋" w:eastAsia="仿宋" w:cs="仿宋"/>
          <w:b/>
          <w:bCs/>
          <w:color w:val="auto"/>
          <w:sz w:val="24"/>
          <w:szCs w:val="24"/>
          <w:highlight w:val="none"/>
        </w:rPr>
        <w:t>资格审查文件、</w:t>
      </w:r>
      <w:r>
        <w:rPr>
          <w:rFonts w:hint="eastAsia" w:ascii="仿宋" w:hAnsi="仿宋" w:eastAsia="仿宋" w:cs="仿宋"/>
          <w:b/>
          <w:bCs/>
          <w:color w:val="auto"/>
          <w:sz w:val="24"/>
          <w:szCs w:val="24"/>
          <w:highlight w:val="none"/>
          <w:lang w:val="en-US" w:eastAsia="zh-CN"/>
        </w:rPr>
        <w:t>价格</w:t>
      </w:r>
      <w:r>
        <w:rPr>
          <w:rFonts w:hint="eastAsia" w:ascii="仿宋" w:hAnsi="仿宋" w:eastAsia="仿宋" w:cs="仿宋"/>
          <w:b/>
          <w:bCs/>
          <w:color w:val="auto"/>
          <w:sz w:val="24"/>
          <w:szCs w:val="24"/>
          <w:highlight w:val="none"/>
        </w:rPr>
        <w:t>标文件</w:t>
      </w:r>
      <w:r>
        <w:rPr>
          <w:rFonts w:hint="eastAsia" w:ascii="仿宋" w:hAnsi="仿宋" w:eastAsia="仿宋" w:cs="仿宋"/>
          <w:bCs/>
          <w:color w:val="auto"/>
          <w:sz w:val="24"/>
          <w:szCs w:val="24"/>
          <w:highlight w:val="none"/>
        </w:rPr>
        <w:t>须分别单独装订成册分别密封。</w:t>
      </w:r>
      <w:bookmarkEnd w:id="16"/>
    </w:p>
    <w:p w14:paraId="77310253">
      <w:pPr>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资格审查文件、</w:t>
      </w:r>
      <w:r>
        <w:rPr>
          <w:rFonts w:hint="eastAsia" w:ascii="仿宋" w:hAnsi="仿宋" w:eastAsia="仿宋" w:cs="仿宋"/>
          <w:b/>
          <w:bCs/>
          <w:color w:val="auto"/>
          <w:sz w:val="24"/>
          <w:szCs w:val="24"/>
          <w:highlight w:val="none"/>
          <w:lang w:val="en-US" w:eastAsia="zh-CN"/>
        </w:rPr>
        <w:t>价格</w:t>
      </w:r>
      <w:r>
        <w:rPr>
          <w:rFonts w:hint="eastAsia" w:ascii="仿宋" w:hAnsi="仿宋" w:eastAsia="仿宋" w:cs="仿宋"/>
          <w:b/>
          <w:bCs/>
          <w:color w:val="auto"/>
          <w:sz w:val="24"/>
          <w:szCs w:val="24"/>
          <w:highlight w:val="none"/>
        </w:rPr>
        <w:t>标文件均</w:t>
      </w:r>
      <w:r>
        <w:rPr>
          <w:rFonts w:hint="eastAsia" w:ascii="仿宋" w:hAnsi="仿宋" w:eastAsia="仿宋" w:cs="仿宋"/>
          <w:b/>
          <w:color w:val="auto"/>
          <w:sz w:val="24"/>
          <w:szCs w:val="24"/>
          <w:highlight w:val="none"/>
        </w:rPr>
        <w:t>壹式</w:t>
      </w:r>
      <w:r>
        <w:rPr>
          <w:rFonts w:hint="eastAsia" w:ascii="仿宋" w:hAnsi="仿宋" w:eastAsia="仿宋" w:cs="仿宋"/>
          <w:b/>
          <w:color w:val="auto"/>
          <w:sz w:val="24"/>
          <w:szCs w:val="24"/>
          <w:highlight w:val="none"/>
          <w:u w:val="single"/>
        </w:rPr>
        <w:t xml:space="preserve"> 叁 </w:t>
      </w:r>
      <w:r>
        <w:rPr>
          <w:rFonts w:hint="eastAsia" w:ascii="仿宋" w:hAnsi="仿宋" w:eastAsia="仿宋" w:cs="仿宋"/>
          <w:b/>
          <w:color w:val="auto"/>
          <w:sz w:val="24"/>
          <w:szCs w:val="24"/>
          <w:highlight w:val="none"/>
        </w:rPr>
        <w:t>份，其中正本</w:t>
      </w:r>
      <w:r>
        <w:rPr>
          <w:rFonts w:hint="eastAsia" w:ascii="仿宋" w:hAnsi="仿宋" w:eastAsia="仿宋" w:cs="仿宋"/>
          <w:b/>
          <w:color w:val="auto"/>
          <w:sz w:val="24"/>
          <w:szCs w:val="24"/>
          <w:highlight w:val="none"/>
          <w:u w:val="single"/>
        </w:rPr>
        <w:t xml:space="preserve">  壹  </w:t>
      </w:r>
      <w:r>
        <w:rPr>
          <w:rFonts w:hint="eastAsia" w:ascii="仿宋" w:hAnsi="仿宋" w:eastAsia="仿宋" w:cs="仿宋"/>
          <w:b/>
          <w:color w:val="auto"/>
          <w:sz w:val="24"/>
          <w:szCs w:val="24"/>
          <w:highlight w:val="none"/>
        </w:rPr>
        <w:t>份，副本</w:t>
      </w:r>
      <w:r>
        <w:rPr>
          <w:rFonts w:hint="eastAsia" w:ascii="仿宋" w:hAnsi="仿宋" w:eastAsia="仿宋" w:cs="仿宋"/>
          <w:b/>
          <w:color w:val="auto"/>
          <w:sz w:val="24"/>
          <w:szCs w:val="24"/>
          <w:highlight w:val="none"/>
          <w:u w:val="single"/>
        </w:rPr>
        <w:t xml:space="preserve"> 贰 </w:t>
      </w:r>
      <w:r>
        <w:rPr>
          <w:rFonts w:hint="eastAsia" w:ascii="仿宋" w:hAnsi="仿宋" w:eastAsia="仿宋" w:cs="仿宋"/>
          <w:b/>
          <w:color w:val="auto"/>
          <w:sz w:val="24"/>
          <w:szCs w:val="24"/>
          <w:highlight w:val="none"/>
        </w:rPr>
        <w:t>份，并分别标明“正本”或“副本”字样。</w:t>
      </w:r>
    </w:p>
    <w:p w14:paraId="5E5215AD">
      <w:pPr>
        <w:spacing w:line="360" w:lineRule="auto"/>
        <w:ind w:firstLine="470" w:firstLineChars="196"/>
        <w:rPr>
          <w:rFonts w:hint="eastAsia" w:ascii="仿宋" w:hAnsi="仿宋" w:eastAsia="仿宋" w:cs="仿宋"/>
          <w:color w:val="auto"/>
          <w:sz w:val="24"/>
          <w:highlight w:val="none"/>
        </w:rPr>
      </w:pPr>
      <w:bookmarkStart w:id="17" w:name="_Toc2861273"/>
      <w:r>
        <w:rPr>
          <w:rFonts w:hint="eastAsia" w:ascii="仿宋" w:hAnsi="仿宋" w:eastAsia="仿宋" w:cs="仿宋"/>
          <w:bCs/>
          <w:color w:val="auto"/>
          <w:sz w:val="24"/>
          <w:szCs w:val="24"/>
          <w:highlight w:val="none"/>
        </w:rPr>
        <w:t>15.2资格审查文件应装订成册，统一密封包装，</w:t>
      </w:r>
      <w:bookmarkEnd w:id="17"/>
      <w:bookmarkStart w:id="18" w:name="_Toc2861274"/>
      <w:r>
        <w:rPr>
          <w:rFonts w:hint="eastAsia" w:ascii="仿宋" w:hAnsi="仿宋" w:eastAsia="仿宋" w:cs="仿宋"/>
          <w:b/>
          <w:color w:val="auto"/>
          <w:sz w:val="24"/>
          <w:highlight w:val="none"/>
        </w:rPr>
        <w:t xml:space="preserve">并在封袋上加盖投标人单位公章和法定代表人章，另须在封袋上标明“资格审查文件”、同时还要写明招标人名称、项目名称及投标人名称。  </w:t>
      </w:r>
    </w:p>
    <w:p w14:paraId="747A6193">
      <w:pPr>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bCs/>
          <w:color w:val="auto"/>
          <w:sz w:val="24"/>
          <w:szCs w:val="24"/>
          <w:highlight w:val="none"/>
        </w:rPr>
        <w:t>15.3</w:t>
      </w:r>
      <w:r>
        <w:rPr>
          <w:rFonts w:hint="eastAsia" w:ascii="仿宋" w:hAnsi="仿宋" w:eastAsia="仿宋" w:cs="仿宋"/>
          <w:bCs/>
          <w:color w:val="auto"/>
          <w:sz w:val="24"/>
          <w:szCs w:val="24"/>
          <w:highlight w:val="none"/>
          <w:lang w:val="en-US" w:eastAsia="zh-CN"/>
        </w:rPr>
        <w:t>价格</w:t>
      </w:r>
      <w:r>
        <w:rPr>
          <w:rFonts w:hint="eastAsia" w:ascii="仿宋" w:hAnsi="仿宋" w:eastAsia="仿宋" w:cs="仿宋"/>
          <w:bCs/>
          <w:color w:val="auto"/>
          <w:sz w:val="24"/>
          <w:szCs w:val="24"/>
          <w:highlight w:val="none"/>
        </w:rPr>
        <w:t>标文件应装订成册，统一密封包装，</w:t>
      </w:r>
      <w:bookmarkEnd w:id="18"/>
      <w:r>
        <w:rPr>
          <w:rFonts w:hint="eastAsia" w:ascii="仿宋" w:hAnsi="仿宋" w:eastAsia="仿宋" w:cs="仿宋"/>
          <w:b/>
          <w:color w:val="auto"/>
          <w:sz w:val="24"/>
          <w:highlight w:val="none"/>
        </w:rPr>
        <w:t>并在封袋上加盖投标人单位公章和法定代表人章，另须在封袋上标明 “</w:t>
      </w:r>
      <w:r>
        <w:rPr>
          <w:rFonts w:hint="eastAsia" w:ascii="仿宋" w:hAnsi="仿宋" w:eastAsia="仿宋" w:cs="仿宋"/>
          <w:b/>
          <w:color w:val="auto"/>
          <w:sz w:val="24"/>
          <w:highlight w:val="none"/>
          <w:lang w:val="en-US" w:eastAsia="zh-CN"/>
        </w:rPr>
        <w:t>价格</w:t>
      </w:r>
      <w:r>
        <w:rPr>
          <w:rFonts w:hint="eastAsia" w:ascii="仿宋" w:hAnsi="仿宋" w:eastAsia="仿宋" w:cs="仿宋"/>
          <w:b/>
          <w:color w:val="auto"/>
          <w:sz w:val="24"/>
          <w:highlight w:val="none"/>
        </w:rPr>
        <w:t xml:space="preserve">标”同时还要写明招标人名称、项目名称及投标人名称。    </w:t>
      </w:r>
    </w:p>
    <w:p w14:paraId="16212D37">
      <w:pPr>
        <w:pStyle w:val="5"/>
        <w:tabs>
          <w:tab w:val="left" w:pos="1000"/>
        </w:tabs>
        <w:snapToGrid w:val="0"/>
        <w:spacing w:line="360" w:lineRule="auto"/>
        <w:ind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15.4投标人未按上述规定提交投标文件，其投标文件将被拒绝，并退还给投标人。</w:t>
      </w:r>
    </w:p>
    <w:p w14:paraId="37780753">
      <w:pPr>
        <w:pStyle w:val="5"/>
        <w:tabs>
          <w:tab w:val="left" w:pos="1000"/>
        </w:tabs>
        <w:snapToGrid w:val="0"/>
        <w:spacing w:line="360" w:lineRule="auto"/>
        <w:ind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15.5</w:t>
      </w:r>
      <w:r>
        <w:rPr>
          <w:rFonts w:hint="eastAsia" w:ascii="仿宋" w:hAnsi="仿宋" w:eastAsia="仿宋" w:cs="仿宋"/>
          <w:snapToGrid w:val="0"/>
          <w:color w:val="auto"/>
          <w:kern w:val="0"/>
          <w:sz w:val="24"/>
          <w:highlight w:val="none"/>
        </w:rPr>
        <w:t>投标文件正、副本不一致时，以正本为准。</w:t>
      </w:r>
    </w:p>
    <w:p w14:paraId="23074CC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16、投标截止期</w:t>
      </w:r>
    </w:p>
    <w:p w14:paraId="65D68C0F">
      <w:pPr>
        <w:snapToGrid w:val="0"/>
        <w:spacing w:line="360" w:lineRule="auto"/>
        <w:ind w:firstLine="480" w:firstLineChars="200"/>
        <w:rPr>
          <w:rFonts w:hint="eastAsia" w:ascii="仿宋" w:hAnsi="仿宋" w:eastAsia="仿宋" w:cs="仿宋"/>
          <w:color w:val="auto"/>
          <w:spacing w:val="-8"/>
          <w:sz w:val="24"/>
          <w:szCs w:val="24"/>
          <w:highlight w:val="none"/>
        </w:rPr>
      </w:pPr>
      <w:r>
        <w:rPr>
          <w:rFonts w:hint="eastAsia" w:ascii="仿宋" w:hAnsi="仿宋" w:eastAsia="仿宋" w:cs="仿宋"/>
          <w:color w:val="auto"/>
          <w:sz w:val="24"/>
          <w:szCs w:val="24"/>
          <w:highlight w:val="none"/>
        </w:rPr>
        <w:t>16.1</w:t>
      </w:r>
      <w:r>
        <w:rPr>
          <w:rFonts w:hint="eastAsia" w:ascii="仿宋" w:hAnsi="仿宋" w:eastAsia="仿宋" w:cs="仿宋"/>
          <w:color w:val="auto"/>
          <w:spacing w:val="-8"/>
          <w:sz w:val="24"/>
          <w:szCs w:val="24"/>
          <w:highlight w:val="none"/>
        </w:rPr>
        <w:t>投标人应按投标须知前附表第6项规定的时间和地点将投标文件递交到指定地点。</w:t>
      </w:r>
    </w:p>
    <w:p w14:paraId="5DCD8F3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16.2招标人可以按本须知第7条规定以修改通知的方式，酌情延长递交投标文件的截止日期。在上述情况下，招标人与投标人以前的投标截止期方面的全部权力、责任和义务，将适用于延长后新的投标截止期。</w:t>
      </w:r>
    </w:p>
    <w:p w14:paraId="2FF4560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16.3超过投标截止期送达的投标文件将被拒绝并原封退给投标人。</w:t>
      </w:r>
    </w:p>
    <w:p w14:paraId="3112DDB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16.4提交投标文件的投标人少于三个的，招标人将依法重新招标。</w:t>
      </w:r>
    </w:p>
    <w:p w14:paraId="3AE8F83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17、投标文件的修改与撤回</w:t>
      </w:r>
    </w:p>
    <w:p w14:paraId="694078B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17.1投标人可以在递交投标文件以后，在规定的投标截止期之前，以书面形式向招标人递交修改或撤回其投标文件的通知。在投标截止期以后，不得更改投标文件。</w:t>
      </w:r>
    </w:p>
    <w:p w14:paraId="6130DFA9">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17.2投标人的修改或撤回通知，应按本须知第15条规定的要求编制、密封、标志和递交（密封袋上应标明“修改”或“撤回”字样）。</w:t>
      </w:r>
    </w:p>
    <w:p w14:paraId="65EA1D4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17.3投标截止期以后，在投标有效期内，投标人不得撤回其投标文件，否则其投标保证金将被没收。</w:t>
      </w:r>
    </w:p>
    <w:p w14:paraId="6C2F9FEC">
      <w:pPr>
        <w:snapToGrid w:val="0"/>
        <w:spacing w:line="360" w:lineRule="auto"/>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（六）开标、评标、定标</w:t>
      </w:r>
    </w:p>
    <w:p w14:paraId="464C07CE">
      <w:pPr>
        <w:pStyle w:val="5"/>
        <w:tabs>
          <w:tab w:val="left" w:pos="1000"/>
        </w:tabs>
        <w:adjustRightInd w:val="0"/>
        <w:snapToGrid w:val="0"/>
        <w:spacing w:line="360" w:lineRule="auto"/>
        <w:ind w:firstLine="482" w:firstLineChars="200"/>
        <w:jc w:val="left"/>
        <w:textAlignment w:val="baseline"/>
        <w:outlineLvl w:val="0"/>
        <w:rPr>
          <w:rFonts w:hint="eastAsia" w:ascii="仿宋" w:hAnsi="仿宋" w:eastAsia="仿宋" w:cs="仿宋"/>
          <w:b/>
          <w:color w:val="auto"/>
          <w:sz w:val="24"/>
          <w:szCs w:val="24"/>
          <w:highlight w:val="none"/>
        </w:rPr>
      </w:pPr>
      <w:bookmarkStart w:id="19" w:name="_Toc2861276"/>
      <w:r>
        <w:rPr>
          <w:rFonts w:hint="eastAsia" w:ascii="仿宋" w:hAnsi="仿宋" w:eastAsia="仿宋" w:cs="仿宋"/>
          <w:b/>
          <w:color w:val="auto"/>
          <w:sz w:val="24"/>
          <w:szCs w:val="24"/>
          <w:highlight w:val="none"/>
        </w:rPr>
        <w:t>18、开标由招标人或招标代理机构主持，邀请所有投标人参加。各投标人授权委托人</w:t>
      </w:r>
      <w:r>
        <w:rPr>
          <w:rFonts w:hint="eastAsia" w:ascii="仿宋" w:hAnsi="仿宋" w:eastAsia="仿宋" w:cs="仿宋"/>
          <w:b/>
          <w:bCs/>
          <w:color w:val="auto"/>
          <w:kern w:val="0"/>
          <w:sz w:val="24"/>
          <w:szCs w:val="24"/>
          <w:highlight w:val="none"/>
        </w:rPr>
        <w:t>必须携带本人身份证原件和法定代理人授权委托书或法定代表人</w:t>
      </w:r>
      <w:r>
        <w:rPr>
          <w:rFonts w:hint="eastAsia" w:ascii="仿宋" w:hAnsi="仿宋" w:eastAsia="仿宋" w:cs="仿宋"/>
          <w:b/>
          <w:color w:val="auto"/>
          <w:sz w:val="24"/>
          <w:szCs w:val="24"/>
          <w:highlight w:val="none"/>
        </w:rPr>
        <w:t>准时到场参加开标会议，否则作中途退标处理。</w:t>
      </w:r>
      <w:bookmarkEnd w:id="19"/>
    </w:p>
    <w:p w14:paraId="2F444C4D">
      <w:pPr>
        <w:pStyle w:val="5"/>
        <w:tabs>
          <w:tab w:val="left" w:pos="1000"/>
        </w:tabs>
        <w:adjustRightInd w:val="0"/>
        <w:snapToGrid w:val="0"/>
        <w:spacing w:line="360" w:lineRule="auto"/>
        <w:ind w:firstLine="480" w:firstLineChars="200"/>
        <w:jc w:val="left"/>
        <w:textAlignment w:val="baseline"/>
        <w:outlineLvl w:val="0"/>
        <w:rPr>
          <w:rFonts w:hint="eastAsia" w:ascii="仿宋" w:hAnsi="仿宋" w:eastAsia="仿宋" w:cs="仿宋"/>
          <w:color w:val="auto"/>
          <w:sz w:val="24"/>
          <w:szCs w:val="24"/>
          <w:highlight w:val="none"/>
        </w:rPr>
      </w:pPr>
      <w:bookmarkStart w:id="20" w:name="_Toc2861277"/>
      <w:r>
        <w:rPr>
          <w:rFonts w:hint="eastAsia" w:ascii="仿宋" w:hAnsi="仿宋" w:eastAsia="仿宋" w:cs="仿宋"/>
          <w:color w:val="auto"/>
          <w:sz w:val="24"/>
          <w:szCs w:val="24"/>
          <w:highlight w:val="none"/>
        </w:rPr>
        <w:t>19、由投标人或者其推选的代表检查投标文件的密封情况，也可以由招标人委托的公证机构检查并公证。经确认无误签字后，当众启封投标文件及修改文件，并公布投标文件的主要内容。</w:t>
      </w:r>
      <w:bookmarkEnd w:id="20"/>
    </w:p>
    <w:p w14:paraId="00032588">
      <w:pPr>
        <w:pStyle w:val="5"/>
        <w:tabs>
          <w:tab w:val="left" w:pos="356"/>
          <w:tab w:val="left" w:pos="1000"/>
        </w:tabs>
        <w:adjustRightInd w:val="0"/>
        <w:snapToGrid w:val="0"/>
        <w:spacing w:line="360" w:lineRule="auto"/>
        <w:ind w:firstLine="480" w:firstLineChars="200"/>
        <w:jc w:val="left"/>
        <w:textAlignment w:val="baseline"/>
        <w:outlineLvl w:val="0"/>
        <w:rPr>
          <w:rFonts w:hint="eastAsia" w:ascii="仿宋" w:hAnsi="仿宋" w:eastAsia="仿宋" w:cs="仿宋"/>
          <w:color w:val="auto"/>
          <w:sz w:val="24"/>
          <w:szCs w:val="24"/>
          <w:highlight w:val="none"/>
        </w:rPr>
      </w:pPr>
      <w:bookmarkStart w:id="21" w:name="_Toc2861278"/>
      <w:r>
        <w:rPr>
          <w:rFonts w:hint="eastAsia" w:ascii="仿宋" w:hAnsi="仿宋" w:eastAsia="仿宋" w:cs="仿宋"/>
          <w:color w:val="auto"/>
          <w:sz w:val="24"/>
          <w:szCs w:val="24"/>
          <w:highlight w:val="none"/>
        </w:rPr>
        <w:t>20、评标委员会</w:t>
      </w:r>
      <w:bookmarkEnd w:id="21"/>
    </w:p>
    <w:p w14:paraId="7A99AA60">
      <w:pPr>
        <w:pStyle w:val="5"/>
        <w:tabs>
          <w:tab w:val="left" w:pos="1000"/>
        </w:tabs>
        <w:snapToGrid w:val="0"/>
        <w:spacing w:line="360" w:lineRule="auto"/>
        <w:ind w:firstLine="480" w:firstLineChars="200"/>
        <w:jc w:val="left"/>
        <w:outlineLvl w:val="0"/>
        <w:rPr>
          <w:rFonts w:hint="eastAsia" w:ascii="仿宋" w:hAnsi="仿宋" w:eastAsia="仿宋" w:cs="仿宋"/>
          <w:b/>
          <w:color w:val="auto"/>
          <w:sz w:val="24"/>
          <w:szCs w:val="24"/>
          <w:highlight w:val="none"/>
        </w:rPr>
      </w:pPr>
      <w:bookmarkStart w:id="22" w:name="_Toc2861279"/>
      <w:r>
        <w:rPr>
          <w:rFonts w:hint="eastAsia" w:ascii="仿宋" w:hAnsi="仿宋" w:eastAsia="仿宋" w:cs="仿宋"/>
          <w:color w:val="auto"/>
          <w:sz w:val="24"/>
          <w:szCs w:val="24"/>
          <w:highlight w:val="none"/>
        </w:rPr>
        <w:t>评标由招标人依法组建的评标委员会负责。评标委员会由招标人代表，以及有关技术、经济等方面的专家组成。</w:t>
      </w:r>
      <w:bookmarkEnd w:id="22"/>
    </w:p>
    <w:p w14:paraId="0A0FE6D9">
      <w:pPr>
        <w:pStyle w:val="5"/>
        <w:tabs>
          <w:tab w:val="left" w:pos="1000"/>
        </w:tabs>
        <w:adjustRightInd w:val="0"/>
        <w:snapToGrid w:val="0"/>
        <w:spacing w:line="360" w:lineRule="auto"/>
        <w:ind w:firstLine="482" w:firstLineChars="200"/>
        <w:jc w:val="left"/>
        <w:textAlignment w:val="baseline"/>
        <w:outlineLvl w:val="0"/>
        <w:rPr>
          <w:rFonts w:hint="eastAsia" w:ascii="仿宋" w:hAnsi="仿宋" w:eastAsia="仿宋" w:cs="仿宋"/>
          <w:b/>
          <w:color w:val="auto"/>
          <w:sz w:val="24"/>
          <w:szCs w:val="24"/>
          <w:highlight w:val="none"/>
        </w:rPr>
      </w:pPr>
      <w:bookmarkStart w:id="23" w:name="_Toc2861280"/>
      <w:r>
        <w:rPr>
          <w:rFonts w:hint="eastAsia" w:ascii="仿宋" w:hAnsi="仿宋" w:eastAsia="仿宋" w:cs="仿宋"/>
          <w:b/>
          <w:color w:val="auto"/>
          <w:sz w:val="24"/>
          <w:szCs w:val="24"/>
          <w:highlight w:val="none"/>
        </w:rPr>
        <w:t>21、评标方式及评标办法</w:t>
      </w:r>
      <w:bookmarkEnd w:id="23"/>
    </w:p>
    <w:p w14:paraId="7D4DC7F4">
      <w:pPr>
        <w:pStyle w:val="5"/>
        <w:tabs>
          <w:tab w:val="left" w:pos="1000"/>
        </w:tabs>
        <w:snapToGrid w:val="0"/>
        <w:spacing w:line="360" w:lineRule="auto"/>
        <w:ind w:firstLine="480" w:firstLineChars="200"/>
        <w:outlineLvl w:val="0"/>
        <w:rPr>
          <w:rFonts w:hint="eastAsia" w:ascii="仿宋" w:hAnsi="仿宋" w:eastAsia="仿宋" w:cs="仿宋"/>
          <w:color w:val="auto"/>
          <w:sz w:val="24"/>
          <w:szCs w:val="24"/>
          <w:highlight w:val="none"/>
        </w:rPr>
      </w:pPr>
      <w:bookmarkStart w:id="24" w:name="_Toc2861281"/>
      <w:r>
        <w:rPr>
          <w:rFonts w:hint="eastAsia" w:ascii="仿宋" w:hAnsi="仿宋" w:eastAsia="仿宋" w:cs="仿宋"/>
          <w:color w:val="auto"/>
          <w:sz w:val="24"/>
          <w:szCs w:val="24"/>
          <w:highlight w:val="none"/>
        </w:rPr>
        <w:t>评标办法详见“第五章评标办法”。</w:t>
      </w:r>
      <w:bookmarkEnd w:id="24"/>
    </w:p>
    <w:p w14:paraId="746A11D4">
      <w:pPr>
        <w:pStyle w:val="5"/>
        <w:tabs>
          <w:tab w:val="left" w:pos="1000"/>
        </w:tabs>
        <w:adjustRightInd w:val="0"/>
        <w:snapToGrid w:val="0"/>
        <w:spacing w:line="360" w:lineRule="auto"/>
        <w:ind w:firstLine="482" w:firstLineChars="200"/>
        <w:jc w:val="left"/>
        <w:textAlignment w:val="baseline"/>
        <w:outlineLvl w:val="0"/>
        <w:rPr>
          <w:rFonts w:hint="eastAsia" w:ascii="仿宋" w:hAnsi="仿宋" w:eastAsia="仿宋" w:cs="仿宋"/>
          <w:color w:val="auto"/>
          <w:sz w:val="24"/>
          <w:szCs w:val="24"/>
          <w:highlight w:val="none"/>
        </w:rPr>
      </w:pPr>
      <w:bookmarkStart w:id="25" w:name="_Toc2861282"/>
      <w:r>
        <w:rPr>
          <w:rFonts w:hint="eastAsia" w:ascii="仿宋" w:hAnsi="仿宋" w:eastAsia="仿宋" w:cs="仿宋"/>
          <w:b/>
          <w:color w:val="auto"/>
          <w:sz w:val="24"/>
          <w:szCs w:val="24"/>
          <w:highlight w:val="none"/>
        </w:rPr>
        <w:t>22、评标过程保密</w:t>
      </w:r>
      <w:bookmarkEnd w:id="25"/>
    </w:p>
    <w:p w14:paraId="7D9520A5">
      <w:pPr>
        <w:pStyle w:val="5"/>
        <w:tabs>
          <w:tab w:val="left" w:pos="1000"/>
        </w:tabs>
        <w:snapToGrid w:val="0"/>
        <w:spacing w:line="360" w:lineRule="auto"/>
        <w:ind w:firstLine="480" w:firstLineChars="200"/>
        <w:jc w:val="left"/>
        <w:outlineLvl w:val="0"/>
        <w:rPr>
          <w:rFonts w:hint="eastAsia" w:ascii="仿宋" w:hAnsi="仿宋" w:eastAsia="仿宋" w:cs="仿宋"/>
          <w:color w:val="auto"/>
          <w:sz w:val="24"/>
          <w:szCs w:val="24"/>
          <w:highlight w:val="none"/>
        </w:rPr>
      </w:pPr>
      <w:bookmarkStart w:id="26" w:name="_Toc2861283"/>
      <w:r>
        <w:rPr>
          <w:rFonts w:hint="eastAsia" w:ascii="仿宋" w:hAnsi="仿宋" w:eastAsia="仿宋" w:cs="仿宋"/>
          <w:color w:val="auto"/>
          <w:sz w:val="24"/>
          <w:szCs w:val="24"/>
          <w:highlight w:val="none"/>
        </w:rPr>
        <w:t>22.1凡属于对投标文件的审查、澄清、评价和比较的有关资料及有关中标候选人的推荐情况、与评标有关的其他任何情况均应严格保密，都不应泄露。</w:t>
      </w:r>
      <w:bookmarkEnd w:id="26"/>
    </w:p>
    <w:p w14:paraId="4E5C257D">
      <w:pPr>
        <w:pStyle w:val="5"/>
        <w:tabs>
          <w:tab w:val="left" w:pos="1000"/>
        </w:tabs>
        <w:snapToGrid w:val="0"/>
        <w:spacing w:line="360" w:lineRule="auto"/>
        <w:ind w:firstLine="480" w:firstLineChars="200"/>
        <w:outlineLvl w:val="0"/>
        <w:rPr>
          <w:rFonts w:hint="eastAsia" w:ascii="仿宋" w:hAnsi="仿宋" w:eastAsia="仿宋" w:cs="仿宋"/>
          <w:color w:val="auto"/>
          <w:sz w:val="24"/>
          <w:szCs w:val="24"/>
          <w:highlight w:val="none"/>
        </w:rPr>
      </w:pPr>
      <w:bookmarkStart w:id="27" w:name="_Toc2861284"/>
      <w:r>
        <w:rPr>
          <w:rFonts w:hint="eastAsia" w:ascii="仿宋" w:hAnsi="仿宋" w:eastAsia="仿宋" w:cs="仿宋"/>
          <w:color w:val="auto"/>
          <w:sz w:val="24"/>
          <w:szCs w:val="24"/>
          <w:highlight w:val="none"/>
        </w:rPr>
        <w:t>22.2投标人任何试图影响或干扰招标人和评委会的评标活动或授予合同的</w:t>
      </w:r>
      <w:r>
        <w:rPr>
          <w:rFonts w:hint="eastAsia" w:ascii="仿宋" w:hAnsi="仿宋" w:eastAsia="仿宋" w:cs="仿宋"/>
          <w:color w:val="auto"/>
          <w:kern w:val="0"/>
          <w:sz w:val="24"/>
          <w:szCs w:val="24"/>
          <w:highlight w:val="none"/>
        </w:rPr>
        <w:t>行</w:t>
      </w:r>
      <w:r>
        <w:rPr>
          <w:rFonts w:hint="eastAsia" w:ascii="仿宋" w:hAnsi="仿宋" w:eastAsia="仿宋" w:cs="仿宋"/>
          <w:color w:val="auto"/>
          <w:sz w:val="24"/>
          <w:szCs w:val="24"/>
          <w:highlight w:val="none"/>
        </w:rPr>
        <w:t>动，都可能导致其投标被拒绝。</w:t>
      </w:r>
      <w:bookmarkEnd w:id="27"/>
    </w:p>
    <w:p w14:paraId="36296813">
      <w:pPr>
        <w:pStyle w:val="5"/>
        <w:tabs>
          <w:tab w:val="left" w:pos="1000"/>
        </w:tabs>
        <w:snapToGrid w:val="0"/>
        <w:spacing w:line="360" w:lineRule="auto"/>
        <w:ind w:firstLine="480" w:firstLineChars="200"/>
        <w:outlineLvl w:val="0"/>
        <w:rPr>
          <w:rFonts w:hint="eastAsia" w:ascii="仿宋" w:hAnsi="仿宋" w:eastAsia="仿宋" w:cs="仿宋"/>
          <w:color w:val="auto"/>
          <w:sz w:val="24"/>
          <w:szCs w:val="24"/>
          <w:highlight w:val="none"/>
        </w:rPr>
      </w:pPr>
      <w:bookmarkStart w:id="28" w:name="_Toc2861285"/>
      <w:r>
        <w:rPr>
          <w:rFonts w:hint="eastAsia" w:ascii="仿宋" w:hAnsi="仿宋" w:eastAsia="仿宋" w:cs="仿宋"/>
          <w:color w:val="auto"/>
          <w:sz w:val="24"/>
          <w:szCs w:val="24"/>
          <w:highlight w:val="none"/>
        </w:rPr>
        <w:t>22.3中标人确定后，招标人不对未中标人就评标过程以及未能中标的原因做出任何解释。未中标人不得向评委会组成人员或其他有关人员索问评标过程的情况和材料。</w:t>
      </w:r>
      <w:bookmarkEnd w:id="28"/>
    </w:p>
    <w:p w14:paraId="08397B50">
      <w:pPr>
        <w:pStyle w:val="5"/>
        <w:tabs>
          <w:tab w:val="left" w:pos="1000"/>
        </w:tabs>
        <w:adjustRightInd w:val="0"/>
        <w:snapToGrid w:val="0"/>
        <w:spacing w:line="360" w:lineRule="auto"/>
        <w:ind w:firstLine="482" w:firstLineChars="200"/>
        <w:jc w:val="left"/>
        <w:textAlignment w:val="baseline"/>
        <w:outlineLvl w:val="0"/>
        <w:rPr>
          <w:rFonts w:hint="eastAsia" w:ascii="仿宋" w:hAnsi="仿宋" w:eastAsia="仿宋" w:cs="仿宋"/>
          <w:color w:val="auto"/>
          <w:sz w:val="24"/>
          <w:szCs w:val="24"/>
          <w:highlight w:val="none"/>
        </w:rPr>
      </w:pPr>
      <w:bookmarkStart w:id="29" w:name="_Toc2861286"/>
      <w:r>
        <w:rPr>
          <w:rFonts w:hint="eastAsia" w:ascii="仿宋" w:hAnsi="仿宋" w:eastAsia="仿宋" w:cs="仿宋"/>
          <w:b/>
          <w:color w:val="auto"/>
          <w:sz w:val="24"/>
          <w:szCs w:val="24"/>
          <w:highlight w:val="none"/>
        </w:rPr>
        <w:t>23、投标文件的澄清</w:t>
      </w:r>
      <w:bookmarkEnd w:id="29"/>
    </w:p>
    <w:p w14:paraId="318F767C">
      <w:pPr>
        <w:pStyle w:val="5"/>
        <w:tabs>
          <w:tab w:val="left" w:pos="1000"/>
        </w:tabs>
        <w:snapToGrid w:val="0"/>
        <w:spacing w:line="360" w:lineRule="auto"/>
        <w:ind w:firstLine="480" w:firstLineChars="200"/>
        <w:outlineLvl w:val="0"/>
        <w:rPr>
          <w:rFonts w:hint="eastAsia" w:ascii="仿宋" w:hAnsi="仿宋" w:eastAsia="仿宋" w:cs="仿宋"/>
          <w:color w:val="auto"/>
          <w:sz w:val="24"/>
          <w:szCs w:val="24"/>
          <w:highlight w:val="none"/>
        </w:rPr>
      </w:pPr>
      <w:bookmarkStart w:id="30" w:name="_Toc2861287"/>
      <w:r>
        <w:rPr>
          <w:rFonts w:hint="eastAsia" w:ascii="仿宋" w:hAnsi="仿宋" w:eastAsia="仿宋" w:cs="仿宋"/>
          <w:color w:val="auto"/>
          <w:sz w:val="24"/>
          <w:szCs w:val="24"/>
          <w:highlight w:val="none"/>
        </w:rPr>
        <w:t>在评标过程中，评标委员会认为需要，可以书面形式要求投标人对投标文件中的有关问题进行澄清或提供补充说明及有关资料，有关澄清的要求与答复应采用书面形式，但不应寻求、提出或允许更改投标价格或投标文件的实质性内容。若投标人拒绝回答评标委员会提出的问题，则视为不响应招标文件要求。</w:t>
      </w:r>
      <w:bookmarkEnd w:id="30"/>
    </w:p>
    <w:p w14:paraId="45B3857C">
      <w:pPr>
        <w:pStyle w:val="5"/>
        <w:tabs>
          <w:tab w:val="left" w:pos="1000"/>
        </w:tabs>
        <w:adjustRightInd w:val="0"/>
        <w:snapToGrid w:val="0"/>
        <w:spacing w:line="360" w:lineRule="auto"/>
        <w:ind w:firstLine="482" w:firstLineChars="200"/>
        <w:jc w:val="left"/>
        <w:textAlignment w:val="baseline"/>
        <w:outlineLvl w:val="0"/>
        <w:rPr>
          <w:rFonts w:hint="eastAsia" w:ascii="仿宋" w:hAnsi="仿宋" w:eastAsia="仿宋" w:cs="仿宋"/>
          <w:b/>
          <w:color w:val="auto"/>
          <w:sz w:val="24"/>
          <w:szCs w:val="24"/>
          <w:highlight w:val="none"/>
        </w:rPr>
      </w:pPr>
      <w:bookmarkStart w:id="31" w:name="_Toc2861288"/>
      <w:r>
        <w:rPr>
          <w:rFonts w:hint="eastAsia" w:ascii="仿宋" w:hAnsi="仿宋" w:eastAsia="仿宋" w:cs="仿宋"/>
          <w:b/>
          <w:color w:val="auto"/>
          <w:sz w:val="24"/>
          <w:szCs w:val="24"/>
          <w:highlight w:val="none"/>
        </w:rPr>
        <w:t>24、投标文件的响应性</w:t>
      </w:r>
      <w:bookmarkEnd w:id="31"/>
    </w:p>
    <w:p w14:paraId="3F10F281">
      <w:pPr>
        <w:pStyle w:val="5"/>
        <w:tabs>
          <w:tab w:val="left" w:pos="1000"/>
        </w:tabs>
        <w:snapToGrid w:val="0"/>
        <w:spacing w:line="360" w:lineRule="auto"/>
        <w:ind w:firstLine="480" w:firstLineChars="200"/>
        <w:jc w:val="left"/>
        <w:outlineLvl w:val="0"/>
        <w:rPr>
          <w:rFonts w:hint="eastAsia" w:ascii="仿宋" w:hAnsi="仿宋" w:eastAsia="仿宋" w:cs="仿宋"/>
          <w:color w:val="auto"/>
          <w:sz w:val="24"/>
          <w:szCs w:val="24"/>
          <w:highlight w:val="none"/>
        </w:rPr>
      </w:pPr>
      <w:bookmarkStart w:id="32" w:name="_Toc2861289"/>
      <w:r>
        <w:rPr>
          <w:rFonts w:hint="eastAsia" w:ascii="仿宋" w:hAnsi="仿宋" w:eastAsia="仿宋" w:cs="仿宋"/>
          <w:color w:val="auto"/>
          <w:sz w:val="24"/>
          <w:szCs w:val="24"/>
          <w:highlight w:val="none"/>
        </w:rPr>
        <w:t>24.1评标时，招标人将评定每份投标文件是否在实质上响应了招标文件的要求。所谓实质上响应，是指投标文件应与招标文件的所有实质条款、条件和要求相符，无显著差异或保留，或者纠正这些显著差异或保留将不会对其他实质上响应招标文件要求的投标文件的投标人的竞争地位产生不公正的影响；对合同中约定的招标人的权利和投标人的义务方面不造成重大的限制。</w:t>
      </w:r>
      <w:bookmarkEnd w:id="32"/>
    </w:p>
    <w:p w14:paraId="225C3E5C">
      <w:pPr>
        <w:pStyle w:val="5"/>
        <w:tabs>
          <w:tab w:val="left" w:pos="1000"/>
        </w:tabs>
        <w:snapToGrid w:val="0"/>
        <w:spacing w:line="360" w:lineRule="auto"/>
        <w:ind w:firstLine="480" w:firstLineChars="200"/>
        <w:jc w:val="left"/>
        <w:outlineLvl w:val="0"/>
        <w:rPr>
          <w:rFonts w:hint="eastAsia" w:ascii="仿宋" w:hAnsi="仿宋" w:eastAsia="仿宋" w:cs="仿宋"/>
          <w:color w:val="auto"/>
          <w:sz w:val="24"/>
          <w:szCs w:val="24"/>
          <w:highlight w:val="none"/>
        </w:rPr>
      </w:pPr>
      <w:bookmarkStart w:id="33" w:name="_Toc2861290"/>
      <w:r>
        <w:rPr>
          <w:rFonts w:hint="eastAsia" w:ascii="仿宋" w:hAnsi="仿宋" w:eastAsia="仿宋" w:cs="仿宋"/>
          <w:color w:val="auto"/>
          <w:sz w:val="24"/>
          <w:szCs w:val="24"/>
          <w:highlight w:val="none"/>
        </w:rPr>
        <w:t>24.2如果投标文件不响应招标文件实质性要求的，招标人将予以拒绝，并且不允许投标人通过修改或撤销其不符合要求的差异或保留，使之成为具有响应性的投标。</w:t>
      </w:r>
      <w:bookmarkEnd w:id="33"/>
    </w:p>
    <w:p w14:paraId="5B63948C">
      <w:pPr>
        <w:pStyle w:val="5"/>
        <w:tabs>
          <w:tab w:val="left" w:pos="1000"/>
        </w:tabs>
        <w:snapToGrid w:val="0"/>
        <w:spacing w:line="360" w:lineRule="auto"/>
        <w:ind w:firstLine="480" w:firstLineChars="200"/>
        <w:outlineLvl w:val="0"/>
        <w:rPr>
          <w:rFonts w:hint="eastAsia" w:ascii="仿宋" w:hAnsi="仿宋" w:eastAsia="仿宋" w:cs="仿宋"/>
          <w:color w:val="auto"/>
          <w:sz w:val="24"/>
          <w:szCs w:val="24"/>
          <w:highlight w:val="none"/>
        </w:rPr>
      </w:pPr>
      <w:bookmarkStart w:id="34" w:name="_Toc2861291"/>
      <w:r>
        <w:rPr>
          <w:rFonts w:hint="eastAsia" w:ascii="仿宋" w:hAnsi="仿宋" w:eastAsia="仿宋" w:cs="仿宋"/>
          <w:color w:val="auto"/>
          <w:sz w:val="24"/>
          <w:szCs w:val="24"/>
          <w:highlight w:val="none"/>
        </w:rPr>
        <w:t>24.3投标文件有下述情形之一的，经评标委员会评审后按废标处理：</w:t>
      </w:r>
      <w:bookmarkEnd w:id="34"/>
    </w:p>
    <w:p w14:paraId="2497C954">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color w:val="auto"/>
          <w:sz w:val="24"/>
          <w:szCs w:val="24"/>
          <w:highlight w:val="none"/>
        </w:rPr>
        <w:t>投标文件未按照招标文件的要求予以密封和标志的；</w:t>
      </w:r>
    </w:p>
    <w:p w14:paraId="0803303F">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color w:val="auto"/>
          <w:sz w:val="24"/>
          <w:szCs w:val="24"/>
          <w:highlight w:val="none"/>
        </w:rPr>
        <w:t>投标文件未按要求加盖投标单位的企业和企业法定代表人印章（或签字）的；</w:t>
      </w:r>
    </w:p>
    <w:p w14:paraId="16D9E8F5">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color w:val="auto"/>
          <w:sz w:val="24"/>
          <w:szCs w:val="24"/>
          <w:highlight w:val="none"/>
        </w:rPr>
        <w:t>如投标文件加盖企业法定代表人委托代理人印章（或签字）的，企业法定代表人委托代理人没有合法、有效的委托书（原件）的；</w:t>
      </w:r>
    </w:p>
    <w:p w14:paraId="4CFA74D6">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color w:val="auto"/>
          <w:sz w:val="24"/>
          <w:szCs w:val="24"/>
          <w:highlight w:val="none"/>
        </w:rPr>
        <w:t>投标人资格条件不符合国家有关规定或招标文件要求的；</w:t>
      </w:r>
    </w:p>
    <w:p w14:paraId="4795196D">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(5)</w:t>
      </w:r>
      <w:r>
        <w:rPr>
          <w:rFonts w:hint="eastAsia" w:ascii="仿宋" w:hAnsi="仿宋" w:eastAsia="仿宋" w:cs="仿宋"/>
          <w:b/>
          <w:color w:val="auto"/>
          <w:sz w:val="24"/>
          <w:szCs w:val="24"/>
          <w:highlight w:val="none"/>
        </w:rPr>
        <w:t>投标人名称或组织结构与资格预审时不一致的（不适用于资格后审）；</w:t>
      </w:r>
    </w:p>
    <w:p w14:paraId="5F3B9BF9">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(6)</w:t>
      </w:r>
      <w:r>
        <w:rPr>
          <w:rFonts w:hint="eastAsia" w:ascii="仿宋" w:hAnsi="仿宋" w:eastAsia="仿宋" w:cs="仿宋"/>
          <w:b/>
          <w:color w:val="auto"/>
          <w:sz w:val="24"/>
          <w:szCs w:val="24"/>
          <w:highlight w:val="none"/>
        </w:rPr>
        <w:t>除在投标截止时间前经招标人书面同意外，项目负责人与资格预审时不一致的（不适用于资格后审）；</w:t>
      </w:r>
    </w:p>
    <w:p w14:paraId="674D99CA">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(7)</w:t>
      </w:r>
      <w:r>
        <w:rPr>
          <w:rFonts w:hint="eastAsia" w:ascii="仿宋" w:hAnsi="仿宋" w:eastAsia="仿宋" w:cs="仿宋"/>
          <w:b/>
          <w:color w:val="auto"/>
          <w:sz w:val="24"/>
          <w:szCs w:val="24"/>
          <w:highlight w:val="none"/>
        </w:rPr>
        <w:t>组成联合体投标未提供联合体各方共同投标协议的（仅适用于联合体投标）；</w:t>
      </w:r>
    </w:p>
    <w:p w14:paraId="10CC76A0">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(8)</w:t>
      </w:r>
      <w:r>
        <w:rPr>
          <w:rFonts w:hint="eastAsia" w:ascii="仿宋" w:hAnsi="仿宋" w:eastAsia="仿宋" w:cs="仿宋"/>
          <w:b/>
          <w:color w:val="auto"/>
          <w:sz w:val="24"/>
          <w:szCs w:val="24"/>
          <w:highlight w:val="none"/>
        </w:rPr>
        <w:t>在同一招标项目中，联合体成员以自己名义单独投标或者参加其他联合体投标的（仅适用于联合体投标）；</w:t>
      </w:r>
    </w:p>
    <w:p w14:paraId="3A7E960B">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(9)</w:t>
      </w:r>
      <w:r>
        <w:rPr>
          <w:rFonts w:hint="eastAsia" w:ascii="仿宋" w:hAnsi="仿宋" w:eastAsia="仿宋" w:cs="仿宋"/>
          <w:b/>
          <w:color w:val="auto"/>
          <w:sz w:val="24"/>
          <w:szCs w:val="24"/>
          <w:highlight w:val="none"/>
        </w:rPr>
        <w:t>联合体成员与资格预审确定的结果不一致的（仅适用于联合体投标）；</w:t>
      </w:r>
    </w:p>
    <w:p w14:paraId="464A93FA">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(10)</w:t>
      </w:r>
      <w:r>
        <w:rPr>
          <w:rFonts w:hint="eastAsia" w:ascii="仿宋" w:hAnsi="仿宋" w:eastAsia="仿宋" w:cs="仿宋"/>
          <w:b/>
          <w:color w:val="auto"/>
          <w:sz w:val="24"/>
          <w:szCs w:val="24"/>
          <w:highlight w:val="none"/>
        </w:rPr>
        <w:t>投标人的投标报价超出招标文件规定范围的；</w:t>
      </w:r>
    </w:p>
    <w:p w14:paraId="3F82D7F2">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(11)</w:t>
      </w:r>
      <w:r>
        <w:rPr>
          <w:rFonts w:hint="eastAsia" w:ascii="仿宋" w:hAnsi="仿宋" w:eastAsia="仿宋" w:cs="仿宋"/>
          <w:b/>
          <w:color w:val="auto"/>
          <w:sz w:val="24"/>
          <w:szCs w:val="24"/>
          <w:highlight w:val="none"/>
        </w:rPr>
        <w:t>同一投标人提交两个及以上不同的投标文件或者投标报价，但招标文件要求提交备选投标的除外；</w:t>
      </w:r>
    </w:p>
    <w:p w14:paraId="7A5391F1">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(12)</w:t>
      </w:r>
      <w:r>
        <w:rPr>
          <w:rFonts w:hint="eastAsia" w:ascii="仿宋" w:hAnsi="仿宋" w:eastAsia="仿宋" w:cs="仿宋"/>
          <w:b/>
          <w:color w:val="auto"/>
          <w:sz w:val="24"/>
          <w:szCs w:val="24"/>
          <w:highlight w:val="none"/>
        </w:rPr>
        <w:t>未按招标文件要求提供投标保证金的；</w:t>
      </w:r>
    </w:p>
    <w:p w14:paraId="362B3A8B">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(13)</w:t>
      </w:r>
      <w:r>
        <w:rPr>
          <w:rFonts w:hint="eastAsia" w:ascii="仿宋" w:hAnsi="仿宋" w:eastAsia="仿宋" w:cs="仿宋"/>
          <w:b/>
          <w:color w:val="auto"/>
          <w:sz w:val="24"/>
          <w:szCs w:val="24"/>
          <w:highlight w:val="none"/>
        </w:rPr>
        <w:t>投标文件载明的招标项目完成期限超过招标文件规定的期限的；</w:t>
      </w:r>
    </w:p>
    <w:p w14:paraId="7B2EA1CD">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color w:val="auto"/>
          <w:sz w:val="24"/>
          <w:szCs w:val="24"/>
          <w:highlight w:val="none"/>
        </w:rPr>
        <w:t>明显不符合技术规范、技术标准的要求的；</w:t>
      </w:r>
    </w:p>
    <w:p w14:paraId="7EA438F6">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(15)</w:t>
      </w:r>
      <w:r>
        <w:rPr>
          <w:rFonts w:hint="eastAsia" w:ascii="仿宋" w:hAnsi="仿宋" w:eastAsia="仿宋" w:cs="仿宋"/>
          <w:b/>
          <w:color w:val="auto"/>
          <w:sz w:val="24"/>
          <w:szCs w:val="24"/>
          <w:highlight w:val="none"/>
        </w:rPr>
        <w:t>投标文件提出了不能满足招标文件要求或招标人不能接受的条件的；</w:t>
      </w:r>
    </w:p>
    <w:p w14:paraId="0102FA9A">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(16)</w:t>
      </w:r>
      <w:r>
        <w:rPr>
          <w:rFonts w:hint="eastAsia" w:ascii="仿宋" w:hAnsi="仿宋" w:eastAsia="仿宋" w:cs="仿宋"/>
          <w:b/>
          <w:color w:val="auto"/>
          <w:sz w:val="24"/>
          <w:szCs w:val="24"/>
          <w:highlight w:val="none"/>
        </w:rPr>
        <w:t>不同投标人的投标文件以及投标文件制作过程出现了评标委员会认为不应当雷同的情况的；</w:t>
      </w:r>
    </w:p>
    <w:p w14:paraId="30D9A0DA">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(17)</w:t>
      </w:r>
      <w:r>
        <w:rPr>
          <w:rFonts w:hint="eastAsia" w:ascii="仿宋" w:hAnsi="仿宋" w:eastAsia="仿宋" w:cs="仿宋"/>
          <w:b/>
          <w:color w:val="auto"/>
          <w:sz w:val="24"/>
          <w:szCs w:val="24"/>
          <w:highlight w:val="none"/>
        </w:rPr>
        <w:t>以他人的名义投标、串通投标、以行贿手段谋取中标或者以其他弄虚作假方式投标的；</w:t>
      </w:r>
    </w:p>
    <w:p w14:paraId="60FE8227">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(18)</w:t>
      </w:r>
      <w:r>
        <w:rPr>
          <w:rFonts w:hint="eastAsia" w:ascii="仿宋" w:hAnsi="仿宋" w:eastAsia="仿宋" w:cs="仿宋"/>
          <w:b/>
          <w:color w:val="auto"/>
          <w:sz w:val="24"/>
          <w:szCs w:val="24"/>
          <w:highlight w:val="none"/>
        </w:rPr>
        <w:t>不符合招标文件有关暗标的要求（适用于暗标评审）；</w:t>
      </w:r>
    </w:p>
    <w:p w14:paraId="3CC71F53">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(19)</w:t>
      </w:r>
      <w:r>
        <w:rPr>
          <w:rFonts w:hint="eastAsia" w:ascii="仿宋" w:hAnsi="仿宋" w:eastAsia="仿宋" w:cs="仿宋"/>
          <w:b/>
          <w:color w:val="auto"/>
          <w:sz w:val="24"/>
          <w:szCs w:val="24"/>
          <w:highlight w:val="none"/>
        </w:rPr>
        <w:t>资格审查文件以及技术标中出现投标报价的；</w:t>
      </w:r>
    </w:p>
    <w:p w14:paraId="3BEDC9A9">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(20)</w:t>
      </w:r>
      <w:r>
        <w:rPr>
          <w:rFonts w:hint="eastAsia" w:ascii="仿宋" w:hAnsi="仿宋" w:eastAsia="仿宋" w:cs="仿宋"/>
          <w:b/>
          <w:color w:val="auto"/>
          <w:sz w:val="24"/>
          <w:szCs w:val="24"/>
          <w:highlight w:val="none"/>
        </w:rPr>
        <w:t>投标文件的关键内容字迹模糊、无法辨认的；</w:t>
      </w:r>
    </w:p>
    <w:p w14:paraId="6F80681B">
      <w:pPr>
        <w:adjustRightInd w:val="0"/>
        <w:snapToGrid w:val="0"/>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b/>
          <w:color w:val="auto"/>
          <w:sz w:val="24"/>
          <w:szCs w:val="24"/>
          <w:highlight w:val="none"/>
        </w:rPr>
        <w:t>投标单位未按招标文件要求填写相关承诺书的。</w:t>
      </w:r>
    </w:p>
    <w:p w14:paraId="254289F9">
      <w:pPr>
        <w:pStyle w:val="5"/>
        <w:tabs>
          <w:tab w:val="left" w:pos="1000"/>
        </w:tabs>
        <w:snapToGrid w:val="0"/>
        <w:spacing w:line="360" w:lineRule="auto"/>
        <w:ind w:firstLine="480" w:firstLineChars="200"/>
        <w:jc w:val="left"/>
        <w:outlineLvl w:val="0"/>
        <w:rPr>
          <w:rFonts w:hint="eastAsia" w:ascii="仿宋" w:hAnsi="仿宋" w:eastAsia="仿宋" w:cs="仿宋"/>
          <w:bCs/>
          <w:color w:val="auto"/>
          <w:sz w:val="24"/>
          <w:szCs w:val="24"/>
          <w:highlight w:val="none"/>
        </w:rPr>
      </w:pPr>
      <w:bookmarkStart w:id="35" w:name="_Toc2861292"/>
      <w:r>
        <w:rPr>
          <w:rFonts w:hint="eastAsia" w:ascii="仿宋" w:hAnsi="仿宋" w:eastAsia="仿宋" w:cs="仿宋"/>
          <w:bCs/>
          <w:color w:val="auto"/>
          <w:sz w:val="24"/>
          <w:szCs w:val="24"/>
          <w:highlight w:val="none"/>
        </w:rPr>
        <w:t>评标委员会对投标文件确认为废标的，应当由三分之二以上评委签字确认。</w:t>
      </w:r>
      <w:bookmarkEnd w:id="35"/>
    </w:p>
    <w:p w14:paraId="7C1AFD80">
      <w:pPr>
        <w:pStyle w:val="5"/>
        <w:tabs>
          <w:tab w:val="left" w:pos="1000"/>
        </w:tabs>
        <w:snapToGrid w:val="0"/>
        <w:spacing w:line="360" w:lineRule="auto"/>
        <w:ind w:firstLine="482" w:firstLineChars="200"/>
        <w:outlineLvl w:val="0"/>
        <w:rPr>
          <w:rFonts w:hint="eastAsia" w:ascii="仿宋" w:hAnsi="仿宋" w:eastAsia="仿宋" w:cs="仿宋"/>
          <w:color w:val="auto"/>
          <w:kern w:val="0"/>
          <w:sz w:val="24"/>
          <w:szCs w:val="24"/>
          <w:highlight w:val="none"/>
        </w:rPr>
      </w:pPr>
      <w:bookmarkStart w:id="36" w:name="_Toc2861293"/>
      <w:r>
        <w:rPr>
          <w:rFonts w:hint="eastAsia" w:ascii="仿宋" w:hAnsi="仿宋" w:eastAsia="仿宋" w:cs="仿宋"/>
          <w:b/>
          <w:color w:val="auto"/>
          <w:sz w:val="24"/>
          <w:szCs w:val="24"/>
          <w:highlight w:val="none"/>
        </w:rPr>
        <w:t>25、</w:t>
      </w:r>
      <w:r>
        <w:rPr>
          <w:rFonts w:hint="eastAsia" w:ascii="仿宋" w:hAnsi="仿宋" w:eastAsia="仿宋" w:cs="仿宋"/>
          <w:color w:val="auto"/>
          <w:kern w:val="0"/>
          <w:sz w:val="24"/>
          <w:szCs w:val="24"/>
          <w:highlight w:val="none"/>
        </w:rPr>
        <w:t>评标委员会完成评标后，应按规定向招标人提交书面评标报告，评标报告应由评标委员会全体成员签字。对评标结论持有异议的评标委员会成员可以书面方式阐述其不同意见和理由。评标委员会成员拒绝在评标报告上签字且不陈述其不同意见和理由的，视为同意评标结论。评标委员会对此应做出书面说明并记录在案。</w:t>
      </w:r>
      <w:bookmarkEnd w:id="36"/>
    </w:p>
    <w:p w14:paraId="7F8B2DB9">
      <w:pPr>
        <w:pStyle w:val="5"/>
        <w:tabs>
          <w:tab w:val="left" w:pos="1000"/>
        </w:tabs>
        <w:snapToGrid w:val="0"/>
        <w:spacing w:line="360" w:lineRule="auto"/>
        <w:ind w:firstLine="482" w:firstLineChars="200"/>
        <w:jc w:val="left"/>
        <w:outlineLvl w:val="0"/>
        <w:rPr>
          <w:rFonts w:hint="eastAsia" w:ascii="仿宋" w:hAnsi="仿宋" w:eastAsia="仿宋" w:cs="仿宋"/>
          <w:b/>
          <w:color w:val="auto"/>
          <w:sz w:val="24"/>
          <w:szCs w:val="24"/>
          <w:highlight w:val="none"/>
        </w:rPr>
      </w:pPr>
      <w:bookmarkStart w:id="37" w:name="_Toc2861294"/>
      <w:r>
        <w:rPr>
          <w:rFonts w:hint="eastAsia" w:ascii="仿宋" w:hAnsi="仿宋" w:eastAsia="仿宋" w:cs="仿宋"/>
          <w:b/>
          <w:color w:val="auto"/>
          <w:sz w:val="24"/>
          <w:szCs w:val="24"/>
          <w:highlight w:val="none"/>
        </w:rPr>
        <w:t>26、确定中标人</w:t>
      </w:r>
      <w:bookmarkEnd w:id="37"/>
    </w:p>
    <w:p w14:paraId="25C1DE32">
      <w:pPr>
        <w:pStyle w:val="5"/>
        <w:tabs>
          <w:tab w:val="left" w:pos="1000"/>
        </w:tabs>
        <w:snapToGrid w:val="0"/>
        <w:spacing w:line="360" w:lineRule="auto"/>
        <w:ind w:firstLine="482" w:firstLineChars="200"/>
        <w:jc w:val="left"/>
        <w:outlineLvl w:val="0"/>
        <w:rPr>
          <w:rFonts w:hint="eastAsia" w:ascii="仿宋" w:hAnsi="仿宋" w:eastAsia="仿宋" w:cs="仿宋"/>
          <w:b/>
          <w:color w:val="auto"/>
          <w:sz w:val="24"/>
          <w:szCs w:val="24"/>
          <w:highlight w:val="none"/>
        </w:rPr>
      </w:pPr>
      <w:bookmarkStart w:id="38" w:name="_Toc2861295"/>
      <w:r>
        <w:rPr>
          <w:rFonts w:hint="eastAsia" w:ascii="仿宋" w:hAnsi="仿宋" w:eastAsia="仿宋" w:cs="仿宋"/>
          <w:b/>
          <w:color w:val="auto"/>
          <w:kern w:val="0"/>
          <w:sz w:val="24"/>
          <w:szCs w:val="24"/>
          <w:highlight w:val="none"/>
        </w:rPr>
        <w:t>26.1</w:t>
      </w:r>
      <w:r>
        <w:rPr>
          <w:rFonts w:hint="eastAsia" w:ascii="仿宋" w:hAnsi="仿宋" w:eastAsia="仿宋" w:cs="仿宋"/>
          <w:b/>
          <w:color w:val="auto"/>
          <w:sz w:val="24"/>
          <w:szCs w:val="24"/>
          <w:highlight w:val="none"/>
        </w:rPr>
        <w:t>评标委员会将根据</w:t>
      </w:r>
      <w:r>
        <w:rPr>
          <w:rFonts w:hint="eastAsia" w:ascii="仿宋" w:hAnsi="仿宋" w:eastAsia="仿宋" w:cs="仿宋"/>
          <w:b/>
          <w:color w:val="auto"/>
          <w:sz w:val="24"/>
          <w:szCs w:val="24"/>
          <w:highlight w:val="none"/>
          <w:lang w:val="en-US" w:eastAsia="zh-CN"/>
        </w:rPr>
        <w:t>价格</w:t>
      </w:r>
      <w:r>
        <w:rPr>
          <w:rFonts w:hint="eastAsia" w:ascii="仿宋" w:hAnsi="仿宋" w:eastAsia="仿宋" w:cs="仿宋"/>
          <w:b/>
          <w:color w:val="auto"/>
          <w:sz w:val="24"/>
          <w:szCs w:val="24"/>
          <w:highlight w:val="none"/>
        </w:rPr>
        <w:t>标得分由高到低依次推荐中标候选人，具体评标办法见“第四章评标办法”。</w:t>
      </w:r>
      <w:bookmarkEnd w:id="38"/>
    </w:p>
    <w:p w14:paraId="6DDC47BE">
      <w:pPr>
        <w:pStyle w:val="5"/>
        <w:tabs>
          <w:tab w:val="left" w:pos="1000"/>
        </w:tabs>
        <w:snapToGrid w:val="0"/>
        <w:spacing w:line="360" w:lineRule="auto"/>
        <w:ind w:firstLine="482" w:firstLineChars="200"/>
        <w:outlineLvl w:val="0"/>
        <w:rPr>
          <w:rFonts w:hint="eastAsia" w:ascii="仿宋" w:hAnsi="仿宋" w:eastAsia="仿宋" w:cs="仿宋"/>
          <w:b/>
          <w:color w:val="auto"/>
          <w:sz w:val="24"/>
          <w:szCs w:val="24"/>
          <w:highlight w:val="none"/>
        </w:rPr>
      </w:pPr>
      <w:bookmarkStart w:id="39" w:name="_Toc2861296"/>
      <w:r>
        <w:rPr>
          <w:rFonts w:hint="eastAsia" w:ascii="仿宋" w:hAnsi="仿宋" w:eastAsia="仿宋" w:cs="仿宋"/>
          <w:b/>
          <w:color w:val="auto"/>
          <w:sz w:val="24"/>
          <w:szCs w:val="24"/>
          <w:highlight w:val="none"/>
        </w:rPr>
        <w:t>26.2评选结果于评审结束后直接宣布。</w:t>
      </w:r>
      <w:bookmarkEnd w:id="39"/>
    </w:p>
    <w:p w14:paraId="55990FD1">
      <w:pPr>
        <w:pStyle w:val="5"/>
        <w:tabs>
          <w:tab w:val="left" w:pos="1000"/>
        </w:tabs>
        <w:snapToGrid w:val="0"/>
        <w:spacing w:line="360" w:lineRule="auto"/>
        <w:ind w:firstLine="482" w:firstLineChars="200"/>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26.3评标委员会在评标工作完成后，将在评标报告之外按照统一格式公布评标结果公开的内容，在中标结果公示的同时一并在公告发布网公示，公布的时间为三日。</w:t>
      </w:r>
    </w:p>
    <w:p w14:paraId="3FA1C7E4">
      <w:pPr>
        <w:snapToGrid w:val="0"/>
        <w:spacing w:line="360" w:lineRule="auto"/>
        <w:jc w:val="center"/>
        <w:outlineLvl w:val="0"/>
        <w:rPr>
          <w:rFonts w:hint="eastAsia" w:ascii="仿宋" w:hAnsi="仿宋" w:eastAsia="仿宋" w:cs="仿宋"/>
          <w:b/>
          <w:color w:val="auto"/>
          <w:sz w:val="36"/>
          <w:highlight w:val="none"/>
        </w:rPr>
      </w:pPr>
      <w:bookmarkStart w:id="40" w:name="_Toc2861297"/>
      <w:r>
        <w:rPr>
          <w:rFonts w:hint="eastAsia" w:ascii="仿宋" w:hAnsi="仿宋" w:eastAsia="仿宋" w:cs="仿宋"/>
          <w:b/>
          <w:color w:val="auto"/>
          <w:sz w:val="36"/>
          <w:highlight w:val="none"/>
        </w:rPr>
        <w:t>（七）授予合同</w:t>
      </w:r>
      <w:bookmarkEnd w:id="40"/>
    </w:p>
    <w:p w14:paraId="7A7767B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27、中标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确定中标人后，招标人向中标人发出中标通知书，中标通知书将成为合同的组成部分。</w:t>
      </w:r>
    </w:p>
    <w:p w14:paraId="73DC109E">
      <w:pPr>
        <w:snapToGrid w:val="0"/>
        <w:spacing w:line="360" w:lineRule="auto"/>
        <w:ind w:firstLine="480" w:firstLineChars="200"/>
        <w:rPr>
          <w:rFonts w:hint="eastAsia" w:ascii="仿宋" w:hAnsi="仿宋" w:eastAsia="仿宋" w:cs="仿宋"/>
          <w:color w:val="auto"/>
          <w:sz w:val="24"/>
          <w:szCs w:val="24"/>
          <w:highlight w:val="none"/>
        </w:rPr>
      </w:pPr>
      <w:bookmarkStart w:id="41" w:name="_Toc2861298"/>
      <w:r>
        <w:rPr>
          <w:rFonts w:hint="eastAsia" w:ascii="仿宋" w:hAnsi="仿宋" w:eastAsia="仿宋" w:cs="仿宋"/>
          <w:color w:val="auto"/>
          <w:sz w:val="24"/>
          <w:szCs w:val="24"/>
          <w:highlight w:val="none"/>
        </w:rPr>
        <w:t>30、签订合同</w:t>
      </w:r>
      <w:r>
        <w:rPr>
          <w:rFonts w:hint="eastAsia" w:ascii="仿宋" w:hAnsi="仿宋" w:eastAsia="仿宋" w:cs="仿宋"/>
          <w:color w:val="auto"/>
          <w:sz w:val="24"/>
          <w:szCs w:val="24"/>
          <w:highlight w:val="none"/>
          <w:lang w:eastAsia="zh-CN"/>
        </w:rPr>
        <w:t>：中标人在收到</w:t>
      </w:r>
      <w:r>
        <w:rPr>
          <w:rFonts w:hint="eastAsia" w:ascii="仿宋" w:hAnsi="仿宋" w:eastAsia="仿宋" w:cs="仿宋"/>
          <w:color w:val="auto"/>
          <w:sz w:val="24"/>
          <w:szCs w:val="24"/>
          <w:highlight w:val="none"/>
          <w:lang w:val="en-US" w:eastAsia="zh-CN"/>
        </w:rPr>
        <w:t>招标人检测任务后7日内完成合同签订</w:t>
      </w:r>
      <w:r>
        <w:rPr>
          <w:rFonts w:hint="eastAsia" w:ascii="仿宋" w:hAnsi="仿宋" w:eastAsia="仿宋" w:cs="仿宋"/>
          <w:color w:val="auto"/>
          <w:sz w:val="24"/>
          <w:szCs w:val="24"/>
          <w:highlight w:val="none"/>
          <w:lang w:eastAsia="zh-CN"/>
        </w:rPr>
        <w:t>（根据每个地块单独签订合同）。</w:t>
      </w:r>
    </w:p>
    <w:p w14:paraId="6A49D83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31、中标人应按本须知前附表第</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项规定的金额向招标人提交履约担保，担保的形式为银行转账</w:t>
      </w:r>
      <w:r>
        <w:rPr>
          <w:rFonts w:hint="eastAsia" w:ascii="仿宋" w:hAnsi="仿宋" w:eastAsia="仿宋" w:cs="仿宋"/>
          <w:color w:val="auto"/>
          <w:sz w:val="24"/>
          <w:szCs w:val="24"/>
          <w:highlight w:val="none"/>
          <w:lang w:val="en-US" w:eastAsia="zh-CN"/>
        </w:rPr>
        <w:t>或银行保函（见索即付）</w:t>
      </w:r>
      <w:r>
        <w:rPr>
          <w:rFonts w:hint="eastAsia" w:ascii="仿宋" w:hAnsi="仿宋" w:eastAsia="仿宋" w:cs="仿宋"/>
          <w:color w:val="auto"/>
          <w:sz w:val="24"/>
          <w:szCs w:val="24"/>
          <w:highlight w:val="none"/>
        </w:rPr>
        <w:t>。</w:t>
      </w:r>
    </w:p>
    <w:p w14:paraId="41180F59">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若中标人不能按本须知第31条，视作中标人放弃中标及签订合同的权利，并没收其投标保证金，中标人的行为给招标人造成损失超过投标保证金数额的，还应当对超过部分予以赔偿。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198039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、中标人在中标后或施工期间不得随意变更中标项目负责人。如果出现特殊情况，确需更换的，应当经招标人同意。</w:t>
      </w:r>
    </w:p>
    <w:p w14:paraId="4640CD29">
      <w:pPr>
        <w:snapToGrid w:val="0"/>
        <w:spacing w:line="360" w:lineRule="auto"/>
        <w:ind w:firstLine="723" w:firstLineChars="200"/>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（八）关于投标人异议和投诉</w:t>
      </w:r>
      <w:bookmarkEnd w:id="41"/>
    </w:p>
    <w:p w14:paraId="20A1F89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29、对招标文件有异议的，潜在投标人或者其他利害关系人应当在投标截止时间5日前提出。</w:t>
      </w:r>
    </w:p>
    <w:p w14:paraId="69AB1EC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30、对开标有异议的，应当在开标现场提出。开标结束后投标人不得对开标事项再提出异议。</w:t>
      </w:r>
    </w:p>
    <w:p w14:paraId="479CD10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31、对评标结果有异议的，投标人或者其他利害关系人应当在中标候选人的公示期间提出。</w:t>
      </w:r>
    </w:p>
    <w:p w14:paraId="3CE2490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投标人或者其他利害关系人认为招标投标活动不符合法律、法规和规章规定的,可以依法向招标人提出异议，也可以在知道或者应当知道之日起10日内，向有关行政监督部门投诉，但就《中华人民共和国招标投标法实施条例》第二十二条、第四十四条、第五十四条规定事项进行投诉的，应当依法先向招标人提出异议。</w:t>
      </w:r>
    </w:p>
    <w:p w14:paraId="0779804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33、投标人提出的异议或投诉须符合苏建规字[2016]4号文的相关规定，否则，不予受理。</w:t>
      </w:r>
    </w:p>
    <w:p w14:paraId="25927C46">
      <w:pPr>
        <w:spacing w:line="360" w:lineRule="auto"/>
        <w:rPr>
          <w:rFonts w:hint="eastAsia" w:ascii="仿宋" w:hAnsi="仿宋" w:eastAsia="仿宋" w:cs="仿宋"/>
          <w:color w:val="auto"/>
          <w:sz w:val="36"/>
          <w:szCs w:val="36"/>
          <w:highlight w:val="none"/>
        </w:rPr>
        <w:sectPr>
          <w:footerReference r:id="rId4" w:type="first"/>
          <w:footerReference r:id="rId3" w:type="default"/>
          <w:pgSz w:w="11906" w:h="16838"/>
          <w:pgMar w:top="1247" w:right="1274" w:bottom="1247" w:left="1361" w:header="851" w:footer="992" w:gutter="283"/>
          <w:cols w:space="720" w:num="1"/>
          <w:titlePg/>
          <w:docGrid w:linePitch="312" w:charSpace="0"/>
        </w:sectPr>
      </w:pPr>
    </w:p>
    <w:p w14:paraId="61424AD1">
      <w:pPr>
        <w:spacing w:line="360" w:lineRule="auto"/>
        <w:ind w:firstLine="480" w:firstLineChars="200"/>
        <w:rPr>
          <w:rFonts w:hint="eastAsia" w:ascii="仿宋" w:hAnsi="仿宋" w:eastAsia="仿宋" w:cs="仿宋"/>
          <w:color w:val="auto"/>
          <w:sz w:val="24"/>
          <w:szCs w:val="24"/>
          <w:highlight w:val="none"/>
        </w:rPr>
      </w:pPr>
      <w:bookmarkStart w:id="42" w:name="_Toc14699"/>
      <w:bookmarkStart w:id="43" w:name="_Toc227040882"/>
      <w:bookmarkStart w:id="44" w:name="_Toc22865"/>
      <w:bookmarkStart w:id="45" w:name="_Toc429294707"/>
    </w:p>
    <w:p w14:paraId="35802DBA">
      <w:pPr>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第二章 合同条款及格式</w:t>
      </w:r>
      <w:bookmarkEnd w:id="42"/>
      <w:bookmarkEnd w:id="43"/>
      <w:bookmarkEnd w:id="44"/>
      <w:bookmarkEnd w:id="45"/>
    </w:p>
    <w:p w14:paraId="4373BFB2">
      <w:pPr>
        <w:spacing w:line="360" w:lineRule="auto"/>
        <w:jc w:val="center"/>
        <w:rPr>
          <w:rFonts w:hint="eastAsia" w:ascii="仿宋" w:hAnsi="仿宋" w:eastAsia="仿宋" w:cs="仿宋"/>
          <w:color w:val="auto"/>
          <w:sz w:val="48"/>
          <w:szCs w:val="48"/>
          <w:highlight w:val="none"/>
        </w:rPr>
      </w:pPr>
    </w:p>
    <w:p w14:paraId="6591C3A3">
      <w:pPr>
        <w:adjustRightInd w:val="0"/>
        <w:spacing w:after="120" w:line="360" w:lineRule="auto"/>
        <w:jc w:val="center"/>
        <w:textAlignment w:val="baseline"/>
        <w:rPr>
          <w:rFonts w:hint="eastAsia" w:ascii="仿宋" w:hAnsi="仿宋" w:eastAsia="仿宋" w:cs="仿宋"/>
          <w:b/>
          <w:color w:val="auto"/>
          <w:kern w:val="0"/>
          <w:sz w:val="32"/>
          <w:szCs w:val="48"/>
          <w:highlight w:val="none"/>
        </w:rPr>
      </w:pPr>
      <w:bookmarkStart w:id="46" w:name="_Toc16283"/>
      <w:bookmarkStart w:id="47" w:name="_Toc17138"/>
    </w:p>
    <w:p w14:paraId="0079455F">
      <w:pPr>
        <w:spacing w:line="360" w:lineRule="auto"/>
        <w:ind w:right="420"/>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检测服务合同</w:t>
      </w:r>
    </w:p>
    <w:p w14:paraId="63511BFA">
      <w:pPr>
        <w:spacing w:line="360" w:lineRule="auto"/>
        <w:ind w:right="420"/>
        <w:jc w:val="center"/>
        <w:rPr>
          <w:rFonts w:hint="eastAsia" w:ascii="仿宋" w:hAnsi="仿宋" w:eastAsia="仿宋" w:cs="仿宋"/>
          <w:b/>
          <w:color w:val="auto"/>
          <w:sz w:val="32"/>
          <w:szCs w:val="32"/>
          <w:highlight w:val="none"/>
        </w:rPr>
      </w:pPr>
    </w:p>
    <w:p w14:paraId="79B171FF">
      <w:pPr>
        <w:spacing w:line="360" w:lineRule="auto"/>
        <w:ind w:right="420"/>
        <w:jc w:val="center"/>
        <w:rPr>
          <w:rFonts w:hint="eastAsia" w:ascii="仿宋" w:hAnsi="仿宋" w:eastAsia="仿宋" w:cs="仿宋"/>
          <w:b/>
          <w:color w:val="auto"/>
          <w:sz w:val="32"/>
          <w:szCs w:val="32"/>
          <w:highlight w:val="none"/>
        </w:rPr>
      </w:pPr>
    </w:p>
    <w:p w14:paraId="6AC9FD3A">
      <w:pPr>
        <w:spacing w:line="360" w:lineRule="auto"/>
        <w:ind w:right="420"/>
        <w:jc w:val="center"/>
        <w:rPr>
          <w:rFonts w:hint="eastAsia" w:ascii="仿宋" w:hAnsi="仿宋" w:eastAsia="仿宋" w:cs="仿宋"/>
          <w:b/>
          <w:color w:val="auto"/>
          <w:sz w:val="32"/>
          <w:szCs w:val="32"/>
          <w:highlight w:val="none"/>
        </w:rPr>
      </w:pPr>
    </w:p>
    <w:p w14:paraId="3C7273E0">
      <w:pPr>
        <w:spacing w:line="360" w:lineRule="auto"/>
        <w:ind w:right="420"/>
        <w:jc w:val="center"/>
        <w:rPr>
          <w:rFonts w:hint="eastAsia" w:ascii="仿宋" w:hAnsi="仿宋" w:eastAsia="仿宋" w:cs="仿宋"/>
          <w:b/>
          <w:color w:val="auto"/>
          <w:sz w:val="32"/>
          <w:szCs w:val="32"/>
          <w:highlight w:val="none"/>
        </w:rPr>
      </w:pPr>
    </w:p>
    <w:p w14:paraId="324861F1">
      <w:pPr>
        <w:spacing w:line="360" w:lineRule="auto"/>
        <w:ind w:right="420"/>
        <w:jc w:val="center"/>
        <w:rPr>
          <w:rFonts w:hint="eastAsia" w:ascii="仿宋" w:hAnsi="仿宋" w:eastAsia="仿宋" w:cs="仿宋"/>
          <w:b/>
          <w:color w:val="auto"/>
          <w:sz w:val="32"/>
          <w:szCs w:val="32"/>
          <w:highlight w:val="none"/>
        </w:rPr>
      </w:pPr>
    </w:p>
    <w:p w14:paraId="11609857">
      <w:pPr>
        <w:spacing w:line="360" w:lineRule="auto"/>
        <w:ind w:right="420"/>
        <w:jc w:val="center"/>
        <w:rPr>
          <w:rFonts w:hint="eastAsia" w:ascii="仿宋" w:hAnsi="仿宋" w:eastAsia="仿宋" w:cs="仿宋"/>
          <w:b/>
          <w:color w:val="auto"/>
          <w:sz w:val="32"/>
          <w:szCs w:val="32"/>
          <w:highlight w:val="none"/>
        </w:rPr>
      </w:pPr>
    </w:p>
    <w:p w14:paraId="1E7B4543">
      <w:pPr>
        <w:spacing w:line="360" w:lineRule="auto"/>
        <w:ind w:right="420"/>
        <w:jc w:val="center"/>
        <w:rPr>
          <w:rFonts w:hint="eastAsia" w:ascii="仿宋" w:hAnsi="仿宋" w:eastAsia="仿宋" w:cs="仿宋"/>
          <w:b/>
          <w:color w:val="auto"/>
          <w:sz w:val="32"/>
          <w:szCs w:val="32"/>
          <w:highlight w:val="none"/>
        </w:rPr>
      </w:pPr>
    </w:p>
    <w:p w14:paraId="45276D61">
      <w:pPr>
        <w:spacing w:line="360" w:lineRule="auto"/>
        <w:ind w:right="420"/>
        <w:jc w:val="center"/>
        <w:rPr>
          <w:rFonts w:hint="eastAsia" w:ascii="仿宋" w:hAnsi="仿宋" w:eastAsia="仿宋" w:cs="仿宋"/>
          <w:b/>
          <w:color w:val="auto"/>
          <w:sz w:val="32"/>
          <w:szCs w:val="32"/>
          <w:highlight w:val="none"/>
        </w:rPr>
      </w:pPr>
    </w:p>
    <w:p w14:paraId="2676481E">
      <w:pPr>
        <w:spacing w:line="360" w:lineRule="auto"/>
        <w:ind w:right="420"/>
        <w:jc w:val="center"/>
        <w:rPr>
          <w:rFonts w:hint="eastAsia" w:ascii="仿宋" w:hAnsi="仿宋" w:eastAsia="仿宋" w:cs="仿宋"/>
          <w:b/>
          <w:color w:val="auto"/>
          <w:sz w:val="32"/>
          <w:szCs w:val="32"/>
          <w:highlight w:val="none"/>
        </w:rPr>
      </w:pPr>
    </w:p>
    <w:p w14:paraId="0B019DA5">
      <w:pPr>
        <w:spacing w:line="360" w:lineRule="auto"/>
        <w:ind w:right="420"/>
        <w:jc w:val="center"/>
        <w:rPr>
          <w:rFonts w:hint="eastAsia" w:ascii="仿宋" w:hAnsi="仿宋" w:eastAsia="仿宋" w:cs="仿宋"/>
          <w:b/>
          <w:color w:val="auto"/>
          <w:sz w:val="32"/>
          <w:szCs w:val="32"/>
          <w:highlight w:val="none"/>
        </w:rPr>
      </w:pPr>
    </w:p>
    <w:p w14:paraId="7FAD7E3B">
      <w:pPr>
        <w:tabs>
          <w:tab w:val="left" w:pos="6480"/>
        </w:tabs>
        <w:spacing w:before="240" w:after="240" w:line="360" w:lineRule="auto"/>
        <w:ind w:right="386"/>
        <w:rPr>
          <w:rFonts w:hint="eastAsia" w:ascii="仿宋" w:hAnsi="仿宋" w:eastAsia="仿宋" w:cs="仿宋"/>
          <w:b/>
          <w:color w:val="auto"/>
          <w:sz w:val="28"/>
          <w:szCs w:val="28"/>
          <w:highlight w:val="none"/>
          <w:u w:val="single"/>
        </w:rPr>
      </w:pPr>
      <w:r>
        <w:rPr>
          <w:rFonts w:hint="eastAsia" w:ascii="仿宋" w:hAnsi="仿宋" w:eastAsia="仿宋" w:cs="仿宋"/>
          <w:color w:val="auto"/>
          <w:sz w:val="30"/>
          <w:szCs w:val="24"/>
          <w:highlight w:val="none"/>
        </w:rPr>
        <w:t xml:space="preserve">      项目名称</w:t>
      </w:r>
      <w:r>
        <w:rPr>
          <w:rFonts w:hint="eastAsia" w:ascii="仿宋" w:hAnsi="仿宋" w:eastAsia="仿宋" w:cs="仿宋"/>
          <w:color w:val="auto"/>
          <w:spacing w:val="21"/>
          <w:sz w:val="30"/>
          <w:szCs w:val="24"/>
          <w:highlight w:val="none"/>
        </w:rPr>
        <w:t>：</w:t>
      </w:r>
    </w:p>
    <w:p w14:paraId="5FE57984">
      <w:pPr>
        <w:tabs>
          <w:tab w:val="left" w:pos="1080"/>
          <w:tab w:val="left" w:pos="7020"/>
        </w:tabs>
        <w:spacing w:before="240" w:after="240" w:line="360" w:lineRule="auto"/>
        <w:ind w:right="386" w:firstLine="852" w:firstLineChars="300"/>
        <w:rPr>
          <w:rFonts w:hint="eastAsia" w:ascii="仿宋" w:hAnsi="仿宋" w:eastAsia="仿宋" w:cs="仿宋"/>
          <w:color w:val="auto"/>
          <w:sz w:val="28"/>
          <w:szCs w:val="24"/>
          <w:highlight w:val="none"/>
        </w:rPr>
      </w:pPr>
      <w:r>
        <w:rPr>
          <w:rFonts w:hint="eastAsia" w:ascii="仿宋" w:hAnsi="仿宋" w:eastAsia="仿宋" w:cs="仿宋"/>
          <w:color w:val="auto"/>
          <w:spacing w:val="-8"/>
          <w:sz w:val="30"/>
          <w:szCs w:val="24"/>
          <w:highlight w:val="none"/>
        </w:rPr>
        <w:t>甲     方</w:t>
      </w:r>
      <w:r>
        <w:rPr>
          <w:rFonts w:hint="eastAsia" w:ascii="仿宋" w:hAnsi="仿宋" w:eastAsia="仿宋" w:cs="仿宋"/>
          <w:color w:val="auto"/>
          <w:sz w:val="30"/>
          <w:szCs w:val="24"/>
          <w:highlight w:val="none"/>
        </w:rPr>
        <w:t>：</w:t>
      </w:r>
    </w:p>
    <w:p w14:paraId="539F8442">
      <w:pPr>
        <w:spacing w:before="240" w:after="240" w:line="360" w:lineRule="auto"/>
        <w:ind w:right="386" w:firstLine="852" w:firstLineChars="300"/>
        <w:rPr>
          <w:rFonts w:hint="eastAsia" w:ascii="仿宋" w:hAnsi="仿宋" w:eastAsia="仿宋" w:cs="仿宋"/>
          <w:color w:val="auto"/>
          <w:spacing w:val="20"/>
          <w:sz w:val="30"/>
          <w:szCs w:val="24"/>
          <w:highlight w:val="none"/>
        </w:rPr>
      </w:pPr>
      <w:r>
        <w:rPr>
          <w:rFonts w:hint="eastAsia" w:ascii="仿宋" w:hAnsi="仿宋" w:eastAsia="仿宋" w:cs="仿宋"/>
          <w:color w:val="auto"/>
          <w:spacing w:val="-8"/>
          <w:sz w:val="30"/>
          <w:szCs w:val="24"/>
          <w:highlight w:val="none"/>
        </w:rPr>
        <w:t>乙     方</w:t>
      </w:r>
      <w:r>
        <w:rPr>
          <w:rFonts w:hint="eastAsia" w:ascii="仿宋" w:hAnsi="仿宋" w:eastAsia="仿宋" w:cs="仿宋"/>
          <w:color w:val="auto"/>
          <w:sz w:val="28"/>
          <w:szCs w:val="24"/>
          <w:highlight w:val="none"/>
        </w:rPr>
        <w:t>：</w:t>
      </w:r>
    </w:p>
    <w:p w14:paraId="4C92FCD1">
      <w:pPr>
        <w:spacing w:line="360" w:lineRule="auto"/>
        <w:ind w:firstLine="850" w:firstLineChars="250"/>
        <w:rPr>
          <w:rFonts w:hint="eastAsia" w:ascii="仿宋" w:hAnsi="仿宋" w:eastAsia="仿宋" w:cs="仿宋"/>
          <w:b/>
          <w:color w:val="auto"/>
          <w:sz w:val="44"/>
          <w:szCs w:val="24"/>
          <w:highlight w:val="none"/>
        </w:rPr>
      </w:pPr>
      <w:r>
        <w:rPr>
          <w:rFonts w:hint="eastAsia" w:ascii="仿宋" w:hAnsi="仿宋" w:eastAsia="仿宋" w:cs="仿宋"/>
          <w:color w:val="auto"/>
          <w:spacing w:val="20"/>
          <w:sz w:val="30"/>
          <w:szCs w:val="24"/>
          <w:highlight w:val="none"/>
        </w:rPr>
        <w:t>签订日期</w:t>
      </w:r>
      <w:r>
        <w:rPr>
          <w:rFonts w:hint="eastAsia" w:ascii="仿宋" w:hAnsi="仿宋" w:eastAsia="仿宋" w:cs="仿宋"/>
          <w:color w:val="auto"/>
          <w:sz w:val="30"/>
          <w:szCs w:val="24"/>
          <w:highlight w:val="none"/>
        </w:rPr>
        <w:t>: 年   月    日</w:t>
      </w:r>
    </w:p>
    <w:p w14:paraId="690E5129">
      <w:pPr>
        <w:spacing w:line="360" w:lineRule="auto"/>
        <w:rPr>
          <w:rFonts w:hint="eastAsia" w:ascii="仿宋" w:hAnsi="仿宋" w:eastAsia="仿宋" w:cs="仿宋"/>
          <w:b/>
          <w:bCs/>
          <w:color w:val="auto"/>
          <w:sz w:val="28"/>
          <w:szCs w:val="28"/>
          <w:highlight w:val="none"/>
        </w:rPr>
      </w:pPr>
    </w:p>
    <w:p w14:paraId="2C00D902">
      <w:pPr>
        <w:jc w:val="center"/>
        <w:rPr>
          <w:rFonts w:hint="eastAsia" w:ascii="仿宋" w:hAnsi="仿宋" w:eastAsia="仿宋" w:cs="仿宋"/>
          <w:b/>
          <w:color w:val="auto"/>
          <w:sz w:val="18"/>
          <w:szCs w:val="18"/>
          <w:highlight w:val="none"/>
        </w:rPr>
      </w:pPr>
      <w:r>
        <w:rPr>
          <w:rFonts w:hint="eastAsia" w:ascii="仿宋" w:hAnsi="仿宋" w:eastAsia="仿宋" w:cs="仿宋"/>
          <w:b/>
          <w:color w:val="auto"/>
          <w:sz w:val="48"/>
          <w:szCs w:val="48"/>
          <w:highlight w:val="none"/>
        </w:rPr>
        <w:t>建筑消防设施检测合同</w:t>
      </w:r>
    </w:p>
    <w:p w14:paraId="3C82831D">
      <w:pPr>
        <w:jc w:val="center"/>
        <w:rPr>
          <w:rFonts w:hint="eastAsia" w:ascii="仿宋" w:hAnsi="仿宋" w:eastAsia="仿宋" w:cs="仿宋"/>
          <w:color w:val="auto"/>
          <w:sz w:val="18"/>
          <w:szCs w:val="18"/>
          <w:highlight w:val="none"/>
        </w:rPr>
      </w:pPr>
    </w:p>
    <w:p w14:paraId="14AD1FA7">
      <w:pPr>
        <w:spacing w:line="5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甲方: </w:t>
      </w:r>
    </w:p>
    <w:p w14:paraId="337D86DC">
      <w:pPr>
        <w:spacing w:line="5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p>
    <w:p w14:paraId="6AE3416C">
      <w:pPr>
        <w:snapToGrid w:val="0"/>
        <w:spacing w:line="480" w:lineRule="exact"/>
        <w:ind w:firstLine="470" w:firstLineChars="196"/>
        <w:contextualSpacing/>
        <w:rPr>
          <w:rFonts w:hint="eastAsia" w:ascii="仿宋" w:hAnsi="仿宋" w:eastAsia="仿宋" w:cs="仿宋"/>
          <w:color w:val="auto"/>
          <w:highlight w:val="none"/>
        </w:rPr>
      </w:pPr>
      <w:r>
        <w:rPr>
          <w:rFonts w:hint="eastAsia" w:ascii="仿宋" w:hAnsi="仿宋" w:eastAsia="仿宋" w:cs="仿宋"/>
          <w:color w:val="auto"/>
          <w:sz w:val="24"/>
          <w:highlight w:val="none"/>
        </w:rPr>
        <w:t>根据国家及江苏省消防部门有关规定， 经双方友好协商，甲方委托乙方对甲方指定建筑的消防设施进行技术检测。为了保证检测工作顺利进行，甲 、乙双方达成如下协议共同遵守：</w:t>
      </w:r>
    </w:p>
    <w:p w14:paraId="7C537DF5">
      <w:pPr>
        <w:snapToGrid w:val="0"/>
        <w:spacing w:line="480" w:lineRule="exact"/>
        <w:contextualSpacing/>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rPr>
        <w:t>一、受检建筑名称：</w:t>
      </w:r>
    </w:p>
    <w:p w14:paraId="51D22D82">
      <w:pPr>
        <w:snapToGrid w:val="0"/>
        <w:spacing w:line="480" w:lineRule="exact"/>
        <w:ind w:firstLine="470" w:firstLineChars="19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受检建筑类别使用性质：</w:t>
      </w:r>
    </w:p>
    <w:p w14:paraId="73AAFDFA">
      <w:pPr>
        <w:snapToGrid w:val="0"/>
        <w:spacing w:line="480" w:lineRule="exact"/>
        <w:ind w:firstLine="470" w:firstLineChars="19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检测面积：                    </w:t>
      </w:r>
    </w:p>
    <w:p w14:paraId="12852FBE">
      <w:pPr>
        <w:snapToGrid w:val="0"/>
        <w:spacing w:line="480" w:lineRule="exact"/>
        <w:ind w:firstLine="470" w:firstLineChars="196"/>
        <w:contextualSpacing/>
        <w:rPr>
          <w:rFonts w:hint="eastAsia" w:ascii="仿宋" w:hAnsi="仿宋" w:eastAsia="仿宋" w:cs="仿宋"/>
          <w:color w:val="auto"/>
          <w:highlight w:val="none"/>
        </w:rPr>
      </w:pPr>
      <w:r>
        <w:rPr>
          <w:rFonts w:hint="eastAsia" w:ascii="仿宋" w:hAnsi="仿宋" w:eastAsia="仿宋" w:cs="仿宋"/>
          <w:color w:val="auto"/>
          <w:sz w:val="24"/>
          <w:highlight w:val="none"/>
        </w:rPr>
        <w:t xml:space="preserve">受检建筑地址： </w:t>
      </w:r>
    </w:p>
    <w:p w14:paraId="2F5AD0E5">
      <w:pPr>
        <w:spacing w:line="5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二、检测内容：（具体以图纸设计为准） </w:t>
      </w:r>
    </w:p>
    <w:p w14:paraId="5C494BB7">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□火灾自动报警系统及其联动功能巨       □可燃气体自动报警系统</w:t>
      </w:r>
    </w:p>
    <w:p w14:paraId="1CFFFB51">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□消火栓给水系统                       □自动喷水灭火系统</w:t>
      </w:r>
    </w:p>
    <w:p w14:paraId="63132C2E">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□消防冷却水系统                       □ 水喷雾系统</w:t>
      </w:r>
    </w:p>
    <w:p w14:paraId="596754DC">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水幕系统                            □泡沫灭火系统 </w:t>
      </w:r>
    </w:p>
    <w:p w14:paraId="0DF013A3">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□气体灭火系统                         □机械排烟系统</w:t>
      </w:r>
    </w:p>
    <w:p w14:paraId="637A662B">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□防水卷帘                             □应急照明及疏散指示系统</w:t>
      </w:r>
    </w:p>
    <w:p w14:paraId="04FDC395">
      <w:pPr>
        <w:spacing w:line="560" w:lineRule="exact"/>
        <w:rPr>
          <w:rFonts w:hint="eastAsia" w:ascii="仿宋" w:hAnsi="仿宋" w:eastAsia="仿宋" w:cs="仿宋"/>
          <w:color w:val="auto"/>
          <w:highlight w:val="none"/>
        </w:rPr>
      </w:pPr>
      <w:r>
        <w:rPr>
          <w:rFonts w:hint="eastAsia" w:ascii="仿宋" w:hAnsi="仿宋" w:eastAsia="仿宋" w:cs="仿宋"/>
          <w:color w:val="auto"/>
          <w:sz w:val="24"/>
          <w:highlight w:val="none"/>
        </w:rPr>
        <w:t>□其他</w:t>
      </w:r>
    </w:p>
    <w:p w14:paraId="0BDDE990">
      <w:pPr>
        <w:spacing w:line="5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三、技术检测依据：</w:t>
      </w:r>
    </w:p>
    <w:p w14:paraId="759CC17B">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l、《建筑消防设施检测技术规</w:t>
      </w:r>
      <w:r>
        <w:rPr>
          <w:rFonts w:hint="eastAsia" w:ascii="仿宋" w:hAnsi="仿宋" w:eastAsia="仿宋" w:cs="仿宋"/>
          <w:color w:val="auto"/>
          <w:sz w:val="24"/>
          <w:highlight w:val="none"/>
          <w:lang w:val="en-US" w:eastAsia="zh-CN"/>
        </w:rPr>
        <w:t>范</w:t>
      </w:r>
      <w:r>
        <w:rPr>
          <w:rFonts w:hint="eastAsia" w:ascii="仿宋" w:hAnsi="仿宋" w:eastAsia="仿宋" w:cs="仿宋"/>
          <w:color w:val="auto"/>
          <w:sz w:val="24"/>
          <w:highlight w:val="none"/>
        </w:rPr>
        <w:t>》 (GB/T 44481—2024);</w:t>
      </w:r>
    </w:p>
    <w:p w14:paraId="7807487C">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2、国家有关消防技术设计及施工规范、标准 ；</w:t>
      </w:r>
    </w:p>
    <w:p w14:paraId="6A1CB661">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3、消防监督机构的审核意见、检查意见、备案记录等 ；</w:t>
      </w:r>
    </w:p>
    <w:p w14:paraId="501837C0">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4、受检建筑设计图纸和相关设计说明、 设计变更等。</w:t>
      </w:r>
    </w:p>
    <w:p w14:paraId="5FB3B24D">
      <w:pPr>
        <w:spacing w:line="5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四、检测收费及付款：</w:t>
      </w:r>
    </w:p>
    <w:p w14:paraId="7ACA59EE">
      <w:pPr>
        <w:spacing w:line="560" w:lineRule="exact"/>
        <w:ind w:firstLine="481"/>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1、本项目固定单价为       元／㎡（住宅类只算地下面积； 公建、厂房、人防、地下车库按消防审核面积结算）。甲方在合同签订提供正式检测报告后一周内支付乙方检测费用的50%,余款甲方在消防验收合格后一周内向乙方付清。</w:t>
      </w:r>
    </w:p>
    <w:p w14:paraId="19AE9B3D">
      <w:pPr>
        <w:spacing w:line="500" w:lineRule="exact"/>
        <w:ind w:firstLine="480" w:firstLineChars="20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本项目采用固定单价报价，按实际服务面积结算。若检测报告未经专家评审或经专家评审认为未达到规范要求的，则采购方不予支付相关费用。</w:t>
      </w:r>
    </w:p>
    <w:p w14:paraId="76FB501F">
      <w:pPr>
        <w:spacing w:line="560" w:lineRule="exact"/>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2、为体现优惠及服务，乙方免收甲方复检费用（标准应按复检项目检测收费的50%收取）。</w:t>
      </w:r>
    </w:p>
    <w:p w14:paraId="23989C2C">
      <w:pPr>
        <w:spacing w:line="5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五、检测条件：</w:t>
      </w:r>
    </w:p>
    <w:p w14:paraId="284E9994">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1、甲方消防工程均按照设计图纸、消防审核意见进行施工，且基本竣工； </w:t>
      </w:r>
    </w:p>
    <w:p w14:paraId="3F47EDF9">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甲方</w:t>
      </w:r>
      <w:r>
        <w:rPr>
          <w:rFonts w:hint="eastAsia" w:ascii="仿宋" w:hAnsi="仿宋" w:eastAsia="仿宋" w:cs="仿宋"/>
          <w:color w:val="auto"/>
          <w:sz w:val="24"/>
          <w:highlight w:val="none"/>
          <w:u w:val="single"/>
        </w:rPr>
        <w:t>电气系统</w:t>
      </w:r>
      <w:r>
        <w:rPr>
          <w:rFonts w:hint="eastAsia" w:ascii="仿宋" w:hAnsi="仿宋" w:eastAsia="仿宋" w:cs="仿宋"/>
          <w:color w:val="auto"/>
          <w:sz w:val="24"/>
          <w:highlight w:val="none"/>
        </w:rPr>
        <w:t>运行基本正常，水系统供水及功能调试正常；</w:t>
      </w:r>
    </w:p>
    <w:p w14:paraId="01F705CC">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2、甲方提供乙方报警系统地址码图，报警系统及联动设备调试正常；</w:t>
      </w:r>
    </w:p>
    <w:p w14:paraId="3C1801F7">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3、甲方提供的各种消防工程图纸、竣工资料、消防审核意见等基本齐全，并应真实有效。</w:t>
      </w:r>
    </w:p>
    <w:p w14:paraId="5360FB4E">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4、甲方提供的消防产品检测报告、合格证明材料齐全，并应真实有效。</w:t>
      </w:r>
    </w:p>
    <w:p w14:paraId="4CA37974">
      <w:pPr>
        <w:spacing w:line="5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六、检测时间：</w:t>
      </w:r>
    </w:p>
    <w:p w14:paraId="29EDB84B">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l、合同签订后，在甲方提供资料基本齐全，消防系统已开通具备检测条件后 ，甲方在每次检测前3日通知乙方检测，乙方在3日内安排首次检测。</w:t>
      </w:r>
    </w:p>
    <w:p w14:paraId="55BF4F2F">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2、在首次消防设施技术检测、二次复检结束后2日内分别出具检测问题反馈通知书。</w:t>
      </w:r>
    </w:p>
    <w:p w14:paraId="42C44E7A">
      <w:pPr>
        <w:spacing w:line="560" w:lineRule="exact"/>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3、终检结束、达到合格条件后乙方2 日内出具检测报告，并及时提交甲方及相关单位。</w:t>
      </w:r>
    </w:p>
    <w:p w14:paraId="5C66744D">
      <w:pPr>
        <w:spacing w:line="5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七、检测质量等要求：</w:t>
      </w:r>
    </w:p>
    <w:p w14:paraId="75C591DF">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l、乙方必须坚持第三方公正的立场，本着客观、公正的原则，严格遵照国家法律、法规和有关技术标准实施检测。所有人员的工作标准、行为规范等接受社会监督。</w:t>
      </w:r>
    </w:p>
    <w:p w14:paraId="60061D17">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2、乙方对本次检测所出具的问题反馈、检测报告、所述现状承担有关责任。由于甲方原因，非乙方所能控制的行为和因素而造成的后果，与乙方无关。</w:t>
      </w:r>
    </w:p>
    <w:p w14:paraId="29B36D6C">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3、乙方检测中发现的不符合项，由甲方组织对相应系统进行必要调整，达到合格判定标准。</w:t>
      </w:r>
    </w:p>
    <w:p w14:paraId="45FE00FC">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4、乙方对检测范围内的工作内容保证通过消防部门的验收。</w:t>
      </w:r>
    </w:p>
    <w:p w14:paraId="377F1A93">
      <w:pPr>
        <w:spacing w:line="5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八、有关配合：</w:t>
      </w:r>
    </w:p>
    <w:p w14:paraId="5128AFD2">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1、甲方指定           作为配合人员，联系电话：</w:t>
      </w:r>
    </w:p>
    <w:p w14:paraId="6EF92AF0">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乙方指定        负责检测联络工作，联系电话： </w:t>
      </w:r>
    </w:p>
    <w:p w14:paraId="4051C056">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2、乙方到甲方现场进行检测，甲方通知施工、消防设备相关专业人员全部到场配合乙方检测工作，重要或危险部位消防设施的操作由甲方人员安排进行，以确保系统安全及检测的顺利进行，避免意外情况发生。</w:t>
      </w:r>
    </w:p>
    <w:p w14:paraId="3CD4A2E1">
      <w:pPr>
        <w:spacing w:line="560" w:lineRule="exact"/>
        <w:rPr>
          <w:rFonts w:hint="eastAsia" w:ascii="仿宋" w:hAnsi="仿宋" w:eastAsia="仿宋" w:cs="仿宋"/>
          <w:color w:val="auto"/>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0288" behindDoc="1" locked="0" layoutInCell="1" allowOverlap="1">
                <wp:simplePos x="0" y="0"/>
                <wp:positionH relativeFrom="page">
                  <wp:posOffset>7158990</wp:posOffset>
                </wp:positionH>
                <wp:positionV relativeFrom="paragraph">
                  <wp:posOffset>143510</wp:posOffset>
                </wp:positionV>
                <wp:extent cx="189230" cy="895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9230" cy="89535"/>
                        </a:xfrm>
                        <a:prstGeom prst="rect">
                          <a:avLst/>
                        </a:prstGeom>
                        <a:noFill/>
                        <a:ln>
                          <a:noFill/>
                        </a:ln>
                      </wps:spPr>
                      <wps:txbx>
                        <w:txbxContent>
                          <w:p w14:paraId="1AAEBD73">
                            <w:pPr>
                              <w:spacing w:line="140" w:lineRule="exact"/>
                              <w:rPr>
                                <w:sz w:val="14"/>
                              </w:rPr>
                            </w:pPr>
                            <w:r>
                              <w:rPr>
                                <w:color w:val="E28CAA"/>
                                <w:w w:val="105"/>
                                <w:sz w:val="14"/>
                              </w:rPr>
                              <w:t>亡／</w:t>
                            </w:r>
                          </w:p>
                        </w:txbxContent>
                      </wps:txbx>
                      <wps:bodyPr lIns="0" tIns="0" rIns="0" bIns="0" upright="1"/>
                    </wps:wsp>
                  </a:graphicData>
                </a:graphic>
              </wp:anchor>
            </w:drawing>
          </mc:Choice>
          <mc:Fallback>
            <w:pict>
              <v:shape id="文本框 2" o:spid="_x0000_s1026" o:spt="202" type="#_x0000_t202" style="position:absolute;left:0pt;margin-left:563.7pt;margin-top:11.3pt;height:7.05pt;width:14.9pt;mso-position-horizontal-relative:page;z-index:-251656192;mso-width-relative:page;mso-height-relative:page;" filled="f" stroked="f" coordsize="21600,21600" o:gfxdata="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m61CNkAAAALAQAADwAAAAAAAAABACAAAAAiAAAAZHJzL2Rvd25yZXYueG1sUEsBAhQA&#10;FAAAAAgAh07iQD3q48+4AQAAcAMAAA4AAAAAAAAAAQAgAAAAKAEAAGRycy9lMm9Eb2MueG1sUEsF&#10;BgAAAAAGAAYAWQEAAFIFAAAAAA==&#10;">
                <v:fill on="f" focussize="0,0"/>
                <v:stroke on="f"/>
                <v:imagedata o:title=""/>
                <o:lock v:ext="edit" aspectratio="f"/>
                <v:textbox inset="0mm,0mm,0mm,0mm">
                  <w:txbxContent>
                    <w:p w14:paraId="1AAEBD73">
                      <w:pPr>
                        <w:spacing w:line="140" w:lineRule="exact"/>
                        <w:rPr>
                          <w:sz w:val="14"/>
                        </w:rPr>
                      </w:pPr>
                      <w:r>
                        <w:rPr>
                          <w:color w:val="E28CAA"/>
                          <w:w w:val="105"/>
                          <w:sz w:val="14"/>
                        </w:rPr>
                        <w:t>亡／</w:t>
                      </w:r>
                    </w:p>
                  </w:txbxContent>
                </v:textbox>
              </v:shape>
            </w:pict>
          </mc:Fallback>
        </mc:AlternateContent>
      </w:r>
      <w:r>
        <w:rPr>
          <w:rFonts w:hint="eastAsia" w:ascii="仿宋" w:hAnsi="仿宋" w:eastAsia="仿宋" w:cs="仿宋"/>
          <w:color w:val="auto"/>
          <w:sz w:val="24"/>
          <w:highlight w:val="none"/>
        </w:rPr>
        <w:t>3、甲方应在项目已调试、基本具备检测条件或问题已基本整改情况下通知乙方检测, 避免影响施工、耽误双方宝贵时间； 超过三次正常检测次数以上时根据情况将适当增加工本费用。</w:t>
      </w:r>
    </w:p>
    <w:p w14:paraId="3FB975D0">
      <w:pPr>
        <w:snapToGrid w:val="0"/>
        <w:spacing w:line="480" w:lineRule="exact"/>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九、有关年检： </w:t>
      </w:r>
    </w:p>
    <w:p w14:paraId="111AD4F3">
      <w:pPr>
        <w:snapToGrid w:val="0"/>
        <w:spacing w:line="48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根据《中华人民共和国消防法》、公安部第107 号令《消防监督检查规定》等规定，建筑消防设施每年至少进行一次全面检测 ，并进行维护保养，届时双方商定。</w:t>
      </w:r>
      <w:r>
        <w:rPr>
          <w:rFonts w:hint="eastAsia" w:ascii="仿宋" w:hAnsi="仿宋" w:eastAsia="仿宋" w:cs="仿宋"/>
          <w:color w:val="auto"/>
          <w:sz w:val="24"/>
          <w:highlight w:val="none"/>
        </w:rPr>
        <w:tab/>
      </w:r>
    </w:p>
    <w:p w14:paraId="4F89A84E">
      <w:pPr>
        <w:spacing w:line="5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十、有关违约：</w:t>
      </w:r>
    </w:p>
    <w:p w14:paraId="568D3AB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1、甲方单方面中止合同，甲方则按检测合同额的50%作为违约金赔偿乙方 。</w:t>
      </w:r>
    </w:p>
    <w:p w14:paraId="1873D47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2、乙方无特殊原因，单方面中止合同．乙方则按检测合同额的50%作为违约金赔偿甲方。</w:t>
      </w:r>
    </w:p>
    <w:p w14:paraId="236F857C">
      <w:pPr>
        <w:spacing w:line="5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十一、合同生效：</w:t>
      </w:r>
    </w:p>
    <w:p w14:paraId="079FA57F">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本合同在乙方按规定缴纳了履约保证金且甲乙双方签字盖章后即生效。纸质合同一式陆份，采购人、供应商各叁份。</w:t>
      </w:r>
    </w:p>
    <w:p w14:paraId="76439474">
      <w:pPr>
        <w:spacing w:line="5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十二、合同法律效力附件：</w:t>
      </w:r>
    </w:p>
    <w:p w14:paraId="6BA7D315">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1、甲乙双方因合同发生争议，应在采购单位的主持下进行调解，协商不成，任何一方可以向南通仲裁委员会申请仲裁解决。</w:t>
      </w:r>
    </w:p>
    <w:p w14:paraId="326F345D">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2、本合同未尽事宜可由双方另行协商补充，以下本合同附件和双方签约人注明明确意见的附件均为与本合同具有共同效力的法律文件。</w:t>
      </w:r>
    </w:p>
    <w:p w14:paraId="134B5E69">
      <w:pPr>
        <w:spacing w:line="360" w:lineRule="auto"/>
        <w:ind w:firstLine="539"/>
        <w:rPr>
          <w:rFonts w:hint="eastAsia" w:ascii="仿宋" w:hAnsi="仿宋" w:eastAsia="仿宋" w:cs="仿宋"/>
          <w:color w:val="auto"/>
          <w:kern w:val="0"/>
          <w:sz w:val="24"/>
          <w:highlight w:val="none"/>
        </w:rPr>
      </w:pPr>
    </w:p>
    <w:p w14:paraId="6B1DB6FD">
      <w:pPr>
        <w:pStyle w:val="5"/>
        <w:rPr>
          <w:rFonts w:hint="eastAsia" w:ascii="仿宋" w:hAnsi="仿宋" w:eastAsia="仿宋" w:cs="仿宋"/>
          <w:color w:val="auto"/>
          <w:highlight w:val="none"/>
        </w:rPr>
      </w:pPr>
    </w:p>
    <w:p w14:paraId="1837E859">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甲方：                                乙方：</w:t>
      </w:r>
    </w:p>
    <w:p w14:paraId="6ACF2B27">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单位名称：                            单位名称：</w:t>
      </w:r>
    </w:p>
    <w:p w14:paraId="598363CB">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单位地址：                            单位地址：</w:t>
      </w:r>
    </w:p>
    <w:p w14:paraId="2E7E8DD9">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                          法定代表人：</w:t>
      </w:r>
    </w:p>
    <w:p w14:paraId="59D32116">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委托代理人：                          委托代理人：</w:t>
      </w:r>
    </w:p>
    <w:p w14:paraId="71554C01">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      话：                          电      话：</w:t>
      </w:r>
    </w:p>
    <w:p w14:paraId="71CED9E9">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                            开户银行：</w:t>
      </w:r>
    </w:p>
    <w:p w14:paraId="5B4E41DF">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                                账号：</w:t>
      </w:r>
    </w:p>
    <w:p w14:paraId="6099F380">
      <w:pPr>
        <w:spacing w:line="360" w:lineRule="auto"/>
        <w:rPr>
          <w:rFonts w:hint="eastAsia" w:ascii="仿宋" w:hAnsi="仿宋" w:eastAsia="仿宋" w:cs="仿宋"/>
          <w:color w:val="auto"/>
          <w:kern w:val="0"/>
          <w:sz w:val="24"/>
          <w:highlight w:val="none"/>
        </w:rPr>
        <w:sectPr>
          <w:headerReference r:id="rId5" w:type="default"/>
          <w:footerReference r:id="rId6" w:type="default"/>
          <w:footerReference r:id="rId7" w:type="even"/>
          <w:pgSz w:w="11906" w:h="16838"/>
          <w:pgMar w:top="1440" w:right="1274" w:bottom="1402" w:left="1800" w:header="851" w:footer="992" w:gutter="0"/>
          <w:cols w:space="425" w:num="1"/>
          <w:docGrid w:type="lines" w:linePitch="312" w:charSpace="0"/>
        </w:sectPr>
      </w:pPr>
      <w:r>
        <w:rPr>
          <w:rFonts w:hint="eastAsia" w:ascii="仿宋" w:hAnsi="仿宋" w:eastAsia="仿宋" w:cs="仿宋"/>
          <w:color w:val="auto"/>
          <w:kern w:val="0"/>
          <w:sz w:val="24"/>
          <w:highlight w:val="none"/>
        </w:rPr>
        <w:t>日期：                                日期：</w:t>
      </w:r>
    </w:p>
    <w:p w14:paraId="64CB1D20">
      <w:pPr>
        <w:pStyle w:val="31"/>
        <w:jc w:val="left"/>
        <w:rPr>
          <w:rFonts w:hint="eastAsia" w:ascii="仿宋" w:hAnsi="仿宋" w:eastAsia="仿宋" w:cs="仿宋"/>
          <w:color w:val="auto"/>
          <w:highlight w:val="none"/>
        </w:rPr>
      </w:pPr>
    </w:p>
    <w:p w14:paraId="192851C0">
      <w:pPr>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第三章  投标文件格式</w:t>
      </w:r>
      <w:bookmarkEnd w:id="46"/>
      <w:bookmarkEnd w:id="47"/>
    </w:p>
    <w:p w14:paraId="472A96E7">
      <w:pPr>
        <w:pStyle w:val="70"/>
        <w:outlineLvl w:val="2"/>
        <w:rPr>
          <w:rFonts w:hint="eastAsia" w:ascii="仿宋" w:hAnsi="仿宋" w:eastAsia="仿宋" w:cs="仿宋"/>
          <w:b w:val="0"/>
          <w:bCs w:val="0"/>
          <w:color w:val="auto"/>
          <w:szCs w:val="21"/>
          <w:highlight w:val="none"/>
        </w:rPr>
      </w:pPr>
      <w:bookmarkStart w:id="48" w:name="_Toc2861300"/>
      <w:bookmarkStart w:id="49" w:name="_Toc31501"/>
      <w:bookmarkStart w:id="50" w:name="_Toc1420"/>
      <w:r>
        <w:rPr>
          <w:rFonts w:hint="eastAsia" w:ascii="仿宋" w:hAnsi="仿宋" w:eastAsia="仿宋" w:cs="仿宋"/>
          <w:color w:val="auto"/>
          <w:highlight w:val="none"/>
        </w:rPr>
        <w:t>一、</w:t>
      </w:r>
      <w:r>
        <w:rPr>
          <w:rFonts w:hint="eastAsia" w:ascii="仿宋" w:hAnsi="仿宋" w:eastAsia="仿宋" w:cs="仿宋"/>
          <w:color w:val="auto"/>
          <w:highlight w:val="none"/>
          <w:lang w:val="en-US" w:eastAsia="zh-CN"/>
        </w:rPr>
        <w:t>价格</w:t>
      </w:r>
      <w:r>
        <w:rPr>
          <w:rFonts w:hint="eastAsia" w:ascii="仿宋" w:hAnsi="仿宋" w:eastAsia="仿宋" w:cs="仿宋"/>
          <w:b w:val="0"/>
          <w:bCs w:val="0"/>
          <w:color w:val="auto"/>
          <w:highlight w:val="none"/>
        </w:rPr>
        <w:t>标文件格式</w:t>
      </w:r>
      <w:bookmarkEnd w:id="48"/>
      <w:bookmarkEnd w:id="49"/>
      <w:bookmarkEnd w:id="50"/>
    </w:p>
    <w:p w14:paraId="1A03C951">
      <w:pPr>
        <w:pStyle w:val="29"/>
        <w:spacing w:line="360" w:lineRule="auto"/>
        <w:ind w:firstLine="880" w:firstLineChars="200"/>
        <w:jc w:val="right"/>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bdr w:val="single" w:color="000000" w:sz="4" w:space="0"/>
        </w:rPr>
        <w:t>正本/副本</w:t>
      </w:r>
    </w:p>
    <w:p w14:paraId="4D03A104">
      <w:pPr>
        <w:spacing w:line="360" w:lineRule="auto"/>
        <w:ind w:firstLine="597"/>
        <w:jc w:val="center"/>
        <w:rPr>
          <w:rFonts w:hint="eastAsia" w:ascii="仿宋" w:hAnsi="仿宋" w:eastAsia="仿宋" w:cs="仿宋"/>
          <w:color w:val="auto"/>
          <w:highlight w:val="none"/>
        </w:rPr>
      </w:pPr>
    </w:p>
    <w:p w14:paraId="46D1A489">
      <w:pPr>
        <w:spacing w:line="360" w:lineRule="auto"/>
        <w:ind w:right="566"/>
        <w:rPr>
          <w:rFonts w:hint="eastAsia" w:ascii="仿宋" w:hAnsi="仿宋" w:eastAsia="仿宋" w:cs="仿宋"/>
          <w:b/>
          <w:color w:val="auto"/>
          <w:sz w:val="28"/>
          <w:highlight w:val="none"/>
        </w:rPr>
      </w:pPr>
    </w:p>
    <w:p w14:paraId="4A6D6D0F">
      <w:pPr>
        <w:spacing w:line="360" w:lineRule="auto"/>
        <w:jc w:val="center"/>
        <w:rPr>
          <w:rFonts w:hint="eastAsia" w:ascii="仿宋" w:hAnsi="仿宋" w:eastAsia="仿宋" w:cs="仿宋"/>
          <w:b/>
          <w:color w:val="auto"/>
          <w:sz w:val="32"/>
          <w:highlight w:val="none"/>
        </w:rPr>
      </w:pPr>
    </w:p>
    <w:p w14:paraId="24471D06">
      <w:pPr>
        <w:spacing w:beforeLines="50" w:afterLines="50" w:line="360" w:lineRule="auto"/>
        <w:ind w:firstLine="643" w:firstLineChars="200"/>
        <w:jc w:val="center"/>
        <w:rPr>
          <w:rFonts w:hint="eastAsia" w:ascii="仿宋" w:hAnsi="仿宋" w:eastAsia="仿宋" w:cs="仿宋"/>
          <w:b/>
          <w:color w:val="auto"/>
          <w:sz w:val="48"/>
          <w:szCs w:val="48"/>
          <w:highlight w:val="none"/>
        </w:rPr>
      </w:pPr>
      <w:r>
        <w:rPr>
          <w:rFonts w:hint="eastAsia" w:ascii="仿宋" w:hAnsi="仿宋" w:eastAsia="仿宋" w:cs="仿宋"/>
          <w:b/>
          <w:color w:val="auto"/>
          <w:sz w:val="32"/>
          <w:szCs w:val="48"/>
          <w:highlight w:val="none"/>
          <w:u w:val="single"/>
        </w:rPr>
        <w:t xml:space="preserve">     （项目名称）     </w:t>
      </w:r>
      <w:r>
        <w:rPr>
          <w:rFonts w:hint="eastAsia" w:ascii="仿宋" w:hAnsi="仿宋" w:eastAsia="仿宋" w:cs="仿宋"/>
          <w:b/>
          <w:color w:val="auto"/>
          <w:sz w:val="32"/>
          <w:szCs w:val="48"/>
          <w:highlight w:val="none"/>
        </w:rPr>
        <w:t>招标</w:t>
      </w:r>
    </w:p>
    <w:p w14:paraId="068BA653">
      <w:pPr>
        <w:spacing w:beforeLines="50" w:line="360" w:lineRule="auto"/>
        <w:jc w:val="center"/>
        <w:rPr>
          <w:rFonts w:hint="eastAsia" w:ascii="仿宋" w:hAnsi="仿宋" w:eastAsia="仿宋" w:cs="仿宋"/>
          <w:color w:val="auto"/>
          <w:sz w:val="28"/>
          <w:szCs w:val="28"/>
          <w:highlight w:val="none"/>
        </w:rPr>
      </w:pPr>
    </w:p>
    <w:p w14:paraId="16807431">
      <w:pPr>
        <w:spacing w:beforeLines="50" w:line="360" w:lineRule="auto"/>
        <w:jc w:val="center"/>
        <w:rPr>
          <w:rFonts w:hint="eastAsia" w:ascii="仿宋" w:hAnsi="仿宋" w:eastAsia="仿宋" w:cs="仿宋"/>
          <w:color w:val="auto"/>
          <w:sz w:val="28"/>
          <w:szCs w:val="28"/>
          <w:highlight w:val="none"/>
        </w:rPr>
      </w:pPr>
    </w:p>
    <w:p w14:paraId="28BCC58D">
      <w:pPr>
        <w:spacing w:beforeLines="50" w:line="360" w:lineRule="auto"/>
        <w:jc w:val="center"/>
        <w:rPr>
          <w:rFonts w:hint="eastAsia" w:ascii="仿宋" w:hAnsi="仿宋" w:eastAsia="仿宋" w:cs="仿宋"/>
          <w:color w:val="auto"/>
          <w:sz w:val="52"/>
          <w:szCs w:val="44"/>
          <w:highlight w:val="none"/>
        </w:rPr>
      </w:pPr>
      <w:r>
        <w:rPr>
          <w:rFonts w:hint="eastAsia" w:ascii="仿宋" w:hAnsi="仿宋" w:eastAsia="仿宋" w:cs="仿宋"/>
          <w:color w:val="auto"/>
          <w:sz w:val="52"/>
          <w:szCs w:val="44"/>
          <w:highlight w:val="none"/>
          <w:lang w:val="en-US" w:eastAsia="zh-CN"/>
        </w:rPr>
        <w:t>价格</w:t>
      </w:r>
      <w:r>
        <w:rPr>
          <w:rFonts w:hint="eastAsia" w:ascii="仿宋" w:hAnsi="仿宋" w:eastAsia="仿宋" w:cs="仿宋"/>
          <w:color w:val="auto"/>
          <w:sz w:val="52"/>
          <w:szCs w:val="44"/>
          <w:highlight w:val="none"/>
        </w:rPr>
        <w:t>标文件</w:t>
      </w:r>
    </w:p>
    <w:p w14:paraId="001F8455">
      <w:pPr>
        <w:spacing w:beforeLines="50" w:line="360" w:lineRule="auto"/>
        <w:rPr>
          <w:rFonts w:hint="eastAsia" w:ascii="仿宋" w:hAnsi="仿宋" w:eastAsia="仿宋" w:cs="仿宋"/>
          <w:color w:val="auto"/>
          <w:sz w:val="44"/>
          <w:szCs w:val="44"/>
          <w:highlight w:val="none"/>
        </w:rPr>
      </w:pPr>
    </w:p>
    <w:p w14:paraId="02A0DC94">
      <w:pPr>
        <w:spacing w:beforeLines="50" w:line="360" w:lineRule="auto"/>
        <w:jc w:val="center"/>
        <w:rPr>
          <w:rFonts w:hint="eastAsia" w:ascii="仿宋" w:hAnsi="仿宋" w:eastAsia="仿宋" w:cs="仿宋"/>
          <w:color w:val="auto"/>
          <w:sz w:val="32"/>
          <w:szCs w:val="32"/>
          <w:highlight w:val="none"/>
        </w:rPr>
      </w:pPr>
    </w:p>
    <w:p w14:paraId="67E11A6C">
      <w:pPr>
        <w:spacing w:beforeLines="50" w:line="360" w:lineRule="auto"/>
        <w:jc w:val="center"/>
        <w:rPr>
          <w:rFonts w:hint="eastAsia" w:ascii="仿宋" w:hAnsi="仿宋" w:eastAsia="仿宋" w:cs="仿宋"/>
          <w:color w:val="auto"/>
          <w:sz w:val="32"/>
          <w:szCs w:val="32"/>
          <w:highlight w:val="none"/>
        </w:rPr>
      </w:pPr>
    </w:p>
    <w:p w14:paraId="643698C1">
      <w:pPr>
        <w:spacing w:line="360" w:lineRule="auto"/>
        <w:ind w:right="566" w:firstLine="562" w:firstLineChars="200"/>
        <w:rPr>
          <w:rFonts w:hint="eastAsia" w:ascii="仿宋" w:hAnsi="仿宋" w:eastAsia="仿宋" w:cs="仿宋"/>
          <w:b/>
          <w:color w:val="auto"/>
          <w:sz w:val="28"/>
          <w:highlight w:val="none"/>
          <w:u w:val="single"/>
        </w:rPr>
      </w:pPr>
      <w:bookmarkStart w:id="51" w:name="_Toc6603"/>
      <w:bookmarkStart w:id="52" w:name="_Toc8945"/>
      <w:r>
        <w:rPr>
          <w:rFonts w:hint="eastAsia" w:ascii="仿宋" w:hAnsi="仿宋" w:eastAsia="仿宋" w:cs="仿宋"/>
          <w:b/>
          <w:color w:val="auto"/>
          <w:sz w:val="28"/>
          <w:highlight w:val="none"/>
        </w:rPr>
        <w:t>投标人：</w:t>
      </w:r>
      <w:r>
        <w:rPr>
          <w:rFonts w:hint="eastAsia" w:ascii="仿宋" w:hAnsi="仿宋" w:eastAsia="仿宋" w:cs="仿宋"/>
          <w:b/>
          <w:color w:val="auto"/>
          <w:sz w:val="28"/>
          <w:highlight w:val="none"/>
          <w:u w:val="single"/>
        </w:rPr>
        <w:t>（盖章）</w:t>
      </w:r>
      <w:bookmarkEnd w:id="51"/>
      <w:bookmarkEnd w:id="52"/>
    </w:p>
    <w:p w14:paraId="169D18AB">
      <w:pPr>
        <w:spacing w:line="360" w:lineRule="auto"/>
        <w:ind w:firstLine="562" w:firstLineChars="200"/>
        <w:rPr>
          <w:rFonts w:hint="eastAsia" w:ascii="仿宋" w:hAnsi="仿宋" w:eastAsia="仿宋" w:cs="仿宋"/>
          <w:b/>
          <w:color w:val="auto"/>
          <w:sz w:val="28"/>
          <w:highlight w:val="none"/>
          <w:u w:val="single"/>
        </w:rPr>
      </w:pPr>
      <w:bookmarkStart w:id="53" w:name="_Toc20102"/>
      <w:bookmarkStart w:id="54" w:name="_Toc18068"/>
      <w:r>
        <w:rPr>
          <w:rFonts w:hint="eastAsia" w:ascii="仿宋" w:hAnsi="仿宋" w:eastAsia="仿宋" w:cs="仿宋"/>
          <w:b/>
          <w:color w:val="auto"/>
          <w:sz w:val="28"/>
          <w:highlight w:val="none"/>
        </w:rPr>
        <w:t>法定代表人或其委托代理人：（签字或盖章）</w:t>
      </w:r>
      <w:bookmarkEnd w:id="53"/>
      <w:bookmarkEnd w:id="54"/>
    </w:p>
    <w:p w14:paraId="51BE34F4">
      <w:pPr>
        <w:spacing w:line="360" w:lineRule="auto"/>
        <w:ind w:firstLine="562" w:firstLineChars="200"/>
        <w:rPr>
          <w:rFonts w:hint="eastAsia" w:ascii="仿宋" w:hAnsi="仿宋" w:eastAsia="仿宋" w:cs="仿宋"/>
          <w:b/>
          <w:color w:val="auto"/>
          <w:sz w:val="28"/>
          <w:highlight w:val="none"/>
          <w:u w:val="single"/>
        </w:rPr>
      </w:pPr>
      <w:bookmarkStart w:id="55" w:name="_Toc12513"/>
      <w:bookmarkStart w:id="56" w:name="_Toc9697"/>
      <w:r>
        <w:rPr>
          <w:rFonts w:hint="eastAsia" w:ascii="仿宋" w:hAnsi="仿宋" w:eastAsia="仿宋" w:cs="仿宋"/>
          <w:b/>
          <w:color w:val="auto"/>
          <w:sz w:val="28"/>
          <w:highlight w:val="none"/>
        </w:rPr>
        <w:t>地址：</w:t>
      </w:r>
      <w:bookmarkEnd w:id="55"/>
      <w:bookmarkEnd w:id="56"/>
    </w:p>
    <w:p w14:paraId="3CD29FA9">
      <w:pPr>
        <w:spacing w:line="360" w:lineRule="auto"/>
        <w:ind w:firstLine="562" w:firstLineChars="200"/>
        <w:rPr>
          <w:rFonts w:hint="eastAsia" w:ascii="仿宋" w:hAnsi="仿宋" w:eastAsia="仿宋" w:cs="仿宋"/>
          <w:color w:val="auto"/>
          <w:highlight w:val="none"/>
        </w:rPr>
      </w:pPr>
      <w:bookmarkStart w:id="57" w:name="_Toc12363"/>
      <w:bookmarkStart w:id="58" w:name="_Toc11735"/>
      <w:r>
        <w:rPr>
          <w:rFonts w:hint="eastAsia" w:ascii="仿宋" w:hAnsi="仿宋" w:eastAsia="仿宋" w:cs="仿宋"/>
          <w:b/>
          <w:color w:val="auto"/>
          <w:sz w:val="28"/>
          <w:highlight w:val="none"/>
        </w:rPr>
        <w:t>日期：  年  月  日</w:t>
      </w:r>
      <w:bookmarkEnd w:id="57"/>
      <w:bookmarkEnd w:id="58"/>
    </w:p>
    <w:p w14:paraId="7909B833">
      <w:pPr>
        <w:spacing w:afterLines="100" w:line="360" w:lineRule="auto"/>
        <w:rPr>
          <w:rFonts w:hint="eastAsia" w:ascii="仿宋" w:hAnsi="仿宋" w:eastAsia="仿宋" w:cs="仿宋"/>
          <w:b/>
          <w:color w:val="auto"/>
          <w:sz w:val="36"/>
          <w:highlight w:val="none"/>
        </w:rPr>
      </w:pPr>
      <w:bookmarkStart w:id="59" w:name="_Toc6608"/>
      <w:bookmarkStart w:id="60" w:name="_Toc17225"/>
    </w:p>
    <w:p w14:paraId="0AE5DE79">
      <w:pPr>
        <w:pStyle w:val="17"/>
        <w:rPr>
          <w:rFonts w:hint="eastAsia" w:ascii="仿宋" w:hAnsi="仿宋" w:eastAsia="仿宋" w:cs="仿宋"/>
          <w:color w:val="auto"/>
          <w:highlight w:val="none"/>
        </w:rPr>
      </w:pPr>
    </w:p>
    <w:p w14:paraId="44695AEF">
      <w:pPr>
        <w:spacing w:afterLines="100" w:line="360" w:lineRule="auto"/>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一、投标函</w:t>
      </w:r>
      <w:bookmarkEnd w:id="59"/>
      <w:bookmarkEnd w:id="60"/>
    </w:p>
    <w:p w14:paraId="539FB2B2">
      <w:pPr>
        <w:spacing w:line="360" w:lineRule="auto"/>
        <w:rPr>
          <w:rFonts w:hint="eastAsia" w:ascii="仿宋" w:hAnsi="仿宋" w:eastAsia="仿宋" w:cs="仿宋"/>
          <w:color w:val="auto"/>
          <w:sz w:val="24"/>
          <w:szCs w:val="24"/>
          <w:highlight w:val="none"/>
        </w:rPr>
      </w:pPr>
      <w:bookmarkStart w:id="61" w:name="_Toc132"/>
      <w:bookmarkStart w:id="62" w:name="_Toc12809"/>
      <w:r>
        <w:rPr>
          <w:rFonts w:hint="eastAsia" w:ascii="仿宋" w:hAnsi="仿宋" w:eastAsia="仿宋" w:cs="仿宋"/>
          <w:color w:val="auto"/>
          <w:sz w:val="24"/>
          <w:szCs w:val="24"/>
          <w:highlight w:val="none"/>
          <w:u w:val="single"/>
        </w:rPr>
        <w:t>(招标人名称)</w:t>
      </w:r>
      <w:r>
        <w:rPr>
          <w:rFonts w:hint="eastAsia" w:ascii="仿宋" w:hAnsi="仿宋" w:eastAsia="仿宋" w:cs="仿宋"/>
          <w:color w:val="auto"/>
          <w:sz w:val="24"/>
          <w:szCs w:val="24"/>
          <w:highlight w:val="none"/>
        </w:rPr>
        <w:t>：</w:t>
      </w:r>
    </w:p>
    <w:p w14:paraId="032B3074">
      <w:pPr>
        <w:spacing w:line="360" w:lineRule="auto"/>
        <w:ind w:firstLine="480" w:firstLineChars="200"/>
        <w:jc w:val="left"/>
        <w:rPr>
          <w:rFonts w:hint="eastAsia" w:ascii="仿宋" w:hAnsi="仿宋" w:eastAsia="仿宋" w:cs="仿宋"/>
          <w:b/>
          <w:bCs/>
          <w:color w:val="auto"/>
          <w:sz w:val="24"/>
          <w:szCs w:val="24"/>
          <w:highlight w:val="none"/>
          <w:u w:val="single"/>
        </w:rPr>
      </w:pPr>
      <w:r>
        <w:rPr>
          <w:rFonts w:hint="eastAsia" w:ascii="仿宋" w:hAnsi="仿宋" w:eastAsia="仿宋" w:cs="仿宋"/>
          <w:color w:val="auto"/>
          <w:sz w:val="24"/>
          <w:szCs w:val="24"/>
          <w:highlight w:val="none"/>
        </w:rPr>
        <w:t>（一）我方已全面阅读和研究了</w:t>
      </w:r>
      <w:r>
        <w:rPr>
          <w:rFonts w:hint="eastAsia" w:ascii="仿宋" w:hAnsi="仿宋" w:eastAsia="仿宋" w:cs="仿宋"/>
          <w:color w:val="auto"/>
          <w:sz w:val="24"/>
          <w:szCs w:val="24"/>
          <w:highlight w:val="none"/>
          <w:u w:val="single"/>
        </w:rPr>
        <w:t>(招标工程名称)</w:t>
      </w:r>
      <w:r>
        <w:rPr>
          <w:rFonts w:hint="eastAsia" w:ascii="仿宋" w:hAnsi="仿宋" w:eastAsia="仿宋" w:cs="仿宋"/>
          <w:color w:val="auto"/>
          <w:sz w:val="24"/>
          <w:szCs w:val="24"/>
          <w:highlight w:val="none"/>
        </w:rPr>
        <w:t>项目招标文件和招标补充文件</w:t>
      </w:r>
      <w:r>
        <w:rPr>
          <w:rFonts w:hint="eastAsia" w:ascii="仿宋" w:hAnsi="仿宋" w:eastAsia="仿宋" w:cs="仿宋"/>
          <w:color w:val="auto"/>
          <w:sz w:val="24"/>
          <w:szCs w:val="24"/>
          <w:highlight w:val="none"/>
          <w:u w:val="single"/>
        </w:rPr>
        <w:t>（如有）</w:t>
      </w:r>
      <w:r>
        <w:rPr>
          <w:rFonts w:hint="eastAsia" w:ascii="仿宋" w:hAnsi="仿宋" w:eastAsia="仿宋" w:cs="仿宋"/>
          <w:color w:val="auto"/>
          <w:sz w:val="24"/>
          <w:szCs w:val="24"/>
          <w:highlight w:val="none"/>
        </w:rPr>
        <w:t>，并经过现场踏勘，澄清疑问，充分理解并掌握本工程招标的全部有关情况。现经我方认真分析研究，同意接受招标文件的全部要约条件，并按此确定本工程检测投标的各项承诺内容。本单位愿以消防检测费报价为：</w:t>
      </w:r>
      <w:r>
        <w:rPr>
          <w:rFonts w:hint="eastAsia" w:ascii="仿宋" w:hAnsi="仿宋" w:eastAsia="仿宋" w:cs="仿宋"/>
          <w:color w:val="auto"/>
          <w:sz w:val="24"/>
          <w:szCs w:val="24"/>
          <w:highlight w:val="none"/>
          <w:u w:val="single"/>
        </w:rPr>
        <w:t xml:space="preserve">     元/平方米</w:t>
      </w:r>
      <w:r>
        <w:rPr>
          <w:rFonts w:hint="eastAsia" w:ascii="仿宋" w:hAnsi="仿宋" w:eastAsia="仿宋" w:cs="仿宋"/>
          <w:color w:val="auto"/>
          <w:sz w:val="24"/>
          <w:szCs w:val="24"/>
          <w:highlight w:val="none"/>
        </w:rPr>
        <w:t>，承担本工程的全部消防检测任务以及后期配合服务。</w:t>
      </w:r>
    </w:p>
    <w:p w14:paraId="72C4DA9D">
      <w:pPr>
        <w:pStyle w:val="5"/>
        <w:spacing w:line="5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（二）如我单位中标，我单位保证按投标文件中的报价和招标文件中的时间要求完成消防检测任务，并按有关程序和规定确保通过有关部门的审查。</w:t>
      </w:r>
    </w:p>
    <w:p w14:paraId="1FDB9425">
      <w:pPr>
        <w:pStyle w:val="5"/>
        <w:spacing w:line="5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（三）一旦我方中标，将组建项目负责人</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和其他主要检测员完成本项目的全部检测工作，保证在未征得招标人同意的前提下不变更项目负责人，保证按招标文件规定的服务期完成检测并提供相应的检测报告。</w:t>
      </w:r>
    </w:p>
    <w:p w14:paraId="2BBC2DFA">
      <w:pPr>
        <w:pStyle w:val="5"/>
        <w:spacing w:line="5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（四）我单位保证检测质量达到国家或专业的质量检验规定的标准，按照国家行业标准等相关文件精神执行。</w:t>
      </w:r>
    </w:p>
    <w:p w14:paraId="66FBF321">
      <w:pPr>
        <w:pStyle w:val="5"/>
        <w:spacing w:line="5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（五）贵单位的招标文件、中标通知书和本投标文件将构成约束我们双方的合同。若本投标文件与贵单位的招标文件有不一致，以贵单位的招标文件为准。</w:t>
      </w:r>
    </w:p>
    <w:p w14:paraId="10D08C07">
      <w:pPr>
        <w:pStyle w:val="5"/>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（六）如果我方中标，我方将按照招标文件规定递交履约保证金。</w:t>
      </w:r>
    </w:p>
    <w:p w14:paraId="4B8436F4">
      <w:pPr>
        <w:spacing w:line="360" w:lineRule="auto"/>
        <w:ind w:firstLine="480" w:firstLineChars="200"/>
        <w:rPr>
          <w:rFonts w:hint="eastAsia" w:ascii="仿宋" w:hAnsi="仿宋" w:eastAsia="仿宋" w:cs="仿宋"/>
          <w:color w:val="auto"/>
          <w:sz w:val="24"/>
          <w:szCs w:val="24"/>
          <w:highlight w:val="none"/>
        </w:rPr>
      </w:pPr>
    </w:p>
    <w:p w14:paraId="45B6B279">
      <w:pPr>
        <w:pStyle w:val="5"/>
        <w:spacing w:line="5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1F373EBE">
      <w:pPr>
        <w:pStyle w:val="5"/>
        <w:spacing w:line="5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法定代表或授权代表：（签字）</w:t>
      </w:r>
    </w:p>
    <w:p w14:paraId="2778AD7C">
      <w:pPr>
        <w:pStyle w:val="5"/>
        <w:spacing w:line="5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        邮编：</w:t>
      </w:r>
    </w:p>
    <w:p w14:paraId="405EDDE6">
      <w:pPr>
        <w:pStyle w:val="5"/>
        <w:spacing w:line="5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          电话：</w:t>
      </w:r>
    </w:p>
    <w:p w14:paraId="7FC30332">
      <w:pPr>
        <w:spacing w:line="360" w:lineRule="auto"/>
        <w:ind w:firstLine="537" w:firstLineChars="224"/>
        <w:rPr>
          <w:rFonts w:hint="eastAsia" w:ascii="仿宋" w:hAnsi="仿宋" w:eastAsia="仿宋" w:cs="仿宋"/>
          <w:color w:val="auto"/>
          <w:sz w:val="24"/>
          <w:szCs w:val="24"/>
          <w:highlight w:val="none"/>
        </w:rPr>
      </w:pPr>
    </w:p>
    <w:p w14:paraId="459E8DB5">
      <w:pPr>
        <w:wordWrap w:val="0"/>
        <w:spacing w:line="360" w:lineRule="auto"/>
        <w:ind w:firstLine="480" w:firstLineChars="200"/>
        <w:jc w:val="righ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年  月  日</w:t>
      </w:r>
    </w:p>
    <w:p w14:paraId="778C6FF2">
      <w:pPr>
        <w:spacing w:afterLines="50" w:line="360" w:lineRule="auto"/>
        <w:jc w:val="center"/>
        <w:rPr>
          <w:rFonts w:hint="eastAsia" w:ascii="仿宋" w:hAnsi="仿宋" w:eastAsia="仿宋" w:cs="仿宋"/>
          <w:b/>
          <w:color w:val="auto"/>
          <w:sz w:val="24"/>
          <w:szCs w:val="24"/>
          <w:highlight w:val="none"/>
        </w:rPr>
      </w:pPr>
    </w:p>
    <w:p w14:paraId="42C55558">
      <w:pPr>
        <w:pStyle w:val="31"/>
        <w:rPr>
          <w:rFonts w:hint="eastAsia" w:ascii="仿宋" w:hAnsi="仿宋" w:eastAsia="仿宋" w:cs="仿宋"/>
          <w:color w:val="auto"/>
          <w:highlight w:val="none"/>
        </w:rPr>
      </w:pPr>
    </w:p>
    <w:p w14:paraId="6754EE90">
      <w:pPr>
        <w:spacing w:afterLines="50" w:line="360" w:lineRule="auto"/>
        <w:jc w:val="center"/>
        <w:rPr>
          <w:rFonts w:hint="eastAsia" w:ascii="仿宋" w:hAnsi="仿宋" w:eastAsia="仿宋" w:cs="仿宋"/>
          <w:b/>
          <w:color w:val="auto"/>
          <w:sz w:val="24"/>
          <w:szCs w:val="24"/>
          <w:highlight w:val="none"/>
        </w:rPr>
      </w:pPr>
    </w:p>
    <w:bookmarkEnd w:id="61"/>
    <w:bookmarkEnd w:id="62"/>
    <w:p w14:paraId="419565BD">
      <w:pPr>
        <w:pStyle w:val="70"/>
        <w:outlineLvl w:val="2"/>
        <w:rPr>
          <w:rFonts w:hint="eastAsia" w:ascii="仿宋" w:hAnsi="仿宋" w:eastAsia="仿宋" w:cs="仿宋"/>
          <w:b w:val="0"/>
          <w:bCs w:val="0"/>
          <w:color w:val="auto"/>
          <w:szCs w:val="21"/>
          <w:highlight w:val="none"/>
        </w:rPr>
      </w:pPr>
      <w:bookmarkStart w:id="63" w:name="_Toc14565"/>
      <w:bookmarkStart w:id="64" w:name="_Toc2861302"/>
      <w:bookmarkStart w:id="65" w:name="_Toc29834"/>
      <w:r>
        <w:rPr>
          <w:rFonts w:hint="eastAsia" w:ascii="仿宋" w:hAnsi="仿宋" w:eastAsia="仿宋" w:cs="仿宋"/>
          <w:color w:val="auto"/>
          <w:highlight w:val="none"/>
        </w:rPr>
        <w:t>二、</w:t>
      </w:r>
      <w:r>
        <w:rPr>
          <w:rFonts w:hint="eastAsia" w:ascii="仿宋" w:hAnsi="仿宋" w:eastAsia="仿宋" w:cs="仿宋"/>
          <w:b w:val="0"/>
          <w:bCs w:val="0"/>
          <w:color w:val="auto"/>
          <w:highlight w:val="none"/>
        </w:rPr>
        <w:t>资格证明文件格式</w:t>
      </w:r>
      <w:bookmarkEnd w:id="63"/>
      <w:bookmarkEnd w:id="64"/>
      <w:bookmarkEnd w:id="65"/>
    </w:p>
    <w:p w14:paraId="08C347E3">
      <w:pPr>
        <w:pStyle w:val="29"/>
        <w:spacing w:line="360" w:lineRule="auto"/>
        <w:ind w:firstLine="880" w:firstLineChars="200"/>
        <w:jc w:val="right"/>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bdr w:val="single" w:color="000000" w:sz="4" w:space="0"/>
        </w:rPr>
        <w:t>正本/副本</w:t>
      </w:r>
    </w:p>
    <w:p w14:paraId="2578A621">
      <w:pPr>
        <w:spacing w:line="360" w:lineRule="auto"/>
        <w:ind w:firstLine="597"/>
        <w:jc w:val="center"/>
        <w:rPr>
          <w:rFonts w:hint="eastAsia" w:ascii="仿宋" w:hAnsi="仿宋" w:eastAsia="仿宋" w:cs="仿宋"/>
          <w:color w:val="auto"/>
          <w:highlight w:val="none"/>
        </w:rPr>
      </w:pPr>
    </w:p>
    <w:p w14:paraId="08ABA5E4">
      <w:pPr>
        <w:spacing w:line="360" w:lineRule="auto"/>
        <w:ind w:right="566"/>
        <w:rPr>
          <w:rFonts w:hint="eastAsia" w:ascii="仿宋" w:hAnsi="仿宋" w:eastAsia="仿宋" w:cs="仿宋"/>
          <w:b/>
          <w:color w:val="auto"/>
          <w:sz w:val="28"/>
          <w:highlight w:val="none"/>
        </w:rPr>
      </w:pPr>
    </w:p>
    <w:p w14:paraId="1A1FFCBB">
      <w:pPr>
        <w:spacing w:line="360" w:lineRule="auto"/>
        <w:jc w:val="center"/>
        <w:rPr>
          <w:rFonts w:hint="eastAsia" w:ascii="仿宋" w:hAnsi="仿宋" w:eastAsia="仿宋" w:cs="仿宋"/>
          <w:b/>
          <w:color w:val="auto"/>
          <w:sz w:val="32"/>
          <w:highlight w:val="none"/>
        </w:rPr>
      </w:pPr>
    </w:p>
    <w:p w14:paraId="0E7F0D05">
      <w:pPr>
        <w:spacing w:beforeLines="50" w:afterLines="50" w:line="360" w:lineRule="auto"/>
        <w:ind w:firstLine="643" w:firstLineChars="200"/>
        <w:jc w:val="center"/>
        <w:rPr>
          <w:rFonts w:hint="eastAsia" w:ascii="仿宋" w:hAnsi="仿宋" w:eastAsia="仿宋" w:cs="仿宋"/>
          <w:b/>
          <w:color w:val="auto"/>
          <w:sz w:val="48"/>
          <w:szCs w:val="48"/>
          <w:highlight w:val="none"/>
        </w:rPr>
      </w:pPr>
      <w:r>
        <w:rPr>
          <w:rFonts w:hint="eastAsia" w:ascii="仿宋" w:hAnsi="仿宋" w:eastAsia="仿宋" w:cs="仿宋"/>
          <w:b/>
          <w:color w:val="auto"/>
          <w:sz w:val="32"/>
          <w:szCs w:val="48"/>
          <w:highlight w:val="none"/>
          <w:u w:val="single"/>
        </w:rPr>
        <w:t xml:space="preserve">     （工程名称）    </w:t>
      </w:r>
      <w:r>
        <w:rPr>
          <w:rFonts w:hint="eastAsia" w:ascii="仿宋" w:hAnsi="仿宋" w:eastAsia="仿宋" w:cs="仿宋"/>
          <w:b/>
          <w:color w:val="auto"/>
          <w:sz w:val="32"/>
          <w:szCs w:val="48"/>
          <w:highlight w:val="none"/>
        </w:rPr>
        <w:t>招标</w:t>
      </w:r>
    </w:p>
    <w:p w14:paraId="34E84DE8">
      <w:pPr>
        <w:spacing w:beforeLines="50" w:line="360" w:lineRule="auto"/>
        <w:jc w:val="center"/>
        <w:rPr>
          <w:rFonts w:hint="eastAsia" w:ascii="仿宋" w:hAnsi="仿宋" w:eastAsia="仿宋" w:cs="仿宋"/>
          <w:color w:val="auto"/>
          <w:sz w:val="28"/>
          <w:szCs w:val="28"/>
          <w:highlight w:val="none"/>
        </w:rPr>
      </w:pPr>
    </w:p>
    <w:p w14:paraId="35E860C6">
      <w:pPr>
        <w:spacing w:beforeLines="50" w:line="360" w:lineRule="auto"/>
        <w:jc w:val="center"/>
        <w:rPr>
          <w:rFonts w:hint="eastAsia" w:ascii="仿宋" w:hAnsi="仿宋" w:eastAsia="仿宋" w:cs="仿宋"/>
          <w:color w:val="auto"/>
          <w:sz w:val="28"/>
          <w:szCs w:val="28"/>
          <w:highlight w:val="none"/>
        </w:rPr>
      </w:pPr>
    </w:p>
    <w:p w14:paraId="029CEFA0">
      <w:pPr>
        <w:spacing w:beforeLines="50" w:line="360" w:lineRule="auto"/>
        <w:jc w:val="center"/>
        <w:rPr>
          <w:rFonts w:hint="eastAsia" w:ascii="仿宋" w:hAnsi="仿宋" w:eastAsia="仿宋" w:cs="仿宋"/>
          <w:color w:val="auto"/>
          <w:sz w:val="52"/>
          <w:szCs w:val="44"/>
          <w:highlight w:val="none"/>
        </w:rPr>
      </w:pPr>
      <w:r>
        <w:rPr>
          <w:rFonts w:hint="eastAsia" w:ascii="仿宋" w:hAnsi="仿宋" w:eastAsia="仿宋" w:cs="仿宋"/>
          <w:color w:val="auto"/>
          <w:sz w:val="52"/>
          <w:szCs w:val="44"/>
          <w:highlight w:val="none"/>
        </w:rPr>
        <w:t>资格审查文件</w:t>
      </w:r>
    </w:p>
    <w:p w14:paraId="09B385AA">
      <w:pPr>
        <w:spacing w:beforeLines="50" w:line="360" w:lineRule="auto"/>
        <w:jc w:val="center"/>
        <w:rPr>
          <w:rFonts w:hint="eastAsia" w:ascii="仿宋" w:hAnsi="仿宋" w:eastAsia="仿宋" w:cs="仿宋"/>
          <w:color w:val="auto"/>
          <w:sz w:val="44"/>
          <w:szCs w:val="44"/>
          <w:highlight w:val="none"/>
        </w:rPr>
      </w:pPr>
    </w:p>
    <w:p w14:paraId="5705C862">
      <w:pPr>
        <w:spacing w:beforeLines="50" w:line="360" w:lineRule="auto"/>
        <w:jc w:val="center"/>
        <w:rPr>
          <w:rFonts w:hint="eastAsia" w:ascii="仿宋" w:hAnsi="仿宋" w:eastAsia="仿宋" w:cs="仿宋"/>
          <w:color w:val="auto"/>
          <w:sz w:val="44"/>
          <w:szCs w:val="44"/>
          <w:highlight w:val="none"/>
        </w:rPr>
      </w:pPr>
    </w:p>
    <w:p w14:paraId="72837FEF">
      <w:pPr>
        <w:spacing w:beforeLines="50" w:line="360" w:lineRule="auto"/>
        <w:jc w:val="center"/>
        <w:rPr>
          <w:rFonts w:hint="eastAsia" w:ascii="仿宋" w:hAnsi="仿宋" w:eastAsia="仿宋" w:cs="仿宋"/>
          <w:color w:val="auto"/>
          <w:sz w:val="44"/>
          <w:szCs w:val="44"/>
          <w:highlight w:val="none"/>
        </w:rPr>
      </w:pPr>
    </w:p>
    <w:p w14:paraId="37255D56">
      <w:pPr>
        <w:spacing w:beforeLines="50" w:line="360" w:lineRule="auto"/>
        <w:jc w:val="center"/>
        <w:rPr>
          <w:rFonts w:hint="eastAsia" w:ascii="仿宋" w:hAnsi="仿宋" w:eastAsia="仿宋" w:cs="仿宋"/>
          <w:color w:val="auto"/>
          <w:sz w:val="32"/>
          <w:szCs w:val="32"/>
          <w:highlight w:val="none"/>
        </w:rPr>
      </w:pPr>
    </w:p>
    <w:p w14:paraId="61E729C1">
      <w:pPr>
        <w:spacing w:beforeLines="50" w:line="360" w:lineRule="auto"/>
        <w:jc w:val="center"/>
        <w:rPr>
          <w:rFonts w:hint="eastAsia" w:ascii="仿宋" w:hAnsi="仿宋" w:eastAsia="仿宋" w:cs="仿宋"/>
          <w:color w:val="auto"/>
          <w:sz w:val="32"/>
          <w:szCs w:val="32"/>
          <w:highlight w:val="none"/>
        </w:rPr>
      </w:pPr>
    </w:p>
    <w:p w14:paraId="03C2CE76">
      <w:pPr>
        <w:spacing w:line="360" w:lineRule="auto"/>
        <w:ind w:right="566" w:firstLine="562" w:firstLineChars="200"/>
        <w:rPr>
          <w:rFonts w:hint="eastAsia" w:ascii="仿宋" w:hAnsi="仿宋" w:eastAsia="仿宋" w:cs="仿宋"/>
          <w:b/>
          <w:color w:val="auto"/>
          <w:sz w:val="28"/>
          <w:highlight w:val="none"/>
          <w:u w:val="single"/>
        </w:rPr>
      </w:pPr>
      <w:bookmarkStart w:id="66" w:name="_Toc30241"/>
      <w:bookmarkStart w:id="67" w:name="_Toc32495"/>
      <w:r>
        <w:rPr>
          <w:rFonts w:hint="eastAsia" w:ascii="仿宋" w:hAnsi="仿宋" w:eastAsia="仿宋" w:cs="仿宋"/>
          <w:b/>
          <w:color w:val="auto"/>
          <w:sz w:val="28"/>
          <w:highlight w:val="none"/>
        </w:rPr>
        <w:t>投标人：</w:t>
      </w:r>
      <w:r>
        <w:rPr>
          <w:rFonts w:hint="eastAsia" w:ascii="仿宋" w:hAnsi="仿宋" w:eastAsia="仿宋" w:cs="仿宋"/>
          <w:b/>
          <w:color w:val="auto"/>
          <w:sz w:val="28"/>
          <w:highlight w:val="none"/>
          <w:u w:val="single"/>
        </w:rPr>
        <w:t>（盖章）</w:t>
      </w:r>
      <w:bookmarkEnd w:id="66"/>
      <w:bookmarkEnd w:id="67"/>
    </w:p>
    <w:p w14:paraId="1C721171">
      <w:pPr>
        <w:spacing w:line="360" w:lineRule="auto"/>
        <w:ind w:firstLine="562" w:firstLineChars="200"/>
        <w:rPr>
          <w:rFonts w:hint="eastAsia" w:ascii="仿宋" w:hAnsi="仿宋" w:eastAsia="仿宋" w:cs="仿宋"/>
          <w:b/>
          <w:color w:val="auto"/>
          <w:sz w:val="28"/>
          <w:highlight w:val="none"/>
          <w:u w:val="single"/>
        </w:rPr>
      </w:pPr>
      <w:bookmarkStart w:id="68" w:name="_Toc9412"/>
      <w:bookmarkStart w:id="69" w:name="_Toc21974"/>
      <w:r>
        <w:rPr>
          <w:rFonts w:hint="eastAsia" w:ascii="仿宋" w:hAnsi="仿宋" w:eastAsia="仿宋" w:cs="仿宋"/>
          <w:b/>
          <w:color w:val="auto"/>
          <w:sz w:val="28"/>
          <w:highlight w:val="none"/>
        </w:rPr>
        <w:t>法定代表人或其委托代理人：（签字或盖章）</w:t>
      </w:r>
      <w:bookmarkEnd w:id="68"/>
      <w:bookmarkEnd w:id="69"/>
    </w:p>
    <w:p w14:paraId="7E3327C7">
      <w:pPr>
        <w:spacing w:line="360" w:lineRule="auto"/>
        <w:ind w:firstLine="562" w:firstLineChars="200"/>
        <w:rPr>
          <w:rFonts w:hint="eastAsia" w:ascii="仿宋" w:hAnsi="仿宋" w:eastAsia="仿宋" w:cs="仿宋"/>
          <w:b/>
          <w:color w:val="auto"/>
          <w:sz w:val="28"/>
          <w:highlight w:val="none"/>
          <w:u w:val="single"/>
        </w:rPr>
      </w:pPr>
      <w:bookmarkStart w:id="70" w:name="_Toc27685"/>
      <w:bookmarkStart w:id="71" w:name="_Toc11690"/>
      <w:r>
        <w:rPr>
          <w:rFonts w:hint="eastAsia" w:ascii="仿宋" w:hAnsi="仿宋" w:eastAsia="仿宋" w:cs="仿宋"/>
          <w:b/>
          <w:color w:val="auto"/>
          <w:sz w:val="28"/>
          <w:highlight w:val="none"/>
        </w:rPr>
        <w:t>地址：</w:t>
      </w:r>
      <w:bookmarkEnd w:id="70"/>
      <w:bookmarkEnd w:id="71"/>
    </w:p>
    <w:p w14:paraId="1A197BE7">
      <w:pPr>
        <w:spacing w:line="360" w:lineRule="auto"/>
        <w:ind w:firstLine="562" w:firstLineChars="200"/>
        <w:rPr>
          <w:rFonts w:hint="eastAsia" w:ascii="仿宋" w:hAnsi="仿宋" w:eastAsia="仿宋" w:cs="仿宋"/>
          <w:color w:val="auto"/>
          <w:highlight w:val="none"/>
        </w:rPr>
      </w:pPr>
      <w:bookmarkStart w:id="72" w:name="_Toc1913"/>
      <w:bookmarkStart w:id="73" w:name="_Toc21981"/>
      <w:r>
        <w:rPr>
          <w:rFonts w:hint="eastAsia" w:ascii="仿宋" w:hAnsi="仿宋" w:eastAsia="仿宋" w:cs="仿宋"/>
          <w:b/>
          <w:color w:val="auto"/>
          <w:sz w:val="28"/>
          <w:highlight w:val="none"/>
        </w:rPr>
        <w:t>日期：   年   月  日</w:t>
      </w:r>
      <w:bookmarkEnd w:id="72"/>
      <w:bookmarkEnd w:id="73"/>
    </w:p>
    <w:p w14:paraId="5F595369">
      <w:pPr>
        <w:spacing w:line="360" w:lineRule="auto"/>
        <w:jc w:val="center"/>
        <w:rPr>
          <w:rFonts w:hint="eastAsia" w:ascii="仿宋" w:hAnsi="仿宋" w:eastAsia="仿宋" w:cs="仿宋"/>
          <w:b/>
          <w:color w:val="auto"/>
          <w:sz w:val="32"/>
          <w:highlight w:val="none"/>
        </w:rPr>
      </w:pPr>
    </w:p>
    <w:p w14:paraId="78939523">
      <w:pPr>
        <w:spacing w:afterLines="50" w:line="360" w:lineRule="auto"/>
        <w:jc w:val="center"/>
        <w:rPr>
          <w:rFonts w:hint="eastAsia" w:ascii="仿宋" w:hAnsi="仿宋" w:eastAsia="仿宋" w:cs="仿宋"/>
          <w:b/>
          <w:color w:val="auto"/>
          <w:sz w:val="36"/>
          <w:highlight w:val="none"/>
        </w:rPr>
      </w:pPr>
      <w:bookmarkStart w:id="74" w:name="_Toc27640"/>
      <w:bookmarkStart w:id="75" w:name="_Toc12666"/>
      <w:r>
        <w:rPr>
          <w:rFonts w:hint="eastAsia" w:ascii="仿宋" w:hAnsi="仿宋" w:eastAsia="仿宋" w:cs="仿宋"/>
          <w:b/>
          <w:color w:val="auto"/>
          <w:sz w:val="32"/>
          <w:highlight w:val="none"/>
        </w:rPr>
        <w:t>（一）</w:t>
      </w:r>
      <w:r>
        <w:rPr>
          <w:rFonts w:hint="eastAsia" w:ascii="仿宋" w:hAnsi="仿宋" w:eastAsia="仿宋" w:cs="仿宋"/>
          <w:b/>
          <w:color w:val="auto"/>
          <w:sz w:val="36"/>
          <w:highlight w:val="none"/>
        </w:rPr>
        <w:t>法定代表人身份证明书</w:t>
      </w:r>
    </w:p>
    <w:p w14:paraId="56C568D7">
      <w:pPr>
        <w:spacing w:line="360" w:lineRule="auto"/>
        <w:rPr>
          <w:rFonts w:hint="eastAsia" w:ascii="仿宋" w:hAnsi="仿宋" w:eastAsia="仿宋" w:cs="仿宋"/>
          <w:color w:val="auto"/>
          <w:sz w:val="24"/>
          <w:szCs w:val="24"/>
          <w:highlight w:val="none"/>
        </w:rPr>
      </w:pPr>
    </w:p>
    <w:p w14:paraId="70FA33E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p>
    <w:p w14:paraId="1A412046">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23A5435">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555DE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日</w:t>
      </w:r>
    </w:p>
    <w:p w14:paraId="469ABBF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1CFFB35">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姓名：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ACBEE97">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p>
    <w:p w14:paraId="48758F7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（投标人单位名称</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的法定代表人。</w:t>
      </w:r>
    </w:p>
    <w:p w14:paraId="6800910C">
      <w:pPr>
        <w:spacing w:line="360" w:lineRule="auto"/>
        <w:ind w:firstLine="610"/>
        <w:rPr>
          <w:rFonts w:hint="eastAsia" w:ascii="仿宋" w:hAnsi="仿宋" w:eastAsia="仿宋" w:cs="仿宋"/>
          <w:color w:val="auto"/>
          <w:sz w:val="24"/>
          <w:szCs w:val="24"/>
          <w:highlight w:val="none"/>
        </w:rPr>
      </w:pPr>
    </w:p>
    <w:p w14:paraId="23ED7F9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709F6316">
      <w:pPr>
        <w:tabs>
          <w:tab w:val="left" w:pos="720"/>
          <w:tab w:val="left" w:pos="900"/>
        </w:tabs>
        <w:spacing w:line="360" w:lineRule="auto"/>
        <w:ind w:firstLine="2880" w:firstLineChars="1200"/>
        <w:rPr>
          <w:rFonts w:hint="eastAsia" w:ascii="仿宋" w:hAnsi="仿宋" w:eastAsia="仿宋" w:cs="仿宋"/>
          <w:color w:val="auto"/>
          <w:sz w:val="24"/>
          <w:szCs w:val="24"/>
          <w:highlight w:val="none"/>
        </w:rPr>
      </w:pPr>
    </w:p>
    <w:p w14:paraId="11C81CA6">
      <w:pPr>
        <w:tabs>
          <w:tab w:val="left" w:pos="720"/>
          <w:tab w:val="left" w:pos="900"/>
        </w:tabs>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投标人：（盖公章）：</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621B2C77">
      <w:pPr>
        <w:spacing w:line="360" w:lineRule="auto"/>
        <w:ind w:right="420" w:firstLine="2880" w:firstLineChars="1200"/>
        <w:rPr>
          <w:rFonts w:hint="eastAsia" w:ascii="仿宋" w:hAnsi="仿宋" w:eastAsia="仿宋" w:cs="仿宋"/>
          <w:color w:val="auto"/>
          <w:sz w:val="24"/>
          <w:szCs w:val="24"/>
          <w:highlight w:val="none"/>
        </w:rPr>
      </w:pPr>
    </w:p>
    <w:p w14:paraId="5E87BFEE">
      <w:pPr>
        <w:spacing w:line="360" w:lineRule="auto"/>
        <w:ind w:right="42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5C59D4D3">
      <w:pPr>
        <w:spacing w:line="360" w:lineRule="auto"/>
        <w:jc w:val="center"/>
        <w:outlineLvl w:val="0"/>
        <w:rPr>
          <w:rFonts w:hint="eastAsia" w:ascii="仿宋" w:hAnsi="仿宋" w:eastAsia="仿宋" w:cs="仿宋"/>
          <w:b/>
          <w:color w:val="auto"/>
          <w:sz w:val="36"/>
          <w:highlight w:val="none"/>
        </w:rPr>
      </w:pPr>
    </w:p>
    <w:p w14:paraId="659A8602">
      <w:pPr>
        <w:spacing w:line="360" w:lineRule="auto"/>
        <w:jc w:val="center"/>
        <w:outlineLvl w:val="0"/>
        <w:rPr>
          <w:rFonts w:hint="eastAsia" w:ascii="仿宋" w:hAnsi="仿宋" w:eastAsia="仿宋" w:cs="仿宋"/>
          <w:b/>
          <w:color w:val="auto"/>
          <w:sz w:val="36"/>
          <w:highlight w:val="none"/>
        </w:rPr>
      </w:pPr>
    </w:p>
    <w:p w14:paraId="527A243E">
      <w:pPr>
        <w:pStyle w:val="31"/>
        <w:rPr>
          <w:rFonts w:hint="eastAsia" w:ascii="仿宋" w:hAnsi="仿宋" w:eastAsia="仿宋" w:cs="仿宋"/>
          <w:b/>
          <w:color w:val="auto"/>
          <w:sz w:val="36"/>
          <w:highlight w:val="none"/>
        </w:rPr>
      </w:pPr>
    </w:p>
    <w:p w14:paraId="30295C61">
      <w:pPr>
        <w:pStyle w:val="31"/>
        <w:rPr>
          <w:rFonts w:hint="eastAsia" w:ascii="仿宋" w:hAnsi="仿宋" w:eastAsia="仿宋" w:cs="仿宋"/>
          <w:b/>
          <w:color w:val="auto"/>
          <w:sz w:val="36"/>
          <w:highlight w:val="none"/>
        </w:rPr>
      </w:pPr>
    </w:p>
    <w:p w14:paraId="7F009238">
      <w:pPr>
        <w:spacing w:line="360" w:lineRule="auto"/>
        <w:jc w:val="center"/>
        <w:outlineLvl w:val="0"/>
        <w:rPr>
          <w:rFonts w:hint="eastAsia" w:ascii="仿宋" w:hAnsi="仿宋" w:eastAsia="仿宋" w:cs="仿宋"/>
          <w:b/>
          <w:color w:val="auto"/>
          <w:sz w:val="36"/>
          <w:highlight w:val="none"/>
        </w:rPr>
      </w:pPr>
    </w:p>
    <w:p w14:paraId="24E81A6B">
      <w:pPr>
        <w:spacing w:line="360" w:lineRule="auto"/>
        <w:jc w:val="center"/>
        <w:outlineLvl w:val="0"/>
        <w:rPr>
          <w:rFonts w:hint="eastAsia" w:ascii="仿宋" w:hAnsi="仿宋" w:eastAsia="仿宋" w:cs="仿宋"/>
          <w:b/>
          <w:color w:val="auto"/>
          <w:sz w:val="36"/>
          <w:highlight w:val="none"/>
        </w:rPr>
      </w:pPr>
    </w:p>
    <w:p w14:paraId="59D78CF9">
      <w:pPr>
        <w:spacing w:line="360" w:lineRule="auto"/>
        <w:jc w:val="center"/>
        <w:outlineLvl w:val="0"/>
        <w:rPr>
          <w:rFonts w:hint="eastAsia" w:ascii="仿宋" w:hAnsi="仿宋" w:eastAsia="仿宋" w:cs="仿宋"/>
          <w:b/>
          <w:color w:val="auto"/>
          <w:sz w:val="36"/>
          <w:highlight w:val="none"/>
        </w:rPr>
      </w:pPr>
    </w:p>
    <w:p w14:paraId="0DF59371">
      <w:pPr>
        <w:spacing w:line="360" w:lineRule="auto"/>
        <w:jc w:val="center"/>
        <w:outlineLvl w:val="0"/>
        <w:rPr>
          <w:rFonts w:hint="eastAsia" w:ascii="仿宋" w:hAnsi="仿宋" w:eastAsia="仿宋" w:cs="仿宋"/>
          <w:b/>
          <w:color w:val="auto"/>
          <w:sz w:val="36"/>
          <w:highlight w:val="none"/>
        </w:rPr>
      </w:pPr>
    </w:p>
    <w:p w14:paraId="584226ED">
      <w:pPr>
        <w:spacing w:line="360" w:lineRule="auto"/>
        <w:jc w:val="center"/>
        <w:outlineLvl w:val="0"/>
        <w:rPr>
          <w:rFonts w:hint="eastAsia" w:ascii="仿宋" w:hAnsi="仿宋" w:eastAsia="仿宋" w:cs="仿宋"/>
          <w:b/>
          <w:color w:val="auto"/>
          <w:sz w:val="36"/>
          <w:highlight w:val="none"/>
        </w:rPr>
      </w:pPr>
    </w:p>
    <w:p w14:paraId="60713EDC">
      <w:pPr>
        <w:spacing w:line="360" w:lineRule="auto"/>
        <w:outlineLvl w:val="0"/>
        <w:rPr>
          <w:rFonts w:hint="eastAsia" w:ascii="仿宋" w:hAnsi="仿宋" w:eastAsia="仿宋" w:cs="仿宋"/>
          <w:b/>
          <w:color w:val="auto"/>
          <w:sz w:val="36"/>
          <w:highlight w:val="none"/>
        </w:rPr>
      </w:pPr>
    </w:p>
    <w:p w14:paraId="2452A92E">
      <w:pPr>
        <w:spacing w:line="360" w:lineRule="auto"/>
        <w:jc w:val="center"/>
        <w:outlineLvl w:val="0"/>
        <w:rPr>
          <w:rFonts w:hint="eastAsia" w:ascii="仿宋" w:hAnsi="仿宋" w:eastAsia="仿宋" w:cs="仿宋"/>
          <w:b/>
          <w:color w:val="auto"/>
          <w:sz w:val="36"/>
          <w:highlight w:val="none"/>
        </w:rPr>
      </w:pPr>
      <w:bookmarkStart w:id="76" w:name="_Toc2861303"/>
      <w:r>
        <w:rPr>
          <w:rFonts w:hint="eastAsia" w:ascii="仿宋" w:hAnsi="仿宋" w:eastAsia="仿宋" w:cs="仿宋"/>
          <w:b/>
          <w:color w:val="auto"/>
          <w:sz w:val="36"/>
          <w:highlight w:val="none"/>
        </w:rPr>
        <w:t>（二）授权委托书</w:t>
      </w:r>
      <w:bookmarkEnd w:id="76"/>
    </w:p>
    <w:p w14:paraId="1E025225">
      <w:pPr>
        <w:spacing w:line="360" w:lineRule="auto"/>
        <w:jc w:val="center"/>
        <w:rPr>
          <w:rFonts w:hint="eastAsia" w:ascii="仿宋" w:hAnsi="仿宋" w:eastAsia="仿宋" w:cs="仿宋"/>
          <w:color w:val="auto"/>
          <w:sz w:val="36"/>
          <w:highlight w:val="none"/>
        </w:rPr>
      </w:pPr>
    </w:p>
    <w:p w14:paraId="7697DFA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本授权委托书声明：我</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（投标人）</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（姓名）</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为我的授权代理人，以本公司的名义参加</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的投标，授权代理人所签署的一切文件和处理与有关的一切事务，我均予以承认。</w:t>
      </w:r>
    </w:p>
    <w:p w14:paraId="17FB3FCD">
      <w:pPr>
        <w:spacing w:line="360" w:lineRule="auto"/>
        <w:ind w:firstLine="480" w:firstLineChars="200"/>
        <w:rPr>
          <w:rFonts w:hint="eastAsia" w:ascii="仿宋" w:hAnsi="仿宋" w:eastAsia="仿宋" w:cs="仿宋"/>
          <w:color w:val="auto"/>
          <w:sz w:val="24"/>
          <w:szCs w:val="24"/>
          <w:highlight w:val="none"/>
        </w:rPr>
      </w:pPr>
    </w:p>
    <w:p w14:paraId="48931267">
      <w:pPr>
        <w:spacing w:line="360" w:lineRule="auto"/>
        <w:ind w:firstLine="480" w:firstLineChars="200"/>
        <w:rPr>
          <w:rFonts w:hint="eastAsia" w:ascii="仿宋" w:hAnsi="仿宋" w:eastAsia="仿宋" w:cs="仿宋"/>
          <w:color w:val="auto"/>
          <w:sz w:val="24"/>
          <w:szCs w:val="24"/>
          <w:highlight w:val="none"/>
        </w:rPr>
      </w:pPr>
    </w:p>
    <w:p w14:paraId="48BF758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授权委托人无转让权、特此委托。</w:t>
      </w:r>
    </w:p>
    <w:p w14:paraId="4E50BEC1">
      <w:pPr>
        <w:spacing w:line="360" w:lineRule="auto"/>
        <w:ind w:firstLine="480" w:firstLineChars="200"/>
        <w:rPr>
          <w:rFonts w:hint="eastAsia" w:ascii="仿宋" w:hAnsi="仿宋" w:eastAsia="仿宋" w:cs="仿宋"/>
          <w:color w:val="auto"/>
          <w:sz w:val="24"/>
          <w:szCs w:val="24"/>
          <w:highlight w:val="none"/>
        </w:rPr>
      </w:pPr>
    </w:p>
    <w:p w14:paraId="27B6A4EE">
      <w:pPr>
        <w:spacing w:line="360" w:lineRule="auto"/>
        <w:ind w:firstLine="480" w:firstLineChars="200"/>
        <w:rPr>
          <w:rFonts w:hint="eastAsia" w:ascii="仿宋" w:hAnsi="仿宋" w:eastAsia="仿宋" w:cs="仿宋"/>
          <w:color w:val="auto"/>
          <w:sz w:val="24"/>
          <w:szCs w:val="24"/>
          <w:highlight w:val="none"/>
        </w:rPr>
      </w:pPr>
    </w:p>
    <w:p w14:paraId="489EAEC3">
      <w:pPr>
        <w:spacing w:line="360" w:lineRule="auto"/>
        <w:ind w:firstLine="480" w:firstLineChars="200"/>
        <w:rPr>
          <w:rFonts w:hint="eastAsia" w:ascii="仿宋" w:hAnsi="仿宋" w:eastAsia="仿宋" w:cs="仿宋"/>
          <w:color w:val="auto"/>
          <w:sz w:val="24"/>
          <w:szCs w:val="24"/>
          <w:highlight w:val="none"/>
        </w:rPr>
      </w:pPr>
    </w:p>
    <w:p w14:paraId="4FD131DB">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授权代理人：</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 xml:space="preserve">          性别：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30B17F8">
      <w:pPr>
        <w:spacing w:line="360" w:lineRule="auto"/>
        <w:ind w:firstLine="480" w:firstLineChars="200"/>
        <w:rPr>
          <w:rFonts w:hint="eastAsia" w:ascii="仿宋" w:hAnsi="仿宋" w:eastAsia="仿宋" w:cs="仿宋"/>
          <w:color w:val="auto"/>
          <w:sz w:val="24"/>
          <w:szCs w:val="24"/>
          <w:highlight w:val="none"/>
        </w:rPr>
      </w:pPr>
    </w:p>
    <w:p w14:paraId="56FDB31A">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单位：</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部门：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4D9E42E">
      <w:pPr>
        <w:spacing w:line="360" w:lineRule="auto"/>
        <w:ind w:firstLine="480" w:firstLineChars="200"/>
        <w:rPr>
          <w:rFonts w:hint="eastAsia" w:ascii="仿宋" w:hAnsi="仿宋" w:eastAsia="仿宋" w:cs="仿宋"/>
          <w:color w:val="auto"/>
          <w:sz w:val="24"/>
          <w:szCs w:val="24"/>
          <w:highlight w:val="none"/>
        </w:rPr>
      </w:pPr>
    </w:p>
    <w:p w14:paraId="460276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投标人：（盖法人章）</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42CB7BF">
      <w:pPr>
        <w:spacing w:line="360" w:lineRule="auto"/>
        <w:ind w:firstLine="480" w:firstLineChars="200"/>
        <w:rPr>
          <w:rFonts w:hint="eastAsia" w:ascii="仿宋" w:hAnsi="仿宋" w:eastAsia="仿宋" w:cs="仿宋"/>
          <w:color w:val="auto"/>
          <w:sz w:val="24"/>
          <w:szCs w:val="24"/>
          <w:highlight w:val="none"/>
        </w:rPr>
      </w:pPr>
    </w:p>
    <w:p w14:paraId="0117A29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E7E5734">
      <w:pPr>
        <w:spacing w:line="360" w:lineRule="auto"/>
        <w:rPr>
          <w:rFonts w:hint="eastAsia" w:ascii="仿宋" w:hAnsi="仿宋" w:eastAsia="仿宋" w:cs="仿宋"/>
          <w:color w:val="auto"/>
          <w:sz w:val="24"/>
          <w:szCs w:val="24"/>
          <w:highlight w:val="none"/>
        </w:rPr>
      </w:pPr>
    </w:p>
    <w:p w14:paraId="36E8C672">
      <w:pPr>
        <w:spacing w:line="360" w:lineRule="auto"/>
        <w:rPr>
          <w:rFonts w:hint="eastAsia" w:ascii="仿宋" w:hAnsi="仿宋" w:eastAsia="仿宋" w:cs="仿宋"/>
          <w:color w:val="auto"/>
          <w:sz w:val="24"/>
          <w:szCs w:val="24"/>
          <w:highlight w:val="none"/>
        </w:rPr>
      </w:pPr>
    </w:p>
    <w:p w14:paraId="79A8258F">
      <w:pPr>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63843295">
      <w:pPr>
        <w:spacing w:line="360" w:lineRule="auto"/>
        <w:jc w:val="right"/>
        <w:rPr>
          <w:rFonts w:hint="eastAsia" w:ascii="仿宋" w:hAnsi="仿宋" w:eastAsia="仿宋" w:cs="仿宋"/>
          <w:color w:val="auto"/>
          <w:sz w:val="24"/>
          <w:szCs w:val="24"/>
          <w:highlight w:val="none"/>
        </w:rPr>
      </w:pPr>
    </w:p>
    <w:p w14:paraId="3FF5F36C">
      <w:pPr>
        <w:spacing w:line="360" w:lineRule="auto"/>
        <w:jc w:val="right"/>
        <w:rPr>
          <w:rFonts w:hint="eastAsia" w:ascii="仿宋" w:hAnsi="仿宋" w:eastAsia="仿宋" w:cs="仿宋"/>
          <w:color w:val="auto"/>
          <w:sz w:val="28"/>
          <w:highlight w:val="none"/>
        </w:rPr>
      </w:pPr>
    </w:p>
    <w:p w14:paraId="703E7EFA">
      <w:pPr>
        <w:pStyle w:val="31"/>
        <w:rPr>
          <w:rFonts w:hint="eastAsia" w:ascii="仿宋" w:hAnsi="仿宋" w:eastAsia="仿宋" w:cs="仿宋"/>
          <w:color w:val="auto"/>
          <w:sz w:val="28"/>
          <w:highlight w:val="none"/>
        </w:rPr>
      </w:pPr>
    </w:p>
    <w:p w14:paraId="6E45D6E7">
      <w:pPr>
        <w:pStyle w:val="31"/>
        <w:rPr>
          <w:rFonts w:hint="eastAsia" w:ascii="仿宋" w:hAnsi="仿宋" w:eastAsia="仿宋" w:cs="仿宋"/>
          <w:color w:val="auto"/>
          <w:sz w:val="28"/>
          <w:highlight w:val="none"/>
        </w:rPr>
      </w:pPr>
    </w:p>
    <w:p w14:paraId="62765DF8">
      <w:pPr>
        <w:pStyle w:val="31"/>
        <w:rPr>
          <w:rFonts w:hint="eastAsia" w:ascii="仿宋" w:hAnsi="仿宋" w:eastAsia="仿宋" w:cs="仿宋"/>
          <w:color w:val="auto"/>
          <w:sz w:val="28"/>
          <w:highlight w:val="none"/>
        </w:rPr>
      </w:pPr>
    </w:p>
    <w:p w14:paraId="67ED698A">
      <w:pPr>
        <w:spacing w:line="360" w:lineRule="auto"/>
        <w:outlineLvl w:val="0"/>
        <w:rPr>
          <w:rFonts w:hint="eastAsia" w:ascii="仿宋" w:hAnsi="仿宋" w:eastAsia="仿宋" w:cs="仿宋"/>
          <w:b/>
          <w:color w:val="auto"/>
          <w:sz w:val="32"/>
          <w:highlight w:val="none"/>
        </w:rPr>
      </w:pPr>
    </w:p>
    <w:p w14:paraId="37807066">
      <w:pPr>
        <w:spacing w:line="360" w:lineRule="auto"/>
        <w:jc w:val="center"/>
        <w:outlineLvl w:val="0"/>
        <w:rPr>
          <w:rFonts w:hint="eastAsia" w:ascii="仿宋" w:hAnsi="仿宋" w:eastAsia="仿宋" w:cs="仿宋"/>
          <w:b/>
          <w:color w:val="auto"/>
          <w:sz w:val="32"/>
          <w:highlight w:val="none"/>
        </w:rPr>
      </w:pPr>
      <w:bookmarkStart w:id="77" w:name="_Toc2861304"/>
      <w:r>
        <w:rPr>
          <w:rFonts w:hint="eastAsia" w:ascii="仿宋" w:hAnsi="仿宋" w:eastAsia="仿宋" w:cs="仿宋"/>
          <w:b/>
          <w:color w:val="auto"/>
          <w:sz w:val="32"/>
          <w:highlight w:val="none"/>
        </w:rPr>
        <w:t>（三）投标人一般情况</w:t>
      </w:r>
      <w:bookmarkEnd w:id="74"/>
      <w:bookmarkEnd w:id="75"/>
      <w:bookmarkEnd w:id="77"/>
      <w:r>
        <w:rPr>
          <w:rFonts w:hint="eastAsia" w:ascii="仿宋" w:hAnsi="仿宋" w:eastAsia="仿宋" w:cs="仿宋"/>
          <w:b/>
          <w:color w:val="auto"/>
          <w:sz w:val="32"/>
          <w:highlight w:val="none"/>
        </w:rPr>
        <w:t>表</w:t>
      </w:r>
    </w:p>
    <w:p w14:paraId="7C7CBADA">
      <w:pPr>
        <w:spacing w:line="360" w:lineRule="auto"/>
        <w:jc w:val="center"/>
        <w:rPr>
          <w:rFonts w:hint="eastAsia" w:ascii="仿宋" w:hAnsi="仿宋" w:eastAsia="仿宋" w:cs="仿宋"/>
          <w:b/>
          <w:color w:val="auto"/>
          <w:sz w:val="32"/>
          <w:highlight w:val="none"/>
        </w:rPr>
      </w:pPr>
    </w:p>
    <w:tbl>
      <w:tblPr>
        <w:tblStyle w:val="32"/>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600"/>
        <w:gridCol w:w="4785"/>
      </w:tblGrid>
      <w:tr w14:paraId="0090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7DAAA28F">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8385" w:type="dxa"/>
            <w:gridSpan w:val="2"/>
            <w:vAlign w:val="center"/>
          </w:tcPr>
          <w:p w14:paraId="13989BA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企业名称</w:t>
            </w:r>
          </w:p>
        </w:tc>
      </w:tr>
      <w:tr w14:paraId="2620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20D8714E">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8385" w:type="dxa"/>
            <w:gridSpan w:val="2"/>
            <w:vAlign w:val="center"/>
          </w:tcPr>
          <w:p w14:paraId="1607353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总部地址</w:t>
            </w:r>
          </w:p>
        </w:tc>
      </w:tr>
      <w:tr w14:paraId="0913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1190D388">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8385" w:type="dxa"/>
            <w:gridSpan w:val="2"/>
            <w:vAlign w:val="center"/>
          </w:tcPr>
          <w:p w14:paraId="452E6BB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当地代表处地址</w:t>
            </w:r>
          </w:p>
        </w:tc>
      </w:tr>
      <w:tr w14:paraId="53D5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ABE3FAD">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3600" w:type="dxa"/>
            <w:vAlign w:val="center"/>
          </w:tcPr>
          <w:p w14:paraId="5D72C47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785" w:type="dxa"/>
            <w:vAlign w:val="center"/>
          </w:tcPr>
          <w:p w14:paraId="18849EC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r>
      <w:tr w14:paraId="3C9F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5DAAF87">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3600" w:type="dxa"/>
            <w:vAlign w:val="center"/>
          </w:tcPr>
          <w:p w14:paraId="2C01133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4785" w:type="dxa"/>
            <w:vAlign w:val="center"/>
          </w:tcPr>
          <w:p w14:paraId="1BD1EBC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14:paraId="477F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73CBAB4">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3600" w:type="dxa"/>
            <w:vAlign w:val="center"/>
          </w:tcPr>
          <w:p w14:paraId="41361C5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注册地</w:t>
            </w:r>
          </w:p>
        </w:tc>
        <w:tc>
          <w:tcPr>
            <w:tcW w:w="4785" w:type="dxa"/>
            <w:vAlign w:val="center"/>
          </w:tcPr>
          <w:p w14:paraId="2EEC3CE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注册年份（请附营业执照复印件）</w:t>
            </w:r>
          </w:p>
        </w:tc>
      </w:tr>
      <w:tr w14:paraId="1627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trPr>
        <w:tc>
          <w:tcPr>
            <w:tcW w:w="648" w:type="dxa"/>
            <w:vAlign w:val="center"/>
          </w:tcPr>
          <w:p w14:paraId="3B4BC5B5">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8385" w:type="dxa"/>
            <w:gridSpan w:val="2"/>
            <w:vAlign w:val="center"/>
          </w:tcPr>
          <w:p w14:paraId="1B9A478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公司资质等级证书号（请附有关证书的复印件）</w:t>
            </w:r>
          </w:p>
        </w:tc>
      </w:tr>
      <w:tr w14:paraId="7AC0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648" w:type="dxa"/>
            <w:vAlign w:val="center"/>
          </w:tcPr>
          <w:p w14:paraId="10DFF518">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8385" w:type="dxa"/>
            <w:gridSpan w:val="2"/>
            <w:vAlign w:val="center"/>
          </w:tcPr>
          <w:p w14:paraId="6DE991F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公司</w:t>
            </w:r>
            <w:r>
              <w:rPr>
                <w:rFonts w:hint="eastAsia" w:ascii="仿宋" w:hAnsi="仿宋" w:eastAsia="仿宋" w:cs="仿宋"/>
                <w:color w:val="auto"/>
                <w:sz w:val="24"/>
                <w:highlight w:val="none"/>
                <w:u w:val="single"/>
              </w:rPr>
              <w:t>（是否通过，何种）</w:t>
            </w:r>
            <w:r>
              <w:rPr>
                <w:rFonts w:hint="eastAsia" w:ascii="仿宋" w:hAnsi="仿宋" w:eastAsia="仿宋" w:cs="仿宋"/>
                <w:color w:val="auto"/>
                <w:sz w:val="24"/>
                <w:highlight w:val="none"/>
              </w:rPr>
              <w:t>质量保证体系认证（如通过请附相关证书复印件，并提供认证机构年审监督报告）</w:t>
            </w:r>
          </w:p>
        </w:tc>
      </w:tr>
      <w:tr w14:paraId="23E9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565F0D50">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8385" w:type="dxa"/>
            <w:gridSpan w:val="2"/>
            <w:vAlign w:val="center"/>
          </w:tcPr>
          <w:p w14:paraId="1291729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主营范围</w:t>
            </w:r>
          </w:p>
          <w:p w14:paraId="775D3ECD">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w:t>
            </w:r>
          </w:p>
          <w:p w14:paraId="56CA445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p w14:paraId="437887DF">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w:t>
            </w:r>
          </w:p>
          <w:p w14:paraId="3F0906F1">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4．</w:t>
            </w:r>
          </w:p>
          <w:p w14:paraId="1D21C04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581D70D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039B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trPr>
        <w:tc>
          <w:tcPr>
            <w:tcW w:w="648" w:type="dxa"/>
            <w:vAlign w:val="center"/>
          </w:tcPr>
          <w:p w14:paraId="6DB73D40">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8385" w:type="dxa"/>
            <w:gridSpan w:val="2"/>
            <w:vAlign w:val="center"/>
          </w:tcPr>
          <w:p w14:paraId="390163C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其他需要说明的情况</w:t>
            </w:r>
          </w:p>
        </w:tc>
      </w:tr>
    </w:tbl>
    <w:p w14:paraId="1CC1E84A">
      <w:pPr>
        <w:spacing w:line="360" w:lineRule="auto"/>
        <w:rPr>
          <w:rFonts w:hint="eastAsia" w:ascii="仿宋" w:hAnsi="仿宋" w:eastAsia="仿宋" w:cs="仿宋"/>
          <w:color w:val="auto"/>
          <w:sz w:val="24"/>
          <w:highlight w:val="none"/>
        </w:rPr>
      </w:pPr>
    </w:p>
    <w:p w14:paraId="321B9543">
      <w:pPr>
        <w:spacing w:line="360" w:lineRule="auto"/>
        <w:rPr>
          <w:rFonts w:hint="eastAsia" w:ascii="仿宋" w:hAnsi="仿宋" w:eastAsia="仿宋" w:cs="仿宋"/>
          <w:color w:val="auto"/>
          <w:sz w:val="24"/>
          <w:highlight w:val="none"/>
        </w:rPr>
      </w:pPr>
    </w:p>
    <w:p w14:paraId="2EADA064">
      <w:pPr>
        <w:spacing w:line="360" w:lineRule="auto"/>
        <w:rPr>
          <w:rFonts w:hint="eastAsia" w:ascii="仿宋" w:hAnsi="仿宋" w:eastAsia="仿宋" w:cs="仿宋"/>
          <w:b/>
          <w:color w:val="auto"/>
          <w:sz w:val="28"/>
          <w:highlight w:val="none"/>
        </w:rPr>
      </w:pPr>
    </w:p>
    <w:p w14:paraId="2C3F0A7C">
      <w:pPr>
        <w:pStyle w:val="31"/>
        <w:rPr>
          <w:rFonts w:hint="eastAsia" w:ascii="仿宋" w:hAnsi="仿宋" w:eastAsia="仿宋" w:cs="仿宋"/>
          <w:b/>
          <w:color w:val="auto"/>
          <w:sz w:val="28"/>
          <w:highlight w:val="none"/>
        </w:rPr>
      </w:pPr>
    </w:p>
    <w:p w14:paraId="644E8AA7">
      <w:pPr>
        <w:pStyle w:val="31"/>
        <w:rPr>
          <w:rFonts w:hint="eastAsia" w:ascii="仿宋" w:hAnsi="仿宋" w:eastAsia="仿宋" w:cs="仿宋"/>
          <w:b/>
          <w:color w:val="auto"/>
          <w:sz w:val="28"/>
          <w:highlight w:val="none"/>
        </w:rPr>
      </w:pPr>
    </w:p>
    <w:p w14:paraId="78312F0A">
      <w:pPr>
        <w:spacing w:beforeLines="50" w:afterLines="50" w:line="360" w:lineRule="auto"/>
        <w:jc w:val="center"/>
        <w:outlineLvl w:val="0"/>
        <w:rPr>
          <w:rFonts w:hint="eastAsia" w:ascii="仿宋" w:hAnsi="仿宋" w:eastAsia="仿宋" w:cs="仿宋"/>
          <w:b/>
          <w:color w:val="auto"/>
          <w:sz w:val="32"/>
          <w:highlight w:val="none"/>
        </w:rPr>
      </w:pPr>
      <w:bookmarkStart w:id="78" w:name="_Toc27518"/>
      <w:bookmarkStart w:id="79" w:name="_Toc20680"/>
      <w:bookmarkStart w:id="80" w:name="_Toc2861308"/>
      <w:r>
        <w:rPr>
          <w:rFonts w:hint="eastAsia" w:ascii="仿宋" w:hAnsi="仿宋" w:eastAsia="仿宋" w:cs="仿宋"/>
          <w:b/>
          <w:color w:val="auto"/>
          <w:sz w:val="32"/>
          <w:highlight w:val="none"/>
        </w:rPr>
        <w:t>（四）拟派人员一览表</w:t>
      </w:r>
      <w:bookmarkEnd w:id="78"/>
      <w:bookmarkEnd w:id="79"/>
      <w:bookmarkEnd w:id="80"/>
    </w:p>
    <w:tbl>
      <w:tblPr>
        <w:tblStyle w:val="3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992"/>
        <w:gridCol w:w="992"/>
        <w:gridCol w:w="992"/>
        <w:gridCol w:w="993"/>
        <w:gridCol w:w="2693"/>
      </w:tblGrid>
      <w:tr w14:paraId="529A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93" w:type="dxa"/>
            <w:tcBorders>
              <w:top w:val="single" w:color="auto" w:sz="12" w:space="0"/>
              <w:bottom w:val="double" w:color="auto" w:sz="4" w:space="0"/>
            </w:tcBorders>
            <w:vAlign w:val="center"/>
          </w:tcPr>
          <w:p w14:paraId="243530E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134" w:type="dxa"/>
            <w:tcBorders>
              <w:top w:val="single" w:color="auto" w:sz="12" w:space="0"/>
              <w:bottom w:val="double" w:color="auto" w:sz="4" w:space="0"/>
            </w:tcBorders>
            <w:vAlign w:val="center"/>
          </w:tcPr>
          <w:p w14:paraId="5B83999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992" w:type="dxa"/>
            <w:tcBorders>
              <w:top w:val="single" w:color="auto" w:sz="12" w:space="0"/>
              <w:bottom w:val="double" w:color="auto" w:sz="4" w:space="0"/>
            </w:tcBorders>
            <w:vAlign w:val="center"/>
          </w:tcPr>
          <w:p w14:paraId="587E18E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姓别</w:t>
            </w:r>
          </w:p>
        </w:tc>
        <w:tc>
          <w:tcPr>
            <w:tcW w:w="992" w:type="dxa"/>
            <w:tcBorders>
              <w:top w:val="single" w:color="auto" w:sz="12" w:space="0"/>
              <w:bottom w:val="double" w:color="auto" w:sz="4" w:space="0"/>
            </w:tcBorders>
            <w:vAlign w:val="center"/>
          </w:tcPr>
          <w:p w14:paraId="5E8AF0E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992" w:type="dxa"/>
            <w:tcBorders>
              <w:top w:val="single" w:color="auto" w:sz="12" w:space="0"/>
              <w:bottom w:val="double" w:color="auto" w:sz="4" w:space="0"/>
            </w:tcBorders>
            <w:vAlign w:val="center"/>
          </w:tcPr>
          <w:p w14:paraId="30CDC3F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执业资格</w:t>
            </w:r>
          </w:p>
        </w:tc>
        <w:tc>
          <w:tcPr>
            <w:tcW w:w="993" w:type="dxa"/>
            <w:tcBorders>
              <w:top w:val="single" w:color="auto" w:sz="12" w:space="0"/>
              <w:bottom w:val="double" w:color="auto" w:sz="4" w:space="0"/>
            </w:tcBorders>
            <w:vAlign w:val="center"/>
          </w:tcPr>
          <w:p w14:paraId="1451EFA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2693" w:type="dxa"/>
            <w:tcBorders>
              <w:top w:val="single" w:color="auto" w:sz="12" w:space="0"/>
              <w:bottom w:val="double" w:color="auto" w:sz="4" w:space="0"/>
              <w:right w:val="single" w:color="auto" w:sz="12" w:space="0"/>
            </w:tcBorders>
            <w:vAlign w:val="center"/>
          </w:tcPr>
          <w:p w14:paraId="3D926A6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主要资历、经验及承担过的工程</w:t>
            </w:r>
          </w:p>
        </w:tc>
      </w:tr>
      <w:tr w14:paraId="1F1E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93" w:type="dxa"/>
            <w:tcBorders>
              <w:top w:val="double" w:color="auto" w:sz="4" w:space="0"/>
            </w:tcBorders>
          </w:tcPr>
          <w:p w14:paraId="339C5AA2">
            <w:pPr>
              <w:pStyle w:val="68"/>
              <w:adjustRightInd/>
              <w:spacing w:after="0" w:line="360" w:lineRule="auto"/>
              <w:rPr>
                <w:rFonts w:hint="eastAsia" w:ascii="仿宋" w:hAnsi="仿宋" w:eastAsia="仿宋" w:cs="仿宋"/>
                <w:color w:val="auto"/>
                <w:kern w:val="2"/>
                <w:szCs w:val="24"/>
                <w:highlight w:val="none"/>
              </w:rPr>
            </w:pPr>
          </w:p>
        </w:tc>
        <w:tc>
          <w:tcPr>
            <w:tcW w:w="1134" w:type="dxa"/>
            <w:tcBorders>
              <w:top w:val="double" w:color="auto" w:sz="4" w:space="0"/>
            </w:tcBorders>
            <w:vAlign w:val="center"/>
          </w:tcPr>
          <w:p w14:paraId="42FA6C3F">
            <w:pPr>
              <w:pStyle w:val="68"/>
              <w:adjustRightInd/>
              <w:spacing w:after="0" w:line="360" w:lineRule="auto"/>
              <w:rPr>
                <w:rFonts w:hint="eastAsia" w:ascii="仿宋" w:hAnsi="仿宋" w:eastAsia="仿宋" w:cs="仿宋"/>
                <w:color w:val="auto"/>
                <w:kern w:val="2"/>
                <w:szCs w:val="24"/>
                <w:highlight w:val="none"/>
              </w:rPr>
            </w:pPr>
          </w:p>
        </w:tc>
        <w:tc>
          <w:tcPr>
            <w:tcW w:w="992" w:type="dxa"/>
            <w:tcBorders>
              <w:top w:val="double" w:color="auto" w:sz="4" w:space="0"/>
            </w:tcBorders>
            <w:vAlign w:val="center"/>
          </w:tcPr>
          <w:p w14:paraId="499A2A2C">
            <w:pPr>
              <w:pStyle w:val="68"/>
              <w:adjustRightInd/>
              <w:spacing w:after="0" w:line="360" w:lineRule="auto"/>
              <w:rPr>
                <w:rFonts w:hint="eastAsia" w:ascii="仿宋" w:hAnsi="仿宋" w:eastAsia="仿宋" w:cs="仿宋"/>
                <w:color w:val="auto"/>
                <w:kern w:val="2"/>
                <w:szCs w:val="24"/>
                <w:highlight w:val="none"/>
              </w:rPr>
            </w:pPr>
          </w:p>
        </w:tc>
        <w:tc>
          <w:tcPr>
            <w:tcW w:w="992" w:type="dxa"/>
            <w:tcBorders>
              <w:top w:val="double" w:color="auto" w:sz="4" w:space="0"/>
            </w:tcBorders>
            <w:vAlign w:val="center"/>
          </w:tcPr>
          <w:p w14:paraId="4978D0E9">
            <w:pPr>
              <w:pStyle w:val="68"/>
              <w:adjustRightInd/>
              <w:spacing w:after="0" w:line="360" w:lineRule="auto"/>
              <w:rPr>
                <w:rFonts w:hint="eastAsia" w:ascii="仿宋" w:hAnsi="仿宋" w:eastAsia="仿宋" w:cs="仿宋"/>
                <w:color w:val="auto"/>
                <w:kern w:val="2"/>
                <w:szCs w:val="24"/>
                <w:highlight w:val="none"/>
              </w:rPr>
            </w:pPr>
          </w:p>
        </w:tc>
        <w:tc>
          <w:tcPr>
            <w:tcW w:w="992" w:type="dxa"/>
            <w:tcBorders>
              <w:top w:val="double" w:color="auto" w:sz="4" w:space="0"/>
            </w:tcBorders>
            <w:vAlign w:val="center"/>
          </w:tcPr>
          <w:p w14:paraId="0D073985">
            <w:pPr>
              <w:pStyle w:val="68"/>
              <w:adjustRightInd/>
              <w:spacing w:after="0" w:line="360" w:lineRule="auto"/>
              <w:rPr>
                <w:rFonts w:hint="eastAsia" w:ascii="仿宋" w:hAnsi="仿宋" w:eastAsia="仿宋" w:cs="仿宋"/>
                <w:color w:val="auto"/>
                <w:kern w:val="2"/>
                <w:szCs w:val="24"/>
                <w:highlight w:val="none"/>
              </w:rPr>
            </w:pPr>
          </w:p>
        </w:tc>
        <w:tc>
          <w:tcPr>
            <w:tcW w:w="993" w:type="dxa"/>
            <w:tcBorders>
              <w:top w:val="double" w:color="auto" w:sz="4" w:space="0"/>
            </w:tcBorders>
            <w:vAlign w:val="center"/>
          </w:tcPr>
          <w:p w14:paraId="68B5CAA2">
            <w:pPr>
              <w:pStyle w:val="68"/>
              <w:adjustRightInd/>
              <w:spacing w:after="0" w:line="360" w:lineRule="auto"/>
              <w:rPr>
                <w:rFonts w:hint="eastAsia" w:ascii="仿宋" w:hAnsi="仿宋" w:eastAsia="仿宋" w:cs="仿宋"/>
                <w:color w:val="auto"/>
                <w:kern w:val="2"/>
                <w:szCs w:val="24"/>
                <w:highlight w:val="none"/>
              </w:rPr>
            </w:pPr>
          </w:p>
        </w:tc>
        <w:tc>
          <w:tcPr>
            <w:tcW w:w="2693" w:type="dxa"/>
            <w:tcBorders>
              <w:top w:val="double" w:color="auto" w:sz="4" w:space="0"/>
              <w:right w:val="single" w:color="auto" w:sz="12" w:space="0"/>
            </w:tcBorders>
            <w:vAlign w:val="center"/>
          </w:tcPr>
          <w:p w14:paraId="0945BE69">
            <w:pPr>
              <w:pStyle w:val="68"/>
              <w:adjustRightInd/>
              <w:spacing w:after="0" w:line="360" w:lineRule="auto"/>
              <w:rPr>
                <w:rFonts w:hint="eastAsia" w:ascii="仿宋" w:hAnsi="仿宋" w:eastAsia="仿宋" w:cs="仿宋"/>
                <w:color w:val="auto"/>
                <w:kern w:val="2"/>
                <w:szCs w:val="24"/>
                <w:highlight w:val="none"/>
              </w:rPr>
            </w:pPr>
          </w:p>
        </w:tc>
      </w:tr>
      <w:tr w14:paraId="1DF6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93" w:type="dxa"/>
          </w:tcPr>
          <w:p w14:paraId="54CD6E0E">
            <w:pPr>
              <w:pStyle w:val="68"/>
              <w:adjustRightInd/>
              <w:spacing w:after="0" w:line="360" w:lineRule="auto"/>
              <w:rPr>
                <w:rFonts w:hint="eastAsia" w:ascii="仿宋" w:hAnsi="仿宋" w:eastAsia="仿宋" w:cs="仿宋"/>
                <w:color w:val="auto"/>
                <w:kern w:val="2"/>
                <w:szCs w:val="24"/>
                <w:highlight w:val="none"/>
              </w:rPr>
            </w:pPr>
          </w:p>
        </w:tc>
        <w:tc>
          <w:tcPr>
            <w:tcW w:w="1134" w:type="dxa"/>
            <w:vAlign w:val="center"/>
          </w:tcPr>
          <w:p w14:paraId="720DF3B4">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09C9C414">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7C5C7650">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5174671D">
            <w:pPr>
              <w:pStyle w:val="68"/>
              <w:adjustRightInd/>
              <w:spacing w:after="0" w:line="360" w:lineRule="auto"/>
              <w:rPr>
                <w:rFonts w:hint="eastAsia" w:ascii="仿宋" w:hAnsi="仿宋" w:eastAsia="仿宋" w:cs="仿宋"/>
                <w:color w:val="auto"/>
                <w:kern w:val="2"/>
                <w:szCs w:val="24"/>
                <w:highlight w:val="none"/>
              </w:rPr>
            </w:pPr>
          </w:p>
        </w:tc>
        <w:tc>
          <w:tcPr>
            <w:tcW w:w="993" w:type="dxa"/>
            <w:vAlign w:val="center"/>
          </w:tcPr>
          <w:p w14:paraId="1E1F0F0B">
            <w:pPr>
              <w:pStyle w:val="68"/>
              <w:adjustRightInd/>
              <w:spacing w:after="0" w:line="360" w:lineRule="auto"/>
              <w:rPr>
                <w:rFonts w:hint="eastAsia" w:ascii="仿宋" w:hAnsi="仿宋" w:eastAsia="仿宋" w:cs="仿宋"/>
                <w:color w:val="auto"/>
                <w:kern w:val="2"/>
                <w:szCs w:val="24"/>
                <w:highlight w:val="none"/>
              </w:rPr>
            </w:pPr>
          </w:p>
        </w:tc>
        <w:tc>
          <w:tcPr>
            <w:tcW w:w="2693" w:type="dxa"/>
            <w:tcBorders>
              <w:right w:val="single" w:color="auto" w:sz="12" w:space="0"/>
            </w:tcBorders>
            <w:vAlign w:val="center"/>
          </w:tcPr>
          <w:p w14:paraId="78C7CF03">
            <w:pPr>
              <w:pStyle w:val="68"/>
              <w:adjustRightInd/>
              <w:spacing w:after="0" w:line="360" w:lineRule="auto"/>
              <w:rPr>
                <w:rFonts w:hint="eastAsia" w:ascii="仿宋" w:hAnsi="仿宋" w:eastAsia="仿宋" w:cs="仿宋"/>
                <w:color w:val="auto"/>
                <w:kern w:val="2"/>
                <w:szCs w:val="24"/>
                <w:highlight w:val="none"/>
              </w:rPr>
            </w:pPr>
          </w:p>
        </w:tc>
      </w:tr>
      <w:tr w14:paraId="1196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93" w:type="dxa"/>
          </w:tcPr>
          <w:p w14:paraId="6AFD5AA4">
            <w:pPr>
              <w:pStyle w:val="68"/>
              <w:adjustRightInd/>
              <w:spacing w:after="0" w:line="360" w:lineRule="auto"/>
              <w:rPr>
                <w:rFonts w:hint="eastAsia" w:ascii="仿宋" w:hAnsi="仿宋" w:eastAsia="仿宋" w:cs="仿宋"/>
                <w:color w:val="auto"/>
                <w:kern w:val="2"/>
                <w:szCs w:val="24"/>
                <w:highlight w:val="none"/>
              </w:rPr>
            </w:pPr>
          </w:p>
        </w:tc>
        <w:tc>
          <w:tcPr>
            <w:tcW w:w="1134" w:type="dxa"/>
            <w:vAlign w:val="center"/>
          </w:tcPr>
          <w:p w14:paraId="00259957">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07E907CF">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6EDE0CB8">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19D26AD5">
            <w:pPr>
              <w:pStyle w:val="68"/>
              <w:adjustRightInd/>
              <w:spacing w:after="0" w:line="360" w:lineRule="auto"/>
              <w:rPr>
                <w:rFonts w:hint="eastAsia" w:ascii="仿宋" w:hAnsi="仿宋" w:eastAsia="仿宋" w:cs="仿宋"/>
                <w:color w:val="auto"/>
                <w:kern w:val="2"/>
                <w:szCs w:val="24"/>
                <w:highlight w:val="none"/>
              </w:rPr>
            </w:pPr>
          </w:p>
        </w:tc>
        <w:tc>
          <w:tcPr>
            <w:tcW w:w="993" w:type="dxa"/>
            <w:vAlign w:val="center"/>
          </w:tcPr>
          <w:p w14:paraId="39649ED7">
            <w:pPr>
              <w:pStyle w:val="68"/>
              <w:adjustRightInd/>
              <w:spacing w:after="0" w:line="360" w:lineRule="auto"/>
              <w:rPr>
                <w:rFonts w:hint="eastAsia" w:ascii="仿宋" w:hAnsi="仿宋" w:eastAsia="仿宋" w:cs="仿宋"/>
                <w:color w:val="auto"/>
                <w:kern w:val="2"/>
                <w:szCs w:val="24"/>
                <w:highlight w:val="none"/>
              </w:rPr>
            </w:pPr>
          </w:p>
        </w:tc>
        <w:tc>
          <w:tcPr>
            <w:tcW w:w="2693" w:type="dxa"/>
            <w:tcBorders>
              <w:right w:val="single" w:color="auto" w:sz="12" w:space="0"/>
            </w:tcBorders>
            <w:vAlign w:val="center"/>
          </w:tcPr>
          <w:p w14:paraId="2952D02D">
            <w:pPr>
              <w:pStyle w:val="68"/>
              <w:adjustRightInd/>
              <w:spacing w:after="0" w:line="360" w:lineRule="auto"/>
              <w:rPr>
                <w:rFonts w:hint="eastAsia" w:ascii="仿宋" w:hAnsi="仿宋" w:eastAsia="仿宋" w:cs="仿宋"/>
                <w:color w:val="auto"/>
                <w:kern w:val="2"/>
                <w:szCs w:val="24"/>
                <w:highlight w:val="none"/>
              </w:rPr>
            </w:pPr>
          </w:p>
        </w:tc>
      </w:tr>
      <w:tr w14:paraId="57D8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93" w:type="dxa"/>
          </w:tcPr>
          <w:p w14:paraId="5404DAA5">
            <w:pPr>
              <w:pStyle w:val="68"/>
              <w:adjustRightInd/>
              <w:spacing w:after="0" w:line="360" w:lineRule="auto"/>
              <w:rPr>
                <w:rFonts w:hint="eastAsia" w:ascii="仿宋" w:hAnsi="仿宋" w:eastAsia="仿宋" w:cs="仿宋"/>
                <w:color w:val="auto"/>
                <w:kern w:val="2"/>
                <w:szCs w:val="24"/>
                <w:highlight w:val="none"/>
              </w:rPr>
            </w:pPr>
          </w:p>
        </w:tc>
        <w:tc>
          <w:tcPr>
            <w:tcW w:w="1134" w:type="dxa"/>
            <w:vAlign w:val="center"/>
          </w:tcPr>
          <w:p w14:paraId="66863D41">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0950B1D7">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1DF1944B">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09423A99">
            <w:pPr>
              <w:pStyle w:val="68"/>
              <w:adjustRightInd/>
              <w:spacing w:after="0" w:line="360" w:lineRule="auto"/>
              <w:rPr>
                <w:rFonts w:hint="eastAsia" w:ascii="仿宋" w:hAnsi="仿宋" w:eastAsia="仿宋" w:cs="仿宋"/>
                <w:color w:val="auto"/>
                <w:kern w:val="2"/>
                <w:szCs w:val="24"/>
                <w:highlight w:val="none"/>
              </w:rPr>
            </w:pPr>
          </w:p>
        </w:tc>
        <w:tc>
          <w:tcPr>
            <w:tcW w:w="993" w:type="dxa"/>
            <w:vAlign w:val="center"/>
          </w:tcPr>
          <w:p w14:paraId="2CDBEBCE">
            <w:pPr>
              <w:pStyle w:val="68"/>
              <w:adjustRightInd/>
              <w:spacing w:after="0" w:line="360" w:lineRule="auto"/>
              <w:rPr>
                <w:rFonts w:hint="eastAsia" w:ascii="仿宋" w:hAnsi="仿宋" w:eastAsia="仿宋" w:cs="仿宋"/>
                <w:color w:val="auto"/>
                <w:kern w:val="2"/>
                <w:szCs w:val="24"/>
                <w:highlight w:val="none"/>
              </w:rPr>
            </w:pPr>
          </w:p>
        </w:tc>
        <w:tc>
          <w:tcPr>
            <w:tcW w:w="2693" w:type="dxa"/>
            <w:tcBorders>
              <w:right w:val="single" w:color="auto" w:sz="12" w:space="0"/>
            </w:tcBorders>
            <w:vAlign w:val="center"/>
          </w:tcPr>
          <w:p w14:paraId="55342BEA">
            <w:pPr>
              <w:pStyle w:val="68"/>
              <w:adjustRightInd/>
              <w:spacing w:after="0" w:line="360" w:lineRule="auto"/>
              <w:rPr>
                <w:rFonts w:hint="eastAsia" w:ascii="仿宋" w:hAnsi="仿宋" w:eastAsia="仿宋" w:cs="仿宋"/>
                <w:color w:val="auto"/>
                <w:kern w:val="2"/>
                <w:szCs w:val="24"/>
                <w:highlight w:val="none"/>
              </w:rPr>
            </w:pPr>
          </w:p>
        </w:tc>
      </w:tr>
      <w:tr w14:paraId="3D2B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93" w:type="dxa"/>
          </w:tcPr>
          <w:p w14:paraId="4F0FB164">
            <w:pPr>
              <w:pStyle w:val="68"/>
              <w:adjustRightInd/>
              <w:spacing w:after="0" w:line="360" w:lineRule="auto"/>
              <w:rPr>
                <w:rFonts w:hint="eastAsia" w:ascii="仿宋" w:hAnsi="仿宋" w:eastAsia="仿宋" w:cs="仿宋"/>
                <w:color w:val="auto"/>
                <w:kern w:val="2"/>
                <w:szCs w:val="24"/>
                <w:highlight w:val="none"/>
              </w:rPr>
            </w:pPr>
          </w:p>
        </w:tc>
        <w:tc>
          <w:tcPr>
            <w:tcW w:w="1134" w:type="dxa"/>
            <w:vAlign w:val="center"/>
          </w:tcPr>
          <w:p w14:paraId="7C035F56">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1ADBC5D5">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54AC85C7">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1246800B">
            <w:pPr>
              <w:pStyle w:val="68"/>
              <w:adjustRightInd/>
              <w:spacing w:after="0" w:line="360" w:lineRule="auto"/>
              <w:rPr>
                <w:rFonts w:hint="eastAsia" w:ascii="仿宋" w:hAnsi="仿宋" w:eastAsia="仿宋" w:cs="仿宋"/>
                <w:color w:val="auto"/>
                <w:kern w:val="2"/>
                <w:szCs w:val="24"/>
                <w:highlight w:val="none"/>
              </w:rPr>
            </w:pPr>
          </w:p>
        </w:tc>
        <w:tc>
          <w:tcPr>
            <w:tcW w:w="993" w:type="dxa"/>
            <w:vAlign w:val="center"/>
          </w:tcPr>
          <w:p w14:paraId="2A2DE8E5">
            <w:pPr>
              <w:pStyle w:val="68"/>
              <w:adjustRightInd/>
              <w:spacing w:after="0" w:line="360" w:lineRule="auto"/>
              <w:rPr>
                <w:rFonts w:hint="eastAsia" w:ascii="仿宋" w:hAnsi="仿宋" w:eastAsia="仿宋" w:cs="仿宋"/>
                <w:color w:val="auto"/>
                <w:kern w:val="2"/>
                <w:szCs w:val="24"/>
                <w:highlight w:val="none"/>
              </w:rPr>
            </w:pPr>
          </w:p>
        </w:tc>
        <w:tc>
          <w:tcPr>
            <w:tcW w:w="2693" w:type="dxa"/>
            <w:tcBorders>
              <w:right w:val="single" w:color="auto" w:sz="12" w:space="0"/>
            </w:tcBorders>
            <w:vAlign w:val="center"/>
          </w:tcPr>
          <w:p w14:paraId="6808BCF9">
            <w:pPr>
              <w:pStyle w:val="68"/>
              <w:adjustRightInd/>
              <w:spacing w:after="0" w:line="360" w:lineRule="auto"/>
              <w:rPr>
                <w:rFonts w:hint="eastAsia" w:ascii="仿宋" w:hAnsi="仿宋" w:eastAsia="仿宋" w:cs="仿宋"/>
                <w:color w:val="auto"/>
                <w:kern w:val="2"/>
                <w:szCs w:val="24"/>
                <w:highlight w:val="none"/>
              </w:rPr>
            </w:pPr>
          </w:p>
        </w:tc>
      </w:tr>
      <w:tr w14:paraId="61F9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93" w:type="dxa"/>
          </w:tcPr>
          <w:p w14:paraId="7E2CEC51">
            <w:pPr>
              <w:pStyle w:val="68"/>
              <w:adjustRightInd/>
              <w:spacing w:after="0" w:line="360" w:lineRule="auto"/>
              <w:rPr>
                <w:rFonts w:hint="eastAsia" w:ascii="仿宋" w:hAnsi="仿宋" w:eastAsia="仿宋" w:cs="仿宋"/>
                <w:color w:val="auto"/>
                <w:kern w:val="2"/>
                <w:szCs w:val="24"/>
                <w:highlight w:val="none"/>
              </w:rPr>
            </w:pPr>
          </w:p>
        </w:tc>
        <w:tc>
          <w:tcPr>
            <w:tcW w:w="1134" w:type="dxa"/>
            <w:vAlign w:val="center"/>
          </w:tcPr>
          <w:p w14:paraId="6E992930">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5BB736CA">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57B38623">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388AC590">
            <w:pPr>
              <w:pStyle w:val="68"/>
              <w:adjustRightInd/>
              <w:spacing w:after="0" w:line="360" w:lineRule="auto"/>
              <w:rPr>
                <w:rFonts w:hint="eastAsia" w:ascii="仿宋" w:hAnsi="仿宋" w:eastAsia="仿宋" w:cs="仿宋"/>
                <w:color w:val="auto"/>
                <w:kern w:val="2"/>
                <w:szCs w:val="24"/>
                <w:highlight w:val="none"/>
              </w:rPr>
            </w:pPr>
          </w:p>
        </w:tc>
        <w:tc>
          <w:tcPr>
            <w:tcW w:w="993" w:type="dxa"/>
            <w:vAlign w:val="center"/>
          </w:tcPr>
          <w:p w14:paraId="0EFC7E69">
            <w:pPr>
              <w:pStyle w:val="68"/>
              <w:adjustRightInd/>
              <w:spacing w:after="0" w:line="360" w:lineRule="auto"/>
              <w:rPr>
                <w:rFonts w:hint="eastAsia" w:ascii="仿宋" w:hAnsi="仿宋" w:eastAsia="仿宋" w:cs="仿宋"/>
                <w:color w:val="auto"/>
                <w:kern w:val="2"/>
                <w:szCs w:val="24"/>
                <w:highlight w:val="none"/>
              </w:rPr>
            </w:pPr>
          </w:p>
        </w:tc>
        <w:tc>
          <w:tcPr>
            <w:tcW w:w="2693" w:type="dxa"/>
            <w:tcBorders>
              <w:right w:val="single" w:color="auto" w:sz="12" w:space="0"/>
            </w:tcBorders>
            <w:vAlign w:val="center"/>
          </w:tcPr>
          <w:p w14:paraId="2B750C27">
            <w:pPr>
              <w:pStyle w:val="68"/>
              <w:adjustRightInd/>
              <w:spacing w:after="0" w:line="360" w:lineRule="auto"/>
              <w:rPr>
                <w:rFonts w:hint="eastAsia" w:ascii="仿宋" w:hAnsi="仿宋" w:eastAsia="仿宋" w:cs="仿宋"/>
                <w:color w:val="auto"/>
                <w:kern w:val="2"/>
                <w:szCs w:val="24"/>
                <w:highlight w:val="none"/>
              </w:rPr>
            </w:pPr>
          </w:p>
        </w:tc>
      </w:tr>
      <w:tr w14:paraId="0EF1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93" w:type="dxa"/>
          </w:tcPr>
          <w:p w14:paraId="38DF4938">
            <w:pPr>
              <w:pStyle w:val="68"/>
              <w:adjustRightInd/>
              <w:spacing w:after="0" w:line="360" w:lineRule="auto"/>
              <w:rPr>
                <w:rFonts w:hint="eastAsia" w:ascii="仿宋" w:hAnsi="仿宋" w:eastAsia="仿宋" w:cs="仿宋"/>
                <w:color w:val="auto"/>
                <w:kern w:val="2"/>
                <w:szCs w:val="24"/>
                <w:highlight w:val="none"/>
              </w:rPr>
            </w:pPr>
          </w:p>
        </w:tc>
        <w:tc>
          <w:tcPr>
            <w:tcW w:w="1134" w:type="dxa"/>
            <w:vAlign w:val="center"/>
          </w:tcPr>
          <w:p w14:paraId="360BFA0D">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0A55F43C">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5D85643D">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7973BB7E">
            <w:pPr>
              <w:pStyle w:val="68"/>
              <w:adjustRightInd/>
              <w:spacing w:after="0" w:line="360" w:lineRule="auto"/>
              <w:rPr>
                <w:rFonts w:hint="eastAsia" w:ascii="仿宋" w:hAnsi="仿宋" w:eastAsia="仿宋" w:cs="仿宋"/>
                <w:color w:val="auto"/>
                <w:kern w:val="2"/>
                <w:szCs w:val="24"/>
                <w:highlight w:val="none"/>
              </w:rPr>
            </w:pPr>
          </w:p>
        </w:tc>
        <w:tc>
          <w:tcPr>
            <w:tcW w:w="993" w:type="dxa"/>
            <w:vAlign w:val="center"/>
          </w:tcPr>
          <w:p w14:paraId="2CE80094">
            <w:pPr>
              <w:pStyle w:val="68"/>
              <w:adjustRightInd/>
              <w:spacing w:after="0" w:line="360" w:lineRule="auto"/>
              <w:rPr>
                <w:rFonts w:hint="eastAsia" w:ascii="仿宋" w:hAnsi="仿宋" w:eastAsia="仿宋" w:cs="仿宋"/>
                <w:color w:val="auto"/>
                <w:kern w:val="2"/>
                <w:szCs w:val="24"/>
                <w:highlight w:val="none"/>
              </w:rPr>
            </w:pPr>
          </w:p>
        </w:tc>
        <w:tc>
          <w:tcPr>
            <w:tcW w:w="2693" w:type="dxa"/>
            <w:tcBorders>
              <w:right w:val="single" w:color="auto" w:sz="12" w:space="0"/>
            </w:tcBorders>
            <w:vAlign w:val="center"/>
          </w:tcPr>
          <w:p w14:paraId="3651264D">
            <w:pPr>
              <w:pStyle w:val="68"/>
              <w:adjustRightInd/>
              <w:spacing w:after="0" w:line="360" w:lineRule="auto"/>
              <w:rPr>
                <w:rFonts w:hint="eastAsia" w:ascii="仿宋" w:hAnsi="仿宋" w:eastAsia="仿宋" w:cs="仿宋"/>
                <w:color w:val="auto"/>
                <w:kern w:val="2"/>
                <w:szCs w:val="24"/>
                <w:highlight w:val="none"/>
              </w:rPr>
            </w:pPr>
          </w:p>
        </w:tc>
      </w:tr>
      <w:tr w14:paraId="1675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93" w:type="dxa"/>
          </w:tcPr>
          <w:p w14:paraId="0768EF84">
            <w:pPr>
              <w:pStyle w:val="68"/>
              <w:adjustRightInd/>
              <w:spacing w:after="0" w:line="360" w:lineRule="auto"/>
              <w:rPr>
                <w:rFonts w:hint="eastAsia" w:ascii="仿宋" w:hAnsi="仿宋" w:eastAsia="仿宋" w:cs="仿宋"/>
                <w:color w:val="auto"/>
                <w:kern w:val="2"/>
                <w:szCs w:val="24"/>
                <w:highlight w:val="none"/>
              </w:rPr>
            </w:pPr>
          </w:p>
        </w:tc>
        <w:tc>
          <w:tcPr>
            <w:tcW w:w="1134" w:type="dxa"/>
            <w:vAlign w:val="center"/>
          </w:tcPr>
          <w:p w14:paraId="7A3E03F1">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23D9EB17">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5BBAF02D">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1A17F986">
            <w:pPr>
              <w:pStyle w:val="68"/>
              <w:adjustRightInd/>
              <w:spacing w:after="0" w:line="360" w:lineRule="auto"/>
              <w:rPr>
                <w:rFonts w:hint="eastAsia" w:ascii="仿宋" w:hAnsi="仿宋" w:eastAsia="仿宋" w:cs="仿宋"/>
                <w:color w:val="auto"/>
                <w:kern w:val="2"/>
                <w:szCs w:val="24"/>
                <w:highlight w:val="none"/>
              </w:rPr>
            </w:pPr>
          </w:p>
        </w:tc>
        <w:tc>
          <w:tcPr>
            <w:tcW w:w="993" w:type="dxa"/>
            <w:vAlign w:val="center"/>
          </w:tcPr>
          <w:p w14:paraId="527DCD2E">
            <w:pPr>
              <w:pStyle w:val="68"/>
              <w:adjustRightInd/>
              <w:spacing w:after="0" w:line="360" w:lineRule="auto"/>
              <w:rPr>
                <w:rFonts w:hint="eastAsia" w:ascii="仿宋" w:hAnsi="仿宋" w:eastAsia="仿宋" w:cs="仿宋"/>
                <w:color w:val="auto"/>
                <w:kern w:val="2"/>
                <w:szCs w:val="24"/>
                <w:highlight w:val="none"/>
              </w:rPr>
            </w:pPr>
          </w:p>
        </w:tc>
        <w:tc>
          <w:tcPr>
            <w:tcW w:w="2693" w:type="dxa"/>
            <w:tcBorders>
              <w:right w:val="single" w:color="auto" w:sz="12" w:space="0"/>
            </w:tcBorders>
            <w:vAlign w:val="center"/>
          </w:tcPr>
          <w:p w14:paraId="0795736C">
            <w:pPr>
              <w:pStyle w:val="68"/>
              <w:adjustRightInd/>
              <w:spacing w:after="0" w:line="360" w:lineRule="auto"/>
              <w:rPr>
                <w:rFonts w:hint="eastAsia" w:ascii="仿宋" w:hAnsi="仿宋" w:eastAsia="仿宋" w:cs="仿宋"/>
                <w:color w:val="auto"/>
                <w:kern w:val="2"/>
                <w:szCs w:val="24"/>
                <w:highlight w:val="none"/>
              </w:rPr>
            </w:pPr>
          </w:p>
        </w:tc>
      </w:tr>
      <w:tr w14:paraId="61FF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93" w:type="dxa"/>
          </w:tcPr>
          <w:p w14:paraId="00B5B370">
            <w:pPr>
              <w:pStyle w:val="68"/>
              <w:adjustRightInd/>
              <w:spacing w:after="0" w:line="360" w:lineRule="auto"/>
              <w:rPr>
                <w:rFonts w:hint="eastAsia" w:ascii="仿宋" w:hAnsi="仿宋" w:eastAsia="仿宋" w:cs="仿宋"/>
                <w:color w:val="auto"/>
                <w:kern w:val="2"/>
                <w:szCs w:val="24"/>
                <w:highlight w:val="none"/>
              </w:rPr>
            </w:pPr>
          </w:p>
        </w:tc>
        <w:tc>
          <w:tcPr>
            <w:tcW w:w="1134" w:type="dxa"/>
            <w:vAlign w:val="center"/>
          </w:tcPr>
          <w:p w14:paraId="48DC5460">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008B88D6">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4D8CF179">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3E3798DA">
            <w:pPr>
              <w:pStyle w:val="68"/>
              <w:adjustRightInd/>
              <w:spacing w:after="0" w:line="360" w:lineRule="auto"/>
              <w:rPr>
                <w:rFonts w:hint="eastAsia" w:ascii="仿宋" w:hAnsi="仿宋" w:eastAsia="仿宋" w:cs="仿宋"/>
                <w:color w:val="auto"/>
                <w:kern w:val="2"/>
                <w:szCs w:val="24"/>
                <w:highlight w:val="none"/>
              </w:rPr>
            </w:pPr>
          </w:p>
        </w:tc>
        <w:tc>
          <w:tcPr>
            <w:tcW w:w="993" w:type="dxa"/>
            <w:vAlign w:val="center"/>
          </w:tcPr>
          <w:p w14:paraId="04095A7C">
            <w:pPr>
              <w:pStyle w:val="68"/>
              <w:adjustRightInd/>
              <w:spacing w:after="0" w:line="360" w:lineRule="auto"/>
              <w:rPr>
                <w:rFonts w:hint="eastAsia" w:ascii="仿宋" w:hAnsi="仿宋" w:eastAsia="仿宋" w:cs="仿宋"/>
                <w:color w:val="auto"/>
                <w:kern w:val="2"/>
                <w:szCs w:val="24"/>
                <w:highlight w:val="none"/>
              </w:rPr>
            </w:pPr>
          </w:p>
        </w:tc>
        <w:tc>
          <w:tcPr>
            <w:tcW w:w="2693" w:type="dxa"/>
            <w:tcBorders>
              <w:right w:val="single" w:color="auto" w:sz="12" w:space="0"/>
            </w:tcBorders>
            <w:vAlign w:val="center"/>
          </w:tcPr>
          <w:p w14:paraId="043525D8">
            <w:pPr>
              <w:pStyle w:val="68"/>
              <w:adjustRightInd/>
              <w:spacing w:after="0" w:line="360" w:lineRule="auto"/>
              <w:rPr>
                <w:rFonts w:hint="eastAsia" w:ascii="仿宋" w:hAnsi="仿宋" w:eastAsia="仿宋" w:cs="仿宋"/>
                <w:color w:val="auto"/>
                <w:kern w:val="2"/>
                <w:szCs w:val="24"/>
                <w:highlight w:val="none"/>
              </w:rPr>
            </w:pPr>
          </w:p>
        </w:tc>
      </w:tr>
      <w:tr w14:paraId="623B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93" w:type="dxa"/>
          </w:tcPr>
          <w:p w14:paraId="3C1C3917">
            <w:pPr>
              <w:pStyle w:val="68"/>
              <w:adjustRightInd/>
              <w:spacing w:after="0" w:line="360" w:lineRule="auto"/>
              <w:rPr>
                <w:rFonts w:hint="eastAsia" w:ascii="仿宋" w:hAnsi="仿宋" w:eastAsia="仿宋" w:cs="仿宋"/>
                <w:color w:val="auto"/>
                <w:kern w:val="2"/>
                <w:szCs w:val="24"/>
                <w:highlight w:val="none"/>
              </w:rPr>
            </w:pPr>
          </w:p>
        </w:tc>
        <w:tc>
          <w:tcPr>
            <w:tcW w:w="1134" w:type="dxa"/>
            <w:vAlign w:val="center"/>
          </w:tcPr>
          <w:p w14:paraId="4803B44B">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261B9686">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4C05C2E2">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482FD681">
            <w:pPr>
              <w:pStyle w:val="68"/>
              <w:adjustRightInd/>
              <w:spacing w:after="0" w:line="360" w:lineRule="auto"/>
              <w:rPr>
                <w:rFonts w:hint="eastAsia" w:ascii="仿宋" w:hAnsi="仿宋" w:eastAsia="仿宋" w:cs="仿宋"/>
                <w:color w:val="auto"/>
                <w:kern w:val="2"/>
                <w:szCs w:val="24"/>
                <w:highlight w:val="none"/>
              </w:rPr>
            </w:pPr>
          </w:p>
        </w:tc>
        <w:tc>
          <w:tcPr>
            <w:tcW w:w="993" w:type="dxa"/>
            <w:vAlign w:val="center"/>
          </w:tcPr>
          <w:p w14:paraId="29AA9E3F">
            <w:pPr>
              <w:pStyle w:val="68"/>
              <w:adjustRightInd/>
              <w:spacing w:after="0" w:line="360" w:lineRule="auto"/>
              <w:rPr>
                <w:rFonts w:hint="eastAsia" w:ascii="仿宋" w:hAnsi="仿宋" w:eastAsia="仿宋" w:cs="仿宋"/>
                <w:color w:val="auto"/>
                <w:kern w:val="2"/>
                <w:szCs w:val="24"/>
                <w:highlight w:val="none"/>
              </w:rPr>
            </w:pPr>
          </w:p>
        </w:tc>
        <w:tc>
          <w:tcPr>
            <w:tcW w:w="2693" w:type="dxa"/>
            <w:tcBorders>
              <w:right w:val="single" w:color="auto" w:sz="12" w:space="0"/>
            </w:tcBorders>
            <w:vAlign w:val="center"/>
          </w:tcPr>
          <w:p w14:paraId="5E162A8A">
            <w:pPr>
              <w:pStyle w:val="68"/>
              <w:adjustRightInd/>
              <w:spacing w:after="0" w:line="360" w:lineRule="auto"/>
              <w:rPr>
                <w:rFonts w:hint="eastAsia" w:ascii="仿宋" w:hAnsi="仿宋" w:eastAsia="仿宋" w:cs="仿宋"/>
                <w:color w:val="auto"/>
                <w:kern w:val="2"/>
                <w:szCs w:val="24"/>
                <w:highlight w:val="none"/>
              </w:rPr>
            </w:pPr>
          </w:p>
        </w:tc>
      </w:tr>
      <w:tr w14:paraId="37C2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93" w:type="dxa"/>
          </w:tcPr>
          <w:p w14:paraId="2A7F9EED">
            <w:pPr>
              <w:pStyle w:val="68"/>
              <w:adjustRightInd/>
              <w:spacing w:after="0" w:line="360" w:lineRule="auto"/>
              <w:rPr>
                <w:rFonts w:hint="eastAsia" w:ascii="仿宋" w:hAnsi="仿宋" w:eastAsia="仿宋" w:cs="仿宋"/>
                <w:color w:val="auto"/>
                <w:kern w:val="2"/>
                <w:szCs w:val="24"/>
                <w:highlight w:val="none"/>
              </w:rPr>
            </w:pPr>
          </w:p>
        </w:tc>
        <w:tc>
          <w:tcPr>
            <w:tcW w:w="1134" w:type="dxa"/>
            <w:vAlign w:val="center"/>
          </w:tcPr>
          <w:p w14:paraId="6D17284B">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0AFD84C8">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4EC54118">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330989FA">
            <w:pPr>
              <w:pStyle w:val="68"/>
              <w:adjustRightInd/>
              <w:spacing w:after="0" w:line="360" w:lineRule="auto"/>
              <w:rPr>
                <w:rFonts w:hint="eastAsia" w:ascii="仿宋" w:hAnsi="仿宋" w:eastAsia="仿宋" w:cs="仿宋"/>
                <w:color w:val="auto"/>
                <w:kern w:val="2"/>
                <w:szCs w:val="24"/>
                <w:highlight w:val="none"/>
              </w:rPr>
            </w:pPr>
          </w:p>
        </w:tc>
        <w:tc>
          <w:tcPr>
            <w:tcW w:w="993" w:type="dxa"/>
            <w:vAlign w:val="center"/>
          </w:tcPr>
          <w:p w14:paraId="45260194">
            <w:pPr>
              <w:pStyle w:val="68"/>
              <w:adjustRightInd/>
              <w:spacing w:after="0" w:line="360" w:lineRule="auto"/>
              <w:rPr>
                <w:rFonts w:hint="eastAsia" w:ascii="仿宋" w:hAnsi="仿宋" w:eastAsia="仿宋" w:cs="仿宋"/>
                <w:color w:val="auto"/>
                <w:kern w:val="2"/>
                <w:szCs w:val="24"/>
                <w:highlight w:val="none"/>
              </w:rPr>
            </w:pPr>
          </w:p>
        </w:tc>
        <w:tc>
          <w:tcPr>
            <w:tcW w:w="2693" w:type="dxa"/>
            <w:tcBorders>
              <w:right w:val="single" w:color="auto" w:sz="12" w:space="0"/>
            </w:tcBorders>
            <w:vAlign w:val="center"/>
          </w:tcPr>
          <w:p w14:paraId="6C68CE61">
            <w:pPr>
              <w:pStyle w:val="68"/>
              <w:adjustRightInd/>
              <w:spacing w:after="0" w:line="360" w:lineRule="auto"/>
              <w:rPr>
                <w:rFonts w:hint="eastAsia" w:ascii="仿宋" w:hAnsi="仿宋" w:eastAsia="仿宋" w:cs="仿宋"/>
                <w:color w:val="auto"/>
                <w:kern w:val="2"/>
                <w:szCs w:val="24"/>
                <w:highlight w:val="none"/>
              </w:rPr>
            </w:pPr>
          </w:p>
        </w:tc>
      </w:tr>
      <w:tr w14:paraId="16B3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93" w:type="dxa"/>
          </w:tcPr>
          <w:p w14:paraId="2F256952">
            <w:pPr>
              <w:pStyle w:val="68"/>
              <w:adjustRightInd/>
              <w:spacing w:after="0" w:line="360" w:lineRule="auto"/>
              <w:rPr>
                <w:rFonts w:hint="eastAsia" w:ascii="仿宋" w:hAnsi="仿宋" w:eastAsia="仿宋" w:cs="仿宋"/>
                <w:color w:val="auto"/>
                <w:kern w:val="2"/>
                <w:szCs w:val="24"/>
                <w:highlight w:val="none"/>
              </w:rPr>
            </w:pPr>
          </w:p>
        </w:tc>
        <w:tc>
          <w:tcPr>
            <w:tcW w:w="1134" w:type="dxa"/>
            <w:vAlign w:val="center"/>
          </w:tcPr>
          <w:p w14:paraId="33B4379D">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5DEABDE0">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063EE3BA">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4F355E1E">
            <w:pPr>
              <w:pStyle w:val="68"/>
              <w:adjustRightInd/>
              <w:spacing w:after="0" w:line="360" w:lineRule="auto"/>
              <w:rPr>
                <w:rFonts w:hint="eastAsia" w:ascii="仿宋" w:hAnsi="仿宋" w:eastAsia="仿宋" w:cs="仿宋"/>
                <w:color w:val="auto"/>
                <w:kern w:val="2"/>
                <w:szCs w:val="24"/>
                <w:highlight w:val="none"/>
              </w:rPr>
            </w:pPr>
          </w:p>
        </w:tc>
        <w:tc>
          <w:tcPr>
            <w:tcW w:w="993" w:type="dxa"/>
            <w:vAlign w:val="center"/>
          </w:tcPr>
          <w:p w14:paraId="252D432A">
            <w:pPr>
              <w:pStyle w:val="68"/>
              <w:adjustRightInd/>
              <w:spacing w:after="0" w:line="360" w:lineRule="auto"/>
              <w:rPr>
                <w:rFonts w:hint="eastAsia" w:ascii="仿宋" w:hAnsi="仿宋" w:eastAsia="仿宋" w:cs="仿宋"/>
                <w:color w:val="auto"/>
                <w:kern w:val="2"/>
                <w:szCs w:val="24"/>
                <w:highlight w:val="none"/>
              </w:rPr>
            </w:pPr>
          </w:p>
        </w:tc>
        <w:tc>
          <w:tcPr>
            <w:tcW w:w="2693" w:type="dxa"/>
            <w:tcBorders>
              <w:right w:val="single" w:color="auto" w:sz="12" w:space="0"/>
            </w:tcBorders>
            <w:vAlign w:val="center"/>
          </w:tcPr>
          <w:p w14:paraId="743E6B67">
            <w:pPr>
              <w:pStyle w:val="68"/>
              <w:adjustRightInd/>
              <w:spacing w:after="0" w:line="360" w:lineRule="auto"/>
              <w:rPr>
                <w:rFonts w:hint="eastAsia" w:ascii="仿宋" w:hAnsi="仿宋" w:eastAsia="仿宋" w:cs="仿宋"/>
                <w:color w:val="auto"/>
                <w:kern w:val="2"/>
                <w:szCs w:val="24"/>
                <w:highlight w:val="none"/>
              </w:rPr>
            </w:pPr>
          </w:p>
        </w:tc>
      </w:tr>
      <w:tr w14:paraId="0B33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93" w:type="dxa"/>
          </w:tcPr>
          <w:p w14:paraId="62A665F0">
            <w:pPr>
              <w:pStyle w:val="68"/>
              <w:adjustRightInd/>
              <w:spacing w:after="0" w:line="360" w:lineRule="auto"/>
              <w:rPr>
                <w:rFonts w:hint="eastAsia" w:ascii="仿宋" w:hAnsi="仿宋" w:eastAsia="仿宋" w:cs="仿宋"/>
                <w:color w:val="auto"/>
                <w:kern w:val="2"/>
                <w:szCs w:val="24"/>
                <w:highlight w:val="none"/>
              </w:rPr>
            </w:pPr>
          </w:p>
        </w:tc>
        <w:tc>
          <w:tcPr>
            <w:tcW w:w="1134" w:type="dxa"/>
            <w:vAlign w:val="center"/>
          </w:tcPr>
          <w:p w14:paraId="00A9C7F4">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1880E67F">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2413DB3C">
            <w:pPr>
              <w:pStyle w:val="68"/>
              <w:adjustRightInd/>
              <w:spacing w:after="0" w:line="360" w:lineRule="auto"/>
              <w:rPr>
                <w:rFonts w:hint="eastAsia" w:ascii="仿宋" w:hAnsi="仿宋" w:eastAsia="仿宋" w:cs="仿宋"/>
                <w:color w:val="auto"/>
                <w:kern w:val="2"/>
                <w:szCs w:val="24"/>
                <w:highlight w:val="none"/>
              </w:rPr>
            </w:pPr>
          </w:p>
        </w:tc>
        <w:tc>
          <w:tcPr>
            <w:tcW w:w="992" w:type="dxa"/>
            <w:vAlign w:val="center"/>
          </w:tcPr>
          <w:p w14:paraId="0C8B1217">
            <w:pPr>
              <w:pStyle w:val="68"/>
              <w:adjustRightInd/>
              <w:spacing w:after="0" w:line="360" w:lineRule="auto"/>
              <w:rPr>
                <w:rFonts w:hint="eastAsia" w:ascii="仿宋" w:hAnsi="仿宋" w:eastAsia="仿宋" w:cs="仿宋"/>
                <w:color w:val="auto"/>
                <w:kern w:val="2"/>
                <w:szCs w:val="24"/>
                <w:highlight w:val="none"/>
              </w:rPr>
            </w:pPr>
          </w:p>
        </w:tc>
        <w:tc>
          <w:tcPr>
            <w:tcW w:w="993" w:type="dxa"/>
            <w:vAlign w:val="center"/>
          </w:tcPr>
          <w:p w14:paraId="2CB02318">
            <w:pPr>
              <w:pStyle w:val="68"/>
              <w:adjustRightInd/>
              <w:spacing w:after="0" w:line="360" w:lineRule="auto"/>
              <w:rPr>
                <w:rFonts w:hint="eastAsia" w:ascii="仿宋" w:hAnsi="仿宋" w:eastAsia="仿宋" w:cs="仿宋"/>
                <w:color w:val="auto"/>
                <w:kern w:val="2"/>
                <w:szCs w:val="24"/>
                <w:highlight w:val="none"/>
              </w:rPr>
            </w:pPr>
          </w:p>
        </w:tc>
        <w:tc>
          <w:tcPr>
            <w:tcW w:w="2693" w:type="dxa"/>
            <w:tcBorders>
              <w:right w:val="single" w:color="auto" w:sz="12" w:space="0"/>
            </w:tcBorders>
            <w:vAlign w:val="center"/>
          </w:tcPr>
          <w:p w14:paraId="60D49CA6">
            <w:pPr>
              <w:pStyle w:val="68"/>
              <w:adjustRightInd/>
              <w:spacing w:after="0" w:line="360" w:lineRule="auto"/>
              <w:rPr>
                <w:rFonts w:hint="eastAsia" w:ascii="仿宋" w:hAnsi="仿宋" w:eastAsia="仿宋" w:cs="仿宋"/>
                <w:color w:val="auto"/>
                <w:kern w:val="2"/>
                <w:szCs w:val="24"/>
                <w:highlight w:val="none"/>
              </w:rPr>
            </w:pPr>
          </w:p>
        </w:tc>
      </w:tr>
    </w:tbl>
    <w:p w14:paraId="52C83915">
      <w:pPr>
        <w:spacing w:line="360" w:lineRule="auto"/>
        <w:rPr>
          <w:rFonts w:hint="eastAsia" w:ascii="仿宋" w:hAnsi="仿宋" w:eastAsia="仿宋" w:cs="仿宋"/>
          <w:color w:val="auto"/>
          <w:sz w:val="30"/>
          <w:highlight w:val="none"/>
        </w:rPr>
      </w:pPr>
    </w:p>
    <w:p w14:paraId="74C6B5AF">
      <w:pPr>
        <w:tabs>
          <w:tab w:val="left" w:pos="993"/>
        </w:tabs>
        <w:spacing w:line="360" w:lineRule="auto"/>
        <w:jc w:val="center"/>
        <w:outlineLvl w:val="0"/>
        <w:rPr>
          <w:rFonts w:hint="eastAsia" w:ascii="仿宋" w:hAnsi="仿宋" w:eastAsia="仿宋" w:cs="仿宋"/>
          <w:b/>
          <w:color w:val="auto"/>
          <w:sz w:val="28"/>
          <w:szCs w:val="28"/>
          <w:highlight w:val="none"/>
        </w:rPr>
      </w:pPr>
      <w:r>
        <w:rPr>
          <w:rFonts w:hint="eastAsia" w:ascii="仿宋" w:hAnsi="仿宋" w:eastAsia="仿宋" w:cs="仿宋"/>
          <w:b/>
          <w:color w:val="auto"/>
          <w:szCs w:val="21"/>
          <w:highlight w:val="none"/>
        </w:rPr>
        <w:br w:type="page"/>
      </w:r>
      <w:bookmarkStart w:id="81" w:name="_Toc2861309"/>
      <w:bookmarkStart w:id="82" w:name="_Toc7475"/>
      <w:bookmarkStart w:id="83" w:name="_Toc24869"/>
      <w:r>
        <w:rPr>
          <w:rFonts w:hint="eastAsia" w:ascii="仿宋" w:hAnsi="仿宋" w:eastAsia="仿宋" w:cs="仿宋"/>
          <w:b/>
          <w:color w:val="auto"/>
          <w:szCs w:val="21"/>
          <w:highlight w:val="none"/>
        </w:rPr>
        <w:t>（</w:t>
      </w:r>
      <w:r>
        <w:rPr>
          <w:rFonts w:hint="eastAsia" w:ascii="仿宋" w:hAnsi="仿宋" w:eastAsia="仿宋" w:cs="仿宋"/>
          <w:b/>
          <w:color w:val="auto"/>
          <w:sz w:val="28"/>
          <w:szCs w:val="28"/>
          <w:highlight w:val="none"/>
        </w:rPr>
        <w:t>五）拟派往本工程项目负责人简历表</w:t>
      </w:r>
      <w:bookmarkEnd w:id="81"/>
      <w:bookmarkEnd w:id="82"/>
      <w:bookmarkEnd w:id="83"/>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26"/>
        <w:gridCol w:w="1419"/>
        <w:gridCol w:w="94"/>
        <w:gridCol w:w="176"/>
        <w:gridCol w:w="960"/>
        <w:gridCol w:w="105"/>
        <w:gridCol w:w="531"/>
        <w:gridCol w:w="1237"/>
        <w:gridCol w:w="888"/>
        <w:gridCol w:w="274"/>
        <w:gridCol w:w="1419"/>
      </w:tblGrid>
      <w:tr w14:paraId="663F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074EBFE3">
            <w:pPr>
              <w:tabs>
                <w:tab w:val="left" w:pos="993"/>
              </w:tabs>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2115" w:type="dxa"/>
            <w:gridSpan w:val="4"/>
            <w:vAlign w:val="center"/>
          </w:tcPr>
          <w:p w14:paraId="0A1860AF">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065" w:type="dxa"/>
            <w:gridSpan w:val="2"/>
            <w:vAlign w:val="center"/>
          </w:tcPr>
          <w:p w14:paraId="4C8C3C30">
            <w:pPr>
              <w:tabs>
                <w:tab w:val="left" w:pos="993"/>
              </w:tabs>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768" w:type="dxa"/>
            <w:gridSpan w:val="2"/>
            <w:vAlign w:val="center"/>
          </w:tcPr>
          <w:p w14:paraId="706A7B72">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888" w:type="dxa"/>
            <w:vAlign w:val="center"/>
          </w:tcPr>
          <w:p w14:paraId="1DABF59C">
            <w:pPr>
              <w:tabs>
                <w:tab w:val="left" w:pos="993"/>
              </w:tabs>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693" w:type="dxa"/>
            <w:gridSpan w:val="2"/>
            <w:vAlign w:val="center"/>
          </w:tcPr>
          <w:p w14:paraId="67452123">
            <w:pPr>
              <w:tabs>
                <w:tab w:val="left" w:pos="993"/>
              </w:tabs>
              <w:adjustRightInd w:val="0"/>
              <w:snapToGrid w:val="0"/>
              <w:spacing w:line="360" w:lineRule="auto"/>
              <w:jc w:val="center"/>
              <w:rPr>
                <w:rFonts w:hint="eastAsia" w:ascii="仿宋" w:hAnsi="仿宋" w:eastAsia="仿宋" w:cs="仿宋"/>
                <w:color w:val="auto"/>
                <w:sz w:val="24"/>
                <w:highlight w:val="none"/>
              </w:rPr>
            </w:pPr>
          </w:p>
        </w:tc>
      </w:tr>
      <w:tr w14:paraId="0CBE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6E3C5756">
            <w:pPr>
              <w:tabs>
                <w:tab w:val="left" w:pos="993"/>
              </w:tabs>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2115" w:type="dxa"/>
            <w:gridSpan w:val="4"/>
            <w:vAlign w:val="center"/>
          </w:tcPr>
          <w:p w14:paraId="5E329CD1">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065" w:type="dxa"/>
            <w:gridSpan w:val="2"/>
            <w:vAlign w:val="center"/>
          </w:tcPr>
          <w:p w14:paraId="4721482F">
            <w:pPr>
              <w:tabs>
                <w:tab w:val="left" w:pos="993"/>
              </w:tabs>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768" w:type="dxa"/>
            <w:gridSpan w:val="2"/>
            <w:vAlign w:val="center"/>
          </w:tcPr>
          <w:p w14:paraId="1BB13C6F">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888" w:type="dxa"/>
            <w:vAlign w:val="center"/>
          </w:tcPr>
          <w:p w14:paraId="73D8B58D">
            <w:pPr>
              <w:tabs>
                <w:tab w:val="left" w:pos="993"/>
              </w:tabs>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693" w:type="dxa"/>
            <w:gridSpan w:val="2"/>
            <w:vAlign w:val="center"/>
          </w:tcPr>
          <w:p w14:paraId="19FC0A3D">
            <w:pPr>
              <w:tabs>
                <w:tab w:val="left" w:pos="993"/>
              </w:tabs>
              <w:adjustRightInd w:val="0"/>
              <w:snapToGrid w:val="0"/>
              <w:spacing w:line="360" w:lineRule="auto"/>
              <w:jc w:val="center"/>
              <w:rPr>
                <w:rFonts w:hint="eastAsia" w:ascii="仿宋" w:hAnsi="仿宋" w:eastAsia="仿宋" w:cs="仿宋"/>
                <w:color w:val="auto"/>
                <w:sz w:val="24"/>
                <w:highlight w:val="none"/>
              </w:rPr>
            </w:pPr>
          </w:p>
        </w:tc>
      </w:tr>
      <w:tr w14:paraId="2FC3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2" w:type="dxa"/>
            <w:gridSpan w:val="4"/>
            <w:vAlign w:val="center"/>
          </w:tcPr>
          <w:p w14:paraId="0331807D">
            <w:pPr>
              <w:tabs>
                <w:tab w:val="left" w:pos="993"/>
              </w:tabs>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参加工作时间</w:t>
            </w:r>
          </w:p>
        </w:tc>
        <w:tc>
          <w:tcPr>
            <w:tcW w:w="1772" w:type="dxa"/>
            <w:gridSpan w:val="4"/>
            <w:vAlign w:val="center"/>
          </w:tcPr>
          <w:p w14:paraId="04A11F53">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2399" w:type="dxa"/>
            <w:gridSpan w:val="3"/>
            <w:vAlign w:val="center"/>
          </w:tcPr>
          <w:p w14:paraId="2B6A73CC">
            <w:pPr>
              <w:tabs>
                <w:tab w:val="left" w:pos="993"/>
              </w:tabs>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证书编号</w:t>
            </w:r>
          </w:p>
        </w:tc>
        <w:tc>
          <w:tcPr>
            <w:tcW w:w="1419" w:type="dxa"/>
            <w:vAlign w:val="center"/>
          </w:tcPr>
          <w:p w14:paraId="72C426CE">
            <w:pPr>
              <w:tabs>
                <w:tab w:val="left" w:pos="993"/>
              </w:tabs>
              <w:adjustRightInd w:val="0"/>
              <w:snapToGrid w:val="0"/>
              <w:spacing w:line="360" w:lineRule="auto"/>
              <w:jc w:val="center"/>
              <w:rPr>
                <w:rFonts w:hint="eastAsia" w:ascii="仿宋" w:hAnsi="仿宋" w:eastAsia="仿宋" w:cs="仿宋"/>
                <w:color w:val="auto"/>
                <w:sz w:val="24"/>
                <w:highlight w:val="none"/>
              </w:rPr>
            </w:pPr>
          </w:p>
        </w:tc>
      </w:tr>
      <w:tr w14:paraId="7C6E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12"/>
            <w:vAlign w:val="center"/>
          </w:tcPr>
          <w:p w14:paraId="6B4929BF">
            <w:pPr>
              <w:tabs>
                <w:tab w:val="left" w:pos="993"/>
              </w:tabs>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在评价和已完工程项目情况</w:t>
            </w:r>
          </w:p>
        </w:tc>
      </w:tr>
      <w:tr w14:paraId="1A2D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vAlign w:val="center"/>
          </w:tcPr>
          <w:p w14:paraId="0A11D1E6">
            <w:pPr>
              <w:tabs>
                <w:tab w:val="left" w:pos="993"/>
              </w:tabs>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建设单位</w:t>
            </w:r>
          </w:p>
        </w:tc>
        <w:tc>
          <w:tcPr>
            <w:tcW w:w="1419" w:type="dxa"/>
            <w:vAlign w:val="center"/>
          </w:tcPr>
          <w:p w14:paraId="50B4A7BE">
            <w:pPr>
              <w:tabs>
                <w:tab w:val="left" w:pos="993"/>
              </w:tabs>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230" w:type="dxa"/>
            <w:gridSpan w:val="3"/>
            <w:vAlign w:val="center"/>
          </w:tcPr>
          <w:p w14:paraId="63B396C1">
            <w:pPr>
              <w:tabs>
                <w:tab w:val="left" w:pos="993"/>
              </w:tabs>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建设规模</w:t>
            </w:r>
          </w:p>
        </w:tc>
        <w:tc>
          <w:tcPr>
            <w:tcW w:w="1873" w:type="dxa"/>
            <w:gridSpan w:val="3"/>
            <w:vAlign w:val="center"/>
          </w:tcPr>
          <w:p w14:paraId="1C3A0C01">
            <w:pPr>
              <w:tabs>
                <w:tab w:val="left" w:pos="1481"/>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在评价或已完</w:t>
            </w:r>
          </w:p>
        </w:tc>
        <w:tc>
          <w:tcPr>
            <w:tcW w:w="1162" w:type="dxa"/>
            <w:gridSpan w:val="2"/>
            <w:vAlign w:val="center"/>
          </w:tcPr>
          <w:p w14:paraId="219F094D">
            <w:pPr>
              <w:tabs>
                <w:tab w:val="left" w:pos="993"/>
              </w:tabs>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p>
        </w:tc>
        <w:tc>
          <w:tcPr>
            <w:tcW w:w="1419" w:type="dxa"/>
            <w:vAlign w:val="center"/>
          </w:tcPr>
          <w:p w14:paraId="39353C14">
            <w:pPr>
              <w:tabs>
                <w:tab w:val="left" w:pos="993"/>
              </w:tabs>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43F5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vAlign w:val="center"/>
          </w:tcPr>
          <w:p w14:paraId="16B1CABF">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00EFE757">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230" w:type="dxa"/>
            <w:gridSpan w:val="3"/>
            <w:vAlign w:val="center"/>
          </w:tcPr>
          <w:p w14:paraId="08B0483C">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873" w:type="dxa"/>
            <w:gridSpan w:val="3"/>
            <w:vAlign w:val="center"/>
          </w:tcPr>
          <w:p w14:paraId="4ACCCD06">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162" w:type="dxa"/>
            <w:gridSpan w:val="2"/>
            <w:vAlign w:val="center"/>
          </w:tcPr>
          <w:p w14:paraId="6E0B4037">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5F455F80">
            <w:pPr>
              <w:tabs>
                <w:tab w:val="left" w:pos="993"/>
              </w:tabs>
              <w:adjustRightInd w:val="0"/>
              <w:snapToGrid w:val="0"/>
              <w:spacing w:line="360" w:lineRule="auto"/>
              <w:jc w:val="center"/>
              <w:rPr>
                <w:rFonts w:hint="eastAsia" w:ascii="仿宋" w:hAnsi="仿宋" w:eastAsia="仿宋" w:cs="仿宋"/>
                <w:color w:val="auto"/>
                <w:sz w:val="24"/>
                <w:highlight w:val="none"/>
              </w:rPr>
            </w:pPr>
          </w:p>
        </w:tc>
      </w:tr>
      <w:tr w14:paraId="62DB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vAlign w:val="center"/>
          </w:tcPr>
          <w:p w14:paraId="1DC2E255">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7991280D">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230" w:type="dxa"/>
            <w:gridSpan w:val="3"/>
            <w:vAlign w:val="center"/>
          </w:tcPr>
          <w:p w14:paraId="2C90C3AA">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873" w:type="dxa"/>
            <w:gridSpan w:val="3"/>
            <w:vAlign w:val="center"/>
          </w:tcPr>
          <w:p w14:paraId="6E8A2EC7">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162" w:type="dxa"/>
            <w:gridSpan w:val="2"/>
            <w:vAlign w:val="center"/>
          </w:tcPr>
          <w:p w14:paraId="342D6BD9">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64F2F295">
            <w:pPr>
              <w:tabs>
                <w:tab w:val="left" w:pos="993"/>
              </w:tabs>
              <w:adjustRightInd w:val="0"/>
              <w:snapToGrid w:val="0"/>
              <w:spacing w:line="360" w:lineRule="auto"/>
              <w:jc w:val="center"/>
              <w:rPr>
                <w:rFonts w:hint="eastAsia" w:ascii="仿宋" w:hAnsi="仿宋" w:eastAsia="仿宋" w:cs="仿宋"/>
                <w:color w:val="auto"/>
                <w:sz w:val="24"/>
                <w:highlight w:val="none"/>
              </w:rPr>
            </w:pPr>
          </w:p>
        </w:tc>
      </w:tr>
      <w:tr w14:paraId="1DB0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vAlign w:val="center"/>
          </w:tcPr>
          <w:p w14:paraId="40C9E186">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589FAE22">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230" w:type="dxa"/>
            <w:gridSpan w:val="3"/>
            <w:vAlign w:val="center"/>
          </w:tcPr>
          <w:p w14:paraId="0A453749">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873" w:type="dxa"/>
            <w:gridSpan w:val="3"/>
            <w:vAlign w:val="center"/>
          </w:tcPr>
          <w:p w14:paraId="6920820C">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162" w:type="dxa"/>
            <w:gridSpan w:val="2"/>
            <w:vAlign w:val="center"/>
          </w:tcPr>
          <w:p w14:paraId="528F08DB">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5AE21B22">
            <w:pPr>
              <w:tabs>
                <w:tab w:val="left" w:pos="993"/>
              </w:tabs>
              <w:adjustRightInd w:val="0"/>
              <w:snapToGrid w:val="0"/>
              <w:spacing w:line="360" w:lineRule="auto"/>
              <w:jc w:val="center"/>
              <w:rPr>
                <w:rFonts w:hint="eastAsia" w:ascii="仿宋" w:hAnsi="仿宋" w:eastAsia="仿宋" w:cs="仿宋"/>
                <w:color w:val="auto"/>
                <w:sz w:val="24"/>
                <w:highlight w:val="none"/>
              </w:rPr>
            </w:pPr>
          </w:p>
        </w:tc>
      </w:tr>
      <w:tr w14:paraId="5F21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vAlign w:val="center"/>
          </w:tcPr>
          <w:p w14:paraId="7B3ADD01">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70D303F4">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230" w:type="dxa"/>
            <w:gridSpan w:val="3"/>
            <w:vAlign w:val="center"/>
          </w:tcPr>
          <w:p w14:paraId="0E41E601">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873" w:type="dxa"/>
            <w:gridSpan w:val="3"/>
            <w:vAlign w:val="center"/>
          </w:tcPr>
          <w:p w14:paraId="46648C54">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162" w:type="dxa"/>
            <w:gridSpan w:val="2"/>
            <w:vAlign w:val="center"/>
          </w:tcPr>
          <w:p w14:paraId="0E41CF55">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7DBAF3F2">
            <w:pPr>
              <w:tabs>
                <w:tab w:val="left" w:pos="993"/>
              </w:tabs>
              <w:adjustRightInd w:val="0"/>
              <w:snapToGrid w:val="0"/>
              <w:spacing w:line="360" w:lineRule="auto"/>
              <w:jc w:val="center"/>
              <w:rPr>
                <w:rFonts w:hint="eastAsia" w:ascii="仿宋" w:hAnsi="仿宋" w:eastAsia="仿宋" w:cs="仿宋"/>
                <w:color w:val="auto"/>
                <w:sz w:val="24"/>
                <w:highlight w:val="none"/>
              </w:rPr>
            </w:pPr>
          </w:p>
        </w:tc>
      </w:tr>
      <w:tr w14:paraId="74EB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vAlign w:val="center"/>
          </w:tcPr>
          <w:p w14:paraId="3C38F946">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7A8687FD">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230" w:type="dxa"/>
            <w:gridSpan w:val="3"/>
            <w:vAlign w:val="center"/>
          </w:tcPr>
          <w:p w14:paraId="3880F4E9">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873" w:type="dxa"/>
            <w:gridSpan w:val="3"/>
            <w:vAlign w:val="center"/>
          </w:tcPr>
          <w:p w14:paraId="39A6ACB2">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162" w:type="dxa"/>
            <w:gridSpan w:val="2"/>
            <w:vAlign w:val="center"/>
          </w:tcPr>
          <w:p w14:paraId="3B5CFD6A">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7D466222">
            <w:pPr>
              <w:tabs>
                <w:tab w:val="left" w:pos="993"/>
              </w:tabs>
              <w:adjustRightInd w:val="0"/>
              <w:snapToGrid w:val="0"/>
              <w:spacing w:line="360" w:lineRule="auto"/>
              <w:jc w:val="center"/>
              <w:rPr>
                <w:rFonts w:hint="eastAsia" w:ascii="仿宋" w:hAnsi="仿宋" w:eastAsia="仿宋" w:cs="仿宋"/>
                <w:color w:val="auto"/>
                <w:sz w:val="24"/>
                <w:highlight w:val="none"/>
              </w:rPr>
            </w:pPr>
          </w:p>
        </w:tc>
      </w:tr>
      <w:tr w14:paraId="4780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vAlign w:val="center"/>
          </w:tcPr>
          <w:p w14:paraId="77B7B86F">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213CD39A">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230" w:type="dxa"/>
            <w:gridSpan w:val="3"/>
            <w:vAlign w:val="center"/>
          </w:tcPr>
          <w:p w14:paraId="09F3F471">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873" w:type="dxa"/>
            <w:gridSpan w:val="3"/>
            <w:vAlign w:val="center"/>
          </w:tcPr>
          <w:p w14:paraId="6CDDEE9F">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162" w:type="dxa"/>
            <w:gridSpan w:val="2"/>
            <w:vAlign w:val="center"/>
          </w:tcPr>
          <w:p w14:paraId="6DF5AFBD">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3C63203D">
            <w:pPr>
              <w:tabs>
                <w:tab w:val="left" w:pos="993"/>
              </w:tabs>
              <w:adjustRightInd w:val="0"/>
              <w:snapToGrid w:val="0"/>
              <w:spacing w:line="360" w:lineRule="auto"/>
              <w:jc w:val="center"/>
              <w:rPr>
                <w:rFonts w:hint="eastAsia" w:ascii="仿宋" w:hAnsi="仿宋" w:eastAsia="仿宋" w:cs="仿宋"/>
                <w:color w:val="auto"/>
                <w:sz w:val="24"/>
                <w:highlight w:val="none"/>
              </w:rPr>
            </w:pPr>
          </w:p>
        </w:tc>
      </w:tr>
      <w:tr w14:paraId="1737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vAlign w:val="center"/>
          </w:tcPr>
          <w:p w14:paraId="0B83D1AC">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7CFB8252">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230" w:type="dxa"/>
            <w:gridSpan w:val="3"/>
            <w:vAlign w:val="center"/>
          </w:tcPr>
          <w:p w14:paraId="19D77505">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873" w:type="dxa"/>
            <w:gridSpan w:val="3"/>
            <w:vAlign w:val="center"/>
          </w:tcPr>
          <w:p w14:paraId="3BE522FB">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162" w:type="dxa"/>
            <w:gridSpan w:val="2"/>
            <w:vAlign w:val="center"/>
          </w:tcPr>
          <w:p w14:paraId="1E64CC37">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4447FD56">
            <w:pPr>
              <w:tabs>
                <w:tab w:val="left" w:pos="993"/>
              </w:tabs>
              <w:adjustRightInd w:val="0"/>
              <w:snapToGrid w:val="0"/>
              <w:spacing w:line="360" w:lineRule="auto"/>
              <w:jc w:val="center"/>
              <w:rPr>
                <w:rFonts w:hint="eastAsia" w:ascii="仿宋" w:hAnsi="仿宋" w:eastAsia="仿宋" w:cs="仿宋"/>
                <w:color w:val="auto"/>
                <w:sz w:val="24"/>
                <w:highlight w:val="none"/>
              </w:rPr>
            </w:pPr>
          </w:p>
        </w:tc>
      </w:tr>
      <w:tr w14:paraId="4074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vAlign w:val="center"/>
          </w:tcPr>
          <w:p w14:paraId="299A5857">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22284FBD">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230" w:type="dxa"/>
            <w:gridSpan w:val="3"/>
            <w:vAlign w:val="center"/>
          </w:tcPr>
          <w:p w14:paraId="4A09A8B6">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873" w:type="dxa"/>
            <w:gridSpan w:val="3"/>
            <w:vAlign w:val="center"/>
          </w:tcPr>
          <w:p w14:paraId="79277B51">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162" w:type="dxa"/>
            <w:gridSpan w:val="2"/>
            <w:vAlign w:val="center"/>
          </w:tcPr>
          <w:p w14:paraId="6F6452A3">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297653C1">
            <w:pPr>
              <w:tabs>
                <w:tab w:val="left" w:pos="993"/>
              </w:tabs>
              <w:adjustRightInd w:val="0"/>
              <w:snapToGrid w:val="0"/>
              <w:spacing w:line="360" w:lineRule="auto"/>
              <w:jc w:val="center"/>
              <w:rPr>
                <w:rFonts w:hint="eastAsia" w:ascii="仿宋" w:hAnsi="仿宋" w:eastAsia="仿宋" w:cs="仿宋"/>
                <w:color w:val="auto"/>
                <w:sz w:val="24"/>
                <w:highlight w:val="none"/>
              </w:rPr>
            </w:pPr>
          </w:p>
        </w:tc>
      </w:tr>
      <w:tr w14:paraId="775B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vAlign w:val="center"/>
          </w:tcPr>
          <w:p w14:paraId="1362E622">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448F4AA5">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230" w:type="dxa"/>
            <w:gridSpan w:val="3"/>
            <w:vAlign w:val="center"/>
          </w:tcPr>
          <w:p w14:paraId="39FF4A87">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873" w:type="dxa"/>
            <w:gridSpan w:val="3"/>
            <w:vAlign w:val="center"/>
          </w:tcPr>
          <w:p w14:paraId="6B409769">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162" w:type="dxa"/>
            <w:gridSpan w:val="2"/>
            <w:vAlign w:val="center"/>
          </w:tcPr>
          <w:p w14:paraId="7DDF8A6F">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33BBD3C9">
            <w:pPr>
              <w:tabs>
                <w:tab w:val="left" w:pos="993"/>
              </w:tabs>
              <w:adjustRightInd w:val="0"/>
              <w:snapToGrid w:val="0"/>
              <w:spacing w:line="360" w:lineRule="auto"/>
              <w:jc w:val="center"/>
              <w:rPr>
                <w:rFonts w:hint="eastAsia" w:ascii="仿宋" w:hAnsi="仿宋" w:eastAsia="仿宋" w:cs="仿宋"/>
                <w:color w:val="auto"/>
                <w:sz w:val="24"/>
                <w:highlight w:val="none"/>
              </w:rPr>
            </w:pPr>
          </w:p>
        </w:tc>
      </w:tr>
      <w:tr w14:paraId="1171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vAlign w:val="center"/>
          </w:tcPr>
          <w:p w14:paraId="156CEE3E">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22961526">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230" w:type="dxa"/>
            <w:gridSpan w:val="3"/>
            <w:vAlign w:val="center"/>
          </w:tcPr>
          <w:p w14:paraId="7C485076">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873" w:type="dxa"/>
            <w:gridSpan w:val="3"/>
            <w:vAlign w:val="center"/>
          </w:tcPr>
          <w:p w14:paraId="206A1EE8">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162" w:type="dxa"/>
            <w:gridSpan w:val="2"/>
            <w:vAlign w:val="center"/>
          </w:tcPr>
          <w:p w14:paraId="30057227">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082EC89B">
            <w:pPr>
              <w:tabs>
                <w:tab w:val="left" w:pos="993"/>
              </w:tabs>
              <w:adjustRightInd w:val="0"/>
              <w:snapToGrid w:val="0"/>
              <w:spacing w:line="360" w:lineRule="auto"/>
              <w:jc w:val="center"/>
              <w:rPr>
                <w:rFonts w:hint="eastAsia" w:ascii="仿宋" w:hAnsi="仿宋" w:eastAsia="仿宋" w:cs="仿宋"/>
                <w:color w:val="auto"/>
                <w:sz w:val="24"/>
                <w:highlight w:val="none"/>
              </w:rPr>
            </w:pPr>
          </w:p>
        </w:tc>
      </w:tr>
      <w:tr w14:paraId="2A81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vAlign w:val="center"/>
          </w:tcPr>
          <w:p w14:paraId="6E52D6B2">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5C09622E">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230" w:type="dxa"/>
            <w:gridSpan w:val="3"/>
            <w:vAlign w:val="center"/>
          </w:tcPr>
          <w:p w14:paraId="08556806">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873" w:type="dxa"/>
            <w:gridSpan w:val="3"/>
            <w:vAlign w:val="center"/>
          </w:tcPr>
          <w:p w14:paraId="6E871D43">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162" w:type="dxa"/>
            <w:gridSpan w:val="2"/>
            <w:vAlign w:val="center"/>
          </w:tcPr>
          <w:p w14:paraId="3C83E269">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4C1D836B">
            <w:pPr>
              <w:tabs>
                <w:tab w:val="left" w:pos="993"/>
              </w:tabs>
              <w:adjustRightInd w:val="0"/>
              <w:snapToGrid w:val="0"/>
              <w:spacing w:line="360" w:lineRule="auto"/>
              <w:jc w:val="center"/>
              <w:rPr>
                <w:rFonts w:hint="eastAsia" w:ascii="仿宋" w:hAnsi="仿宋" w:eastAsia="仿宋" w:cs="仿宋"/>
                <w:color w:val="auto"/>
                <w:sz w:val="24"/>
                <w:highlight w:val="none"/>
              </w:rPr>
            </w:pPr>
          </w:p>
        </w:tc>
      </w:tr>
      <w:tr w14:paraId="5BF2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vAlign w:val="center"/>
          </w:tcPr>
          <w:p w14:paraId="5B35CDCC">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351E7500">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230" w:type="dxa"/>
            <w:gridSpan w:val="3"/>
            <w:vAlign w:val="center"/>
          </w:tcPr>
          <w:p w14:paraId="76727BFB">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873" w:type="dxa"/>
            <w:gridSpan w:val="3"/>
            <w:vAlign w:val="center"/>
          </w:tcPr>
          <w:p w14:paraId="54FF0C7C">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162" w:type="dxa"/>
            <w:gridSpan w:val="2"/>
            <w:vAlign w:val="center"/>
          </w:tcPr>
          <w:p w14:paraId="29600750">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213306AB">
            <w:pPr>
              <w:tabs>
                <w:tab w:val="left" w:pos="993"/>
              </w:tabs>
              <w:adjustRightInd w:val="0"/>
              <w:snapToGrid w:val="0"/>
              <w:spacing w:line="360" w:lineRule="auto"/>
              <w:jc w:val="center"/>
              <w:rPr>
                <w:rFonts w:hint="eastAsia" w:ascii="仿宋" w:hAnsi="仿宋" w:eastAsia="仿宋" w:cs="仿宋"/>
                <w:color w:val="auto"/>
                <w:sz w:val="24"/>
                <w:highlight w:val="none"/>
              </w:rPr>
            </w:pPr>
          </w:p>
        </w:tc>
      </w:tr>
      <w:tr w14:paraId="2B7C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vAlign w:val="center"/>
          </w:tcPr>
          <w:p w14:paraId="3EECB7F9">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3939CD48">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230" w:type="dxa"/>
            <w:gridSpan w:val="3"/>
            <w:vAlign w:val="center"/>
          </w:tcPr>
          <w:p w14:paraId="63B88EFE">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873" w:type="dxa"/>
            <w:gridSpan w:val="3"/>
            <w:vAlign w:val="center"/>
          </w:tcPr>
          <w:p w14:paraId="29DB0460">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162" w:type="dxa"/>
            <w:gridSpan w:val="2"/>
            <w:vAlign w:val="center"/>
          </w:tcPr>
          <w:p w14:paraId="52DD6198">
            <w:pPr>
              <w:tabs>
                <w:tab w:val="left" w:pos="993"/>
              </w:tabs>
              <w:adjustRightInd w:val="0"/>
              <w:snapToGrid w:val="0"/>
              <w:spacing w:line="360" w:lineRule="auto"/>
              <w:jc w:val="center"/>
              <w:rPr>
                <w:rFonts w:hint="eastAsia" w:ascii="仿宋" w:hAnsi="仿宋" w:eastAsia="仿宋" w:cs="仿宋"/>
                <w:color w:val="auto"/>
                <w:sz w:val="24"/>
                <w:highlight w:val="none"/>
              </w:rPr>
            </w:pPr>
          </w:p>
        </w:tc>
        <w:tc>
          <w:tcPr>
            <w:tcW w:w="1419" w:type="dxa"/>
            <w:vAlign w:val="center"/>
          </w:tcPr>
          <w:p w14:paraId="602EC0A1">
            <w:pPr>
              <w:tabs>
                <w:tab w:val="left" w:pos="993"/>
              </w:tabs>
              <w:adjustRightInd w:val="0"/>
              <w:snapToGrid w:val="0"/>
              <w:spacing w:line="360" w:lineRule="auto"/>
              <w:jc w:val="center"/>
              <w:rPr>
                <w:rFonts w:hint="eastAsia" w:ascii="仿宋" w:hAnsi="仿宋" w:eastAsia="仿宋" w:cs="仿宋"/>
                <w:color w:val="auto"/>
                <w:sz w:val="24"/>
                <w:highlight w:val="none"/>
              </w:rPr>
            </w:pPr>
          </w:p>
        </w:tc>
      </w:tr>
    </w:tbl>
    <w:p w14:paraId="21122AC5">
      <w:pPr>
        <w:spacing w:line="360" w:lineRule="auto"/>
        <w:rPr>
          <w:rFonts w:hint="eastAsia" w:ascii="仿宋" w:hAnsi="仿宋" w:eastAsia="仿宋" w:cs="仿宋"/>
          <w:b/>
          <w:bCs/>
          <w:color w:val="auto"/>
          <w:spacing w:val="20"/>
          <w:szCs w:val="21"/>
          <w:highlight w:val="none"/>
        </w:rPr>
      </w:pPr>
    </w:p>
    <w:p w14:paraId="1F163926">
      <w:pPr>
        <w:spacing w:line="360" w:lineRule="auto"/>
        <w:jc w:val="center"/>
        <w:outlineLvl w:val="0"/>
        <w:rPr>
          <w:rFonts w:hint="eastAsia" w:ascii="仿宋" w:hAnsi="仿宋" w:eastAsia="仿宋" w:cs="仿宋"/>
          <w:b/>
          <w:color w:val="auto"/>
          <w:sz w:val="28"/>
          <w:szCs w:val="28"/>
          <w:highlight w:val="none"/>
        </w:rPr>
      </w:pPr>
      <w:r>
        <w:rPr>
          <w:rFonts w:hint="eastAsia" w:ascii="仿宋" w:hAnsi="仿宋" w:eastAsia="仿宋" w:cs="仿宋"/>
          <w:b/>
          <w:bCs/>
          <w:color w:val="auto"/>
          <w:spacing w:val="20"/>
          <w:szCs w:val="21"/>
          <w:highlight w:val="none"/>
        </w:rPr>
        <w:br w:type="page"/>
      </w:r>
      <w:bookmarkStart w:id="84" w:name="_Toc19221"/>
      <w:bookmarkStart w:id="85" w:name="_Toc7490"/>
      <w:bookmarkStart w:id="86" w:name="_Toc2861310"/>
      <w:r>
        <w:rPr>
          <w:rFonts w:hint="eastAsia" w:ascii="仿宋" w:hAnsi="仿宋" w:eastAsia="仿宋" w:cs="仿宋"/>
          <w:b/>
          <w:color w:val="auto"/>
          <w:sz w:val="28"/>
          <w:szCs w:val="28"/>
          <w:highlight w:val="none"/>
        </w:rPr>
        <w:t>（六）近三年类似项目一览表</w:t>
      </w:r>
      <w:bookmarkEnd w:id="84"/>
      <w:bookmarkEnd w:id="85"/>
      <w:bookmarkEnd w:id="86"/>
    </w:p>
    <w:tbl>
      <w:tblPr>
        <w:tblStyle w:val="32"/>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686"/>
        <w:gridCol w:w="1588"/>
        <w:gridCol w:w="1475"/>
        <w:gridCol w:w="2236"/>
      </w:tblGrid>
      <w:tr w14:paraId="1CDB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234" w:type="dxa"/>
            <w:vAlign w:val="center"/>
          </w:tcPr>
          <w:p w14:paraId="228F461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工程名称</w:t>
            </w:r>
          </w:p>
        </w:tc>
        <w:tc>
          <w:tcPr>
            <w:tcW w:w="1686" w:type="dxa"/>
            <w:vAlign w:val="center"/>
          </w:tcPr>
          <w:p w14:paraId="7266E0F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建设单位</w:t>
            </w:r>
          </w:p>
        </w:tc>
        <w:tc>
          <w:tcPr>
            <w:tcW w:w="1588" w:type="dxa"/>
            <w:vAlign w:val="center"/>
          </w:tcPr>
          <w:p w14:paraId="5ABDFEA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项目负责人</w:t>
            </w:r>
          </w:p>
        </w:tc>
        <w:tc>
          <w:tcPr>
            <w:tcW w:w="1475" w:type="dxa"/>
            <w:vAlign w:val="center"/>
          </w:tcPr>
          <w:p w14:paraId="651F506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委托时间</w:t>
            </w:r>
          </w:p>
        </w:tc>
        <w:tc>
          <w:tcPr>
            <w:tcW w:w="2236" w:type="dxa"/>
            <w:vAlign w:val="center"/>
          </w:tcPr>
          <w:p w14:paraId="3CD4181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2994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tcPr>
          <w:p w14:paraId="4A11C3AD">
            <w:pPr>
              <w:spacing w:line="360" w:lineRule="auto"/>
              <w:rPr>
                <w:rFonts w:hint="eastAsia" w:ascii="仿宋" w:hAnsi="仿宋" w:eastAsia="仿宋" w:cs="仿宋"/>
                <w:b/>
                <w:bCs/>
                <w:color w:val="auto"/>
                <w:sz w:val="24"/>
                <w:highlight w:val="none"/>
              </w:rPr>
            </w:pPr>
          </w:p>
        </w:tc>
        <w:tc>
          <w:tcPr>
            <w:tcW w:w="1686" w:type="dxa"/>
          </w:tcPr>
          <w:p w14:paraId="2B7E2FEF">
            <w:pPr>
              <w:spacing w:line="360" w:lineRule="auto"/>
              <w:rPr>
                <w:rFonts w:hint="eastAsia" w:ascii="仿宋" w:hAnsi="仿宋" w:eastAsia="仿宋" w:cs="仿宋"/>
                <w:b/>
                <w:bCs/>
                <w:color w:val="auto"/>
                <w:sz w:val="24"/>
                <w:highlight w:val="none"/>
              </w:rPr>
            </w:pPr>
          </w:p>
        </w:tc>
        <w:tc>
          <w:tcPr>
            <w:tcW w:w="1588" w:type="dxa"/>
          </w:tcPr>
          <w:p w14:paraId="31EE25B8">
            <w:pPr>
              <w:spacing w:line="360" w:lineRule="auto"/>
              <w:rPr>
                <w:rFonts w:hint="eastAsia" w:ascii="仿宋" w:hAnsi="仿宋" w:eastAsia="仿宋" w:cs="仿宋"/>
                <w:b/>
                <w:bCs/>
                <w:color w:val="auto"/>
                <w:sz w:val="24"/>
                <w:highlight w:val="none"/>
              </w:rPr>
            </w:pPr>
          </w:p>
        </w:tc>
        <w:tc>
          <w:tcPr>
            <w:tcW w:w="1475" w:type="dxa"/>
          </w:tcPr>
          <w:p w14:paraId="5D7F84AA">
            <w:pPr>
              <w:spacing w:line="360" w:lineRule="auto"/>
              <w:rPr>
                <w:rFonts w:hint="eastAsia" w:ascii="仿宋" w:hAnsi="仿宋" w:eastAsia="仿宋" w:cs="仿宋"/>
                <w:b/>
                <w:bCs/>
                <w:color w:val="auto"/>
                <w:sz w:val="24"/>
                <w:highlight w:val="none"/>
              </w:rPr>
            </w:pPr>
          </w:p>
        </w:tc>
        <w:tc>
          <w:tcPr>
            <w:tcW w:w="2236" w:type="dxa"/>
          </w:tcPr>
          <w:p w14:paraId="63CA95D2">
            <w:pPr>
              <w:spacing w:line="360" w:lineRule="auto"/>
              <w:rPr>
                <w:rFonts w:hint="eastAsia" w:ascii="仿宋" w:hAnsi="仿宋" w:eastAsia="仿宋" w:cs="仿宋"/>
                <w:b/>
                <w:bCs/>
                <w:color w:val="auto"/>
                <w:sz w:val="24"/>
                <w:highlight w:val="none"/>
              </w:rPr>
            </w:pPr>
          </w:p>
        </w:tc>
      </w:tr>
      <w:tr w14:paraId="24CF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tcPr>
          <w:p w14:paraId="49BA0D48">
            <w:pPr>
              <w:spacing w:line="360" w:lineRule="auto"/>
              <w:rPr>
                <w:rFonts w:hint="eastAsia" w:ascii="仿宋" w:hAnsi="仿宋" w:eastAsia="仿宋" w:cs="仿宋"/>
                <w:b/>
                <w:bCs/>
                <w:color w:val="auto"/>
                <w:sz w:val="24"/>
                <w:highlight w:val="none"/>
              </w:rPr>
            </w:pPr>
          </w:p>
        </w:tc>
        <w:tc>
          <w:tcPr>
            <w:tcW w:w="1686" w:type="dxa"/>
          </w:tcPr>
          <w:p w14:paraId="3D10E52F">
            <w:pPr>
              <w:spacing w:line="360" w:lineRule="auto"/>
              <w:rPr>
                <w:rFonts w:hint="eastAsia" w:ascii="仿宋" w:hAnsi="仿宋" w:eastAsia="仿宋" w:cs="仿宋"/>
                <w:b/>
                <w:bCs/>
                <w:color w:val="auto"/>
                <w:sz w:val="24"/>
                <w:highlight w:val="none"/>
              </w:rPr>
            </w:pPr>
          </w:p>
        </w:tc>
        <w:tc>
          <w:tcPr>
            <w:tcW w:w="1588" w:type="dxa"/>
          </w:tcPr>
          <w:p w14:paraId="416E69C6">
            <w:pPr>
              <w:spacing w:line="360" w:lineRule="auto"/>
              <w:rPr>
                <w:rFonts w:hint="eastAsia" w:ascii="仿宋" w:hAnsi="仿宋" w:eastAsia="仿宋" w:cs="仿宋"/>
                <w:b/>
                <w:bCs/>
                <w:color w:val="auto"/>
                <w:sz w:val="24"/>
                <w:highlight w:val="none"/>
              </w:rPr>
            </w:pPr>
          </w:p>
        </w:tc>
        <w:tc>
          <w:tcPr>
            <w:tcW w:w="1475" w:type="dxa"/>
          </w:tcPr>
          <w:p w14:paraId="2CE4E404">
            <w:pPr>
              <w:spacing w:line="360" w:lineRule="auto"/>
              <w:rPr>
                <w:rFonts w:hint="eastAsia" w:ascii="仿宋" w:hAnsi="仿宋" w:eastAsia="仿宋" w:cs="仿宋"/>
                <w:b/>
                <w:bCs/>
                <w:color w:val="auto"/>
                <w:sz w:val="24"/>
                <w:highlight w:val="none"/>
              </w:rPr>
            </w:pPr>
          </w:p>
        </w:tc>
        <w:tc>
          <w:tcPr>
            <w:tcW w:w="2236" w:type="dxa"/>
          </w:tcPr>
          <w:p w14:paraId="56D876F6">
            <w:pPr>
              <w:spacing w:line="360" w:lineRule="auto"/>
              <w:rPr>
                <w:rFonts w:hint="eastAsia" w:ascii="仿宋" w:hAnsi="仿宋" w:eastAsia="仿宋" w:cs="仿宋"/>
                <w:b/>
                <w:bCs/>
                <w:color w:val="auto"/>
                <w:sz w:val="24"/>
                <w:highlight w:val="none"/>
              </w:rPr>
            </w:pPr>
          </w:p>
        </w:tc>
      </w:tr>
      <w:tr w14:paraId="5030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34" w:type="dxa"/>
          </w:tcPr>
          <w:p w14:paraId="03EFA790">
            <w:pPr>
              <w:spacing w:line="360" w:lineRule="auto"/>
              <w:rPr>
                <w:rFonts w:hint="eastAsia" w:ascii="仿宋" w:hAnsi="仿宋" w:eastAsia="仿宋" w:cs="仿宋"/>
                <w:b/>
                <w:bCs/>
                <w:color w:val="auto"/>
                <w:sz w:val="24"/>
                <w:highlight w:val="none"/>
              </w:rPr>
            </w:pPr>
          </w:p>
        </w:tc>
        <w:tc>
          <w:tcPr>
            <w:tcW w:w="1686" w:type="dxa"/>
          </w:tcPr>
          <w:p w14:paraId="38975EC9">
            <w:pPr>
              <w:spacing w:line="360" w:lineRule="auto"/>
              <w:rPr>
                <w:rFonts w:hint="eastAsia" w:ascii="仿宋" w:hAnsi="仿宋" w:eastAsia="仿宋" w:cs="仿宋"/>
                <w:b/>
                <w:bCs/>
                <w:color w:val="auto"/>
                <w:sz w:val="24"/>
                <w:highlight w:val="none"/>
              </w:rPr>
            </w:pPr>
          </w:p>
        </w:tc>
        <w:tc>
          <w:tcPr>
            <w:tcW w:w="1588" w:type="dxa"/>
          </w:tcPr>
          <w:p w14:paraId="55C34400">
            <w:pPr>
              <w:spacing w:line="360" w:lineRule="auto"/>
              <w:rPr>
                <w:rFonts w:hint="eastAsia" w:ascii="仿宋" w:hAnsi="仿宋" w:eastAsia="仿宋" w:cs="仿宋"/>
                <w:b/>
                <w:bCs/>
                <w:color w:val="auto"/>
                <w:sz w:val="24"/>
                <w:highlight w:val="none"/>
              </w:rPr>
            </w:pPr>
          </w:p>
        </w:tc>
        <w:tc>
          <w:tcPr>
            <w:tcW w:w="1475" w:type="dxa"/>
          </w:tcPr>
          <w:p w14:paraId="53DDC811">
            <w:pPr>
              <w:spacing w:line="360" w:lineRule="auto"/>
              <w:rPr>
                <w:rFonts w:hint="eastAsia" w:ascii="仿宋" w:hAnsi="仿宋" w:eastAsia="仿宋" w:cs="仿宋"/>
                <w:b/>
                <w:bCs/>
                <w:color w:val="auto"/>
                <w:sz w:val="24"/>
                <w:highlight w:val="none"/>
              </w:rPr>
            </w:pPr>
          </w:p>
        </w:tc>
        <w:tc>
          <w:tcPr>
            <w:tcW w:w="2236" w:type="dxa"/>
          </w:tcPr>
          <w:p w14:paraId="274DB556">
            <w:pPr>
              <w:spacing w:line="360" w:lineRule="auto"/>
              <w:rPr>
                <w:rFonts w:hint="eastAsia" w:ascii="仿宋" w:hAnsi="仿宋" w:eastAsia="仿宋" w:cs="仿宋"/>
                <w:b/>
                <w:bCs/>
                <w:color w:val="auto"/>
                <w:sz w:val="24"/>
                <w:highlight w:val="none"/>
              </w:rPr>
            </w:pPr>
          </w:p>
        </w:tc>
      </w:tr>
      <w:tr w14:paraId="1DA9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tcPr>
          <w:p w14:paraId="4A53A9AA">
            <w:pPr>
              <w:spacing w:line="360" w:lineRule="auto"/>
              <w:rPr>
                <w:rFonts w:hint="eastAsia" w:ascii="仿宋" w:hAnsi="仿宋" w:eastAsia="仿宋" w:cs="仿宋"/>
                <w:b/>
                <w:bCs/>
                <w:color w:val="auto"/>
                <w:sz w:val="24"/>
                <w:highlight w:val="none"/>
              </w:rPr>
            </w:pPr>
          </w:p>
        </w:tc>
        <w:tc>
          <w:tcPr>
            <w:tcW w:w="1686" w:type="dxa"/>
          </w:tcPr>
          <w:p w14:paraId="73B68C9C">
            <w:pPr>
              <w:spacing w:line="360" w:lineRule="auto"/>
              <w:rPr>
                <w:rFonts w:hint="eastAsia" w:ascii="仿宋" w:hAnsi="仿宋" w:eastAsia="仿宋" w:cs="仿宋"/>
                <w:b/>
                <w:bCs/>
                <w:color w:val="auto"/>
                <w:sz w:val="24"/>
                <w:highlight w:val="none"/>
              </w:rPr>
            </w:pPr>
          </w:p>
        </w:tc>
        <w:tc>
          <w:tcPr>
            <w:tcW w:w="1588" w:type="dxa"/>
          </w:tcPr>
          <w:p w14:paraId="49BF0A13">
            <w:pPr>
              <w:spacing w:line="360" w:lineRule="auto"/>
              <w:rPr>
                <w:rFonts w:hint="eastAsia" w:ascii="仿宋" w:hAnsi="仿宋" w:eastAsia="仿宋" w:cs="仿宋"/>
                <w:b/>
                <w:bCs/>
                <w:color w:val="auto"/>
                <w:sz w:val="24"/>
                <w:highlight w:val="none"/>
              </w:rPr>
            </w:pPr>
          </w:p>
        </w:tc>
        <w:tc>
          <w:tcPr>
            <w:tcW w:w="1475" w:type="dxa"/>
          </w:tcPr>
          <w:p w14:paraId="4B87DA8D">
            <w:pPr>
              <w:spacing w:line="360" w:lineRule="auto"/>
              <w:rPr>
                <w:rFonts w:hint="eastAsia" w:ascii="仿宋" w:hAnsi="仿宋" w:eastAsia="仿宋" w:cs="仿宋"/>
                <w:b/>
                <w:bCs/>
                <w:color w:val="auto"/>
                <w:sz w:val="24"/>
                <w:highlight w:val="none"/>
              </w:rPr>
            </w:pPr>
          </w:p>
        </w:tc>
        <w:tc>
          <w:tcPr>
            <w:tcW w:w="2236" w:type="dxa"/>
          </w:tcPr>
          <w:p w14:paraId="2C5A6824">
            <w:pPr>
              <w:spacing w:line="360" w:lineRule="auto"/>
              <w:rPr>
                <w:rFonts w:hint="eastAsia" w:ascii="仿宋" w:hAnsi="仿宋" w:eastAsia="仿宋" w:cs="仿宋"/>
                <w:b/>
                <w:bCs/>
                <w:color w:val="auto"/>
                <w:sz w:val="24"/>
                <w:highlight w:val="none"/>
              </w:rPr>
            </w:pPr>
          </w:p>
        </w:tc>
      </w:tr>
      <w:tr w14:paraId="3B1D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tcPr>
          <w:p w14:paraId="735D3BB3">
            <w:pPr>
              <w:spacing w:line="360" w:lineRule="auto"/>
              <w:rPr>
                <w:rFonts w:hint="eastAsia" w:ascii="仿宋" w:hAnsi="仿宋" w:eastAsia="仿宋" w:cs="仿宋"/>
                <w:b/>
                <w:bCs/>
                <w:color w:val="auto"/>
                <w:sz w:val="24"/>
                <w:highlight w:val="none"/>
              </w:rPr>
            </w:pPr>
          </w:p>
        </w:tc>
        <w:tc>
          <w:tcPr>
            <w:tcW w:w="1686" w:type="dxa"/>
          </w:tcPr>
          <w:p w14:paraId="3F592F5F">
            <w:pPr>
              <w:spacing w:line="360" w:lineRule="auto"/>
              <w:rPr>
                <w:rFonts w:hint="eastAsia" w:ascii="仿宋" w:hAnsi="仿宋" w:eastAsia="仿宋" w:cs="仿宋"/>
                <w:b/>
                <w:bCs/>
                <w:color w:val="auto"/>
                <w:sz w:val="24"/>
                <w:highlight w:val="none"/>
              </w:rPr>
            </w:pPr>
          </w:p>
        </w:tc>
        <w:tc>
          <w:tcPr>
            <w:tcW w:w="1588" w:type="dxa"/>
          </w:tcPr>
          <w:p w14:paraId="622DBE0C">
            <w:pPr>
              <w:spacing w:line="360" w:lineRule="auto"/>
              <w:rPr>
                <w:rFonts w:hint="eastAsia" w:ascii="仿宋" w:hAnsi="仿宋" w:eastAsia="仿宋" w:cs="仿宋"/>
                <w:b/>
                <w:bCs/>
                <w:color w:val="auto"/>
                <w:sz w:val="24"/>
                <w:highlight w:val="none"/>
              </w:rPr>
            </w:pPr>
          </w:p>
        </w:tc>
        <w:tc>
          <w:tcPr>
            <w:tcW w:w="1475" w:type="dxa"/>
          </w:tcPr>
          <w:p w14:paraId="4F021CBD">
            <w:pPr>
              <w:spacing w:line="360" w:lineRule="auto"/>
              <w:rPr>
                <w:rFonts w:hint="eastAsia" w:ascii="仿宋" w:hAnsi="仿宋" w:eastAsia="仿宋" w:cs="仿宋"/>
                <w:b/>
                <w:bCs/>
                <w:color w:val="auto"/>
                <w:sz w:val="24"/>
                <w:highlight w:val="none"/>
              </w:rPr>
            </w:pPr>
          </w:p>
        </w:tc>
        <w:tc>
          <w:tcPr>
            <w:tcW w:w="2236" w:type="dxa"/>
          </w:tcPr>
          <w:p w14:paraId="70935F17">
            <w:pPr>
              <w:spacing w:line="360" w:lineRule="auto"/>
              <w:rPr>
                <w:rFonts w:hint="eastAsia" w:ascii="仿宋" w:hAnsi="仿宋" w:eastAsia="仿宋" w:cs="仿宋"/>
                <w:b/>
                <w:bCs/>
                <w:color w:val="auto"/>
                <w:sz w:val="24"/>
                <w:highlight w:val="none"/>
              </w:rPr>
            </w:pPr>
          </w:p>
        </w:tc>
      </w:tr>
      <w:tr w14:paraId="102B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tcPr>
          <w:p w14:paraId="51E8530F">
            <w:pPr>
              <w:spacing w:line="360" w:lineRule="auto"/>
              <w:rPr>
                <w:rFonts w:hint="eastAsia" w:ascii="仿宋" w:hAnsi="仿宋" w:eastAsia="仿宋" w:cs="仿宋"/>
                <w:b/>
                <w:bCs/>
                <w:color w:val="auto"/>
                <w:sz w:val="24"/>
                <w:highlight w:val="none"/>
              </w:rPr>
            </w:pPr>
          </w:p>
        </w:tc>
        <w:tc>
          <w:tcPr>
            <w:tcW w:w="1686" w:type="dxa"/>
          </w:tcPr>
          <w:p w14:paraId="43072C76">
            <w:pPr>
              <w:spacing w:line="360" w:lineRule="auto"/>
              <w:rPr>
                <w:rFonts w:hint="eastAsia" w:ascii="仿宋" w:hAnsi="仿宋" w:eastAsia="仿宋" w:cs="仿宋"/>
                <w:b/>
                <w:bCs/>
                <w:color w:val="auto"/>
                <w:sz w:val="24"/>
                <w:highlight w:val="none"/>
              </w:rPr>
            </w:pPr>
          </w:p>
        </w:tc>
        <w:tc>
          <w:tcPr>
            <w:tcW w:w="1588" w:type="dxa"/>
          </w:tcPr>
          <w:p w14:paraId="2303FC65">
            <w:pPr>
              <w:spacing w:line="360" w:lineRule="auto"/>
              <w:rPr>
                <w:rFonts w:hint="eastAsia" w:ascii="仿宋" w:hAnsi="仿宋" w:eastAsia="仿宋" w:cs="仿宋"/>
                <w:b/>
                <w:bCs/>
                <w:color w:val="auto"/>
                <w:sz w:val="24"/>
                <w:highlight w:val="none"/>
              </w:rPr>
            </w:pPr>
          </w:p>
        </w:tc>
        <w:tc>
          <w:tcPr>
            <w:tcW w:w="1475" w:type="dxa"/>
          </w:tcPr>
          <w:p w14:paraId="59143C9D">
            <w:pPr>
              <w:spacing w:line="360" w:lineRule="auto"/>
              <w:rPr>
                <w:rFonts w:hint="eastAsia" w:ascii="仿宋" w:hAnsi="仿宋" w:eastAsia="仿宋" w:cs="仿宋"/>
                <w:b/>
                <w:bCs/>
                <w:color w:val="auto"/>
                <w:sz w:val="24"/>
                <w:highlight w:val="none"/>
              </w:rPr>
            </w:pPr>
          </w:p>
        </w:tc>
        <w:tc>
          <w:tcPr>
            <w:tcW w:w="2236" w:type="dxa"/>
          </w:tcPr>
          <w:p w14:paraId="72F2C9A3">
            <w:pPr>
              <w:spacing w:line="360" w:lineRule="auto"/>
              <w:rPr>
                <w:rFonts w:hint="eastAsia" w:ascii="仿宋" w:hAnsi="仿宋" w:eastAsia="仿宋" w:cs="仿宋"/>
                <w:b/>
                <w:bCs/>
                <w:color w:val="auto"/>
                <w:sz w:val="24"/>
                <w:highlight w:val="none"/>
              </w:rPr>
            </w:pPr>
          </w:p>
        </w:tc>
      </w:tr>
      <w:tr w14:paraId="5AEF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tcPr>
          <w:p w14:paraId="30BAEA8C">
            <w:pPr>
              <w:spacing w:line="360" w:lineRule="auto"/>
              <w:rPr>
                <w:rFonts w:hint="eastAsia" w:ascii="仿宋" w:hAnsi="仿宋" w:eastAsia="仿宋" w:cs="仿宋"/>
                <w:b/>
                <w:bCs/>
                <w:color w:val="auto"/>
                <w:sz w:val="24"/>
                <w:highlight w:val="none"/>
              </w:rPr>
            </w:pPr>
          </w:p>
        </w:tc>
        <w:tc>
          <w:tcPr>
            <w:tcW w:w="1686" w:type="dxa"/>
          </w:tcPr>
          <w:p w14:paraId="0F9794DE">
            <w:pPr>
              <w:spacing w:line="360" w:lineRule="auto"/>
              <w:rPr>
                <w:rFonts w:hint="eastAsia" w:ascii="仿宋" w:hAnsi="仿宋" w:eastAsia="仿宋" w:cs="仿宋"/>
                <w:b/>
                <w:bCs/>
                <w:color w:val="auto"/>
                <w:sz w:val="24"/>
                <w:highlight w:val="none"/>
              </w:rPr>
            </w:pPr>
          </w:p>
        </w:tc>
        <w:tc>
          <w:tcPr>
            <w:tcW w:w="1588" w:type="dxa"/>
          </w:tcPr>
          <w:p w14:paraId="0A12F7A6">
            <w:pPr>
              <w:spacing w:line="360" w:lineRule="auto"/>
              <w:rPr>
                <w:rFonts w:hint="eastAsia" w:ascii="仿宋" w:hAnsi="仿宋" w:eastAsia="仿宋" w:cs="仿宋"/>
                <w:b/>
                <w:bCs/>
                <w:color w:val="auto"/>
                <w:sz w:val="24"/>
                <w:highlight w:val="none"/>
              </w:rPr>
            </w:pPr>
          </w:p>
        </w:tc>
        <w:tc>
          <w:tcPr>
            <w:tcW w:w="1475" w:type="dxa"/>
          </w:tcPr>
          <w:p w14:paraId="291A3BBA">
            <w:pPr>
              <w:spacing w:line="360" w:lineRule="auto"/>
              <w:rPr>
                <w:rFonts w:hint="eastAsia" w:ascii="仿宋" w:hAnsi="仿宋" w:eastAsia="仿宋" w:cs="仿宋"/>
                <w:b/>
                <w:bCs/>
                <w:color w:val="auto"/>
                <w:sz w:val="24"/>
                <w:highlight w:val="none"/>
              </w:rPr>
            </w:pPr>
          </w:p>
        </w:tc>
        <w:tc>
          <w:tcPr>
            <w:tcW w:w="2236" w:type="dxa"/>
          </w:tcPr>
          <w:p w14:paraId="40931391">
            <w:pPr>
              <w:spacing w:line="360" w:lineRule="auto"/>
              <w:rPr>
                <w:rFonts w:hint="eastAsia" w:ascii="仿宋" w:hAnsi="仿宋" w:eastAsia="仿宋" w:cs="仿宋"/>
                <w:b/>
                <w:bCs/>
                <w:color w:val="auto"/>
                <w:sz w:val="24"/>
                <w:highlight w:val="none"/>
              </w:rPr>
            </w:pPr>
          </w:p>
        </w:tc>
      </w:tr>
      <w:tr w14:paraId="67E7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tcPr>
          <w:p w14:paraId="314BD765">
            <w:pPr>
              <w:spacing w:line="360" w:lineRule="auto"/>
              <w:rPr>
                <w:rFonts w:hint="eastAsia" w:ascii="仿宋" w:hAnsi="仿宋" w:eastAsia="仿宋" w:cs="仿宋"/>
                <w:b/>
                <w:bCs/>
                <w:color w:val="auto"/>
                <w:sz w:val="24"/>
                <w:highlight w:val="none"/>
              </w:rPr>
            </w:pPr>
          </w:p>
        </w:tc>
        <w:tc>
          <w:tcPr>
            <w:tcW w:w="1686" w:type="dxa"/>
          </w:tcPr>
          <w:p w14:paraId="5248B86C">
            <w:pPr>
              <w:spacing w:line="360" w:lineRule="auto"/>
              <w:rPr>
                <w:rFonts w:hint="eastAsia" w:ascii="仿宋" w:hAnsi="仿宋" w:eastAsia="仿宋" w:cs="仿宋"/>
                <w:b/>
                <w:bCs/>
                <w:color w:val="auto"/>
                <w:sz w:val="24"/>
                <w:highlight w:val="none"/>
              </w:rPr>
            </w:pPr>
          </w:p>
        </w:tc>
        <w:tc>
          <w:tcPr>
            <w:tcW w:w="1588" w:type="dxa"/>
          </w:tcPr>
          <w:p w14:paraId="1C668545">
            <w:pPr>
              <w:spacing w:line="360" w:lineRule="auto"/>
              <w:rPr>
                <w:rFonts w:hint="eastAsia" w:ascii="仿宋" w:hAnsi="仿宋" w:eastAsia="仿宋" w:cs="仿宋"/>
                <w:b/>
                <w:bCs/>
                <w:color w:val="auto"/>
                <w:sz w:val="24"/>
                <w:highlight w:val="none"/>
              </w:rPr>
            </w:pPr>
          </w:p>
        </w:tc>
        <w:tc>
          <w:tcPr>
            <w:tcW w:w="1475" w:type="dxa"/>
          </w:tcPr>
          <w:p w14:paraId="5CBF6837">
            <w:pPr>
              <w:spacing w:line="360" w:lineRule="auto"/>
              <w:rPr>
                <w:rFonts w:hint="eastAsia" w:ascii="仿宋" w:hAnsi="仿宋" w:eastAsia="仿宋" w:cs="仿宋"/>
                <w:b/>
                <w:bCs/>
                <w:color w:val="auto"/>
                <w:sz w:val="24"/>
                <w:highlight w:val="none"/>
              </w:rPr>
            </w:pPr>
          </w:p>
        </w:tc>
        <w:tc>
          <w:tcPr>
            <w:tcW w:w="2236" w:type="dxa"/>
          </w:tcPr>
          <w:p w14:paraId="70711FC5">
            <w:pPr>
              <w:spacing w:line="360" w:lineRule="auto"/>
              <w:rPr>
                <w:rFonts w:hint="eastAsia" w:ascii="仿宋" w:hAnsi="仿宋" w:eastAsia="仿宋" w:cs="仿宋"/>
                <w:b/>
                <w:bCs/>
                <w:color w:val="auto"/>
                <w:sz w:val="24"/>
                <w:highlight w:val="none"/>
              </w:rPr>
            </w:pPr>
          </w:p>
        </w:tc>
      </w:tr>
      <w:tr w14:paraId="2909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tcPr>
          <w:p w14:paraId="3B48FD50">
            <w:pPr>
              <w:spacing w:line="360" w:lineRule="auto"/>
              <w:rPr>
                <w:rFonts w:hint="eastAsia" w:ascii="仿宋" w:hAnsi="仿宋" w:eastAsia="仿宋" w:cs="仿宋"/>
                <w:b/>
                <w:bCs/>
                <w:color w:val="auto"/>
                <w:sz w:val="24"/>
                <w:highlight w:val="none"/>
              </w:rPr>
            </w:pPr>
          </w:p>
        </w:tc>
        <w:tc>
          <w:tcPr>
            <w:tcW w:w="1686" w:type="dxa"/>
          </w:tcPr>
          <w:p w14:paraId="4A9D128A">
            <w:pPr>
              <w:spacing w:line="360" w:lineRule="auto"/>
              <w:rPr>
                <w:rFonts w:hint="eastAsia" w:ascii="仿宋" w:hAnsi="仿宋" w:eastAsia="仿宋" w:cs="仿宋"/>
                <w:b/>
                <w:bCs/>
                <w:color w:val="auto"/>
                <w:sz w:val="24"/>
                <w:highlight w:val="none"/>
              </w:rPr>
            </w:pPr>
          </w:p>
        </w:tc>
        <w:tc>
          <w:tcPr>
            <w:tcW w:w="1588" w:type="dxa"/>
          </w:tcPr>
          <w:p w14:paraId="68AB83D1">
            <w:pPr>
              <w:spacing w:line="360" w:lineRule="auto"/>
              <w:rPr>
                <w:rFonts w:hint="eastAsia" w:ascii="仿宋" w:hAnsi="仿宋" w:eastAsia="仿宋" w:cs="仿宋"/>
                <w:b/>
                <w:bCs/>
                <w:color w:val="auto"/>
                <w:sz w:val="24"/>
                <w:highlight w:val="none"/>
              </w:rPr>
            </w:pPr>
          </w:p>
        </w:tc>
        <w:tc>
          <w:tcPr>
            <w:tcW w:w="1475" w:type="dxa"/>
          </w:tcPr>
          <w:p w14:paraId="4C818BCC">
            <w:pPr>
              <w:spacing w:line="360" w:lineRule="auto"/>
              <w:rPr>
                <w:rFonts w:hint="eastAsia" w:ascii="仿宋" w:hAnsi="仿宋" w:eastAsia="仿宋" w:cs="仿宋"/>
                <w:b/>
                <w:bCs/>
                <w:color w:val="auto"/>
                <w:sz w:val="24"/>
                <w:highlight w:val="none"/>
              </w:rPr>
            </w:pPr>
          </w:p>
        </w:tc>
        <w:tc>
          <w:tcPr>
            <w:tcW w:w="2236" w:type="dxa"/>
          </w:tcPr>
          <w:p w14:paraId="112D2793">
            <w:pPr>
              <w:spacing w:line="360" w:lineRule="auto"/>
              <w:rPr>
                <w:rFonts w:hint="eastAsia" w:ascii="仿宋" w:hAnsi="仿宋" w:eastAsia="仿宋" w:cs="仿宋"/>
                <w:b/>
                <w:bCs/>
                <w:color w:val="auto"/>
                <w:sz w:val="24"/>
                <w:highlight w:val="none"/>
              </w:rPr>
            </w:pPr>
          </w:p>
        </w:tc>
      </w:tr>
      <w:tr w14:paraId="05D1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tcPr>
          <w:p w14:paraId="6CC7AEFF">
            <w:pPr>
              <w:spacing w:line="360" w:lineRule="auto"/>
              <w:rPr>
                <w:rFonts w:hint="eastAsia" w:ascii="仿宋" w:hAnsi="仿宋" w:eastAsia="仿宋" w:cs="仿宋"/>
                <w:b/>
                <w:bCs/>
                <w:color w:val="auto"/>
                <w:sz w:val="24"/>
                <w:highlight w:val="none"/>
              </w:rPr>
            </w:pPr>
          </w:p>
        </w:tc>
        <w:tc>
          <w:tcPr>
            <w:tcW w:w="1686" w:type="dxa"/>
          </w:tcPr>
          <w:p w14:paraId="0B7929C7">
            <w:pPr>
              <w:spacing w:line="360" w:lineRule="auto"/>
              <w:rPr>
                <w:rFonts w:hint="eastAsia" w:ascii="仿宋" w:hAnsi="仿宋" w:eastAsia="仿宋" w:cs="仿宋"/>
                <w:b/>
                <w:bCs/>
                <w:color w:val="auto"/>
                <w:sz w:val="24"/>
                <w:highlight w:val="none"/>
              </w:rPr>
            </w:pPr>
          </w:p>
        </w:tc>
        <w:tc>
          <w:tcPr>
            <w:tcW w:w="1588" w:type="dxa"/>
          </w:tcPr>
          <w:p w14:paraId="324A4F32">
            <w:pPr>
              <w:spacing w:line="360" w:lineRule="auto"/>
              <w:rPr>
                <w:rFonts w:hint="eastAsia" w:ascii="仿宋" w:hAnsi="仿宋" w:eastAsia="仿宋" w:cs="仿宋"/>
                <w:b/>
                <w:bCs/>
                <w:color w:val="auto"/>
                <w:sz w:val="24"/>
                <w:highlight w:val="none"/>
              </w:rPr>
            </w:pPr>
          </w:p>
        </w:tc>
        <w:tc>
          <w:tcPr>
            <w:tcW w:w="1475" w:type="dxa"/>
          </w:tcPr>
          <w:p w14:paraId="6204EBAC">
            <w:pPr>
              <w:spacing w:line="360" w:lineRule="auto"/>
              <w:rPr>
                <w:rFonts w:hint="eastAsia" w:ascii="仿宋" w:hAnsi="仿宋" w:eastAsia="仿宋" w:cs="仿宋"/>
                <w:b/>
                <w:bCs/>
                <w:color w:val="auto"/>
                <w:sz w:val="24"/>
                <w:highlight w:val="none"/>
              </w:rPr>
            </w:pPr>
          </w:p>
        </w:tc>
        <w:tc>
          <w:tcPr>
            <w:tcW w:w="2236" w:type="dxa"/>
          </w:tcPr>
          <w:p w14:paraId="77120C58">
            <w:pPr>
              <w:spacing w:line="360" w:lineRule="auto"/>
              <w:rPr>
                <w:rFonts w:hint="eastAsia" w:ascii="仿宋" w:hAnsi="仿宋" w:eastAsia="仿宋" w:cs="仿宋"/>
                <w:b/>
                <w:bCs/>
                <w:color w:val="auto"/>
                <w:sz w:val="24"/>
                <w:highlight w:val="none"/>
              </w:rPr>
            </w:pPr>
          </w:p>
        </w:tc>
      </w:tr>
      <w:tr w14:paraId="69AD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tcPr>
          <w:p w14:paraId="12CA5C63">
            <w:pPr>
              <w:spacing w:line="360" w:lineRule="auto"/>
              <w:rPr>
                <w:rFonts w:hint="eastAsia" w:ascii="仿宋" w:hAnsi="仿宋" w:eastAsia="仿宋" w:cs="仿宋"/>
                <w:b/>
                <w:bCs/>
                <w:color w:val="auto"/>
                <w:sz w:val="24"/>
                <w:highlight w:val="none"/>
              </w:rPr>
            </w:pPr>
          </w:p>
        </w:tc>
        <w:tc>
          <w:tcPr>
            <w:tcW w:w="1686" w:type="dxa"/>
          </w:tcPr>
          <w:p w14:paraId="18526188">
            <w:pPr>
              <w:spacing w:line="360" w:lineRule="auto"/>
              <w:rPr>
                <w:rFonts w:hint="eastAsia" w:ascii="仿宋" w:hAnsi="仿宋" w:eastAsia="仿宋" w:cs="仿宋"/>
                <w:b/>
                <w:bCs/>
                <w:color w:val="auto"/>
                <w:sz w:val="24"/>
                <w:highlight w:val="none"/>
              </w:rPr>
            </w:pPr>
          </w:p>
        </w:tc>
        <w:tc>
          <w:tcPr>
            <w:tcW w:w="1588" w:type="dxa"/>
          </w:tcPr>
          <w:p w14:paraId="6798D57A">
            <w:pPr>
              <w:spacing w:line="360" w:lineRule="auto"/>
              <w:rPr>
                <w:rFonts w:hint="eastAsia" w:ascii="仿宋" w:hAnsi="仿宋" w:eastAsia="仿宋" w:cs="仿宋"/>
                <w:b/>
                <w:bCs/>
                <w:color w:val="auto"/>
                <w:sz w:val="24"/>
                <w:highlight w:val="none"/>
              </w:rPr>
            </w:pPr>
          </w:p>
        </w:tc>
        <w:tc>
          <w:tcPr>
            <w:tcW w:w="1475" w:type="dxa"/>
          </w:tcPr>
          <w:p w14:paraId="0073AEBB">
            <w:pPr>
              <w:spacing w:line="360" w:lineRule="auto"/>
              <w:rPr>
                <w:rFonts w:hint="eastAsia" w:ascii="仿宋" w:hAnsi="仿宋" w:eastAsia="仿宋" w:cs="仿宋"/>
                <w:b/>
                <w:bCs/>
                <w:color w:val="auto"/>
                <w:sz w:val="24"/>
                <w:highlight w:val="none"/>
              </w:rPr>
            </w:pPr>
          </w:p>
        </w:tc>
        <w:tc>
          <w:tcPr>
            <w:tcW w:w="2236" w:type="dxa"/>
          </w:tcPr>
          <w:p w14:paraId="6C370F0B">
            <w:pPr>
              <w:spacing w:line="360" w:lineRule="auto"/>
              <w:rPr>
                <w:rFonts w:hint="eastAsia" w:ascii="仿宋" w:hAnsi="仿宋" w:eastAsia="仿宋" w:cs="仿宋"/>
                <w:b/>
                <w:bCs/>
                <w:color w:val="auto"/>
                <w:sz w:val="24"/>
                <w:highlight w:val="none"/>
              </w:rPr>
            </w:pPr>
          </w:p>
        </w:tc>
      </w:tr>
      <w:tr w14:paraId="79C4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tcPr>
          <w:p w14:paraId="624A7893">
            <w:pPr>
              <w:spacing w:line="360" w:lineRule="auto"/>
              <w:rPr>
                <w:rFonts w:hint="eastAsia" w:ascii="仿宋" w:hAnsi="仿宋" w:eastAsia="仿宋" w:cs="仿宋"/>
                <w:b/>
                <w:bCs/>
                <w:color w:val="auto"/>
                <w:sz w:val="24"/>
                <w:highlight w:val="none"/>
              </w:rPr>
            </w:pPr>
          </w:p>
        </w:tc>
        <w:tc>
          <w:tcPr>
            <w:tcW w:w="1686" w:type="dxa"/>
          </w:tcPr>
          <w:p w14:paraId="0EB41D3C">
            <w:pPr>
              <w:spacing w:line="360" w:lineRule="auto"/>
              <w:rPr>
                <w:rFonts w:hint="eastAsia" w:ascii="仿宋" w:hAnsi="仿宋" w:eastAsia="仿宋" w:cs="仿宋"/>
                <w:b/>
                <w:bCs/>
                <w:color w:val="auto"/>
                <w:sz w:val="24"/>
                <w:highlight w:val="none"/>
              </w:rPr>
            </w:pPr>
          </w:p>
        </w:tc>
        <w:tc>
          <w:tcPr>
            <w:tcW w:w="1588" w:type="dxa"/>
          </w:tcPr>
          <w:p w14:paraId="00CF57CD">
            <w:pPr>
              <w:spacing w:line="360" w:lineRule="auto"/>
              <w:rPr>
                <w:rFonts w:hint="eastAsia" w:ascii="仿宋" w:hAnsi="仿宋" w:eastAsia="仿宋" w:cs="仿宋"/>
                <w:b/>
                <w:bCs/>
                <w:color w:val="auto"/>
                <w:sz w:val="24"/>
                <w:highlight w:val="none"/>
              </w:rPr>
            </w:pPr>
          </w:p>
        </w:tc>
        <w:tc>
          <w:tcPr>
            <w:tcW w:w="1475" w:type="dxa"/>
          </w:tcPr>
          <w:p w14:paraId="2A69F2E3">
            <w:pPr>
              <w:spacing w:line="360" w:lineRule="auto"/>
              <w:rPr>
                <w:rFonts w:hint="eastAsia" w:ascii="仿宋" w:hAnsi="仿宋" w:eastAsia="仿宋" w:cs="仿宋"/>
                <w:b/>
                <w:bCs/>
                <w:color w:val="auto"/>
                <w:sz w:val="24"/>
                <w:highlight w:val="none"/>
              </w:rPr>
            </w:pPr>
          </w:p>
        </w:tc>
        <w:tc>
          <w:tcPr>
            <w:tcW w:w="2236" w:type="dxa"/>
          </w:tcPr>
          <w:p w14:paraId="35DE2C5F">
            <w:pPr>
              <w:spacing w:line="360" w:lineRule="auto"/>
              <w:rPr>
                <w:rFonts w:hint="eastAsia" w:ascii="仿宋" w:hAnsi="仿宋" w:eastAsia="仿宋" w:cs="仿宋"/>
                <w:b/>
                <w:bCs/>
                <w:color w:val="auto"/>
                <w:sz w:val="24"/>
                <w:highlight w:val="none"/>
              </w:rPr>
            </w:pPr>
          </w:p>
        </w:tc>
      </w:tr>
      <w:tr w14:paraId="42DF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tcPr>
          <w:p w14:paraId="04D006C6">
            <w:pPr>
              <w:spacing w:line="360" w:lineRule="auto"/>
              <w:rPr>
                <w:rFonts w:hint="eastAsia" w:ascii="仿宋" w:hAnsi="仿宋" w:eastAsia="仿宋" w:cs="仿宋"/>
                <w:b/>
                <w:bCs/>
                <w:color w:val="auto"/>
                <w:sz w:val="24"/>
                <w:highlight w:val="none"/>
              </w:rPr>
            </w:pPr>
          </w:p>
        </w:tc>
        <w:tc>
          <w:tcPr>
            <w:tcW w:w="1686" w:type="dxa"/>
          </w:tcPr>
          <w:p w14:paraId="5C40811B">
            <w:pPr>
              <w:spacing w:line="360" w:lineRule="auto"/>
              <w:rPr>
                <w:rFonts w:hint="eastAsia" w:ascii="仿宋" w:hAnsi="仿宋" w:eastAsia="仿宋" w:cs="仿宋"/>
                <w:b/>
                <w:bCs/>
                <w:color w:val="auto"/>
                <w:sz w:val="24"/>
                <w:highlight w:val="none"/>
              </w:rPr>
            </w:pPr>
          </w:p>
        </w:tc>
        <w:tc>
          <w:tcPr>
            <w:tcW w:w="1588" w:type="dxa"/>
          </w:tcPr>
          <w:p w14:paraId="526B5F1E">
            <w:pPr>
              <w:spacing w:line="360" w:lineRule="auto"/>
              <w:rPr>
                <w:rFonts w:hint="eastAsia" w:ascii="仿宋" w:hAnsi="仿宋" w:eastAsia="仿宋" w:cs="仿宋"/>
                <w:b/>
                <w:bCs/>
                <w:color w:val="auto"/>
                <w:sz w:val="24"/>
                <w:highlight w:val="none"/>
              </w:rPr>
            </w:pPr>
          </w:p>
        </w:tc>
        <w:tc>
          <w:tcPr>
            <w:tcW w:w="1475" w:type="dxa"/>
          </w:tcPr>
          <w:p w14:paraId="1D70625C">
            <w:pPr>
              <w:spacing w:line="360" w:lineRule="auto"/>
              <w:rPr>
                <w:rFonts w:hint="eastAsia" w:ascii="仿宋" w:hAnsi="仿宋" w:eastAsia="仿宋" w:cs="仿宋"/>
                <w:b/>
                <w:bCs/>
                <w:color w:val="auto"/>
                <w:sz w:val="24"/>
                <w:highlight w:val="none"/>
              </w:rPr>
            </w:pPr>
          </w:p>
        </w:tc>
        <w:tc>
          <w:tcPr>
            <w:tcW w:w="2236" w:type="dxa"/>
          </w:tcPr>
          <w:p w14:paraId="349BFD49">
            <w:pPr>
              <w:spacing w:line="360" w:lineRule="auto"/>
              <w:rPr>
                <w:rFonts w:hint="eastAsia" w:ascii="仿宋" w:hAnsi="仿宋" w:eastAsia="仿宋" w:cs="仿宋"/>
                <w:b/>
                <w:bCs/>
                <w:color w:val="auto"/>
                <w:sz w:val="24"/>
                <w:highlight w:val="none"/>
              </w:rPr>
            </w:pPr>
          </w:p>
        </w:tc>
      </w:tr>
      <w:tr w14:paraId="718D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tcPr>
          <w:p w14:paraId="218ADF88">
            <w:pPr>
              <w:spacing w:line="360" w:lineRule="auto"/>
              <w:rPr>
                <w:rFonts w:hint="eastAsia" w:ascii="仿宋" w:hAnsi="仿宋" w:eastAsia="仿宋" w:cs="仿宋"/>
                <w:b/>
                <w:bCs/>
                <w:color w:val="auto"/>
                <w:sz w:val="24"/>
                <w:highlight w:val="none"/>
              </w:rPr>
            </w:pPr>
          </w:p>
        </w:tc>
        <w:tc>
          <w:tcPr>
            <w:tcW w:w="1686" w:type="dxa"/>
          </w:tcPr>
          <w:p w14:paraId="2D04D7EE">
            <w:pPr>
              <w:spacing w:line="360" w:lineRule="auto"/>
              <w:rPr>
                <w:rFonts w:hint="eastAsia" w:ascii="仿宋" w:hAnsi="仿宋" w:eastAsia="仿宋" w:cs="仿宋"/>
                <w:b/>
                <w:bCs/>
                <w:color w:val="auto"/>
                <w:sz w:val="24"/>
                <w:highlight w:val="none"/>
              </w:rPr>
            </w:pPr>
          </w:p>
        </w:tc>
        <w:tc>
          <w:tcPr>
            <w:tcW w:w="1588" w:type="dxa"/>
          </w:tcPr>
          <w:p w14:paraId="6076D677">
            <w:pPr>
              <w:spacing w:line="360" w:lineRule="auto"/>
              <w:rPr>
                <w:rFonts w:hint="eastAsia" w:ascii="仿宋" w:hAnsi="仿宋" w:eastAsia="仿宋" w:cs="仿宋"/>
                <w:b/>
                <w:bCs/>
                <w:color w:val="auto"/>
                <w:sz w:val="24"/>
                <w:highlight w:val="none"/>
              </w:rPr>
            </w:pPr>
          </w:p>
        </w:tc>
        <w:tc>
          <w:tcPr>
            <w:tcW w:w="1475" w:type="dxa"/>
          </w:tcPr>
          <w:p w14:paraId="698354D2">
            <w:pPr>
              <w:spacing w:line="360" w:lineRule="auto"/>
              <w:rPr>
                <w:rFonts w:hint="eastAsia" w:ascii="仿宋" w:hAnsi="仿宋" w:eastAsia="仿宋" w:cs="仿宋"/>
                <w:b/>
                <w:bCs/>
                <w:color w:val="auto"/>
                <w:sz w:val="24"/>
                <w:highlight w:val="none"/>
              </w:rPr>
            </w:pPr>
          </w:p>
        </w:tc>
        <w:tc>
          <w:tcPr>
            <w:tcW w:w="2236" w:type="dxa"/>
          </w:tcPr>
          <w:p w14:paraId="1F5700E1">
            <w:pPr>
              <w:spacing w:line="360" w:lineRule="auto"/>
              <w:rPr>
                <w:rFonts w:hint="eastAsia" w:ascii="仿宋" w:hAnsi="仿宋" w:eastAsia="仿宋" w:cs="仿宋"/>
                <w:b/>
                <w:bCs/>
                <w:color w:val="auto"/>
                <w:sz w:val="24"/>
                <w:highlight w:val="none"/>
              </w:rPr>
            </w:pPr>
          </w:p>
        </w:tc>
      </w:tr>
      <w:tr w14:paraId="03EB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tcPr>
          <w:p w14:paraId="7541207F">
            <w:pPr>
              <w:spacing w:line="360" w:lineRule="auto"/>
              <w:rPr>
                <w:rFonts w:hint="eastAsia" w:ascii="仿宋" w:hAnsi="仿宋" w:eastAsia="仿宋" w:cs="仿宋"/>
                <w:b/>
                <w:bCs/>
                <w:color w:val="auto"/>
                <w:sz w:val="24"/>
                <w:highlight w:val="none"/>
              </w:rPr>
            </w:pPr>
          </w:p>
        </w:tc>
        <w:tc>
          <w:tcPr>
            <w:tcW w:w="1686" w:type="dxa"/>
          </w:tcPr>
          <w:p w14:paraId="7E727FCC">
            <w:pPr>
              <w:spacing w:line="360" w:lineRule="auto"/>
              <w:rPr>
                <w:rFonts w:hint="eastAsia" w:ascii="仿宋" w:hAnsi="仿宋" w:eastAsia="仿宋" w:cs="仿宋"/>
                <w:b/>
                <w:bCs/>
                <w:color w:val="auto"/>
                <w:sz w:val="24"/>
                <w:highlight w:val="none"/>
              </w:rPr>
            </w:pPr>
          </w:p>
        </w:tc>
        <w:tc>
          <w:tcPr>
            <w:tcW w:w="1588" w:type="dxa"/>
          </w:tcPr>
          <w:p w14:paraId="2BB7630F">
            <w:pPr>
              <w:spacing w:line="360" w:lineRule="auto"/>
              <w:rPr>
                <w:rFonts w:hint="eastAsia" w:ascii="仿宋" w:hAnsi="仿宋" w:eastAsia="仿宋" w:cs="仿宋"/>
                <w:b/>
                <w:bCs/>
                <w:color w:val="auto"/>
                <w:sz w:val="24"/>
                <w:highlight w:val="none"/>
              </w:rPr>
            </w:pPr>
          </w:p>
        </w:tc>
        <w:tc>
          <w:tcPr>
            <w:tcW w:w="1475" w:type="dxa"/>
          </w:tcPr>
          <w:p w14:paraId="6534BE4F">
            <w:pPr>
              <w:spacing w:line="360" w:lineRule="auto"/>
              <w:rPr>
                <w:rFonts w:hint="eastAsia" w:ascii="仿宋" w:hAnsi="仿宋" w:eastAsia="仿宋" w:cs="仿宋"/>
                <w:b/>
                <w:bCs/>
                <w:color w:val="auto"/>
                <w:sz w:val="24"/>
                <w:highlight w:val="none"/>
              </w:rPr>
            </w:pPr>
          </w:p>
        </w:tc>
        <w:tc>
          <w:tcPr>
            <w:tcW w:w="2236" w:type="dxa"/>
          </w:tcPr>
          <w:p w14:paraId="2E54A037">
            <w:pPr>
              <w:spacing w:line="360" w:lineRule="auto"/>
              <w:rPr>
                <w:rFonts w:hint="eastAsia" w:ascii="仿宋" w:hAnsi="仿宋" w:eastAsia="仿宋" w:cs="仿宋"/>
                <w:b/>
                <w:bCs/>
                <w:color w:val="auto"/>
                <w:sz w:val="24"/>
                <w:highlight w:val="none"/>
              </w:rPr>
            </w:pPr>
          </w:p>
        </w:tc>
      </w:tr>
      <w:tr w14:paraId="7635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tcPr>
          <w:p w14:paraId="04428A3A">
            <w:pPr>
              <w:spacing w:line="360" w:lineRule="auto"/>
              <w:rPr>
                <w:rFonts w:hint="eastAsia" w:ascii="仿宋" w:hAnsi="仿宋" w:eastAsia="仿宋" w:cs="仿宋"/>
                <w:b/>
                <w:bCs/>
                <w:color w:val="auto"/>
                <w:sz w:val="24"/>
                <w:highlight w:val="none"/>
              </w:rPr>
            </w:pPr>
          </w:p>
        </w:tc>
        <w:tc>
          <w:tcPr>
            <w:tcW w:w="1686" w:type="dxa"/>
          </w:tcPr>
          <w:p w14:paraId="04A7EFD1">
            <w:pPr>
              <w:spacing w:line="360" w:lineRule="auto"/>
              <w:rPr>
                <w:rFonts w:hint="eastAsia" w:ascii="仿宋" w:hAnsi="仿宋" w:eastAsia="仿宋" w:cs="仿宋"/>
                <w:b/>
                <w:bCs/>
                <w:color w:val="auto"/>
                <w:sz w:val="24"/>
                <w:highlight w:val="none"/>
              </w:rPr>
            </w:pPr>
          </w:p>
        </w:tc>
        <w:tc>
          <w:tcPr>
            <w:tcW w:w="1588" w:type="dxa"/>
          </w:tcPr>
          <w:p w14:paraId="4BFC00C4">
            <w:pPr>
              <w:spacing w:line="360" w:lineRule="auto"/>
              <w:rPr>
                <w:rFonts w:hint="eastAsia" w:ascii="仿宋" w:hAnsi="仿宋" w:eastAsia="仿宋" w:cs="仿宋"/>
                <w:b/>
                <w:bCs/>
                <w:color w:val="auto"/>
                <w:sz w:val="24"/>
                <w:highlight w:val="none"/>
              </w:rPr>
            </w:pPr>
          </w:p>
        </w:tc>
        <w:tc>
          <w:tcPr>
            <w:tcW w:w="1475" w:type="dxa"/>
          </w:tcPr>
          <w:p w14:paraId="1EB3DE3A">
            <w:pPr>
              <w:spacing w:line="360" w:lineRule="auto"/>
              <w:rPr>
                <w:rFonts w:hint="eastAsia" w:ascii="仿宋" w:hAnsi="仿宋" w:eastAsia="仿宋" w:cs="仿宋"/>
                <w:b/>
                <w:bCs/>
                <w:color w:val="auto"/>
                <w:sz w:val="24"/>
                <w:highlight w:val="none"/>
              </w:rPr>
            </w:pPr>
          </w:p>
        </w:tc>
        <w:tc>
          <w:tcPr>
            <w:tcW w:w="2236" w:type="dxa"/>
          </w:tcPr>
          <w:p w14:paraId="0F485E66">
            <w:pPr>
              <w:spacing w:line="360" w:lineRule="auto"/>
              <w:rPr>
                <w:rFonts w:hint="eastAsia" w:ascii="仿宋" w:hAnsi="仿宋" w:eastAsia="仿宋" w:cs="仿宋"/>
                <w:b/>
                <w:bCs/>
                <w:color w:val="auto"/>
                <w:sz w:val="24"/>
                <w:highlight w:val="none"/>
              </w:rPr>
            </w:pPr>
          </w:p>
        </w:tc>
      </w:tr>
    </w:tbl>
    <w:p w14:paraId="7DC8473B">
      <w:pPr>
        <w:spacing w:line="360" w:lineRule="auto"/>
        <w:jc w:val="left"/>
        <w:rPr>
          <w:rFonts w:hint="eastAsia" w:ascii="仿宋" w:hAnsi="仿宋" w:eastAsia="仿宋" w:cs="仿宋"/>
          <w:b/>
          <w:bCs/>
          <w:color w:val="auto"/>
          <w:sz w:val="24"/>
          <w:highlight w:val="none"/>
        </w:rPr>
      </w:pPr>
    </w:p>
    <w:p w14:paraId="5388CC0D">
      <w:pPr>
        <w:spacing w:line="360" w:lineRule="auto"/>
        <w:jc w:val="left"/>
        <w:rPr>
          <w:rFonts w:hint="eastAsia" w:ascii="仿宋" w:hAnsi="仿宋" w:eastAsia="仿宋" w:cs="仿宋"/>
          <w:color w:val="auto"/>
          <w:sz w:val="28"/>
          <w:szCs w:val="28"/>
          <w:highlight w:val="none"/>
        </w:rPr>
      </w:pPr>
    </w:p>
    <w:p w14:paraId="4E946980">
      <w:pPr>
        <w:spacing w:line="360" w:lineRule="auto"/>
        <w:jc w:val="left"/>
        <w:rPr>
          <w:rFonts w:hint="eastAsia" w:ascii="仿宋" w:hAnsi="仿宋" w:eastAsia="仿宋" w:cs="仿宋"/>
          <w:color w:val="auto"/>
          <w:sz w:val="28"/>
          <w:szCs w:val="28"/>
          <w:highlight w:val="none"/>
        </w:rPr>
      </w:pPr>
    </w:p>
    <w:p w14:paraId="137B044B">
      <w:pPr>
        <w:spacing w:line="360" w:lineRule="auto"/>
        <w:rPr>
          <w:rFonts w:hint="eastAsia" w:ascii="仿宋" w:hAnsi="仿宋" w:eastAsia="仿宋" w:cs="仿宋"/>
          <w:b/>
          <w:color w:val="auto"/>
          <w:sz w:val="28"/>
          <w:highlight w:val="none"/>
        </w:rPr>
      </w:pPr>
    </w:p>
    <w:p w14:paraId="1F34BD99">
      <w:pPr>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第四章评标办法(</w:t>
      </w:r>
      <w:r>
        <w:rPr>
          <w:rFonts w:hint="eastAsia" w:ascii="仿宋" w:hAnsi="仿宋" w:eastAsia="仿宋" w:cs="仿宋"/>
          <w:b/>
          <w:bCs/>
          <w:color w:val="auto"/>
          <w:sz w:val="36"/>
          <w:szCs w:val="36"/>
          <w:highlight w:val="none"/>
          <w:lang w:val="en-US" w:eastAsia="zh-CN"/>
        </w:rPr>
        <w:t>最低价法</w:t>
      </w:r>
      <w:r>
        <w:rPr>
          <w:rFonts w:hint="eastAsia" w:ascii="仿宋" w:hAnsi="仿宋" w:eastAsia="仿宋" w:cs="仿宋"/>
          <w:b/>
          <w:bCs/>
          <w:color w:val="auto"/>
          <w:sz w:val="36"/>
          <w:szCs w:val="36"/>
          <w:highlight w:val="none"/>
        </w:rPr>
        <w:t>)</w:t>
      </w:r>
    </w:p>
    <w:p w14:paraId="4892234D">
      <w:pPr>
        <w:spacing w:beforeLines="30" w:afterLines="30" w:line="360" w:lineRule="auto"/>
        <w:ind w:firstLine="480" w:firstLineChars="200"/>
        <w:jc w:val="left"/>
        <w:rPr>
          <w:rFonts w:hint="eastAsia" w:ascii="仿宋" w:hAnsi="仿宋" w:eastAsia="仿宋" w:cs="仿宋"/>
          <w:color w:val="auto"/>
          <w:sz w:val="23"/>
          <w:szCs w:val="23"/>
          <w:highlight w:val="none"/>
        </w:rPr>
      </w:pPr>
      <w:r>
        <w:rPr>
          <w:rFonts w:hint="eastAsia" w:ascii="仿宋" w:hAnsi="仿宋" w:eastAsia="仿宋" w:cs="仿宋"/>
          <w:color w:val="auto"/>
          <w:sz w:val="24"/>
          <w:highlight w:val="none"/>
        </w:rPr>
        <w:t>一、根据《中华人民共和国招标投标法》、《江苏省招标投标条例》、《评标委员会和评标方法暂行规定》等有关法律法规，本着公平、公正、合理的原则，结合工程实际情况，各投标人满足招标文件中的检测要求及质量标准，并响应招标文件中实质性条款后，对投标人的</w:t>
      </w:r>
      <w:r>
        <w:rPr>
          <w:rFonts w:hint="eastAsia" w:ascii="仿宋" w:hAnsi="仿宋" w:eastAsia="仿宋" w:cs="仿宋"/>
          <w:color w:val="auto"/>
          <w:kern w:val="0"/>
          <w:sz w:val="24"/>
          <w:szCs w:val="24"/>
          <w:highlight w:val="none"/>
        </w:rPr>
        <w:t>投标报价</w:t>
      </w:r>
      <w:r>
        <w:rPr>
          <w:rFonts w:hint="eastAsia" w:ascii="仿宋" w:hAnsi="仿宋" w:eastAsia="仿宋" w:cs="仿宋"/>
          <w:color w:val="auto"/>
          <w:sz w:val="24"/>
          <w:highlight w:val="none"/>
        </w:rPr>
        <w:t>进行评标（评分保留两位小数）。</w:t>
      </w:r>
    </w:p>
    <w:p w14:paraId="39AF0AED">
      <w:pPr>
        <w:widowControl/>
        <w:shd w:val="clear" w:color="auto" w:fill="FFFFFF"/>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二、</w:t>
      </w:r>
      <w:r>
        <w:rPr>
          <w:rFonts w:hint="eastAsia" w:ascii="仿宋" w:hAnsi="仿宋" w:eastAsia="仿宋" w:cs="仿宋"/>
          <w:b/>
          <w:bCs/>
          <w:color w:val="auto"/>
          <w:sz w:val="24"/>
          <w:highlight w:val="none"/>
        </w:rPr>
        <w:t>开标时，参加开标的</w:t>
      </w:r>
      <w:r>
        <w:rPr>
          <w:rFonts w:hint="eastAsia" w:ascii="仿宋" w:hAnsi="仿宋" w:eastAsia="仿宋" w:cs="仿宋"/>
          <w:b/>
          <w:color w:val="auto"/>
          <w:sz w:val="24"/>
          <w:highlight w:val="none"/>
        </w:rPr>
        <w:t>授权委托人</w:t>
      </w:r>
      <w:r>
        <w:rPr>
          <w:rFonts w:hint="eastAsia" w:ascii="仿宋" w:hAnsi="仿宋" w:eastAsia="仿宋" w:cs="仿宋"/>
          <w:b/>
          <w:bCs/>
          <w:color w:val="auto"/>
          <w:kern w:val="0"/>
          <w:sz w:val="24"/>
          <w:highlight w:val="none"/>
        </w:rPr>
        <w:t>必须携带本人身份原件和法定代理人授权委托书或法定代表人</w:t>
      </w:r>
      <w:r>
        <w:rPr>
          <w:rFonts w:hint="eastAsia" w:ascii="仿宋" w:hAnsi="仿宋" w:eastAsia="仿宋" w:cs="仿宋"/>
          <w:b/>
          <w:color w:val="auto"/>
          <w:sz w:val="24"/>
          <w:highlight w:val="none"/>
        </w:rPr>
        <w:t>准时到场参加开标会议</w:t>
      </w:r>
      <w:r>
        <w:rPr>
          <w:rFonts w:hint="eastAsia" w:ascii="仿宋" w:hAnsi="仿宋" w:eastAsia="仿宋" w:cs="仿宋"/>
          <w:b/>
          <w:bCs/>
          <w:color w:val="auto"/>
          <w:sz w:val="24"/>
          <w:highlight w:val="none"/>
        </w:rPr>
        <w:t>，否则不予接受其投标文件。开标时所有复印件的原件均需携带至开标现场备查。</w:t>
      </w:r>
    </w:p>
    <w:p w14:paraId="226D8A7D">
      <w:pPr>
        <w:widowControl/>
        <w:shd w:val="clear" w:color="auto" w:fill="FFFFFF"/>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三、评标时如遇特殊情况，由评标委员会研究决定或处理。处理结果概不向投标人解释。</w:t>
      </w:r>
    </w:p>
    <w:p w14:paraId="5D869CBF">
      <w:pPr>
        <w:spacing w:line="360" w:lineRule="auto"/>
        <w:ind w:firstLine="482" w:firstLineChars="200"/>
        <w:jc w:val="left"/>
        <w:rPr>
          <w:rFonts w:hint="eastAsia" w:ascii="仿宋" w:hAnsi="仿宋" w:eastAsia="仿宋" w:cs="仿宋"/>
          <w:b/>
          <w:bCs/>
          <w:color w:val="auto"/>
          <w:sz w:val="24"/>
          <w:highlight w:val="none"/>
        </w:rPr>
      </w:pPr>
      <w:r>
        <w:rPr>
          <w:rFonts w:hint="eastAsia" w:ascii="仿宋" w:hAnsi="仿宋" w:eastAsia="仿宋" w:cs="仿宋"/>
          <w:b/>
          <w:bCs/>
          <w:color w:val="auto"/>
          <w:sz w:val="24"/>
          <w:szCs w:val="21"/>
          <w:highlight w:val="none"/>
        </w:rPr>
        <w:t>四、评标程序</w:t>
      </w:r>
    </w:p>
    <w:p w14:paraId="648CC968">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资格符合性评审→</w:t>
      </w:r>
      <w:r>
        <w:rPr>
          <w:rFonts w:hint="eastAsia" w:ascii="仿宋" w:hAnsi="仿宋" w:eastAsia="仿宋" w:cs="仿宋"/>
          <w:color w:val="auto"/>
          <w:sz w:val="24"/>
          <w:szCs w:val="21"/>
          <w:highlight w:val="none"/>
          <w:lang w:val="en-US" w:eastAsia="zh-CN"/>
        </w:rPr>
        <w:t>价格</w:t>
      </w:r>
      <w:r>
        <w:rPr>
          <w:rFonts w:hint="eastAsia" w:ascii="仿宋" w:hAnsi="仿宋" w:eastAsia="仿宋" w:cs="仿宋"/>
          <w:color w:val="auto"/>
          <w:sz w:val="24"/>
          <w:szCs w:val="21"/>
          <w:highlight w:val="none"/>
        </w:rPr>
        <w:t>标评审→确定中标候选人</w:t>
      </w:r>
    </w:p>
    <w:p w14:paraId="6D961316">
      <w:pPr>
        <w:widowControl/>
        <w:spacing w:line="360" w:lineRule="auto"/>
        <w:ind w:firstLine="482" w:firstLineChars="200"/>
        <w:jc w:val="left"/>
        <w:rPr>
          <w:rFonts w:hint="eastAsia" w:ascii="仿宋" w:hAnsi="仿宋" w:eastAsia="仿宋" w:cs="仿宋"/>
          <w:color w:val="auto"/>
          <w:sz w:val="24"/>
          <w:szCs w:val="21"/>
          <w:highlight w:val="none"/>
        </w:rPr>
      </w:pPr>
      <w:r>
        <w:rPr>
          <w:rFonts w:hint="eastAsia" w:ascii="仿宋" w:hAnsi="仿宋" w:eastAsia="仿宋" w:cs="仿宋"/>
          <w:b/>
          <w:bCs/>
          <w:color w:val="auto"/>
          <w:sz w:val="24"/>
          <w:szCs w:val="21"/>
          <w:highlight w:val="none"/>
        </w:rPr>
        <w:t>五、投标人资格审查</w:t>
      </w:r>
    </w:p>
    <w:p w14:paraId="55EFD45E">
      <w:pPr>
        <w:pStyle w:val="5"/>
        <w:tabs>
          <w:tab w:val="left" w:pos="1000"/>
        </w:tabs>
        <w:snapToGrid w:val="0"/>
        <w:spacing w:line="360" w:lineRule="auto"/>
        <w:ind w:firstLine="476" w:firstLineChars="200"/>
        <w:rPr>
          <w:rFonts w:hint="eastAsia" w:ascii="仿宋" w:hAnsi="仿宋" w:eastAsia="仿宋" w:cs="仿宋"/>
          <w:b/>
          <w:color w:val="auto"/>
          <w:sz w:val="24"/>
          <w:szCs w:val="24"/>
          <w:highlight w:val="none"/>
        </w:rPr>
      </w:pPr>
      <w:r>
        <w:rPr>
          <w:rFonts w:hint="eastAsia" w:ascii="仿宋" w:hAnsi="仿宋" w:eastAsia="仿宋" w:cs="仿宋"/>
          <w:color w:val="auto"/>
          <w:spacing w:val="-1"/>
          <w:sz w:val="24"/>
          <w:szCs w:val="21"/>
          <w:highlight w:val="none"/>
        </w:rPr>
        <w:t>投标人资格满足下列要求后方可进入</w:t>
      </w:r>
      <w:r>
        <w:rPr>
          <w:rFonts w:hint="eastAsia" w:ascii="仿宋" w:hAnsi="仿宋" w:eastAsia="仿宋" w:cs="仿宋"/>
          <w:color w:val="auto"/>
          <w:spacing w:val="-1"/>
          <w:sz w:val="24"/>
          <w:szCs w:val="21"/>
          <w:highlight w:val="none"/>
          <w:lang w:val="en-US" w:eastAsia="zh-CN"/>
        </w:rPr>
        <w:t>价格</w:t>
      </w:r>
      <w:r>
        <w:rPr>
          <w:rFonts w:hint="eastAsia" w:ascii="仿宋" w:hAnsi="仿宋" w:eastAsia="仿宋" w:cs="仿宋"/>
          <w:color w:val="auto"/>
          <w:spacing w:val="-1"/>
          <w:sz w:val="24"/>
          <w:szCs w:val="21"/>
          <w:highlight w:val="none"/>
        </w:rPr>
        <w:t>标评审。</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630"/>
        <w:gridCol w:w="3814"/>
        <w:gridCol w:w="2440"/>
      </w:tblGrid>
      <w:tr w14:paraId="2C5E4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38" w:type="dxa"/>
            <w:tcBorders>
              <w:top w:val="single" w:color="auto" w:sz="12" w:space="0"/>
              <w:left w:val="single" w:color="auto" w:sz="12" w:space="0"/>
              <w:bottom w:val="single" w:color="auto" w:sz="4" w:space="0"/>
              <w:right w:val="single" w:color="auto" w:sz="4" w:space="0"/>
            </w:tcBorders>
            <w:vAlign w:val="center"/>
          </w:tcPr>
          <w:p w14:paraId="467EE448">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630" w:type="dxa"/>
            <w:tcBorders>
              <w:top w:val="single" w:color="auto" w:sz="12" w:space="0"/>
              <w:left w:val="single" w:color="auto" w:sz="4" w:space="0"/>
              <w:bottom w:val="single" w:color="auto" w:sz="4" w:space="0"/>
              <w:right w:val="single" w:color="auto" w:sz="4" w:space="0"/>
            </w:tcBorders>
            <w:vAlign w:val="center"/>
          </w:tcPr>
          <w:p w14:paraId="2E4CE733">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项目内容</w:t>
            </w:r>
          </w:p>
        </w:tc>
        <w:tc>
          <w:tcPr>
            <w:tcW w:w="3814" w:type="dxa"/>
            <w:tcBorders>
              <w:top w:val="single" w:color="auto" w:sz="12" w:space="0"/>
              <w:left w:val="single" w:color="auto" w:sz="4" w:space="0"/>
              <w:bottom w:val="single" w:color="auto" w:sz="4" w:space="0"/>
              <w:right w:val="single" w:color="auto" w:sz="4" w:space="0"/>
            </w:tcBorders>
            <w:vAlign w:val="center"/>
          </w:tcPr>
          <w:p w14:paraId="63DB7036">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投标申请人具备</w:t>
            </w:r>
          </w:p>
          <w:p w14:paraId="12BD0E91">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的条件或说明</w:t>
            </w:r>
          </w:p>
        </w:tc>
        <w:tc>
          <w:tcPr>
            <w:tcW w:w="2440" w:type="dxa"/>
            <w:tcBorders>
              <w:top w:val="single" w:color="auto" w:sz="12" w:space="0"/>
              <w:left w:val="single" w:color="auto" w:sz="4" w:space="0"/>
              <w:bottom w:val="single" w:color="auto" w:sz="4" w:space="0"/>
              <w:right w:val="single" w:color="auto" w:sz="12" w:space="0"/>
            </w:tcBorders>
            <w:vAlign w:val="center"/>
          </w:tcPr>
          <w:p w14:paraId="5E6654E5">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须提供的资料</w:t>
            </w:r>
          </w:p>
        </w:tc>
      </w:tr>
      <w:tr w14:paraId="1CB34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38" w:type="dxa"/>
            <w:tcBorders>
              <w:top w:val="single" w:color="auto" w:sz="12" w:space="0"/>
              <w:left w:val="single" w:color="auto" w:sz="12" w:space="0"/>
              <w:bottom w:val="single" w:color="auto" w:sz="4" w:space="0"/>
              <w:right w:val="single" w:color="auto" w:sz="4" w:space="0"/>
            </w:tcBorders>
            <w:vAlign w:val="center"/>
          </w:tcPr>
          <w:p w14:paraId="1E045EFE">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630" w:type="dxa"/>
            <w:tcBorders>
              <w:top w:val="single" w:color="auto" w:sz="12" w:space="0"/>
              <w:left w:val="single" w:color="auto" w:sz="4" w:space="0"/>
              <w:bottom w:val="single" w:color="auto" w:sz="4" w:space="0"/>
              <w:right w:val="single" w:color="auto" w:sz="4" w:space="0"/>
            </w:tcBorders>
            <w:vAlign w:val="center"/>
          </w:tcPr>
          <w:p w14:paraId="105BE776">
            <w:pPr>
              <w:widowControl/>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法定代表人身份证明</w:t>
            </w:r>
          </w:p>
        </w:tc>
        <w:tc>
          <w:tcPr>
            <w:tcW w:w="3814" w:type="dxa"/>
            <w:tcBorders>
              <w:top w:val="single" w:color="auto" w:sz="12" w:space="0"/>
              <w:left w:val="single" w:color="auto" w:sz="4" w:space="0"/>
              <w:bottom w:val="single" w:color="auto" w:sz="4" w:space="0"/>
              <w:right w:val="single" w:color="auto" w:sz="4" w:space="0"/>
            </w:tcBorders>
            <w:vAlign w:val="center"/>
          </w:tcPr>
          <w:p w14:paraId="285204AA">
            <w:pPr>
              <w:widowControl/>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有效的法定代表人身份证明书</w:t>
            </w:r>
          </w:p>
        </w:tc>
        <w:tc>
          <w:tcPr>
            <w:tcW w:w="2440" w:type="dxa"/>
            <w:tcBorders>
              <w:top w:val="single" w:color="auto" w:sz="12" w:space="0"/>
              <w:left w:val="single" w:color="auto" w:sz="4" w:space="0"/>
              <w:bottom w:val="single" w:color="auto" w:sz="4" w:space="0"/>
              <w:right w:val="single" w:color="auto" w:sz="12" w:space="0"/>
            </w:tcBorders>
            <w:vAlign w:val="center"/>
          </w:tcPr>
          <w:p w14:paraId="5993DA79">
            <w:pPr>
              <w:widowControl/>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法定代表人身份证明书</w:t>
            </w:r>
          </w:p>
          <w:p w14:paraId="265D8D78">
            <w:pPr>
              <w:widowControl/>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（格式详见第四章）</w:t>
            </w:r>
          </w:p>
        </w:tc>
      </w:tr>
      <w:tr w14:paraId="2DAF6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38" w:type="dxa"/>
            <w:tcBorders>
              <w:top w:val="single" w:color="auto" w:sz="4" w:space="0"/>
              <w:left w:val="single" w:color="auto" w:sz="12" w:space="0"/>
              <w:bottom w:val="single" w:color="auto" w:sz="4" w:space="0"/>
              <w:right w:val="single" w:color="auto" w:sz="4" w:space="0"/>
            </w:tcBorders>
            <w:vAlign w:val="center"/>
          </w:tcPr>
          <w:p w14:paraId="5DB6BF36">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630" w:type="dxa"/>
            <w:tcBorders>
              <w:top w:val="single" w:color="auto" w:sz="4" w:space="0"/>
              <w:left w:val="single" w:color="auto" w:sz="4" w:space="0"/>
              <w:bottom w:val="single" w:color="auto" w:sz="4" w:space="0"/>
              <w:right w:val="single" w:color="auto" w:sz="4" w:space="0"/>
            </w:tcBorders>
            <w:vAlign w:val="center"/>
          </w:tcPr>
          <w:p w14:paraId="4E82B5FD">
            <w:pPr>
              <w:widowControl/>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授权委托书（如有授权）</w:t>
            </w:r>
          </w:p>
        </w:tc>
        <w:tc>
          <w:tcPr>
            <w:tcW w:w="3814" w:type="dxa"/>
            <w:tcBorders>
              <w:top w:val="single" w:color="auto" w:sz="4" w:space="0"/>
              <w:left w:val="single" w:color="auto" w:sz="4" w:space="0"/>
              <w:bottom w:val="single" w:color="auto" w:sz="4" w:space="0"/>
              <w:right w:val="single" w:color="auto" w:sz="4" w:space="0"/>
            </w:tcBorders>
            <w:vAlign w:val="center"/>
          </w:tcPr>
          <w:p w14:paraId="6D50638C">
            <w:pPr>
              <w:widowControl/>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有效的授权委托书  </w:t>
            </w:r>
          </w:p>
        </w:tc>
        <w:tc>
          <w:tcPr>
            <w:tcW w:w="2440" w:type="dxa"/>
            <w:tcBorders>
              <w:top w:val="single" w:color="auto" w:sz="4" w:space="0"/>
              <w:left w:val="single" w:color="auto" w:sz="4" w:space="0"/>
              <w:bottom w:val="single" w:color="auto" w:sz="4" w:space="0"/>
              <w:right w:val="single" w:color="auto" w:sz="12" w:space="0"/>
            </w:tcBorders>
            <w:vAlign w:val="center"/>
          </w:tcPr>
          <w:p w14:paraId="5E266873">
            <w:pPr>
              <w:widowControl/>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有效的授权委托书（格式详见第四章）</w:t>
            </w:r>
          </w:p>
        </w:tc>
      </w:tr>
      <w:tr w14:paraId="68154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38" w:type="dxa"/>
            <w:tcBorders>
              <w:top w:val="single" w:color="auto" w:sz="4" w:space="0"/>
              <w:left w:val="single" w:color="auto" w:sz="12" w:space="0"/>
              <w:bottom w:val="single" w:color="auto" w:sz="4" w:space="0"/>
              <w:right w:val="single" w:color="auto" w:sz="4" w:space="0"/>
            </w:tcBorders>
            <w:vAlign w:val="center"/>
          </w:tcPr>
          <w:p w14:paraId="12B1F042">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630" w:type="dxa"/>
            <w:tcBorders>
              <w:top w:val="single" w:color="auto" w:sz="4" w:space="0"/>
              <w:left w:val="single" w:color="auto" w:sz="4" w:space="0"/>
              <w:bottom w:val="single" w:color="auto" w:sz="4" w:space="0"/>
              <w:right w:val="single" w:color="auto" w:sz="4" w:space="0"/>
            </w:tcBorders>
            <w:vAlign w:val="center"/>
          </w:tcPr>
          <w:p w14:paraId="0A4F72FB">
            <w:pPr>
              <w:widowControl/>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企业法人营业执照</w:t>
            </w:r>
          </w:p>
        </w:tc>
        <w:tc>
          <w:tcPr>
            <w:tcW w:w="3814" w:type="dxa"/>
            <w:tcBorders>
              <w:top w:val="single" w:color="auto" w:sz="4" w:space="0"/>
              <w:left w:val="single" w:color="auto" w:sz="4" w:space="0"/>
              <w:bottom w:val="single" w:color="auto" w:sz="4" w:space="0"/>
              <w:right w:val="single" w:color="auto" w:sz="4" w:space="0"/>
            </w:tcBorders>
            <w:vAlign w:val="center"/>
          </w:tcPr>
          <w:p w14:paraId="581092A8">
            <w:pPr>
              <w:widowControl/>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工商行政管理部门颁发的有效法人营业执照</w:t>
            </w:r>
          </w:p>
        </w:tc>
        <w:tc>
          <w:tcPr>
            <w:tcW w:w="2440" w:type="dxa"/>
            <w:tcBorders>
              <w:top w:val="single" w:color="auto" w:sz="4" w:space="0"/>
              <w:left w:val="single" w:color="auto" w:sz="4" w:space="0"/>
              <w:bottom w:val="single" w:color="auto" w:sz="4" w:space="0"/>
              <w:right w:val="single" w:color="auto" w:sz="12" w:space="0"/>
            </w:tcBorders>
            <w:vAlign w:val="center"/>
          </w:tcPr>
          <w:p w14:paraId="27D648A3">
            <w:pPr>
              <w:widowControl/>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有效的企业营业执照（副本）</w:t>
            </w:r>
          </w:p>
        </w:tc>
      </w:tr>
      <w:tr w14:paraId="6C312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638" w:type="dxa"/>
            <w:tcBorders>
              <w:top w:val="single" w:color="auto" w:sz="4" w:space="0"/>
              <w:left w:val="single" w:color="auto" w:sz="12" w:space="0"/>
              <w:bottom w:val="single" w:color="auto" w:sz="4" w:space="0"/>
              <w:right w:val="single" w:color="auto" w:sz="4" w:space="0"/>
            </w:tcBorders>
            <w:vAlign w:val="center"/>
          </w:tcPr>
          <w:p w14:paraId="63C84CC8">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1630" w:type="dxa"/>
            <w:tcBorders>
              <w:top w:val="single" w:color="auto" w:sz="4" w:space="0"/>
              <w:left w:val="single" w:color="auto" w:sz="4" w:space="0"/>
              <w:bottom w:val="single" w:color="auto" w:sz="4" w:space="0"/>
              <w:right w:val="single" w:color="auto" w:sz="4" w:space="0"/>
            </w:tcBorders>
            <w:vAlign w:val="center"/>
          </w:tcPr>
          <w:p w14:paraId="2796D310">
            <w:pPr>
              <w:widowControl/>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企业资质类别等级</w:t>
            </w:r>
          </w:p>
        </w:tc>
        <w:tc>
          <w:tcPr>
            <w:tcW w:w="3814" w:type="dxa"/>
            <w:tcBorders>
              <w:top w:val="single" w:color="auto" w:sz="4" w:space="0"/>
              <w:left w:val="single" w:color="auto" w:sz="4" w:space="0"/>
              <w:bottom w:val="single" w:color="auto" w:sz="4" w:space="0"/>
              <w:right w:val="single" w:color="auto" w:sz="4" w:space="0"/>
            </w:tcBorders>
            <w:vAlign w:val="center"/>
          </w:tcPr>
          <w:p w14:paraId="2C4ADE6E">
            <w:pPr>
              <w:widowControl/>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为社会消防技术服务信息系统中消防设施维护保养检测类企业，以“社会消防技术服务信息系统”网站截图为准</w:t>
            </w:r>
          </w:p>
        </w:tc>
        <w:tc>
          <w:tcPr>
            <w:tcW w:w="2440" w:type="dxa"/>
            <w:tcBorders>
              <w:top w:val="single" w:color="auto" w:sz="4" w:space="0"/>
              <w:left w:val="single" w:color="auto" w:sz="4" w:space="0"/>
              <w:bottom w:val="single" w:color="auto" w:sz="4" w:space="0"/>
              <w:right w:val="single" w:color="auto" w:sz="12" w:space="0"/>
            </w:tcBorders>
            <w:vAlign w:val="center"/>
          </w:tcPr>
          <w:p w14:paraId="48D6351B">
            <w:pPr>
              <w:widowControl/>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有效的资质证书</w:t>
            </w:r>
          </w:p>
        </w:tc>
      </w:tr>
      <w:tr w14:paraId="53BC0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638" w:type="dxa"/>
            <w:tcBorders>
              <w:left w:val="single" w:color="auto" w:sz="12" w:space="0"/>
              <w:right w:val="single" w:color="auto" w:sz="4" w:space="0"/>
            </w:tcBorders>
            <w:vAlign w:val="center"/>
          </w:tcPr>
          <w:p w14:paraId="7FE5E3DA">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1630" w:type="dxa"/>
            <w:tcBorders>
              <w:left w:val="single" w:color="auto" w:sz="4" w:space="0"/>
              <w:right w:val="single" w:color="auto" w:sz="4" w:space="0"/>
            </w:tcBorders>
            <w:vAlign w:val="center"/>
          </w:tcPr>
          <w:p w14:paraId="2A0266BE">
            <w:pPr>
              <w:widowControl/>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拟派项目负责人资格</w:t>
            </w:r>
          </w:p>
        </w:tc>
        <w:tc>
          <w:tcPr>
            <w:tcW w:w="3814" w:type="dxa"/>
            <w:tcBorders>
              <w:top w:val="single" w:color="auto" w:sz="4" w:space="0"/>
              <w:left w:val="single" w:color="auto" w:sz="4" w:space="0"/>
              <w:right w:val="single" w:color="auto" w:sz="4" w:space="0"/>
            </w:tcBorders>
            <w:vAlign w:val="center"/>
          </w:tcPr>
          <w:p w14:paraId="0DCC3F3F">
            <w:pPr>
              <w:widowControl/>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highlight w:val="none"/>
              </w:rPr>
              <w:t>具有消防工程师执业资格证书</w:t>
            </w:r>
          </w:p>
        </w:tc>
        <w:tc>
          <w:tcPr>
            <w:tcW w:w="2440" w:type="dxa"/>
            <w:tcBorders>
              <w:top w:val="single" w:color="auto" w:sz="4" w:space="0"/>
              <w:left w:val="single" w:color="auto" w:sz="4" w:space="0"/>
              <w:right w:val="single" w:color="auto" w:sz="12" w:space="0"/>
            </w:tcBorders>
            <w:vAlign w:val="center"/>
          </w:tcPr>
          <w:p w14:paraId="162F50CA">
            <w:pPr>
              <w:widowControl/>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有效的资格证书</w:t>
            </w:r>
          </w:p>
        </w:tc>
      </w:tr>
      <w:tr w14:paraId="7B14F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638" w:type="dxa"/>
            <w:tcBorders>
              <w:top w:val="single" w:color="auto" w:sz="4" w:space="0"/>
              <w:left w:val="single" w:color="auto" w:sz="12" w:space="0"/>
              <w:bottom w:val="single" w:color="auto" w:sz="4" w:space="0"/>
              <w:right w:val="single" w:color="auto" w:sz="4" w:space="0"/>
            </w:tcBorders>
            <w:vAlign w:val="center"/>
          </w:tcPr>
          <w:p w14:paraId="70DD5F8C">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1630" w:type="dxa"/>
            <w:tcBorders>
              <w:top w:val="single" w:color="auto" w:sz="4" w:space="0"/>
              <w:left w:val="single" w:color="auto" w:sz="4" w:space="0"/>
              <w:bottom w:val="single" w:color="auto" w:sz="4" w:space="0"/>
              <w:right w:val="single" w:color="auto" w:sz="4" w:space="0"/>
            </w:tcBorders>
            <w:vAlign w:val="center"/>
          </w:tcPr>
          <w:p w14:paraId="5712F4FF">
            <w:pPr>
              <w:widowControl/>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拟派项目负责人为投标企业正式人员</w:t>
            </w:r>
          </w:p>
        </w:tc>
        <w:tc>
          <w:tcPr>
            <w:tcW w:w="3814" w:type="dxa"/>
            <w:tcBorders>
              <w:top w:val="single" w:color="auto" w:sz="4" w:space="0"/>
              <w:left w:val="single" w:color="auto" w:sz="4" w:space="0"/>
              <w:bottom w:val="single" w:color="auto" w:sz="4" w:space="0"/>
              <w:right w:val="single" w:color="auto" w:sz="4" w:space="0"/>
            </w:tcBorders>
            <w:vAlign w:val="center"/>
          </w:tcPr>
          <w:p w14:paraId="4D0E0105">
            <w:pPr>
              <w:widowControl/>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bCs/>
                <w:color w:val="auto"/>
                <w:sz w:val="24"/>
                <w:szCs w:val="24"/>
                <w:highlight w:val="none"/>
              </w:rPr>
              <w:t>必须提供：</w:t>
            </w:r>
            <w:r>
              <w:rPr>
                <w:rFonts w:hint="eastAsia" w:ascii="仿宋" w:hAnsi="仿宋" w:eastAsia="仿宋" w:cs="仿宋"/>
                <w:bCs/>
                <w:color w:val="auto"/>
                <w:sz w:val="24"/>
                <w:highlight w:val="none"/>
              </w:rPr>
              <w:t>与投标企业签订的有效劳动合同书</w:t>
            </w:r>
          </w:p>
        </w:tc>
        <w:tc>
          <w:tcPr>
            <w:tcW w:w="2440" w:type="dxa"/>
            <w:tcBorders>
              <w:top w:val="single" w:color="auto" w:sz="4" w:space="0"/>
              <w:left w:val="single" w:color="auto" w:sz="4" w:space="0"/>
              <w:bottom w:val="single" w:color="auto" w:sz="4" w:space="0"/>
              <w:right w:val="single" w:color="auto" w:sz="12" w:space="0"/>
            </w:tcBorders>
            <w:vAlign w:val="center"/>
          </w:tcPr>
          <w:p w14:paraId="1A8BDA57">
            <w:pPr>
              <w:widowControl/>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有效的劳动合同书</w:t>
            </w:r>
          </w:p>
        </w:tc>
      </w:tr>
      <w:tr w14:paraId="44A79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638" w:type="dxa"/>
            <w:tcBorders>
              <w:top w:val="single" w:color="auto" w:sz="4" w:space="0"/>
              <w:left w:val="single" w:color="auto" w:sz="12" w:space="0"/>
              <w:bottom w:val="single" w:color="auto" w:sz="4" w:space="0"/>
              <w:right w:val="single" w:color="auto" w:sz="4" w:space="0"/>
            </w:tcBorders>
            <w:vAlign w:val="center"/>
          </w:tcPr>
          <w:p w14:paraId="197DD551">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7884" w:type="dxa"/>
            <w:gridSpan w:val="3"/>
            <w:tcBorders>
              <w:top w:val="single" w:color="auto" w:sz="4" w:space="0"/>
              <w:left w:val="single" w:color="auto" w:sz="4" w:space="0"/>
              <w:bottom w:val="single" w:color="auto" w:sz="4" w:space="0"/>
              <w:right w:val="single" w:color="auto" w:sz="12" w:space="0"/>
            </w:tcBorders>
            <w:vAlign w:val="center"/>
          </w:tcPr>
          <w:p w14:paraId="3F5807FF">
            <w:pPr>
              <w:widowControl/>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bCs/>
                <w:color w:val="auto"/>
                <w:sz w:val="24"/>
                <w:highlight w:val="none"/>
              </w:rPr>
              <w:t>第三章中投标文件格式中要求提供的其他表格</w:t>
            </w:r>
          </w:p>
        </w:tc>
      </w:tr>
      <w:tr w14:paraId="76C9B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84" w:hRule="atLeast"/>
          <w:jc w:val="center"/>
        </w:trPr>
        <w:tc>
          <w:tcPr>
            <w:tcW w:w="638" w:type="dxa"/>
            <w:tcBorders>
              <w:top w:val="single" w:color="auto" w:sz="4" w:space="0"/>
              <w:left w:val="single" w:color="auto" w:sz="12" w:space="0"/>
              <w:bottom w:val="single" w:color="auto" w:sz="12" w:space="0"/>
              <w:right w:val="single" w:color="auto" w:sz="4" w:space="0"/>
            </w:tcBorders>
            <w:vAlign w:val="center"/>
          </w:tcPr>
          <w:p w14:paraId="5885B97F">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7884" w:type="dxa"/>
            <w:gridSpan w:val="3"/>
            <w:tcBorders>
              <w:top w:val="single" w:color="auto" w:sz="4" w:space="0"/>
              <w:left w:val="single" w:color="auto" w:sz="4" w:space="0"/>
              <w:bottom w:val="single" w:color="auto" w:sz="12" w:space="0"/>
              <w:right w:val="single" w:color="auto" w:sz="12" w:space="0"/>
            </w:tcBorders>
            <w:vAlign w:val="center"/>
          </w:tcPr>
          <w:p w14:paraId="4A00ED52">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p w14:paraId="1AD37BB7">
            <w:pPr>
              <w:widowControl/>
              <w:spacing w:line="360" w:lineRule="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1、上述（1）、（2）须提供原件，（3）-（7）项如为复印件并加盖单位公章；同时提供所有复印件的原件备查，否则，资格审查不予通过。</w:t>
            </w:r>
          </w:p>
          <w:p w14:paraId="7EE3B165">
            <w:pPr>
              <w:widowControl/>
              <w:spacing w:line="360" w:lineRule="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2、上述（1）—（7）中任何一条不符合要求或未提供，则资格审查不通过。</w:t>
            </w:r>
          </w:p>
          <w:p w14:paraId="3B93748E">
            <w:pPr>
              <w:widowControl/>
              <w:spacing w:line="360" w:lineRule="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3、若在评审过程中，发现提供资格审查材料虚假，则资格审查不通过，同时投标保证金不予退还，记不良行为一次并网上公示。</w:t>
            </w:r>
          </w:p>
          <w:p w14:paraId="32D12E68">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4、如法人名称和法定代表人姓名发生变化，请提供相关证明。否则，资格审查不通过。</w:t>
            </w:r>
          </w:p>
        </w:tc>
      </w:tr>
    </w:tbl>
    <w:p w14:paraId="72954489">
      <w:pPr>
        <w:widowControl/>
        <w:spacing w:line="360" w:lineRule="auto"/>
        <w:ind w:firstLine="480" w:firstLineChars="200"/>
        <w:jc w:val="left"/>
        <w:rPr>
          <w:rFonts w:hint="eastAsia" w:ascii="仿宋" w:hAnsi="仿宋" w:eastAsia="仿宋" w:cs="仿宋"/>
          <w:bCs/>
          <w:color w:val="auto"/>
          <w:kern w:val="0"/>
          <w:sz w:val="24"/>
          <w:highlight w:val="none"/>
        </w:rPr>
      </w:pPr>
    </w:p>
    <w:p w14:paraId="4F879550">
      <w:pPr>
        <w:widowControl/>
        <w:spacing w:line="360" w:lineRule="auto"/>
        <w:ind w:firstLine="480" w:firstLineChars="200"/>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本次资格审查采用合格制，各投标人只有满足资格审查必要合格条件后，方可参与</w:t>
      </w:r>
      <w:r>
        <w:rPr>
          <w:rFonts w:hint="eastAsia" w:ascii="仿宋" w:hAnsi="仿宋" w:eastAsia="仿宋" w:cs="仿宋"/>
          <w:bCs/>
          <w:color w:val="auto"/>
          <w:kern w:val="0"/>
          <w:sz w:val="24"/>
          <w:highlight w:val="none"/>
          <w:lang w:val="en-US" w:eastAsia="zh-CN"/>
        </w:rPr>
        <w:t>价格</w:t>
      </w:r>
      <w:r>
        <w:rPr>
          <w:rFonts w:hint="eastAsia" w:ascii="仿宋" w:hAnsi="仿宋" w:eastAsia="仿宋" w:cs="仿宋"/>
          <w:bCs/>
          <w:color w:val="auto"/>
          <w:kern w:val="0"/>
          <w:sz w:val="24"/>
          <w:highlight w:val="none"/>
        </w:rPr>
        <w:t>标的评审。</w:t>
      </w:r>
    </w:p>
    <w:p w14:paraId="06E14091">
      <w:pPr>
        <w:widowControl/>
        <w:shd w:val="clear" w:color="auto" w:fill="FFFFFF"/>
        <w:spacing w:line="360" w:lineRule="auto"/>
        <w:ind w:firstLine="482" w:firstLineChars="2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六、评分标准</w:t>
      </w:r>
    </w:p>
    <w:p w14:paraId="2BB67B1E">
      <w:pPr>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1、采用固定单价报价</w:t>
      </w:r>
    </w:p>
    <w:p w14:paraId="1A80D52E">
      <w:pPr>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（1）投标报价的原则：</w:t>
      </w:r>
    </w:p>
    <w:p w14:paraId="5558E5E9">
      <w:pPr>
        <w:widowControl/>
        <w:spacing w:line="360" w:lineRule="auto"/>
        <w:ind w:right="21" w:firstLine="484" w:firstLineChars="201"/>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住宅类只算地下面积；公建、厂房、人防、地下车库按消防审核面积结算，最高限价为0.5</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元/平方米。</w:t>
      </w:r>
      <w:r>
        <w:rPr>
          <w:rFonts w:hint="eastAsia" w:ascii="仿宋" w:hAnsi="仿宋" w:eastAsia="仿宋" w:cs="仿宋"/>
          <w:b/>
          <w:bCs/>
          <w:color w:val="auto"/>
          <w:kern w:val="0"/>
          <w:sz w:val="24"/>
          <w:szCs w:val="24"/>
          <w:highlight w:val="none"/>
        </w:rPr>
        <w:t>有效投标报价：小于最高限价的报价为有效报价。大于或等于最高限价的为无效报价，作废标处理。</w:t>
      </w:r>
    </w:p>
    <w:p w14:paraId="1027BA7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（2）确定中标候选人</w:t>
      </w:r>
    </w:p>
    <w:p w14:paraId="669DE26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将所有投标单位的有效报价按照由低至高的顺序排序，按照排序分别推荐第一中标候选人、第二中标候选人、第三中标候选人。</w:t>
      </w:r>
    </w:p>
    <w:p w14:paraId="66178278">
      <w:pPr>
        <w:widowControl/>
        <w:spacing w:line="360" w:lineRule="auto"/>
        <w:ind w:firstLine="482" w:firstLineChars="200"/>
        <w:jc w:val="left"/>
        <w:rPr>
          <w:rFonts w:hint="eastAsia" w:ascii="仿宋" w:hAnsi="仿宋" w:eastAsia="仿宋" w:cs="仿宋"/>
          <w:b/>
          <w:color w:val="auto"/>
          <w:kern w:val="0"/>
          <w:sz w:val="24"/>
          <w:szCs w:val="22"/>
          <w:highlight w:val="none"/>
        </w:rPr>
      </w:pPr>
      <w:r>
        <w:rPr>
          <w:rFonts w:hint="eastAsia" w:ascii="仿宋" w:hAnsi="仿宋" w:eastAsia="仿宋" w:cs="仿宋"/>
          <w:b/>
          <w:color w:val="auto"/>
          <w:kern w:val="0"/>
          <w:sz w:val="24"/>
          <w:szCs w:val="22"/>
          <w:highlight w:val="none"/>
        </w:rPr>
        <w:t>若出现相同中标价时，则采取招标人代表现场抽签的方式确定第一中标候选人。</w:t>
      </w:r>
    </w:p>
    <w:p w14:paraId="3029C7F4">
      <w:pPr>
        <w:adjustRightInd w:val="0"/>
        <w:snapToGrid w:val="0"/>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七、注意事项</w:t>
      </w:r>
    </w:p>
    <w:p w14:paraId="75EA022E">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A85159E">
      <w:pPr>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八、评标过程中出现本评标办法未尽事宜，由评标委员会根据有关法律、法规讨论并作出最终解释。</w:t>
      </w:r>
    </w:p>
    <w:p w14:paraId="43E4D9DF">
      <w:pPr>
        <w:spacing w:line="360" w:lineRule="auto"/>
        <w:jc w:val="left"/>
        <w:rPr>
          <w:rFonts w:hint="eastAsia" w:ascii="仿宋" w:hAnsi="仿宋" w:eastAsia="仿宋" w:cs="仿宋"/>
          <w:color w:val="auto"/>
          <w:sz w:val="24"/>
          <w:highlight w:val="none"/>
          <w:shd w:val="clear" w:color="auto" w:fill="FFFFFF"/>
        </w:rPr>
      </w:pPr>
    </w:p>
    <w:sectPr>
      <w:pgSz w:w="11906" w:h="16838"/>
      <w:pgMar w:top="1440" w:right="1274" w:bottom="1402"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2DA9C">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14:paraId="5517A4DA">
                          <w:pPr>
                            <w:pStyle w:val="23"/>
                            <w:rPr>
                              <w:rStyle w:val="34"/>
                            </w:rPr>
                          </w:pPr>
                          <w:r>
                            <w:rPr>
                              <w:rStyle w:val="34"/>
                            </w:rPr>
                            <w:fldChar w:fldCharType="begin"/>
                          </w:r>
                          <w:r>
                            <w:rPr>
                              <w:rStyle w:val="34"/>
                            </w:rPr>
                            <w:instrText xml:space="preserve">PAGE  </w:instrText>
                          </w:r>
                          <w:r>
                            <w:rPr>
                              <w:rStyle w:val="34"/>
                            </w:rPr>
                            <w:fldChar w:fldCharType="separate"/>
                          </w:r>
                          <w:r>
                            <w:rPr>
                              <w:rStyle w:val="34"/>
                            </w:rPr>
                            <w:t>6</w:t>
                          </w:r>
                          <w:r>
                            <w:rPr>
                              <w:rStyle w:val="34"/>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LxYkrHfAQAAsAMAAA4AAAAA&#10;AAAAAQAgAAAAHwEAAGRycy9lMm9Eb2MueG1sUEsFBgAAAAAGAAYAWQEAAHAFAAAAAA==&#10;">
              <v:fill on="f" focussize="0,0"/>
              <v:stroke on="f"/>
              <v:imagedata o:title=""/>
              <o:lock v:ext="edit" aspectratio="f"/>
              <v:textbox inset="0mm,0mm,0mm,0mm" style="mso-fit-shape-to-text:t;">
                <w:txbxContent>
                  <w:p w14:paraId="5517A4DA">
                    <w:pPr>
                      <w:pStyle w:val="23"/>
                      <w:rPr>
                        <w:rStyle w:val="34"/>
                      </w:rPr>
                    </w:pPr>
                    <w:r>
                      <w:rPr>
                        <w:rStyle w:val="34"/>
                      </w:rPr>
                      <w:fldChar w:fldCharType="begin"/>
                    </w:r>
                    <w:r>
                      <w:rPr>
                        <w:rStyle w:val="34"/>
                      </w:rPr>
                      <w:instrText xml:space="preserve">PAGE  </w:instrText>
                    </w:r>
                    <w:r>
                      <w:rPr>
                        <w:rStyle w:val="34"/>
                      </w:rPr>
                      <w:fldChar w:fldCharType="separate"/>
                    </w:r>
                    <w:r>
                      <w:rPr>
                        <w:rStyle w:val="34"/>
                      </w:rPr>
                      <w:t>6</w:t>
                    </w:r>
                    <w:r>
                      <w:rPr>
                        <w:rStyle w:val="3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2EA06">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33466DB8">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A1dvyd4BAACxAwAADgAAAAAA&#10;AAABACAAAAAfAQAAZHJzL2Uyb0RvYy54bWxQSwUGAAAAAAYABgBZAQAAbwUAAAAA&#10;">
              <v:fill on="f" focussize="0,0"/>
              <v:stroke on="f"/>
              <v:imagedata o:title=""/>
              <o:lock v:ext="edit" aspectratio="f"/>
              <v:textbox inset="0mm,0mm,0mm,0mm" style="mso-fit-shape-to-text:t;">
                <w:txbxContent>
                  <w:p w14:paraId="33466DB8">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72D8F">
    <w:pPr>
      <w:pStyle w:val="23"/>
      <w:wordWrap w:val="0"/>
      <w:jc w:val="right"/>
      <w:rPr>
        <w:sz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6031F59D">
                          <w:pPr>
                            <w:pStyle w:val="23"/>
                            <w:rPr>
                              <w:rStyle w:val="34"/>
                            </w:rPr>
                          </w:pPr>
                          <w:r>
                            <w:rPr>
                              <w:rStyle w:val="34"/>
                            </w:rPr>
                            <w:fldChar w:fldCharType="begin"/>
                          </w:r>
                          <w:r>
                            <w:rPr>
                              <w:rStyle w:val="34"/>
                            </w:rPr>
                            <w:instrText xml:space="preserve">PAGE  </w:instrText>
                          </w:r>
                          <w:r>
                            <w:rPr>
                              <w:rStyle w:val="34"/>
                            </w:rPr>
                            <w:fldChar w:fldCharType="separate"/>
                          </w:r>
                          <w:r>
                            <w:rPr>
                              <w:rStyle w:val="34"/>
                            </w:rPr>
                            <w:t>33</w:t>
                          </w:r>
                          <w:r>
                            <w:rPr>
                              <w:rStyle w:val="34"/>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M09xUffAQAAsQMAAA4AAAAA&#10;AAAAAQAgAAAAHwEAAGRycy9lMm9Eb2MueG1sUEsFBgAAAAAGAAYAWQEAAHAFAAAAAA==&#10;">
              <v:fill on="f" focussize="0,0"/>
              <v:stroke on="f"/>
              <v:imagedata o:title=""/>
              <o:lock v:ext="edit" aspectratio="f"/>
              <v:textbox inset="0mm,0mm,0mm,0mm" style="mso-fit-shape-to-text:t;">
                <w:txbxContent>
                  <w:p w14:paraId="6031F59D">
                    <w:pPr>
                      <w:pStyle w:val="23"/>
                      <w:rPr>
                        <w:rStyle w:val="34"/>
                      </w:rPr>
                    </w:pPr>
                    <w:r>
                      <w:rPr>
                        <w:rStyle w:val="34"/>
                      </w:rPr>
                      <w:fldChar w:fldCharType="begin"/>
                    </w:r>
                    <w:r>
                      <w:rPr>
                        <w:rStyle w:val="34"/>
                      </w:rPr>
                      <w:instrText xml:space="preserve">PAGE  </w:instrText>
                    </w:r>
                    <w:r>
                      <w:rPr>
                        <w:rStyle w:val="34"/>
                      </w:rPr>
                      <w:fldChar w:fldCharType="separate"/>
                    </w:r>
                    <w:r>
                      <w:rPr>
                        <w:rStyle w:val="34"/>
                      </w:rPr>
                      <w:t>33</w:t>
                    </w:r>
                    <w:r>
                      <w:rPr>
                        <w:rStyle w:val="3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87026">
    <w:pPr>
      <w:pStyle w:val="23"/>
      <w:framePr w:wrap="around" w:vAnchor="text" w:hAnchor="margin" w:xAlign="center" w:y="1"/>
      <w:rPr>
        <w:rStyle w:val="34"/>
      </w:rPr>
    </w:pPr>
    <w:r>
      <w:rPr>
        <w:rStyle w:val="34"/>
      </w:rPr>
      <w:fldChar w:fldCharType="begin"/>
    </w:r>
    <w:r>
      <w:rPr>
        <w:rStyle w:val="34"/>
      </w:rPr>
      <w:instrText xml:space="preserve">PAGE  </w:instrText>
    </w:r>
    <w:r>
      <w:rPr>
        <w:rStyle w:val="34"/>
      </w:rPr>
      <w:fldChar w:fldCharType="separate"/>
    </w:r>
    <w:r>
      <w:rPr>
        <w:rStyle w:val="34"/>
      </w:rPr>
      <w:t>1</w:t>
    </w:r>
    <w:r>
      <w:rPr>
        <w:rStyle w:val="34"/>
      </w:rPr>
      <w:fldChar w:fldCharType="end"/>
    </w:r>
  </w:p>
  <w:p w14:paraId="2D741174">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195EB">
    <w:pPr>
      <w:pStyle w:val="2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0"/>
  <w:drawingGridHorizontalSpacing w:val="203"/>
  <w:drawingGridVerticalSpacing w:val="14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ZTk5M2ZiZWRkMjE5Mjk3Nzc1Zjg3YjA5OTA5NGUifQ=="/>
  </w:docVars>
  <w:rsids>
    <w:rsidRoot w:val="00172A27"/>
    <w:rsid w:val="0000018E"/>
    <w:rsid w:val="000010EF"/>
    <w:rsid w:val="00001667"/>
    <w:rsid w:val="000023E9"/>
    <w:rsid w:val="00002649"/>
    <w:rsid w:val="00002F32"/>
    <w:rsid w:val="000039B5"/>
    <w:rsid w:val="00004A46"/>
    <w:rsid w:val="00004B8D"/>
    <w:rsid w:val="000055C1"/>
    <w:rsid w:val="00006ED0"/>
    <w:rsid w:val="0000795F"/>
    <w:rsid w:val="00012DA4"/>
    <w:rsid w:val="000130EA"/>
    <w:rsid w:val="00014D1B"/>
    <w:rsid w:val="000152DA"/>
    <w:rsid w:val="000157C5"/>
    <w:rsid w:val="0001585A"/>
    <w:rsid w:val="00016B2A"/>
    <w:rsid w:val="00017C2C"/>
    <w:rsid w:val="00020206"/>
    <w:rsid w:val="0002043F"/>
    <w:rsid w:val="00020E84"/>
    <w:rsid w:val="00022034"/>
    <w:rsid w:val="00022C81"/>
    <w:rsid w:val="00023EFE"/>
    <w:rsid w:val="0002479B"/>
    <w:rsid w:val="00024CB4"/>
    <w:rsid w:val="00026ACB"/>
    <w:rsid w:val="0002736D"/>
    <w:rsid w:val="00027AD3"/>
    <w:rsid w:val="000333BF"/>
    <w:rsid w:val="00033815"/>
    <w:rsid w:val="0004143F"/>
    <w:rsid w:val="000414B8"/>
    <w:rsid w:val="0004281A"/>
    <w:rsid w:val="000464E3"/>
    <w:rsid w:val="00046AD9"/>
    <w:rsid w:val="000607CF"/>
    <w:rsid w:val="00060885"/>
    <w:rsid w:val="00060F03"/>
    <w:rsid w:val="000619DC"/>
    <w:rsid w:val="00062C19"/>
    <w:rsid w:val="00063B74"/>
    <w:rsid w:val="000660E7"/>
    <w:rsid w:val="00066E6C"/>
    <w:rsid w:val="00067870"/>
    <w:rsid w:val="000706AD"/>
    <w:rsid w:val="00071E6B"/>
    <w:rsid w:val="00080BDC"/>
    <w:rsid w:val="00081238"/>
    <w:rsid w:val="00083810"/>
    <w:rsid w:val="000847B2"/>
    <w:rsid w:val="00084D82"/>
    <w:rsid w:val="000860D0"/>
    <w:rsid w:val="000933BD"/>
    <w:rsid w:val="000940BC"/>
    <w:rsid w:val="00095FBB"/>
    <w:rsid w:val="000A0CE5"/>
    <w:rsid w:val="000A3CA2"/>
    <w:rsid w:val="000A48AE"/>
    <w:rsid w:val="000A590F"/>
    <w:rsid w:val="000C18D2"/>
    <w:rsid w:val="000C3331"/>
    <w:rsid w:val="000C3F24"/>
    <w:rsid w:val="000C40A6"/>
    <w:rsid w:val="000C4BC6"/>
    <w:rsid w:val="000C716E"/>
    <w:rsid w:val="000D0277"/>
    <w:rsid w:val="000D0EB5"/>
    <w:rsid w:val="000D142F"/>
    <w:rsid w:val="000D2008"/>
    <w:rsid w:val="000D4E5E"/>
    <w:rsid w:val="000D799A"/>
    <w:rsid w:val="000D7B96"/>
    <w:rsid w:val="000E050A"/>
    <w:rsid w:val="000E07E7"/>
    <w:rsid w:val="000E1C25"/>
    <w:rsid w:val="000E3120"/>
    <w:rsid w:val="000E46D3"/>
    <w:rsid w:val="000E6C27"/>
    <w:rsid w:val="000F01A8"/>
    <w:rsid w:val="000F27F6"/>
    <w:rsid w:val="000F3895"/>
    <w:rsid w:val="000F4FB6"/>
    <w:rsid w:val="000F524B"/>
    <w:rsid w:val="000F5554"/>
    <w:rsid w:val="00101031"/>
    <w:rsid w:val="00101416"/>
    <w:rsid w:val="00101F34"/>
    <w:rsid w:val="00103543"/>
    <w:rsid w:val="001035E0"/>
    <w:rsid w:val="0010369E"/>
    <w:rsid w:val="00104E90"/>
    <w:rsid w:val="00105A62"/>
    <w:rsid w:val="0011289E"/>
    <w:rsid w:val="00113FB2"/>
    <w:rsid w:val="00116E83"/>
    <w:rsid w:val="00117C60"/>
    <w:rsid w:val="0012043D"/>
    <w:rsid w:val="001207F6"/>
    <w:rsid w:val="00123D6D"/>
    <w:rsid w:val="00124663"/>
    <w:rsid w:val="00124CA3"/>
    <w:rsid w:val="00125FD7"/>
    <w:rsid w:val="00126B80"/>
    <w:rsid w:val="00127BF0"/>
    <w:rsid w:val="00130304"/>
    <w:rsid w:val="001304FF"/>
    <w:rsid w:val="0013073D"/>
    <w:rsid w:val="00132059"/>
    <w:rsid w:val="001322A3"/>
    <w:rsid w:val="00132659"/>
    <w:rsid w:val="00132C5E"/>
    <w:rsid w:val="00133682"/>
    <w:rsid w:val="00133AA8"/>
    <w:rsid w:val="001344DF"/>
    <w:rsid w:val="0013755B"/>
    <w:rsid w:val="00140950"/>
    <w:rsid w:val="00140B8B"/>
    <w:rsid w:val="00141BCE"/>
    <w:rsid w:val="00142844"/>
    <w:rsid w:val="001448B6"/>
    <w:rsid w:val="00144D34"/>
    <w:rsid w:val="0014597C"/>
    <w:rsid w:val="00146D37"/>
    <w:rsid w:val="00150473"/>
    <w:rsid w:val="00150DDE"/>
    <w:rsid w:val="0015158D"/>
    <w:rsid w:val="00153027"/>
    <w:rsid w:val="001536E3"/>
    <w:rsid w:val="001540B4"/>
    <w:rsid w:val="00155331"/>
    <w:rsid w:val="00156191"/>
    <w:rsid w:val="00160E96"/>
    <w:rsid w:val="00160F06"/>
    <w:rsid w:val="001613F4"/>
    <w:rsid w:val="00165937"/>
    <w:rsid w:val="001676E2"/>
    <w:rsid w:val="001718D6"/>
    <w:rsid w:val="001725D1"/>
    <w:rsid w:val="00172A27"/>
    <w:rsid w:val="00172DCC"/>
    <w:rsid w:val="00173627"/>
    <w:rsid w:val="001748C2"/>
    <w:rsid w:val="00174B74"/>
    <w:rsid w:val="00176EBB"/>
    <w:rsid w:val="00180011"/>
    <w:rsid w:val="00180F95"/>
    <w:rsid w:val="00181275"/>
    <w:rsid w:val="00181E3D"/>
    <w:rsid w:val="00182F2C"/>
    <w:rsid w:val="00184BB6"/>
    <w:rsid w:val="001858F2"/>
    <w:rsid w:val="00186452"/>
    <w:rsid w:val="00187267"/>
    <w:rsid w:val="001872BB"/>
    <w:rsid w:val="00190BEB"/>
    <w:rsid w:val="00190DEC"/>
    <w:rsid w:val="00192410"/>
    <w:rsid w:val="001929CF"/>
    <w:rsid w:val="00195C6C"/>
    <w:rsid w:val="00196444"/>
    <w:rsid w:val="00197AC0"/>
    <w:rsid w:val="001A060E"/>
    <w:rsid w:val="001A19C9"/>
    <w:rsid w:val="001A1EB2"/>
    <w:rsid w:val="001A1F19"/>
    <w:rsid w:val="001A7890"/>
    <w:rsid w:val="001B08CE"/>
    <w:rsid w:val="001B1394"/>
    <w:rsid w:val="001B2AA6"/>
    <w:rsid w:val="001B341A"/>
    <w:rsid w:val="001B3F08"/>
    <w:rsid w:val="001B5C82"/>
    <w:rsid w:val="001B5F9F"/>
    <w:rsid w:val="001B6C82"/>
    <w:rsid w:val="001B7083"/>
    <w:rsid w:val="001C1CEE"/>
    <w:rsid w:val="001C33B2"/>
    <w:rsid w:val="001C34C2"/>
    <w:rsid w:val="001C49ED"/>
    <w:rsid w:val="001C5E40"/>
    <w:rsid w:val="001D3748"/>
    <w:rsid w:val="001D5FDA"/>
    <w:rsid w:val="001D634D"/>
    <w:rsid w:val="001D6C01"/>
    <w:rsid w:val="001D7AD0"/>
    <w:rsid w:val="001E0E71"/>
    <w:rsid w:val="001E0E9E"/>
    <w:rsid w:val="001E109E"/>
    <w:rsid w:val="001E2156"/>
    <w:rsid w:val="001E5BA4"/>
    <w:rsid w:val="001E7EC4"/>
    <w:rsid w:val="001F06D3"/>
    <w:rsid w:val="001F0933"/>
    <w:rsid w:val="001F09AF"/>
    <w:rsid w:val="001F0BF9"/>
    <w:rsid w:val="001F5FA3"/>
    <w:rsid w:val="001F64D6"/>
    <w:rsid w:val="0020070A"/>
    <w:rsid w:val="002035D7"/>
    <w:rsid w:val="00206084"/>
    <w:rsid w:val="0021388E"/>
    <w:rsid w:val="002157F6"/>
    <w:rsid w:val="0022309C"/>
    <w:rsid w:val="00225205"/>
    <w:rsid w:val="002254A3"/>
    <w:rsid w:val="00227291"/>
    <w:rsid w:val="00230010"/>
    <w:rsid w:val="0023183F"/>
    <w:rsid w:val="00233541"/>
    <w:rsid w:val="00235D22"/>
    <w:rsid w:val="00236935"/>
    <w:rsid w:val="00237AAE"/>
    <w:rsid w:val="00237FFD"/>
    <w:rsid w:val="00240C80"/>
    <w:rsid w:val="00243FF8"/>
    <w:rsid w:val="002459CA"/>
    <w:rsid w:val="00246D32"/>
    <w:rsid w:val="0025030E"/>
    <w:rsid w:val="002503E7"/>
    <w:rsid w:val="0025068F"/>
    <w:rsid w:val="00250B74"/>
    <w:rsid w:val="00250DE4"/>
    <w:rsid w:val="00251C97"/>
    <w:rsid w:val="00253AE8"/>
    <w:rsid w:val="00254585"/>
    <w:rsid w:val="00255878"/>
    <w:rsid w:val="00262099"/>
    <w:rsid w:val="002628D3"/>
    <w:rsid w:val="0026476B"/>
    <w:rsid w:val="00266BB1"/>
    <w:rsid w:val="002671A7"/>
    <w:rsid w:val="00270755"/>
    <w:rsid w:val="00270850"/>
    <w:rsid w:val="002708C5"/>
    <w:rsid w:val="00271DAA"/>
    <w:rsid w:val="002732D0"/>
    <w:rsid w:val="0027385D"/>
    <w:rsid w:val="00275FA0"/>
    <w:rsid w:val="00276736"/>
    <w:rsid w:val="00281AA7"/>
    <w:rsid w:val="002848AF"/>
    <w:rsid w:val="00284F85"/>
    <w:rsid w:val="002868C2"/>
    <w:rsid w:val="00286BB5"/>
    <w:rsid w:val="0029152A"/>
    <w:rsid w:val="00292A85"/>
    <w:rsid w:val="00293C58"/>
    <w:rsid w:val="002946B6"/>
    <w:rsid w:val="00294B98"/>
    <w:rsid w:val="0029563C"/>
    <w:rsid w:val="002963C2"/>
    <w:rsid w:val="002A0A1F"/>
    <w:rsid w:val="002A0BFF"/>
    <w:rsid w:val="002A1407"/>
    <w:rsid w:val="002A1C45"/>
    <w:rsid w:val="002A2D14"/>
    <w:rsid w:val="002A3086"/>
    <w:rsid w:val="002A3287"/>
    <w:rsid w:val="002A4A14"/>
    <w:rsid w:val="002B147F"/>
    <w:rsid w:val="002B2F7C"/>
    <w:rsid w:val="002C2F97"/>
    <w:rsid w:val="002C48AE"/>
    <w:rsid w:val="002C4941"/>
    <w:rsid w:val="002C5DCC"/>
    <w:rsid w:val="002C64D7"/>
    <w:rsid w:val="002C67F7"/>
    <w:rsid w:val="002C7199"/>
    <w:rsid w:val="002C731A"/>
    <w:rsid w:val="002C7629"/>
    <w:rsid w:val="002C781C"/>
    <w:rsid w:val="002C7B26"/>
    <w:rsid w:val="002D2E7B"/>
    <w:rsid w:val="002D4EEF"/>
    <w:rsid w:val="002D777F"/>
    <w:rsid w:val="002E0377"/>
    <w:rsid w:val="002E133F"/>
    <w:rsid w:val="002E1D04"/>
    <w:rsid w:val="002E4515"/>
    <w:rsid w:val="002E47DE"/>
    <w:rsid w:val="002E4C34"/>
    <w:rsid w:val="002E4F6A"/>
    <w:rsid w:val="002F054A"/>
    <w:rsid w:val="002F0BA2"/>
    <w:rsid w:val="002F0C6F"/>
    <w:rsid w:val="002F268F"/>
    <w:rsid w:val="002F4408"/>
    <w:rsid w:val="002F56EA"/>
    <w:rsid w:val="00300D3B"/>
    <w:rsid w:val="003018A0"/>
    <w:rsid w:val="00303927"/>
    <w:rsid w:val="0030410F"/>
    <w:rsid w:val="00304D42"/>
    <w:rsid w:val="003064FA"/>
    <w:rsid w:val="00306D77"/>
    <w:rsid w:val="0031148E"/>
    <w:rsid w:val="00311CC1"/>
    <w:rsid w:val="00311D7A"/>
    <w:rsid w:val="00311E23"/>
    <w:rsid w:val="0031329D"/>
    <w:rsid w:val="00313B52"/>
    <w:rsid w:val="0031502B"/>
    <w:rsid w:val="0031533B"/>
    <w:rsid w:val="00316615"/>
    <w:rsid w:val="00316A71"/>
    <w:rsid w:val="003205CC"/>
    <w:rsid w:val="00322B60"/>
    <w:rsid w:val="00323A6B"/>
    <w:rsid w:val="00323C80"/>
    <w:rsid w:val="00323EBA"/>
    <w:rsid w:val="00324013"/>
    <w:rsid w:val="00324F1A"/>
    <w:rsid w:val="003265CF"/>
    <w:rsid w:val="003276E6"/>
    <w:rsid w:val="003317D8"/>
    <w:rsid w:val="00331B22"/>
    <w:rsid w:val="003328C7"/>
    <w:rsid w:val="00334E9C"/>
    <w:rsid w:val="0033721A"/>
    <w:rsid w:val="00337E15"/>
    <w:rsid w:val="003411BB"/>
    <w:rsid w:val="003423E1"/>
    <w:rsid w:val="00343239"/>
    <w:rsid w:val="00346862"/>
    <w:rsid w:val="00347635"/>
    <w:rsid w:val="003529B1"/>
    <w:rsid w:val="00354060"/>
    <w:rsid w:val="00354684"/>
    <w:rsid w:val="003555A7"/>
    <w:rsid w:val="003616E7"/>
    <w:rsid w:val="003617C0"/>
    <w:rsid w:val="00361D8C"/>
    <w:rsid w:val="00362F8A"/>
    <w:rsid w:val="00363663"/>
    <w:rsid w:val="0036398A"/>
    <w:rsid w:val="00363EB3"/>
    <w:rsid w:val="003640E6"/>
    <w:rsid w:val="00364204"/>
    <w:rsid w:val="00364F7E"/>
    <w:rsid w:val="0036637D"/>
    <w:rsid w:val="00367B1E"/>
    <w:rsid w:val="003723CF"/>
    <w:rsid w:val="00372656"/>
    <w:rsid w:val="00377A8F"/>
    <w:rsid w:val="00381D88"/>
    <w:rsid w:val="00382982"/>
    <w:rsid w:val="003833B0"/>
    <w:rsid w:val="0038341F"/>
    <w:rsid w:val="00383E16"/>
    <w:rsid w:val="00386973"/>
    <w:rsid w:val="00391042"/>
    <w:rsid w:val="00391D95"/>
    <w:rsid w:val="0039379C"/>
    <w:rsid w:val="00394795"/>
    <w:rsid w:val="00394F06"/>
    <w:rsid w:val="003A269C"/>
    <w:rsid w:val="003A2C2D"/>
    <w:rsid w:val="003A374A"/>
    <w:rsid w:val="003A3A26"/>
    <w:rsid w:val="003A3CBE"/>
    <w:rsid w:val="003A3E70"/>
    <w:rsid w:val="003A4F32"/>
    <w:rsid w:val="003A6C42"/>
    <w:rsid w:val="003A6D46"/>
    <w:rsid w:val="003B0188"/>
    <w:rsid w:val="003B0CC4"/>
    <w:rsid w:val="003B1AA3"/>
    <w:rsid w:val="003B418B"/>
    <w:rsid w:val="003C049A"/>
    <w:rsid w:val="003C0961"/>
    <w:rsid w:val="003C1CA9"/>
    <w:rsid w:val="003C3C84"/>
    <w:rsid w:val="003C4BFB"/>
    <w:rsid w:val="003C6B8D"/>
    <w:rsid w:val="003C6C03"/>
    <w:rsid w:val="003D289B"/>
    <w:rsid w:val="003D3DF4"/>
    <w:rsid w:val="003D54F3"/>
    <w:rsid w:val="003E0911"/>
    <w:rsid w:val="003E134C"/>
    <w:rsid w:val="003E20E3"/>
    <w:rsid w:val="003E3DCE"/>
    <w:rsid w:val="003E47D2"/>
    <w:rsid w:val="003E52B5"/>
    <w:rsid w:val="003E6B5D"/>
    <w:rsid w:val="003E781F"/>
    <w:rsid w:val="003F1E7D"/>
    <w:rsid w:val="003F209C"/>
    <w:rsid w:val="003F22B7"/>
    <w:rsid w:val="003F5DF0"/>
    <w:rsid w:val="003F60A6"/>
    <w:rsid w:val="003F61F8"/>
    <w:rsid w:val="003F6234"/>
    <w:rsid w:val="003F6A11"/>
    <w:rsid w:val="003F7AF0"/>
    <w:rsid w:val="003F7F7B"/>
    <w:rsid w:val="00403116"/>
    <w:rsid w:val="0040337B"/>
    <w:rsid w:val="004041DB"/>
    <w:rsid w:val="00405607"/>
    <w:rsid w:val="00405838"/>
    <w:rsid w:val="00407E55"/>
    <w:rsid w:val="0041259A"/>
    <w:rsid w:val="00417233"/>
    <w:rsid w:val="00422EC7"/>
    <w:rsid w:val="00423F76"/>
    <w:rsid w:val="00426018"/>
    <w:rsid w:val="00426BBB"/>
    <w:rsid w:val="00430BBD"/>
    <w:rsid w:val="004310C8"/>
    <w:rsid w:val="00432366"/>
    <w:rsid w:val="00433C34"/>
    <w:rsid w:val="00434E1A"/>
    <w:rsid w:val="00435B64"/>
    <w:rsid w:val="00436C98"/>
    <w:rsid w:val="004402FC"/>
    <w:rsid w:val="00444AAA"/>
    <w:rsid w:val="004451AF"/>
    <w:rsid w:val="004455EC"/>
    <w:rsid w:val="00445855"/>
    <w:rsid w:val="0044674C"/>
    <w:rsid w:val="00447875"/>
    <w:rsid w:val="0045035B"/>
    <w:rsid w:val="00451EE3"/>
    <w:rsid w:val="0045232D"/>
    <w:rsid w:val="00456A3C"/>
    <w:rsid w:val="00456A7A"/>
    <w:rsid w:val="00456F59"/>
    <w:rsid w:val="00462258"/>
    <w:rsid w:val="004639BB"/>
    <w:rsid w:val="004655B9"/>
    <w:rsid w:val="00466D7E"/>
    <w:rsid w:val="00466DA5"/>
    <w:rsid w:val="00467EF8"/>
    <w:rsid w:val="004701F2"/>
    <w:rsid w:val="00470909"/>
    <w:rsid w:val="004710E2"/>
    <w:rsid w:val="00472052"/>
    <w:rsid w:val="0047367B"/>
    <w:rsid w:val="00473B22"/>
    <w:rsid w:val="00473B7A"/>
    <w:rsid w:val="00473FE6"/>
    <w:rsid w:val="00474CD3"/>
    <w:rsid w:val="004750A4"/>
    <w:rsid w:val="0047660F"/>
    <w:rsid w:val="0047789F"/>
    <w:rsid w:val="004839B1"/>
    <w:rsid w:val="00484064"/>
    <w:rsid w:val="00484100"/>
    <w:rsid w:val="00486511"/>
    <w:rsid w:val="00490025"/>
    <w:rsid w:val="004929AD"/>
    <w:rsid w:val="00494B97"/>
    <w:rsid w:val="00495AFC"/>
    <w:rsid w:val="00497A06"/>
    <w:rsid w:val="004A04DF"/>
    <w:rsid w:val="004A217C"/>
    <w:rsid w:val="004A2642"/>
    <w:rsid w:val="004A4107"/>
    <w:rsid w:val="004A44FD"/>
    <w:rsid w:val="004A5942"/>
    <w:rsid w:val="004A6562"/>
    <w:rsid w:val="004B13E9"/>
    <w:rsid w:val="004B1D9E"/>
    <w:rsid w:val="004B292C"/>
    <w:rsid w:val="004B33D4"/>
    <w:rsid w:val="004B695B"/>
    <w:rsid w:val="004C08BD"/>
    <w:rsid w:val="004C1445"/>
    <w:rsid w:val="004C15F1"/>
    <w:rsid w:val="004C18A4"/>
    <w:rsid w:val="004C2578"/>
    <w:rsid w:val="004C367F"/>
    <w:rsid w:val="004C3B4A"/>
    <w:rsid w:val="004C549F"/>
    <w:rsid w:val="004C5601"/>
    <w:rsid w:val="004D00BE"/>
    <w:rsid w:val="004D030A"/>
    <w:rsid w:val="004D20F5"/>
    <w:rsid w:val="004D34B8"/>
    <w:rsid w:val="004D3ECA"/>
    <w:rsid w:val="004D4663"/>
    <w:rsid w:val="004D5231"/>
    <w:rsid w:val="004D599A"/>
    <w:rsid w:val="004D5C41"/>
    <w:rsid w:val="004E1F1E"/>
    <w:rsid w:val="004E2B09"/>
    <w:rsid w:val="004E30FA"/>
    <w:rsid w:val="004E4C13"/>
    <w:rsid w:val="004E558F"/>
    <w:rsid w:val="004E631C"/>
    <w:rsid w:val="004F04CC"/>
    <w:rsid w:val="004F3189"/>
    <w:rsid w:val="004F4A2C"/>
    <w:rsid w:val="004F5962"/>
    <w:rsid w:val="004F7B25"/>
    <w:rsid w:val="005008D6"/>
    <w:rsid w:val="00500EF6"/>
    <w:rsid w:val="005016D8"/>
    <w:rsid w:val="00502012"/>
    <w:rsid w:val="00502585"/>
    <w:rsid w:val="00502729"/>
    <w:rsid w:val="00502EF7"/>
    <w:rsid w:val="00503C80"/>
    <w:rsid w:val="00506734"/>
    <w:rsid w:val="005079FD"/>
    <w:rsid w:val="00511C2D"/>
    <w:rsid w:val="00512203"/>
    <w:rsid w:val="00513BBF"/>
    <w:rsid w:val="00515692"/>
    <w:rsid w:val="00515A66"/>
    <w:rsid w:val="005166DE"/>
    <w:rsid w:val="005168C5"/>
    <w:rsid w:val="00517524"/>
    <w:rsid w:val="00520E8F"/>
    <w:rsid w:val="0052280D"/>
    <w:rsid w:val="00525B9D"/>
    <w:rsid w:val="00525BEE"/>
    <w:rsid w:val="00526E0B"/>
    <w:rsid w:val="00526EFA"/>
    <w:rsid w:val="00531C20"/>
    <w:rsid w:val="005324AD"/>
    <w:rsid w:val="0053414C"/>
    <w:rsid w:val="00534185"/>
    <w:rsid w:val="00534186"/>
    <w:rsid w:val="00534374"/>
    <w:rsid w:val="00534B05"/>
    <w:rsid w:val="00536EFF"/>
    <w:rsid w:val="005403C3"/>
    <w:rsid w:val="00541030"/>
    <w:rsid w:val="00542F18"/>
    <w:rsid w:val="005430BD"/>
    <w:rsid w:val="00545D07"/>
    <w:rsid w:val="005466E2"/>
    <w:rsid w:val="00547F88"/>
    <w:rsid w:val="005528D4"/>
    <w:rsid w:val="00553A2D"/>
    <w:rsid w:val="00555D0C"/>
    <w:rsid w:val="005617FA"/>
    <w:rsid w:val="0056231F"/>
    <w:rsid w:val="005636E0"/>
    <w:rsid w:val="00563C67"/>
    <w:rsid w:val="00563C86"/>
    <w:rsid w:val="00566D85"/>
    <w:rsid w:val="0056717E"/>
    <w:rsid w:val="00567A5A"/>
    <w:rsid w:val="005703C4"/>
    <w:rsid w:val="00571732"/>
    <w:rsid w:val="005726EF"/>
    <w:rsid w:val="0057272C"/>
    <w:rsid w:val="005727BE"/>
    <w:rsid w:val="005764A2"/>
    <w:rsid w:val="00576C07"/>
    <w:rsid w:val="00581BCD"/>
    <w:rsid w:val="00581C83"/>
    <w:rsid w:val="00583913"/>
    <w:rsid w:val="005843FC"/>
    <w:rsid w:val="005844A0"/>
    <w:rsid w:val="00584D1F"/>
    <w:rsid w:val="00584F6F"/>
    <w:rsid w:val="00587190"/>
    <w:rsid w:val="00590AB7"/>
    <w:rsid w:val="0059163E"/>
    <w:rsid w:val="00591685"/>
    <w:rsid w:val="00591E32"/>
    <w:rsid w:val="005927E4"/>
    <w:rsid w:val="00592AAA"/>
    <w:rsid w:val="00594BA3"/>
    <w:rsid w:val="00597564"/>
    <w:rsid w:val="005A16B9"/>
    <w:rsid w:val="005A2D85"/>
    <w:rsid w:val="005A302E"/>
    <w:rsid w:val="005A34D9"/>
    <w:rsid w:val="005A5035"/>
    <w:rsid w:val="005A5BF1"/>
    <w:rsid w:val="005A628C"/>
    <w:rsid w:val="005A640A"/>
    <w:rsid w:val="005A6513"/>
    <w:rsid w:val="005B2579"/>
    <w:rsid w:val="005B393E"/>
    <w:rsid w:val="005B40CF"/>
    <w:rsid w:val="005B4B73"/>
    <w:rsid w:val="005B5F95"/>
    <w:rsid w:val="005B75BC"/>
    <w:rsid w:val="005C24FF"/>
    <w:rsid w:val="005C262C"/>
    <w:rsid w:val="005C438C"/>
    <w:rsid w:val="005C47BF"/>
    <w:rsid w:val="005C6B75"/>
    <w:rsid w:val="005C6E45"/>
    <w:rsid w:val="005C7032"/>
    <w:rsid w:val="005C7206"/>
    <w:rsid w:val="005C77D4"/>
    <w:rsid w:val="005D0200"/>
    <w:rsid w:val="005D2ED9"/>
    <w:rsid w:val="005D3104"/>
    <w:rsid w:val="005D678C"/>
    <w:rsid w:val="005D6CFF"/>
    <w:rsid w:val="005D7044"/>
    <w:rsid w:val="005E0320"/>
    <w:rsid w:val="005E0678"/>
    <w:rsid w:val="005E09F8"/>
    <w:rsid w:val="005E0B59"/>
    <w:rsid w:val="005E1956"/>
    <w:rsid w:val="005E5F0D"/>
    <w:rsid w:val="005E6100"/>
    <w:rsid w:val="005E62D5"/>
    <w:rsid w:val="005E7770"/>
    <w:rsid w:val="005F01EB"/>
    <w:rsid w:val="005F18A0"/>
    <w:rsid w:val="005F2154"/>
    <w:rsid w:val="005F282B"/>
    <w:rsid w:val="005F2F03"/>
    <w:rsid w:val="005F2FAF"/>
    <w:rsid w:val="005F33C6"/>
    <w:rsid w:val="005F522A"/>
    <w:rsid w:val="005F5327"/>
    <w:rsid w:val="005F5F1D"/>
    <w:rsid w:val="005F64B4"/>
    <w:rsid w:val="005F65AD"/>
    <w:rsid w:val="006002D8"/>
    <w:rsid w:val="006009FB"/>
    <w:rsid w:val="0060123F"/>
    <w:rsid w:val="00604CA8"/>
    <w:rsid w:val="00605B3A"/>
    <w:rsid w:val="00606BF2"/>
    <w:rsid w:val="00607E06"/>
    <w:rsid w:val="00610C50"/>
    <w:rsid w:val="00611870"/>
    <w:rsid w:val="00615483"/>
    <w:rsid w:val="00617B44"/>
    <w:rsid w:val="0062140D"/>
    <w:rsid w:val="0062249D"/>
    <w:rsid w:val="00627C05"/>
    <w:rsid w:val="00627C9B"/>
    <w:rsid w:val="00630019"/>
    <w:rsid w:val="00630198"/>
    <w:rsid w:val="00631ABB"/>
    <w:rsid w:val="00633296"/>
    <w:rsid w:val="006344F2"/>
    <w:rsid w:val="0063468F"/>
    <w:rsid w:val="00634A0A"/>
    <w:rsid w:val="00635745"/>
    <w:rsid w:val="006374AF"/>
    <w:rsid w:val="006428F5"/>
    <w:rsid w:val="00642A3E"/>
    <w:rsid w:val="00645B3F"/>
    <w:rsid w:val="00651C43"/>
    <w:rsid w:val="00653279"/>
    <w:rsid w:val="00656626"/>
    <w:rsid w:val="006578C1"/>
    <w:rsid w:val="0066234E"/>
    <w:rsid w:val="006637D5"/>
    <w:rsid w:val="00671273"/>
    <w:rsid w:val="006724FA"/>
    <w:rsid w:val="0067343D"/>
    <w:rsid w:val="00675C14"/>
    <w:rsid w:val="0067614F"/>
    <w:rsid w:val="00676F08"/>
    <w:rsid w:val="00680B21"/>
    <w:rsid w:val="00682884"/>
    <w:rsid w:val="00683989"/>
    <w:rsid w:val="0068518D"/>
    <w:rsid w:val="00685DDE"/>
    <w:rsid w:val="006867B9"/>
    <w:rsid w:val="00686B12"/>
    <w:rsid w:val="00687017"/>
    <w:rsid w:val="00687C10"/>
    <w:rsid w:val="00687C92"/>
    <w:rsid w:val="00690FBF"/>
    <w:rsid w:val="00692D18"/>
    <w:rsid w:val="00694712"/>
    <w:rsid w:val="00694CBA"/>
    <w:rsid w:val="00697436"/>
    <w:rsid w:val="006A0BB3"/>
    <w:rsid w:val="006A14F0"/>
    <w:rsid w:val="006A1C63"/>
    <w:rsid w:val="006A282F"/>
    <w:rsid w:val="006A32BC"/>
    <w:rsid w:val="006A3B25"/>
    <w:rsid w:val="006A3B36"/>
    <w:rsid w:val="006A7D7A"/>
    <w:rsid w:val="006B18E0"/>
    <w:rsid w:val="006B1F71"/>
    <w:rsid w:val="006B2315"/>
    <w:rsid w:val="006B402A"/>
    <w:rsid w:val="006B7F75"/>
    <w:rsid w:val="006C03D6"/>
    <w:rsid w:val="006C16DE"/>
    <w:rsid w:val="006C1C33"/>
    <w:rsid w:val="006C2F5F"/>
    <w:rsid w:val="006C417C"/>
    <w:rsid w:val="006C501B"/>
    <w:rsid w:val="006D06AB"/>
    <w:rsid w:val="006D1E7A"/>
    <w:rsid w:val="006D2A8A"/>
    <w:rsid w:val="006D2AEF"/>
    <w:rsid w:val="006D37CA"/>
    <w:rsid w:val="006D3886"/>
    <w:rsid w:val="006D6C6F"/>
    <w:rsid w:val="006D6ED6"/>
    <w:rsid w:val="006D7817"/>
    <w:rsid w:val="006E0858"/>
    <w:rsid w:val="006E0A53"/>
    <w:rsid w:val="006E3C41"/>
    <w:rsid w:val="006E3E96"/>
    <w:rsid w:val="006E562F"/>
    <w:rsid w:val="006E6BFB"/>
    <w:rsid w:val="006F232E"/>
    <w:rsid w:val="00700016"/>
    <w:rsid w:val="007001D7"/>
    <w:rsid w:val="00701C7B"/>
    <w:rsid w:val="00702ABE"/>
    <w:rsid w:val="0070624F"/>
    <w:rsid w:val="00706681"/>
    <w:rsid w:val="00707852"/>
    <w:rsid w:val="007108F2"/>
    <w:rsid w:val="00710B4A"/>
    <w:rsid w:val="00714E88"/>
    <w:rsid w:val="00714FA3"/>
    <w:rsid w:val="00722B7F"/>
    <w:rsid w:val="00723702"/>
    <w:rsid w:val="007252D1"/>
    <w:rsid w:val="00725798"/>
    <w:rsid w:val="00725B67"/>
    <w:rsid w:val="00726239"/>
    <w:rsid w:val="00726BE2"/>
    <w:rsid w:val="007326F7"/>
    <w:rsid w:val="007339A3"/>
    <w:rsid w:val="0074020E"/>
    <w:rsid w:val="007409B2"/>
    <w:rsid w:val="007415A8"/>
    <w:rsid w:val="0074244F"/>
    <w:rsid w:val="007425B6"/>
    <w:rsid w:val="00744AB3"/>
    <w:rsid w:val="0074593C"/>
    <w:rsid w:val="00745980"/>
    <w:rsid w:val="0074620A"/>
    <w:rsid w:val="00746D34"/>
    <w:rsid w:val="00752B86"/>
    <w:rsid w:val="007540C2"/>
    <w:rsid w:val="00755C0A"/>
    <w:rsid w:val="00757084"/>
    <w:rsid w:val="00761D8A"/>
    <w:rsid w:val="00763310"/>
    <w:rsid w:val="007702D9"/>
    <w:rsid w:val="007710D6"/>
    <w:rsid w:val="00774C1F"/>
    <w:rsid w:val="007750AC"/>
    <w:rsid w:val="00775D84"/>
    <w:rsid w:val="007772E4"/>
    <w:rsid w:val="00780162"/>
    <w:rsid w:val="007824B6"/>
    <w:rsid w:val="00784107"/>
    <w:rsid w:val="00785572"/>
    <w:rsid w:val="00785734"/>
    <w:rsid w:val="00787206"/>
    <w:rsid w:val="00787AAF"/>
    <w:rsid w:val="007902C7"/>
    <w:rsid w:val="007932BC"/>
    <w:rsid w:val="007952C1"/>
    <w:rsid w:val="007955E0"/>
    <w:rsid w:val="00795CEC"/>
    <w:rsid w:val="00796463"/>
    <w:rsid w:val="00796BAF"/>
    <w:rsid w:val="007A0C42"/>
    <w:rsid w:val="007A0D5D"/>
    <w:rsid w:val="007A1E8F"/>
    <w:rsid w:val="007A5FC2"/>
    <w:rsid w:val="007A7E95"/>
    <w:rsid w:val="007B011E"/>
    <w:rsid w:val="007B01C7"/>
    <w:rsid w:val="007B03E5"/>
    <w:rsid w:val="007B1884"/>
    <w:rsid w:val="007B574B"/>
    <w:rsid w:val="007B599D"/>
    <w:rsid w:val="007B5F17"/>
    <w:rsid w:val="007B6478"/>
    <w:rsid w:val="007B686A"/>
    <w:rsid w:val="007B69E1"/>
    <w:rsid w:val="007C04A8"/>
    <w:rsid w:val="007C0FBA"/>
    <w:rsid w:val="007C181F"/>
    <w:rsid w:val="007C21F2"/>
    <w:rsid w:val="007C285A"/>
    <w:rsid w:val="007C2E52"/>
    <w:rsid w:val="007C5457"/>
    <w:rsid w:val="007C57B2"/>
    <w:rsid w:val="007C639A"/>
    <w:rsid w:val="007C7596"/>
    <w:rsid w:val="007D0B76"/>
    <w:rsid w:val="007D1F85"/>
    <w:rsid w:val="007D2A83"/>
    <w:rsid w:val="007D4193"/>
    <w:rsid w:val="007D55E3"/>
    <w:rsid w:val="007D604A"/>
    <w:rsid w:val="007D74A8"/>
    <w:rsid w:val="007E08EB"/>
    <w:rsid w:val="007E1009"/>
    <w:rsid w:val="007E1490"/>
    <w:rsid w:val="007E16BB"/>
    <w:rsid w:val="007E27A0"/>
    <w:rsid w:val="007E2CAA"/>
    <w:rsid w:val="007E5BE3"/>
    <w:rsid w:val="007E6007"/>
    <w:rsid w:val="007E635A"/>
    <w:rsid w:val="007E6807"/>
    <w:rsid w:val="007E7531"/>
    <w:rsid w:val="007E7C77"/>
    <w:rsid w:val="007F0FDF"/>
    <w:rsid w:val="008030C8"/>
    <w:rsid w:val="008037D1"/>
    <w:rsid w:val="00804C26"/>
    <w:rsid w:val="00807394"/>
    <w:rsid w:val="008075E1"/>
    <w:rsid w:val="0081041F"/>
    <w:rsid w:val="00810D1F"/>
    <w:rsid w:val="00811B89"/>
    <w:rsid w:val="00812C8B"/>
    <w:rsid w:val="00813B0F"/>
    <w:rsid w:val="00813D18"/>
    <w:rsid w:val="008145A6"/>
    <w:rsid w:val="0081487C"/>
    <w:rsid w:val="0081552C"/>
    <w:rsid w:val="00815D91"/>
    <w:rsid w:val="0082093A"/>
    <w:rsid w:val="00820D98"/>
    <w:rsid w:val="008216C5"/>
    <w:rsid w:val="008220E8"/>
    <w:rsid w:val="008236F8"/>
    <w:rsid w:val="00824CB6"/>
    <w:rsid w:val="00827BB8"/>
    <w:rsid w:val="00830CC8"/>
    <w:rsid w:val="008316E8"/>
    <w:rsid w:val="00831C7C"/>
    <w:rsid w:val="00832E3C"/>
    <w:rsid w:val="00832E57"/>
    <w:rsid w:val="00834F67"/>
    <w:rsid w:val="00835AA9"/>
    <w:rsid w:val="008363D9"/>
    <w:rsid w:val="00836A44"/>
    <w:rsid w:val="00836D13"/>
    <w:rsid w:val="0083797D"/>
    <w:rsid w:val="00844ACC"/>
    <w:rsid w:val="008451EA"/>
    <w:rsid w:val="00845211"/>
    <w:rsid w:val="00851168"/>
    <w:rsid w:val="00851181"/>
    <w:rsid w:val="00851207"/>
    <w:rsid w:val="00854E87"/>
    <w:rsid w:val="00855C7A"/>
    <w:rsid w:val="00856E55"/>
    <w:rsid w:val="00857DB3"/>
    <w:rsid w:val="0086026F"/>
    <w:rsid w:val="008617CC"/>
    <w:rsid w:val="0086216F"/>
    <w:rsid w:val="00863F1C"/>
    <w:rsid w:val="00864B28"/>
    <w:rsid w:val="008651C5"/>
    <w:rsid w:val="00865B5B"/>
    <w:rsid w:val="00866825"/>
    <w:rsid w:val="00867544"/>
    <w:rsid w:val="008675F0"/>
    <w:rsid w:val="00867666"/>
    <w:rsid w:val="00871058"/>
    <w:rsid w:val="008715DA"/>
    <w:rsid w:val="008717D8"/>
    <w:rsid w:val="00871966"/>
    <w:rsid w:val="0087208D"/>
    <w:rsid w:val="00873E67"/>
    <w:rsid w:val="008750A5"/>
    <w:rsid w:val="0087697D"/>
    <w:rsid w:val="00881B2D"/>
    <w:rsid w:val="00881BD1"/>
    <w:rsid w:val="00882E50"/>
    <w:rsid w:val="00882F90"/>
    <w:rsid w:val="00883D22"/>
    <w:rsid w:val="008871CA"/>
    <w:rsid w:val="008876F5"/>
    <w:rsid w:val="00894585"/>
    <w:rsid w:val="00896C7C"/>
    <w:rsid w:val="00897EA1"/>
    <w:rsid w:val="008A134F"/>
    <w:rsid w:val="008A4CA7"/>
    <w:rsid w:val="008A5DC9"/>
    <w:rsid w:val="008A632A"/>
    <w:rsid w:val="008A718D"/>
    <w:rsid w:val="008B1727"/>
    <w:rsid w:val="008B21B8"/>
    <w:rsid w:val="008B3A77"/>
    <w:rsid w:val="008B601A"/>
    <w:rsid w:val="008B6A4A"/>
    <w:rsid w:val="008C0B59"/>
    <w:rsid w:val="008C20DC"/>
    <w:rsid w:val="008C3696"/>
    <w:rsid w:val="008C47F7"/>
    <w:rsid w:val="008C54C5"/>
    <w:rsid w:val="008D1EBE"/>
    <w:rsid w:val="008D5882"/>
    <w:rsid w:val="008D7045"/>
    <w:rsid w:val="008E17E6"/>
    <w:rsid w:val="008E4E07"/>
    <w:rsid w:val="008E6210"/>
    <w:rsid w:val="008E6816"/>
    <w:rsid w:val="008E78FD"/>
    <w:rsid w:val="008F05F7"/>
    <w:rsid w:val="008F1E37"/>
    <w:rsid w:val="008F42DB"/>
    <w:rsid w:val="008F50F3"/>
    <w:rsid w:val="008F54AA"/>
    <w:rsid w:val="008F555C"/>
    <w:rsid w:val="008F5929"/>
    <w:rsid w:val="008F66B7"/>
    <w:rsid w:val="0090093E"/>
    <w:rsid w:val="00901C19"/>
    <w:rsid w:val="0090286D"/>
    <w:rsid w:val="0090329B"/>
    <w:rsid w:val="00904ECA"/>
    <w:rsid w:val="009073E2"/>
    <w:rsid w:val="0091230E"/>
    <w:rsid w:val="00912832"/>
    <w:rsid w:val="009138C0"/>
    <w:rsid w:val="00913CE6"/>
    <w:rsid w:val="009167AA"/>
    <w:rsid w:val="00916C1E"/>
    <w:rsid w:val="00917215"/>
    <w:rsid w:val="00921D3D"/>
    <w:rsid w:val="0092228E"/>
    <w:rsid w:val="0092301C"/>
    <w:rsid w:val="00923097"/>
    <w:rsid w:val="00924CF0"/>
    <w:rsid w:val="00925A97"/>
    <w:rsid w:val="00927EBF"/>
    <w:rsid w:val="009300FB"/>
    <w:rsid w:val="00931590"/>
    <w:rsid w:val="009339C4"/>
    <w:rsid w:val="00936CED"/>
    <w:rsid w:val="00940CC4"/>
    <w:rsid w:val="00944188"/>
    <w:rsid w:val="0094450C"/>
    <w:rsid w:val="00950BB9"/>
    <w:rsid w:val="00950CAF"/>
    <w:rsid w:val="0095217B"/>
    <w:rsid w:val="009561A4"/>
    <w:rsid w:val="00956DCD"/>
    <w:rsid w:val="00960061"/>
    <w:rsid w:val="009602CD"/>
    <w:rsid w:val="00963897"/>
    <w:rsid w:val="009644A2"/>
    <w:rsid w:val="009719B7"/>
    <w:rsid w:val="009725F4"/>
    <w:rsid w:val="00972C29"/>
    <w:rsid w:val="009730A1"/>
    <w:rsid w:val="00973B98"/>
    <w:rsid w:val="0097443F"/>
    <w:rsid w:val="0097446F"/>
    <w:rsid w:val="00974675"/>
    <w:rsid w:val="00975B34"/>
    <w:rsid w:val="00975F35"/>
    <w:rsid w:val="00976A10"/>
    <w:rsid w:val="00976C5E"/>
    <w:rsid w:val="00977EA3"/>
    <w:rsid w:val="00984ACB"/>
    <w:rsid w:val="00986178"/>
    <w:rsid w:val="00990919"/>
    <w:rsid w:val="009928CC"/>
    <w:rsid w:val="00993452"/>
    <w:rsid w:val="00994FD3"/>
    <w:rsid w:val="009A00A2"/>
    <w:rsid w:val="009A0894"/>
    <w:rsid w:val="009A0E7A"/>
    <w:rsid w:val="009A1760"/>
    <w:rsid w:val="009A1858"/>
    <w:rsid w:val="009A39F8"/>
    <w:rsid w:val="009A4719"/>
    <w:rsid w:val="009A4E21"/>
    <w:rsid w:val="009A55DA"/>
    <w:rsid w:val="009A659D"/>
    <w:rsid w:val="009B3032"/>
    <w:rsid w:val="009B3658"/>
    <w:rsid w:val="009B5F3E"/>
    <w:rsid w:val="009B71A3"/>
    <w:rsid w:val="009B74E3"/>
    <w:rsid w:val="009B7597"/>
    <w:rsid w:val="009B7C2F"/>
    <w:rsid w:val="009C0B82"/>
    <w:rsid w:val="009C17EA"/>
    <w:rsid w:val="009C204A"/>
    <w:rsid w:val="009C2435"/>
    <w:rsid w:val="009C3116"/>
    <w:rsid w:val="009C3688"/>
    <w:rsid w:val="009C4FD6"/>
    <w:rsid w:val="009D0E2E"/>
    <w:rsid w:val="009D10C2"/>
    <w:rsid w:val="009D372F"/>
    <w:rsid w:val="009D44DF"/>
    <w:rsid w:val="009D74EB"/>
    <w:rsid w:val="009E036F"/>
    <w:rsid w:val="009E0428"/>
    <w:rsid w:val="009E191B"/>
    <w:rsid w:val="009E326A"/>
    <w:rsid w:val="009E4AC5"/>
    <w:rsid w:val="009E5C10"/>
    <w:rsid w:val="009E723E"/>
    <w:rsid w:val="009F18B8"/>
    <w:rsid w:val="009F1A21"/>
    <w:rsid w:val="009F3CBD"/>
    <w:rsid w:val="009F3EFE"/>
    <w:rsid w:val="009F4205"/>
    <w:rsid w:val="009F4787"/>
    <w:rsid w:val="009F502A"/>
    <w:rsid w:val="009F5632"/>
    <w:rsid w:val="009F6352"/>
    <w:rsid w:val="009F6C3A"/>
    <w:rsid w:val="009F74E5"/>
    <w:rsid w:val="00A00C5A"/>
    <w:rsid w:val="00A05865"/>
    <w:rsid w:val="00A06A38"/>
    <w:rsid w:val="00A06A4E"/>
    <w:rsid w:val="00A06B3A"/>
    <w:rsid w:val="00A07498"/>
    <w:rsid w:val="00A108B2"/>
    <w:rsid w:val="00A10941"/>
    <w:rsid w:val="00A1260E"/>
    <w:rsid w:val="00A132EC"/>
    <w:rsid w:val="00A149F4"/>
    <w:rsid w:val="00A1765F"/>
    <w:rsid w:val="00A17730"/>
    <w:rsid w:val="00A24380"/>
    <w:rsid w:val="00A2708C"/>
    <w:rsid w:val="00A30414"/>
    <w:rsid w:val="00A31C14"/>
    <w:rsid w:val="00A40C2F"/>
    <w:rsid w:val="00A422B6"/>
    <w:rsid w:val="00A42DC3"/>
    <w:rsid w:val="00A43747"/>
    <w:rsid w:val="00A54113"/>
    <w:rsid w:val="00A55904"/>
    <w:rsid w:val="00A559DF"/>
    <w:rsid w:val="00A55C05"/>
    <w:rsid w:val="00A57658"/>
    <w:rsid w:val="00A605A9"/>
    <w:rsid w:val="00A6107A"/>
    <w:rsid w:val="00A6128E"/>
    <w:rsid w:val="00A61521"/>
    <w:rsid w:val="00A61F9C"/>
    <w:rsid w:val="00A61FC2"/>
    <w:rsid w:val="00A62F3A"/>
    <w:rsid w:val="00A63535"/>
    <w:rsid w:val="00A65638"/>
    <w:rsid w:val="00A6684E"/>
    <w:rsid w:val="00A66F89"/>
    <w:rsid w:val="00A672B7"/>
    <w:rsid w:val="00A67D0E"/>
    <w:rsid w:val="00A71022"/>
    <w:rsid w:val="00A71030"/>
    <w:rsid w:val="00A711FF"/>
    <w:rsid w:val="00A73183"/>
    <w:rsid w:val="00A759FC"/>
    <w:rsid w:val="00A75D79"/>
    <w:rsid w:val="00A76BA8"/>
    <w:rsid w:val="00A76D43"/>
    <w:rsid w:val="00A77E34"/>
    <w:rsid w:val="00A82399"/>
    <w:rsid w:val="00A84E22"/>
    <w:rsid w:val="00A858BC"/>
    <w:rsid w:val="00A86740"/>
    <w:rsid w:val="00A86B2B"/>
    <w:rsid w:val="00A8709E"/>
    <w:rsid w:val="00A914E4"/>
    <w:rsid w:val="00A93837"/>
    <w:rsid w:val="00A96B63"/>
    <w:rsid w:val="00A97D2E"/>
    <w:rsid w:val="00AA0076"/>
    <w:rsid w:val="00AA1384"/>
    <w:rsid w:val="00AA18F3"/>
    <w:rsid w:val="00AA1D06"/>
    <w:rsid w:val="00AA311B"/>
    <w:rsid w:val="00AA3A5F"/>
    <w:rsid w:val="00AA4FE6"/>
    <w:rsid w:val="00AA579F"/>
    <w:rsid w:val="00AA6761"/>
    <w:rsid w:val="00AA7448"/>
    <w:rsid w:val="00AB0702"/>
    <w:rsid w:val="00AB21EF"/>
    <w:rsid w:val="00AB2BA0"/>
    <w:rsid w:val="00AB336E"/>
    <w:rsid w:val="00AB3C65"/>
    <w:rsid w:val="00AB5116"/>
    <w:rsid w:val="00AB68E9"/>
    <w:rsid w:val="00AB6DF1"/>
    <w:rsid w:val="00AC1A7E"/>
    <w:rsid w:val="00AC25BC"/>
    <w:rsid w:val="00AC2979"/>
    <w:rsid w:val="00AC31B7"/>
    <w:rsid w:val="00AC437C"/>
    <w:rsid w:val="00AC5614"/>
    <w:rsid w:val="00AC5D91"/>
    <w:rsid w:val="00AC63FD"/>
    <w:rsid w:val="00AD08DC"/>
    <w:rsid w:val="00AD0E79"/>
    <w:rsid w:val="00AD0FE3"/>
    <w:rsid w:val="00AD1638"/>
    <w:rsid w:val="00AD1D8E"/>
    <w:rsid w:val="00AD3358"/>
    <w:rsid w:val="00AD3C09"/>
    <w:rsid w:val="00AD45A7"/>
    <w:rsid w:val="00AD6B75"/>
    <w:rsid w:val="00AD7BB9"/>
    <w:rsid w:val="00AD7D10"/>
    <w:rsid w:val="00AD7D98"/>
    <w:rsid w:val="00AD7F5F"/>
    <w:rsid w:val="00AE0B75"/>
    <w:rsid w:val="00AE0B76"/>
    <w:rsid w:val="00AE2379"/>
    <w:rsid w:val="00AE32EA"/>
    <w:rsid w:val="00AE52A5"/>
    <w:rsid w:val="00AE5764"/>
    <w:rsid w:val="00AE5EB9"/>
    <w:rsid w:val="00AF00FB"/>
    <w:rsid w:val="00AF252E"/>
    <w:rsid w:val="00AF2F8E"/>
    <w:rsid w:val="00AF50A1"/>
    <w:rsid w:val="00AF6AF5"/>
    <w:rsid w:val="00AF7CC7"/>
    <w:rsid w:val="00B03A71"/>
    <w:rsid w:val="00B068F2"/>
    <w:rsid w:val="00B0696D"/>
    <w:rsid w:val="00B1080A"/>
    <w:rsid w:val="00B13022"/>
    <w:rsid w:val="00B130B6"/>
    <w:rsid w:val="00B13D25"/>
    <w:rsid w:val="00B16512"/>
    <w:rsid w:val="00B174F9"/>
    <w:rsid w:val="00B2031C"/>
    <w:rsid w:val="00B21687"/>
    <w:rsid w:val="00B21AEA"/>
    <w:rsid w:val="00B22129"/>
    <w:rsid w:val="00B24D35"/>
    <w:rsid w:val="00B2552D"/>
    <w:rsid w:val="00B26957"/>
    <w:rsid w:val="00B303C4"/>
    <w:rsid w:val="00B30938"/>
    <w:rsid w:val="00B3288F"/>
    <w:rsid w:val="00B3424E"/>
    <w:rsid w:val="00B343F0"/>
    <w:rsid w:val="00B34562"/>
    <w:rsid w:val="00B3464C"/>
    <w:rsid w:val="00B36BB2"/>
    <w:rsid w:val="00B370F6"/>
    <w:rsid w:val="00B37621"/>
    <w:rsid w:val="00B376D6"/>
    <w:rsid w:val="00B4171F"/>
    <w:rsid w:val="00B421AF"/>
    <w:rsid w:val="00B42CE2"/>
    <w:rsid w:val="00B44505"/>
    <w:rsid w:val="00B456F7"/>
    <w:rsid w:val="00B51F25"/>
    <w:rsid w:val="00B53C58"/>
    <w:rsid w:val="00B54470"/>
    <w:rsid w:val="00B548B4"/>
    <w:rsid w:val="00B56DD0"/>
    <w:rsid w:val="00B601A7"/>
    <w:rsid w:val="00B61B61"/>
    <w:rsid w:val="00B66018"/>
    <w:rsid w:val="00B66DAB"/>
    <w:rsid w:val="00B71983"/>
    <w:rsid w:val="00B720E2"/>
    <w:rsid w:val="00B72D66"/>
    <w:rsid w:val="00B7329F"/>
    <w:rsid w:val="00B737FD"/>
    <w:rsid w:val="00B74C7D"/>
    <w:rsid w:val="00B75355"/>
    <w:rsid w:val="00B77590"/>
    <w:rsid w:val="00B813F0"/>
    <w:rsid w:val="00B838C7"/>
    <w:rsid w:val="00B83AC8"/>
    <w:rsid w:val="00B83BF6"/>
    <w:rsid w:val="00B84CDC"/>
    <w:rsid w:val="00B84EC5"/>
    <w:rsid w:val="00B90895"/>
    <w:rsid w:val="00B92895"/>
    <w:rsid w:val="00B95316"/>
    <w:rsid w:val="00B95E5F"/>
    <w:rsid w:val="00BA0030"/>
    <w:rsid w:val="00BA00D0"/>
    <w:rsid w:val="00BA1CF4"/>
    <w:rsid w:val="00BA1E7B"/>
    <w:rsid w:val="00BA2AF1"/>
    <w:rsid w:val="00BA2D88"/>
    <w:rsid w:val="00BA4F23"/>
    <w:rsid w:val="00BB1CF0"/>
    <w:rsid w:val="00BB2BED"/>
    <w:rsid w:val="00BB3767"/>
    <w:rsid w:val="00BB3D68"/>
    <w:rsid w:val="00BB4731"/>
    <w:rsid w:val="00BB507A"/>
    <w:rsid w:val="00BB6425"/>
    <w:rsid w:val="00BB677B"/>
    <w:rsid w:val="00BB6EFF"/>
    <w:rsid w:val="00BC0258"/>
    <w:rsid w:val="00BC06FC"/>
    <w:rsid w:val="00BC28A8"/>
    <w:rsid w:val="00BC4180"/>
    <w:rsid w:val="00BD1796"/>
    <w:rsid w:val="00BD2C89"/>
    <w:rsid w:val="00BD39E7"/>
    <w:rsid w:val="00BD3ADD"/>
    <w:rsid w:val="00BD4962"/>
    <w:rsid w:val="00BD5462"/>
    <w:rsid w:val="00BD6BC1"/>
    <w:rsid w:val="00BE22F7"/>
    <w:rsid w:val="00BE273A"/>
    <w:rsid w:val="00BE3702"/>
    <w:rsid w:val="00BE440F"/>
    <w:rsid w:val="00BE6077"/>
    <w:rsid w:val="00BE6A80"/>
    <w:rsid w:val="00BF01CC"/>
    <w:rsid w:val="00BF2C7A"/>
    <w:rsid w:val="00BF2F0A"/>
    <w:rsid w:val="00BF559B"/>
    <w:rsid w:val="00BF5C48"/>
    <w:rsid w:val="00BF60B7"/>
    <w:rsid w:val="00BF7769"/>
    <w:rsid w:val="00BF7B02"/>
    <w:rsid w:val="00C0093C"/>
    <w:rsid w:val="00C0377D"/>
    <w:rsid w:val="00C049BB"/>
    <w:rsid w:val="00C05247"/>
    <w:rsid w:val="00C05F01"/>
    <w:rsid w:val="00C07D1C"/>
    <w:rsid w:val="00C07D38"/>
    <w:rsid w:val="00C10896"/>
    <w:rsid w:val="00C12436"/>
    <w:rsid w:val="00C12641"/>
    <w:rsid w:val="00C128E8"/>
    <w:rsid w:val="00C13946"/>
    <w:rsid w:val="00C14D49"/>
    <w:rsid w:val="00C16DEC"/>
    <w:rsid w:val="00C21838"/>
    <w:rsid w:val="00C2187D"/>
    <w:rsid w:val="00C21C36"/>
    <w:rsid w:val="00C22110"/>
    <w:rsid w:val="00C2241A"/>
    <w:rsid w:val="00C22D54"/>
    <w:rsid w:val="00C236F9"/>
    <w:rsid w:val="00C240A1"/>
    <w:rsid w:val="00C2410C"/>
    <w:rsid w:val="00C258BD"/>
    <w:rsid w:val="00C26073"/>
    <w:rsid w:val="00C26BAC"/>
    <w:rsid w:val="00C270F4"/>
    <w:rsid w:val="00C2724A"/>
    <w:rsid w:val="00C276FF"/>
    <w:rsid w:val="00C30818"/>
    <w:rsid w:val="00C32CFF"/>
    <w:rsid w:val="00C330AB"/>
    <w:rsid w:val="00C3358C"/>
    <w:rsid w:val="00C344AF"/>
    <w:rsid w:val="00C34FAD"/>
    <w:rsid w:val="00C35787"/>
    <w:rsid w:val="00C36C37"/>
    <w:rsid w:val="00C37A76"/>
    <w:rsid w:val="00C4041B"/>
    <w:rsid w:val="00C41800"/>
    <w:rsid w:val="00C425CF"/>
    <w:rsid w:val="00C42881"/>
    <w:rsid w:val="00C4547B"/>
    <w:rsid w:val="00C45A53"/>
    <w:rsid w:val="00C45C87"/>
    <w:rsid w:val="00C50901"/>
    <w:rsid w:val="00C52C39"/>
    <w:rsid w:val="00C5408A"/>
    <w:rsid w:val="00C63585"/>
    <w:rsid w:val="00C670F0"/>
    <w:rsid w:val="00C67C3F"/>
    <w:rsid w:val="00C70069"/>
    <w:rsid w:val="00C70D3A"/>
    <w:rsid w:val="00C712D2"/>
    <w:rsid w:val="00C71695"/>
    <w:rsid w:val="00C72A60"/>
    <w:rsid w:val="00C76E26"/>
    <w:rsid w:val="00C86838"/>
    <w:rsid w:val="00C87D8F"/>
    <w:rsid w:val="00C9108B"/>
    <w:rsid w:val="00C9266B"/>
    <w:rsid w:val="00C93E80"/>
    <w:rsid w:val="00C952A1"/>
    <w:rsid w:val="00C968D1"/>
    <w:rsid w:val="00CA02A5"/>
    <w:rsid w:val="00CA1930"/>
    <w:rsid w:val="00CA2742"/>
    <w:rsid w:val="00CA2E21"/>
    <w:rsid w:val="00CA4346"/>
    <w:rsid w:val="00CB1765"/>
    <w:rsid w:val="00CB1B0B"/>
    <w:rsid w:val="00CB2DCA"/>
    <w:rsid w:val="00CB2F65"/>
    <w:rsid w:val="00CB63F5"/>
    <w:rsid w:val="00CB6B7C"/>
    <w:rsid w:val="00CB6DC8"/>
    <w:rsid w:val="00CB7146"/>
    <w:rsid w:val="00CB7B99"/>
    <w:rsid w:val="00CC0BCB"/>
    <w:rsid w:val="00CC1003"/>
    <w:rsid w:val="00CC1139"/>
    <w:rsid w:val="00CC491B"/>
    <w:rsid w:val="00CC4AD2"/>
    <w:rsid w:val="00CD0643"/>
    <w:rsid w:val="00CD0986"/>
    <w:rsid w:val="00CD0EF1"/>
    <w:rsid w:val="00CD138B"/>
    <w:rsid w:val="00CD2D48"/>
    <w:rsid w:val="00CD5074"/>
    <w:rsid w:val="00CD68D8"/>
    <w:rsid w:val="00CD69B1"/>
    <w:rsid w:val="00CD6DE0"/>
    <w:rsid w:val="00CD6E31"/>
    <w:rsid w:val="00CD7F10"/>
    <w:rsid w:val="00CE3C29"/>
    <w:rsid w:val="00CE431C"/>
    <w:rsid w:val="00CE640E"/>
    <w:rsid w:val="00CE6D62"/>
    <w:rsid w:val="00CE7A38"/>
    <w:rsid w:val="00CF044F"/>
    <w:rsid w:val="00CF0B85"/>
    <w:rsid w:val="00CF0E9E"/>
    <w:rsid w:val="00CF1300"/>
    <w:rsid w:val="00CF1BCB"/>
    <w:rsid w:val="00D00209"/>
    <w:rsid w:val="00D0105B"/>
    <w:rsid w:val="00D01A87"/>
    <w:rsid w:val="00D04BBF"/>
    <w:rsid w:val="00D04F47"/>
    <w:rsid w:val="00D06501"/>
    <w:rsid w:val="00D06B7A"/>
    <w:rsid w:val="00D07580"/>
    <w:rsid w:val="00D07EE6"/>
    <w:rsid w:val="00D1015D"/>
    <w:rsid w:val="00D1054B"/>
    <w:rsid w:val="00D10E99"/>
    <w:rsid w:val="00D11264"/>
    <w:rsid w:val="00D11A1E"/>
    <w:rsid w:val="00D11E46"/>
    <w:rsid w:val="00D149D8"/>
    <w:rsid w:val="00D15193"/>
    <w:rsid w:val="00D17A96"/>
    <w:rsid w:val="00D2223D"/>
    <w:rsid w:val="00D224BC"/>
    <w:rsid w:val="00D22BA2"/>
    <w:rsid w:val="00D2339C"/>
    <w:rsid w:val="00D23920"/>
    <w:rsid w:val="00D23D7F"/>
    <w:rsid w:val="00D250DC"/>
    <w:rsid w:val="00D25E2C"/>
    <w:rsid w:val="00D3030A"/>
    <w:rsid w:val="00D320B0"/>
    <w:rsid w:val="00D3301D"/>
    <w:rsid w:val="00D33515"/>
    <w:rsid w:val="00D34FF8"/>
    <w:rsid w:val="00D35108"/>
    <w:rsid w:val="00D3596B"/>
    <w:rsid w:val="00D408E7"/>
    <w:rsid w:val="00D40D8B"/>
    <w:rsid w:val="00D411E9"/>
    <w:rsid w:val="00D41739"/>
    <w:rsid w:val="00D41FFD"/>
    <w:rsid w:val="00D4341B"/>
    <w:rsid w:val="00D445B8"/>
    <w:rsid w:val="00D446AB"/>
    <w:rsid w:val="00D46BEA"/>
    <w:rsid w:val="00D5237A"/>
    <w:rsid w:val="00D52D30"/>
    <w:rsid w:val="00D55784"/>
    <w:rsid w:val="00D56963"/>
    <w:rsid w:val="00D56ADB"/>
    <w:rsid w:val="00D574C6"/>
    <w:rsid w:val="00D57FF0"/>
    <w:rsid w:val="00D60A70"/>
    <w:rsid w:val="00D60C80"/>
    <w:rsid w:val="00D61E1B"/>
    <w:rsid w:val="00D6259C"/>
    <w:rsid w:val="00D642E5"/>
    <w:rsid w:val="00D647E4"/>
    <w:rsid w:val="00D65E23"/>
    <w:rsid w:val="00D66F24"/>
    <w:rsid w:val="00D6797D"/>
    <w:rsid w:val="00D70D04"/>
    <w:rsid w:val="00D716B4"/>
    <w:rsid w:val="00D7279E"/>
    <w:rsid w:val="00D727F7"/>
    <w:rsid w:val="00D72843"/>
    <w:rsid w:val="00D7293C"/>
    <w:rsid w:val="00D75B8D"/>
    <w:rsid w:val="00D75CAE"/>
    <w:rsid w:val="00D76A81"/>
    <w:rsid w:val="00D80DC7"/>
    <w:rsid w:val="00D8111F"/>
    <w:rsid w:val="00D8240F"/>
    <w:rsid w:val="00D82FC1"/>
    <w:rsid w:val="00D8447D"/>
    <w:rsid w:val="00D85FC6"/>
    <w:rsid w:val="00D87E4D"/>
    <w:rsid w:val="00D93B30"/>
    <w:rsid w:val="00D940A6"/>
    <w:rsid w:val="00D94706"/>
    <w:rsid w:val="00D955E8"/>
    <w:rsid w:val="00D95A6D"/>
    <w:rsid w:val="00D967BE"/>
    <w:rsid w:val="00DA2496"/>
    <w:rsid w:val="00DA31DE"/>
    <w:rsid w:val="00DA4DC8"/>
    <w:rsid w:val="00DA7042"/>
    <w:rsid w:val="00DA7F7E"/>
    <w:rsid w:val="00DB16A4"/>
    <w:rsid w:val="00DB3FD1"/>
    <w:rsid w:val="00DB5B73"/>
    <w:rsid w:val="00DB5D38"/>
    <w:rsid w:val="00DB63A9"/>
    <w:rsid w:val="00DC0DD9"/>
    <w:rsid w:val="00DC1520"/>
    <w:rsid w:val="00DC1FAA"/>
    <w:rsid w:val="00DC2049"/>
    <w:rsid w:val="00DD1CBC"/>
    <w:rsid w:val="00DD2842"/>
    <w:rsid w:val="00DD3F6E"/>
    <w:rsid w:val="00DD4090"/>
    <w:rsid w:val="00DD6BA5"/>
    <w:rsid w:val="00DD773C"/>
    <w:rsid w:val="00DE00FA"/>
    <w:rsid w:val="00DE1D50"/>
    <w:rsid w:val="00DE2890"/>
    <w:rsid w:val="00DE473C"/>
    <w:rsid w:val="00DE5FFD"/>
    <w:rsid w:val="00DE6E18"/>
    <w:rsid w:val="00DE7946"/>
    <w:rsid w:val="00DF03AA"/>
    <w:rsid w:val="00DF06A4"/>
    <w:rsid w:val="00DF2082"/>
    <w:rsid w:val="00DF2AAE"/>
    <w:rsid w:val="00DF2C08"/>
    <w:rsid w:val="00DF42E6"/>
    <w:rsid w:val="00E00225"/>
    <w:rsid w:val="00E01A27"/>
    <w:rsid w:val="00E05BC2"/>
    <w:rsid w:val="00E100E3"/>
    <w:rsid w:val="00E108F3"/>
    <w:rsid w:val="00E113CE"/>
    <w:rsid w:val="00E11621"/>
    <w:rsid w:val="00E1225F"/>
    <w:rsid w:val="00E12743"/>
    <w:rsid w:val="00E12BDA"/>
    <w:rsid w:val="00E137FD"/>
    <w:rsid w:val="00E14023"/>
    <w:rsid w:val="00E141AE"/>
    <w:rsid w:val="00E14893"/>
    <w:rsid w:val="00E164AB"/>
    <w:rsid w:val="00E17A23"/>
    <w:rsid w:val="00E21448"/>
    <w:rsid w:val="00E2593E"/>
    <w:rsid w:val="00E25A7D"/>
    <w:rsid w:val="00E26377"/>
    <w:rsid w:val="00E27C38"/>
    <w:rsid w:val="00E27E25"/>
    <w:rsid w:val="00E30DC2"/>
    <w:rsid w:val="00E3275B"/>
    <w:rsid w:val="00E32DD0"/>
    <w:rsid w:val="00E355DC"/>
    <w:rsid w:val="00E3634E"/>
    <w:rsid w:val="00E36D5C"/>
    <w:rsid w:val="00E36FA0"/>
    <w:rsid w:val="00E37B5C"/>
    <w:rsid w:val="00E419F3"/>
    <w:rsid w:val="00E4344E"/>
    <w:rsid w:val="00E44F16"/>
    <w:rsid w:val="00E47031"/>
    <w:rsid w:val="00E5161F"/>
    <w:rsid w:val="00E521AA"/>
    <w:rsid w:val="00E52EAC"/>
    <w:rsid w:val="00E554F7"/>
    <w:rsid w:val="00E57522"/>
    <w:rsid w:val="00E61366"/>
    <w:rsid w:val="00E6152B"/>
    <w:rsid w:val="00E618BF"/>
    <w:rsid w:val="00E64F9E"/>
    <w:rsid w:val="00E65AA8"/>
    <w:rsid w:val="00E66AC9"/>
    <w:rsid w:val="00E66D6B"/>
    <w:rsid w:val="00E73038"/>
    <w:rsid w:val="00E74558"/>
    <w:rsid w:val="00E74998"/>
    <w:rsid w:val="00E7685A"/>
    <w:rsid w:val="00E81BD8"/>
    <w:rsid w:val="00E82B9B"/>
    <w:rsid w:val="00E84BD4"/>
    <w:rsid w:val="00E85EB4"/>
    <w:rsid w:val="00E86F7D"/>
    <w:rsid w:val="00E87C96"/>
    <w:rsid w:val="00E90A67"/>
    <w:rsid w:val="00E91AFF"/>
    <w:rsid w:val="00E92265"/>
    <w:rsid w:val="00E93D48"/>
    <w:rsid w:val="00E965F1"/>
    <w:rsid w:val="00E972B6"/>
    <w:rsid w:val="00E97CE5"/>
    <w:rsid w:val="00EA1C3B"/>
    <w:rsid w:val="00EA2605"/>
    <w:rsid w:val="00EA42FE"/>
    <w:rsid w:val="00EA4B6B"/>
    <w:rsid w:val="00EA4C3C"/>
    <w:rsid w:val="00EA4F83"/>
    <w:rsid w:val="00EA53A2"/>
    <w:rsid w:val="00EA5549"/>
    <w:rsid w:val="00EB323F"/>
    <w:rsid w:val="00EB38FC"/>
    <w:rsid w:val="00EB3D93"/>
    <w:rsid w:val="00EB471F"/>
    <w:rsid w:val="00EB7420"/>
    <w:rsid w:val="00EC004A"/>
    <w:rsid w:val="00EC0D1E"/>
    <w:rsid w:val="00EC1157"/>
    <w:rsid w:val="00EC1E8D"/>
    <w:rsid w:val="00EC22B9"/>
    <w:rsid w:val="00EC2F6F"/>
    <w:rsid w:val="00EC3439"/>
    <w:rsid w:val="00EC388C"/>
    <w:rsid w:val="00ED1D78"/>
    <w:rsid w:val="00ED231B"/>
    <w:rsid w:val="00ED3C7D"/>
    <w:rsid w:val="00ED521E"/>
    <w:rsid w:val="00ED5374"/>
    <w:rsid w:val="00ED64FD"/>
    <w:rsid w:val="00ED6B47"/>
    <w:rsid w:val="00ED7135"/>
    <w:rsid w:val="00ED715D"/>
    <w:rsid w:val="00ED77D3"/>
    <w:rsid w:val="00EE1E73"/>
    <w:rsid w:val="00EE3F19"/>
    <w:rsid w:val="00EE652A"/>
    <w:rsid w:val="00EE7B18"/>
    <w:rsid w:val="00EE7B1A"/>
    <w:rsid w:val="00EE7E0F"/>
    <w:rsid w:val="00EF4404"/>
    <w:rsid w:val="00EF47A9"/>
    <w:rsid w:val="00EF7489"/>
    <w:rsid w:val="00EF797A"/>
    <w:rsid w:val="00EF7D83"/>
    <w:rsid w:val="00EF7E1D"/>
    <w:rsid w:val="00F00F4C"/>
    <w:rsid w:val="00F01A1C"/>
    <w:rsid w:val="00F025F4"/>
    <w:rsid w:val="00F04CE7"/>
    <w:rsid w:val="00F07393"/>
    <w:rsid w:val="00F1029A"/>
    <w:rsid w:val="00F13EDA"/>
    <w:rsid w:val="00F14726"/>
    <w:rsid w:val="00F15332"/>
    <w:rsid w:val="00F15E95"/>
    <w:rsid w:val="00F16047"/>
    <w:rsid w:val="00F1611A"/>
    <w:rsid w:val="00F167AE"/>
    <w:rsid w:val="00F22E90"/>
    <w:rsid w:val="00F24F29"/>
    <w:rsid w:val="00F261D6"/>
    <w:rsid w:val="00F3005A"/>
    <w:rsid w:val="00F3014B"/>
    <w:rsid w:val="00F312C4"/>
    <w:rsid w:val="00F32C49"/>
    <w:rsid w:val="00F35412"/>
    <w:rsid w:val="00F35CC5"/>
    <w:rsid w:val="00F40C91"/>
    <w:rsid w:val="00F41E46"/>
    <w:rsid w:val="00F42849"/>
    <w:rsid w:val="00F42C0F"/>
    <w:rsid w:val="00F43A90"/>
    <w:rsid w:val="00F46D81"/>
    <w:rsid w:val="00F471F5"/>
    <w:rsid w:val="00F51323"/>
    <w:rsid w:val="00F54417"/>
    <w:rsid w:val="00F608A3"/>
    <w:rsid w:val="00F60EE4"/>
    <w:rsid w:val="00F6162E"/>
    <w:rsid w:val="00F6550C"/>
    <w:rsid w:val="00F67A9B"/>
    <w:rsid w:val="00F70D9A"/>
    <w:rsid w:val="00F70E07"/>
    <w:rsid w:val="00F7322A"/>
    <w:rsid w:val="00F73512"/>
    <w:rsid w:val="00F7376A"/>
    <w:rsid w:val="00F73B0C"/>
    <w:rsid w:val="00F75821"/>
    <w:rsid w:val="00F77D60"/>
    <w:rsid w:val="00F81D87"/>
    <w:rsid w:val="00F82AE5"/>
    <w:rsid w:val="00F83B93"/>
    <w:rsid w:val="00F84256"/>
    <w:rsid w:val="00F84936"/>
    <w:rsid w:val="00F84F7C"/>
    <w:rsid w:val="00F91F7A"/>
    <w:rsid w:val="00F92BFC"/>
    <w:rsid w:val="00F9425F"/>
    <w:rsid w:val="00F94D55"/>
    <w:rsid w:val="00F96410"/>
    <w:rsid w:val="00F9721B"/>
    <w:rsid w:val="00FA1322"/>
    <w:rsid w:val="00FA1A4F"/>
    <w:rsid w:val="00FA642D"/>
    <w:rsid w:val="00FA6830"/>
    <w:rsid w:val="00FA7670"/>
    <w:rsid w:val="00FA7E08"/>
    <w:rsid w:val="00FB007B"/>
    <w:rsid w:val="00FB0931"/>
    <w:rsid w:val="00FB22A3"/>
    <w:rsid w:val="00FB49DB"/>
    <w:rsid w:val="00FB4A44"/>
    <w:rsid w:val="00FB54C2"/>
    <w:rsid w:val="00FB69BB"/>
    <w:rsid w:val="00FC091D"/>
    <w:rsid w:val="00FC258A"/>
    <w:rsid w:val="00FC285A"/>
    <w:rsid w:val="00FC3914"/>
    <w:rsid w:val="00FC3D0A"/>
    <w:rsid w:val="00FC45AA"/>
    <w:rsid w:val="00FC4651"/>
    <w:rsid w:val="00FC4A3F"/>
    <w:rsid w:val="00FC6851"/>
    <w:rsid w:val="00FC7A0E"/>
    <w:rsid w:val="00FC7EE1"/>
    <w:rsid w:val="00FD0E7F"/>
    <w:rsid w:val="00FD1E76"/>
    <w:rsid w:val="00FD2E69"/>
    <w:rsid w:val="00FD3A16"/>
    <w:rsid w:val="00FD3DA4"/>
    <w:rsid w:val="00FD41FE"/>
    <w:rsid w:val="00FD43C4"/>
    <w:rsid w:val="00FD55C4"/>
    <w:rsid w:val="00FD7BD6"/>
    <w:rsid w:val="00FE16B7"/>
    <w:rsid w:val="00FE210B"/>
    <w:rsid w:val="00FE2E64"/>
    <w:rsid w:val="00FE438D"/>
    <w:rsid w:val="00FE56D5"/>
    <w:rsid w:val="00FF44A2"/>
    <w:rsid w:val="00FF4B0B"/>
    <w:rsid w:val="00FF76B3"/>
    <w:rsid w:val="014A5FF8"/>
    <w:rsid w:val="042215BD"/>
    <w:rsid w:val="05192D87"/>
    <w:rsid w:val="059675F3"/>
    <w:rsid w:val="06066129"/>
    <w:rsid w:val="093563E2"/>
    <w:rsid w:val="0936345E"/>
    <w:rsid w:val="0A062D2A"/>
    <w:rsid w:val="0B644223"/>
    <w:rsid w:val="0E364A89"/>
    <w:rsid w:val="0E914FA1"/>
    <w:rsid w:val="0F17217D"/>
    <w:rsid w:val="0F2A529E"/>
    <w:rsid w:val="10C60F39"/>
    <w:rsid w:val="11EF576C"/>
    <w:rsid w:val="13784EB3"/>
    <w:rsid w:val="13E34D4F"/>
    <w:rsid w:val="162E3960"/>
    <w:rsid w:val="163514F4"/>
    <w:rsid w:val="166C64D3"/>
    <w:rsid w:val="16B40C29"/>
    <w:rsid w:val="170939E7"/>
    <w:rsid w:val="17AD19E0"/>
    <w:rsid w:val="182940B2"/>
    <w:rsid w:val="1990490E"/>
    <w:rsid w:val="1A83322F"/>
    <w:rsid w:val="1DE14652"/>
    <w:rsid w:val="1E62490E"/>
    <w:rsid w:val="1ECB5ECB"/>
    <w:rsid w:val="1ECE54AF"/>
    <w:rsid w:val="1F7F019F"/>
    <w:rsid w:val="1FF64091"/>
    <w:rsid w:val="20D972CD"/>
    <w:rsid w:val="20E675D9"/>
    <w:rsid w:val="215F643A"/>
    <w:rsid w:val="245D281A"/>
    <w:rsid w:val="25011461"/>
    <w:rsid w:val="25CA6126"/>
    <w:rsid w:val="26B52C84"/>
    <w:rsid w:val="27AB12BD"/>
    <w:rsid w:val="285C3AA0"/>
    <w:rsid w:val="292917A2"/>
    <w:rsid w:val="2A1665ED"/>
    <w:rsid w:val="2B125A34"/>
    <w:rsid w:val="2D6A0AB7"/>
    <w:rsid w:val="2E90719E"/>
    <w:rsid w:val="2FEB52BF"/>
    <w:rsid w:val="30D36C21"/>
    <w:rsid w:val="30FB4F33"/>
    <w:rsid w:val="31774259"/>
    <w:rsid w:val="321B3739"/>
    <w:rsid w:val="321E1594"/>
    <w:rsid w:val="3272149E"/>
    <w:rsid w:val="334C6BF4"/>
    <w:rsid w:val="33757BDA"/>
    <w:rsid w:val="353C51E5"/>
    <w:rsid w:val="3649736E"/>
    <w:rsid w:val="36615C95"/>
    <w:rsid w:val="38972D66"/>
    <w:rsid w:val="39DC4E32"/>
    <w:rsid w:val="3B522DB8"/>
    <w:rsid w:val="3B6459AA"/>
    <w:rsid w:val="3C532445"/>
    <w:rsid w:val="3C6E04D6"/>
    <w:rsid w:val="3D22067F"/>
    <w:rsid w:val="3D5310E7"/>
    <w:rsid w:val="3E233661"/>
    <w:rsid w:val="3F9263FF"/>
    <w:rsid w:val="40427BFA"/>
    <w:rsid w:val="415C1229"/>
    <w:rsid w:val="41885465"/>
    <w:rsid w:val="42CA1206"/>
    <w:rsid w:val="42F0156D"/>
    <w:rsid w:val="43EB5413"/>
    <w:rsid w:val="46D2159A"/>
    <w:rsid w:val="46EE0DF6"/>
    <w:rsid w:val="48685331"/>
    <w:rsid w:val="48A23D68"/>
    <w:rsid w:val="49063AEE"/>
    <w:rsid w:val="4A7C1382"/>
    <w:rsid w:val="4AF17ACA"/>
    <w:rsid w:val="4B3B55D5"/>
    <w:rsid w:val="4CD51A03"/>
    <w:rsid w:val="4D1343A9"/>
    <w:rsid w:val="4D827E67"/>
    <w:rsid w:val="4E675A27"/>
    <w:rsid w:val="4FFE1997"/>
    <w:rsid w:val="53273232"/>
    <w:rsid w:val="532E1F3D"/>
    <w:rsid w:val="53DF55EB"/>
    <w:rsid w:val="53E0427B"/>
    <w:rsid w:val="548373BD"/>
    <w:rsid w:val="55337E5A"/>
    <w:rsid w:val="55D17E94"/>
    <w:rsid w:val="583D1261"/>
    <w:rsid w:val="58560F19"/>
    <w:rsid w:val="5A4231AF"/>
    <w:rsid w:val="5B82150E"/>
    <w:rsid w:val="5B8C6F56"/>
    <w:rsid w:val="5BB26210"/>
    <w:rsid w:val="5CA43919"/>
    <w:rsid w:val="5CC025F9"/>
    <w:rsid w:val="5CF45900"/>
    <w:rsid w:val="5D5D69CA"/>
    <w:rsid w:val="5FDC5935"/>
    <w:rsid w:val="5FFF2C7C"/>
    <w:rsid w:val="619A7175"/>
    <w:rsid w:val="62806E1B"/>
    <w:rsid w:val="64B10090"/>
    <w:rsid w:val="64C93BBC"/>
    <w:rsid w:val="66B74185"/>
    <w:rsid w:val="67122EF0"/>
    <w:rsid w:val="674F67F5"/>
    <w:rsid w:val="684F2A91"/>
    <w:rsid w:val="69471E46"/>
    <w:rsid w:val="6B5F4D5A"/>
    <w:rsid w:val="6BC21CC9"/>
    <w:rsid w:val="6D3C1165"/>
    <w:rsid w:val="6DC4535B"/>
    <w:rsid w:val="6DFE70FB"/>
    <w:rsid w:val="70974707"/>
    <w:rsid w:val="714B746B"/>
    <w:rsid w:val="71D3734F"/>
    <w:rsid w:val="72375B57"/>
    <w:rsid w:val="723B7024"/>
    <w:rsid w:val="729216DC"/>
    <w:rsid w:val="731742B0"/>
    <w:rsid w:val="76B27B18"/>
    <w:rsid w:val="7821340B"/>
    <w:rsid w:val="78AF59B2"/>
    <w:rsid w:val="7C803C72"/>
    <w:rsid w:val="7DEF60CF"/>
    <w:rsid w:val="7F212DD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name="FollowedHyperlink" w:locked="1"/>
    <w:lsdException w:qFormat="1" w:unhideWhenUsed="0" w:uiPriority="22"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name="HTML Cite" w:locked="1"/>
    <w:lsdException w:qFormat="1" w:unhideWhenUsed="0" w:uiPriority="99" w:name="HTML Code" w:locked="1"/>
    <w:lsdException w:qFormat="1" w:unhideWhenUsed="0" w:uiPriority="99" w:name="HTML Definition" w:locked="1"/>
    <w:lsdException w:qFormat="1" w:unhideWhenUsed="0" w:uiPriority="99" w:name="HTML Keyboard" w:locked="1"/>
    <w:lsdException w:uiPriority="99" w:name="HTML Preformatted"/>
    <w:lsdException w:qFormat="1" w:unhideWhenUsed="0" w:uiPriority="99" w:name="HTML Sample" w:locked="1"/>
    <w:lsdException w:uiPriority="99" w:name="HTML Typewriter"/>
    <w:lsdException w:qFormat="1" w:unhideWhenUsed="0" w:uiPriority="99" w:name="HTML Variable" w:locked="1"/>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5"/>
    <w:qFormat/>
    <w:uiPriority w:val="99"/>
    <w:pPr>
      <w:keepNext/>
      <w:widowControl/>
      <w:tabs>
        <w:tab w:val="left" w:pos="432"/>
      </w:tabs>
      <w:ind w:left="432" w:hanging="432"/>
      <w:jc w:val="center"/>
      <w:outlineLvl w:val="0"/>
    </w:pPr>
    <w:rPr>
      <w:b/>
      <w:bCs/>
      <w:kern w:val="44"/>
      <w:sz w:val="44"/>
      <w:szCs w:val="44"/>
    </w:rPr>
  </w:style>
  <w:style w:type="paragraph" w:styleId="3">
    <w:name w:val="heading 2"/>
    <w:basedOn w:val="1"/>
    <w:next w:val="1"/>
    <w:link w:val="46"/>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5"/>
    <w:link w:val="47"/>
    <w:qFormat/>
    <w:uiPriority w:val="99"/>
    <w:pPr>
      <w:keepNext/>
      <w:keepLines/>
      <w:widowControl/>
      <w:tabs>
        <w:tab w:val="left" w:pos="720"/>
      </w:tabs>
      <w:spacing w:before="120" w:after="120" w:line="360" w:lineRule="auto"/>
      <w:ind w:left="720" w:hanging="720"/>
      <w:jc w:val="center"/>
      <w:outlineLvl w:val="2"/>
    </w:pPr>
    <w:rPr>
      <w:b/>
      <w:bCs/>
      <w:kern w:val="0"/>
      <w:sz w:val="32"/>
      <w:szCs w:val="32"/>
    </w:rPr>
  </w:style>
  <w:style w:type="paragraph" w:styleId="6">
    <w:name w:val="heading 4"/>
    <w:basedOn w:val="1"/>
    <w:next w:val="1"/>
    <w:link w:val="48"/>
    <w:qFormat/>
    <w:uiPriority w:val="99"/>
    <w:pPr>
      <w:keepNext/>
      <w:keepLines/>
      <w:widowControl/>
      <w:spacing w:before="120" w:after="120" w:line="360" w:lineRule="auto"/>
      <w:jc w:val="center"/>
      <w:outlineLvl w:val="3"/>
    </w:pPr>
    <w:rPr>
      <w:rFonts w:ascii="Cambria" w:hAnsi="Cambria"/>
      <w:b/>
      <w:bCs/>
      <w:kern w:val="0"/>
      <w:sz w:val="28"/>
      <w:szCs w:val="28"/>
    </w:rPr>
  </w:style>
  <w:style w:type="paragraph" w:styleId="7">
    <w:name w:val="heading 5"/>
    <w:basedOn w:val="1"/>
    <w:next w:val="1"/>
    <w:link w:val="49"/>
    <w:qFormat/>
    <w:uiPriority w:val="99"/>
    <w:pPr>
      <w:keepNext/>
      <w:keepLines/>
      <w:widowControl/>
      <w:spacing w:before="120" w:after="120" w:line="360" w:lineRule="auto"/>
      <w:ind w:firstLine="499"/>
      <w:jc w:val="left"/>
      <w:outlineLvl w:val="4"/>
    </w:pPr>
    <w:rPr>
      <w:b/>
      <w:bCs/>
      <w:kern w:val="0"/>
      <w:sz w:val="28"/>
      <w:szCs w:val="28"/>
    </w:rPr>
  </w:style>
  <w:style w:type="paragraph" w:styleId="8">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Cambria" w:hAnsi="Cambria"/>
      <w:b/>
      <w:bCs/>
      <w:kern w:val="0"/>
      <w:sz w:val="24"/>
      <w:szCs w:val="24"/>
    </w:rPr>
  </w:style>
  <w:style w:type="paragraph" w:styleId="9">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kern w:val="0"/>
      <w:sz w:val="24"/>
      <w:szCs w:val="24"/>
    </w:rPr>
  </w:style>
  <w:style w:type="paragraph" w:styleId="10">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Cambria" w:hAnsi="Cambria"/>
      <w:kern w:val="0"/>
      <w:sz w:val="24"/>
      <w:szCs w:val="24"/>
    </w:rPr>
  </w:style>
  <w:style w:type="paragraph" w:styleId="11">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Cambria" w:hAnsi="Cambria"/>
      <w:kern w:val="0"/>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5"/>
    <w:qFormat/>
    <w:uiPriority w:val="0"/>
    <w:pPr>
      <w:ind w:firstLine="420"/>
    </w:pPr>
  </w:style>
  <w:style w:type="paragraph" w:styleId="12">
    <w:name w:val="toa heading"/>
    <w:basedOn w:val="1"/>
    <w:next w:val="1"/>
    <w:qFormat/>
    <w:uiPriority w:val="99"/>
    <w:pPr>
      <w:adjustRightInd w:val="0"/>
      <w:spacing w:line="360" w:lineRule="atLeast"/>
      <w:jc w:val="center"/>
      <w:textAlignment w:val="baseline"/>
    </w:pPr>
    <w:rPr>
      <w:rFonts w:ascii="Arial" w:hAnsi="Arial" w:eastAsia="黑体"/>
      <w:kern w:val="0"/>
      <w:sz w:val="36"/>
    </w:rPr>
  </w:style>
  <w:style w:type="paragraph" w:styleId="13">
    <w:name w:val="annotation text"/>
    <w:basedOn w:val="1"/>
    <w:link w:val="54"/>
    <w:qFormat/>
    <w:uiPriority w:val="99"/>
    <w:pPr>
      <w:adjustRightInd w:val="0"/>
      <w:spacing w:line="360" w:lineRule="atLeast"/>
      <w:jc w:val="left"/>
      <w:textAlignment w:val="baseline"/>
    </w:pPr>
    <w:rPr>
      <w:kern w:val="0"/>
      <w:sz w:val="20"/>
    </w:rPr>
  </w:style>
  <w:style w:type="paragraph" w:styleId="14">
    <w:name w:val="Body Text"/>
    <w:basedOn w:val="1"/>
    <w:link w:val="55"/>
    <w:qFormat/>
    <w:uiPriority w:val="99"/>
    <w:rPr>
      <w:kern w:val="0"/>
      <w:sz w:val="20"/>
    </w:rPr>
  </w:style>
  <w:style w:type="paragraph" w:styleId="15">
    <w:name w:val="Body Text Indent"/>
    <w:basedOn w:val="1"/>
    <w:next w:val="16"/>
    <w:link w:val="56"/>
    <w:qFormat/>
    <w:uiPriority w:val="99"/>
    <w:pPr>
      <w:spacing w:line="360" w:lineRule="auto"/>
      <w:ind w:firstLine="425"/>
    </w:pPr>
    <w:rPr>
      <w:kern w:val="0"/>
      <w:sz w:val="20"/>
    </w:rPr>
  </w:style>
  <w:style w:type="paragraph" w:styleId="16">
    <w:name w:val="envelope return"/>
    <w:basedOn w:val="1"/>
    <w:qFormat/>
    <w:uiPriority w:val="0"/>
    <w:pPr>
      <w:snapToGrid w:val="0"/>
    </w:pPr>
    <w:rPr>
      <w:rFonts w:ascii="Arial" w:hAnsi="Arial"/>
    </w:rPr>
  </w:style>
  <w:style w:type="paragraph" w:styleId="17">
    <w:name w:val="Block Text"/>
    <w:basedOn w:val="1"/>
    <w:next w:val="1"/>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8">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9">
    <w:name w:val="Plain Text"/>
    <w:basedOn w:val="1"/>
    <w:link w:val="57"/>
    <w:qFormat/>
    <w:uiPriority w:val="99"/>
    <w:rPr>
      <w:rFonts w:ascii="宋体" w:hAnsi="Courier New"/>
      <w:sz w:val="24"/>
      <w:szCs w:val="24"/>
    </w:rPr>
  </w:style>
  <w:style w:type="paragraph" w:styleId="20">
    <w:name w:val="Date"/>
    <w:basedOn w:val="1"/>
    <w:next w:val="1"/>
    <w:link w:val="58"/>
    <w:qFormat/>
    <w:uiPriority w:val="99"/>
    <w:rPr>
      <w:kern w:val="0"/>
      <w:sz w:val="20"/>
    </w:rPr>
  </w:style>
  <w:style w:type="paragraph" w:styleId="21">
    <w:name w:val="Body Text Indent 2"/>
    <w:basedOn w:val="1"/>
    <w:link w:val="59"/>
    <w:qFormat/>
    <w:uiPriority w:val="99"/>
    <w:pPr>
      <w:spacing w:line="420" w:lineRule="exact"/>
      <w:ind w:firstLine="525"/>
    </w:pPr>
    <w:rPr>
      <w:kern w:val="0"/>
      <w:sz w:val="20"/>
    </w:rPr>
  </w:style>
  <w:style w:type="paragraph" w:styleId="22">
    <w:name w:val="Balloon Text"/>
    <w:basedOn w:val="1"/>
    <w:link w:val="60"/>
    <w:qFormat/>
    <w:uiPriority w:val="99"/>
    <w:rPr>
      <w:kern w:val="0"/>
      <w:sz w:val="2"/>
    </w:rPr>
  </w:style>
  <w:style w:type="paragraph" w:styleId="23">
    <w:name w:val="footer"/>
    <w:basedOn w:val="1"/>
    <w:link w:val="61"/>
    <w:qFormat/>
    <w:uiPriority w:val="99"/>
    <w:pPr>
      <w:tabs>
        <w:tab w:val="center" w:pos="4153"/>
        <w:tab w:val="right" w:pos="8306"/>
      </w:tabs>
      <w:snapToGrid w:val="0"/>
      <w:jc w:val="left"/>
    </w:pPr>
    <w:rPr>
      <w:sz w:val="18"/>
    </w:rPr>
  </w:style>
  <w:style w:type="paragraph" w:styleId="24">
    <w:name w:val="header"/>
    <w:basedOn w:val="1"/>
    <w:link w:val="62"/>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qFormat/>
    <w:uiPriority w:val="39"/>
    <w:pPr>
      <w:tabs>
        <w:tab w:val="right" w:leader="dot" w:pos="8296"/>
      </w:tabs>
    </w:pPr>
    <w:rPr>
      <w:rFonts w:ascii="宋体" w:eastAsia="楷体_GB2312" w:cs="TimesNewRomanPSMT"/>
      <w:b/>
      <w:kern w:val="0"/>
      <w:sz w:val="28"/>
    </w:rPr>
  </w:style>
  <w:style w:type="paragraph" w:styleId="26">
    <w:name w:val="Body Text Indent 3"/>
    <w:basedOn w:val="1"/>
    <w:link w:val="63"/>
    <w:qFormat/>
    <w:uiPriority w:val="99"/>
    <w:pPr>
      <w:widowControl/>
      <w:overflowPunct w:val="0"/>
      <w:autoSpaceDE w:val="0"/>
      <w:autoSpaceDN w:val="0"/>
      <w:adjustRightInd w:val="0"/>
      <w:spacing w:line="360" w:lineRule="auto"/>
      <w:ind w:firstLine="540"/>
      <w:textAlignment w:val="baseline"/>
    </w:pPr>
    <w:rPr>
      <w:kern w:val="0"/>
      <w:sz w:val="16"/>
      <w:szCs w:val="16"/>
    </w:rPr>
  </w:style>
  <w:style w:type="paragraph" w:styleId="27">
    <w:name w:val="toc 2"/>
    <w:basedOn w:val="1"/>
    <w:next w:val="1"/>
    <w:semiHidden/>
    <w:unhideWhenUsed/>
    <w:qFormat/>
    <w:uiPriority w:val="39"/>
    <w:pPr>
      <w:widowControl/>
      <w:spacing w:after="100" w:line="276" w:lineRule="auto"/>
      <w:ind w:left="220"/>
      <w:jc w:val="left"/>
    </w:pPr>
    <w:rPr>
      <w:rFonts w:ascii="Calibri" w:hAnsi="Calibri"/>
      <w:kern w:val="0"/>
      <w:sz w:val="22"/>
      <w:szCs w:val="22"/>
    </w:rPr>
  </w:style>
  <w:style w:type="paragraph" w:styleId="28">
    <w:name w:val="Body Text 2"/>
    <w:basedOn w:val="1"/>
    <w:link w:val="64"/>
    <w:qFormat/>
    <w:uiPriority w:val="99"/>
    <w:pPr>
      <w:spacing w:after="120" w:line="480" w:lineRule="auto"/>
    </w:p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0">
    <w:name w:val="Title"/>
    <w:basedOn w:val="1"/>
    <w:next w:val="1"/>
    <w:qFormat/>
    <w:uiPriority w:val="0"/>
    <w:pPr>
      <w:spacing w:before="240" w:after="60"/>
      <w:jc w:val="center"/>
      <w:outlineLvl w:val="0"/>
    </w:pPr>
    <w:rPr>
      <w:rFonts w:ascii="Cambria" w:hAnsi="Cambria"/>
      <w:b/>
      <w:bCs/>
      <w:sz w:val="32"/>
      <w:szCs w:val="32"/>
    </w:rPr>
  </w:style>
  <w:style w:type="paragraph" w:styleId="31">
    <w:name w:val="Body Text First Indent 2"/>
    <w:basedOn w:val="15"/>
    <w:qFormat/>
    <w:uiPriority w:val="0"/>
    <w:pPr>
      <w:ind w:firstLine="200"/>
    </w:pPr>
  </w:style>
  <w:style w:type="character" w:styleId="34">
    <w:name w:val="page number"/>
    <w:qFormat/>
    <w:uiPriority w:val="99"/>
    <w:rPr>
      <w:rFonts w:cs="Times New Roman"/>
    </w:rPr>
  </w:style>
  <w:style w:type="character" w:styleId="35">
    <w:name w:val="FollowedHyperlink"/>
    <w:semiHidden/>
    <w:qFormat/>
    <w:locked/>
    <w:uiPriority w:val="99"/>
    <w:rPr>
      <w:rFonts w:cs="Times New Roman"/>
      <w:color w:val="000000"/>
      <w:u w:val="none"/>
    </w:rPr>
  </w:style>
  <w:style w:type="character" w:styleId="36">
    <w:name w:val="Emphasis"/>
    <w:qFormat/>
    <w:uiPriority w:val="99"/>
    <w:rPr>
      <w:rFonts w:cs="Times New Roman"/>
    </w:rPr>
  </w:style>
  <w:style w:type="character" w:styleId="37">
    <w:name w:val="HTML Definition"/>
    <w:semiHidden/>
    <w:qFormat/>
    <w:locked/>
    <w:uiPriority w:val="99"/>
    <w:rPr>
      <w:rFonts w:cs="Times New Roman"/>
    </w:rPr>
  </w:style>
  <w:style w:type="character" w:styleId="38">
    <w:name w:val="HTML Variable"/>
    <w:semiHidden/>
    <w:qFormat/>
    <w:locked/>
    <w:uiPriority w:val="99"/>
    <w:rPr>
      <w:rFonts w:cs="Times New Roman"/>
    </w:rPr>
  </w:style>
  <w:style w:type="character" w:styleId="39">
    <w:name w:val="Hyperlink"/>
    <w:qFormat/>
    <w:uiPriority w:val="99"/>
    <w:rPr>
      <w:rFonts w:cs="Times New Roman"/>
      <w:color w:val="0000FF"/>
      <w:u w:val="single"/>
    </w:rPr>
  </w:style>
  <w:style w:type="character" w:styleId="40">
    <w:name w:val="HTML Code"/>
    <w:semiHidden/>
    <w:qFormat/>
    <w:locked/>
    <w:uiPriority w:val="99"/>
    <w:rPr>
      <w:rFonts w:ascii="Courier New" w:hAnsi="Courier New" w:cs="Courier New"/>
      <w:sz w:val="20"/>
    </w:rPr>
  </w:style>
  <w:style w:type="character" w:styleId="41">
    <w:name w:val="annotation reference"/>
    <w:basedOn w:val="33"/>
    <w:semiHidden/>
    <w:unhideWhenUsed/>
    <w:qFormat/>
    <w:uiPriority w:val="99"/>
    <w:rPr>
      <w:sz w:val="21"/>
      <w:szCs w:val="21"/>
    </w:rPr>
  </w:style>
  <w:style w:type="character" w:styleId="42">
    <w:name w:val="HTML Cite"/>
    <w:semiHidden/>
    <w:qFormat/>
    <w:locked/>
    <w:uiPriority w:val="99"/>
    <w:rPr>
      <w:rFonts w:cs="Times New Roman"/>
    </w:rPr>
  </w:style>
  <w:style w:type="character" w:styleId="43">
    <w:name w:val="HTML Keyboard"/>
    <w:semiHidden/>
    <w:qFormat/>
    <w:locked/>
    <w:uiPriority w:val="99"/>
    <w:rPr>
      <w:rFonts w:ascii="Courier New" w:hAnsi="Courier New" w:cs="Courier New"/>
      <w:sz w:val="20"/>
    </w:rPr>
  </w:style>
  <w:style w:type="character" w:styleId="44">
    <w:name w:val="HTML Sample"/>
    <w:semiHidden/>
    <w:qFormat/>
    <w:locked/>
    <w:uiPriority w:val="99"/>
    <w:rPr>
      <w:rFonts w:ascii="Courier New" w:hAnsi="Courier New" w:cs="Courier New"/>
    </w:rPr>
  </w:style>
  <w:style w:type="character" w:customStyle="1" w:styleId="45">
    <w:name w:val="标题 1 Char"/>
    <w:link w:val="2"/>
    <w:qFormat/>
    <w:locked/>
    <w:uiPriority w:val="99"/>
    <w:rPr>
      <w:rFonts w:cs="Times New Roman"/>
      <w:b/>
      <w:bCs/>
      <w:kern w:val="44"/>
      <w:sz w:val="44"/>
      <w:szCs w:val="44"/>
    </w:rPr>
  </w:style>
  <w:style w:type="character" w:customStyle="1" w:styleId="46">
    <w:name w:val="标题 2 Char"/>
    <w:link w:val="3"/>
    <w:semiHidden/>
    <w:qFormat/>
    <w:locked/>
    <w:uiPriority w:val="99"/>
    <w:rPr>
      <w:rFonts w:ascii="Cambria" w:hAnsi="Cambria" w:eastAsia="宋体" w:cs="Times New Roman"/>
      <w:b/>
      <w:bCs/>
      <w:kern w:val="2"/>
      <w:sz w:val="32"/>
      <w:szCs w:val="32"/>
    </w:rPr>
  </w:style>
  <w:style w:type="character" w:customStyle="1" w:styleId="47">
    <w:name w:val="标题 3 Char"/>
    <w:link w:val="4"/>
    <w:semiHidden/>
    <w:qFormat/>
    <w:locked/>
    <w:uiPriority w:val="99"/>
    <w:rPr>
      <w:rFonts w:cs="Times New Roman"/>
      <w:b/>
      <w:bCs/>
      <w:sz w:val="32"/>
      <w:szCs w:val="32"/>
    </w:rPr>
  </w:style>
  <w:style w:type="character" w:customStyle="1" w:styleId="48">
    <w:name w:val="标题 4 Char"/>
    <w:link w:val="6"/>
    <w:semiHidden/>
    <w:qFormat/>
    <w:locked/>
    <w:uiPriority w:val="99"/>
    <w:rPr>
      <w:rFonts w:ascii="Cambria" w:hAnsi="Cambria" w:eastAsia="宋体" w:cs="Times New Roman"/>
      <w:b/>
      <w:bCs/>
      <w:sz w:val="28"/>
      <w:szCs w:val="28"/>
    </w:rPr>
  </w:style>
  <w:style w:type="character" w:customStyle="1" w:styleId="49">
    <w:name w:val="标题 5 Char"/>
    <w:link w:val="7"/>
    <w:semiHidden/>
    <w:qFormat/>
    <w:locked/>
    <w:uiPriority w:val="99"/>
    <w:rPr>
      <w:rFonts w:cs="Times New Roman"/>
      <w:b/>
      <w:bCs/>
      <w:sz w:val="28"/>
      <w:szCs w:val="28"/>
    </w:rPr>
  </w:style>
  <w:style w:type="character" w:customStyle="1" w:styleId="50">
    <w:name w:val="标题 6 Char"/>
    <w:link w:val="8"/>
    <w:semiHidden/>
    <w:qFormat/>
    <w:locked/>
    <w:uiPriority w:val="99"/>
    <w:rPr>
      <w:rFonts w:ascii="Cambria" w:hAnsi="Cambria" w:eastAsia="宋体" w:cs="Times New Roman"/>
      <w:b/>
      <w:bCs/>
      <w:sz w:val="24"/>
      <w:szCs w:val="24"/>
    </w:rPr>
  </w:style>
  <w:style w:type="character" w:customStyle="1" w:styleId="51">
    <w:name w:val="标题 7 Char"/>
    <w:link w:val="9"/>
    <w:semiHidden/>
    <w:qFormat/>
    <w:locked/>
    <w:uiPriority w:val="99"/>
    <w:rPr>
      <w:rFonts w:cs="Times New Roman"/>
      <w:b/>
      <w:bCs/>
      <w:sz w:val="24"/>
      <w:szCs w:val="24"/>
    </w:rPr>
  </w:style>
  <w:style w:type="character" w:customStyle="1" w:styleId="52">
    <w:name w:val="标题 8 Char"/>
    <w:link w:val="10"/>
    <w:semiHidden/>
    <w:qFormat/>
    <w:locked/>
    <w:uiPriority w:val="99"/>
    <w:rPr>
      <w:rFonts w:ascii="Cambria" w:hAnsi="Cambria" w:eastAsia="宋体" w:cs="Times New Roman"/>
      <w:sz w:val="24"/>
      <w:szCs w:val="24"/>
    </w:rPr>
  </w:style>
  <w:style w:type="character" w:customStyle="1" w:styleId="53">
    <w:name w:val="标题 9 Char"/>
    <w:link w:val="11"/>
    <w:semiHidden/>
    <w:qFormat/>
    <w:locked/>
    <w:uiPriority w:val="99"/>
    <w:rPr>
      <w:rFonts w:ascii="Cambria" w:hAnsi="Cambria" w:eastAsia="宋体" w:cs="Times New Roman"/>
      <w:sz w:val="21"/>
      <w:szCs w:val="21"/>
    </w:rPr>
  </w:style>
  <w:style w:type="character" w:customStyle="1" w:styleId="54">
    <w:name w:val="批注文字 Char"/>
    <w:link w:val="13"/>
    <w:qFormat/>
    <w:locked/>
    <w:uiPriority w:val="99"/>
    <w:rPr>
      <w:rFonts w:cs="Times New Roman"/>
      <w:sz w:val="20"/>
      <w:szCs w:val="20"/>
    </w:rPr>
  </w:style>
  <w:style w:type="character" w:customStyle="1" w:styleId="55">
    <w:name w:val="正文文本 Char"/>
    <w:link w:val="14"/>
    <w:semiHidden/>
    <w:qFormat/>
    <w:locked/>
    <w:uiPriority w:val="99"/>
    <w:rPr>
      <w:rFonts w:cs="Times New Roman"/>
      <w:sz w:val="20"/>
      <w:szCs w:val="20"/>
    </w:rPr>
  </w:style>
  <w:style w:type="character" w:customStyle="1" w:styleId="56">
    <w:name w:val="正文文本缩进 Char"/>
    <w:link w:val="15"/>
    <w:semiHidden/>
    <w:qFormat/>
    <w:locked/>
    <w:uiPriority w:val="99"/>
    <w:rPr>
      <w:rFonts w:cs="Times New Roman"/>
      <w:sz w:val="20"/>
      <w:szCs w:val="20"/>
    </w:rPr>
  </w:style>
  <w:style w:type="character" w:customStyle="1" w:styleId="57">
    <w:name w:val="纯文本 Char"/>
    <w:link w:val="19"/>
    <w:qFormat/>
    <w:locked/>
    <w:uiPriority w:val="99"/>
    <w:rPr>
      <w:rFonts w:ascii="宋体" w:hAnsi="Courier New" w:cs="Times New Roman"/>
      <w:kern w:val="2"/>
      <w:sz w:val="24"/>
      <w:szCs w:val="24"/>
    </w:rPr>
  </w:style>
  <w:style w:type="character" w:customStyle="1" w:styleId="58">
    <w:name w:val="日期 Char"/>
    <w:link w:val="20"/>
    <w:qFormat/>
    <w:locked/>
    <w:uiPriority w:val="99"/>
    <w:rPr>
      <w:rFonts w:cs="Times New Roman"/>
      <w:sz w:val="20"/>
      <w:szCs w:val="20"/>
    </w:rPr>
  </w:style>
  <w:style w:type="character" w:customStyle="1" w:styleId="59">
    <w:name w:val="正文文本缩进 2 Char"/>
    <w:link w:val="21"/>
    <w:semiHidden/>
    <w:qFormat/>
    <w:locked/>
    <w:uiPriority w:val="99"/>
    <w:rPr>
      <w:rFonts w:cs="Times New Roman"/>
      <w:sz w:val="20"/>
      <w:szCs w:val="20"/>
    </w:rPr>
  </w:style>
  <w:style w:type="character" w:customStyle="1" w:styleId="60">
    <w:name w:val="批注框文本 Char"/>
    <w:link w:val="22"/>
    <w:semiHidden/>
    <w:qFormat/>
    <w:locked/>
    <w:uiPriority w:val="99"/>
    <w:rPr>
      <w:rFonts w:cs="Times New Roman"/>
      <w:sz w:val="2"/>
    </w:rPr>
  </w:style>
  <w:style w:type="character" w:customStyle="1" w:styleId="61">
    <w:name w:val="页脚 Char"/>
    <w:link w:val="23"/>
    <w:qFormat/>
    <w:locked/>
    <w:uiPriority w:val="99"/>
    <w:rPr>
      <w:rFonts w:cs="Times New Roman"/>
      <w:kern w:val="2"/>
      <w:sz w:val="18"/>
    </w:rPr>
  </w:style>
  <w:style w:type="character" w:customStyle="1" w:styleId="62">
    <w:name w:val="页眉 Char"/>
    <w:link w:val="24"/>
    <w:semiHidden/>
    <w:qFormat/>
    <w:locked/>
    <w:uiPriority w:val="99"/>
    <w:rPr>
      <w:rFonts w:cs="Times New Roman"/>
      <w:sz w:val="18"/>
      <w:szCs w:val="18"/>
    </w:rPr>
  </w:style>
  <w:style w:type="character" w:customStyle="1" w:styleId="63">
    <w:name w:val="正文文本缩进 3 Char"/>
    <w:link w:val="26"/>
    <w:semiHidden/>
    <w:qFormat/>
    <w:locked/>
    <w:uiPriority w:val="99"/>
    <w:rPr>
      <w:rFonts w:cs="Times New Roman"/>
      <w:sz w:val="16"/>
      <w:szCs w:val="16"/>
    </w:rPr>
  </w:style>
  <w:style w:type="character" w:customStyle="1" w:styleId="64">
    <w:name w:val="正文文本 2 Char"/>
    <w:link w:val="28"/>
    <w:semiHidden/>
    <w:qFormat/>
    <w:locked/>
    <w:uiPriority w:val="99"/>
    <w:rPr>
      <w:rFonts w:cs="Times New Roman"/>
      <w:kern w:val="2"/>
      <w:sz w:val="21"/>
    </w:rPr>
  </w:style>
  <w:style w:type="character" w:customStyle="1" w:styleId="65">
    <w:name w:val="正文缩进 Char"/>
    <w:link w:val="5"/>
    <w:qFormat/>
    <w:locked/>
    <w:uiPriority w:val="0"/>
    <w:rPr>
      <w:rFonts w:cs="Times New Roman"/>
      <w:kern w:val="2"/>
      <w:sz w:val="21"/>
    </w:rPr>
  </w:style>
  <w:style w:type="character" w:customStyle="1" w:styleId="66">
    <w:name w:val="纯文本 Char1"/>
    <w:semiHidden/>
    <w:qFormat/>
    <w:uiPriority w:val="99"/>
    <w:rPr>
      <w:rFonts w:ascii="宋体" w:hAnsi="Courier New" w:cs="Courier New"/>
      <w:kern w:val="2"/>
      <w:sz w:val="21"/>
      <w:szCs w:val="21"/>
    </w:rPr>
  </w:style>
  <w:style w:type="character" w:customStyle="1" w:styleId="67">
    <w:name w:val="Variable"/>
    <w:qFormat/>
    <w:uiPriority w:val="99"/>
    <w:rPr>
      <w:i/>
    </w:rPr>
  </w:style>
  <w:style w:type="paragraph" w:customStyle="1" w:styleId="68">
    <w:name w:val="flType"/>
    <w:basedOn w:val="1"/>
    <w:qFormat/>
    <w:uiPriority w:val="99"/>
    <w:pPr>
      <w:adjustRightInd w:val="0"/>
      <w:spacing w:after="284" w:line="113" w:lineRule="atLeast"/>
      <w:jc w:val="center"/>
      <w:textAlignment w:val="baseline"/>
    </w:pPr>
    <w:rPr>
      <w:kern w:val="0"/>
      <w:sz w:val="24"/>
    </w:rPr>
  </w:style>
  <w:style w:type="paragraph" w:customStyle="1" w:styleId="69">
    <w:name w:val="Char Char Char Char"/>
    <w:basedOn w:val="1"/>
    <w:qFormat/>
    <w:uiPriority w:val="99"/>
    <w:rPr>
      <w:szCs w:val="24"/>
    </w:rPr>
  </w:style>
  <w:style w:type="paragraph" w:customStyle="1" w:styleId="70">
    <w:name w:val="样式 标题 1 + 宋体 居中 段前: 48 磅 段后: 12 磅 行距: 1.5 倍行距"/>
    <w:basedOn w:val="2"/>
    <w:qFormat/>
    <w:uiPriority w:val="99"/>
    <w:pPr>
      <w:keepNext w:val="0"/>
      <w:widowControl w:val="0"/>
      <w:tabs>
        <w:tab w:val="clear" w:pos="432"/>
      </w:tabs>
      <w:adjustRightInd w:val="0"/>
      <w:spacing w:line="360" w:lineRule="auto"/>
      <w:ind w:left="0" w:firstLine="0"/>
      <w:textAlignment w:val="baseline"/>
    </w:pPr>
    <w:rPr>
      <w:rFonts w:ascii="宋体" w:hAnsi="宋体" w:cs="宋体"/>
      <w:kern w:val="2"/>
      <w:sz w:val="32"/>
      <w:szCs w:val="32"/>
      <w:lang w:val="zh-CN"/>
    </w:rPr>
  </w:style>
  <w:style w:type="paragraph" w:customStyle="1" w:styleId="71">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72">
    <w:name w:val="默认段落字体 Para Char Char Char Char"/>
    <w:basedOn w:val="1"/>
    <w:qFormat/>
    <w:uiPriority w:val="99"/>
    <w:rPr>
      <w:szCs w:val="24"/>
    </w:rPr>
  </w:style>
  <w:style w:type="paragraph" w:customStyle="1" w:styleId="73">
    <w:name w:val="F正文"/>
    <w:basedOn w:val="1"/>
    <w:qFormat/>
    <w:uiPriority w:val="99"/>
    <w:pPr>
      <w:spacing w:line="360" w:lineRule="auto"/>
      <w:ind w:firstLine="200" w:firstLineChars="200"/>
    </w:pPr>
    <w:rPr>
      <w:rFonts w:eastAsia="仿宋_GB2312"/>
      <w:sz w:val="28"/>
    </w:rPr>
  </w:style>
  <w:style w:type="paragraph" w:customStyle="1" w:styleId="74">
    <w:name w:val="WPSOffice手动目录 1"/>
    <w:qFormat/>
    <w:uiPriority w:val="99"/>
    <w:rPr>
      <w:rFonts w:ascii="Times New Roman" w:hAnsi="Times New Roman" w:eastAsia="宋体" w:cs="Times New Roman"/>
      <w:lang w:val="en-US" w:eastAsia="zh-CN" w:bidi="ar-SA"/>
    </w:rPr>
  </w:style>
  <w:style w:type="paragraph" w:customStyle="1" w:styleId="75">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76">
    <w:name w:val="TOC 标题1"/>
    <w:basedOn w:val="2"/>
    <w:next w:val="1"/>
    <w:semiHidden/>
    <w:unhideWhenUsed/>
    <w:qFormat/>
    <w:uiPriority w:val="39"/>
    <w:pPr>
      <w:keepLines/>
      <w:tabs>
        <w:tab w:val="clear" w:pos="432"/>
      </w:tabs>
      <w:spacing w:before="480" w:line="276" w:lineRule="auto"/>
      <w:ind w:left="0" w:firstLine="0"/>
      <w:jc w:val="left"/>
      <w:outlineLvl w:val="9"/>
    </w:pPr>
    <w:rPr>
      <w:rFonts w:ascii="Cambria" w:hAnsi="Cambria"/>
      <w:color w:val="365F91"/>
      <w:sz w:val="28"/>
      <w:szCs w:val="28"/>
    </w:rPr>
  </w:style>
  <w:style w:type="paragraph" w:customStyle="1" w:styleId="7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0FCB28-BEC3-4F77-9AFA-B7A22E9E2E8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14055</Words>
  <Characters>14799</Characters>
  <Lines>124</Lines>
  <Paragraphs>35</Paragraphs>
  <TotalTime>0</TotalTime>
  <ScaleCrop>false</ScaleCrop>
  <LinksUpToDate>false</LinksUpToDate>
  <CharactersWithSpaces>16104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2017-09-11T06:08:00Z</dcterms:created>
  <dc:creator>a</dc:creator>
  <cp:lastModifiedBy>王胜</cp:lastModifiedBy>
  <cp:lastPrinted>2021-09-10T06:34:00Z</cp:lastPrinted>
  <dcterms:modified xsi:type="dcterms:W3CDTF">2025-12-01T03:18:49Z</dcterms:modified>
  <dc:title>二、投标须知</dc:title>
  <cp:revision>1454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679983D0744746D786EC9A9D181C6EDC_13</vt:lpwstr>
  </property>
  <property fmtid="{D5CDD505-2E9C-101B-9397-08002B2CF9AE}" pid="4" name="KSOTemplateDocerSaveRecord">
    <vt:lpwstr>eyJoZGlkIjoiNGUxNTZmMjAwZmRhNGYwYmQyNWY4ZGMwMGRjNmJiZjAiLCJ1c2VySWQiOiIyODU5NDQ5NjMifQ==</vt:lpwstr>
  </property>
</Properties>
</file>