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1FEF9">
      <w:pPr>
        <w:spacing w:line="360" w:lineRule="auto"/>
        <w:jc w:val="center"/>
        <w:rPr>
          <w:rFonts w:hint="eastAsia" w:ascii="宋体" w:hAnsi="宋体" w:eastAsia="宋体" w:cs="宋体"/>
          <w:b/>
          <w:bCs/>
          <w:color w:val="auto"/>
          <w:kern w:val="0"/>
          <w:sz w:val="36"/>
          <w:szCs w:val="36"/>
          <w:highlight w:val="none"/>
          <w:lang w:eastAsia="zh-CN"/>
        </w:rPr>
      </w:pPr>
    </w:p>
    <w:p w14:paraId="417290DC">
      <w:pPr>
        <w:tabs>
          <w:tab w:val="left" w:pos="2020"/>
          <w:tab w:val="center" w:pos="4535"/>
        </w:tabs>
        <w:spacing w:line="500" w:lineRule="exact"/>
        <w:jc w:val="center"/>
        <w:rPr>
          <w:rFonts w:hint="eastAsia" w:ascii="宋体" w:hAnsi="宋体" w:eastAsia="宋体" w:cs="宋体"/>
          <w:b/>
          <w:bCs/>
          <w:color w:val="auto"/>
          <w:sz w:val="28"/>
          <w:highlight w:val="none"/>
        </w:rPr>
      </w:pPr>
      <w:r>
        <w:rPr>
          <w:rFonts w:hint="eastAsia" w:ascii="宋体" w:hAnsi="宋体" w:eastAsia="宋体" w:cs="宋体"/>
          <w:bCs/>
          <w:color w:val="auto"/>
          <w:spacing w:val="0"/>
          <w:sz w:val="44"/>
          <w:highlight w:val="none"/>
          <w:lang w:eastAsia="zh-CN"/>
        </w:rPr>
        <w:t>20</w:t>
      </w:r>
      <w:r>
        <w:rPr>
          <w:rFonts w:hint="eastAsia" w:ascii="宋体" w:hAnsi="宋体" w:eastAsia="宋体" w:cs="宋体"/>
          <w:bCs/>
          <w:color w:val="auto"/>
          <w:spacing w:val="0"/>
          <w:sz w:val="44"/>
          <w:highlight w:val="none"/>
          <w:lang w:val="en-US" w:eastAsia="zh-CN"/>
        </w:rPr>
        <w:t>25</w:t>
      </w:r>
      <w:r>
        <w:rPr>
          <w:rFonts w:hint="eastAsia" w:ascii="宋体" w:hAnsi="宋体" w:eastAsia="宋体" w:cs="宋体"/>
          <w:bCs/>
          <w:color w:val="auto"/>
          <w:spacing w:val="0"/>
          <w:sz w:val="44"/>
          <w:highlight w:val="none"/>
          <w:lang w:eastAsia="zh-CN"/>
        </w:rPr>
        <w:t>年崇川区绿地儿童游乐设施采购项目</w:t>
      </w:r>
    </w:p>
    <w:p w14:paraId="38952423">
      <w:pPr>
        <w:pStyle w:val="19"/>
        <w:ind w:firstLine="210"/>
        <w:rPr>
          <w:rFonts w:hint="eastAsia" w:ascii="宋体" w:hAnsi="宋体" w:eastAsia="宋体" w:cs="宋体"/>
          <w:color w:val="auto"/>
          <w:highlight w:val="none"/>
        </w:rPr>
      </w:pPr>
    </w:p>
    <w:p w14:paraId="09A8A21E">
      <w:pPr>
        <w:pStyle w:val="20"/>
        <w:ind w:firstLine="420"/>
        <w:rPr>
          <w:rFonts w:hint="eastAsia" w:ascii="宋体" w:hAnsi="宋体" w:eastAsia="宋体" w:cs="宋体"/>
          <w:color w:val="auto"/>
          <w:highlight w:val="none"/>
        </w:rPr>
      </w:pPr>
    </w:p>
    <w:p w14:paraId="3AFF4757">
      <w:pPr>
        <w:rPr>
          <w:rFonts w:hint="eastAsia" w:ascii="宋体" w:hAnsi="宋体" w:eastAsia="宋体" w:cs="宋体"/>
          <w:color w:val="auto"/>
          <w:highlight w:val="none"/>
        </w:rPr>
      </w:pPr>
    </w:p>
    <w:p w14:paraId="4F829B51">
      <w:pPr>
        <w:rPr>
          <w:rFonts w:hint="eastAsia" w:ascii="宋体" w:hAnsi="宋体" w:eastAsia="宋体" w:cs="宋体"/>
          <w:color w:val="auto"/>
          <w:highlight w:val="none"/>
        </w:rPr>
      </w:pPr>
    </w:p>
    <w:p w14:paraId="5C480887">
      <w:pPr>
        <w:pStyle w:val="20"/>
        <w:ind w:firstLine="420"/>
        <w:rPr>
          <w:rFonts w:hint="eastAsia" w:ascii="宋体" w:hAnsi="宋体" w:eastAsia="宋体" w:cs="宋体"/>
          <w:color w:val="auto"/>
          <w:highlight w:val="none"/>
        </w:rPr>
      </w:pPr>
    </w:p>
    <w:p w14:paraId="054FDE37">
      <w:pPr>
        <w:pStyle w:val="19"/>
        <w:ind w:firstLine="210"/>
        <w:rPr>
          <w:rFonts w:hint="eastAsia" w:ascii="宋体" w:hAnsi="宋体" w:eastAsia="宋体" w:cs="宋体"/>
          <w:color w:val="auto"/>
          <w:highlight w:val="none"/>
        </w:rPr>
      </w:pPr>
    </w:p>
    <w:p w14:paraId="26EB611D">
      <w:pPr>
        <w:pStyle w:val="20"/>
        <w:ind w:firstLine="420"/>
        <w:rPr>
          <w:rFonts w:hint="eastAsia" w:ascii="宋体" w:hAnsi="宋体" w:eastAsia="宋体" w:cs="宋体"/>
          <w:color w:val="auto"/>
          <w:highlight w:val="none"/>
        </w:rPr>
      </w:pPr>
    </w:p>
    <w:p w14:paraId="5D47A06C">
      <w:pPr>
        <w:pStyle w:val="20"/>
        <w:ind w:firstLine="420"/>
        <w:rPr>
          <w:rFonts w:hint="eastAsia" w:ascii="宋体" w:hAnsi="宋体" w:eastAsia="宋体" w:cs="宋体"/>
          <w:color w:val="auto"/>
          <w:highlight w:val="none"/>
        </w:rPr>
      </w:pPr>
    </w:p>
    <w:p w14:paraId="30ABB7C2">
      <w:pPr>
        <w:tabs>
          <w:tab w:val="left" w:pos="1050"/>
          <w:tab w:val="right" w:leader="dot" w:pos="9402"/>
        </w:tabs>
        <w:spacing w:line="360" w:lineRule="auto"/>
        <w:jc w:val="center"/>
        <w:rPr>
          <w:rFonts w:hint="eastAsia" w:ascii="宋体" w:hAnsi="宋体" w:eastAsia="宋体" w:cs="宋体"/>
          <w:b/>
          <w:color w:val="auto"/>
          <w:w w:val="80"/>
          <w:sz w:val="84"/>
          <w:szCs w:val="84"/>
          <w:highlight w:val="none"/>
        </w:rPr>
      </w:pPr>
      <w:r>
        <w:rPr>
          <w:rFonts w:hint="eastAsia" w:ascii="宋体" w:hAnsi="宋体" w:eastAsia="宋体" w:cs="宋体"/>
          <w:b/>
          <w:color w:val="auto"/>
          <w:w w:val="80"/>
          <w:sz w:val="84"/>
          <w:szCs w:val="84"/>
          <w:highlight w:val="none"/>
          <w:lang w:val="en-US" w:eastAsia="zh-CN"/>
        </w:rPr>
        <w:t>招</w:t>
      </w:r>
      <w:r>
        <w:rPr>
          <w:rFonts w:hint="eastAsia" w:ascii="宋体" w:hAnsi="宋体" w:eastAsia="宋体" w:cs="宋体"/>
          <w:b/>
          <w:color w:val="auto"/>
          <w:w w:val="80"/>
          <w:sz w:val="84"/>
          <w:szCs w:val="84"/>
          <w:highlight w:val="none"/>
        </w:rPr>
        <w:t xml:space="preserve"> </w:t>
      </w:r>
      <w:r>
        <w:rPr>
          <w:rFonts w:hint="eastAsia" w:ascii="宋体" w:hAnsi="宋体" w:eastAsia="宋体" w:cs="宋体"/>
          <w:b/>
          <w:color w:val="auto"/>
          <w:w w:val="80"/>
          <w:sz w:val="84"/>
          <w:szCs w:val="84"/>
          <w:highlight w:val="none"/>
          <w:lang w:val="en-US" w:eastAsia="zh-CN"/>
        </w:rPr>
        <w:t>标</w:t>
      </w:r>
      <w:r>
        <w:rPr>
          <w:rFonts w:hint="eastAsia" w:ascii="宋体" w:hAnsi="宋体" w:eastAsia="宋体" w:cs="宋体"/>
          <w:b/>
          <w:color w:val="auto"/>
          <w:w w:val="80"/>
          <w:sz w:val="84"/>
          <w:szCs w:val="84"/>
          <w:highlight w:val="none"/>
        </w:rPr>
        <w:t xml:space="preserve"> 文 件</w:t>
      </w:r>
    </w:p>
    <w:p w14:paraId="3F0C71CE">
      <w:pPr>
        <w:jc w:val="center"/>
        <w:rPr>
          <w:rFonts w:hint="eastAsia" w:ascii="宋体" w:hAnsi="宋体" w:eastAsia="宋体" w:cs="宋体"/>
          <w:color w:val="auto"/>
          <w:w w:val="80"/>
          <w:sz w:val="36"/>
          <w:szCs w:val="36"/>
          <w:highlight w:val="none"/>
        </w:rPr>
      </w:pPr>
    </w:p>
    <w:p w14:paraId="2CC6604D">
      <w:pPr>
        <w:pStyle w:val="19"/>
        <w:ind w:firstLine="210"/>
        <w:rPr>
          <w:rFonts w:hint="eastAsia" w:ascii="宋体" w:hAnsi="宋体" w:eastAsia="宋体" w:cs="宋体"/>
          <w:color w:val="auto"/>
          <w:highlight w:val="none"/>
        </w:rPr>
      </w:pPr>
    </w:p>
    <w:p w14:paraId="275D5A12">
      <w:pPr>
        <w:spacing w:line="360" w:lineRule="auto"/>
        <w:jc w:val="center"/>
        <w:rPr>
          <w:rFonts w:hint="eastAsia" w:ascii="宋体" w:hAnsi="宋体" w:eastAsia="宋体" w:cs="宋体"/>
          <w:b/>
          <w:color w:val="auto"/>
          <w:sz w:val="36"/>
          <w:szCs w:val="36"/>
          <w:highlight w:val="none"/>
        </w:rPr>
      </w:pPr>
    </w:p>
    <w:p w14:paraId="6B6DC168">
      <w:pPr>
        <w:tabs>
          <w:tab w:val="left" w:pos="6300"/>
        </w:tabs>
        <w:spacing w:line="360" w:lineRule="auto"/>
        <w:rPr>
          <w:rFonts w:hint="eastAsia" w:ascii="宋体" w:hAnsi="宋体" w:eastAsia="宋体" w:cs="宋体"/>
          <w:b/>
          <w:bCs/>
          <w:color w:val="auto"/>
          <w:sz w:val="36"/>
          <w:szCs w:val="36"/>
          <w:highlight w:val="none"/>
        </w:rPr>
      </w:pPr>
    </w:p>
    <w:p w14:paraId="55014B32">
      <w:pPr>
        <w:tabs>
          <w:tab w:val="left" w:pos="2020"/>
          <w:tab w:val="center" w:pos="4535"/>
        </w:tabs>
        <w:spacing w:line="500" w:lineRule="exact"/>
        <w:ind w:firstLine="280" w:firstLineChars="100"/>
        <w:rPr>
          <w:rFonts w:hint="eastAsia" w:ascii="宋体" w:hAnsi="宋体" w:eastAsia="宋体" w:cs="宋体"/>
          <w:bCs/>
          <w:color w:val="auto"/>
          <w:sz w:val="28"/>
          <w:highlight w:val="none"/>
        </w:rPr>
      </w:pPr>
    </w:p>
    <w:p w14:paraId="3F568BAC">
      <w:pPr>
        <w:pStyle w:val="19"/>
        <w:ind w:firstLine="210"/>
        <w:rPr>
          <w:rFonts w:hint="eastAsia" w:ascii="宋体" w:hAnsi="宋体" w:eastAsia="宋体" w:cs="宋体"/>
          <w:color w:val="auto"/>
          <w:highlight w:val="none"/>
        </w:rPr>
      </w:pPr>
    </w:p>
    <w:p w14:paraId="61C88872">
      <w:pPr>
        <w:tabs>
          <w:tab w:val="left" w:pos="2020"/>
          <w:tab w:val="center" w:pos="4535"/>
        </w:tabs>
        <w:spacing w:line="500" w:lineRule="exact"/>
        <w:ind w:firstLine="280" w:firstLineChars="100"/>
        <w:rPr>
          <w:rFonts w:hint="eastAsia" w:ascii="宋体" w:hAnsi="宋体" w:eastAsia="宋体" w:cs="宋体"/>
          <w:bCs/>
          <w:color w:val="auto"/>
          <w:sz w:val="28"/>
          <w:highlight w:val="none"/>
        </w:rPr>
      </w:pPr>
    </w:p>
    <w:p w14:paraId="7E13C4CD">
      <w:pPr>
        <w:spacing w:line="480" w:lineRule="auto"/>
        <w:ind w:firstLine="1200" w:firstLineChars="40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采   购   人：</w:t>
      </w:r>
      <w:r>
        <w:rPr>
          <w:rFonts w:hint="eastAsia" w:ascii="宋体" w:hAnsi="宋体" w:eastAsia="宋体" w:cs="宋体"/>
          <w:color w:val="auto"/>
          <w:sz w:val="30"/>
          <w:szCs w:val="30"/>
          <w:highlight w:val="none"/>
          <w:u w:val="single"/>
        </w:rPr>
        <w:t>南通市崇川区城市工程建设管理中心</w:t>
      </w:r>
    </w:p>
    <w:p w14:paraId="646C356D">
      <w:pPr>
        <w:spacing w:line="480" w:lineRule="auto"/>
        <w:ind w:firstLine="1200" w:firstLineChars="400"/>
        <w:rPr>
          <w:rFonts w:hint="eastAsia" w:ascii="宋体" w:hAnsi="宋体" w:eastAsia="宋体" w:cs="宋体"/>
          <w:color w:val="auto"/>
          <w:spacing w:val="-8"/>
          <w:sz w:val="30"/>
          <w:szCs w:val="30"/>
          <w:highlight w:val="none"/>
          <w:lang w:eastAsia="zh-CN"/>
        </w:rPr>
      </w:pPr>
      <w:r>
        <w:rPr>
          <w:rFonts w:hint="eastAsia" w:ascii="宋体" w:hAnsi="宋体" w:eastAsia="宋体" w:cs="宋体"/>
          <w:color w:val="auto"/>
          <w:sz w:val="30"/>
          <w:szCs w:val="30"/>
          <w:highlight w:val="none"/>
        </w:rPr>
        <w:t>招标代理机构：</w:t>
      </w:r>
      <w:r>
        <w:rPr>
          <w:rFonts w:hint="eastAsia" w:ascii="宋体" w:hAnsi="宋体" w:eastAsia="宋体" w:cs="宋体"/>
          <w:color w:val="auto"/>
          <w:sz w:val="30"/>
          <w:szCs w:val="30"/>
          <w:highlight w:val="none"/>
          <w:u w:val="single"/>
          <w:lang w:eastAsia="zh-CN"/>
        </w:rPr>
        <w:t>江苏方桂圆工程项目管理有限公司</w:t>
      </w:r>
    </w:p>
    <w:p w14:paraId="0805E2E3">
      <w:pPr>
        <w:spacing w:line="480" w:lineRule="auto"/>
        <w:ind w:firstLine="1200" w:firstLineChars="4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202</w:t>
      </w:r>
      <w:r>
        <w:rPr>
          <w:rFonts w:hint="eastAsia" w:ascii="宋体" w:hAnsi="宋体" w:eastAsia="宋体" w:cs="宋体"/>
          <w:color w:val="auto"/>
          <w:sz w:val="30"/>
          <w:szCs w:val="30"/>
          <w:highlight w:val="none"/>
          <w:u w:val="single"/>
          <w:lang w:val="en-US" w:eastAsia="zh-CN"/>
        </w:rPr>
        <w:t>5</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7</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u w:val="single"/>
        </w:rPr>
        <w:t xml:space="preserve"> </w:t>
      </w:r>
      <w:r>
        <w:rPr>
          <w:rFonts w:hint="eastAsia" w:ascii="宋体" w:hAnsi="宋体" w:cs="宋体"/>
          <w:color w:val="auto"/>
          <w:sz w:val="30"/>
          <w:szCs w:val="30"/>
          <w:highlight w:val="none"/>
          <w:u w:val="single"/>
          <w:lang w:val="en-US" w:eastAsia="zh-CN"/>
        </w:rPr>
        <w:t>7</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日</w:t>
      </w:r>
    </w:p>
    <w:p w14:paraId="196AB12A">
      <w:pPr>
        <w:spacing w:line="480" w:lineRule="auto"/>
        <w:ind w:firstLine="1200" w:firstLineChars="400"/>
        <w:rPr>
          <w:rFonts w:hint="eastAsia" w:ascii="宋体" w:hAnsi="宋体" w:eastAsia="宋体" w:cs="宋体"/>
          <w:color w:val="auto"/>
          <w:sz w:val="30"/>
          <w:szCs w:val="30"/>
          <w:highlight w:val="none"/>
        </w:rPr>
      </w:pPr>
    </w:p>
    <w:p w14:paraId="4E57B027">
      <w:pPr>
        <w:autoSpaceDE w:val="0"/>
        <w:autoSpaceDN w:val="0"/>
        <w:adjustRightInd w:val="0"/>
        <w:snapToGrid w:val="0"/>
        <w:spacing w:line="360" w:lineRule="auto"/>
        <w:jc w:val="center"/>
        <w:rPr>
          <w:rFonts w:hint="eastAsia" w:ascii="宋体" w:hAnsi="宋体" w:eastAsia="宋体" w:cs="宋体"/>
          <w:color w:val="auto"/>
          <w:sz w:val="44"/>
          <w:szCs w:val="44"/>
          <w:highlight w:val="none"/>
          <w:lang w:val="zh-CN"/>
        </w:rPr>
      </w:pPr>
    </w:p>
    <w:p w14:paraId="277C10FA">
      <w:pPr>
        <w:pStyle w:val="19"/>
        <w:ind w:firstLine="210"/>
        <w:rPr>
          <w:rFonts w:hint="eastAsia" w:ascii="宋体" w:hAnsi="宋体" w:eastAsia="宋体" w:cs="宋体"/>
          <w:color w:val="auto"/>
          <w:highlight w:val="none"/>
          <w:lang w:val="zh-CN"/>
        </w:rPr>
      </w:pPr>
    </w:p>
    <w:p w14:paraId="5B9631C3">
      <w:pPr>
        <w:pStyle w:val="20"/>
        <w:ind w:firstLine="420"/>
        <w:rPr>
          <w:rFonts w:hint="eastAsia" w:ascii="宋体" w:hAnsi="宋体" w:eastAsia="宋体" w:cs="宋体"/>
          <w:color w:val="auto"/>
          <w:highlight w:val="none"/>
          <w:lang w:val="zh-CN"/>
        </w:rPr>
      </w:pPr>
    </w:p>
    <w:p w14:paraId="66358E61">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val="zh-CN"/>
        </w:rPr>
        <w:t>目录</w:t>
      </w:r>
    </w:p>
    <w:p w14:paraId="089F93EC">
      <w:pPr>
        <w:autoSpaceDE w:val="0"/>
        <w:autoSpaceDN w:val="0"/>
        <w:adjustRightInd w:val="0"/>
        <w:snapToGrid w:val="0"/>
        <w:spacing w:line="360" w:lineRule="auto"/>
        <w:ind w:firstLine="556"/>
        <w:rPr>
          <w:rFonts w:hint="eastAsia" w:ascii="宋体" w:hAnsi="宋体" w:eastAsia="宋体" w:cs="宋体"/>
          <w:color w:val="auto"/>
          <w:sz w:val="32"/>
          <w:szCs w:val="32"/>
          <w:highlight w:val="none"/>
        </w:rPr>
      </w:pPr>
    </w:p>
    <w:p w14:paraId="246CE687">
      <w:pPr>
        <w:autoSpaceDE w:val="0"/>
        <w:autoSpaceDN w:val="0"/>
        <w:adjustRightInd w:val="0"/>
        <w:snapToGrid w:val="0"/>
        <w:spacing w:line="480" w:lineRule="auto"/>
        <w:ind w:firstLine="55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val="en-US" w:eastAsia="zh-CN"/>
        </w:rPr>
        <w:t>招标</w:t>
      </w:r>
      <w:r>
        <w:rPr>
          <w:rFonts w:hint="eastAsia" w:ascii="宋体" w:hAnsi="宋体" w:eastAsia="宋体" w:cs="宋体"/>
          <w:color w:val="auto"/>
          <w:sz w:val="32"/>
          <w:szCs w:val="32"/>
          <w:highlight w:val="none"/>
        </w:rPr>
        <w:t>公告</w:t>
      </w:r>
    </w:p>
    <w:p w14:paraId="771B1FE3">
      <w:pPr>
        <w:autoSpaceDE w:val="0"/>
        <w:autoSpaceDN w:val="0"/>
        <w:adjustRightInd w:val="0"/>
        <w:snapToGrid w:val="0"/>
        <w:spacing w:line="480" w:lineRule="auto"/>
        <w:ind w:firstLine="55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供应商须知</w:t>
      </w:r>
    </w:p>
    <w:p w14:paraId="5E6798DA">
      <w:pPr>
        <w:autoSpaceDE w:val="0"/>
        <w:autoSpaceDN w:val="0"/>
        <w:adjustRightInd w:val="0"/>
        <w:snapToGrid w:val="0"/>
        <w:spacing w:line="480" w:lineRule="auto"/>
        <w:ind w:firstLine="53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项目需求</w:t>
      </w:r>
    </w:p>
    <w:p w14:paraId="1CA0B7CE">
      <w:pPr>
        <w:autoSpaceDE w:val="0"/>
        <w:autoSpaceDN w:val="0"/>
        <w:adjustRightInd w:val="0"/>
        <w:snapToGrid w:val="0"/>
        <w:spacing w:line="480" w:lineRule="auto"/>
        <w:ind w:firstLine="537"/>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评审方法和评审标准</w:t>
      </w:r>
    </w:p>
    <w:p w14:paraId="265878C4">
      <w:pPr>
        <w:autoSpaceDE w:val="0"/>
        <w:autoSpaceDN w:val="0"/>
        <w:adjustRightInd w:val="0"/>
        <w:snapToGrid w:val="0"/>
        <w:spacing w:line="480" w:lineRule="auto"/>
        <w:ind w:firstLine="537"/>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第五部分 </w:t>
      </w:r>
      <w:r>
        <w:rPr>
          <w:rFonts w:hint="eastAsia" w:ascii="宋体" w:hAnsi="宋体" w:eastAsia="宋体" w:cs="宋体"/>
          <w:color w:val="auto"/>
          <w:sz w:val="32"/>
          <w:szCs w:val="32"/>
          <w:highlight w:val="none"/>
          <w:lang w:eastAsia="zh-CN"/>
        </w:rPr>
        <w:t>合同</w:t>
      </w:r>
      <w:r>
        <w:rPr>
          <w:rFonts w:hint="eastAsia" w:ascii="宋体" w:hAnsi="宋体" w:eastAsia="宋体" w:cs="宋体"/>
          <w:color w:val="auto"/>
          <w:sz w:val="30"/>
          <w:szCs w:val="30"/>
          <w:highlight w:val="none"/>
        </w:rPr>
        <w:t>授予</w:t>
      </w:r>
    </w:p>
    <w:p w14:paraId="64A3DCE6">
      <w:pPr>
        <w:autoSpaceDE w:val="0"/>
        <w:autoSpaceDN w:val="0"/>
        <w:adjustRightInd w:val="0"/>
        <w:snapToGrid w:val="0"/>
        <w:spacing w:line="480" w:lineRule="auto"/>
        <w:ind w:firstLine="537"/>
        <w:rPr>
          <w:rFonts w:hint="eastAsia" w:ascii="宋体" w:hAnsi="宋体" w:eastAsia="宋体" w:cs="宋体"/>
          <w:b/>
          <w:bCs/>
          <w:color w:val="auto"/>
          <w:sz w:val="36"/>
          <w:szCs w:val="36"/>
          <w:highlight w:val="none"/>
          <w:lang w:val="zh-CN"/>
        </w:rPr>
      </w:pPr>
      <w:r>
        <w:rPr>
          <w:rFonts w:hint="eastAsia" w:ascii="宋体" w:hAnsi="宋体" w:eastAsia="宋体" w:cs="宋体"/>
          <w:color w:val="auto"/>
          <w:sz w:val="32"/>
          <w:szCs w:val="32"/>
          <w:highlight w:val="none"/>
        </w:rPr>
        <w:t xml:space="preserve">第六部分 </w:t>
      </w:r>
      <w:r>
        <w:rPr>
          <w:rFonts w:hint="eastAsia" w:ascii="宋体" w:hAnsi="宋体" w:eastAsia="宋体" w:cs="宋体"/>
          <w:color w:val="auto"/>
          <w:sz w:val="32"/>
          <w:szCs w:val="32"/>
          <w:highlight w:val="none"/>
          <w:lang w:eastAsia="zh-CN"/>
        </w:rPr>
        <w:t>投标文件</w:t>
      </w:r>
      <w:r>
        <w:rPr>
          <w:rFonts w:hint="eastAsia" w:ascii="宋体" w:hAnsi="宋体" w:eastAsia="宋体" w:cs="宋体"/>
          <w:color w:val="auto"/>
          <w:sz w:val="32"/>
          <w:szCs w:val="32"/>
          <w:highlight w:val="none"/>
        </w:rPr>
        <w:t>组成</w:t>
      </w:r>
    </w:p>
    <w:p w14:paraId="37767315">
      <w:pPr>
        <w:autoSpaceDE w:val="0"/>
        <w:autoSpaceDN w:val="0"/>
        <w:adjustRightInd w:val="0"/>
        <w:spacing w:line="500" w:lineRule="exact"/>
        <w:rPr>
          <w:rFonts w:hint="eastAsia" w:ascii="宋体" w:hAnsi="宋体" w:eastAsia="宋体" w:cs="宋体"/>
          <w:b/>
          <w:bCs/>
          <w:color w:val="auto"/>
          <w:sz w:val="36"/>
          <w:szCs w:val="36"/>
          <w:highlight w:val="none"/>
          <w:lang w:val="zh-CN"/>
        </w:rPr>
      </w:pPr>
    </w:p>
    <w:p w14:paraId="2D747D62">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4F72F262">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1D17DE67">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52526305">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0FC70699">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58AB4E56">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0083C5C0">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7DB1D00B">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495385AE">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70EEEA21">
      <w:pPr>
        <w:autoSpaceDE w:val="0"/>
        <w:autoSpaceDN w:val="0"/>
        <w:adjustRightInd w:val="0"/>
        <w:spacing w:line="500" w:lineRule="exact"/>
        <w:jc w:val="center"/>
        <w:rPr>
          <w:rFonts w:hint="eastAsia" w:ascii="宋体" w:hAnsi="宋体" w:eastAsia="宋体" w:cs="宋体"/>
          <w:b/>
          <w:bCs/>
          <w:color w:val="auto"/>
          <w:sz w:val="36"/>
          <w:szCs w:val="36"/>
          <w:highlight w:val="none"/>
          <w:lang w:val="zh-CN"/>
        </w:rPr>
      </w:pPr>
    </w:p>
    <w:p w14:paraId="55C83853">
      <w:pPr>
        <w:widowControl/>
        <w:jc w:val="left"/>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br w:type="page"/>
      </w:r>
    </w:p>
    <w:p w14:paraId="3FB545B3">
      <w:pPr>
        <w:autoSpaceDE w:val="0"/>
        <w:autoSpaceDN w:val="0"/>
        <w:adjustRightInd w:val="0"/>
        <w:snapToGrid w:val="0"/>
        <w:spacing w:line="500" w:lineRule="exact"/>
        <w:jc w:val="center"/>
        <w:outlineLvl w:val="0"/>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 xml:space="preserve">第一部分  </w:t>
      </w:r>
      <w:r>
        <w:rPr>
          <w:rFonts w:hint="eastAsia" w:ascii="宋体" w:hAnsi="宋体" w:eastAsia="宋体" w:cs="宋体"/>
          <w:color w:val="auto"/>
          <w:sz w:val="36"/>
          <w:szCs w:val="36"/>
          <w:highlight w:val="none"/>
          <w:lang w:val="en-US" w:eastAsia="zh-CN"/>
        </w:rPr>
        <w:t>招标</w:t>
      </w:r>
      <w:r>
        <w:rPr>
          <w:rFonts w:hint="eastAsia" w:ascii="宋体" w:hAnsi="宋体" w:eastAsia="宋体" w:cs="宋体"/>
          <w:color w:val="auto"/>
          <w:sz w:val="36"/>
          <w:szCs w:val="36"/>
          <w:highlight w:val="none"/>
          <w:lang w:val="zh-CN"/>
        </w:rPr>
        <w:t>公告</w:t>
      </w:r>
    </w:p>
    <w:p w14:paraId="310FB3C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受[南通市崇川区城市工程建设管理中心]的委托，[</w:t>
      </w:r>
      <w:r>
        <w:rPr>
          <w:rFonts w:hint="eastAsia" w:ascii="宋体" w:hAnsi="宋体" w:eastAsia="宋体" w:cs="宋体"/>
          <w:color w:val="auto"/>
          <w:sz w:val="24"/>
          <w:highlight w:val="none"/>
          <w:lang w:eastAsia="zh-CN"/>
        </w:rPr>
        <w:t>江苏方桂圆工程项目管理有限公司</w:t>
      </w:r>
      <w:r>
        <w:rPr>
          <w:rFonts w:hint="eastAsia" w:ascii="宋体" w:hAnsi="宋体" w:eastAsia="宋体" w:cs="宋体"/>
          <w:color w:val="auto"/>
          <w:sz w:val="24"/>
          <w:highlight w:val="none"/>
        </w:rPr>
        <w:t>]就</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年崇川区绿地儿童游乐设施采购项目</w:t>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eastAsia="zh-CN"/>
        </w:rPr>
        <w:t>公开</w:t>
      </w:r>
      <w:r>
        <w:rPr>
          <w:rFonts w:hint="eastAsia" w:ascii="宋体" w:hAnsi="宋体" w:eastAsia="宋体" w:cs="宋体"/>
          <w:color w:val="auto"/>
          <w:sz w:val="24"/>
          <w:szCs w:val="24"/>
          <w:highlight w:val="none"/>
        </w:rPr>
        <w:t>招标采购</w:t>
      </w:r>
      <w:r>
        <w:rPr>
          <w:rFonts w:hint="eastAsia" w:ascii="宋体" w:hAnsi="宋体" w:eastAsia="宋体" w:cs="宋体"/>
          <w:color w:val="auto"/>
          <w:sz w:val="24"/>
          <w:highlight w:val="none"/>
        </w:rPr>
        <w:t>，欢迎符合条件的供应商参加该项目的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highlight w:val="none"/>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8"/>
      </w:tblGrid>
      <w:tr w14:paraId="008F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8" w:type="dxa"/>
          </w:tcPr>
          <w:p w14:paraId="145E4428">
            <w:pPr>
              <w:pBdr>
                <w:top w:val="none" w:color="auto" w:sz="0" w:space="0"/>
                <w:left w:val="none" w:color="auto" w:sz="0" w:space="0"/>
                <w:bottom w:val="none" w:color="auto" w:sz="0" w:space="0"/>
                <w:right w:val="none" w:color="auto" w:sz="0" w:space="0"/>
              </w:pBd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C7B1EED">
            <w:pPr>
              <w:pBdr>
                <w:top w:val="none" w:color="auto" w:sz="0" w:space="0"/>
                <w:left w:val="none" w:color="auto" w:sz="0" w:space="0"/>
                <w:bottom w:val="none" w:color="auto" w:sz="0" w:space="0"/>
                <w:right w:val="none" w:color="auto" w:sz="0" w:space="0"/>
              </w:pBdr>
              <w:adjustRightInd w:val="0"/>
              <w:snapToGrid w:val="0"/>
              <w:spacing w:line="360" w:lineRule="auto"/>
              <w:ind w:firstLine="480" w:firstLineChars="200"/>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年崇川区绿地儿童游乐设施采购项目</w:t>
            </w:r>
            <w:r>
              <w:rPr>
                <w:rFonts w:hint="eastAsia" w:ascii="宋体" w:hAnsi="宋体" w:eastAsia="宋体" w:cs="宋体"/>
                <w:color w:val="auto"/>
                <w:sz w:val="24"/>
                <w:highlight w:val="none"/>
              </w:rPr>
              <w:t>的潜在供应商应在“南通市崇川区人民政府网”公示公告栏获取</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，并于</w:t>
            </w:r>
            <w:r>
              <w:rPr>
                <w:rFonts w:hint="eastAsia" w:ascii="宋体" w:hAnsi="宋体" w:eastAsia="宋体" w:cs="宋体"/>
                <w:color w:val="auto"/>
                <w:sz w:val="24"/>
                <w:highlight w:val="none"/>
                <w:u w:val="none"/>
              </w:rPr>
              <w:t>202</w:t>
            </w:r>
            <w:r>
              <w:rPr>
                <w:rFonts w:hint="eastAsia" w:ascii="宋体" w:hAnsi="宋体" w:eastAsia="宋体" w:cs="宋体"/>
                <w:color w:val="auto"/>
                <w:sz w:val="24"/>
                <w:highlight w:val="none"/>
                <w:u w:val="none"/>
                <w:lang w:val="en-US" w:eastAsia="zh-CN"/>
              </w:rPr>
              <w:t>5</w:t>
            </w:r>
            <w:r>
              <w:rPr>
                <w:rFonts w:hint="eastAsia" w:ascii="宋体" w:hAnsi="宋体" w:eastAsia="宋体" w:cs="宋体"/>
                <w:color w:val="auto"/>
                <w:sz w:val="24"/>
                <w:highlight w:val="none"/>
                <w:u w:val="none"/>
              </w:rPr>
              <w:t>年</w:t>
            </w:r>
            <w:r>
              <w:rPr>
                <w:rFonts w:hint="eastAsia" w:ascii="宋体" w:hAnsi="宋体" w:cs="宋体"/>
                <w:color w:val="auto"/>
                <w:sz w:val="24"/>
                <w:highlight w:val="none"/>
                <w:u w:val="none"/>
                <w:lang w:val="en-US" w:eastAsia="zh-CN"/>
              </w:rPr>
              <w:t>7</w:t>
            </w:r>
            <w:r>
              <w:rPr>
                <w:rFonts w:hint="eastAsia" w:ascii="宋体" w:hAnsi="宋体" w:eastAsia="宋体" w:cs="宋体"/>
                <w:color w:val="auto"/>
                <w:sz w:val="24"/>
                <w:highlight w:val="none"/>
                <w:u w:val="none"/>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none"/>
              </w:rPr>
              <w:t>日</w:t>
            </w:r>
            <w:r>
              <w:rPr>
                <w:rFonts w:hint="eastAsia" w:ascii="宋体" w:hAnsi="宋体" w:cs="宋体"/>
                <w:color w:val="auto"/>
                <w:sz w:val="24"/>
                <w:highlight w:val="none"/>
                <w:u w:val="none"/>
                <w:lang w:val="en-US" w:eastAsia="zh-CN"/>
              </w:rPr>
              <w:t>14</w:t>
            </w:r>
            <w:r>
              <w:rPr>
                <w:rFonts w:hint="eastAsia" w:ascii="宋体" w:hAnsi="宋体" w:eastAsia="宋体" w:cs="宋体"/>
                <w:color w:val="auto"/>
                <w:sz w:val="24"/>
                <w:highlight w:val="none"/>
                <w:u w:val="none"/>
              </w:rPr>
              <w:t>点</w:t>
            </w:r>
            <w:r>
              <w:rPr>
                <w:rFonts w:hint="eastAsia" w:ascii="宋体" w:hAnsi="宋体" w:eastAsia="宋体" w:cs="宋体"/>
                <w:color w:val="auto"/>
                <w:sz w:val="24"/>
                <w:highlight w:val="none"/>
                <w:u w:val="none"/>
                <w:lang w:val="en-US" w:eastAsia="zh-CN"/>
              </w:rPr>
              <w:t>3</w:t>
            </w:r>
            <w:r>
              <w:rPr>
                <w:rFonts w:hint="eastAsia" w:ascii="宋体" w:hAnsi="宋体" w:eastAsia="宋体" w:cs="宋体"/>
                <w:color w:val="auto"/>
                <w:sz w:val="24"/>
                <w:highlight w:val="none"/>
                <w:u w:val="none"/>
              </w:rPr>
              <w:t>0分</w:t>
            </w:r>
            <w:r>
              <w:rPr>
                <w:rFonts w:hint="eastAsia" w:ascii="宋体" w:hAnsi="宋体" w:eastAsia="宋体" w:cs="宋体"/>
                <w:color w:val="auto"/>
                <w:sz w:val="24"/>
                <w:highlight w:val="none"/>
              </w:rPr>
              <w:t>（北京时间）前提交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w:t>
            </w:r>
          </w:p>
        </w:tc>
      </w:tr>
    </w:tbl>
    <w:p w14:paraId="64EEAA9A">
      <w:pPr>
        <w:widowControl/>
        <w:shd w:val="clear" w:color="auto" w:fill="FFFFFF"/>
        <w:adjustRightInd w:val="0"/>
        <w:snapToGrid w:val="0"/>
        <w:spacing w:line="360" w:lineRule="auto"/>
        <w:ind w:firstLine="510" w:firstLineChars="200"/>
        <w:rPr>
          <w:rFonts w:hint="eastAsia" w:ascii="宋体" w:hAnsi="宋体" w:eastAsia="宋体" w:cs="宋体"/>
          <w:b/>
          <w:color w:val="auto"/>
          <w:spacing w:val="7"/>
          <w:kern w:val="0"/>
          <w:sz w:val="24"/>
          <w:highlight w:val="none"/>
        </w:rPr>
      </w:pPr>
      <w:r>
        <w:rPr>
          <w:rFonts w:hint="eastAsia" w:ascii="宋体" w:hAnsi="宋体" w:eastAsia="宋体" w:cs="宋体"/>
          <w:b/>
          <w:color w:val="auto"/>
          <w:spacing w:val="7"/>
          <w:kern w:val="0"/>
          <w:sz w:val="24"/>
          <w:highlight w:val="none"/>
        </w:rPr>
        <w:t>一、项目基本情况</w:t>
      </w:r>
    </w:p>
    <w:p w14:paraId="61A4C88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年崇川区绿地儿童游乐设施采购项目</w:t>
      </w:r>
    </w:p>
    <w:p w14:paraId="5C4F3DC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24万元</w:t>
      </w:r>
    </w:p>
    <w:p w14:paraId="15EE7B6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采购需求：详见</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第三部分“项目需求”，请仔细研究。</w:t>
      </w:r>
    </w:p>
    <w:p w14:paraId="69C44E48">
      <w:pPr>
        <w:tabs>
          <w:tab w:val="left" w:pos="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bCs/>
          <w:color w:val="auto"/>
          <w:sz w:val="24"/>
          <w:szCs w:val="24"/>
          <w:highlight w:val="none"/>
        </w:rPr>
        <w:t>合同签订后</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天内完成</w:t>
      </w:r>
      <w:r>
        <w:rPr>
          <w:rFonts w:hint="eastAsia" w:ascii="宋体" w:hAnsi="宋体" w:eastAsia="宋体" w:cs="宋体"/>
          <w:bCs/>
          <w:color w:val="auto"/>
          <w:sz w:val="24"/>
          <w:szCs w:val="24"/>
          <w:highlight w:val="none"/>
          <w:lang w:eastAsia="zh-CN"/>
        </w:rPr>
        <w:t>供货及安装</w:t>
      </w:r>
      <w:r>
        <w:rPr>
          <w:rFonts w:hint="eastAsia" w:ascii="宋体" w:hAnsi="宋体" w:eastAsia="宋体" w:cs="宋体"/>
          <w:color w:val="auto"/>
          <w:sz w:val="24"/>
          <w:highlight w:val="none"/>
        </w:rPr>
        <w:t>。</w:t>
      </w:r>
    </w:p>
    <w:p w14:paraId="5EC5ADF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本项目是否接受联合体投标：否。</w:t>
      </w:r>
    </w:p>
    <w:p w14:paraId="704EC2DF">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二、供应商的资格要求：</w:t>
      </w:r>
    </w:p>
    <w:p w14:paraId="6078FB8F">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w:t>
      </w:r>
    </w:p>
    <w:p w14:paraId="52F76193">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2、落实政府采购政策需满足的资格要求：无。</w:t>
      </w:r>
    </w:p>
    <w:p w14:paraId="0E2AF7DB">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3、本项目的特定资格要求：</w:t>
      </w:r>
    </w:p>
    <w:p w14:paraId="232A1B1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（1）投标人须是在中华人民共和国境内注册的具有独立承担民事责任能力的企业法人、其他组织；或具有完全民事行为能力的自然人（法人或其他组织提供营业执照等证明文件，自然人提供身份证复印件）。</w:t>
      </w:r>
    </w:p>
    <w:p w14:paraId="2DB8C9CA">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投标人法定代表人参加投标的，必须提供法定代表人身份证明及法定代表人本人身份证复印件；非法定代表人参加投标的，必须提供法定代表人签字或盖章的授权委托书及法定代表人、被授权人的两人身份证的复印件。</w:t>
      </w:r>
    </w:p>
    <w:p w14:paraId="57FB1EEB">
      <w:pPr>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（3）关于资格文件的声明函（格式参见</w:t>
      </w:r>
      <w:r>
        <w:rPr>
          <w:rFonts w:hint="eastAsia" w:ascii="宋体" w:hAnsi="宋体" w:cs="宋体"/>
          <w:bCs/>
          <w:color w:val="auto"/>
          <w:sz w:val="24"/>
          <w:szCs w:val="24"/>
          <w:highlight w:val="none"/>
          <w:lang w:val="en-US" w:eastAsia="zh-CN"/>
        </w:rPr>
        <w:t>第六部分</w:t>
      </w:r>
      <w:r>
        <w:rPr>
          <w:rFonts w:hint="eastAsia" w:ascii="宋体" w:hAnsi="宋体" w:eastAsia="宋体" w:cs="宋体"/>
          <w:bCs/>
          <w:color w:val="auto"/>
          <w:sz w:val="24"/>
          <w:szCs w:val="24"/>
          <w:highlight w:val="none"/>
        </w:rPr>
        <w:t>）。</w:t>
      </w:r>
    </w:p>
    <w:p w14:paraId="6CF1759E">
      <w:pPr>
        <w:autoSpaceDE w:val="0"/>
        <w:autoSpaceDN w:val="0"/>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具体详见本招标文件《第</w:t>
      </w:r>
      <w:r>
        <w:rPr>
          <w:rFonts w:hint="eastAsia" w:ascii="宋体" w:hAnsi="宋体" w:eastAsia="宋体" w:cs="宋体"/>
          <w:b/>
          <w:bCs/>
          <w:color w:val="auto"/>
          <w:sz w:val="24"/>
          <w:szCs w:val="24"/>
          <w:highlight w:val="none"/>
          <w:lang w:eastAsia="zh-CN"/>
        </w:rPr>
        <w:t>六部分</w:t>
      </w:r>
      <w:r>
        <w:rPr>
          <w:rFonts w:hint="eastAsia" w:ascii="宋体" w:hAnsi="宋体" w:eastAsia="宋体" w:cs="宋体"/>
          <w:b/>
          <w:bCs/>
          <w:color w:val="auto"/>
          <w:sz w:val="24"/>
          <w:szCs w:val="24"/>
          <w:highlight w:val="none"/>
          <w:lang w:val="en-US" w:eastAsia="zh-CN"/>
        </w:rPr>
        <w:t xml:space="preserve"> 投标文件组成及格式</w:t>
      </w:r>
      <w:r>
        <w:rPr>
          <w:rFonts w:hint="eastAsia" w:ascii="宋体" w:hAnsi="宋体" w:eastAsia="宋体" w:cs="宋体"/>
          <w:b/>
          <w:bCs/>
          <w:color w:val="auto"/>
          <w:sz w:val="24"/>
          <w:szCs w:val="24"/>
          <w:highlight w:val="none"/>
        </w:rPr>
        <w:t>》中的资格审查文件要求。</w:t>
      </w:r>
    </w:p>
    <w:p w14:paraId="25D748E4">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特别提醒】请投标人认真对照资格条件，如不符合要求的，无意或故意参与投标所产生的一切后果由投标人自行承担，开标过程中，投标人提供的相关证件为虚假或伪造，或者其他人员持法定代表人或授权委托人的身份证参与投标，该投标人将记入不良记录，并上报有关部门，如已中标，采购人有权取消其中标资格，并由该投标人承担由此带来可能的一切责任和损失。</w:t>
      </w:r>
    </w:p>
    <w:p w14:paraId="66484894">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p>
    <w:p w14:paraId="5D011576">
      <w:pPr>
        <w:spacing w:line="360" w:lineRule="auto"/>
        <w:ind w:firstLineChars="200"/>
        <w:rPr>
          <w:rFonts w:hint="eastAsia" w:ascii="宋体" w:hAnsi="宋体" w:eastAsia="宋体" w:cs="宋体"/>
          <w:bCs/>
          <w:i w:val="0"/>
          <w:iCs w:val="0"/>
          <w:caps w:val="0"/>
          <w:color w:val="auto"/>
          <w:spacing w:val="0"/>
          <w:sz w:val="24"/>
          <w:szCs w:val="24"/>
          <w:highlight w:val="none"/>
        </w:rPr>
      </w:pPr>
      <w:r>
        <w:rPr>
          <w:rFonts w:hint="eastAsia" w:ascii="宋体" w:hAnsi="宋体" w:eastAsia="宋体" w:cs="宋体"/>
          <w:bCs/>
          <w:i w:val="0"/>
          <w:iCs w:val="0"/>
          <w:caps w:val="0"/>
          <w:color w:val="auto"/>
          <w:spacing w:val="0"/>
          <w:sz w:val="24"/>
          <w:szCs w:val="24"/>
          <w:highlight w:val="none"/>
          <w:lang w:val="en-US"/>
        </w:rPr>
        <w:t>1</w:t>
      </w:r>
      <w:r>
        <w:rPr>
          <w:rFonts w:hint="eastAsia" w:ascii="宋体" w:hAnsi="宋体" w:eastAsia="宋体" w:cs="宋体"/>
          <w:color w:val="auto"/>
          <w:kern w:val="0"/>
          <w:sz w:val="24"/>
          <w:highlight w:val="none"/>
        </w:rPr>
        <w:t>、</w:t>
      </w:r>
      <w:r>
        <w:rPr>
          <w:rFonts w:hint="eastAsia" w:ascii="宋体" w:hAnsi="宋体" w:eastAsia="宋体" w:cs="宋体"/>
          <w:bCs/>
          <w:i w:val="0"/>
          <w:iCs w:val="0"/>
          <w:caps w:val="0"/>
          <w:color w:val="auto"/>
          <w:spacing w:val="0"/>
          <w:sz w:val="24"/>
          <w:szCs w:val="24"/>
          <w:highlight w:val="none"/>
        </w:rPr>
        <w:t>自招标公告上网发布之时起至投标截止时间前自行在</w:t>
      </w:r>
      <w:r>
        <w:rPr>
          <w:rFonts w:hint="eastAsia" w:ascii="宋体" w:hAnsi="宋体" w:eastAsia="宋体" w:cs="宋体"/>
          <w:bCs/>
          <w:color w:val="auto"/>
          <w:sz w:val="24"/>
          <w:highlight w:val="none"/>
        </w:rPr>
        <w:t>“南通市崇川区人民政府网”公示公告栏</w:t>
      </w:r>
      <w:r>
        <w:rPr>
          <w:rFonts w:hint="eastAsia" w:ascii="宋体" w:hAnsi="宋体" w:eastAsia="宋体" w:cs="宋体"/>
          <w:bCs/>
          <w:i w:val="0"/>
          <w:iCs w:val="0"/>
          <w:caps w:val="0"/>
          <w:color w:val="auto"/>
          <w:spacing w:val="0"/>
          <w:sz w:val="24"/>
          <w:szCs w:val="24"/>
          <w:highlight w:val="none"/>
        </w:rPr>
        <w:t>下载。</w:t>
      </w:r>
    </w:p>
    <w:p w14:paraId="091C4034">
      <w:pPr>
        <w:spacing w:line="360" w:lineRule="auto"/>
        <w:ind w:firstLineChars="200"/>
        <w:rPr>
          <w:rFonts w:hint="eastAsia" w:ascii="宋体" w:hAnsi="宋体" w:eastAsia="宋体" w:cs="宋体"/>
          <w:bCs/>
          <w:i w:val="0"/>
          <w:iCs w:val="0"/>
          <w:caps w:val="0"/>
          <w:color w:val="auto"/>
          <w:spacing w:val="0"/>
          <w:sz w:val="24"/>
          <w:szCs w:val="24"/>
          <w:highlight w:val="none"/>
        </w:rPr>
      </w:pPr>
      <w:r>
        <w:rPr>
          <w:rFonts w:hint="eastAsia" w:ascii="宋体" w:hAnsi="宋体" w:eastAsia="宋体" w:cs="宋体"/>
          <w:bCs/>
          <w:i w:val="0"/>
          <w:iCs w:val="0"/>
          <w:caps w:val="0"/>
          <w:color w:val="auto"/>
          <w:spacing w:val="0"/>
          <w:sz w:val="24"/>
          <w:szCs w:val="24"/>
          <w:highlight w:val="none"/>
          <w:lang w:val="en-US"/>
        </w:rPr>
        <w:t>2</w:t>
      </w:r>
      <w:r>
        <w:rPr>
          <w:rFonts w:hint="eastAsia" w:ascii="宋体" w:hAnsi="宋体" w:eastAsia="宋体" w:cs="宋体"/>
          <w:color w:val="auto"/>
          <w:kern w:val="0"/>
          <w:sz w:val="24"/>
          <w:highlight w:val="none"/>
        </w:rPr>
        <w:t>、</w:t>
      </w:r>
      <w:r>
        <w:rPr>
          <w:rFonts w:hint="eastAsia" w:ascii="宋体" w:hAnsi="宋体" w:eastAsia="宋体" w:cs="宋体"/>
          <w:bCs/>
          <w:i w:val="0"/>
          <w:iCs w:val="0"/>
          <w:caps w:val="0"/>
          <w:color w:val="auto"/>
          <w:spacing w:val="0"/>
          <w:sz w:val="24"/>
          <w:szCs w:val="24"/>
          <w:highlight w:val="none"/>
        </w:rPr>
        <w:t>报名时间：自招标公告上网发布之时起至</w:t>
      </w:r>
      <w:r>
        <w:rPr>
          <w:rFonts w:hint="eastAsia" w:ascii="宋体" w:hAnsi="宋体" w:eastAsia="宋体" w:cs="宋体"/>
          <w:bCs/>
          <w:i w:val="0"/>
          <w:iCs w:val="0"/>
          <w:caps w:val="0"/>
          <w:color w:val="auto"/>
          <w:spacing w:val="0"/>
          <w:sz w:val="24"/>
          <w:szCs w:val="24"/>
          <w:highlight w:val="none"/>
          <w:lang w:val="en-US"/>
        </w:rPr>
        <w:t>202</w:t>
      </w:r>
      <w:r>
        <w:rPr>
          <w:rFonts w:hint="eastAsia" w:ascii="宋体" w:hAnsi="宋体" w:eastAsia="宋体" w:cs="宋体"/>
          <w:bCs/>
          <w:i w:val="0"/>
          <w:iCs w:val="0"/>
          <w:caps w:val="0"/>
          <w:color w:val="auto"/>
          <w:spacing w:val="0"/>
          <w:sz w:val="24"/>
          <w:szCs w:val="24"/>
          <w:highlight w:val="none"/>
          <w:lang w:val="en-US" w:eastAsia="zh-CN"/>
        </w:rPr>
        <w:t>5</w:t>
      </w:r>
      <w:r>
        <w:rPr>
          <w:rFonts w:hint="eastAsia" w:ascii="宋体" w:hAnsi="宋体" w:eastAsia="宋体" w:cs="宋体"/>
          <w:bCs/>
          <w:i w:val="0"/>
          <w:iCs w:val="0"/>
          <w:caps w:val="0"/>
          <w:color w:val="auto"/>
          <w:spacing w:val="0"/>
          <w:sz w:val="24"/>
          <w:szCs w:val="24"/>
          <w:highlight w:val="none"/>
        </w:rPr>
        <w:t>年</w:t>
      </w:r>
      <w:r>
        <w:rPr>
          <w:rFonts w:hint="eastAsia" w:ascii="宋体" w:hAnsi="宋体" w:cs="宋体"/>
          <w:bCs/>
          <w:i w:val="0"/>
          <w:iCs w:val="0"/>
          <w:caps w:val="0"/>
          <w:color w:val="auto"/>
          <w:spacing w:val="0"/>
          <w:sz w:val="24"/>
          <w:szCs w:val="24"/>
          <w:highlight w:val="none"/>
          <w:lang w:val="en-US" w:eastAsia="zh-CN"/>
        </w:rPr>
        <w:t>7</w:t>
      </w:r>
      <w:r>
        <w:rPr>
          <w:rFonts w:hint="eastAsia" w:ascii="宋体" w:hAnsi="宋体" w:eastAsia="宋体" w:cs="宋体"/>
          <w:bCs/>
          <w:i w:val="0"/>
          <w:iCs w:val="0"/>
          <w:caps w:val="0"/>
          <w:color w:val="auto"/>
          <w:spacing w:val="0"/>
          <w:sz w:val="24"/>
          <w:szCs w:val="24"/>
          <w:highlight w:val="none"/>
        </w:rPr>
        <w:t>月</w:t>
      </w:r>
      <w:r>
        <w:rPr>
          <w:rFonts w:hint="eastAsia" w:ascii="宋体" w:hAnsi="宋体" w:cs="宋体"/>
          <w:bCs/>
          <w:i w:val="0"/>
          <w:iCs w:val="0"/>
          <w:caps w:val="0"/>
          <w:color w:val="auto"/>
          <w:spacing w:val="0"/>
          <w:sz w:val="24"/>
          <w:szCs w:val="24"/>
          <w:highlight w:val="none"/>
          <w:lang w:val="en-US" w:eastAsia="zh-CN"/>
        </w:rPr>
        <w:t>15</w:t>
      </w:r>
      <w:r>
        <w:rPr>
          <w:rFonts w:hint="eastAsia" w:ascii="宋体" w:hAnsi="宋体" w:eastAsia="宋体" w:cs="宋体"/>
          <w:bCs/>
          <w:i w:val="0"/>
          <w:iCs w:val="0"/>
          <w:caps w:val="0"/>
          <w:color w:val="auto"/>
          <w:spacing w:val="0"/>
          <w:sz w:val="24"/>
          <w:szCs w:val="24"/>
          <w:highlight w:val="none"/>
        </w:rPr>
        <w:t>日每日</w:t>
      </w:r>
      <w:r>
        <w:rPr>
          <w:rFonts w:hint="eastAsia" w:ascii="宋体" w:hAnsi="宋体" w:eastAsia="宋体" w:cs="宋体"/>
          <w:bCs/>
          <w:i w:val="0"/>
          <w:iCs w:val="0"/>
          <w:caps w:val="0"/>
          <w:color w:val="auto"/>
          <w:spacing w:val="0"/>
          <w:sz w:val="24"/>
          <w:szCs w:val="24"/>
          <w:highlight w:val="none"/>
          <w:lang w:val="en-US" w:eastAsia="zh-CN"/>
        </w:rPr>
        <w:t>8</w:t>
      </w:r>
      <w:r>
        <w:rPr>
          <w:rFonts w:hint="eastAsia" w:ascii="宋体" w:hAnsi="宋体" w:eastAsia="宋体" w:cs="宋体"/>
          <w:bCs/>
          <w:i w:val="0"/>
          <w:iCs w:val="0"/>
          <w:caps w:val="0"/>
          <w:color w:val="auto"/>
          <w:spacing w:val="0"/>
          <w:sz w:val="24"/>
          <w:szCs w:val="24"/>
          <w:highlight w:val="none"/>
        </w:rPr>
        <w:t>：</w:t>
      </w:r>
      <w:r>
        <w:rPr>
          <w:rFonts w:hint="eastAsia" w:ascii="宋体" w:hAnsi="宋体" w:cs="宋体"/>
          <w:bCs/>
          <w:i w:val="0"/>
          <w:iCs w:val="0"/>
          <w:caps w:val="0"/>
          <w:color w:val="auto"/>
          <w:spacing w:val="0"/>
          <w:sz w:val="24"/>
          <w:szCs w:val="24"/>
          <w:highlight w:val="none"/>
          <w:lang w:val="en-US" w:eastAsia="zh-CN"/>
        </w:rPr>
        <w:t>0</w:t>
      </w:r>
      <w:r>
        <w:rPr>
          <w:rFonts w:hint="eastAsia" w:ascii="宋体" w:hAnsi="宋体" w:eastAsia="宋体" w:cs="宋体"/>
          <w:bCs/>
          <w:i w:val="0"/>
          <w:iCs w:val="0"/>
          <w:caps w:val="0"/>
          <w:color w:val="auto"/>
          <w:spacing w:val="0"/>
          <w:sz w:val="24"/>
          <w:szCs w:val="24"/>
          <w:highlight w:val="none"/>
          <w:lang w:val="en-US"/>
        </w:rPr>
        <w:t>0-1</w:t>
      </w:r>
      <w:r>
        <w:rPr>
          <w:rFonts w:hint="eastAsia" w:ascii="宋体" w:hAnsi="宋体" w:cs="宋体"/>
          <w:bCs/>
          <w:i w:val="0"/>
          <w:iCs w:val="0"/>
          <w:caps w:val="0"/>
          <w:color w:val="auto"/>
          <w:spacing w:val="0"/>
          <w:sz w:val="24"/>
          <w:szCs w:val="24"/>
          <w:highlight w:val="none"/>
          <w:lang w:val="en-US" w:eastAsia="zh-CN"/>
        </w:rPr>
        <w:t>2</w:t>
      </w:r>
      <w:r>
        <w:rPr>
          <w:rFonts w:hint="eastAsia" w:ascii="宋体" w:hAnsi="宋体" w:eastAsia="宋体" w:cs="宋体"/>
          <w:bCs/>
          <w:i w:val="0"/>
          <w:iCs w:val="0"/>
          <w:caps w:val="0"/>
          <w:color w:val="auto"/>
          <w:spacing w:val="0"/>
          <w:sz w:val="24"/>
          <w:szCs w:val="24"/>
          <w:highlight w:val="none"/>
        </w:rPr>
        <w:t>：</w:t>
      </w:r>
      <w:r>
        <w:rPr>
          <w:rFonts w:hint="eastAsia" w:ascii="宋体" w:hAnsi="宋体" w:cs="宋体"/>
          <w:bCs/>
          <w:i w:val="0"/>
          <w:iCs w:val="0"/>
          <w:caps w:val="0"/>
          <w:color w:val="auto"/>
          <w:spacing w:val="0"/>
          <w:sz w:val="24"/>
          <w:szCs w:val="24"/>
          <w:highlight w:val="none"/>
          <w:lang w:val="en-US" w:eastAsia="zh-CN"/>
        </w:rPr>
        <w:t>0</w:t>
      </w:r>
      <w:r>
        <w:rPr>
          <w:rFonts w:hint="eastAsia" w:ascii="宋体" w:hAnsi="宋体" w:eastAsia="宋体" w:cs="宋体"/>
          <w:bCs/>
          <w:i w:val="0"/>
          <w:iCs w:val="0"/>
          <w:caps w:val="0"/>
          <w:color w:val="auto"/>
          <w:spacing w:val="0"/>
          <w:sz w:val="24"/>
          <w:szCs w:val="24"/>
          <w:highlight w:val="none"/>
          <w:lang w:val="en-US"/>
        </w:rPr>
        <w:t>0</w:t>
      </w:r>
      <w:r>
        <w:rPr>
          <w:rFonts w:hint="eastAsia" w:ascii="宋体" w:hAnsi="宋体" w:eastAsia="宋体" w:cs="宋体"/>
          <w:bCs/>
          <w:i w:val="0"/>
          <w:iCs w:val="0"/>
          <w:caps w:val="0"/>
          <w:color w:val="auto"/>
          <w:spacing w:val="0"/>
          <w:sz w:val="24"/>
          <w:szCs w:val="24"/>
          <w:highlight w:val="none"/>
        </w:rPr>
        <w:t>，</w:t>
      </w:r>
      <w:r>
        <w:rPr>
          <w:rFonts w:hint="eastAsia" w:ascii="宋体" w:hAnsi="宋体" w:eastAsia="宋体" w:cs="宋体"/>
          <w:bCs/>
          <w:i w:val="0"/>
          <w:iCs w:val="0"/>
          <w:caps w:val="0"/>
          <w:color w:val="auto"/>
          <w:spacing w:val="0"/>
          <w:sz w:val="24"/>
          <w:szCs w:val="24"/>
          <w:highlight w:val="none"/>
          <w:lang w:val="en-US"/>
        </w:rPr>
        <w:t>1</w:t>
      </w:r>
      <w:r>
        <w:rPr>
          <w:rFonts w:hint="eastAsia" w:ascii="宋体" w:hAnsi="宋体" w:cs="宋体"/>
          <w:bCs/>
          <w:i w:val="0"/>
          <w:iCs w:val="0"/>
          <w:caps w:val="0"/>
          <w:color w:val="auto"/>
          <w:spacing w:val="0"/>
          <w:sz w:val="24"/>
          <w:szCs w:val="24"/>
          <w:highlight w:val="none"/>
          <w:lang w:val="en-US" w:eastAsia="zh-CN"/>
        </w:rPr>
        <w:t>4</w:t>
      </w:r>
      <w:r>
        <w:rPr>
          <w:rFonts w:hint="eastAsia" w:ascii="宋体" w:hAnsi="宋体" w:eastAsia="宋体" w:cs="宋体"/>
          <w:bCs/>
          <w:i w:val="0"/>
          <w:iCs w:val="0"/>
          <w:caps w:val="0"/>
          <w:color w:val="auto"/>
          <w:spacing w:val="0"/>
          <w:sz w:val="24"/>
          <w:szCs w:val="24"/>
          <w:highlight w:val="none"/>
        </w:rPr>
        <w:t>：</w:t>
      </w:r>
      <w:r>
        <w:rPr>
          <w:rFonts w:hint="eastAsia" w:ascii="宋体" w:hAnsi="宋体" w:cs="宋体"/>
          <w:bCs/>
          <w:i w:val="0"/>
          <w:iCs w:val="0"/>
          <w:caps w:val="0"/>
          <w:color w:val="auto"/>
          <w:spacing w:val="0"/>
          <w:sz w:val="24"/>
          <w:szCs w:val="24"/>
          <w:highlight w:val="none"/>
          <w:lang w:val="en-US" w:eastAsia="zh-CN"/>
        </w:rPr>
        <w:t>0</w:t>
      </w:r>
      <w:r>
        <w:rPr>
          <w:rFonts w:hint="eastAsia" w:ascii="宋体" w:hAnsi="宋体" w:eastAsia="宋体" w:cs="宋体"/>
          <w:bCs/>
          <w:i w:val="0"/>
          <w:iCs w:val="0"/>
          <w:caps w:val="0"/>
          <w:color w:val="auto"/>
          <w:spacing w:val="0"/>
          <w:sz w:val="24"/>
          <w:szCs w:val="24"/>
          <w:highlight w:val="none"/>
          <w:lang w:val="en-US"/>
        </w:rPr>
        <w:t>0-1</w:t>
      </w:r>
      <w:r>
        <w:rPr>
          <w:rFonts w:hint="eastAsia" w:ascii="宋体" w:hAnsi="宋体" w:cs="宋体"/>
          <w:bCs/>
          <w:i w:val="0"/>
          <w:iCs w:val="0"/>
          <w:caps w:val="0"/>
          <w:color w:val="auto"/>
          <w:spacing w:val="0"/>
          <w:sz w:val="24"/>
          <w:szCs w:val="24"/>
          <w:highlight w:val="none"/>
          <w:lang w:val="en-US" w:eastAsia="zh-CN"/>
        </w:rPr>
        <w:t>8</w:t>
      </w:r>
      <w:r>
        <w:rPr>
          <w:rFonts w:hint="eastAsia" w:ascii="宋体" w:hAnsi="宋体" w:eastAsia="宋体" w:cs="宋体"/>
          <w:bCs/>
          <w:i w:val="0"/>
          <w:iCs w:val="0"/>
          <w:caps w:val="0"/>
          <w:color w:val="auto"/>
          <w:spacing w:val="0"/>
          <w:sz w:val="24"/>
          <w:szCs w:val="24"/>
          <w:highlight w:val="none"/>
        </w:rPr>
        <w:t>：</w:t>
      </w:r>
      <w:r>
        <w:rPr>
          <w:rFonts w:hint="eastAsia" w:ascii="宋体" w:hAnsi="宋体" w:cs="宋体"/>
          <w:bCs/>
          <w:i w:val="0"/>
          <w:iCs w:val="0"/>
          <w:caps w:val="0"/>
          <w:color w:val="auto"/>
          <w:spacing w:val="0"/>
          <w:sz w:val="24"/>
          <w:szCs w:val="24"/>
          <w:highlight w:val="none"/>
          <w:lang w:val="en-US" w:eastAsia="zh-CN"/>
        </w:rPr>
        <w:t>0</w:t>
      </w:r>
      <w:r>
        <w:rPr>
          <w:rFonts w:hint="eastAsia" w:ascii="宋体" w:hAnsi="宋体" w:eastAsia="宋体" w:cs="宋体"/>
          <w:bCs/>
          <w:i w:val="0"/>
          <w:iCs w:val="0"/>
          <w:caps w:val="0"/>
          <w:color w:val="auto"/>
          <w:spacing w:val="0"/>
          <w:sz w:val="24"/>
          <w:szCs w:val="24"/>
          <w:highlight w:val="none"/>
          <w:lang w:val="en-US"/>
        </w:rPr>
        <w:t>0</w:t>
      </w:r>
      <w:r>
        <w:rPr>
          <w:rFonts w:hint="eastAsia" w:ascii="宋体" w:hAnsi="宋体" w:eastAsia="宋体" w:cs="宋体"/>
          <w:bCs/>
          <w:i w:val="0"/>
          <w:iCs w:val="0"/>
          <w:caps w:val="0"/>
          <w:color w:val="auto"/>
          <w:spacing w:val="0"/>
          <w:sz w:val="24"/>
          <w:szCs w:val="24"/>
          <w:highlight w:val="none"/>
        </w:rPr>
        <w:t>（节假日除外）。</w:t>
      </w:r>
    </w:p>
    <w:p w14:paraId="3B6A6291">
      <w:pPr>
        <w:spacing w:line="360" w:lineRule="auto"/>
        <w:ind w:firstLineChars="200"/>
        <w:rPr>
          <w:rFonts w:hint="eastAsia" w:ascii="宋体" w:hAnsi="宋体" w:eastAsia="宋体" w:cs="宋体"/>
          <w:bCs/>
          <w:i w:val="0"/>
          <w:iCs w:val="0"/>
          <w:caps w:val="0"/>
          <w:color w:val="auto"/>
          <w:spacing w:val="0"/>
          <w:sz w:val="24"/>
          <w:szCs w:val="24"/>
          <w:highlight w:val="none"/>
        </w:rPr>
      </w:pPr>
      <w:r>
        <w:rPr>
          <w:rFonts w:hint="eastAsia" w:ascii="宋体" w:hAnsi="宋体" w:eastAsia="宋体" w:cs="宋体"/>
          <w:bCs/>
          <w:i w:val="0"/>
          <w:iCs w:val="0"/>
          <w:caps w:val="0"/>
          <w:color w:val="auto"/>
          <w:spacing w:val="0"/>
          <w:sz w:val="24"/>
          <w:szCs w:val="24"/>
          <w:highlight w:val="none"/>
          <w:lang w:val="en-US"/>
        </w:rPr>
        <w:t>3</w:t>
      </w:r>
      <w:r>
        <w:rPr>
          <w:rFonts w:hint="eastAsia" w:ascii="宋体" w:hAnsi="宋体" w:eastAsia="宋体" w:cs="宋体"/>
          <w:color w:val="auto"/>
          <w:kern w:val="0"/>
          <w:sz w:val="24"/>
          <w:highlight w:val="none"/>
        </w:rPr>
        <w:t>、</w:t>
      </w:r>
      <w:r>
        <w:rPr>
          <w:rFonts w:hint="eastAsia" w:ascii="宋体" w:hAnsi="宋体" w:eastAsia="宋体" w:cs="宋体"/>
          <w:bCs/>
          <w:i w:val="0"/>
          <w:iCs w:val="0"/>
          <w:caps w:val="0"/>
          <w:color w:val="auto"/>
          <w:spacing w:val="0"/>
          <w:sz w:val="24"/>
          <w:szCs w:val="24"/>
          <w:highlight w:val="none"/>
        </w:rPr>
        <w:t>报名方式：</w:t>
      </w:r>
      <w:r>
        <w:rPr>
          <w:rFonts w:hint="eastAsia" w:ascii="宋体" w:hAnsi="宋体" w:eastAsia="宋体" w:cs="宋体"/>
          <w:bCs/>
          <w:i w:val="0"/>
          <w:iCs w:val="0"/>
          <w:caps w:val="0"/>
          <w:color w:val="auto"/>
          <w:spacing w:val="0"/>
          <w:sz w:val="24"/>
          <w:szCs w:val="24"/>
          <w:highlight w:val="none"/>
          <w:u w:val="none"/>
          <w:lang w:val="en-US"/>
        </w:rPr>
        <w:fldChar w:fldCharType="begin"/>
      </w:r>
      <w:r>
        <w:rPr>
          <w:rFonts w:hint="eastAsia" w:ascii="宋体" w:hAnsi="宋体" w:eastAsia="宋体" w:cs="宋体"/>
          <w:bCs/>
          <w:i w:val="0"/>
          <w:iCs w:val="0"/>
          <w:caps w:val="0"/>
          <w:color w:val="auto"/>
          <w:spacing w:val="0"/>
          <w:sz w:val="24"/>
          <w:szCs w:val="24"/>
          <w:highlight w:val="none"/>
          <w:u w:val="none"/>
          <w:lang w:val="en-US"/>
        </w:rPr>
        <w:instrText xml:space="preserve"> HYPERLINK "mailto:%E5%B0%86%E8%90%A5%E4%B8%9A%E6%89%A7%E7%85%A7%E5%92%8C%E6%8E%88%E6%9D%83%E5%A7%94%E6%89%98%E4%B9%A6%EF%BC%88%E5%90%AB%E8%81%94%E7%B3%BB%E7%94%B5%E8%AF%9D%EF%BC%89%E5%8F%8A%E8%BA%AB%E4%BB%BD%E8%AF%81%E5%A4%8D%E5%8D%B0%E4%BB%B6%E7%9B%96%E7%AB%A0%E5%90%8E%E5%8F%91%E9%80%81xxxxxxx@qq.com%E5%B9%B6%E8%81%94%E7%B3%BB" </w:instrText>
      </w:r>
      <w:r>
        <w:rPr>
          <w:rFonts w:hint="eastAsia" w:ascii="宋体" w:hAnsi="宋体" w:eastAsia="宋体" w:cs="宋体"/>
          <w:bCs/>
          <w:i w:val="0"/>
          <w:iCs w:val="0"/>
          <w:caps w:val="0"/>
          <w:color w:val="auto"/>
          <w:spacing w:val="0"/>
          <w:sz w:val="24"/>
          <w:szCs w:val="24"/>
          <w:highlight w:val="none"/>
          <w:u w:val="none"/>
          <w:lang w:val="en-US"/>
        </w:rPr>
        <w:fldChar w:fldCharType="separate"/>
      </w:r>
      <w:r>
        <w:rPr>
          <w:rFonts w:hint="eastAsia" w:ascii="宋体" w:hAnsi="宋体" w:eastAsia="宋体" w:cs="宋体"/>
          <w:bCs/>
          <w:i w:val="0"/>
          <w:iCs w:val="0"/>
          <w:caps w:val="0"/>
          <w:color w:val="auto"/>
          <w:spacing w:val="0"/>
          <w:sz w:val="24"/>
          <w:szCs w:val="24"/>
          <w:highlight w:val="none"/>
          <w:u w:val="none"/>
          <w:lang w:val="en-US"/>
        </w:rPr>
        <w:t>将营业执照和授权委托书（含联系电话）及身份证复印件盖章后发送</w:t>
      </w:r>
      <w:r>
        <w:rPr>
          <w:rFonts w:hint="eastAsia" w:ascii="宋体" w:hAnsi="宋体" w:eastAsia="宋体" w:cs="宋体"/>
          <w:bCs/>
          <w:snapToGrid/>
          <w:color w:val="auto"/>
          <w:kern w:val="2"/>
          <w:sz w:val="24"/>
          <w:highlight w:val="none"/>
          <w:lang w:val="en-US" w:eastAsia="zh-CN"/>
        </w:rPr>
        <w:t>fgyjszx@163</w:t>
      </w:r>
      <w:r>
        <w:rPr>
          <w:rFonts w:hint="eastAsia" w:ascii="宋体" w:hAnsi="宋体" w:eastAsia="宋体" w:cs="宋体"/>
          <w:bCs/>
          <w:snapToGrid/>
          <w:color w:val="auto"/>
          <w:kern w:val="2"/>
          <w:sz w:val="24"/>
          <w:highlight w:val="none"/>
        </w:rPr>
        <w:t>.com</w:t>
      </w:r>
      <w:r>
        <w:rPr>
          <w:rFonts w:hint="eastAsia" w:ascii="宋体" w:hAnsi="宋体" w:eastAsia="宋体" w:cs="宋体"/>
          <w:bCs/>
          <w:i w:val="0"/>
          <w:iCs w:val="0"/>
          <w:caps w:val="0"/>
          <w:color w:val="auto"/>
          <w:spacing w:val="0"/>
          <w:sz w:val="24"/>
          <w:szCs w:val="24"/>
          <w:highlight w:val="none"/>
          <w:u w:val="none"/>
          <w:lang w:val="en-US"/>
        </w:rPr>
        <w:fldChar w:fldCharType="end"/>
      </w:r>
      <w:r>
        <w:rPr>
          <w:rFonts w:hint="eastAsia" w:ascii="宋体" w:hAnsi="宋体" w:eastAsia="宋体" w:cs="宋体"/>
          <w:bCs/>
          <w:i w:val="0"/>
          <w:iCs w:val="0"/>
          <w:caps w:val="0"/>
          <w:color w:val="auto"/>
          <w:spacing w:val="0"/>
          <w:sz w:val="24"/>
          <w:szCs w:val="24"/>
          <w:highlight w:val="none"/>
        </w:rPr>
        <w:t>，</w:t>
      </w:r>
      <w:r>
        <w:rPr>
          <w:rFonts w:hint="eastAsia" w:ascii="宋体" w:hAnsi="宋体" w:eastAsia="宋体" w:cs="宋体"/>
          <w:bCs/>
          <w:color w:val="auto"/>
          <w:sz w:val="24"/>
          <w:highlight w:val="none"/>
        </w:rPr>
        <w:t>并致电代理机构确认邮件送达</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是否参与本次采购项目</w:t>
      </w:r>
      <w:r>
        <w:rPr>
          <w:rFonts w:hint="eastAsia" w:ascii="宋体" w:hAnsi="宋体" w:eastAsia="宋体" w:cs="宋体"/>
          <w:bCs/>
          <w:color w:val="auto"/>
          <w:sz w:val="24"/>
          <w:highlight w:val="none"/>
          <w:lang w:eastAsia="zh-CN"/>
        </w:rPr>
        <w:t>等</w:t>
      </w:r>
      <w:r>
        <w:rPr>
          <w:rFonts w:hint="eastAsia" w:ascii="宋体" w:hAnsi="宋体" w:eastAsia="宋体" w:cs="宋体"/>
          <w:bCs/>
          <w:color w:val="auto"/>
          <w:sz w:val="24"/>
          <w:highlight w:val="none"/>
        </w:rPr>
        <w:t>相关事宜</w:t>
      </w:r>
      <w:r>
        <w:rPr>
          <w:rFonts w:hint="eastAsia" w:ascii="宋体" w:hAnsi="宋体" w:eastAsia="宋体" w:cs="宋体"/>
          <w:bCs/>
          <w:i w:val="0"/>
          <w:iCs w:val="0"/>
          <w:caps w:val="0"/>
          <w:color w:val="auto"/>
          <w:spacing w:val="0"/>
          <w:sz w:val="24"/>
          <w:szCs w:val="24"/>
          <w:highlight w:val="none"/>
        </w:rPr>
        <w:t>。</w:t>
      </w:r>
      <w:r>
        <w:rPr>
          <w:rFonts w:hint="eastAsia" w:ascii="宋体" w:hAnsi="宋体" w:eastAsia="宋体" w:cs="宋体"/>
          <w:bCs/>
          <w:color w:val="auto"/>
          <w:sz w:val="24"/>
          <w:highlight w:val="none"/>
        </w:rPr>
        <w:t>（联系人：</w:t>
      </w:r>
      <w:r>
        <w:rPr>
          <w:rFonts w:hint="eastAsia" w:ascii="宋体" w:hAnsi="宋体" w:cs="宋体"/>
          <w:bCs/>
          <w:color w:val="auto"/>
          <w:sz w:val="24"/>
          <w:highlight w:val="none"/>
          <w:lang w:eastAsia="zh-CN"/>
        </w:rPr>
        <w:t>严工</w:t>
      </w:r>
      <w:r>
        <w:rPr>
          <w:rFonts w:hint="eastAsia" w:ascii="宋体" w:hAnsi="宋体" w:eastAsia="宋体" w:cs="宋体"/>
          <w:bCs/>
          <w:color w:val="auto"/>
          <w:sz w:val="24"/>
          <w:highlight w:val="none"/>
        </w:rPr>
        <w:t>，联系电话：</w:t>
      </w:r>
      <w:r>
        <w:rPr>
          <w:rFonts w:hint="eastAsia" w:ascii="宋体" w:hAnsi="宋体" w:cs="宋体"/>
          <w:bCs/>
          <w:color w:val="auto"/>
          <w:sz w:val="24"/>
          <w:highlight w:val="none"/>
          <w:lang w:val="en-US" w:eastAsia="zh-CN"/>
        </w:rPr>
        <w:t>13962980670</w:t>
      </w:r>
      <w:r>
        <w:rPr>
          <w:rFonts w:hint="eastAsia" w:ascii="宋体" w:hAnsi="宋体" w:eastAsia="宋体" w:cs="宋体"/>
          <w:bCs/>
          <w:color w:val="auto"/>
          <w:sz w:val="24"/>
          <w:highlight w:val="none"/>
        </w:rPr>
        <w:t>）</w:t>
      </w:r>
    </w:p>
    <w:p w14:paraId="29836CD5">
      <w:pPr>
        <w:adjustRightInd w:val="0"/>
        <w:snapToGrid w:val="0"/>
        <w:spacing w:line="360" w:lineRule="auto"/>
        <w:ind w:firstLine="482" w:firstLineChars="200"/>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4</w:t>
      </w:r>
      <w:r>
        <w:rPr>
          <w:rFonts w:hint="eastAsia" w:ascii="宋体" w:hAnsi="宋体" w:eastAsia="宋体" w:cs="宋体"/>
          <w:b/>
          <w:color w:val="auto"/>
          <w:kern w:val="0"/>
          <w:sz w:val="24"/>
          <w:highlight w:val="none"/>
        </w:rPr>
        <w:t>、</w:t>
      </w:r>
      <w:r>
        <w:rPr>
          <w:rFonts w:ascii="宋体" w:hAnsi="宋体" w:eastAsia="宋体" w:cs="宋体"/>
          <w:b/>
          <w:bCs w:val="0"/>
          <w:color w:val="auto"/>
          <w:sz w:val="24"/>
          <w:szCs w:val="24"/>
        </w:rPr>
        <w:t>未按要求获取</w:t>
      </w:r>
      <w:r>
        <w:rPr>
          <w:rFonts w:hint="eastAsia" w:ascii="宋体" w:hAnsi="宋体" w:eastAsia="宋体" w:cs="宋体"/>
          <w:b/>
          <w:bCs w:val="0"/>
          <w:color w:val="auto"/>
          <w:sz w:val="24"/>
          <w:szCs w:val="24"/>
          <w:lang w:val="en-US" w:eastAsia="zh-CN"/>
        </w:rPr>
        <w:t>招标</w:t>
      </w:r>
      <w:r>
        <w:rPr>
          <w:rFonts w:ascii="宋体" w:hAnsi="宋体" w:eastAsia="宋体" w:cs="宋体"/>
          <w:b/>
          <w:bCs w:val="0"/>
          <w:color w:val="auto"/>
          <w:sz w:val="24"/>
          <w:szCs w:val="24"/>
        </w:rPr>
        <w:t>文件的供应商不得参与本项目</w:t>
      </w:r>
      <w:r>
        <w:rPr>
          <w:rFonts w:hint="eastAsia" w:ascii="宋体" w:hAnsi="宋体" w:eastAsia="宋体" w:cs="宋体"/>
          <w:b/>
          <w:bCs w:val="0"/>
          <w:color w:val="auto"/>
          <w:sz w:val="24"/>
          <w:szCs w:val="24"/>
          <w:lang w:eastAsia="zh-CN"/>
        </w:rPr>
        <w:t>投标</w:t>
      </w:r>
      <w:r>
        <w:rPr>
          <w:rFonts w:ascii="宋体" w:hAnsi="宋体" w:eastAsia="宋体" w:cs="宋体"/>
          <w:b/>
          <w:bCs w:val="0"/>
          <w:color w:val="auto"/>
          <w:sz w:val="24"/>
          <w:szCs w:val="24"/>
        </w:rPr>
        <w:t>。</w:t>
      </w:r>
    </w:p>
    <w:p w14:paraId="60AFDD4D">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四、投标</w:t>
      </w:r>
    </w:p>
    <w:p w14:paraId="1428D9C2">
      <w:pPr>
        <w:adjustRightInd w:val="0"/>
        <w:snapToGrid w:val="0"/>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1、投标人须认真阅读本招标文件的资格、商务技术、报价的各项要求条款，结合项目需求提供投标文件及样品参与本项目的采购活动。</w:t>
      </w:r>
    </w:p>
    <w:p w14:paraId="0E1A3C4C">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2、投标文件及样品的递交</w:t>
      </w:r>
    </w:p>
    <w:p w14:paraId="0A74B4CB">
      <w:pPr>
        <w:tabs>
          <w:tab w:val="left" w:pos="3100"/>
          <w:tab w:val="left" w:pos="3460"/>
          <w:tab w:val="left" w:pos="3700"/>
          <w:tab w:val="left" w:pos="4060"/>
          <w:tab w:val="left" w:pos="4300"/>
          <w:tab w:val="left" w:pos="4900"/>
          <w:tab w:val="left" w:pos="8025"/>
          <w:tab w:val="left" w:pos="8260"/>
          <w:tab w:val="left" w:pos="8500"/>
        </w:tabs>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投标文件（含样品）收件人：采购代理机构</w:t>
      </w:r>
    </w:p>
    <w:p w14:paraId="0042C007">
      <w:pPr>
        <w:tabs>
          <w:tab w:val="left" w:pos="3100"/>
          <w:tab w:val="left" w:pos="3460"/>
          <w:tab w:val="left" w:pos="3700"/>
          <w:tab w:val="left" w:pos="4060"/>
          <w:tab w:val="left" w:pos="4300"/>
          <w:tab w:val="left" w:pos="4900"/>
          <w:tab w:val="left" w:pos="8025"/>
          <w:tab w:val="left" w:pos="8260"/>
          <w:tab w:val="left" w:pos="8500"/>
        </w:tabs>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投标文件（含样品）递交的截止时间：</w:t>
      </w:r>
      <w:r>
        <w:rPr>
          <w:rFonts w:hint="eastAsia" w:ascii="宋体" w:hAnsi="宋体" w:eastAsia="宋体" w:cs="宋体"/>
          <w:bCs/>
          <w:color w:val="auto"/>
          <w:sz w:val="24"/>
          <w:highlight w:val="none"/>
          <w:u w:val="none"/>
        </w:rPr>
        <w:t>202</w:t>
      </w:r>
      <w:r>
        <w:rPr>
          <w:rFonts w:hint="eastAsia" w:ascii="宋体" w:hAnsi="宋体" w:eastAsia="宋体" w:cs="宋体"/>
          <w:bCs/>
          <w:color w:val="auto"/>
          <w:sz w:val="24"/>
          <w:highlight w:val="none"/>
          <w:u w:val="none"/>
          <w:lang w:val="en-US" w:eastAsia="zh-CN"/>
        </w:rPr>
        <w:t>5</w:t>
      </w:r>
      <w:r>
        <w:rPr>
          <w:rFonts w:hint="eastAsia" w:ascii="宋体" w:hAnsi="宋体" w:eastAsia="宋体" w:cs="宋体"/>
          <w:bCs/>
          <w:color w:val="auto"/>
          <w:sz w:val="24"/>
          <w:highlight w:val="none"/>
          <w:u w:val="none"/>
        </w:rPr>
        <w:t>年</w:t>
      </w:r>
      <w:r>
        <w:rPr>
          <w:rFonts w:hint="eastAsia" w:ascii="宋体" w:hAnsi="宋体" w:cs="宋体"/>
          <w:bCs/>
          <w:color w:val="auto"/>
          <w:sz w:val="24"/>
          <w:highlight w:val="none"/>
          <w:u w:val="none"/>
          <w:lang w:val="en-US" w:eastAsia="zh-CN"/>
        </w:rPr>
        <w:t>7</w:t>
      </w:r>
      <w:r>
        <w:rPr>
          <w:rFonts w:hint="eastAsia" w:ascii="宋体" w:hAnsi="宋体" w:eastAsia="宋体" w:cs="宋体"/>
          <w:bCs/>
          <w:color w:val="auto"/>
          <w:sz w:val="24"/>
          <w:highlight w:val="none"/>
          <w:u w:val="none"/>
        </w:rPr>
        <w:t>月</w:t>
      </w:r>
      <w:r>
        <w:rPr>
          <w:rFonts w:hint="eastAsia" w:ascii="宋体" w:hAnsi="宋体" w:cs="宋体"/>
          <w:bCs/>
          <w:color w:val="auto"/>
          <w:sz w:val="24"/>
          <w:highlight w:val="none"/>
          <w:u w:val="none"/>
          <w:lang w:val="en-US" w:eastAsia="zh-CN"/>
        </w:rPr>
        <w:t>29</w:t>
      </w:r>
      <w:r>
        <w:rPr>
          <w:rFonts w:hint="eastAsia" w:ascii="宋体" w:hAnsi="宋体" w:eastAsia="宋体" w:cs="宋体"/>
          <w:bCs/>
          <w:color w:val="auto"/>
          <w:sz w:val="24"/>
          <w:highlight w:val="none"/>
          <w:u w:val="none"/>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时30分</w:t>
      </w:r>
      <w:r>
        <w:rPr>
          <w:rFonts w:hint="eastAsia" w:ascii="宋体" w:hAnsi="宋体" w:eastAsia="宋体" w:cs="宋体"/>
          <w:bCs/>
          <w:color w:val="auto"/>
          <w:sz w:val="24"/>
          <w:highlight w:val="none"/>
        </w:rPr>
        <w:t>。</w:t>
      </w:r>
    </w:p>
    <w:p w14:paraId="4C612B0C">
      <w:pPr>
        <w:tabs>
          <w:tab w:val="left" w:pos="3100"/>
          <w:tab w:val="left" w:pos="3460"/>
          <w:tab w:val="left" w:pos="3700"/>
          <w:tab w:val="left" w:pos="4060"/>
          <w:tab w:val="left" w:pos="4300"/>
          <w:tab w:val="left" w:pos="4900"/>
          <w:tab w:val="left" w:pos="8025"/>
          <w:tab w:val="left" w:pos="8260"/>
          <w:tab w:val="left" w:pos="8500"/>
        </w:tabs>
        <w:adjustRightInd w:val="0"/>
        <w:snapToGrid w:val="0"/>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投标文件（含样品）递交的地点：</w:t>
      </w:r>
      <w:r>
        <w:rPr>
          <w:rFonts w:hint="eastAsia" w:ascii="宋体" w:hAnsi="宋体" w:eastAsia="宋体" w:cs="宋体"/>
          <w:color w:val="auto"/>
          <w:kern w:val="0"/>
          <w:sz w:val="24"/>
          <w:highlight w:val="none"/>
        </w:rPr>
        <w:t>江苏方桂圆工程项目管理有限公司会议室（南通市世纪大道18号恒隆国际A幢701室）</w:t>
      </w:r>
      <w:r>
        <w:rPr>
          <w:rFonts w:hint="eastAsia" w:ascii="宋体" w:hAnsi="宋体" w:eastAsia="宋体" w:cs="宋体"/>
          <w:b w:val="0"/>
          <w:bCs/>
          <w:color w:val="auto"/>
          <w:sz w:val="24"/>
          <w:highlight w:val="none"/>
          <w:u w:val="none"/>
        </w:rPr>
        <w:t>，</w:t>
      </w:r>
      <w:r>
        <w:rPr>
          <w:rFonts w:hint="eastAsia" w:ascii="宋体" w:hAnsi="宋体" w:eastAsia="宋体" w:cs="宋体"/>
          <w:b w:val="0"/>
          <w:bCs/>
          <w:color w:val="auto"/>
          <w:sz w:val="24"/>
          <w:highlight w:val="none"/>
        </w:rPr>
        <w:t>如有变动，另行通知。</w:t>
      </w:r>
    </w:p>
    <w:p w14:paraId="566AA1D5">
      <w:pPr>
        <w:adjustRightInd w:val="0"/>
        <w:snapToGrid w:val="0"/>
        <w:spacing w:line="360" w:lineRule="auto"/>
        <w:ind w:firstLine="482" w:firstLineChars="200"/>
        <w:rPr>
          <w:rFonts w:hint="eastAsia" w:ascii="宋体" w:hAnsi="宋体" w:eastAsia="宋体" w:cs="宋体"/>
          <w:b/>
          <w:bCs/>
          <w:color w:val="auto"/>
          <w:sz w:val="24"/>
          <w:highlight w:val="none"/>
        </w:rPr>
      </w:pPr>
      <w:bookmarkStart w:id="0" w:name="_Toc82505656"/>
      <w:r>
        <w:rPr>
          <w:rFonts w:hint="eastAsia" w:ascii="宋体" w:hAnsi="宋体" w:eastAsia="宋体" w:cs="宋体"/>
          <w:b/>
          <w:bCs/>
          <w:color w:val="auto"/>
          <w:sz w:val="24"/>
          <w:highlight w:val="none"/>
        </w:rPr>
        <w:t>五、开</w:t>
      </w:r>
      <w:bookmarkEnd w:id="0"/>
      <w:r>
        <w:rPr>
          <w:rFonts w:hint="eastAsia" w:ascii="宋体" w:hAnsi="宋体" w:eastAsia="宋体" w:cs="宋体"/>
          <w:b/>
          <w:bCs/>
          <w:color w:val="auto"/>
          <w:sz w:val="24"/>
          <w:highlight w:val="none"/>
        </w:rPr>
        <w:t>标</w:t>
      </w:r>
    </w:p>
    <w:p w14:paraId="5E8F3824">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1、开标时间：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时30分。</w:t>
      </w:r>
    </w:p>
    <w:p w14:paraId="64FF4181">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2、开标地点：江苏方桂圆工程项目管理有限公司会议室（南通市世纪大道18号恒隆国际A幢701室），如有变动另行通知。</w:t>
      </w:r>
    </w:p>
    <w:p w14:paraId="20BE867B">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六、公告期限</w:t>
      </w:r>
    </w:p>
    <w:p w14:paraId="09E995B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1、自本公告发布之日起5个工作日。</w:t>
      </w:r>
    </w:p>
    <w:p w14:paraId="43C7E33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本次采购的有关信息将在“南通市崇川区人民政府网”公示公告栏上发布，敬请留意。</w:t>
      </w:r>
    </w:p>
    <w:p w14:paraId="34651B6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潜在供应商在获取本次</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后，认真阅读各项内容。有意愿参与本项目投标响应的供应商须进行必要准备工作，按招标文件的要求详细填写和编制</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，并按招标文件确定的时间、地点准时参加本项目的招标采购活动。</w:t>
      </w:r>
    </w:p>
    <w:p w14:paraId="08FCFB4E">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14:paraId="5F8E4D7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1、投标保证金：免收</w:t>
      </w:r>
    </w:p>
    <w:p w14:paraId="1AB2904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2、对项目需求部分（供应商资格要求、项目需求）的询问、质疑请向采购人提出，由采购人负责答复；对项目</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其它部分的询问请向</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经办人提出。</w:t>
      </w:r>
    </w:p>
    <w:p w14:paraId="54D1AE8B">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4E0525ED">
      <w:pPr>
        <w:widowControl/>
        <w:shd w:val="clear" w:color="auto" w:fill="FFFFFF"/>
        <w:adjustRightInd w:val="0"/>
        <w:snapToGrid w:val="0"/>
        <w:spacing w:line="360" w:lineRule="auto"/>
        <w:ind w:firstLine="510" w:firstLineChars="200"/>
        <w:rPr>
          <w:rFonts w:hint="eastAsia" w:ascii="宋体" w:hAnsi="宋体" w:eastAsia="宋体" w:cs="宋体"/>
          <w:b/>
          <w:color w:val="auto"/>
          <w:spacing w:val="7"/>
          <w:kern w:val="0"/>
          <w:sz w:val="24"/>
          <w:highlight w:val="none"/>
        </w:rPr>
      </w:pPr>
      <w:r>
        <w:rPr>
          <w:rFonts w:hint="eastAsia" w:ascii="宋体" w:hAnsi="宋体" w:eastAsia="宋体" w:cs="宋体"/>
          <w:b/>
          <w:color w:val="auto"/>
          <w:spacing w:val="7"/>
          <w:kern w:val="0"/>
          <w:sz w:val="24"/>
          <w:highlight w:val="none"/>
        </w:rPr>
        <w:t>八、凡对本次采购提出询问，请按以下方式联系。</w:t>
      </w:r>
    </w:p>
    <w:p w14:paraId="0BAFAF8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14:paraId="629BDEDB">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名称：南通市崇川区城市工程建设管理中心</w:t>
      </w:r>
    </w:p>
    <w:p w14:paraId="543D3FCB">
      <w:pPr>
        <w:widowControl/>
        <w:shd w:val="clear" w:color="auto" w:fill="FFFFFF"/>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kern w:val="0"/>
          <w:sz w:val="24"/>
          <w:highlight w:val="none"/>
        </w:rPr>
        <w:t>城港路56号3号楼</w:t>
      </w:r>
    </w:p>
    <w:p w14:paraId="0ACA2ABE">
      <w:pPr>
        <w:widowControl/>
        <w:shd w:val="clear" w:color="auto" w:fill="FFFFFF"/>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kern w:val="0"/>
          <w:sz w:val="24"/>
          <w:highlight w:val="none"/>
        </w:rPr>
        <w:t>石工</w:t>
      </w:r>
    </w:p>
    <w:p w14:paraId="5B940963">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w:t>
      </w:r>
      <w:r>
        <w:rPr>
          <w:rFonts w:hint="eastAsia" w:ascii="宋体" w:hAnsi="宋体" w:eastAsia="宋体" w:cs="宋体"/>
          <w:color w:val="auto"/>
          <w:sz w:val="24"/>
          <w:highlight w:val="none"/>
          <w:lang w:eastAsia="zh-CN"/>
        </w:rPr>
        <w:t>电话</w:t>
      </w:r>
      <w:r>
        <w:rPr>
          <w:rFonts w:hint="eastAsia" w:ascii="宋体" w:hAnsi="宋体" w:eastAsia="宋体" w:cs="宋体"/>
          <w:color w:val="auto"/>
          <w:sz w:val="24"/>
          <w:highlight w:val="none"/>
        </w:rPr>
        <w:t>：0513-89106010</w:t>
      </w:r>
    </w:p>
    <w:p w14:paraId="4E5AA5DE">
      <w:pPr>
        <w:keepNext w:val="0"/>
        <w:keepLines w:val="0"/>
        <w:pageBreakBefore w:val="0"/>
        <w:widowControl/>
        <w:kinsoku/>
        <w:wordWrap/>
        <w:overflowPunct/>
        <w:topLinePunct w:val="0"/>
        <w:bidi w:val="0"/>
        <w:snapToGrid w:val="0"/>
        <w:spacing w:line="360" w:lineRule="auto"/>
        <w:ind w:firstLine="470" w:firstLineChars="19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p>
    <w:p w14:paraId="279767C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江苏方桂圆工程项目管理有限公司</w:t>
      </w:r>
    </w:p>
    <w:p w14:paraId="1ACF3629">
      <w:pPr>
        <w:keepNext w:val="0"/>
        <w:keepLines w:val="0"/>
        <w:pageBreakBefore w:val="0"/>
        <w:widowControl/>
        <w:kinsoku/>
        <w:wordWrap/>
        <w:overflowPunct/>
        <w:topLinePunct w:val="0"/>
        <w:bidi w:val="0"/>
        <w:snapToGrid w:val="0"/>
        <w:spacing w:line="360" w:lineRule="auto"/>
        <w:ind w:firstLine="470" w:firstLineChars="19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地址：南通市世纪大道恒隆国际大厦A座7楼</w:t>
      </w:r>
    </w:p>
    <w:p w14:paraId="2C567103">
      <w:pPr>
        <w:keepNext w:val="0"/>
        <w:keepLines w:val="0"/>
        <w:pageBreakBefore w:val="0"/>
        <w:widowControl/>
        <w:kinsoku/>
        <w:wordWrap/>
        <w:overflowPunct/>
        <w:topLinePunct w:val="0"/>
        <w:bidi w:val="0"/>
        <w:snapToGrid w:val="0"/>
        <w:spacing w:line="360" w:lineRule="auto"/>
        <w:ind w:firstLine="470" w:firstLineChars="19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严工</w:t>
      </w:r>
      <w:r>
        <w:rPr>
          <w:rFonts w:hint="eastAsia" w:ascii="宋体" w:hAnsi="宋体" w:eastAsia="宋体" w:cs="宋体"/>
          <w:color w:val="auto"/>
          <w:sz w:val="24"/>
          <w:highlight w:val="none"/>
        </w:rPr>
        <w:t xml:space="preserve">    </w:t>
      </w:r>
    </w:p>
    <w:p w14:paraId="6E75054E">
      <w:pPr>
        <w:keepNext w:val="0"/>
        <w:keepLines w:val="0"/>
        <w:pageBreakBefore w:val="0"/>
        <w:widowControl/>
        <w:kinsoku/>
        <w:wordWrap/>
        <w:overflowPunct/>
        <w:topLinePunct w:val="0"/>
        <w:bidi w:val="0"/>
        <w:snapToGrid w:val="0"/>
        <w:spacing w:line="360" w:lineRule="auto"/>
        <w:ind w:firstLine="470" w:firstLineChars="196"/>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联系电话：0513-</w:t>
      </w:r>
      <w:r>
        <w:rPr>
          <w:rFonts w:hint="eastAsia" w:ascii="宋体" w:hAnsi="宋体" w:eastAsia="宋体" w:cs="宋体"/>
          <w:color w:val="auto"/>
          <w:sz w:val="24"/>
          <w:szCs w:val="24"/>
          <w:highlight w:val="none"/>
        </w:rPr>
        <w:t>55886288</w:t>
      </w:r>
    </w:p>
    <w:p w14:paraId="2AC54CD7">
      <w:pPr>
        <w:widowControl/>
        <w:shd w:val="clear" w:color="auto" w:fill="FFFFFF"/>
        <w:adjustRightInd w:val="0"/>
        <w:snapToGrid w:val="0"/>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电子</w:t>
      </w: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0"/>
          <w:sz w:val="24"/>
          <w:highlight w:val="none"/>
          <w:lang w:val="en-US" w:eastAsia="zh-CN"/>
        </w:rPr>
        <w:t>fgyjszx@163</w:t>
      </w:r>
      <w:r>
        <w:rPr>
          <w:rFonts w:hint="eastAsia" w:ascii="宋体" w:hAnsi="宋体" w:eastAsia="宋体" w:cs="宋体"/>
          <w:snapToGrid w:val="0"/>
          <w:color w:val="auto"/>
          <w:kern w:val="0"/>
          <w:sz w:val="24"/>
          <w:highlight w:val="none"/>
        </w:rPr>
        <w:t>.com</w:t>
      </w:r>
      <w:r>
        <w:rPr>
          <w:rFonts w:hint="eastAsia" w:ascii="宋体" w:hAnsi="宋体" w:eastAsia="宋体" w:cs="宋体"/>
          <w:color w:val="auto"/>
          <w:sz w:val="24"/>
          <w:highlight w:val="none"/>
        </w:rPr>
        <w:t xml:space="preserve"> </w:t>
      </w:r>
    </w:p>
    <w:p w14:paraId="0F40E604">
      <w:pPr>
        <w:widowControl/>
        <w:shd w:val="clear" w:color="auto" w:fill="FFFFFF"/>
        <w:adjustRightInd w:val="0"/>
        <w:snapToGrid w:val="0"/>
        <w:spacing w:line="360" w:lineRule="auto"/>
        <w:ind w:firstLine="480" w:firstLineChars="200"/>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江苏方桂圆工程项目管理有限公司</w:t>
      </w:r>
    </w:p>
    <w:p w14:paraId="31492EB1">
      <w:pPr>
        <w:adjustRightInd w:val="0"/>
        <w:snapToGrid w:val="0"/>
        <w:spacing w:line="360" w:lineRule="auto"/>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南通市崇川区城市工程建设管理中心</w:t>
      </w:r>
    </w:p>
    <w:p w14:paraId="6583F9C3">
      <w:pPr>
        <w:adjustRightInd w:val="0"/>
        <w:snapToGrid w:val="0"/>
        <w:spacing w:line="360" w:lineRule="auto"/>
        <w:jc w:val="righ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年</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月</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日</w:t>
      </w:r>
    </w:p>
    <w:p w14:paraId="44DC39BF">
      <w:pPr>
        <w:pStyle w:val="1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br w:type="page"/>
      </w:r>
    </w:p>
    <w:p w14:paraId="3AF3C307">
      <w:pPr>
        <w:adjustRightInd w:val="0"/>
        <w:snapToGrid w:val="0"/>
        <w:spacing w:line="480" w:lineRule="exact"/>
        <w:jc w:val="center"/>
        <w:rPr>
          <w:rFonts w:hint="eastAsia" w:ascii="宋体" w:hAnsi="宋体" w:eastAsia="宋体" w:cs="宋体"/>
          <w:color w:val="auto"/>
          <w:sz w:val="24"/>
          <w:highlight w:val="none"/>
          <w:lang w:val="zh-CN"/>
        </w:rPr>
      </w:pPr>
      <w:r>
        <w:rPr>
          <w:rFonts w:hint="eastAsia" w:ascii="宋体" w:hAnsi="宋体" w:eastAsia="宋体" w:cs="宋体"/>
          <w:color w:val="auto"/>
          <w:sz w:val="36"/>
          <w:szCs w:val="36"/>
          <w:highlight w:val="none"/>
          <w:lang w:val="zh-CN"/>
        </w:rPr>
        <w:t>第二部分供应商须知</w:t>
      </w:r>
    </w:p>
    <w:p w14:paraId="4733F08E">
      <w:pPr>
        <w:snapToGrid w:val="0"/>
        <w:spacing w:line="360" w:lineRule="auto"/>
        <w:ind w:firstLine="482" w:firstLineChars="200"/>
        <w:outlineLvl w:val="1"/>
        <w:rPr>
          <w:rFonts w:hint="eastAsia" w:ascii="宋体" w:hAnsi="宋体" w:eastAsia="宋体" w:cs="宋体"/>
          <w:b/>
          <w:color w:val="auto"/>
          <w:sz w:val="24"/>
          <w:highlight w:val="none"/>
        </w:rPr>
      </w:pPr>
      <w:bookmarkStart w:id="1" w:name="_Toc16938529"/>
      <w:bookmarkStart w:id="2" w:name="_Toc513029213"/>
      <w:bookmarkStart w:id="3" w:name="_Toc462564072"/>
      <w:bookmarkStart w:id="4" w:name="_Toc20823285"/>
      <w:bookmarkStart w:id="5" w:name="_Toc120614216"/>
      <w:r>
        <w:rPr>
          <w:rFonts w:hint="eastAsia" w:ascii="宋体" w:hAnsi="宋体" w:eastAsia="宋体" w:cs="宋体"/>
          <w:b/>
          <w:color w:val="auto"/>
          <w:sz w:val="24"/>
          <w:highlight w:val="none"/>
        </w:rPr>
        <w:t>一、说明</w:t>
      </w:r>
    </w:p>
    <w:p w14:paraId="14ECF710">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文件仅适用本采购代理机构组织的采购活动。</w:t>
      </w:r>
    </w:p>
    <w:p w14:paraId="4C176B2D">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2、该次采购活动及因本次</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产生的合同受中国法律制约和保护。</w:t>
      </w:r>
    </w:p>
    <w:p w14:paraId="1CAC5081">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3、本</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的解释权属于南通市崇川区城市工程建设管理中心。</w:t>
      </w:r>
    </w:p>
    <w:p w14:paraId="2AB14872">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4、取得</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的供应商应认真审阅</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中所有的事项、格式、条款和规范要求等，如果供应商没有按照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要求提交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没有对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做出实质性响应，将被拒绝参与该项目的采购活动。</w:t>
      </w:r>
    </w:p>
    <w:p w14:paraId="10EB111A">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5、取得</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的供应商应认真审阅</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中所有的事项、格式、条款和规范要求等，如果供应商没有按照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要求提交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没有对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做出实质性响应，将被拒绝参与该项目的采购活动。</w:t>
      </w:r>
    </w:p>
    <w:p w14:paraId="212BBE8B">
      <w:pPr>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lang w:eastAsia="zh-CN"/>
        </w:rPr>
        <w:t>招标文件</w:t>
      </w:r>
      <w:r>
        <w:rPr>
          <w:rFonts w:hint="eastAsia" w:ascii="宋体" w:hAnsi="宋体" w:eastAsia="宋体" w:cs="宋体"/>
          <w:b/>
          <w:color w:val="auto"/>
          <w:sz w:val="24"/>
          <w:highlight w:val="none"/>
        </w:rPr>
        <w:t>的获取</w:t>
      </w:r>
    </w:p>
    <w:p w14:paraId="16D25BF5">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有意愿参与本项目的单位，请于本公告日起至开标截止前，到“南通市崇川区人民政府网”公示公告栏下载本项目的</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w:t>
      </w:r>
    </w:p>
    <w:p w14:paraId="69AC760B">
      <w:pPr>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w:t>
      </w:r>
      <w:r>
        <w:rPr>
          <w:rFonts w:hint="eastAsia" w:ascii="宋体" w:hAnsi="宋体" w:eastAsia="宋体" w:cs="宋体"/>
          <w:b/>
          <w:color w:val="auto"/>
          <w:sz w:val="24"/>
          <w:highlight w:val="none"/>
          <w:lang w:eastAsia="zh-CN"/>
        </w:rPr>
        <w:t>招标文件</w:t>
      </w:r>
      <w:r>
        <w:rPr>
          <w:rFonts w:hint="eastAsia" w:ascii="宋体" w:hAnsi="宋体" w:eastAsia="宋体" w:cs="宋体"/>
          <w:b/>
          <w:color w:val="auto"/>
          <w:sz w:val="24"/>
          <w:highlight w:val="none"/>
        </w:rPr>
        <w:t>的补充说明、澄清、修改、答疑</w:t>
      </w:r>
    </w:p>
    <w:p w14:paraId="7E18D52E">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1、采购代理机构有权对发出的</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进行必要的补充说明、澄清或修改。</w:t>
      </w:r>
    </w:p>
    <w:p w14:paraId="195E8998">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2、凡涉及</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的补充说明、澄清或修改，均以采购代理机构在“南通市崇川区人民政府网”公示公告栏发布的信息为准。</w:t>
      </w:r>
    </w:p>
    <w:p w14:paraId="60E280B9">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的补充说明、澄清或修改，将构成</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的一部分，对响应的供应商具有约束力。</w:t>
      </w:r>
    </w:p>
    <w:p w14:paraId="6E30381B">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4、澄清或者修改的内容可能影响投标文件编制的，采购人或者采购代理机</w:t>
      </w:r>
    </w:p>
    <w:p w14:paraId="1F91D41A">
      <w:pPr>
        <w:adjustRightInd w:val="0"/>
        <w:snapToGrid w:val="0"/>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构应当在投标截止时间至少15日前，以书面形式通知所有获取招标文件的潜在投标人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不足15日的，采购人或者采购代理机构应当顺延提交投标文件的截止时间。</w:t>
      </w:r>
    </w:p>
    <w:p w14:paraId="4555FCAB">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5、除非采购代理机构以书面的形式对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作出澄清、修改及补充，供应商对涉及</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的任何推论、理解和结论所造成的结果，均由供应商自负。</w:t>
      </w:r>
    </w:p>
    <w:p w14:paraId="45D9BBFF">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视情组织答疑会。如有产生答疑且对</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内容有修改，采购代理机构将按照本须知有关规定，以补充通知的方式发出。</w:t>
      </w:r>
    </w:p>
    <w:bookmarkEnd w:id="1"/>
    <w:bookmarkEnd w:id="2"/>
    <w:bookmarkEnd w:id="3"/>
    <w:bookmarkEnd w:id="4"/>
    <w:bookmarkEnd w:id="5"/>
    <w:p w14:paraId="69F7C7B0">
      <w:pPr>
        <w:autoSpaceDE w:val="0"/>
        <w:autoSpaceDN w:val="0"/>
        <w:adjustRightInd w:val="0"/>
        <w:snapToGrid w:val="0"/>
        <w:spacing w:line="360" w:lineRule="auto"/>
        <w:ind w:firstLine="200"/>
        <w:contextualSpacing/>
        <w:rPr>
          <w:rFonts w:hint="eastAsia" w:ascii="宋体" w:hAnsi="宋体" w:eastAsia="宋体" w:cs="宋体"/>
          <w:b/>
          <w:bCs/>
          <w:color w:val="auto"/>
          <w:sz w:val="24"/>
          <w:highlight w:val="none"/>
        </w:rPr>
      </w:pPr>
      <w:r>
        <w:rPr>
          <w:rFonts w:hint="eastAsia" w:ascii="宋体" w:hAnsi="宋体" w:eastAsia="宋体" w:cs="宋体"/>
          <w:b/>
          <w:color w:val="auto"/>
          <w:kern w:val="0"/>
          <w:sz w:val="24"/>
          <w:highlight w:val="none"/>
        </w:rPr>
        <w:t>三、</w:t>
      </w:r>
      <w:r>
        <w:rPr>
          <w:rFonts w:hint="eastAsia" w:ascii="宋体" w:hAnsi="宋体" w:eastAsia="宋体" w:cs="宋体"/>
          <w:b/>
          <w:bCs/>
          <w:color w:val="auto"/>
          <w:sz w:val="24"/>
          <w:highlight w:val="none"/>
          <w:lang w:val="zh-CN"/>
        </w:rPr>
        <w:t>投标文件的编写、递交</w:t>
      </w:r>
    </w:p>
    <w:p w14:paraId="20633AEB">
      <w:pPr>
        <w:tabs>
          <w:tab w:val="left" w:pos="720"/>
        </w:tabs>
        <w:spacing w:line="360" w:lineRule="auto"/>
        <w:ind w:firstLine="487" w:firstLineChars="202"/>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应包括下列内容，供应商应将</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编制目录：</w:t>
      </w:r>
    </w:p>
    <w:p w14:paraId="73DAC65C">
      <w:pPr>
        <w:tabs>
          <w:tab w:val="left" w:pos="720"/>
        </w:tabs>
        <w:spacing w:line="360" w:lineRule="auto"/>
        <w:ind w:firstLine="484" w:firstLineChars="202"/>
        <w:outlineLvl w:val="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w:t>
      </w:r>
      <w:r>
        <w:rPr>
          <w:rFonts w:hint="eastAsia" w:ascii="宋体" w:hAnsi="宋体" w:eastAsia="宋体" w:cs="宋体"/>
          <w:b w:val="0"/>
          <w:bCs/>
          <w:color w:val="auto"/>
          <w:sz w:val="24"/>
        </w:rPr>
        <w:t>资格审查文件</w:t>
      </w:r>
    </w:p>
    <w:p w14:paraId="71253149">
      <w:pPr>
        <w:adjustRightInd w:val="0"/>
        <w:snapToGrid w:val="0"/>
        <w:spacing w:line="360" w:lineRule="auto"/>
        <w:ind w:firstLine="484" w:firstLineChars="202"/>
        <w:contextualSpacing w:val="0"/>
        <w:outlineLvl w:val="9"/>
        <w:rPr>
          <w:rFonts w:hint="eastAsia" w:ascii="宋体" w:hAnsi="宋体" w:eastAsia="宋体" w:cs="宋体"/>
          <w:color w:val="auto"/>
          <w:sz w:val="24"/>
          <w:szCs w:val="24"/>
          <w:highlight w:val="none"/>
        </w:rPr>
      </w:pPr>
      <w:bookmarkStart w:id="6" w:name="_Hlk127283934"/>
      <w:r>
        <w:rPr>
          <w:rFonts w:hint="eastAsia" w:ascii="宋体" w:hAnsi="宋体" w:eastAsia="宋体" w:cs="宋体"/>
          <w:color w:val="auto"/>
          <w:sz w:val="24"/>
          <w:szCs w:val="24"/>
          <w:highlight w:val="none"/>
        </w:rPr>
        <w:t>1、投标人的营业执照（副本）复印件或其他组织证书复印件或自然人</w:t>
      </w:r>
      <w:r>
        <w:rPr>
          <w:rFonts w:hint="eastAsia" w:ascii="宋体" w:hAnsi="宋体" w:eastAsia="宋体" w:cs="宋体"/>
          <w:bCs w:val="0"/>
          <w:color w:val="auto"/>
          <w:sz w:val="24"/>
          <w:szCs w:val="24"/>
          <w:highlight w:val="none"/>
        </w:rPr>
        <w:t>身份证复印件</w:t>
      </w:r>
      <w:r>
        <w:rPr>
          <w:rFonts w:hint="eastAsia" w:ascii="宋体" w:hAnsi="宋体" w:eastAsia="宋体" w:cs="宋体"/>
          <w:color w:val="auto"/>
          <w:sz w:val="24"/>
          <w:szCs w:val="24"/>
          <w:highlight w:val="none"/>
        </w:rPr>
        <w:t>；</w:t>
      </w:r>
    </w:p>
    <w:p w14:paraId="1AB2B220">
      <w:pPr>
        <w:adjustRightInd w:val="0"/>
        <w:snapToGrid w:val="0"/>
        <w:spacing w:line="360" w:lineRule="auto"/>
        <w:ind w:firstLine="484" w:firstLineChars="202"/>
        <w:contextualSpacing w:val="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投标人法定代表人（或组织负责人）参加投标的，必须提供身份证明及本人身份证复印件；非法定代表人参加投标的，必须提供法定代表人签字或盖章的授权委托书及法定代表人、被授权人的两人身份证的复印件（格式详见附件</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6F6AFDF1">
      <w:pPr>
        <w:adjustRightInd w:val="0"/>
        <w:snapToGrid w:val="0"/>
        <w:spacing w:line="360" w:lineRule="auto"/>
        <w:ind w:firstLine="484" w:firstLineChars="202"/>
        <w:contextualSpacing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3、关于资格文件的声明函（格式详见附件3）。</w:t>
      </w:r>
    </w:p>
    <w:bookmarkEnd w:id="6"/>
    <w:p w14:paraId="684B01DF">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未按照以上要求提供相应资料的视为无效投标。</w:t>
      </w:r>
    </w:p>
    <w:p w14:paraId="42CCEA54">
      <w:pPr>
        <w:numPr>
          <w:ilvl w:val="-1"/>
          <w:numId w:val="0"/>
        </w:numPr>
        <w:adjustRightInd w:val="0"/>
        <w:snapToGrid w:val="0"/>
        <w:spacing w:line="360" w:lineRule="auto"/>
        <w:ind w:firstLine="484" w:firstLineChars="202"/>
        <w:outlineLvl w:val="9"/>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B、</w:t>
      </w:r>
      <w:r>
        <w:rPr>
          <w:rFonts w:hint="eastAsia" w:ascii="宋体" w:hAnsi="宋体" w:eastAsia="宋体" w:cs="宋体"/>
          <w:color w:val="auto"/>
          <w:sz w:val="24"/>
          <w:szCs w:val="24"/>
          <w:highlight w:val="none"/>
        </w:rPr>
        <w:t>商务技术标文件</w:t>
      </w:r>
    </w:p>
    <w:p w14:paraId="5BA14C52">
      <w:pPr>
        <w:adjustRightInd w:val="0"/>
        <w:snapToGrid w:val="0"/>
        <w:spacing w:line="360" w:lineRule="auto"/>
        <w:ind w:firstLine="484" w:firstLineChars="202"/>
        <w:jc w:val="left"/>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1、投标响应函（</w:t>
      </w:r>
      <w:r>
        <w:rPr>
          <w:rFonts w:hint="eastAsia" w:ascii="宋体" w:hAnsi="宋体" w:eastAsia="宋体" w:cs="宋体"/>
          <w:color w:val="auto"/>
          <w:sz w:val="24"/>
          <w:szCs w:val="24"/>
          <w:highlight w:val="none"/>
        </w:rPr>
        <w:t>格式详见附件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bCs w:val="0"/>
          <w:color w:val="auto"/>
          <w:sz w:val="24"/>
          <w:szCs w:val="24"/>
          <w:highlight w:val="none"/>
        </w:rPr>
        <w:t>）</w:t>
      </w:r>
      <w:r>
        <w:rPr>
          <w:rFonts w:hint="eastAsia" w:ascii="宋体" w:hAnsi="宋体" w:cs="宋体"/>
          <w:bCs w:val="0"/>
          <w:color w:val="auto"/>
          <w:sz w:val="24"/>
          <w:szCs w:val="24"/>
          <w:highlight w:val="none"/>
          <w:lang w:eastAsia="zh-CN"/>
        </w:rPr>
        <w:t>；</w:t>
      </w:r>
    </w:p>
    <w:p w14:paraId="2DCAD7EE">
      <w:pPr>
        <w:adjustRightInd w:val="0"/>
        <w:snapToGrid w:val="0"/>
        <w:spacing w:line="360" w:lineRule="auto"/>
        <w:ind w:firstLine="484" w:firstLineChars="202"/>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2、为方便评委评审，请投标人按评标办法中所涉及的事项顺序进行编制，可以补充相关材料（含</w:t>
      </w:r>
      <w:r>
        <w:rPr>
          <w:rFonts w:hint="eastAsia" w:ascii="宋体" w:hAnsi="宋体" w:eastAsia="宋体" w:cs="宋体"/>
          <w:color w:val="auto"/>
          <w:sz w:val="24"/>
          <w:szCs w:val="24"/>
          <w:highlight w:val="none"/>
        </w:rPr>
        <w:t>投标人</w:t>
      </w:r>
      <w:r>
        <w:rPr>
          <w:rFonts w:hint="eastAsia" w:ascii="宋体" w:hAnsi="宋体" w:eastAsia="宋体" w:cs="宋体"/>
          <w:bCs w:val="0"/>
          <w:color w:val="auto"/>
          <w:sz w:val="24"/>
          <w:szCs w:val="24"/>
          <w:highlight w:val="none"/>
        </w:rPr>
        <w:t>一般情况表格式详见附件</w:t>
      </w:r>
      <w:r>
        <w:rPr>
          <w:rFonts w:hint="eastAsia" w:ascii="宋体" w:hAnsi="宋体" w:eastAsia="宋体" w:cs="宋体"/>
          <w:bCs w:val="0"/>
          <w:color w:val="auto"/>
          <w:sz w:val="24"/>
          <w:szCs w:val="24"/>
          <w:highlight w:val="none"/>
          <w:lang w:val="en-US" w:eastAsia="zh-CN"/>
        </w:rPr>
        <w:t>5</w:t>
      </w:r>
      <w:r>
        <w:rPr>
          <w:rFonts w:hint="eastAsia" w:ascii="宋体" w:hAnsi="宋体" w:eastAsia="宋体" w:cs="宋体"/>
          <w:bCs w:val="0"/>
          <w:color w:val="auto"/>
          <w:sz w:val="24"/>
          <w:szCs w:val="24"/>
          <w:highlight w:val="none"/>
        </w:rPr>
        <w:t>）。</w:t>
      </w:r>
    </w:p>
    <w:p w14:paraId="61C3EA4F">
      <w:pPr>
        <w:adjustRightInd w:val="0"/>
        <w:snapToGrid w:val="0"/>
        <w:spacing w:line="360" w:lineRule="auto"/>
        <w:ind w:firstLine="484" w:firstLineChars="202"/>
        <w:outlineLvl w:val="9"/>
        <w:rPr>
          <w:rFonts w:hint="eastAsia" w:ascii="宋体" w:hAnsi="宋体" w:eastAsia="宋体" w:cs="宋体"/>
          <w:color w:val="auto"/>
          <w:sz w:val="24"/>
          <w:highlight w:val="none"/>
        </w:rPr>
      </w:pPr>
      <w:r>
        <w:rPr>
          <w:rFonts w:hint="eastAsia" w:ascii="宋体" w:hAnsi="宋体" w:eastAsia="宋体" w:cs="宋体"/>
          <w:b w:val="0"/>
          <w:color w:val="auto"/>
          <w:sz w:val="24"/>
          <w:highlight w:val="none"/>
          <w:lang w:val="en-US" w:eastAsia="zh-CN"/>
        </w:rPr>
        <w:t>C、</w:t>
      </w:r>
      <w:r>
        <w:rPr>
          <w:rFonts w:hint="eastAsia" w:ascii="宋体" w:hAnsi="宋体" w:eastAsia="宋体" w:cs="宋体"/>
          <w:color w:val="auto"/>
          <w:sz w:val="24"/>
          <w:szCs w:val="24"/>
          <w:highlight w:val="none"/>
        </w:rPr>
        <w:t>价格标</w:t>
      </w:r>
      <w:r>
        <w:rPr>
          <w:rFonts w:hint="eastAsia" w:ascii="宋体" w:hAnsi="宋体" w:eastAsia="宋体" w:cs="宋体"/>
          <w:color w:val="auto"/>
          <w:sz w:val="24"/>
          <w:szCs w:val="24"/>
          <w:highlight w:val="none"/>
          <w:lang w:val="en-US" w:eastAsia="zh-CN"/>
        </w:rPr>
        <w:t>文件</w:t>
      </w:r>
    </w:p>
    <w:p w14:paraId="01477F1E">
      <w:pPr>
        <w:adjustRightInd w:val="0"/>
        <w:snapToGrid w:val="0"/>
        <w:spacing w:line="360" w:lineRule="auto"/>
        <w:ind w:firstLine="484" w:firstLineChars="20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报价总表</w:t>
      </w:r>
      <w:r>
        <w:rPr>
          <w:rFonts w:hint="eastAsia" w:ascii="宋体" w:hAnsi="宋体" w:eastAsia="宋体" w:cs="宋体"/>
          <w:color w:val="auto"/>
          <w:sz w:val="24"/>
          <w:szCs w:val="24"/>
          <w:highlight w:val="none"/>
        </w:rPr>
        <w:t>（格式详见附件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4EE45514">
      <w:pPr>
        <w:adjustRightInd w:val="0"/>
        <w:snapToGrid w:val="0"/>
        <w:spacing w:line="360" w:lineRule="auto"/>
        <w:ind w:firstLine="484" w:firstLineChars="20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2、报价明细表</w:t>
      </w:r>
      <w:r>
        <w:rPr>
          <w:rFonts w:hint="eastAsia" w:ascii="宋体" w:hAnsi="宋体" w:eastAsia="宋体" w:cs="宋体"/>
          <w:color w:val="auto"/>
          <w:sz w:val="24"/>
          <w:szCs w:val="24"/>
          <w:highlight w:val="none"/>
        </w:rPr>
        <w:t>（格式详见附件</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40A70FE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（二）参加响应投标供应商按</w:t>
      </w:r>
      <w:r>
        <w:rPr>
          <w:rFonts w:hint="eastAsia" w:ascii="宋体" w:hAnsi="宋体" w:eastAsia="宋体" w:cs="宋体"/>
          <w:b/>
          <w:bCs/>
          <w:color w:val="auto"/>
          <w:sz w:val="24"/>
          <w:highlight w:val="none"/>
          <w:lang w:eastAsia="zh-CN"/>
        </w:rPr>
        <w:t>招标文件</w:t>
      </w:r>
      <w:r>
        <w:rPr>
          <w:rFonts w:hint="eastAsia" w:ascii="宋体" w:hAnsi="宋体" w:eastAsia="宋体" w:cs="宋体"/>
          <w:b/>
          <w:bCs/>
          <w:color w:val="auto"/>
          <w:sz w:val="24"/>
          <w:highlight w:val="none"/>
        </w:rPr>
        <w:t>要求编写</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，自编目录并连续标注页码，并牢固装订成册。</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均需采用A4纸（图纸等除外），不允许使用活页夹、拉杆夹、文件夹、塑料方便式书脊（插入式或穿孔式）装订。</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不得行间插字、涂改、增删，如修改错漏处，须经参加响应投标供应商法定代表人（或分支机构负责人）或被授权人签字并加盖公章。</w:t>
      </w:r>
    </w:p>
    <w:p w14:paraId="08E6AB9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的</w:t>
      </w:r>
      <w:r>
        <w:rPr>
          <w:rFonts w:hint="eastAsia" w:ascii="宋体" w:hAnsi="宋体" w:eastAsia="宋体" w:cs="宋体"/>
          <w:b/>
          <w:bCs/>
          <w:color w:val="auto"/>
          <w:sz w:val="24"/>
        </w:rPr>
        <w:t>资格审查文件</w:t>
      </w: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4"/>
          <w:highlight w:val="none"/>
        </w:rPr>
        <w:t>商务技术标文件</w:t>
      </w:r>
      <w:r>
        <w:rPr>
          <w:rFonts w:hint="eastAsia" w:ascii="宋体" w:hAnsi="宋体" w:eastAsia="宋体" w:cs="宋体"/>
          <w:b/>
          <w:bCs/>
          <w:color w:val="auto"/>
          <w:sz w:val="24"/>
          <w:lang w:eastAsia="zh-CN"/>
        </w:rPr>
        <w:t>、</w:t>
      </w:r>
      <w:r>
        <w:rPr>
          <w:rFonts w:hint="eastAsia" w:ascii="宋体" w:hAnsi="宋体" w:eastAsia="宋体" w:cs="宋体"/>
          <w:b/>
          <w:bCs/>
          <w:color w:val="auto"/>
          <w:sz w:val="24"/>
          <w:szCs w:val="24"/>
          <w:highlight w:val="none"/>
        </w:rPr>
        <w:t>价格标文件</w:t>
      </w:r>
      <w:r>
        <w:rPr>
          <w:rFonts w:hint="eastAsia" w:ascii="宋体" w:hAnsi="宋体" w:eastAsia="宋体" w:cs="宋体"/>
          <w:b/>
          <w:bCs/>
          <w:color w:val="auto"/>
          <w:sz w:val="24"/>
          <w:highlight w:val="none"/>
        </w:rPr>
        <w:t>各自装订成册。特别提示：价格标</w:t>
      </w:r>
      <w:r>
        <w:rPr>
          <w:rFonts w:hint="eastAsia" w:ascii="宋体" w:hAnsi="宋体" w:eastAsia="宋体" w:cs="宋体"/>
          <w:b/>
          <w:bCs/>
          <w:color w:val="auto"/>
          <w:sz w:val="24"/>
          <w:highlight w:val="none"/>
          <w:lang w:eastAsia="zh-CN"/>
        </w:rPr>
        <w:t>文件</w:t>
      </w:r>
      <w:r>
        <w:rPr>
          <w:rFonts w:hint="eastAsia" w:ascii="宋体" w:hAnsi="宋体" w:eastAsia="宋体" w:cs="宋体"/>
          <w:b/>
          <w:bCs/>
          <w:color w:val="auto"/>
          <w:sz w:val="24"/>
          <w:highlight w:val="none"/>
        </w:rPr>
        <w:t>必须单独装订和封装，不得出现在资格审查文件</w:t>
      </w:r>
      <w:r>
        <w:rPr>
          <w:rFonts w:hint="eastAsia" w:ascii="宋体" w:hAnsi="宋体" w:eastAsia="宋体" w:cs="宋体"/>
          <w:b/>
          <w:bCs/>
          <w:color w:val="auto"/>
          <w:sz w:val="24"/>
          <w:highlight w:val="none"/>
          <w:lang w:eastAsia="zh-CN"/>
        </w:rPr>
        <w:t>及</w:t>
      </w:r>
      <w:r>
        <w:rPr>
          <w:rFonts w:hint="eastAsia" w:ascii="宋体" w:hAnsi="宋体" w:eastAsia="宋体" w:cs="宋体"/>
          <w:b/>
          <w:bCs/>
          <w:color w:val="auto"/>
          <w:sz w:val="24"/>
          <w:szCs w:val="24"/>
          <w:highlight w:val="none"/>
        </w:rPr>
        <w:t>商务技术标文件</w:t>
      </w:r>
      <w:r>
        <w:rPr>
          <w:rFonts w:hint="eastAsia" w:ascii="宋体" w:hAnsi="宋体" w:eastAsia="宋体" w:cs="宋体"/>
          <w:b/>
          <w:bCs/>
          <w:color w:val="auto"/>
          <w:sz w:val="24"/>
          <w:highlight w:val="none"/>
        </w:rPr>
        <w:t>之中。</w:t>
      </w:r>
    </w:p>
    <w:p w14:paraId="5F6860E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四、</w:t>
      </w:r>
      <w:r>
        <w:rPr>
          <w:rFonts w:hint="eastAsia" w:ascii="宋体" w:hAnsi="宋体" w:eastAsia="宋体" w:cs="宋体"/>
          <w:b/>
          <w:color w:val="auto"/>
          <w:sz w:val="24"/>
          <w:highlight w:val="none"/>
          <w:lang w:eastAsia="zh-CN"/>
        </w:rPr>
        <w:t>投标文件</w:t>
      </w:r>
      <w:r>
        <w:rPr>
          <w:rFonts w:hint="eastAsia" w:ascii="宋体" w:hAnsi="宋体" w:eastAsia="宋体" w:cs="宋体"/>
          <w:b/>
          <w:color w:val="auto"/>
          <w:sz w:val="24"/>
          <w:highlight w:val="none"/>
        </w:rPr>
        <w:t>的份数和签署</w:t>
      </w:r>
    </w:p>
    <w:p w14:paraId="5D2057B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1、投标供应商应准备</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份完整的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，其中正本</w:t>
      </w:r>
      <w:r>
        <w:rPr>
          <w:rFonts w:hint="eastAsia" w:ascii="宋体" w:hAnsi="宋体" w:eastAsia="宋体" w:cs="宋体"/>
          <w:color w:val="auto"/>
          <w:sz w:val="24"/>
          <w:highlight w:val="none"/>
          <w:u w:val="single"/>
        </w:rPr>
        <w:t xml:space="preserve"> 壹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份，并标明“正本”或“副本”字样。</w:t>
      </w:r>
    </w:p>
    <w:p w14:paraId="5C66CE1F">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投标文件</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highlight w:val="none"/>
          <w:lang w:val="en-US" w:eastAsia="zh-CN"/>
        </w:rPr>
        <w:t>三</w:t>
      </w:r>
      <w:r>
        <w:rPr>
          <w:rFonts w:hint="eastAsia" w:ascii="宋体" w:hAnsi="宋体" w:eastAsia="宋体" w:cs="宋体"/>
          <w:b w:val="0"/>
          <w:bCs w:val="0"/>
          <w:color w:val="auto"/>
          <w:sz w:val="24"/>
          <w:highlight w:val="none"/>
        </w:rPr>
        <w:t>册密封。第一册为“</w:t>
      </w:r>
      <w:r>
        <w:rPr>
          <w:rFonts w:hint="eastAsia" w:ascii="宋体" w:hAnsi="宋体" w:eastAsia="宋体" w:cs="宋体"/>
          <w:b w:val="0"/>
          <w:bCs w:val="0"/>
          <w:color w:val="auto"/>
          <w:sz w:val="24"/>
        </w:rPr>
        <w:t>资格审查文件</w:t>
      </w:r>
      <w:r>
        <w:rPr>
          <w:rFonts w:hint="eastAsia" w:ascii="宋体" w:hAnsi="宋体" w:eastAsia="宋体" w:cs="宋体"/>
          <w:b w:val="0"/>
          <w:bCs w:val="0"/>
          <w:color w:val="auto"/>
          <w:sz w:val="24"/>
          <w:highlight w:val="none"/>
        </w:rPr>
        <w:t>”，第二册为 “</w:t>
      </w:r>
      <w:r>
        <w:rPr>
          <w:rFonts w:hint="eastAsia" w:ascii="宋体" w:hAnsi="宋体" w:eastAsia="宋体" w:cs="宋体"/>
          <w:b w:val="0"/>
          <w:bCs w:val="0"/>
          <w:color w:val="auto"/>
          <w:sz w:val="24"/>
          <w:szCs w:val="24"/>
          <w:highlight w:val="none"/>
        </w:rPr>
        <w:t>商务技术标文件</w:t>
      </w:r>
      <w:r>
        <w:rPr>
          <w:rFonts w:hint="eastAsia" w:ascii="宋体" w:hAnsi="宋体" w:eastAsia="宋体" w:cs="宋体"/>
          <w:b w:val="0"/>
          <w:bCs w:val="0"/>
          <w:color w:val="auto"/>
          <w:sz w:val="24"/>
          <w:highlight w:val="none"/>
        </w:rPr>
        <w:t>”，第</w:t>
      </w:r>
      <w:r>
        <w:rPr>
          <w:rFonts w:hint="eastAsia" w:ascii="宋体" w:hAnsi="宋体" w:eastAsia="宋体" w:cs="宋体"/>
          <w:b w:val="0"/>
          <w:bCs w:val="0"/>
          <w:color w:val="auto"/>
          <w:sz w:val="24"/>
          <w:highlight w:val="none"/>
          <w:lang w:val="en-US" w:eastAsia="zh-CN"/>
        </w:rPr>
        <w:t>三</w:t>
      </w:r>
      <w:r>
        <w:rPr>
          <w:rFonts w:hint="eastAsia" w:ascii="宋体" w:hAnsi="宋体" w:eastAsia="宋体" w:cs="宋体"/>
          <w:b w:val="0"/>
          <w:bCs w:val="0"/>
          <w:color w:val="auto"/>
          <w:sz w:val="24"/>
          <w:highlight w:val="none"/>
        </w:rPr>
        <w:t>册为“</w:t>
      </w:r>
      <w:r>
        <w:rPr>
          <w:rFonts w:hint="eastAsia" w:ascii="宋体" w:hAnsi="宋体" w:eastAsia="宋体" w:cs="宋体"/>
          <w:b w:val="0"/>
          <w:bCs w:val="0"/>
          <w:color w:val="auto"/>
          <w:sz w:val="24"/>
          <w:szCs w:val="24"/>
          <w:highlight w:val="none"/>
        </w:rPr>
        <w:t>价格标文件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，投标文件</w:t>
      </w:r>
      <w:r>
        <w:rPr>
          <w:rFonts w:hint="eastAsia" w:ascii="宋体" w:hAnsi="宋体" w:eastAsia="宋体" w:cs="宋体"/>
          <w:b w:val="0"/>
          <w:bCs w:val="0"/>
          <w:color w:val="auto"/>
          <w:sz w:val="24"/>
          <w:highlight w:val="none"/>
        </w:rPr>
        <w:t>的第一册、第二册</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第三册</w:t>
      </w:r>
      <w:r>
        <w:rPr>
          <w:rFonts w:hint="eastAsia" w:ascii="宋体" w:hAnsi="宋体" w:eastAsia="宋体" w:cs="宋体"/>
          <w:b w:val="0"/>
          <w:bCs w:val="0"/>
          <w:color w:val="auto"/>
          <w:sz w:val="24"/>
          <w:highlight w:val="none"/>
        </w:rPr>
        <w:t>应分别密封，并在封袋上标明“</w:t>
      </w:r>
      <w:r>
        <w:rPr>
          <w:rFonts w:hint="eastAsia" w:ascii="宋体" w:hAnsi="宋体" w:eastAsia="宋体" w:cs="宋体"/>
          <w:b w:val="0"/>
          <w:bCs w:val="0"/>
          <w:color w:val="auto"/>
          <w:sz w:val="24"/>
        </w:rPr>
        <w:t>资格审查文件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szCs w:val="24"/>
          <w:highlight w:val="none"/>
        </w:rPr>
        <w:t>商务技术标文件</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szCs w:val="24"/>
          <w:highlight w:val="none"/>
        </w:rPr>
        <w:t>价格标文件</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w:t>
      </w:r>
    </w:p>
    <w:p w14:paraId="444007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3、投标供应商可将</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正副本统一密封或分别密封，如正本和副本分别密封的，应在封袋上标明正、副本字样。</w:t>
      </w:r>
    </w:p>
    <w:p w14:paraId="209FBC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正本（须用不能擦去的墨水书写或打印）须按</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要求由法定代表人（或分支机构负责人）或被授权人签字或盖章，并加盖单位印章。副本可复印，但须加盖单位印章。</w:t>
      </w:r>
    </w:p>
    <w:p w14:paraId="759C00C4">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w:t>
      </w:r>
      <w:r>
        <w:rPr>
          <w:rFonts w:hint="eastAsia" w:ascii="宋体" w:hAnsi="宋体" w:eastAsia="宋体" w:cs="宋体"/>
          <w:b/>
          <w:bCs/>
          <w:color w:val="auto"/>
          <w:sz w:val="24"/>
          <w:highlight w:val="none"/>
          <w:lang w:eastAsia="zh-CN"/>
        </w:rPr>
        <w:t>投标文件</w:t>
      </w:r>
      <w:r>
        <w:rPr>
          <w:rFonts w:hint="eastAsia" w:ascii="宋体" w:hAnsi="宋体" w:eastAsia="宋体" w:cs="宋体"/>
          <w:b/>
          <w:bCs/>
          <w:color w:val="auto"/>
          <w:sz w:val="24"/>
          <w:highlight w:val="none"/>
        </w:rPr>
        <w:t>的有效期</w:t>
      </w:r>
    </w:p>
    <w:p w14:paraId="19B6DD85">
      <w:pPr>
        <w:adjustRightInd w:val="0"/>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1、从</w:t>
      </w:r>
      <w:r>
        <w:rPr>
          <w:rFonts w:hint="eastAsia" w:ascii="宋体" w:hAnsi="宋体" w:eastAsia="宋体" w:cs="宋体"/>
          <w:b w:val="0"/>
          <w:bCs w:val="0"/>
          <w:color w:val="auto"/>
          <w:sz w:val="24"/>
          <w:highlight w:val="none"/>
          <w:lang w:eastAsia="zh-CN"/>
        </w:rPr>
        <w:t>投标文件</w:t>
      </w:r>
      <w:r>
        <w:rPr>
          <w:rFonts w:hint="eastAsia" w:ascii="宋体" w:hAnsi="宋体" w:eastAsia="宋体" w:cs="宋体"/>
          <w:b w:val="0"/>
          <w:bCs w:val="0"/>
          <w:color w:val="auto"/>
          <w:sz w:val="24"/>
          <w:highlight w:val="none"/>
        </w:rPr>
        <w:t>接收截止之日算起，</w:t>
      </w:r>
      <w:r>
        <w:rPr>
          <w:rFonts w:hint="eastAsia" w:ascii="宋体" w:hAnsi="宋体" w:eastAsia="宋体" w:cs="宋体"/>
          <w:b w:val="0"/>
          <w:bCs w:val="0"/>
          <w:color w:val="auto"/>
          <w:sz w:val="24"/>
          <w:highlight w:val="none"/>
          <w:u w:val="single"/>
        </w:rPr>
        <w:t>60（六十）</w:t>
      </w:r>
      <w:r>
        <w:rPr>
          <w:rFonts w:hint="eastAsia" w:ascii="宋体" w:hAnsi="宋体" w:eastAsia="宋体" w:cs="宋体"/>
          <w:b w:val="0"/>
          <w:bCs w:val="0"/>
          <w:color w:val="auto"/>
          <w:sz w:val="24"/>
          <w:highlight w:val="none"/>
        </w:rPr>
        <w:t>个日历天内</w:t>
      </w:r>
      <w:r>
        <w:rPr>
          <w:rFonts w:hint="eastAsia" w:ascii="宋体" w:hAnsi="宋体" w:eastAsia="宋体" w:cs="宋体"/>
          <w:b w:val="0"/>
          <w:bCs w:val="0"/>
          <w:color w:val="auto"/>
          <w:sz w:val="24"/>
          <w:highlight w:val="none"/>
          <w:lang w:eastAsia="zh-CN"/>
        </w:rPr>
        <w:t>投标文件</w:t>
      </w:r>
      <w:r>
        <w:rPr>
          <w:rFonts w:hint="eastAsia" w:ascii="宋体" w:hAnsi="宋体" w:eastAsia="宋体" w:cs="宋体"/>
          <w:b w:val="0"/>
          <w:bCs w:val="0"/>
          <w:color w:val="auto"/>
          <w:sz w:val="24"/>
          <w:highlight w:val="none"/>
        </w:rPr>
        <w:t>应保持有效。有效期短于这个规定期限的</w:t>
      </w:r>
      <w:r>
        <w:rPr>
          <w:rFonts w:hint="eastAsia" w:ascii="宋体" w:hAnsi="宋体" w:eastAsia="宋体" w:cs="宋体"/>
          <w:b w:val="0"/>
          <w:bCs w:val="0"/>
          <w:color w:val="auto"/>
          <w:sz w:val="24"/>
          <w:highlight w:val="none"/>
          <w:lang w:val="en-US" w:eastAsia="zh-CN"/>
        </w:rPr>
        <w:t>响应</w:t>
      </w:r>
      <w:r>
        <w:rPr>
          <w:rFonts w:hint="eastAsia" w:ascii="宋体" w:hAnsi="宋体" w:eastAsia="宋体" w:cs="宋体"/>
          <w:b w:val="0"/>
          <w:bCs w:val="0"/>
          <w:color w:val="auto"/>
          <w:sz w:val="24"/>
          <w:highlight w:val="none"/>
        </w:rPr>
        <w:t>，将被拒绝。</w:t>
      </w:r>
    </w:p>
    <w:p w14:paraId="757D80D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2、在特殊情况下，采购代理机构可与供应商协商延长</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的有效期。这种要求和答复都应以书面、传真的形式进行。同意延长有效期的供应商不能修改</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。拒绝接受延期要求的供应商的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将被拒绝。</w:t>
      </w:r>
    </w:p>
    <w:p w14:paraId="321AF0EB">
      <w:pPr>
        <w:adjustRightInd w:val="0"/>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六、报价</w:t>
      </w:r>
    </w:p>
    <w:p w14:paraId="527DF1BB">
      <w:pPr>
        <w:snapToGrid w:val="0"/>
        <w:spacing w:line="360" w:lineRule="auto"/>
        <w:ind w:firstLine="494" w:firstLineChars="206"/>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1、本项目不接受任何有选择的报价。</w:t>
      </w:r>
    </w:p>
    <w:p w14:paraId="008FAE61">
      <w:pPr>
        <w:snapToGrid w:val="0"/>
        <w:spacing w:line="360" w:lineRule="auto"/>
        <w:ind w:firstLine="494" w:firstLineChars="206"/>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2、报价表必须加盖供应商公章且必须经法定代表人（或分支机构负责人）或其委托授权人签署。</w:t>
      </w:r>
    </w:p>
    <w:p w14:paraId="700615C8">
      <w:pPr>
        <w:snapToGrid w:val="0"/>
        <w:spacing w:line="360" w:lineRule="auto"/>
        <w:ind w:firstLine="494" w:firstLineChars="206"/>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报价出现前后不一致的，按照下列规定修正：</w:t>
      </w:r>
    </w:p>
    <w:p w14:paraId="25C42989">
      <w:pPr>
        <w:snapToGrid w:val="0"/>
        <w:spacing w:line="360" w:lineRule="auto"/>
        <w:ind w:firstLine="494" w:firstLineChars="206"/>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中报价总表内容与</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中明细内容不一致的，以报价总表为准；</w:t>
      </w:r>
    </w:p>
    <w:p w14:paraId="75032C48">
      <w:pPr>
        <w:snapToGrid w:val="0"/>
        <w:spacing w:line="360" w:lineRule="auto"/>
        <w:ind w:firstLine="494" w:firstLineChars="206"/>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79AFFA86">
      <w:pPr>
        <w:snapToGrid w:val="0"/>
        <w:spacing w:line="360" w:lineRule="auto"/>
        <w:ind w:firstLine="494" w:firstLineChars="206"/>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（3）单价金额小数点或者百分比有明显错位的，以报价总表中的总价为准，并修改单价；</w:t>
      </w:r>
    </w:p>
    <w:p w14:paraId="0CC1DAD0">
      <w:pPr>
        <w:snapToGrid w:val="0"/>
        <w:spacing w:line="360" w:lineRule="auto"/>
        <w:ind w:firstLine="494" w:firstLineChars="206"/>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16933A3E">
      <w:pPr>
        <w:snapToGrid w:val="0"/>
        <w:spacing w:line="360" w:lineRule="auto"/>
        <w:ind w:firstLine="494" w:firstLineChars="206"/>
        <w:rPr>
          <w:rFonts w:hint="eastAsia" w:ascii="宋体" w:hAnsi="宋体" w:eastAsia="宋体" w:cs="宋体"/>
          <w:color w:val="auto"/>
          <w:sz w:val="24"/>
          <w:highlight w:val="none"/>
        </w:rPr>
      </w:pPr>
      <w:r>
        <w:rPr>
          <w:rFonts w:hint="eastAsia" w:ascii="宋体" w:hAnsi="宋体" w:eastAsia="宋体" w:cs="宋体"/>
          <w:color w:val="auto"/>
          <w:sz w:val="24"/>
          <w:highlight w:val="none"/>
        </w:rPr>
        <w:t>（5）同时出现两种以上不一致的，按照前款规定的顺序修正。修正后的报价经供应商确认后产生约束力，供应商不确认的，其响应无效。</w:t>
      </w:r>
    </w:p>
    <w:p w14:paraId="1083F721">
      <w:pPr>
        <w:snapToGrid w:val="0"/>
        <w:spacing w:line="360" w:lineRule="auto"/>
        <w:ind w:firstLine="496" w:firstLineChars="206"/>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thick" w:color="FF0000"/>
        </w:rPr>
        <w:t>4、本次采购活动项目的响应报价为一次报定价。</w:t>
      </w:r>
      <w:r>
        <w:rPr>
          <w:rFonts w:hint="eastAsia" w:ascii="宋体" w:hAnsi="宋体" w:eastAsia="宋体" w:cs="宋体"/>
          <w:color w:val="auto"/>
          <w:sz w:val="24"/>
          <w:highlight w:val="none"/>
        </w:rPr>
        <w:t>响应成交后，报价即为成交价，除非因特殊原因并经买卖双方协商同意，成交的供应商（以下称为</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）不得再要求追加任何费用。同时，除非合同条款中另有规定，否则</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的成交价在合同实施期间不因市场变化因素而变动。</w:t>
      </w:r>
    </w:p>
    <w:p w14:paraId="4F91CC44">
      <w:pPr>
        <w:snapToGrid w:val="0"/>
        <w:spacing w:line="360" w:lineRule="auto"/>
        <w:ind w:firstLine="496" w:firstLineChars="206"/>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保证金</w:t>
      </w:r>
    </w:p>
    <w:p w14:paraId="1BCCE6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本项目供应商无需交纳</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p>
    <w:p w14:paraId="005C7BE8">
      <w:pPr>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八、履约保证金</w:t>
      </w:r>
    </w:p>
    <w:p w14:paraId="3DAF5DFC">
      <w:pPr>
        <w:keepNext/>
        <w:adjustRightInd w:val="0"/>
        <w:snapToGrid w:val="0"/>
        <w:spacing w:line="360" w:lineRule="auto"/>
        <w:ind w:firstLine="480" w:firstLineChars="200"/>
        <w:outlineLvl w:val="3"/>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1、本项目成交后的履约保证金为</w:t>
      </w:r>
      <w:r>
        <w:rPr>
          <w:rFonts w:hint="eastAsia" w:ascii="宋体" w:hAnsi="宋体" w:eastAsia="宋体" w:cs="宋体"/>
          <w:color w:val="auto"/>
          <w:sz w:val="24"/>
          <w:highlight w:val="none"/>
          <w:u w:val="single"/>
        </w:rPr>
        <w:t>成交价的10%</w:t>
      </w:r>
      <w:r>
        <w:rPr>
          <w:rFonts w:hint="eastAsia" w:ascii="宋体" w:hAnsi="宋体" w:eastAsia="宋体" w:cs="宋体"/>
          <w:color w:val="auto"/>
          <w:sz w:val="24"/>
          <w:highlight w:val="none"/>
        </w:rPr>
        <w:t>。</w:t>
      </w:r>
    </w:p>
    <w:p w14:paraId="1419A6FA">
      <w:pPr>
        <w:keepNext/>
        <w:adjustRightInd w:val="0"/>
        <w:snapToGrid w:val="0"/>
        <w:spacing w:line="360" w:lineRule="auto"/>
        <w:ind w:firstLine="480" w:firstLineChars="200"/>
        <w:outlineLvl w:val="3"/>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none"/>
        </w:rPr>
        <w:t>成交供应商可以选择以企业基本账户转账或企业基本账户开具的银行保函或电汇、银行转账等非现金形式缴纳履约保证金。</w:t>
      </w:r>
    </w:p>
    <w:p w14:paraId="644D5C0C">
      <w:pPr>
        <w:keepNext/>
        <w:adjustRightInd w:val="0"/>
        <w:snapToGrid w:val="0"/>
        <w:spacing w:line="360" w:lineRule="auto"/>
        <w:ind w:firstLine="482" w:firstLineChars="200"/>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履约保证金   </w:t>
      </w:r>
    </w:p>
    <w:p w14:paraId="6AB50F82">
      <w:pPr>
        <w:keepNext/>
        <w:adjustRightInd w:val="0"/>
        <w:snapToGrid w:val="0"/>
        <w:spacing w:line="360" w:lineRule="auto"/>
        <w:ind w:left="479" w:leftChars="228" w:firstLine="0" w:firstLineChars="0"/>
        <w:outlineLvl w:val="3"/>
        <w:rPr>
          <w:rFonts w:hint="eastAsia" w:ascii="宋体" w:hAnsi="宋体" w:eastAsia="宋体" w:cs="宋体"/>
          <w:color w:val="auto"/>
          <w:sz w:val="24"/>
          <w:highlight w:val="none"/>
        </w:rPr>
      </w:pPr>
      <w:r>
        <w:rPr>
          <w:rFonts w:ascii="宋体" w:hAnsi="宋体" w:eastAsia="宋体" w:cs="宋体"/>
          <w:color w:val="auto"/>
          <w:sz w:val="24"/>
          <w:szCs w:val="24"/>
        </w:rPr>
        <w:t>账号：107070010402888820730020000</w:t>
      </w:r>
      <w:r>
        <w:rPr>
          <w:rFonts w:ascii="宋体" w:hAnsi="宋体" w:eastAsia="宋体" w:cs="宋体"/>
          <w:color w:val="auto"/>
          <w:sz w:val="24"/>
          <w:szCs w:val="24"/>
        </w:rPr>
        <w:br w:type="textWrapping"/>
      </w:r>
      <w:r>
        <w:rPr>
          <w:rFonts w:ascii="宋体" w:hAnsi="宋体" w:eastAsia="宋体" w:cs="宋体"/>
          <w:color w:val="auto"/>
          <w:sz w:val="24"/>
          <w:szCs w:val="24"/>
        </w:rPr>
        <w:t>户名：南通市崇川区城市工程建设管理中心</w:t>
      </w:r>
      <w:r>
        <w:rPr>
          <w:rFonts w:ascii="宋体" w:hAnsi="宋体" w:eastAsia="宋体" w:cs="宋体"/>
          <w:color w:val="auto"/>
          <w:sz w:val="24"/>
          <w:szCs w:val="24"/>
        </w:rPr>
        <w:br w:type="textWrapping"/>
      </w:r>
      <w:r>
        <w:rPr>
          <w:rFonts w:ascii="宋体" w:hAnsi="宋体" w:eastAsia="宋体" w:cs="宋体"/>
          <w:color w:val="auto"/>
          <w:sz w:val="24"/>
          <w:szCs w:val="24"/>
        </w:rPr>
        <w:t>开户行：中国农业银行南通分行营业部</w:t>
      </w:r>
    </w:p>
    <w:p w14:paraId="08A44368">
      <w:pPr>
        <w:keepNext/>
        <w:adjustRightInd w:val="0"/>
        <w:snapToGrid w:val="0"/>
        <w:spacing w:line="360" w:lineRule="auto"/>
        <w:ind w:firstLine="480" w:firstLineChars="200"/>
        <w:outlineLvl w:val="3"/>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3、成交供应商在成交通知书发出之日起30日内，凭“成交通知书”和“履约保证金”的缴纳凭证，与采购人签订合同，超期或未有协商，则视为自动放弃成交资格。</w:t>
      </w:r>
    </w:p>
    <w:p w14:paraId="55FB4C84">
      <w:pPr>
        <w:keepNext/>
        <w:adjustRightInd w:val="0"/>
        <w:snapToGrid w:val="0"/>
        <w:spacing w:line="360" w:lineRule="auto"/>
        <w:ind w:firstLine="480" w:firstLineChars="200"/>
        <w:outlineLvl w:val="3"/>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4、成交供应商在按要求保质保量的完成该项目合同并通过验收后，采购人凭成交供应商提交的申请，一次性无息退还该合同项目的履约保证金。</w:t>
      </w:r>
    </w:p>
    <w:p w14:paraId="0E9B63E3">
      <w:pPr>
        <w:keepNext/>
        <w:adjustRightInd w:val="0"/>
        <w:snapToGrid w:val="0"/>
        <w:spacing w:line="360" w:lineRule="auto"/>
        <w:ind w:firstLine="480" w:firstLineChars="20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5、由于成交供应商原因，在签订合同后出现不按合同履行的情况，</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有权将履约保证金作为违约金，全额不予退还，同时</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亦有权终止合同，成交供应商还须承担相应的法律赔偿责任。</w:t>
      </w:r>
    </w:p>
    <w:p w14:paraId="7BD68091">
      <w:pPr>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九</w:t>
      </w:r>
      <w:r>
        <w:rPr>
          <w:rFonts w:hint="eastAsia" w:ascii="宋体" w:hAnsi="宋体" w:eastAsia="宋体" w:cs="宋体"/>
          <w:b/>
          <w:color w:val="auto"/>
          <w:sz w:val="24"/>
          <w:highlight w:val="none"/>
        </w:rPr>
        <w:t>、签订合同</w:t>
      </w:r>
    </w:p>
    <w:p w14:paraId="1804ED2C">
      <w:pPr>
        <w:pStyle w:val="7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成交供应商应当在成交通知书发出之日起三十日内，按照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确定的事项与采购人签订政府采购合同或保险协议。</w:t>
      </w:r>
    </w:p>
    <w:p w14:paraId="7F891FBB">
      <w:pPr>
        <w:pStyle w:val="7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、成交供应商的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过程中有关澄清、承诺文件均应作为合同附件。</w:t>
      </w:r>
    </w:p>
    <w:p w14:paraId="162C5321">
      <w:pPr>
        <w:pStyle w:val="7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签订合同后，成交供应商不得将所承接服务及其他相关服务进行转包。未经采购人同意，成交供应商也不得采用分包的形式履行合同，否则采购人有权终止合同，成交供应商的履约保证金将不予退还。</w:t>
      </w:r>
    </w:p>
    <w:p w14:paraId="2DC7E574">
      <w:pPr>
        <w:pStyle w:val="76"/>
        <w:spacing w:line="360" w:lineRule="auto"/>
        <w:ind w:firstLine="482"/>
        <w:rPr>
          <w:rFonts w:hint="eastAsia" w:ascii="宋体" w:hAnsi="宋体" w:eastAsia="宋体" w:cs="宋体"/>
          <w:b/>
          <w:bCs/>
          <w:color w:val="auto"/>
          <w:sz w:val="24"/>
          <w:highlight w:val="none"/>
        </w:rPr>
      </w:pPr>
      <w:r>
        <w:rPr>
          <w:rFonts w:hint="eastAsia" w:cs="宋体"/>
          <w:b/>
          <w:bCs/>
          <w:color w:val="auto"/>
          <w:kern w:val="0"/>
          <w:sz w:val="24"/>
          <w:szCs w:val="22"/>
          <w:highlight w:val="none"/>
          <w:lang w:val="zh-CN" w:bidi="zh-CN"/>
        </w:rPr>
        <w:t>十</w:t>
      </w:r>
      <w:r>
        <w:rPr>
          <w:rFonts w:hint="eastAsia" w:ascii="宋体" w:hAnsi="宋体" w:eastAsia="宋体" w:cs="宋体"/>
          <w:b/>
          <w:bCs/>
          <w:color w:val="auto"/>
          <w:sz w:val="24"/>
          <w:highlight w:val="none"/>
        </w:rPr>
        <w:t>、付款方式</w:t>
      </w:r>
    </w:p>
    <w:p w14:paraId="6ECF3A3E">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【特别提醒】付款方式不接受负偏离及任何意图改变付款方式的表达，否则作无效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处理。</w:t>
      </w:r>
    </w:p>
    <w:p w14:paraId="0FA4CC5F">
      <w:pPr>
        <w:snapToGrid w:val="0"/>
        <w:spacing w:line="360" w:lineRule="auto"/>
        <w:ind w:firstLine="482" w:firstLineChars="200"/>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本项目签订合同后，预付合同价的30%，货到、安装完成且业主确认后付至合同价的95%，质保期（</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年</w:t>
      </w:r>
      <w:r>
        <w:rPr>
          <w:rFonts w:hint="eastAsia" w:ascii="宋体" w:hAnsi="宋体" w:cs="宋体"/>
          <w:b/>
          <w:bCs/>
          <w:color w:val="auto"/>
          <w:sz w:val="24"/>
          <w:szCs w:val="24"/>
          <w:highlight w:val="none"/>
          <w:lang w:val="en-US" w:eastAsia="zh-CN"/>
        </w:rPr>
        <w:t>或根据投标文件承诺</w:t>
      </w:r>
      <w:r>
        <w:rPr>
          <w:rFonts w:hint="eastAsia" w:ascii="宋体" w:hAnsi="宋体" w:eastAsia="宋体" w:cs="宋体"/>
          <w:b/>
          <w:bCs/>
          <w:color w:val="auto"/>
          <w:sz w:val="24"/>
          <w:szCs w:val="24"/>
          <w:highlight w:val="none"/>
          <w:lang w:eastAsia="zh-CN"/>
        </w:rPr>
        <w:t>）满后付清尾款</w:t>
      </w:r>
      <w:r>
        <w:rPr>
          <w:rFonts w:hint="eastAsia" w:ascii="宋体" w:hAnsi="宋体" w:eastAsia="宋体" w:cs="宋体"/>
          <w:b/>
          <w:bCs/>
          <w:color w:val="auto"/>
          <w:sz w:val="24"/>
          <w:szCs w:val="24"/>
          <w:highlight w:val="none"/>
        </w:rPr>
        <w:t>。</w:t>
      </w:r>
    </w:p>
    <w:p w14:paraId="1FF75730">
      <w:pPr>
        <w:snapToGrid w:val="0"/>
        <w:spacing w:line="360" w:lineRule="auto"/>
        <w:ind w:firstLine="482" w:firstLineChars="2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cs="宋体"/>
          <w:b/>
          <w:color w:val="auto"/>
          <w:sz w:val="24"/>
          <w:highlight w:val="none"/>
          <w:lang w:eastAsia="zh-CN"/>
        </w:rPr>
        <w:t>一</w:t>
      </w:r>
      <w:r>
        <w:rPr>
          <w:rFonts w:hint="eastAsia" w:ascii="宋体" w:hAnsi="宋体" w:eastAsia="宋体" w:cs="宋体"/>
          <w:b/>
          <w:color w:val="auto"/>
          <w:sz w:val="24"/>
          <w:highlight w:val="none"/>
        </w:rPr>
        <w:t>、未尽事宜</w:t>
      </w:r>
    </w:p>
    <w:p w14:paraId="6E9EBA64">
      <w:pPr>
        <w:snapToGrid w:val="0"/>
        <w:spacing w:line="360" w:lineRule="auto"/>
        <w:ind w:firstLine="494" w:firstLineChars="206"/>
        <w:rPr>
          <w:rFonts w:hint="eastAsia" w:ascii="宋体" w:hAnsi="宋体" w:eastAsia="宋体" w:cs="宋体"/>
          <w:color w:val="auto"/>
          <w:sz w:val="24"/>
          <w:highlight w:val="none"/>
        </w:rPr>
      </w:pPr>
      <w:r>
        <w:rPr>
          <w:rFonts w:hint="eastAsia" w:ascii="宋体" w:hAnsi="宋体" w:eastAsia="宋体" w:cs="宋体"/>
          <w:color w:val="auto"/>
          <w:sz w:val="24"/>
          <w:highlight w:val="none"/>
        </w:rPr>
        <w:t>按《中华人民共和国政府采购法》、《中华人民共和国政府采购法实施条例》、《政府采购非招标采购方式管理办法》及其他有关法律法规的规定执行。</w:t>
      </w:r>
    </w:p>
    <w:p w14:paraId="5C92A1E5">
      <w:pPr>
        <w:adjustRightInd w:val="0"/>
        <w:snapToGrid w:val="0"/>
        <w:spacing w:line="360" w:lineRule="auto"/>
        <w:ind w:firstLine="200"/>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36"/>
          <w:szCs w:val="36"/>
          <w:highlight w:val="none"/>
        </w:rPr>
        <w:br w:type="page"/>
      </w:r>
      <w:r>
        <w:rPr>
          <w:rFonts w:hint="eastAsia" w:ascii="宋体" w:hAnsi="宋体" w:eastAsia="宋体" w:cs="宋体"/>
          <w:bCs/>
          <w:color w:val="auto"/>
          <w:sz w:val="36"/>
          <w:szCs w:val="36"/>
          <w:highlight w:val="none"/>
        </w:rPr>
        <w:t>第三部分 项目需求</w:t>
      </w:r>
    </w:p>
    <w:p w14:paraId="3FC1A598">
      <w:pPr>
        <w:snapToGrid w:val="0"/>
        <w:spacing w:line="360" w:lineRule="auto"/>
        <w:ind w:firstLine="494" w:firstLineChars="20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采购清单详见报价明细表</w:t>
      </w:r>
      <w:r>
        <w:rPr>
          <w:rFonts w:hint="eastAsia" w:ascii="宋体" w:hAnsi="宋体" w:cs="宋体"/>
          <w:color w:val="auto"/>
          <w:sz w:val="24"/>
          <w:szCs w:val="24"/>
          <w:highlight w:val="none"/>
          <w:lang w:eastAsia="zh-CN"/>
        </w:rPr>
        <w:t>。</w:t>
      </w:r>
    </w:p>
    <w:p w14:paraId="72705BAF">
      <w:pPr>
        <w:snapToGrid w:val="0"/>
        <w:spacing w:line="360" w:lineRule="auto"/>
        <w:ind w:firstLine="494" w:firstLineChars="20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二、款式允许有微调，供货前需经采购人确认，规格和标准不得低于招标文件要求。</w:t>
      </w:r>
    </w:p>
    <w:p w14:paraId="0CE5C467">
      <w:pPr>
        <w:numPr>
          <w:ilvl w:val="-1"/>
          <w:numId w:val="0"/>
        </w:numPr>
        <w:snapToGrid w:val="0"/>
        <w:spacing w:line="360" w:lineRule="auto"/>
        <w:ind w:firstLine="494" w:firstLineChars="206"/>
        <w:rPr>
          <w:rFonts w:hint="eastAsia" w:ascii="宋体" w:hAnsi="宋体" w:eastAsia="宋体" w:cs="宋体"/>
          <w:color w:val="auto"/>
          <w:sz w:val="24"/>
          <w:highlight w:val="none"/>
          <w:lang w:val="en-US" w:eastAsia="zh-CN"/>
        </w:rPr>
      </w:pPr>
      <w:r>
        <w:rPr>
          <w:rFonts w:hint="eastAsia" w:ascii="宋体" w:hAnsi="宋体" w:eastAsia="宋体" w:cs="宋体"/>
          <w:bCs w:val="0"/>
          <w:color w:val="auto"/>
          <w:sz w:val="24"/>
          <w:highlight w:val="none"/>
          <w:lang w:eastAsia="zh-CN"/>
        </w:rPr>
        <w:t>三、</w:t>
      </w:r>
      <w:r>
        <w:rPr>
          <w:rFonts w:hint="eastAsia" w:ascii="宋体" w:hAnsi="宋体" w:eastAsia="宋体" w:cs="宋体"/>
          <w:color w:val="auto"/>
          <w:kern w:val="0"/>
          <w:sz w:val="24"/>
          <w:highlight w:val="none"/>
        </w:rPr>
        <w:t>投标人投标时须提供符合招标文件需求的样品，不提供者或提供不全者作无效投标处理。样品评标时</w:t>
      </w:r>
      <w:r>
        <w:rPr>
          <w:rFonts w:hint="eastAsia" w:ascii="宋体" w:hAnsi="宋体" w:cs="宋体"/>
          <w:color w:val="auto"/>
          <w:kern w:val="0"/>
          <w:sz w:val="24"/>
          <w:highlight w:val="none"/>
          <w:lang w:eastAsia="zh-CN"/>
        </w:rPr>
        <w:t>评标小组</w:t>
      </w:r>
      <w:r>
        <w:rPr>
          <w:rFonts w:hint="eastAsia" w:ascii="宋体" w:hAnsi="宋体" w:eastAsia="宋体" w:cs="宋体"/>
          <w:color w:val="auto"/>
          <w:kern w:val="0"/>
          <w:sz w:val="24"/>
          <w:highlight w:val="none"/>
        </w:rPr>
        <w:t>需对样品</w:t>
      </w:r>
      <w:r>
        <w:rPr>
          <w:rFonts w:hint="eastAsia" w:ascii="宋体" w:hAnsi="宋体" w:eastAsia="宋体" w:cs="宋体"/>
          <w:color w:val="auto"/>
          <w:sz w:val="24"/>
          <w:highlight w:val="none"/>
        </w:rPr>
        <w:t>进行破坏性试验，故</w:t>
      </w:r>
      <w:r>
        <w:rPr>
          <w:rFonts w:hint="eastAsia" w:ascii="宋体" w:hAnsi="宋体" w:eastAsia="宋体" w:cs="宋体"/>
          <w:color w:val="auto"/>
          <w:kern w:val="0"/>
          <w:sz w:val="24"/>
          <w:highlight w:val="none"/>
        </w:rPr>
        <w:t>评审结束后样品不予以退还，</w:t>
      </w:r>
      <w:r>
        <w:rPr>
          <w:rFonts w:hint="eastAsia" w:ascii="宋体" w:hAnsi="宋体" w:cs="宋体"/>
          <w:color w:val="auto"/>
          <w:kern w:val="0"/>
          <w:sz w:val="24"/>
          <w:highlight w:val="none"/>
          <w:lang w:eastAsia="zh-CN"/>
        </w:rPr>
        <w:t>成交供应商</w:t>
      </w:r>
      <w:r>
        <w:rPr>
          <w:rFonts w:hint="eastAsia" w:ascii="宋体" w:hAnsi="宋体" w:eastAsia="宋体" w:cs="宋体"/>
          <w:color w:val="auto"/>
          <w:kern w:val="0"/>
          <w:sz w:val="24"/>
          <w:highlight w:val="none"/>
        </w:rPr>
        <w:t>的样品由采购人负责保管、封存，并作为履约验收的参考。投标人为本项目提供的实物样品所产生的一切费用由投标人自行考虑。</w:t>
      </w:r>
    </w:p>
    <w:p w14:paraId="2AE01A39">
      <w:pPr>
        <w:snapToGrid w:val="0"/>
        <w:spacing w:line="360" w:lineRule="auto"/>
        <w:ind w:firstLine="482" w:firstLineChars="200"/>
        <w:rPr>
          <w:rFonts w:hint="eastAsia" w:ascii="宋体" w:hAnsi="宋体" w:cs="宋体"/>
          <w:b/>
          <w:bCs/>
          <w:snapToGrid w:val="0"/>
          <w:color w:val="auto"/>
          <w:kern w:val="0"/>
          <w:sz w:val="24"/>
          <w:szCs w:val="22"/>
        </w:rPr>
      </w:pPr>
      <w:r>
        <w:rPr>
          <w:rFonts w:hint="eastAsia" w:ascii="宋体" w:hAnsi="宋体" w:cs="宋体"/>
          <w:b/>
          <w:bCs/>
          <w:snapToGrid w:val="0"/>
          <w:color w:val="auto"/>
          <w:kern w:val="0"/>
          <w:sz w:val="24"/>
          <w:szCs w:val="22"/>
        </w:rPr>
        <w:t>四、安全文明施工</w:t>
      </w:r>
    </w:p>
    <w:p w14:paraId="3E7C7AB3">
      <w:pPr>
        <w:widowControl/>
        <w:snapToGrid w:val="0"/>
        <w:spacing w:line="360" w:lineRule="auto"/>
        <w:ind w:firstLine="480" w:firstLineChars="200"/>
        <w:jc w:val="left"/>
        <w:rPr>
          <w:rFonts w:hint="eastAsia" w:ascii="宋体" w:hAnsi="宋体" w:cs="宋体"/>
          <w:bCs/>
          <w:snapToGrid w:val="0"/>
          <w:color w:val="auto"/>
          <w:kern w:val="0"/>
          <w:sz w:val="24"/>
          <w:szCs w:val="24"/>
        </w:rPr>
      </w:pPr>
      <w:r>
        <w:rPr>
          <w:rFonts w:hint="eastAsia" w:ascii="宋体" w:hAnsi="宋体" w:cs="宋体"/>
          <w:bCs/>
          <w:snapToGrid w:val="0"/>
          <w:color w:val="auto"/>
          <w:kern w:val="0"/>
          <w:sz w:val="24"/>
          <w:szCs w:val="24"/>
        </w:rPr>
        <w:t>4.1供应商应结合现场及自身实际情况，编制切实可行</w:t>
      </w:r>
      <w:r>
        <w:rPr>
          <w:rFonts w:hint="eastAsia" w:ascii="宋体" w:hAnsi="宋体" w:cs="宋体"/>
          <w:bCs/>
          <w:snapToGrid w:val="0"/>
          <w:color w:val="auto"/>
          <w:kern w:val="0"/>
          <w:sz w:val="24"/>
          <w:szCs w:val="22"/>
        </w:rPr>
        <w:t>的施工组织方案并经采购人书面确认。因本次施工区域在</w:t>
      </w:r>
      <w:r>
        <w:rPr>
          <w:rFonts w:hint="eastAsia" w:ascii="宋体" w:hAnsi="宋体" w:cs="宋体"/>
          <w:bCs/>
          <w:snapToGrid w:val="0"/>
          <w:color w:val="auto"/>
          <w:kern w:val="0"/>
          <w:sz w:val="24"/>
          <w:szCs w:val="22"/>
          <w:lang w:eastAsia="zh-CN"/>
        </w:rPr>
        <w:t>绿地</w:t>
      </w:r>
      <w:r>
        <w:rPr>
          <w:rFonts w:hint="eastAsia" w:ascii="宋体" w:hAnsi="宋体" w:cs="宋体"/>
          <w:bCs/>
          <w:snapToGrid w:val="0"/>
          <w:color w:val="auto"/>
          <w:kern w:val="0"/>
          <w:sz w:val="24"/>
          <w:szCs w:val="22"/>
        </w:rPr>
        <w:t>，人员进出频繁，故成交供应商须确保施工进行期间</w:t>
      </w:r>
      <w:r>
        <w:rPr>
          <w:rFonts w:hint="eastAsia" w:ascii="宋体" w:hAnsi="宋体" w:cs="宋体"/>
          <w:bCs/>
          <w:snapToGrid w:val="0"/>
          <w:color w:val="auto"/>
          <w:kern w:val="0"/>
          <w:sz w:val="24"/>
          <w:szCs w:val="24"/>
        </w:rPr>
        <w:t>，安全防护（包含但不仅限于安全警示牌、安全标识、安全警戒线等）、文明施工的措施到位，不得影响</w:t>
      </w:r>
      <w:r>
        <w:rPr>
          <w:rFonts w:hint="eastAsia" w:ascii="宋体" w:hAnsi="宋体" w:cs="宋体"/>
          <w:bCs/>
          <w:snapToGrid w:val="0"/>
          <w:color w:val="auto"/>
          <w:kern w:val="0"/>
          <w:sz w:val="24"/>
          <w:szCs w:val="24"/>
          <w:lang w:eastAsia="zh-CN"/>
        </w:rPr>
        <w:t>绿地的</w:t>
      </w:r>
      <w:r>
        <w:rPr>
          <w:rFonts w:hint="eastAsia" w:ascii="宋体" w:hAnsi="宋体" w:cs="宋体"/>
          <w:bCs/>
          <w:snapToGrid w:val="0"/>
          <w:color w:val="auto"/>
          <w:kern w:val="0"/>
          <w:sz w:val="24"/>
          <w:szCs w:val="24"/>
        </w:rPr>
        <w:t>正常观赏，更不得发生安全事故。</w:t>
      </w:r>
    </w:p>
    <w:p w14:paraId="3590C34A">
      <w:pPr>
        <w:widowControl/>
        <w:snapToGrid w:val="0"/>
        <w:spacing w:line="360" w:lineRule="auto"/>
        <w:ind w:firstLine="480" w:firstLineChars="200"/>
        <w:jc w:val="left"/>
        <w:rPr>
          <w:rFonts w:hint="eastAsia" w:ascii="宋体" w:hAnsi="宋体" w:cs="宋体"/>
          <w:bCs/>
          <w:snapToGrid w:val="0"/>
          <w:color w:val="auto"/>
          <w:kern w:val="0"/>
          <w:sz w:val="24"/>
          <w:szCs w:val="24"/>
        </w:rPr>
      </w:pPr>
      <w:r>
        <w:rPr>
          <w:rFonts w:hint="eastAsia" w:ascii="宋体" w:hAnsi="宋体" w:cs="宋体"/>
          <w:bCs/>
          <w:snapToGrid w:val="0"/>
          <w:color w:val="auto"/>
          <w:kern w:val="0"/>
          <w:sz w:val="24"/>
          <w:szCs w:val="24"/>
        </w:rPr>
        <w:t>4.2施工现场配套安全帽，施工期间由于</w:t>
      </w:r>
      <w:r>
        <w:rPr>
          <w:rFonts w:hint="eastAsia" w:ascii="宋体" w:hAnsi="宋体" w:cs="宋体"/>
          <w:bCs/>
          <w:snapToGrid w:val="0"/>
          <w:color w:val="auto"/>
          <w:kern w:val="0"/>
          <w:sz w:val="24"/>
          <w:szCs w:val="24"/>
          <w:lang w:eastAsia="zh-CN"/>
        </w:rPr>
        <w:t>成交供应商</w:t>
      </w:r>
      <w:r>
        <w:rPr>
          <w:rFonts w:hint="eastAsia" w:ascii="宋体" w:hAnsi="宋体" w:cs="宋体"/>
          <w:bCs/>
          <w:snapToGrid w:val="0"/>
          <w:color w:val="auto"/>
          <w:kern w:val="0"/>
          <w:sz w:val="24"/>
          <w:szCs w:val="24"/>
        </w:rPr>
        <w:t>违章操作，野蛮施工而造成的各项安全事故均由</w:t>
      </w:r>
      <w:r>
        <w:rPr>
          <w:rFonts w:hint="eastAsia" w:ascii="宋体" w:hAnsi="宋体" w:cs="宋体"/>
          <w:bCs/>
          <w:snapToGrid w:val="0"/>
          <w:color w:val="auto"/>
          <w:kern w:val="0"/>
          <w:sz w:val="24"/>
          <w:szCs w:val="24"/>
          <w:lang w:eastAsia="zh-CN"/>
        </w:rPr>
        <w:t>成交供应商</w:t>
      </w:r>
      <w:r>
        <w:rPr>
          <w:rFonts w:hint="eastAsia" w:ascii="宋体" w:hAnsi="宋体" w:cs="宋体"/>
          <w:bCs/>
          <w:snapToGrid w:val="0"/>
          <w:color w:val="auto"/>
          <w:kern w:val="0"/>
          <w:sz w:val="24"/>
          <w:szCs w:val="24"/>
        </w:rPr>
        <w:t>自行负责；同时导致采购人受到财产损失，</w:t>
      </w:r>
      <w:r>
        <w:rPr>
          <w:rFonts w:hint="eastAsia" w:ascii="宋体" w:hAnsi="宋体" w:cs="宋体"/>
          <w:bCs/>
          <w:snapToGrid w:val="0"/>
          <w:color w:val="auto"/>
          <w:kern w:val="0"/>
          <w:sz w:val="24"/>
          <w:szCs w:val="24"/>
          <w:lang w:eastAsia="zh-CN"/>
        </w:rPr>
        <w:t>成交供应商</w:t>
      </w:r>
      <w:r>
        <w:rPr>
          <w:rFonts w:hint="eastAsia" w:ascii="宋体" w:hAnsi="宋体" w:cs="宋体"/>
          <w:bCs/>
          <w:snapToGrid w:val="0"/>
          <w:color w:val="auto"/>
          <w:kern w:val="0"/>
          <w:sz w:val="24"/>
          <w:szCs w:val="24"/>
        </w:rPr>
        <w:t>应作全额赔偿。</w:t>
      </w:r>
    </w:p>
    <w:p w14:paraId="1D82E17F">
      <w:pPr>
        <w:widowControl/>
        <w:snapToGrid w:val="0"/>
        <w:spacing w:line="360" w:lineRule="auto"/>
        <w:ind w:firstLine="480" w:firstLineChars="200"/>
        <w:jc w:val="left"/>
        <w:rPr>
          <w:rFonts w:hint="eastAsia" w:ascii="宋体" w:hAnsi="宋体" w:cs="宋体"/>
          <w:bCs/>
          <w:snapToGrid w:val="0"/>
          <w:color w:val="auto"/>
          <w:kern w:val="0"/>
          <w:sz w:val="24"/>
          <w:szCs w:val="24"/>
        </w:rPr>
      </w:pPr>
      <w:r>
        <w:rPr>
          <w:rFonts w:hint="eastAsia" w:ascii="宋体" w:hAnsi="宋体" w:cs="宋体"/>
          <w:bCs/>
          <w:snapToGrid w:val="0"/>
          <w:color w:val="auto"/>
          <w:kern w:val="0"/>
          <w:sz w:val="24"/>
          <w:szCs w:val="24"/>
        </w:rPr>
        <w:t>4.3在本项目采购范围内，出现任何安全事故，均由</w:t>
      </w:r>
      <w:r>
        <w:rPr>
          <w:rFonts w:hint="eastAsia" w:ascii="宋体" w:hAnsi="宋体" w:cs="宋体"/>
          <w:bCs/>
          <w:snapToGrid w:val="0"/>
          <w:color w:val="auto"/>
          <w:kern w:val="0"/>
          <w:sz w:val="24"/>
          <w:szCs w:val="24"/>
          <w:lang w:eastAsia="zh-CN"/>
        </w:rPr>
        <w:t>成交供应商</w:t>
      </w:r>
      <w:r>
        <w:rPr>
          <w:rFonts w:hint="eastAsia" w:ascii="宋体" w:hAnsi="宋体" w:cs="宋体"/>
          <w:bCs/>
          <w:snapToGrid w:val="0"/>
          <w:color w:val="auto"/>
          <w:kern w:val="0"/>
          <w:sz w:val="24"/>
          <w:szCs w:val="24"/>
        </w:rPr>
        <w:t>负责处理，同时不免除</w:t>
      </w:r>
      <w:r>
        <w:rPr>
          <w:rFonts w:hint="eastAsia" w:ascii="宋体" w:hAnsi="宋体" w:cs="宋体"/>
          <w:bCs/>
          <w:snapToGrid w:val="0"/>
          <w:color w:val="auto"/>
          <w:kern w:val="0"/>
          <w:sz w:val="24"/>
          <w:szCs w:val="24"/>
          <w:lang w:eastAsia="zh-CN"/>
        </w:rPr>
        <w:t>成交供应商</w:t>
      </w:r>
      <w:r>
        <w:rPr>
          <w:rFonts w:hint="eastAsia" w:ascii="宋体" w:hAnsi="宋体" w:cs="宋体"/>
          <w:bCs/>
          <w:snapToGrid w:val="0"/>
          <w:color w:val="auto"/>
          <w:kern w:val="0"/>
          <w:sz w:val="24"/>
          <w:szCs w:val="24"/>
        </w:rPr>
        <w:t>造成不良后果所承担的法律责任及其它相关责任。</w:t>
      </w:r>
    </w:p>
    <w:p w14:paraId="3850FCDD">
      <w:pPr>
        <w:widowControl/>
        <w:snapToGrid w:val="0"/>
        <w:spacing w:line="360" w:lineRule="auto"/>
        <w:ind w:firstLine="480" w:firstLineChars="200"/>
        <w:jc w:val="left"/>
        <w:rPr>
          <w:rFonts w:hint="eastAsia" w:ascii="宋体" w:hAnsi="宋体" w:cs="宋体"/>
          <w:bCs/>
          <w:snapToGrid w:val="0"/>
          <w:color w:val="auto"/>
          <w:kern w:val="0"/>
          <w:sz w:val="24"/>
          <w:szCs w:val="24"/>
        </w:rPr>
      </w:pPr>
      <w:r>
        <w:rPr>
          <w:rFonts w:hint="eastAsia" w:ascii="宋体" w:hAnsi="宋体" w:cs="宋体"/>
          <w:bCs/>
          <w:snapToGrid w:val="0"/>
          <w:color w:val="auto"/>
          <w:kern w:val="0"/>
          <w:sz w:val="24"/>
          <w:szCs w:val="24"/>
        </w:rPr>
        <w:t>4.4</w:t>
      </w:r>
      <w:r>
        <w:rPr>
          <w:rFonts w:hint="eastAsia" w:ascii="宋体" w:hAnsi="宋体" w:cs="宋体"/>
          <w:bCs/>
          <w:snapToGrid w:val="0"/>
          <w:color w:val="auto"/>
          <w:kern w:val="0"/>
          <w:sz w:val="24"/>
          <w:szCs w:val="24"/>
          <w:lang w:eastAsia="zh-CN"/>
        </w:rPr>
        <w:t>成交供应商</w:t>
      </w:r>
      <w:r>
        <w:rPr>
          <w:rFonts w:hint="eastAsia" w:ascii="宋体" w:hAnsi="宋体" w:cs="宋体"/>
          <w:bCs/>
          <w:snapToGrid w:val="0"/>
          <w:color w:val="auto"/>
          <w:kern w:val="0"/>
          <w:sz w:val="24"/>
          <w:szCs w:val="24"/>
        </w:rPr>
        <w:t>不得项目转包其他施工单位；</w:t>
      </w:r>
    </w:p>
    <w:p w14:paraId="0D672F64">
      <w:pPr>
        <w:widowControl/>
        <w:snapToGrid w:val="0"/>
        <w:spacing w:line="360" w:lineRule="auto"/>
        <w:ind w:firstLine="480" w:firstLineChars="200"/>
        <w:jc w:val="left"/>
        <w:rPr>
          <w:rFonts w:hint="eastAsia" w:ascii="宋体" w:hAnsi="宋体" w:cs="宋体"/>
          <w:bCs/>
          <w:snapToGrid w:val="0"/>
          <w:color w:val="auto"/>
          <w:kern w:val="0"/>
          <w:sz w:val="24"/>
          <w:szCs w:val="24"/>
        </w:rPr>
      </w:pPr>
      <w:r>
        <w:rPr>
          <w:rFonts w:hint="eastAsia" w:ascii="宋体" w:hAnsi="宋体" w:cs="宋体"/>
          <w:bCs/>
          <w:snapToGrid w:val="0"/>
          <w:color w:val="auto"/>
          <w:kern w:val="0"/>
          <w:sz w:val="24"/>
          <w:szCs w:val="24"/>
        </w:rPr>
        <w:t>4.5 施工中必须保护周边地下管线和架空线、现有建筑、道路、绿化、结构物等成品，如有损坏，应按照不低于原设计标准恢复，采购人不增加签证此类费用。</w:t>
      </w:r>
    </w:p>
    <w:p w14:paraId="1593C069">
      <w:pPr>
        <w:widowControl/>
        <w:snapToGrid w:val="0"/>
        <w:spacing w:line="360" w:lineRule="auto"/>
        <w:ind w:firstLine="480" w:firstLineChars="200"/>
        <w:jc w:val="left"/>
        <w:rPr>
          <w:rFonts w:hint="eastAsia" w:ascii="宋体" w:hAnsi="宋体" w:cs="宋体"/>
          <w:bCs/>
          <w:snapToGrid w:val="0"/>
          <w:color w:val="auto"/>
          <w:kern w:val="0"/>
          <w:sz w:val="24"/>
          <w:szCs w:val="24"/>
        </w:rPr>
      </w:pPr>
      <w:r>
        <w:rPr>
          <w:rFonts w:hint="eastAsia" w:ascii="宋体" w:hAnsi="宋体" w:cs="宋体"/>
          <w:bCs/>
          <w:snapToGrid w:val="0"/>
          <w:color w:val="auto"/>
          <w:kern w:val="0"/>
          <w:sz w:val="24"/>
          <w:szCs w:val="24"/>
        </w:rPr>
        <w:t>4.6现场施工要服从</w:t>
      </w:r>
      <w:r>
        <w:rPr>
          <w:rFonts w:hint="eastAsia" w:ascii="宋体" w:hAnsi="宋体" w:cs="宋体"/>
          <w:bCs/>
          <w:snapToGrid w:val="0"/>
          <w:color w:val="auto"/>
          <w:kern w:val="0"/>
          <w:sz w:val="24"/>
          <w:szCs w:val="24"/>
          <w:lang w:eastAsia="zh-CN"/>
        </w:rPr>
        <w:t>采购人</w:t>
      </w:r>
      <w:r>
        <w:rPr>
          <w:rFonts w:hint="eastAsia" w:ascii="宋体" w:hAnsi="宋体" w:cs="宋体"/>
          <w:bCs/>
          <w:snapToGrid w:val="0"/>
          <w:color w:val="auto"/>
          <w:kern w:val="0"/>
          <w:sz w:val="24"/>
          <w:szCs w:val="24"/>
        </w:rPr>
        <w:t>内部管理，不得破坏</w:t>
      </w:r>
      <w:r>
        <w:rPr>
          <w:rFonts w:hint="eastAsia" w:ascii="宋体" w:hAnsi="宋体" w:cs="宋体"/>
          <w:bCs/>
          <w:snapToGrid w:val="0"/>
          <w:color w:val="auto"/>
          <w:kern w:val="0"/>
          <w:sz w:val="24"/>
          <w:szCs w:val="22"/>
          <w:lang w:eastAsia="zh-CN"/>
        </w:rPr>
        <w:t>绿地</w:t>
      </w:r>
      <w:r>
        <w:rPr>
          <w:rFonts w:hint="eastAsia" w:ascii="宋体" w:hAnsi="宋体" w:cs="宋体"/>
          <w:bCs/>
          <w:snapToGrid w:val="0"/>
          <w:color w:val="auto"/>
          <w:kern w:val="0"/>
          <w:sz w:val="24"/>
          <w:szCs w:val="24"/>
        </w:rPr>
        <w:t>环境，垃圾日产日清。</w:t>
      </w:r>
    </w:p>
    <w:p w14:paraId="42D42F7B">
      <w:pPr>
        <w:snapToGrid w:val="0"/>
        <w:spacing w:line="360" w:lineRule="auto"/>
        <w:ind w:firstLine="482" w:firstLineChars="200"/>
        <w:rPr>
          <w:rFonts w:hint="eastAsia" w:ascii="宋体" w:hAnsi="宋体" w:cs="宋体"/>
          <w:b/>
          <w:bCs/>
          <w:snapToGrid w:val="0"/>
          <w:color w:val="auto"/>
          <w:kern w:val="0"/>
          <w:sz w:val="24"/>
          <w:szCs w:val="22"/>
        </w:rPr>
      </w:pPr>
      <w:r>
        <w:rPr>
          <w:rFonts w:hint="eastAsia" w:ascii="宋体" w:hAnsi="宋体" w:cs="宋体"/>
          <w:b/>
          <w:bCs/>
          <w:snapToGrid w:val="0"/>
          <w:color w:val="auto"/>
          <w:kern w:val="0"/>
          <w:sz w:val="24"/>
          <w:szCs w:val="22"/>
        </w:rPr>
        <w:t>五、质量要求</w:t>
      </w:r>
    </w:p>
    <w:p w14:paraId="3285540D">
      <w:pPr>
        <w:tabs>
          <w:tab w:val="left" w:pos="753"/>
        </w:tabs>
        <w:snapToGrid w:val="0"/>
        <w:spacing w:line="360" w:lineRule="auto"/>
        <w:ind w:firstLine="480" w:firstLineChars="200"/>
        <w:rPr>
          <w:rFonts w:hint="eastAsia" w:ascii="宋体" w:hAnsi="宋体" w:cs="宋体"/>
          <w:snapToGrid w:val="0"/>
          <w:color w:val="auto"/>
          <w:kern w:val="0"/>
          <w:sz w:val="24"/>
          <w:szCs w:val="22"/>
        </w:rPr>
      </w:pPr>
      <w:r>
        <w:rPr>
          <w:rFonts w:hint="eastAsia" w:ascii="宋体" w:hAnsi="宋体" w:cs="宋体"/>
          <w:snapToGrid w:val="0"/>
          <w:color w:val="auto"/>
          <w:kern w:val="0"/>
          <w:sz w:val="24"/>
          <w:szCs w:val="22"/>
        </w:rPr>
        <w:t>5.1材料及施工质量必须严格按照国家规范及江苏省、南通市相应地方规范、招标文件、材料厂家的技术规范的有关要求执行。</w:t>
      </w:r>
    </w:p>
    <w:p w14:paraId="515337C9">
      <w:pPr>
        <w:tabs>
          <w:tab w:val="left" w:pos="753"/>
        </w:tabs>
        <w:snapToGrid w:val="0"/>
        <w:spacing w:line="360" w:lineRule="auto"/>
        <w:ind w:firstLine="480" w:firstLineChars="200"/>
        <w:rPr>
          <w:rFonts w:hint="eastAsia" w:ascii="宋体" w:hAnsi="宋体" w:cs="宋体"/>
          <w:snapToGrid w:val="0"/>
          <w:color w:val="auto"/>
          <w:kern w:val="0"/>
          <w:sz w:val="24"/>
          <w:szCs w:val="22"/>
        </w:rPr>
      </w:pPr>
      <w:r>
        <w:rPr>
          <w:rFonts w:hint="eastAsia" w:ascii="宋体" w:hAnsi="宋体" w:cs="宋体"/>
          <w:snapToGrid w:val="0"/>
          <w:color w:val="auto"/>
          <w:kern w:val="0"/>
          <w:sz w:val="24"/>
          <w:szCs w:val="22"/>
        </w:rPr>
        <w:t>5.2成交供应商应对施工质量全面负责，如因自身原因造成任何质量事故，则须承担一切责任。</w:t>
      </w:r>
    </w:p>
    <w:p w14:paraId="50068A7D">
      <w:pPr>
        <w:tabs>
          <w:tab w:val="left" w:pos="753"/>
        </w:tabs>
        <w:snapToGrid w:val="0"/>
        <w:spacing w:line="360" w:lineRule="auto"/>
        <w:ind w:firstLine="480" w:firstLineChars="200"/>
        <w:rPr>
          <w:rFonts w:hint="eastAsia" w:ascii="宋体" w:hAnsi="宋体" w:cs="宋体"/>
          <w:snapToGrid w:val="0"/>
          <w:color w:val="auto"/>
          <w:kern w:val="0"/>
          <w:sz w:val="24"/>
          <w:szCs w:val="22"/>
        </w:rPr>
      </w:pPr>
      <w:r>
        <w:rPr>
          <w:rFonts w:hint="eastAsia" w:ascii="宋体" w:hAnsi="宋体" w:cs="宋体"/>
          <w:snapToGrid w:val="0"/>
          <w:color w:val="auto"/>
          <w:kern w:val="0"/>
          <w:sz w:val="24"/>
          <w:szCs w:val="22"/>
        </w:rPr>
        <w:t>5.3在施工期间，成交供应商应无条件服从采购人的要求和指令。</w:t>
      </w:r>
    </w:p>
    <w:p w14:paraId="04292DF6">
      <w:pPr>
        <w:tabs>
          <w:tab w:val="left" w:pos="753"/>
        </w:tabs>
        <w:snapToGrid w:val="0"/>
        <w:spacing w:line="360" w:lineRule="auto"/>
        <w:ind w:firstLine="480" w:firstLineChars="200"/>
        <w:rPr>
          <w:rFonts w:hint="eastAsia" w:ascii="宋体" w:hAnsi="宋体" w:cs="宋体"/>
          <w:snapToGrid w:val="0"/>
          <w:color w:val="auto"/>
          <w:kern w:val="0"/>
          <w:sz w:val="24"/>
          <w:szCs w:val="22"/>
        </w:rPr>
      </w:pPr>
      <w:r>
        <w:rPr>
          <w:rFonts w:hint="eastAsia" w:ascii="宋体" w:hAnsi="宋体" w:cs="宋体"/>
          <w:snapToGrid w:val="0"/>
          <w:color w:val="auto"/>
          <w:kern w:val="0"/>
          <w:sz w:val="24"/>
          <w:szCs w:val="22"/>
        </w:rPr>
        <w:t>5.4设备安装前，提供产品检测报告。成交供应商应无条件的接受采购人的质量监督，提出的质量问题要及时整改，整改完毕后通知采购人检查验收，合格后书面报送采购人备案。</w:t>
      </w:r>
    </w:p>
    <w:p w14:paraId="01A0FD35">
      <w:pPr>
        <w:tabs>
          <w:tab w:val="left" w:pos="753"/>
        </w:tabs>
        <w:snapToGrid w:val="0"/>
        <w:spacing w:line="360" w:lineRule="auto"/>
        <w:ind w:firstLine="480" w:firstLineChars="200"/>
        <w:rPr>
          <w:rFonts w:hint="eastAsia" w:ascii="宋体" w:hAnsi="宋体" w:cs="宋体"/>
          <w:b/>
          <w:bCs/>
          <w:snapToGrid w:val="0"/>
          <w:color w:val="auto"/>
          <w:kern w:val="0"/>
          <w:sz w:val="24"/>
          <w:szCs w:val="22"/>
        </w:rPr>
      </w:pPr>
      <w:r>
        <w:rPr>
          <w:rFonts w:hint="eastAsia" w:ascii="宋体" w:hAnsi="宋体" w:cs="宋体"/>
          <w:snapToGrid w:val="0"/>
          <w:color w:val="auto"/>
          <w:kern w:val="0"/>
          <w:sz w:val="24"/>
          <w:szCs w:val="22"/>
        </w:rPr>
        <w:t>5.5成交供应商必须建立健全质量检查制度，严格工序管理，隐蔽工程在隐蔽前应通知采购人检查验收；本着谁施工谁负责产品保护，谁破坏产品谁负责赔偿的原则，成交供应商必须采取切实有效的保护措施，并编制相应的保护方案报采购人批准同意后组织实施。</w:t>
      </w:r>
    </w:p>
    <w:p w14:paraId="0BACE12F">
      <w:pPr>
        <w:snapToGrid w:val="0"/>
        <w:spacing w:line="360" w:lineRule="auto"/>
        <w:ind w:firstLine="480" w:firstLineChars="200"/>
        <w:rPr>
          <w:rFonts w:hint="eastAsia" w:ascii="宋体" w:hAnsi="宋体" w:cs="宋体"/>
          <w:snapToGrid w:val="0"/>
          <w:color w:val="auto"/>
          <w:kern w:val="0"/>
          <w:sz w:val="24"/>
          <w:szCs w:val="22"/>
        </w:rPr>
      </w:pPr>
      <w:r>
        <w:rPr>
          <w:rFonts w:hint="eastAsia" w:ascii="宋体" w:hAnsi="宋体" w:cs="宋体"/>
          <w:snapToGrid w:val="0"/>
          <w:color w:val="auto"/>
          <w:kern w:val="0"/>
          <w:sz w:val="24"/>
          <w:szCs w:val="22"/>
        </w:rPr>
        <w:t>5.6在未验收前，请成交供应商自行负责保管好施工材料、工具等。采购人不为施工期间材料丢失、被盗、损坏及与其他施工单位产生的纠纷等事项承担责任，直至验收合格。</w:t>
      </w:r>
    </w:p>
    <w:p w14:paraId="473D9FA3">
      <w:pPr>
        <w:snapToGrid w:val="0"/>
        <w:spacing w:line="360" w:lineRule="auto"/>
        <w:ind w:firstLine="482" w:firstLineChars="200"/>
        <w:rPr>
          <w:rFonts w:hint="eastAsia" w:ascii="宋体" w:hAnsi="宋体" w:cs="宋体"/>
          <w:b/>
          <w:bCs/>
          <w:snapToGrid w:val="0"/>
          <w:color w:val="auto"/>
          <w:kern w:val="0"/>
          <w:sz w:val="24"/>
          <w:szCs w:val="22"/>
        </w:rPr>
      </w:pPr>
      <w:r>
        <w:rPr>
          <w:rFonts w:hint="eastAsia" w:ascii="宋体" w:hAnsi="宋体" w:cs="宋体"/>
          <w:b/>
          <w:bCs/>
          <w:snapToGrid w:val="0"/>
          <w:color w:val="auto"/>
          <w:kern w:val="0"/>
          <w:sz w:val="24"/>
          <w:szCs w:val="22"/>
        </w:rPr>
        <w:t>六、其他要求</w:t>
      </w:r>
    </w:p>
    <w:p w14:paraId="6049C885">
      <w:pPr>
        <w:snapToGrid w:val="0"/>
        <w:spacing w:line="360" w:lineRule="auto"/>
        <w:ind w:firstLine="480" w:firstLineChars="200"/>
        <w:rPr>
          <w:rFonts w:hint="eastAsia" w:ascii="宋体" w:hAnsi="宋体" w:cs="宋体"/>
          <w:bCs/>
          <w:snapToGrid w:val="0"/>
          <w:color w:val="auto"/>
          <w:kern w:val="0"/>
          <w:sz w:val="24"/>
          <w:szCs w:val="22"/>
        </w:rPr>
      </w:pPr>
      <w:r>
        <w:rPr>
          <w:rFonts w:hint="eastAsia" w:ascii="宋体" w:hAnsi="宋体" w:cs="宋体"/>
          <w:bCs/>
          <w:snapToGrid w:val="0"/>
          <w:color w:val="auto"/>
          <w:kern w:val="0"/>
          <w:sz w:val="24"/>
          <w:szCs w:val="22"/>
        </w:rPr>
        <w:t>6.1项目工期：</w:t>
      </w:r>
      <w:r>
        <w:rPr>
          <w:rFonts w:hint="eastAsia" w:ascii="宋体" w:hAnsi="宋体" w:eastAsia="宋体" w:cs="宋体"/>
          <w:bCs/>
          <w:color w:val="auto"/>
          <w:sz w:val="24"/>
          <w:szCs w:val="24"/>
          <w:highlight w:val="none"/>
        </w:rPr>
        <w:t>合同签订后</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天内完成</w:t>
      </w:r>
      <w:r>
        <w:rPr>
          <w:rFonts w:hint="eastAsia" w:ascii="宋体" w:hAnsi="宋体" w:eastAsia="宋体" w:cs="宋体"/>
          <w:bCs/>
          <w:color w:val="auto"/>
          <w:sz w:val="24"/>
          <w:szCs w:val="24"/>
          <w:highlight w:val="none"/>
          <w:lang w:eastAsia="zh-CN"/>
        </w:rPr>
        <w:t>供货及安装</w:t>
      </w:r>
      <w:r>
        <w:rPr>
          <w:rFonts w:hint="eastAsia" w:ascii="宋体" w:hAnsi="宋体" w:cs="宋体"/>
          <w:bCs/>
          <w:snapToGrid w:val="0"/>
          <w:color w:val="auto"/>
          <w:kern w:val="0"/>
          <w:sz w:val="24"/>
          <w:szCs w:val="22"/>
        </w:rPr>
        <w:t>。</w:t>
      </w:r>
    </w:p>
    <w:p w14:paraId="4CFDDD4A">
      <w:pPr>
        <w:snapToGrid w:val="0"/>
        <w:spacing w:line="360" w:lineRule="auto"/>
        <w:ind w:firstLine="480" w:firstLineChars="200"/>
        <w:rPr>
          <w:rFonts w:hint="eastAsia" w:ascii="宋体" w:hAnsi="宋体" w:cs="宋体"/>
          <w:bCs/>
          <w:snapToGrid w:val="0"/>
          <w:color w:val="auto"/>
          <w:kern w:val="0"/>
          <w:sz w:val="24"/>
          <w:szCs w:val="22"/>
        </w:rPr>
      </w:pPr>
      <w:r>
        <w:rPr>
          <w:rFonts w:hint="eastAsia" w:ascii="宋体" w:hAnsi="宋体" w:cs="宋体"/>
          <w:bCs/>
          <w:snapToGrid w:val="0"/>
          <w:color w:val="auto"/>
          <w:kern w:val="0"/>
          <w:sz w:val="24"/>
          <w:szCs w:val="22"/>
        </w:rPr>
        <w:t>6.2 交货地：采购人指定地点。</w:t>
      </w:r>
    </w:p>
    <w:p w14:paraId="256F85CB">
      <w:pPr>
        <w:snapToGrid w:val="0"/>
        <w:spacing w:line="360" w:lineRule="auto"/>
        <w:ind w:firstLine="480" w:firstLineChars="200"/>
        <w:rPr>
          <w:rFonts w:hint="eastAsia" w:ascii="宋体" w:hAnsi="宋体" w:cs="宋体"/>
          <w:bCs/>
          <w:snapToGrid w:val="0"/>
          <w:color w:val="auto"/>
          <w:kern w:val="0"/>
          <w:sz w:val="24"/>
          <w:szCs w:val="22"/>
        </w:rPr>
      </w:pPr>
      <w:r>
        <w:rPr>
          <w:rFonts w:hint="eastAsia" w:ascii="宋体" w:hAnsi="宋体" w:cs="宋体"/>
          <w:bCs/>
          <w:snapToGrid w:val="0"/>
          <w:color w:val="auto"/>
          <w:kern w:val="0"/>
          <w:sz w:val="24"/>
          <w:szCs w:val="22"/>
        </w:rPr>
        <w:t>6.3质量标准：一次性验收合格。</w:t>
      </w:r>
    </w:p>
    <w:p w14:paraId="7A35261C">
      <w:pPr>
        <w:snapToGrid w:val="0"/>
        <w:spacing w:line="360" w:lineRule="auto"/>
        <w:ind w:firstLine="480" w:firstLineChars="200"/>
        <w:rPr>
          <w:rFonts w:hint="eastAsia" w:ascii="宋体" w:hAnsi="宋体" w:cs="宋体"/>
          <w:bCs/>
          <w:snapToGrid w:val="0"/>
          <w:color w:val="auto"/>
          <w:kern w:val="0"/>
          <w:sz w:val="24"/>
          <w:szCs w:val="22"/>
        </w:rPr>
      </w:pPr>
      <w:r>
        <w:rPr>
          <w:rFonts w:hint="eastAsia" w:ascii="宋体" w:hAnsi="宋体" w:cs="宋体"/>
          <w:bCs/>
          <w:snapToGrid w:val="0"/>
          <w:color w:val="auto"/>
          <w:kern w:val="0"/>
          <w:sz w:val="24"/>
          <w:szCs w:val="22"/>
        </w:rPr>
        <w:t>6.4售后服务：</w:t>
      </w:r>
    </w:p>
    <w:p w14:paraId="3A482E78">
      <w:pPr>
        <w:snapToGrid w:val="0"/>
        <w:spacing w:line="360" w:lineRule="auto"/>
        <w:ind w:firstLine="480" w:firstLineChars="200"/>
        <w:rPr>
          <w:rFonts w:hint="eastAsia" w:ascii="宋体" w:hAnsi="宋体" w:cs="宋体"/>
          <w:bCs/>
          <w:snapToGrid w:val="0"/>
          <w:color w:val="auto"/>
          <w:kern w:val="0"/>
          <w:sz w:val="24"/>
          <w:szCs w:val="22"/>
        </w:rPr>
      </w:pPr>
      <w:r>
        <w:rPr>
          <w:rFonts w:hint="eastAsia" w:ascii="宋体" w:hAnsi="宋体" w:cs="宋体"/>
          <w:bCs/>
          <w:snapToGrid w:val="0"/>
          <w:color w:val="auto"/>
          <w:kern w:val="0"/>
          <w:sz w:val="24"/>
          <w:szCs w:val="22"/>
        </w:rPr>
        <w:t>质保期内成交供应商应保证每季度至少一次的免费检修。</w:t>
      </w:r>
      <w:r>
        <w:rPr>
          <w:rFonts w:hint="eastAsia" w:ascii="宋体" w:hAnsi="宋体" w:eastAsia="宋体" w:cs="宋体"/>
          <w:bCs/>
          <w:color w:val="auto"/>
          <w:kern w:val="0"/>
          <w:sz w:val="24"/>
          <w:szCs w:val="24"/>
          <w:highlight w:val="none"/>
        </w:rPr>
        <w:t>质保期</w:t>
      </w:r>
      <w:r>
        <w:rPr>
          <w:rFonts w:hint="eastAsia" w:ascii="宋体" w:hAnsi="宋体" w:eastAsia="宋体" w:cs="宋体"/>
          <w:bCs/>
          <w:snapToGrid w:val="0"/>
          <w:color w:val="auto"/>
          <w:kern w:val="0"/>
          <w:sz w:val="24"/>
          <w:szCs w:val="22"/>
        </w:rPr>
        <w:t>不少于</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年（自验收合格之日起计算</w:t>
      </w:r>
      <w:r>
        <w:rPr>
          <w:rFonts w:hint="eastAsia" w:ascii="宋体" w:hAnsi="宋体" w:cs="宋体"/>
          <w:bCs/>
          <w:color w:val="auto"/>
          <w:kern w:val="0"/>
          <w:sz w:val="24"/>
          <w:szCs w:val="24"/>
          <w:highlight w:val="none"/>
          <w:lang w:eastAsia="zh-CN"/>
        </w:rPr>
        <w:t>）</w:t>
      </w:r>
      <w:r>
        <w:rPr>
          <w:rFonts w:hint="eastAsia" w:ascii="宋体" w:hAnsi="宋体" w:cs="宋体"/>
          <w:bCs/>
          <w:snapToGrid w:val="0"/>
          <w:color w:val="auto"/>
          <w:kern w:val="0"/>
          <w:sz w:val="24"/>
          <w:szCs w:val="22"/>
        </w:rPr>
        <w:t>。质保期内，成交供应商应免费维修。质保期内出现故障时，成交供应商在接到用户单位电话通知后，2小时响应，24小时之内上门服务，并完成负责修复。如成交供应商在接到通知后 2 小时内未实质性响应，</w:t>
      </w:r>
      <w:r>
        <w:rPr>
          <w:rFonts w:hint="eastAsia" w:ascii="宋体" w:hAnsi="宋体" w:cs="宋体"/>
          <w:bCs/>
          <w:snapToGrid w:val="0"/>
          <w:color w:val="auto"/>
          <w:kern w:val="0"/>
          <w:sz w:val="24"/>
          <w:szCs w:val="22"/>
          <w:lang w:eastAsia="zh-CN"/>
        </w:rPr>
        <w:t>采购人</w:t>
      </w:r>
      <w:r>
        <w:rPr>
          <w:rFonts w:hint="eastAsia" w:ascii="宋体" w:hAnsi="宋体" w:cs="宋体"/>
          <w:bCs/>
          <w:snapToGrid w:val="0"/>
          <w:color w:val="auto"/>
          <w:kern w:val="0"/>
          <w:sz w:val="24"/>
          <w:szCs w:val="22"/>
        </w:rPr>
        <w:t>可另行委托他人修理，所需费用在质保金内予以扣除。</w:t>
      </w:r>
    </w:p>
    <w:p w14:paraId="41E112DD">
      <w:pPr>
        <w:snapToGrid w:val="0"/>
        <w:spacing w:line="360" w:lineRule="auto"/>
        <w:ind w:firstLine="480" w:firstLineChars="200"/>
        <w:rPr>
          <w:rFonts w:hint="eastAsia" w:ascii="宋体" w:hAnsi="宋体" w:cs="宋体"/>
          <w:color w:val="auto"/>
          <w:sz w:val="24"/>
          <w:szCs w:val="24"/>
        </w:rPr>
      </w:pPr>
      <w:r>
        <w:rPr>
          <w:rFonts w:hint="eastAsia" w:ascii="宋体" w:hAnsi="宋体" w:cs="宋体"/>
          <w:bCs/>
          <w:snapToGrid w:val="0"/>
          <w:color w:val="auto"/>
          <w:kern w:val="0"/>
          <w:sz w:val="24"/>
          <w:szCs w:val="22"/>
        </w:rPr>
        <w:t>质保期满后，原则上</w:t>
      </w:r>
      <w:r>
        <w:rPr>
          <w:rFonts w:hint="eastAsia" w:ascii="宋体" w:hAnsi="宋体" w:cs="宋体"/>
          <w:bCs/>
          <w:snapToGrid w:val="0"/>
          <w:color w:val="auto"/>
          <w:kern w:val="0"/>
          <w:sz w:val="24"/>
          <w:szCs w:val="22"/>
          <w:lang w:eastAsia="zh-CN"/>
        </w:rPr>
        <w:t>成交供应商</w:t>
      </w:r>
      <w:r>
        <w:rPr>
          <w:rFonts w:hint="eastAsia" w:ascii="宋体" w:hAnsi="宋体" w:cs="宋体"/>
          <w:bCs/>
          <w:snapToGrid w:val="0"/>
          <w:color w:val="auto"/>
          <w:kern w:val="0"/>
          <w:sz w:val="24"/>
          <w:szCs w:val="22"/>
        </w:rPr>
        <w:t>须提供终身</w:t>
      </w:r>
      <w:r>
        <w:rPr>
          <w:rFonts w:hint="eastAsia" w:ascii="宋体" w:hAnsi="宋体" w:eastAsia="宋体" w:cs="宋体"/>
          <w:color w:val="auto"/>
          <w:sz w:val="24"/>
        </w:rPr>
        <w:t>检修和</w:t>
      </w:r>
      <w:r>
        <w:rPr>
          <w:rFonts w:hint="eastAsia" w:ascii="宋体" w:hAnsi="宋体" w:cs="宋体"/>
          <w:bCs/>
          <w:snapToGrid w:val="0"/>
          <w:color w:val="auto"/>
          <w:kern w:val="0"/>
          <w:sz w:val="24"/>
          <w:szCs w:val="22"/>
        </w:rPr>
        <w:t>维修服务，且按不高于投标时提供的“质保期满后维修保养费”收费表收取检修和更换零部件的工本费；若收费表报价不实，</w:t>
      </w:r>
      <w:r>
        <w:rPr>
          <w:rFonts w:hint="eastAsia" w:ascii="宋体" w:hAnsi="宋体" w:cs="宋体"/>
          <w:color w:val="auto"/>
          <w:sz w:val="24"/>
          <w:szCs w:val="24"/>
          <w:lang w:eastAsia="zh-CN"/>
        </w:rPr>
        <w:t>采购人</w:t>
      </w:r>
      <w:r>
        <w:rPr>
          <w:rFonts w:hint="eastAsia" w:ascii="宋体" w:hAnsi="宋体" w:cs="宋体"/>
          <w:bCs/>
          <w:snapToGrid w:val="0"/>
          <w:color w:val="auto"/>
          <w:kern w:val="0"/>
          <w:sz w:val="24"/>
          <w:szCs w:val="22"/>
        </w:rPr>
        <w:t>保留</w:t>
      </w:r>
      <w:r>
        <w:rPr>
          <w:rFonts w:hint="eastAsia" w:ascii="宋体" w:hAnsi="宋体" w:cs="宋体"/>
          <w:color w:val="auto"/>
          <w:sz w:val="24"/>
          <w:szCs w:val="24"/>
        </w:rPr>
        <w:t>更换后期维修保养服务单位的权力。</w:t>
      </w:r>
    </w:p>
    <w:p w14:paraId="257B2176">
      <w:pPr>
        <w:adjustRightInd w:val="0"/>
        <w:snapToGrid w:val="0"/>
        <w:spacing w:line="360" w:lineRule="auto"/>
        <w:ind w:firstLine="480" w:firstLineChars="200"/>
        <w:jc w:val="left"/>
        <w:rPr>
          <w:rFonts w:hint="eastAsia" w:ascii="宋体" w:hAnsi="宋体" w:cs="宋体"/>
          <w:color w:val="auto"/>
          <w:sz w:val="24"/>
          <w:szCs w:val="24"/>
        </w:rPr>
      </w:pPr>
      <w:r>
        <w:rPr>
          <w:rFonts w:hint="eastAsia" w:ascii="宋体" w:hAnsi="宋体" w:cs="宋体"/>
          <w:bCs/>
          <w:snapToGrid w:val="0"/>
          <w:color w:val="auto"/>
          <w:kern w:val="0"/>
          <w:sz w:val="24"/>
          <w:szCs w:val="22"/>
        </w:rPr>
        <w:t>6.5</w:t>
      </w:r>
      <w:r>
        <w:rPr>
          <w:rFonts w:hint="eastAsia" w:ascii="宋体" w:hAnsi="宋体" w:cs="宋体"/>
          <w:color w:val="auto"/>
          <w:sz w:val="24"/>
          <w:szCs w:val="24"/>
        </w:rPr>
        <w:t>本项目结合业务的安全需求，项目的整体布局以及确实保障安全，投标人须按产品参数的要求严格响应，同时投标人须为本项目配置完备的安全系统。</w:t>
      </w:r>
    </w:p>
    <w:p w14:paraId="450A6B14">
      <w:pPr>
        <w:adjustRightInd w:val="0"/>
        <w:snapToGrid w:val="0"/>
        <w:spacing w:line="360" w:lineRule="auto"/>
        <w:ind w:firstLine="480" w:firstLineChars="200"/>
        <w:jc w:val="left"/>
        <w:rPr>
          <w:rFonts w:hint="eastAsia" w:ascii="宋体" w:hAnsi="宋体" w:cs="宋体"/>
          <w:bCs/>
          <w:snapToGrid w:val="0"/>
          <w:color w:val="auto"/>
          <w:kern w:val="0"/>
          <w:sz w:val="24"/>
          <w:szCs w:val="22"/>
        </w:rPr>
      </w:pPr>
      <w:r>
        <w:rPr>
          <w:rFonts w:hint="eastAsia" w:ascii="宋体" w:hAnsi="宋体" w:cs="宋体"/>
          <w:color w:val="auto"/>
          <w:sz w:val="24"/>
          <w:szCs w:val="24"/>
        </w:rPr>
        <w:t>6.6</w:t>
      </w:r>
      <w:r>
        <w:rPr>
          <w:rFonts w:hint="eastAsia" w:ascii="宋体" w:hAnsi="宋体" w:cs="宋体"/>
          <w:bCs/>
          <w:snapToGrid w:val="0"/>
          <w:color w:val="auto"/>
          <w:kern w:val="0"/>
          <w:sz w:val="24"/>
          <w:szCs w:val="22"/>
        </w:rPr>
        <w:t>如因</w:t>
      </w:r>
      <w:r>
        <w:rPr>
          <w:rFonts w:hint="eastAsia" w:ascii="宋体" w:hAnsi="宋体" w:cs="宋体"/>
          <w:bCs/>
          <w:snapToGrid w:val="0"/>
          <w:color w:val="auto"/>
          <w:kern w:val="0"/>
          <w:sz w:val="24"/>
          <w:szCs w:val="22"/>
          <w:lang w:eastAsia="zh-CN"/>
        </w:rPr>
        <w:t>采购人</w:t>
      </w:r>
      <w:r>
        <w:rPr>
          <w:rFonts w:hint="eastAsia" w:ascii="宋体" w:hAnsi="宋体" w:cs="宋体"/>
          <w:bCs/>
          <w:snapToGrid w:val="0"/>
          <w:color w:val="auto"/>
          <w:kern w:val="0"/>
          <w:sz w:val="24"/>
          <w:szCs w:val="22"/>
        </w:rPr>
        <w:t>实际需求，供货数量发生变化，成交供应商须无条件满足</w:t>
      </w:r>
      <w:r>
        <w:rPr>
          <w:rFonts w:hint="eastAsia" w:ascii="宋体" w:hAnsi="宋体" w:cs="宋体"/>
          <w:bCs/>
          <w:snapToGrid w:val="0"/>
          <w:color w:val="auto"/>
          <w:kern w:val="0"/>
          <w:sz w:val="24"/>
          <w:szCs w:val="22"/>
          <w:lang w:eastAsia="zh-CN"/>
        </w:rPr>
        <w:t>采购人</w:t>
      </w:r>
      <w:r>
        <w:rPr>
          <w:rFonts w:hint="eastAsia" w:ascii="宋体" w:hAnsi="宋体" w:cs="宋体"/>
          <w:bCs/>
          <w:snapToGrid w:val="0"/>
          <w:color w:val="auto"/>
          <w:kern w:val="0"/>
          <w:sz w:val="24"/>
          <w:szCs w:val="22"/>
        </w:rPr>
        <w:t>需求，确保供货质量并及时供货。成交供应商的综合单价在合同实施期间不因市场变化因素而变动。供货数量，按实结算。</w:t>
      </w:r>
    </w:p>
    <w:p w14:paraId="1F894A83">
      <w:pPr>
        <w:widowControl/>
        <w:spacing w:line="460" w:lineRule="exact"/>
        <w:jc w:val="left"/>
        <w:rPr>
          <w:rFonts w:hint="eastAsia" w:ascii="宋体" w:hAnsi="宋体" w:eastAsia="宋体" w:cs="宋体"/>
          <w:bCs/>
          <w:color w:val="auto"/>
          <w:sz w:val="24"/>
          <w:highlight w:val="none"/>
          <w:lang w:eastAsia="zh-CN"/>
        </w:rPr>
      </w:pPr>
    </w:p>
    <w:p w14:paraId="74883B1B">
      <w:pPr>
        <w:adjustRightInd w:val="0"/>
        <w:snapToGrid w:val="0"/>
        <w:spacing w:line="460" w:lineRule="exact"/>
        <w:jc w:val="center"/>
        <w:outlineLvl w:val="0"/>
        <w:rPr>
          <w:rFonts w:hint="eastAsia" w:ascii="宋体" w:hAnsi="宋体" w:eastAsia="宋体" w:cs="宋体"/>
          <w:bCs/>
          <w:color w:val="auto"/>
          <w:sz w:val="24"/>
          <w:highlight w:val="none"/>
        </w:rPr>
      </w:pPr>
    </w:p>
    <w:p w14:paraId="5144F0A2">
      <w:pPr>
        <w:adjustRightInd w:val="0"/>
        <w:snapToGrid w:val="0"/>
        <w:spacing w:line="460" w:lineRule="exact"/>
        <w:jc w:val="center"/>
        <w:outlineLvl w:val="0"/>
        <w:rPr>
          <w:rFonts w:hint="eastAsia" w:ascii="宋体" w:hAnsi="宋体" w:eastAsia="宋体" w:cs="宋体"/>
          <w:bCs/>
          <w:color w:val="auto"/>
          <w:sz w:val="24"/>
          <w:highlight w:val="none"/>
        </w:rPr>
      </w:pPr>
    </w:p>
    <w:p w14:paraId="15B014E6">
      <w:pPr>
        <w:adjustRightInd w:val="0"/>
        <w:snapToGrid w:val="0"/>
        <w:spacing w:line="360" w:lineRule="auto"/>
        <w:jc w:val="center"/>
        <w:outlineLvl w:val="0"/>
        <w:rPr>
          <w:rFonts w:hint="eastAsia" w:ascii="宋体" w:hAnsi="宋体" w:eastAsia="宋体" w:cs="宋体"/>
          <w:bCs/>
          <w:color w:val="auto"/>
          <w:sz w:val="36"/>
          <w:szCs w:val="36"/>
          <w:highlight w:val="none"/>
        </w:rPr>
      </w:pPr>
    </w:p>
    <w:p w14:paraId="1C607586">
      <w:pPr>
        <w:adjustRightInd w:val="0"/>
        <w:snapToGrid w:val="0"/>
        <w:spacing w:line="360" w:lineRule="auto"/>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第四部分 评审方法和评审标准</w:t>
      </w:r>
    </w:p>
    <w:p w14:paraId="7FA56798">
      <w:pPr>
        <w:pStyle w:val="53"/>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一、采购人委托招标代理机构组织招标</w:t>
      </w:r>
    </w:p>
    <w:p w14:paraId="548462F9">
      <w:pPr>
        <w:pStyle w:val="53"/>
        <w:spacing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1、成立评标小组，由采购人组织成立评标小组</w:t>
      </w:r>
      <w:r>
        <w:rPr>
          <w:rFonts w:hint="eastAsia" w:ascii="宋体" w:hAnsi="宋体" w:eastAsia="宋体" w:cs="宋体"/>
          <w:color w:val="auto"/>
          <w:sz w:val="24"/>
          <w:szCs w:val="24"/>
          <w:highlight w:val="none"/>
          <w:lang w:val="zh-CN"/>
        </w:rPr>
        <w:t>。评审专家应当从政府采购评审专家库内相关专业的专家名单中随机抽取。</w:t>
      </w:r>
    </w:p>
    <w:p w14:paraId="15635704">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2、投标人的法定代表人或被授权人须亲自、准时参加开标会。</w:t>
      </w:r>
    </w:p>
    <w:p w14:paraId="7F11C619">
      <w:pPr>
        <w:pStyle w:val="53"/>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二、开标</w:t>
      </w:r>
    </w:p>
    <w:p w14:paraId="4C0D1A5C">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1、采购代理机构主持开标并记录，及时处理投标人代表提出的询问或者回避申请。</w:t>
      </w:r>
    </w:p>
    <w:p w14:paraId="22A89123">
      <w:pPr>
        <w:pStyle w:val="53"/>
        <w:spacing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2、投标人不足3家的不得开标</w:t>
      </w:r>
      <w:r>
        <w:rPr>
          <w:rFonts w:hint="eastAsia" w:ascii="宋体" w:hAnsi="宋体" w:eastAsia="宋体" w:cs="宋体"/>
          <w:color w:val="auto"/>
          <w:sz w:val="24"/>
          <w:szCs w:val="24"/>
          <w:highlight w:val="none"/>
          <w:lang w:eastAsia="zh-CN"/>
        </w:rPr>
        <w:t>。</w:t>
      </w:r>
    </w:p>
    <w:p w14:paraId="426F786A">
      <w:pPr>
        <w:pStyle w:val="53"/>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三、资格审查</w:t>
      </w:r>
    </w:p>
    <w:p w14:paraId="0F9AC4EE">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1、开标后，采购人及其委托的采购代理机构依据中华人民共和国财政部令第87号《政府采购货物和服务招标投标管理办法》文件第四十四条的规定，根据招标文件载明的资格审查要求，对投标人的资格进行审查。</w:t>
      </w:r>
    </w:p>
    <w:p w14:paraId="717AB688">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2、资格审查合格的投标人进入评标。</w:t>
      </w:r>
    </w:p>
    <w:p w14:paraId="2116B955">
      <w:pPr>
        <w:pStyle w:val="53"/>
        <w:spacing w:line="360" w:lineRule="auto"/>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3、合格投标人不足3家的，不得评标</w:t>
      </w:r>
      <w:r>
        <w:rPr>
          <w:rFonts w:hint="eastAsia" w:ascii="宋体" w:hAnsi="宋体" w:eastAsia="宋体" w:cs="宋体"/>
          <w:color w:val="auto"/>
          <w:sz w:val="24"/>
          <w:szCs w:val="24"/>
          <w:highlight w:val="none"/>
          <w:lang w:eastAsia="zh-CN"/>
        </w:rPr>
        <w:t>。</w:t>
      </w:r>
    </w:p>
    <w:p w14:paraId="17E439E3">
      <w:pPr>
        <w:pStyle w:val="53"/>
        <w:spacing w:line="360" w:lineRule="auto"/>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w:t>
      </w:r>
    </w:p>
    <w:p w14:paraId="560D7B66">
      <w:pPr>
        <w:pStyle w:val="53"/>
        <w:spacing w:line="360" w:lineRule="auto"/>
        <w:ind w:firstLine="480" w:firstLineChars="200"/>
        <w:contextualSpacing/>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1、评标时间：资格审查结束以后。</w:t>
      </w:r>
    </w:p>
    <w:p w14:paraId="7B3A891C">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2、采购代理机构负责组织评标工作，并</w:t>
      </w:r>
      <w:r>
        <w:rPr>
          <w:rFonts w:hint="eastAsia" w:ascii="宋体" w:hAnsi="宋体" w:eastAsia="宋体" w:cs="宋体"/>
          <w:color w:val="auto"/>
          <w:kern w:val="0"/>
          <w:sz w:val="24"/>
          <w:szCs w:val="24"/>
          <w:highlight w:val="none"/>
          <w:lang w:val="zh-CN"/>
        </w:rPr>
        <w:t>履行</w:t>
      </w:r>
      <w:r>
        <w:rPr>
          <w:rFonts w:hint="eastAsia" w:ascii="宋体" w:hAnsi="宋体" w:eastAsia="宋体" w:cs="宋体"/>
          <w:color w:val="auto"/>
          <w:sz w:val="24"/>
          <w:szCs w:val="24"/>
          <w:highlight w:val="none"/>
        </w:rPr>
        <w:t>下列职责：</w:t>
      </w:r>
    </w:p>
    <w:p w14:paraId="54FDA322">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14:paraId="2485F51D">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（2）宣布评标</w:t>
      </w:r>
      <w:r>
        <w:rPr>
          <w:rFonts w:hint="eastAsia" w:ascii="宋体" w:hAnsi="宋体" w:eastAsia="宋体" w:cs="宋体"/>
          <w:color w:val="auto"/>
          <w:kern w:val="0"/>
          <w:sz w:val="24"/>
          <w:szCs w:val="24"/>
          <w:highlight w:val="none"/>
          <w:lang w:val="zh-CN"/>
        </w:rPr>
        <w:t>纪律</w:t>
      </w:r>
      <w:r>
        <w:rPr>
          <w:rFonts w:hint="eastAsia" w:ascii="宋体" w:hAnsi="宋体" w:eastAsia="宋体" w:cs="宋体"/>
          <w:color w:val="auto"/>
          <w:sz w:val="24"/>
          <w:szCs w:val="24"/>
          <w:highlight w:val="none"/>
        </w:rPr>
        <w:t>。</w:t>
      </w:r>
    </w:p>
    <w:p w14:paraId="654EB5CF">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（3）公布投标人名单，告知评审专家应当回避的情形。</w:t>
      </w:r>
    </w:p>
    <w:p w14:paraId="1E9B6103">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w:t>
      </w:r>
      <w:r>
        <w:rPr>
          <w:rFonts w:hint="eastAsia" w:ascii="宋体" w:eastAsia="宋体" w:cs="宋体"/>
          <w:color w:val="auto"/>
          <w:sz w:val="24"/>
          <w:szCs w:val="24"/>
          <w:highlight w:val="none"/>
          <w:lang w:eastAsia="zh-CN"/>
        </w:rPr>
        <w:t>评标小组</w:t>
      </w:r>
      <w:r>
        <w:rPr>
          <w:rFonts w:hint="eastAsia" w:ascii="宋体" w:hAnsi="宋体" w:eastAsia="宋体" w:cs="宋体"/>
          <w:color w:val="auto"/>
          <w:kern w:val="0"/>
          <w:sz w:val="24"/>
          <w:szCs w:val="24"/>
          <w:highlight w:val="none"/>
          <w:lang w:val="zh-CN"/>
        </w:rPr>
        <w:t>推选</w:t>
      </w:r>
      <w:r>
        <w:rPr>
          <w:rFonts w:hint="eastAsia" w:ascii="宋体" w:hAnsi="宋体" w:eastAsia="宋体" w:cs="宋体"/>
          <w:color w:val="auto"/>
          <w:sz w:val="24"/>
          <w:szCs w:val="24"/>
          <w:highlight w:val="none"/>
        </w:rPr>
        <w:t>评标组长，采购人代表不得担任组长。</w:t>
      </w:r>
    </w:p>
    <w:p w14:paraId="7B1A1CB4">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（5）在评标期间采取必要的通讯管理措施，保证评标活动不受外界干扰；除采购人代表、评标现场组织人</w:t>
      </w:r>
      <w:r>
        <w:rPr>
          <w:rFonts w:hint="eastAsia" w:ascii="宋体" w:hAnsi="宋体" w:eastAsia="宋体" w:cs="宋体"/>
          <w:color w:val="auto"/>
          <w:kern w:val="0"/>
          <w:sz w:val="24"/>
          <w:szCs w:val="24"/>
          <w:highlight w:val="none"/>
          <w:lang w:val="zh-CN"/>
        </w:rPr>
        <w:t>员外</w:t>
      </w:r>
      <w:r>
        <w:rPr>
          <w:rFonts w:hint="eastAsia" w:ascii="宋体" w:hAnsi="宋体" w:eastAsia="宋体" w:cs="宋体"/>
          <w:color w:val="auto"/>
          <w:sz w:val="24"/>
          <w:szCs w:val="24"/>
          <w:highlight w:val="none"/>
        </w:rPr>
        <w:t>，采购人的其他工作人员以及与评标工作无关的人员不得进入评标现场。</w:t>
      </w:r>
    </w:p>
    <w:p w14:paraId="3B15814C">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w:t>
      </w:r>
      <w:r>
        <w:rPr>
          <w:rFonts w:hint="eastAsia" w:asci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的要求介绍政府采购相关政策法规、招标文件。</w:t>
      </w:r>
    </w:p>
    <w:p w14:paraId="68CF5704">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（7）维护评标秩序，</w:t>
      </w:r>
      <w:r>
        <w:rPr>
          <w:rFonts w:hint="eastAsia" w:ascii="宋体" w:hAnsi="宋体" w:eastAsia="宋体" w:cs="宋体"/>
          <w:color w:val="auto"/>
          <w:kern w:val="0"/>
          <w:sz w:val="24"/>
          <w:szCs w:val="24"/>
          <w:highlight w:val="none"/>
          <w:lang w:val="zh-CN"/>
        </w:rPr>
        <w:t>监督</w:t>
      </w:r>
      <w:r>
        <w:rPr>
          <w:rFonts w:hint="eastAsia" w:asci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318E55A0">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（8）核对评标结果，有下列规定情形的，要求</w:t>
      </w:r>
      <w:r>
        <w:rPr>
          <w:rFonts w:hint="eastAsia" w:asci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复核或者书面说明理由，</w:t>
      </w:r>
      <w:r>
        <w:rPr>
          <w:rFonts w:hint="eastAsia" w:asci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拒绝的，则予以书面记录并向本级财政部门报告：</w:t>
      </w:r>
    </w:p>
    <w:p w14:paraId="2A417038">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分值汇总计算</w:t>
      </w:r>
      <w:r>
        <w:rPr>
          <w:rFonts w:hint="eastAsia" w:ascii="宋体" w:hAnsi="宋体" w:eastAsia="宋体" w:cs="宋体"/>
          <w:color w:val="auto"/>
          <w:kern w:val="0"/>
          <w:sz w:val="24"/>
          <w:szCs w:val="24"/>
          <w:highlight w:val="none"/>
          <w:lang w:val="zh-CN"/>
        </w:rPr>
        <w:t>错误</w:t>
      </w:r>
      <w:r>
        <w:rPr>
          <w:rFonts w:hint="eastAsia" w:ascii="宋体" w:hAnsi="宋体" w:eastAsia="宋体" w:cs="宋体"/>
          <w:color w:val="auto"/>
          <w:sz w:val="24"/>
          <w:szCs w:val="24"/>
          <w:highlight w:val="none"/>
        </w:rPr>
        <w:t>的；</w:t>
      </w:r>
    </w:p>
    <w:p w14:paraId="2F7DF1DB">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分项评分超出</w:t>
      </w:r>
      <w:r>
        <w:rPr>
          <w:rFonts w:hint="eastAsia" w:ascii="宋体" w:hAnsi="宋体" w:eastAsia="宋体" w:cs="宋体"/>
          <w:color w:val="auto"/>
          <w:kern w:val="0"/>
          <w:sz w:val="24"/>
          <w:szCs w:val="24"/>
          <w:highlight w:val="none"/>
          <w:lang w:val="zh-CN"/>
        </w:rPr>
        <w:t>评分</w:t>
      </w:r>
      <w:r>
        <w:rPr>
          <w:rFonts w:hint="eastAsia" w:ascii="宋体" w:hAnsi="宋体" w:eastAsia="宋体" w:cs="宋体"/>
          <w:color w:val="auto"/>
          <w:sz w:val="24"/>
          <w:szCs w:val="24"/>
          <w:highlight w:val="none"/>
        </w:rPr>
        <w:t>标准范围的；</w:t>
      </w:r>
    </w:p>
    <w:p w14:paraId="1D985BEC">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③ </w:t>
      </w:r>
      <w:r>
        <w:rPr>
          <w:rFonts w:hint="eastAsia" w:ascii="宋体" w:eastAsia="宋体" w:cs="宋体"/>
          <w:color w:val="auto"/>
          <w:sz w:val="24"/>
          <w:szCs w:val="24"/>
          <w:highlight w:val="none"/>
          <w:lang w:eastAsia="zh-CN"/>
        </w:rPr>
        <w:t>评标小组</w:t>
      </w:r>
      <w:r>
        <w:rPr>
          <w:rFonts w:hint="eastAsia" w:ascii="宋体" w:hAnsi="宋体" w:eastAsia="宋体" w:cs="宋体"/>
          <w:color w:val="auto"/>
          <w:kern w:val="0"/>
          <w:sz w:val="24"/>
          <w:szCs w:val="24"/>
          <w:highlight w:val="none"/>
          <w:lang w:val="zh-CN"/>
        </w:rPr>
        <w:t>成员</w:t>
      </w:r>
      <w:r>
        <w:rPr>
          <w:rFonts w:hint="eastAsia" w:ascii="宋体" w:hAnsi="宋体" w:eastAsia="宋体" w:cs="宋体"/>
          <w:color w:val="auto"/>
          <w:sz w:val="24"/>
          <w:szCs w:val="24"/>
          <w:highlight w:val="none"/>
        </w:rPr>
        <w:t>对客观评审因素评分不一致的；</w:t>
      </w:r>
    </w:p>
    <w:p w14:paraId="4B84DB1C">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经</w:t>
      </w:r>
      <w:r>
        <w:rPr>
          <w:rFonts w:hint="eastAsia" w:asci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认定评分畸高、畸低的。</w:t>
      </w:r>
    </w:p>
    <w:p w14:paraId="0B87C200">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（9）评审工作完成后，按照规定向评审专家支付劳务报酬和异地评审差旅费，不得向评审专家以外的其他人员支付评审劳务报酬；</w:t>
      </w:r>
    </w:p>
    <w:p w14:paraId="22D8777C">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w:t>
      </w:r>
      <w:r>
        <w:rPr>
          <w:rFonts w:hint="eastAsia" w:ascii="宋体" w:hAnsi="宋体" w:eastAsia="宋体" w:cs="宋体"/>
          <w:color w:val="auto"/>
          <w:kern w:val="0"/>
          <w:sz w:val="24"/>
          <w:szCs w:val="24"/>
          <w:highlight w:val="none"/>
          <w:lang w:val="zh-CN"/>
        </w:rPr>
        <w:t>评标</w:t>
      </w:r>
      <w:r>
        <w:rPr>
          <w:rFonts w:hint="eastAsia" w:ascii="宋体" w:hAnsi="宋体" w:eastAsia="宋体" w:cs="宋体"/>
          <w:color w:val="auto"/>
          <w:sz w:val="24"/>
          <w:szCs w:val="24"/>
          <w:highlight w:val="none"/>
        </w:rPr>
        <w:t>有关的其他事项。</w:t>
      </w:r>
    </w:p>
    <w:p w14:paraId="67652FDE">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负责具体评标事务：</w:t>
      </w:r>
    </w:p>
    <w:p w14:paraId="7E5923A4">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独立履行审查、评价合格投标人的投标文件是否符合招标文件的技术等实质性要求并进行比较和评价；按照招标文件中规定的评标方法和标准，对符合性审查合格的投标文件进行技术评估，综合比较与评价并依据招标文件载明的评标方法直接确定</w:t>
      </w:r>
      <w:r>
        <w:rPr>
          <w:rFonts w:hint="eastAsia" w:asci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w:t>
      </w:r>
    </w:p>
    <w:p w14:paraId="79A9DE7E">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w:t>
      </w:r>
      <w:r>
        <w:rPr>
          <w:rFonts w:hint="eastAsia" w:ascii="宋体" w:hAnsi="宋体" w:eastAsia="宋体" w:cs="宋体"/>
          <w:color w:val="auto"/>
          <w:kern w:val="0"/>
          <w:sz w:val="24"/>
          <w:szCs w:val="24"/>
          <w:highlight w:val="none"/>
          <w:lang w:val="zh-CN"/>
        </w:rPr>
        <w:t>投标</w:t>
      </w:r>
      <w:r>
        <w:rPr>
          <w:rFonts w:hint="eastAsia" w:ascii="宋体" w:hAnsi="宋体" w:eastAsia="宋体" w:cs="宋体"/>
          <w:color w:val="auto"/>
          <w:sz w:val="24"/>
          <w:szCs w:val="24"/>
          <w:highlight w:val="none"/>
        </w:rPr>
        <w:t>文件中含义不明确、同类问题表述不一致或者有明显文字和计算错误的内容，</w:t>
      </w:r>
      <w:r>
        <w:rPr>
          <w:rFonts w:hint="eastAsia" w:asci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应当以书面形式要求投标人作出必要的澄清、说明或者补正。投标人的澄清、说明或者补正，应当采用书面形式由投标人代表签字，但不得超出招标文件的范围或者改变其实质性内容。</w:t>
      </w:r>
    </w:p>
    <w:p w14:paraId="2544F354">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200B90E">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eastAsia="宋体" w:cs="宋体"/>
          <w:color w:val="auto"/>
          <w:sz w:val="24"/>
          <w:szCs w:val="24"/>
          <w:highlight w:val="none"/>
          <w:lang w:eastAsia="zh-CN"/>
        </w:rPr>
        <w:t>评标小组</w:t>
      </w:r>
      <w:r>
        <w:rPr>
          <w:rFonts w:hint="eastAsia" w:ascii="宋体" w:hAnsi="宋体" w:eastAsia="宋体" w:cs="宋体"/>
          <w:color w:val="auto"/>
          <w:sz w:val="24"/>
          <w:szCs w:val="24"/>
          <w:highlight w:val="none"/>
        </w:rPr>
        <w:t>成员独立履行以下职责与义务：</w:t>
      </w:r>
    </w:p>
    <w:p w14:paraId="1A638F6F">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lang w:val="zh-CN"/>
        </w:rPr>
        <w:t>遵纪守法</w:t>
      </w:r>
      <w:r>
        <w:rPr>
          <w:rFonts w:hint="eastAsia" w:ascii="宋体" w:hAnsi="宋体" w:eastAsia="宋体" w:cs="宋体"/>
          <w:color w:val="auto"/>
          <w:sz w:val="24"/>
          <w:szCs w:val="24"/>
          <w:highlight w:val="none"/>
        </w:rPr>
        <w:t>，客观、公正、廉洁地履行职责；</w:t>
      </w:r>
    </w:p>
    <w:p w14:paraId="4A1604DF">
      <w:pPr>
        <w:pStyle w:val="53"/>
        <w:spacing w:line="360" w:lineRule="auto"/>
        <w:ind w:firstLine="480" w:firstLineChars="200"/>
        <w:contextualSpacing/>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（2）审查合格</w:t>
      </w:r>
      <w:r>
        <w:rPr>
          <w:rFonts w:hint="eastAsia" w:ascii="宋体" w:hAnsi="宋体" w:eastAsia="宋体" w:cs="宋体"/>
          <w:color w:val="auto"/>
          <w:kern w:val="0"/>
          <w:sz w:val="24"/>
          <w:szCs w:val="24"/>
          <w:highlight w:val="none"/>
          <w:lang w:val="zh-CN"/>
        </w:rPr>
        <w:t>投标人的投标文件是否实质性响应招标文件要求，并做出评价；</w:t>
      </w:r>
    </w:p>
    <w:p w14:paraId="5E63D1AF">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（3）按照招标</w:t>
      </w:r>
      <w:r>
        <w:rPr>
          <w:rFonts w:hint="eastAsia" w:ascii="宋体" w:hAnsi="宋体" w:eastAsia="宋体" w:cs="宋体"/>
          <w:color w:val="auto"/>
          <w:sz w:val="24"/>
          <w:szCs w:val="24"/>
          <w:highlight w:val="none"/>
        </w:rPr>
        <w:t>文件规定的评标办法和评标标准进行评标，对评审意见承担个人责任；</w:t>
      </w:r>
    </w:p>
    <w:p w14:paraId="572979FB">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（4）可以</w:t>
      </w:r>
      <w:r>
        <w:rPr>
          <w:rFonts w:hint="eastAsia" w:ascii="宋体" w:hAnsi="宋体" w:eastAsia="宋体" w:cs="宋体"/>
          <w:color w:val="auto"/>
          <w:kern w:val="0"/>
          <w:sz w:val="24"/>
          <w:szCs w:val="24"/>
          <w:highlight w:val="none"/>
          <w:lang w:val="zh-CN"/>
        </w:rPr>
        <w:t>要求</w:t>
      </w:r>
      <w:r>
        <w:rPr>
          <w:rFonts w:hint="eastAsia" w:ascii="宋体" w:hAnsi="宋体" w:eastAsia="宋体" w:cs="宋体"/>
          <w:color w:val="auto"/>
          <w:sz w:val="24"/>
          <w:szCs w:val="24"/>
          <w:highlight w:val="none"/>
        </w:rPr>
        <w:t>投标人对投标文件有关事项做出解释或澄清；</w:t>
      </w:r>
    </w:p>
    <w:p w14:paraId="7D1B7FE7">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w:t>
      </w:r>
      <w:r>
        <w:rPr>
          <w:rFonts w:hint="eastAsia" w:ascii="宋体" w:hAnsi="宋体" w:eastAsia="宋体" w:cs="宋体"/>
          <w:color w:val="auto"/>
          <w:kern w:val="0"/>
          <w:sz w:val="24"/>
          <w:szCs w:val="24"/>
          <w:highlight w:val="none"/>
          <w:lang w:val="zh-CN"/>
        </w:rPr>
        <w:t>评标</w:t>
      </w:r>
      <w:r>
        <w:rPr>
          <w:rFonts w:hint="eastAsia" w:ascii="宋体" w:hAnsi="宋体" w:eastAsia="宋体" w:cs="宋体"/>
          <w:color w:val="auto"/>
          <w:sz w:val="24"/>
          <w:szCs w:val="24"/>
          <w:highlight w:val="none"/>
        </w:rPr>
        <w:t>过程和结果，以及投标人的商业秘密保密；</w:t>
      </w:r>
    </w:p>
    <w:p w14:paraId="7E5499F1">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kern w:val="0"/>
          <w:sz w:val="24"/>
          <w:szCs w:val="24"/>
          <w:highlight w:val="none"/>
          <w:lang w:val="zh-CN"/>
        </w:rPr>
        <w:t>配合</w:t>
      </w:r>
      <w:r>
        <w:rPr>
          <w:rFonts w:hint="eastAsia" w:ascii="宋体" w:hAnsi="宋体" w:eastAsia="宋体" w:cs="宋体"/>
          <w:color w:val="auto"/>
          <w:sz w:val="24"/>
          <w:szCs w:val="24"/>
          <w:highlight w:val="none"/>
        </w:rPr>
        <w:t>相关部门的投诉处理工作；</w:t>
      </w:r>
    </w:p>
    <w:p w14:paraId="780112D1">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（7）配合采购人或采购代理机构答复投标人提出的质疑。</w:t>
      </w:r>
    </w:p>
    <w:p w14:paraId="190EC131">
      <w:pPr>
        <w:pStyle w:val="53"/>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6、除采购人代表、评标现场组织人员外，采购人的其他工作人员以及与评标工作无关的人员不得进入评标现场；有关人员对评标情况以及在评标过程中获悉的国家秘密、商业秘密负有保密责任。</w:t>
      </w:r>
    </w:p>
    <w:p w14:paraId="7ABA2C0E">
      <w:pPr>
        <w:adjustRightInd w:val="0"/>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7、开标后直到公告项目成交结果发出成交通知书并授予</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合同为止，凡属于评审、澄清、评价和比较投标的所有资料及有关授予合同等的相关信息，都不应向投标人或与评标无关的其他人泄露。</w:t>
      </w:r>
    </w:p>
    <w:p w14:paraId="06F49402">
      <w:pPr>
        <w:adjustRightInd w:val="0"/>
        <w:snapToGrid w:val="0"/>
        <w:spacing w:line="360" w:lineRule="auto"/>
        <w:ind w:firstLine="484" w:firstLineChars="20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8、评审期间，合格投标人的投标文件仍有可能被</w:t>
      </w:r>
      <w:r>
        <w:rPr>
          <w:rFonts w:hint="eastAsia" w:ascii="宋体" w:hAnsi="宋体" w:cs="宋体"/>
          <w:color w:val="auto"/>
          <w:sz w:val="24"/>
          <w:szCs w:val="24"/>
          <w:highlight w:val="none"/>
          <w:lang w:eastAsia="zh-CN"/>
        </w:rPr>
        <w:t>评标小组</w:t>
      </w:r>
      <w:r>
        <w:rPr>
          <w:rFonts w:hint="eastAsia" w:ascii="宋体" w:hAnsi="宋体" w:eastAsia="宋体" w:cs="宋体"/>
          <w:color w:val="auto"/>
          <w:sz w:val="24"/>
          <w:szCs w:val="24"/>
          <w:highlight w:val="none"/>
        </w:rPr>
        <w:t>根据规定判为无效投标。</w:t>
      </w:r>
    </w:p>
    <w:p w14:paraId="35F21145">
      <w:pPr>
        <w:adjustRightInd w:val="0"/>
        <w:snapToGrid w:val="0"/>
        <w:spacing w:line="360" w:lineRule="auto"/>
        <w:ind w:firstLine="484" w:firstLineChars="202"/>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9、在投标文件的评审、澄清、评价和比较以及授予合同的过程中，投标人对采购人和</w:t>
      </w:r>
      <w:r>
        <w:rPr>
          <w:rFonts w:hint="eastAsia" w:ascii="宋体" w:hAnsi="宋体" w:cs="宋体"/>
          <w:color w:val="auto"/>
          <w:sz w:val="24"/>
          <w:szCs w:val="24"/>
          <w:highlight w:val="none"/>
          <w:lang w:eastAsia="zh-CN"/>
        </w:rPr>
        <w:t>评标小组</w:t>
      </w:r>
      <w:r>
        <w:rPr>
          <w:rFonts w:hint="eastAsia" w:ascii="宋体" w:hAnsi="宋体" w:eastAsia="宋体" w:cs="宋体"/>
          <w:color w:val="auto"/>
          <w:sz w:val="24"/>
          <w:szCs w:val="24"/>
          <w:highlight w:val="none"/>
        </w:rPr>
        <w:t>成员有施加影响的任何行为，都将取消其可能的中标资格。</w:t>
      </w:r>
    </w:p>
    <w:p w14:paraId="13344134">
      <w:pPr>
        <w:adjustRightInd w:val="0"/>
        <w:snapToGrid w:val="0"/>
        <w:spacing w:line="360" w:lineRule="auto"/>
        <w:ind w:firstLine="487" w:firstLineChars="202"/>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五、评审原则和方法</w:t>
      </w:r>
    </w:p>
    <w:p w14:paraId="6371CB75">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（一）本项目采用</w:t>
      </w:r>
      <w:r>
        <w:rPr>
          <w:rFonts w:hint="eastAsia" w:ascii="宋体" w:hAnsi="宋体" w:eastAsia="宋体" w:cs="宋体"/>
          <w:b/>
          <w:color w:val="auto"/>
          <w:sz w:val="24"/>
          <w:szCs w:val="24"/>
          <w:highlight w:val="none"/>
          <w:u w:val="single"/>
        </w:rPr>
        <w:t>综合评分法</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是指投标文件满足招标文件全部实质性要求且按评审因素的量化指标评审得分最高的投标人为中标候选人的评审方法。分资格审查、商务技术标、价格标三部分评审，总分值为100分，加分和减分因素除外。</w:t>
      </w:r>
    </w:p>
    <w:p w14:paraId="25072AF7">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首先由采购人评审投标人资格性、符合性，对合格的投标人由</w:t>
      </w:r>
      <w:r>
        <w:rPr>
          <w:rFonts w:hint="eastAsia" w:ascii="宋体" w:hAnsi="宋体" w:cs="宋体"/>
          <w:color w:val="auto"/>
          <w:sz w:val="24"/>
          <w:szCs w:val="24"/>
          <w:highlight w:val="none"/>
          <w:lang w:eastAsia="zh-CN"/>
        </w:rPr>
        <w:t>评标小组</w:t>
      </w:r>
      <w:r>
        <w:rPr>
          <w:rFonts w:hint="eastAsia" w:ascii="宋体" w:hAnsi="宋体" w:eastAsia="宋体" w:cs="宋体"/>
          <w:color w:val="auto"/>
          <w:sz w:val="24"/>
          <w:szCs w:val="24"/>
          <w:highlight w:val="none"/>
        </w:rPr>
        <w:t>评审商务技术标，待技术标评审结束后，再开启价格标。</w:t>
      </w:r>
    </w:p>
    <w:p w14:paraId="24175955">
      <w:p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评委在认真审阅投标文件的基础上，根据各投标文件的商务、技术部分的响应情况，对各评分项目进行评分，不得统一打分。</w:t>
      </w:r>
    </w:p>
    <w:p w14:paraId="7A64422C">
      <w:pPr>
        <w:numPr>
          <w:ilvl w:val="0"/>
          <w:numId w:val="1"/>
        </w:numPr>
        <w:snapToGrid w:val="0"/>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评标程序：</w:t>
      </w:r>
    </w:p>
    <w:p w14:paraId="129BD936">
      <w:pPr>
        <w:pStyle w:val="19"/>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cs="宋体"/>
          <w:b/>
          <w:bCs/>
          <w:color w:val="auto"/>
          <w:sz w:val="24"/>
          <w:highlight w:val="none"/>
          <w:lang w:val="en-US" w:eastAsia="zh-CN"/>
        </w:rPr>
        <w:t xml:space="preserve">  </w:t>
      </w:r>
      <w:r>
        <w:rPr>
          <w:rFonts w:hint="eastAsia" w:ascii="宋体" w:hAnsi="宋体" w:eastAsia="宋体" w:cs="宋体"/>
          <w:color w:val="auto"/>
          <w:sz w:val="24"/>
          <w:highlight w:val="none"/>
        </w:rPr>
        <w:t>资格条件评审—商务技术标评审—价格标评审，根据最后汇总的综合评分排名确定中标候选人。</w:t>
      </w:r>
    </w:p>
    <w:p w14:paraId="28278012">
      <w:pPr>
        <w:snapToGrid w:val="0"/>
        <w:spacing w:line="360" w:lineRule="auto"/>
        <w:ind w:firstLine="487" w:firstLineChars="20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1、投标人资格审查</w:t>
      </w:r>
    </w:p>
    <w:p w14:paraId="255A20F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有效投标人全部进入资格审查，由本项目</w:t>
      </w:r>
      <w:r>
        <w:rPr>
          <w:rFonts w:hint="eastAsia" w:ascii="宋体" w:hAnsi="宋体" w:cs="宋体"/>
          <w:bCs/>
          <w:color w:val="auto"/>
          <w:sz w:val="24"/>
          <w:highlight w:val="none"/>
          <w:lang w:eastAsia="zh-CN"/>
        </w:rPr>
        <w:t>评标小组</w:t>
      </w:r>
      <w:r>
        <w:rPr>
          <w:rFonts w:hint="eastAsia" w:ascii="宋体" w:hAnsi="宋体" w:eastAsia="宋体" w:cs="宋体"/>
          <w:bCs/>
          <w:color w:val="auto"/>
          <w:sz w:val="24"/>
          <w:highlight w:val="none"/>
        </w:rPr>
        <w:t>根据参加资格审查的投标人递交的资格证明文件，并按照本工程招标文件资格要求对投标人的资格进行审查。</w:t>
      </w:r>
    </w:p>
    <w:p w14:paraId="5EF6327C">
      <w:pPr>
        <w:widowControl/>
        <w:tabs>
          <w:tab w:val="left" w:pos="0"/>
          <w:tab w:val="left" w:pos="993"/>
          <w:tab w:val="left" w:pos="1134"/>
        </w:tabs>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本次资格审查采用合格制，各投标人资格审查通过后方能进入技术标评审。</w:t>
      </w:r>
    </w:p>
    <w:p w14:paraId="2D61BA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投标申请人须确保已提交的资料真实有效，不得隐瞒，如有虚假，一经发现取消其投标或中标资格。</w:t>
      </w:r>
    </w:p>
    <w:p w14:paraId="247956B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2、商务技术标评审（</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0分）</w:t>
      </w:r>
    </w:p>
    <w:p w14:paraId="485712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各投标人得分为</w:t>
      </w:r>
      <w:r>
        <w:rPr>
          <w:rFonts w:hint="eastAsia" w:ascii="宋体" w:hAnsi="宋体" w:cs="宋体"/>
          <w:color w:val="auto"/>
          <w:sz w:val="24"/>
          <w:highlight w:val="none"/>
          <w:lang w:eastAsia="zh-CN"/>
        </w:rPr>
        <w:t>评标小组</w:t>
      </w:r>
      <w:r>
        <w:rPr>
          <w:rFonts w:hint="eastAsia" w:ascii="宋体" w:hAnsi="宋体" w:eastAsia="宋体" w:cs="宋体"/>
          <w:color w:val="auto"/>
          <w:sz w:val="24"/>
          <w:highlight w:val="none"/>
        </w:rPr>
        <w:t>成员评分的算术平均分，分值保留小数点后两位。</w:t>
      </w:r>
    </w:p>
    <w:p w14:paraId="0BC9CDC2">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评分标准和因素见下表：</w:t>
      </w:r>
    </w:p>
    <w:tbl>
      <w:tblPr>
        <w:tblStyle w:val="21"/>
        <w:tblW w:w="9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7732"/>
      </w:tblGrid>
      <w:tr w14:paraId="762A8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702" w:type="dxa"/>
            <w:vAlign w:val="center"/>
          </w:tcPr>
          <w:p w14:paraId="53829E2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项目细则</w:t>
            </w:r>
          </w:p>
        </w:tc>
        <w:tc>
          <w:tcPr>
            <w:tcW w:w="7732" w:type="dxa"/>
            <w:vAlign w:val="center"/>
          </w:tcPr>
          <w:p w14:paraId="549CE93B">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评审细则</w:t>
            </w:r>
          </w:p>
        </w:tc>
      </w:tr>
      <w:tr w14:paraId="629F2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jc w:val="center"/>
        </w:trPr>
        <w:tc>
          <w:tcPr>
            <w:tcW w:w="1702" w:type="dxa"/>
            <w:vAlign w:val="center"/>
          </w:tcPr>
          <w:p w14:paraId="5D0799E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w:t>
            </w:r>
          </w:p>
          <w:p w14:paraId="4A7B670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7732" w:type="dxa"/>
            <w:vAlign w:val="center"/>
          </w:tcPr>
          <w:p w14:paraId="64A014E7">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年1月1日以来（以合同签订时间为准）投标供应商承担过类似</w:t>
            </w:r>
            <w:r>
              <w:rPr>
                <w:rFonts w:hint="eastAsia" w:ascii="宋体" w:hAnsi="宋体" w:eastAsia="宋体" w:cs="宋体"/>
                <w:color w:val="auto"/>
                <w:sz w:val="24"/>
                <w:szCs w:val="24"/>
                <w:highlight w:val="none"/>
                <w:lang w:eastAsia="zh-CN"/>
              </w:rPr>
              <w:t>儿童游乐设施</w:t>
            </w:r>
            <w:r>
              <w:rPr>
                <w:rFonts w:hint="eastAsia" w:ascii="宋体" w:hAnsi="宋体" w:eastAsia="宋体" w:cs="宋体"/>
                <w:color w:val="auto"/>
                <w:sz w:val="24"/>
                <w:szCs w:val="24"/>
                <w:highlight w:val="none"/>
              </w:rPr>
              <w:t>采购项目，每提供一份单项合同得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14:paraId="420ACEEE">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（业绩证明材料</w:t>
            </w:r>
            <w:r>
              <w:rPr>
                <w:rFonts w:hint="default" w:ascii="宋体" w:hAnsi="宋体" w:eastAsia="宋体" w:cs="宋体"/>
                <w:color w:val="auto"/>
                <w:sz w:val="24"/>
                <w:szCs w:val="24"/>
                <w:highlight w:val="none"/>
                <w:lang w:val="en-US" w:eastAsia="zh-CN"/>
              </w:rPr>
              <w:t>须同时</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复印件或扫描件；②</w:t>
            </w:r>
            <w:r>
              <w:rPr>
                <w:rFonts w:hint="eastAsia" w:ascii="宋体" w:hAnsi="宋体" w:eastAsia="宋体" w:cs="宋体"/>
                <w:color w:val="auto"/>
                <w:sz w:val="24"/>
                <w:szCs w:val="24"/>
                <w:highlight w:val="none"/>
              </w:rPr>
              <w:t>验收合格证明</w:t>
            </w:r>
            <w:r>
              <w:rPr>
                <w:rFonts w:hint="eastAsia" w:ascii="宋体" w:hAnsi="宋体" w:eastAsia="宋体" w:cs="宋体"/>
                <w:color w:val="auto"/>
                <w:sz w:val="24"/>
                <w:szCs w:val="24"/>
                <w:highlight w:val="none"/>
                <w:lang w:eastAsia="zh-CN"/>
              </w:rPr>
              <w:t>，并加盖公章</w:t>
            </w:r>
            <w:r>
              <w:rPr>
                <w:rFonts w:hint="eastAsia" w:ascii="宋体" w:hAnsi="宋体" w:cs="宋体"/>
                <w:color w:val="auto"/>
                <w:sz w:val="24"/>
                <w:szCs w:val="24"/>
                <w:highlight w:val="none"/>
                <w:lang w:eastAsia="zh-CN"/>
              </w:rPr>
              <w:t>，上述材料的</w:t>
            </w:r>
            <w:r>
              <w:rPr>
                <w:rFonts w:hint="eastAsia" w:ascii="宋体" w:hAnsi="宋体" w:eastAsia="宋体" w:cs="宋体"/>
                <w:color w:val="auto"/>
                <w:sz w:val="24"/>
                <w:szCs w:val="24"/>
                <w:highlight w:val="none"/>
                <w:lang w:eastAsia="zh-CN"/>
              </w:rPr>
              <w:t>复印件或扫描件</w:t>
            </w:r>
            <w:r>
              <w:rPr>
                <w:rFonts w:hint="eastAsia" w:ascii="宋体" w:hAnsi="宋体" w:cs="宋体"/>
                <w:color w:val="auto"/>
                <w:sz w:val="24"/>
                <w:szCs w:val="24"/>
                <w:highlight w:val="none"/>
                <w:lang w:eastAsia="zh-CN"/>
              </w:rPr>
              <w:t>提供不全或不符合要求的，该业绩不得分。</w:t>
            </w:r>
            <w:r>
              <w:rPr>
                <w:rFonts w:hint="eastAsia" w:ascii="宋体" w:hAnsi="宋体" w:eastAsia="宋体" w:cs="宋体"/>
                <w:color w:val="auto"/>
                <w:sz w:val="24"/>
                <w:szCs w:val="24"/>
                <w:highlight w:val="none"/>
              </w:rPr>
              <w:t>）</w:t>
            </w:r>
          </w:p>
        </w:tc>
      </w:tr>
      <w:tr w14:paraId="2D526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1702" w:type="dxa"/>
            <w:vAlign w:val="center"/>
          </w:tcPr>
          <w:p w14:paraId="7A239BD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二次深化方案</w:t>
            </w:r>
          </w:p>
          <w:p w14:paraId="255B5C61">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tc>
        <w:tc>
          <w:tcPr>
            <w:tcW w:w="7732" w:type="dxa"/>
            <w:vAlign w:val="center"/>
          </w:tcPr>
          <w:p w14:paraId="21D8137E">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根据现场场地情况及自身产品，提供项目二次深化</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（包括但不限于：</w:t>
            </w:r>
            <w:r>
              <w:rPr>
                <w:rFonts w:hint="eastAsia" w:ascii="宋体" w:hAnsi="宋体"/>
                <w:color w:val="auto"/>
                <w:sz w:val="24"/>
                <w:szCs w:val="24"/>
                <w:highlight w:val="none"/>
              </w:rPr>
              <w:t>项目说明、整体布局安排、整体布置效果图</w:t>
            </w:r>
            <w:r>
              <w:rPr>
                <w:rFonts w:hint="eastAsia" w:ascii="宋体" w:hAnsi="宋体"/>
                <w:color w:val="auto"/>
                <w:sz w:val="24"/>
                <w:szCs w:val="24"/>
                <w:highlight w:val="none"/>
                <w:lang w:eastAsia="zh-CN"/>
              </w:rPr>
              <w:t>、</w:t>
            </w:r>
            <w:r>
              <w:rPr>
                <w:rFonts w:ascii="宋体" w:hAnsi="宋体" w:eastAsia="宋体" w:cs="宋体"/>
                <w:color w:val="auto"/>
                <w:sz w:val="24"/>
                <w:szCs w:val="24"/>
                <w:highlight w:val="none"/>
              </w:rPr>
              <w:t>如何缓解金属在高温下产生的灼热感、如何解决滑梯塑料部件褪色老化的问题</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评标小组</w:t>
            </w:r>
            <w:r>
              <w:rPr>
                <w:rFonts w:hint="eastAsia" w:ascii="宋体" w:hAnsi="宋体" w:eastAsia="宋体" w:cs="宋体"/>
                <w:color w:val="auto"/>
                <w:sz w:val="24"/>
                <w:szCs w:val="24"/>
                <w:highlight w:val="none"/>
              </w:rPr>
              <w:t>横向对比后在</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分之间酌情打分。</w:t>
            </w:r>
          </w:p>
        </w:tc>
      </w:tr>
      <w:tr w14:paraId="10BF6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702" w:type="dxa"/>
            <w:vAlign w:val="center"/>
          </w:tcPr>
          <w:p w14:paraId="6E95E278">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w:t>
            </w:r>
          </w:p>
          <w:p w14:paraId="3695B34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7732" w:type="dxa"/>
            <w:vAlign w:val="center"/>
          </w:tcPr>
          <w:p w14:paraId="7C78FBF6">
            <w:pPr>
              <w:widowControl/>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评标小组</w:t>
            </w:r>
            <w:r>
              <w:rPr>
                <w:rFonts w:hint="eastAsia" w:ascii="宋体" w:hAnsi="宋体" w:eastAsia="宋体" w:cs="宋体"/>
                <w:color w:val="auto"/>
                <w:sz w:val="24"/>
                <w:szCs w:val="24"/>
                <w:highlight w:val="none"/>
              </w:rPr>
              <w:t>根据投标供应商提供的样品</w:t>
            </w:r>
            <w:r>
              <w:rPr>
                <w:rFonts w:hint="eastAsia" w:ascii="宋体" w:hAnsi="宋体" w:cs="宋体"/>
                <w:color w:val="auto"/>
                <w:sz w:val="24"/>
                <w:szCs w:val="24"/>
                <w:highlight w:val="none"/>
                <w:lang w:val="en-US" w:eastAsia="zh-CN"/>
              </w:rPr>
              <w:t>（样品要求：支柱部分的镀锌管及滑梯部分的塑料件的切块各一份，材质参考技术参数，镀锌管高度不超过50cm，塑料件</w:t>
            </w:r>
            <w:r>
              <w:rPr>
                <w:rFonts w:hint="eastAsia" w:ascii="宋体" w:hAnsi="宋体" w:cs="宋体"/>
                <w:color w:val="auto"/>
                <w:sz w:val="24"/>
                <w:szCs w:val="24"/>
                <w:highlight w:val="none"/>
                <w:lang w:eastAsia="zh-CN"/>
              </w:rPr>
              <w:t>尺寸不超过</w:t>
            </w:r>
            <w:r>
              <w:rPr>
                <w:rFonts w:hint="eastAsia" w:ascii="宋体" w:hAnsi="宋体" w:cs="宋体"/>
                <w:color w:val="auto"/>
                <w:sz w:val="24"/>
                <w:szCs w:val="24"/>
                <w:highlight w:val="none"/>
                <w:lang w:val="en-US" w:eastAsia="zh-CN"/>
              </w:rPr>
              <w:t>50*50cm），</w:t>
            </w:r>
            <w:r>
              <w:rPr>
                <w:rFonts w:hint="eastAsia" w:ascii="宋体" w:hAnsi="宋体" w:eastAsia="宋体" w:cs="宋体"/>
                <w:color w:val="auto"/>
                <w:sz w:val="24"/>
                <w:szCs w:val="24"/>
                <w:highlight w:val="none"/>
              </w:rPr>
              <w:t>从材质、做工等方面进行评价，</w:t>
            </w:r>
            <w:r>
              <w:rPr>
                <w:rFonts w:hint="eastAsia" w:ascii="宋体" w:hAnsi="宋体" w:cs="宋体"/>
                <w:color w:val="auto"/>
                <w:sz w:val="24"/>
                <w:szCs w:val="24"/>
                <w:highlight w:val="none"/>
                <w:lang w:val="en-US" w:eastAsia="zh-CN"/>
              </w:rPr>
              <w:t>每个切块</w:t>
            </w:r>
            <w:r>
              <w:rPr>
                <w:rFonts w:hint="eastAsia" w:ascii="宋体" w:hAnsi="宋体" w:eastAsia="宋体" w:cs="宋体"/>
                <w:color w:val="auto"/>
                <w:sz w:val="24"/>
                <w:szCs w:val="24"/>
                <w:highlight w:val="none"/>
              </w:rPr>
              <w:t>横向</w:t>
            </w:r>
            <w:r>
              <w:rPr>
                <w:rFonts w:hint="eastAsia" w:ascii="宋体" w:hAnsi="宋体" w:cs="宋体"/>
                <w:color w:val="auto"/>
                <w:sz w:val="24"/>
                <w:szCs w:val="24"/>
                <w:highlight w:val="none"/>
                <w:lang w:val="en-US" w:eastAsia="zh-CN"/>
              </w:rPr>
              <w:t>对比</w:t>
            </w:r>
            <w:r>
              <w:rPr>
                <w:rFonts w:hint="eastAsia" w:ascii="宋体" w:hAnsi="宋体" w:eastAsia="宋体" w:cs="宋体"/>
                <w:color w:val="auto"/>
                <w:sz w:val="24"/>
                <w:szCs w:val="24"/>
                <w:highlight w:val="none"/>
              </w:rPr>
              <w:t>在0-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分之间打分，共</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不提供不得分。</w:t>
            </w:r>
          </w:p>
        </w:tc>
      </w:tr>
      <w:tr w14:paraId="6C7CE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1702" w:type="dxa"/>
            <w:vAlign w:val="center"/>
          </w:tcPr>
          <w:p w14:paraId="2BD5BA9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w:t>
            </w:r>
          </w:p>
          <w:p w14:paraId="15563C05">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p>
        </w:tc>
        <w:tc>
          <w:tcPr>
            <w:tcW w:w="7732" w:type="dxa"/>
            <w:vAlign w:val="center"/>
          </w:tcPr>
          <w:p w14:paraId="4C05045C">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质保期满足招标要求的得基本分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分；免费质保期每增加1年加</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分，最多加</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，不提供不得分。</w:t>
            </w:r>
          </w:p>
        </w:tc>
      </w:tr>
    </w:tbl>
    <w:p w14:paraId="0791AF85">
      <w:pPr>
        <w:pStyle w:val="10"/>
        <w:spacing w:line="360" w:lineRule="auto"/>
        <w:rPr>
          <w:rFonts w:hint="eastAsia" w:ascii="宋体" w:hAnsi="宋体" w:eastAsia="宋体" w:cs="宋体"/>
          <w:color w:val="auto"/>
          <w:sz w:val="24"/>
          <w:highlight w:val="none"/>
        </w:rPr>
      </w:pPr>
    </w:p>
    <w:p w14:paraId="3EF5957D">
      <w:pPr>
        <w:snapToGrid w:val="0"/>
        <w:spacing w:line="360" w:lineRule="auto"/>
        <w:ind w:firstLine="562"/>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特别提醒：技术响应评审中所涉及相关资料等证明材料均须提供原件复印件加盖单位公章。</w:t>
      </w:r>
    </w:p>
    <w:p w14:paraId="1A148EBF">
      <w:pPr>
        <w:snapToGrid w:val="0"/>
        <w:spacing w:line="360" w:lineRule="auto"/>
        <w:ind w:firstLine="562"/>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注：评委依据招标文件载明的方法评分，评分四舍五入精确到小数点后两位。</w:t>
      </w:r>
    </w:p>
    <w:p w14:paraId="06BD067C">
      <w:pPr>
        <w:spacing w:line="360" w:lineRule="auto"/>
        <w:ind w:firstLine="482" w:firstLineChars="20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3、价格标评审（</w:t>
      </w:r>
      <w:r>
        <w:rPr>
          <w:rFonts w:hint="eastAsia" w:ascii="宋体" w:hAnsi="宋体" w:eastAsia="宋体" w:cs="宋体"/>
          <w:b/>
          <w:bCs w:val="0"/>
          <w:color w:val="auto"/>
          <w:sz w:val="24"/>
          <w:highlight w:val="none"/>
          <w:lang w:val="en-US" w:eastAsia="zh-CN"/>
        </w:rPr>
        <w:t>5</w:t>
      </w:r>
      <w:r>
        <w:rPr>
          <w:rFonts w:hint="eastAsia" w:ascii="宋体" w:hAnsi="宋体" w:eastAsia="宋体" w:cs="宋体"/>
          <w:b/>
          <w:bCs w:val="0"/>
          <w:color w:val="auto"/>
          <w:sz w:val="24"/>
          <w:highlight w:val="none"/>
        </w:rPr>
        <w:t>0分）</w:t>
      </w:r>
    </w:p>
    <w:p w14:paraId="4D175AB1">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rPr>
        <w:t>（1）本次项目最高限价：</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万元，超过限价作无效标处理。</w:t>
      </w:r>
    </w:p>
    <w:p w14:paraId="1E9A0DDB">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（2）满足招标文件要求且投标报价最</w:t>
      </w:r>
      <w:r>
        <w:rPr>
          <w:rFonts w:hint="eastAsia" w:ascii="宋体" w:hAnsi="宋体" w:eastAsia="宋体" w:cs="宋体"/>
          <w:color w:val="auto"/>
          <w:sz w:val="24"/>
          <w:szCs w:val="24"/>
          <w:highlight w:val="none"/>
          <w:lang w:val="en-US" w:eastAsia="zh-CN"/>
        </w:rPr>
        <w:t>低</w:t>
      </w:r>
      <w:r>
        <w:rPr>
          <w:rFonts w:hint="eastAsia" w:ascii="宋体" w:hAnsi="宋体" w:eastAsia="宋体" w:cs="宋体"/>
          <w:color w:val="auto"/>
          <w:sz w:val="24"/>
          <w:szCs w:val="24"/>
          <w:highlight w:val="none"/>
        </w:rPr>
        <w:t>的为评标基准价，其价格分为满分（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0分）。其他投标人的价格分别按照下列公式计算：</w:t>
      </w:r>
    </w:p>
    <w:p w14:paraId="0C43FD45">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 =（投标报价/评标基准价）×</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0%×100</w:t>
      </w:r>
    </w:p>
    <w:p w14:paraId="5847F956">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评标基准价不因招投标当事人质疑、投诉、复议以及其它任何情形而改变，但评标过程中的计算错误可做调整。</w:t>
      </w:r>
    </w:p>
    <w:p w14:paraId="49DBBB3C">
      <w:pPr>
        <w:snapToGrid w:val="0"/>
        <w:spacing w:line="440" w:lineRule="atLeast"/>
        <w:ind w:firstLine="484" w:firstLineChars="202"/>
        <w:rPr>
          <w:rFonts w:hint="eastAsia" w:ascii="宋体" w:hAnsi="宋体"/>
          <w:color w:val="auto"/>
          <w:sz w:val="24"/>
          <w:highlight w:val="none"/>
          <w:u w:val="none" w:color="auto"/>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olor w:val="auto"/>
          <w:sz w:val="24"/>
          <w:highlight w:val="none"/>
          <w:u w:val="none" w:color="auto"/>
        </w:rPr>
        <w:t>根据苏财购[2025]62号文件，</w:t>
      </w:r>
      <w:r>
        <w:rPr>
          <w:rFonts w:hint="eastAsia" w:ascii="宋体" w:hAnsi="宋体" w:eastAsia="宋体" w:cs="宋体"/>
          <w:color w:val="auto"/>
          <w:sz w:val="24"/>
          <w:szCs w:val="24"/>
          <w:highlight w:val="none"/>
        </w:rPr>
        <w:t>评标小组</w:t>
      </w:r>
      <w:r>
        <w:rPr>
          <w:rFonts w:hint="eastAsia" w:ascii="宋体" w:hAnsi="宋体"/>
          <w:color w:val="auto"/>
          <w:sz w:val="24"/>
          <w:highlight w:val="none"/>
          <w:u w:val="none" w:color="auto"/>
        </w:rPr>
        <w:t>启动异常低价投标 （响应）审查的情形和具体要求，包括：</w:t>
      </w:r>
    </w:p>
    <w:p w14:paraId="038E46BF">
      <w:pPr>
        <w:snapToGrid w:val="0"/>
        <w:spacing w:line="440" w:lineRule="atLeast"/>
        <w:ind w:firstLine="484" w:firstLineChars="202"/>
        <w:rPr>
          <w:rFonts w:hint="eastAsia" w:ascii="宋体" w:hAnsi="宋体"/>
          <w:color w:val="auto"/>
          <w:sz w:val="24"/>
          <w:highlight w:val="none"/>
          <w:u w:val="none" w:color="auto"/>
        </w:rPr>
      </w:pPr>
      <w:r>
        <w:rPr>
          <w:rFonts w:hint="eastAsia" w:ascii="宋体" w:hAnsi="宋体"/>
          <w:color w:val="auto"/>
          <w:sz w:val="24"/>
          <w:highlight w:val="none"/>
          <w:u w:val="none" w:color="auto"/>
          <w:lang w:val="en-US" w:eastAsia="zh-CN"/>
        </w:rPr>
        <w:t>①</w:t>
      </w:r>
      <w:r>
        <w:rPr>
          <w:rFonts w:hint="eastAsia" w:ascii="宋体" w:hAnsi="宋体"/>
          <w:color w:val="auto"/>
          <w:sz w:val="24"/>
          <w:highlight w:val="none"/>
          <w:u w:val="none" w:color="auto"/>
        </w:rPr>
        <w:t>评审过程中出现下列情形之一的，</w:t>
      </w:r>
      <w:r>
        <w:rPr>
          <w:rFonts w:hint="eastAsia" w:ascii="宋体" w:hAnsi="宋体" w:eastAsia="宋体" w:cs="宋体"/>
          <w:color w:val="auto"/>
          <w:sz w:val="24"/>
          <w:szCs w:val="24"/>
          <w:highlight w:val="none"/>
        </w:rPr>
        <w:t>评标小组</w:t>
      </w:r>
      <w:r>
        <w:rPr>
          <w:rFonts w:hint="eastAsia" w:ascii="宋体" w:hAnsi="宋体"/>
          <w:color w:val="auto"/>
          <w:sz w:val="24"/>
          <w:highlight w:val="none"/>
          <w:u w:val="none" w:color="auto"/>
        </w:rPr>
        <w:t>应当启动异常低价投标（响应）审查程序：</w:t>
      </w:r>
    </w:p>
    <w:p w14:paraId="29E6971B">
      <w:pPr>
        <w:snapToGrid w:val="0"/>
        <w:spacing w:line="440" w:lineRule="atLeast"/>
        <w:ind w:firstLine="484" w:firstLineChars="202"/>
        <w:rPr>
          <w:rFonts w:hint="eastAsia" w:ascii="宋体" w:hAnsi="宋体"/>
          <w:color w:val="auto"/>
          <w:sz w:val="24"/>
          <w:highlight w:val="none"/>
          <w:u w:val="none" w:color="auto"/>
        </w:rPr>
      </w:pPr>
      <w:r>
        <w:rPr>
          <w:rFonts w:hint="eastAsia" w:ascii="宋体" w:hAnsi="宋体"/>
          <w:color w:val="auto"/>
          <w:sz w:val="24"/>
          <w:highlight w:val="none"/>
          <w:u w:val="none" w:color="auto"/>
          <w:lang w:val="en-US" w:eastAsia="zh-CN"/>
        </w:rPr>
        <w:t>A</w:t>
      </w:r>
      <w:r>
        <w:rPr>
          <w:rFonts w:hint="eastAsia" w:ascii="宋体" w:hAnsi="宋体"/>
          <w:color w:val="auto"/>
          <w:sz w:val="24"/>
          <w:highlight w:val="none"/>
          <w:u w:val="none" w:color="auto"/>
          <w:lang w:eastAsia="zh-CN"/>
        </w:rPr>
        <w:t>、</w:t>
      </w:r>
      <w:r>
        <w:rPr>
          <w:rFonts w:hint="eastAsia" w:ascii="宋体" w:hAnsi="宋体"/>
          <w:color w:val="auto"/>
          <w:sz w:val="24"/>
          <w:highlight w:val="none"/>
          <w:u w:val="none" w:color="auto"/>
        </w:rPr>
        <w:t>投标（响应）报价低于采购项目预算50% 的，即投标（响应）报价&lt;采购项目预算×50% ；</w:t>
      </w:r>
    </w:p>
    <w:p w14:paraId="2AD5EDA3">
      <w:pPr>
        <w:snapToGrid w:val="0"/>
        <w:spacing w:line="440" w:lineRule="atLeast"/>
        <w:ind w:firstLine="484" w:firstLineChars="202"/>
        <w:rPr>
          <w:rFonts w:hint="eastAsia" w:ascii="宋体" w:hAnsi="宋体"/>
          <w:color w:val="auto"/>
          <w:sz w:val="24"/>
          <w:highlight w:val="none"/>
          <w:u w:val="none" w:color="auto"/>
        </w:rPr>
      </w:pPr>
      <w:r>
        <w:rPr>
          <w:rFonts w:hint="eastAsia" w:ascii="宋体" w:hAnsi="宋体"/>
          <w:color w:val="auto"/>
          <w:sz w:val="24"/>
          <w:highlight w:val="none"/>
          <w:u w:val="none" w:color="auto"/>
          <w:lang w:val="en-US" w:eastAsia="zh-CN"/>
        </w:rPr>
        <w:t>B</w:t>
      </w:r>
      <w:r>
        <w:rPr>
          <w:rFonts w:hint="eastAsia" w:ascii="宋体" w:hAnsi="宋体"/>
          <w:color w:val="auto"/>
          <w:sz w:val="24"/>
          <w:highlight w:val="none"/>
          <w:u w:val="none" w:color="auto"/>
          <w:lang w:eastAsia="zh-CN"/>
        </w:rPr>
        <w:t>、</w:t>
      </w:r>
      <w:r>
        <w:rPr>
          <w:rFonts w:hint="eastAsia" w:ascii="宋体" w:hAnsi="宋体"/>
          <w:color w:val="auto"/>
          <w:sz w:val="24"/>
          <w:highlight w:val="none"/>
          <w:u w:val="none" w:color="auto"/>
        </w:rPr>
        <w:t>投标（响应）报价低于采购项目最高限价 45% 的，即投标（响应）报价&lt;采购项目最高限价×45% ；</w:t>
      </w:r>
    </w:p>
    <w:p w14:paraId="65464CB6">
      <w:pPr>
        <w:snapToGrid w:val="0"/>
        <w:spacing w:line="440" w:lineRule="atLeast"/>
        <w:ind w:firstLine="484" w:firstLineChars="202"/>
        <w:rPr>
          <w:rFonts w:hint="eastAsia" w:ascii="宋体" w:hAnsi="宋体"/>
          <w:color w:val="auto"/>
          <w:sz w:val="24"/>
          <w:highlight w:val="none"/>
          <w:u w:val="none" w:color="auto"/>
        </w:rPr>
      </w:pPr>
      <w:r>
        <w:rPr>
          <w:rFonts w:hint="eastAsia" w:ascii="宋体" w:hAnsi="宋体"/>
          <w:color w:val="auto"/>
          <w:sz w:val="24"/>
          <w:highlight w:val="none"/>
          <w:u w:val="none" w:color="auto"/>
          <w:lang w:val="en-US" w:eastAsia="zh-CN"/>
        </w:rPr>
        <w:t>C</w:t>
      </w:r>
      <w:r>
        <w:rPr>
          <w:rFonts w:hint="eastAsia" w:ascii="宋体" w:hAnsi="宋体"/>
          <w:color w:val="auto"/>
          <w:sz w:val="24"/>
          <w:highlight w:val="none"/>
          <w:u w:val="none" w:color="auto"/>
          <w:lang w:eastAsia="zh-CN"/>
        </w:rPr>
        <w:t>、</w:t>
      </w:r>
      <w:r>
        <w:rPr>
          <w:rFonts w:hint="eastAsia" w:ascii="宋体" w:hAnsi="宋体" w:eastAsia="宋体" w:cs="宋体"/>
          <w:color w:val="auto"/>
          <w:sz w:val="24"/>
          <w:szCs w:val="24"/>
          <w:highlight w:val="none"/>
        </w:rPr>
        <w:t>评标小组</w:t>
      </w:r>
      <w:r>
        <w:rPr>
          <w:rFonts w:hint="eastAsia" w:ascii="宋体" w:hAnsi="宋体"/>
          <w:color w:val="auto"/>
          <w:sz w:val="24"/>
          <w:highlight w:val="none"/>
          <w:u w:val="none" w:color="auto"/>
        </w:rPr>
        <w:t>认定的供应商报价过低、有可能影响产品质量或者不能诚信履约的其他情形。</w:t>
      </w:r>
    </w:p>
    <w:p w14:paraId="56FC93C3">
      <w:pPr>
        <w:widowControl/>
        <w:adjustRightInd/>
        <w:snapToGrid w:val="0"/>
        <w:spacing w:line="440" w:lineRule="atLeast"/>
        <w:ind w:firstLine="484" w:firstLineChars="202"/>
        <w:jc w:val="left"/>
        <w:rPr>
          <w:rFonts w:hint="eastAsia" w:ascii="宋体" w:hAnsi="宋体" w:eastAsia="宋体" w:cs="宋体"/>
          <w:color w:val="auto"/>
          <w:sz w:val="24"/>
          <w:szCs w:val="24"/>
          <w:highlight w:val="none"/>
          <w:lang w:eastAsia="zh-CN"/>
        </w:rPr>
      </w:pPr>
      <w:r>
        <w:rPr>
          <w:rFonts w:hint="eastAsia" w:ascii="宋体" w:hAnsi="宋体"/>
          <w:color w:val="auto"/>
          <w:sz w:val="24"/>
          <w:highlight w:val="none"/>
          <w:u w:val="none" w:color="auto"/>
          <w:lang w:val="en-US" w:eastAsia="zh-CN"/>
        </w:rPr>
        <w:t>②</w:t>
      </w:r>
      <w:r>
        <w:rPr>
          <w:rFonts w:hint="eastAsia" w:ascii="宋体" w:hAnsi="宋体"/>
          <w:color w:val="auto"/>
          <w:sz w:val="24"/>
          <w:highlight w:val="none"/>
          <w:u w:val="none" w:color="auto"/>
        </w:rPr>
        <w:t>启动异常低价投标（响应）审查后，</w:t>
      </w:r>
      <w:r>
        <w:rPr>
          <w:rFonts w:hint="eastAsia" w:ascii="宋体" w:hAnsi="宋体" w:cs="Times New Roman"/>
          <w:color w:val="auto"/>
          <w:sz w:val="24"/>
          <w:highlight w:val="none"/>
          <w:u w:val="none" w:color="auto"/>
        </w:rPr>
        <w:t>询价小组</w:t>
      </w:r>
      <w:r>
        <w:rPr>
          <w:rFonts w:hint="eastAsia" w:ascii="宋体" w:hAnsi="宋体"/>
          <w:color w:val="auto"/>
          <w:sz w:val="24"/>
          <w:highlight w:val="none"/>
          <w:u w:val="none" w:color="auto"/>
        </w:rPr>
        <w:t>应当要求相关供应商在评标现场合理的时间内，提供项目具体成本测算等与报价合理性相关的书面说明及相关证明材料，对投标（响应）价格作出解释，由</w:t>
      </w:r>
      <w:r>
        <w:rPr>
          <w:rFonts w:hint="eastAsia" w:ascii="宋体" w:hAnsi="宋体" w:eastAsia="宋体" w:cs="宋体"/>
          <w:color w:val="auto"/>
          <w:sz w:val="24"/>
          <w:szCs w:val="24"/>
          <w:highlight w:val="none"/>
        </w:rPr>
        <w:t>评标小组</w:t>
      </w:r>
      <w:r>
        <w:rPr>
          <w:rFonts w:hint="eastAsia" w:ascii="宋体" w:hAnsi="宋体"/>
          <w:color w:val="auto"/>
          <w:sz w:val="24"/>
          <w:highlight w:val="none"/>
          <w:u w:val="none" w:color="auto"/>
        </w:rPr>
        <w:t>结合同类产品在主要电商平台的价格、该行业当地薪资水平等情况，依据专业经验对供应商报 价合理性进行判断。投标（响应）供应商不提供书面说明、证明材料，或者提供的书面说明、证明材料不能证明其报价合理性的，</w:t>
      </w:r>
      <w:r>
        <w:rPr>
          <w:rFonts w:hint="eastAsia" w:ascii="宋体" w:hAnsi="宋体" w:eastAsia="宋体" w:cs="宋体"/>
          <w:color w:val="auto"/>
          <w:sz w:val="24"/>
          <w:szCs w:val="24"/>
          <w:highlight w:val="none"/>
        </w:rPr>
        <w:t>评标小组</w:t>
      </w:r>
      <w:r>
        <w:rPr>
          <w:rFonts w:hint="eastAsia" w:ascii="宋体" w:hAnsi="宋体"/>
          <w:color w:val="auto"/>
          <w:sz w:val="24"/>
          <w:highlight w:val="none"/>
          <w:u w:val="none" w:color="auto"/>
        </w:rPr>
        <w:t>应当将其作为无效投标（响应）处理。审查相关情况应当在评审报告中进行记录。</w:t>
      </w:r>
    </w:p>
    <w:p w14:paraId="77FE46EE">
      <w:pPr>
        <w:widowControl/>
        <w:spacing w:line="360" w:lineRule="auto"/>
        <w:ind w:firstLine="482" w:firstLineChars="200"/>
        <w:jc w:val="left"/>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4、</w:t>
      </w:r>
      <w:r>
        <w:rPr>
          <w:rFonts w:hint="eastAsia" w:ascii="宋体" w:hAnsi="宋体" w:cs="宋体"/>
          <w:b/>
          <w:color w:val="auto"/>
          <w:sz w:val="24"/>
          <w:highlight w:val="none"/>
          <w:lang w:eastAsia="zh-CN"/>
        </w:rPr>
        <w:t>成交供应商</w:t>
      </w:r>
      <w:r>
        <w:rPr>
          <w:rFonts w:hint="eastAsia" w:ascii="宋体" w:hAnsi="宋体" w:eastAsia="宋体" w:cs="宋体"/>
          <w:b/>
          <w:color w:val="auto"/>
          <w:sz w:val="24"/>
          <w:highlight w:val="none"/>
        </w:rPr>
        <w:t>的确定</w:t>
      </w:r>
    </w:p>
    <w:p w14:paraId="53D0E2CB">
      <w:pPr>
        <w:widowControl/>
        <w:tabs>
          <w:tab w:val="left" w:pos="0"/>
          <w:tab w:val="left" w:pos="993"/>
          <w:tab w:val="left" w:pos="1134"/>
        </w:tabs>
        <w:adjustRightInd w:val="0"/>
        <w:snapToGrid w:val="0"/>
        <w:spacing w:line="360" w:lineRule="auto"/>
        <w:ind w:firstLine="600" w:firstLineChars="250"/>
        <w:jc w:val="left"/>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评标小组</w:t>
      </w:r>
      <w:r>
        <w:rPr>
          <w:rFonts w:hint="eastAsia" w:ascii="宋体" w:hAnsi="宋体" w:eastAsia="宋体" w:cs="宋体"/>
          <w:bCs/>
          <w:color w:val="auto"/>
          <w:sz w:val="24"/>
          <w:highlight w:val="none"/>
        </w:rPr>
        <w:t>对</w:t>
      </w:r>
      <w:r>
        <w:rPr>
          <w:rFonts w:hint="eastAsia" w:ascii="宋体" w:hAnsi="宋体" w:cs="宋体"/>
          <w:bCs/>
          <w:color w:val="auto"/>
          <w:sz w:val="24"/>
          <w:highlight w:val="none"/>
          <w:lang w:eastAsia="zh-CN"/>
        </w:rPr>
        <w:t>成交供应商</w:t>
      </w:r>
      <w:r>
        <w:rPr>
          <w:rFonts w:hint="eastAsia" w:ascii="宋体" w:hAnsi="宋体" w:eastAsia="宋体" w:cs="宋体"/>
          <w:bCs/>
          <w:color w:val="auto"/>
          <w:sz w:val="24"/>
          <w:highlight w:val="none"/>
        </w:rPr>
        <w:t>报价表进行审核。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对过高过低报价的并作为</w:t>
      </w:r>
      <w:r>
        <w:rPr>
          <w:rFonts w:hint="eastAsia" w:ascii="宋体" w:hAnsi="宋体" w:cs="宋体"/>
          <w:bCs/>
          <w:color w:val="auto"/>
          <w:sz w:val="24"/>
          <w:highlight w:val="none"/>
          <w:lang w:eastAsia="zh-CN"/>
        </w:rPr>
        <w:t>成交供应商</w:t>
      </w:r>
      <w:r>
        <w:rPr>
          <w:rFonts w:hint="eastAsia" w:ascii="宋体" w:hAnsi="宋体" w:eastAsia="宋体" w:cs="宋体"/>
          <w:bCs/>
          <w:color w:val="auto"/>
          <w:sz w:val="24"/>
          <w:highlight w:val="none"/>
        </w:rPr>
        <w:t>的，应重点审核报价明细表有否重大重复报价或漏项报价等情况，一经发现，现场请</w:t>
      </w:r>
      <w:r>
        <w:rPr>
          <w:rFonts w:hint="eastAsia" w:ascii="宋体" w:hAnsi="宋体" w:cs="宋体"/>
          <w:bCs/>
          <w:color w:val="auto"/>
          <w:sz w:val="24"/>
          <w:highlight w:val="none"/>
          <w:lang w:eastAsia="zh-CN"/>
        </w:rPr>
        <w:t>成交供应商</w:t>
      </w:r>
      <w:r>
        <w:rPr>
          <w:rFonts w:hint="eastAsia" w:ascii="宋体" w:hAnsi="宋体" w:eastAsia="宋体" w:cs="宋体"/>
          <w:bCs/>
          <w:color w:val="auto"/>
          <w:sz w:val="24"/>
          <w:highlight w:val="none"/>
        </w:rPr>
        <w:t>予以</w:t>
      </w:r>
      <w:r>
        <w:rPr>
          <w:rFonts w:hint="eastAsia" w:ascii="宋体" w:hAnsi="宋体" w:eastAsia="宋体" w:cs="宋体"/>
          <w:color w:val="auto"/>
          <w:sz w:val="24"/>
          <w:szCs w:val="24"/>
          <w:highlight w:val="none"/>
        </w:rPr>
        <w:t>澄清</w:t>
      </w:r>
      <w:r>
        <w:rPr>
          <w:rFonts w:hint="eastAsia" w:ascii="宋体" w:hAnsi="宋体" w:eastAsia="宋体" w:cs="宋体"/>
          <w:bCs/>
          <w:color w:val="auto"/>
          <w:sz w:val="24"/>
          <w:highlight w:val="none"/>
        </w:rPr>
        <w:t>，明显过错或不能澄清的，经超半数以上评委认定，有权取消</w:t>
      </w:r>
      <w:r>
        <w:rPr>
          <w:rFonts w:hint="eastAsia" w:ascii="宋体" w:hAnsi="宋体" w:eastAsia="宋体" w:cs="宋体"/>
          <w:color w:val="auto"/>
          <w:sz w:val="24"/>
          <w:szCs w:val="24"/>
          <w:highlight w:val="none"/>
        </w:rPr>
        <w:t>投标人</w:t>
      </w:r>
      <w:r>
        <w:rPr>
          <w:rFonts w:hint="eastAsia" w:ascii="宋体" w:hAnsi="宋体" w:eastAsia="宋体" w:cs="宋体"/>
          <w:bCs/>
          <w:color w:val="auto"/>
          <w:sz w:val="24"/>
          <w:highlight w:val="none"/>
        </w:rPr>
        <w:t>中标资格，以此类推确定</w:t>
      </w:r>
      <w:r>
        <w:rPr>
          <w:rFonts w:hint="eastAsia" w:ascii="宋体" w:hAnsi="宋体" w:cs="宋体"/>
          <w:bCs/>
          <w:color w:val="auto"/>
          <w:sz w:val="24"/>
          <w:highlight w:val="none"/>
          <w:lang w:eastAsia="zh-CN"/>
        </w:rPr>
        <w:t>成交供应商</w:t>
      </w:r>
      <w:r>
        <w:rPr>
          <w:rFonts w:hint="eastAsia" w:ascii="宋体" w:hAnsi="宋体" w:eastAsia="宋体" w:cs="宋体"/>
          <w:bCs/>
          <w:color w:val="auto"/>
          <w:sz w:val="24"/>
          <w:highlight w:val="none"/>
        </w:rPr>
        <w:t>。</w:t>
      </w:r>
    </w:p>
    <w:p w14:paraId="4A5191E9">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评标小组</w:t>
      </w:r>
      <w:r>
        <w:rPr>
          <w:rFonts w:hint="eastAsia" w:ascii="宋体" w:hAnsi="宋体" w:eastAsia="宋体" w:cs="宋体"/>
          <w:bCs/>
          <w:color w:val="auto"/>
          <w:sz w:val="24"/>
          <w:highlight w:val="none"/>
        </w:rPr>
        <w:t>汇总各评委评分后，按照各投标人总得分从高到低依次推荐3名中标候选人</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如出现相同最高分，按投标报价</w:t>
      </w:r>
      <w:r>
        <w:rPr>
          <w:rFonts w:hint="eastAsia" w:ascii="宋体" w:hAnsi="宋体" w:cs="宋体"/>
          <w:bCs/>
          <w:color w:val="auto"/>
          <w:sz w:val="24"/>
          <w:highlight w:val="none"/>
          <w:lang w:val="en-US" w:eastAsia="zh-CN"/>
        </w:rPr>
        <w:t>低</w:t>
      </w:r>
      <w:r>
        <w:rPr>
          <w:rFonts w:hint="eastAsia" w:ascii="宋体" w:hAnsi="宋体" w:eastAsia="宋体" w:cs="宋体"/>
          <w:bCs/>
          <w:color w:val="auto"/>
          <w:sz w:val="24"/>
          <w:highlight w:val="none"/>
        </w:rPr>
        <w:t>的推荐为</w:t>
      </w:r>
      <w:r>
        <w:rPr>
          <w:rFonts w:hint="eastAsia" w:ascii="宋体" w:hAnsi="宋体" w:cs="宋体"/>
          <w:bCs/>
          <w:color w:val="auto"/>
          <w:sz w:val="24"/>
          <w:highlight w:val="none"/>
          <w:lang w:eastAsia="zh-CN"/>
        </w:rPr>
        <w:t>成交供应商</w:t>
      </w:r>
      <w:r>
        <w:rPr>
          <w:rFonts w:hint="eastAsia" w:ascii="宋体" w:hAnsi="宋体" w:eastAsia="宋体" w:cs="宋体"/>
          <w:bCs/>
          <w:color w:val="auto"/>
          <w:sz w:val="24"/>
          <w:highlight w:val="none"/>
        </w:rPr>
        <w:t>；如得分且投标报价相同的，</w:t>
      </w:r>
      <w:r>
        <w:rPr>
          <w:rFonts w:hint="eastAsia" w:ascii="宋体" w:hAnsi="宋体" w:eastAsia="宋体" w:cs="宋体"/>
          <w:color w:val="auto"/>
          <w:sz w:val="24"/>
          <w:szCs w:val="24"/>
          <w:highlight w:val="none"/>
        </w:rPr>
        <w:t>则由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采取现场抽签的方式确定（投标人的抽签顺序分别为各投标人递交响应文件签到顺序号）</w:t>
      </w:r>
      <w:r>
        <w:rPr>
          <w:rFonts w:hint="eastAsia" w:ascii="宋体" w:hAnsi="宋体" w:eastAsia="宋体" w:cs="宋体"/>
          <w:bCs/>
          <w:color w:val="auto"/>
          <w:sz w:val="24"/>
          <w:highlight w:val="none"/>
        </w:rPr>
        <w:t>。</w:t>
      </w:r>
      <w:r>
        <w:rPr>
          <w:rFonts w:hint="eastAsia" w:ascii="宋体" w:hAnsi="宋体" w:cs="宋体"/>
          <w:bCs/>
          <w:color w:val="auto"/>
          <w:sz w:val="24"/>
          <w:highlight w:val="none"/>
          <w:lang w:eastAsia="zh-CN"/>
        </w:rPr>
        <w:t>评标小组</w:t>
      </w:r>
      <w:r>
        <w:rPr>
          <w:rFonts w:hint="eastAsia" w:ascii="宋体" w:hAnsi="宋体" w:eastAsia="宋体" w:cs="宋体"/>
          <w:bCs/>
          <w:color w:val="auto"/>
          <w:sz w:val="24"/>
          <w:highlight w:val="none"/>
        </w:rPr>
        <w:t>写出评标报告。</w:t>
      </w:r>
    </w:p>
    <w:p w14:paraId="61880AC0">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5、第一中标候选人毁标或有异议的处理</w:t>
      </w:r>
    </w:p>
    <w:p w14:paraId="7EF3C255">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本项目第一中标候选人原则上为</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。当排名第一的中标候选人放弃中标、因不可抗力不能履行合同、不按照招标文件要求提交履约保证金，或者被查实存在影响中标结果的违法行为等情形，不符合中标条件的，采购人可以按照</w:t>
      </w:r>
      <w:r>
        <w:rPr>
          <w:rFonts w:hint="eastAsia" w:ascii="宋体" w:hAnsi="宋体" w:cs="宋体"/>
          <w:color w:val="auto"/>
          <w:sz w:val="24"/>
          <w:highlight w:val="none"/>
          <w:lang w:eastAsia="zh-CN"/>
        </w:rPr>
        <w:t>评标小组</w:t>
      </w:r>
      <w:r>
        <w:rPr>
          <w:rFonts w:hint="eastAsia" w:ascii="宋体" w:hAnsi="宋体" w:eastAsia="宋体" w:cs="宋体"/>
          <w:color w:val="auto"/>
          <w:sz w:val="24"/>
          <w:highlight w:val="none"/>
        </w:rPr>
        <w:t>提出的中标候选人名单排序依次确定其他中标候选人为</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，也可以重新招标。</w:t>
      </w:r>
    </w:p>
    <w:p w14:paraId="684E742B">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6、评标争议</w:t>
      </w:r>
    </w:p>
    <w:p w14:paraId="6E5F065F">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评标时</w:t>
      </w:r>
      <w:r>
        <w:rPr>
          <w:rFonts w:hint="eastAsia" w:ascii="宋体" w:hAnsi="宋体" w:eastAsia="宋体" w:cs="宋体"/>
          <w:color w:val="auto"/>
          <w:sz w:val="24"/>
          <w:highlight w:val="none"/>
        </w:rPr>
        <w:t>评委</w:t>
      </w:r>
      <w:r>
        <w:rPr>
          <w:rFonts w:hint="eastAsia" w:ascii="宋体" w:hAnsi="宋体" w:eastAsia="宋体" w:cs="宋体"/>
          <w:color w:val="auto"/>
          <w:sz w:val="24"/>
          <w:szCs w:val="24"/>
          <w:highlight w:val="none"/>
        </w:rPr>
        <w:t>对评标的细则若有争议，由评标小组评委集体讨论确定。</w:t>
      </w:r>
    </w:p>
    <w:p w14:paraId="3A7EA7BF">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highlight w:val="none"/>
        </w:rPr>
        <w:t>落标</w:t>
      </w:r>
      <w:r>
        <w:rPr>
          <w:rFonts w:hint="eastAsia" w:ascii="宋体" w:hAnsi="宋体" w:eastAsia="宋体" w:cs="宋体"/>
          <w:b w:val="0"/>
          <w:bCs w:val="0"/>
          <w:color w:val="auto"/>
          <w:sz w:val="24"/>
          <w:szCs w:val="24"/>
          <w:highlight w:val="none"/>
        </w:rPr>
        <w:t>原因</w:t>
      </w:r>
    </w:p>
    <w:p w14:paraId="70F8C630">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评标小组不对落标的投标人做落标原因的解释。</w:t>
      </w:r>
    </w:p>
    <w:p w14:paraId="22881DF3">
      <w:pPr>
        <w:widowControl/>
        <w:tabs>
          <w:tab w:val="left" w:pos="0"/>
          <w:tab w:val="left" w:pos="993"/>
          <w:tab w:val="left" w:pos="1134"/>
        </w:tabs>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六、出现下列情形之一的，作无效投标处理：</w:t>
      </w:r>
    </w:p>
    <w:p w14:paraId="258BC6F8">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1、投标文件未按招标文件要求签署、盖章的；</w:t>
      </w:r>
    </w:p>
    <w:p w14:paraId="504CDEE6">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w:t>
      </w:r>
      <w:r>
        <w:rPr>
          <w:rFonts w:hint="eastAsia" w:ascii="宋体" w:hAnsi="宋体" w:eastAsia="宋体" w:cs="宋体"/>
          <w:color w:val="auto"/>
          <w:sz w:val="24"/>
          <w:highlight w:val="none"/>
        </w:rPr>
        <w:t>具备</w:t>
      </w:r>
      <w:r>
        <w:rPr>
          <w:rFonts w:hint="eastAsia" w:ascii="宋体" w:hAnsi="宋体" w:eastAsia="宋体" w:cs="宋体"/>
          <w:color w:val="auto"/>
          <w:sz w:val="24"/>
          <w:szCs w:val="24"/>
          <w:highlight w:val="none"/>
        </w:rPr>
        <w:t>招标文件中规定的资格要求的；</w:t>
      </w:r>
    </w:p>
    <w:p w14:paraId="2EE69038">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rPr>
        <w:t>总报价高于最高限价的</w:t>
      </w:r>
      <w:r>
        <w:rPr>
          <w:rFonts w:hint="eastAsia" w:ascii="宋体" w:hAnsi="宋体" w:eastAsia="宋体" w:cs="宋体"/>
          <w:color w:val="auto"/>
          <w:sz w:val="24"/>
          <w:szCs w:val="24"/>
          <w:highlight w:val="none"/>
        </w:rPr>
        <w:t>；</w:t>
      </w:r>
    </w:p>
    <w:p w14:paraId="3CBF59FB">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4、投标文件含有采购人不能接受的附加条件的；</w:t>
      </w:r>
    </w:p>
    <w:p w14:paraId="63683969">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5、法律、法规和招标文件规定的其他无效情形。</w:t>
      </w:r>
    </w:p>
    <w:p w14:paraId="4F44E7AC">
      <w:pPr>
        <w:widowControl/>
        <w:tabs>
          <w:tab w:val="left" w:pos="0"/>
          <w:tab w:val="left" w:pos="993"/>
          <w:tab w:val="left" w:pos="1134"/>
        </w:tabs>
        <w:adjustRightInd w:val="0"/>
        <w:snapToGri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七、有下列情形之一的，视为投标人串通投标，其投标无效</w:t>
      </w:r>
    </w:p>
    <w:p w14:paraId="5F2591B4">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w:t>
      </w:r>
    </w:p>
    <w:p w14:paraId="37709C6B">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5596786D">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w:t>
      </w:r>
      <w:r>
        <w:rPr>
          <w:rFonts w:hint="eastAsia" w:ascii="宋体" w:hAnsi="宋体" w:eastAsia="宋体" w:cs="宋体"/>
          <w:color w:val="auto"/>
          <w:sz w:val="24"/>
          <w:highlight w:val="none"/>
        </w:rPr>
        <w:t>投标人</w:t>
      </w:r>
      <w:r>
        <w:rPr>
          <w:rFonts w:hint="eastAsia" w:ascii="宋体" w:hAnsi="宋体" w:eastAsia="宋体" w:cs="宋体"/>
          <w:color w:val="auto"/>
          <w:sz w:val="24"/>
          <w:szCs w:val="24"/>
          <w:highlight w:val="none"/>
        </w:rPr>
        <w:t>的投标文件载明的项目管理成员或者联系人员为同一人；</w:t>
      </w:r>
    </w:p>
    <w:p w14:paraId="3F589DA7">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w:t>
      </w:r>
      <w:r>
        <w:rPr>
          <w:rFonts w:hint="eastAsia" w:ascii="宋体" w:hAnsi="宋体" w:eastAsia="宋体" w:cs="宋体"/>
          <w:color w:val="auto"/>
          <w:sz w:val="24"/>
          <w:highlight w:val="none"/>
        </w:rPr>
        <w:t>投标人</w:t>
      </w:r>
      <w:r>
        <w:rPr>
          <w:rFonts w:hint="eastAsia" w:ascii="宋体" w:hAnsi="宋体" w:eastAsia="宋体" w:cs="宋体"/>
          <w:color w:val="auto"/>
          <w:sz w:val="24"/>
          <w:szCs w:val="24"/>
          <w:highlight w:val="none"/>
        </w:rPr>
        <w:t>的投标文件异常一致或者投标报价呈规律性差异；</w:t>
      </w:r>
    </w:p>
    <w:p w14:paraId="2E2EF240">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w:t>
      </w:r>
      <w:r>
        <w:rPr>
          <w:rFonts w:hint="eastAsia" w:ascii="宋体" w:hAnsi="宋体" w:eastAsia="宋体" w:cs="宋体"/>
          <w:color w:val="auto"/>
          <w:sz w:val="24"/>
          <w:highlight w:val="none"/>
        </w:rPr>
        <w:t>投标人</w:t>
      </w:r>
      <w:r>
        <w:rPr>
          <w:rFonts w:hint="eastAsia" w:ascii="宋体" w:hAnsi="宋体" w:eastAsia="宋体" w:cs="宋体"/>
          <w:color w:val="auto"/>
          <w:sz w:val="24"/>
          <w:szCs w:val="24"/>
          <w:highlight w:val="none"/>
        </w:rPr>
        <w:t>的投标文件相互混装。</w:t>
      </w:r>
    </w:p>
    <w:p w14:paraId="3651910C">
      <w:pPr>
        <w:widowControl/>
        <w:tabs>
          <w:tab w:val="left" w:pos="0"/>
          <w:tab w:val="left" w:pos="993"/>
          <w:tab w:val="left" w:pos="1134"/>
        </w:tabs>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八、出现下列情形之一的，作废标处理：</w:t>
      </w:r>
    </w:p>
    <w:p w14:paraId="4C86A986">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1、出现影响采购公正的违法违规行为的；</w:t>
      </w:r>
    </w:p>
    <w:p w14:paraId="5E49A195">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2、所有投标人报价低于最低期望报价的；</w:t>
      </w:r>
    </w:p>
    <w:p w14:paraId="2E72ADF6">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3、因重大变故，采购任务被取消的；</w:t>
      </w:r>
    </w:p>
    <w:p w14:paraId="0E9607D0">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评标小组</w:t>
      </w:r>
      <w:r>
        <w:rPr>
          <w:rFonts w:hint="eastAsia" w:ascii="宋体" w:hAnsi="宋体" w:eastAsia="宋体" w:cs="宋体"/>
          <w:color w:val="auto"/>
          <w:sz w:val="24"/>
          <w:szCs w:val="24"/>
          <w:highlight w:val="none"/>
        </w:rPr>
        <w:t>依据法律法规可以认定为废标的其他情况。</w:t>
      </w:r>
    </w:p>
    <w:p w14:paraId="4727F3E2">
      <w:pPr>
        <w:widowControl/>
        <w:tabs>
          <w:tab w:val="left" w:pos="0"/>
          <w:tab w:val="left" w:pos="993"/>
          <w:tab w:val="left" w:pos="1134"/>
        </w:tabs>
        <w:adjustRightInd w:val="0"/>
        <w:snapToGri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、成交通知</w:t>
      </w:r>
    </w:p>
    <w:p w14:paraId="5D19C7CF">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1、开标结束后，</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自</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确定之日起3个工作日内在指定媒体上公告中标结果。</w:t>
      </w:r>
    </w:p>
    <w:p w14:paraId="71871374">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2、中标公示期限为1个工作日，</w:t>
      </w:r>
      <w:r>
        <w:rPr>
          <w:rFonts w:hint="eastAsia" w:ascii="宋体" w:hAnsi="宋体" w:eastAsia="宋体" w:cs="宋体"/>
          <w:color w:val="auto"/>
          <w:sz w:val="24"/>
          <w:szCs w:val="24"/>
          <w:highlight w:val="none"/>
        </w:rPr>
        <w:t>期限</w:t>
      </w:r>
      <w:r>
        <w:rPr>
          <w:rFonts w:hint="eastAsia" w:ascii="宋体" w:hAnsi="宋体" w:eastAsia="宋体" w:cs="宋体"/>
          <w:color w:val="auto"/>
          <w:kern w:val="0"/>
          <w:sz w:val="24"/>
          <w:szCs w:val="24"/>
          <w:highlight w:val="none"/>
        </w:rPr>
        <w:t>结束后向</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发出《成交通知书》。</w:t>
      </w:r>
    </w:p>
    <w:p w14:paraId="601B70DA">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3、《成交通知书》一经发出，即</w:t>
      </w:r>
      <w:r>
        <w:rPr>
          <w:rFonts w:hint="eastAsia" w:ascii="宋体" w:hAnsi="宋体" w:eastAsia="宋体" w:cs="宋体"/>
          <w:color w:val="auto"/>
          <w:sz w:val="24"/>
          <w:szCs w:val="24"/>
          <w:highlight w:val="none"/>
        </w:rPr>
        <w:t>具有</w:t>
      </w:r>
      <w:r>
        <w:rPr>
          <w:rFonts w:hint="eastAsia" w:ascii="宋体" w:hAnsi="宋体" w:eastAsia="宋体" w:cs="宋体"/>
          <w:color w:val="auto"/>
          <w:kern w:val="0"/>
          <w:sz w:val="24"/>
          <w:szCs w:val="24"/>
          <w:highlight w:val="none"/>
        </w:rPr>
        <w:t>法律效力。采购人、</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依法承担法律责任。</w:t>
      </w:r>
    </w:p>
    <w:p w14:paraId="1EA61D7B">
      <w:pPr>
        <w:rPr>
          <w:rFonts w:hint="eastAsia" w:ascii="宋体" w:hAnsi="宋体" w:eastAsia="宋体" w:cs="宋体"/>
          <w:color w:val="auto"/>
        </w:rPr>
      </w:pPr>
    </w:p>
    <w:p w14:paraId="5D74D0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EAE0648">
      <w:pPr>
        <w:spacing w:line="360" w:lineRule="auto"/>
        <w:ind w:firstLine="720" w:firstLineChars="200"/>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 xml:space="preserve">第五部分  </w:t>
      </w:r>
      <w:r>
        <w:rPr>
          <w:rFonts w:hint="eastAsia" w:ascii="宋体" w:hAnsi="宋体" w:eastAsia="宋体" w:cs="宋体"/>
          <w:bCs/>
          <w:color w:val="auto"/>
          <w:sz w:val="36"/>
          <w:szCs w:val="36"/>
          <w:highlight w:val="none"/>
          <w:lang w:eastAsia="zh-CN"/>
        </w:rPr>
        <w:t>合同授予</w:t>
      </w:r>
    </w:p>
    <w:p w14:paraId="1FBBEBAE">
      <w:pPr>
        <w:snapToGrid w:val="0"/>
        <w:spacing w:line="360" w:lineRule="auto"/>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在接到《成交通知书》后</w:t>
      </w:r>
      <w:r>
        <w:rPr>
          <w:rFonts w:hint="eastAsia" w:ascii="宋体" w:hAnsi="宋体" w:eastAsia="宋体" w:cs="宋体"/>
          <w:b/>
          <w:color w:val="auto"/>
          <w:sz w:val="24"/>
          <w:szCs w:val="24"/>
          <w:highlight w:val="none"/>
          <w:u w:val="single"/>
        </w:rPr>
        <w:t xml:space="preserve">  30  </w:t>
      </w:r>
      <w:r>
        <w:rPr>
          <w:rFonts w:hint="eastAsia" w:ascii="宋体" w:hAnsi="宋体" w:eastAsia="宋体" w:cs="宋体"/>
          <w:color w:val="auto"/>
          <w:sz w:val="24"/>
          <w:szCs w:val="24"/>
          <w:highlight w:val="none"/>
        </w:rPr>
        <w:t>日内与采购人签订</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合同协议，所签合同不得对</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作实质性修改，给采购人造成损失的，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还应承担赔偿责任。采购人不得向</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提出不合理的要求作为签订合同的条件，不得与</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私下订立背离</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实质性内容的协议。</w:t>
      </w:r>
    </w:p>
    <w:p w14:paraId="76A66D1A">
      <w:pPr>
        <w:snapToGrid w:val="0"/>
        <w:spacing w:line="360" w:lineRule="auto"/>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及评审过程中的有关书面澄清、承诺等均应作为合同附件，具有同等的法律效力。</w:t>
      </w:r>
    </w:p>
    <w:p w14:paraId="726CAC46">
      <w:pPr>
        <w:snapToGrid w:val="0"/>
        <w:spacing w:line="360" w:lineRule="auto"/>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不得采用转包、分包的形式履行合同，否则，采购人有权终止合同，造成采购人损失的，</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应承担相应赔偿责任。</w:t>
      </w:r>
    </w:p>
    <w:p w14:paraId="127E350C">
      <w:pPr>
        <w:snapToGrid w:val="0"/>
        <w:spacing w:line="420" w:lineRule="exact"/>
        <w:ind w:firstLine="573"/>
        <w:rPr>
          <w:rFonts w:hint="eastAsia" w:ascii="宋体" w:hAnsi="宋体" w:eastAsia="宋体" w:cs="宋体"/>
          <w:color w:val="auto"/>
          <w:sz w:val="24"/>
          <w:szCs w:val="24"/>
          <w:highlight w:val="none"/>
        </w:rPr>
      </w:pPr>
    </w:p>
    <w:p w14:paraId="0065C56F">
      <w:pPr>
        <w:spacing w:line="440" w:lineRule="exact"/>
        <w:ind w:firstLine="1123" w:firstLineChars="200"/>
        <w:jc w:val="center"/>
        <w:rPr>
          <w:rFonts w:hint="eastAsia" w:ascii="宋体" w:hAnsi="宋体" w:eastAsia="宋体" w:cs="宋体"/>
          <w:b/>
          <w:bCs/>
          <w:color w:val="auto"/>
          <w:spacing w:val="60"/>
          <w:sz w:val="44"/>
          <w:szCs w:val="44"/>
          <w:highlight w:val="none"/>
        </w:rPr>
      </w:pPr>
    </w:p>
    <w:p w14:paraId="7BDFD465">
      <w:pPr>
        <w:spacing w:line="440" w:lineRule="exact"/>
        <w:ind w:firstLine="1123" w:firstLineChars="200"/>
        <w:jc w:val="center"/>
        <w:rPr>
          <w:rFonts w:hint="eastAsia" w:ascii="宋体" w:hAnsi="宋体" w:eastAsia="宋体" w:cs="宋体"/>
          <w:b/>
          <w:bCs/>
          <w:color w:val="auto"/>
          <w:spacing w:val="60"/>
          <w:sz w:val="44"/>
          <w:szCs w:val="44"/>
          <w:highlight w:val="none"/>
        </w:rPr>
      </w:pPr>
    </w:p>
    <w:p w14:paraId="329E6A8D">
      <w:pPr>
        <w:spacing w:line="440" w:lineRule="exact"/>
        <w:ind w:firstLine="1123" w:firstLineChars="200"/>
        <w:jc w:val="center"/>
        <w:rPr>
          <w:rFonts w:hint="eastAsia" w:ascii="宋体" w:hAnsi="宋体" w:eastAsia="宋体" w:cs="宋体"/>
          <w:b/>
          <w:bCs/>
          <w:color w:val="auto"/>
          <w:spacing w:val="60"/>
          <w:sz w:val="44"/>
          <w:szCs w:val="44"/>
          <w:highlight w:val="none"/>
        </w:rPr>
      </w:pPr>
    </w:p>
    <w:p w14:paraId="1FD28294">
      <w:pPr>
        <w:pStyle w:val="20"/>
        <w:rPr>
          <w:rFonts w:hint="eastAsia" w:ascii="宋体" w:hAnsi="宋体" w:eastAsia="宋体" w:cs="宋体"/>
          <w:b/>
          <w:bCs/>
          <w:color w:val="auto"/>
          <w:spacing w:val="60"/>
          <w:sz w:val="44"/>
          <w:szCs w:val="44"/>
          <w:highlight w:val="none"/>
        </w:rPr>
      </w:pPr>
    </w:p>
    <w:p w14:paraId="19A69637">
      <w:pPr>
        <w:pStyle w:val="20"/>
        <w:rPr>
          <w:rFonts w:hint="eastAsia" w:ascii="宋体" w:hAnsi="宋体" w:eastAsia="宋体" w:cs="宋体"/>
          <w:b/>
          <w:bCs/>
          <w:color w:val="auto"/>
          <w:spacing w:val="60"/>
          <w:sz w:val="44"/>
          <w:szCs w:val="44"/>
          <w:highlight w:val="none"/>
        </w:rPr>
      </w:pPr>
    </w:p>
    <w:p w14:paraId="179D979F">
      <w:pPr>
        <w:pStyle w:val="20"/>
        <w:rPr>
          <w:rFonts w:hint="eastAsia" w:ascii="宋体" w:hAnsi="宋体" w:eastAsia="宋体" w:cs="宋体"/>
          <w:b/>
          <w:bCs/>
          <w:color w:val="auto"/>
          <w:spacing w:val="60"/>
          <w:sz w:val="44"/>
          <w:szCs w:val="44"/>
          <w:highlight w:val="none"/>
        </w:rPr>
      </w:pPr>
    </w:p>
    <w:p w14:paraId="031B19C4">
      <w:pPr>
        <w:pStyle w:val="20"/>
        <w:rPr>
          <w:rFonts w:hint="eastAsia" w:ascii="宋体" w:hAnsi="宋体" w:eastAsia="宋体" w:cs="宋体"/>
          <w:b/>
          <w:bCs/>
          <w:color w:val="auto"/>
          <w:spacing w:val="60"/>
          <w:sz w:val="44"/>
          <w:szCs w:val="44"/>
          <w:highlight w:val="none"/>
        </w:rPr>
      </w:pPr>
    </w:p>
    <w:p w14:paraId="3D2249D8">
      <w:pPr>
        <w:pStyle w:val="20"/>
        <w:rPr>
          <w:rFonts w:hint="eastAsia" w:ascii="宋体" w:hAnsi="宋体" w:eastAsia="宋体" w:cs="宋体"/>
          <w:b/>
          <w:bCs/>
          <w:color w:val="auto"/>
          <w:spacing w:val="60"/>
          <w:sz w:val="44"/>
          <w:szCs w:val="44"/>
          <w:highlight w:val="none"/>
        </w:rPr>
      </w:pPr>
    </w:p>
    <w:p w14:paraId="483C1040">
      <w:pPr>
        <w:pStyle w:val="20"/>
        <w:rPr>
          <w:rFonts w:hint="eastAsia" w:ascii="宋体" w:hAnsi="宋体" w:eastAsia="宋体" w:cs="宋体"/>
          <w:b/>
          <w:bCs/>
          <w:color w:val="auto"/>
          <w:spacing w:val="60"/>
          <w:sz w:val="44"/>
          <w:szCs w:val="44"/>
          <w:highlight w:val="none"/>
        </w:rPr>
      </w:pPr>
    </w:p>
    <w:p w14:paraId="1BA283F9">
      <w:pPr>
        <w:pStyle w:val="20"/>
        <w:rPr>
          <w:rFonts w:hint="eastAsia" w:ascii="宋体" w:hAnsi="宋体" w:eastAsia="宋体" w:cs="宋体"/>
          <w:b/>
          <w:bCs/>
          <w:color w:val="auto"/>
          <w:spacing w:val="60"/>
          <w:sz w:val="44"/>
          <w:szCs w:val="44"/>
          <w:highlight w:val="none"/>
        </w:rPr>
      </w:pPr>
    </w:p>
    <w:p w14:paraId="481E1DB6">
      <w:pPr>
        <w:spacing w:line="440" w:lineRule="exact"/>
        <w:ind w:firstLine="1123" w:firstLineChars="200"/>
        <w:jc w:val="center"/>
        <w:rPr>
          <w:rFonts w:hint="eastAsia" w:ascii="宋体" w:hAnsi="宋体" w:eastAsia="宋体" w:cs="宋体"/>
          <w:b/>
          <w:bCs/>
          <w:color w:val="auto"/>
          <w:spacing w:val="60"/>
          <w:sz w:val="44"/>
          <w:szCs w:val="44"/>
          <w:highlight w:val="none"/>
        </w:rPr>
      </w:pPr>
    </w:p>
    <w:p w14:paraId="0740B746">
      <w:pPr>
        <w:pStyle w:val="10"/>
        <w:rPr>
          <w:rFonts w:hint="eastAsia" w:ascii="宋体" w:hAnsi="宋体" w:eastAsia="宋体" w:cs="宋体"/>
          <w:color w:val="auto"/>
          <w:highlight w:val="none"/>
        </w:rPr>
      </w:pPr>
    </w:p>
    <w:p w14:paraId="643597F4">
      <w:pPr>
        <w:tabs>
          <w:tab w:val="left" w:pos="5760"/>
          <w:tab w:val="left" w:pos="6300"/>
        </w:tabs>
        <w:snapToGrid w:val="0"/>
        <w:spacing w:line="300" w:lineRule="auto"/>
        <w:jc w:val="left"/>
        <w:rPr>
          <w:rFonts w:hint="eastAsia" w:ascii="宋体" w:hAnsi="宋体" w:eastAsia="宋体" w:cs="宋体"/>
          <w:color w:val="auto"/>
          <w:sz w:val="44"/>
          <w:szCs w:val="44"/>
          <w:highlight w:val="none"/>
        </w:rPr>
      </w:pPr>
    </w:p>
    <w:p w14:paraId="2C44E762">
      <w:pPr>
        <w:pStyle w:val="10"/>
        <w:rPr>
          <w:rFonts w:hint="eastAsia" w:ascii="宋体" w:hAnsi="宋体" w:eastAsia="宋体" w:cs="宋体"/>
          <w:color w:val="auto"/>
          <w:sz w:val="44"/>
          <w:szCs w:val="44"/>
          <w:highlight w:val="none"/>
        </w:rPr>
      </w:pPr>
    </w:p>
    <w:p w14:paraId="688882F9">
      <w:pPr>
        <w:rPr>
          <w:rFonts w:hint="eastAsia" w:ascii="宋体" w:hAnsi="宋体" w:eastAsia="宋体" w:cs="宋体"/>
          <w:color w:val="auto"/>
          <w:sz w:val="44"/>
          <w:szCs w:val="44"/>
          <w:highlight w:val="none"/>
        </w:rPr>
      </w:pPr>
    </w:p>
    <w:p w14:paraId="07D401DC">
      <w:pPr>
        <w:pStyle w:val="10"/>
        <w:rPr>
          <w:rFonts w:hint="eastAsia" w:ascii="宋体" w:hAnsi="宋体" w:eastAsia="宋体" w:cs="宋体"/>
          <w:color w:val="auto"/>
        </w:rPr>
      </w:pPr>
    </w:p>
    <w:p w14:paraId="2F75FE92">
      <w:pPr>
        <w:keepNext/>
        <w:keepLines/>
        <w:spacing w:line="336" w:lineRule="auto"/>
        <w:jc w:val="center"/>
        <w:outlineLvl w:val="0"/>
        <w:rPr>
          <w:rFonts w:hint="eastAsia" w:ascii="宋体" w:hAnsi="宋体" w:eastAsia="宋体" w:cs="宋体"/>
          <w:b/>
          <w:bCs/>
          <w:color w:val="auto"/>
          <w:kern w:val="2"/>
          <w:sz w:val="36"/>
          <w:szCs w:val="36"/>
          <w:highlight w:val="none"/>
        </w:rPr>
      </w:pPr>
      <w:r>
        <w:rPr>
          <w:rFonts w:hint="eastAsia" w:ascii="宋体" w:hAnsi="宋体" w:eastAsia="宋体" w:cs="宋体"/>
          <w:b/>
          <w:bCs/>
          <w:color w:val="auto"/>
          <w:kern w:val="2"/>
          <w:sz w:val="36"/>
          <w:szCs w:val="36"/>
          <w:highlight w:val="none"/>
          <w:lang w:eastAsia="zh-CN"/>
        </w:rPr>
        <w:t>202</w:t>
      </w:r>
      <w:r>
        <w:rPr>
          <w:rFonts w:hint="eastAsia" w:ascii="宋体" w:hAnsi="宋体" w:eastAsia="宋体" w:cs="宋体"/>
          <w:b/>
          <w:bCs/>
          <w:color w:val="auto"/>
          <w:kern w:val="2"/>
          <w:sz w:val="36"/>
          <w:szCs w:val="36"/>
          <w:highlight w:val="none"/>
          <w:lang w:val="en-US" w:eastAsia="zh-CN"/>
        </w:rPr>
        <w:t>5</w:t>
      </w:r>
      <w:r>
        <w:rPr>
          <w:rFonts w:hint="eastAsia" w:ascii="宋体" w:hAnsi="宋体" w:eastAsia="宋体" w:cs="宋体"/>
          <w:b/>
          <w:bCs/>
          <w:color w:val="auto"/>
          <w:kern w:val="2"/>
          <w:sz w:val="36"/>
          <w:szCs w:val="36"/>
          <w:highlight w:val="none"/>
          <w:lang w:eastAsia="zh-CN"/>
        </w:rPr>
        <w:t>年崇川区绿地儿童游乐设施采购项目</w:t>
      </w:r>
      <w:r>
        <w:rPr>
          <w:rFonts w:hint="eastAsia" w:ascii="宋体" w:hAnsi="宋体" w:eastAsia="宋体" w:cs="宋体"/>
          <w:b/>
          <w:bCs/>
          <w:color w:val="auto"/>
          <w:kern w:val="2"/>
          <w:sz w:val="36"/>
          <w:szCs w:val="36"/>
          <w:highlight w:val="none"/>
        </w:rPr>
        <w:t>合同协议书</w:t>
      </w:r>
    </w:p>
    <w:p w14:paraId="5B309443">
      <w:pPr>
        <w:spacing w:line="336" w:lineRule="auto"/>
        <w:rPr>
          <w:rFonts w:hint="eastAsia" w:ascii="宋体" w:hAnsi="宋体" w:eastAsia="宋体" w:cs="宋体"/>
          <w:color w:val="auto"/>
          <w:sz w:val="24"/>
          <w:szCs w:val="24"/>
          <w:highlight w:val="none"/>
        </w:rPr>
      </w:pPr>
    </w:p>
    <w:p w14:paraId="72C7B9BA">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w:t>
      </w:r>
      <w:bookmarkStart w:id="7" w:name="_Hlk137977354"/>
      <w:r>
        <w:rPr>
          <w:rFonts w:hint="eastAsia" w:ascii="宋体" w:hAnsi="宋体" w:eastAsia="宋体" w:cs="宋体"/>
          <w:color w:val="auto"/>
          <w:sz w:val="24"/>
          <w:szCs w:val="24"/>
          <w:highlight w:val="none"/>
        </w:rPr>
        <w:t>南通市崇川区城市工程建设管理中心</w:t>
      </w:r>
      <w:bookmarkEnd w:id="7"/>
    </w:p>
    <w:p w14:paraId="408B88A9">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w:t>
      </w:r>
    </w:p>
    <w:p w14:paraId="19D78DFC">
      <w:pPr>
        <w:spacing w:line="336" w:lineRule="auto"/>
        <w:ind w:firstLine="460"/>
        <w:rPr>
          <w:rFonts w:hint="eastAsia" w:ascii="宋体" w:hAnsi="宋体" w:eastAsia="宋体" w:cs="宋体"/>
          <w:color w:val="auto"/>
          <w:sz w:val="24"/>
          <w:szCs w:val="24"/>
          <w:highlight w:val="none"/>
        </w:rPr>
      </w:pPr>
    </w:p>
    <w:p w14:paraId="04148FF3">
      <w:pPr>
        <w:spacing w:line="336" w:lineRule="auto"/>
        <w:ind w:firstLine="4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依照《中华人民共和国民法典》、《中华人民共和国政府采购法》及其他有关法律、行政法规，遵循平等、自愿、公平和诚实信用的原则，双方就本</w:t>
      </w:r>
      <w:r>
        <w:rPr>
          <w:rFonts w:hint="eastAsia" w:ascii="宋体" w:hAnsi="宋体" w:eastAsia="宋体" w:cs="宋体"/>
          <w:color w:val="auto"/>
          <w:sz w:val="24"/>
          <w:szCs w:val="24"/>
          <w:highlight w:val="none"/>
          <w:lang w:eastAsia="zh-CN"/>
        </w:rPr>
        <w:t>项目采购</w:t>
      </w:r>
      <w:r>
        <w:rPr>
          <w:rFonts w:hint="eastAsia" w:ascii="宋体" w:hAnsi="宋体" w:eastAsia="宋体" w:cs="宋体"/>
          <w:color w:val="auto"/>
          <w:sz w:val="24"/>
          <w:szCs w:val="24"/>
          <w:highlight w:val="none"/>
        </w:rPr>
        <w:t>事项协商一致，订立本合同。</w:t>
      </w:r>
    </w:p>
    <w:p w14:paraId="6D7C9A17">
      <w:pPr>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概况</w:t>
      </w:r>
    </w:p>
    <w:p w14:paraId="6E986E87">
      <w:pPr>
        <w:tabs>
          <w:tab w:val="left" w:pos="5760"/>
          <w:tab w:val="left" w:pos="6300"/>
        </w:tabs>
        <w:autoSpaceDE/>
        <w:autoSpaceDN/>
        <w:adjustRightInd/>
        <w:snapToGrid w:val="0"/>
        <w:spacing w:line="336"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年崇川区绿地儿童游乐设施采购项目</w:t>
      </w:r>
    </w:p>
    <w:p w14:paraId="47B4AAFB">
      <w:pPr>
        <w:autoSpaceDE/>
        <w:autoSpaceDN/>
        <w:adjustRightInd w:val="0"/>
        <w:spacing w:line="336"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南通市崇川区</w:t>
      </w:r>
    </w:p>
    <w:p w14:paraId="4D76E4AF">
      <w:pPr>
        <w:spacing w:line="336"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eastAsia="zh-CN"/>
        </w:rPr>
        <w:t>采购</w:t>
      </w:r>
      <w:r>
        <w:rPr>
          <w:rFonts w:hint="eastAsia" w:ascii="宋体" w:hAnsi="宋体" w:eastAsia="宋体" w:cs="宋体"/>
          <w:bCs/>
          <w:color w:val="auto"/>
          <w:kern w:val="0"/>
          <w:sz w:val="24"/>
          <w:szCs w:val="24"/>
          <w:highlight w:val="none"/>
        </w:rPr>
        <w:t>内容：</w:t>
      </w:r>
      <w:r>
        <w:rPr>
          <w:rFonts w:hint="eastAsia" w:ascii="宋体" w:hAnsi="宋体" w:eastAsia="宋体" w:cs="宋体"/>
          <w:bCs/>
          <w:color w:val="auto"/>
          <w:kern w:val="0"/>
          <w:sz w:val="24"/>
          <w:szCs w:val="24"/>
          <w:highlight w:val="none"/>
          <w:lang w:eastAsia="zh-CN"/>
        </w:rPr>
        <w:t>详见采购清单</w:t>
      </w:r>
    </w:p>
    <w:p w14:paraId="20D4754F">
      <w:pPr>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、供货期限</w:t>
      </w:r>
    </w:p>
    <w:p w14:paraId="007B4F73">
      <w:pPr>
        <w:spacing w:line="336"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合同签订</w:t>
      </w:r>
      <w:r>
        <w:rPr>
          <w:rFonts w:hint="eastAsia" w:ascii="宋体" w:hAnsi="宋体" w:eastAsia="宋体" w:cs="宋体"/>
          <w:bCs/>
          <w:color w:val="auto"/>
          <w:kern w:val="0"/>
          <w:sz w:val="24"/>
          <w:szCs w:val="24"/>
          <w:highlight w:val="none"/>
          <w:u w:val="none"/>
        </w:rPr>
        <w:t>后</w:t>
      </w:r>
      <w:r>
        <w:rPr>
          <w:rFonts w:hint="eastAsia" w:ascii="宋体" w:hAnsi="宋体" w:eastAsia="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u w:val="none"/>
        </w:rPr>
        <w:t>天</w:t>
      </w:r>
      <w:r>
        <w:rPr>
          <w:rFonts w:hint="eastAsia" w:ascii="宋体" w:hAnsi="宋体" w:eastAsia="宋体" w:cs="宋体"/>
          <w:bCs/>
          <w:color w:val="auto"/>
          <w:kern w:val="0"/>
          <w:sz w:val="24"/>
          <w:szCs w:val="24"/>
          <w:highlight w:val="none"/>
        </w:rPr>
        <w:t>内完成</w:t>
      </w:r>
      <w:r>
        <w:rPr>
          <w:rFonts w:hint="eastAsia" w:ascii="宋体" w:hAnsi="宋体" w:eastAsia="宋体" w:cs="宋体"/>
          <w:bCs/>
          <w:color w:val="auto"/>
          <w:kern w:val="0"/>
          <w:sz w:val="24"/>
          <w:szCs w:val="24"/>
          <w:highlight w:val="none"/>
          <w:lang w:eastAsia="zh-CN"/>
        </w:rPr>
        <w:t>供货及安装</w:t>
      </w:r>
      <w:r>
        <w:rPr>
          <w:rFonts w:hint="eastAsia" w:ascii="宋体" w:hAnsi="宋体" w:eastAsia="宋体" w:cs="宋体"/>
          <w:bCs/>
          <w:color w:val="auto"/>
          <w:kern w:val="0"/>
          <w:sz w:val="24"/>
          <w:szCs w:val="24"/>
          <w:highlight w:val="none"/>
        </w:rPr>
        <w:t>。</w:t>
      </w:r>
    </w:p>
    <w:p w14:paraId="440ADCA7">
      <w:pPr>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、质量标准</w:t>
      </w:r>
    </w:p>
    <w:p w14:paraId="18EB5F55">
      <w:pPr>
        <w:keepNext w:val="0"/>
        <w:keepLines w:val="0"/>
        <w:pageBreakBefore w:val="0"/>
        <w:widowControl w:val="0"/>
        <w:kinsoku/>
        <w:wordWrap/>
        <w:overflowPunct/>
        <w:topLinePunct w:val="0"/>
        <w:autoSpaceDE/>
        <w:autoSpaceDN/>
        <w:bidi w:val="0"/>
        <w:adjustRightInd/>
        <w:snapToGrid/>
        <w:spacing w:line="336" w:lineRule="auto"/>
        <w:ind w:firstLine="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工程质量标准：</w:t>
      </w:r>
      <w:r>
        <w:rPr>
          <w:rFonts w:hint="eastAsia" w:ascii="宋体" w:hAnsi="宋体" w:eastAsia="宋体" w:cs="宋体"/>
          <w:bCs/>
          <w:color w:val="auto"/>
          <w:kern w:val="0"/>
          <w:sz w:val="24"/>
          <w:szCs w:val="24"/>
          <w:highlight w:val="none"/>
          <w:u w:val="single"/>
        </w:rPr>
        <w:t xml:space="preserve"> 合格  </w:t>
      </w:r>
      <w:r>
        <w:rPr>
          <w:rFonts w:hint="eastAsia" w:ascii="宋体" w:hAnsi="宋体" w:eastAsia="宋体" w:cs="宋体"/>
          <w:bCs/>
          <w:color w:val="auto"/>
          <w:kern w:val="0"/>
          <w:sz w:val="24"/>
          <w:szCs w:val="24"/>
          <w:highlight w:val="none"/>
        </w:rPr>
        <w:t>。</w:t>
      </w:r>
    </w:p>
    <w:p w14:paraId="70127684">
      <w:pPr>
        <w:keepNext w:val="0"/>
        <w:keepLines w:val="0"/>
        <w:pageBreakBefore w:val="0"/>
        <w:widowControl w:val="0"/>
        <w:kinsoku/>
        <w:wordWrap/>
        <w:overflowPunct/>
        <w:topLinePunct w:val="0"/>
        <w:autoSpaceDE/>
        <w:autoSpaceDN/>
        <w:bidi w:val="0"/>
        <w:adjustRightInd/>
        <w:snapToGrid/>
        <w:spacing w:line="336" w:lineRule="auto"/>
        <w:ind w:firstLine="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
          <w:bCs/>
          <w:color w:val="auto"/>
          <w:sz w:val="24"/>
          <w:szCs w:val="24"/>
          <w:highlight w:val="none"/>
          <w:lang w:eastAsia="zh-CN"/>
        </w:rPr>
        <w:t>质保期</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年</w:t>
      </w:r>
      <w:r>
        <w:rPr>
          <w:rFonts w:hint="eastAsia" w:ascii="宋体" w:hAnsi="宋体" w:cs="宋体"/>
          <w:b/>
          <w:bCs/>
          <w:color w:val="auto"/>
          <w:sz w:val="24"/>
          <w:szCs w:val="24"/>
          <w:highlight w:val="none"/>
          <w:lang w:val="en-US" w:eastAsia="zh-CN"/>
        </w:rPr>
        <w:t>或根据投标文件承诺</w:t>
      </w:r>
      <w:r>
        <w:rPr>
          <w:rFonts w:hint="eastAsia" w:ascii="宋体" w:hAnsi="宋体" w:eastAsia="宋体" w:cs="宋体"/>
          <w:bCs/>
          <w:color w:val="auto"/>
          <w:kern w:val="0"/>
          <w:sz w:val="24"/>
          <w:szCs w:val="24"/>
          <w:highlight w:val="none"/>
        </w:rPr>
        <w:t>（自验收合格之日起计算）。</w:t>
      </w:r>
    </w:p>
    <w:p w14:paraId="062575A5">
      <w:pPr>
        <w:keepNext w:val="0"/>
        <w:keepLines w:val="0"/>
        <w:pageBreakBefore w:val="0"/>
        <w:widowControl w:val="0"/>
        <w:kinsoku/>
        <w:wordWrap/>
        <w:overflowPunct/>
        <w:topLinePunct w:val="0"/>
        <w:autoSpaceDE/>
        <w:autoSpaceDN/>
        <w:bidi w:val="0"/>
        <w:adjustRightInd/>
        <w:snapToGrid/>
        <w:spacing w:line="336" w:lineRule="auto"/>
        <w:ind w:firstLine="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2.供应商必须向采购人提供符合国家标准和行业标准的合格产品，如出现产品质量问题，供应商应及时作出响应，负责包退、包换，因产品质量问题产生的费用和损失由供应商负责承担。</w:t>
      </w:r>
    </w:p>
    <w:p w14:paraId="6EBDF2AB">
      <w:pPr>
        <w:keepNext w:val="0"/>
        <w:keepLines w:val="0"/>
        <w:pageBreakBefore w:val="0"/>
        <w:widowControl w:val="0"/>
        <w:kinsoku/>
        <w:wordWrap/>
        <w:overflowPunct/>
        <w:topLinePunct w:val="0"/>
        <w:autoSpaceDE/>
        <w:autoSpaceDN/>
        <w:bidi w:val="0"/>
        <w:adjustRightInd/>
        <w:snapToGrid/>
        <w:spacing w:line="336" w:lineRule="auto"/>
        <w:ind w:firstLine="0" w:firstLineChars="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3.在质保期内，供应商应当对货物出现的质量问题负责处理解决并承担一切费用。</w:t>
      </w:r>
    </w:p>
    <w:p w14:paraId="119491DE">
      <w:pPr>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五、合同价款 </w:t>
      </w:r>
    </w:p>
    <w:p w14:paraId="313005A4">
      <w:pPr>
        <w:spacing w:line="336"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rPr>
        <w:t>金额(大写)：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小写：</w:t>
      </w:r>
      <w:r>
        <w:rPr>
          <w:rFonts w:hint="eastAsia" w:ascii="宋体" w:hAnsi="宋体" w:eastAsia="宋体" w:cs="宋体"/>
          <w:color w:val="auto"/>
          <w:sz w:val="24"/>
          <w:szCs w:val="24"/>
          <w:highlight w:val="none"/>
          <w:u w:val="single"/>
        </w:rPr>
        <w:t xml:space="preserve">               </w:t>
      </w:r>
    </w:p>
    <w:p w14:paraId="579CCCD3">
      <w:pPr>
        <w:spacing w:line="336" w:lineRule="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eastAsia="zh-CN"/>
        </w:rPr>
        <w:t>包括但不限于供货</w:t>
      </w:r>
      <w:r>
        <w:rPr>
          <w:rFonts w:hint="eastAsia" w:ascii="宋体" w:hAnsi="宋体" w:eastAsia="宋体" w:cs="宋体"/>
          <w:bCs/>
          <w:color w:val="auto"/>
          <w:kern w:val="0"/>
          <w:sz w:val="24"/>
          <w:szCs w:val="24"/>
          <w:highlight w:val="none"/>
        </w:rPr>
        <w:t>、运输、卸货、</w:t>
      </w:r>
      <w:r>
        <w:rPr>
          <w:rFonts w:hint="eastAsia" w:ascii="宋体" w:hAnsi="宋体" w:eastAsia="宋体" w:cs="宋体"/>
          <w:bCs/>
          <w:color w:val="auto"/>
          <w:kern w:val="0"/>
          <w:sz w:val="24"/>
          <w:szCs w:val="24"/>
          <w:highlight w:val="none"/>
          <w:lang w:eastAsia="zh-CN"/>
        </w:rPr>
        <w:t>安装、</w:t>
      </w:r>
      <w:r>
        <w:rPr>
          <w:rFonts w:hint="eastAsia" w:ascii="宋体" w:hAnsi="宋体" w:eastAsia="宋体" w:cs="宋体"/>
          <w:bCs/>
          <w:color w:val="auto"/>
          <w:kern w:val="0"/>
          <w:sz w:val="24"/>
          <w:szCs w:val="24"/>
          <w:highlight w:val="none"/>
        </w:rPr>
        <w:t>措施费、保险、利润、税金及政策性文件规定的各项应有从项目实施到结束的一切费用。超出部分费用由供应商自行解决，不予增补。</w:t>
      </w:r>
      <w:r>
        <w:rPr>
          <w:rFonts w:hint="eastAsia" w:ascii="宋体" w:hAnsi="宋体" w:eastAsia="宋体" w:cs="宋体"/>
          <w:bCs/>
          <w:color w:val="auto"/>
          <w:kern w:val="0"/>
          <w:sz w:val="24"/>
          <w:szCs w:val="24"/>
          <w:highlight w:val="none"/>
          <w:lang w:val="en-US" w:eastAsia="zh-CN"/>
        </w:rPr>
        <w:t>如实际采购量发生变化，可按照本合同约定各分项单价进行核增或核减。</w:t>
      </w:r>
    </w:p>
    <w:p w14:paraId="201673D2">
      <w:pPr>
        <w:spacing w:line="336"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六、付款方式</w:t>
      </w:r>
    </w:p>
    <w:p w14:paraId="041D4890">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本项目签订合同后，预付合同价的30%，货到、安装完成且业主确认后付至合同价的95%，质保期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年</w:t>
      </w:r>
      <w:r>
        <w:rPr>
          <w:rFonts w:hint="eastAsia" w:ascii="宋体" w:hAnsi="宋体" w:cs="宋体"/>
          <w:b/>
          <w:bCs/>
          <w:color w:val="auto"/>
          <w:sz w:val="24"/>
          <w:szCs w:val="24"/>
          <w:highlight w:val="none"/>
          <w:lang w:val="en-US" w:eastAsia="zh-CN"/>
        </w:rPr>
        <w:t>或根据投标文件承诺</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eastAsia="zh-CN"/>
        </w:rPr>
        <w:t>满后付清尾款</w:t>
      </w:r>
      <w:r>
        <w:rPr>
          <w:rFonts w:hint="eastAsia" w:ascii="宋体" w:hAnsi="宋体" w:eastAsia="宋体" w:cs="宋体"/>
          <w:color w:val="auto"/>
          <w:sz w:val="24"/>
          <w:szCs w:val="24"/>
          <w:highlight w:val="none"/>
        </w:rPr>
        <w:t>。</w:t>
      </w:r>
    </w:p>
    <w:p w14:paraId="019CB8EF">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2.付款时</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须提供合格增值税发票。</w:t>
      </w:r>
    </w:p>
    <w:p w14:paraId="547F2750">
      <w:pPr>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提供的</w:t>
      </w:r>
      <w:r>
        <w:rPr>
          <w:rFonts w:hint="eastAsia" w:ascii="宋体" w:hAnsi="宋体" w:eastAsia="宋体" w:cs="宋体"/>
          <w:b/>
          <w:bCs/>
          <w:color w:val="auto"/>
          <w:sz w:val="24"/>
          <w:szCs w:val="24"/>
          <w:highlight w:val="none"/>
          <w:lang w:eastAsia="zh-CN"/>
        </w:rPr>
        <w:t>产品须</w:t>
      </w:r>
      <w:r>
        <w:rPr>
          <w:rFonts w:hint="eastAsia" w:ascii="宋体" w:hAnsi="宋体" w:eastAsia="宋体" w:cs="宋体"/>
          <w:b/>
          <w:bCs/>
          <w:color w:val="auto"/>
          <w:sz w:val="24"/>
          <w:szCs w:val="24"/>
          <w:highlight w:val="none"/>
        </w:rPr>
        <w:t>达到国家以及行业规定的质量和环保标准。</w:t>
      </w:r>
    </w:p>
    <w:p w14:paraId="551904C5">
      <w:pPr>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八、制作、货物验收过程中双方如对产品质量产生争议，申请由国家相关检测机构对</w:t>
      </w:r>
      <w:r>
        <w:rPr>
          <w:rFonts w:hint="eastAsia" w:ascii="宋体" w:hAnsi="宋体" w:eastAsia="宋体" w:cs="宋体"/>
          <w:b/>
          <w:bCs/>
          <w:color w:val="auto"/>
          <w:sz w:val="24"/>
          <w:szCs w:val="24"/>
          <w:highlight w:val="none"/>
          <w:lang w:eastAsia="zh-CN"/>
        </w:rPr>
        <w:t>产品</w:t>
      </w:r>
      <w:r>
        <w:rPr>
          <w:rFonts w:hint="eastAsia" w:ascii="宋体" w:hAnsi="宋体" w:eastAsia="宋体" w:cs="宋体"/>
          <w:b/>
          <w:bCs/>
          <w:color w:val="auto"/>
          <w:sz w:val="24"/>
          <w:szCs w:val="24"/>
          <w:highlight w:val="none"/>
        </w:rPr>
        <w:t>质量予以检测的，所需检测费用采取“谁提出谁垫付”原则。经相关机构检测后若</w:t>
      </w:r>
      <w:r>
        <w:rPr>
          <w:rFonts w:hint="eastAsia" w:ascii="宋体" w:hAnsi="宋体" w:eastAsia="宋体" w:cs="宋体"/>
          <w:b/>
          <w:bCs/>
          <w:color w:val="auto"/>
          <w:sz w:val="24"/>
          <w:szCs w:val="24"/>
          <w:highlight w:val="none"/>
          <w:lang w:eastAsia="zh-CN"/>
        </w:rPr>
        <w:t>产品</w:t>
      </w:r>
      <w:r>
        <w:rPr>
          <w:rFonts w:hint="eastAsia" w:ascii="宋体" w:hAnsi="宋体" w:eastAsia="宋体" w:cs="宋体"/>
          <w:b/>
          <w:bCs/>
          <w:color w:val="auto"/>
          <w:sz w:val="24"/>
          <w:szCs w:val="24"/>
          <w:highlight w:val="none"/>
        </w:rPr>
        <w:t>质量不符合合同约定标准的，检测费用由乙方承担，反之由甲方承担。</w:t>
      </w:r>
    </w:p>
    <w:p w14:paraId="5CEB4EE3">
      <w:pPr>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九、违约责任</w:t>
      </w:r>
    </w:p>
    <w:p w14:paraId="491640FC">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1.本合同中的任一方因未履行合同的约定给对方造成损失均由责任方承担责任。</w:t>
      </w:r>
    </w:p>
    <w:p w14:paraId="2E082E49">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2.因一方原因，造成合同无法继续履行时，应及时通知对方，办理合同终止协议，并由责任方赔偿对方由此造成的经济损失。</w:t>
      </w:r>
    </w:p>
    <w:p w14:paraId="52AE49BB">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3.本合同生效后甲乙双方应严格履行合同所规定的各项条款，不得擅自变更或解除合同，否则违约方将支付对方</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价款10%的违约金，并承担因此造成的经济损失。</w:t>
      </w:r>
    </w:p>
    <w:p w14:paraId="673F65B1">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.因乙方原因而延迟</w:t>
      </w:r>
      <w:r>
        <w:rPr>
          <w:rFonts w:hint="eastAsia" w:ascii="宋体" w:hAnsi="宋体" w:eastAsia="宋体" w:cs="宋体"/>
          <w:color w:val="auto"/>
          <w:sz w:val="24"/>
          <w:szCs w:val="24"/>
          <w:highlight w:val="none"/>
          <w:lang w:eastAsia="zh-CN"/>
        </w:rPr>
        <w:t>交货</w:t>
      </w:r>
      <w:r>
        <w:rPr>
          <w:rFonts w:hint="eastAsia" w:ascii="宋体" w:hAnsi="宋体" w:eastAsia="宋体" w:cs="宋体"/>
          <w:color w:val="auto"/>
          <w:sz w:val="24"/>
          <w:szCs w:val="24"/>
          <w:highlight w:val="none"/>
        </w:rPr>
        <w:t>，每延迟一日，乙方以</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价款的百分之五作为违约金支付给甲方。</w:t>
      </w:r>
    </w:p>
    <w:p w14:paraId="462730E8">
      <w:pPr>
        <w:spacing w:line="336"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十、争议解决</w:t>
      </w:r>
    </w:p>
    <w:p w14:paraId="5C75A2C6">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双方因本合同产生的争议，应友好协商解决。协商不成的，依法向甲方所在地人民法院起诉。</w:t>
      </w:r>
    </w:p>
    <w:p w14:paraId="1918389F">
      <w:pPr>
        <w:spacing w:line="336"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、合同生效</w:t>
      </w:r>
    </w:p>
    <w:p w14:paraId="370FC1DF">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E1E9CA5">
      <w:pPr>
        <w:spacing w:line="336"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kern w:val="2"/>
          <w:sz w:val="24"/>
          <w:szCs w:val="24"/>
          <w:highlight w:val="none"/>
          <w:u w:val="single"/>
          <w:lang w:eastAsia="zh-CN"/>
        </w:rPr>
        <w:t>南通市崇川区城市工程建设管理中心</w:t>
      </w:r>
      <w:r>
        <w:rPr>
          <w:rFonts w:hint="eastAsia" w:ascii="宋体" w:hAnsi="宋体" w:eastAsia="宋体" w:cs="宋体"/>
          <w:b w:val="0"/>
          <w:bCs w:val="0"/>
          <w:color w:val="auto"/>
          <w:kern w:val="2"/>
          <w:sz w:val="24"/>
          <w:szCs w:val="24"/>
          <w:highlight w:val="none"/>
          <w:u w:val="single"/>
          <w:lang w:val="en-US" w:eastAsia="zh-CN"/>
        </w:rPr>
        <w:t xml:space="preserve">  </w:t>
      </w:r>
    </w:p>
    <w:p w14:paraId="253ED668">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本合同双方约定：</w:t>
      </w:r>
      <w:r>
        <w:rPr>
          <w:rFonts w:hint="eastAsia" w:ascii="宋体" w:hAnsi="宋体" w:eastAsia="宋体" w:cs="宋体"/>
          <w:color w:val="auto"/>
          <w:sz w:val="24"/>
          <w:szCs w:val="24"/>
          <w:highlight w:val="none"/>
          <w:u w:val="single"/>
        </w:rPr>
        <w:t xml:space="preserve"> 盖章 </w:t>
      </w:r>
      <w:r>
        <w:rPr>
          <w:rFonts w:hint="eastAsia" w:ascii="宋体" w:hAnsi="宋体" w:eastAsia="宋体" w:cs="宋体"/>
          <w:color w:val="auto"/>
          <w:sz w:val="24"/>
          <w:szCs w:val="24"/>
          <w:highlight w:val="none"/>
        </w:rPr>
        <w:t>后生效。</w:t>
      </w:r>
    </w:p>
    <w:p w14:paraId="1CE2920A">
      <w:pPr>
        <w:spacing w:line="336" w:lineRule="auto"/>
        <w:rPr>
          <w:rFonts w:hint="eastAsia" w:ascii="宋体" w:hAnsi="宋体" w:eastAsia="宋体" w:cs="宋体"/>
          <w:color w:val="auto"/>
          <w:sz w:val="24"/>
          <w:szCs w:val="24"/>
          <w:highlight w:val="none"/>
        </w:rPr>
      </w:pPr>
    </w:p>
    <w:p w14:paraId="68BF6CF4">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采购方：(公章)                       </w:t>
      </w:r>
      <w:r>
        <w:rPr>
          <w:rFonts w:hint="eastAsia" w:ascii="宋体" w:hAnsi="宋体" w:eastAsia="宋体" w:cs="宋体"/>
          <w:color w:val="auto"/>
          <w:sz w:val="24"/>
          <w:szCs w:val="24"/>
          <w:highlight w:val="none"/>
          <w:lang w:eastAsia="zh-CN"/>
        </w:rPr>
        <w:t>供货方</w:t>
      </w:r>
      <w:r>
        <w:rPr>
          <w:rFonts w:hint="eastAsia" w:ascii="宋体" w:hAnsi="宋体" w:eastAsia="宋体" w:cs="宋体"/>
          <w:color w:val="auto"/>
          <w:sz w:val="24"/>
          <w:szCs w:val="24"/>
          <w:highlight w:val="none"/>
        </w:rPr>
        <w:t>：(公章)</w:t>
      </w:r>
    </w:p>
    <w:p w14:paraId="297B9A4E">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           法定代表人：（签字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62D2462B">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委托代表人：                         委托代表人： </w:t>
      </w:r>
    </w:p>
    <w:p w14:paraId="29D55A04">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6F39D261">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14:paraId="411F8E1B">
      <w:pPr>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r>
        <w:rPr>
          <w:rFonts w:hint="eastAsia" w:ascii="宋体" w:hAnsi="宋体" w:eastAsia="宋体" w:cs="宋体"/>
          <w:bCs/>
          <w:color w:val="auto"/>
          <w:sz w:val="24"/>
          <w:szCs w:val="24"/>
          <w:highlight w:val="none"/>
        </w:rPr>
        <w:t xml:space="preserve"> </w:t>
      </w:r>
    </w:p>
    <w:p w14:paraId="070F2A6C">
      <w:pPr>
        <w:spacing w:line="336"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账  号：                             账号：</w:t>
      </w:r>
      <w:r>
        <w:rPr>
          <w:rFonts w:hint="eastAsia" w:ascii="宋体" w:hAnsi="宋体" w:eastAsia="宋体" w:cs="宋体"/>
          <w:bCs/>
          <w:color w:val="auto"/>
          <w:sz w:val="24"/>
          <w:szCs w:val="24"/>
          <w:highlight w:val="none"/>
        </w:rPr>
        <w:t xml:space="preserve"> </w:t>
      </w:r>
    </w:p>
    <w:p w14:paraId="0303AEA2">
      <w:pPr>
        <w:pStyle w:val="10"/>
        <w:rPr>
          <w:rFonts w:hint="eastAsia" w:ascii="宋体" w:hAnsi="宋体" w:eastAsia="宋体" w:cs="宋体"/>
          <w:bCs/>
          <w:color w:val="auto"/>
          <w:sz w:val="24"/>
          <w:szCs w:val="24"/>
          <w:highlight w:val="none"/>
        </w:rPr>
      </w:pPr>
    </w:p>
    <w:p w14:paraId="3761A259">
      <w:pPr>
        <w:rPr>
          <w:rFonts w:hint="eastAsia" w:ascii="宋体" w:hAnsi="宋体" w:eastAsia="宋体" w:cs="宋体"/>
          <w:bCs/>
          <w:color w:val="auto"/>
          <w:sz w:val="24"/>
          <w:szCs w:val="24"/>
          <w:highlight w:val="none"/>
        </w:rPr>
      </w:pPr>
    </w:p>
    <w:p w14:paraId="2040CDEA">
      <w:pPr>
        <w:pStyle w:val="10"/>
        <w:rPr>
          <w:rFonts w:hint="eastAsia" w:ascii="宋体" w:hAnsi="宋体" w:eastAsia="宋体" w:cs="宋体"/>
          <w:bCs/>
          <w:color w:val="auto"/>
          <w:sz w:val="24"/>
          <w:szCs w:val="24"/>
          <w:highlight w:val="none"/>
        </w:rPr>
      </w:pPr>
    </w:p>
    <w:p w14:paraId="11B33D5D">
      <w:pPr>
        <w:rPr>
          <w:rFonts w:hint="eastAsia" w:ascii="宋体" w:hAnsi="宋体" w:eastAsia="宋体" w:cs="宋体"/>
          <w:color w:val="auto"/>
        </w:rPr>
      </w:pPr>
    </w:p>
    <w:p w14:paraId="6A8E44F1">
      <w:pPr>
        <w:adjustRightInd w:val="0"/>
        <w:snapToGrid w:val="0"/>
        <w:spacing w:line="480" w:lineRule="exact"/>
        <w:jc w:val="center"/>
        <w:outlineLvl w:val="0"/>
        <w:rPr>
          <w:rFonts w:hint="eastAsia" w:ascii="宋体" w:hAnsi="宋体" w:eastAsia="宋体" w:cs="宋体"/>
          <w:bCs/>
          <w:color w:val="auto"/>
          <w:sz w:val="36"/>
          <w:szCs w:val="36"/>
          <w:highlight w:val="none"/>
        </w:rPr>
      </w:pPr>
    </w:p>
    <w:p w14:paraId="514054FD">
      <w:pPr>
        <w:adjustRightInd w:val="0"/>
        <w:snapToGrid w:val="0"/>
        <w:spacing w:line="480" w:lineRule="exact"/>
        <w:jc w:val="center"/>
        <w:outlineLvl w:val="0"/>
        <w:rPr>
          <w:rFonts w:hint="eastAsia" w:ascii="宋体" w:hAnsi="宋体" w:eastAsia="宋体" w:cs="宋体"/>
          <w:bCs/>
          <w:color w:val="auto"/>
          <w:sz w:val="36"/>
          <w:szCs w:val="36"/>
          <w:highlight w:val="none"/>
        </w:rPr>
      </w:pPr>
    </w:p>
    <w:p w14:paraId="604F334C">
      <w:pPr>
        <w:adjustRightInd w:val="0"/>
        <w:snapToGrid w:val="0"/>
        <w:spacing w:line="480" w:lineRule="exact"/>
        <w:jc w:val="center"/>
        <w:outlineLvl w:val="0"/>
        <w:rPr>
          <w:rFonts w:hint="eastAsia" w:ascii="宋体" w:hAnsi="宋体" w:eastAsia="宋体" w:cs="宋体"/>
          <w:bCs/>
          <w:color w:val="auto"/>
          <w:sz w:val="36"/>
          <w:szCs w:val="36"/>
          <w:highlight w:val="none"/>
        </w:rPr>
      </w:pPr>
    </w:p>
    <w:p w14:paraId="37EAD85B">
      <w:pPr>
        <w:adjustRightInd w:val="0"/>
        <w:snapToGrid w:val="0"/>
        <w:spacing w:line="48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 xml:space="preserve">第六部分 </w:t>
      </w:r>
      <w:r>
        <w:rPr>
          <w:rFonts w:hint="eastAsia" w:ascii="宋体" w:hAnsi="宋体" w:eastAsia="宋体" w:cs="宋体"/>
          <w:b w:val="0"/>
          <w:bCs/>
          <w:color w:val="auto"/>
          <w:w w:val="100"/>
          <w:kern w:val="2"/>
          <w:sz w:val="36"/>
          <w:szCs w:val="36"/>
          <w:highlight w:val="none"/>
        </w:rPr>
        <w:t>投标文件组成及格式</w:t>
      </w:r>
    </w:p>
    <w:p w14:paraId="624EFF89">
      <w:pPr>
        <w:adjustRightInd w:val="0"/>
        <w:snapToGrid w:val="0"/>
        <w:spacing w:line="500" w:lineRule="exact"/>
        <w:ind w:firstLine="555"/>
        <w:jc w:val="left"/>
        <w:rPr>
          <w:rFonts w:hint="eastAsia" w:ascii="宋体" w:hAnsi="宋体" w:eastAsia="宋体" w:cs="宋体"/>
          <w:b/>
          <w:color w:val="auto"/>
          <w:sz w:val="28"/>
          <w:szCs w:val="28"/>
          <w:highlight w:val="none"/>
        </w:rPr>
      </w:pPr>
    </w:p>
    <w:p w14:paraId="35CB5BD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投标响应文件由资格审查文件、商务技术标、价格标组成。本次招标应采用资格后审方式，投标人须将资格审查文件作为响应文件组成部分，按招标文件要求装订密封后一起递交。</w:t>
      </w:r>
    </w:p>
    <w:p w14:paraId="1DADD48B">
      <w:pPr>
        <w:tabs>
          <w:tab w:val="left" w:pos="720"/>
        </w:tabs>
        <w:spacing w:line="360" w:lineRule="auto"/>
        <w:ind w:firstLine="482" w:firstLineChars="200"/>
        <w:outlineLvl w:val="2"/>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A、</w:t>
      </w:r>
      <w:r>
        <w:rPr>
          <w:rFonts w:hint="eastAsia" w:ascii="宋体" w:hAnsi="宋体" w:eastAsia="宋体" w:cs="宋体"/>
          <w:b/>
          <w:bCs w:val="0"/>
          <w:color w:val="auto"/>
          <w:sz w:val="24"/>
        </w:rPr>
        <w:t>资格审查文件</w:t>
      </w:r>
      <w:r>
        <w:rPr>
          <w:rFonts w:hint="eastAsia" w:ascii="宋体" w:hAnsi="宋体" w:eastAsia="宋体" w:cs="宋体"/>
          <w:b/>
          <w:color w:val="auto"/>
          <w:sz w:val="24"/>
          <w:szCs w:val="24"/>
          <w:highlight w:val="none"/>
        </w:rPr>
        <w:t>（</w:t>
      </w:r>
      <w:r>
        <w:rPr>
          <w:rFonts w:hint="eastAsia" w:ascii="宋体" w:hAnsi="宋体" w:eastAsia="宋体" w:cs="宋体"/>
          <w:b/>
          <w:bCs w:val="0"/>
          <w:color w:val="auto"/>
          <w:sz w:val="24"/>
          <w:szCs w:val="24"/>
          <w:highlight w:val="none"/>
        </w:rPr>
        <w:t>单独装订密封，不能出现报价</w:t>
      </w:r>
      <w:r>
        <w:rPr>
          <w:rFonts w:hint="eastAsia" w:ascii="宋体" w:hAnsi="宋体" w:eastAsia="宋体" w:cs="宋体"/>
          <w:b/>
          <w:color w:val="auto"/>
          <w:sz w:val="24"/>
          <w:szCs w:val="24"/>
          <w:highlight w:val="none"/>
        </w:rPr>
        <w:t>）</w:t>
      </w:r>
    </w:p>
    <w:p w14:paraId="3B50EC9C">
      <w:pPr>
        <w:adjustRightInd w:val="0"/>
        <w:snapToGrid w:val="0"/>
        <w:spacing w:line="360" w:lineRule="auto"/>
        <w:ind w:firstLine="484" w:firstLineChars="202"/>
        <w:contextualSpacing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1、投标人的营业执照（副本）复印件或其他组织证书复印件或自然人</w:t>
      </w:r>
      <w:r>
        <w:rPr>
          <w:rFonts w:hint="eastAsia" w:ascii="宋体" w:hAnsi="宋体" w:eastAsia="宋体" w:cs="宋体"/>
          <w:bCs w:val="0"/>
          <w:color w:val="auto"/>
          <w:sz w:val="24"/>
          <w:szCs w:val="24"/>
          <w:highlight w:val="none"/>
        </w:rPr>
        <w:t>身份证复印件</w:t>
      </w:r>
      <w:r>
        <w:rPr>
          <w:rFonts w:hint="eastAsia" w:ascii="宋体" w:hAnsi="宋体" w:eastAsia="宋体" w:cs="宋体"/>
          <w:color w:val="auto"/>
          <w:sz w:val="24"/>
          <w:szCs w:val="24"/>
          <w:highlight w:val="none"/>
        </w:rPr>
        <w:t>；</w:t>
      </w:r>
    </w:p>
    <w:p w14:paraId="1C2F150F">
      <w:pPr>
        <w:adjustRightInd w:val="0"/>
        <w:snapToGrid w:val="0"/>
        <w:spacing w:line="360" w:lineRule="auto"/>
        <w:ind w:firstLine="484" w:firstLineChars="202"/>
        <w:contextualSpacing w:val="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投标人法定代表人（或组织负责人）参加投标的，必须提供身份证明及本人身份证复印件；非法定代表人参加投标的，必须提供法定代表人签字或盖章的授权委托书及法定代表人、被授权人的两人身份证的复印件（格式详见附件</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51A813CB">
      <w:pPr>
        <w:adjustRightInd w:val="0"/>
        <w:snapToGrid w:val="0"/>
        <w:spacing w:line="360" w:lineRule="auto"/>
        <w:ind w:firstLine="484" w:firstLineChars="202"/>
        <w:contextualSpacing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3、关于资格文件的声明函（格式详见附件3）。</w:t>
      </w:r>
    </w:p>
    <w:p w14:paraId="7D6C278A">
      <w:pPr>
        <w:adjustRightInd w:val="0"/>
        <w:snapToGrid w:val="0"/>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未按照以上要求提供相应资料的视为无效投标。</w:t>
      </w:r>
    </w:p>
    <w:p w14:paraId="698D2956">
      <w:pPr>
        <w:numPr>
          <w:ilvl w:val="-1"/>
          <w:numId w:val="0"/>
        </w:numPr>
        <w:adjustRightInd w:val="0"/>
        <w:snapToGrid w:val="0"/>
        <w:spacing w:line="360" w:lineRule="auto"/>
        <w:ind w:firstLine="487" w:firstLineChars="202"/>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B、</w:t>
      </w:r>
      <w:r>
        <w:rPr>
          <w:rFonts w:hint="eastAsia" w:ascii="宋体" w:hAnsi="宋体" w:eastAsia="宋体" w:cs="宋体"/>
          <w:b/>
          <w:bCs/>
          <w:color w:val="auto"/>
          <w:sz w:val="24"/>
          <w:szCs w:val="24"/>
          <w:highlight w:val="none"/>
        </w:rPr>
        <w:t>商务技术标文件</w:t>
      </w:r>
      <w:r>
        <w:rPr>
          <w:rFonts w:hint="eastAsia" w:ascii="宋体" w:hAnsi="宋体" w:eastAsia="宋体" w:cs="宋体"/>
          <w:b/>
          <w:bCs/>
          <w:color w:val="auto"/>
          <w:sz w:val="24"/>
          <w:szCs w:val="24"/>
          <w:highlight w:val="none"/>
        </w:rPr>
        <w:t>（单独装订密封，不能出现报价）</w:t>
      </w:r>
    </w:p>
    <w:p w14:paraId="0FCD9B8E">
      <w:pPr>
        <w:adjustRightInd w:val="0"/>
        <w:snapToGrid w:val="0"/>
        <w:spacing w:line="360" w:lineRule="auto"/>
        <w:ind w:firstLine="484" w:firstLineChars="202"/>
        <w:jc w:val="left"/>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1、投标响应函（</w:t>
      </w:r>
      <w:r>
        <w:rPr>
          <w:rFonts w:hint="eastAsia" w:ascii="宋体" w:hAnsi="宋体" w:eastAsia="宋体" w:cs="宋体"/>
          <w:color w:val="auto"/>
          <w:sz w:val="24"/>
          <w:szCs w:val="24"/>
          <w:highlight w:val="none"/>
        </w:rPr>
        <w:t>格式详见附件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bCs w:val="0"/>
          <w:color w:val="auto"/>
          <w:sz w:val="24"/>
          <w:szCs w:val="24"/>
          <w:highlight w:val="none"/>
        </w:rPr>
        <w:t>）</w:t>
      </w:r>
      <w:r>
        <w:rPr>
          <w:rFonts w:hint="eastAsia" w:ascii="宋体" w:hAnsi="宋体" w:cs="宋体"/>
          <w:bCs w:val="0"/>
          <w:color w:val="auto"/>
          <w:sz w:val="24"/>
          <w:szCs w:val="24"/>
          <w:highlight w:val="none"/>
          <w:lang w:eastAsia="zh-CN"/>
        </w:rPr>
        <w:t>；</w:t>
      </w:r>
    </w:p>
    <w:p w14:paraId="0F53ACD9">
      <w:pPr>
        <w:adjustRightInd w:val="0"/>
        <w:snapToGrid w:val="0"/>
        <w:spacing w:line="360" w:lineRule="auto"/>
        <w:ind w:firstLine="484" w:firstLineChars="202"/>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2、为方便评委评审，请投标人按评标办法中所涉及的事项顺序进行编制，可以补充相关材料（含</w:t>
      </w:r>
      <w:r>
        <w:rPr>
          <w:rFonts w:hint="eastAsia" w:ascii="宋体" w:hAnsi="宋体" w:eastAsia="宋体" w:cs="宋体"/>
          <w:color w:val="auto"/>
          <w:sz w:val="24"/>
          <w:szCs w:val="24"/>
          <w:highlight w:val="none"/>
        </w:rPr>
        <w:t>投标人</w:t>
      </w:r>
      <w:r>
        <w:rPr>
          <w:rFonts w:hint="eastAsia" w:ascii="宋体" w:hAnsi="宋体" w:eastAsia="宋体" w:cs="宋体"/>
          <w:bCs w:val="0"/>
          <w:color w:val="auto"/>
          <w:sz w:val="24"/>
          <w:szCs w:val="24"/>
          <w:highlight w:val="none"/>
        </w:rPr>
        <w:t>一般情况表格式详见附件</w:t>
      </w:r>
      <w:r>
        <w:rPr>
          <w:rFonts w:hint="eastAsia" w:ascii="宋体" w:hAnsi="宋体" w:eastAsia="宋体" w:cs="宋体"/>
          <w:bCs w:val="0"/>
          <w:color w:val="auto"/>
          <w:sz w:val="24"/>
          <w:szCs w:val="24"/>
          <w:highlight w:val="none"/>
          <w:lang w:val="en-US" w:eastAsia="zh-CN"/>
        </w:rPr>
        <w:t>5</w:t>
      </w:r>
      <w:r>
        <w:rPr>
          <w:rFonts w:hint="eastAsia" w:ascii="宋体" w:hAnsi="宋体" w:eastAsia="宋体" w:cs="宋体"/>
          <w:bCs w:val="0"/>
          <w:color w:val="auto"/>
          <w:sz w:val="24"/>
          <w:szCs w:val="24"/>
          <w:highlight w:val="none"/>
        </w:rPr>
        <w:t>）。</w:t>
      </w:r>
    </w:p>
    <w:p w14:paraId="0A7BFA57">
      <w:pPr>
        <w:adjustRightInd w:val="0"/>
        <w:snapToGrid w:val="0"/>
        <w:spacing w:line="360" w:lineRule="auto"/>
        <w:ind w:firstLine="487" w:firstLineChars="202"/>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C、</w:t>
      </w:r>
      <w:r>
        <w:rPr>
          <w:rFonts w:hint="eastAsia" w:ascii="宋体" w:hAnsi="宋体" w:eastAsia="宋体" w:cs="宋体"/>
          <w:b/>
          <w:bCs/>
          <w:color w:val="auto"/>
          <w:sz w:val="24"/>
          <w:szCs w:val="24"/>
          <w:highlight w:val="none"/>
        </w:rPr>
        <w:t>价格标</w:t>
      </w:r>
      <w:r>
        <w:rPr>
          <w:rFonts w:hint="eastAsia" w:ascii="宋体" w:hAnsi="宋体" w:eastAsia="宋体" w:cs="宋体"/>
          <w:b/>
          <w:bCs/>
          <w:color w:val="auto"/>
          <w:sz w:val="24"/>
          <w:szCs w:val="24"/>
          <w:highlight w:val="none"/>
          <w:lang w:val="en-US" w:eastAsia="zh-CN"/>
        </w:rPr>
        <w:t>文件</w:t>
      </w:r>
      <w:r>
        <w:rPr>
          <w:rFonts w:hint="eastAsia" w:ascii="宋体" w:hAnsi="宋体" w:eastAsia="宋体" w:cs="宋体"/>
          <w:b/>
          <w:bCs/>
          <w:color w:val="auto"/>
          <w:sz w:val="24"/>
          <w:szCs w:val="24"/>
          <w:highlight w:val="none"/>
        </w:rPr>
        <w:t>（单独装订密封）</w:t>
      </w:r>
    </w:p>
    <w:p w14:paraId="47665ED5">
      <w:pPr>
        <w:adjustRightInd w:val="0"/>
        <w:snapToGrid w:val="0"/>
        <w:spacing w:line="360" w:lineRule="auto"/>
        <w:ind w:firstLine="484" w:firstLineChars="20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报价总表</w:t>
      </w:r>
      <w:r>
        <w:rPr>
          <w:rFonts w:hint="eastAsia" w:ascii="宋体" w:hAnsi="宋体" w:eastAsia="宋体" w:cs="宋体"/>
          <w:color w:val="auto"/>
          <w:sz w:val="24"/>
          <w:szCs w:val="24"/>
          <w:highlight w:val="none"/>
        </w:rPr>
        <w:t>（格式详见附件</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19C32C26">
      <w:pPr>
        <w:adjustRightInd/>
        <w:snapToGrid/>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2、报价明细表</w:t>
      </w:r>
      <w:r>
        <w:rPr>
          <w:rFonts w:hint="eastAsia" w:ascii="宋体" w:hAnsi="宋体" w:eastAsia="宋体" w:cs="宋体"/>
          <w:color w:val="auto"/>
          <w:sz w:val="24"/>
          <w:szCs w:val="24"/>
          <w:highlight w:val="none"/>
        </w:rPr>
        <w:t>（格式详见附件</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p>
    <w:p w14:paraId="520DD9BC">
      <w:pPr>
        <w:adjustRightInd w:val="0"/>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特别提醒：“资格审查文件”所须提供的材料（须加盖投标人公章或自然人签名）按招标文件要求装订，密封，递交。</w:t>
      </w:r>
    </w:p>
    <w:p w14:paraId="6B787B74">
      <w:pPr>
        <w:tabs>
          <w:tab w:val="left" w:pos="2020"/>
          <w:tab w:val="center" w:pos="4535"/>
        </w:tabs>
        <w:ind w:firstLine="240" w:firstLineChars="100"/>
        <w:rPr>
          <w:rFonts w:hint="eastAsia" w:ascii="宋体" w:hAnsi="宋体" w:eastAsia="宋体" w:cs="宋体"/>
          <w:color w:val="auto"/>
          <w:sz w:val="24"/>
          <w:highlight w:val="none"/>
        </w:rPr>
      </w:pPr>
    </w:p>
    <w:p w14:paraId="37A5FFB9">
      <w:pPr>
        <w:pStyle w:val="10"/>
        <w:rPr>
          <w:rFonts w:hint="eastAsia" w:ascii="宋体" w:hAnsi="宋体" w:eastAsia="宋体" w:cs="宋体"/>
          <w:color w:val="auto"/>
          <w:sz w:val="24"/>
          <w:highlight w:val="none"/>
        </w:rPr>
      </w:pPr>
    </w:p>
    <w:p w14:paraId="19C331F0">
      <w:pPr>
        <w:rPr>
          <w:rFonts w:hint="eastAsia" w:ascii="宋体" w:hAnsi="宋体" w:eastAsia="宋体" w:cs="宋体"/>
          <w:color w:val="auto"/>
          <w:sz w:val="24"/>
          <w:highlight w:val="none"/>
        </w:rPr>
      </w:pPr>
    </w:p>
    <w:p w14:paraId="0C5B741C">
      <w:pPr>
        <w:pStyle w:val="10"/>
        <w:rPr>
          <w:rFonts w:hint="eastAsia" w:ascii="宋体" w:hAnsi="宋体" w:eastAsia="宋体" w:cs="宋体"/>
          <w:color w:val="auto"/>
          <w:sz w:val="24"/>
          <w:highlight w:val="none"/>
        </w:rPr>
      </w:pPr>
    </w:p>
    <w:p w14:paraId="0C14ABDD">
      <w:pPr>
        <w:rPr>
          <w:rFonts w:hint="eastAsia" w:ascii="宋体" w:hAnsi="宋体" w:eastAsia="宋体" w:cs="宋体"/>
          <w:color w:val="auto"/>
          <w:sz w:val="24"/>
          <w:highlight w:val="none"/>
        </w:rPr>
      </w:pPr>
    </w:p>
    <w:p w14:paraId="5BAF8AA3">
      <w:pPr>
        <w:pStyle w:val="10"/>
        <w:rPr>
          <w:rFonts w:hint="eastAsia" w:ascii="宋体" w:hAnsi="宋体" w:eastAsia="宋体" w:cs="宋体"/>
          <w:color w:val="auto"/>
          <w:sz w:val="24"/>
          <w:highlight w:val="none"/>
        </w:rPr>
      </w:pPr>
    </w:p>
    <w:p w14:paraId="52A39993">
      <w:pPr>
        <w:rPr>
          <w:rFonts w:hint="eastAsia" w:ascii="宋体" w:hAnsi="宋体" w:eastAsia="宋体" w:cs="宋体"/>
          <w:color w:val="auto"/>
        </w:rPr>
      </w:pPr>
    </w:p>
    <w:p w14:paraId="3893BD6B">
      <w:pPr>
        <w:tabs>
          <w:tab w:val="left" w:pos="2020"/>
          <w:tab w:val="center" w:pos="4535"/>
        </w:tabs>
        <w:ind w:firstLine="240" w:firstLineChars="100"/>
        <w:rPr>
          <w:rFonts w:hint="eastAsia" w:ascii="宋体" w:hAnsi="宋体" w:eastAsia="宋体" w:cs="宋体"/>
          <w:color w:val="auto"/>
          <w:sz w:val="24"/>
          <w:highlight w:val="none"/>
        </w:rPr>
      </w:pPr>
    </w:p>
    <w:p w14:paraId="4D54BA9A">
      <w:pPr>
        <w:spacing w:line="360" w:lineRule="auto"/>
        <w:jc w:val="center"/>
        <w:rPr>
          <w:rFonts w:hint="eastAsia" w:ascii="宋体" w:hAnsi="宋体" w:eastAsia="宋体" w:cs="宋体"/>
          <w:b/>
          <w:color w:val="auto"/>
          <w:w w:val="80"/>
          <w:sz w:val="56"/>
          <w:szCs w:val="72"/>
          <w:highlight w:val="none"/>
          <w:lang w:val="en-US" w:eastAsia="zh-CN"/>
        </w:rPr>
      </w:pPr>
    </w:p>
    <w:p w14:paraId="5677E952">
      <w:pPr>
        <w:spacing w:line="360" w:lineRule="auto"/>
        <w:jc w:val="center"/>
        <w:rPr>
          <w:rFonts w:hint="eastAsia" w:ascii="宋体" w:hAnsi="宋体" w:eastAsia="宋体" w:cs="宋体"/>
          <w:b/>
          <w:color w:val="auto"/>
          <w:w w:val="80"/>
          <w:sz w:val="56"/>
          <w:szCs w:val="72"/>
          <w:highlight w:val="none"/>
          <w:lang w:val="en-US" w:eastAsia="zh-CN"/>
        </w:rPr>
      </w:pPr>
      <w:r>
        <w:rPr>
          <w:rFonts w:hint="eastAsia" w:ascii="宋体" w:hAnsi="宋体" w:eastAsia="宋体" w:cs="宋体"/>
          <w:b/>
          <w:color w:val="auto"/>
          <w:w w:val="80"/>
          <w:sz w:val="56"/>
          <w:szCs w:val="72"/>
          <w:highlight w:val="none"/>
          <w:lang w:val="en-US" w:eastAsia="zh-CN"/>
        </w:rPr>
        <w:t>封面</w:t>
      </w:r>
    </w:p>
    <w:p w14:paraId="004FA7B7">
      <w:pPr>
        <w:spacing w:line="360" w:lineRule="auto"/>
        <w:jc w:val="center"/>
        <w:rPr>
          <w:rFonts w:hint="eastAsia" w:ascii="宋体" w:hAnsi="宋体" w:eastAsia="宋体" w:cs="宋体"/>
          <w:b/>
          <w:color w:val="auto"/>
          <w:w w:val="80"/>
          <w:sz w:val="56"/>
          <w:szCs w:val="72"/>
          <w:highlight w:val="none"/>
          <w:lang w:val="en-US" w:eastAsia="zh-CN"/>
        </w:rPr>
      </w:pPr>
    </w:p>
    <w:p w14:paraId="6A4F737C">
      <w:pPr>
        <w:spacing w:line="360" w:lineRule="auto"/>
        <w:jc w:val="center"/>
        <w:rPr>
          <w:rFonts w:hint="eastAsia" w:ascii="宋体" w:hAnsi="宋体" w:eastAsia="宋体" w:cs="宋体"/>
          <w:b/>
          <w:color w:val="auto"/>
          <w:w w:val="80"/>
          <w:sz w:val="56"/>
          <w:szCs w:val="72"/>
          <w:highlight w:val="none"/>
        </w:rPr>
      </w:pPr>
      <w:r>
        <w:rPr>
          <w:rFonts w:hint="eastAsia" w:ascii="宋体" w:hAnsi="宋体" w:eastAsia="宋体" w:cs="宋体"/>
          <w:b/>
          <w:color w:val="auto"/>
          <w:w w:val="80"/>
          <w:sz w:val="56"/>
          <w:szCs w:val="72"/>
          <w:highlight w:val="none"/>
          <w:lang w:eastAsia="zh-CN"/>
        </w:rPr>
        <w:t>202</w:t>
      </w:r>
      <w:r>
        <w:rPr>
          <w:rFonts w:hint="eastAsia" w:ascii="宋体" w:hAnsi="宋体" w:eastAsia="宋体" w:cs="宋体"/>
          <w:b/>
          <w:color w:val="auto"/>
          <w:w w:val="80"/>
          <w:sz w:val="56"/>
          <w:szCs w:val="72"/>
          <w:highlight w:val="none"/>
          <w:lang w:val="en-US" w:eastAsia="zh-CN"/>
        </w:rPr>
        <w:t>5</w:t>
      </w:r>
      <w:r>
        <w:rPr>
          <w:rFonts w:hint="eastAsia" w:ascii="宋体" w:hAnsi="宋体" w:eastAsia="宋体" w:cs="宋体"/>
          <w:b/>
          <w:color w:val="auto"/>
          <w:w w:val="80"/>
          <w:sz w:val="56"/>
          <w:szCs w:val="72"/>
          <w:highlight w:val="none"/>
          <w:lang w:eastAsia="zh-CN"/>
        </w:rPr>
        <w:t>年崇川区绿地儿童游乐设施采购项目</w:t>
      </w:r>
    </w:p>
    <w:p w14:paraId="72766842">
      <w:pPr>
        <w:widowControl/>
        <w:snapToGrid w:val="0"/>
        <w:spacing w:line="520" w:lineRule="exact"/>
        <w:jc w:val="center"/>
        <w:textAlignment w:val="baseline"/>
        <w:rPr>
          <w:rFonts w:hint="eastAsia" w:ascii="宋体" w:hAnsi="宋体" w:eastAsia="宋体" w:cs="宋体"/>
          <w:color w:val="auto"/>
          <w:sz w:val="28"/>
          <w:szCs w:val="28"/>
          <w:highlight w:val="none"/>
        </w:rPr>
      </w:pPr>
    </w:p>
    <w:p w14:paraId="6B1FC15D">
      <w:pPr>
        <w:widowControl/>
        <w:snapToGrid w:val="0"/>
        <w:spacing w:line="520" w:lineRule="exact"/>
        <w:ind w:firstLine="560" w:firstLineChars="200"/>
        <w:jc w:val="center"/>
        <w:textAlignment w:val="baseline"/>
        <w:rPr>
          <w:rFonts w:hint="eastAsia" w:ascii="宋体" w:hAnsi="宋体" w:eastAsia="宋体" w:cs="宋体"/>
          <w:color w:val="auto"/>
          <w:sz w:val="28"/>
          <w:szCs w:val="28"/>
          <w:highlight w:val="none"/>
        </w:rPr>
      </w:pPr>
    </w:p>
    <w:p w14:paraId="29C0F572">
      <w:pPr>
        <w:widowControl/>
        <w:snapToGrid w:val="0"/>
        <w:spacing w:line="600" w:lineRule="exact"/>
        <w:jc w:val="center"/>
        <w:textAlignment w:val="baseline"/>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投标文件</w:t>
      </w:r>
    </w:p>
    <w:p w14:paraId="563AFE98">
      <w:pPr>
        <w:widowControl/>
        <w:snapToGrid w:val="0"/>
        <w:spacing w:line="600" w:lineRule="exact"/>
        <w:ind w:firstLine="723" w:firstLineChars="200"/>
        <w:jc w:val="center"/>
        <w:textAlignment w:val="baseline"/>
        <w:rPr>
          <w:rFonts w:hint="eastAsia" w:ascii="宋体" w:hAnsi="宋体" w:eastAsia="宋体" w:cs="宋体"/>
          <w:b/>
          <w:color w:val="auto"/>
          <w:sz w:val="36"/>
          <w:szCs w:val="36"/>
          <w:highlight w:val="none"/>
        </w:rPr>
      </w:pPr>
    </w:p>
    <w:p w14:paraId="5A11E05A">
      <w:pPr>
        <w:widowControl/>
        <w:snapToGrid w:val="0"/>
        <w:spacing w:line="600" w:lineRule="exact"/>
        <w:ind w:firstLine="723" w:firstLineChars="200"/>
        <w:jc w:val="center"/>
        <w:textAlignment w:val="baseline"/>
        <w:rPr>
          <w:rFonts w:hint="eastAsia" w:ascii="宋体" w:hAnsi="宋体" w:eastAsia="宋体" w:cs="宋体"/>
          <w:b/>
          <w:color w:val="auto"/>
          <w:sz w:val="36"/>
          <w:szCs w:val="36"/>
          <w:highlight w:val="none"/>
        </w:rPr>
      </w:pPr>
    </w:p>
    <w:p w14:paraId="7B91E0F1">
      <w:pPr>
        <w:rPr>
          <w:rFonts w:hint="eastAsia" w:ascii="宋体" w:hAnsi="宋体" w:eastAsia="宋体" w:cs="宋体"/>
          <w:b/>
          <w:bCs w:val="0"/>
          <w:color w:val="auto"/>
          <w:sz w:val="24"/>
        </w:rPr>
      </w:pPr>
      <w:r>
        <w:rPr>
          <w:rFonts w:hint="eastAsia" w:ascii="宋体" w:hAnsi="宋体" w:eastAsia="宋体" w:cs="宋体"/>
          <w:color w:val="auto"/>
          <w:sz w:val="24"/>
          <w:highlight w:val="none"/>
        </w:rPr>
        <w:t>对应</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，在该处分别相应填写：</w:t>
      </w:r>
      <w:r>
        <w:rPr>
          <w:rFonts w:hint="eastAsia" w:ascii="宋体" w:hAnsi="宋体" w:eastAsia="宋体" w:cs="宋体"/>
          <w:b/>
          <w:color w:val="auto"/>
          <w:sz w:val="24"/>
        </w:rPr>
        <w:t>资格审查文件</w:t>
      </w:r>
      <w:r>
        <w:rPr>
          <w:rFonts w:hint="eastAsia" w:ascii="宋体" w:hAnsi="宋体" w:eastAsia="宋体" w:cs="宋体"/>
          <w:b/>
          <w:bCs w:val="0"/>
          <w:color w:val="auto"/>
          <w:sz w:val="24"/>
        </w:rPr>
        <w:t>、</w:t>
      </w:r>
    </w:p>
    <w:p w14:paraId="627C6FE1">
      <w:pPr>
        <w:ind w:firstLine="0" w:firstLineChars="0"/>
        <w:jc w:val="center"/>
        <w:rPr>
          <w:rFonts w:hint="eastAsia" w:ascii="宋体" w:hAnsi="宋体" w:eastAsia="宋体" w:cs="宋体"/>
          <w:b/>
          <w:color w:val="auto"/>
          <w:sz w:val="24"/>
          <w:lang w:eastAsia="zh-CN"/>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商务技术标文件</w:t>
      </w:r>
      <w:r>
        <w:rPr>
          <w:rFonts w:hint="eastAsia" w:ascii="宋体" w:hAnsi="宋体" w:eastAsia="宋体" w:cs="宋体"/>
          <w:b/>
          <w:color w:val="auto"/>
          <w:sz w:val="24"/>
          <w:lang w:eastAsia="zh-CN"/>
        </w:rPr>
        <w:t>、</w:t>
      </w:r>
    </w:p>
    <w:p w14:paraId="02067A4F">
      <w:pPr>
        <w:ind w:firstLine="0" w:firstLineChars="0"/>
        <w:jc w:val="center"/>
        <w:rPr>
          <w:rFonts w:hint="eastAsia" w:ascii="宋体" w:hAnsi="宋体" w:eastAsia="宋体" w:cs="宋体"/>
          <w:b/>
          <w:color w:val="auto"/>
          <w:sz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价格标文件</w:t>
      </w:r>
    </w:p>
    <w:p w14:paraId="7ABE5FC7">
      <w:pPr>
        <w:widowControl/>
        <w:snapToGrid w:val="0"/>
        <w:spacing w:line="420" w:lineRule="exact"/>
        <w:jc w:val="center"/>
        <w:textAlignment w:val="baseline"/>
        <w:rPr>
          <w:rFonts w:hint="eastAsia" w:ascii="宋体" w:hAnsi="宋体" w:eastAsia="宋体" w:cs="宋体"/>
          <w:color w:val="auto"/>
          <w:sz w:val="24"/>
          <w:highlight w:val="none"/>
          <w:lang w:eastAsia="zh-CN"/>
        </w:rPr>
      </w:pPr>
    </w:p>
    <w:p w14:paraId="3408B724">
      <w:pPr>
        <w:widowControl/>
        <w:snapToGrid w:val="0"/>
        <w:spacing w:line="420" w:lineRule="exact"/>
        <w:jc w:val="center"/>
        <w:textAlignment w:val="baseline"/>
        <w:rPr>
          <w:rFonts w:hint="eastAsia" w:ascii="宋体" w:hAnsi="宋体" w:eastAsia="宋体" w:cs="宋体"/>
          <w:color w:val="auto"/>
          <w:sz w:val="24"/>
          <w:highlight w:val="none"/>
        </w:rPr>
      </w:pPr>
    </w:p>
    <w:p w14:paraId="76018BAF">
      <w:pPr>
        <w:widowControl/>
        <w:snapToGrid w:val="0"/>
        <w:spacing w:line="420" w:lineRule="exact"/>
        <w:jc w:val="center"/>
        <w:textAlignment w:val="baseline"/>
        <w:rPr>
          <w:rFonts w:hint="eastAsia" w:ascii="宋体" w:hAnsi="宋体" w:eastAsia="宋体" w:cs="宋体"/>
          <w:color w:val="auto"/>
          <w:sz w:val="24"/>
          <w:highlight w:val="none"/>
        </w:rPr>
      </w:pPr>
    </w:p>
    <w:p w14:paraId="6BEB728E">
      <w:pPr>
        <w:widowControl/>
        <w:snapToGrid w:val="0"/>
        <w:spacing w:line="42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（资格后审）</w:t>
      </w:r>
    </w:p>
    <w:p w14:paraId="2568EFE4">
      <w:pPr>
        <w:widowControl/>
        <w:snapToGrid w:val="0"/>
        <w:spacing w:line="420" w:lineRule="exact"/>
        <w:ind w:firstLine="480" w:firstLineChars="200"/>
        <w:jc w:val="center"/>
        <w:textAlignment w:val="baseline"/>
        <w:rPr>
          <w:rFonts w:hint="eastAsia" w:ascii="宋体" w:hAnsi="宋体" w:eastAsia="宋体" w:cs="宋体"/>
          <w:color w:val="auto"/>
          <w:sz w:val="24"/>
          <w:highlight w:val="none"/>
        </w:rPr>
      </w:pPr>
    </w:p>
    <w:p w14:paraId="514094AB">
      <w:pPr>
        <w:widowControl/>
        <w:snapToGrid w:val="0"/>
        <w:spacing w:line="420" w:lineRule="exact"/>
        <w:jc w:val="center"/>
        <w:textAlignment w:val="baseline"/>
        <w:rPr>
          <w:rFonts w:hint="eastAsia" w:ascii="宋体" w:hAnsi="宋体" w:eastAsia="宋体" w:cs="宋体"/>
          <w:color w:val="auto"/>
          <w:sz w:val="24"/>
          <w:highlight w:val="none"/>
        </w:rPr>
      </w:pPr>
    </w:p>
    <w:p w14:paraId="447BAAF0">
      <w:pPr>
        <w:widowControl/>
        <w:snapToGrid w:val="0"/>
        <w:spacing w:line="420" w:lineRule="exact"/>
        <w:jc w:val="center"/>
        <w:textAlignment w:val="baseline"/>
        <w:rPr>
          <w:rFonts w:hint="eastAsia" w:ascii="宋体" w:hAnsi="宋体" w:eastAsia="宋体" w:cs="宋体"/>
          <w:color w:val="auto"/>
          <w:sz w:val="24"/>
          <w:highlight w:val="none"/>
        </w:rPr>
      </w:pPr>
    </w:p>
    <w:p w14:paraId="7517C107">
      <w:pPr>
        <w:widowControl/>
        <w:snapToGrid w:val="0"/>
        <w:spacing w:line="420" w:lineRule="exact"/>
        <w:jc w:val="center"/>
        <w:textAlignment w:val="baseline"/>
        <w:rPr>
          <w:rFonts w:hint="eastAsia" w:ascii="宋体" w:hAnsi="宋体" w:eastAsia="宋体" w:cs="宋体"/>
          <w:color w:val="auto"/>
          <w:sz w:val="24"/>
          <w:highlight w:val="none"/>
        </w:rPr>
      </w:pPr>
    </w:p>
    <w:p w14:paraId="1785BB73">
      <w:pPr>
        <w:widowControl/>
        <w:snapToGrid w:val="0"/>
        <w:spacing w:line="420" w:lineRule="exact"/>
        <w:jc w:val="center"/>
        <w:textAlignment w:val="baseline"/>
        <w:rPr>
          <w:rFonts w:hint="eastAsia" w:ascii="宋体" w:hAnsi="宋体" w:eastAsia="宋体" w:cs="宋体"/>
          <w:color w:val="auto"/>
          <w:sz w:val="24"/>
          <w:highlight w:val="none"/>
        </w:rPr>
      </w:pPr>
    </w:p>
    <w:p w14:paraId="7820A464">
      <w:pPr>
        <w:widowControl/>
        <w:snapToGrid w:val="0"/>
        <w:spacing w:line="420" w:lineRule="exact"/>
        <w:jc w:val="center"/>
        <w:textAlignment w:val="baseline"/>
        <w:rPr>
          <w:rFonts w:hint="eastAsia" w:ascii="宋体" w:hAnsi="宋体" w:eastAsia="宋体" w:cs="宋体"/>
          <w:color w:val="auto"/>
          <w:sz w:val="24"/>
          <w:highlight w:val="none"/>
        </w:rPr>
      </w:pPr>
    </w:p>
    <w:p w14:paraId="7E142C7E">
      <w:pPr>
        <w:widowControl/>
        <w:snapToGrid w:val="0"/>
        <w:spacing w:line="420" w:lineRule="exact"/>
        <w:jc w:val="center"/>
        <w:textAlignment w:val="baseline"/>
        <w:rPr>
          <w:rFonts w:hint="eastAsia" w:ascii="宋体" w:hAnsi="宋体" w:eastAsia="宋体" w:cs="宋体"/>
          <w:color w:val="auto"/>
          <w:sz w:val="24"/>
          <w:highlight w:val="none"/>
        </w:rPr>
      </w:pPr>
    </w:p>
    <w:p w14:paraId="15D9B5B5">
      <w:pPr>
        <w:widowControl/>
        <w:snapToGrid w:val="0"/>
        <w:spacing w:line="420" w:lineRule="exact"/>
        <w:jc w:val="center"/>
        <w:textAlignment w:val="baseline"/>
        <w:rPr>
          <w:rFonts w:hint="eastAsia" w:ascii="宋体" w:hAnsi="宋体" w:eastAsia="宋体" w:cs="宋体"/>
          <w:color w:val="auto"/>
          <w:sz w:val="24"/>
          <w:highlight w:val="none"/>
        </w:rPr>
      </w:pPr>
    </w:p>
    <w:p w14:paraId="1524E50D">
      <w:pPr>
        <w:widowControl/>
        <w:snapToGrid w:val="0"/>
        <w:spacing w:line="420" w:lineRule="exact"/>
        <w:jc w:val="center"/>
        <w:textAlignment w:val="baseline"/>
        <w:rPr>
          <w:rFonts w:hint="eastAsia" w:ascii="宋体" w:hAnsi="宋体" w:eastAsia="宋体" w:cs="宋体"/>
          <w:color w:val="auto"/>
          <w:sz w:val="24"/>
          <w:highlight w:val="none"/>
        </w:rPr>
      </w:pPr>
    </w:p>
    <w:p w14:paraId="21D2F038">
      <w:pPr>
        <w:widowControl/>
        <w:snapToGrid w:val="0"/>
        <w:spacing w:line="42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响应供应商：响应供应商全称</w:t>
      </w:r>
    </w:p>
    <w:p w14:paraId="001D9467">
      <w:pPr>
        <w:widowControl/>
        <w:snapToGrid w:val="0"/>
        <w:spacing w:line="42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二〇二</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年  月  日</w:t>
      </w:r>
    </w:p>
    <w:p w14:paraId="21838D7E">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4A83110">
      <w:pPr>
        <w:adjustRightInd w:val="0"/>
        <w:snapToGrid w:val="0"/>
        <w:spacing w:line="520" w:lineRule="exact"/>
        <w:jc w:val="left"/>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p>
    <w:p w14:paraId="092C6C4A">
      <w:pPr>
        <w:snapToGrid w:val="0"/>
        <w:spacing w:line="520" w:lineRule="exact"/>
        <w:jc w:val="center"/>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1、单位负责人身份证明书</w:t>
      </w:r>
    </w:p>
    <w:p w14:paraId="4E622B87">
      <w:pPr>
        <w:snapToGrid w:val="0"/>
        <w:spacing w:line="520" w:lineRule="exact"/>
        <w:jc w:val="center"/>
        <w:outlineLvl w:val="4"/>
        <w:rPr>
          <w:rFonts w:hint="eastAsia" w:ascii="宋体" w:hAnsi="宋体" w:eastAsia="宋体" w:cs="宋体"/>
          <w:b/>
          <w:bCs/>
          <w:color w:val="auto"/>
          <w:sz w:val="28"/>
          <w:szCs w:val="28"/>
          <w:highlight w:val="none"/>
        </w:rPr>
      </w:pPr>
    </w:p>
    <w:p w14:paraId="435EF695">
      <w:pPr>
        <w:snapToGrid w:val="0"/>
        <w:spacing w:line="520" w:lineRule="exact"/>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（自然人以外的投标人参加投标时，须出示此证明）</w:t>
      </w:r>
    </w:p>
    <w:p w14:paraId="4937F48E">
      <w:pPr>
        <w:snapToGrid w:val="0"/>
        <w:spacing w:line="520" w:lineRule="exact"/>
        <w:jc w:val="center"/>
        <w:rPr>
          <w:rFonts w:hint="eastAsia" w:ascii="宋体" w:hAnsi="宋体" w:eastAsia="宋体" w:cs="宋体"/>
          <w:color w:val="auto"/>
          <w:sz w:val="28"/>
          <w:szCs w:val="28"/>
          <w:highlight w:val="none"/>
        </w:rPr>
      </w:pPr>
    </w:p>
    <w:p w14:paraId="57272638">
      <w:pPr>
        <w:tabs>
          <w:tab w:val="left" w:pos="7608"/>
          <w:tab w:val="left" w:pos="8088"/>
        </w:tabs>
        <w:autoSpaceDE w:val="0"/>
        <w:autoSpaceDN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0AB9C66C">
      <w:pPr>
        <w:tabs>
          <w:tab w:val="left" w:pos="7608"/>
          <w:tab w:val="left" w:pos="8088"/>
        </w:tabs>
        <w:autoSpaceDE w:val="0"/>
        <w:autoSpaceDN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17B2A411">
      <w:pPr>
        <w:tabs>
          <w:tab w:val="left" w:pos="7608"/>
          <w:tab w:val="left" w:pos="8088"/>
        </w:tabs>
        <w:autoSpaceDE w:val="0"/>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19ED23FE">
      <w:pPr>
        <w:tabs>
          <w:tab w:val="left" w:pos="2868"/>
          <w:tab w:val="left" w:pos="3948"/>
          <w:tab w:val="left" w:pos="5028"/>
        </w:tabs>
        <w:autoSpaceDE w:val="0"/>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2FCA2C97">
      <w:pPr>
        <w:tabs>
          <w:tab w:val="left" w:pos="8208"/>
        </w:tabs>
        <w:autoSpaceDE w:val="0"/>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367C7D2F">
      <w:pPr>
        <w:tabs>
          <w:tab w:val="left" w:pos="1908"/>
          <w:tab w:val="left" w:pos="2208"/>
          <w:tab w:val="left" w:pos="5388"/>
          <w:tab w:val="left" w:pos="9048"/>
        </w:tabs>
        <w:autoSpaceDE w:val="0"/>
        <w:autoSpaceDN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73FF7061">
      <w:pPr>
        <w:tabs>
          <w:tab w:val="left" w:pos="1908"/>
          <w:tab w:val="left" w:pos="2208"/>
          <w:tab w:val="left" w:pos="5388"/>
          <w:tab w:val="left" w:pos="9048"/>
        </w:tabs>
        <w:autoSpaceDE w:val="0"/>
        <w:autoSpaceDN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7C70A56E">
      <w:pPr>
        <w:tabs>
          <w:tab w:val="left" w:pos="1908"/>
          <w:tab w:val="left" w:pos="2208"/>
          <w:tab w:val="left" w:pos="5388"/>
          <w:tab w:val="left" w:pos="9048"/>
        </w:tabs>
        <w:autoSpaceDE w:val="0"/>
        <w:autoSpaceDN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联系电话（手机）：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14:paraId="62F18D70">
      <w:pPr>
        <w:tabs>
          <w:tab w:val="left" w:pos="1908"/>
          <w:tab w:val="left" w:pos="2208"/>
          <w:tab w:val="left" w:pos="5388"/>
          <w:tab w:val="left" w:pos="9048"/>
        </w:tabs>
        <w:autoSpaceDE w:val="0"/>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（投标人单位名称）</w:t>
      </w:r>
      <w:r>
        <w:rPr>
          <w:rFonts w:hint="eastAsia" w:ascii="宋体" w:hAnsi="宋体" w:eastAsia="宋体" w:cs="宋体"/>
          <w:color w:val="auto"/>
          <w:sz w:val="24"/>
          <w:szCs w:val="24"/>
          <w:highlight w:val="none"/>
        </w:rPr>
        <w:t>的法定代表人（或其他组织负责人）。</w:t>
      </w:r>
    </w:p>
    <w:p w14:paraId="57A52466">
      <w:pPr>
        <w:autoSpaceDE w:val="0"/>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bookmarkStart w:id="8" w:name="_GoBack"/>
      <w:bookmarkEnd w:id="8"/>
    </w:p>
    <w:p w14:paraId="085F4D7D">
      <w:pPr>
        <w:tabs>
          <w:tab w:val="left" w:pos="2148"/>
          <w:tab w:val="left" w:pos="3108"/>
          <w:tab w:val="left" w:pos="3588"/>
          <w:tab w:val="left" w:pos="3948"/>
        </w:tabs>
        <w:autoSpaceDE w:val="0"/>
        <w:autoSpaceDN w:val="0"/>
        <w:spacing w:line="360" w:lineRule="auto"/>
        <w:jc w:val="left"/>
        <w:rPr>
          <w:rFonts w:hint="eastAsia" w:ascii="宋体" w:hAnsi="宋体" w:eastAsia="宋体" w:cs="宋体"/>
          <w:color w:val="auto"/>
          <w:sz w:val="24"/>
          <w:szCs w:val="24"/>
          <w:highlight w:val="none"/>
        </w:rPr>
      </w:pPr>
    </w:p>
    <w:p w14:paraId="7EF6AA60">
      <w:pPr>
        <w:tabs>
          <w:tab w:val="left" w:pos="2148"/>
          <w:tab w:val="left" w:pos="3108"/>
          <w:tab w:val="left" w:pos="3588"/>
          <w:tab w:val="left" w:pos="3948"/>
        </w:tabs>
        <w:autoSpaceDE w:val="0"/>
        <w:autoSpaceDN w:val="0"/>
        <w:spacing w:line="360" w:lineRule="auto"/>
        <w:jc w:val="left"/>
        <w:rPr>
          <w:rFonts w:hint="eastAsia" w:ascii="宋体" w:hAnsi="宋体" w:eastAsia="宋体" w:cs="宋体"/>
          <w:color w:val="auto"/>
          <w:spacing w:val="-17"/>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（盖章</w:t>
      </w:r>
      <w:r>
        <w:rPr>
          <w:rFonts w:hint="eastAsia" w:ascii="宋体" w:hAnsi="宋体" w:eastAsia="宋体" w:cs="宋体"/>
          <w:color w:val="auto"/>
          <w:spacing w:val="-17"/>
          <w:sz w:val="24"/>
          <w:szCs w:val="24"/>
          <w:highlight w:val="none"/>
        </w:rPr>
        <w:t xml:space="preserve">） </w:t>
      </w:r>
    </w:p>
    <w:p w14:paraId="5CB4A9ED">
      <w:pPr>
        <w:tabs>
          <w:tab w:val="left" w:pos="2148"/>
          <w:tab w:val="left" w:pos="3108"/>
          <w:tab w:val="left" w:pos="3588"/>
          <w:tab w:val="left" w:pos="3948"/>
        </w:tabs>
        <w:autoSpaceDE w:val="0"/>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14:paraId="0A95C582">
      <w:pPr>
        <w:autoSpaceDE w:val="0"/>
        <w:autoSpaceDN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附：身份证复印件</w:t>
      </w:r>
    </w:p>
    <w:p w14:paraId="7D2945B8">
      <w:pPr>
        <w:autoSpaceDE w:val="0"/>
        <w:autoSpaceDN w:val="0"/>
        <w:jc w:val="left"/>
        <w:rPr>
          <w:rFonts w:hint="eastAsia" w:ascii="宋体" w:hAnsi="宋体" w:eastAsia="宋体" w:cs="宋体"/>
          <w:color w:val="auto"/>
          <w:sz w:val="24"/>
          <w:szCs w:val="24"/>
          <w:highlight w:val="none"/>
        </w:rPr>
      </w:pPr>
    </w:p>
    <w:p w14:paraId="038E8546">
      <w:pPr>
        <w:pStyle w:val="10"/>
        <w:rPr>
          <w:rFonts w:hint="eastAsia" w:ascii="宋体" w:hAnsi="宋体" w:eastAsia="宋体" w:cs="宋体"/>
          <w:color w:val="auto"/>
          <w:highlight w:val="none"/>
        </w:rPr>
      </w:pPr>
    </w:p>
    <w:p w14:paraId="2F036D38">
      <w:pPr>
        <w:rPr>
          <w:rFonts w:hint="eastAsia" w:ascii="宋体" w:hAnsi="宋体" w:eastAsia="宋体" w:cs="宋体"/>
          <w:color w:val="auto"/>
          <w:sz w:val="24"/>
          <w:szCs w:val="24"/>
          <w:highlight w:val="none"/>
        </w:rPr>
      </w:pPr>
    </w:p>
    <w:p w14:paraId="6DE13866">
      <w:pPr>
        <w:pStyle w:val="10"/>
        <w:rPr>
          <w:rFonts w:hint="eastAsia" w:ascii="宋体" w:hAnsi="宋体" w:eastAsia="宋体" w:cs="宋体"/>
          <w:color w:val="auto"/>
          <w:highlight w:val="none"/>
        </w:rPr>
      </w:pPr>
    </w:p>
    <w:p w14:paraId="303760FC">
      <w:pPr>
        <w:rPr>
          <w:rFonts w:hint="eastAsia" w:ascii="宋体" w:hAnsi="宋体" w:eastAsia="宋体" w:cs="宋体"/>
          <w:color w:val="auto"/>
          <w:sz w:val="24"/>
          <w:szCs w:val="24"/>
          <w:highlight w:val="none"/>
        </w:rPr>
      </w:pPr>
    </w:p>
    <w:p w14:paraId="0E2E4549">
      <w:pPr>
        <w:pStyle w:val="10"/>
        <w:rPr>
          <w:rFonts w:hint="eastAsia" w:ascii="宋体" w:hAnsi="宋体" w:eastAsia="宋体" w:cs="宋体"/>
          <w:color w:val="auto"/>
          <w:highlight w:val="none"/>
        </w:rPr>
      </w:pPr>
    </w:p>
    <w:p w14:paraId="1747557C">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如为法定代表人或其他组织负责人参加投标时，须将身份证原件带至开标现场备查。</w:t>
      </w:r>
    </w:p>
    <w:p w14:paraId="77B9D78A">
      <w:pPr>
        <w:rPr>
          <w:rFonts w:hint="eastAsia" w:ascii="宋体" w:hAnsi="宋体" w:eastAsia="宋体" w:cs="宋体"/>
          <w:color w:val="auto"/>
          <w:highlight w:val="none"/>
        </w:rPr>
        <w:sectPr>
          <w:footerReference r:id="rId3" w:type="default"/>
          <w:pgSz w:w="11910" w:h="16840"/>
          <w:pgMar w:top="1300" w:right="1468" w:bottom="1360" w:left="1440" w:header="720" w:footer="720" w:gutter="0"/>
          <w:pgNumType w:fmt="decimal" w:start="1"/>
          <w:cols w:space="720" w:num="1"/>
        </w:sectPr>
      </w:pPr>
    </w:p>
    <w:p w14:paraId="11534CA9">
      <w:pPr>
        <w:snapToGrid w:val="0"/>
        <w:spacing w:line="520" w:lineRule="exact"/>
        <w:jc w:val="center"/>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2、授权委托书</w:t>
      </w:r>
    </w:p>
    <w:p w14:paraId="5977741D">
      <w:pPr>
        <w:snapToGrid w:val="0"/>
        <w:spacing w:line="520" w:lineRule="exact"/>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（被授权人参加投标时，须出示此证明）</w:t>
      </w:r>
    </w:p>
    <w:p w14:paraId="63DD7145">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u w:val="single"/>
          <w:lang w:eastAsia="zh-CN"/>
        </w:rPr>
        <w:t>南通市崇川区城市工程建设管理中心</w:t>
      </w:r>
      <w:r>
        <w:rPr>
          <w:rFonts w:hint="eastAsia" w:ascii="宋体" w:hAnsi="宋体" w:eastAsia="宋体" w:cs="宋体"/>
          <w:color w:val="auto"/>
          <w:sz w:val="24"/>
          <w:szCs w:val="24"/>
          <w:highlight w:val="none"/>
        </w:rPr>
        <w:t>：</w:t>
      </w:r>
    </w:p>
    <w:p w14:paraId="64711946">
      <w:pPr>
        <w:snapToGrid w:val="0"/>
        <w:spacing w:line="52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被授权人的姓名）代表我公司参加</w:t>
      </w:r>
      <w:r>
        <w:rPr>
          <w:rFonts w:hint="eastAsia" w:ascii="宋体" w:hAnsi="宋体" w:eastAsia="宋体" w:cs="宋体"/>
          <w:color w:val="auto"/>
          <w:sz w:val="24"/>
          <w:szCs w:val="24"/>
          <w:highlight w:val="none"/>
          <w:u w:val="single"/>
        </w:rPr>
        <w:t>（招标项目名称)</w:t>
      </w:r>
      <w:r>
        <w:rPr>
          <w:rFonts w:hint="eastAsia" w:ascii="宋体" w:hAnsi="宋体" w:eastAsia="宋体" w:cs="宋体"/>
          <w:color w:val="auto"/>
          <w:sz w:val="24"/>
          <w:szCs w:val="24"/>
          <w:highlight w:val="none"/>
        </w:rPr>
        <w:t>项目的投标活动，全权处理一切与该项目投标有关的事务。其在办理上述事宜过程中所签署的所有文件我公司均予以承认。</w:t>
      </w:r>
    </w:p>
    <w:p w14:paraId="7FD8C266">
      <w:pPr>
        <w:snapToGrid w:val="0"/>
        <w:spacing w:line="520" w:lineRule="exact"/>
        <w:ind w:left="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3C6CD2CD">
      <w:pPr>
        <w:snapToGrid w:val="0"/>
        <w:spacing w:line="520" w:lineRule="exact"/>
        <w:rPr>
          <w:rFonts w:hint="eastAsia" w:ascii="宋体" w:hAnsi="宋体" w:eastAsia="宋体" w:cs="宋体"/>
          <w:color w:val="auto"/>
          <w:sz w:val="24"/>
          <w:szCs w:val="24"/>
          <w:highlight w:val="none"/>
        </w:rPr>
      </w:pPr>
    </w:p>
    <w:p w14:paraId="29987D1B">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附：被授权人情况：</w:t>
      </w:r>
    </w:p>
    <w:p w14:paraId="2E56CA8F">
      <w:pPr>
        <w:snapToGrid w:val="0"/>
        <w:spacing w:line="5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姓名：性别：年龄：职务：</w:t>
      </w:r>
    </w:p>
    <w:p w14:paraId="2666D4FE">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74801AD2">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手机：传真：</w:t>
      </w:r>
    </w:p>
    <w:p w14:paraId="119E0F9D">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224402A6">
      <w:pPr>
        <w:snapToGrid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投标人名称（公章）                      法定代表人（签字或盖章）</w:t>
      </w:r>
    </w:p>
    <w:p w14:paraId="1F590A3C">
      <w:pPr>
        <w:snapToGrid w:val="0"/>
        <w:spacing w:line="52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                        年   月   日</w:t>
      </w:r>
    </w:p>
    <w:p w14:paraId="5FA038DC">
      <w:pPr>
        <w:snapToGrid w:val="0"/>
        <w:spacing w:line="520" w:lineRule="exact"/>
        <w:rPr>
          <w:rFonts w:hint="eastAsia" w:ascii="宋体" w:hAnsi="宋体" w:eastAsia="宋体" w:cs="宋体"/>
          <w:color w:val="auto"/>
          <w:sz w:val="24"/>
          <w:szCs w:val="24"/>
          <w:highlight w:val="none"/>
        </w:rPr>
      </w:pPr>
    </w:p>
    <w:p w14:paraId="0CC27167">
      <w:pPr>
        <w:adjustRightInd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1D669113">
      <w:pPr>
        <w:adjustRightInd w:val="0"/>
        <w:snapToGrid w:val="0"/>
        <w:spacing w:line="240" w:lineRule="atLeast"/>
        <w:jc w:val="center"/>
        <w:rPr>
          <w:rFonts w:hint="eastAsia" w:ascii="宋体" w:hAnsi="宋体" w:eastAsia="宋体" w:cs="宋体"/>
          <w:color w:val="auto"/>
          <w:sz w:val="24"/>
          <w:szCs w:val="24"/>
          <w:highlight w:val="none"/>
        </w:rPr>
      </w:pPr>
    </w:p>
    <w:p w14:paraId="4D8D5CFA">
      <w:pPr>
        <w:adjustRightInd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（粘贴此处）</w:t>
      </w:r>
    </w:p>
    <w:p w14:paraId="7ADBF827">
      <w:pPr>
        <w:adjustRightInd w:val="0"/>
        <w:snapToGrid w:val="0"/>
        <w:spacing w:line="240" w:lineRule="atLeast"/>
        <w:jc w:val="center"/>
        <w:rPr>
          <w:rFonts w:hint="eastAsia" w:ascii="宋体" w:hAnsi="宋体" w:eastAsia="宋体" w:cs="宋体"/>
          <w:color w:val="auto"/>
          <w:sz w:val="24"/>
          <w:szCs w:val="24"/>
          <w:highlight w:val="none"/>
        </w:rPr>
      </w:pPr>
    </w:p>
    <w:p w14:paraId="59B146F7">
      <w:pPr>
        <w:adjustRightInd w:val="0"/>
        <w:snapToGrid w:val="0"/>
        <w:spacing w:line="240" w:lineRule="atLeast"/>
        <w:jc w:val="center"/>
        <w:rPr>
          <w:rFonts w:hint="eastAsia" w:ascii="宋体" w:hAnsi="宋体" w:eastAsia="宋体" w:cs="宋体"/>
          <w:color w:val="auto"/>
          <w:sz w:val="24"/>
          <w:szCs w:val="24"/>
          <w:highlight w:val="none"/>
        </w:rPr>
      </w:pPr>
    </w:p>
    <w:p w14:paraId="24ABDBFE">
      <w:pPr>
        <w:adjustRightInd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62B40DAE">
      <w:pPr>
        <w:adjustRightInd w:val="0"/>
        <w:snapToGrid w:val="0"/>
        <w:spacing w:line="240" w:lineRule="atLeast"/>
        <w:jc w:val="center"/>
        <w:rPr>
          <w:rFonts w:hint="eastAsia" w:ascii="宋体" w:hAnsi="宋体" w:eastAsia="宋体" w:cs="宋体"/>
          <w:color w:val="auto"/>
          <w:sz w:val="24"/>
          <w:szCs w:val="24"/>
          <w:highlight w:val="none"/>
        </w:rPr>
      </w:pPr>
    </w:p>
    <w:p w14:paraId="5518D6A0">
      <w:pPr>
        <w:adjustRightInd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（粘贴此处）</w:t>
      </w:r>
    </w:p>
    <w:p w14:paraId="51E975BB">
      <w:pPr>
        <w:snapToGrid w:val="0"/>
        <w:spacing w:line="520" w:lineRule="exact"/>
        <w:ind w:firstLine="482" w:firstLineChars="200"/>
        <w:rPr>
          <w:rFonts w:hint="eastAsia" w:ascii="宋体" w:hAnsi="宋体" w:eastAsia="宋体" w:cs="宋体"/>
          <w:b/>
          <w:bCs/>
          <w:color w:val="auto"/>
          <w:sz w:val="24"/>
          <w:szCs w:val="24"/>
          <w:highlight w:val="none"/>
        </w:rPr>
      </w:pPr>
    </w:p>
    <w:p w14:paraId="6E7DB122">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注:如为被授权人参加投标时，须将身份证原件带至开标现场备查。</w:t>
      </w:r>
    </w:p>
    <w:p w14:paraId="0D63D6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br w:type="page"/>
      </w:r>
    </w:p>
    <w:p w14:paraId="0093D93D">
      <w:pPr>
        <w:snapToGrid w:val="0"/>
        <w:spacing w:line="520" w:lineRule="exact"/>
        <w:jc w:val="center"/>
        <w:outlineLvl w:val="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3、关于资格文件的声明函</w:t>
      </w:r>
    </w:p>
    <w:p w14:paraId="74DC5F59">
      <w:pPr>
        <w:pStyle w:val="6"/>
        <w:overflowPunct w:val="0"/>
        <w:spacing w:line="520" w:lineRule="exact"/>
        <w:jc w:val="center"/>
        <w:rPr>
          <w:rFonts w:hint="eastAsia" w:ascii="宋体" w:hAnsi="宋体" w:eastAsia="宋体" w:cs="宋体"/>
          <w:color w:val="auto"/>
          <w:sz w:val="28"/>
          <w:szCs w:val="28"/>
          <w:highlight w:val="none"/>
        </w:rPr>
      </w:pPr>
    </w:p>
    <w:p w14:paraId="597154E9">
      <w:pPr>
        <w:pStyle w:val="6"/>
        <w:overflowPunct w:val="0"/>
        <w:spacing w:line="520" w:lineRule="exact"/>
        <w:ind w:firstLine="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u w:val="single"/>
          <w:lang w:eastAsia="zh-CN"/>
        </w:rPr>
        <w:t>南通市崇川区城市工程建设管理中心</w:t>
      </w:r>
      <w:r>
        <w:rPr>
          <w:rFonts w:hint="eastAsia" w:ascii="宋体" w:hAnsi="宋体" w:eastAsia="宋体" w:cs="宋体"/>
          <w:color w:val="auto"/>
          <w:sz w:val="24"/>
          <w:szCs w:val="24"/>
          <w:highlight w:val="none"/>
        </w:rPr>
        <w:t>：</w:t>
      </w:r>
    </w:p>
    <w:p w14:paraId="536651DB">
      <w:pPr>
        <w:pStyle w:val="6"/>
        <w:overflowPunct w:val="0"/>
        <w:spacing w:line="520" w:lineRule="exact"/>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本公司/本人愿就由贵单位组织实施的</w:t>
      </w:r>
      <w:r>
        <w:rPr>
          <w:rFonts w:hint="eastAsia" w:ascii="宋体" w:hAnsi="宋体" w:eastAsia="宋体" w:cs="宋体"/>
          <w:color w:val="auto"/>
          <w:sz w:val="24"/>
          <w:szCs w:val="24"/>
          <w:highlight w:val="none"/>
          <w:u w:val="single"/>
        </w:rPr>
        <w:t xml:space="preserve">    （招标项目名称)</w:t>
      </w:r>
      <w:r>
        <w:rPr>
          <w:rFonts w:hint="eastAsia" w:ascii="宋体" w:hAnsi="宋体" w:eastAsia="宋体" w:cs="宋体"/>
          <w:color w:val="auto"/>
          <w:sz w:val="24"/>
          <w:szCs w:val="24"/>
          <w:highlight w:val="none"/>
        </w:rPr>
        <w:t>招标活动进行投标。本公司/本人所提交的投标文件中所有关于投标资格的文件、证明和陈述均是真实的、准确的。若与真实情况不符，本公司/本人愿意承担由此而产生的一切后果。本公司/本人决定参加投标，并作如下承诺：</w:t>
      </w:r>
    </w:p>
    <w:p w14:paraId="7019D2D5">
      <w:pPr>
        <w:spacing w:line="360" w:lineRule="auto"/>
        <w:ind w:firstLine="48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1.我公司/本人具有独立承担民事责任的能力；</w:t>
      </w:r>
    </w:p>
    <w:p w14:paraId="05AD368F">
      <w:pPr>
        <w:spacing w:line="360" w:lineRule="auto"/>
        <w:ind w:firstLine="48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2.我公司/本人具有良好的商业信誉和健全的财务会计制度；</w:t>
      </w:r>
    </w:p>
    <w:p w14:paraId="5429CD8E">
      <w:pPr>
        <w:spacing w:line="360" w:lineRule="auto"/>
        <w:ind w:firstLine="48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3.我公司/本人具有履行合同所必需的设备和专业技术能力；</w:t>
      </w:r>
    </w:p>
    <w:p w14:paraId="79DA6C46">
      <w:pPr>
        <w:spacing w:line="360" w:lineRule="auto"/>
        <w:ind w:firstLine="48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4.我公司/本人有依法缴纳税收和社会保障资金的良好记录；</w:t>
      </w:r>
    </w:p>
    <w:p w14:paraId="535DF083">
      <w:pPr>
        <w:spacing w:line="360" w:lineRule="auto"/>
        <w:ind w:firstLine="48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我公司/本人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F8E64D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6.我公司/本人满足法律、行政法规规定的其他条件。</w:t>
      </w:r>
    </w:p>
    <w:p w14:paraId="5DE5730D">
      <w:pPr>
        <w:pStyle w:val="6"/>
        <w:overflowPunct w:val="0"/>
        <w:spacing w:line="520" w:lineRule="exact"/>
        <w:rPr>
          <w:rFonts w:hint="eastAsia" w:ascii="宋体" w:hAnsi="宋体" w:eastAsia="宋体" w:cs="宋体"/>
          <w:color w:val="auto"/>
          <w:sz w:val="24"/>
          <w:szCs w:val="24"/>
          <w:highlight w:val="none"/>
        </w:rPr>
      </w:pPr>
    </w:p>
    <w:p w14:paraId="601A8E98">
      <w:pPr>
        <w:pStyle w:val="6"/>
        <w:overflowPunct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法定代表人或被授权人（签字或盖章）：</w:t>
      </w:r>
    </w:p>
    <w:p w14:paraId="3B6110B0">
      <w:pPr>
        <w:pStyle w:val="6"/>
        <w:overflowPunct w:val="0"/>
        <w:spacing w:line="520" w:lineRule="exact"/>
        <w:ind w:left="1700" w:firstLine="425"/>
        <w:rPr>
          <w:rFonts w:hint="eastAsia" w:ascii="宋体" w:hAnsi="宋体" w:eastAsia="宋体" w:cs="宋体"/>
          <w:color w:val="auto"/>
          <w:sz w:val="24"/>
          <w:szCs w:val="24"/>
          <w:highlight w:val="none"/>
        </w:rPr>
      </w:pPr>
    </w:p>
    <w:p w14:paraId="16BB70C3">
      <w:pPr>
        <w:pStyle w:val="6"/>
        <w:overflowPunct w:val="0"/>
        <w:spacing w:line="520" w:lineRule="exact"/>
        <w:ind w:left="1700" w:firstLine="4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投标人名称（公章或自然人签名）：</w:t>
      </w:r>
    </w:p>
    <w:p w14:paraId="2500873E">
      <w:pPr>
        <w:pStyle w:val="6"/>
        <w:overflowPunct w:val="0"/>
        <w:spacing w:line="520" w:lineRule="exact"/>
        <w:rPr>
          <w:rFonts w:hint="eastAsia" w:ascii="宋体" w:hAnsi="宋体" w:eastAsia="宋体" w:cs="宋体"/>
          <w:color w:val="auto"/>
          <w:sz w:val="24"/>
          <w:szCs w:val="24"/>
          <w:highlight w:val="none"/>
        </w:rPr>
      </w:pPr>
    </w:p>
    <w:p w14:paraId="651F5982">
      <w:pPr>
        <w:pStyle w:val="6"/>
        <w:overflowPunct w:val="0"/>
        <w:spacing w:line="520" w:lineRule="exact"/>
        <w:ind w:right="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01F867E4">
      <w:pPr>
        <w:snapToGrid w:val="0"/>
        <w:spacing w:line="520" w:lineRule="exact"/>
        <w:outlineLvl w:val="2"/>
        <w:rPr>
          <w:rFonts w:hint="eastAsia" w:ascii="宋体" w:hAnsi="宋体" w:eastAsia="宋体" w:cs="宋体"/>
          <w:b/>
          <w:bCs/>
          <w:color w:val="auto"/>
          <w:sz w:val="28"/>
          <w:szCs w:val="28"/>
          <w:highlight w:val="none"/>
        </w:rPr>
      </w:pPr>
    </w:p>
    <w:p w14:paraId="2B7AF349">
      <w:pPr>
        <w:pStyle w:val="18"/>
        <w:widowControl/>
        <w:shd w:val="clear" w:color="auto" w:fill="FFFFFF"/>
        <w:spacing w:line="500" w:lineRule="exact"/>
        <w:rPr>
          <w:rFonts w:hint="eastAsia" w:ascii="宋体" w:hAnsi="宋体" w:eastAsia="宋体" w:cs="宋体"/>
          <w:b/>
          <w:color w:val="auto"/>
          <w:sz w:val="32"/>
          <w:szCs w:val="32"/>
          <w:highlight w:val="none"/>
        </w:rPr>
      </w:pPr>
      <w:r>
        <w:rPr>
          <w:rFonts w:hint="eastAsia" w:ascii="宋体" w:hAnsi="宋体" w:eastAsia="宋体" w:cs="宋体"/>
          <w:b/>
          <w:bCs/>
          <w:color w:val="auto"/>
          <w:sz w:val="28"/>
          <w:szCs w:val="28"/>
          <w:highlight w:val="none"/>
        </w:rPr>
        <w:br w:type="page"/>
      </w:r>
    </w:p>
    <w:p w14:paraId="6B57F71B">
      <w:pPr>
        <w:spacing w:line="520" w:lineRule="exact"/>
        <w:ind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、投标响应函</w:t>
      </w:r>
    </w:p>
    <w:p w14:paraId="334D2F8B">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南通市崇川区城市工程建设管理中心</w:t>
      </w:r>
      <w:r>
        <w:rPr>
          <w:rFonts w:hint="eastAsia" w:ascii="宋体" w:hAnsi="宋体" w:eastAsia="宋体" w:cs="宋体"/>
          <w:color w:val="auto"/>
          <w:sz w:val="24"/>
          <w:szCs w:val="24"/>
          <w:highlight w:val="none"/>
        </w:rPr>
        <w:t>：</w:t>
      </w:r>
    </w:p>
    <w:p w14:paraId="53B7C16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依据贵单位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项目的邀请，我方授权 </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（职务）</w:t>
      </w:r>
      <w:r>
        <w:rPr>
          <w:rFonts w:hint="eastAsia" w:ascii="宋体" w:hAnsi="宋体" w:eastAsia="宋体" w:cs="宋体"/>
          <w:color w:val="auto"/>
          <w:sz w:val="24"/>
          <w:szCs w:val="24"/>
          <w:highlight w:val="none"/>
        </w:rPr>
        <w:t>为全权代表参加该项目的投标工作，全权处理本次投标的有关事宜。同时，我公司声明如下：</w:t>
      </w:r>
    </w:p>
    <w:p w14:paraId="2EADF58E">
      <w:pPr>
        <w:numPr>
          <w:ilvl w:val="-1"/>
          <w:numId w:val="0"/>
        </w:num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我方愿意按照招标文件的一切要求，提供完成该项目的全部内容</w:t>
      </w:r>
      <w:r>
        <w:rPr>
          <w:rFonts w:hint="eastAsia" w:ascii="宋体" w:hAnsi="宋体" w:eastAsia="宋体" w:cs="宋体"/>
          <w:color w:val="auto"/>
          <w:sz w:val="24"/>
          <w:szCs w:val="24"/>
          <w:highlight w:val="none"/>
          <w:lang w:eastAsia="zh-CN"/>
        </w:rPr>
        <w:t>。</w:t>
      </w:r>
    </w:p>
    <w:p w14:paraId="22845B2A">
      <w:pPr>
        <w:numPr>
          <w:ilvl w:val="-1"/>
          <w:numId w:val="0"/>
        </w:num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2.我方已经详细审查了全部招标文件，我方已完全清晰理解招标文件的要求，不存在任何含糊不清和误解之处，同意放弃对这些文件所提出的异议和质疑的权利。</w:t>
      </w:r>
    </w:p>
    <w:p w14:paraId="015F144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3.我方愿意提供</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在招标文件中要求的所有资料。</w:t>
      </w:r>
    </w:p>
    <w:p w14:paraId="27BD8A33">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4.我方提交的投标文件，从接收截止之日算起，保持</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个日历天内有效。</w:t>
      </w:r>
    </w:p>
    <w:p w14:paraId="4DF5242E">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5.我方承诺在本次招标响应中提供的一切文件，无论是原件还是复印件均真实有效，绝无任何虚假、伪造和夸大的成份。否则，愿承担相应的后果和法律责任。</w:t>
      </w:r>
    </w:p>
    <w:p w14:paraId="54326A1C">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6.我方尊重评审小组所作的评定结果，认为你方有权决定</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，还认为你方有权接受或拒绝所有的投标人，同时也清楚理解到投标报价最低并非意味着必定获得中标资格。</w:t>
      </w:r>
    </w:p>
    <w:p w14:paraId="3203A5AB">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7.一旦我方成交，我方将根据招标文件的规定，严格履行招标文件中规定的每一项要求，按期、按质、按量履行合同的义务。</w:t>
      </w:r>
    </w:p>
    <w:p w14:paraId="290A8E4F">
      <w:pPr>
        <w:snapToGrid w:val="0"/>
        <w:spacing w:line="360" w:lineRule="exact"/>
        <w:ind w:firstLine="480" w:firstLineChars="200"/>
        <w:rPr>
          <w:rFonts w:hint="eastAsia" w:ascii="宋体" w:hAnsi="宋体" w:eastAsia="宋体" w:cs="宋体"/>
          <w:color w:val="auto"/>
          <w:sz w:val="24"/>
          <w:szCs w:val="24"/>
          <w:highlight w:val="none"/>
        </w:rPr>
      </w:pPr>
    </w:p>
    <w:p w14:paraId="020788CC">
      <w:pPr>
        <w:snapToGrid w:val="0"/>
        <w:spacing w:line="440" w:lineRule="exact"/>
        <w:ind w:firstLine="2400" w:firstLineChars="10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投标人名称：（加盖公章或自然人签名）</w:t>
      </w:r>
    </w:p>
    <w:p w14:paraId="4B85ED98">
      <w:pPr>
        <w:snapToGrid w:val="0"/>
        <w:spacing w:line="440" w:lineRule="exact"/>
        <w:ind w:firstLine="2400" w:firstLineChars="10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法定代表人或被授权人：（签字或盖章）</w:t>
      </w:r>
    </w:p>
    <w:p w14:paraId="335F526D">
      <w:pPr>
        <w:snapToGrid w:val="0"/>
        <w:spacing w:line="3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EDFC15B">
      <w:pPr>
        <w:rPr>
          <w:rFonts w:hint="eastAsia" w:ascii="宋体" w:hAnsi="宋体" w:eastAsia="宋体" w:cs="宋体"/>
          <w:color w:val="auto"/>
        </w:rPr>
      </w:pPr>
    </w:p>
    <w:p w14:paraId="06C0C785">
      <w:pPr>
        <w:widowControl/>
        <w:spacing w:before="100" w:beforeAutospacing="1" w:after="100" w:afterAutospacing="1" w:line="500" w:lineRule="atLeast"/>
        <w:jc w:val="center"/>
        <w:rPr>
          <w:rFonts w:hint="eastAsia" w:ascii="宋体" w:hAnsi="宋体" w:eastAsia="宋体" w:cs="宋体"/>
          <w:b/>
          <w:color w:val="auto"/>
          <w:kern w:val="0"/>
          <w:sz w:val="28"/>
          <w:szCs w:val="28"/>
          <w:highlight w:val="none"/>
          <w:lang w:eastAsia="zh-CN"/>
        </w:rPr>
      </w:pPr>
    </w:p>
    <w:p w14:paraId="48611505">
      <w:pPr>
        <w:spacing w:line="480" w:lineRule="exact"/>
        <w:jc w:val="center"/>
        <w:rPr>
          <w:rFonts w:hint="eastAsia" w:ascii="宋体" w:hAnsi="宋体" w:eastAsia="宋体" w:cs="宋体"/>
          <w:b/>
          <w:bCs/>
          <w:color w:val="auto"/>
          <w:sz w:val="24"/>
          <w:szCs w:val="24"/>
          <w:highlight w:val="none"/>
          <w:lang w:val="en-US" w:eastAsia="zh-CN"/>
        </w:rPr>
      </w:pPr>
    </w:p>
    <w:p w14:paraId="72052E79">
      <w:pPr>
        <w:spacing w:line="480" w:lineRule="exact"/>
        <w:jc w:val="center"/>
        <w:rPr>
          <w:rFonts w:hint="eastAsia" w:ascii="宋体" w:hAnsi="宋体" w:eastAsia="宋体" w:cs="宋体"/>
          <w:b/>
          <w:bCs/>
          <w:color w:val="auto"/>
          <w:sz w:val="24"/>
          <w:szCs w:val="24"/>
          <w:highlight w:val="none"/>
          <w:lang w:val="en-US" w:eastAsia="zh-CN"/>
        </w:rPr>
      </w:pPr>
    </w:p>
    <w:p w14:paraId="707100F1">
      <w:pPr>
        <w:spacing w:line="480" w:lineRule="exact"/>
        <w:jc w:val="center"/>
        <w:rPr>
          <w:rFonts w:hint="eastAsia" w:ascii="宋体" w:hAnsi="宋体" w:eastAsia="宋体" w:cs="宋体"/>
          <w:b/>
          <w:bCs/>
          <w:color w:val="auto"/>
          <w:sz w:val="24"/>
          <w:szCs w:val="24"/>
          <w:highlight w:val="none"/>
          <w:lang w:val="en-US" w:eastAsia="zh-CN"/>
        </w:rPr>
      </w:pPr>
    </w:p>
    <w:p w14:paraId="1C064BEB">
      <w:pPr>
        <w:spacing w:line="480" w:lineRule="exact"/>
        <w:jc w:val="center"/>
        <w:rPr>
          <w:rFonts w:hint="eastAsia" w:ascii="宋体" w:hAnsi="宋体" w:eastAsia="宋体" w:cs="宋体"/>
          <w:b/>
          <w:color w:val="auto"/>
          <w:sz w:val="28"/>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color w:val="auto"/>
          <w:sz w:val="28"/>
          <w:highlight w:val="none"/>
        </w:rPr>
        <w:t>投标人一般情况表</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5BFC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67647FC4">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企业名称或自然人姓名</w:t>
            </w:r>
          </w:p>
        </w:tc>
        <w:tc>
          <w:tcPr>
            <w:tcW w:w="7229" w:type="dxa"/>
            <w:gridSpan w:val="8"/>
            <w:tcBorders>
              <w:top w:val="single" w:color="auto" w:sz="4" w:space="0"/>
              <w:left w:val="single" w:color="auto" w:sz="4" w:space="0"/>
              <w:bottom w:val="single" w:color="auto" w:sz="4" w:space="0"/>
              <w:right w:val="single" w:color="auto" w:sz="4" w:space="0"/>
            </w:tcBorders>
          </w:tcPr>
          <w:p w14:paraId="17CD1319">
            <w:pPr>
              <w:tabs>
                <w:tab w:val="left" w:pos="993"/>
              </w:tabs>
              <w:spacing w:line="520" w:lineRule="exact"/>
              <w:rPr>
                <w:rFonts w:hint="eastAsia" w:ascii="宋体" w:hAnsi="宋体" w:eastAsia="宋体" w:cs="宋体"/>
                <w:color w:val="auto"/>
                <w:sz w:val="24"/>
                <w:highlight w:val="none"/>
              </w:rPr>
            </w:pPr>
          </w:p>
        </w:tc>
      </w:tr>
      <w:tr w14:paraId="78CE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1340C67">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总部地址</w:t>
            </w:r>
          </w:p>
        </w:tc>
        <w:tc>
          <w:tcPr>
            <w:tcW w:w="7229" w:type="dxa"/>
            <w:gridSpan w:val="8"/>
            <w:tcBorders>
              <w:top w:val="single" w:color="auto" w:sz="4" w:space="0"/>
              <w:left w:val="single" w:color="auto" w:sz="4" w:space="0"/>
              <w:bottom w:val="single" w:color="auto" w:sz="4" w:space="0"/>
              <w:right w:val="single" w:color="auto" w:sz="4" w:space="0"/>
            </w:tcBorders>
          </w:tcPr>
          <w:p w14:paraId="5C66BF5C">
            <w:pPr>
              <w:tabs>
                <w:tab w:val="left" w:pos="993"/>
              </w:tabs>
              <w:spacing w:line="520" w:lineRule="exact"/>
              <w:rPr>
                <w:rFonts w:hint="eastAsia" w:ascii="宋体" w:hAnsi="宋体" w:eastAsia="宋体" w:cs="宋体"/>
                <w:color w:val="auto"/>
                <w:sz w:val="24"/>
                <w:highlight w:val="none"/>
              </w:rPr>
            </w:pPr>
          </w:p>
        </w:tc>
      </w:tr>
      <w:tr w14:paraId="5DCC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6C225A8B">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分支机构</w:t>
            </w:r>
          </w:p>
        </w:tc>
        <w:tc>
          <w:tcPr>
            <w:tcW w:w="7229" w:type="dxa"/>
            <w:gridSpan w:val="8"/>
            <w:tcBorders>
              <w:top w:val="single" w:color="auto" w:sz="4" w:space="0"/>
              <w:left w:val="single" w:color="auto" w:sz="4" w:space="0"/>
              <w:bottom w:val="single" w:color="auto" w:sz="4" w:space="0"/>
              <w:right w:val="single" w:color="auto" w:sz="4" w:space="0"/>
            </w:tcBorders>
          </w:tcPr>
          <w:p w14:paraId="6D58CBA3">
            <w:pPr>
              <w:tabs>
                <w:tab w:val="left" w:pos="993"/>
              </w:tabs>
              <w:spacing w:line="520" w:lineRule="exact"/>
              <w:rPr>
                <w:rFonts w:hint="eastAsia" w:ascii="宋体" w:hAnsi="宋体" w:eastAsia="宋体" w:cs="宋体"/>
                <w:color w:val="auto"/>
                <w:sz w:val="24"/>
                <w:highlight w:val="none"/>
              </w:rPr>
            </w:pPr>
          </w:p>
        </w:tc>
      </w:tr>
      <w:tr w14:paraId="0B45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EB1F32F">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当地代表处地址</w:t>
            </w:r>
          </w:p>
        </w:tc>
        <w:tc>
          <w:tcPr>
            <w:tcW w:w="7229" w:type="dxa"/>
            <w:gridSpan w:val="8"/>
            <w:tcBorders>
              <w:top w:val="single" w:color="auto" w:sz="4" w:space="0"/>
              <w:left w:val="single" w:color="auto" w:sz="4" w:space="0"/>
              <w:bottom w:val="single" w:color="auto" w:sz="4" w:space="0"/>
              <w:right w:val="single" w:color="auto" w:sz="4" w:space="0"/>
            </w:tcBorders>
          </w:tcPr>
          <w:p w14:paraId="19AB705A">
            <w:pPr>
              <w:tabs>
                <w:tab w:val="left" w:pos="993"/>
              </w:tabs>
              <w:spacing w:line="520" w:lineRule="exact"/>
              <w:rPr>
                <w:rFonts w:hint="eastAsia" w:ascii="宋体" w:hAnsi="宋体" w:eastAsia="宋体" w:cs="宋体"/>
                <w:color w:val="auto"/>
                <w:sz w:val="24"/>
                <w:highlight w:val="none"/>
              </w:rPr>
            </w:pPr>
          </w:p>
        </w:tc>
      </w:tr>
      <w:tr w14:paraId="5F6E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718D9657">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408" w:type="dxa"/>
            <w:gridSpan w:val="3"/>
            <w:tcBorders>
              <w:top w:val="single" w:color="auto" w:sz="4" w:space="0"/>
              <w:left w:val="single" w:color="auto" w:sz="4" w:space="0"/>
              <w:bottom w:val="single" w:color="auto" w:sz="4" w:space="0"/>
              <w:right w:val="single" w:color="auto" w:sz="4" w:space="0"/>
            </w:tcBorders>
          </w:tcPr>
          <w:p w14:paraId="04C7150A">
            <w:pPr>
              <w:tabs>
                <w:tab w:val="left" w:pos="993"/>
              </w:tabs>
              <w:spacing w:line="520" w:lineRule="exact"/>
              <w:rPr>
                <w:rFonts w:hint="eastAsia" w:ascii="宋体" w:hAnsi="宋体" w:eastAsia="宋体" w:cs="宋体"/>
                <w:color w:val="auto"/>
                <w:sz w:val="24"/>
                <w:highlight w:val="none"/>
              </w:rPr>
            </w:pPr>
          </w:p>
        </w:tc>
        <w:tc>
          <w:tcPr>
            <w:tcW w:w="1875" w:type="dxa"/>
            <w:gridSpan w:val="2"/>
            <w:tcBorders>
              <w:top w:val="single" w:color="auto" w:sz="4" w:space="0"/>
              <w:left w:val="single" w:color="auto" w:sz="4" w:space="0"/>
              <w:bottom w:val="single" w:color="auto" w:sz="4" w:space="0"/>
              <w:right w:val="single" w:color="auto" w:sz="4" w:space="0"/>
            </w:tcBorders>
          </w:tcPr>
          <w:p w14:paraId="708989EE">
            <w:pPr>
              <w:tabs>
                <w:tab w:val="left" w:pos="993"/>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946" w:type="dxa"/>
            <w:gridSpan w:val="3"/>
            <w:tcBorders>
              <w:top w:val="single" w:color="auto" w:sz="4" w:space="0"/>
              <w:left w:val="single" w:color="auto" w:sz="4" w:space="0"/>
              <w:bottom w:val="single" w:color="auto" w:sz="4" w:space="0"/>
              <w:right w:val="single" w:color="auto" w:sz="4" w:space="0"/>
            </w:tcBorders>
          </w:tcPr>
          <w:p w14:paraId="397F8BB9">
            <w:pPr>
              <w:tabs>
                <w:tab w:val="left" w:pos="993"/>
              </w:tabs>
              <w:spacing w:line="520" w:lineRule="exact"/>
              <w:rPr>
                <w:rFonts w:hint="eastAsia" w:ascii="宋体" w:hAnsi="宋体" w:eastAsia="宋体" w:cs="宋体"/>
                <w:color w:val="auto"/>
                <w:sz w:val="24"/>
                <w:highlight w:val="none"/>
              </w:rPr>
            </w:pPr>
          </w:p>
        </w:tc>
      </w:tr>
      <w:tr w14:paraId="5BAF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163E3799">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408" w:type="dxa"/>
            <w:gridSpan w:val="3"/>
            <w:tcBorders>
              <w:top w:val="single" w:color="auto" w:sz="4" w:space="0"/>
              <w:left w:val="single" w:color="auto" w:sz="4" w:space="0"/>
              <w:bottom w:val="single" w:color="auto" w:sz="4" w:space="0"/>
              <w:right w:val="single" w:color="auto" w:sz="4" w:space="0"/>
            </w:tcBorders>
          </w:tcPr>
          <w:p w14:paraId="4AD34F09">
            <w:pPr>
              <w:tabs>
                <w:tab w:val="left" w:pos="993"/>
              </w:tabs>
              <w:spacing w:line="520" w:lineRule="exact"/>
              <w:rPr>
                <w:rFonts w:hint="eastAsia" w:ascii="宋体" w:hAnsi="宋体" w:eastAsia="宋体" w:cs="宋体"/>
                <w:color w:val="auto"/>
                <w:sz w:val="24"/>
                <w:highlight w:val="none"/>
              </w:rPr>
            </w:pPr>
          </w:p>
        </w:tc>
        <w:tc>
          <w:tcPr>
            <w:tcW w:w="1875" w:type="dxa"/>
            <w:gridSpan w:val="2"/>
            <w:tcBorders>
              <w:top w:val="single" w:color="auto" w:sz="4" w:space="0"/>
              <w:left w:val="single" w:color="auto" w:sz="4" w:space="0"/>
              <w:bottom w:val="single" w:color="auto" w:sz="4" w:space="0"/>
              <w:right w:val="single" w:color="auto" w:sz="4" w:space="0"/>
            </w:tcBorders>
          </w:tcPr>
          <w:p w14:paraId="489D0B33">
            <w:pPr>
              <w:tabs>
                <w:tab w:val="left" w:pos="993"/>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电子邮件</w:t>
            </w:r>
          </w:p>
        </w:tc>
        <w:tc>
          <w:tcPr>
            <w:tcW w:w="2946" w:type="dxa"/>
            <w:gridSpan w:val="3"/>
            <w:tcBorders>
              <w:top w:val="single" w:color="auto" w:sz="4" w:space="0"/>
              <w:left w:val="single" w:color="auto" w:sz="4" w:space="0"/>
              <w:bottom w:val="single" w:color="auto" w:sz="4" w:space="0"/>
              <w:right w:val="single" w:color="auto" w:sz="4" w:space="0"/>
            </w:tcBorders>
          </w:tcPr>
          <w:p w14:paraId="0A97649D">
            <w:pPr>
              <w:tabs>
                <w:tab w:val="left" w:pos="993"/>
              </w:tabs>
              <w:spacing w:line="520" w:lineRule="exact"/>
              <w:rPr>
                <w:rFonts w:hint="eastAsia" w:ascii="宋体" w:hAnsi="宋体" w:eastAsia="宋体" w:cs="宋体"/>
                <w:color w:val="auto"/>
                <w:sz w:val="24"/>
                <w:highlight w:val="none"/>
              </w:rPr>
            </w:pPr>
          </w:p>
        </w:tc>
      </w:tr>
      <w:tr w14:paraId="05DD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2202E03B">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w:t>
            </w:r>
          </w:p>
        </w:tc>
        <w:tc>
          <w:tcPr>
            <w:tcW w:w="2408" w:type="dxa"/>
            <w:gridSpan w:val="3"/>
            <w:tcBorders>
              <w:top w:val="single" w:color="auto" w:sz="4" w:space="0"/>
              <w:left w:val="single" w:color="auto" w:sz="4" w:space="0"/>
              <w:bottom w:val="single" w:color="auto" w:sz="4" w:space="0"/>
              <w:right w:val="single" w:color="auto" w:sz="4" w:space="0"/>
            </w:tcBorders>
          </w:tcPr>
          <w:p w14:paraId="0D995C54">
            <w:pPr>
              <w:tabs>
                <w:tab w:val="left" w:pos="993"/>
              </w:tabs>
              <w:spacing w:line="520" w:lineRule="exact"/>
              <w:rPr>
                <w:rFonts w:hint="eastAsia" w:ascii="宋体" w:hAnsi="宋体" w:eastAsia="宋体" w:cs="宋体"/>
                <w:color w:val="auto"/>
                <w:sz w:val="24"/>
                <w:highlight w:val="none"/>
              </w:rPr>
            </w:pPr>
          </w:p>
        </w:tc>
        <w:tc>
          <w:tcPr>
            <w:tcW w:w="1875" w:type="dxa"/>
            <w:gridSpan w:val="2"/>
            <w:tcBorders>
              <w:top w:val="single" w:color="auto" w:sz="4" w:space="0"/>
              <w:left w:val="single" w:color="auto" w:sz="4" w:space="0"/>
              <w:bottom w:val="single" w:color="auto" w:sz="4" w:space="0"/>
              <w:right w:val="single" w:color="auto" w:sz="4" w:space="0"/>
            </w:tcBorders>
          </w:tcPr>
          <w:p w14:paraId="4D88B968">
            <w:pPr>
              <w:tabs>
                <w:tab w:val="left" w:pos="993"/>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注册年份</w:t>
            </w:r>
          </w:p>
        </w:tc>
        <w:tc>
          <w:tcPr>
            <w:tcW w:w="2946" w:type="dxa"/>
            <w:gridSpan w:val="3"/>
            <w:tcBorders>
              <w:top w:val="single" w:color="auto" w:sz="4" w:space="0"/>
              <w:left w:val="single" w:color="auto" w:sz="4" w:space="0"/>
              <w:bottom w:val="single" w:color="auto" w:sz="4" w:space="0"/>
              <w:right w:val="single" w:color="auto" w:sz="4" w:space="0"/>
            </w:tcBorders>
          </w:tcPr>
          <w:p w14:paraId="5BE1FA3F">
            <w:pPr>
              <w:tabs>
                <w:tab w:val="left" w:pos="993"/>
              </w:tabs>
              <w:spacing w:line="520" w:lineRule="exact"/>
              <w:rPr>
                <w:rFonts w:hint="eastAsia" w:ascii="宋体" w:hAnsi="宋体" w:eastAsia="宋体" w:cs="宋体"/>
                <w:color w:val="auto"/>
                <w:sz w:val="24"/>
                <w:highlight w:val="none"/>
              </w:rPr>
            </w:pPr>
          </w:p>
        </w:tc>
      </w:tr>
      <w:tr w14:paraId="30A6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26A68BA5">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资质等级</w:t>
            </w:r>
          </w:p>
        </w:tc>
        <w:tc>
          <w:tcPr>
            <w:tcW w:w="7229" w:type="dxa"/>
            <w:gridSpan w:val="8"/>
            <w:tcBorders>
              <w:top w:val="single" w:color="auto" w:sz="4" w:space="0"/>
              <w:left w:val="single" w:color="auto" w:sz="4" w:space="0"/>
              <w:bottom w:val="single" w:color="auto" w:sz="4" w:space="0"/>
              <w:right w:val="single" w:color="auto" w:sz="4" w:space="0"/>
            </w:tcBorders>
          </w:tcPr>
          <w:p w14:paraId="12246172">
            <w:pPr>
              <w:tabs>
                <w:tab w:val="left" w:pos="993"/>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公司具备的相关资质等级及相应的证书号</w:t>
            </w:r>
          </w:p>
          <w:p w14:paraId="0F0FAA5E">
            <w:pPr>
              <w:tabs>
                <w:tab w:val="left" w:pos="993"/>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（请附有关证书的复印件）</w:t>
            </w:r>
          </w:p>
        </w:tc>
      </w:tr>
      <w:tr w14:paraId="133B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04DD1EAC">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质量管理体系</w:t>
            </w:r>
          </w:p>
        </w:tc>
        <w:tc>
          <w:tcPr>
            <w:tcW w:w="7229" w:type="dxa"/>
            <w:gridSpan w:val="8"/>
            <w:tcBorders>
              <w:top w:val="single" w:color="auto" w:sz="4" w:space="0"/>
              <w:left w:val="single" w:color="auto" w:sz="4" w:space="0"/>
              <w:bottom w:val="single" w:color="auto" w:sz="4" w:space="0"/>
              <w:right w:val="single" w:color="auto" w:sz="4" w:space="0"/>
            </w:tcBorders>
          </w:tcPr>
          <w:p w14:paraId="40FB0D43">
            <w:pPr>
              <w:tabs>
                <w:tab w:val="left" w:pos="993"/>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公司</w:t>
            </w:r>
            <w:r>
              <w:rPr>
                <w:rFonts w:hint="eastAsia" w:ascii="宋体" w:hAnsi="宋体" w:eastAsia="宋体" w:cs="宋体"/>
                <w:color w:val="auto"/>
                <w:sz w:val="24"/>
                <w:highlight w:val="none"/>
                <w:u w:val="single"/>
              </w:rPr>
              <w:t xml:space="preserve">   （是否通过，何种）   </w:t>
            </w:r>
            <w:r>
              <w:rPr>
                <w:rFonts w:hint="eastAsia" w:ascii="宋体" w:hAnsi="宋体" w:eastAsia="宋体" w:cs="宋体"/>
                <w:color w:val="auto"/>
                <w:sz w:val="24"/>
                <w:highlight w:val="none"/>
              </w:rPr>
              <w:t>质量保证体系认证（如通过请附相关在有效期内的证书复印件）</w:t>
            </w:r>
          </w:p>
        </w:tc>
      </w:tr>
      <w:tr w14:paraId="6B77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371068E">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1559" w:type="dxa"/>
            <w:gridSpan w:val="2"/>
            <w:tcBorders>
              <w:top w:val="single" w:color="auto" w:sz="4" w:space="0"/>
              <w:left w:val="single" w:color="auto" w:sz="4" w:space="0"/>
              <w:bottom w:val="single" w:color="auto" w:sz="4" w:space="0"/>
              <w:right w:val="single" w:color="auto" w:sz="4" w:space="0"/>
            </w:tcBorders>
          </w:tcPr>
          <w:p w14:paraId="7491C43C">
            <w:pPr>
              <w:tabs>
                <w:tab w:val="left" w:pos="993"/>
              </w:tabs>
              <w:spacing w:line="520" w:lineRule="exact"/>
              <w:jc w:val="center"/>
              <w:rPr>
                <w:rFonts w:hint="eastAsia" w:ascii="宋体" w:hAnsi="宋体" w:eastAsia="宋体" w:cs="宋体"/>
                <w:color w:val="auto"/>
                <w:sz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tcPr>
          <w:p w14:paraId="6D98FAEF">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466" w:type="dxa"/>
            <w:gridSpan w:val="2"/>
            <w:tcBorders>
              <w:top w:val="single" w:color="auto" w:sz="4" w:space="0"/>
              <w:left w:val="single" w:color="auto" w:sz="4" w:space="0"/>
              <w:bottom w:val="single" w:color="auto" w:sz="4" w:space="0"/>
              <w:right w:val="single" w:color="auto" w:sz="4" w:space="0"/>
            </w:tcBorders>
          </w:tcPr>
          <w:p w14:paraId="41BFFB3F">
            <w:pPr>
              <w:tabs>
                <w:tab w:val="left" w:pos="993"/>
              </w:tabs>
              <w:spacing w:line="520" w:lineRule="exact"/>
              <w:jc w:val="center"/>
              <w:rPr>
                <w:rFonts w:hint="eastAsia" w:ascii="宋体" w:hAnsi="宋体" w:eastAsia="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tcPr>
          <w:p w14:paraId="5077D2DB">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467" w:type="dxa"/>
            <w:tcBorders>
              <w:top w:val="single" w:color="auto" w:sz="4" w:space="0"/>
              <w:left w:val="single" w:color="auto" w:sz="4" w:space="0"/>
              <w:bottom w:val="single" w:color="auto" w:sz="4" w:space="0"/>
              <w:right w:val="single" w:color="auto" w:sz="4" w:space="0"/>
            </w:tcBorders>
          </w:tcPr>
          <w:p w14:paraId="291C9CAF">
            <w:pPr>
              <w:tabs>
                <w:tab w:val="left" w:pos="993"/>
              </w:tabs>
              <w:spacing w:line="520" w:lineRule="exact"/>
              <w:jc w:val="center"/>
              <w:rPr>
                <w:rFonts w:hint="eastAsia" w:ascii="宋体" w:hAnsi="宋体" w:eastAsia="宋体" w:cs="宋体"/>
                <w:color w:val="auto"/>
                <w:sz w:val="24"/>
                <w:highlight w:val="none"/>
              </w:rPr>
            </w:pPr>
          </w:p>
        </w:tc>
      </w:tr>
      <w:tr w14:paraId="0B9E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209EE468">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职务职称</w:t>
            </w:r>
          </w:p>
        </w:tc>
        <w:tc>
          <w:tcPr>
            <w:tcW w:w="2976" w:type="dxa"/>
            <w:gridSpan w:val="4"/>
            <w:tcBorders>
              <w:top w:val="single" w:color="auto" w:sz="4" w:space="0"/>
              <w:left w:val="single" w:color="auto" w:sz="4" w:space="0"/>
              <w:bottom w:val="single" w:color="auto" w:sz="4" w:space="0"/>
              <w:right w:val="single" w:color="auto" w:sz="4" w:space="0"/>
            </w:tcBorders>
          </w:tcPr>
          <w:p w14:paraId="6866E72A">
            <w:pPr>
              <w:tabs>
                <w:tab w:val="left" w:pos="993"/>
              </w:tabs>
              <w:spacing w:line="520" w:lineRule="exact"/>
              <w:rPr>
                <w:rFonts w:hint="eastAsia" w:ascii="宋体" w:hAnsi="宋体" w:eastAsia="宋体" w:cs="宋体"/>
                <w:color w:val="auto"/>
                <w:sz w:val="24"/>
                <w:highlight w:val="none"/>
              </w:rPr>
            </w:pPr>
          </w:p>
        </w:tc>
        <w:tc>
          <w:tcPr>
            <w:tcW w:w="1466" w:type="dxa"/>
            <w:gridSpan w:val="2"/>
            <w:tcBorders>
              <w:top w:val="single" w:color="auto" w:sz="4" w:space="0"/>
              <w:left w:val="single" w:color="auto" w:sz="4" w:space="0"/>
              <w:bottom w:val="single" w:color="auto" w:sz="4" w:space="0"/>
              <w:right w:val="single" w:color="auto" w:sz="4" w:space="0"/>
            </w:tcBorders>
          </w:tcPr>
          <w:p w14:paraId="57B6009C">
            <w:pPr>
              <w:tabs>
                <w:tab w:val="left" w:pos="993"/>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w:t>
            </w:r>
          </w:p>
        </w:tc>
        <w:tc>
          <w:tcPr>
            <w:tcW w:w="2787" w:type="dxa"/>
            <w:gridSpan w:val="2"/>
            <w:tcBorders>
              <w:top w:val="single" w:color="auto" w:sz="4" w:space="0"/>
              <w:left w:val="single" w:color="auto" w:sz="4" w:space="0"/>
              <w:bottom w:val="single" w:color="auto" w:sz="4" w:space="0"/>
              <w:right w:val="single" w:color="auto" w:sz="4" w:space="0"/>
            </w:tcBorders>
          </w:tcPr>
          <w:p w14:paraId="31EAB696">
            <w:pPr>
              <w:tabs>
                <w:tab w:val="left" w:pos="993"/>
              </w:tabs>
              <w:spacing w:line="520" w:lineRule="exact"/>
              <w:rPr>
                <w:rFonts w:hint="eastAsia" w:ascii="宋体" w:hAnsi="宋体" w:eastAsia="宋体" w:cs="宋体"/>
                <w:color w:val="auto"/>
                <w:sz w:val="24"/>
                <w:highlight w:val="none"/>
              </w:rPr>
            </w:pPr>
          </w:p>
        </w:tc>
      </w:tr>
      <w:tr w14:paraId="2C1C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C5703B7">
            <w:pPr>
              <w:tabs>
                <w:tab w:val="left" w:pos="993"/>
              </w:tabs>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229" w:type="dxa"/>
            <w:gridSpan w:val="8"/>
            <w:tcBorders>
              <w:top w:val="single" w:color="auto" w:sz="4" w:space="0"/>
              <w:left w:val="single" w:color="auto" w:sz="4" w:space="0"/>
              <w:bottom w:val="single" w:color="auto" w:sz="4" w:space="0"/>
              <w:right w:val="single" w:color="auto" w:sz="4" w:space="0"/>
            </w:tcBorders>
          </w:tcPr>
          <w:p w14:paraId="5B194B1D">
            <w:pPr>
              <w:tabs>
                <w:tab w:val="left" w:pos="993"/>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营业执照载明：</w:t>
            </w:r>
          </w:p>
          <w:p w14:paraId="7DBFCC6F">
            <w:pPr>
              <w:tabs>
                <w:tab w:val="left" w:pos="993"/>
              </w:tabs>
              <w:spacing w:line="5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p>
          <w:p w14:paraId="30D83611">
            <w:pPr>
              <w:tabs>
                <w:tab w:val="left" w:pos="993"/>
              </w:tabs>
              <w:spacing w:line="5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p>
          <w:p w14:paraId="3EB93847">
            <w:pPr>
              <w:tabs>
                <w:tab w:val="left" w:pos="993"/>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148B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53FB4A73">
            <w:pPr>
              <w:tabs>
                <w:tab w:val="left" w:pos="993"/>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从事类似相关项目的经历及年数</w:t>
            </w:r>
          </w:p>
        </w:tc>
        <w:tc>
          <w:tcPr>
            <w:tcW w:w="6521" w:type="dxa"/>
            <w:gridSpan w:val="7"/>
            <w:tcBorders>
              <w:top w:val="single" w:color="auto" w:sz="4" w:space="0"/>
              <w:left w:val="single" w:color="auto" w:sz="4" w:space="0"/>
              <w:bottom w:val="single" w:color="auto" w:sz="4" w:space="0"/>
              <w:right w:val="single" w:color="auto" w:sz="4" w:space="0"/>
            </w:tcBorders>
          </w:tcPr>
          <w:p w14:paraId="71025CAC">
            <w:pPr>
              <w:tabs>
                <w:tab w:val="left" w:pos="993"/>
              </w:tabs>
              <w:spacing w:line="520" w:lineRule="exact"/>
              <w:rPr>
                <w:rFonts w:hint="eastAsia" w:ascii="宋体" w:hAnsi="宋体" w:eastAsia="宋体" w:cs="宋体"/>
                <w:color w:val="auto"/>
                <w:sz w:val="24"/>
                <w:highlight w:val="none"/>
              </w:rPr>
            </w:pPr>
          </w:p>
        </w:tc>
      </w:tr>
      <w:tr w14:paraId="0CCC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62015200">
            <w:pPr>
              <w:tabs>
                <w:tab w:val="left" w:pos="993"/>
              </w:tabs>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其他认为有必要提供的内容，可自行添加</w:t>
            </w:r>
          </w:p>
        </w:tc>
        <w:tc>
          <w:tcPr>
            <w:tcW w:w="6521" w:type="dxa"/>
            <w:gridSpan w:val="7"/>
            <w:tcBorders>
              <w:top w:val="single" w:color="auto" w:sz="4" w:space="0"/>
              <w:left w:val="single" w:color="auto" w:sz="4" w:space="0"/>
              <w:bottom w:val="single" w:color="auto" w:sz="4" w:space="0"/>
              <w:right w:val="single" w:color="auto" w:sz="4" w:space="0"/>
            </w:tcBorders>
          </w:tcPr>
          <w:p w14:paraId="1527C44E">
            <w:pPr>
              <w:tabs>
                <w:tab w:val="left" w:pos="993"/>
              </w:tabs>
              <w:spacing w:line="520" w:lineRule="exact"/>
              <w:rPr>
                <w:rFonts w:hint="eastAsia" w:ascii="宋体" w:hAnsi="宋体" w:eastAsia="宋体" w:cs="宋体"/>
                <w:color w:val="auto"/>
                <w:sz w:val="24"/>
                <w:highlight w:val="none"/>
              </w:rPr>
            </w:pPr>
          </w:p>
        </w:tc>
      </w:tr>
    </w:tbl>
    <w:p w14:paraId="66DDF7CE">
      <w:pPr>
        <w:snapToGrid w:val="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szCs w:val="24"/>
          <w:highlight w:val="none"/>
        </w:rPr>
        <w:t>或自然人签名</w:t>
      </w:r>
      <w:r>
        <w:rPr>
          <w:rFonts w:hint="eastAsia" w:ascii="宋体" w:hAnsi="宋体" w:eastAsia="宋体" w:cs="宋体"/>
          <w:color w:val="auto"/>
          <w:sz w:val="24"/>
          <w:highlight w:val="none"/>
        </w:rPr>
        <w:t xml:space="preserve">）             </w:t>
      </w:r>
    </w:p>
    <w:p w14:paraId="79AC9765">
      <w:pPr>
        <w:snapToGrid w:val="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法定代表人或被授权人（签字或盖章）：  </w:t>
      </w:r>
    </w:p>
    <w:p w14:paraId="40AF88F4">
      <w:pPr>
        <w:snapToGrid w:val="0"/>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2C88965">
      <w:pPr>
        <w:widowControl/>
        <w:spacing w:before="100" w:beforeAutospacing="1" w:after="100" w:afterAutospacing="1" w:line="50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lang w:val="en-US" w:eastAsia="zh-CN"/>
        </w:rPr>
        <w:t>6、</w:t>
      </w:r>
      <w:r>
        <w:rPr>
          <w:rFonts w:hint="eastAsia" w:ascii="宋体" w:hAnsi="宋体" w:eastAsia="宋体" w:cs="宋体"/>
          <w:b/>
          <w:bCs/>
          <w:color w:val="auto"/>
          <w:kern w:val="0"/>
          <w:sz w:val="32"/>
          <w:szCs w:val="32"/>
          <w:highlight w:val="none"/>
        </w:rPr>
        <w:t>报价总表</w:t>
      </w:r>
    </w:p>
    <w:p w14:paraId="53E76288">
      <w:pPr>
        <w:spacing w:line="360" w:lineRule="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供应商全称（加盖公章）：</w:t>
      </w:r>
    </w:p>
    <w:p w14:paraId="0C5CFD0B">
      <w:pPr>
        <w:spacing w:line="360" w:lineRule="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项目名称：</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2"/>
        <w:gridCol w:w="4933"/>
      </w:tblGrid>
      <w:tr w14:paraId="5C59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822" w:type="dxa"/>
            <w:vAlign w:val="center"/>
          </w:tcPr>
          <w:p w14:paraId="11E1E6EE">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货物、服务名称</w:t>
            </w:r>
          </w:p>
        </w:tc>
        <w:tc>
          <w:tcPr>
            <w:tcW w:w="4933" w:type="dxa"/>
            <w:vAlign w:val="center"/>
          </w:tcPr>
          <w:p w14:paraId="6B962AE5">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报价（元）</w:t>
            </w:r>
          </w:p>
        </w:tc>
      </w:tr>
      <w:tr w14:paraId="16A7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822" w:type="dxa"/>
            <w:vAlign w:val="center"/>
          </w:tcPr>
          <w:p w14:paraId="026273A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lang w:eastAsia="zh-CN"/>
              </w:rPr>
              <w:t>20</w:t>
            </w:r>
            <w:r>
              <w:rPr>
                <w:rFonts w:hint="eastAsia" w:ascii="宋体" w:hAnsi="宋体" w:eastAsia="宋体" w:cs="宋体"/>
                <w:color w:val="auto"/>
                <w:sz w:val="24"/>
                <w:lang w:val="en-US" w:eastAsia="zh-CN"/>
              </w:rPr>
              <w:t>25</w:t>
            </w:r>
            <w:r>
              <w:rPr>
                <w:rFonts w:hint="eastAsia" w:ascii="宋体" w:hAnsi="宋体" w:eastAsia="宋体" w:cs="宋体"/>
                <w:color w:val="auto"/>
                <w:sz w:val="24"/>
                <w:lang w:eastAsia="zh-CN"/>
              </w:rPr>
              <w:t>年崇川区绿地儿童游乐设施采购项目</w:t>
            </w:r>
          </w:p>
        </w:tc>
        <w:tc>
          <w:tcPr>
            <w:tcW w:w="4933" w:type="dxa"/>
            <w:vAlign w:val="center"/>
          </w:tcPr>
          <w:p w14:paraId="25AA98AE">
            <w:pPr>
              <w:widowControl/>
              <w:adjustRightInd w:val="0"/>
              <w:snapToGrid w:val="0"/>
              <w:rPr>
                <w:rFonts w:hint="eastAsia" w:ascii="宋体" w:hAnsi="宋体" w:eastAsia="宋体" w:cs="宋体"/>
                <w:color w:val="auto"/>
                <w:kern w:val="0"/>
                <w:sz w:val="24"/>
                <w:highlight w:val="none"/>
              </w:rPr>
            </w:pPr>
          </w:p>
          <w:p w14:paraId="62642CE0">
            <w:pPr>
              <w:widowControl/>
              <w:adjustRightInd w:val="0"/>
              <w:snapToGrid w:val="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人民币大写：</w:t>
            </w:r>
            <w:r>
              <w:rPr>
                <w:rFonts w:hint="eastAsia" w:ascii="宋体" w:hAnsi="宋体" w:eastAsia="宋体" w:cs="宋体"/>
                <w:color w:val="auto"/>
                <w:kern w:val="0"/>
                <w:sz w:val="24"/>
                <w:highlight w:val="none"/>
                <w:u w:val="single"/>
              </w:rPr>
              <w:t xml:space="preserve">               </w:t>
            </w:r>
          </w:p>
          <w:p w14:paraId="55C1E9D7">
            <w:pPr>
              <w:pStyle w:val="19"/>
              <w:ind w:firstLine="210"/>
              <w:rPr>
                <w:rFonts w:hint="eastAsia" w:ascii="宋体" w:hAnsi="宋体" w:eastAsia="宋体" w:cs="宋体"/>
                <w:color w:val="auto"/>
                <w:highlight w:val="none"/>
              </w:rPr>
            </w:pPr>
          </w:p>
          <w:p w14:paraId="26FB91F1">
            <w:pPr>
              <w:rPr>
                <w:rFonts w:hint="eastAsia" w:ascii="宋体" w:hAnsi="宋体" w:eastAsia="宋体" w:cs="宋体"/>
                <w:color w:val="auto"/>
                <w:sz w:val="24"/>
                <w:highlight w:val="none"/>
                <w:u w:val="single"/>
              </w:rPr>
            </w:pPr>
            <w:r>
              <w:rPr>
                <w:rFonts w:hint="eastAsia" w:ascii="宋体" w:hAnsi="宋体" w:eastAsia="宋体" w:cs="宋体"/>
                <w:color w:val="auto"/>
                <w:kern w:val="0"/>
                <w:sz w:val="24"/>
                <w:highlight w:val="none"/>
              </w:rPr>
              <w:t>小写：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tc>
      </w:tr>
    </w:tbl>
    <w:p w14:paraId="102DD70B">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4E3740B7">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如我单位中标，本项目业务联系人：__________，联系方式：____________。</w:t>
      </w:r>
    </w:p>
    <w:p w14:paraId="36CB2441">
      <w:pPr>
        <w:rPr>
          <w:rFonts w:hint="eastAsia" w:ascii="宋体" w:hAnsi="宋体" w:eastAsia="宋体" w:cs="宋体"/>
          <w:color w:val="auto"/>
          <w:kern w:val="0"/>
          <w:sz w:val="24"/>
          <w:highlight w:val="none"/>
        </w:rPr>
      </w:pPr>
    </w:p>
    <w:p w14:paraId="12154E29">
      <w:pPr>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日期： </w:t>
      </w:r>
      <w:r>
        <w:rPr>
          <w:rFonts w:hint="eastAsia" w:ascii="宋体" w:hAnsi="宋体" w:eastAsia="宋体" w:cs="宋体"/>
          <w:color w:val="auto"/>
          <w:sz w:val="24"/>
          <w:highlight w:val="none"/>
        </w:rPr>
        <w:t>年 月 日</w:t>
      </w:r>
    </w:p>
    <w:p w14:paraId="217A42B9">
      <w:pPr>
        <w:rPr>
          <w:rFonts w:hint="eastAsia" w:ascii="宋体" w:hAnsi="宋体" w:eastAsia="宋体" w:cs="宋体"/>
          <w:color w:val="auto"/>
          <w:kern w:val="0"/>
          <w:sz w:val="24"/>
          <w:highlight w:val="none"/>
        </w:rPr>
      </w:pPr>
    </w:p>
    <w:p w14:paraId="703ECC3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填写说明：</w:t>
      </w:r>
    </w:p>
    <w:p w14:paraId="623264C5">
      <w:pPr>
        <w:spacing w:line="360" w:lineRule="auto"/>
        <w:rPr>
          <w:rFonts w:hint="eastAsia" w:ascii="宋体" w:hAnsi="宋体" w:eastAsia="宋体" w:cs="宋体"/>
          <w:color w:val="auto"/>
          <w:kern w:val="0"/>
          <w:sz w:val="24"/>
          <w:highlight w:val="none"/>
        </w:rPr>
        <w:sectPr>
          <w:headerReference r:id="rId4" w:type="default"/>
          <w:footerReference r:id="rId5" w:type="default"/>
          <w:pgSz w:w="11907" w:h="16839"/>
          <w:pgMar w:top="1440" w:right="1800" w:bottom="1440" w:left="1800" w:header="720" w:footer="720" w:gutter="0"/>
          <w:pgNumType w:fmt="decimal"/>
          <w:cols w:space="720" w:num="1"/>
          <w:docGrid w:linePitch="286" w:charSpace="0"/>
        </w:sectPr>
      </w:pPr>
      <w:r>
        <w:rPr>
          <w:rFonts w:hint="eastAsia" w:ascii="宋体" w:hAnsi="宋体" w:eastAsia="宋体" w:cs="宋体"/>
          <w:color w:val="auto"/>
          <w:kern w:val="0"/>
          <w:sz w:val="24"/>
          <w:highlight w:val="none"/>
        </w:rPr>
        <w:t>1、报价总表必须加盖供应商公章（复印件无效）。</w:t>
      </w:r>
    </w:p>
    <w:tbl>
      <w:tblPr>
        <w:tblStyle w:val="21"/>
        <w:tblW w:w="14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
        <w:gridCol w:w="4020"/>
        <w:gridCol w:w="4560"/>
        <w:gridCol w:w="1206"/>
        <w:gridCol w:w="1841"/>
        <w:gridCol w:w="530"/>
        <w:gridCol w:w="530"/>
        <w:gridCol w:w="756"/>
        <w:gridCol w:w="757"/>
      </w:tblGrid>
      <w:tr w14:paraId="7899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47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614E07">
            <w:pPr>
              <w:keepNext w:val="0"/>
              <w:keepLines w:val="0"/>
              <w:widowControl/>
              <w:suppressLineNumbers w:val="0"/>
              <w:spacing w:line="336"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7、报价明细表</w:t>
            </w:r>
          </w:p>
        </w:tc>
      </w:tr>
      <w:tr w14:paraId="750C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47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36696C">
            <w:pPr>
              <w:keepNext w:val="0"/>
              <w:keepLines w:val="0"/>
              <w:widowControl/>
              <w:suppressLineNumbers w:val="0"/>
              <w:spacing w:line="336" w:lineRule="auto"/>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项目名称：202</w:t>
            </w:r>
            <w:r>
              <w:rPr>
                <w:rFonts w:hint="eastAsia" w:ascii="宋体" w:hAnsi="宋体" w:cs="宋体"/>
                <w:b/>
                <w:bCs/>
                <w:i w:val="0"/>
                <w:iCs w:val="0"/>
                <w:color w:val="auto"/>
                <w:kern w:val="0"/>
                <w:sz w:val="18"/>
                <w:szCs w:val="18"/>
                <w:u w:val="none"/>
                <w:lang w:val="en-US" w:eastAsia="zh-CN" w:bidi="ar"/>
              </w:rPr>
              <w:t>5</w:t>
            </w:r>
            <w:r>
              <w:rPr>
                <w:rFonts w:hint="eastAsia" w:ascii="宋体" w:hAnsi="宋体" w:eastAsia="宋体" w:cs="宋体"/>
                <w:b/>
                <w:bCs/>
                <w:i w:val="0"/>
                <w:iCs w:val="0"/>
                <w:color w:val="auto"/>
                <w:kern w:val="0"/>
                <w:sz w:val="18"/>
                <w:szCs w:val="18"/>
                <w:u w:val="none"/>
                <w:lang w:val="en-US" w:eastAsia="zh-CN" w:bidi="ar"/>
              </w:rPr>
              <w:t>年崇川区绿地儿童游乐设施采购项目</w:t>
            </w:r>
          </w:p>
        </w:tc>
      </w:tr>
      <w:tr w14:paraId="74B2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8603">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61EF">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原图片</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9D12">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对应产品设计图</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11D9">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型号规格（cm）</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3FCC">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技术参数</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9E48">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29D2">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AB48">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单价（元）</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D9B3">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合价（元）</w:t>
            </w:r>
          </w:p>
        </w:tc>
      </w:tr>
      <w:tr w14:paraId="4FB2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C408">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CA19">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99060</wp:posOffset>
                  </wp:positionV>
                  <wp:extent cx="2325370" cy="1518285"/>
                  <wp:effectExtent l="0" t="0" r="17780" b="5715"/>
                  <wp:wrapNone/>
                  <wp:docPr id="36" name="ID_F06EA8AE38724102BD478A4017F5A5C1"/>
                  <wp:cNvGraphicFramePr/>
                  <a:graphic xmlns:a="http://schemas.openxmlformats.org/drawingml/2006/main">
                    <a:graphicData uri="http://schemas.openxmlformats.org/drawingml/2006/picture">
                      <pic:pic xmlns:pic="http://schemas.openxmlformats.org/drawingml/2006/picture">
                        <pic:nvPicPr>
                          <pic:cNvPr id="36" name="ID_F06EA8AE38724102BD478A4017F5A5C1"/>
                          <pic:cNvPicPr/>
                        </pic:nvPicPr>
                        <pic:blipFill>
                          <a:blip r:embed="rId7"/>
                          <a:stretch>
                            <a:fillRect/>
                          </a:stretch>
                        </pic:blipFill>
                        <pic:spPr>
                          <a:xfrm>
                            <a:off x="0" y="0"/>
                            <a:ext cx="2325370" cy="1518285"/>
                          </a:xfrm>
                          <a:prstGeom prst="rect">
                            <a:avLst/>
                          </a:prstGeom>
                          <a:noFill/>
                          <a:ln>
                            <a:noFill/>
                          </a:ln>
                        </pic:spPr>
                      </pic:pic>
                    </a:graphicData>
                  </a:graphic>
                </wp:anchor>
              </w:drawing>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926">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111125</wp:posOffset>
                  </wp:positionH>
                  <wp:positionV relativeFrom="paragraph">
                    <wp:posOffset>107315</wp:posOffset>
                  </wp:positionV>
                  <wp:extent cx="2590800" cy="1790700"/>
                  <wp:effectExtent l="0" t="0" r="0" b="0"/>
                  <wp:wrapNone/>
                  <wp:docPr id="34" name="Picture_34"/>
                  <wp:cNvGraphicFramePr/>
                  <a:graphic xmlns:a="http://schemas.openxmlformats.org/drawingml/2006/main">
                    <a:graphicData uri="http://schemas.openxmlformats.org/drawingml/2006/picture">
                      <pic:pic xmlns:pic="http://schemas.openxmlformats.org/drawingml/2006/picture">
                        <pic:nvPicPr>
                          <pic:cNvPr id="34" name="Picture_34"/>
                          <pic:cNvPicPr/>
                        </pic:nvPicPr>
                        <pic:blipFill>
                          <a:blip r:embed="rId8"/>
                          <a:stretch>
                            <a:fillRect/>
                          </a:stretch>
                        </pic:blipFill>
                        <pic:spPr>
                          <a:xfrm>
                            <a:off x="0" y="0"/>
                            <a:ext cx="2590800" cy="1790700"/>
                          </a:xfrm>
                          <a:prstGeom prst="rect">
                            <a:avLst/>
                          </a:prstGeom>
                          <a:noFill/>
                          <a:ln>
                            <a:noFill/>
                          </a:ln>
                        </pic:spPr>
                      </pic:pic>
                    </a:graphicData>
                  </a:graphic>
                </wp:anchor>
              </w:drawing>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4024">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863*722*438</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88588">
            <w:pPr>
              <w:keepNext w:val="0"/>
              <w:keepLines w:val="0"/>
              <w:widowControl/>
              <w:suppressLineNumbers w:val="0"/>
              <w:spacing w:line="336" w:lineRule="auto"/>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1.主体要求：支柱材质及尺寸：管壁厚度2.0mm、镀锌管；表面处理：酸洗淋化后全部采用保护焊，机械抛光，室外聚酯系喷塑；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2.平台材质镀锌钢板。冷轧钢板冲孔，不积水。表面处理：酸洗淋化后全部采用保护焊，机械抛光，室外聚酯系喷塑；符合GB/T 228.1-2010、GB/T230.1-2018、GB/T 10125-2012国家标准。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3.镀锌钢管配件 外径28/32/38/48，厚度2.0mm 镀锌钢管，表面处理后经专用进口塑粉喷涂，高温烤漆，抗紫外光强度高，色泽艳丽，不易脱落，日久弥新。镀锌钢管符合GB/T 228.1-2010、GB/T 230.1-2018、GB/T 10125-2012国家标准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4.扣件采用高强度铝合金一次性铸造成形，边角圆滑，进行抛砂处理后，表面喷涂户外环保聚酯粉末，高温固化，表面光滑，抗紫外光能力强，色彩鲜艳，不易脱落；扣件符合GB/T 228.1-2010、GB/T 4340.1-2009、GB/T 10125-2012国家标准。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5.绳网采用海上专用海缆绳材质，直径不小于16mm，耐牢度高，不易断裂。户外使用强度大，断裂强力大、线密度高，符合GB/T8834-2016标准。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6.塑料件材质：采用 LLDPE 滚塑专用料经滚塑成形，塑料壁厚 6mm 以上，色彩艳 丽，抗紫外光（UV）能力达到 8 级，符合食品级标准，抗静电能力强，安全环保，耐候性好，强度高。塑料件符合6675.1-2014、6675.2-2014、6675.3-2014、6675.4-2014国家标准。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7.五金零件材质：316不锈钢半圆头，T型平头螺丝，表面处理：机械抛光。</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6E62">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EE61">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A3AB">
            <w:pPr>
              <w:spacing w:line="336" w:lineRule="auto"/>
              <w:jc w:val="center"/>
              <w:rPr>
                <w:rFonts w:hint="eastAsia" w:ascii="宋体" w:hAnsi="宋体" w:eastAsia="宋体" w:cs="宋体"/>
                <w:i w:val="0"/>
                <w:iCs w:val="0"/>
                <w:color w:val="auto"/>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5625">
            <w:pPr>
              <w:spacing w:line="336" w:lineRule="auto"/>
              <w:jc w:val="center"/>
              <w:rPr>
                <w:rFonts w:hint="eastAsia" w:ascii="宋体" w:hAnsi="宋体" w:eastAsia="宋体" w:cs="宋体"/>
                <w:i w:val="0"/>
                <w:iCs w:val="0"/>
                <w:color w:val="auto"/>
                <w:sz w:val="18"/>
                <w:szCs w:val="18"/>
                <w:u w:val="none"/>
              </w:rPr>
            </w:pPr>
          </w:p>
        </w:tc>
      </w:tr>
      <w:tr w14:paraId="0708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114B">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5397">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139700</wp:posOffset>
                  </wp:positionH>
                  <wp:positionV relativeFrom="paragraph">
                    <wp:posOffset>154940</wp:posOffset>
                  </wp:positionV>
                  <wp:extent cx="2159635" cy="2139950"/>
                  <wp:effectExtent l="0" t="0" r="12065" b="12700"/>
                  <wp:wrapNone/>
                  <wp:docPr id="35" name="ID_16BD18A6C4B644358D5D73C888D83D9F"/>
                  <wp:cNvGraphicFramePr/>
                  <a:graphic xmlns:a="http://schemas.openxmlformats.org/drawingml/2006/main">
                    <a:graphicData uri="http://schemas.openxmlformats.org/drawingml/2006/picture">
                      <pic:pic xmlns:pic="http://schemas.openxmlformats.org/drawingml/2006/picture">
                        <pic:nvPicPr>
                          <pic:cNvPr id="35" name="ID_16BD18A6C4B644358D5D73C888D83D9F"/>
                          <pic:cNvPicPr/>
                        </pic:nvPicPr>
                        <pic:blipFill>
                          <a:blip r:embed="rId9"/>
                          <a:stretch>
                            <a:fillRect/>
                          </a:stretch>
                        </pic:blipFill>
                        <pic:spPr>
                          <a:xfrm>
                            <a:off x="0" y="0"/>
                            <a:ext cx="2159635" cy="2139950"/>
                          </a:xfrm>
                          <a:prstGeom prst="rect">
                            <a:avLst/>
                          </a:prstGeom>
                          <a:noFill/>
                          <a:ln>
                            <a:noFill/>
                          </a:ln>
                        </pic:spPr>
                      </pic:pic>
                    </a:graphicData>
                  </a:graphic>
                </wp:anchor>
              </w:drawing>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E18F">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70485</wp:posOffset>
                  </wp:positionH>
                  <wp:positionV relativeFrom="paragraph">
                    <wp:posOffset>67945</wp:posOffset>
                  </wp:positionV>
                  <wp:extent cx="2614930" cy="1801495"/>
                  <wp:effectExtent l="0" t="0" r="13970" b="8255"/>
                  <wp:wrapNone/>
                  <wp:docPr id="37" name="Picture_35"/>
                  <wp:cNvGraphicFramePr/>
                  <a:graphic xmlns:a="http://schemas.openxmlformats.org/drawingml/2006/main">
                    <a:graphicData uri="http://schemas.openxmlformats.org/drawingml/2006/picture">
                      <pic:pic xmlns:pic="http://schemas.openxmlformats.org/drawingml/2006/picture">
                        <pic:nvPicPr>
                          <pic:cNvPr id="37" name="Picture_35"/>
                          <pic:cNvPicPr/>
                        </pic:nvPicPr>
                        <pic:blipFill>
                          <a:blip r:embed="rId10"/>
                          <a:stretch>
                            <a:fillRect/>
                          </a:stretch>
                        </pic:blipFill>
                        <pic:spPr>
                          <a:xfrm>
                            <a:off x="0" y="0"/>
                            <a:ext cx="2614930" cy="1801495"/>
                          </a:xfrm>
                          <a:prstGeom prst="rect">
                            <a:avLst/>
                          </a:prstGeom>
                          <a:noFill/>
                          <a:ln>
                            <a:noFill/>
                          </a:ln>
                        </pic:spPr>
                      </pic:pic>
                    </a:graphicData>
                  </a:graphic>
                </wp:anchor>
              </w:drawing>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6E94">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753*458*437</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69DC5">
            <w:pPr>
              <w:spacing w:line="336" w:lineRule="auto"/>
              <w:jc w:val="left"/>
              <w:rPr>
                <w:rFonts w:hint="eastAsia" w:ascii="宋体" w:hAnsi="宋体" w:eastAsia="宋体" w:cs="宋体"/>
                <w:i w:val="0"/>
                <w:iCs w:val="0"/>
                <w:color w:val="auto"/>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0AA3">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8252">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9F36">
            <w:pPr>
              <w:spacing w:line="336" w:lineRule="auto"/>
              <w:jc w:val="center"/>
              <w:rPr>
                <w:rFonts w:hint="eastAsia" w:ascii="宋体" w:hAnsi="宋体" w:eastAsia="宋体" w:cs="宋体"/>
                <w:i w:val="0"/>
                <w:iCs w:val="0"/>
                <w:color w:val="auto"/>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F800">
            <w:pPr>
              <w:spacing w:line="336" w:lineRule="auto"/>
              <w:jc w:val="center"/>
              <w:rPr>
                <w:rFonts w:hint="eastAsia" w:ascii="宋体" w:hAnsi="宋体" w:eastAsia="宋体" w:cs="宋体"/>
                <w:i w:val="0"/>
                <w:iCs w:val="0"/>
                <w:color w:val="auto"/>
                <w:sz w:val="18"/>
                <w:szCs w:val="18"/>
                <w:u w:val="none"/>
              </w:rPr>
            </w:pPr>
          </w:p>
        </w:tc>
      </w:tr>
      <w:tr w14:paraId="288BE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67CF">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CDE8">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inline distT="0" distB="0" distL="114300" distR="114300">
                  <wp:extent cx="2228850" cy="1809750"/>
                  <wp:effectExtent l="0" t="0" r="0" b="0"/>
                  <wp:docPr id="4" name="图片 4"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_副本"/>
                          <pic:cNvPicPr>
                            <a:picLocks noChangeAspect="1"/>
                          </pic:cNvPicPr>
                        </pic:nvPicPr>
                        <pic:blipFill>
                          <a:blip r:embed="rId11"/>
                          <a:stretch>
                            <a:fillRect/>
                          </a:stretch>
                        </pic:blipFill>
                        <pic:spPr>
                          <a:xfrm>
                            <a:off x="0" y="0"/>
                            <a:ext cx="2228850" cy="1809750"/>
                          </a:xfrm>
                          <a:prstGeom prst="rect">
                            <a:avLst/>
                          </a:prstGeom>
                        </pic:spPr>
                      </pic:pic>
                    </a:graphicData>
                  </a:graphic>
                </wp:inline>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7844">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104775</wp:posOffset>
                  </wp:positionV>
                  <wp:extent cx="2533015" cy="1511935"/>
                  <wp:effectExtent l="0" t="0" r="635" b="12065"/>
                  <wp:wrapNone/>
                  <wp:docPr id="39" name="Picture_36"/>
                  <wp:cNvGraphicFramePr/>
                  <a:graphic xmlns:a="http://schemas.openxmlformats.org/drawingml/2006/main">
                    <a:graphicData uri="http://schemas.openxmlformats.org/drawingml/2006/picture">
                      <pic:pic xmlns:pic="http://schemas.openxmlformats.org/drawingml/2006/picture">
                        <pic:nvPicPr>
                          <pic:cNvPr id="39" name="Picture_36"/>
                          <pic:cNvPicPr/>
                        </pic:nvPicPr>
                        <pic:blipFill>
                          <a:blip r:embed="rId12"/>
                          <a:stretch>
                            <a:fillRect/>
                          </a:stretch>
                        </pic:blipFill>
                        <pic:spPr>
                          <a:xfrm>
                            <a:off x="0" y="0"/>
                            <a:ext cx="2533015" cy="1511935"/>
                          </a:xfrm>
                          <a:prstGeom prst="rect">
                            <a:avLst/>
                          </a:prstGeom>
                          <a:noFill/>
                          <a:ln>
                            <a:noFill/>
                          </a:ln>
                        </pic:spPr>
                      </pic:pic>
                    </a:graphicData>
                  </a:graphic>
                </wp:anchor>
              </w:drawing>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DF62">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751*677*400</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18E55">
            <w:pPr>
              <w:spacing w:line="336" w:lineRule="auto"/>
              <w:jc w:val="left"/>
              <w:rPr>
                <w:rFonts w:hint="eastAsia" w:ascii="宋体" w:hAnsi="宋体" w:eastAsia="宋体" w:cs="宋体"/>
                <w:i w:val="0"/>
                <w:iCs w:val="0"/>
                <w:color w:val="auto"/>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F205">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C3CC">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F410">
            <w:pPr>
              <w:spacing w:line="336" w:lineRule="auto"/>
              <w:jc w:val="center"/>
              <w:rPr>
                <w:rFonts w:hint="eastAsia" w:ascii="宋体" w:hAnsi="宋体" w:eastAsia="宋体" w:cs="宋体"/>
                <w:i w:val="0"/>
                <w:iCs w:val="0"/>
                <w:color w:val="auto"/>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1F32">
            <w:pPr>
              <w:spacing w:line="336" w:lineRule="auto"/>
              <w:jc w:val="center"/>
              <w:rPr>
                <w:rFonts w:hint="eastAsia" w:ascii="宋体" w:hAnsi="宋体" w:eastAsia="宋体" w:cs="宋体"/>
                <w:i w:val="0"/>
                <w:iCs w:val="0"/>
                <w:color w:val="auto"/>
                <w:sz w:val="18"/>
                <w:szCs w:val="18"/>
                <w:u w:val="none"/>
              </w:rPr>
            </w:pPr>
          </w:p>
        </w:tc>
      </w:tr>
      <w:tr w14:paraId="58A9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F483">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12C7">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64770</wp:posOffset>
                  </wp:positionV>
                  <wp:extent cx="2222500" cy="2222500"/>
                  <wp:effectExtent l="0" t="0" r="6350" b="6350"/>
                  <wp:wrapNone/>
                  <wp:docPr id="40" name="ID_34D87AAB8C2D44CBB75FEABEA71D6CA7"/>
                  <wp:cNvGraphicFramePr/>
                  <a:graphic xmlns:a="http://schemas.openxmlformats.org/drawingml/2006/main">
                    <a:graphicData uri="http://schemas.openxmlformats.org/drawingml/2006/picture">
                      <pic:pic xmlns:pic="http://schemas.openxmlformats.org/drawingml/2006/picture">
                        <pic:nvPicPr>
                          <pic:cNvPr id="40" name="ID_34D87AAB8C2D44CBB75FEABEA71D6CA7"/>
                          <pic:cNvPicPr/>
                        </pic:nvPicPr>
                        <pic:blipFill>
                          <a:blip r:embed="rId13"/>
                          <a:stretch>
                            <a:fillRect/>
                          </a:stretch>
                        </pic:blipFill>
                        <pic:spPr>
                          <a:xfrm>
                            <a:off x="0" y="0"/>
                            <a:ext cx="2222500" cy="2222500"/>
                          </a:xfrm>
                          <a:prstGeom prst="rect">
                            <a:avLst/>
                          </a:prstGeom>
                          <a:noFill/>
                          <a:ln>
                            <a:noFill/>
                          </a:ln>
                        </pic:spPr>
                      </pic:pic>
                    </a:graphicData>
                  </a:graphic>
                </wp:anchor>
              </w:drawing>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B0EF">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wp:posOffset>
                  </wp:positionH>
                  <wp:positionV relativeFrom="paragraph">
                    <wp:posOffset>101600</wp:posOffset>
                  </wp:positionV>
                  <wp:extent cx="2686050" cy="1670050"/>
                  <wp:effectExtent l="0" t="0" r="0" b="6350"/>
                  <wp:wrapNone/>
                  <wp:docPr id="41" name="Picture_38"/>
                  <wp:cNvGraphicFramePr/>
                  <a:graphic xmlns:a="http://schemas.openxmlformats.org/drawingml/2006/main">
                    <a:graphicData uri="http://schemas.openxmlformats.org/drawingml/2006/picture">
                      <pic:pic xmlns:pic="http://schemas.openxmlformats.org/drawingml/2006/picture">
                        <pic:nvPicPr>
                          <pic:cNvPr id="41" name="Picture_38"/>
                          <pic:cNvPicPr/>
                        </pic:nvPicPr>
                        <pic:blipFill>
                          <a:blip r:embed="rId14"/>
                          <a:stretch>
                            <a:fillRect/>
                          </a:stretch>
                        </pic:blipFill>
                        <pic:spPr>
                          <a:xfrm>
                            <a:off x="0" y="0"/>
                            <a:ext cx="2686050" cy="1670050"/>
                          </a:xfrm>
                          <a:prstGeom prst="rect">
                            <a:avLst/>
                          </a:prstGeom>
                          <a:noFill/>
                          <a:ln>
                            <a:noFill/>
                          </a:ln>
                        </pic:spPr>
                      </pic:pic>
                    </a:graphicData>
                  </a:graphic>
                </wp:anchor>
              </w:drawing>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1A46">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742*708*505</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17233">
            <w:pPr>
              <w:spacing w:line="336" w:lineRule="auto"/>
              <w:jc w:val="left"/>
              <w:rPr>
                <w:rFonts w:hint="eastAsia" w:ascii="宋体" w:hAnsi="宋体" w:eastAsia="宋体" w:cs="宋体"/>
                <w:i w:val="0"/>
                <w:iCs w:val="0"/>
                <w:color w:val="auto"/>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87C0">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2239">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CAAD">
            <w:pPr>
              <w:spacing w:line="336" w:lineRule="auto"/>
              <w:jc w:val="center"/>
              <w:rPr>
                <w:rFonts w:hint="eastAsia" w:ascii="宋体" w:hAnsi="宋体" w:eastAsia="宋体" w:cs="宋体"/>
                <w:i w:val="0"/>
                <w:iCs w:val="0"/>
                <w:color w:val="auto"/>
                <w:sz w:val="18"/>
                <w:szCs w:val="18"/>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A579">
            <w:pPr>
              <w:spacing w:line="336" w:lineRule="auto"/>
              <w:jc w:val="center"/>
              <w:rPr>
                <w:rFonts w:hint="eastAsia" w:ascii="宋体" w:hAnsi="宋体" w:eastAsia="宋体" w:cs="宋体"/>
                <w:i w:val="0"/>
                <w:iCs w:val="0"/>
                <w:color w:val="auto"/>
                <w:sz w:val="18"/>
                <w:szCs w:val="18"/>
                <w:u w:val="none"/>
              </w:rPr>
            </w:pPr>
          </w:p>
        </w:tc>
      </w:tr>
      <w:tr w14:paraId="5FC5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39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208208">
            <w:pPr>
              <w:keepNext w:val="0"/>
              <w:keepLines w:val="0"/>
              <w:widowControl/>
              <w:suppressLineNumbers w:val="0"/>
              <w:spacing w:line="336"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价格合计（含运输、安装费用、税金等所用费用）</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FF19">
            <w:pPr>
              <w:spacing w:line="336" w:lineRule="auto"/>
              <w:jc w:val="center"/>
              <w:rPr>
                <w:rFonts w:hint="eastAsia" w:ascii="宋体" w:hAnsi="宋体" w:eastAsia="宋体" w:cs="宋体"/>
                <w:i w:val="0"/>
                <w:iCs w:val="0"/>
                <w:color w:val="auto"/>
                <w:sz w:val="18"/>
                <w:szCs w:val="18"/>
                <w:u w:val="none"/>
              </w:rPr>
            </w:pPr>
          </w:p>
        </w:tc>
      </w:tr>
      <w:tr w14:paraId="73ED1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7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6008">
            <w:pPr>
              <w:spacing w:line="336" w:lineRule="auto"/>
              <w:jc w:val="left"/>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备注：款式允许有微调，供货前需经采购人确认，规格和标准不得低于上述要求。</w:t>
            </w:r>
          </w:p>
        </w:tc>
      </w:tr>
    </w:tbl>
    <w:p w14:paraId="79CD3594">
      <w:pPr>
        <w:pStyle w:val="10"/>
        <w:rPr>
          <w:rFonts w:hint="eastAsia" w:ascii="宋体" w:hAnsi="宋体" w:eastAsia="宋体" w:cs="宋体"/>
          <w:color w:val="auto"/>
        </w:rPr>
        <w:sectPr>
          <w:pgSz w:w="16839" w:h="11907" w:orient="landscape"/>
          <w:pgMar w:top="1800" w:right="1440" w:bottom="1800" w:left="1440" w:header="720" w:footer="720" w:gutter="0"/>
          <w:pgNumType w:fmt="decimal"/>
          <w:cols w:space="720" w:num="1"/>
          <w:docGrid w:linePitch="286" w:charSpace="0"/>
        </w:sectPr>
      </w:pPr>
    </w:p>
    <w:p w14:paraId="1CFD1AAE">
      <w:pPr>
        <w:spacing w:line="460" w:lineRule="exact"/>
        <w:jc w:val="center"/>
        <w:rPr>
          <w:rFonts w:hint="eastAsia" w:ascii="宋体" w:hAnsi="宋体" w:eastAsia="宋体" w:cs="宋体"/>
          <w:bCs/>
          <w:color w:val="auto"/>
          <w:sz w:val="40"/>
          <w:szCs w:val="40"/>
          <w:highlight w:val="none"/>
        </w:rPr>
      </w:pPr>
      <w:r>
        <w:rPr>
          <w:rFonts w:hint="eastAsia" w:ascii="宋体" w:hAnsi="宋体" w:eastAsia="宋体" w:cs="宋体"/>
          <w:bCs/>
          <w:color w:val="auto"/>
          <w:sz w:val="40"/>
          <w:szCs w:val="40"/>
          <w:highlight w:val="none"/>
        </w:rPr>
        <w:t>质疑函范本</w:t>
      </w:r>
    </w:p>
    <w:p w14:paraId="437988EE">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7E5C9BC3">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14:paraId="5EAC12C0">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24BAC57E">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14:paraId="549AAAE8">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14:paraId="6CBF507A">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70C8D8D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14:paraId="4C4C3B50">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465EB442">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14:paraId="1AA00881">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14:paraId="1A2CAD62">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14:paraId="292ABFD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获取日期：</w:t>
      </w:r>
    </w:p>
    <w:p w14:paraId="62DAA328">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674D8B1">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14:paraId="2D805875">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14:paraId="4450DF6E">
      <w:pPr>
        <w:adjustRightInd w:val="0"/>
        <w:snapToGrid w:val="0"/>
        <w:spacing w:line="360" w:lineRule="auto"/>
        <w:rPr>
          <w:rFonts w:hint="eastAsia" w:ascii="宋体" w:hAnsi="宋体" w:eastAsia="宋体" w:cs="宋体"/>
          <w:color w:val="auto"/>
          <w:sz w:val="24"/>
          <w:highlight w:val="none"/>
        </w:rPr>
      </w:pPr>
    </w:p>
    <w:p w14:paraId="648C5B20">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14:paraId="2EF3A644">
      <w:pPr>
        <w:adjustRightInd w:val="0"/>
        <w:snapToGrid w:val="0"/>
        <w:spacing w:line="360" w:lineRule="auto"/>
        <w:rPr>
          <w:rFonts w:hint="eastAsia" w:ascii="宋体" w:hAnsi="宋体" w:eastAsia="宋体" w:cs="宋体"/>
          <w:color w:val="auto"/>
          <w:sz w:val="24"/>
          <w:highlight w:val="none"/>
          <w:u w:val="dotted"/>
        </w:rPr>
      </w:pPr>
    </w:p>
    <w:p w14:paraId="49253F55">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049C125">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ED671E8">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806C0C7">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14:paraId="0790C4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签字(签章)：公章：</w:t>
      </w:r>
    </w:p>
    <w:p w14:paraId="2C8F58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4FDB3B5">
      <w:pPr>
        <w:adjustRightInd w:val="0"/>
        <w:snapToGrid w:val="0"/>
        <w:spacing w:line="360" w:lineRule="auto"/>
        <w:rPr>
          <w:rFonts w:hint="eastAsia" w:ascii="宋体" w:hAnsi="宋体" w:eastAsia="宋体" w:cs="宋体"/>
          <w:color w:val="auto"/>
          <w:sz w:val="24"/>
          <w:highlight w:val="none"/>
        </w:rPr>
      </w:pPr>
    </w:p>
    <w:p w14:paraId="511A93D8">
      <w:pPr>
        <w:spacing w:line="360" w:lineRule="auto"/>
        <w:rPr>
          <w:rFonts w:hint="eastAsia" w:ascii="宋体" w:hAnsi="宋体" w:eastAsia="宋体" w:cs="宋体"/>
          <w:b/>
          <w:color w:val="auto"/>
          <w:sz w:val="24"/>
          <w:highlight w:val="none"/>
        </w:rPr>
      </w:pPr>
    </w:p>
    <w:p w14:paraId="3D1293E7">
      <w:pPr>
        <w:spacing w:line="360" w:lineRule="auto"/>
        <w:rPr>
          <w:rFonts w:hint="eastAsia" w:ascii="宋体" w:hAnsi="宋体" w:eastAsia="宋体" w:cs="宋体"/>
          <w:b/>
          <w:color w:val="auto"/>
          <w:sz w:val="24"/>
          <w:highlight w:val="none"/>
        </w:rPr>
      </w:pPr>
    </w:p>
    <w:p w14:paraId="18E3ACBD">
      <w:pPr>
        <w:pStyle w:val="20"/>
        <w:spacing w:line="360" w:lineRule="auto"/>
        <w:ind w:left="0" w:leftChars="0" w:firstLine="0" w:firstLineChars="0"/>
        <w:rPr>
          <w:rFonts w:hint="eastAsia" w:ascii="宋体" w:hAnsi="宋体" w:eastAsia="宋体" w:cs="宋体"/>
          <w:color w:val="auto"/>
          <w:sz w:val="24"/>
          <w:highlight w:val="none"/>
        </w:rPr>
      </w:pPr>
    </w:p>
    <w:p w14:paraId="08A433E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011030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A005CE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C0951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2A8B70F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B4B64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41C0732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6、质疑供应商为自然人的，质疑函应由本人签字；质疑供应商为法人或者其他组织的，质疑函应由法定代表人（或分支机构负责人）、主要负责人，或者其授权代表签字或者盖章，并加盖公章。</w:t>
      </w:r>
    </w:p>
    <w:p w14:paraId="0BBE3AE1">
      <w:pPr>
        <w:snapToGrid w:val="0"/>
        <w:spacing w:line="300" w:lineRule="auto"/>
        <w:outlineLvl w:val="0"/>
        <w:rPr>
          <w:rFonts w:hint="eastAsia" w:ascii="宋体" w:hAnsi="宋体" w:eastAsia="宋体" w:cs="宋体"/>
          <w:color w:val="auto"/>
          <w:sz w:val="28"/>
          <w:szCs w:val="28"/>
          <w:highlight w:val="none"/>
        </w:rPr>
      </w:pPr>
    </w:p>
    <w:p w14:paraId="6CDC52A0">
      <w:pPr>
        <w:pStyle w:val="10"/>
        <w:rPr>
          <w:rFonts w:hint="eastAsia" w:ascii="宋体" w:hAnsi="宋体" w:eastAsia="宋体" w:cs="宋体"/>
          <w:color w:val="auto"/>
          <w:highlight w:val="none"/>
        </w:rPr>
      </w:pPr>
    </w:p>
    <w:p w14:paraId="1704A022">
      <w:pPr>
        <w:pStyle w:val="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……全文结束……</w:t>
      </w:r>
    </w:p>
    <w:p w14:paraId="4B4157ED">
      <w:pPr>
        <w:snapToGrid w:val="0"/>
        <w:spacing w:line="300" w:lineRule="auto"/>
        <w:outlineLvl w:val="0"/>
        <w:rPr>
          <w:rFonts w:hint="eastAsia" w:ascii="宋体" w:hAnsi="宋体" w:eastAsia="宋体" w:cs="宋体"/>
          <w:color w:val="auto"/>
          <w:sz w:val="28"/>
          <w:szCs w:val="28"/>
          <w:highlight w:val="none"/>
        </w:rPr>
      </w:pPr>
    </w:p>
    <w:p w14:paraId="44D4A6A7">
      <w:pPr>
        <w:snapToGrid w:val="0"/>
        <w:spacing w:line="500" w:lineRule="exact"/>
        <w:rPr>
          <w:rFonts w:hint="eastAsia" w:ascii="宋体" w:hAnsi="宋体" w:eastAsia="宋体" w:cs="宋体"/>
          <w:b/>
          <w:color w:val="auto"/>
          <w:sz w:val="28"/>
          <w:szCs w:val="28"/>
          <w:highlight w:val="none"/>
        </w:rPr>
      </w:pPr>
    </w:p>
    <w:p w14:paraId="522573F7">
      <w:pPr>
        <w:autoSpaceDE w:val="0"/>
        <w:autoSpaceDN w:val="0"/>
        <w:adjustRightInd w:val="0"/>
        <w:snapToGrid w:val="0"/>
        <w:spacing w:line="500" w:lineRule="exact"/>
        <w:contextualSpacing/>
        <w:rPr>
          <w:rFonts w:hint="eastAsia" w:ascii="宋体" w:hAnsi="宋体" w:eastAsia="宋体" w:cs="宋体"/>
          <w:b/>
          <w:bCs/>
          <w:color w:val="auto"/>
          <w:sz w:val="28"/>
          <w:szCs w:val="28"/>
          <w:highlight w:val="none"/>
        </w:rPr>
      </w:pPr>
    </w:p>
    <w:p w14:paraId="343972ED">
      <w:pPr>
        <w:snapToGrid w:val="0"/>
        <w:spacing w:line="500" w:lineRule="exact"/>
        <w:ind w:firstLine="562" w:firstLineChars="200"/>
        <w:contextualSpacing/>
        <w:outlineLvl w:val="0"/>
        <w:rPr>
          <w:rFonts w:hint="eastAsia" w:ascii="宋体" w:hAnsi="宋体" w:eastAsia="宋体" w:cs="宋体"/>
          <w:b/>
          <w:color w:val="auto"/>
          <w:sz w:val="28"/>
          <w:szCs w:val="28"/>
          <w:highlight w:val="none"/>
        </w:rPr>
      </w:pPr>
    </w:p>
    <w:p w14:paraId="0CE0E694">
      <w:pPr>
        <w:snapToGrid w:val="0"/>
        <w:spacing w:line="500" w:lineRule="exact"/>
        <w:ind w:firstLine="562" w:firstLineChars="200"/>
        <w:contextualSpacing/>
        <w:outlineLvl w:val="0"/>
        <w:rPr>
          <w:rFonts w:hint="eastAsia" w:ascii="宋体" w:hAnsi="宋体" w:eastAsia="宋体" w:cs="宋体"/>
          <w:b/>
          <w:color w:val="auto"/>
          <w:sz w:val="28"/>
          <w:szCs w:val="28"/>
          <w:highlight w:val="none"/>
        </w:rPr>
      </w:pPr>
    </w:p>
    <w:p w14:paraId="16AF957F">
      <w:pPr>
        <w:snapToGrid w:val="0"/>
        <w:spacing w:line="500" w:lineRule="exact"/>
        <w:ind w:firstLine="562" w:firstLineChars="200"/>
        <w:contextualSpacing/>
        <w:outlineLvl w:val="0"/>
        <w:rPr>
          <w:rFonts w:hint="eastAsia" w:ascii="宋体" w:hAnsi="宋体" w:eastAsia="宋体" w:cs="宋体"/>
          <w:b/>
          <w:color w:val="auto"/>
          <w:sz w:val="28"/>
          <w:szCs w:val="28"/>
          <w:highlight w:val="none"/>
        </w:rPr>
      </w:pPr>
    </w:p>
    <w:p w14:paraId="1AE3E87B">
      <w:pPr>
        <w:snapToGrid w:val="0"/>
        <w:spacing w:line="300" w:lineRule="auto"/>
        <w:outlineLvl w:val="0"/>
        <w:rPr>
          <w:rFonts w:hint="eastAsia" w:ascii="宋体" w:hAnsi="宋体" w:eastAsia="宋体" w:cs="宋体"/>
          <w:color w:val="auto"/>
          <w:sz w:val="32"/>
          <w:szCs w:val="32"/>
          <w:highlight w:val="none"/>
        </w:rPr>
      </w:pPr>
    </w:p>
    <w:sectPr>
      <w:pgSz w:w="11907" w:h="16839"/>
      <w:pgMar w:top="1440" w:right="1800" w:bottom="1440" w:left="1800"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50CF">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C3181">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8C3181">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1EE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80978F">
                          <w:pPr>
                            <w:pStyle w:val="15"/>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7980978F">
                    <w:pPr>
                      <w:pStyle w:val="15"/>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7557">
    <w:pPr>
      <w:pStyle w:val="16"/>
      <w:pBdr>
        <w:bottom w:val="none" w:color="auto" w:sz="0" w:space="1"/>
      </w:pBdr>
      <w:jc w:val="left"/>
    </w:pP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065FB"/>
    <w:multiLevelType w:val="singleLevel"/>
    <w:tmpl w:val="A77065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3YWZkYWVkMjcxZjQxZmNiNjMyNTE1YmY5ZTUxY2IifQ=="/>
  </w:docVars>
  <w:rsids>
    <w:rsidRoot w:val="00E01BF7"/>
    <w:rsid w:val="00002426"/>
    <w:rsid w:val="0001591A"/>
    <w:rsid w:val="00020FF9"/>
    <w:rsid w:val="00046F8B"/>
    <w:rsid w:val="00064F25"/>
    <w:rsid w:val="00084BF0"/>
    <w:rsid w:val="000A3E4E"/>
    <w:rsid w:val="000B2D23"/>
    <w:rsid w:val="000C6B4C"/>
    <w:rsid w:val="000D3DA7"/>
    <w:rsid w:val="000D5514"/>
    <w:rsid w:val="000D6A3E"/>
    <w:rsid w:val="000F4D53"/>
    <w:rsid w:val="001075CA"/>
    <w:rsid w:val="0011514A"/>
    <w:rsid w:val="00121978"/>
    <w:rsid w:val="0018274C"/>
    <w:rsid w:val="00183200"/>
    <w:rsid w:val="00185878"/>
    <w:rsid w:val="0019434E"/>
    <w:rsid w:val="001A2A29"/>
    <w:rsid w:val="001A3801"/>
    <w:rsid w:val="001A4C77"/>
    <w:rsid w:val="001A57B6"/>
    <w:rsid w:val="002209C7"/>
    <w:rsid w:val="002258F2"/>
    <w:rsid w:val="00253DB8"/>
    <w:rsid w:val="00286396"/>
    <w:rsid w:val="002943DE"/>
    <w:rsid w:val="002A4CD2"/>
    <w:rsid w:val="002E008E"/>
    <w:rsid w:val="0032167C"/>
    <w:rsid w:val="003260CA"/>
    <w:rsid w:val="00333B14"/>
    <w:rsid w:val="00355E2D"/>
    <w:rsid w:val="0036529A"/>
    <w:rsid w:val="00372B20"/>
    <w:rsid w:val="003A4DB8"/>
    <w:rsid w:val="003D7DEA"/>
    <w:rsid w:val="0040061B"/>
    <w:rsid w:val="004101A8"/>
    <w:rsid w:val="0042080F"/>
    <w:rsid w:val="004270C1"/>
    <w:rsid w:val="00440E3E"/>
    <w:rsid w:val="004559F0"/>
    <w:rsid w:val="004757C0"/>
    <w:rsid w:val="00475A70"/>
    <w:rsid w:val="004962BE"/>
    <w:rsid w:val="004A3F40"/>
    <w:rsid w:val="004A53BA"/>
    <w:rsid w:val="004B4A50"/>
    <w:rsid w:val="004C28CB"/>
    <w:rsid w:val="00506113"/>
    <w:rsid w:val="005249FD"/>
    <w:rsid w:val="00596963"/>
    <w:rsid w:val="005A72B7"/>
    <w:rsid w:val="005B7E2F"/>
    <w:rsid w:val="005C6D45"/>
    <w:rsid w:val="005E0847"/>
    <w:rsid w:val="00601D4F"/>
    <w:rsid w:val="00604B1C"/>
    <w:rsid w:val="006106FF"/>
    <w:rsid w:val="00625806"/>
    <w:rsid w:val="006273BC"/>
    <w:rsid w:val="00641A7C"/>
    <w:rsid w:val="00695412"/>
    <w:rsid w:val="0069744B"/>
    <w:rsid w:val="006B5968"/>
    <w:rsid w:val="006E6975"/>
    <w:rsid w:val="00746701"/>
    <w:rsid w:val="007477AD"/>
    <w:rsid w:val="00753CBB"/>
    <w:rsid w:val="00760229"/>
    <w:rsid w:val="00760BFE"/>
    <w:rsid w:val="00776C82"/>
    <w:rsid w:val="007B3A38"/>
    <w:rsid w:val="007C0B73"/>
    <w:rsid w:val="007C3970"/>
    <w:rsid w:val="007D7BD2"/>
    <w:rsid w:val="007E3DB5"/>
    <w:rsid w:val="007E7C62"/>
    <w:rsid w:val="007F4BBF"/>
    <w:rsid w:val="00846F7F"/>
    <w:rsid w:val="00860363"/>
    <w:rsid w:val="008B2A64"/>
    <w:rsid w:val="008D66CE"/>
    <w:rsid w:val="00904612"/>
    <w:rsid w:val="00941524"/>
    <w:rsid w:val="00945D47"/>
    <w:rsid w:val="009509EA"/>
    <w:rsid w:val="00996C9B"/>
    <w:rsid w:val="009B7718"/>
    <w:rsid w:val="009C0488"/>
    <w:rsid w:val="00A55D2C"/>
    <w:rsid w:val="00A80755"/>
    <w:rsid w:val="00A846EC"/>
    <w:rsid w:val="00AB010C"/>
    <w:rsid w:val="00B277B1"/>
    <w:rsid w:val="00B46733"/>
    <w:rsid w:val="00B91AB5"/>
    <w:rsid w:val="00BE08BB"/>
    <w:rsid w:val="00BF706B"/>
    <w:rsid w:val="00C06A9A"/>
    <w:rsid w:val="00C265A0"/>
    <w:rsid w:val="00C3792A"/>
    <w:rsid w:val="00C4116F"/>
    <w:rsid w:val="00C45203"/>
    <w:rsid w:val="00C54DEB"/>
    <w:rsid w:val="00C904DE"/>
    <w:rsid w:val="00C96D95"/>
    <w:rsid w:val="00CA0F76"/>
    <w:rsid w:val="00CD6F43"/>
    <w:rsid w:val="00CE7929"/>
    <w:rsid w:val="00D05CCE"/>
    <w:rsid w:val="00D11653"/>
    <w:rsid w:val="00D31125"/>
    <w:rsid w:val="00D33E8D"/>
    <w:rsid w:val="00D44615"/>
    <w:rsid w:val="00D607A8"/>
    <w:rsid w:val="00D676D6"/>
    <w:rsid w:val="00D7740E"/>
    <w:rsid w:val="00DB7C51"/>
    <w:rsid w:val="00DD2640"/>
    <w:rsid w:val="00DE5743"/>
    <w:rsid w:val="00DE5792"/>
    <w:rsid w:val="00E01BF7"/>
    <w:rsid w:val="00E0552D"/>
    <w:rsid w:val="00E10EDA"/>
    <w:rsid w:val="00E57D25"/>
    <w:rsid w:val="00E713E9"/>
    <w:rsid w:val="00EA0886"/>
    <w:rsid w:val="00EA368D"/>
    <w:rsid w:val="00EB1784"/>
    <w:rsid w:val="00EF4E55"/>
    <w:rsid w:val="00F73D3F"/>
    <w:rsid w:val="00F808E8"/>
    <w:rsid w:val="00FA08CA"/>
    <w:rsid w:val="00FD27DD"/>
    <w:rsid w:val="00FE7268"/>
    <w:rsid w:val="015920E6"/>
    <w:rsid w:val="01B963AA"/>
    <w:rsid w:val="02CD0E37"/>
    <w:rsid w:val="02CF7A3A"/>
    <w:rsid w:val="02E513F7"/>
    <w:rsid w:val="03575C81"/>
    <w:rsid w:val="03B44E81"/>
    <w:rsid w:val="03C12932"/>
    <w:rsid w:val="03D60954"/>
    <w:rsid w:val="0419220A"/>
    <w:rsid w:val="04673CA2"/>
    <w:rsid w:val="04E15802"/>
    <w:rsid w:val="05812CF7"/>
    <w:rsid w:val="05E05ABA"/>
    <w:rsid w:val="06420522"/>
    <w:rsid w:val="064222D0"/>
    <w:rsid w:val="06622973"/>
    <w:rsid w:val="06A63E36"/>
    <w:rsid w:val="06D3561E"/>
    <w:rsid w:val="06D849E3"/>
    <w:rsid w:val="07132B80"/>
    <w:rsid w:val="0781507A"/>
    <w:rsid w:val="080737D2"/>
    <w:rsid w:val="091A7535"/>
    <w:rsid w:val="092566B4"/>
    <w:rsid w:val="09526CCE"/>
    <w:rsid w:val="09BA4874"/>
    <w:rsid w:val="09BE6112"/>
    <w:rsid w:val="09D0490C"/>
    <w:rsid w:val="0A326B00"/>
    <w:rsid w:val="0A6749FB"/>
    <w:rsid w:val="0A9F4195"/>
    <w:rsid w:val="0ACA1CB9"/>
    <w:rsid w:val="0AF51A41"/>
    <w:rsid w:val="0B584344"/>
    <w:rsid w:val="0B7A075E"/>
    <w:rsid w:val="0C350F36"/>
    <w:rsid w:val="0DA46A47"/>
    <w:rsid w:val="0E424B41"/>
    <w:rsid w:val="0EBD2E3C"/>
    <w:rsid w:val="105A7C65"/>
    <w:rsid w:val="10857989"/>
    <w:rsid w:val="10EF4BAB"/>
    <w:rsid w:val="11164A85"/>
    <w:rsid w:val="117D0F57"/>
    <w:rsid w:val="119A7465"/>
    <w:rsid w:val="11A71B81"/>
    <w:rsid w:val="122138B8"/>
    <w:rsid w:val="12570120"/>
    <w:rsid w:val="129B16E6"/>
    <w:rsid w:val="12B44556"/>
    <w:rsid w:val="131274CE"/>
    <w:rsid w:val="13160D6D"/>
    <w:rsid w:val="133B7AA0"/>
    <w:rsid w:val="13E56991"/>
    <w:rsid w:val="13F15336"/>
    <w:rsid w:val="13FF7A53"/>
    <w:rsid w:val="143E7388"/>
    <w:rsid w:val="146975C2"/>
    <w:rsid w:val="14972381"/>
    <w:rsid w:val="15392994"/>
    <w:rsid w:val="156C5ADE"/>
    <w:rsid w:val="15836462"/>
    <w:rsid w:val="15CB42D8"/>
    <w:rsid w:val="160E7A0D"/>
    <w:rsid w:val="168D57EA"/>
    <w:rsid w:val="16A91EF8"/>
    <w:rsid w:val="171750B3"/>
    <w:rsid w:val="17244A0C"/>
    <w:rsid w:val="17382C4E"/>
    <w:rsid w:val="178564C1"/>
    <w:rsid w:val="17966EDF"/>
    <w:rsid w:val="17D70FE1"/>
    <w:rsid w:val="17EE22B8"/>
    <w:rsid w:val="180B10BC"/>
    <w:rsid w:val="18D94D16"/>
    <w:rsid w:val="19650358"/>
    <w:rsid w:val="197762DD"/>
    <w:rsid w:val="19AF3CC9"/>
    <w:rsid w:val="19BA176A"/>
    <w:rsid w:val="1A255D39"/>
    <w:rsid w:val="1A420699"/>
    <w:rsid w:val="1A583B8B"/>
    <w:rsid w:val="1AE71241"/>
    <w:rsid w:val="1B410951"/>
    <w:rsid w:val="1B754A9E"/>
    <w:rsid w:val="1C420E24"/>
    <w:rsid w:val="1C4E77C9"/>
    <w:rsid w:val="1C55007C"/>
    <w:rsid w:val="1C5B3C94"/>
    <w:rsid w:val="1CA05B4B"/>
    <w:rsid w:val="1CCC06EE"/>
    <w:rsid w:val="1D0165EA"/>
    <w:rsid w:val="1D306ECF"/>
    <w:rsid w:val="1D383FD6"/>
    <w:rsid w:val="1DD957B9"/>
    <w:rsid w:val="1E0D0FBE"/>
    <w:rsid w:val="1E5135A1"/>
    <w:rsid w:val="1EA449B6"/>
    <w:rsid w:val="1ED85A70"/>
    <w:rsid w:val="1F244811"/>
    <w:rsid w:val="1F4629DA"/>
    <w:rsid w:val="1F4B7FF0"/>
    <w:rsid w:val="20062169"/>
    <w:rsid w:val="203E1903"/>
    <w:rsid w:val="206B7D51"/>
    <w:rsid w:val="20834438"/>
    <w:rsid w:val="20E26732"/>
    <w:rsid w:val="218E68BA"/>
    <w:rsid w:val="222658FE"/>
    <w:rsid w:val="225C2514"/>
    <w:rsid w:val="22806203"/>
    <w:rsid w:val="23160915"/>
    <w:rsid w:val="23201B28"/>
    <w:rsid w:val="24D10F97"/>
    <w:rsid w:val="24EF313A"/>
    <w:rsid w:val="253357AE"/>
    <w:rsid w:val="25AB17E9"/>
    <w:rsid w:val="25F807A6"/>
    <w:rsid w:val="26C30DB4"/>
    <w:rsid w:val="277C72AD"/>
    <w:rsid w:val="27BB1A8B"/>
    <w:rsid w:val="27F07987"/>
    <w:rsid w:val="28D209A0"/>
    <w:rsid w:val="291C2759"/>
    <w:rsid w:val="294066EC"/>
    <w:rsid w:val="29453D02"/>
    <w:rsid w:val="296C754B"/>
    <w:rsid w:val="298716C0"/>
    <w:rsid w:val="29A70519"/>
    <w:rsid w:val="29F86FC6"/>
    <w:rsid w:val="2A5062E3"/>
    <w:rsid w:val="2A862824"/>
    <w:rsid w:val="2AD03C81"/>
    <w:rsid w:val="2B036A0C"/>
    <w:rsid w:val="2B0D4CF3"/>
    <w:rsid w:val="2B370546"/>
    <w:rsid w:val="2B830B12"/>
    <w:rsid w:val="2B9B4315"/>
    <w:rsid w:val="2C5E2C83"/>
    <w:rsid w:val="2C866B0B"/>
    <w:rsid w:val="2CD23AC7"/>
    <w:rsid w:val="2D2105E2"/>
    <w:rsid w:val="2D2F2CFF"/>
    <w:rsid w:val="2D80355B"/>
    <w:rsid w:val="2DA3549B"/>
    <w:rsid w:val="2DE01AD5"/>
    <w:rsid w:val="2EBD258D"/>
    <w:rsid w:val="2EBF00B3"/>
    <w:rsid w:val="3006424D"/>
    <w:rsid w:val="30534F57"/>
    <w:rsid w:val="308E2433"/>
    <w:rsid w:val="30BF0FAD"/>
    <w:rsid w:val="30C57FF6"/>
    <w:rsid w:val="30F23FAE"/>
    <w:rsid w:val="31216C40"/>
    <w:rsid w:val="31292574"/>
    <w:rsid w:val="312E29A5"/>
    <w:rsid w:val="3153274D"/>
    <w:rsid w:val="3153455E"/>
    <w:rsid w:val="31BC6B2B"/>
    <w:rsid w:val="32F12805"/>
    <w:rsid w:val="32FA790B"/>
    <w:rsid w:val="33226E62"/>
    <w:rsid w:val="335C6818"/>
    <w:rsid w:val="339A032E"/>
    <w:rsid w:val="33BF2903"/>
    <w:rsid w:val="34012F1B"/>
    <w:rsid w:val="34125129"/>
    <w:rsid w:val="344828F8"/>
    <w:rsid w:val="34A65035"/>
    <w:rsid w:val="34C12DD7"/>
    <w:rsid w:val="34DD5DFB"/>
    <w:rsid w:val="35505F08"/>
    <w:rsid w:val="356419B4"/>
    <w:rsid w:val="35D732EC"/>
    <w:rsid w:val="360B0081"/>
    <w:rsid w:val="36B349A1"/>
    <w:rsid w:val="37692E75"/>
    <w:rsid w:val="38003C16"/>
    <w:rsid w:val="387939C8"/>
    <w:rsid w:val="388B1145"/>
    <w:rsid w:val="3A5F274A"/>
    <w:rsid w:val="3AA976C2"/>
    <w:rsid w:val="3AF92B9E"/>
    <w:rsid w:val="3B1A0C17"/>
    <w:rsid w:val="3BA96372"/>
    <w:rsid w:val="3CBC3E83"/>
    <w:rsid w:val="3CD662D1"/>
    <w:rsid w:val="3D006466"/>
    <w:rsid w:val="3D066286"/>
    <w:rsid w:val="3D0A2E41"/>
    <w:rsid w:val="3D1826DE"/>
    <w:rsid w:val="3DBA6615"/>
    <w:rsid w:val="3E1C72D0"/>
    <w:rsid w:val="3EBF1A09"/>
    <w:rsid w:val="3EF773F5"/>
    <w:rsid w:val="3F4F0FDF"/>
    <w:rsid w:val="3F88629F"/>
    <w:rsid w:val="406B3BF6"/>
    <w:rsid w:val="40DC2D46"/>
    <w:rsid w:val="40E1210B"/>
    <w:rsid w:val="41211FB1"/>
    <w:rsid w:val="41932D5F"/>
    <w:rsid w:val="41EC7E8C"/>
    <w:rsid w:val="427B20EB"/>
    <w:rsid w:val="435E63F0"/>
    <w:rsid w:val="439C056B"/>
    <w:rsid w:val="442A3DC9"/>
    <w:rsid w:val="44330FFC"/>
    <w:rsid w:val="444D78C6"/>
    <w:rsid w:val="446A27E6"/>
    <w:rsid w:val="449D459A"/>
    <w:rsid w:val="44B042CE"/>
    <w:rsid w:val="44B73009"/>
    <w:rsid w:val="44D15673"/>
    <w:rsid w:val="451C7BB5"/>
    <w:rsid w:val="45B46040"/>
    <w:rsid w:val="462A00B0"/>
    <w:rsid w:val="46841EB6"/>
    <w:rsid w:val="47074701"/>
    <w:rsid w:val="47777325"/>
    <w:rsid w:val="47CF5D30"/>
    <w:rsid w:val="47D413D8"/>
    <w:rsid w:val="47F14FBA"/>
    <w:rsid w:val="47FE17F4"/>
    <w:rsid w:val="48164D90"/>
    <w:rsid w:val="48362D3C"/>
    <w:rsid w:val="492E7EB7"/>
    <w:rsid w:val="496438D9"/>
    <w:rsid w:val="499D2E36"/>
    <w:rsid w:val="49A168DB"/>
    <w:rsid w:val="4A0425CE"/>
    <w:rsid w:val="4A065549"/>
    <w:rsid w:val="4A2F038B"/>
    <w:rsid w:val="4A4A1D68"/>
    <w:rsid w:val="4A954692"/>
    <w:rsid w:val="4B0C692B"/>
    <w:rsid w:val="4B95421D"/>
    <w:rsid w:val="4BC468B1"/>
    <w:rsid w:val="4BE11211"/>
    <w:rsid w:val="4C1A4723"/>
    <w:rsid w:val="4C1F5A98"/>
    <w:rsid w:val="4C5E0AB3"/>
    <w:rsid w:val="4C746529"/>
    <w:rsid w:val="4C96024D"/>
    <w:rsid w:val="4CBD57DA"/>
    <w:rsid w:val="4D423F31"/>
    <w:rsid w:val="4DF12539"/>
    <w:rsid w:val="4E2F2707"/>
    <w:rsid w:val="4E630603"/>
    <w:rsid w:val="4E6B6CEB"/>
    <w:rsid w:val="4EB07D48"/>
    <w:rsid w:val="4ECA06EC"/>
    <w:rsid w:val="4EF97069"/>
    <w:rsid w:val="4F4421E2"/>
    <w:rsid w:val="4F55619D"/>
    <w:rsid w:val="4FD031F3"/>
    <w:rsid w:val="50D95217"/>
    <w:rsid w:val="50DC7142"/>
    <w:rsid w:val="50E02033"/>
    <w:rsid w:val="51121E6C"/>
    <w:rsid w:val="51244DE1"/>
    <w:rsid w:val="5124758E"/>
    <w:rsid w:val="51600360"/>
    <w:rsid w:val="516E79EA"/>
    <w:rsid w:val="51B11685"/>
    <w:rsid w:val="52A23C31"/>
    <w:rsid w:val="53424C8B"/>
    <w:rsid w:val="534F36CE"/>
    <w:rsid w:val="537E1A3B"/>
    <w:rsid w:val="54071A30"/>
    <w:rsid w:val="54324CFF"/>
    <w:rsid w:val="548E3F00"/>
    <w:rsid w:val="54FB1595"/>
    <w:rsid w:val="55007D93"/>
    <w:rsid w:val="551B39E5"/>
    <w:rsid w:val="55393E6B"/>
    <w:rsid w:val="55BF38EF"/>
    <w:rsid w:val="56187F25"/>
    <w:rsid w:val="565D5406"/>
    <w:rsid w:val="56951575"/>
    <w:rsid w:val="56FB1D20"/>
    <w:rsid w:val="576176AA"/>
    <w:rsid w:val="57763155"/>
    <w:rsid w:val="57C33EC0"/>
    <w:rsid w:val="57CC7219"/>
    <w:rsid w:val="58D83B51"/>
    <w:rsid w:val="59543849"/>
    <w:rsid w:val="596E2E3D"/>
    <w:rsid w:val="59C167A4"/>
    <w:rsid w:val="5A137381"/>
    <w:rsid w:val="5A6951F3"/>
    <w:rsid w:val="5AA91B06"/>
    <w:rsid w:val="5ADA7288"/>
    <w:rsid w:val="5AE74E3A"/>
    <w:rsid w:val="5B0F6FF4"/>
    <w:rsid w:val="5B8F47E5"/>
    <w:rsid w:val="5BF631E8"/>
    <w:rsid w:val="5D3277E9"/>
    <w:rsid w:val="5DA622BA"/>
    <w:rsid w:val="5DCF7A63"/>
    <w:rsid w:val="5DE352BC"/>
    <w:rsid w:val="5E06209B"/>
    <w:rsid w:val="5E0D5C3A"/>
    <w:rsid w:val="5E7040EB"/>
    <w:rsid w:val="601D1297"/>
    <w:rsid w:val="60314C38"/>
    <w:rsid w:val="60911000"/>
    <w:rsid w:val="616618D3"/>
    <w:rsid w:val="61B72569"/>
    <w:rsid w:val="61EA6C19"/>
    <w:rsid w:val="62013F63"/>
    <w:rsid w:val="622B0FE0"/>
    <w:rsid w:val="631A352E"/>
    <w:rsid w:val="637A2E0D"/>
    <w:rsid w:val="63A4104A"/>
    <w:rsid w:val="640F0BB9"/>
    <w:rsid w:val="644C7331"/>
    <w:rsid w:val="64A13B2C"/>
    <w:rsid w:val="64A532CB"/>
    <w:rsid w:val="6509385A"/>
    <w:rsid w:val="65515201"/>
    <w:rsid w:val="656A1E1F"/>
    <w:rsid w:val="657E5140"/>
    <w:rsid w:val="65855A5A"/>
    <w:rsid w:val="659A1371"/>
    <w:rsid w:val="65B8702E"/>
    <w:rsid w:val="66756CCD"/>
    <w:rsid w:val="66DE4873"/>
    <w:rsid w:val="66FD119D"/>
    <w:rsid w:val="673B1534"/>
    <w:rsid w:val="674A015A"/>
    <w:rsid w:val="67542D87"/>
    <w:rsid w:val="67C37B45"/>
    <w:rsid w:val="67F65BEC"/>
    <w:rsid w:val="687E00BB"/>
    <w:rsid w:val="68B7537B"/>
    <w:rsid w:val="6960066A"/>
    <w:rsid w:val="697F233D"/>
    <w:rsid w:val="69803E30"/>
    <w:rsid w:val="6A674B7F"/>
    <w:rsid w:val="6A935974"/>
    <w:rsid w:val="6AA47B81"/>
    <w:rsid w:val="6ACC4EDE"/>
    <w:rsid w:val="6B3B2294"/>
    <w:rsid w:val="6B827EC3"/>
    <w:rsid w:val="6BBE4C73"/>
    <w:rsid w:val="6BC009EB"/>
    <w:rsid w:val="6BC13960"/>
    <w:rsid w:val="6C315445"/>
    <w:rsid w:val="6C34340D"/>
    <w:rsid w:val="6C8B48C0"/>
    <w:rsid w:val="6C8E63D5"/>
    <w:rsid w:val="6CA1081C"/>
    <w:rsid w:val="6DBE71AC"/>
    <w:rsid w:val="6E1374F8"/>
    <w:rsid w:val="6E166FE8"/>
    <w:rsid w:val="6E87721D"/>
    <w:rsid w:val="6E91666F"/>
    <w:rsid w:val="6EE16F04"/>
    <w:rsid w:val="6EFA2E6D"/>
    <w:rsid w:val="6F302B7D"/>
    <w:rsid w:val="6F640AC2"/>
    <w:rsid w:val="6F8A10CB"/>
    <w:rsid w:val="6F8F2BAE"/>
    <w:rsid w:val="6F9F33B0"/>
    <w:rsid w:val="6FAC09CA"/>
    <w:rsid w:val="707F2C23"/>
    <w:rsid w:val="70C8113D"/>
    <w:rsid w:val="71F25676"/>
    <w:rsid w:val="72AF4820"/>
    <w:rsid w:val="733028E3"/>
    <w:rsid w:val="73DC65DE"/>
    <w:rsid w:val="74192A57"/>
    <w:rsid w:val="747A4220"/>
    <w:rsid w:val="74AA2238"/>
    <w:rsid w:val="74EE3F2E"/>
    <w:rsid w:val="75104791"/>
    <w:rsid w:val="75121411"/>
    <w:rsid w:val="754937FF"/>
    <w:rsid w:val="759C6025"/>
    <w:rsid w:val="75A1188D"/>
    <w:rsid w:val="76550BEF"/>
    <w:rsid w:val="7659152B"/>
    <w:rsid w:val="7685658D"/>
    <w:rsid w:val="76F105F2"/>
    <w:rsid w:val="771A5B58"/>
    <w:rsid w:val="77495D38"/>
    <w:rsid w:val="77511122"/>
    <w:rsid w:val="77671944"/>
    <w:rsid w:val="77901822"/>
    <w:rsid w:val="77CE4490"/>
    <w:rsid w:val="77F965DF"/>
    <w:rsid w:val="78063C29"/>
    <w:rsid w:val="781520BE"/>
    <w:rsid w:val="78484242"/>
    <w:rsid w:val="78E41314"/>
    <w:rsid w:val="79752217"/>
    <w:rsid w:val="7A1C14E2"/>
    <w:rsid w:val="7A8552D9"/>
    <w:rsid w:val="7AC34054"/>
    <w:rsid w:val="7AD46E57"/>
    <w:rsid w:val="7B21693E"/>
    <w:rsid w:val="7B33520C"/>
    <w:rsid w:val="7B38067F"/>
    <w:rsid w:val="7BEF465B"/>
    <w:rsid w:val="7C06244A"/>
    <w:rsid w:val="7C495ABF"/>
    <w:rsid w:val="7C4E5B9F"/>
    <w:rsid w:val="7C7A160E"/>
    <w:rsid w:val="7CD6006E"/>
    <w:rsid w:val="7D8948E1"/>
    <w:rsid w:val="7DF6029C"/>
    <w:rsid w:val="7E0F7639"/>
    <w:rsid w:val="7E18267F"/>
    <w:rsid w:val="7E4B683A"/>
    <w:rsid w:val="7F10538E"/>
    <w:rsid w:val="7F300390"/>
    <w:rsid w:val="7F4643AB"/>
    <w:rsid w:val="7F7724CF"/>
    <w:rsid w:val="7FBD72C3"/>
    <w:rsid w:val="7FE42AA2"/>
    <w:rsid w:val="7FEC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3"/>
    <w:autoRedefine/>
    <w:qFormat/>
    <w:uiPriority w:val="0"/>
    <w:pPr>
      <w:keepNext/>
      <w:jc w:val="center"/>
      <w:outlineLvl w:val="3"/>
    </w:pPr>
    <w:rPr>
      <w:rFonts w:eastAsia="新宋体"/>
      <w:sz w:val="30"/>
      <w:szCs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4"/>
    <w:autoRedefine/>
    <w:qFormat/>
    <w:uiPriority w:val="0"/>
    <w:pPr>
      <w:ind w:firstLine="420"/>
    </w:pPr>
    <w:rPr>
      <w:szCs w:val="20"/>
    </w:rPr>
  </w:style>
  <w:style w:type="paragraph" w:styleId="7">
    <w:name w:val="Document Map"/>
    <w:basedOn w:val="1"/>
    <w:link w:val="45"/>
    <w:autoRedefine/>
    <w:semiHidden/>
    <w:qFormat/>
    <w:uiPriority w:val="0"/>
    <w:pPr>
      <w:shd w:val="clear" w:color="auto" w:fill="000080"/>
    </w:pPr>
  </w:style>
  <w:style w:type="paragraph" w:styleId="8">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autoRedefine/>
    <w:unhideWhenUsed/>
    <w:qFormat/>
    <w:uiPriority w:val="99"/>
    <w:pPr>
      <w:jc w:val="left"/>
    </w:pPr>
  </w:style>
  <w:style w:type="paragraph" w:styleId="10">
    <w:name w:val="Body Text"/>
    <w:basedOn w:val="1"/>
    <w:next w:val="1"/>
    <w:autoRedefine/>
    <w:qFormat/>
    <w:uiPriority w:val="0"/>
    <w:pPr>
      <w:spacing w:after="120"/>
    </w:pPr>
  </w:style>
  <w:style w:type="paragraph" w:styleId="11">
    <w:name w:val="Body Text Indent"/>
    <w:basedOn w:val="1"/>
    <w:next w:val="12"/>
    <w:link w:val="46"/>
    <w:autoRedefine/>
    <w:qFormat/>
    <w:uiPriority w:val="0"/>
    <w:pPr>
      <w:spacing w:after="120"/>
      <w:ind w:left="420" w:leftChars="200"/>
    </w:pPr>
  </w:style>
  <w:style w:type="paragraph" w:styleId="12">
    <w:name w:val="envelope return"/>
    <w:basedOn w:val="1"/>
    <w:autoRedefine/>
    <w:unhideWhenUsed/>
    <w:qFormat/>
    <w:uiPriority w:val="99"/>
    <w:pPr>
      <w:snapToGrid w:val="0"/>
    </w:pPr>
    <w:rPr>
      <w:rFonts w:ascii="Arial" w:hAnsi="Arial"/>
    </w:rPr>
  </w:style>
  <w:style w:type="paragraph" w:styleId="13">
    <w:name w:val="Date"/>
    <w:basedOn w:val="1"/>
    <w:next w:val="1"/>
    <w:link w:val="47"/>
    <w:autoRedefine/>
    <w:qFormat/>
    <w:uiPriority w:val="0"/>
    <w:pPr>
      <w:ind w:left="100" w:leftChars="2500"/>
    </w:pPr>
  </w:style>
  <w:style w:type="paragraph" w:styleId="14">
    <w:name w:val="Balloon Text"/>
    <w:basedOn w:val="1"/>
    <w:link w:val="48"/>
    <w:autoRedefine/>
    <w:semiHidden/>
    <w:qFormat/>
    <w:uiPriority w:val="0"/>
    <w:rPr>
      <w:sz w:val="18"/>
      <w:szCs w:val="18"/>
    </w:rPr>
  </w:style>
  <w:style w:type="paragraph" w:styleId="15">
    <w:name w:val="footer"/>
    <w:basedOn w:val="1"/>
    <w:link w:val="49"/>
    <w:autoRedefine/>
    <w:qFormat/>
    <w:uiPriority w:val="99"/>
    <w:pPr>
      <w:tabs>
        <w:tab w:val="center" w:pos="4153"/>
        <w:tab w:val="right" w:pos="8306"/>
      </w:tabs>
      <w:snapToGrid w:val="0"/>
      <w:jc w:val="left"/>
    </w:pPr>
    <w:rPr>
      <w:sz w:val="18"/>
      <w:szCs w:val="18"/>
    </w:rPr>
  </w:style>
  <w:style w:type="paragraph" w:styleId="16">
    <w:name w:val="header"/>
    <w:basedOn w:val="1"/>
    <w:link w:val="50"/>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next w:val="8"/>
    <w:link w:val="51"/>
    <w:autoRedefine/>
    <w:qFormat/>
    <w:uiPriority w:val="0"/>
    <w:pPr>
      <w:spacing w:line="520" w:lineRule="exact"/>
      <w:ind w:firstLine="539" w:firstLineChars="184"/>
    </w:pPr>
    <w:rPr>
      <w:rFonts w:ascii="宋体"/>
      <w:b/>
      <w:spacing w:val="6"/>
      <w:sz w:val="28"/>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10"/>
    <w:autoRedefine/>
    <w:qFormat/>
    <w:uiPriority w:val="0"/>
    <w:pPr>
      <w:tabs>
        <w:tab w:val="left" w:pos="2020"/>
        <w:tab w:val="center" w:pos="4535"/>
      </w:tabs>
      <w:ind w:firstLine="420" w:firstLineChars="100"/>
    </w:pPr>
  </w:style>
  <w:style w:type="paragraph" w:styleId="20">
    <w:name w:val="Body Text First Indent 2"/>
    <w:basedOn w:val="11"/>
    <w:next w:val="1"/>
    <w:autoRedefine/>
    <w:unhideWhenUsed/>
    <w:qFormat/>
    <w:uiPriority w:val="99"/>
    <w:pPr>
      <w:ind w:firstLine="200" w:firstLineChars="200"/>
    </w:p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22"/>
    <w:rPr>
      <w:b/>
      <w:bCs/>
    </w:rPr>
  </w:style>
  <w:style w:type="character" w:styleId="25">
    <w:name w:val="page number"/>
    <w:autoRedefine/>
    <w:qFormat/>
    <w:uiPriority w:val="0"/>
  </w:style>
  <w:style w:type="character" w:styleId="26">
    <w:name w:val="FollowedHyperlink"/>
    <w:autoRedefine/>
    <w:unhideWhenUsed/>
    <w:qFormat/>
    <w:uiPriority w:val="99"/>
    <w:rPr>
      <w:color w:val="800080"/>
      <w:u w:val="none"/>
    </w:rPr>
  </w:style>
  <w:style w:type="character" w:styleId="27">
    <w:name w:val="Emphasis"/>
    <w:autoRedefine/>
    <w:qFormat/>
    <w:uiPriority w:val="0"/>
    <w:rPr>
      <w:b/>
      <w:bCs/>
    </w:rPr>
  </w:style>
  <w:style w:type="character" w:styleId="28">
    <w:name w:val="HTML Definition"/>
    <w:autoRedefine/>
    <w:unhideWhenUsed/>
    <w:qFormat/>
    <w:uiPriority w:val="99"/>
  </w:style>
  <w:style w:type="character" w:styleId="29">
    <w:name w:val="HTML Typewriter"/>
    <w:autoRedefine/>
    <w:unhideWhenUsed/>
    <w:qFormat/>
    <w:uiPriority w:val="99"/>
    <w:rPr>
      <w:rFonts w:hint="default" w:ascii="monospace" w:hAnsi="monospace" w:eastAsia="monospace" w:cs="monospace"/>
      <w:sz w:val="20"/>
    </w:rPr>
  </w:style>
  <w:style w:type="character" w:styleId="30">
    <w:name w:val="HTML Acronym"/>
    <w:autoRedefine/>
    <w:unhideWhenUsed/>
    <w:qFormat/>
    <w:uiPriority w:val="99"/>
  </w:style>
  <w:style w:type="character" w:styleId="31">
    <w:name w:val="HTML Variable"/>
    <w:autoRedefine/>
    <w:unhideWhenUsed/>
    <w:qFormat/>
    <w:uiPriority w:val="99"/>
  </w:style>
  <w:style w:type="character" w:styleId="32">
    <w:name w:val="Hyperlink"/>
    <w:autoRedefine/>
    <w:unhideWhenUsed/>
    <w:qFormat/>
    <w:uiPriority w:val="99"/>
    <w:rPr>
      <w:color w:val="0000FF"/>
      <w:u w:val="none"/>
    </w:rPr>
  </w:style>
  <w:style w:type="character" w:styleId="33">
    <w:name w:val="HTML Code"/>
    <w:autoRedefine/>
    <w:unhideWhenUsed/>
    <w:qFormat/>
    <w:uiPriority w:val="99"/>
    <w:rPr>
      <w:rFonts w:hint="default" w:ascii="monospace" w:hAnsi="monospace" w:eastAsia="monospace" w:cs="monospace"/>
      <w:sz w:val="20"/>
    </w:rPr>
  </w:style>
  <w:style w:type="character" w:styleId="34">
    <w:name w:val="HTML Cite"/>
    <w:autoRedefine/>
    <w:unhideWhenUsed/>
    <w:qFormat/>
    <w:uiPriority w:val="99"/>
  </w:style>
  <w:style w:type="character" w:styleId="35">
    <w:name w:val="HTML Keyboard"/>
    <w:autoRedefine/>
    <w:unhideWhenUsed/>
    <w:qFormat/>
    <w:uiPriority w:val="99"/>
    <w:rPr>
      <w:rFonts w:ascii="monospace" w:hAnsi="monospace" w:eastAsia="monospace" w:cs="monospace"/>
      <w:sz w:val="20"/>
    </w:rPr>
  </w:style>
  <w:style w:type="character" w:styleId="36">
    <w:name w:val="HTML Sample"/>
    <w:autoRedefine/>
    <w:unhideWhenUsed/>
    <w:qFormat/>
    <w:uiPriority w:val="99"/>
    <w:rPr>
      <w:rFonts w:hint="default" w:ascii="monospace" w:hAnsi="monospace" w:eastAsia="monospace" w:cs="monospace"/>
    </w:rPr>
  </w:style>
  <w:style w:type="paragraph" w:customStyle="1" w:styleId="37">
    <w:name w:val="style4"/>
    <w:basedOn w:val="1"/>
    <w:next w:val="38"/>
    <w:autoRedefine/>
    <w:qFormat/>
    <w:uiPriority w:val="0"/>
    <w:pPr>
      <w:widowControl/>
      <w:spacing w:before="280" w:after="280"/>
    </w:pPr>
    <w:rPr>
      <w:rFonts w:ascii="宋体"/>
      <w:sz w:val="18"/>
    </w:rPr>
  </w:style>
  <w:style w:type="paragraph" w:customStyle="1" w:styleId="38">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正文1"/>
    <w:basedOn w:val="1"/>
    <w:autoRedefine/>
    <w:qFormat/>
    <w:uiPriority w:val="0"/>
    <w:pPr>
      <w:spacing w:line="360" w:lineRule="auto"/>
      <w:ind w:firstLine="361"/>
    </w:pPr>
    <w:rPr>
      <w:rFonts w:ascii="宋体" w:hAnsi="宋体"/>
    </w:rPr>
  </w:style>
  <w:style w:type="character" w:customStyle="1" w:styleId="40">
    <w:name w:val="标题 1 字符"/>
    <w:link w:val="2"/>
    <w:autoRedefine/>
    <w:qFormat/>
    <w:uiPriority w:val="0"/>
    <w:rPr>
      <w:b/>
      <w:bCs/>
      <w:kern w:val="44"/>
      <w:sz w:val="44"/>
      <w:szCs w:val="44"/>
    </w:rPr>
  </w:style>
  <w:style w:type="character" w:customStyle="1" w:styleId="41">
    <w:name w:val="标题 2 字符"/>
    <w:autoRedefine/>
    <w:qFormat/>
    <w:uiPriority w:val="0"/>
    <w:rPr>
      <w:rFonts w:ascii="Arial" w:hAnsi="Arial" w:eastAsia="黑体"/>
      <w:b/>
      <w:bCs/>
      <w:kern w:val="2"/>
      <w:sz w:val="32"/>
      <w:szCs w:val="32"/>
    </w:rPr>
  </w:style>
  <w:style w:type="character" w:customStyle="1" w:styleId="42">
    <w:name w:val="标题 3 字符"/>
    <w:link w:val="4"/>
    <w:autoRedefine/>
    <w:qFormat/>
    <w:uiPriority w:val="0"/>
    <w:rPr>
      <w:b/>
      <w:bCs/>
      <w:kern w:val="2"/>
      <w:sz w:val="32"/>
      <w:szCs w:val="32"/>
    </w:rPr>
  </w:style>
  <w:style w:type="character" w:customStyle="1" w:styleId="43">
    <w:name w:val="标题 4 字符"/>
    <w:link w:val="5"/>
    <w:autoRedefine/>
    <w:qFormat/>
    <w:uiPriority w:val="0"/>
    <w:rPr>
      <w:rFonts w:eastAsia="新宋体"/>
      <w:kern w:val="2"/>
      <w:sz w:val="30"/>
      <w:szCs w:val="21"/>
    </w:rPr>
  </w:style>
  <w:style w:type="character" w:customStyle="1" w:styleId="44">
    <w:name w:val="正文缩进 字符"/>
    <w:link w:val="6"/>
    <w:autoRedefine/>
    <w:qFormat/>
    <w:uiPriority w:val="0"/>
    <w:rPr>
      <w:kern w:val="2"/>
      <w:sz w:val="21"/>
    </w:rPr>
  </w:style>
  <w:style w:type="character" w:customStyle="1" w:styleId="45">
    <w:name w:val="文档结构图 字符"/>
    <w:link w:val="7"/>
    <w:autoRedefine/>
    <w:semiHidden/>
    <w:qFormat/>
    <w:uiPriority w:val="0"/>
    <w:rPr>
      <w:kern w:val="2"/>
      <w:sz w:val="21"/>
      <w:szCs w:val="24"/>
      <w:shd w:val="clear" w:color="auto" w:fill="000080"/>
    </w:rPr>
  </w:style>
  <w:style w:type="character" w:customStyle="1" w:styleId="46">
    <w:name w:val="正文文本缩进 字符"/>
    <w:link w:val="11"/>
    <w:autoRedefine/>
    <w:qFormat/>
    <w:uiPriority w:val="0"/>
    <w:rPr>
      <w:kern w:val="2"/>
      <w:sz w:val="21"/>
      <w:szCs w:val="24"/>
    </w:rPr>
  </w:style>
  <w:style w:type="character" w:customStyle="1" w:styleId="47">
    <w:name w:val="日期 字符"/>
    <w:link w:val="13"/>
    <w:autoRedefine/>
    <w:qFormat/>
    <w:uiPriority w:val="0"/>
    <w:rPr>
      <w:kern w:val="2"/>
      <w:sz w:val="21"/>
      <w:szCs w:val="24"/>
    </w:rPr>
  </w:style>
  <w:style w:type="character" w:customStyle="1" w:styleId="48">
    <w:name w:val="批注框文本 字符"/>
    <w:link w:val="14"/>
    <w:autoRedefine/>
    <w:semiHidden/>
    <w:qFormat/>
    <w:uiPriority w:val="0"/>
    <w:rPr>
      <w:kern w:val="2"/>
      <w:sz w:val="18"/>
      <w:szCs w:val="18"/>
    </w:rPr>
  </w:style>
  <w:style w:type="character" w:customStyle="1" w:styleId="49">
    <w:name w:val="页脚 字符"/>
    <w:link w:val="15"/>
    <w:autoRedefine/>
    <w:qFormat/>
    <w:uiPriority w:val="99"/>
    <w:rPr>
      <w:kern w:val="2"/>
      <w:sz w:val="18"/>
      <w:szCs w:val="18"/>
    </w:rPr>
  </w:style>
  <w:style w:type="character" w:customStyle="1" w:styleId="50">
    <w:name w:val="页眉 字符"/>
    <w:link w:val="16"/>
    <w:autoRedefine/>
    <w:qFormat/>
    <w:uiPriority w:val="99"/>
    <w:rPr>
      <w:kern w:val="2"/>
      <w:sz w:val="18"/>
      <w:szCs w:val="18"/>
    </w:rPr>
  </w:style>
  <w:style w:type="character" w:customStyle="1" w:styleId="51">
    <w:name w:val="正文文本缩进 3 字符"/>
    <w:link w:val="17"/>
    <w:autoRedefine/>
    <w:qFormat/>
    <w:uiPriority w:val="0"/>
    <w:rPr>
      <w:rFonts w:ascii="宋体"/>
      <w:b/>
      <w:spacing w:val="6"/>
      <w:kern w:val="2"/>
      <w:sz w:val="28"/>
      <w:szCs w:val="24"/>
    </w:rPr>
  </w:style>
  <w:style w:type="character" w:customStyle="1" w:styleId="52">
    <w:name w:val="正文缩进2格 Char"/>
    <w:link w:val="53"/>
    <w:autoRedefine/>
    <w:qFormat/>
    <w:locked/>
    <w:uiPriority w:val="0"/>
    <w:rPr>
      <w:rFonts w:ascii="仿宋_GB2312" w:hAnsi="宋体" w:eastAsia="仿宋_GB2312"/>
      <w:kern w:val="2"/>
      <w:sz w:val="31"/>
      <w:szCs w:val="28"/>
    </w:rPr>
  </w:style>
  <w:style w:type="paragraph" w:customStyle="1" w:styleId="53">
    <w:name w:val="正文缩进2格"/>
    <w:basedOn w:val="1"/>
    <w:link w:val="52"/>
    <w:autoRedefine/>
    <w:qFormat/>
    <w:uiPriority w:val="0"/>
    <w:pPr>
      <w:spacing w:line="600" w:lineRule="exact"/>
      <w:ind w:firstLine="639" w:firstLineChars="206"/>
    </w:pPr>
    <w:rPr>
      <w:rFonts w:ascii="仿宋_GB2312" w:hAnsi="宋体" w:eastAsia="仿宋_GB2312"/>
      <w:sz w:val="31"/>
      <w:szCs w:val="28"/>
    </w:rPr>
  </w:style>
  <w:style w:type="character" w:customStyle="1" w:styleId="54">
    <w:name w:val="标题 3.1 Char"/>
    <w:link w:val="55"/>
    <w:autoRedefine/>
    <w:qFormat/>
    <w:locked/>
    <w:uiPriority w:val="0"/>
    <w:rPr>
      <w:rFonts w:ascii="宋体" w:hAnsi="宋体"/>
      <w:b/>
      <w:bCs/>
      <w:color w:val="000000"/>
      <w:kern w:val="2"/>
      <w:sz w:val="32"/>
      <w:szCs w:val="32"/>
    </w:rPr>
  </w:style>
  <w:style w:type="paragraph" w:customStyle="1" w:styleId="55">
    <w:name w:val="标题 3.1"/>
    <w:basedOn w:val="4"/>
    <w:link w:val="54"/>
    <w:autoRedefine/>
    <w:qFormat/>
    <w:uiPriority w:val="0"/>
    <w:pPr>
      <w:tabs>
        <w:tab w:val="left" w:pos="1440"/>
        <w:tab w:val="left" w:pos="1620"/>
      </w:tabs>
      <w:spacing w:line="600" w:lineRule="exact"/>
    </w:pPr>
    <w:rPr>
      <w:rFonts w:ascii="宋体" w:hAnsi="宋体"/>
      <w:color w:val="000000"/>
    </w:rPr>
  </w:style>
  <w:style w:type="paragraph" w:customStyle="1" w:styleId="56">
    <w:name w:val="Char"/>
    <w:basedOn w:val="1"/>
    <w:autoRedefine/>
    <w:qFormat/>
    <w:uiPriority w:val="0"/>
    <w:rPr>
      <w:rFonts w:ascii="Tahoma" w:hAnsi="Tahoma"/>
      <w:sz w:val="24"/>
      <w:szCs w:val="20"/>
    </w:rPr>
  </w:style>
  <w:style w:type="paragraph" w:customStyle="1" w:styleId="57">
    <w:name w:val="正文缩进4格"/>
    <w:basedOn w:val="53"/>
    <w:autoRedefine/>
    <w:qFormat/>
    <w:uiPriority w:val="0"/>
    <w:pPr>
      <w:ind w:left="2" w:firstLine="538" w:firstLineChars="192"/>
    </w:pPr>
    <w:rPr>
      <w:color w:val="000000"/>
      <w:sz w:val="28"/>
    </w:rPr>
  </w:style>
  <w:style w:type="paragraph" w:customStyle="1" w:styleId="58">
    <w:name w:val="Char Char Char Char"/>
    <w:basedOn w:val="1"/>
    <w:autoRedefine/>
    <w:qFormat/>
    <w:uiPriority w:val="0"/>
    <w:rPr>
      <w:rFonts w:ascii="Tahoma" w:hAnsi="Tahoma"/>
      <w:sz w:val="24"/>
      <w:szCs w:val="20"/>
    </w:rPr>
  </w:style>
  <w:style w:type="paragraph" w:customStyle="1" w:styleId="59">
    <w:name w:val="Char1"/>
    <w:basedOn w:val="1"/>
    <w:autoRedefine/>
    <w:qFormat/>
    <w:uiPriority w:val="0"/>
    <w:pPr>
      <w:tabs>
        <w:tab w:val="left" w:pos="840"/>
      </w:tabs>
      <w:ind w:left="840" w:hanging="420"/>
    </w:pPr>
    <w:rPr>
      <w:sz w:val="24"/>
    </w:rPr>
  </w:style>
  <w:style w:type="paragraph" w:customStyle="1" w:styleId="6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3">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4">
    <w:name w:val="Char2"/>
    <w:basedOn w:val="1"/>
    <w:autoRedefine/>
    <w:qFormat/>
    <w:uiPriority w:val="0"/>
    <w:rPr>
      <w:rFonts w:ascii="Tahoma" w:hAnsi="Tahoma"/>
      <w:sz w:val="24"/>
      <w:szCs w:val="20"/>
    </w:rPr>
  </w:style>
  <w:style w:type="paragraph" w:customStyle="1" w:styleId="65">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66">
    <w:name w:val="普通正文 Char"/>
    <w:link w:val="67"/>
    <w:autoRedefine/>
    <w:qFormat/>
    <w:uiPriority w:val="0"/>
    <w:rPr>
      <w:rFonts w:ascii="Arial" w:hAnsi="Arial"/>
      <w:sz w:val="24"/>
      <w:szCs w:val="24"/>
    </w:rPr>
  </w:style>
  <w:style w:type="paragraph" w:customStyle="1" w:styleId="67">
    <w:name w:val="普通正文"/>
    <w:basedOn w:val="1"/>
    <w:link w:val="66"/>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8">
    <w:name w:val="mini-outputtext1"/>
    <w:autoRedefine/>
    <w:qFormat/>
    <w:uiPriority w:val="0"/>
  </w:style>
  <w:style w:type="character" w:customStyle="1" w:styleId="69">
    <w:name w:val="font31"/>
    <w:autoRedefine/>
    <w:qFormat/>
    <w:uiPriority w:val="0"/>
    <w:rPr>
      <w:rFonts w:hint="eastAsia" w:ascii="宋体" w:hAnsi="宋体" w:eastAsia="宋体" w:cs="宋体"/>
      <w:color w:val="000000"/>
      <w:sz w:val="21"/>
      <w:szCs w:val="21"/>
      <w:u w:val="none"/>
    </w:rPr>
  </w:style>
  <w:style w:type="character" w:customStyle="1" w:styleId="70">
    <w:name w:val="font61"/>
    <w:autoRedefine/>
    <w:qFormat/>
    <w:uiPriority w:val="0"/>
    <w:rPr>
      <w:rFonts w:hint="default" w:ascii="Times New Roman" w:hAnsi="Times New Roman" w:cs="Times New Roman"/>
      <w:color w:val="000000"/>
      <w:sz w:val="21"/>
      <w:szCs w:val="21"/>
      <w:u w:val="none"/>
    </w:rPr>
  </w:style>
  <w:style w:type="character" w:customStyle="1" w:styleId="71">
    <w:name w:val="font01"/>
    <w:autoRedefine/>
    <w:qFormat/>
    <w:uiPriority w:val="0"/>
    <w:rPr>
      <w:rFonts w:hint="default" w:ascii="等线" w:hAnsi="等线" w:eastAsia="等线" w:cs="等线"/>
      <w:color w:val="000000"/>
      <w:sz w:val="22"/>
      <w:szCs w:val="22"/>
      <w:u w:val="none"/>
    </w:rPr>
  </w:style>
  <w:style w:type="character" w:customStyle="1" w:styleId="72">
    <w:name w:val="font51"/>
    <w:autoRedefine/>
    <w:qFormat/>
    <w:uiPriority w:val="0"/>
    <w:rPr>
      <w:rFonts w:hint="default" w:ascii="等线" w:hAnsi="等线" w:eastAsia="等线" w:cs="等线"/>
      <w:b/>
      <w:bCs/>
      <w:color w:val="000000"/>
      <w:sz w:val="22"/>
      <w:szCs w:val="22"/>
      <w:u w:val="none"/>
    </w:rPr>
  </w:style>
  <w:style w:type="paragraph" w:customStyle="1" w:styleId="73">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4">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75">
    <w:name w:val="网格型1"/>
    <w:basedOn w:val="21"/>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
    <w:name w:val="sh4"/>
    <w:basedOn w:val="1"/>
    <w:link w:val="80"/>
    <w:autoRedefine/>
    <w:qFormat/>
    <w:uiPriority w:val="0"/>
    <w:pPr>
      <w:spacing w:line="460" w:lineRule="exact"/>
      <w:ind w:firstLine="420" w:firstLineChars="200"/>
    </w:pPr>
    <w:rPr>
      <w:rFonts w:ascii="宋体" w:hAnsi="宋体"/>
      <w:szCs w:val="21"/>
    </w:rPr>
  </w:style>
  <w:style w:type="character" w:customStyle="1" w:styleId="77">
    <w:name w:val="未处理的提及1"/>
    <w:basedOn w:val="23"/>
    <w:autoRedefine/>
    <w:unhideWhenUsed/>
    <w:qFormat/>
    <w:uiPriority w:val="99"/>
    <w:rPr>
      <w:color w:val="605E5C"/>
      <w:shd w:val="clear" w:color="auto" w:fill="E1DFDD"/>
    </w:rPr>
  </w:style>
  <w:style w:type="paragraph" w:customStyle="1" w:styleId="78">
    <w:name w:val="样式 样式 样式 首行缩进:  2 字符 + 首行缩进:  2 字符 + 首行缩进:  2 字符"/>
    <w:basedOn w:val="1"/>
    <w:autoRedefine/>
    <w:qFormat/>
    <w:uiPriority w:val="0"/>
    <w:pPr>
      <w:spacing w:line="540" w:lineRule="exact"/>
      <w:ind w:firstLine="200" w:firstLineChars="200"/>
    </w:pPr>
    <w:rPr>
      <w:rFonts w:ascii="宋体" w:hAnsi="Calibri" w:cs="宋体"/>
      <w:spacing w:val="8"/>
      <w:sz w:val="28"/>
      <w:szCs w:val="28"/>
    </w:rPr>
  </w:style>
  <w:style w:type="character" w:customStyle="1" w:styleId="79">
    <w:name w:val="标题 2 字符1"/>
    <w:basedOn w:val="23"/>
    <w:link w:val="3"/>
    <w:autoRedefine/>
    <w:qFormat/>
    <w:locked/>
    <w:uiPriority w:val="99"/>
    <w:rPr>
      <w:rFonts w:ascii="Arial" w:hAnsi="Arial" w:eastAsia="黑体" w:cs="Times New Roman"/>
      <w:b/>
      <w:bCs/>
      <w:kern w:val="2"/>
      <w:sz w:val="32"/>
      <w:szCs w:val="32"/>
    </w:rPr>
  </w:style>
  <w:style w:type="character" w:customStyle="1" w:styleId="80">
    <w:name w:val="sh4 Char"/>
    <w:link w:val="76"/>
    <w:autoRedefine/>
    <w:qFormat/>
    <w:uiPriority w:val="0"/>
    <w:rPr>
      <w:rFonts w:ascii="宋体" w:hAnsi="宋体"/>
      <w:kern w:val="2"/>
      <w:sz w:val="21"/>
      <w:szCs w:val="21"/>
    </w:rPr>
  </w:style>
  <w:style w:type="character" w:customStyle="1" w:styleId="81">
    <w:name w:val="标题 2 Char"/>
    <w:autoRedefine/>
    <w:qFormat/>
    <w:uiPriority w:val="99"/>
    <w:rPr>
      <w:rFonts w:ascii="Cambria" w:hAnsi="Cambria" w:eastAsia="宋体" w:cs="黑体"/>
      <w:b/>
      <w:bCs/>
      <w:sz w:val="32"/>
      <w:szCs w:val="32"/>
    </w:rPr>
  </w:style>
  <w:style w:type="paragraph" w:customStyle="1" w:styleId="82">
    <w:name w:val="sh3"/>
    <w:basedOn w:val="1"/>
    <w:link w:val="83"/>
    <w:autoRedefine/>
    <w:qFormat/>
    <w:uiPriority w:val="0"/>
    <w:pPr>
      <w:spacing w:line="460" w:lineRule="exact"/>
      <w:jc w:val="left"/>
    </w:pPr>
    <w:rPr>
      <w:rFonts w:ascii="宋体" w:hAnsi="宋体"/>
      <w:b/>
      <w:szCs w:val="21"/>
    </w:rPr>
  </w:style>
  <w:style w:type="character" w:customStyle="1" w:styleId="83">
    <w:name w:val="sh3 Char"/>
    <w:basedOn w:val="23"/>
    <w:link w:val="82"/>
    <w:autoRedefine/>
    <w:qFormat/>
    <w:uiPriority w:val="0"/>
    <w:rPr>
      <w:rFonts w:ascii="宋体" w:hAnsi="宋体"/>
      <w:b/>
      <w:kern w:val="2"/>
      <w:sz w:val="21"/>
      <w:szCs w:val="21"/>
    </w:rPr>
  </w:style>
  <w:style w:type="paragraph" w:styleId="84">
    <w:name w:val="List Paragraph"/>
    <w:basedOn w:val="1"/>
    <w:autoRedefine/>
    <w:unhideWhenUsed/>
    <w:qFormat/>
    <w:uiPriority w:val="99"/>
    <w:pPr>
      <w:ind w:firstLine="420" w:firstLineChars="200"/>
    </w:pPr>
  </w:style>
  <w:style w:type="paragraph" w:customStyle="1" w:styleId="85">
    <w:name w:val="首行缩进"/>
    <w:basedOn w:val="1"/>
    <w:qFormat/>
    <w:uiPriority w:val="0"/>
    <w:pPr>
      <w:spacing w:line="360" w:lineRule="auto"/>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15922</Words>
  <Characters>16525</Characters>
  <Lines>124</Lines>
  <Paragraphs>34</Paragraphs>
  <TotalTime>1</TotalTime>
  <ScaleCrop>false</ScaleCrop>
  <LinksUpToDate>false</LinksUpToDate>
  <CharactersWithSpaces>17145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2023-05-30T08:27:00Z</dcterms:created>
  <dc:creator>User</dc:creator>
  <cp:lastModifiedBy>fgy123</cp:lastModifiedBy>
  <cp:lastPrinted>2023-06-09T07:51:00Z</cp:lastPrinted>
  <dcterms:modified xsi:type="dcterms:W3CDTF">2025-07-07T01:43:13Z</dcterms:modified>
  <dc:title>南通市环境监测中心站火焰原子吸收光谱仪项目</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1CE07DA8FAD34436AED994AE5F000A67_13</vt:lpwstr>
  </property>
  <property fmtid="{D5CDD505-2E9C-101B-9397-08002B2CF9AE}" pid="4" name="KSOTemplateDocerSaveRecord">
    <vt:lpwstr>eyJoZGlkIjoiOWUwMDViYjVlMGE1MDkyMTFiMTRmMTU4ZmE0ZDdlNTciLCJ1c2VySWQiOiI1NjQ4OTgyNzMifQ==</vt:lpwstr>
  </property>
</Properties>
</file>