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B267F">
      <w:pPr>
        <w:jc w:val="center"/>
        <w:rPr>
          <w:rFonts w:ascii="宋体" w:hAnsi="宋体" w:cs="宋体"/>
          <w:bCs/>
          <w:color w:val="auto"/>
          <w:sz w:val="48"/>
          <w:szCs w:val="48"/>
          <w:highlight w:val="none"/>
        </w:rPr>
      </w:pPr>
    </w:p>
    <w:p w14:paraId="756D4E67">
      <w:pPr>
        <w:spacing w:line="600" w:lineRule="exact"/>
        <w:jc w:val="center"/>
        <w:rPr>
          <w:rFonts w:hint="eastAsia" w:ascii="宋体" w:hAnsi="宋体" w:eastAsia="宋体" w:cs="宋体"/>
          <w:bCs/>
          <w:color w:val="auto"/>
          <w:sz w:val="52"/>
          <w:szCs w:val="52"/>
          <w:highlight w:val="none"/>
          <w:lang w:eastAsia="zh-CN"/>
        </w:rPr>
      </w:pPr>
      <w:r>
        <w:rPr>
          <w:rFonts w:hint="eastAsia" w:ascii="宋体" w:hAnsi="宋体" w:cs="宋体"/>
          <w:color w:val="auto"/>
          <w:kern w:val="1"/>
          <w:sz w:val="52"/>
          <w:szCs w:val="52"/>
          <w:highlight w:val="none"/>
          <w:lang w:eastAsia="zh-CN"/>
        </w:rPr>
        <w:t>南通市好通能源停车场柴油供应运营服务项目</w:t>
      </w:r>
    </w:p>
    <w:p w14:paraId="149064F8">
      <w:pPr>
        <w:pStyle w:val="68"/>
        <w:rPr>
          <w:rFonts w:ascii="宋体" w:hAnsi="宋体" w:cs="宋体"/>
          <w:bCs/>
          <w:color w:val="auto"/>
          <w:sz w:val="48"/>
          <w:szCs w:val="48"/>
          <w:highlight w:val="none"/>
        </w:rPr>
      </w:pPr>
    </w:p>
    <w:p w14:paraId="0A82E024">
      <w:pPr>
        <w:pStyle w:val="68"/>
        <w:rPr>
          <w:rFonts w:ascii="宋体" w:hAnsi="宋体" w:cs="宋体"/>
          <w:bCs/>
          <w:color w:val="auto"/>
          <w:sz w:val="48"/>
          <w:szCs w:val="48"/>
          <w:highlight w:val="none"/>
        </w:rPr>
      </w:pPr>
    </w:p>
    <w:p w14:paraId="26DA3767">
      <w:pPr>
        <w:jc w:val="center"/>
        <w:rPr>
          <w:rFonts w:ascii="宋体" w:hAnsi="宋体" w:cs="宋体"/>
          <w:bCs/>
          <w:color w:val="auto"/>
          <w:sz w:val="100"/>
          <w:szCs w:val="100"/>
          <w:highlight w:val="none"/>
        </w:rPr>
      </w:pPr>
      <w:r>
        <w:rPr>
          <w:rFonts w:hint="eastAsia" w:ascii="宋体" w:hAnsi="宋体" w:cs="宋体"/>
          <w:bCs/>
          <w:color w:val="auto"/>
          <w:sz w:val="100"/>
          <w:szCs w:val="100"/>
          <w:highlight w:val="none"/>
        </w:rPr>
        <w:t>招标文件</w:t>
      </w:r>
    </w:p>
    <w:p w14:paraId="586E7765">
      <w:pPr>
        <w:pStyle w:val="10"/>
        <w:spacing w:line="500" w:lineRule="exact"/>
        <w:rPr>
          <w:rFonts w:ascii="宋体" w:hAnsi="宋体" w:cs="宋体"/>
          <w:b w:val="0"/>
          <w:bCs/>
          <w:color w:val="auto"/>
          <w:highlight w:val="none"/>
        </w:rPr>
      </w:pPr>
    </w:p>
    <w:p w14:paraId="4D9BE7A5">
      <w:pPr>
        <w:pStyle w:val="10"/>
        <w:spacing w:line="500" w:lineRule="exact"/>
        <w:rPr>
          <w:rFonts w:ascii="宋体" w:hAnsi="宋体" w:cs="宋体"/>
          <w:bCs/>
          <w:color w:val="auto"/>
          <w:sz w:val="36"/>
          <w:szCs w:val="36"/>
          <w:highlight w:val="none"/>
        </w:rPr>
      </w:pPr>
      <w:r>
        <w:rPr>
          <w:rFonts w:hint="eastAsia" w:ascii="宋体" w:hAnsi="宋体" w:cs="宋体"/>
          <w:bCs/>
          <w:color w:val="auto"/>
          <w:sz w:val="36"/>
          <w:szCs w:val="36"/>
          <w:highlight w:val="none"/>
        </w:rPr>
        <w:t>项目编号：ZRNT20250020</w:t>
      </w:r>
    </w:p>
    <w:p w14:paraId="47042BDE">
      <w:pPr>
        <w:spacing w:line="500" w:lineRule="exact"/>
        <w:jc w:val="center"/>
        <w:rPr>
          <w:rFonts w:ascii="宋体" w:hAnsi="宋体" w:cs="宋体"/>
          <w:b/>
          <w:color w:val="auto"/>
          <w:sz w:val="36"/>
          <w:highlight w:val="none"/>
        </w:rPr>
      </w:pPr>
    </w:p>
    <w:p w14:paraId="53CCF941">
      <w:pPr>
        <w:spacing w:line="500" w:lineRule="exact"/>
        <w:jc w:val="center"/>
        <w:rPr>
          <w:rFonts w:ascii="宋体" w:hAnsi="宋体" w:cs="宋体"/>
          <w:b/>
          <w:color w:val="auto"/>
          <w:sz w:val="36"/>
          <w:highlight w:val="none"/>
        </w:rPr>
      </w:pPr>
    </w:p>
    <w:p w14:paraId="71BAD395">
      <w:pPr>
        <w:spacing w:line="500" w:lineRule="exact"/>
        <w:jc w:val="center"/>
        <w:rPr>
          <w:rFonts w:ascii="宋体" w:hAnsi="宋体" w:cs="宋体"/>
          <w:b/>
          <w:color w:val="auto"/>
          <w:sz w:val="36"/>
          <w:highlight w:val="none"/>
        </w:rPr>
      </w:pPr>
    </w:p>
    <w:p w14:paraId="1A6D483E">
      <w:pPr>
        <w:rPr>
          <w:rFonts w:ascii="宋体" w:hAnsi="宋体" w:cs="宋体"/>
          <w:color w:val="auto"/>
          <w:sz w:val="32"/>
          <w:highlight w:val="none"/>
        </w:rPr>
      </w:pPr>
    </w:p>
    <w:p w14:paraId="75052A93">
      <w:pPr>
        <w:pStyle w:val="19"/>
        <w:rPr>
          <w:color w:val="auto"/>
          <w:highlight w:val="none"/>
        </w:rPr>
      </w:pPr>
    </w:p>
    <w:p w14:paraId="3E326337">
      <w:pPr>
        <w:pStyle w:val="22"/>
        <w:rPr>
          <w:rFonts w:cs="宋体"/>
          <w:color w:val="auto"/>
          <w:highlight w:val="none"/>
        </w:rPr>
      </w:pPr>
    </w:p>
    <w:p w14:paraId="1154FF70">
      <w:pPr>
        <w:pStyle w:val="95"/>
        <w:rPr>
          <w:rFonts w:ascii="宋体" w:hAnsi="宋体" w:eastAsia="宋体" w:cs="宋体"/>
          <w:color w:val="auto"/>
          <w:sz w:val="32"/>
          <w:highlight w:val="none"/>
        </w:rPr>
      </w:pPr>
    </w:p>
    <w:p w14:paraId="7644425E">
      <w:pPr>
        <w:spacing w:line="500" w:lineRule="exact"/>
        <w:rPr>
          <w:rFonts w:ascii="宋体" w:hAnsi="宋体" w:cs="宋体"/>
          <w:color w:val="auto"/>
          <w:sz w:val="32"/>
          <w:highlight w:val="none"/>
        </w:rPr>
      </w:pPr>
    </w:p>
    <w:p w14:paraId="072D49FE">
      <w:pPr>
        <w:spacing w:line="500" w:lineRule="exact"/>
        <w:jc w:val="center"/>
        <w:rPr>
          <w:rFonts w:ascii="宋体" w:hAnsi="宋体" w:cs="宋体"/>
          <w:color w:val="auto"/>
          <w:sz w:val="32"/>
          <w:highlight w:val="none"/>
        </w:rPr>
      </w:pPr>
    </w:p>
    <w:p w14:paraId="1B7DAC94">
      <w:pPr>
        <w:spacing w:line="500" w:lineRule="exact"/>
        <w:rPr>
          <w:rFonts w:ascii="宋体" w:hAnsi="宋体" w:cs="宋体"/>
          <w:color w:val="auto"/>
          <w:sz w:val="32"/>
          <w:highlight w:val="none"/>
        </w:rPr>
      </w:pPr>
    </w:p>
    <w:p w14:paraId="6B4564A5">
      <w:pPr>
        <w:adjustRightInd w:val="0"/>
        <w:spacing w:before="120" w:after="120" w:line="500" w:lineRule="exact"/>
        <w:ind w:left="-2" w:right="120"/>
        <w:jc w:val="center"/>
        <w:textAlignment w:val="baseline"/>
        <w:rPr>
          <w:rFonts w:ascii="宋体" w:hAnsi="宋体" w:cs="宋体"/>
          <w:b/>
          <w:color w:val="auto"/>
          <w:spacing w:val="20"/>
          <w:sz w:val="40"/>
          <w:szCs w:val="40"/>
          <w:highlight w:val="none"/>
        </w:rPr>
      </w:pPr>
    </w:p>
    <w:p w14:paraId="65556C37">
      <w:pPr>
        <w:adjustRightInd w:val="0"/>
        <w:spacing w:before="120" w:after="120" w:line="500" w:lineRule="exact"/>
        <w:ind w:right="120"/>
        <w:jc w:val="center"/>
        <w:textAlignment w:val="baseline"/>
        <w:rPr>
          <w:rFonts w:ascii="宋体" w:hAnsi="宋体" w:cs="宋体"/>
          <w:b/>
          <w:color w:val="auto"/>
          <w:spacing w:val="20"/>
          <w:sz w:val="40"/>
          <w:szCs w:val="40"/>
          <w:highlight w:val="none"/>
        </w:rPr>
      </w:pPr>
      <w:r>
        <w:rPr>
          <w:rFonts w:hint="eastAsia" w:ascii="宋体" w:hAnsi="宋体" w:cs="宋体"/>
          <w:b/>
          <w:color w:val="auto"/>
          <w:spacing w:val="20"/>
          <w:sz w:val="40"/>
          <w:szCs w:val="40"/>
          <w:highlight w:val="none"/>
        </w:rPr>
        <w:t>南通好通能源有限公司</w:t>
      </w:r>
    </w:p>
    <w:p w14:paraId="133C508C">
      <w:pPr>
        <w:adjustRightInd w:val="0"/>
        <w:spacing w:before="120" w:after="120" w:line="500" w:lineRule="exact"/>
        <w:ind w:right="120"/>
        <w:jc w:val="center"/>
        <w:textAlignment w:val="baseline"/>
        <w:rPr>
          <w:rFonts w:ascii="宋体" w:hAnsi="宋体" w:cs="宋体"/>
          <w:b/>
          <w:bCs/>
          <w:color w:val="auto"/>
          <w:sz w:val="44"/>
          <w:szCs w:val="44"/>
          <w:highlight w:val="none"/>
        </w:rPr>
      </w:pPr>
      <w:r>
        <w:rPr>
          <w:rFonts w:hint="eastAsia" w:ascii="宋体" w:hAnsi="宋体" w:cs="宋体"/>
          <w:b/>
          <w:bCs/>
          <w:color w:val="auto"/>
          <w:sz w:val="32"/>
          <w:highlight w:val="none"/>
        </w:rPr>
        <w:t>2025年</w:t>
      </w:r>
      <w:r>
        <w:rPr>
          <w:rFonts w:hint="eastAsia" w:ascii="宋体" w:hAnsi="宋体" w:cs="宋体"/>
          <w:b/>
          <w:bCs/>
          <w:color w:val="auto"/>
          <w:sz w:val="32"/>
          <w:highlight w:val="none"/>
          <w:lang w:val="en-US" w:eastAsia="zh-CN"/>
        </w:rPr>
        <w:t>4</w:t>
      </w:r>
      <w:r>
        <w:rPr>
          <w:rFonts w:hint="eastAsia" w:ascii="宋体" w:hAnsi="宋体" w:cs="宋体"/>
          <w:b/>
          <w:bCs/>
          <w:color w:val="auto"/>
          <w:sz w:val="32"/>
          <w:highlight w:val="none"/>
        </w:rPr>
        <w:t>月</w:t>
      </w:r>
    </w:p>
    <w:p w14:paraId="4275E1EF">
      <w:pPr>
        <w:adjustRightInd w:val="0"/>
        <w:snapToGrid w:val="0"/>
        <w:ind w:left="-158" w:leftChars="-75"/>
        <w:jc w:val="center"/>
        <w:rPr>
          <w:rFonts w:ascii="宋体" w:hAnsi="宋体" w:cs="宋体"/>
          <w:b/>
          <w:bCs/>
          <w:color w:val="auto"/>
          <w:sz w:val="32"/>
          <w:szCs w:val="32"/>
          <w:highlight w:val="none"/>
        </w:rPr>
      </w:pPr>
      <w:r>
        <w:rPr>
          <w:rFonts w:hint="eastAsia" w:ascii="宋体" w:hAnsi="宋体" w:cs="宋体"/>
          <w:b/>
          <w:bCs/>
          <w:color w:val="auto"/>
          <w:sz w:val="44"/>
          <w:szCs w:val="44"/>
          <w:highlight w:val="none"/>
        </w:rPr>
        <w:br w:type="page"/>
      </w:r>
      <w:r>
        <w:rPr>
          <w:rFonts w:hint="eastAsia" w:ascii="宋体" w:hAnsi="宋体" w:cs="宋体"/>
          <w:b/>
          <w:bCs/>
          <w:color w:val="auto"/>
          <w:sz w:val="44"/>
          <w:szCs w:val="44"/>
          <w:highlight w:val="none"/>
        </w:rPr>
        <w:t>目 录</w:t>
      </w:r>
    </w:p>
    <w:p w14:paraId="28FEE11C">
      <w:pPr>
        <w:tabs>
          <w:tab w:val="left" w:pos="7740"/>
        </w:tabs>
        <w:adjustRightInd w:val="0"/>
        <w:snapToGrid w:val="0"/>
        <w:spacing w:line="1000" w:lineRule="exact"/>
        <w:ind w:firstLine="640" w:firstLineChars="200"/>
        <w:rPr>
          <w:rFonts w:ascii="宋体" w:hAnsi="宋体" w:cs="宋体"/>
          <w:bCs/>
          <w:color w:val="auto"/>
          <w:sz w:val="32"/>
          <w:szCs w:val="32"/>
          <w:highlight w:val="none"/>
        </w:rPr>
      </w:pPr>
    </w:p>
    <w:p w14:paraId="67538F8A">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第一部分  投标邀请</w:t>
      </w:r>
    </w:p>
    <w:p w14:paraId="4E179F56">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第二部分  投标须知</w:t>
      </w:r>
    </w:p>
    <w:p w14:paraId="6A36F1BB">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第三部分  项目需求</w:t>
      </w:r>
    </w:p>
    <w:p w14:paraId="7A2464CA">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color w:val="auto"/>
          <w:sz w:val="32"/>
          <w:szCs w:val="32"/>
          <w:highlight w:val="none"/>
        </w:rPr>
        <w:t xml:space="preserve">第四部分  </w:t>
      </w:r>
      <w:r>
        <w:rPr>
          <w:rFonts w:hint="eastAsia" w:ascii="宋体" w:hAnsi="宋体" w:cs="宋体"/>
          <w:bCs/>
          <w:color w:val="auto"/>
          <w:sz w:val="32"/>
          <w:szCs w:val="32"/>
          <w:highlight w:val="none"/>
        </w:rPr>
        <w:t>开标和评标</w:t>
      </w:r>
    </w:p>
    <w:p w14:paraId="769FE705">
      <w:pPr>
        <w:tabs>
          <w:tab w:val="left" w:pos="7740"/>
        </w:tabs>
        <w:adjustRightInd w:val="0"/>
        <w:snapToGrid w:val="0"/>
        <w:spacing w:line="1000" w:lineRule="exact"/>
        <w:ind w:firstLine="640" w:firstLineChars="200"/>
        <w:rPr>
          <w:rFonts w:ascii="宋体" w:hAnsi="宋体" w:cs="宋体"/>
          <w:color w:val="auto"/>
          <w:spacing w:val="2"/>
          <w:sz w:val="32"/>
          <w:szCs w:val="32"/>
          <w:highlight w:val="none"/>
        </w:rPr>
      </w:pPr>
      <w:r>
        <w:rPr>
          <w:rFonts w:hint="eastAsia" w:ascii="宋体" w:hAnsi="宋体" w:cs="宋体"/>
          <w:bCs/>
          <w:color w:val="auto"/>
          <w:sz w:val="32"/>
          <w:szCs w:val="32"/>
          <w:highlight w:val="none"/>
        </w:rPr>
        <w:t>第五部分  投标文件组成</w:t>
      </w:r>
    </w:p>
    <w:p w14:paraId="57AE2004">
      <w:pPr>
        <w:spacing w:line="500" w:lineRule="exact"/>
        <w:rPr>
          <w:rFonts w:ascii="宋体" w:hAnsi="宋体" w:cs="宋体"/>
          <w:b/>
          <w:color w:val="auto"/>
          <w:sz w:val="32"/>
          <w:szCs w:val="32"/>
          <w:highlight w:val="none"/>
        </w:rPr>
      </w:pPr>
    </w:p>
    <w:p w14:paraId="206FE21C">
      <w:pPr>
        <w:tabs>
          <w:tab w:val="left" w:pos="7740"/>
        </w:tabs>
        <w:spacing w:line="500" w:lineRule="exact"/>
        <w:rPr>
          <w:rFonts w:ascii="宋体" w:hAnsi="宋体" w:cs="宋体"/>
          <w:b/>
          <w:color w:val="auto"/>
          <w:spacing w:val="2"/>
          <w:sz w:val="32"/>
          <w:szCs w:val="32"/>
          <w:highlight w:val="none"/>
        </w:rPr>
      </w:pPr>
    </w:p>
    <w:p w14:paraId="3B2AD6F1">
      <w:pPr>
        <w:tabs>
          <w:tab w:val="left" w:pos="7740"/>
        </w:tabs>
        <w:spacing w:line="500" w:lineRule="exact"/>
        <w:rPr>
          <w:rFonts w:ascii="宋体" w:hAnsi="宋体" w:cs="宋体"/>
          <w:b/>
          <w:color w:val="auto"/>
          <w:spacing w:val="2"/>
          <w:sz w:val="32"/>
          <w:szCs w:val="32"/>
          <w:highlight w:val="none"/>
        </w:rPr>
      </w:pPr>
    </w:p>
    <w:p w14:paraId="607B5DD8">
      <w:pPr>
        <w:tabs>
          <w:tab w:val="left" w:pos="7740"/>
        </w:tabs>
        <w:spacing w:line="500" w:lineRule="exact"/>
        <w:rPr>
          <w:rFonts w:ascii="宋体" w:hAnsi="宋体" w:cs="宋体"/>
          <w:b/>
          <w:bCs/>
          <w:color w:val="auto"/>
          <w:sz w:val="32"/>
          <w:szCs w:val="32"/>
          <w:highlight w:val="none"/>
        </w:rPr>
      </w:pPr>
    </w:p>
    <w:p w14:paraId="0823B606">
      <w:pPr>
        <w:spacing w:line="500" w:lineRule="exact"/>
        <w:outlineLvl w:val="0"/>
        <w:rPr>
          <w:rFonts w:ascii="宋体" w:hAnsi="宋体" w:cs="宋体"/>
          <w:b/>
          <w:color w:val="auto"/>
          <w:sz w:val="44"/>
          <w:szCs w:val="44"/>
          <w:highlight w:val="none"/>
        </w:rPr>
      </w:pPr>
    </w:p>
    <w:p w14:paraId="6F4F4925">
      <w:pPr>
        <w:spacing w:line="500" w:lineRule="exact"/>
        <w:outlineLvl w:val="0"/>
        <w:rPr>
          <w:rFonts w:ascii="宋体" w:hAnsi="宋体" w:cs="宋体"/>
          <w:color w:val="auto"/>
          <w:sz w:val="44"/>
          <w:szCs w:val="44"/>
          <w:highlight w:val="none"/>
        </w:rPr>
      </w:pPr>
    </w:p>
    <w:p w14:paraId="48384823">
      <w:pPr>
        <w:spacing w:line="500" w:lineRule="exact"/>
        <w:outlineLvl w:val="0"/>
        <w:rPr>
          <w:rFonts w:ascii="宋体" w:hAnsi="宋体" w:cs="宋体"/>
          <w:color w:val="auto"/>
          <w:sz w:val="44"/>
          <w:szCs w:val="44"/>
          <w:highlight w:val="none"/>
        </w:rPr>
      </w:pPr>
    </w:p>
    <w:p w14:paraId="42C7D6A6">
      <w:pPr>
        <w:spacing w:line="500" w:lineRule="exact"/>
        <w:outlineLvl w:val="0"/>
        <w:rPr>
          <w:rFonts w:ascii="宋体" w:hAnsi="宋体" w:cs="宋体"/>
          <w:color w:val="auto"/>
          <w:sz w:val="44"/>
          <w:szCs w:val="44"/>
          <w:highlight w:val="none"/>
        </w:rPr>
      </w:pPr>
    </w:p>
    <w:p w14:paraId="2970FC33">
      <w:pPr>
        <w:spacing w:line="500" w:lineRule="exact"/>
        <w:outlineLvl w:val="0"/>
        <w:rPr>
          <w:rFonts w:ascii="宋体" w:hAnsi="宋体" w:cs="宋体"/>
          <w:color w:val="auto"/>
          <w:sz w:val="44"/>
          <w:szCs w:val="44"/>
          <w:highlight w:val="none"/>
        </w:rPr>
      </w:pPr>
    </w:p>
    <w:p w14:paraId="424E9753">
      <w:pPr>
        <w:spacing w:line="500" w:lineRule="exact"/>
        <w:outlineLvl w:val="0"/>
        <w:rPr>
          <w:rFonts w:ascii="宋体" w:hAnsi="宋体" w:cs="宋体"/>
          <w:color w:val="auto"/>
          <w:sz w:val="44"/>
          <w:szCs w:val="44"/>
          <w:highlight w:val="none"/>
        </w:rPr>
      </w:pPr>
    </w:p>
    <w:p w14:paraId="7ADE5324">
      <w:pPr>
        <w:adjustRightInd w:val="0"/>
        <w:snapToGrid w:val="0"/>
        <w:spacing w:line="500" w:lineRule="exact"/>
        <w:jc w:val="center"/>
        <w:outlineLvl w:val="0"/>
        <w:rPr>
          <w:rFonts w:ascii="宋体" w:hAnsi="宋体" w:cs="宋体"/>
          <w:b/>
          <w:color w:val="auto"/>
          <w:sz w:val="32"/>
          <w:szCs w:val="32"/>
          <w:highlight w:val="none"/>
        </w:rPr>
      </w:pPr>
      <w:bookmarkStart w:id="0" w:name="OLE_LINK5"/>
      <w:bookmarkStart w:id="1" w:name="OLE_LINK7"/>
    </w:p>
    <w:p w14:paraId="280E966B">
      <w:pPr>
        <w:adjustRightInd w:val="0"/>
        <w:snapToGrid w:val="0"/>
        <w:spacing w:line="500" w:lineRule="exact"/>
        <w:jc w:val="center"/>
        <w:outlineLvl w:val="0"/>
        <w:rPr>
          <w:rFonts w:ascii="宋体" w:hAnsi="宋体" w:cs="宋体"/>
          <w:b/>
          <w:color w:val="auto"/>
          <w:sz w:val="32"/>
          <w:szCs w:val="32"/>
          <w:highlight w:val="none"/>
        </w:rPr>
      </w:pPr>
    </w:p>
    <w:p w14:paraId="1A578A0C">
      <w:pPr>
        <w:adjustRightInd w:val="0"/>
        <w:snapToGrid w:val="0"/>
        <w:spacing w:line="500" w:lineRule="exact"/>
        <w:jc w:val="center"/>
        <w:outlineLvl w:val="0"/>
        <w:rPr>
          <w:rFonts w:ascii="宋体" w:hAnsi="宋体" w:cs="宋体"/>
          <w:b/>
          <w:color w:val="auto"/>
          <w:sz w:val="32"/>
          <w:szCs w:val="32"/>
          <w:highlight w:val="none"/>
        </w:rPr>
      </w:pPr>
    </w:p>
    <w:p w14:paraId="36CD46B4">
      <w:pPr>
        <w:adjustRightInd w:val="0"/>
        <w:snapToGrid w:val="0"/>
        <w:spacing w:line="500" w:lineRule="exact"/>
        <w:jc w:val="center"/>
        <w:outlineLvl w:val="0"/>
        <w:rPr>
          <w:rFonts w:ascii="宋体" w:hAnsi="宋体" w:cs="宋体"/>
          <w:b/>
          <w:color w:val="auto"/>
          <w:sz w:val="32"/>
          <w:szCs w:val="32"/>
          <w:highlight w:val="none"/>
        </w:rPr>
      </w:pPr>
    </w:p>
    <w:p w14:paraId="543518F4">
      <w:pPr>
        <w:adjustRightInd w:val="0"/>
        <w:snapToGrid w:val="0"/>
        <w:spacing w:line="50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bookmarkStart w:id="107" w:name="_GoBack"/>
      <w:r>
        <w:rPr>
          <w:rFonts w:hint="eastAsia" w:ascii="黑体" w:hAnsi="黑体" w:eastAsia="黑体" w:cs="黑体"/>
          <w:b/>
          <w:color w:val="auto"/>
          <w:sz w:val="36"/>
          <w:szCs w:val="36"/>
          <w:highlight w:val="none"/>
        </w:rPr>
        <w:t>第一部分 投标邀请</w:t>
      </w:r>
    </w:p>
    <w:p w14:paraId="4473780B">
      <w:pPr>
        <w:adjustRightInd w:val="0"/>
        <w:snapToGrid w:val="0"/>
        <w:spacing w:line="500" w:lineRule="exact"/>
        <w:jc w:val="center"/>
        <w:outlineLvl w:val="0"/>
        <w:rPr>
          <w:rFonts w:ascii="宋体" w:hAnsi="宋体" w:cs="宋体"/>
          <w:b/>
          <w:color w:val="auto"/>
          <w:sz w:val="32"/>
          <w:szCs w:val="32"/>
          <w:highlight w:val="none"/>
        </w:rPr>
      </w:pPr>
    </w:p>
    <w:p w14:paraId="2A65126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2" w:name="OLE_LINK6"/>
      <w:r>
        <w:rPr>
          <w:rFonts w:hint="eastAsia" w:ascii="方正仿宋_GBK" w:hAnsi="方正仿宋_GBK" w:eastAsia="方正仿宋_GBK" w:cs="方正仿宋_GBK"/>
          <w:color w:val="auto"/>
          <w:sz w:val="28"/>
          <w:szCs w:val="28"/>
          <w:highlight w:val="none"/>
        </w:rPr>
        <w:t>项目概况</w:t>
      </w:r>
    </w:p>
    <w:p w14:paraId="732C834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（南通好通能源有限公司）的（</w:t>
      </w:r>
      <w:r>
        <w:rPr>
          <w:rFonts w:hint="eastAsia" w:ascii="方正仿宋_GBK" w:hAnsi="方正仿宋_GBK" w:eastAsia="方正仿宋_GBK" w:cs="方正仿宋_GBK"/>
          <w:color w:val="auto"/>
          <w:kern w:val="1"/>
          <w:sz w:val="28"/>
          <w:szCs w:val="28"/>
          <w:highlight w:val="none"/>
        </w:rPr>
        <w:t>停车场柴油供应运营服务</w:t>
      </w:r>
      <w:r>
        <w:rPr>
          <w:rFonts w:hint="eastAsia" w:ascii="方正仿宋_GBK" w:hAnsi="方正仿宋_GBK" w:eastAsia="方正仿宋_GBK" w:cs="方正仿宋_GBK"/>
          <w:color w:val="auto"/>
          <w:sz w:val="28"/>
          <w:szCs w:val="28"/>
          <w:highlight w:val="none"/>
        </w:rPr>
        <w:t>）招标项目的潜在投标人应在</w:t>
      </w:r>
      <w:r>
        <w:rPr>
          <w:rFonts w:hint="eastAsia" w:ascii="方正仿宋_GBK" w:hAnsi="方正仿宋_GBK" w:eastAsia="方正仿宋_GBK" w:cs="方正仿宋_GBK"/>
          <w:b/>
          <w:bCs/>
          <w:color w:val="auto"/>
          <w:sz w:val="28"/>
          <w:szCs w:val="28"/>
          <w:highlight w:val="none"/>
          <w:u w:val="single"/>
        </w:rPr>
        <w:t>南通市崇川区人民政府网-我要看-公告公示栏</w:t>
      </w:r>
      <w:r>
        <w:rPr>
          <w:rFonts w:hint="eastAsia" w:ascii="方正仿宋_GBK" w:hAnsi="方正仿宋_GBK" w:eastAsia="方正仿宋_GBK" w:cs="方正仿宋_GBK"/>
          <w:color w:val="auto"/>
          <w:sz w:val="28"/>
          <w:szCs w:val="28"/>
          <w:highlight w:val="none"/>
        </w:rPr>
        <w:t>获取招标文件，并于2025年</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日09点30分（北京时间）前递交投标文件。</w:t>
      </w:r>
    </w:p>
    <w:p w14:paraId="65D64689">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一、项目基本情况</w:t>
      </w:r>
      <w:r>
        <w:rPr>
          <w:rFonts w:hint="eastAsia" w:ascii="方正仿宋_GBK" w:hAnsi="方正仿宋_GBK" w:eastAsia="方正仿宋_GBK" w:cs="方正仿宋_GBK"/>
          <w:b/>
          <w:color w:val="auto"/>
          <w:sz w:val="28"/>
          <w:szCs w:val="28"/>
          <w:highlight w:val="none"/>
        </w:rPr>
        <w:tab/>
      </w:r>
    </w:p>
    <w:p w14:paraId="090C3C22">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pacing w:val="7"/>
          <w:kern w:val="0"/>
          <w:sz w:val="28"/>
          <w:szCs w:val="22"/>
          <w:highlight w:val="none"/>
        </w:rPr>
      </w:pPr>
      <w:r>
        <w:rPr>
          <w:rFonts w:hint="eastAsia" w:ascii="方正仿宋_GBK" w:hAnsi="方正仿宋_GBK" w:eastAsia="方正仿宋_GBK" w:cs="方正仿宋_GBK"/>
          <w:color w:val="auto"/>
          <w:sz w:val="28"/>
          <w:szCs w:val="28"/>
          <w:highlight w:val="none"/>
        </w:rPr>
        <w:t>项目编号：ZRNT20250020</w:t>
      </w:r>
    </w:p>
    <w:p w14:paraId="4C0B965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项目名称：</w:t>
      </w:r>
      <w:r>
        <w:rPr>
          <w:rFonts w:hint="eastAsia" w:ascii="方正仿宋_GBK" w:hAnsi="方正仿宋_GBK" w:eastAsia="方正仿宋_GBK" w:cs="方正仿宋_GBK"/>
          <w:color w:val="auto"/>
          <w:kern w:val="1"/>
          <w:sz w:val="28"/>
          <w:szCs w:val="28"/>
          <w:highlight w:val="none"/>
          <w:lang w:eastAsia="zh-CN"/>
        </w:rPr>
        <w:t>南通市好通能源停车场柴油供应运营服务项目</w:t>
      </w:r>
    </w:p>
    <w:p w14:paraId="303098A1">
      <w:pPr>
        <w:pStyle w:val="17"/>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投标限价：</w:t>
      </w:r>
      <w:r>
        <w:rPr>
          <w:rFonts w:hint="eastAsia" w:ascii="方正仿宋_GBK" w:hAnsi="方正仿宋_GBK" w:eastAsia="方正仿宋_GBK" w:cs="方正仿宋_GBK"/>
          <w:color w:val="auto"/>
          <w:sz w:val="28"/>
          <w:szCs w:val="28"/>
          <w:highlight w:val="none"/>
          <w:lang w:val="en-US" w:eastAsia="zh-CN"/>
        </w:rPr>
        <w:t>结算价下浮率不低于</w:t>
      </w:r>
      <w:r>
        <w:rPr>
          <w:rFonts w:hint="eastAsia" w:ascii="方正仿宋_GBK" w:hAnsi="方正仿宋_GBK" w:eastAsia="方正仿宋_GBK" w:cs="方正仿宋_GBK"/>
          <w:color w:val="auto"/>
          <w:sz w:val="28"/>
          <w:szCs w:val="28"/>
          <w:highlight w:val="none"/>
          <w:lang w:eastAsia="zh-CN"/>
        </w:rPr>
        <w:t>国家发改委公布的当期江苏省柴油最高零售价格的</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lang w:eastAsia="zh-CN"/>
        </w:rPr>
        <w:t>，投标人投标</w:t>
      </w:r>
      <w:r>
        <w:rPr>
          <w:rFonts w:hint="eastAsia" w:ascii="方正仿宋_GBK" w:hAnsi="方正仿宋_GBK" w:eastAsia="方正仿宋_GBK" w:cs="方正仿宋_GBK"/>
          <w:color w:val="auto"/>
          <w:sz w:val="28"/>
          <w:szCs w:val="28"/>
          <w:highlight w:val="none"/>
          <w:lang w:val="en-US" w:eastAsia="zh-CN"/>
        </w:rPr>
        <w:t>报价</w:t>
      </w:r>
      <w:r>
        <w:rPr>
          <w:rFonts w:hint="eastAsia" w:ascii="方正仿宋_GBK" w:hAnsi="方正仿宋_GBK" w:eastAsia="方正仿宋_GBK" w:cs="方正仿宋_GBK"/>
          <w:color w:val="auto"/>
          <w:sz w:val="28"/>
          <w:szCs w:val="28"/>
          <w:highlight w:val="none"/>
          <w:lang w:eastAsia="zh-CN"/>
        </w:rPr>
        <w:t>下浮率小于</w:t>
      </w:r>
      <w:r>
        <w:rPr>
          <w:rFonts w:hint="eastAsia" w:ascii="方正仿宋_GBK" w:hAnsi="方正仿宋_GBK" w:eastAsia="方正仿宋_GBK" w:cs="方正仿宋_GBK"/>
          <w:color w:val="auto"/>
          <w:sz w:val="28"/>
          <w:szCs w:val="28"/>
          <w:highlight w:val="none"/>
          <w:lang w:val="en-US" w:eastAsia="zh-CN"/>
        </w:rPr>
        <w:t>8%（不含）的做无效报价处理（如8%、10%、18%为有效报价，4%、5%、6%为无效报价）。</w:t>
      </w:r>
    </w:p>
    <w:p w14:paraId="7B96A8F6">
      <w:pPr>
        <w:pStyle w:val="1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投标报价方式：本项目采用下浮率方式报价，运营期间结算原则为：国家发改委公布的</w:t>
      </w:r>
      <w:r>
        <w:rPr>
          <w:rFonts w:hint="eastAsia" w:ascii="方正仿宋_GBK" w:hAnsi="方正仿宋_GBK" w:eastAsia="方正仿宋_GBK" w:cs="方正仿宋_GBK"/>
          <w:color w:val="auto"/>
          <w:sz w:val="28"/>
          <w:szCs w:val="28"/>
          <w:highlight w:val="none"/>
        </w:rPr>
        <w:t>当期江苏省柴油最高零售价格*（1-中标下浮率），时间以招标人加油当日日期为准。</w:t>
      </w:r>
    </w:p>
    <w:p w14:paraId="20593C6F">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招标需求：详见招标文件，请仔细研究</w:t>
      </w:r>
      <w:r>
        <w:rPr>
          <w:rFonts w:hint="eastAsia" w:ascii="方正仿宋_GBK" w:hAnsi="方正仿宋_GBK" w:eastAsia="方正仿宋_GBK" w:cs="方正仿宋_GBK"/>
          <w:color w:val="auto"/>
          <w:sz w:val="28"/>
          <w:szCs w:val="28"/>
          <w:highlight w:val="none"/>
          <w:lang w:eastAsia="zh-CN"/>
        </w:rPr>
        <w:t>。</w:t>
      </w:r>
    </w:p>
    <w:p w14:paraId="0F436808">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项目建设期限：</w:t>
      </w:r>
      <w:r>
        <w:rPr>
          <w:rFonts w:hint="eastAsia" w:ascii="方正仿宋_GBK" w:hAnsi="方正仿宋_GBK" w:eastAsia="方正仿宋_GBK" w:cs="方正仿宋_GBK"/>
          <w:color w:val="auto"/>
          <w:sz w:val="28"/>
          <w:szCs w:val="28"/>
          <w:highlight w:val="none"/>
        </w:rPr>
        <w:t>合同签订后完成油品供应和招标人需求</w:t>
      </w:r>
      <w:r>
        <w:rPr>
          <w:rFonts w:hint="eastAsia" w:ascii="方正仿宋_GBK" w:hAnsi="方正仿宋_GBK" w:eastAsia="方正仿宋_GBK" w:cs="方正仿宋_GBK"/>
          <w:color w:val="auto"/>
          <w:sz w:val="28"/>
          <w:szCs w:val="28"/>
          <w:highlight w:val="none"/>
        </w:rPr>
        <w:t>，在60日内交付给招标人。</w:t>
      </w:r>
    </w:p>
    <w:p w14:paraId="04C27306">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运营管理期限：5年，满5年后经招标人考核通过可续签1年。</w:t>
      </w:r>
    </w:p>
    <w:p w14:paraId="1E969F4B">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二、申请人的资格要求：</w:t>
      </w:r>
    </w:p>
    <w:p w14:paraId="10781022">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满足以下条件：具有独立承担民事责任的能力；具有良好的商业信誉和健全的财务会计制度；具有履行合同所必需的设备和专业技术能力；具有依法缴纳税收和社会保障资金的良好记录；参加招标活动前三年内，在经营活动中没有重大违法记录；</w:t>
      </w:r>
    </w:p>
    <w:p w14:paraId="54CC9EF4">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2.投标人具有有效的营业执照副本；</w:t>
      </w:r>
    </w:p>
    <w:p w14:paraId="31F32B45">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3.具有《危险化学品经营许可证》，且经营范围含有成品油或柴油；</w:t>
      </w:r>
    </w:p>
    <w:p w14:paraId="7CD1FF13">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4.业绩要求：投标人提供自2022年1月1日（合同签订时间）至投标截止日，必须具有柴油的累计供货3000吨及以上业绩（其中</w:t>
      </w:r>
      <w:r>
        <w:rPr>
          <w:rFonts w:hint="eastAsia" w:ascii="方正仿宋_GBK" w:hAnsi="方正仿宋_GBK" w:eastAsia="方正仿宋_GBK" w:cs="方正仿宋_GBK"/>
          <w:color w:val="auto"/>
          <w:sz w:val="28"/>
          <w:szCs w:val="28"/>
          <w:highlight w:val="none"/>
          <w:lang w:eastAsia="zh-CN"/>
        </w:rPr>
        <w:t>所有</w:t>
      </w:r>
      <w:r>
        <w:rPr>
          <w:rFonts w:hint="eastAsia" w:ascii="方正仿宋_GBK" w:hAnsi="方正仿宋_GBK" w:eastAsia="方正仿宋_GBK" w:cs="方正仿宋_GBK"/>
          <w:color w:val="auto"/>
          <w:sz w:val="28"/>
          <w:szCs w:val="28"/>
          <w:highlight w:val="none"/>
        </w:rPr>
        <w:t>单份合同柴油供应量不低于100吨），并提供业绩证明材料（包括不限于业绩合同封面、主要参数、发票及签字页的扫描件等），必要时根据澄清要求提供合同原件，以印证业绩；</w:t>
      </w:r>
    </w:p>
    <w:p w14:paraId="1B89E98A">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5.本项目不接受联合体投标。</w:t>
      </w:r>
    </w:p>
    <w:p w14:paraId="4C28AA41">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三、获取招标文件</w:t>
      </w:r>
    </w:p>
    <w:p w14:paraId="243FB8B7">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时间：</w:t>
      </w:r>
      <w:r>
        <w:rPr>
          <w:rFonts w:hint="eastAsia" w:ascii="方正仿宋_GBK" w:hAnsi="方正仿宋_GBK" w:eastAsia="方正仿宋_GBK" w:cs="方正仿宋_GBK"/>
          <w:color w:val="auto"/>
          <w:sz w:val="28"/>
          <w:szCs w:val="28"/>
          <w:highlight w:val="none"/>
          <w:lang w:eastAsia="zh-CN"/>
        </w:rPr>
        <w:t>公告发布之日起</w:t>
      </w:r>
      <w:r>
        <w:rPr>
          <w:rFonts w:hint="eastAsia" w:ascii="方正仿宋_GBK" w:hAnsi="方正仿宋_GBK" w:eastAsia="方正仿宋_GBK" w:cs="方正仿宋_GBK"/>
          <w:color w:val="auto"/>
          <w:sz w:val="28"/>
          <w:szCs w:val="28"/>
          <w:highlight w:val="none"/>
          <w:lang w:val="en-US" w:eastAsia="zh-CN"/>
        </w:rPr>
        <w:t>5个工作日</w:t>
      </w:r>
      <w:r>
        <w:rPr>
          <w:rFonts w:hint="eastAsia" w:ascii="方正仿宋_GBK" w:hAnsi="方正仿宋_GBK" w:eastAsia="方正仿宋_GBK" w:cs="方正仿宋_GBK"/>
          <w:color w:val="auto"/>
          <w:sz w:val="28"/>
          <w:szCs w:val="28"/>
          <w:highlight w:val="none"/>
        </w:rPr>
        <w:t>；</w:t>
      </w:r>
    </w:p>
    <w:p w14:paraId="217A54CF">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地点：南通市崇川区人民政府网-我要看-公告公示栏；</w:t>
      </w:r>
    </w:p>
    <w:p w14:paraId="653B9C48">
      <w:pPr>
        <w:keepNext w:val="0"/>
        <w:keepLines w:val="0"/>
        <w:pageBreakBefore w:val="0"/>
        <w:shd w:val="clear" w:color="auto" w:fill="FFFFFF"/>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pacing w:val="7"/>
          <w:sz w:val="28"/>
          <w:szCs w:val="28"/>
          <w:highlight w:val="none"/>
        </w:rPr>
      </w:pPr>
      <w:r>
        <w:rPr>
          <w:rFonts w:hint="eastAsia" w:ascii="方正仿宋_GBK" w:hAnsi="方正仿宋_GBK" w:eastAsia="方正仿宋_GBK" w:cs="方正仿宋_GBK"/>
          <w:color w:val="auto"/>
          <w:sz w:val="28"/>
          <w:szCs w:val="28"/>
          <w:highlight w:val="none"/>
        </w:rPr>
        <w:t>方式：自行下载招标文件。</w:t>
      </w:r>
    </w:p>
    <w:p w14:paraId="4A83362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四、提交投标文件截止时间、开标时间和地点</w:t>
      </w:r>
    </w:p>
    <w:p w14:paraId="3E25C300">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2025年</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日09点30分（北京时间）。逾时，招标人将拒绝接受投标响应文件。</w:t>
      </w:r>
    </w:p>
    <w:p w14:paraId="36EB0AE3">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地点：南通市崇川路1号建发集团二楼会议室，如有变动另行通知。</w:t>
      </w:r>
    </w:p>
    <w:p w14:paraId="169E3AE8">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五、公告期限</w:t>
      </w:r>
    </w:p>
    <w:p w14:paraId="47767FAE">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自本公告发布之日起5个工作日。</w:t>
      </w:r>
    </w:p>
    <w:p w14:paraId="1A3BF411">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六、其他补充事宜</w:t>
      </w:r>
    </w:p>
    <w:p w14:paraId="3829838B">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(一）投标保证金：人民币100000元整，投标保证金交纳方式：银行转帐、银行电汇、银行汇票、银行保函、保险机构的保单等形式</w:t>
      </w:r>
      <w:r>
        <w:rPr>
          <w:rFonts w:hint="eastAsia" w:ascii="方正仿宋_GBK" w:hAnsi="方正仿宋_GBK" w:eastAsia="方正仿宋_GBK" w:cs="方正仿宋_GBK"/>
          <w:color w:val="auto"/>
          <w:sz w:val="28"/>
          <w:szCs w:val="28"/>
          <w:highlight w:val="none"/>
          <w:lang w:eastAsia="zh-CN"/>
        </w:rPr>
        <w:t>。如为</w:t>
      </w:r>
      <w:r>
        <w:rPr>
          <w:rFonts w:hint="eastAsia" w:ascii="方正仿宋_GBK" w:hAnsi="方正仿宋_GBK" w:eastAsia="方正仿宋_GBK" w:cs="方正仿宋_GBK"/>
          <w:color w:val="auto"/>
          <w:sz w:val="28"/>
          <w:szCs w:val="28"/>
          <w:highlight w:val="none"/>
        </w:rPr>
        <w:t>银行转帐、银行电汇</w:t>
      </w:r>
      <w:r>
        <w:rPr>
          <w:rFonts w:hint="eastAsia" w:ascii="方正仿宋_GBK" w:hAnsi="方正仿宋_GBK" w:eastAsia="方正仿宋_GBK" w:cs="方正仿宋_GBK"/>
          <w:color w:val="auto"/>
          <w:sz w:val="28"/>
          <w:szCs w:val="28"/>
          <w:highlight w:val="none"/>
          <w:lang w:eastAsia="zh-CN"/>
        </w:rPr>
        <w:t>形式，</w:t>
      </w:r>
      <w:r>
        <w:rPr>
          <w:rFonts w:hint="eastAsia" w:ascii="方正仿宋_GBK" w:hAnsi="方正仿宋_GBK" w:eastAsia="方正仿宋_GBK" w:cs="方正仿宋_GBK"/>
          <w:color w:val="auto"/>
          <w:sz w:val="28"/>
          <w:szCs w:val="28"/>
          <w:highlight w:val="none"/>
        </w:rPr>
        <w:t>以投标人自身的名义通过其基本账户一次性足额提交到如下账户：</w:t>
      </w:r>
    </w:p>
    <w:p w14:paraId="53AFAF6D">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投标保证金账户信息：</w:t>
      </w:r>
    </w:p>
    <w:p w14:paraId="2EE64A1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单位名称：南通好通能源有限公司</w:t>
      </w:r>
    </w:p>
    <w:p w14:paraId="5DF30BE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详细地址：南通市崇川区</w:t>
      </w:r>
    </w:p>
    <w:p w14:paraId="1E63A18B">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开户银行：江苏银行港闸支行</w:t>
      </w:r>
    </w:p>
    <w:p w14:paraId="480B1271">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帐    号：50230188000694118</w:t>
      </w:r>
    </w:p>
    <w:p w14:paraId="23695500">
      <w:pPr>
        <w:pStyle w:val="1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特别说明：投标单位保证金须从企业基本账户汇出。必须标注项目名称（可简写）及费用类别，如“</w:t>
      </w:r>
      <w:r>
        <w:rPr>
          <w:rFonts w:hint="eastAsia" w:ascii="方正仿宋_GBK" w:hAnsi="方正仿宋_GBK" w:eastAsia="方正仿宋_GBK" w:cs="方正仿宋_GBK"/>
          <w:color w:val="auto"/>
          <w:sz w:val="28"/>
          <w:szCs w:val="28"/>
          <w:highlight w:val="none"/>
          <w:lang w:val="en-US" w:eastAsia="zh-CN"/>
        </w:rPr>
        <w:t>停车场柴油供应</w:t>
      </w:r>
      <w:r>
        <w:rPr>
          <w:rFonts w:hint="eastAsia" w:ascii="方正仿宋_GBK" w:hAnsi="方正仿宋_GBK" w:eastAsia="方正仿宋_GBK" w:cs="方正仿宋_GBK"/>
          <w:color w:val="auto"/>
          <w:sz w:val="28"/>
          <w:szCs w:val="28"/>
          <w:highlight w:val="none"/>
        </w:rPr>
        <w:t>运营服务项目投标保证金”</w:t>
      </w:r>
    </w:p>
    <w:p w14:paraId="3E6797F3">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特别说明：</w:t>
      </w:r>
    </w:p>
    <w:p w14:paraId="19F36157">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1.未按上述要求提交投标保证金的投标人，招标人有权拒绝其投标文件。</w:t>
      </w:r>
    </w:p>
    <w:p w14:paraId="1C6E532B">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2.未中标单位的投标保证金定标后予以退还；中标单位的投标保证金在合同生效后5日内予以退还。</w:t>
      </w:r>
    </w:p>
    <w:p w14:paraId="421CED3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3.发生下列情况之一，投标保证金将不予退还：</w:t>
      </w:r>
    </w:p>
    <w:p w14:paraId="771E62DE">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（1）投标人在提交投标文件截止时间后撤回投标文件的；</w:t>
      </w:r>
    </w:p>
    <w:p w14:paraId="1F6FB9C6">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（2）投标人在投标文件中提供虚假材料的；</w:t>
      </w:r>
    </w:p>
    <w:p w14:paraId="63353E50">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（3）除因不可抗力或招标文件认可的情形以外，中标人不按规定缴纳履约保证金或不与招标人签订合同的； </w:t>
      </w:r>
    </w:p>
    <w:p w14:paraId="6AD7CC24">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（4）投标人与招标人、其他投标人或者代理机构恶意串通的；</w:t>
      </w:r>
    </w:p>
    <w:p w14:paraId="555E8DE0">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（5）投标人在招标过程中有违反有关法律法规的行为；</w:t>
      </w:r>
    </w:p>
    <w:p w14:paraId="605CED6C">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（6）招标文件规定的其他情形的。</w:t>
      </w:r>
    </w:p>
    <w:p w14:paraId="76710870">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（二）履约保证金：本项目履约保证金为50万元，缴纳形式：银行转账（必须从投标人基本账户转出）或现金或保函</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eastAsia="zh-CN"/>
        </w:rPr>
        <w:t>银行或保险机构出具</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等形式，</w:t>
      </w:r>
      <w:r>
        <w:rPr>
          <w:rFonts w:hint="eastAsia" w:ascii="方正仿宋_GBK" w:hAnsi="方正仿宋_GBK" w:eastAsia="方正仿宋_GBK" w:cs="方正仿宋_GBK"/>
          <w:b/>
          <w:bCs/>
          <w:color w:val="auto"/>
          <w:sz w:val="28"/>
          <w:szCs w:val="28"/>
          <w:highlight w:val="none"/>
        </w:rPr>
        <w:t>具体方式由中标单位与招标人确认后进行缴纳</w:t>
      </w:r>
      <w:r>
        <w:rPr>
          <w:rFonts w:hint="eastAsia" w:ascii="方正仿宋_GBK" w:hAnsi="方正仿宋_GBK" w:eastAsia="方正仿宋_GBK" w:cs="方正仿宋_GBK"/>
          <w:color w:val="auto"/>
          <w:sz w:val="28"/>
          <w:szCs w:val="28"/>
          <w:highlight w:val="none"/>
        </w:rPr>
        <w:t>。所有项目履约完成，扣除违约金、损失赔偿金后，履约保证金的剩余金额予以退还（无息）。</w:t>
      </w:r>
    </w:p>
    <w:p w14:paraId="53B08099">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招标人发出中标通知书后5个工作日内，中标人应向招标人递交履约保证金，否则招标人有权按中标人自动放弃中标资格处理，同时投标保证金不予退还，该金额不足以弥补给招标人造成的直接和间接损失的（包括但不限于二次招标发生的招标费用、中标差价、招标代理服务费等），中标人应予补足。</w:t>
      </w:r>
    </w:p>
    <w:p w14:paraId="2FF84E82">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（三）其他</w:t>
      </w:r>
    </w:p>
    <w:p w14:paraId="29026F78">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1.项目开标活动模式：见面开标模式，投标人在现场参加开标会。</w:t>
      </w:r>
    </w:p>
    <w:p w14:paraId="236E2789">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2.项目演示、样品：无。</w:t>
      </w:r>
    </w:p>
    <w:p w14:paraId="399534B5">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3.对项目需求部分（投标人资格要求、项目需求、商务技术评分标准）的询问、质疑请向招标人提出，由招标人负责答复；对项目招标文件其他部分的询问请向代理机构经办人提出。</w:t>
      </w:r>
    </w:p>
    <w:p w14:paraId="1945D307">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投标人应依照规定提交各类声明函、承诺函，不再同时提供原件备查或提供有关部门出具的相关证明文件。但投标人应做好提交声明函、承诺函、认证、业绩等相应原件的核查准备；核查后发现虚假或违背承诺的，依照相关法律法规的规定处理。</w:t>
      </w:r>
    </w:p>
    <w:p w14:paraId="50FBFB94">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七、对本次招标提出询问，请按以下方式联系。</w:t>
      </w:r>
    </w:p>
    <w:p w14:paraId="465DDE45">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1.招标人信息</w:t>
      </w:r>
    </w:p>
    <w:p w14:paraId="2CB59CF7">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名称：南通好通能源有限公司</w:t>
      </w:r>
    </w:p>
    <w:p w14:paraId="1F639CA3">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地址：南通市城港路18号城镇房地产大楼</w:t>
      </w:r>
    </w:p>
    <w:p w14:paraId="6C6F617D">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联系人：王工</w:t>
      </w:r>
    </w:p>
    <w:p w14:paraId="2A1FBC0C">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联系方式：0513-</w:t>
      </w:r>
      <w:r>
        <w:rPr>
          <w:rFonts w:hint="eastAsia" w:ascii="方正仿宋_GBK" w:hAnsi="方正仿宋_GBK" w:eastAsia="方正仿宋_GBK" w:cs="方正仿宋_GBK"/>
          <w:color w:val="auto"/>
          <w:sz w:val="24"/>
          <w:highlight w:val="none"/>
        </w:rPr>
        <w:t>66889926</w:t>
      </w:r>
    </w:p>
    <w:p w14:paraId="2569DA4D">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2.招标代理机构信息</w:t>
      </w:r>
    </w:p>
    <w:p w14:paraId="3580B7A1">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名称：江苏中润工程建设咨询有限公司</w:t>
      </w:r>
    </w:p>
    <w:p w14:paraId="768B066B">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地址：南通市崇川路58号南通产业技术研究院9号楼1004室</w:t>
      </w:r>
    </w:p>
    <w:p w14:paraId="06966F1C">
      <w:pPr>
        <w:keepNext w:val="0"/>
        <w:keepLines w:val="0"/>
        <w:pageBreakBefore w:val="0"/>
        <w:shd w:val="clear" w:color="auto" w:fill="FFFFFF"/>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pacing w:val="7"/>
          <w:sz w:val="28"/>
          <w:szCs w:val="28"/>
          <w:highlight w:val="none"/>
        </w:rPr>
      </w:pPr>
      <w:r>
        <w:rPr>
          <w:rFonts w:hint="eastAsia" w:ascii="方正仿宋_GBK" w:hAnsi="方正仿宋_GBK" w:eastAsia="方正仿宋_GBK" w:cs="方正仿宋_GBK"/>
          <w:color w:val="auto"/>
          <w:sz w:val="28"/>
          <w:szCs w:val="28"/>
          <w:highlight w:val="none"/>
        </w:rPr>
        <w:t xml:space="preserve">联系方式：王  工 051355887688   </w:t>
      </w:r>
    </w:p>
    <w:bookmarkEnd w:id="107"/>
    <w:p w14:paraId="514FF8E2">
      <w:pPr>
        <w:keepNext w:val="0"/>
        <w:keepLines w:val="0"/>
        <w:pageBreakBefore w:val="0"/>
        <w:kinsoku/>
        <w:wordWrap/>
        <w:overflowPunct/>
        <w:topLinePunct w:val="0"/>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p>
    <w:p w14:paraId="0E5030AB">
      <w:pPr>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黑体" w:hAnsi="黑体" w:eastAsia="黑体" w:cs="黑体"/>
          <w:b/>
          <w:color w:val="auto"/>
          <w:sz w:val="36"/>
          <w:szCs w:val="36"/>
          <w:highlight w:val="none"/>
        </w:rPr>
        <w:t>第二部分  投标须知</w:t>
      </w:r>
    </w:p>
    <w:p w14:paraId="5B20E74E">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3" w:name="_Toc120614214"/>
      <w:bookmarkStart w:id="4" w:name="_Toc513029203"/>
      <w:bookmarkStart w:id="5" w:name="_Toc16938519"/>
      <w:bookmarkStart w:id="6" w:name="_Toc20823275"/>
      <w:r>
        <w:rPr>
          <w:rFonts w:hint="eastAsia" w:ascii="方正仿宋_GBK" w:hAnsi="方正仿宋_GBK" w:eastAsia="方正仿宋_GBK" w:cs="方正仿宋_GBK"/>
          <w:color w:val="auto"/>
          <w:sz w:val="28"/>
          <w:szCs w:val="28"/>
          <w:highlight w:val="none"/>
        </w:rPr>
        <w:t>一、总则</w:t>
      </w:r>
      <w:bookmarkEnd w:id="3"/>
      <w:bookmarkEnd w:id="4"/>
      <w:bookmarkEnd w:id="5"/>
      <w:bookmarkEnd w:id="6"/>
    </w:p>
    <w:p w14:paraId="49FDAF16">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7" w:name="_Hlt16619475"/>
      <w:bookmarkEnd w:id="7"/>
      <w:bookmarkStart w:id="8" w:name="_Toc458694821"/>
      <w:bookmarkStart w:id="9" w:name="_Toc16938520"/>
      <w:bookmarkStart w:id="10" w:name="_Toc20823276"/>
      <w:bookmarkStart w:id="11" w:name="_Toc513029204"/>
      <w:r>
        <w:rPr>
          <w:rFonts w:hint="eastAsia" w:ascii="方正仿宋_GBK" w:hAnsi="方正仿宋_GBK" w:eastAsia="方正仿宋_GBK" w:cs="方正仿宋_GBK"/>
          <w:color w:val="auto"/>
          <w:sz w:val="28"/>
          <w:szCs w:val="28"/>
          <w:highlight w:val="none"/>
        </w:rPr>
        <w:t>1</w:t>
      </w:r>
      <w:bookmarkEnd w:id="8"/>
      <w:r>
        <w:rPr>
          <w:rFonts w:hint="eastAsia" w:ascii="方正仿宋_GBK" w:hAnsi="方正仿宋_GBK" w:eastAsia="方正仿宋_GBK" w:cs="方正仿宋_GBK"/>
          <w:color w:val="auto"/>
          <w:sz w:val="28"/>
          <w:szCs w:val="28"/>
          <w:highlight w:val="none"/>
        </w:rPr>
        <w:t>.招标方式</w:t>
      </w:r>
      <w:bookmarkEnd w:id="9"/>
      <w:bookmarkEnd w:id="10"/>
      <w:bookmarkEnd w:id="11"/>
    </w:p>
    <w:p w14:paraId="2F5C096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 本次招标采取公开招标方式，本招标文件仅适用于招标公告中所述项目。</w:t>
      </w:r>
    </w:p>
    <w:p w14:paraId="7C8561CB">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12" w:name="_Toc20823277"/>
      <w:bookmarkStart w:id="13" w:name="_Toc16938521"/>
      <w:bookmarkStart w:id="14" w:name="_Toc513029205"/>
      <w:r>
        <w:rPr>
          <w:rFonts w:hint="eastAsia" w:ascii="方正仿宋_GBK" w:hAnsi="方正仿宋_GBK" w:eastAsia="方正仿宋_GBK" w:cs="方正仿宋_GBK"/>
          <w:color w:val="auto"/>
          <w:sz w:val="28"/>
          <w:szCs w:val="28"/>
          <w:highlight w:val="none"/>
        </w:rPr>
        <w:t>2.合格的投标人</w:t>
      </w:r>
      <w:bookmarkEnd w:id="12"/>
      <w:bookmarkEnd w:id="13"/>
      <w:bookmarkEnd w:id="14"/>
    </w:p>
    <w:p w14:paraId="47BE596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2.1满足招标公告中投标人的资格要求的规定。</w:t>
      </w:r>
    </w:p>
    <w:p w14:paraId="36A3D39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 满足本文件实质性条款的规定。</w:t>
      </w:r>
    </w:p>
    <w:p w14:paraId="2CBB0D42">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15" w:name="_Toc513029206"/>
      <w:bookmarkStart w:id="16" w:name="_Toc16938522"/>
      <w:bookmarkStart w:id="17" w:name="_Toc20823278"/>
      <w:r>
        <w:rPr>
          <w:rFonts w:hint="eastAsia" w:ascii="方正仿宋_GBK" w:hAnsi="方正仿宋_GBK" w:eastAsia="方正仿宋_GBK" w:cs="方正仿宋_GBK"/>
          <w:color w:val="auto"/>
          <w:sz w:val="28"/>
          <w:szCs w:val="28"/>
          <w:highlight w:val="none"/>
        </w:rPr>
        <w:t>3.适用法律</w:t>
      </w:r>
      <w:bookmarkEnd w:id="15"/>
      <w:bookmarkEnd w:id="16"/>
      <w:bookmarkEnd w:id="17"/>
    </w:p>
    <w:p w14:paraId="1B668DD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3.1本次招标及由此产生的合同受中华人民共和国有关的法律法规制约和保护。</w:t>
      </w:r>
    </w:p>
    <w:p w14:paraId="3FE39960">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18" w:name="_Toc16938523"/>
      <w:bookmarkStart w:id="19" w:name="_Toc513029207"/>
      <w:bookmarkStart w:id="20" w:name="_Toc462564067"/>
      <w:bookmarkStart w:id="21" w:name="_Toc20823279"/>
      <w:r>
        <w:rPr>
          <w:rFonts w:hint="eastAsia" w:ascii="方正仿宋_GBK" w:hAnsi="方正仿宋_GBK" w:eastAsia="方正仿宋_GBK" w:cs="方正仿宋_GBK"/>
          <w:color w:val="auto"/>
          <w:sz w:val="28"/>
          <w:szCs w:val="28"/>
          <w:highlight w:val="none"/>
        </w:rPr>
        <w:t>4.投标费用</w:t>
      </w:r>
      <w:bookmarkEnd w:id="18"/>
      <w:bookmarkEnd w:id="19"/>
      <w:bookmarkEnd w:id="20"/>
      <w:bookmarkEnd w:id="21"/>
    </w:p>
    <w:p w14:paraId="5B7223F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 供应商应自行承担所有与参与投标有关的费用，无论投标过程中的做法和结果如何，</w:t>
      </w:r>
      <w:r>
        <w:rPr>
          <w:rFonts w:hint="eastAsia" w:ascii="方正仿宋_GBK" w:hAnsi="方正仿宋_GBK" w:eastAsia="方正仿宋_GBK" w:cs="方正仿宋_GBK"/>
          <w:color w:val="auto"/>
          <w:sz w:val="28"/>
          <w:szCs w:val="28"/>
          <w:highlight w:val="none"/>
          <w:lang w:val="en-US" w:eastAsia="zh-CN"/>
        </w:rPr>
        <w:t>招标人和</w:t>
      </w:r>
      <w:r>
        <w:rPr>
          <w:rFonts w:hint="eastAsia" w:ascii="方正仿宋_GBK" w:hAnsi="方正仿宋_GBK" w:eastAsia="方正仿宋_GBK" w:cs="方正仿宋_GBK"/>
          <w:color w:val="auto"/>
          <w:sz w:val="28"/>
          <w:szCs w:val="28"/>
          <w:highlight w:val="none"/>
        </w:rPr>
        <w:t>江苏中润工程建设咨询有限公司（以下简称招标代理机构）在任何情况下均无义务和责任承担这些费用。</w:t>
      </w:r>
    </w:p>
    <w:p w14:paraId="3E51AD64">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4.2本项目代理费4000元，评委费另计按实收取，由中标人承担；供应商报价时应综合考虑（不单列）。</w:t>
      </w:r>
    </w:p>
    <w:p w14:paraId="115246B8">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代理费、评委费等费用定标后由成交候选人支付给代理机构。因中标人原因导致中标结果变更或取消中标资格等，代理费等不予退还。</w:t>
      </w:r>
    </w:p>
    <w:p w14:paraId="27859BC2">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5.招标文件的约束力</w:t>
      </w:r>
    </w:p>
    <w:p w14:paraId="1A76874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5.1</w:t>
      </w:r>
      <w:r>
        <w:rPr>
          <w:rFonts w:hint="eastAsia" w:ascii="方正仿宋_GBK" w:hAnsi="方正仿宋_GBK" w:eastAsia="方正仿宋_GBK" w:cs="方正仿宋_GBK"/>
          <w:color w:val="auto"/>
          <w:sz w:val="28"/>
          <w:szCs w:val="28"/>
          <w:highlight w:val="none"/>
        </w:rPr>
        <w:t xml:space="preserve"> 投标人一旦参加本项目招标活动，即被认为接受了本招标文件的规定和约束。</w:t>
      </w:r>
    </w:p>
    <w:p w14:paraId="6BF66C2E">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6.招标文件的解释</w:t>
      </w:r>
    </w:p>
    <w:p w14:paraId="299636A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6.1</w:t>
      </w:r>
      <w:r>
        <w:rPr>
          <w:rFonts w:hint="eastAsia" w:ascii="方正仿宋_GBK" w:hAnsi="方正仿宋_GBK" w:eastAsia="方正仿宋_GBK" w:cs="方正仿宋_GBK"/>
          <w:color w:val="auto"/>
          <w:sz w:val="28"/>
          <w:szCs w:val="28"/>
          <w:highlight w:val="none"/>
        </w:rPr>
        <w:t>招标文件需求部分（投标人资格要求、项目需求、商务技术评分标准）由招标人解释，其他部分由代理机构解释。</w:t>
      </w:r>
    </w:p>
    <w:p w14:paraId="344EC3F7">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22" w:name="_Toc513029209"/>
      <w:bookmarkStart w:id="23" w:name="_Toc20823281"/>
      <w:bookmarkStart w:id="24" w:name="_Toc16938525"/>
      <w:bookmarkStart w:id="25" w:name="_Toc120614215"/>
      <w:r>
        <w:rPr>
          <w:rFonts w:hint="eastAsia" w:ascii="方正仿宋_GBK" w:hAnsi="方正仿宋_GBK" w:eastAsia="方正仿宋_GBK" w:cs="方正仿宋_GBK"/>
          <w:color w:val="auto"/>
          <w:sz w:val="28"/>
          <w:szCs w:val="28"/>
          <w:highlight w:val="none"/>
        </w:rPr>
        <w:t>二、招标文件</w:t>
      </w:r>
      <w:bookmarkEnd w:id="22"/>
      <w:bookmarkEnd w:id="23"/>
      <w:bookmarkEnd w:id="24"/>
      <w:bookmarkEnd w:id="25"/>
    </w:p>
    <w:p w14:paraId="37926E7C">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26" w:name="_Toc16938526"/>
      <w:bookmarkStart w:id="27" w:name="_Toc20823282"/>
      <w:bookmarkStart w:id="28" w:name="_Toc513029210"/>
      <w:r>
        <w:rPr>
          <w:rFonts w:hint="eastAsia" w:ascii="方正仿宋_GBK" w:hAnsi="方正仿宋_GBK" w:eastAsia="方正仿宋_GBK" w:cs="方正仿宋_GBK"/>
          <w:color w:val="auto"/>
          <w:sz w:val="28"/>
          <w:szCs w:val="28"/>
          <w:highlight w:val="none"/>
        </w:rPr>
        <w:t>1.招标文件构成</w:t>
      </w:r>
      <w:bookmarkEnd w:id="26"/>
      <w:bookmarkEnd w:id="27"/>
      <w:bookmarkEnd w:id="28"/>
    </w:p>
    <w:p w14:paraId="0F9151E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1.1</w:t>
      </w:r>
      <w:r>
        <w:rPr>
          <w:rFonts w:hint="eastAsia" w:ascii="方正仿宋_GBK" w:hAnsi="方正仿宋_GBK" w:eastAsia="方正仿宋_GBK" w:cs="方正仿宋_GBK"/>
          <w:color w:val="auto"/>
          <w:sz w:val="28"/>
          <w:szCs w:val="28"/>
          <w:highlight w:val="none"/>
        </w:rPr>
        <w:t xml:space="preserve"> 招标文件由以下部分组成：</w:t>
      </w:r>
    </w:p>
    <w:p w14:paraId="5A2775E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（1）招标邀请</w:t>
      </w:r>
    </w:p>
    <w:p w14:paraId="7184532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（2）投标须知</w:t>
      </w:r>
    </w:p>
    <w:p w14:paraId="04038D5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（3）项目需求</w:t>
      </w:r>
    </w:p>
    <w:p w14:paraId="64090F1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（4）开标和评标</w:t>
      </w:r>
    </w:p>
    <w:p w14:paraId="743E9F9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（5）投标文件组成</w:t>
      </w:r>
    </w:p>
    <w:p w14:paraId="7287AAC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（6）附件（如有）</w:t>
      </w:r>
    </w:p>
    <w:p w14:paraId="2BAA609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请仔细检查招标文件是否齐全，如有缺漏请立即与代理机构联系解决。</w:t>
      </w:r>
    </w:p>
    <w:p w14:paraId="23086F0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1.2</w:t>
      </w:r>
      <w:r>
        <w:rPr>
          <w:rFonts w:hint="eastAsia" w:ascii="方正仿宋_GBK" w:hAnsi="方正仿宋_GBK" w:eastAsia="方正仿宋_GBK" w:cs="方正仿宋_GBK"/>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43A335A">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29" w:name="_Toc513029211"/>
      <w:bookmarkStart w:id="30" w:name="_Toc20823283"/>
      <w:bookmarkStart w:id="31" w:name="_Toc16938527"/>
      <w:bookmarkStart w:id="32" w:name="_Toc462564070"/>
      <w:r>
        <w:rPr>
          <w:rFonts w:hint="eastAsia" w:ascii="方正仿宋_GBK" w:hAnsi="方正仿宋_GBK" w:eastAsia="方正仿宋_GBK" w:cs="方正仿宋_GBK"/>
          <w:color w:val="auto"/>
          <w:sz w:val="28"/>
          <w:szCs w:val="28"/>
          <w:highlight w:val="none"/>
        </w:rPr>
        <w:t>2.招标文件的澄清</w:t>
      </w:r>
      <w:bookmarkEnd w:id="29"/>
      <w:bookmarkEnd w:id="30"/>
      <w:bookmarkEnd w:id="31"/>
      <w:bookmarkEnd w:id="32"/>
    </w:p>
    <w:p w14:paraId="0C2731E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2.1</w:t>
      </w:r>
      <w:r>
        <w:rPr>
          <w:rFonts w:hint="eastAsia" w:ascii="方正仿宋_GBK" w:hAnsi="方正仿宋_GBK" w:eastAsia="方正仿宋_GBK" w:cs="方正仿宋_GBK"/>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14:paraId="20E6456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2.2招标人视情组织答疑会</w:t>
      </w:r>
    </w:p>
    <w:p w14:paraId="782C44BE">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33" w:name="_Toc16938528"/>
      <w:bookmarkStart w:id="34" w:name="_Toc20823284"/>
      <w:bookmarkStart w:id="35" w:name="_Toc462564071"/>
      <w:bookmarkStart w:id="36" w:name="_Toc513029212"/>
      <w:r>
        <w:rPr>
          <w:rFonts w:hint="eastAsia" w:ascii="方正仿宋_GBK" w:hAnsi="方正仿宋_GBK" w:eastAsia="方正仿宋_GBK" w:cs="方正仿宋_GBK"/>
          <w:color w:val="auto"/>
          <w:sz w:val="28"/>
          <w:szCs w:val="28"/>
          <w:highlight w:val="none"/>
        </w:rPr>
        <w:t>3.招标文件的修改</w:t>
      </w:r>
      <w:bookmarkEnd w:id="33"/>
      <w:bookmarkEnd w:id="34"/>
      <w:bookmarkEnd w:id="35"/>
      <w:bookmarkEnd w:id="36"/>
    </w:p>
    <w:p w14:paraId="35CC0BB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3.1</w:t>
      </w:r>
      <w:r>
        <w:rPr>
          <w:rFonts w:hint="eastAsia" w:ascii="方正仿宋_GBK" w:hAnsi="方正仿宋_GBK" w:eastAsia="方正仿宋_GBK" w:cs="方正仿宋_GBK"/>
          <w:color w:val="auto"/>
          <w:sz w:val="28"/>
          <w:szCs w:val="28"/>
          <w:highlight w:val="none"/>
        </w:rPr>
        <w:t xml:space="preserve"> 在投标截止时间前，代理机构可以对招标文件进行修改。</w:t>
      </w:r>
    </w:p>
    <w:p w14:paraId="184E064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3.2 </w:t>
      </w:r>
      <w:r>
        <w:rPr>
          <w:rFonts w:hint="eastAsia" w:ascii="方正仿宋_GBK" w:hAnsi="方正仿宋_GBK" w:eastAsia="方正仿宋_GBK" w:cs="方正仿宋_GBK"/>
          <w:color w:val="auto"/>
          <w:sz w:val="28"/>
          <w:szCs w:val="28"/>
          <w:highlight w:val="none"/>
        </w:rPr>
        <w:t>代理机构有权按照法定的要求推迟投标截止日期和开标日期。</w:t>
      </w:r>
    </w:p>
    <w:p w14:paraId="64A2130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3.3 </w:t>
      </w:r>
      <w:r>
        <w:rPr>
          <w:rFonts w:hint="eastAsia" w:ascii="方正仿宋_GBK" w:hAnsi="方正仿宋_GBK" w:eastAsia="方正仿宋_GBK" w:cs="方正仿宋_GBK"/>
          <w:color w:val="auto"/>
          <w:sz w:val="28"/>
          <w:szCs w:val="28"/>
          <w:highlight w:val="none"/>
        </w:rPr>
        <w:t>招标文件的修改将在南通市崇川区人民政府网公布，补充文件将作为招标文件的组成部分，并对投标人具有约束力。</w:t>
      </w:r>
    </w:p>
    <w:p w14:paraId="1E76DA1D">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37" w:name="_Toc462564072"/>
      <w:bookmarkStart w:id="38" w:name="_Toc16938529"/>
      <w:bookmarkStart w:id="39" w:name="_Toc513029213"/>
      <w:bookmarkStart w:id="40" w:name="_Toc120614216"/>
      <w:bookmarkStart w:id="41" w:name="_Toc20823285"/>
      <w:r>
        <w:rPr>
          <w:rFonts w:hint="eastAsia" w:ascii="方正仿宋_GBK" w:hAnsi="方正仿宋_GBK" w:eastAsia="方正仿宋_GBK" w:cs="方正仿宋_GBK"/>
          <w:color w:val="auto"/>
          <w:sz w:val="28"/>
          <w:szCs w:val="28"/>
          <w:highlight w:val="none"/>
        </w:rPr>
        <w:t>三、投标文件的编制</w:t>
      </w:r>
      <w:bookmarkEnd w:id="37"/>
      <w:bookmarkEnd w:id="38"/>
      <w:bookmarkEnd w:id="39"/>
      <w:bookmarkEnd w:id="40"/>
      <w:bookmarkEnd w:id="41"/>
    </w:p>
    <w:p w14:paraId="5AD669D8">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Cs/>
          <w:color w:val="auto"/>
          <w:sz w:val="28"/>
          <w:szCs w:val="28"/>
          <w:highlight w:val="none"/>
        </w:rPr>
      </w:pPr>
      <w:bookmarkStart w:id="42" w:name="_Toc513029214"/>
      <w:bookmarkStart w:id="43" w:name="_Toc20823286"/>
      <w:bookmarkStart w:id="44" w:name="_Toc16938530"/>
      <w:bookmarkStart w:id="45" w:name="_Toc462564073"/>
      <w:r>
        <w:rPr>
          <w:rFonts w:hint="eastAsia" w:ascii="方正仿宋_GBK" w:hAnsi="方正仿宋_GBK" w:eastAsia="方正仿宋_GBK" w:cs="方正仿宋_GBK"/>
          <w:color w:val="auto"/>
          <w:sz w:val="28"/>
          <w:szCs w:val="28"/>
          <w:highlight w:val="none"/>
        </w:rPr>
        <w:t>1.投标文件的语言及度量衡单位</w:t>
      </w:r>
      <w:bookmarkEnd w:id="42"/>
      <w:bookmarkEnd w:id="43"/>
      <w:bookmarkEnd w:id="44"/>
      <w:bookmarkEnd w:id="45"/>
    </w:p>
    <w:p w14:paraId="7D1DAB7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1.1</w:t>
      </w:r>
      <w:r>
        <w:rPr>
          <w:rFonts w:hint="eastAsia" w:ascii="方正仿宋_GBK" w:hAnsi="方正仿宋_GBK" w:eastAsia="方正仿宋_GBK" w:cs="方正仿宋_GBK"/>
          <w:color w:val="auto"/>
          <w:sz w:val="28"/>
          <w:szCs w:val="28"/>
          <w:highlight w:val="none"/>
        </w:rPr>
        <w:t xml:space="preserve"> 投标人提交的投标文件以及投标人与代理机构就有关投标的所有来往通知、函件和文件均应使用</w:t>
      </w:r>
      <w:r>
        <w:rPr>
          <w:rFonts w:hint="eastAsia" w:ascii="方正仿宋_GBK" w:hAnsi="方正仿宋_GBK" w:eastAsia="方正仿宋_GBK" w:cs="方正仿宋_GBK"/>
          <w:bCs/>
          <w:color w:val="auto"/>
          <w:sz w:val="28"/>
          <w:szCs w:val="28"/>
          <w:highlight w:val="none"/>
        </w:rPr>
        <w:t>简体中文</w:t>
      </w:r>
      <w:r>
        <w:rPr>
          <w:rFonts w:hint="eastAsia" w:ascii="方正仿宋_GBK" w:hAnsi="方正仿宋_GBK" w:eastAsia="方正仿宋_GBK" w:cs="方正仿宋_GBK"/>
          <w:color w:val="auto"/>
          <w:sz w:val="28"/>
          <w:szCs w:val="28"/>
          <w:highlight w:val="none"/>
        </w:rPr>
        <w:t>。</w:t>
      </w:r>
    </w:p>
    <w:p w14:paraId="1E7857A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1.2</w:t>
      </w:r>
      <w:r>
        <w:rPr>
          <w:rFonts w:hint="eastAsia" w:ascii="方正仿宋_GBK" w:hAnsi="方正仿宋_GBK" w:eastAsia="方正仿宋_GBK" w:cs="方正仿宋_GBK"/>
          <w:color w:val="auto"/>
          <w:sz w:val="28"/>
          <w:szCs w:val="28"/>
          <w:highlight w:val="none"/>
        </w:rPr>
        <w:t xml:space="preserve"> 除技术性能另有规定外，投标文件所使用的度量衡单位，均须采用国家法定计量单位。</w:t>
      </w:r>
    </w:p>
    <w:p w14:paraId="40CB204E">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46" w:name="_Toc513029215"/>
      <w:bookmarkStart w:id="47" w:name="_Toc462564074"/>
      <w:bookmarkStart w:id="48" w:name="_Toc16938531"/>
      <w:bookmarkStart w:id="49" w:name="_Toc20823287"/>
      <w:r>
        <w:rPr>
          <w:rFonts w:hint="eastAsia" w:ascii="方正仿宋_GBK" w:hAnsi="方正仿宋_GBK" w:eastAsia="方正仿宋_GBK" w:cs="方正仿宋_GBK"/>
          <w:color w:val="auto"/>
          <w:sz w:val="28"/>
          <w:szCs w:val="28"/>
          <w:highlight w:val="none"/>
        </w:rPr>
        <w:t>2.投标文件构成</w:t>
      </w:r>
      <w:bookmarkEnd w:id="46"/>
      <w:bookmarkEnd w:id="47"/>
      <w:bookmarkEnd w:id="48"/>
      <w:bookmarkEnd w:id="49"/>
    </w:p>
    <w:p w14:paraId="0F22C9D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2.1</w:t>
      </w:r>
      <w:r>
        <w:rPr>
          <w:rFonts w:hint="eastAsia" w:ascii="方正仿宋_GBK" w:hAnsi="方正仿宋_GBK" w:eastAsia="方正仿宋_GBK" w:cs="方正仿宋_GBK"/>
          <w:color w:val="auto"/>
          <w:sz w:val="28"/>
          <w:szCs w:val="28"/>
          <w:highlight w:val="none"/>
        </w:rPr>
        <w:t xml:space="preserve"> 投标人编写的投标文件应包括资格审查文件、商务技术文件、价格文件。投标人按“第五部分 投标文件组成”要求编写投标文件</w:t>
      </w:r>
    </w:p>
    <w:p w14:paraId="0FC405BD">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50" w:name="_Hlt26668975"/>
      <w:bookmarkEnd w:id="50"/>
      <w:bookmarkStart w:id="51" w:name="_Hlt26670360"/>
      <w:bookmarkEnd w:id="51"/>
      <w:bookmarkStart w:id="52" w:name="_Hlt26954838"/>
      <w:bookmarkEnd w:id="52"/>
      <w:bookmarkStart w:id="53" w:name="_Toc49090511"/>
      <w:bookmarkStart w:id="54" w:name="_Toc14577360"/>
      <w:r>
        <w:rPr>
          <w:rFonts w:hint="eastAsia" w:ascii="方正仿宋_GBK" w:hAnsi="方正仿宋_GBK" w:eastAsia="方正仿宋_GBK" w:cs="方正仿宋_GBK"/>
          <w:color w:val="auto"/>
          <w:sz w:val="28"/>
          <w:szCs w:val="28"/>
          <w:highlight w:val="none"/>
        </w:rPr>
        <w:t>3.投标有效期</w:t>
      </w:r>
      <w:bookmarkEnd w:id="53"/>
      <w:bookmarkEnd w:id="54"/>
    </w:p>
    <w:p w14:paraId="003329B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3.1投标有效期为代理机构规定的开标之日后</w:t>
      </w:r>
      <w:r>
        <w:rPr>
          <w:rFonts w:hint="eastAsia" w:ascii="方正仿宋_GBK" w:hAnsi="方正仿宋_GBK" w:eastAsia="方正仿宋_GBK" w:cs="方正仿宋_GBK"/>
          <w:b/>
          <w:color w:val="auto"/>
          <w:sz w:val="28"/>
          <w:szCs w:val="28"/>
          <w:highlight w:val="none"/>
          <w:u w:val="single"/>
        </w:rPr>
        <w:t>六十（60）天</w:t>
      </w:r>
      <w:r>
        <w:rPr>
          <w:rFonts w:hint="eastAsia" w:ascii="方正仿宋_GBK" w:hAnsi="方正仿宋_GBK" w:eastAsia="方正仿宋_GBK" w:cs="方正仿宋_GBK"/>
          <w:bCs/>
          <w:color w:val="auto"/>
          <w:sz w:val="28"/>
          <w:szCs w:val="28"/>
          <w:highlight w:val="none"/>
        </w:rPr>
        <w:t>。投标有效期比规定短的将被视为非响应性投标而予以拒绝。</w:t>
      </w:r>
    </w:p>
    <w:p w14:paraId="5E752580">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4.投标有效期的延长</w:t>
      </w:r>
    </w:p>
    <w:p w14:paraId="16FF350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方正仿宋_GBK" w:hAnsi="方正仿宋_GBK" w:eastAsia="方正仿宋_GBK" w:cs="方正仿宋_GBK"/>
          <w:color w:val="auto"/>
          <w:sz w:val="28"/>
          <w:szCs w:val="28"/>
          <w:highlight w:val="none"/>
        </w:rPr>
        <w:t>受投标有效期约束的所有权利与义务均延长至新的有效期</w:t>
      </w:r>
      <w:r>
        <w:rPr>
          <w:rFonts w:hint="eastAsia" w:ascii="方正仿宋_GBK" w:hAnsi="方正仿宋_GBK" w:eastAsia="方正仿宋_GBK" w:cs="方正仿宋_GBK"/>
          <w:bCs/>
          <w:color w:val="auto"/>
          <w:sz w:val="28"/>
          <w:szCs w:val="28"/>
          <w:highlight w:val="none"/>
        </w:rPr>
        <w:t>。</w:t>
      </w:r>
    </w:p>
    <w:p w14:paraId="7BF133BE">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5.投标人资格要求</w:t>
      </w:r>
    </w:p>
    <w:p w14:paraId="5AC6C97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5.1投标人应具备承担本项目的资格要求。</w:t>
      </w:r>
    </w:p>
    <w:p w14:paraId="281824BF">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55" w:name="_Hlt26954852"/>
      <w:bookmarkEnd w:id="55"/>
      <w:bookmarkStart w:id="56" w:name="_Hlt26954739"/>
      <w:bookmarkEnd w:id="56"/>
      <w:bookmarkStart w:id="57" w:name="_Toc120614217"/>
      <w:bookmarkStart w:id="58" w:name="_Toc513029224"/>
      <w:bookmarkStart w:id="59" w:name="_Toc16938540"/>
      <w:bookmarkStart w:id="60" w:name="_Toc20823296"/>
      <w:r>
        <w:rPr>
          <w:rFonts w:hint="eastAsia" w:ascii="方正仿宋_GBK" w:hAnsi="方正仿宋_GBK" w:eastAsia="方正仿宋_GBK" w:cs="方正仿宋_GBK"/>
          <w:color w:val="auto"/>
          <w:sz w:val="28"/>
          <w:szCs w:val="28"/>
          <w:highlight w:val="none"/>
        </w:rPr>
        <w:t>四、投标文件的递交</w:t>
      </w:r>
      <w:bookmarkEnd w:id="57"/>
      <w:bookmarkEnd w:id="58"/>
      <w:bookmarkEnd w:id="59"/>
      <w:bookmarkEnd w:id="60"/>
    </w:p>
    <w:p w14:paraId="089C0D80">
      <w:pPr>
        <w:keepNext/>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3"/>
        <w:rPr>
          <w:rFonts w:hint="eastAsia" w:ascii="方正仿宋_GBK" w:hAnsi="方正仿宋_GBK" w:eastAsia="方正仿宋_GBK" w:cs="方正仿宋_GBK"/>
          <w:b/>
          <w:bCs/>
          <w:color w:val="auto"/>
          <w:kern w:val="0"/>
          <w:sz w:val="28"/>
          <w:szCs w:val="28"/>
          <w:highlight w:val="none"/>
        </w:rPr>
      </w:pPr>
      <w:bookmarkStart w:id="61" w:name="_Toc513029225"/>
      <w:bookmarkStart w:id="62" w:name="_Toc462564084"/>
      <w:bookmarkStart w:id="63" w:name="_Toc16938541"/>
      <w:bookmarkStart w:id="64" w:name="_Toc20823297"/>
      <w:bookmarkStart w:id="65" w:name="_Toc513029226"/>
      <w:bookmarkStart w:id="66" w:name="_Toc20823298"/>
      <w:bookmarkStart w:id="67" w:name="_Toc16938542"/>
      <w:r>
        <w:rPr>
          <w:rFonts w:hint="eastAsia" w:ascii="方正仿宋_GBK" w:hAnsi="方正仿宋_GBK" w:eastAsia="方正仿宋_GBK" w:cs="方正仿宋_GBK"/>
          <w:color w:val="auto"/>
          <w:kern w:val="0"/>
          <w:sz w:val="28"/>
          <w:szCs w:val="28"/>
          <w:highlight w:val="none"/>
        </w:rPr>
        <w:t>1.响应文件</w:t>
      </w:r>
      <w:bookmarkEnd w:id="61"/>
      <w:bookmarkEnd w:id="62"/>
      <w:bookmarkEnd w:id="63"/>
      <w:bookmarkEnd w:id="64"/>
      <w:r>
        <w:rPr>
          <w:rFonts w:hint="eastAsia" w:ascii="方正仿宋_GBK" w:hAnsi="方正仿宋_GBK" w:eastAsia="方正仿宋_GBK" w:cs="方正仿宋_GBK"/>
          <w:color w:val="auto"/>
          <w:kern w:val="0"/>
          <w:sz w:val="28"/>
          <w:szCs w:val="28"/>
          <w:highlight w:val="none"/>
        </w:rPr>
        <w:t>的提交</w:t>
      </w:r>
    </w:p>
    <w:p w14:paraId="7E5DBE0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1.1纸质响应文件三部分内容（资格审查文件、商务技术文件、价格文件）须分别单独密封，</w:t>
      </w:r>
      <w:r>
        <w:rPr>
          <w:rFonts w:hint="eastAsia" w:ascii="方正仿宋_GBK" w:hAnsi="方正仿宋_GBK" w:eastAsia="方正仿宋_GBK" w:cs="方正仿宋_GBK"/>
          <w:bCs/>
          <w:color w:val="auto"/>
          <w:sz w:val="28"/>
          <w:szCs w:val="28"/>
          <w:highlight w:val="none"/>
          <w:lang w:val="zh-CN"/>
        </w:rPr>
        <w:t>并牢</w:t>
      </w:r>
      <w:r>
        <w:rPr>
          <w:rFonts w:hint="eastAsia" w:ascii="方正仿宋_GBK" w:hAnsi="方正仿宋_GBK" w:eastAsia="方正仿宋_GBK" w:cs="方正仿宋_GBK"/>
          <w:bCs/>
          <w:color w:val="auto"/>
          <w:sz w:val="28"/>
          <w:szCs w:val="28"/>
          <w:highlight w:val="none"/>
        </w:rPr>
        <w:t>固装订成册，不得相互混淆。价格文件不得出现于其他响应文件中。</w:t>
      </w:r>
    </w:p>
    <w:p w14:paraId="2B7DFFE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w:t>
      </w:r>
      <w:r>
        <w:rPr>
          <w:rFonts w:hint="eastAsia" w:ascii="方正仿宋_GBK" w:hAnsi="方正仿宋_GBK" w:eastAsia="方正仿宋_GBK" w:cs="方正仿宋_GBK"/>
          <w:color w:val="auto"/>
          <w:kern w:val="0"/>
          <w:sz w:val="28"/>
          <w:szCs w:val="28"/>
          <w:highlight w:val="none"/>
        </w:rPr>
        <w:t>纸质响应文件每一部分内容均须提供“正本一份、副本一份”纸质响应文件，并将每一部分内容的正本、副本及图纸类等（如需提供图纸等其他资料的话）合并密封，分别装在三个密封袋或密封箱内（如有A3大小的图纸类，可单独密封），密封完好以不泄露投标文件内容为主要判断依据（是否严格按照招标文件装袋提交不作为无效标判定依据）。</w:t>
      </w:r>
    </w:p>
    <w:p w14:paraId="66BE7914">
      <w:pPr>
        <w:pageBreakBefore w:val="0"/>
        <w:widowControl w:val="0"/>
        <w:kinsoku/>
        <w:wordWrap/>
        <w:overflowPunct/>
        <w:topLinePunct w:val="0"/>
        <w:autoSpaceDE/>
        <w:autoSpaceDN/>
        <w:bidi w:val="0"/>
        <w:snapToGrid w:val="0"/>
        <w:spacing w:line="560" w:lineRule="exact"/>
        <w:ind w:firstLine="560" w:firstLineChars="200"/>
        <w:textAlignment w:val="auto"/>
        <w:outlineLvl w:val="1"/>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项目要求提供电子响应文件一份，电子响应文件的内容为资格审查文件、商务技术文件、价格文件打印盖章（或电子签章）后的响应文件的扫描件（资格审查文件、商务技术文件、价格文件需分别逐页连续扫描为三个独立的PDF文件），可以采取U盘、电子光盘两种方式中任意一种方式提交，需单独密封提交。</w:t>
      </w:r>
    </w:p>
    <w:p w14:paraId="7D0AB46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1.3纸质响应文件须</w:t>
      </w:r>
      <w:r>
        <w:rPr>
          <w:rFonts w:hint="eastAsia" w:ascii="方正仿宋_GBK" w:hAnsi="方正仿宋_GBK" w:eastAsia="方正仿宋_GBK" w:cs="方正仿宋_GBK"/>
          <w:bCs/>
          <w:color w:val="auto"/>
          <w:sz w:val="28"/>
          <w:szCs w:val="28"/>
          <w:highlight w:val="none"/>
          <w:lang w:val="zh-CN"/>
        </w:rPr>
        <w:t>采用A4纸（</w:t>
      </w:r>
      <w:r>
        <w:rPr>
          <w:rFonts w:hint="eastAsia" w:ascii="方正仿宋_GBK" w:hAnsi="方正仿宋_GBK" w:eastAsia="方正仿宋_GBK" w:cs="方正仿宋_GBK"/>
          <w:bCs/>
          <w:color w:val="auto"/>
          <w:sz w:val="28"/>
          <w:szCs w:val="28"/>
          <w:highlight w:val="none"/>
        </w:rPr>
        <w:t>图纸等除外），正本须打印并由法定代表人或授权人签字并加盖单位印章。副本可复印，但须加盖单位印章。文件内容中不得行间插字、涂改、增删，如修补错漏处，须由响应文件签署人签字并加盖公章。</w:t>
      </w:r>
    </w:p>
    <w:p w14:paraId="6AAAFB3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1.4递交时间：</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须在规定的响应文件接收截止时间前送达指定地点。</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提交投标文件，即视为已响应参加政府招标活动。</w:t>
      </w:r>
    </w:p>
    <w:p w14:paraId="2062F86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友情提醒：代理机构将拒绝接收在响应文件接收截止时间后递交的响应文件。</w:t>
      </w:r>
    </w:p>
    <w:p w14:paraId="1D812A9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2.投标截止日期</w:t>
      </w:r>
      <w:bookmarkEnd w:id="65"/>
      <w:bookmarkEnd w:id="66"/>
      <w:bookmarkEnd w:id="67"/>
    </w:p>
    <w:p w14:paraId="171D054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2.1 </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提交响应文件的时间不得迟于招标公告中规定的响应文件提交截止时间。</w:t>
      </w:r>
    </w:p>
    <w:p w14:paraId="42F74C7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应充分考虑到交通路况、停车、疫情管控等风险因素，如因</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自身原因造成的投标响应文件提交不成功由</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自行承担全部责任。</w:t>
      </w:r>
    </w:p>
    <w:p w14:paraId="59980C2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2.2</w:t>
      </w:r>
      <w:r>
        <w:rPr>
          <w:rFonts w:hint="eastAsia" w:ascii="方正仿宋_GBK" w:hAnsi="方正仿宋_GBK" w:eastAsia="方正仿宋_GBK" w:cs="方正仿宋_GBK"/>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14:paraId="08E14063">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68" w:name="_Toc16938543"/>
      <w:bookmarkStart w:id="69" w:name="_Toc513029227"/>
      <w:bookmarkStart w:id="70" w:name="_Toc20823299"/>
      <w:r>
        <w:rPr>
          <w:rFonts w:hint="eastAsia" w:ascii="方正仿宋_GBK" w:hAnsi="方正仿宋_GBK" w:eastAsia="方正仿宋_GBK" w:cs="方正仿宋_GBK"/>
          <w:color w:val="auto"/>
          <w:sz w:val="28"/>
          <w:szCs w:val="28"/>
          <w:highlight w:val="none"/>
        </w:rPr>
        <w:t>3.投标文件</w:t>
      </w:r>
      <w:bookmarkEnd w:id="68"/>
      <w:bookmarkEnd w:id="69"/>
      <w:bookmarkEnd w:id="70"/>
      <w:r>
        <w:rPr>
          <w:rFonts w:hint="eastAsia" w:ascii="方正仿宋_GBK" w:hAnsi="方正仿宋_GBK" w:eastAsia="方正仿宋_GBK" w:cs="方正仿宋_GBK"/>
          <w:color w:val="auto"/>
          <w:sz w:val="28"/>
          <w:szCs w:val="28"/>
          <w:highlight w:val="none"/>
        </w:rPr>
        <w:t>的拒收</w:t>
      </w:r>
    </w:p>
    <w:p w14:paraId="3967F85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3.1 代理机构拒绝接收在其规定的投标截止时间后提交的任何投标文件。</w:t>
      </w:r>
    </w:p>
    <w:p w14:paraId="2EA1D194">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71" w:name="_Toc20823300"/>
      <w:bookmarkStart w:id="72" w:name="_Toc16938544"/>
      <w:bookmarkStart w:id="73" w:name="_Toc513029228"/>
      <w:r>
        <w:rPr>
          <w:rFonts w:hint="eastAsia" w:ascii="方正仿宋_GBK" w:hAnsi="方正仿宋_GBK" w:eastAsia="方正仿宋_GBK" w:cs="方正仿宋_GBK"/>
          <w:color w:val="auto"/>
          <w:sz w:val="28"/>
          <w:szCs w:val="28"/>
          <w:highlight w:val="none"/>
        </w:rPr>
        <w:t>4.投标文件的撤回和修改</w:t>
      </w:r>
      <w:bookmarkEnd w:id="71"/>
      <w:bookmarkEnd w:id="72"/>
      <w:bookmarkEnd w:id="73"/>
    </w:p>
    <w:p w14:paraId="66566C2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 响应文件的撤回</w:t>
      </w:r>
    </w:p>
    <w:p w14:paraId="7251DDD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4.1.1投标人可在响应文件提交截止时间前，书面撤回其投标响应文件。</w:t>
      </w:r>
    </w:p>
    <w:p w14:paraId="1108488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4.1.2 投标人撤回投标文件，则认为其不再参与本项目投标活动。</w:t>
      </w:r>
    </w:p>
    <w:p w14:paraId="4D69D6F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 投标文件的修改</w:t>
      </w:r>
    </w:p>
    <w:p w14:paraId="20936BD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74" w:name="_Toc513029229"/>
      <w:bookmarkStart w:id="75" w:name="_Toc20823301"/>
      <w:bookmarkStart w:id="76" w:name="_Toc120614218"/>
      <w:bookmarkStart w:id="77" w:name="_Toc16938545"/>
      <w:r>
        <w:rPr>
          <w:rFonts w:hint="eastAsia" w:ascii="方正仿宋_GBK" w:hAnsi="方正仿宋_GBK" w:eastAsia="方正仿宋_GBK" w:cs="方正仿宋_GBK"/>
          <w:color w:val="auto"/>
          <w:sz w:val="28"/>
          <w:szCs w:val="28"/>
          <w:highlight w:val="none"/>
        </w:rPr>
        <w:t>在响应文件提交截止时间之后，投标人不得再对其提交的响应文件进行修改。</w:t>
      </w:r>
    </w:p>
    <w:p w14:paraId="68AA823B">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五、开标与评标</w:t>
      </w:r>
      <w:bookmarkEnd w:id="74"/>
      <w:bookmarkEnd w:id="75"/>
      <w:bookmarkEnd w:id="76"/>
      <w:bookmarkEnd w:id="77"/>
    </w:p>
    <w:p w14:paraId="714A4C49">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78" w:name="_Toc513029230"/>
      <w:bookmarkStart w:id="79" w:name="_Toc20823302"/>
      <w:bookmarkStart w:id="80" w:name="_Toc16938546"/>
      <w:r>
        <w:rPr>
          <w:rFonts w:hint="eastAsia" w:ascii="方正仿宋_GBK" w:hAnsi="方正仿宋_GBK" w:eastAsia="方正仿宋_GBK" w:cs="方正仿宋_GBK"/>
          <w:color w:val="auto"/>
          <w:sz w:val="28"/>
          <w:szCs w:val="28"/>
          <w:highlight w:val="none"/>
        </w:rPr>
        <w:t>1开标</w:t>
      </w:r>
      <w:bookmarkEnd w:id="78"/>
      <w:bookmarkEnd w:id="79"/>
      <w:bookmarkEnd w:id="80"/>
    </w:p>
    <w:p w14:paraId="08A3756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1.1 代理机构将在招标公告中规定的时间和地点组织公开开标。投标人应当按时在指定地点参加开标活动。</w:t>
      </w:r>
    </w:p>
    <w:p w14:paraId="71164E5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1.2开标仪</w:t>
      </w:r>
      <w:r>
        <w:rPr>
          <w:rFonts w:hint="eastAsia" w:ascii="方正仿宋_GBK" w:hAnsi="方正仿宋_GBK" w:eastAsia="方正仿宋_GBK" w:cs="方正仿宋_GBK"/>
          <w:color w:val="auto"/>
          <w:sz w:val="28"/>
          <w:szCs w:val="28"/>
          <w:highlight w:val="none"/>
        </w:rPr>
        <w:t>式由代理机构组织。</w:t>
      </w:r>
    </w:p>
    <w:p w14:paraId="20234CC3">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81" w:name="_Toc20823303"/>
      <w:bookmarkStart w:id="82" w:name="_Toc513029231"/>
      <w:bookmarkStart w:id="83" w:name="_Toc16938547"/>
      <w:r>
        <w:rPr>
          <w:rFonts w:hint="eastAsia" w:ascii="方正仿宋_GBK" w:hAnsi="方正仿宋_GBK" w:eastAsia="方正仿宋_GBK" w:cs="方正仿宋_GBK"/>
          <w:color w:val="auto"/>
          <w:sz w:val="28"/>
          <w:szCs w:val="28"/>
          <w:highlight w:val="none"/>
        </w:rPr>
        <w:t>2评标委员会</w:t>
      </w:r>
    </w:p>
    <w:p w14:paraId="3D36950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2.1开标后，代理机构将立即组织评标委员会（以下简称评委会）进行评标。</w:t>
      </w:r>
    </w:p>
    <w:p w14:paraId="657835C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 评委会由招标人代表和有关技术、经济等方面的专家组成，且人员构成符合政府招标有关规定。</w:t>
      </w:r>
    </w:p>
    <w:p w14:paraId="4B31287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2.3评委会独立工作，负责评审所有投标文件并确定中标候选人。</w:t>
      </w:r>
    </w:p>
    <w:p w14:paraId="6049BE25">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3.评标过程的保密与公正</w:t>
      </w:r>
    </w:p>
    <w:bookmarkEnd w:id="81"/>
    <w:bookmarkEnd w:id="82"/>
    <w:bookmarkEnd w:id="83"/>
    <w:p w14:paraId="2394A09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3.1</w:t>
      </w:r>
      <w:r>
        <w:rPr>
          <w:rFonts w:hint="eastAsia" w:ascii="方正仿宋_GBK" w:hAnsi="方正仿宋_GBK" w:eastAsia="方正仿宋_GBK" w:cs="方正仿宋_GBK"/>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14:paraId="5C6B619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3.2在评标过程中，投标人不得以任何行为影响评标过程，否则其投标文件将被作为无效投标文件。</w:t>
      </w:r>
    </w:p>
    <w:p w14:paraId="5C1F79B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3.3在评标期间，代理机构将设专门人员与投标人联系。</w:t>
      </w:r>
    </w:p>
    <w:p w14:paraId="037B1DE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3.4 代理机构和评标委员会不向未中标的投标人解释未中标原因，也不公布评标过程中的相关细节。</w:t>
      </w:r>
    </w:p>
    <w:p w14:paraId="0085726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3.5 采用综合评分法的项目，公布评标结果时一并公布所有投标人的评审得分及排序情况。</w:t>
      </w:r>
    </w:p>
    <w:p w14:paraId="393E2047">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84" w:name="_Toc20823304"/>
      <w:bookmarkStart w:id="85" w:name="_Toc513029232"/>
      <w:bookmarkStart w:id="86" w:name="_Toc16938548"/>
      <w:r>
        <w:rPr>
          <w:rFonts w:hint="eastAsia" w:ascii="方正仿宋_GBK" w:hAnsi="方正仿宋_GBK" w:eastAsia="方正仿宋_GBK" w:cs="方正仿宋_GBK"/>
          <w:color w:val="auto"/>
          <w:sz w:val="28"/>
          <w:szCs w:val="28"/>
          <w:highlight w:val="none"/>
        </w:rPr>
        <w:t>4.投标的澄清</w:t>
      </w:r>
      <w:bookmarkEnd w:id="84"/>
      <w:bookmarkEnd w:id="85"/>
      <w:bookmarkEnd w:id="86"/>
    </w:p>
    <w:p w14:paraId="6391977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4.1评标期间，为有助于投标文件的审查、评价和比较，评委会有权要求投标人对其投标文件进行澄清，但并非对每个投标人都作澄清要求。</w:t>
      </w:r>
    </w:p>
    <w:p w14:paraId="673CCFA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14:paraId="371C5BF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4.3 接到评委会澄清要求的投标人如未按规定作出澄清，其风险由投标人自行承担。</w:t>
      </w:r>
    </w:p>
    <w:p w14:paraId="49492DEF">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bookmarkStart w:id="87" w:name="_Toc513029233"/>
      <w:bookmarkStart w:id="88" w:name="_Toc20823305"/>
      <w:bookmarkStart w:id="89" w:name="_Toc16938549"/>
      <w:r>
        <w:rPr>
          <w:rFonts w:hint="eastAsia" w:ascii="方正仿宋_GBK" w:hAnsi="方正仿宋_GBK" w:eastAsia="方正仿宋_GBK" w:cs="方正仿宋_GBK"/>
          <w:color w:val="auto"/>
          <w:sz w:val="28"/>
          <w:szCs w:val="28"/>
          <w:highlight w:val="none"/>
        </w:rPr>
        <w:t>5对投标文件的初审</w:t>
      </w:r>
      <w:bookmarkEnd w:id="87"/>
      <w:bookmarkEnd w:id="88"/>
      <w:bookmarkEnd w:id="89"/>
    </w:p>
    <w:p w14:paraId="2E5ABC8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5.1</w:t>
      </w:r>
      <w:r>
        <w:rPr>
          <w:rFonts w:hint="eastAsia" w:ascii="方正仿宋_GBK" w:hAnsi="方正仿宋_GBK" w:eastAsia="方正仿宋_GBK" w:cs="方正仿宋_GBK"/>
          <w:bCs/>
          <w:color w:val="auto"/>
          <w:sz w:val="28"/>
          <w:szCs w:val="28"/>
          <w:highlight w:val="none"/>
        </w:rPr>
        <w:t>投标文件初审分为资格审查和符合性审查。</w:t>
      </w:r>
    </w:p>
    <w:p w14:paraId="19E491A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5.1.1 资格审查：依据法律法规和招标文件的规定，由招标人对投标文件中的资格证明文件进行审查。</w:t>
      </w:r>
    </w:p>
    <w:p w14:paraId="1ED8ECE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14:paraId="5CEF637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5.1.3 未通过资格审查或符合性审查的投标人，代理机构将告知未通过资格审查或符合性审查的原因。</w:t>
      </w:r>
    </w:p>
    <w:p w14:paraId="4CC5BDB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587D721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方正仿宋_GBK" w:hAnsi="方正仿宋_GBK" w:eastAsia="方正仿宋_GBK" w:cs="方正仿宋_GBK"/>
          <w:bCs/>
          <w:color w:val="auto"/>
          <w:sz w:val="28"/>
          <w:szCs w:val="28"/>
          <w:highlight w:val="none"/>
        </w:rPr>
        <w:t>评委决定投标文件的响应性只根据投标文件本身的内容，而不寻求外部的证据。</w:t>
      </w:r>
    </w:p>
    <w:p w14:paraId="23820CC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5.3</w:t>
      </w:r>
      <w:r>
        <w:rPr>
          <w:rFonts w:hint="eastAsia" w:ascii="方正仿宋_GBK" w:hAnsi="方正仿宋_GBK" w:eastAsia="方正仿宋_GBK" w:cs="方正仿宋_GBK"/>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4EFC853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5.4</w:t>
      </w:r>
      <w:r>
        <w:rPr>
          <w:rFonts w:hint="eastAsia" w:ascii="方正仿宋_GBK" w:hAnsi="方正仿宋_GBK" w:eastAsia="方正仿宋_GBK" w:cs="方正仿宋_GBK"/>
          <w:bCs/>
          <w:color w:val="auto"/>
          <w:sz w:val="28"/>
          <w:szCs w:val="28"/>
          <w:highlight w:val="none"/>
        </w:rPr>
        <w:t>评委会将对确定为实质性响应的投标进行进一步审核，看其是否有计算上或累加上的算术错误，修正错误的原则如下：</w:t>
      </w:r>
    </w:p>
    <w:p w14:paraId="037432D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（1）投标文件中开标一览表内容与投标文件中相应内容不一致的，以开标一览表为准。</w:t>
      </w:r>
    </w:p>
    <w:p w14:paraId="3643C8D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（2）大写金额和小写金额不一致的，以大写金额为准。</w:t>
      </w:r>
    </w:p>
    <w:p w14:paraId="2B3CDC4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（3）单价金额小数点或者百分比有明显错位的，以开标一览表的总价为准，并修改单价。</w:t>
      </w:r>
    </w:p>
    <w:p w14:paraId="1A8CC03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（4）总价金额与按单价汇总金额不一致的，以单价金额计算结果为准。</w:t>
      </w:r>
    </w:p>
    <w:p w14:paraId="5BE259D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同时出现两种以上错误的，按照前款规定的顺序修正。</w:t>
      </w:r>
    </w:p>
    <w:p w14:paraId="43B139A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5.5</w:t>
      </w:r>
      <w:r>
        <w:rPr>
          <w:rFonts w:hint="eastAsia" w:ascii="方正仿宋_GBK" w:hAnsi="方正仿宋_GBK" w:eastAsia="方正仿宋_GBK" w:cs="方正仿宋_GBK"/>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14:paraId="32078EB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5.6</w:t>
      </w:r>
      <w:r>
        <w:rPr>
          <w:rFonts w:hint="eastAsia" w:ascii="方正仿宋_GBK" w:hAnsi="方正仿宋_GBK" w:eastAsia="方正仿宋_GBK" w:cs="方正仿宋_GBK"/>
          <w:bCs/>
          <w:color w:val="auto"/>
          <w:sz w:val="28"/>
          <w:szCs w:val="28"/>
          <w:highlight w:val="none"/>
        </w:rPr>
        <w:t>评委会将允许修正投标文件中不构成重大偏离的、微小的、非正规的、不一致的或不规则的地方，但这些修改不能影响任何投标人相应的名次排列。</w:t>
      </w:r>
    </w:p>
    <w:p w14:paraId="7E3069A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90" w:name="_Toc513029234"/>
      <w:bookmarkStart w:id="91" w:name="_Toc20823306"/>
      <w:bookmarkStart w:id="92" w:name="_Toc16938550"/>
      <w:r>
        <w:rPr>
          <w:rFonts w:hint="eastAsia" w:ascii="方正仿宋_GBK" w:hAnsi="方正仿宋_GBK" w:eastAsia="方正仿宋_GBK" w:cs="方正仿宋_GBK"/>
          <w:color w:val="auto"/>
          <w:sz w:val="28"/>
          <w:szCs w:val="28"/>
          <w:highlight w:val="none"/>
        </w:rPr>
        <w:t>5.7投标人在开、评标全过程中应保持通讯畅通，并安排专人与代理机构及评标委员会联系。</w:t>
      </w:r>
    </w:p>
    <w:bookmarkEnd w:id="90"/>
    <w:bookmarkEnd w:id="91"/>
    <w:bookmarkEnd w:id="92"/>
    <w:p w14:paraId="2A2BC0ED">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6.无效投标条款和废标条款</w:t>
      </w:r>
    </w:p>
    <w:p w14:paraId="31E906CC">
      <w:pPr>
        <w:pageBreakBefore w:val="0"/>
        <w:widowControl w:val="0"/>
        <w:tabs>
          <w:tab w:val="left" w:pos="6555"/>
          <w:tab w:val="right" w:pos="8306"/>
        </w:tabs>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bookmarkStart w:id="93" w:name="_Toc20823307"/>
      <w:bookmarkStart w:id="94" w:name="_Toc16938551"/>
      <w:bookmarkStart w:id="95" w:name="_Toc513029235"/>
      <w:r>
        <w:rPr>
          <w:rFonts w:hint="eastAsia" w:ascii="方正仿宋_GBK" w:hAnsi="方正仿宋_GBK" w:eastAsia="方正仿宋_GBK" w:cs="方正仿宋_GBK"/>
          <w:bCs/>
          <w:color w:val="auto"/>
          <w:sz w:val="28"/>
          <w:szCs w:val="28"/>
          <w:highlight w:val="none"/>
        </w:rPr>
        <w:t>6.1出现下列情形之一的，作无效响应处理。</w:t>
      </w:r>
      <w:r>
        <w:rPr>
          <w:rFonts w:hint="eastAsia" w:ascii="方正仿宋_GBK" w:hAnsi="方正仿宋_GBK" w:eastAsia="方正仿宋_GBK" w:cs="方正仿宋_GBK"/>
          <w:bCs/>
          <w:color w:val="auto"/>
          <w:sz w:val="28"/>
          <w:szCs w:val="28"/>
          <w:highlight w:val="none"/>
        </w:rPr>
        <w:tab/>
      </w:r>
      <w:r>
        <w:rPr>
          <w:rFonts w:hint="eastAsia" w:ascii="方正仿宋_GBK" w:hAnsi="方正仿宋_GBK" w:eastAsia="方正仿宋_GBK" w:cs="方正仿宋_GBK"/>
          <w:b/>
          <w:color w:val="auto"/>
          <w:sz w:val="28"/>
          <w:szCs w:val="28"/>
          <w:highlight w:val="none"/>
        </w:rPr>
        <w:tab/>
      </w:r>
    </w:p>
    <w:p w14:paraId="43C09E8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6.1.1</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在规定的时间内未成功提交响应文件的。</w:t>
      </w:r>
    </w:p>
    <w:p w14:paraId="7CCAB80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6.1.2未完整提交响应文件的。</w:t>
      </w:r>
    </w:p>
    <w:p w14:paraId="3C466B9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6.1.3同一投标人提交两个（含两个）以上不同的响应报价的。</w:t>
      </w:r>
    </w:p>
    <w:p w14:paraId="351742D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6.1.4未在投标截止时间前按招标文件要求缴纳投标保证金的。</w:t>
      </w:r>
    </w:p>
    <w:p w14:paraId="35C0C72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6.1.5不具备招标文件中规定的资格要求的。 </w:t>
      </w:r>
    </w:p>
    <w:p w14:paraId="588F65F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6.1.6未通过符合性检查的。</w:t>
      </w:r>
    </w:p>
    <w:p w14:paraId="7278C82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6.1.7不符合法律法规和招标文件中规定的其他实质性要求的。</w:t>
      </w:r>
    </w:p>
    <w:p w14:paraId="77335A9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6.1.8</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被 “信用中国”网站（www.creditchina.gov.cn）列入失信被执行人或重大税收违法案件当事人名单或招标严重失信行为记录名单，或查询“信用中国”网站后发现</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存在其他不符合合格投标人资格条件的信用记录。</w:t>
      </w:r>
    </w:p>
    <w:p w14:paraId="130432A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6.1.9 响应文件含有招标人不能接受的附加条件的。</w:t>
      </w:r>
    </w:p>
    <w:p w14:paraId="53F7077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6.1.10评标小组认为投标人的报价明显低于其他通过符合性审查的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的报价，有可能影响产品质量或者不能诚信履约的，将要求其在合理的时间内提供说明，必要时提交相关证明材料；投标人不能证明其报价合理性的，评标小组应当将其作为无效响应处理。</w:t>
      </w:r>
    </w:p>
    <w:p w14:paraId="468605F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6.1.11响应文件未按照招标文件要求盖章、密封的。</w:t>
      </w:r>
    </w:p>
    <w:p w14:paraId="268A47F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6.1.12投标人的商务技术部分得分相差悬殊，评标委员会认为得分畸低者没有实质性响应的。</w:t>
      </w:r>
    </w:p>
    <w:p w14:paraId="51B1D4F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6.1.13其他法律法规及本招标文件规定的属无效响应的情形。</w:t>
      </w:r>
    </w:p>
    <w:p w14:paraId="3F8D826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6.2废标条款：</w:t>
      </w:r>
    </w:p>
    <w:p w14:paraId="538283D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6.2.1符合专业条件的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或者对招标文件作实质响应的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不足三家的。</w:t>
      </w:r>
    </w:p>
    <w:p w14:paraId="442FB33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6.2.2出现影响招标公正的违法、违规行为的。</w:t>
      </w:r>
    </w:p>
    <w:p w14:paraId="3D26891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6.2.3因重大变故，招标任务取消的。</w:t>
      </w:r>
    </w:p>
    <w:p w14:paraId="2FE2C29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6.2.4评标委员会认定招标文件存在歧义、重大缺陷导致评审工作无法进行。</w:t>
      </w:r>
    </w:p>
    <w:p w14:paraId="2A1E995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6.2.5 因系统故障原因造成开评标无法继续进行的（适用于不见面开标模式）。</w:t>
      </w:r>
    </w:p>
    <w:p w14:paraId="62695DD7">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6.3 投标截止时间结束后参加投标的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不足三家的处理：</w:t>
      </w:r>
    </w:p>
    <w:p w14:paraId="03E041C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6.3.1如出现投标截止时间结束后参加投标的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或者在评标期间对招标文件做出实质响应的</w:t>
      </w:r>
      <w:r>
        <w:rPr>
          <w:rFonts w:hint="eastAsia" w:ascii="方正仿宋_GBK" w:hAnsi="方正仿宋_GBK" w:eastAsia="方正仿宋_GBK" w:cs="方正仿宋_GBK"/>
          <w:color w:val="auto"/>
          <w:sz w:val="28"/>
          <w:szCs w:val="28"/>
          <w:highlight w:val="none"/>
        </w:rPr>
        <w:t>投标人</w:t>
      </w:r>
      <w:r>
        <w:rPr>
          <w:rFonts w:hint="eastAsia" w:ascii="方正仿宋_GBK" w:hAnsi="方正仿宋_GBK" w:eastAsia="方正仿宋_GBK" w:cs="方正仿宋_GBK"/>
          <w:bCs/>
          <w:color w:val="auto"/>
          <w:sz w:val="28"/>
          <w:szCs w:val="28"/>
          <w:highlight w:val="none"/>
        </w:rPr>
        <w:t>不足三家情况，按政府招标相关规定执行。</w:t>
      </w:r>
    </w:p>
    <w:bookmarkEnd w:id="93"/>
    <w:bookmarkEnd w:id="94"/>
    <w:bookmarkEnd w:id="95"/>
    <w:p w14:paraId="731E1F1B">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96" w:name="_Toc120614219"/>
      <w:r>
        <w:rPr>
          <w:rFonts w:hint="eastAsia" w:ascii="方正仿宋_GBK" w:hAnsi="方正仿宋_GBK" w:eastAsia="方正仿宋_GBK" w:cs="方正仿宋_GBK"/>
          <w:color w:val="auto"/>
          <w:sz w:val="28"/>
          <w:szCs w:val="28"/>
          <w:highlight w:val="none"/>
        </w:rPr>
        <w:t>六、定标</w:t>
      </w:r>
      <w:bookmarkEnd w:id="96"/>
    </w:p>
    <w:p w14:paraId="6565833C">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color w:val="auto"/>
          <w:sz w:val="28"/>
          <w:szCs w:val="28"/>
          <w:highlight w:val="none"/>
        </w:rPr>
      </w:pPr>
      <w:bookmarkStart w:id="97" w:name="_Toc20823310"/>
      <w:bookmarkStart w:id="98" w:name="_Toc16938554"/>
      <w:r>
        <w:rPr>
          <w:rFonts w:hint="eastAsia" w:ascii="方正仿宋_GBK" w:hAnsi="方正仿宋_GBK" w:eastAsia="方正仿宋_GBK" w:cs="方正仿宋_GBK"/>
          <w:color w:val="auto"/>
          <w:sz w:val="28"/>
          <w:szCs w:val="28"/>
          <w:highlight w:val="none"/>
        </w:rPr>
        <w:t>1.确定</w:t>
      </w:r>
      <w:bookmarkEnd w:id="97"/>
      <w:bookmarkEnd w:id="98"/>
      <w:r>
        <w:rPr>
          <w:rFonts w:hint="eastAsia" w:ascii="方正仿宋_GBK" w:hAnsi="方正仿宋_GBK" w:eastAsia="方正仿宋_GBK" w:cs="方正仿宋_GBK"/>
          <w:color w:val="auto"/>
          <w:sz w:val="28"/>
          <w:szCs w:val="28"/>
          <w:highlight w:val="none"/>
        </w:rPr>
        <w:t>中标单位</w:t>
      </w:r>
    </w:p>
    <w:p w14:paraId="318D2C8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 xml:space="preserve">1.1中标候选人的选取原则和数量见招标文件第四部分规定。 </w:t>
      </w:r>
    </w:p>
    <w:p w14:paraId="7C6A9A9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1.2招标人授权评委会在中标候选人中直接确定中标人。</w:t>
      </w:r>
    </w:p>
    <w:p w14:paraId="4C99E98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1.3</w:t>
      </w:r>
      <w:r>
        <w:rPr>
          <w:rFonts w:hint="eastAsia" w:ascii="方正仿宋_GBK" w:hAnsi="方正仿宋_GBK" w:eastAsia="方正仿宋_GBK" w:cs="方正仿宋_GBK"/>
          <w:color w:val="auto"/>
          <w:sz w:val="28"/>
          <w:szCs w:val="28"/>
          <w:highlight w:val="none"/>
        </w:rPr>
        <w:t>代理机构将在“南通市崇川区人民政府网”发布中标公告，公告期限为1个工作日。</w:t>
      </w:r>
    </w:p>
    <w:p w14:paraId="399601F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1.4若有充分证据证明，中标人出现下列情况之一的，一经查实，将被取消中标资格：</w:t>
      </w:r>
    </w:p>
    <w:p w14:paraId="5FE77FC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1.4.1提供虚假材料谋取中标的。</w:t>
      </w:r>
    </w:p>
    <w:p w14:paraId="1D7BDEE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1.4.2向招标人、代理机构行贿或者提供其他不正当利益的。</w:t>
      </w:r>
    </w:p>
    <w:p w14:paraId="2F51846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1.4.3恶意竞争，投标总报价明显低于其自身合理成本且又无法提供证明的。</w:t>
      </w:r>
    </w:p>
    <w:p w14:paraId="65F20E4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1.4.4属于本文件规定的无效条件，但在评标过程中又未被评委会发现的。</w:t>
      </w:r>
    </w:p>
    <w:p w14:paraId="60E0D3D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1.4.5与招标人或者其他投标人恶意串通的。</w:t>
      </w:r>
    </w:p>
    <w:p w14:paraId="5702116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1.4.6采取不正当手段诋毁、排挤其他投标人的。</w:t>
      </w:r>
    </w:p>
    <w:p w14:paraId="19B5F21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99" w:name="_Toc200451960"/>
      <w:r>
        <w:rPr>
          <w:rFonts w:hint="eastAsia" w:ascii="方正仿宋_GBK" w:hAnsi="方正仿宋_GBK" w:eastAsia="方正仿宋_GBK" w:cs="方正仿宋_GBK"/>
          <w:color w:val="auto"/>
          <w:sz w:val="28"/>
          <w:szCs w:val="28"/>
          <w:highlight w:val="none"/>
        </w:rPr>
        <w:t>1.5.</w:t>
      </w:r>
      <w:r>
        <w:rPr>
          <w:rFonts w:hint="eastAsia" w:ascii="方正仿宋_GBK" w:hAnsi="方正仿宋_GBK" w:eastAsia="方正仿宋_GBK" w:cs="方正仿宋_GBK"/>
          <w:color w:val="auto"/>
          <w:kern w:val="0"/>
          <w:sz w:val="28"/>
          <w:szCs w:val="28"/>
          <w:highlight w:val="none"/>
        </w:rPr>
        <w:t>有下列情形之一的，视为投标人串通投标，投标无效：</w:t>
      </w:r>
    </w:p>
    <w:p w14:paraId="7EE126C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1.5.1不同投标人的投标文件由同一单位或者个人编制；</w:t>
      </w:r>
    </w:p>
    <w:p w14:paraId="78C7494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1.5.2不同投标人委托同一单位或者个人办理投标事宜；</w:t>
      </w:r>
    </w:p>
    <w:p w14:paraId="0FA971F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1.5.3不同投标人的投标文件载明的项目管理成员或者联系人员为同一人；</w:t>
      </w:r>
    </w:p>
    <w:p w14:paraId="07C1A78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1.5.4不同投标人的投标文件异常一致或者投标报价呈规律性差异；</w:t>
      </w:r>
    </w:p>
    <w:p w14:paraId="0678B80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1.5.5不同投标人的投标文件相互混装；</w:t>
      </w:r>
    </w:p>
    <w:p w14:paraId="048D361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2.质疑事项</w:t>
      </w:r>
    </w:p>
    <w:bookmarkEnd w:id="99"/>
    <w:p w14:paraId="45370C10">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100" w:name="_Toc120614220"/>
      <w:bookmarkStart w:id="101" w:name="_Toc20823308"/>
      <w:bookmarkStart w:id="102" w:name="_Toc513029236"/>
      <w:bookmarkStart w:id="103" w:name="_Toc16938552"/>
      <w:r>
        <w:rPr>
          <w:rFonts w:hint="eastAsia" w:ascii="方正仿宋_GBK" w:hAnsi="方正仿宋_GBK" w:eastAsia="方正仿宋_GBK" w:cs="方正仿宋_GBK"/>
          <w:color w:val="auto"/>
          <w:sz w:val="28"/>
          <w:szCs w:val="28"/>
          <w:highlight w:val="none"/>
        </w:rPr>
        <w:t>2.1 提出质疑的供应商应当是参与所质疑项目招标活动的供应商。潜在供应商依法获取其可质疑的招标文件的，可以对招标文件提出质疑。</w:t>
      </w:r>
    </w:p>
    <w:p w14:paraId="3BDE1F4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2.2供应商认为招标文件、招标过程和招标结果使自己的权益受到损害的，可以在知道或应知其权益受到损害之日起七个工作日内，以书面形式向代理机构或招标人提出质疑。上述应知其权益受到损害之日，是指：</w:t>
      </w:r>
    </w:p>
    <w:p w14:paraId="04FF031E">
      <w:pPr>
        <w:pStyle w:val="6"/>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2.2.1对可以质疑的招标文件提出质疑的，为收到招标文件之日或者招标文件公告期限届满之日；招标项目开标后，不再接受供应商对招标文件（含更正公告等）内容的异议或质询（质疑）。</w:t>
      </w:r>
    </w:p>
    <w:p w14:paraId="2C2FE9B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sz w:val="28"/>
          <w:szCs w:val="28"/>
          <w:highlight w:val="none"/>
        </w:rPr>
        <w:t>2.2.2</w:t>
      </w:r>
      <w:r>
        <w:rPr>
          <w:rFonts w:hint="eastAsia" w:ascii="方正仿宋_GBK" w:hAnsi="方正仿宋_GBK" w:eastAsia="方正仿宋_GBK" w:cs="方正仿宋_GBK"/>
          <w:b/>
          <w:bCs/>
          <w:color w:val="auto"/>
          <w:kern w:val="0"/>
          <w:sz w:val="28"/>
          <w:szCs w:val="28"/>
          <w:highlight w:val="none"/>
        </w:rPr>
        <w:t>对招标过程提出质疑的，为各招标程序环节结束之日；</w:t>
      </w:r>
    </w:p>
    <w:p w14:paraId="3069A1E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其中：对评审过程中涉及的密封检查、身份核对、澄清等程序性事项，供应商如有异议的，必须当场提出。否则，均视为供应商无异议。无论是否成交，供应商事后不得再就前述事项提出任何异议或质疑投诉。</w:t>
      </w:r>
    </w:p>
    <w:p w14:paraId="6945147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t>2.2.3</w:t>
      </w:r>
      <w:r>
        <w:rPr>
          <w:rFonts w:hint="eastAsia" w:ascii="方正仿宋_GBK" w:hAnsi="方正仿宋_GBK" w:eastAsia="方正仿宋_GBK" w:cs="方正仿宋_GBK"/>
          <w:color w:val="auto"/>
          <w:kern w:val="0"/>
          <w:sz w:val="28"/>
          <w:szCs w:val="28"/>
          <w:highlight w:val="none"/>
        </w:rPr>
        <w:t>对中标或者成交结果提出质疑的，为中标或者成交结果公告期限届满之日。</w:t>
      </w:r>
    </w:p>
    <w:p w14:paraId="3AA477C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供应商应当在法定质疑期内一次性提出针对同一招标程序环节的质疑。</w:t>
      </w:r>
    </w:p>
    <w:p w14:paraId="7AEF5C2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2.3质疑函必须按照本招标文件中《质疑函范本》要求的格式和内容进行填写。</w:t>
      </w:r>
    </w:p>
    <w:p w14:paraId="7D70671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2.4对招标方式、招标文件中项目需求、供应商资格条件、评审方法和评审标准、资格审查结果等应当由招标人答复的质疑，请向招标人提出，由招标人负责答复。投标人对其他事项的质疑，请向招标代理机构提出，由招标人或招标代理机构负责答复。</w:t>
      </w:r>
    </w:p>
    <w:p w14:paraId="3FF569C4">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供应商提起质疑采取书面形式，可以现场送达，也可以邮寄。</w:t>
      </w:r>
    </w:p>
    <w:p w14:paraId="49B1DC2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招标人及招标代理机构质疑接收人及联系方式，见招标文件第一部分。</w:t>
      </w:r>
    </w:p>
    <w:p w14:paraId="2F49727E">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2.5供应商提出质疑应当提交质疑函和必要的证明材料，否则不予受理。质疑函应当包括下列内容：</w:t>
      </w:r>
    </w:p>
    <w:p w14:paraId="7754442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供应商的姓名或者名称、地址、邮编、联系人及联系电话；</w:t>
      </w:r>
    </w:p>
    <w:p w14:paraId="5A330EFC">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质疑项目的名称、编号；</w:t>
      </w:r>
    </w:p>
    <w:p w14:paraId="755D5DE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具体、明确的质疑事项和与质疑事项相关的请求；</w:t>
      </w:r>
    </w:p>
    <w:p w14:paraId="0940CD6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事实依据；</w:t>
      </w:r>
    </w:p>
    <w:p w14:paraId="51D9E5B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必要的法律依据；</w:t>
      </w:r>
    </w:p>
    <w:p w14:paraId="37B0AEC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提出质疑的日期。</w:t>
      </w:r>
    </w:p>
    <w:p w14:paraId="6CFEE8EA">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供应商为自然人的，应当由本人签字；供应商为法人或者其他组织的，应当由法定代表人、主要负责人，或者其授权代表签字或者盖章，并加盖公章。</w:t>
      </w:r>
    </w:p>
    <w:p w14:paraId="06CFDEB3">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2.5 以下情形的质疑不予受理</w:t>
      </w:r>
    </w:p>
    <w:p w14:paraId="35B391A8">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2.5.1 内容不符合上述规定的质疑。</w:t>
      </w:r>
    </w:p>
    <w:p w14:paraId="2B2F9C4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2.5.2 超出招标法定期限的质疑。</w:t>
      </w:r>
    </w:p>
    <w:p w14:paraId="1D0D4AF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2.5.3 未参加招标活动的供应商或在招标活动中自身权益未受到损害的供应商所提出的质疑。</w:t>
      </w:r>
    </w:p>
    <w:p w14:paraId="119BB729">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2.6 投标人提出书面质疑必须有理、有据，不得捏造事实、提供虚假材料进行恶意质疑。否则，一经查实，招标代理机构有权依据招标的有关规定，报请招标监管部门对该供应商进行相应的行政处罚和记录该供应商的失信信息。</w:t>
      </w:r>
    </w:p>
    <w:p w14:paraId="08BF6A6F">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3.中标通知书</w:t>
      </w:r>
    </w:p>
    <w:p w14:paraId="7E11623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3.l中标结果确定后，招标人将向中标人发出中标通知书。中标人应在成交结果公告期满后5个工作日内到招标代理机构办理领取中标通知书手续，否则，由此产生的后果供应商自负。</w:t>
      </w:r>
    </w:p>
    <w:p w14:paraId="69248735">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3.2中标通知书将是合同的一个组成部分。对招标人和中标人均具有法律效力。中标通知书发出后，招标人改变中标结果的，或者中标人放弃中标项目的，应当依法承担法律责任。</w:t>
      </w:r>
    </w:p>
    <w:p w14:paraId="512699CD">
      <w:pPr>
        <w:pStyle w:val="5"/>
        <w:pageBreakBefore w:val="0"/>
        <w:widowControl w:val="0"/>
        <w:kinsoku/>
        <w:wordWrap/>
        <w:overflowPunct/>
        <w:topLinePunct w:val="0"/>
        <w:autoSpaceDE/>
        <w:autoSpaceDN/>
        <w:bidi w:val="0"/>
        <w:adjustRightInd w:val="0"/>
        <w:snapToGrid w:val="0"/>
        <w:spacing w:before="0" w:after="0"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七、授予合同</w:t>
      </w:r>
      <w:bookmarkEnd w:id="100"/>
    </w:p>
    <w:bookmarkEnd w:id="101"/>
    <w:bookmarkEnd w:id="102"/>
    <w:bookmarkEnd w:id="103"/>
    <w:p w14:paraId="642CA97F">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bookmarkStart w:id="104" w:name="_Toc513029237"/>
      <w:bookmarkStart w:id="105" w:name="_Toc16938553"/>
      <w:bookmarkStart w:id="106" w:name="_Toc20823309"/>
      <w:r>
        <w:rPr>
          <w:rFonts w:hint="eastAsia" w:ascii="方正仿宋_GBK" w:hAnsi="方正仿宋_GBK" w:eastAsia="方正仿宋_GBK" w:cs="方正仿宋_GBK"/>
          <w:color w:val="auto"/>
          <w:sz w:val="28"/>
          <w:szCs w:val="28"/>
          <w:highlight w:val="none"/>
        </w:rPr>
        <w:t>1.签订合同</w:t>
      </w:r>
    </w:p>
    <w:p w14:paraId="58DD81B1">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l招标人和中标人应当在投标有效期内以及中标通知书发出之日起30天内，根据招标文件和中标人的投标文件订立书面合同。中标人无正当理由拒签合同的，招标人取消其中标资格，其投标保证金不予退还；该金额不足以弥补给招标人造成的直接和间接损失的（包括但不限于二次招标发生的招标费用、中标差价、招标代理服务费等），中标人应予补足。对依法必须进行招标的项目的中标人，由有关行政监督部门责令改正。</w:t>
      </w:r>
    </w:p>
    <w:p w14:paraId="021E8CF2">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1.2招标文件、中标人的投标文件及招标过程中有关澄清、承诺文件均应作为合同附件。</w:t>
      </w:r>
    </w:p>
    <w:p w14:paraId="41ACE086">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1.3签订合同后，中标人不得将服务进行转包。未经招标人同意，中标人也不得采用分包的形式履行合同，否则招标人有权终止合同。政府招标合同分包履行的，中标人就招标项目和分包项目向招标人负责，分包中标人就分包项目承担责任。转包或分包造成招标人损失的，中标人应承担相应赔偿责任。</w:t>
      </w:r>
    </w:p>
    <w:p w14:paraId="6299774B">
      <w:pPr>
        <w:pStyle w:val="6"/>
        <w:pageBreakBefore w:val="0"/>
        <w:widowControl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2.服务的追加、减少和添购。</w:t>
      </w:r>
    </w:p>
    <w:p w14:paraId="359F313D">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2.1招标合同履行中，招标人需追加与合同标的相同的服务的，在不改变合同其他条款的前提下，可以与中标人协商签订补充合同，但所有补充合同的招标金额不超过原合同金额的10%。</w:t>
      </w:r>
    </w:p>
    <w:p w14:paraId="3C45D7DB">
      <w:pPr>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36"/>
          <w:szCs w:val="36"/>
          <w:highlight w:val="none"/>
        </w:rPr>
      </w:pPr>
      <w:r>
        <w:rPr>
          <w:rFonts w:hint="eastAsia" w:ascii="方正仿宋_GBK" w:hAnsi="方正仿宋_GBK" w:eastAsia="方正仿宋_GBK" w:cs="方正仿宋_GBK"/>
          <w:color w:val="auto"/>
          <w:sz w:val="28"/>
          <w:szCs w:val="28"/>
          <w:highlight w:val="none"/>
        </w:rPr>
        <w:t>2.2招标结束后，招标人若由于各种客观原因，必须对招标项目所牵涉的服务进行适当地减少时，在双方协商一致的前提下，可以按照招标招标时的价格水平做相应的调减，并据此签订补充合同。</w:t>
      </w:r>
      <w:bookmarkEnd w:id="104"/>
      <w:bookmarkEnd w:id="105"/>
      <w:bookmarkEnd w:id="106"/>
    </w:p>
    <w:p w14:paraId="01CD9023">
      <w:pPr>
        <w:adjustRightInd w:val="0"/>
        <w:snapToGrid w:val="0"/>
        <w:spacing w:line="500" w:lineRule="exact"/>
        <w:jc w:val="center"/>
        <w:outlineLvl w:val="0"/>
        <w:rPr>
          <w:rFonts w:ascii="宋体" w:hAnsi="宋体" w:cs="宋体"/>
          <w:bCs/>
          <w:color w:val="auto"/>
          <w:sz w:val="36"/>
          <w:szCs w:val="36"/>
          <w:highlight w:val="none"/>
        </w:rPr>
      </w:pPr>
    </w:p>
    <w:p w14:paraId="5C4E65C8">
      <w:pPr>
        <w:jc w:val="center"/>
        <w:rPr>
          <w:rFonts w:ascii="宋体" w:hAnsi="宋体" w:cs="宋体"/>
          <w:bCs/>
          <w:color w:val="auto"/>
          <w:sz w:val="36"/>
          <w:szCs w:val="36"/>
          <w:highlight w:val="none"/>
        </w:rPr>
      </w:pPr>
      <w:r>
        <w:rPr>
          <w:rFonts w:hint="eastAsia" w:ascii="宋体" w:hAnsi="宋体" w:cs="宋体"/>
          <w:bCs/>
          <w:color w:val="auto"/>
          <w:sz w:val="36"/>
          <w:szCs w:val="36"/>
          <w:highlight w:val="none"/>
        </w:rPr>
        <w:br w:type="page"/>
      </w:r>
      <w:r>
        <w:rPr>
          <w:rFonts w:hint="eastAsia" w:ascii="黑体" w:hAnsi="黑体" w:eastAsia="黑体" w:cs="黑体"/>
          <w:b/>
          <w:color w:val="auto"/>
          <w:sz w:val="36"/>
          <w:szCs w:val="36"/>
          <w:highlight w:val="none"/>
        </w:rPr>
        <w:t>第三部分  项目需求</w:t>
      </w:r>
    </w:p>
    <w:p w14:paraId="1509BDCF">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p>
    <w:p w14:paraId="68D6E86C">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投标人在制作投标文件时仔细研究项目需求说明。项目需求包括技术要求和商务要求：技术要求是指对招标标的功能和质量要求，包括性能、材料、结构、外观、安全，或者服务内容和标准等；商务要求是指取得招标标的的时间、地点、财务和服务要求，包括交付（实施）的时间（期限）和地点（范围），付款条件（进度和方法），包装和运输，售后服务，保险等。</w:t>
      </w:r>
    </w:p>
    <w:p w14:paraId="2006A20A">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一、项目简介与招标范围:</w:t>
      </w:r>
    </w:p>
    <w:p w14:paraId="6B270D79">
      <w:pPr>
        <w:pStyle w:val="1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1.中标人负责在招标人指定停车场投资、设计、建设、运营2座</w:t>
      </w:r>
      <w:r>
        <w:rPr>
          <w:rFonts w:hint="eastAsia" w:ascii="方正仿宋_GBK" w:hAnsi="方正仿宋_GBK" w:eastAsia="方正仿宋_GBK" w:cs="方正仿宋_GBK"/>
          <w:color w:val="auto"/>
          <w:sz w:val="28"/>
          <w:szCs w:val="28"/>
          <w:highlight w:val="none"/>
        </w:rPr>
        <w:t>加油装置</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含储罐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总的储罐容量不低于80m³，油罐区占地面积控制在250㎡以内</w:t>
      </w:r>
      <w:r>
        <w:rPr>
          <w:rFonts w:hint="eastAsia" w:ascii="方正仿宋_GBK" w:hAnsi="方正仿宋_GBK" w:eastAsia="方正仿宋_GBK" w:cs="方正仿宋_GBK"/>
          <w:color w:val="auto"/>
          <w:sz w:val="28"/>
          <w:szCs w:val="28"/>
          <w:highlight w:val="none"/>
        </w:rPr>
        <w:t>。设计、工程建设、设备投入、设备安装及调试、设备运行维护、运营期间各类材料配件供应等全部投资均由中标人负责。</w:t>
      </w:r>
      <w:r>
        <w:rPr>
          <w:rFonts w:hint="eastAsia" w:ascii="方正仿宋_GBK" w:hAnsi="方正仿宋_GBK" w:eastAsia="方正仿宋_GBK" w:cs="方正仿宋_GBK"/>
          <w:color w:val="auto"/>
          <w:sz w:val="28"/>
          <w:szCs w:val="28"/>
          <w:highlight w:val="none"/>
          <w:lang w:val="en-US" w:eastAsia="zh-CN"/>
        </w:rPr>
        <w:t>具体建设方案可结合现场实际优化设计实施。</w:t>
      </w:r>
      <w:r>
        <w:rPr>
          <w:rFonts w:hint="eastAsia" w:ascii="方正仿宋_GBK" w:hAnsi="方正仿宋_GBK" w:eastAsia="方正仿宋_GBK" w:cs="方正仿宋_GBK"/>
          <w:color w:val="auto"/>
          <w:sz w:val="28"/>
          <w:szCs w:val="28"/>
          <w:highlight w:val="none"/>
        </w:rPr>
        <w:t>项目运营管理期限为5年。</w:t>
      </w:r>
    </w:p>
    <w:p w14:paraId="6FC1EB34">
      <w:pPr>
        <w:pStyle w:val="1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2.本项目服务内容主要包括投资、设计、设备安装及调试、运行维护、油品</w:t>
      </w:r>
      <w:r>
        <w:rPr>
          <w:rFonts w:hint="eastAsia" w:ascii="方正仿宋_GBK" w:hAnsi="方正仿宋_GBK" w:eastAsia="方正仿宋_GBK" w:cs="方正仿宋_GBK"/>
          <w:color w:val="auto"/>
          <w:sz w:val="28"/>
          <w:szCs w:val="28"/>
          <w:highlight w:val="none"/>
          <w:lang w:val="en-US" w:eastAsia="zh-CN"/>
        </w:rPr>
        <w:t>采购、运输、储存、加油</w:t>
      </w:r>
      <w:r>
        <w:rPr>
          <w:rFonts w:hint="eastAsia" w:ascii="方正仿宋_GBK" w:hAnsi="方正仿宋_GBK" w:eastAsia="方正仿宋_GBK" w:cs="方正仿宋_GBK"/>
          <w:color w:val="auto"/>
          <w:sz w:val="28"/>
          <w:szCs w:val="28"/>
          <w:highlight w:val="none"/>
        </w:rPr>
        <w:t>等内容。</w:t>
      </w:r>
    </w:p>
    <w:p w14:paraId="03D5BFAD">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二、服务期:</w:t>
      </w:r>
    </w:p>
    <w:p w14:paraId="4E7FDA5A">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1.项目建设期限:</w:t>
      </w:r>
      <w:r>
        <w:rPr>
          <w:rFonts w:hint="eastAsia" w:ascii="方正仿宋_GBK" w:hAnsi="方正仿宋_GBK" w:eastAsia="方正仿宋_GBK" w:cs="方正仿宋_GBK"/>
          <w:color w:val="auto"/>
          <w:sz w:val="28"/>
          <w:szCs w:val="28"/>
          <w:highlight w:val="none"/>
        </w:rPr>
        <w:t>合同签订后完成油品供应和招标人需求</w:t>
      </w:r>
      <w:r>
        <w:rPr>
          <w:rFonts w:hint="eastAsia" w:ascii="方正仿宋_GBK" w:hAnsi="方正仿宋_GBK" w:eastAsia="方正仿宋_GBK" w:cs="方正仿宋_GBK"/>
          <w:color w:val="auto"/>
          <w:sz w:val="28"/>
          <w:szCs w:val="28"/>
          <w:highlight w:val="none"/>
        </w:rPr>
        <w:t>，在60日内交付给招标人;</w:t>
      </w:r>
    </w:p>
    <w:p w14:paraId="4503E55A">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2.运营管理期限:5年，满5年后经招标人考核通过可续签1年。</w:t>
      </w:r>
    </w:p>
    <w:p w14:paraId="1412FEE7">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三、服务地点:</w:t>
      </w:r>
    </w:p>
    <w:p w14:paraId="6A9338DB">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钟秀路停车场，北城垃圾转运中心停车场（如地点发生偏差，以招标人指定地点为准）。</w:t>
      </w:r>
    </w:p>
    <w:p w14:paraId="66D92D39">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四、油品服务</w:t>
      </w:r>
    </w:p>
    <w:p w14:paraId="34EBFBB1">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1.油品质量：中标人所提供的0号柴油(- 10号柴油),按照国家现行标准(GB19147-2016 《车用柴油》)执行。</w:t>
      </w:r>
    </w:p>
    <w:p w14:paraId="0DA964F0">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2.服务保证：中标人保证每笔供油都按时到达并手续齐全且签收确认单。</w:t>
      </w:r>
    </w:p>
    <w:p w14:paraId="1E29D890">
      <w:pPr>
        <w:pStyle w:val="17"/>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3.油品检验：中标人需每月向招标人提供油品质量化验报告，如油品供应质量出现问题，责任由中标人承担</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含由此产生的次生经济损失</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14:paraId="1032B5BC">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4.加油方式：</w:t>
      </w:r>
    </w:p>
    <w:p w14:paraId="2E93BB04">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(1)招标人需提前48小时通知中标人加油计划</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中标人应做好油品采购保供工作</w:t>
      </w:r>
      <w:r>
        <w:rPr>
          <w:rFonts w:hint="eastAsia" w:ascii="方正仿宋_GBK" w:hAnsi="方正仿宋_GBK" w:eastAsia="方正仿宋_GBK" w:cs="方正仿宋_GBK"/>
          <w:color w:val="auto"/>
          <w:sz w:val="28"/>
          <w:szCs w:val="28"/>
          <w:highlight w:val="none"/>
        </w:rPr>
        <w:t>；</w:t>
      </w:r>
    </w:p>
    <w:p w14:paraId="0F32FDCA">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(2)招标人车辆至</w:t>
      </w:r>
      <w:r>
        <w:rPr>
          <w:rFonts w:hint="eastAsia" w:ascii="方正仿宋_GBK" w:hAnsi="方正仿宋_GBK" w:eastAsia="方正仿宋_GBK" w:cs="方正仿宋_GBK"/>
          <w:color w:val="auto"/>
          <w:sz w:val="28"/>
          <w:szCs w:val="28"/>
          <w:highlight w:val="none"/>
        </w:rPr>
        <w:t>加油装置点加油</w:t>
      </w:r>
      <w:r>
        <w:rPr>
          <w:rFonts w:hint="eastAsia" w:ascii="方正仿宋_GBK" w:hAnsi="方正仿宋_GBK" w:eastAsia="方正仿宋_GBK" w:cs="方正仿宋_GBK"/>
          <w:color w:val="auto"/>
          <w:sz w:val="28"/>
          <w:szCs w:val="28"/>
          <w:highlight w:val="none"/>
        </w:rPr>
        <w:t>；</w:t>
      </w:r>
    </w:p>
    <w:p w14:paraId="6124CC1A">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(3)招标人设备无法移动的，中标人按照招标人</w:t>
      </w:r>
      <w:r>
        <w:rPr>
          <w:rFonts w:hint="eastAsia" w:ascii="方正仿宋_GBK" w:hAnsi="方正仿宋_GBK" w:eastAsia="方正仿宋_GBK" w:cs="方正仿宋_GBK"/>
          <w:color w:val="auto"/>
          <w:sz w:val="28"/>
          <w:szCs w:val="28"/>
          <w:highlight w:val="none"/>
          <w:lang w:eastAsia="zh-CN"/>
        </w:rPr>
        <w:t>指令</w:t>
      </w:r>
      <w:r>
        <w:rPr>
          <w:rFonts w:hint="eastAsia" w:ascii="方正仿宋_GBK" w:hAnsi="方正仿宋_GBK" w:eastAsia="方正仿宋_GBK" w:cs="方正仿宋_GBK"/>
          <w:color w:val="auto"/>
          <w:sz w:val="28"/>
          <w:szCs w:val="28"/>
          <w:highlight w:val="none"/>
        </w:rPr>
        <w:t>，到达指定作业场地现场加油。</w:t>
      </w:r>
    </w:p>
    <w:p w14:paraId="4ECE43F5">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5.油品数量：</w:t>
      </w:r>
    </w:p>
    <w:p w14:paraId="31EAD3A8">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固定加油点</w:t>
      </w:r>
      <w:r>
        <w:rPr>
          <w:rFonts w:hint="eastAsia" w:ascii="方正仿宋_GBK" w:hAnsi="方正仿宋_GBK" w:eastAsia="方正仿宋_GBK" w:cs="方正仿宋_GBK"/>
          <w:color w:val="auto"/>
          <w:sz w:val="28"/>
          <w:szCs w:val="28"/>
          <w:highlight w:val="none"/>
        </w:rPr>
        <w:t>加油：中标人应根据所供油品温度、密度或流量计读数，准确计量油量。</w:t>
      </w:r>
    </w:p>
    <w:p w14:paraId="28183216">
      <w:pPr>
        <w:keepNext w:val="0"/>
        <w:keepLines w:val="0"/>
        <w:pageBreakBefore w:val="0"/>
        <w:kinsoku/>
        <w:wordWrap/>
        <w:overflowPunct/>
        <w:topLinePunct w:val="0"/>
        <w:bidi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(2)油罐车供应：按</w:t>
      </w:r>
      <w:r>
        <w:rPr>
          <w:rFonts w:hint="eastAsia" w:ascii="方正仿宋_GBK" w:hAnsi="方正仿宋_GBK" w:eastAsia="方正仿宋_GBK" w:cs="方正仿宋_GBK"/>
          <w:color w:val="auto"/>
          <w:sz w:val="28"/>
          <w:szCs w:val="28"/>
          <w:highlight w:val="none"/>
        </w:rPr>
        <w:t>油罐车或流动加油装置车载流量表（需在计量机构强检有效期内）显示的</w:t>
      </w:r>
      <w:r>
        <w:rPr>
          <w:rFonts w:hint="eastAsia" w:ascii="方正仿宋_GBK" w:hAnsi="方正仿宋_GBK" w:eastAsia="方正仿宋_GBK" w:cs="方正仿宋_GBK"/>
          <w:color w:val="auto"/>
          <w:sz w:val="28"/>
          <w:szCs w:val="28"/>
          <w:highlight w:val="none"/>
        </w:rPr>
        <w:t>加油数量进行结算。</w:t>
      </w:r>
    </w:p>
    <w:p w14:paraId="75C9C01B">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(3)误差和解决：计量合理误差范围为±3‰,其他情况协商解决。</w:t>
      </w:r>
    </w:p>
    <w:p w14:paraId="5A3F8393">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五、运营管理</w:t>
      </w:r>
    </w:p>
    <w:p w14:paraId="5893D2A6">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招标人书面提供需加油车辆的车牌号，中标人只对</w:t>
      </w:r>
      <w:r>
        <w:rPr>
          <w:rFonts w:hint="eastAsia" w:ascii="方正仿宋_GBK" w:hAnsi="方正仿宋_GBK" w:eastAsia="方正仿宋_GBK" w:cs="方正仿宋_GBK"/>
          <w:color w:val="auto"/>
          <w:szCs w:val="28"/>
          <w:highlight w:val="none"/>
          <w:lang w:val="en-US" w:eastAsia="zh-CN"/>
        </w:rPr>
        <w:t>招标人</w:t>
      </w:r>
      <w:r>
        <w:rPr>
          <w:rFonts w:hint="eastAsia" w:ascii="方正仿宋_GBK" w:hAnsi="方正仿宋_GBK" w:eastAsia="方正仿宋_GBK" w:cs="方正仿宋_GBK"/>
          <w:color w:val="auto"/>
          <w:szCs w:val="28"/>
          <w:highlight w:val="none"/>
        </w:rPr>
        <w:t>提供</w:t>
      </w:r>
      <w:r>
        <w:rPr>
          <w:rFonts w:hint="eastAsia" w:ascii="方正仿宋_GBK" w:hAnsi="方正仿宋_GBK" w:eastAsia="方正仿宋_GBK" w:cs="方正仿宋_GBK"/>
          <w:color w:val="auto"/>
          <w:szCs w:val="28"/>
          <w:highlight w:val="none"/>
          <w:lang w:val="en-US" w:eastAsia="zh-CN"/>
        </w:rPr>
        <w:t>的</w:t>
      </w:r>
      <w:r>
        <w:rPr>
          <w:rFonts w:hint="eastAsia" w:ascii="方正仿宋_GBK" w:hAnsi="方正仿宋_GBK" w:eastAsia="方正仿宋_GBK" w:cs="方正仿宋_GBK"/>
          <w:color w:val="auto"/>
          <w:szCs w:val="28"/>
          <w:highlight w:val="none"/>
          <w:lang w:val="en-US" w:eastAsia="zh-CN"/>
        </w:rPr>
        <w:t>的</w:t>
      </w:r>
      <w:r>
        <w:rPr>
          <w:rFonts w:hint="eastAsia" w:ascii="方正仿宋_GBK" w:hAnsi="方正仿宋_GBK" w:eastAsia="方正仿宋_GBK" w:cs="方正仿宋_GBK"/>
          <w:color w:val="auto"/>
          <w:szCs w:val="28"/>
          <w:highlight w:val="none"/>
        </w:rPr>
        <w:t>车牌号的车辆给予月结加油。中标人按月提供单车用油数据及汇总数据。招标人车辆如有变动需及时到中标人处办理书面通知确认。</w:t>
      </w:r>
    </w:p>
    <w:p w14:paraId="3670B023">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六、油品交付</w:t>
      </w:r>
    </w:p>
    <w:p w14:paraId="558ADE4E">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1.项目交付点指中标人建成的</w:t>
      </w:r>
      <w:r>
        <w:rPr>
          <w:rFonts w:hint="eastAsia" w:ascii="方正仿宋_GBK" w:hAnsi="方正仿宋_GBK" w:eastAsia="方正仿宋_GBK" w:cs="方正仿宋_GBK"/>
          <w:color w:val="auto"/>
          <w:szCs w:val="28"/>
          <w:highlight w:val="none"/>
        </w:rPr>
        <w:t>固定加油装置点</w:t>
      </w:r>
      <w:r>
        <w:rPr>
          <w:rFonts w:hint="eastAsia" w:ascii="方正仿宋_GBK" w:hAnsi="方正仿宋_GBK" w:eastAsia="方正仿宋_GBK" w:cs="方正仿宋_GBK"/>
          <w:color w:val="auto"/>
          <w:szCs w:val="28"/>
          <w:highlight w:val="none"/>
        </w:rPr>
        <w:t>与招标人车辆设备、</w:t>
      </w:r>
      <w:r>
        <w:rPr>
          <w:rFonts w:hint="eastAsia" w:ascii="方正仿宋_GBK" w:hAnsi="方正仿宋_GBK" w:eastAsia="方正仿宋_GBK" w:cs="方正仿宋_GBK"/>
          <w:color w:val="auto"/>
          <w:szCs w:val="28"/>
          <w:highlight w:val="none"/>
        </w:rPr>
        <w:t>加油装置</w:t>
      </w:r>
      <w:r>
        <w:rPr>
          <w:rFonts w:hint="eastAsia" w:ascii="方正仿宋_GBK" w:hAnsi="方正仿宋_GBK" w:eastAsia="方正仿宋_GBK" w:cs="方正仿宋_GBK"/>
          <w:color w:val="auto"/>
          <w:szCs w:val="28"/>
          <w:highlight w:val="none"/>
        </w:rPr>
        <w:t>等装油设施的交界处；</w:t>
      </w:r>
    </w:p>
    <w:p w14:paraId="47058EBE">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2.交付的油品所有权和所有风险应自油品越过上述交接点之时从中标人转移至招标人</w:t>
      </w:r>
      <w:r>
        <w:rPr>
          <w:rFonts w:hint="eastAsia" w:ascii="方正仿宋_GBK" w:hAnsi="方正仿宋_GBK" w:eastAsia="方正仿宋_GBK" w:cs="方正仿宋_GBK"/>
          <w:color w:val="auto"/>
          <w:szCs w:val="28"/>
          <w:highlight w:val="none"/>
          <w:lang w:eastAsia="zh-CN"/>
        </w:rPr>
        <w:t>，油品在油罐及加油装置期间的所有责任和风险，均由中标人承担</w:t>
      </w:r>
      <w:r>
        <w:rPr>
          <w:rFonts w:hint="eastAsia" w:ascii="方正仿宋_GBK" w:hAnsi="方正仿宋_GBK" w:eastAsia="方正仿宋_GBK" w:cs="方正仿宋_GBK"/>
          <w:color w:val="auto"/>
          <w:szCs w:val="28"/>
          <w:highlight w:val="none"/>
        </w:rPr>
        <w:t>。</w:t>
      </w:r>
    </w:p>
    <w:p w14:paraId="0E66BC6C">
      <w:pPr>
        <w:pStyle w:val="17"/>
        <w:ind w:firstLine="560" w:firstLineChars="200"/>
        <w:rPr>
          <w:rFonts w:hint="eastAsia" w:ascii="方正仿宋_GBK" w:hAnsi="方正仿宋_GBK" w:eastAsia="方正仿宋_GBK" w:cs="方正仿宋_GBK"/>
          <w:b/>
          <w:bCs/>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七、停车场现场加油装置</w:t>
      </w:r>
    </w:p>
    <w:p w14:paraId="5F9FF051">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1.装置要求</w:t>
      </w:r>
    </w:p>
    <w:p w14:paraId="683FB156">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（1）现场需建成两处固定加油装置，配套储存容量不低于80m³。</w:t>
      </w:r>
    </w:p>
    <w:p w14:paraId="42603BAB">
      <w:pPr>
        <w:pStyle w:val="34"/>
        <w:keepNext w:val="0"/>
        <w:keepLines w:val="0"/>
        <w:pageBreakBefore w:val="0"/>
        <w:kinsoku/>
        <w:wordWrap/>
        <w:overflowPunct/>
        <w:topLinePunct w:val="0"/>
        <w:bidi w:val="0"/>
        <w:spacing w:line="560" w:lineRule="exact"/>
        <w:ind w:left="0" w:firstLine="560"/>
        <w:textAlignment w:val="auto"/>
        <w:rPr>
          <w:rFonts w:hint="default"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（2）招标人有部分需加油设备无法移动，中标人需充分考虑该因素，配置可移动加油装置，到达招标人指定作业场地现场满足招标人加油需求。</w:t>
      </w:r>
    </w:p>
    <w:p w14:paraId="20AD2833">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2.使用规则</w:t>
      </w:r>
    </w:p>
    <w:p w14:paraId="2685E659">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（1）中标人对</w:t>
      </w:r>
      <w:r>
        <w:rPr>
          <w:rFonts w:hint="eastAsia" w:ascii="方正仿宋_GBK" w:hAnsi="方正仿宋_GBK" w:eastAsia="方正仿宋_GBK" w:cs="方正仿宋_GBK"/>
          <w:color w:val="auto"/>
          <w:szCs w:val="28"/>
          <w:highlight w:val="none"/>
          <w:lang w:eastAsia="zh-CN"/>
        </w:rPr>
        <w:t>供油</w:t>
      </w:r>
      <w:r>
        <w:rPr>
          <w:rFonts w:hint="eastAsia" w:ascii="方正仿宋_GBK" w:hAnsi="方正仿宋_GBK" w:eastAsia="方正仿宋_GBK" w:cs="方正仿宋_GBK"/>
          <w:color w:val="auto"/>
          <w:szCs w:val="28"/>
          <w:highlight w:val="none"/>
        </w:rPr>
        <w:t xml:space="preserve">装置的安全性、可靠性负有绝对责任； </w:t>
      </w:r>
    </w:p>
    <w:p w14:paraId="1195DEE2">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（2）中标人全力协助招标人办理</w:t>
      </w:r>
      <w:r>
        <w:rPr>
          <w:rFonts w:hint="eastAsia" w:ascii="方正仿宋_GBK" w:hAnsi="方正仿宋_GBK" w:eastAsia="方正仿宋_GBK" w:cs="方正仿宋_GBK"/>
          <w:color w:val="auto"/>
          <w:szCs w:val="28"/>
          <w:highlight w:val="none"/>
          <w:lang w:val="en-US" w:eastAsia="zh-CN"/>
        </w:rPr>
        <w:t>自有设备车辆内部加油</w:t>
      </w:r>
      <w:r>
        <w:rPr>
          <w:rFonts w:hint="eastAsia" w:ascii="方正仿宋_GBK" w:hAnsi="方正仿宋_GBK" w:eastAsia="方正仿宋_GBK" w:cs="方正仿宋_GBK"/>
          <w:color w:val="auto"/>
          <w:szCs w:val="28"/>
          <w:highlight w:val="none"/>
        </w:rPr>
        <w:t>的有关手续（好通能源危化品经营及</w:t>
      </w:r>
      <w:r>
        <w:rPr>
          <w:rFonts w:hint="eastAsia" w:ascii="方正仿宋_GBK" w:hAnsi="方正仿宋_GBK" w:eastAsia="方正仿宋_GBK" w:cs="方正仿宋_GBK"/>
          <w:color w:val="auto"/>
          <w:szCs w:val="28"/>
          <w:highlight w:val="none"/>
          <w:lang w:val="en-US" w:eastAsia="zh-CN"/>
        </w:rPr>
        <w:t>自有设备车辆内部加油</w:t>
      </w:r>
      <w:r>
        <w:rPr>
          <w:rFonts w:hint="eastAsia" w:ascii="方正仿宋_GBK" w:hAnsi="方正仿宋_GBK" w:eastAsia="方正仿宋_GBK" w:cs="方正仿宋_GBK"/>
          <w:color w:val="auto"/>
          <w:szCs w:val="28"/>
          <w:highlight w:val="none"/>
        </w:rPr>
        <w:t>建设相关资质）</w:t>
      </w:r>
      <w:r>
        <w:rPr>
          <w:rFonts w:hint="eastAsia" w:ascii="方正仿宋_GBK" w:hAnsi="方正仿宋_GBK" w:eastAsia="方正仿宋_GBK" w:cs="方正仿宋_GBK"/>
          <w:color w:val="auto"/>
          <w:szCs w:val="28"/>
          <w:highlight w:val="none"/>
          <w:lang w:eastAsia="zh-CN"/>
        </w:rPr>
        <w:t>，除办理危化品经营资质产生的费用由招标人承担，其余费用均由中标人支付（包含但不限于安评、环评及建设期间的手续费用等）</w:t>
      </w:r>
      <w:r>
        <w:rPr>
          <w:rFonts w:hint="eastAsia" w:ascii="方正仿宋_GBK" w:hAnsi="方正仿宋_GBK" w:eastAsia="方正仿宋_GBK" w:cs="方正仿宋_GBK"/>
          <w:color w:val="auto"/>
          <w:szCs w:val="28"/>
          <w:highlight w:val="none"/>
        </w:rPr>
        <w:t>；</w:t>
      </w:r>
    </w:p>
    <w:p w14:paraId="1BD024D5">
      <w:pPr>
        <w:pStyle w:val="34"/>
        <w:keepNext w:val="0"/>
        <w:keepLines w:val="0"/>
        <w:pageBreakBefore w:val="0"/>
        <w:kinsoku/>
        <w:wordWrap/>
        <w:overflowPunct/>
        <w:topLinePunct w:val="0"/>
        <w:bidi w:val="0"/>
        <w:spacing w:line="560" w:lineRule="exact"/>
        <w:ind w:left="0" w:firstLine="560"/>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（3）如在使用期内</w:t>
      </w:r>
      <w:r>
        <w:rPr>
          <w:rFonts w:hint="eastAsia" w:ascii="方正仿宋_GBK" w:hAnsi="方正仿宋_GBK" w:eastAsia="方正仿宋_GBK" w:cs="方正仿宋_GBK"/>
          <w:color w:val="auto"/>
          <w:szCs w:val="28"/>
          <w:highlight w:val="none"/>
          <w:lang w:eastAsia="zh-CN"/>
        </w:rPr>
        <w:t>现场</w:t>
      </w:r>
      <w:r>
        <w:rPr>
          <w:rFonts w:hint="eastAsia" w:ascii="方正仿宋_GBK" w:hAnsi="方正仿宋_GBK" w:eastAsia="方正仿宋_GBK" w:cs="方正仿宋_GBK"/>
          <w:color w:val="auto"/>
          <w:szCs w:val="28"/>
          <w:highlight w:val="none"/>
        </w:rPr>
        <w:t>加油装置非人为损坏，招标人有权对加油装置提出维修建议；存在重大安全隐患的，中标人必须进行置换。维修置换期间，中标人应负责场地内加油任务，且不收取招标人任何附加费用。</w:t>
      </w:r>
    </w:p>
    <w:p w14:paraId="59B0A20C">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八、结算方式</w:t>
      </w:r>
    </w:p>
    <w:p w14:paraId="1EECB8B2">
      <w:pPr>
        <w:pStyle w:val="17"/>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运营期间结算原则为：国家发改委公布的当期江苏省柴油最高零售价格*（1-下浮率），时间以招标人加油当日日期为准；数量按加油装置实际加油量计算</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且装置计量系统应保持在计量检定机构强检合格有效期内</w:t>
      </w:r>
      <w:r>
        <w:rPr>
          <w:rFonts w:hint="eastAsia" w:ascii="方正仿宋_GBK" w:hAnsi="方正仿宋_GBK" w:eastAsia="方正仿宋_GBK" w:cs="方正仿宋_GBK"/>
          <w:color w:val="auto"/>
          <w:sz w:val="28"/>
          <w:szCs w:val="28"/>
          <w:highlight w:val="none"/>
        </w:rPr>
        <w:t>）。</w:t>
      </w:r>
    </w:p>
    <w:p w14:paraId="06CD82A4">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结算价格为油品及</w:t>
      </w:r>
      <w:r>
        <w:rPr>
          <w:rFonts w:hint="eastAsia" w:ascii="方正仿宋_GBK" w:hAnsi="方正仿宋_GBK" w:eastAsia="方正仿宋_GBK" w:cs="方正仿宋_GBK"/>
          <w:color w:val="auto"/>
          <w:sz w:val="28"/>
          <w:szCs w:val="28"/>
          <w:highlight w:val="none"/>
          <w:lang w:val="en-US" w:eastAsia="zh-CN"/>
        </w:rPr>
        <w:t>运营</w:t>
      </w:r>
      <w:r>
        <w:rPr>
          <w:rFonts w:hint="eastAsia" w:ascii="方正仿宋_GBK" w:hAnsi="方正仿宋_GBK" w:eastAsia="方正仿宋_GBK" w:cs="方正仿宋_GBK"/>
          <w:color w:val="auto"/>
          <w:sz w:val="28"/>
          <w:szCs w:val="28"/>
          <w:highlight w:val="none"/>
        </w:rPr>
        <w:t>服务的费用，包含乙方项目设计、项目建设、设备投入</w:t>
      </w:r>
      <w:r>
        <w:rPr>
          <w:rFonts w:hint="eastAsia" w:ascii="方正仿宋_GBK" w:hAnsi="方正仿宋_GBK" w:eastAsia="方正仿宋_GBK" w:cs="方正仿宋_GBK"/>
          <w:color w:val="auto"/>
          <w:sz w:val="28"/>
          <w:szCs w:val="28"/>
          <w:highlight w:val="none"/>
        </w:rPr>
        <w:t>、油品</w:t>
      </w:r>
      <w:r>
        <w:rPr>
          <w:rFonts w:hint="eastAsia" w:ascii="方正仿宋_GBK" w:hAnsi="方正仿宋_GBK" w:eastAsia="方正仿宋_GBK" w:cs="方正仿宋_GBK"/>
          <w:color w:val="auto"/>
          <w:sz w:val="28"/>
          <w:szCs w:val="28"/>
          <w:highlight w:val="none"/>
          <w:lang w:val="en-US" w:eastAsia="zh-CN"/>
        </w:rPr>
        <w:t>采购、运输、储存、加油</w:t>
      </w:r>
      <w:r>
        <w:rPr>
          <w:rFonts w:hint="eastAsia" w:ascii="方正仿宋_GBK" w:hAnsi="方正仿宋_GBK" w:eastAsia="方正仿宋_GBK" w:cs="方正仿宋_GBK"/>
          <w:color w:val="auto"/>
          <w:sz w:val="28"/>
          <w:szCs w:val="28"/>
          <w:highlight w:val="none"/>
        </w:rPr>
        <w:t>、人工费用、安全投入等所有费用，乙方不再向甲方收取其他费用。</w:t>
      </w:r>
    </w:p>
    <w:p w14:paraId="716A97E3">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九、付款方式</w:t>
      </w:r>
    </w:p>
    <w:p w14:paraId="3F360109">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1.每月月底25日为结算日，汇总加油凭证及计算金额。中标人及时开具发票，招标人自收到发票日起30天内付清货款。</w:t>
      </w:r>
    </w:p>
    <w:p w14:paraId="368885E2">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2.中标人根据招标人指定的单位开具增值税专用发票，中标人应保证所开具发票的真实性、合法性、合规性，若因发票出现问题而产生的经济损失由中标人承担。</w:t>
      </w:r>
    </w:p>
    <w:p w14:paraId="2A462BC7">
      <w:pPr>
        <w:pStyle w:val="31"/>
        <w:keepNext w:val="0"/>
        <w:keepLines w:val="0"/>
        <w:pageBreakBefore w:val="0"/>
        <w:shd w:val="clear" w:color="auto" w:fill="FFFFFF"/>
        <w:kinsoku/>
        <w:wordWrap/>
        <w:overflowPunct/>
        <w:topLinePunct w:val="0"/>
        <w:bidi w:val="0"/>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十、现场勘察</w:t>
      </w:r>
    </w:p>
    <w:p w14:paraId="228E3120">
      <w:pPr>
        <w:pStyle w:val="31"/>
        <w:keepNext w:val="0"/>
        <w:keepLines w:val="0"/>
        <w:pageBreakBefore w:val="0"/>
        <w:shd w:val="clear" w:color="auto" w:fill="FFFFFF"/>
        <w:kinsoku/>
        <w:wordWrap/>
        <w:overflowPunct/>
        <w:topLinePunct w:val="0"/>
        <w:bidi w:val="0"/>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1.招标文件所提供的项目相关数据仅做参考，投标人根据自身需要在投标文件递交之日前对有关现场和周围环境进行勘察，以获取编制投标文件和签署合同所需的信息。勘察现场所发生的费用由投标人自行承担。</w:t>
      </w:r>
    </w:p>
    <w:p w14:paraId="15CFA400">
      <w:pPr>
        <w:pStyle w:val="31"/>
        <w:keepNext w:val="0"/>
        <w:keepLines w:val="0"/>
        <w:pageBreakBefore w:val="0"/>
        <w:shd w:val="clear" w:color="auto" w:fill="FFFFFF"/>
        <w:kinsoku/>
        <w:wordWrap/>
        <w:overflowPunct/>
        <w:topLinePunct w:val="0"/>
        <w:bidi w:val="0"/>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2.招标人向供应商提供的有关现场的资料和数据，是招标人现有的并认为能使投标人可利用的资料。招标人对投标人由此而做出的推论、理解和结论概不负责。</w:t>
      </w:r>
    </w:p>
    <w:p w14:paraId="08F67320">
      <w:pPr>
        <w:pStyle w:val="31"/>
        <w:keepNext w:val="0"/>
        <w:keepLines w:val="0"/>
        <w:pageBreakBefore w:val="0"/>
        <w:shd w:val="clear" w:color="auto" w:fill="FFFFFF"/>
        <w:kinsoku/>
        <w:wordWrap/>
        <w:overflowPunct/>
        <w:topLinePunct w:val="0"/>
        <w:bidi w:val="0"/>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3.经招标人允许，投标人可为勘察目的进入招标人的项目现场，但投标人不得因此使招标人承担有关的责任和蒙受损失。投标人应承担勘察现场的责任和风险。</w:t>
      </w:r>
    </w:p>
    <w:p w14:paraId="039288DC">
      <w:pPr>
        <w:pStyle w:val="31"/>
        <w:keepNext w:val="0"/>
        <w:keepLines w:val="0"/>
        <w:pageBreakBefore w:val="0"/>
        <w:shd w:val="clear" w:color="auto" w:fill="FFFFFF"/>
        <w:kinsoku/>
        <w:wordWrap/>
        <w:overflowPunct/>
        <w:topLinePunct w:val="0"/>
        <w:bidi w:val="0"/>
        <w:spacing w:before="0" w:beforeAutospacing="0" w:after="0" w:afterAutospacing="0" w:line="560" w:lineRule="exact"/>
        <w:ind w:firstLine="560" w:firstLineChars="200"/>
        <w:jc w:val="both"/>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在现场勘察时，熟悉施工及制作安装现场、现场周围交通道路等情况，以获得一切可能影响其投标的直接资料。投标人中标后，不得以不完全了解现场情况为理由而向招标人提出任何索赔的要求，对此招标人不承担任何责任并将不作任何答复与考虑。</w:t>
      </w:r>
    </w:p>
    <w:p w14:paraId="4E7679F1">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5.现场实地勘察时需携带营业执照副本原件及复印件、法定代表人的委托书、被委托人身份证原件及复印件至招标人处勘察（联系人：朱雷，联系电话：18762859057），时间为</w:t>
      </w:r>
      <w:r>
        <w:rPr>
          <w:rFonts w:hint="eastAsia" w:ascii="方正仿宋_GBK" w:hAnsi="方正仿宋_GBK" w:eastAsia="方正仿宋_GBK" w:cs="方正仿宋_GBK"/>
          <w:color w:val="auto"/>
          <w:sz w:val="28"/>
          <w:szCs w:val="28"/>
          <w:highlight w:val="none"/>
          <w:lang w:eastAsia="zh-CN"/>
        </w:rPr>
        <w:t>公告发布之日</w:t>
      </w:r>
      <w:r>
        <w:rPr>
          <w:rFonts w:hint="eastAsia" w:ascii="方正仿宋_GBK" w:hAnsi="方正仿宋_GBK" w:eastAsia="方正仿宋_GBK" w:cs="方正仿宋_GBK"/>
          <w:color w:val="auto"/>
          <w:sz w:val="28"/>
          <w:szCs w:val="28"/>
          <w:highlight w:val="none"/>
        </w:rPr>
        <w:t xml:space="preserve">至2025年 </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29</w:t>
      </w:r>
      <w:r>
        <w:rPr>
          <w:rFonts w:hint="eastAsia" w:ascii="方正仿宋_GBK" w:hAnsi="方正仿宋_GBK" w:eastAsia="方正仿宋_GBK" w:cs="方正仿宋_GBK"/>
          <w:color w:val="auto"/>
          <w:sz w:val="28"/>
          <w:szCs w:val="28"/>
          <w:highlight w:val="none"/>
        </w:rPr>
        <w:t xml:space="preserve"> 日工作日上午8：30--11：30，下午2：00-5：00。</w:t>
      </w:r>
    </w:p>
    <w:p w14:paraId="38B6AF5B">
      <w:pPr>
        <w:keepNext w:val="0"/>
        <w:keepLines w:val="0"/>
        <w:pageBreakBefore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十一、合同样本</w:t>
      </w:r>
    </w:p>
    <w:p w14:paraId="17E4DF17">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728B2AC1">
      <w:pPr>
        <w:spacing w:line="600" w:lineRule="exact"/>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南通市好通能源停车场柴油供应运营服务项目</w:t>
      </w:r>
      <w:r>
        <w:rPr>
          <w:rFonts w:hint="eastAsia" w:ascii="黑体" w:hAnsi="黑体" w:eastAsia="黑体" w:cs="黑体"/>
          <w:b/>
          <w:bCs/>
          <w:color w:val="auto"/>
          <w:sz w:val="32"/>
          <w:szCs w:val="32"/>
          <w:highlight w:val="none"/>
        </w:rPr>
        <w:t>合同</w:t>
      </w:r>
    </w:p>
    <w:p w14:paraId="791805BA">
      <w:pPr>
        <w:rPr>
          <w:color w:val="auto"/>
          <w:highlight w:val="none"/>
        </w:rPr>
      </w:pPr>
    </w:p>
    <w:p w14:paraId="0CCFA299">
      <w:pPr>
        <w:ind w:firstLine="5250" w:firstLineChars="25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合同编号：</w:t>
      </w:r>
    </w:p>
    <w:p w14:paraId="30E0584E">
      <w:pPr>
        <w:ind w:firstLine="5250" w:firstLineChars="25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合同签订地点：</w:t>
      </w:r>
      <w:r>
        <w:rPr>
          <w:rFonts w:hint="eastAsia" w:ascii="方正仿宋_GBK" w:hAnsi="方正仿宋_GBK" w:eastAsia="方正仿宋_GBK" w:cs="方正仿宋_GBK"/>
          <w:color w:val="auto"/>
          <w:szCs w:val="21"/>
          <w:highlight w:val="none"/>
          <w:lang w:eastAsia="zh-CN"/>
        </w:rPr>
        <w:t>南通市崇川区</w:t>
      </w:r>
    </w:p>
    <w:p w14:paraId="7D899C72">
      <w:pPr>
        <w:ind w:firstLine="5250" w:firstLineChars="2500"/>
        <w:rPr>
          <w:rFonts w:hint="eastAsia" w:ascii="方正仿宋_GBK" w:hAnsi="方正仿宋_GBK" w:eastAsia="方正仿宋_GBK" w:cs="方正仿宋_GBK"/>
          <w:color w:val="auto"/>
          <w:szCs w:val="21"/>
          <w:highlight w:val="none"/>
          <w:lang w:eastAsia="zh-CN"/>
        </w:rPr>
      </w:pPr>
      <w:r>
        <w:rPr>
          <w:rFonts w:hint="eastAsia" w:ascii="方正仿宋_GBK" w:hAnsi="方正仿宋_GBK" w:eastAsia="方正仿宋_GBK" w:cs="方正仿宋_GBK"/>
          <w:color w:val="auto"/>
          <w:szCs w:val="21"/>
          <w:highlight w:val="none"/>
        </w:rPr>
        <w:t>签订时间：</w:t>
      </w:r>
    </w:p>
    <w:p w14:paraId="71A58389">
      <w:pPr>
        <w:rPr>
          <w:rFonts w:hint="eastAsia" w:ascii="方正仿宋_GBK" w:hAnsi="方正仿宋_GBK" w:eastAsia="方正仿宋_GBK" w:cs="方正仿宋_GBK"/>
          <w:color w:val="auto"/>
          <w:szCs w:val="21"/>
          <w:highlight w:val="none"/>
        </w:rPr>
      </w:pPr>
    </w:p>
    <w:p w14:paraId="0F52FF67">
      <w:pP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甲方：</w:t>
      </w:r>
    </w:p>
    <w:p w14:paraId="5316F7FE">
      <w:pP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乙方：</w:t>
      </w:r>
    </w:p>
    <w:p w14:paraId="2B8DE4A5">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根据《中华人民共和国民法典》和其它法律法规有关规定，在平等自愿、协商一致的 基础上，订立本合同。</w:t>
      </w:r>
    </w:p>
    <w:p w14:paraId="0267FD4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履约保证金：本项目履约保证金为50万元，缴纳形式：银行转账（必须从投标人基本账户转出）或现金或保函</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eastAsia="zh-CN"/>
        </w:rPr>
        <w:t>银行或保险机构出具</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rPr>
        <w:t>等形式，具体方式经甲方确认后由乙方进行缴纳。所有项目履约完成后，扣除违约金、损失赔偿金后，履约保证金的剩余金额予以退还（无息）。</w:t>
      </w:r>
    </w:p>
    <w:p w14:paraId="794D860F">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第一条总则</w:t>
      </w:r>
    </w:p>
    <w:p w14:paraId="1F9D52CC">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甲方将内部用油及配套服务承包给乙方负责，乙方承诺在协议期间内及时提供质量合格、数量足够的油品和安全高效的加油服务。乙方提供合格的加油装置，负责加油装置的操作、维护和安全管理。甲方承诺协议期内向乙方购油并按时足额支付每批货款。</w:t>
      </w:r>
    </w:p>
    <w:p w14:paraId="17C48DE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2.甲乙双方保证各自具有合格有效的资质和经营权。 </w:t>
      </w:r>
    </w:p>
    <w:p w14:paraId="09D01DF5">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第二条油品服务</w:t>
      </w:r>
    </w:p>
    <w:p w14:paraId="3BCF70B5">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1.油品质量：乙方所提供的0号柴油(- 10号柴油),按照国家现行标准(GB19147-2016 《车用柴油》)执行。</w:t>
      </w:r>
    </w:p>
    <w:p w14:paraId="1E09037B">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2.服务保证：乙方保证每笔供油都按时到达并手续齐全且签收确认单。</w:t>
      </w:r>
    </w:p>
    <w:p w14:paraId="37AA018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3.油品检验：乙方需每月向甲方提供油品质量化验报告，如油品供应质量出现问题，责任由乙方承担</w:t>
      </w:r>
      <w:r>
        <w:rPr>
          <w:rFonts w:hint="eastAsia" w:ascii="方正仿宋_GBK" w:hAnsi="方正仿宋_GBK" w:eastAsia="方正仿宋_GBK" w:cs="方正仿宋_GBK"/>
          <w:color w:val="auto"/>
          <w:szCs w:val="21"/>
          <w:highlight w:val="none"/>
        </w:rPr>
        <w:t>（含由此产生的次生经济损失）</w:t>
      </w:r>
      <w:r>
        <w:rPr>
          <w:rFonts w:hint="eastAsia" w:ascii="方正仿宋_GBK" w:hAnsi="方正仿宋_GBK" w:eastAsia="方正仿宋_GBK" w:cs="方正仿宋_GBK"/>
          <w:color w:val="auto"/>
          <w:szCs w:val="21"/>
          <w:highlight w:val="none"/>
        </w:rPr>
        <w:t>。</w:t>
      </w:r>
    </w:p>
    <w:p w14:paraId="4D449F0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4.加油方式：</w:t>
      </w:r>
    </w:p>
    <w:p w14:paraId="72C38FB1">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(1)甲方需提前48小时通知乙方加油计划</w:t>
      </w:r>
      <w:r>
        <w:rPr>
          <w:rFonts w:hint="eastAsia" w:ascii="方正仿宋_GBK" w:hAnsi="方正仿宋_GBK" w:eastAsia="方正仿宋_GBK" w:cs="方正仿宋_GBK"/>
          <w:color w:val="auto"/>
          <w:szCs w:val="21"/>
          <w:highlight w:val="none"/>
          <w:lang w:eastAsia="zh-CN"/>
        </w:rPr>
        <w:t>，中标人应做好油品采购保供工作</w:t>
      </w:r>
      <w:r>
        <w:rPr>
          <w:rFonts w:hint="eastAsia" w:ascii="方正仿宋_GBK" w:hAnsi="方正仿宋_GBK" w:eastAsia="方正仿宋_GBK" w:cs="方正仿宋_GBK"/>
          <w:color w:val="auto"/>
          <w:szCs w:val="21"/>
          <w:highlight w:val="none"/>
        </w:rPr>
        <w:t>；</w:t>
      </w:r>
    </w:p>
    <w:p w14:paraId="46DFE55D">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(2)甲方车辆</w:t>
      </w:r>
      <w:r>
        <w:rPr>
          <w:rFonts w:hint="eastAsia" w:ascii="方正仿宋_GBK" w:hAnsi="方正仿宋_GBK" w:eastAsia="方正仿宋_GBK" w:cs="方正仿宋_GBK"/>
          <w:strike w:val="0"/>
          <w:dstrike w:val="0"/>
          <w:color w:val="auto"/>
          <w:szCs w:val="21"/>
          <w:highlight w:val="none"/>
          <w:u w:val="none"/>
        </w:rPr>
        <w:t>至</w:t>
      </w:r>
      <w:r>
        <w:rPr>
          <w:rFonts w:hint="eastAsia" w:ascii="方正仿宋_GBK" w:hAnsi="方正仿宋_GBK" w:eastAsia="方正仿宋_GBK" w:cs="方正仿宋_GBK"/>
          <w:strike w:val="0"/>
          <w:dstrike w:val="0"/>
          <w:color w:val="auto"/>
          <w:szCs w:val="21"/>
          <w:highlight w:val="none"/>
          <w:u w:val="none"/>
          <w:lang w:eastAsia="zh-CN"/>
        </w:rPr>
        <w:t>现场建成的</w:t>
      </w:r>
      <w:r>
        <w:rPr>
          <w:rFonts w:hint="eastAsia" w:ascii="方正仿宋_GBK" w:hAnsi="方正仿宋_GBK" w:eastAsia="方正仿宋_GBK" w:cs="方正仿宋_GBK"/>
          <w:strike w:val="0"/>
          <w:dstrike w:val="0"/>
          <w:color w:val="auto"/>
          <w:szCs w:val="21"/>
          <w:highlight w:val="none"/>
          <w:u w:val="none"/>
        </w:rPr>
        <w:t>加油装置</w:t>
      </w:r>
      <w:r>
        <w:rPr>
          <w:rFonts w:hint="eastAsia" w:ascii="方正仿宋_GBK" w:hAnsi="方正仿宋_GBK" w:eastAsia="方正仿宋_GBK" w:cs="方正仿宋_GBK"/>
          <w:color w:val="auto"/>
          <w:szCs w:val="21"/>
          <w:highlight w:val="none"/>
        </w:rPr>
        <w:t>点加油；</w:t>
      </w:r>
    </w:p>
    <w:p w14:paraId="2CC6CC4E">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(3)甲方设备无法移动的，乙方按照甲方</w:t>
      </w:r>
      <w:r>
        <w:rPr>
          <w:rFonts w:hint="eastAsia" w:ascii="方正仿宋_GBK" w:hAnsi="方正仿宋_GBK" w:eastAsia="方正仿宋_GBK" w:cs="方正仿宋_GBK"/>
          <w:color w:val="auto"/>
          <w:szCs w:val="21"/>
          <w:highlight w:val="none"/>
          <w:lang w:eastAsia="zh-CN"/>
        </w:rPr>
        <w:t>指令</w:t>
      </w:r>
      <w:r>
        <w:rPr>
          <w:rFonts w:hint="eastAsia" w:ascii="方正仿宋_GBK" w:hAnsi="方正仿宋_GBK" w:eastAsia="方正仿宋_GBK" w:cs="方正仿宋_GBK"/>
          <w:color w:val="auto"/>
          <w:szCs w:val="21"/>
          <w:highlight w:val="none"/>
        </w:rPr>
        <w:t xml:space="preserve">，到达指定作业场地现场加油。 </w:t>
      </w:r>
    </w:p>
    <w:p w14:paraId="77470A90">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5.油品数量：</w:t>
      </w:r>
    </w:p>
    <w:p w14:paraId="1619507B">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w:t>
      </w:r>
      <w:r>
        <w:rPr>
          <w:rFonts w:hint="eastAsia" w:ascii="方正仿宋_GBK" w:hAnsi="方正仿宋_GBK" w:eastAsia="方正仿宋_GBK" w:cs="方正仿宋_GBK"/>
          <w:color w:val="auto"/>
          <w:szCs w:val="21"/>
          <w:highlight w:val="none"/>
          <w:lang w:eastAsia="zh-CN"/>
        </w:rPr>
        <w:t>固定</w:t>
      </w:r>
      <w:r>
        <w:rPr>
          <w:rFonts w:hint="eastAsia" w:ascii="方正仿宋_GBK" w:hAnsi="方正仿宋_GBK" w:eastAsia="方正仿宋_GBK" w:cs="方正仿宋_GBK"/>
          <w:color w:val="auto"/>
          <w:szCs w:val="21"/>
          <w:highlight w:val="none"/>
        </w:rPr>
        <w:t>装置加油：乙方应根据所供油品温度、密度或流量计读数，准确计量油量。</w:t>
      </w:r>
    </w:p>
    <w:p w14:paraId="3CD6F35C">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(2)油罐车供应：</w:t>
      </w:r>
      <w:r>
        <w:rPr>
          <w:rFonts w:hint="eastAsia" w:ascii="方正仿宋_GBK" w:hAnsi="方正仿宋_GBK" w:eastAsia="方正仿宋_GBK" w:cs="方正仿宋_GBK"/>
          <w:color w:val="auto"/>
          <w:szCs w:val="21"/>
          <w:highlight w:val="none"/>
        </w:rPr>
        <w:t>按油罐车或流动加油装置车载流量表（需在计量机构强检有效期内）显示的加</w:t>
      </w:r>
      <w:r>
        <w:rPr>
          <w:rFonts w:hint="eastAsia" w:ascii="方正仿宋_GBK" w:hAnsi="方正仿宋_GBK" w:eastAsia="方正仿宋_GBK" w:cs="方正仿宋_GBK"/>
          <w:color w:val="auto"/>
          <w:szCs w:val="21"/>
          <w:highlight w:val="none"/>
        </w:rPr>
        <w:t>油数量进行结算。</w:t>
      </w:r>
    </w:p>
    <w:p w14:paraId="1855D6E4">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(3)误差和解决：计量合理误差范围为±3‰,其他情况协商解决。 </w:t>
      </w:r>
    </w:p>
    <w:p w14:paraId="1F9D8114">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第三条价格</w:t>
      </w:r>
    </w:p>
    <w:p w14:paraId="79478570">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1.价格：油品单价参照当日当地发改委最高零售价下浮%执行。</w:t>
      </w:r>
    </w:p>
    <w:p w14:paraId="1C73F453">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2.价格为油品及</w:t>
      </w:r>
      <w:r>
        <w:rPr>
          <w:rFonts w:hint="eastAsia" w:ascii="方正仿宋_GBK" w:hAnsi="方正仿宋_GBK" w:eastAsia="方正仿宋_GBK" w:cs="方正仿宋_GBK"/>
          <w:color w:val="auto"/>
          <w:szCs w:val="21"/>
          <w:highlight w:val="none"/>
          <w:lang w:eastAsia="zh-CN"/>
        </w:rPr>
        <w:t>运营</w:t>
      </w:r>
      <w:r>
        <w:rPr>
          <w:rFonts w:hint="eastAsia" w:ascii="方正仿宋_GBK" w:hAnsi="方正仿宋_GBK" w:eastAsia="方正仿宋_GBK" w:cs="方正仿宋_GBK"/>
          <w:color w:val="auto"/>
          <w:szCs w:val="21"/>
          <w:highlight w:val="none"/>
        </w:rPr>
        <w:t>服务的费用</w:t>
      </w:r>
      <w:r>
        <w:rPr>
          <w:rFonts w:hint="eastAsia" w:ascii="方正仿宋_GBK" w:hAnsi="方正仿宋_GBK" w:eastAsia="方正仿宋_GBK" w:cs="方正仿宋_GBK"/>
          <w:color w:val="auto"/>
          <w:szCs w:val="21"/>
          <w:highlight w:val="none"/>
        </w:rPr>
        <w:t>，包含乙方项目设计、项目建设、设备投入、油品</w:t>
      </w:r>
      <w:r>
        <w:rPr>
          <w:rFonts w:hint="eastAsia" w:ascii="方正仿宋_GBK" w:hAnsi="方正仿宋_GBK" w:eastAsia="方正仿宋_GBK" w:cs="方正仿宋_GBK"/>
          <w:color w:val="auto"/>
          <w:szCs w:val="21"/>
          <w:highlight w:val="none"/>
          <w:lang w:val="en-US" w:eastAsia="zh-CN"/>
        </w:rPr>
        <w:t>采购、运输、储存、加油</w:t>
      </w:r>
      <w:r>
        <w:rPr>
          <w:rFonts w:hint="eastAsia" w:ascii="方正仿宋_GBK" w:hAnsi="方正仿宋_GBK" w:eastAsia="方正仿宋_GBK" w:cs="方正仿宋_GBK"/>
          <w:color w:val="auto"/>
          <w:szCs w:val="21"/>
          <w:highlight w:val="none"/>
        </w:rPr>
        <w:t>、人工费用、安全投入等所有费用，乙方</w:t>
      </w:r>
      <w:r>
        <w:rPr>
          <w:rFonts w:hint="eastAsia" w:ascii="方正仿宋_GBK" w:hAnsi="方正仿宋_GBK" w:eastAsia="方正仿宋_GBK" w:cs="方正仿宋_GBK"/>
          <w:color w:val="auto"/>
          <w:szCs w:val="21"/>
          <w:highlight w:val="none"/>
        </w:rPr>
        <w:t>不再向甲方收取其他费用。</w:t>
      </w:r>
    </w:p>
    <w:p w14:paraId="28A2F5B5">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第四条结算</w:t>
      </w:r>
    </w:p>
    <w:p w14:paraId="343348B0">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1.双方约定每月月底25日为结算日，汇总加油凭证及计算金额。乙方及时开具发票，甲方自收到发票日起30天（按乙方投标时承诺天数执行）内付清货款。</w:t>
      </w:r>
    </w:p>
    <w:p w14:paraId="02CBA457">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2.乙方根据甲方指定的单位开具增值税专用发票，乙方应保证所开具发票的真实性、合法性、合规性，若因发票出现问题而产生的经济损失由乙方承担。</w:t>
      </w:r>
    </w:p>
    <w:p w14:paraId="3E8BBAA5">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第五条管理</w:t>
      </w:r>
    </w:p>
    <w:p w14:paraId="6DEEDD28">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甲方书面提供需加油车辆的车牌号，乙方只对甲方提供车牌号的车辆给予月结加油。乙方按月提供单车用油数据及汇总数据。甲方车辆如有变动需及时到乙方办理书面通知确认。</w:t>
      </w:r>
    </w:p>
    <w:p w14:paraId="398FD72E">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第六条交付</w:t>
      </w:r>
    </w:p>
    <w:p w14:paraId="2AEEEAAF">
      <w:pPr>
        <w:pStyle w:val="17"/>
        <w:ind w:firstLine="420" w:firstLineChars="200"/>
        <w:rPr>
          <w:rFonts w:hint="eastAsia" w:ascii="方正仿宋_GBK" w:hAnsi="方正仿宋_GBK" w:eastAsia="方正仿宋_GBK" w:cs="方正仿宋_GBK"/>
          <w:color w:val="auto"/>
          <w:kern w:val="2"/>
          <w:sz w:val="21"/>
          <w:szCs w:val="21"/>
          <w:highlight w:val="none"/>
          <w:lang w:val="en-US" w:eastAsia="zh-CN" w:bidi="ar-SA"/>
        </w:rPr>
      </w:pPr>
      <w:r>
        <w:rPr>
          <w:rFonts w:hint="eastAsia" w:ascii="方正仿宋_GBK" w:hAnsi="方正仿宋_GBK" w:eastAsia="方正仿宋_GBK" w:cs="方正仿宋_GBK"/>
          <w:color w:val="auto"/>
          <w:kern w:val="2"/>
          <w:sz w:val="21"/>
          <w:szCs w:val="21"/>
          <w:highlight w:val="none"/>
          <w:lang w:val="en-US" w:eastAsia="zh-CN" w:bidi="ar-SA"/>
        </w:rPr>
        <w:t>1.本合同交付点指</w:t>
      </w:r>
      <w:r>
        <w:rPr>
          <w:rFonts w:hint="eastAsia" w:ascii="方正仿宋_GBK" w:hAnsi="方正仿宋_GBK" w:eastAsia="方正仿宋_GBK" w:cs="方正仿宋_GBK"/>
          <w:color w:val="auto"/>
          <w:kern w:val="2"/>
          <w:sz w:val="21"/>
          <w:szCs w:val="21"/>
          <w:highlight w:val="none"/>
          <w:lang w:val="en-US" w:eastAsia="zh-CN" w:bidi="ar-SA"/>
        </w:rPr>
        <w:t>乙方建成的固定加油装置点</w:t>
      </w:r>
      <w:r>
        <w:rPr>
          <w:rFonts w:hint="eastAsia" w:ascii="方正仿宋_GBK" w:hAnsi="方正仿宋_GBK" w:eastAsia="方正仿宋_GBK" w:cs="方正仿宋_GBK"/>
          <w:color w:val="auto"/>
          <w:kern w:val="2"/>
          <w:sz w:val="21"/>
          <w:szCs w:val="21"/>
          <w:highlight w:val="none"/>
          <w:lang w:val="en-US" w:eastAsia="zh-CN" w:bidi="ar-SA"/>
        </w:rPr>
        <w:t>加油设施与甲方车辆设备、加油装置等装油设施的发生地点；</w:t>
      </w:r>
    </w:p>
    <w:p w14:paraId="0F783641">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kern w:val="2"/>
          <w:sz w:val="21"/>
          <w:szCs w:val="21"/>
          <w:highlight w:val="none"/>
          <w:lang w:val="en-US" w:eastAsia="zh-CN" w:bidi="ar-SA"/>
        </w:rPr>
        <w:t>2.本合同项下交付的</w:t>
      </w:r>
      <w:r>
        <w:rPr>
          <w:rFonts w:hint="eastAsia" w:ascii="方正仿宋_GBK" w:hAnsi="方正仿宋_GBK" w:eastAsia="方正仿宋_GBK" w:cs="方正仿宋_GBK"/>
          <w:color w:val="auto"/>
          <w:szCs w:val="21"/>
          <w:highlight w:val="none"/>
        </w:rPr>
        <w:t>油品所有权和所有风险应自油品越过上述交接点之时从乙方转移至甲方</w:t>
      </w: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eastAsia="zh-CN"/>
        </w:rPr>
        <w:t>油品在油罐及加油装置期间的所有责任和风险，均由中标人承担。</w:t>
      </w:r>
    </w:p>
    <w:p w14:paraId="29747E2F">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第七条安全保障</w:t>
      </w:r>
    </w:p>
    <w:p w14:paraId="6F962A19">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安全和防污染管理的责任主体是乙方，保证加油车辆、加油装置设备设施始终处于良好适用状态，安排的运输车辆是技术状况良好且符合危险品运输要求的车辆。乙方承诺对其服务过程中违反国家法律法规等的不良行为等负全责。</w:t>
      </w:r>
    </w:p>
    <w:p w14:paraId="3633BCDF">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2.乙方应严格遵守国家有关安全法规和规章制度，乙方应加强对油罐车辆和加油装置的日常管理，包含但不限于管理制度和人员培训等。</w:t>
      </w:r>
    </w:p>
    <w:p w14:paraId="21867015">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3.乙方人员或设备车辆进入加油区作业须确保运输全过程人员、设备、货物的安全。</w:t>
      </w:r>
    </w:p>
    <w:p w14:paraId="24630829">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第八条加油装置</w:t>
      </w:r>
    </w:p>
    <w:p w14:paraId="41815837">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1.装置要求</w:t>
      </w:r>
    </w:p>
    <w:p w14:paraId="26883441">
      <w:pPr>
        <w:snapToGrid w:val="0"/>
        <w:spacing w:line="400" w:lineRule="exact"/>
        <w:ind w:firstLine="420" w:firstLineChars="200"/>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（1）现场需建成两处固定加油装置，配套储存容量不低于80m³。</w:t>
      </w:r>
    </w:p>
    <w:p w14:paraId="7DF7062C">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lang w:eastAsia="zh-CN"/>
        </w:rPr>
        <w:t>（</w:t>
      </w:r>
      <w:r>
        <w:rPr>
          <w:rFonts w:hint="eastAsia" w:ascii="方正仿宋_GBK" w:hAnsi="方正仿宋_GBK" w:eastAsia="方正仿宋_GBK" w:cs="方正仿宋_GBK"/>
          <w:color w:val="auto"/>
          <w:szCs w:val="21"/>
          <w:highlight w:val="none"/>
          <w:lang w:val="en-US" w:eastAsia="zh-CN"/>
        </w:rPr>
        <w:t>2</w:t>
      </w:r>
      <w:r>
        <w:rPr>
          <w:rFonts w:hint="eastAsia" w:ascii="方正仿宋_GBK" w:hAnsi="方正仿宋_GBK" w:eastAsia="方正仿宋_GBK" w:cs="方正仿宋_GBK"/>
          <w:color w:val="auto"/>
          <w:szCs w:val="21"/>
          <w:highlight w:val="none"/>
          <w:lang w:eastAsia="zh-CN"/>
        </w:rPr>
        <w:t>）甲方</w:t>
      </w:r>
      <w:r>
        <w:rPr>
          <w:rFonts w:hint="eastAsia" w:ascii="方正仿宋_GBK" w:hAnsi="方正仿宋_GBK" w:eastAsia="方正仿宋_GBK" w:cs="方正仿宋_GBK"/>
          <w:color w:val="auto"/>
          <w:szCs w:val="21"/>
          <w:highlight w:val="none"/>
          <w:lang w:val="en-US" w:eastAsia="zh-CN"/>
        </w:rPr>
        <w:t>有部分需加油</w:t>
      </w:r>
      <w:r>
        <w:rPr>
          <w:rFonts w:hint="eastAsia" w:ascii="方正仿宋_GBK" w:hAnsi="方正仿宋_GBK" w:eastAsia="方正仿宋_GBK" w:cs="方正仿宋_GBK"/>
          <w:color w:val="auto"/>
          <w:szCs w:val="21"/>
          <w:highlight w:val="none"/>
        </w:rPr>
        <w:t>设备无法移动，</w:t>
      </w:r>
      <w:r>
        <w:rPr>
          <w:rFonts w:hint="eastAsia" w:ascii="方正仿宋_GBK" w:hAnsi="方正仿宋_GBK" w:eastAsia="方正仿宋_GBK" w:cs="方正仿宋_GBK"/>
          <w:color w:val="auto"/>
          <w:szCs w:val="21"/>
          <w:highlight w:val="none"/>
          <w:lang w:eastAsia="zh-CN"/>
        </w:rPr>
        <w:t>乙方</w:t>
      </w:r>
      <w:r>
        <w:rPr>
          <w:rFonts w:hint="eastAsia" w:ascii="方正仿宋_GBK" w:hAnsi="方正仿宋_GBK" w:eastAsia="方正仿宋_GBK" w:cs="方正仿宋_GBK"/>
          <w:color w:val="auto"/>
          <w:szCs w:val="21"/>
          <w:highlight w:val="none"/>
          <w:lang w:val="en-US" w:eastAsia="zh-CN"/>
        </w:rPr>
        <w:t>需充分考虑该因素，配置可移动加油装置，</w:t>
      </w:r>
      <w:r>
        <w:rPr>
          <w:rFonts w:hint="eastAsia" w:ascii="方正仿宋_GBK" w:hAnsi="方正仿宋_GBK" w:eastAsia="方正仿宋_GBK" w:cs="方正仿宋_GBK"/>
          <w:color w:val="auto"/>
          <w:szCs w:val="21"/>
          <w:highlight w:val="none"/>
        </w:rPr>
        <w:t>到达</w:t>
      </w:r>
      <w:r>
        <w:rPr>
          <w:rFonts w:hint="eastAsia" w:ascii="方正仿宋_GBK" w:hAnsi="方正仿宋_GBK" w:eastAsia="方正仿宋_GBK" w:cs="方正仿宋_GBK"/>
          <w:color w:val="auto"/>
          <w:szCs w:val="21"/>
          <w:highlight w:val="none"/>
          <w:lang w:val="en-US" w:eastAsia="zh-CN"/>
        </w:rPr>
        <w:t>甲方</w:t>
      </w:r>
      <w:r>
        <w:rPr>
          <w:rFonts w:hint="eastAsia" w:ascii="方正仿宋_GBK" w:hAnsi="方正仿宋_GBK" w:eastAsia="方正仿宋_GBK" w:cs="方正仿宋_GBK"/>
          <w:color w:val="auto"/>
          <w:szCs w:val="21"/>
          <w:highlight w:val="none"/>
        </w:rPr>
        <w:t>指定作业场地现场</w:t>
      </w:r>
      <w:r>
        <w:rPr>
          <w:rFonts w:hint="eastAsia" w:ascii="方正仿宋_GBK" w:hAnsi="方正仿宋_GBK" w:eastAsia="方正仿宋_GBK" w:cs="方正仿宋_GBK"/>
          <w:color w:val="auto"/>
          <w:szCs w:val="21"/>
          <w:highlight w:val="none"/>
          <w:lang w:val="en-US" w:eastAsia="zh-CN"/>
        </w:rPr>
        <w:t>满足甲方</w:t>
      </w:r>
      <w:r>
        <w:rPr>
          <w:rFonts w:hint="eastAsia" w:ascii="方正仿宋_GBK" w:hAnsi="方正仿宋_GBK" w:eastAsia="方正仿宋_GBK" w:cs="方正仿宋_GBK"/>
          <w:color w:val="auto"/>
          <w:szCs w:val="21"/>
          <w:highlight w:val="none"/>
        </w:rPr>
        <w:t>加油</w:t>
      </w:r>
      <w:r>
        <w:rPr>
          <w:rFonts w:hint="eastAsia" w:ascii="方正仿宋_GBK" w:hAnsi="方正仿宋_GBK" w:eastAsia="方正仿宋_GBK" w:cs="方正仿宋_GBK"/>
          <w:color w:val="auto"/>
          <w:szCs w:val="21"/>
          <w:highlight w:val="none"/>
          <w:lang w:val="en-US" w:eastAsia="zh-CN"/>
        </w:rPr>
        <w:t>需求</w:t>
      </w:r>
      <w:r>
        <w:rPr>
          <w:rFonts w:hint="eastAsia" w:ascii="方正仿宋_GBK" w:hAnsi="方正仿宋_GBK" w:eastAsia="方正仿宋_GBK" w:cs="方正仿宋_GBK"/>
          <w:color w:val="auto"/>
          <w:szCs w:val="21"/>
          <w:highlight w:val="none"/>
          <w:lang w:eastAsia="zh-CN"/>
        </w:rPr>
        <w:t>。</w:t>
      </w:r>
    </w:p>
    <w:p w14:paraId="3F57F7AE">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2.使用规则</w:t>
      </w:r>
    </w:p>
    <w:p w14:paraId="68749ED9">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（1）乙方对</w:t>
      </w:r>
      <w:r>
        <w:rPr>
          <w:rFonts w:hint="eastAsia" w:ascii="方正仿宋_GBK" w:hAnsi="方正仿宋_GBK" w:eastAsia="方正仿宋_GBK" w:cs="方正仿宋_GBK"/>
          <w:color w:val="auto"/>
          <w:szCs w:val="21"/>
          <w:highlight w:val="none"/>
          <w:lang w:eastAsia="zh-CN"/>
        </w:rPr>
        <w:t>供油</w:t>
      </w:r>
      <w:r>
        <w:rPr>
          <w:rFonts w:hint="eastAsia" w:ascii="方正仿宋_GBK" w:hAnsi="方正仿宋_GBK" w:eastAsia="方正仿宋_GBK" w:cs="方正仿宋_GBK"/>
          <w:color w:val="auto"/>
          <w:szCs w:val="21"/>
          <w:highlight w:val="none"/>
        </w:rPr>
        <w:t xml:space="preserve">装置的安全性、可靠性负有绝对责任； </w:t>
      </w:r>
    </w:p>
    <w:p w14:paraId="51F18240">
      <w:pPr>
        <w:snapToGrid w:val="0"/>
        <w:spacing w:line="400" w:lineRule="exact"/>
        <w:ind w:firstLine="420" w:firstLineChars="200"/>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szCs w:val="21"/>
          <w:highlight w:val="none"/>
          <w:lang w:val="en-US" w:eastAsia="zh-CN"/>
        </w:rPr>
        <w:t>（2）乙方全力协助甲方办</w:t>
      </w:r>
      <w:r>
        <w:rPr>
          <w:rFonts w:hint="eastAsia" w:ascii="方正仿宋_GBK" w:hAnsi="方正仿宋_GBK" w:eastAsia="方正仿宋_GBK" w:cs="方正仿宋_GBK"/>
          <w:color w:val="auto"/>
          <w:szCs w:val="21"/>
          <w:highlight w:val="none"/>
          <w:lang w:val="en-US" w:eastAsia="zh-CN"/>
        </w:rPr>
        <w:t>理自有设备车辆内部加油</w:t>
      </w:r>
      <w:r>
        <w:rPr>
          <w:rFonts w:hint="eastAsia" w:ascii="方正仿宋_GBK" w:hAnsi="方正仿宋_GBK" w:eastAsia="方正仿宋_GBK" w:cs="方正仿宋_GBK"/>
          <w:color w:val="auto"/>
          <w:szCs w:val="21"/>
          <w:highlight w:val="none"/>
          <w:lang w:val="en-US" w:eastAsia="zh-CN"/>
        </w:rPr>
        <w:t>的有关手续（好通能源危化品经营及</w:t>
      </w:r>
      <w:r>
        <w:rPr>
          <w:rFonts w:hint="eastAsia" w:ascii="方正仿宋_GBK" w:hAnsi="方正仿宋_GBK" w:eastAsia="方正仿宋_GBK" w:cs="方正仿宋_GBK"/>
          <w:color w:val="auto"/>
          <w:szCs w:val="21"/>
          <w:highlight w:val="none"/>
          <w:lang w:val="en-US" w:eastAsia="zh-CN"/>
        </w:rPr>
        <w:t>自有设备车辆内部加油建设相关资</w:t>
      </w:r>
      <w:r>
        <w:rPr>
          <w:rFonts w:hint="eastAsia" w:ascii="方正仿宋_GBK" w:hAnsi="方正仿宋_GBK" w:eastAsia="方正仿宋_GBK" w:cs="方正仿宋_GBK"/>
          <w:color w:val="auto"/>
          <w:szCs w:val="21"/>
          <w:highlight w:val="none"/>
          <w:lang w:val="en-US" w:eastAsia="zh-CN"/>
        </w:rPr>
        <w:t>质），除办理危化品经营资质产生的费用由招标人承担，其余费用均由中标人支付（包含但不限于安评、环评及建设期间的手续费用等）；</w:t>
      </w:r>
    </w:p>
    <w:p w14:paraId="26713507">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3</w:t>
      </w:r>
      <w:r>
        <w:rPr>
          <w:rFonts w:hint="eastAsia" w:ascii="方正仿宋_GBK" w:hAnsi="方正仿宋_GBK" w:eastAsia="方正仿宋_GBK" w:cs="方正仿宋_GBK"/>
          <w:color w:val="auto"/>
          <w:szCs w:val="21"/>
          <w:highlight w:val="none"/>
        </w:rPr>
        <w:t>）如在使用期内加油装置非人为损坏，甲方有权对加油装置提出维修建议； 存在重大安全隐患的，乙方必须进行置换。维修置换期间，乙方应负责场地内加油任务，且不收取甲方任何附加费用。</w:t>
      </w:r>
    </w:p>
    <w:p w14:paraId="6503F121">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第九条双方权利和责任</w:t>
      </w:r>
    </w:p>
    <w:p w14:paraId="478055C4">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1.甲方有权对乙方进行定期和不定期的安全和油品检查、监督。</w:t>
      </w:r>
    </w:p>
    <w:p w14:paraId="49E556DC">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2.甲方承诺诚信经营、合法经营、遵守国家法律法规，如甲方人员因有不良及违法行为给乙方造成信誉或经济损失的，甲方将向乙方承担由其造成的责任和经济损失。</w:t>
      </w:r>
    </w:p>
    <w:p w14:paraId="610CC0E3">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3.甲方需提供正确的加油车辆的车牌号，如因甲方提供信息有误或驾驶员强行违规造成的加油损失由甲方自行承担。</w:t>
      </w:r>
    </w:p>
    <w:p w14:paraId="382C61FD">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4.甲方不应逾期支付应付油款，如因甲方不能按时汇款造成的延误加油等损失，责任由甲方自行承担。</w:t>
      </w:r>
    </w:p>
    <w:p w14:paraId="2FE1D3ED">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5.乙方承诺诚信经营、合法经营、遵守国家法律法规，如乙方人员因有不良及违法行为给甲方造成信誉或经济损失的，乙方将向甲方承担由其造成的责任和经济损失。</w:t>
      </w:r>
    </w:p>
    <w:p w14:paraId="36B8BC25">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6.乙方应保证在本合同期内的执行过程中，</w:t>
      </w:r>
      <w:r>
        <w:rPr>
          <w:rFonts w:hint="eastAsia" w:ascii="方正仿宋_GBK" w:hAnsi="方正仿宋_GBK" w:eastAsia="方正仿宋_GBK" w:cs="方正仿宋_GBK"/>
          <w:color w:val="auto"/>
          <w:szCs w:val="21"/>
          <w:highlight w:val="none"/>
          <w:lang w:eastAsia="zh-CN"/>
        </w:rPr>
        <w:t>供油</w:t>
      </w:r>
      <w:r>
        <w:rPr>
          <w:rFonts w:hint="eastAsia" w:ascii="方正仿宋_GBK" w:hAnsi="方正仿宋_GBK" w:eastAsia="方正仿宋_GBK" w:cs="方正仿宋_GBK"/>
          <w:color w:val="auto"/>
          <w:szCs w:val="21"/>
          <w:highlight w:val="none"/>
        </w:rPr>
        <w:t>设备、油罐车辆处于合法合规状态且安全可靠、相关证书齐全且真实有效、所有人员持证上岗且身体健康。</w:t>
      </w:r>
    </w:p>
    <w:p w14:paraId="2538B0EF">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7.乙方所派加油工、司机、押车员等所有人员的责任主体为乙方。</w:t>
      </w:r>
    </w:p>
    <w:p w14:paraId="7233F2F8">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第十条争议解决</w:t>
      </w:r>
    </w:p>
    <w:p w14:paraId="73951207">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甲乙双方履行本合同发生争议，应首先协商解决；协商不成时，双方当事人可向合同签订地人民法院提出诉讼。</w:t>
      </w:r>
    </w:p>
    <w:p w14:paraId="07FCC51B">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如乙方未如实履行双方签订的合同而导致违约和损害的，或因乙方履行合同引发与第三人发生纠纷，导致甲方也被牵连涉诉(仲裁)的，由乙方承担甲方为实现债权或主张权利而支付的一切费用(包括但不限于差旅费、资产处置费、诉讼费、仲裁费、律师费、评估鉴定费、保全费、误工费等)。甲方可在未付工程款或履约保证金直接扣除。</w:t>
      </w:r>
    </w:p>
    <w:p w14:paraId="1148ED02">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第十一条 违约责任</w:t>
      </w:r>
    </w:p>
    <w:p w14:paraId="63012C78">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 .如遇不可抗力因素(自然灾害，国家政策因素等)不构成违约。</w:t>
      </w:r>
    </w:p>
    <w:p w14:paraId="2F53A314">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2.任何一方违反合同条款均需承担违约责任，乃至损失赔偿。</w:t>
      </w:r>
    </w:p>
    <w:p w14:paraId="6AAEA1A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3.合同解除：乙方有以下任何事项时，甲方不需要任何通知，可马上解除本合同：</w:t>
      </w:r>
    </w:p>
    <w:p w14:paraId="5E7FFAAC">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(1)违反本合同条款约定的行为或事实时；</w:t>
      </w:r>
    </w:p>
    <w:p w14:paraId="3DA179C2">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(2)在供应期限内，不能满足甲方数量及品质要求，无能力供应时；</w:t>
      </w:r>
    </w:p>
    <w:p w14:paraId="3DB4C4CE">
      <w:pPr>
        <w:snapToGrid w:val="0"/>
        <w:spacing w:line="400" w:lineRule="exact"/>
        <w:ind w:firstLine="630" w:firstLineChars="3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(3)被政府机关停止或取消营业资格给予处分时；</w:t>
      </w:r>
    </w:p>
    <w:p w14:paraId="50A4F14E">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第十二条 不可抗力</w:t>
      </w:r>
    </w:p>
    <w:p w14:paraId="6E6F5CA3">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1.“不可抗力”指超出任何一方预见和控制范围所造成或引起的该方未能全部或部分 履行本合同义务的任何事件或情况(如台风、海啸、地震、暴雨、洪水、政策法规变化等), 而该履行行为是该方执行合理谨慎的作业者标准所不能避免或不能克服的。</w:t>
      </w:r>
    </w:p>
    <w:p w14:paraId="04EAE0C1">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2.双方中的任何一方由于不可抗力的原因不能履行合同时，应及时向他方通报其不能 履行或不能完全履行的理由，以减轻可能给他方造成的损失，在取得有关机构证明并经各方协商一致后，允许延期履行、部分履行或者不履行合同，并根据客观情况可部分或全部免予承担违约责任。</w:t>
      </w:r>
    </w:p>
    <w:p w14:paraId="2E04073B">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3.由于不可抗力导致合同一方不能履行合同时，不影响此前各方已经发生或履行的权利义务。</w:t>
      </w:r>
    </w:p>
    <w:p w14:paraId="14A8678D">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第十三条 保密</w:t>
      </w:r>
    </w:p>
    <w:p w14:paraId="0AFA04B6">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自生效之日起，本合同的任何条款及相关信息均应依照本条的约定予以保密。未经另一方事先书面同意，双方中任何一方不得将本合同的条款全部或部分透露给第三方。违约方承担由此给守约方造成的一切经济损失。本保密责任不因本合同终止或解除而免除。</w:t>
      </w:r>
    </w:p>
    <w:p w14:paraId="4218BC1E">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第十四条 廉洁条款</w:t>
      </w:r>
    </w:p>
    <w:p w14:paraId="7BACAE7A">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甲乙双方在合同履行过程中要廉洁自律、诚实守信，保护双方合法权益，严格遵守国家有关法律法规及廉政建设的规定。一方违约须向另一方无条件支付年度结算总额10%的违约金，损失如不足于弥补的仍应承担赔偿责任；涉嫌犯罪的，移送司法机关依法追究刑事责任。</w:t>
      </w:r>
    </w:p>
    <w:p w14:paraId="774DA939">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第十五条 需要双方明确的其它事项</w:t>
      </w:r>
    </w:p>
    <w:p w14:paraId="32A3AFD3">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在资源紧张时，同等条件下乙方优先向甲方保证供应，但仅限于正常生产使用。</w:t>
      </w:r>
    </w:p>
    <w:p w14:paraId="3334DF6F">
      <w:pPr>
        <w:snapToGrid w:val="0"/>
        <w:spacing w:line="400" w:lineRule="exac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rPr>
        <w:t>第十六条 合同期限</w:t>
      </w:r>
    </w:p>
    <w:p w14:paraId="488C4814">
      <w:pPr>
        <w:snapToGrid w:val="0"/>
        <w:spacing w:line="400" w:lineRule="exact"/>
        <w:ind w:firstLine="420" w:firstLineChars="200"/>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 xml:space="preserve">合同期限为：2025年月日至年月日。 运营管理期限:5年，满5年后经招标人考核通过可续签1年。   </w:t>
      </w:r>
    </w:p>
    <w:p w14:paraId="5B703FD4">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第十七条</w:t>
      </w:r>
      <w:r>
        <w:rPr>
          <w:rFonts w:hint="eastAsia" w:ascii="方正仿宋_GBK" w:hAnsi="方正仿宋_GBK" w:eastAsia="方正仿宋_GBK" w:cs="方正仿宋_GBK"/>
          <w:color w:val="auto"/>
          <w:szCs w:val="21"/>
          <w:highlight w:val="none"/>
        </w:rPr>
        <w:t xml:space="preserve"> 本协议一式捌份，甲乙双方各执肆份，经双方签字并盖章后生效。</w:t>
      </w:r>
    </w:p>
    <w:p w14:paraId="3D608DA6">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b/>
          <w:bCs/>
          <w:color w:val="auto"/>
          <w:szCs w:val="21"/>
          <w:highlight w:val="none"/>
        </w:rPr>
        <w:t>第十八条</w:t>
      </w:r>
      <w:r>
        <w:rPr>
          <w:rFonts w:hint="eastAsia" w:ascii="方正仿宋_GBK" w:hAnsi="方正仿宋_GBK" w:eastAsia="方正仿宋_GBK" w:cs="方正仿宋_GBK"/>
          <w:color w:val="auto"/>
          <w:szCs w:val="21"/>
          <w:highlight w:val="none"/>
        </w:rPr>
        <w:t xml:space="preserve"> 本合同未尽事项，由甲、乙双方另行议定并签订补充协议。补充协议与本合同具有同等效力。</w:t>
      </w:r>
    </w:p>
    <w:p w14:paraId="4FE448FD">
      <w:pPr>
        <w:snapToGrid w:val="0"/>
        <w:spacing w:line="400" w:lineRule="exact"/>
        <w:rPr>
          <w:rFonts w:hint="eastAsia" w:ascii="方正仿宋_GBK" w:hAnsi="方正仿宋_GBK" w:eastAsia="方正仿宋_GBK" w:cs="方正仿宋_GBK"/>
          <w:color w:val="auto"/>
          <w:szCs w:val="21"/>
          <w:highlight w:val="none"/>
        </w:rPr>
      </w:pPr>
    </w:p>
    <w:p w14:paraId="314AC621">
      <w:pPr>
        <w:snapToGrid w:val="0"/>
        <w:spacing w:line="400" w:lineRule="exact"/>
        <w:rPr>
          <w:rFonts w:hint="eastAsia" w:ascii="方正仿宋_GBK" w:hAnsi="方正仿宋_GBK" w:eastAsia="方正仿宋_GBK" w:cs="方正仿宋_GBK"/>
          <w:color w:val="auto"/>
          <w:szCs w:val="21"/>
          <w:highlight w:val="none"/>
        </w:rPr>
      </w:pPr>
    </w:p>
    <w:p w14:paraId="7F3E4D2F">
      <w:pPr>
        <w:snapToGrid w:val="0"/>
        <w:spacing w:line="400" w:lineRule="exact"/>
        <w:rPr>
          <w:rFonts w:hint="eastAsia" w:ascii="方正仿宋_GBK" w:hAnsi="方正仿宋_GBK" w:eastAsia="方正仿宋_GBK" w:cs="方正仿宋_GBK"/>
          <w:color w:val="auto"/>
          <w:szCs w:val="21"/>
          <w:highlight w:val="none"/>
        </w:rPr>
      </w:pPr>
    </w:p>
    <w:p w14:paraId="227DD533">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甲方（签章）：</w:t>
      </w:r>
    </w:p>
    <w:p w14:paraId="488C1FF7">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代 表 ：</w:t>
      </w:r>
    </w:p>
    <w:p w14:paraId="3E19E53F">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2025年   月   日</w:t>
      </w:r>
    </w:p>
    <w:p w14:paraId="61525715">
      <w:pPr>
        <w:snapToGrid w:val="0"/>
        <w:spacing w:line="400" w:lineRule="exact"/>
        <w:rPr>
          <w:rFonts w:hint="eastAsia" w:ascii="方正仿宋_GBK" w:hAnsi="方正仿宋_GBK" w:eastAsia="方正仿宋_GBK" w:cs="方正仿宋_GBK"/>
          <w:color w:val="auto"/>
          <w:szCs w:val="21"/>
          <w:highlight w:val="none"/>
        </w:rPr>
      </w:pPr>
    </w:p>
    <w:p w14:paraId="6D17E99D">
      <w:pPr>
        <w:snapToGrid w:val="0"/>
        <w:spacing w:line="400" w:lineRule="exact"/>
        <w:rPr>
          <w:rFonts w:hint="eastAsia" w:ascii="方正仿宋_GBK" w:hAnsi="方正仿宋_GBK" w:eastAsia="方正仿宋_GBK" w:cs="方正仿宋_GBK"/>
          <w:color w:val="auto"/>
          <w:szCs w:val="21"/>
          <w:highlight w:val="none"/>
        </w:rPr>
      </w:pPr>
    </w:p>
    <w:p w14:paraId="0E210A30">
      <w:pPr>
        <w:snapToGrid w:val="0"/>
        <w:spacing w:line="400" w:lineRule="exact"/>
        <w:rPr>
          <w:rFonts w:hint="eastAsia" w:ascii="方正仿宋_GBK" w:hAnsi="方正仿宋_GBK" w:eastAsia="方正仿宋_GBK" w:cs="方正仿宋_GBK"/>
          <w:color w:val="auto"/>
          <w:szCs w:val="21"/>
          <w:highlight w:val="none"/>
        </w:rPr>
      </w:pPr>
    </w:p>
    <w:p w14:paraId="4DB0409F">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乙方（签章）：</w:t>
      </w:r>
    </w:p>
    <w:p w14:paraId="56826D46">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代 表 ：</w:t>
      </w:r>
    </w:p>
    <w:p w14:paraId="563CF1D7">
      <w:pPr>
        <w:snapToGrid w:val="0"/>
        <w:spacing w:line="400" w:lineRule="exact"/>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Cs w:val="21"/>
          <w:highlight w:val="none"/>
        </w:rPr>
        <w:t>2025年   月  日</w:t>
      </w:r>
    </w:p>
    <w:p w14:paraId="30FB01C4">
      <w:pPr>
        <w:pStyle w:val="34"/>
        <w:ind w:firstLine="560"/>
        <w:rPr>
          <w:color w:val="auto"/>
          <w:highlight w:val="none"/>
        </w:rPr>
      </w:pPr>
    </w:p>
    <w:bookmarkEnd w:id="0"/>
    <w:bookmarkEnd w:id="1"/>
    <w:bookmarkEnd w:id="2"/>
    <w:p w14:paraId="102A7AB9">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2AFC0E0E">
      <w:pPr>
        <w:autoSpaceDE w:val="0"/>
        <w:autoSpaceDN w:val="0"/>
        <w:adjustRightInd w:val="0"/>
        <w:spacing w:line="460" w:lineRule="exact"/>
        <w:jc w:val="center"/>
        <w:rPr>
          <w:rFonts w:hint="eastAsia" w:ascii="黑体" w:hAnsi="黑体" w:eastAsia="黑体" w:cs="黑体"/>
          <w:bCs/>
          <w:color w:val="auto"/>
          <w:sz w:val="36"/>
          <w:szCs w:val="36"/>
          <w:highlight w:val="none"/>
        </w:rPr>
      </w:pPr>
      <w:r>
        <w:rPr>
          <w:rFonts w:hint="eastAsia" w:ascii="黑体" w:hAnsi="黑体" w:eastAsia="黑体" w:cs="黑体"/>
          <w:b/>
          <w:color w:val="auto"/>
          <w:sz w:val="36"/>
          <w:szCs w:val="36"/>
          <w:highlight w:val="none"/>
        </w:rPr>
        <w:t>第四部分  开标和评标</w:t>
      </w:r>
    </w:p>
    <w:p w14:paraId="4CD01416">
      <w:pPr>
        <w:pStyle w:val="84"/>
        <w:keepNext w:val="0"/>
        <w:keepLines w:val="0"/>
        <w:pageBreakBefore w:val="0"/>
        <w:widowControl w:val="0"/>
        <w:kinsoku/>
        <w:wordWrap/>
        <w:overflowPunct/>
        <w:topLinePunct w:val="0"/>
        <w:bidi w:val="0"/>
        <w:adjustRightInd w:val="0"/>
        <w:snapToGrid w:val="0"/>
        <w:spacing w:before="0" w:after="0" w:line="560" w:lineRule="exact"/>
        <w:ind w:left="0" w:right="0" w:firstLine="560" w:firstLineChars="200"/>
        <w:jc w:val="left"/>
        <w:rPr>
          <w:rFonts w:hint="eastAsia" w:ascii="方正仿宋_GBK" w:hAnsi="方正仿宋_GBK" w:eastAsia="方正仿宋_GBK" w:cs="方正仿宋_GBK"/>
          <w:b/>
          <w:color w:val="auto"/>
          <w:kern w:val="2"/>
          <w:sz w:val="28"/>
          <w:szCs w:val="28"/>
          <w:highlight w:val="none"/>
        </w:rPr>
      </w:pPr>
      <w:r>
        <w:rPr>
          <w:rFonts w:hint="eastAsia" w:ascii="方正仿宋_GBK" w:hAnsi="方正仿宋_GBK" w:eastAsia="方正仿宋_GBK" w:cs="方正仿宋_GBK"/>
          <w:b/>
          <w:color w:val="auto"/>
          <w:kern w:val="2"/>
          <w:sz w:val="28"/>
          <w:szCs w:val="28"/>
          <w:highlight w:val="none"/>
        </w:rPr>
        <w:t>一、开标</w:t>
      </w:r>
    </w:p>
    <w:p w14:paraId="6BD7C664">
      <w:pPr>
        <w:keepNext w:val="0"/>
        <w:keepLines w:val="0"/>
        <w:pageBreakBefore w:val="0"/>
        <w:widowControl w:val="0"/>
        <w:tabs>
          <w:tab w:val="left" w:pos="3585"/>
        </w:tabs>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见面开标模式：投标人在指定地点参加开标会。</w:t>
      </w:r>
    </w:p>
    <w:p w14:paraId="4050C924">
      <w:pPr>
        <w:pStyle w:val="84"/>
        <w:keepNext w:val="0"/>
        <w:keepLines w:val="0"/>
        <w:pageBreakBefore w:val="0"/>
        <w:widowControl w:val="0"/>
        <w:kinsoku/>
        <w:wordWrap/>
        <w:overflowPunct/>
        <w:topLinePunct w:val="0"/>
        <w:bidi w:val="0"/>
        <w:adjustRightInd w:val="0"/>
        <w:snapToGrid w:val="0"/>
        <w:spacing w:before="0" w:after="0" w:line="560" w:lineRule="exact"/>
        <w:ind w:left="0" w:right="0" w:firstLine="560" w:firstLineChars="200"/>
        <w:jc w:val="left"/>
        <w:rPr>
          <w:rFonts w:hint="eastAsia" w:ascii="方正仿宋_GBK" w:hAnsi="方正仿宋_GBK" w:eastAsia="方正仿宋_GBK" w:cs="方正仿宋_GBK"/>
          <w:b/>
          <w:color w:val="auto"/>
          <w:kern w:val="2"/>
          <w:sz w:val="28"/>
          <w:szCs w:val="28"/>
          <w:highlight w:val="none"/>
        </w:rPr>
      </w:pPr>
      <w:r>
        <w:rPr>
          <w:rFonts w:hint="eastAsia" w:ascii="方正仿宋_GBK" w:hAnsi="方正仿宋_GBK" w:eastAsia="方正仿宋_GBK" w:cs="方正仿宋_GBK"/>
          <w:b/>
          <w:color w:val="auto"/>
          <w:kern w:val="2"/>
          <w:sz w:val="28"/>
          <w:szCs w:val="28"/>
          <w:highlight w:val="none"/>
        </w:rPr>
        <w:t>二、评标流程和评标标准</w:t>
      </w:r>
    </w:p>
    <w:p w14:paraId="5BBAF6ED">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采用综合评分法。分资格审查文件、商务技术文件、价格文件、三部分评审，总分值为100分，加分和减分因素除外。</w:t>
      </w:r>
    </w:p>
    <w:p w14:paraId="02B28A98">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14:paraId="59992C7B">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标结果按评审后得分由高到低顺序排列。得分相同的，按投标报价由低到高顺序排列（即按投标下浮率由高到低顺序排列）。得分且投标报价相同的并列。投标文件满足招标文件全部实质性要求，且按照评审因素的量化指标评审得分前三名的投标人为中标候选人。</w:t>
      </w:r>
    </w:p>
    <w:p w14:paraId="7CFD0E41">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评委在认真审阅投标文件的基础上，根据各投标文件的响应程度独立评判，不得统一打分。</w:t>
      </w:r>
    </w:p>
    <w:p w14:paraId="4CC35869">
      <w:pPr>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（一）招标人（代表）对投标人资格进行审查。</w:t>
      </w:r>
    </w:p>
    <w:p w14:paraId="07C62550">
      <w:pPr>
        <w:pStyle w:val="88"/>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8"/>
          <w:highlight w:val="none"/>
        </w:rPr>
        <w:t>投标人资格不合格的，其投标文件判定为无效投标文件。</w:t>
      </w:r>
    </w:p>
    <w:p w14:paraId="1A04147F">
      <w:pPr>
        <w:keepNext w:val="0"/>
        <w:keepLines w:val="0"/>
        <w:pageBreakBefore w:val="0"/>
        <w:widowControl w:val="0"/>
        <w:kinsoku/>
        <w:wordWrap/>
        <w:overflowPunct/>
        <w:topLinePunct w:val="0"/>
        <w:bidi w:val="0"/>
        <w:adjustRightInd w:val="0"/>
        <w:snapToGrid w:val="0"/>
        <w:spacing w:line="560" w:lineRule="exact"/>
        <w:ind w:firstLine="560"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（二）评标委员会对符合资格投标人的投标文件进行符合性审查。</w:t>
      </w:r>
    </w:p>
    <w:p w14:paraId="5238C5DC">
      <w:pPr>
        <w:pStyle w:val="88"/>
        <w:keepNext w:val="0"/>
        <w:keepLines w:val="0"/>
        <w:pageBreakBefore w:val="0"/>
        <w:widowControl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sz w:val="28"/>
          <w:highlight w:val="none"/>
        </w:rPr>
      </w:pPr>
      <w:r>
        <w:rPr>
          <w:rFonts w:hint="eastAsia" w:ascii="方正仿宋_GBK" w:hAnsi="方正仿宋_GBK" w:eastAsia="方正仿宋_GBK" w:cs="方正仿宋_GBK"/>
          <w:color w:val="auto"/>
          <w:sz w:val="28"/>
          <w:highlight w:val="none"/>
        </w:rPr>
        <w:t xml:space="preserve">未通过符合性审查的投标文件，将被判为不满足招标文件实质性要求。 </w:t>
      </w:r>
    </w:p>
    <w:p w14:paraId="02007C5B">
      <w:pPr>
        <w:keepNext w:val="0"/>
        <w:keepLines w:val="0"/>
        <w:pageBreakBefore w:val="0"/>
        <w:widowControl w:val="0"/>
        <w:kinsoku/>
        <w:wordWrap/>
        <w:overflowPunct/>
        <w:topLinePunct w:val="0"/>
        <w:bidi w:val="0"/>
        <w:adjustRightInd w:val="0"/>
        <w:snapToGrid w:val="0"/>
        <w:spacing w:line="560" w:lineRule="exact"/>
        <w:ind w:firstLine="560" w:firstLineChars="200"/>
        <w:jc w:val="left"/>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val="zh-CN"/>
        </w:rPr>
        <w:t>三</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val="zh-CN"/>
        </w:rPr>
        <w:t>商务技术分</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70</w:t>
      </w:r>
      <w:r>
        <w:rPr>
          <w:rFonts w:hint="eastAsia" w:ascii="方正仿宋_GBK" w:hAnsi="方正仿宋_GBK" w:eastAsia="方正仿宋_GBK" w:cs="方正仿宋_GBK"/>
          <w:color w:val="auto"/>
          <w:kern w:val="0"/>
          <w:sz w:val="28"/>
          <w:szCs w:val="28"/>
          <w:highlight w:val="none"/>
        </w:rPr>
        <w:t>分</w:t>
      </w:r>
    </w:p>
    <w:p w14:paraId="33F304E2">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各投标人得分为评委会成员评分的算术平均分，分值保留小数点后两位。</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1125"/>
        <w:gridCol w:w="5530"/>
      </w:tblGrid>
      <w:tr w14:paraId="19A7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357FB196">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评分项</w:t>
            </w:r>
          </w:p>
        </w:tc>
        <w:tc>
          <w:tcPr>
            <w:tcW w:w="660" w:type="pct"/>
            <w:vAlign w:val="center"/>
          </w:tcPr>
          <w:p w14:paraId="7650586B">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分值</w:t>
            </w:r>
          </w:p>
        </w:tc>
        <w:tc>
          <w:tcPr>
            <w:tcW w:w="3245" w:type="pct"/>
            <w:vAlign w:val="center"/>
          </w:tcPr>
          <w:p w14:paraId="7C56F280">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评分细则</w:t>
            </w:r>
          </w:p>
        </w:tc>
      </w:tr>
      <w:tr w14:paraId="5758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13BCC75C">
            <w:pPr>
              <w:numPr>
                <w:ilvl w:val="0"/>
                <w:numId w:val="2"/>
              </w:num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商务部分</w:t>
            </w:r>
          </w:p>
        </w:tc>
        <w:tc>
          <w:tcPr>
            <w:tcW w:w="660" w:type="pct"/>
            <w:vAlign w:val="center"/>
          </w:tcPr>
          <w:p w14:paraId="5659B25C">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10分</w:t>
            </w:r>
          </w:p>
        </w:tc>
        <w:tc>
          <w:tcPr>
            <w:tcW w:w="3245" w:type="pct"/>
          </w:tcPr>
          <w:p w14:paraId="53D76B7C">
            <w:pPr>
              <w:spacing w:line="460" w:lineRule="exact"/>
              <w:rPr>
                <w:rFonts w:hint="eastAsia" w:ascii="方正仿宋_GBK" w:hAnsi="方正仿宋_GBK" w:eastAsia="方正仿宋_GBK" w:cs="方正仿宋_GBK"/>
                <w:color w:val="auto"/>
                <w:sz w:val="24"/>
                <w:highlight w:val="none"/>
              </w:rPr>
            </w:pPr>
          </w:p>
        </w:tc>
      </w:tr>
      <w:tr w14:paraId="513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22EAA4A4">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1.1企业经营状况</w:t>
            </w:r>
          </w:p>
        </w:tc>
        <w:tc>
          <w:tcPr>
            <w:tcW w:w="660" w:type="pct"/>
            <w:vAlign w:val="center"/>
          </w:tcPr>
          <w:p w14:paraId="3236A4AF">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2分</w:t>
            </w:r>
          </w:p>
        </w:tc>
        <w:tc>
          <w:tcPr>
            <w:tcW w:w="3245" w:type="pct"/>
          </w:tcPr>
          <w:p w14:paraId="556816BE">
            <w:pPr>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根据投标人近三年（2021年～2023年）经会计师事务所审核盖章的财务审计报告情况进行评分：</w:t>
            </w:r>
          </w:p>
          <w:p w14:paraId="13E5271E">
            <w:pPr>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每年均有盈利，得2分；两年盈利得1.5分；一年盈利得1分，其他情况不得分。</w:t>
            </w:r>
          </w:p>
          <w:p w14:paraId="4FA2546E">
            <w:pPr>
              <w:spacing w:line="46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注：提供经审计的财务报告复印件加盖投标人公章。</w:t>
            </w:r>
          </w:p>
        </w:tc>
      </w:tr>
      <w:tr w14:paraId="565A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3AC7DB6B">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1.2 授信额度</w:t>
            </w:r>
          </w:p>
        </w:tc>
        <w:tc>
          <w:tcPr>
            <w:tcW w:w="660" w:type="pct"/>
            <w:vAlign w:val="center"/>
          </w:tcPr>
          <w:p w14:paraId="37CBD50E">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2分</w:t>
            </w:r>
          </w:p>
        </w:tc>
        <w:tc>
          <w:tcPr>
            <w:tcW w:w="3245" w:type="pct"/>
          </w:tcPr>
          <w:p w14:paraId="25AD6CFB">
            <w:pPr>
              <w:wordWrap w:val="0"/>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招标人各使用单位分别按月定期与卖方以先供油后付款的方式进行费用结算，投标人应给予招标方一定的授信额度，</w:t>
            </w:r>
            <w:r>
              <w:rPr>
                <w:rFonts w:hint="eastAsia" w:ascii="方正仿宋_GBK" w:hAnsi="方正仿宋_GBK" w:eastAsia="方正仿宋_GBK" w:cs="方正仿宋_GBK"/>
                <w:color w:val="auto"/>
                <w:sz w:val="24"/>
                <w:highlight w:val="none"/>
                <w:lang w:eastAsia="zh-CN"/>
              </w:rPr>
              <w:t>总</w:t>
            </w:r>
            <w:r>
              <w:rPr>
                <w:rFonts w:hint="eastAsia" w:ascii="方正仿宋_GBK" w:hAnsi="方正仿宋_GBK" w:eastAsia="方正仿宋_GBK" w:cs="方正仿宋_GBK"/>
                <w:color w:val="auto"/>
                <w:sz w:val="24"/>
                <w:highlight w:val="none"/>
              </w:rPr>
              <w:t>授信额度最多的得2分，从</w:t>
            </w:r>
            <w:r>
              <w:rPr>
                <w:rFonts w:hint="eastAsia" w:ascii="方正仿宋_GBK" w:hAnsi="方正仿宋_GBK" w:eastAsia="方正仿宋_GBK" w:cs="方正仿宋_GBK"/>
                <w:color w:val="auto"/>
                <w:sz w:val="24"/>
                <w:highlight w:val="none"/>
                <w:lang w:eastAsia="zh-CN"/>
              </w:rPr>
              <w:t>总</w:t>
            </w:r>
            <w:r>
              <w:rPr>
                <w:rFonts w:hint="eastAsia" w:ascii="方正仿宋_GBK" w:hAnsi="方正仿宋_GBK" w:eastAsia="方正仿宋_GBK" w:cs="方正仿宋_GBK"/>
                <w:color w:val="auto"/>
                <w:sz w:val="24"/>
                <w:highlight w:val="none"/>
              </w:rPr>
              <w:t>授信额度</w:t>
            </w:r>
            <w:r>
              <w:rPr>
                <w:rFonts w:hint="eastAsia" w:ascii="方正仿宋_GBK" w:hAnsi="方正仿宋_GBK" w:eastAsia="方正仿宋_GBK" w:cs="方正仿宋_GBK"/>
                <w:color w:val="auto"/>
                <w:sz w:val="24"/>
                <w:highlight w:val="none"/>
                <w:lang w:eastAsia="zh-CN"/>
              </w:rPr>
              <w:t>由</w:t>
            </w:r>
            <w:r>
              <w:rPr>
                <w:rFonts w:hint="eastAsia" w:ascii="方正仿宋_GBK" w:hAnsi="方正仿宋_GBK" w:eastAsia="方正仿宋_GBK" w:cs="方正仿宋_GBK"/>
                <w:color w:val="auto"/>
                <w:sz w:val="24"/>
                <w:highlight w:val="none"/>
              </w:rPr>
              <w:t>高到低排序，按排序依次递减0.5分，直到0分（相同授信额度，得分相同），未提供授信额度的不得分。提供承诺函（格式自拟）。</w:t>
            </w:r>
          </w:p>
        </w:tc>
      </w:tr>
      <w:tr w14:paraId="75D9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25B81EA3">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1.3付款承诺</w:t>
            </w:r>
          </w:p>
        </w:tc>
        <w:tc>
          <w:tcPr>
            <w:tcW w:w="660" w:type="pct"/>
            <w:vAlign w:val="center"/>
          </w:tcPr>
          <w:p w14:paraId="21E10F73">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2分</w:t>
            </w:r>
          </w:p>
        </w:tc>
        <w:tc>
          <w:tcPr>
            <w:tcW w:w="3245" w:type="pct"/>
          </w:tcPr>
          <w:p w14:paraId="21873208">
            <w:pPr>
              <w:wordWrap w:val="0"/>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供应商承诺响应招标人付款要求，同意在每月完成对帐并收到有效发票后30日内完成付款的基础上每延长5日加0.5分，最高得2分。</w:t>
            </w:r>
          </w:p>
          <w:p w14:paraId="35E36DEB">
            <w:pPr>
              <w:wordWrap w:val="0"/>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备注：提供承诺函（格式自拟），不满5个工作日部分不加分。</w:t>
            </w:r>
          </w:p>
        </w:tc>
      </w:tr>
      <w:tr w14:paraId="182E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6EF90B32">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1.4业绩要求</w:t>
            </w:r>
          </w:p>
        </w:tc>
        <w:tc>
          <w:tcPr>
            <w:tcW w:w="660" w:type="pct"/>
            <w:vAlign w:val="center"/>
          </w:tcPr>
          <w:p w14:paraId="3697B6CC">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4分</w:t>
            </w:r>
          </w:p>
        </w:tc>
        <w:tc>
          <w:tcPr>
            <w:tcW w:w="3245" w:type="pct"/>
          </w:tcPr>
          <w:p w14:paraId="5C35158F">
            <w:pPr>
              <w:wordWrap w:val="0"/>
              <w:spacing w:line="460" w:lineRule="exact"/>
              <w:jc w:val="lef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投标人提供自2022年1月1日至投标截止日（以合同签订之日为准）类似业绩一个</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单个合同柴油供应量不低于2000吨得2分，单个合同柴油供应量不低于3000吨得3分，单个合同柴油供应量不低于4000吨得4分。最高得4分。</w:t>
            </w:r>
            <w:r>
              <w:rPr>
                <w:rFonts w:hint="eastAsia" w:ascii="方正仿宋_GBK" w:hAnsi="方正仿宋_GBK" w:eastAsia="方正仿宋_GBK" w:cs="方正仿宋_GBK"/>
                <w:b/>
                <w:color w:val="auto"/>
                <w:sz w:val="24"/>
                <w:highlight w:val="none"/>
              </w:rPr>
              <w:t>同时提供合同及发票（供应量以发票为准）复印件加盖公章，同一业绩不重复得分。</w:t>
            </w:r>
          </w:p>
        </w:tc>
      </w:tr>
      <w:tr w14:paraId="00BD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3FF13CA5">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2.技术部分</w:t>
            </w:r>
          </w:p>
        </w:tc>
        <w:tc>
          <w:tcPr>
            <w:tcW w:w="660" w:type="pct"/>
            <w:vAlign w:val="center"/>
          </w:tcPr>
          <w:p w14:paraId="031B3FA4">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p>
        </w:tc>
        <w:tc>
          <w:tcPr>
            <w:tcW w:w="3245" w:type="pct"/>
          </w:tcPr>
          <w:p w14:paraId="22B6048C">
            <w:pPr>
              <w:spacing w:line="460" w:lineRule="exact"/>
              <w:rPr>
                <w:rFonts w:hint="eastAsia" w:ascii="方正仿宋_GBK" w:hAnsi="方正仿宋_GBK" w:eastAsia="方正仿宋_GBK" w:cs="方正仿宋_GBK"/>
                <w:color w:val="auto"/>
                <w:sz w:val="24"/>
                <w:highlight w:val="none"/>
              </w:rPr>
            </w:pPr>
          </w:p>
        </w:tc>
      </w:tr>
      <w:tr w14:paraId="33673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11DBB571">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2.1投资、设计、建设及运营方案</w:t>
            </w:r>
          </w:p>
        </w:tc>
        <w:tc>
          <w:tcPr>
            <w:tcW w:w="660" w:type="pct"/>
            <w:vAlign w:val="center"/>
          </w:tcPr>
          <w:p w14:paraId="407CCC7A">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20</w:t>
            </w:r>
            <w:r>
              <w:rPr>
                <w:rFonts w:hint="eastAsia" w:ascii="方正仿宋_GBK" w:hAnsi="方正仿宋_GBK" w:eastAsia="方正仿宋_GBK" w:cs="方正仿宋_GBK"/>
                <w:color w:val="auto"/>
                <w:sz w:val="24"/>
                <w:highlight w:val="none"/>
              </w:rPr>
              <w:t>分</w:t>
            </w:r>
          </w:p>
        </w:tc>
        <w:tc>
          <w:tcPr>
            <w:tcW w:w="3245" w:type="pct"/>
          </w:tcPr>
          <w:p w14:paraId="0FE5EAA8">
            <w:pPr>
              <w:spacing w:line="46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highlight w:val="none"/>
              </w:rPr>
              <w:t>满足装置要求，提供详细的服务方案：包括①投资及设计方案（需具有相应资质的机构根据项目现场情况出具图纸）；②建设方案（需要提供有相关施工单位的资质证明）；③运营方案（安全措施及验收、 环保措施及验收、应急预案、设备维护计划等）</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highlight w:val="none"/>
              </w:rPr>
              <w:t>优秀的得</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20</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分，良好的得</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，一般的得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，未提供本项不得分</w:t>
            </w:r>
            <w:r>
              <w:rPr>
                <w:rFonts w:hint="eastAsia" w:ascii="方正仿宋_GBK" w:hAnsi="方正仿宋_GBK" w:eastAsia="方正仿宋_GBK" w:cs="方正仿宋_GBK"/>
                <w:color w:val="auto"/>
                <w:sz w:val="24"/>
                <w:szCs w:val="24"/>
                <w:highlight w:val="none"/>
              </w:rPr>
              <w:t>。本项对高得</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分。</w:t>
            </w:r>
          </w:p>
        </w:tc>
      </w:tr>
      <w:tr w14:paraId="787C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002A4098">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2.2 油品质量及供应方案</w:t>
            </w:r>
          </w:p>
        </w:tc>
        <w:tc>
          <w:tcPr>
            <w:tcW w:w="660" w:type="pct"/>
            <w:vAlign w:val="center"/>
          </w:tcPr>
          <w:p w14:paraId="31A73E9B">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10分</w:t>
            </w:r>
          </w:p>
        </w:tc>
        <w:tc>
          <w:tcPr>
            <w:tcW w:w="3245" w:type="pct"/>
          </w:tcPr>
          <w:p w14:paraId="3630DA7C">
            <w:pPr>
              <w:numPr>
                <w:ilvl w:val="0"/>
                <w:numId w:val="3"/>
              </w:numPr>
              <w:spacing w:line="46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油品质量：中石油、中石化、中海油、中化及其他炼油厂，并提供近一年内第三方油品检测报告至少1份，得2分。</w:t>
            </w:r>
          </w:p>
          <w:p w14:paraId="1520248A">
            <w:pPr>
              <w:pStyle w:val="34"/>
              <w:spacing w:line="460" w:lineRule="exact"/>
              <w:ind w:left="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2.配送实力保障：配送单位拥有或租赁油罐车（以提供的车辆行驶证正副页原件扫描件为准，且车辆检验日期须在有效期内）1辆的得1分，每增加1辆加1分，最高得3分。每一辆车需满足以下要求：</w:t>
            </w:r>
          </w:p>
          <w:p w14:paraId="5CF1264A">
            <w:pPr>
              <w:pStyle w:val="34"/>
              <w:spacing w:line="460" w:lineRule="exact"/>
              <w:ind w:left="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 提供的油罐车具有有效的由所在地运输管理处颁发的道路危险货物运输许可证及其购买发票或租赁合同扫描件并加盖公章；</w:t>
            </w:r>
          </w:p>
          <w:p w14:paraId="1D48E672">
            <w:pPr>
              <w:pStyle w:val="17"/>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 提供的油罐车驾驶人员具有合法有效的相应驾驶证及危险货物运输从业资格证扫描件并加盖公章；押运人员提供合法有效的道路危险货物运输押运证；提供投标人为驾驶员和押运人员缴纳的2024年</w:t>
            </w:r>
            <w:r>
              <w:rPr>
                <w:rFonts w:hint="eastAsia" w:ascii="方正仿宋_GBK" w:hAnsi="方正仿宋_GBK" w:eastAsia="方正仿宋_GBK" w:cs="方正仿宋_GBK"/>
                <w:color w:val="auto"/>
                <w:sz w:val="24"/>
                <w:szCs w:val="24"/>
                <w:highlight w:val="none"/>
                <w:lang w:val="en-US" w:eastAsia="zh-CN"/>
              </w:rPr>
              <w:t>至2025年3月期间</w:t>
            </w:r>
            <w:r>
              <w:rPr>
                <w:rFonts w:hint="eastAsia" w:ascii="方正仿宋_GBK" w:hAnsi="方正仿宋_GBK" w:eastAsia="方正仿宋_GBK" w:cs="方正仿宋_GBK"/>
                <w:color w:val="auto"/>
                <w:sz w:val="24"/>
                <w:szCs w:val="24"/>
                <w:highlight w:val="none"/>
              </w:rPr>
              <w:t>任意连续3个月社保证明。</w:t>
            </w:r>
          </w:p>
          <w:p w14:paraId="5EDDBCAC">
            <w:pPr>
              <w:pStyle w:val="34"/>
              <w:spacing w:line="460" w:lineRule="exact"/>
              <w:ind w:left="0" w:firstLine="0" w:firstLineChars="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3.可提供南通市危险品禁区车辆通行证得1分，没有不得分</w:t>
            </w:r>
            <w:r>
              <w:rPr>
                <w:rFonts w:hint="eastAsia" w:ascii="方正仿宋_GBK" w:hAnsi="方正仿宋_GBK" w:eastAsia="方正仿宋_GBK" w:cs="方正仿宋_GBK"/>
                <w:color w:val="auto"/>
                <w:sz w:val="24"/>
                <w:szCs w:val="24"/>
                <w:highlight w:val="none"/>
                <w:lang w:eastAsia="zh-CN"/>
              </w:rPr>
              <w:t>。</w:t>
            </w:r>
          </w:p>
          <w:p w14:paraId="4188015A">
            <w:pPr>
              <w:pStyle w:val="34"/>
              <w:spacing w:line="460" w:lineRule="exact"/>
              <w:ind w:left="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4.保供方案</w:t>
            </w:r>
          </w:p>
          <w:p w14:paraId="0EDD6550">
            <w:pPr>
              <w:pStyle w:val="34"/>
              <w:spacing w:line="460" w:lineRule="exact"/>
              <w:ind w:left="0" w:firstLine="0" w:firstLineChars="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投标人编制油品保证供应的服务方案，横向对比保供方案的全面性、科学性和可实施性：优秀的得</w:t>
            </w:r>
            <w:r>
              <w:rPr>
                <w:rFonts w:hint="eastAsia" w:ascii="方正仿宋_GBK" w:hAnsi="方正仿宋_GBK" w:eastAsia="方正仿宋_GBK" w:cs="方正仿宋_GBK"/>
                <w:bCs/>
                <w:color w:val="auto"/>
                <w:sz w:val="24"/>
                <w:szCs w:val="24"/>
                <w:highlight w:val="none"/>
              </w:rPr>
              <w:t>3分（不含）-4（含）</w:t>
            </w:r>
            <w:r>
              <w:rPr>
                <w:rFonts w:hint="eastAsia" w:ascii="方正仿宋_GBK" w:hAnsi="方正仿宋_GBK" w:eastAsia="方正仿宋_GBK" w:cs="方正仿宋_GBK"/>
                <w:color w:val="auto"/>
                <w:sz w:val="24"/>
                <w:szCs w:val="24"/>
                <w:highlight w:val="none"/>
              </w:rPr>
              <w:t>分，良好的得</w:t>
            </w:r>
            <w:r>
              <w:rPr>
                <w:rFonts w:hint="eastAsia" w:ascii="方正仿宋_GBK" w:hAnsi="方正仿宋_GBK" w:eastAsia="方正仿宋_GBK" w:cs="方正仿宋_GBK"/>
                <w:bCs/>
                <w:color w:val="auto"/>
                <w:sz w:val="24"/>
                <w:szCs w:val="24"/>
                <w:highlight w:val="none"/>
              </w:rPr>
              <w:t>2（不含）-3</w:t>
            </w:r>
            <w:r>
              <w:rPr>
                <w:rFonts w:hint="eastAsia" w:ascii="方正仿宋_GBK" w:hAnsi="方正仿宋_GBK" w:eastAsia="方正仿宋_GBK" w:cs="方正仿宋_GBK"/>
                <w:color w:val="auto"/>
                <w:sz w:val="24"/>
                <w:szCs w:val="24"/>
                <w:highlight w:val="none"/>
              </w:rPr>
              <w:t>分（含），一般的得</w:t>
            </w:r>
            <w:r>
              <w:rPr>
                <w:rFonts w:hint="eastAsia" w:ascii="方正仿宋_GBK" w:hAnsi="方正仿宋_GBK" w:eastAsia="方正仿宋_GBK" w:cs="方正仿宋_GBK"/>
                <w:bCs/>
                <w:color w:val="auto"/>
                <w:sz w:val="24"/>
                <w:szCs w:val="24"/>
                <w:highlight w:val="none"/>
              </w:rPr>
              <w:t>1（含）-2</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Cs/>
                <w:color w:val="auto"/>
                <w:sz w:val="24"/>
                <w:szCs w:val="24"/>
                <w:highlight w:val="none"/>
              </w:rPr>
              <w:t>（含）</w:t>
            </w:r>
            <w:r>
              <w:rPr>
                <w:rFonts w:hint="eastAsia" w:ascii="方正仿宋_GBK" w:hAnsi="方正仿宋_GBK" w:eastAsia="方正仿宋_GBK" w:cs="方正仿宋_GBK"/>
                <w:color w:val="auto"/>
                <w:sz w:val="24"/>
                <w:szCs w:val="24"/>
                <w:highlight w:val="none"/>
              </w:rPr>
              <w:t>，未提供本项不得分。</w:t>
            </w:r>
          </w:p>
        </w:tc>
      </w:tr>
      <w:tr w14:paraId="14A6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779FC300">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3.其他部分</w:t>
            </w:r>
          </w:p>
        </w:tc>
        <w:tc>
          <w:tcPr>
            <w:tcW w:w="660" w:type="pct"/>
            <w:vAlign w:val="center"/>
          </w:tcPr>
          <w:p w14:paraId="6809419D">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30</w:t>
            </w:r>
            <w:r>
              <w:rPr>
                <w:rFonts w:hint="eastAsia" w:ascii="方正仿宋_GBK" w:hAnsi="方正仿宋_GBK" w:eastAsia="方正仿宋_GBK" w:cs="方正仿宋_GBK"/>
                <w:color w:val="auto"/>
                <w:sz w:val="24"/>
                <w:highlight w:val="none"/>
              </w:rPr>
              <w:t>分</w:t>
            </w:r>
          </w:p>
        </w:tc>
        <w:tc>
          <w:tcPr>
            <w:tcW w:w="3245" w:type="pct"/>
          </w:tcPr>
          <w:p w14:paraId="3B9A10E6">
            <w:pPr>
              <w:spacing w:line="460" w:lineRule="exact"/>
              <w:rPr>
                <w:rFonts w:hint="eastAsia" w:ascii="方正仿宋_GBK" w:hAnsi="方正仿宋_GBK" w:eastAsia="方正仿宋_GBK" w:cs="方正仿宋_GBK"/>
                <w:color w:val="auto"/>
                <w:sz w:val="24"/>
                <w:highlight w:val="none"/>
              </w:rPr>
            </w:pPr>
          </w:p>
        </w:tc>
      </w:tr>
      <w:tr w14:paraId="0AC4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4F4BA712">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3.1增值服务</w:t>
            </w:r>
          </w:p>
          <w:p w14:paraId="7E882C73">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方案</w:t>
            </w:r>
          </w:p>
        </w:tc>
        <w:tc>
          <w:tcPr>
            <w:tcW w:w="660" w:type="pct"/>
            <w:vAlign w:val="center"/>
          </w:tcPr>
          <w:p w14:paraId="1B37B6CD">
            <w:pPr>
              <w:spacing w:line="46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20</w:t>
            </w:r>
            <w:r>
              <w:rPr>
                <w:rFonts w:hint="eastAsia" w:ascii="方正仿宋_GBK" w:hAnsi="方正仿宋_GBK" w:eastAsia="方正仿宋_GBK" w:cs="方正仿宋_GBK"/>
                <w:color w:val="auto"/>
                <w:sz w:val="24"/>
                <w:highlight w:val="none"/>
              </w:rPr>
              <w:t>分</w:t>
            </w:r>
          </w:p>
        </w:tc>
        <w:tc>
          <w:tcPr>
            <w:tcW w:w="3245" w:type="pct"/>
          </w:tcPr>
          <w:p w14:paraId="69733F46">
            <w:pPr>
              <w:spacing w:line="46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根据供应商提供的增值服务方案，相关方案的合理与全面程度进行横向比较</w:t>
            </w:r>
            <w:r>
              <w:rPr>
                <w:rFonts w:hint="eastAsia" w:ascii="方正仿宋_GBK" w:hAnsi="方正仿宋_GBK" w:eastAsia="方正仿宋_GBK" w:cs="方正仿宋_GBK"/>
                <w:color w:val="auto"/>
                <w:sz w:val="24"/>
                <w:highlight w:val="none"/>
              </w:rPr>
              <w:t>：优秀的得</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20</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分，良好的得</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15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，一般的得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，未提供本项不得分。</w:t>
            </w:r>
          </w:p>
        </w:tc>
      </w:tr>
      <w:tr w14:paraId="6B99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pct"/>
            <w:vAlign w:val="center"/>
          </w:tcPr>
          <w:p w14:paraId="131FCD77">
            <w:pPr>
              <w:spacing w:line="460" w:lineRule="exact"/>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3.2现场演示</w:t>
            </w:r>
          </w:p>
        </w:tc>
        <w:tc>
          <w:tcPr>
            <w:tcW w:w="660" w:type="pct"/>
            <w:vAlign w:val="center"/>
          </w:tcPr>
          <w:p w14:paraId="3EE17D4A">
            <w:pPr>
              <w:spacing w:line="460" w:lineRule="exact"/>
              <w:jc w:val="center"/>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10分</w:t>
            </w:r>
          </w:p>
        </w:tc>
        <w:tc>
          <w:tcPr>
            <w:tcW w:w="3245" w:type="pct"/>
          </w:tcPr>
          <w:p w14:paraId="2A6639CA">
            <w:pPr>
              <w:spacing w:line="46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采取PPT、视频等方式现场</w:t>
            </w:r>
            <w:r>
              <w:rPr>
                <w:rFonts w:hint="eastAsia" w:ascii="方正仿宋_GBK" w:hAnsi="方正仿宋_GBK" w:eastAsia="方正仿宋_GBK" w:cs="方正仿宋_GBK"/>
                <w:color w:val="auto"/>
                <w:sz w:val="24"/>
                <w:highlight w:val="none"/>
              </w:rPr>
              <w:t>演示</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rPr>
              <w:t>内容</w:t>
            </w:r>
            <w:r>
              <w:rPr>
                <w:rFonts w:hint="eastAsia" w:ascii="方正仿宋_GBK" w:hAnsi="方正仿宋_GBK" w:eastAsia="方正仿宋_GBK" w:cs="方正仿宋_GBK"/>
                <w:color w:val="auto"/>
                <w:sz w:val="24"/>
                <w:highlight w:val="none"/>
                <w:lang w:val="en-US" w:eastAsia="zh-CN"/>
              </w:rPr>
              <w:t>包括：①</w:t>
            </w:r>
            <w:r>
              <w:rPr>
                <w:rFonts w:hint="eastAsia" w:ascii="方正仿宋_GBK" w:hAnsi="方正仿宋_GBK" w:eastAsia="方正仿宋_GBK" w:cs="方正仿宋_GBK"/>
                <w:color w:val="auto"/>
                <w:sz w:val="24"/>
                <w:highlight w:val="none"/>
              </w:rPr>
              <w:t>以往的</w:t>
            </w:r>
            <w:r>
              <w:rPr>
                <w:rFonts w:hint="eastAsia" w:ascii="方正仿宋_GBK" w:hAnsi="方正仿宋_GBK" w:eastAsia="方正仿宋_GBK" w:cs="方正仿宋_GBK"/>
                <w:color w:val="auto"/>
                <w:sz w:val="24"/>
                <w:highlight w:val="none"/>
                <w:lang w:val="en-US" w:eastAsia="zh-CN"/>
              </w:rPr>
              <w:t>成功案例。展示之前承接的类似项目建设方案和供油运营服务</w:t>
            </w:r>
            <w:r>
              <w:rPr>
                <w:rFonts w:hint="eastAsia" w:ascii="方正仿宋_GBK" w:hAnsi="方正仿宋_GBK" w:eastAsia="方正仿宋_GBK" w:cs="方正仿宋_GBK"/>
                <w:color w:val="auto"/>
                <w:sz w:val="24"/>
                <w:highlight w:val="none"/>
              </w:rPr>
              <w:t>内容</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含加油过程、安全管理等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②</w:t>
            </w:r>
            <w:r>
              <w:rPr>
                <w:rFonts w:hint="eastAsia" w:ascii="方正仿宋_GBK" w:hAnsi="方正仿宋_GBK" w:eastAsia="方正仿宋_GBK" w:cs="方正仿宋_GBK"/>
                <w:color w:val="auto"/>
                <w:sz w:val="24"/>
                <w:highlight w:val="none"/>
              </w:rPr>
              <w:t>本次</w:t>
            </w:r>
            <w:r>
              <w:rPr>
                <w:rFonts w:hint="eastAsia" w:ascii="方正仿宋_GBK" w:hAnsi="方正仿宋_GBK" w:eastAsia="方正仿宋_GBK" w:cs="方正仿宋_GBK"/>
                <w:color w:val="auto"/>
                <w:sz w:val="24"/>
                <w:highlight w:val="none"/>
                <w:lang w:val="en-US" w:eastAsia="zh-CN"/>
              </w:rPr>
              <w:t>响应方案。包括不限于投资设计、建设方案、运营方案等</w:t>
            </w:r>
            <w:r>
              <w:rPr>
                <w:rFonts w:hint="eastAsia" w:ascii="方正仿宋_GBK" w:hAnsi="方正仿宋_GBK" w:eastAsia="方正仿宋_GBK" w:cs="方正仿宋_GBK"/>
                <w:color w:val="auto"/>
                <w:sz w:val="24"/>
                <w:highlight w:val="none"/>
              </w:rPr>
              <w:t>；</w:t>
            </w:r>
          </w:p>
          <w:p w14:paraId="0B52DAEC">
            <w:pPr>
              <w:pStyle w:val="2"/>
              <w:rPr>
                <w:rFonts w:hint="default" w:ascii="方正仿宋_GBK" w:hAnsi="方正仿宋_GBK" w:eastAsia="方正仿宋_GBK" w:cs="方正仿宋_GBK"/>
                <w:color w:val="auto"/>
                <w:sz w:val="24"/>
                <w:highlight w:val="none"/>
                <w:lang w:val="en-US" w:eastAsia="zh-CN"/>
              </w:rPr>
            </w:pPr>
            <w:r>
              <w:rPr>
                <w:rFonts w:hint="eastAsia" w:ascii="方正仿宋_GBK" w:hAnsi="方正仿宋_GBK" w:eastAsia="方正仿宋_GBK" w:cs="方正仿宋_GBK"/>
                <w:color w:val="auto"/>
                <w:sz w:val="24"/>
                <w:highlight w:val="none"/>
                <w:lang w:val="en-US" w:eastAsia="zh-CN"/>
              </w:rPr>
              <w:t>评委进行综合评审：</w:t>
            </w:r>
            <w:r>
              <w:rPr>
                <w:rFonts w:hint="eastAsia" w:ascii="方正仿宋_GBK" w:hAnsi="方正仿宋_GBK" w:eastAsia="方正仿宋_GBK" w:cs="方正仿宋_GBK"/>
                <w:color w:val="auto"/>
                <w:sz w:val="24"/>
                <w:highlight w:val="none"/>
              </w:rPr>
              <w:t>优秀的得7分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-10</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分，良好的得4分</w:t>
            </w:r>
            <w:r>
              <w:rPr>
                <w:rFonts w:hint="eastAsia" w:ascii="方正仿宋_GBK" w:hAnsi="方正仿宋_GBK" w:eastAsia="方正仿宋_GBK" w:cs="方正仿宋_GBK"/>
                <w:bCs/>
                <w:color w:val="auto"/>
                <w:sz w:val="24"/>
                <w:highlight w:val="none"/>
              </w:rPr>
              <w:t>（不含）</w:t>
            </w:r>
            <w:r>
              <w:rPr>
                <w:rFonts w:hint="eastAsia" w:ascii="方正仿宋_GBK" w:hAnsi="方正仿宋_GBK" w:eastAsia="方正仿宋_GBK" w:cs="方正仿宋_GBK"/>
                <w:color w:val="auto"/>
                <w:sz w:val="24"/>
                <w:highlight w:val="none"/>
              </w:rPr>
              <w:t>-7分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，一般的得1分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-4分</w:t>
            </w:r>
            <w:r>
              <w:rPr>
                <w:rFonts w:hint="eastAsia" w:ascii="方正仿宋_GBK" w:hAnsi="方正仿宋_GBK" w:eastAsia="方正仿宋_GBK" w:cs="方正仿宋_GBK"/>
                <w:bCs/>
                <w:color w:val="auto"/>
                <w:sz w:val="24"/>
                <w:highlight w:val="none"/>
              </w:rPr>
              <w:t>（含）</w:t>
            </w:r>
            <w:r>
              <w:rPr>
                <w:rFonts w:hint="eastAsia" w:ascii="方正仿宋_GBK" w:hAnsi="方正仿宋_GBK" w:eastAsia="方正仿宋_GBK" w:cs="方正仿宋_GBK"/>
                <w:color w:val="auto"/>
                <w:sz w:val="24"/>
                <w:highlight w:val="none"/>
              </w:rPr>
              <w:t>，未提供本项不得分。</w:t>
            </w:r>
          </w:p>
          <w:p w14:paraId="0C4DF191">
            <w:pPr>
              <w:pStyle w:val="2"/>
              <w:rPr>
                <w:rFonts w:hint="default" w:eastAsia="方正仿宋_GBK"/>
                <w:color w:val="auto"/>
                <w:highlight w:val="none"/>
                <w:lang w:val="en-US" w:eastAsia="zh-CN"/>
              </w:rPr>
            </w:pPr>
            <w:r>
              <w:rPr>
                <w:rFonts w:hint="eastAsia" w:ascii="方正仿宋_GBK" w:hAnsi="方正仿宋_GBK" w:eastAsia="方正仿宋_GBK" w:cs="方正仿宋_GBK"/>
                <w:color w:val="auto"/>
                <w:sz w:val="24"/>
                <w:highlight w:val="none"/>
                <w:lang w:val="en-US" w:eastAsia="zh-CN"/>
              </w:rPr>
              <w:t>演示内容用U盘独立拷贝</w:t>
            </w:r>
            <w:r>
              <w:rPr>
                <w:rFonts w:hint="eastAsia" w:ascii="方正仿宋_GBK" w:hAnsi="方正仿宋_GBK" w:eastAsia="方正仿宋_GBK" w:cs="方正仿宋_GBK"/>
                <w:color w:val="auto"/>
                <w:kern w:val="2"/>
                <w:sz w:val="24"/>
                <w:szCs w:val="24"/>
                <w:highlight w:val="none"/>
                <w:lang w:val="en-US" w:eastAsia="zh-CN" w:bidi="ar-SA"/>
              </w:rPr>
              <w:t>带至现场并进行现场阐述（时间不超过6分钟。演示阐述人员需随时携带授权委托书，并在投标文件接受截止时间前到达开标现场，按代理机构工作人员指令进行现场演示）。招标人提供演示设备，阐述结束后U盘由代理机构存档。因供应商U盘或文件格式原因导致无法播放或未提供文件进行演示阐述影响评审的，责任由投标人自行承担。</w:t>
            </w:r>
          </w:p>
        </w:tc>
      </w:tr>
    </w:tbl>
    <w:p w14:paraId="2CDF651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（四）</w:t>
      </w:r>
      <w:r>
        <w:rPr>
          <w:rFonts w:hint="eastAsia" w:ascii="方正仿宋_GBK" w:hAnsi="方正仿宋_GBK" w:eastAsia="方正仿宋_GBK" w:cs="方正仿宋_GBK"/>
          <w:b/>
          <w:bCs/>
          <w:color w:val="auto"/>
          <w:sz w:val="28"/>
          <w:szCs w:val="28"/>
          <w:highlight w:val="none"/>
          <w:lang w:val="zh-CN"/>
        </w:rPr>
        <w:t>价格分</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b/>
          <w:bCs/>
          <w:color w:val="auto"/>
          <w:sz w:val="28"/>
          <w:szCs w:val="28"/>
          <w:highlight w:val="none"/>
          <w:lang w:val="en-US" w:eastAsia="zh-CN"/>
        </w:rPr>
        <w:t>30</w:t>
      </w:r>
      <w:r>
        <w:rPr>
          <w:rFonts w:hint="eastAsia" w:ascii="方正仿宋_GBK" w:hAnsi="方正仿宋_GBK" w:eastAsia="方正仿宋_GBK" w:cs="方正仿宋_GBK"/>
          <w:b/>
          <w:bCs/>
          <w:color w:val="auto"/>
          <w:sz w:val="28"/>
          <w:szCs w:val="28"/>
          <w:highlight w:val="none"/>
        </w:rPr>
        <w:t>分</w:t>
      </w:r>
    </w:p>
    <w:p w14:paraId="1E0364F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价格分统一采用低价优先法计算，即满足招标文件要求且投标下浮率最</w:t>
      </w:r>
      <w:r>
        <w:rPr>
          <w:rFonts w:hint="eastAsia" w:ascii="方正仿宋_GBK" w:hAnsi="方正仿宋_GBK" w:eastAsia="方正仿宋_GBK" w:cs="方正仿宋_GBK"/>
          <w:color w:val="auto"/>
          <w:sz w:val="28"/>
          <w:szCs w:val="28"/>
          <w:highlight w:val="none"/>
          <w:lang w:eastAsia="zh-CN"/>
        </w:rPr>
        <w:t>大</w:t>
      </w:r>
      <w:r>
        <w:rPr>
          <w:rFonts w:hint="eastAsia" w:ascii="方正仿宋_GBK" w:hAnsi="方正仿宋_GBK" w:eastAsia="方正仿宋_GBK" w:cs="方正仿宋_GBK"/>
          <w:color w:val="auto"/>
          <w:sz w:val="28"/>
          <w:szCs w:val="28"/>
          <w:highlight w:val="none"/>
        </w:rPr>
        <w:t>的为评标基准</w:t>
      </w:r>
      <w:r>
        <w:rPr>
          <w:rFonts w:hint="eastAsia" w:ascii="方正仿宋_GBK" w:hAnsi="方正仿宋_GBK" w:eastAsia="方正仿宋_GBK" w:cs="方正仿宋_GBK"/>
          <w:color w:val="auto"/>
          <w:sz w:val="28"/>
          <w:szCs w:val="28"/>
          <w:highlight w:val="none"/>
          <w:lang w:eastAsia="zh-CN"/>
        </w:rPr>
        <w:t>下浮率</w:t>
      </w:r>
      <w:r>
        <w:rPr>
          <w:rFonts w:hint="eastAsia" w:ascii="方正仿宋_GBK" w:hAnsi="方正仿宋_GBK" w:eastAsia="方正仿宋_GBK" w:cs="方正仿宋_GBK"/>
          <w:color w:val="auto"/>
          <w:sz w:val="28"/>
          <w:szCs w:val="28"/>
          <w:highlight w:val="none"/>
        </w:rPr>
        <w:t>，其价格分为满分。其他投标人的价格分统一按照下列公式计算：</w:t>
      </w:r>
    </w:p>
    <w:p w14:paraId="3ABE53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投标报价得分=（</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评标基准下浮率</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评标</w:t>
      </w:r>
      <w:r>
        <w:rPr>
          <w:rFonts w:hint="eastAsia" w:ascii="方正仿宋_GBK" w:hAnsi="方正仿宋_GBK" w:eastAsia="方正仿宋_GBK" w:cs="方正仿宋_GBK"/>
          <w:color w:val="auto"/>
          <w:sz w:val="28"/>
          <w:szCs w:val="28"/>
          <w:highlight w:val="none"/>
          <w:lang w:val="en-US" w:eastAsia="zh-CN"/>
        </w:rPr>
        <w:t>投标</w:t>
      </w:r>
      <w:r>
        <w:rPr>
          <w:rFonts w:hint="eastAsia" w:ascii="方正仿宋_GBK" w:hAnsi="方正仿宋_GBK" w:eastAsia="方正仿宋_GBK" w:cs="方正仿宋_GBK"/>
          <w:color w:val="auto"/>
          <w:sz w:val="28"/>
          <w:szCs w:val="28"/>
          <w:highlight w:val="none"/>
          <w:lang w:eastAsia="zh-CN"/>
        </w:rPr>
        <w:t>下浮率</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rPr>
        <w:t>×价格权值</w:t>
      </w:r>
    </w:p>
    <w:p w14:paraId="78E67F6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举例说明：</w:t>
      </w:r>
    </w:p>
    <w:p w14:paraId="0775939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甲、乙、丙3家投标人报价下浮率分别为</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4%和</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5%，则丙投标下浮率最</w:t>
      </w:r>
      <w:r>
        <w:rPr>
          <w:rFonts w:hint="eastAsia" w:ascii="方正仿宋_GBK" w:hAnsi="方正仿宋_GBK" w:eastAsia="方正仿宋_GBK" w:cs="方正仿宋_GBK"/>
          <w:color w:val="auto"/>
          <w:sz w:val="28"/>
          <w:szCs w:val="28"/>
          <w:highlight w:val="none"/>
          <w:lang w:eastAsia="zh-CN"/>
        </w:rPr>
        <w:t>大</w:t>
      </w:r>
      <w:r>
        <w:rPr>
          <w:rFonts w:hint="eastAsia" w:ascii="方正仿宋_GBK" w:hAnsi="方正仿宋_GBK" w:eastAsia="方正仿宋_GBK" w:cs="方正仿宋_GBK"/>
          <w:color w:val="auto"/>
          <w:sz w:val="28"/>
          <w:szCs w:val="28"/>
          <w:highlight w:val="none"/>
        </w:rPr>
        <w:t>，价格分为满分</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0分，乙的价格分=(</w:t>
      </w:r>
      <w:r>
        <w:rPr>
          <w:rFonts w:hint="eastAsia" w:ascii="方正仿宋_GBK" w:hAnsi="方正仿宋_GBK" w:eastAsia="方正仿宋_GBK" w:cs="方正仿宋_GBK"/>
          <w:color w:val="auto"/>
          <w:sz w:val="28"/>
          <w:szCs w:val="28"/>
          <w:highlight w:val="none"/>
          <w:lang w:val="en-US" w:eastAsia="zh-CN"/>
        </w:rPr>
        <w:t>1-15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1-14</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0</w:t>
      </w:r>
      <w:r>
        <w:rPr>
          <w:rFonts w:hint="eastAsia" w:ascii="方正仿宋_GBK" w:hAnsi="方正仿宋_GBK" w:eastAsia="方正仿宋_GBK" w:cs="方正仿宋_GBK"/>
          <w:color w:val="auto"/>
          <w:sz w:val="28"/>
          <w:szCs w:val="28"/>
          <w:highlight w:val="none"/>
          <w:lang w:val="en-US" w:eastAsia="zh-CN"/>
        </w:rPr>
        <w:t>=29.65分</w:t>
      </w:r>
      <w:r>
        <w:rPr>
          <w:rFonts w:hint="eastAsia" w:ascii="方正仿宋_GBK" w:hAnsi="方正仿宋_GBK" w:eastAsia="方正仿宋_GBK" w:cs="方正仿宋_GBK"/>
          <w:color w:val="auto"/>
          <w:sz w:val="28"/>
          <w:szCs w:val="28"/>
          <w:highlight w:val="none"/>
        </w:rPr>
        <w:t>，甲的价格分=(</w:t>
      </w:r>
      <w:r>
        <w:rPr>
          <w:rFonts w:hint="eastAsia" w:ascii="方正仿宋_GBK" w:hAnsi="方正仿宋_GBK" w:eastAsia="方正仿宋_GBK" w:cs="方正仿宋_GBK"/>
          <w:color w:val="auto"/>
          <w:sz w:val="28"/>
          <w:szCs w:val="28"/>
          <w:highlight w:val="none"/>
          <w:lang w:val="en-US" w:eastAsia="zh-CN"/>
        </w:rPr>
        <w:t>1-15</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30=29.31</w:t>
      </w:r>
      <w:r>
        <w:rPr>
          <w:rFonts w:hint="eastAsia" w:ascii="方正仿宋_GBK" w:hAnsi="方正仿宋_GBK" w:eastAsia="方正仿宋_GBK" w:cs="方正仿宋_GBK"/>
          <w:color w:val="auto"/>
          <w:sz w:val="28"/>
          <w:szCs w:val="28"/>
          <w:highlight w:val="none"/>
        </w:rPr>
        <w:t>分。</w:t>
      </w:r>
    </w:p>
    <w:p w14:paraId="7EAD892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 xml:space="preserve">评标委员会认为投标人的下浮率明显高于其他通过符合性审查的投标人的下浮率，有可能影响产品质量或者不能诚信履约的，应当要求其在评标现场合理的时间内提供书面说明，必要时提交相关证明材料；投标人不能证明其报价合理性的，评标委员会应当将其作为无效投标处理。 </w:t>
      </w:r>
    </w:p>
    <w:p w14:paraId="7B23FC0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color w:val="auto"/>
          <w:sz w:val="28"/>
          <w:szCs w:val="28"/>
          <w:highlight w:val="none"/>
        </w:rPr>
        <w:t>（五）中标人的确定</w:t>
      </w:r>
    </w:p>
    <w:p w14:paraId="6CEFCEB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评委会汇总各评委评分后，按照得分从高到低的顺序推荐三名中标候选人，并编写评标报告。</w:t>
      </w:r>
    </w:p>
    <w:p w14:paraId="5EDEA99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招标人委托评标委员会直接确定排名第一的中标候选人为中标人。</w:t>
      </w:r>
    </w:p>
    <w:p w14:paraId="2311CC9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（六）招标人代表宣布评标结果。</w:t>
      </w:r>
    </w:p>
    <w:p w14:paraId="118647F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（七）公告中标结果</w:t>
      </w:r>
    </w:p>
    <w:p w14:paraId="7299191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自确定中标人之日起2个工作日内，在南通市崇川区人民政府网公告中标结果，公告期限为1个工作日。</w:t>
      </w:r>
    </w:p>
    <w:p w14:paraId="3EB21E7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bCs/>
          <w:color w:val="auto"/>
          <w:sz w:val="28"/>
          <w:szCs w:val="28"/>
          <w:highlight w:val="none"/>
        </w:rPr>
        <w:t>八</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bCs/>
          <w:color w:val="auto"/>
          <w:sz w:val="28"/>
          <w:szCs w:val="28"/>
          <w:highlight w:val="none"/>
        </w:rPr>
        <w:t>发放中标通知书</w:t>
      </w:r>
    </w:p>
    <w:p w14:paraId="34A16B5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公告中标结果的同时，招标人</w:t>
      </w:r>
      <w:r>
        <w:rPr>
          <w:rFonts w:hint="eastAsia" w:ascii="方正仿宋_GBK" w:hAnsi="方正仿宋_GBK" w:eastAsia="方正仿宋_GBK" w:cs="方正仿宋_GBK"/>
          <w:bCs/>
          <w:color w:val="auto"/>
          <w:sz w:val="28"/>
          <w:szCs w:val="28"/>
          <w:highlight w:val="none"/>
        </w:rPr>
        <w:t>向中标人发放中标通知书。</w:t>
      </w:r>
    </w:p>
    <w:p w14:paraId="3124C10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中标通知书发出后，招标人不得违法改变中标结果，中标人无正当理由不得放弃中标。</w:t>
      </w:r>
    </w:p>
    <w:p w14:paraId="34206350">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（九）其他</w:t>
      </w:r>
    </w:p>
    <w:p w14:paraId="6F6CB47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当排名第一的成交候选人无正当理由放弃成交，被查实存在影响成交结果的违法行为等情形，招标人有权按照政府招标相关法律法规的规定对其采取惩戒措施，包含但不限于列入招标失信人黑名单等措施。</w:t>
      </w:r>
    </w:p>
    <w:p w14:paraId="5AE1679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t>当排名第一的成交候选人放弃成交、因不可抗力不能履行合同，或者被查实存在影响成交结果的违法行为等情形，不符合成交条件的，招标人可以按照评标委员会提出的成交候选人名单排序依次确定其他成交候选人为中标人，也可以重新招标。</w:t>
      </w:r>
    </w:p>
    <w:p w14:paraId="44627E7B">
      <w:pPr>
        <w:adjustRightInd w:val="0"/>
        <w:snapToGrid w:val="0"/>
        <w:spacing w:line="420" w:lineRule="exact"/>
        <w:jc w:val="center"/>
        <w:rPr>
          <w:rFonts w:ascii="宋体" w:hAnsi="宋体" w:cs="宋体"/>
          <w:b/>
          <w:color w:val="auto"/>
          <w:sz w:val="28"/>
          <w:szCs w:val="28"/>
          <w:highlight w:val="none"/>
        </w:rPr>
      </w:pPr>
      <w:r>
        <w:rPr>
          <w:rFonts w:hint="eastAsia" w:ascii="宋体" w:hAnsi="宋体" w:cs="宋体"/>
          <w:b/>
          <w:color w:val="auto"/>
          <w:sz w:val="32"/>
          <w:szCs w:val="32"/>
          <w:highlight w:val="none"/>
        </w:rPr>
        <w:br w:type="page"/>
      </w:r>
      <w:r>
        <w:rPr>
          <w:rFonts w:hint="eastAsia" w:ascii="黑体" w:hAnsi="黑体" w:eastAsia="黑体" w:cs="黑体"/>
          <w:b/>
          <w:color w:val="auto"/>
          <w:sz w:val="36"/>
          <w:szCs w:val="36"/>
          <w:highlight w:val="none"/>
        </w:rPr>
        <w:t>第五部分  投标文件组成</w:t>
      </w:r>
    </w:p>
    <w:p w14:paraId="0634E46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投标文件由资格审查文件、商务技术文件、价格文件、电子响应文件四部分组成。</w:t>
      </w:r>
    </w:p>
    <w:p w14:paraId="50FD42AC">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b/>
          <w:bCs/>
          <w:color w:val="auto"/>
          <w:kern w:val="0"/>
          <w:sz w:val="28"/>
          <w:szCs w:val="28"/>
          <w:highlight w:val="none"/>
          <w:lang w:val="zh-CN"/>
        </w:rPr>
      </w:pPr>
      <w:r>
        <w:rPr>
          <w:rFonts w:hint="eastAsia" w:ascii="方正仿宋_GBK" w:hAnsi="方正仿宋_GBK" w:eastAsia="方正仿宋_GBK" w:cs="方正仿宋_GBK"/>
          <w:b/>
          <w:bCs/>
          <w:color w:val="auto"/>
          <w:kern w:val="0"/>
          <w:sz w:val="28"/>
          <w:szCs w:val="28"/>
          <w:highlight w:val="none"/>
          <w:lang w:val="zh-CN"/>
        </w:rPr>
        <w:t>一、资格审查文件（不能出现商务技术文件、价格文件）</w:t>
      </w:r>
    </w:p>
    <w:p w14:paraId="793C789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lang w:val="zh-CN"/>
        </w:rPr>
        <w:t>1.</w:t>
      </w:r>
      <w:r>
        <w:rPr>
          <w:rFonts w:hint="eastAsia" w:ascii="方正仿宋_GBK" w:hAnsi="方正仿宋_GBK" w:eastAsia="方正仿宋_GBK" w:cs="方正仿宋_GBK"/>
          <w:color w:val="auto"/>
          <w:kern w:val="0"/>
          <w:sz w:val="28"/>
          <w:szCs w:val="28"/>
          <w:highlight w:val="none"/>
        </w:rPr>
        <w:t>符合投标人资格要求的承诺函（格式见附件1）</w:t>
      </w:r>
      <w:r>
        <w:rPr>
          <w:rFonts w:hint="eastAsia" w:ascii="方正仿宋_GBK" w:hAnsi="方正仿宋_GBK" w:eastAsia="方正仿宋_GBK" w:cs="方正仿宋_GBK"/>
          <w:color w:val="auto"/>
          <w:kern w:val="0"/>
          <w:sz w:val="28"/>
          <w:szCs w:val="28"/>
          <w:highlight w:val="none"/>
          <w:lang w:val="zh-CN"/>
        </w:rPr>
        <w:t>；</w:t>
      </w:r>
    </w:p>
    <w:p w14:paraId="366A143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lang w:val="zh-CN"/>
        </w:rPr>
        <w:t>2.法定代表人身份证明书（格式见附件2）；</w:t>
      </w:r>
    </w:p>
    <w:p w14:paraId="6001003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lang w:val="zh-CN"/>
        </w:rPr>
        <w:t>3.法定代表人授权委托书原件，投标代表本人身份证复印件（格式见附件3）；</w:t>
      </w:r>
    </w:p>
    <w:p w14:paraId="55C85BF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zh-CN"/>
        </w:rPr>
        <w:t>4.</w:t>
      </w:r>
      <w:r>
        <w:rPr>
          <w:rFonts w:hint="eastAsia" w:ascii="方正仿宋_GBK" w:hAnsi="方正仿宋_GBK" w:eastAsia="方正仿宋_GBK" w:cs="方正仿宋_GBK"/>
          <w:color w:val="auto"/>
          <w:kern w:val="0"/>
          <w:sz w:val="28"/>
          <w:szCs w:val="28"/>
          <w:highlight w:val="none"/>
        </w:rPr>
        <w:t>有效的营业执照副本复印件；</w:t>
      </w:r>
    </w:p>
    <w:p w14:paraId="569F5812">
      <w:pPr>
        <w:pStyle w:val="2"/>
        <w:keepNext w:val="0"/>
        <w:keepLines w:val="0"/>
        <w:pageBreakBefore w:val="0"/>
        <w:widowControl w:val="0"/>
        <w:kinsoku/>
        <w:wordWrap/>
        <w:overflowPunct/>
        <w:topLinePunct w:val="0"/>
        <w:autoSpaceDE/>
        <w:autoSpaceDN/>
        <w:bidi w:val="0"/>
        <w:spacing w:line="440" w:lineRule="exact"/>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5.具有《危险化学品经营许可证》，且经营范围含有成品油或柴油，提供证书复印件加盖投标人公章；</w:t>
      </w:r>
    </w:p>
    <w:p w14:paraId="11175378">
      <w:pPr>
        <w:pStyle w:val="2"/>
        <w:keepNext w:val="0"/>
        <w:keepLines w:val="0"/>
        <w:pageBreakBefore w:val="0"/>
        <w:widowControl w:val="0"/>
        <w:kinsoku/>
        <w:wordWrap/>
        <w:overflowPunct/>
        <w:topLinePunct w:val="0"/>
        <w:autoSpaceDE/>
        <w:autoSpaceDN/>
        <w:bidi w:val="0"/>
        <w:spacing w:line="440" w:lineRule="exact"/>
        <w:textAlignment w:val="auto"/>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6.业绩要求：</w:t>
      </w:r>
    </w:p>
    <w:p w14:paraId="16CEFA3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投标人提供自2022年1月1日（合同签订时间）至投标截止日，必须具有柴油的累计供货3000吨及以上业绩（其中</w:t>
      </w:r>
      <w:r>
        <w:rPr>
          <w:rFonts w:hint="eastAsia" w:ascii="方正仿宋_GBK" w:hAnsi="方正仿宋_GBK" w:eastAsia="方正仿宋_GBK" w:cs="方正仿宋_GBK"/>
          <w:color w:val="auto"/>
          <w:sz w:val="28"/>
          <w:szCs w:val="28"/>
          <w:highlight w:val="none"/>
          <w:lang w:eastAsia="zh-CN"/>
        </w:rPr>
        <w:t>所有</w:t>
      </w:r>
      <w:r>
        <w:rPr>
          <w:rFonts w:hint="eastAsia" w:ascii="方正仿宋_GBK" w:hAnsi="方正仿宋_GBK" w:eastAsia="方正仿宋_GBK" w:cs="方正仿宋_GBK"/>
          <w:color w:val="auto"/>
          <w:sz w:val="28"/>
          <w:szCs w:val="28"/>
          <w:highlight w:val="none"/>
        </w:rPr>
        <w:t>单份合同柴油供应量不低于100吨），并提供业绩证明材料（包括不限于业绩合同封面、主要参数、发票及签字页的扫描件等），必要时根据澄清要求提供合同原件，以印证业绩。</w:t>
      </w:r>
    </w:p>
    <w:p w14:paraId="4C8DE11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b/>
          <w:bCs/>
          <w:color w:val="auto"/>
          <w:kern w:val="0"/>
          <w:sz w:val="28"/>
          <w:szCs w:val="28"/>
          <w:highlight w:val="none"/>
          <w:lang w:val="zh-CN"/>
        </w:rPr>
      </w:pPr>
      <w:r>
        <w:rPr>
          <w:rFonts w:hint="eastAsia" w:ascii="方正仿宋_GBK" w:hAnsi="方正仿宋_GBK" w:eastAsia="方正仿宋_GBK" w:cs="方正仿宋_GBK"/>
          <w:b/>
          <w:bCs/>
          <w:color w:val="auto"/>
          <w:kern w:val="0"/>
          <w:sz w:val="28"/>
          <w:szCs w:val="28"/>
          <w:highlight w:val="none"/>
          <w:lang w:val="zh-CN"/>
        </w:rPr>
        <w:t>二、商务技术文件（不能出现价格文件）</w:t>
      </w:r>
    </w:p>
    <w:p w14:paraId="53463F6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1.《技术部分正负偏离表》（格式见附件4）；</w:t>
      </w:r>
    </w:p>
    <w:p w14:paraId="72D3D7E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2.《商务部分正负偏离表》（格式见附件5）；</w:t>
      </w:r>
    </w:p>
    <w:p w14:paraId="4A708D4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3.方案、业绩等；</w:t>
      </w:r>
    </w:p>
    <w:p w14:paraId="4B77982C">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lang w:val="zh-CN"/>
        </w:rPr>
        <w:t>为方便评委评审，请供应商按评审办法中所涉及的事项顺序进行编制，可以补充相关材料；</w:t>
      </w:r>
    </w:p>
    <w:p w14:paraId="5173D430">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bCs/>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rPr>
        <w:t>5</w:t>
      </w:r>
      <w:r>
        <w:rPr>
          <w:rFonts w:hint="eastAsia" w:ascii="方正仿宋_GBK" w:hAnsi="方正仿宋_GBK" w:eastAsia="方正仿宋_GBK" w:cs="方正仿宋_GBK"/>
          <w:color w:val="auto"/>
          <w:kern w:val="0"/>
          <w:sz w:val="28"/>
          <w:szCs w:val="28"/>
          <w:highlight w:val="none"/>
          <w:lang w:val="zh-CN"/>
        </w:rPr>
        <w:t>.评审办法中未涉及的事项，供应商认为需要提交的其他资料。</w:t>
      </w:r>
    </w:p>
    <w:p w14:paraId="4F3CBF38">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1"/>
        <w:rPr>
          <w:rFonts w:hint="eastAsia" w:ascii="方正仿宋_GBK" w:hAnsi="方正仿宋_GBK" w:eastAsia="方正仿宋_GBK" w:cs="方正仿宋_GBK"/>
          <w:b/>
          <w:bCs/>
          <w:color w:val="auto"/>
          <w:kern w:val="0"/>
          <w:sz w:val="28"/>
          <w:szCs w:val="28"/>
          <w:highlight w:val="none"/>
          <w:lang w:val="zh-CN"/>
        </w:rPr>
      </w:pPr>
      <w:r>
        <w:rPr>
          <w:rFonts w:hint="eastAsia" w:ascii="方正仿宋_GBK" w:hAnsi="方正仿宋_GBK" w:eastAsia="方正仿宋_GBK" w:cs="方正仿宋_GBK"/>
          <w:b/>
          <w:bCs/>
          <w:color w:val="auto"/>
          <w:kern w:val="0"/>
          <w:sz w:val="28"/>
          <w:szCs w:val="28"/>
          <w:highlight w:val="none"/>
          <w:lang w:val="zh-CN"/>
        </w:rPr>
        <w:t>三、价格文件</w:t>
      </w:r>
    </w:p>
    <w:p w14:paraId="4DC0098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lang w:val="zh-CN"/>
        </w:rPr>
        <w:t>1.开标一览表（格式见附件</w:t>
      </w:r>
      <w:r>
        <w:rPr>
          <w:rFonts w:hint="eastAsia" w:ascii="方正仿宋_GBK" w:hAnsi="方正仿宋_GBK" w:eastAsia="方正仿宋_GBK" w:cs="方正仿宋_GBK"/>
          <w:color w:val="auto"/>
          <w:kern w:val="0"/>
          <w:sz w:val="28"/>
          <w:szCs w:val="28"/>
          <w:highlight w:val="none"/>
        </w:rPr>
        <w:t>6</w:t>
      </w:r>
      <w:r>
        <w:rPr>
          <w:rFonts w:hint="eastAsia" w:ascii="方正仿宋_GBK" w:hAnsi="方正仿宋_GBK" w:eastAsia="方正仿宋_GBK" w:cs="方正仿宋_GBK"/>
          <w:color w:val="auto"/>
          <w:kern w:val="0"/>
          <w:sz w:val="28"/>
          <w:szCs w:val="28"/>
          <w:highlight w:val="none"/>
          <w:lang w:val="zh-CN"/>
        </w:rPr>
        <w:t>）；</w:t>
      </w:r>
    </w:p>
    <w:p w14:paraId="680C4DC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lang w:val="zh-CN"/>
        </w:rPr>
        <w:t>供应商信用承诺书（格式见附件</w:t>
      </w:r>
      <w:r>
        <w:rPr>
          <w:rFonts w:hint="eastAsia" w:ascii="方正仿宋_GBK" w:hAnsi="方正仿宋_GBK" w:eastAsia="方正仿宋_GBK" w:cs="方正仿宋_GBK"/>
          <w:color w:val="auto"/>
          <w:kern w:val="0"/>
          <w:sz w:val="28"/>
          <w:szCs w:val="28"/>
          <w:highlight w:val="none"/>
        </w:rPr>
        <w:t>7</w:t>
      </w:r>
      <w:r>
        <w:rPr>
          <w:rFonts w:hint="eastAsia" w:ascii="方正仿宋_GBK" w:hAnsi="方正仿宋_GBK" w:eastAsia="方正仿宋_GBK" w:cs="方正仿宋_GBK"/>
          <w:color w:val="auto"/>
          <w:kern w:val="0"/>
          <w:sz w:val="28"/>
          <w:szCs w:val="28"/>
          <w:highlight w:val="none"/>
          <w:lang w:val="zh-CN"/>
        </w:rPr>
        <w:t>）。</w:t>
      </w:r>
    </w:p>
    <w:p w14:paraId="0BBACCF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四、电子响应文件（一份）</w:t>
      </w:r>
    </w:p>
    <w:p w14:paraId="2B53FAD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rPr>
        <w:t>电子响应文件的内容为“资格审查文件、商务技术文件、价格文件”的打印盖章后的响应文件的扫描件（资格审查文件、商务技术文件、价格文件需分别逐页连续扫描为三个独立的PDF文件）。</w:t>
      </w:r>
    </w:p>
    <w:p w14:paraId="45B4FC3A">
      <w:pPr>
        <w:snapToGrid w:val="0"/>
        <w:spacing w:line="360" w:lineRule="auto"/>
        <w:contextualSpacing/>
        <w:rPr>
          <w:rFonts w:ascii="宋体" w:hAnsi="宋体" w:cs="宋体"/>
          <w:b/>
          <w:color w:val="auto"/>
          <w:sz w:val="30"/>
          <w:szCs w:val="30"/>
          <w:highlight w:val="none"/>
        </w:rPr>
      </w:pPr>
      <w:r>
        <w:rPr>
          <w:rFonts w:hint="eastAsia" w:ascii="宋体" w:hAnsi="宋体" w:cs="宋体"/>
          <w:color w:val="auto"/>
          <w:kern w:val="0"/>
          <w:sz w:val="32"/>
          <w:szCs w:val="32"/>
          <w:highlight w:val="none"/>
          <w:lang w:val="zh-CN"/>
        </w:rPr>
        <w:t>附件1</w:t>
      </w:r>
    </w:p>
    <w:p w14:paraId="5F115839">
      <w:pPr>
        <w:spacing w:line="360" w:lineRule="auto"/>
        <w:jc w:val="center"/>
        <w:rPr>
          <w:rFonts w:hint="eastAsia" w:ascii="黑体" w:hAnsi="黑体" w:eastAsia="黑体" w:cs="黑体"/>
          <w:b/>
          <w:color w:val="auto"/>
          <w:sz w:val="30"/>
          <w:szCs w:val="30"/>
          <w:highlight w:val="none"/>
        </w:rPr>
      </w:pPr>
      <w:r>
        <w:rPr>
          <w:rFonts w:hint="eastAsia" w:ascii="黑体" w:hAnsi="黑体" w:eastAsia="黑体" w:cs="黑体"/>
          <w:b/>
          <w:color w:val="auto"/>
          <w:sz w:val="30"/>
          <w:szCs w:val="30"/>
          <w:highlight w:val="none"/>
        </w:rPr>
        <w:t>投标人符合本项目投标人资格要求的承诺函</w:t>
      </w:r>
    </w:p>
    <w:p w14:paraId="1BB01BC4">
      <w:pPr>
        <w:spacing w:line="360" w:lineRule="auto"/>
        <w:rPr>
          <w:rFonts w:ascii="宋体" w:hAnsi="宋体" w:cs="宋体"/>
          <w:b/>
          <w:bCs/>
          <w:color w:val="auto"/>
          <w:sz w:val="44"/>
          <w:szCs w:val="44"/>
          <w:highlight w:val="none"/>
        </w:rPr>
      </w:pPr>
    </w:p>
    <w:p w14:paraId="30CA878F">
      <w:pPr>
        <w:spacing w:line="360" w:lineRule="auto"/>
        <w:ind w:firstLine="480" w:firstLineChars="200"/>
        <w:rPr>
          <w:rFonts w:hint="eastAsia" w:ascii="方正仿宋_GBK" w:hAnsi="方正仿宋_GBK" w:eastAsia="方正仿宋_GBK" w:cs="方正仿宋_GBK"/>
          <w:b/>
          <w:bCs/>
          <w:color w:val="auto"/>
          <w:sz w:val="24"/>
          <w:highlight w:val="none"/>
        </w:rPr>
      </w:pPr>
      <w:r>
        <w:rPr>
          <w:rFonts w:hint="eastAsia" w:ascii="方正仿宋_GBK" w:hAnsi="方正仿宋_GBK" w:eastAsia="方正仿宋_GBK" w:cs="方正仿宋_GBK"/>
          <w:bCs/>
          <w:color w:val="auto"/>
          <w:sz w:val="24"/>
          <w:highlight w:val="none"/>
        </w:rPr>
        <w:t>我单位参加</w:t>
      </w:r>
      <w:r>
        <w:rPr>
          <w:rFonts w:hint="eastAsia" w:ascii="方正仿宋_GBK" w:hAnsi="方正仿宋_GBK" w:eastAsia="方正仿宋_GBK" w:cs="方正仿宋_GBK"/>
          <w:bCs/>
          <w:color w:val="auto"/>
          <w:sz w:val="24"/>
          <w:szCs w:val="21"/>
          <w:highlight w:val="none"/>
          <w:u w:val="single"/>
        </w:rPr>
        <w:t>________________ _</w:t>
      </w:r>
      <w:r>
        <w:rPr>
          <w:rFonts w:hint="eastAsia" w:ascii="方正仿宋_GBK" w:hAnsi="方正仿宋_GBK" w:eastAsia="方正仿宋_GBK" w:cs="方正仿宋_GBK"/>
          <w:bCs/>
          <w:color w:val="auto"/>
          <w:sz w:val="24"/>
          <w:szCs w:val="21"/>
          <w:highlight w:val="none"/>
        </w:rPr>
        <w:t>（项目名称），</w:t>
      </w:r>
      <w:r>
        <w:rPr>
          <w:rFonts w:hint="eastAsia" w:ascii="方正仿宋_GBK" w:hAnsi="方正仿宋_GBK" w:eastAsia="方正仿宋_GBK" w:cs="方正仿宋_GBK"/>
          <w:bCs/>
          <w:color w:val="auto"/>
          <w:sz w:val="24"/>
          <w:szCs w:val="21"/>
          <w:highlight w:val="none"/>
          <w:u w:val="single"/>
        </w:rPr>
        <w:t>_______ __________</w:t>
      </w:r>
      <w:r>
        <w:rPr>
          <w:rFonts w:hint="eastAsia" w:ascii="方正仿宋_GBK" w:hAnsi="方正仿宋_GBK" w:eastAsia="方正仿宋_GBK" w:cs="方正仿宋_GBK"/>
          <w:bCs/>
          <w:color w:val="auto"/>
          <w:sz w:val="24"/>
          <w:szCs w:val="21"/>
          <w:highlight w:val="none"/>
        </w:rPr>
        <w:t>（项目编号）投标活动。针对本项目投标人资格要求做出如下承诺：</w:t>
      </w:r>
    </w:p>
    <w:p w14:paraId="3048BE2D">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bCs/>
          <w:color w:val="auto"/>
          <w:sz w:val="24"/>
          <w:szCs w:val="21"/>
          <w:highlight w:val="none"/>
        </w:rPr>
        <w:t>1.我单位具有独立承担民事责任的能力；</w:t>
      </w:r>
    </w:p>
    <w:p w14:paraId="6E370B35">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2.我单位具有良好的商业信誉和健全的财务会计制度；</w:t>
      </w:r>
    </w:p>
    <w:p w14:paraId="24EE7039">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3.我单位具有履行合同所必需的设备和专业技术能力；</w:t>
      </w:r>
    </w:p>
    <w:p w14:paraId="75BCF8AE">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4.我单位有依法缴纳税收和社会保障资金的良好记录；</w:t>
      </w:r>
    </w:p>
    <w:p w14:paraId="4506F856">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5.我单位参加招标活动前三年内，在经营活动中没有重大违法记录；（“较大数额罚款”认定为200万元以上的罚款，法律、行政法规以及国务院有关部门明确规定相关领域“较大数额罚款”标准高于200万元的，从其规定。）</w:t>
      </w:r>
    </w:p>
    <w:p w14:paraId="1A7B0CE7">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6.我单位满足法律、行政法规规定的其他条件。</w:t>
      </w:r>
    </w:p>
    <w:p w14:paraId="4DE05B8B">
      <w:pPr>
        <w:spacing w:line="360" w:lineRule="auto"/>
        <w:ind w:firstLine="480" w:firstLineChars="200"/>
        <w:rPr>
          <w:rFonts w:hint="eastAsia" w:ascii="方正仿宋_GBK" w:hAnsi="方正仿宋_GBK" w:eastAsia="方正仿宋_GBK" w:cs="方正仿宋_GBK"/>
          <w:color w:val="auto"/>
          <w:sz w:val="24"/>
          <w:highlight w:val="none"/>
        </w:rPr>
      </w:pPr>
    </w:p>
    <w:p w14:paraId="22AA5C34">
      <w:pPr>
        <w:spacing w:line="360" w:lineRule="auto"/>
        <w:ind w:firstLine="480" w:firstLineChars="200"/>
        <w:rPr>
          <w:rFonts w:hint="eastAsia" w:ascii="方正仿宋_GBK" w:hAnsi="方正仿宋_GBK" w:eastAsia="方正仿宋_GBK" w:cs="方正仿宋_GBK"/>
          <w:color w:val="auto"/>
          <w:sz w:val="24"/>
          <w:highlight w:val="none"/>
        </w:rPr>
      </w:pPr>
    </w:p>
    <w:p w14:paraId="4A5C4EDC">
      <w:pPr>
        <w:spacing w:line="360" w:lineRule="auto"/>
        <w:ind w:firstLine="480" w:firstLineChars="200"/>
        <w:rPr>
          <w:rFonts w:hint="eastAsia" w:ascii="方正仿宋_GBK" w:hAnsi="方正仿宋_GBK" w:eastAsia="方正仿宋_GBK" w:cs="方正仿宋_GBK"/>
          <w:bCs/>
          <w:color w:val="auto"/>
          <w:sz w:val="24"/>
          <w:szCs w:val="21"/>
          <w:highlight w:val="none"/>
        </w:rPr>
      </w:pPr>
    </w:p>
    <w:p w14:paraId="6D204C05">
      <w:pPr>
        <w:spacing w:line="360" w:lineRule="auto"/>
        <w:ind w:firstLine="480" w:firstLineChars="200"/>
        <w:rPr>
          <w:rFonts w:hint="eastAsia" w:ascii="方正仿宋_GBK" w:hAnsi="方正仿宋_GBK" w:eastAsia="方正仿宋_GBK" w:cs="方正仿宋_GBK"/>
          <w:bCs/>
          <w:color w:val="auto"/>
          <w:sz w:val="24"/>
          <w:szCs w:val="21"/>
          <w:highlight w:val="none"/>
        </w:rPr>
      </w:pPr>
    </w:p>
    <w:p w14:paraId="64B8A4CC">
      <w:pPr>
        <w:spacing w:line="360" w:lineRule="auto"/>
        <w:ind w:firstLine="480" w:firstLineChars="200"/>
        <w:jc w:val="center"/>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 xml:space="preserve">                                             承诺人名称（公章）：</w:t>
      </w:r>
    </w:p>
    <w:p w14:paraId="5507889E">
      <w:pPr>
        <w:spacing w:line="360" w:lineRule="auto"/>
        <w:ind w:firstLine="480" w:firstLineChars="200"/>
        <w:jc w:val="right"/>
        <w:rPr>
          <w:rFonts w:hint="eastAsia" w:ascii="方正仿宋_GBK" w:hAnsi="方正仿宋_GBK" w:eastAsia="方正仿宋_GBK" w:cs="方正仿宋_GBK"/>
          <w:bCs/>
          <w:color w:val="auto"/>
          <w:sz w:val="24"/>
          <w:szCs w:val="21"/>
          <w:highlight w:val="none"/>
        </w:rPr>
      </w:pPr>
    </w:p>
    <w:p w14:paraId="70B84749">
      <w:pPr>
        <w:spacing w:line="360" w:lineRule="auto"/>
        <w:ind w:firstLine="480" w:firstLineChars="200"/>
        <w:jc w:val="right"/>
        <w:rPr>
          <w:rFonts w:hint="eastAsia" w:ascii="方正仿宋_GBK" w:hAnsi="方正仿宋_GBK" w:eastAsia="方正仿宋_GBK" w:cs="方正仿宋_GBK"/>
          <w:bCs/>
          <w:color w:val="auto"/>
          <w:sz w:val="24"/>
          <w:szCs w:val="21"/>
          <w:highlight w:val="none"/>
        </w:rPr>
      </w:pPr>
    </w:p>
    <w:p w14:paraId="18EA841A">
      <w:pPr>
        <w:spacing w:line="360" w:lineRule="auto"/>
        <w:ind w:firstLine="480" w:firstLineChars="200"/>
        <w:jc w:val="right"/>
        <w:rPr>
          <w:rFonts w:hint="eastAsia" w:ascii="方正仿宋_GBK" w:hAnsi="方正仿宋_GBK" w:eastAsia="方正仿宋_GBK" w:cs="方正仿宋_GBK"/>
          <w:bCs/>
          <w:color w:val="auto"/>
          <w:sz w:val="24"/>
          <w:szCs w:val="21"/>
          <w:highlight w:val="none"/>
        </w:rPr>
      </w:pPr>
    </w:p>
    <w:p w14:paraId="354FD8DD">
      <w:pPr>
        <w:spacing w:line="360" w:lineRule="auto"/>
        <w:ind w:firstLine="480" w:firstLineChars="200"/>
        <w:jc w:val="right"/>
        <w:rPr>
          <w:rFonts w:hint="eastAsia" w:ascii="方正仿宋_GBK" w:hAnsi="方正仿宋_GBK" w:eastAsia="方正仿宋_GBK" w:cs="方正仿宋_GBK"/>
          <w:bCs/>
          <w:color w:val="auto"/>
          <w:sz w:val="24"/>
          <w:szCs w:val="21"/>
          <w:highlight w:val="none"/>
        </w:rPr>
      </w:pPr>
      <w:r>
        <w:rPr>
          <w:rFonts w:hint="eastAsia" w:ascii="方正仿宋_GBK" w:hAnsi="方正仿宋_GBK" w:eastAsia="方正仿宋_GBK" w:cs="方正仿宋_GBK"/>
          <w:bCs/>
          <w:color w:val="auto"/>
          <w:sz w:val="24"/>
          <w:szCs w:val="21"/>
          <w:highlight w:val="none"/>
        </w:rPr>
        <w:t xml:space="preserve">                                 日期：</w:t>
      </w:r>
      <w:r>
        <w:rPr>
          <w:rFonts w:hint="eastAsia" w:ascii="方正仿宋_GBK" w:hAnsi="方正仿宋_GBK" w:eastAsia="方正仿宋_GBK" w:cs="方正仿宋_GBK"/>
          <w:bCs/>
          <w:color w:val="auto"/>
          <w:sz w:val="24"/>
          <w:szCs w:val="21"/>
          <w:highlight w:val="none"/>
          <w:u w:val="single"/>
        </w:rPr>
        <w:t>______</w:t>
      </w:r>
      <w:r>
        <w:rPr>
          <w:rFonts w:hint="eastAsia" w:ascii="方正仿宋_GBK" w:hAnsi="方正仿宋_GBK" w:eastAsia="方正仿宋_GBK" w:cs="方正仿宋_GBK"/>
          <w:bCs/>
          <w:color w:val="auto"/>
          <w:sz w:val="24"/>
          <w:szCs w:val="21"/>
          <w:highlight w:val="none"/>
        </w:rPr>
        <w:t>年月日</w:t>
      </w:r>
    </w:p>
    <w:p w14:paraId="47BA6472">
      <w:pPr>
        <w:snapToGrid w:val="0"/>
        <w:spacing w:line="360" w:lineRule="auto"/>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附件2</w:t>
      </w:r>
    </w:p>
    <w:p w14:paraId="09033455">
      <w:pPr>
        <w:spacing w:line="360" w:lineRule="auto"/>
        <w:jc w:val="center"/>
        <w:rPr>
          <w:rFonts w:ascii="宋体" w:hAnsi="宋体" w:cs="宋体"/>
          <w:b/>
          <w:bCs/>
          <w:color w:val="auto"/>
          <w:sz w:val="32"/>
          <w:szCs w:val="32"/>
          <w:highlight w:val="none"/>
        </w:rPr>
      </w:pPr>
    </w:p>
    <w:p w14:paraId="1D5F7873">
      <w:pPr>
        <w:spacing w:line="360" w:lineRule="auto"/>
        <w:jc w:val="center"/>
        <w:rPr>
          <w:rFonts w:hint="eastAsia" w:ascii="黑体" w:hAnsi="黑体" w:eastAsia="黑体" w:cs="黑体"/>
          <w:b/>
          <w:bCs/>
          <w:color w:val="auto"/>
          <w:sz w:val="32"/>
          <w:szCs w:val="32"/>
          <w:highlight w:val="none"/>
        </w:rPr>
      </w:pPr>
    </w:p>
    <w:p w14:paraId="1B0BC772">
      <w:pPr>
        <w:spacing w:line="360" w:lineRule="auto"/>
        <w:jc w:val="center"/>
        <w:rPr>
          <w:rFonts w:hint="eastAsia" w:ascii="黑体" w:hAnsi="黑体" w:eastAsia="黑体" w:cs="黑体"/>
          <w:b/>
          <w:bCs/>
          <w:color w:val="auto"/>
          <w:sz w:val="32"/>
          <w:szCs w:val="32"/>
          <w:highlight w:val="none"/>
        </w:rPr>
      </w:pPr>
    </w:p>
    <w:p w14:paraId="59B89553">
      <w:pPr>
        <w:spacing w:line="360" w:lineRule="auto"/>
        <w:jc w:val="center"/>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法定代表人身份证明</w:t>
      </w:r>
    </w:p>
    <w:p w14:paraId="65772A69">
      <w:pPr>
        <w:spacing w:line="360" w:lineRule="auto"/>
        <w:rPr>
          <w:rFonts w:hint="eastAsia" w:ascii="方正仿宋_GBK" w:hAnsi="方正仿宋_GBK" w:eastAsia="方正仿宋_GBK" w:cs="方正仿宋_GBK"/>
          <w:color w:val="auto"/>
          <w:sz w:val="24"/>
          <w:highlight w:val="none"/>
        </w:rPr>
      </w:pPr>
    </w:p>
    <w:p w14:paraId="3D7577AA">
      <w:pPr>
        <w:spacing w:line="360" w:lineRule="auto"/>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先生/女士： 现任我单位职务，为法定代表人，特此证明。</w:t>
      </w:r>
    </w:p>
    <w:p w14:paraId="602BAAC5">
      <w:pPr>
        <w:spacing w:line="360" w:lineRule="auto"/>
        <w:ind w:firstLine="480"/>
        <w:rPr>
          <w:rFonts w:hint="eastAsia" w:ascii="方正仿宋_GBK" w:hAnsi="方正仿宋_GBK" w:eastAsia="方正仿宋_GBK" w:cs="方正仿宋_GBK"/>
          <w:color w:val="auto"/>
          <w:sz w:val="24"/>
          <w:highlight w:val="none"/>
          <w:u w:val="single"/>
        </w:rPr>
      </w:pPr>
      <w:r>
        <w:rPr>
          <w:rFonts w:hint="eastAsia" w:ascii="方正仿宋_GBK" w:hAnsi="方正仿宋_GBK" w:eastAsia="方正仿宋_GBK" w:cs="方正仿宋_GBK"/>
          <w:color w:val="auto"/>
          <w:sz w:val="24"/>
          <w:highlight w:val="none"/>
        </w:rPr>
        <w:t>身份证号码：</w:t>
      </w:r>
    </w:p>
    <w:p w14:paraId="35A9BAAE">
      <w:pPr>
        <w:spacing w:line="360" w:lineRule="auto"/>
        <w:ind w:firstLine="480"/>
        <w:rPr>
          <w:rFonts w:hint="eastAsia" w:ascii="方正仿宋_GBK" w:hAnsi="方正仿宋_GBK" w:eastAsia="方正仿宋_GBK" w:cs="方正仿宋_GBK"/>
          <w:color w:val="auto"/>
          <w:sz w:val="24"/>
          <w:highlight w:val="none"/>
        </w:rPr>
      </w:pPr>
    </w:p>
    <w:p w14:paraId="3D38D137">
      <w:pPr>
        <w:spacing w:line="360" w:lineRule="auto"/>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注：提供法定代表人的身份证复印件</w:t>
      </w:r>
    </w:p>
    <w:p w14:paraId="60927F96">
      <w:pPr>
        <w:spacing w:line="360" w:lineRule="auto"/>
        <w:ind w:firstLine="480" w:firstLineChars="200"/>
        <w:rPr>
          <w:rFonts w:ascii="宋体" w:hAnsi="宋体" w:cs="宋体"/>
          <w:color w:val="auto"/>
          <w:sz w:val="24"/>
          <w:highlight w:val="none"/>
        </w:rPr>
      </w:pPr>
    </w:p>
    <w:p w14:paraId="1FB7C5FB">
      <w:pPr>
        <w:spacing w:line="360" w:lineRule="auto"/>
        <w:rPr>
          <w:rFonts w:ascii="宋体" w:hAnsi="宋体" w:cs="宋体"/>
          <w:color w:val="auto"/>
          <w:highlight w:val="none"/>
        </w:rPr>
      </w:pPr>
    </w:p>
    <w:p w14:paraId="4FD6C4C5">
      <w:pPr>
        <w:snapToGrid w:val="0"/>
        <w:spacing w:line="360" w:lineRule="auto"/>
        <w:ind w:firstLine="540" w:firstLineChars="192"/>
        <w:contextualSpacing/>
        <w:rPr>
          <w:rFonts w:ascii="宋体" w:hAnsi="宋体" w:cs="宋体"/>
          <w:b/>
          <w:color w:val="auto"/>
          <w:kern w:val="0"/>
          <w:sz w:val="28"/>
          <w:szCs w:val="28"/>
          <w:highlight w:val="none"/>
        </w:rPr>
      </w:pPr>
    </w:p>
    <w:p w14:paraId="4A11D0B8">
      <w:pPr>
        <w:snapToGrid w:val="0"/>
        <w:spacing w:line="360" w:lineRule="auto"/>
        <w:ind w:firstLine="540" w:firstLineChars="192"/>
        <w:contextualSpacing/>
        <w:rPr>
          <w:rFonts w:ascii="宋体" w:hAnsi="宋体" w:cs="宋体"/>
          <w:b/>
          <w:color w:val="auto"/>
          <w:kern w:val="0"/>
          <w:sz w:val="28"/>
          <w:szCs w:val="28"/>
          <w:highlight w:val="none"/>
          <w:lang w:val="zh-CN"/>
        </w:rPr>
      </w:pPr>
    </w:p>
    <w:p w14:paraId="26A83D6F">
      <w:pPr>
        <w:snapToGrid w:val="0"/>
        <w:spacing w:line="360" w:lineRule="auto"/>
        <w:ind w:firstLine="540" w:firstLineChars="192"/>
        <w:contextualSpacing/>
        <w:rPr>
          <w:rFonts w:ascii="宋体" w:hAnsi="宋体" w:cs="宋体"/>
          <w:b/>
          <w:color w:val="auto"/>
          <w:kern w:val="0"/>
          <w:sz w:val="28"/>
          <w:szCs w:val="28"/>
          <w:highlight w:val="none"/>
          <w:lang w:val="zh-CN"/>
        </w:rPr>
      </w:pPr>
    </w:p>
    <w:p w14:paraId="7CF734F1">
      <w:pPr>
        <w:snapToGrid w:val="0"/>
        <w:spacing w:line="360" w:lineRule="auto"/>
        <w:ind w:firstLine="540" w:firstLineChars="192"/>
        <w:contextualSpacing/>
        <w:rPr>
          <w:rFonts w:ascii="宋体" w:hAnsi="宋体" w:cs="宋体"/>
          <w:b/>
          <w:color w:val="auto"/>
          <w:kern w:val="0"/>
          <w:sz w:val="28"/>
          <w:szCs w:val="28"/>
          <w:highlight w:val="none"/>
          <w:lang w:val="zh-CN"/>
        </w:rPr>
      </w:pPr>
    </w:p>
    <w:p w14:paraId="1203632B">
      <w:pPr>
        <w:snapToGrid w:val="0"/>
        <w:spacing w:line="360" w:lineRule="auto"/>
        <w:ind w:firstLine="540" w:firstLineChars="192"/>
        <w:contextualSpacing/>
        <w:rPr>
          <w:rFonts w:ascii="宋体" w:hAnsi="宋体" w:cs="宋体"/>
          <w:b/>
          <w:color w:val="auto"/>
          <w:kern w:val="0"/>
          <w:sz w:val="28"/>
          <w:szCs w:val="28"/>
          <w:highlight w:val="none"/>
          <w:lang w:val="zh-CN"/>
        </w:rPr>
      </w:pPr>
    </w:p>
    <w:p w14:paraId="7142A8ED">
      <w:pPr>
        <w:snapToGrid w:val="0"/>
        <w:spacing w:line="360" w:lineRule="auto"/>
        <w:ind w:firstLine="540" w:firstLineChars="192"/>
        <w:contextualSpacing/>
        <w:rPr>
          <w:rFonts w:ascii="宋体" w:hAnsi="宋体" w:cs="宋体"/>
          <w:b/>
          <w:color w:val="auto"/>
          <w:kern w:val="0"/>
          <w:sz w:val="28"/>
          <w:szCs w:val="28"/>
          <w:highlight w:val="none"/>
          <w:lang w:val="zh-CN"/>
        </w:rPr>
      </w:pPr>
    </w:p>
    <w:p w14:paraId="2230358F">
      <w:pPr>
        <w:snapToGrid w:val="0"/>
        <w:spacing w:line="360" w:lineRule="auto"/>
        <w:ind w:firstLine="540" w:firstLineChars="192"/>
        <w:contextualSpacing/>
        <w:rPr>
          <w:rFonts w:ascii="宋体" w:hAnsi="宋体" w:cs="宋体"/>
          <w:b/>
          <w:color w:val="auto"/>
          <w:kern w:val="0"/>
          <w:sz w:val="28"/>
          <w:szCs w:val="28"/>
          <w:highlight w:val="none"/>
          <w:lang w:val="zh-CN"/>
        </w:rPr>
      </w:pPr>
    </w:p>
    <w:p w14:paraId="15882856">
      <w:pPr>
        <w:snapToGrid w:val="0"/>
        <w:spacing w:line="360" w:lineRule="auto"/>
        <w:ind w:firstLine="540" w:firstLineChars="192"/>
        <w:contextualSpacing/>
        <w:rPr>
          <w:rFonts w:ascii="宋体" w:hAnsi="宋体" w:cs="宋体"/>
          <w:b/>
          <w:color w:val="auto"/>
          <w:kern w:val="0"/>
          <w:sz w:val="28"/>
          <w:szCs w:val="28"/>
          <w:highlight w:val="none"/>
          <w:lang w:val="zh-CN"/>
        </w:rPr>
      </w:pPr>
    </w:p>
    <w:p w14:paraId="6C20D640">
      <w:pPr>
        <w:snapToGrid w:val="0"/>
        <w:spacing w:line="360" w:lineRule="auto"/>
        <w:ind w:firstLine="540" w:firstLineChars="192"/>
        <w:contextualSpacing/>
        <w:rPr>
          <w:rFonts w:ascii="宋体" w:hAnsi="宋体" w:cs="宋体"/>
          <w:b/>
          <w:color w:val="auto"/>
          <w:kern w:val="0"/>
          <w:sz w:val="28"/>
          <w:szCs w:val="28"/>
          <w:highlight w:val="none"/>
          <w:lang w:val="zh-CN"/>
        </w:rPr>
      </w:pPr>
    </w:p>
    <w:p w14:paraId="3D5D28FE">
      <w:pPr>
        <w:snapToGrid w:val="0"/>
        <w:spacing w:line="360" w:lineRule="auto"/>
        <w:ind w:firstLine="540" w:firstLineChars="192"/>
        <w:contextualSpacing/>
        <w:rPr>
          <w:rFonts w:ascii="宋体" w:hAnsi="宋体" w:cs="宋体"/>
          <w:b/>
          <w:color w:val="auto"/>
          <w:kern w:val="0"/>
          <w:sz w:val="28"/>
          <w:szCs w:val="28"/>
          <w:highlight w:val="none"/>
          <w:lang w:val="zh-CN"/>
        </w:rPr>
      </w:pPr>
    </w:p>
    <w:p w14:paraId="3DA3B91D">
      <w:pPr>
        <w:snapToGrid w:val="0"/>
        <w:spacing w:line="360" w:lineRule="auto"/>
        <w:contextualSpacing/>
        <w:rPr>
          <w:rFonts w:ascii="宋体" w:hAnsi="宋体" w:cs="宋体"/>
          <w:color w:val="auto"/>
          <w:kern w:val="0"/>
          <w:sz w:val="32"/>
          <w:szCs w:val="32"/>
          <w:highlight w:val="none"/>
          <w:lang w:val="zh-CN"/>
        </w:rPr>
      </w:pPr>
      <w:r>
        <w:rPr>
          <w:rFonts w:hint="eastAsia" w:ascii="宋体" w:hAnsi="宋体" w:cs="宋体"/>
          <w:color w:val="auto"/>
          <w:kern w:val="0"/>
          <w:sz w:val="32"/>
          <w:szCs w:val="32"/>
          <w:highlight w:val="none"/>
          <w:lang w:val="zh-CN"/>
        </w:rPr>
        <w:br w:type="page"/>
      </w:r>
      <w:r>
        <w:rPr>
          <w:rFonts w:hint="eastAsia" w:ascii="宋体" w:hAnsi="宋体" w:cs="宋体"/>
          <w:color w:val="auto"/>
          <w:kern w:val="0"/>
          <w:sz w:val="32"/>
          <w:szCs w:val="32"/>
          <w:highlight w:val="none"/>
          <w:lang w:val="zh-CN"/>
        </w:rPr>
        <w:t>附件3</w:t>
      </w:r>
    </w:p>
    <w:p w14:paraId="78F89FB5">
      <w:pPr>
        <w:spacing w:line="360" w:lineRule="auto"/>
        <w:jc w:val="center"/>
        <w:rPr>
          <w:rFonts w:hint="eastAsia" w:ascii="黑体" w:hAnsi="黑体" w:eastAsia="黑体" w:cs="黑体"/>
          <w:color w:val="auto"/>
          <w:sz w:val="44"/>
          <w:szCs w:val="44"/>
          <w:highlight w:val="none"/>
        </w:rPr>
      </w:pPr>
    </w:p>
    <w:p w14:paraId="787CC4D1">
      <w:pPr>
        <w:spacing w:line="360" w:lineRule="auto"/>
        <w:ind w:firstLine="800" w:firstLineChars="200"/>
        <w:jc w:val="center"/>
        <w:rPr>
          <w:rFonts w:hint="eastAsia" w:ascii="黑体" w:hAnsi="黑体" w:eastAsia="黑体" w:cs="黑体"/>
          <w:color w:val="auto"/>
          <w:sz w:val="40"/>
          <w:szCs w:val="40"/>
          <w:highlight w:val="none"/>
        </w:rPr>
      </w:pPr>
      <w:r>
        <w:rPr>
          <w:rFonts w:hint="eastAsia" w:ascii="黑体" w:hAnsi="黑体" w:eastAsia="黑体" w:cs="黑体"/>
          <w:color w:val="auto"/>
          <w:sz w:val="40"/>
          <w:szCs w:val="40"/>
          <w:highlight w:val="none"/>
        </w:rPr>
        <w:t>法定代表人授权委托书</w:t>
      </w:r>
    </w:p>
    <w:p w14:paraId="17203DB5">
      <w:pPr>
        <w:spacing w:line="360" w:lineRule="auto"/>
        <w:ind w:firstLine="560" w:firstLineChars="200"/>
        <w:rPr>
          <w:rFonts w:hint="eastAsia" w:ascii="方正仿宋_GBK" w:hAnsi="方正仿宋_GBK" w:eastAsia="方正仿宋_GBK" w:cs="方正仿宋_GBK"/>
          <w:color w:val="auto"/>
          <w:sz w:val="28"/>
          <w:szCs w:val="28"/>
          <w:highlight w:val="none"/>
        </w:rPr>
      </w:pPr>
    </w:p>
    <w:p w14:paraId="6663D036">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人------（姓名）系————（授权单位名称）的法定代表人，现委托-------（姓名）（身份证号——————）为我方代理人，以我方名义全权处理与本次招标项目（编号：----------）有关的一切事务，其法律后果由我方承担。</w:t>
      </w:r>
    </w:p>
    <w:p w14:paraId="313C3D34">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本授权书于---年---月---日起生效。代理人无转委托权。</w:t>
      </w:r>
    </w:p>
    <w:p w14:paraId="602C564B">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代理人（被授权人）:------</w:t>
      </w:r>
    </w:p>
    <w:p w14:paraId="16914D6D">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授权单位名称（盖章）：-----</w:t>
      </w:r>
    </w:p>
    <w:p w14:paraId="54C094BE">
      <w:pPr>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授权单位法定代表人（签字或盖章）：-----</w:t>
      </w:r>
    </w:p>
    <w:p w14:paraId="45706EB4">
      <w:pPr>
        <w:spacing w:line="360" w:lineRule="auto"/>
        <w:ind w:firstLine="560" w:firstLineChars="200"/>
        <w:jc w:val="right"/>
        <w:rPr>
          <w:rFonts w:hint="eastAsia" w:ascii="方正仿宋_GBK" w:hAnsi="方正仿宋_GBK" w:eastAsia="方正仿宋_GBK" w:cs="方正仿宋_GBK"/>
          <w:color w:val="auto"/>
          <w:sz w:val="28"/>
          <w:szCs w:val="28"/>
          <w:highlight w:val="none"/>
        </w:rPr>
      </w:pPr>
    </w:p>
    <w:p w14:paraId="0E6C264F">
      <w:pPr>
        <w:spacing w:line="360" w:lineRule="auto"/>
        <w:ind w:firstLine="560" w:firstLineChars="200"/>
        <w:jc w:val="righ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XXXX年XX月XX日</w:t>
      </w:r>
    </w:p>
    <w:p w14:paraId="091D768A">
      <w:pPr>
        <w:snapToGrid w:val="0"/>
        <w:spacing w:line="360" w:lineRule="auto"/>
        <w:ind w:firstLine="560" w:firstLineChars="200"/>
        <w:contextualSpacing/>
        <w:rPr>
          <w:rFonts w:hint="eastAsia" w:ascii="方正仿宋_GBK" w:hAnsi="方正仿宋_GBK" w:eastAsia="方正仿宋_GBK" w:cs="方正仿宋_GBK"/>
          <w:b/>
          <w:color w:val="auto"/>
          <w:kern w:val="0"/>
          <w:sz w:val="28"/>
          <w:szCs w:val="28"/>
          <w:highlight w:val="none"/>
        </w:rPr>
      </w:pPr>
    </w:p>
    <w:p w14:paraId="6124C4A2">
      <w:pPr>
        <w:snapToGrid w:val="0"/>
        <w:spacing w:line="360" w:lineRule="auto"/>
        <w:ind w:firstLine="560" w:firstLineChars="200"/>
        <w:contextualSpacing/>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rPr>
        <w:t>注：提供投标代表本人身份证复印件</w:t>
      </w:r>
    </w:p>
    <w:p w14:paraId="2D18EDB3">
      <w:pPr>
        <w:snapToGrid w:val="0"/>
        <w:spacing w:line="360" w:lineRule="auto"/>
        <w:ind w:firstLine="562" w:firstLineChars="200"/>
        <w:contextualSpacing/>
        <w:rPr>
          <w:rFonts w:ascii="宋体" w:hAnsi="宋体" w:cs="宋体"/>
          <w:b/>
          <w:color w:val="auto"/>
          <w:kern w:val="0"/>
          <w:sz w:val="28"/>
          <w:szCs w:val="28"/>
          <w:highlight w:val="none"/>
        </w:rPr>
      </w:pPr>
    </w:p>
    <w:p w14:paraId="325482F8">
      <w:pPr>
        <w:snapToGrid w:val="0"/>
        <w:spacing w:line="360" w:lineRule="auto"/>
        <w:ind w:firstLine="540" w:firstLineChars="192"/>
        <w:contextualSpacing/>
        <w:rPr>
          <w:rFonts w:ascii="宋体" w:hAnsi="宋体" w:cs="宋体"/>
          <w:b/>
          <w:color w:val="auto"/>
          <w:kern w:val="0"/>
          <w:sz w:val="28"/>
          <w:szCs w:val="28"/>
          <w:highlight w:val="none"/>
        </w:rPr>
      </w:pPr>
    </w:p>
    <w:p w14:paraId="78A48779">
      <w:pPr>
        <w:snapToGrid w:val="0"/>
        <w:spacing w:line="360" w:lineRule="auto"/>
        <w:ind w:firstLine="540" w:firstLineChars="192"/>
        <w:contextualSpacing/>
        <w:rPr>
          <w:rFonts w:ascii="宋体" w:hAnsi="宋体" w:cs="宋体"/>
          <w:b/>
          <w:color w:val="auto"/>
          <w:kern w:val="0"/>
          <w:sz w:val="28"/>
          <w:szCs w:val="28"/>
          <w:highlight w:val="none"/>
        </w:rPr>
      </w:pPr>
    </w:p>
    <w:p w14:paraId="2CFC3779">
      <w:pPr>
        <w:snapToGrid w:val="0"/>
        <w:spacing w:line="360" w:lineRule="auto"/>
        <w:ind w:firstLine="540" w:firstLineChars="192"/>
        <w:contextualSpacing/>
        <w:rPr>
          <w:rFonts w:ascii="宋体" w:hAnsi="宋体" w:cs="宋体"/>
          <w:b/>
          <w:color w:val="auto"/>
          <w:kern w:val="0"/>
          <w:sz w:val="28"/>
          <w:szCs w:val="28"/>
          <w:highlight w:val="none"/>
        </w:rPr>
      </w:pPr>
    </w:p>
    <w:p w14:paraId="4F6550BA">
      <w:pPr>
        <w:pStyle w:val="34"/>
        <w:ind w:firstLine="562"/>
        <w:rPr>
          <w:rFonts w:ascii="宋体" w:hAnsi="宋体" w:eastAsia="宋体" w:cs="宋体"/>
          <w:b/>
          <w:color w:val="auto"/>
          <w:szCs w:val="28"/>
          <w:highlight w:val="none"/>
        </w:rPr>
      </w:pPr>
    </w:p>
    <w:p w14:paraId="3AF022DC">
      <w:pPr>
        <w:pStyle w:val="34"/>
        <w:ind w:firstLine="562"/>
        <w:rPr>
          <w:rFonts w:ascii="宋体" w:hAnsi="宋体" w:eastAsia="宋体" w:cs="宋体"/>
          <w:b/>
          <w:color w:val="auto"/>
          <w:szCs w:val="28"/>
          <w:highlight w:val="none"/>
        </w:rPr>
      </w:pPr>
    </w:p>
    <w:p w14:paraId="1EC78B14">
      <w:pPr>
        <w:snapToGrid w:val="0"/>
        <w:spacing w:line="360" w:lineRule="auto"/>
        <w:ind w:firstLine="540" w:firstLineChars="192"/>
        <w:contextualSpacing/>
        <w:rPr>
          <w:rFonts w:ascii="宋体" w:hAnsi="宋体" w:cs="宋体"/>
          <w:b/>
          <w:color w:val="auto"/>
          <w:kern w:val="0"/>
          <w:sz w:val="28"/>
          <w:szCs w:val="28"/>
          <w:highlight w:val="none"/>
        </w:rPr>
      </w:pPr>
    </w:p>
    <w:p w14:paraId="1E4168A0">
      <w:pPr>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page"/>
      </w:r>
    </w:p>
    <w:p w14:paraId="30B119EE">
      <w:pPr>
        <w:snapToGrid w:val="0"/>
        <w:spacing w:line="300" w:lineRule="auto"/>
        <w:contextualSpacing/>
        <w:jc w:val="left"/>
        <w:rPr>
          <w:rFonts w:ascii="宋体" w:hAnsi="宋体" w:cs="宋体"/>
          <w:b/>
          <w:color w:val="auto"/>
          <w:sz w:val="32"/>
          <w:szCs w:val="32"/>
          <w:highlight w:val="none"/>
        </w:rPr>
      </w:pPr>
      <w:r>
        <w:rPr>
          <w:rFonts w:hint="eastAsia" w:ascii="宋体" w:hAnsi="宋体" w:cs="宋体"/>
          <w:color w:val="auto"/>
          <w:sz w:val="32"/>
          <w:szCs w:val="32"/>
          <w:highlight w:val="none"/>
        </w:rPr>
        <w:t>附件4</w:t>
      </w:r>
    </w:p>
    <w:p w14:paraId="21879733">
      <w:pPr>
        <w:snapToGrid w:val="0"/>
        <w:spacing w:line="300" w:lineRule="auto"/>
        <w:contextualSpacing/>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商务部分正负偏离表</w:t>
      </w:r>
    </w:p>
    <w:p w14:paraId="16B98248">
      <w:pPr>
        <w:ind w:firstLine="560" w:firstLineChars="20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（由供应商据实填写，表格不够自行添加）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3B5DB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4EC569C0">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C674BD9">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E11FAE4">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1B63E94">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F742A84">
            <w:pPr>
              <w:spacing w:line="340" w:lineRule="exact"/>
              <w:jc w:val="center"/>
              <w:rPr>
                <w:rFonts w:hint="eastAsia" w:ascii="方正仿宋_GBK" w:hAnsi="方正仿宋_GBK" w:eastAsia="方正仿宋_GBK" w:cs="方正仿宋_GBK"/>
                <w:color w:val="auto"/>
                <w:sz w:val="24"/>
                <w:highlight w:val="none"/>
              </w:rPr>
            </w:pPr>
          </w:p>
          <w:p w14:paraId="6BD1E805">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偏离说明</w:t>
            </w:r>
          </w:p>
        </w:tc>
      </w:tr>
      <w:tr w14:paraId="300F7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503F1C8">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5838F8AA">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08F8B7A">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5797D4F">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7537C11">
            <w:pPr>
              <w:spacing w:line="340" w:lineRule="exact"/>
              <w:jc w:val="left"/>
              <w:rPr>
                <w:rFonts w:hint="eastAsia" w:ascii="方正仿宋_GBK" w:hAnsi="方正仿宋_GBK" w:eastAsia="方正仿宋_GBK" w:cs="方正仿宋_GBK"/>
                <w:color w:val="auto"/>
                <w:sz w:val="24"/>
                <w:highlight w:val="none"/>
              </w:rPr>
            </w:pPr>
          </w:p>
        </w:tc>
      </w:tr>
      <w:tr w14:paraId="24505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CF5F29">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7E340645">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BBD2D7">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F2AC8BE">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B28985E">
            <w:pPr>
              <w:spacing w:line="340" w:lineRule="exact"/>
              <w:jc w:val="left"/>
              <w:rPr>
                <w:rFonts w:hint="eastAsia" w:ascii="方正仿宋_GBK" w:hAnsi="方正仿宋_GBK" w:eastAsia="方正仿宋_GBK" w:cs="方正仿宋_GBK"/>
                <w:color w:val="auto"/>
                <w:sz w:val="24"/>
                <w:highlight w:val="none"/>
              </w:rPr>
            </w:pPr>
          </w:p>
        </w:tc>
      </w:tr>
      <w:tr w14:paraId="0084F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12E33A8C">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C2144EC">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895A68E">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B249B09">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413A3CA">
            <w:pPr>
              <w:spacing w:line="340" w:lineRule="exact"/>
              <w:jc w:val="left"/>
              <w:rPr>
                <w:rFonts w:hint="eastAsia" w:ascii="方正仿宋_GBK" w:hAnsi="方正仿宋_GBK" w:eastAsia="方正仿宋_GBK" w:cs="方正仿宋_GBK"/>
                <w:color w:val="auto"/>
                <w:sz w:val="24"/>
                <w:highlight w:val="none"/>
              </w:rPr>
            </w:pPr>
          </w:p>
        </w:tc>
      </w:tr>
      <w:tr w14:paraId="0B880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39AE999">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74345277">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637EE6F">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00E8F4C">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E67C24A">
            <w:pPr>
              <w:spacing w:line="340" w:lineRule="exact"/>
              <w:jc w:val="left"/>
              <w:rPr>
                <w:rFonts w:hint="eastAsia" w:ascii="方正仿宋_GBK" w:hAnsi="方正仿宋_GBK" w:eastAsia="方正仿宋_GBK" w:cs="方正仿宋_GBK"/>
                <w:color w:val="auto"/>
                <w:sz w:val="24"/>
                <w:highlight w:val="none"/>
              </w:rPr>
            </w:pPr>
          </w:p>
        </w:tc>
      </w:tr>
    </w:tbl>
    <w:p w14:paraId="7E7FEF2B">
      <w:pPr>
        <w:snapToGrid w:val="0"/>
        <w:spacing w:line="300" w:lineRule="auto"/>
        <w:contextualSpacing/>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注：</w:t>
      </w:r>
    </w:p>
    <w:p w14:paraId="22D8640A">
      <w:pPr>
        <w:snapToGrid w:val="0"/>
        <w:spacing w:line="300" w:lineRule="auto"/>
        <w:ind w:firstLine="480" w:firstLineChars="200"/>
        <w:contextualSpacing/>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1.供应商提交的响应文件中与招标文件第三部分“项目需求”中的商务部分的要求，应逐条填列在偏离表中，</w:t>
      </w:r>
      <w:r>
        <w:rPr>
          <w:rFonts w:hint="eastAsia" w:ascii="方正仿宋_GBK" w:hAnsi="方正仿宋_GBK" w:eastAsia="方正仿宋_GBK" w:cs="方正仿宋_GBK"/>
          <w:b/>
          <w:bCs/>
          <w:color w:val="auto"/>
          <w:sz w:val="24"/>
          <w:highlight w:val="none"/>
        </w:rPr>
        <w:t>完全响应可以提供空白表格加盖投标人公章</w:t>
      </w:r>
      <w:r>
        <w:rPr>
          <w:rFonts w:hint="eastAsia" w:ascii="方正仿宋_GBK" w:hAnsi="方正仿宋_GBK" w:eastAsia="方正仿宋_GBK" w:cs="方正仿宋_GBK"/>
          <w:color w:val="auto"/>
          <w:sz w:val="24"/>
          <w:highlight w:val="none"/>
        </w:rPr>
        <w:t>。</w:t>
      </w:r>
    </w:p>
    <w:p w14:paraId="357B94A4">
      <w:pPr>
        <w:snapToGrid w:val="0"/>
        <w:spacing w:line="300" w:lineRule="auto"/>
        <w:ind w:firstLine="480" w:firstLineChars="200"/>
        <w:contextualSpacing/>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color w:val="auto"/>
          <w:sz w:val="24"/>
          <w:highlight w:val="none"/>
        </w:rPr>
        <w:t>2.“偏离说明”一栏选择“正偏离”“负偏离”“无偏离”进行填写。正</w:t>
      </w:r>
      <w:r>
        <w:rPr>
          <w:rFonts w:hint="eastAsia" w:ascii="方正仿宋_GBK" w:hAnsi="方正仿宋_GBK" w:eastAsia="方正仿宋_GBK" w:cs="方正仿宋_GBK"/>
          <w:bCs/>
          <w:color w:val="auto"/>
          <w:sz w:val="24"/>
          <w:highlight w:val="none"/>
        </w:rPr>
        <w:t>偏离、负偏离、无偏离的确认，由评标小组认定。</w:t>
      </w:r>
    </w:p>
    <w:p w14:paraId="5E961D8A">
      <w:pPr>
        <w:snapToGrid w:val="0"/>
        <w:spacing w:line="300" w:lineRule="auto"/>
        <w:ind w:firstLine="480" w:firstLineChars="200"/>
        <w:contextualSpacing/>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3.供应商若提供其他增值服务，可以在表中自行据实填写。</w:t>
      </w:r>
    </w:p>
    <w:p w14:paraId="2CF81897">
      <w:pPr>
        <w:snapToGrid w:val="0"/>
        <w:spacing w:line="300" w:lineRule="auto"/>
        <w:ind w:firstLine="480" w:firstLineChars="200"/>
        <w:contextualSpacing/>
        <w:rPr>
          <w:rFonts w:ascii="宋体" w:hAnsi="宋体" w:cs="宋体"/>
          <w:bCs/>
          <w:color w:val="auto"/>
          <w:sz w:val="24"/>
          <w:highlight w:val="none"/>
        </w:rPr>
      </w:pPr>
    </w:p>
    <w:p w14:paraId="7C691550">
      <w:pPr>
        <w:snapToGrid w:val="0"/>
        <w:spacing w:line="400" w:lineRule="exact"/>
        <w:ind w:firstLine="540" w:firstLineChars="192"/>
        <w:contextualSpacing/>
        <w:rPr>
          <w:rFonts w:ascii="宋体" w:hAnsi="宋体" w:cs="宋体"/>
          <w:b/>
          <w:color w:val="auto"/>
          <w:kern w:val="0"/>
          <w:sz w:val="28"/>
          <w:szCs w:val="28"/>
          <w:highlight w:val="none"/>
        </w:rPr>
      </w:pPr>
    </w:p>
    <w:p w14:paraId="0D23C393">
      <w:pPr>
        <w:snapToGrid w:val="0"/>
        <w:spacing w:line="400" w:lineRule="exact"/>
        <w:ind w:firstLine="540" w:firstLineChars="192"/>
        <w:contextualSpacing/>
        <w:rPr>
          <w:rFonts w:ascii="宋体" w:hAnsi="宋体" w:cs="宋体"/>
          <w:b/>
          <w:color w:val="auto"/>
          <w:kern w:val="0"/>
          <w:sz w:val="28"/>
          <w:szCs w:val="28"/>
          <w:highlight w:val="none"/>
        </w:rPr>
      </w:pPr>
    </w:p>
    <w:p w14:paraId="3D4EDBC7">
      <w:pPr>
        <w:snapToGrid w:val="0"/>
        <w:spacing w:line="400" w:lineRule="exact"/>
        <w:ind w:firstLine="540" w:firstLineChars="192"/>
        <w:contextualSpacing/>
        <w:rPr>
          <w:rFonts w:ascii="宋体" w:hAnsi="宋体" w:cs="宋体"/>
          <w:b/>
          <w:color w:val="auto"/>
          <w:kern w:val="0"/>
          <w:sz w:val="28"/>
          <w:szCs w:val="28"/>
          <w:highlight w:val="none"/>
        </w:rPr>
      </w:pPr>
    </w:p>
    <w:p w14:paraId="7E74AC2A">
      <w:pPr>
        <w:snapToGrid w:val="0"/>
        <w:spacing w:line="400" w:lineRule="exact"/>
        <w:ind w:firstLine="540" w:firstLineChars="192"/>
        <w:contextualSpacing/>
        <w:rPr>
          <w:rFonts w:ascii="宋体" w:hAnsi="宋体" w:cs="宋体"/>
          <w:b/>
          <w:color w:val="auto"/>
          <w:kern w:val="0"/>
          <w:sz w:val="28"/>
          <w:szCs w:val="28"/>
          <w:highlight w:val="none"/>
        </w:rPr>
      </w:pPr>
    </w:p>
    <w:p w14:paraId="69D693D7">
      <w:pPr>
        <w:snapToGrid w:val="0"/>
        <w:spacing w:line="400" w:lineRule="exact"/>
        <w:ind w:firstLine="540" w:firstLineChars="192"/>
        <w:contextualSpacing/>
        <w:rPr>
          <w:rFonts w:ascii="宋体" w:hAnsi="宋体" w:cs="宋体"/>
          <w:b/>
          <w:color w:val="auto"/>
          <w:kern w:val="0"/>
          <w:sz w:val="28"/>
          <w:szCs w:val="28"/>
          <w:highlight w:val="none"/>
        </w:rPr>
      </w:pPr>
    </w:p>
    <w:p w14:paraId="68A6FD21">
      <w:pPr>
        <w:snapToGrid w:val="0"/>
        <w:spacing w:line="400" w:lineRule="exact"/>
        <w:ind w:firstLine="540" w:firstLineChars="192"/>
        <w:contextualSpacing/>
        <w:rPr>
          <w:rFonts w:ascii="宋体" w:hAnsi="宋体" w:cs="宋体"/>
          <w:b/>
          <w:color w:val="auto"/>
          <w:kern w:val="0"/>
          <w:sz w:val="28"/>
          <w:szCs w:val="28"/>
          <w:highlight w:val="none"/>
        </w:rPr>
      </w:pPr>
    </w:p>
    <w:p w14:paraId="1A07DF1F">
      <w:pPr>
        <w:snapToGrid w:val="0"/>
        <w:spacing w:line="400" w:lineRule="exact"/>
        <w:ind w:firstLine="540" w:firstLineChars="192"/>
        <w:contextualSpacing/>
        <w:rPr>
          <w:rFonts w:ascii="宋体" w:hAnsi="宋体" w:cs="宋体"/>
          <w:b/>
          <w:color w:val="auto"/>
          <w:kern w:val="0"/>
          <w:sz w:val="28"/>
          <w:szCs w:val="28"/>
          <w:highlight w:val="none"/>
        </w:rPr>
      </w:pPr>
    </w:p>
    <w:p w14:paraId="7ADA3247">
      <w:pPr>
        <w:snapToGrid w:val="0"/>
        <w:spacing w:line="400" w:lineRule="exact"/>
        <w:ind w:firstLine="540" w:firstLineChars="192"/>
        <w:contextualSpacing/>
        <w:rPr>
          <w:rFonts w:ascii="宋体" w:hAnsi="宋体" w:cs="宋体"/>
          <w:b/>
          <w:color w:val="auto"/>
          <w:kern w:val="0"/>
          <w:sz w:val="28"/>
          <w:szCs w:val="28"/>
          <w:highlight w:val="none"/>
        </w:rPr>
      </w:pPr>
    </w:p>
    <w:p w14:paraId="30974DF8">
      <w:pPr>
        <w:snapToGrid w:val="0"/>
        <w:spacing w:line="400" w:lineRule="exact"/>
        <w:ind w:firstLine="540" w:firstLineChars="192"/>
        <w:contextualSpacing/>
        <w:rPr>
          <w:rFonts w:ascii="宋体" w:hAnsi="宋体" w:cs="宋体"/>
          <w:b/>
          <w:color w:val="auto"/>
          <w:kern w:val="0"/>
          <w:sz w:val="28"/>
          <w:szCs w:val="28"/>
          <w:highlight w:val="none"/>
        </w:rPr>
      </w:pPr>
    </w:p>
    <w:p w14:paraId="66F5BAA9">
      <w:pPr>
        <w:snapToGrid w:val="0"/>
        <w:spacing w:line="400" w:lineRule="exact"/>
        <w:ind w:firstLine="540" w:firstLineChars="192"/>
        <w:contextualSpacing/>
        <w:rPr>
          <w:rFonts w:ascii="宋体" w:hAnsi="宋体" w:cs="宋体"/>
          <w:b/>
          <w:color w:val="auto"/>
          <w:kern w:val="0"/>
          <w:sz w:val="28"/>
          <w:szCs w:val="28"/>
          <w:highlight w:val="none"/>
        </w:rPr>
      </w:pPr>
    </w:p>
    <w:p w14:paraId="214D170F">
      <w:pPr>
        <w:snapToGrid w:val="0"/>
        <w:spacing w:line="400" w:lineRule="exact"/>
        <w:ind w:firstLine="540" w:firstLineChars="192"/>
        <w:contextualSpacing/>
        <w:rPr>
          <w:rFonts w:ascii="宋体" w:hAnsi="宋体" w:cs="宋体"/>
          <w:b/>
          <w:color w:val="auto"/>
          <w:kern w:val="0"/>
          <w:sz w:val="28"/>
          <w:szCs w:val="28"/>
          <w:highlight w:val="none"/>
        </w:rPr>
      </w:pPr>
    </w:p>
    <w:p w14:paraId="41AA2D05">
      <w:pPr>
        <w:snapToGrid w:val="0"/>
        <w:spacing w:line="400" w:lineRule="exact"/>
        <w:ind w:firstLine="540" w:firstLineChars="192"/>
        <w:contextualSpacing/>
        <w:rPr>
          <w:rFonts w:ascii="宋体" w:hAnsi="宋体" w:cs="宋体"/>
          <w:b/>
          <w:color w:val="auto"/>
          <w:kern w:val="0"/>
          <w:sz w:val="28"/>
          <w:szCs w:val="28"/>
          <w:highlight w:val="none"/>
        </w:rPr>
      </w:pPr>
    </w:p>
    <w:p w14:paraId="17FB58F8">
      <w:pPr>
        <w:snapToGrid w:val="0"/>
        <w:spacing w:line="400" w:lineRule="exact"/>
        <w:ind w:firstLine="540" w:firstLineChars="192"/>
        <w:contextualSpacing/>
        <w:rPr>
          <w:rFonts w:ascii="宋体" w:hAnsi="宋体" w:cs="宋体"/>
          <w:b/>
          <w:color w:val="auto"/>
          <w:kern w:val="0"/>
          <w:sz w:val="28"/>
          <w:szCs w:val="28"/>
          <w:highlight w:val="none"/>
        </w:rPr>
      </w:pPr>
    </w:p>
    <w:p w14:paraId="34CDF13E">
      <w:pPr>
        <w:snapToGrid w:val="0"/>
        <w:spacing w:line="400" w:lineRule="exact"/>
        <w:ind w:firstLine="540" w:firstLineChars="192"/>
        <w:contextualSpacing/>
        <w:rPr>
          <w:rFonts w:ascii="宋体" w:hAnsi="宋体" w:cs="宋体"/>
          <w:b/>
          <w:color w:val="auto"/>
          <w:kern w:val="0"/>
          <w:sz w:val="28"/>
          <w:szCs w:val="28"/>
          <w:highlight w:val="none"/>
        </w:rPr>
      </w:pPr>
    </w:p>
    <w:p w14:paraId="0126F055">
      <w:pPr>
        <w:snapToGrid w:val="0"/>
        <w:spacing w:line="400" w:lineRule="exact"/>
        <w:contextualSpacing/>
        <w:rPr>
          <w:rFonts w:ascii="宋体" w:hAnsi="宋体" w:cs="宋体"/>
          <w:color w:val="auto"/>
          <w:kern w:val="0"/>
          <w:sz w:val="28"/>
          <w:szCs w:val="28"/>
          <w:highlight w:val="none"/>
        </w:rPr>
      </w:pPr>
    </w:p>
    <w:p w14:paraId="26BB1BEC">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3CCB4C15">
      <w:pPr>
        <w:snapToGrid w:val="0"/>
        <w:spacing w:line="300" w:lineRule="auto"/>
        <w:contextualSpacing/>
        <w:rPr>
          <w:rFonts w:ascii="宋体" w:hAnsi="宋体" w:cs="宋体"/>
          <w:color w:val="auto"/>
          <w:sz w:val="32"/>
          <w:szCs w:val="32"/>
          <w:highlight w:val="none"/>
        </w:rPr>
      </w:pPr>
      <w:r>
        <w:rPr>
          <w:rFonts w:hint="eastAsia" w:ascii="宋体" w:hAnsi="宋体" w:cs="宋体"/>
          <w:color w:val="auto"/>
          <w:sz w:val="32"/>
          <w:szCs w:val="32"/>
          <w:highlight w:val="none"/>
        </w:rPr>
        <w:t>附件5</w:t>
      </w:r>
    </w:p>
    <w:p w14:paraId="593AAD7F">
      <w:pPr>
        <w:snapToGrid w:val="0"/>
        <w:spacing w:line="300" w:lineRule="auto"/>
        <w:contextualSpacing/>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技术部分正负偏离表</w:t>
      </w:r>
    </w:p>
    <w:p w14:paraId="3AD49C83">
      <w:pPr>
        <w:ind w:firstLine="560" w:firstLineChars="200"/>
        <w:jc w:val="center"/>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（由供应商据实填写，表格不够自行添加）</w:t>
      </w:r>
    </w:p>
    <w:tbl>
      <w:tblPr>
        <w:tblStyle w:val="3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7"/>
        <w:gridCol w:w="1866"/>
        <w:gridCol w:w="2408"/>
        <w:gridCol w:w="1327"/>
      </w:tblGrid>
      <w:tr w14:paraId="401D2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3D5524AE">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E421FF2">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3AADA96E">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68D052BB">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4753B38">
            <w:pPr>
              <w:spacing w:line="340" w:lineRule="exact"/>
              <w:jc w:val="center"/>
              <w:rPr>
                <w:rFonts w:hint="eastAsia" w:ascii="方正仿宋_GBK" w:hAnsi="方正仿宋_GBK" w:eastAsia="方正仿宋_GBK" w:cs="方正仿宋_GBK"/>
                <w:color w:val="auto"/>
                <w:sz w:val="24"/>
                <w:highlight w:val="none"/>
              </w:rPr>
            </w:pPr>
          </w:p>
          <w:p w14:paraId="570585F3">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偏离说明</w:t>
            </w:r>
          </w:p>
        </w:tc>
      </w:tr>
      <w:tr w14:paraId="5305E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D15FE28">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7D92BAE8">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3B6BBED">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6448D04">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64C34157">
            <w:pPr>
              <w:spacing w:line="340" w:lineRule="exact"/>
              <w:jc w:val="left"/>
              <w:rPr>
                <w:rFonts w:hint="eastAsia" w:ascii="方正仿宋_GBK" w:hAnsi="方正仿宋_GBK" w:eastAsia="方正仿宋_GBK" w:cs="方正仿宋_GBK"/>
                <w:color w:val="auto"/>
                <w:sz w:val="24"/>
                <w:highlight w:val="none"/>
              </w:rPr>
            </w:pPr>
          </w:p>
        </w:tc>
      </w:tr>
      <w:tr w14:paraId="7072A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A53F387">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033AD146">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032F670">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F733497">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5081C623">
            <w:pPr>
              <w:spacing w:line="340" w:lineRule="exact"/>
              <w:jc w:val="left"/>
              <w:rPr>
                <w:rFonts w:hint="eastAsia" w:ascii="方正仿宋_GBK" w:hAnsi="方正仿宋_GBK" w:eastAsia="方正仿宋_GBK" w:cs="方正仿宋_GBK"/>
                <w:color w:val="auto"/>
                <w:sz w:val="24"/>
                <w:highlight w:val="none"/>
              </w:rPr>
            </w:pPr>
          </w:p>
        </w:tc>
      </w:tr>
      <w:tr w14:paraId="7576A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DD43D72">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6394E4B4">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032D2D4">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3E6148D6">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EBF1ACF">
            <w:pPr>
              <w:spacing w:line="340" w:lineRule="exact"/>
              <w:jc w:val="left"/>
              <w:rPr>
                <w:rFonts w:hint="eastAsia" w:ascii="方正仿宋_GBK" w:hAnsi="方正仿宋_GBK" w:eastAsia="方正仿宋_GBK" w:cs="方正仿宋_GBK"/>
                <w:color w:val="auto"/>
                <w:sz w:val="24"/>
                <w:highlight w:val="none"/>
              </w:rPr>
            </w:pPr>
          </w:p>
        </w:tc>
      </w:tr>
      <w:tr w14:paraId="2D610D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57573D25">
            <w:pPr>
              <w:spacing w:line="340" w:lineRule="exact"/>
              <w:jc w:val="cente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027331D">
            <w:pPr>
              <w:spacing w:line="340" w:lineRule="exact"/>
              <w:jc w:val="left"/>
              <w:rPr>
                <w:rFonts w:hint="eastAsia" w:ascii="方正仿宋_GBK" w:hAnsi="方正仿宋_GBK" w:eastAsia="方正仿宋_GBK" w:cs="方正仿宋_GBK"/>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55DC54E">
            <w:pPr>
              <w:spacing w:line="340" w:lineRule="exact"/>
              <w:jc w:val="left"/>
              <w:rPr>
                <w:rFonts w:hint="eastAsia" w:ascii="方正仿宋_GBK" w:hAnsi="方正仿宋_GBK" w:eastAsia="方正仿宋_GBK" w:cs="方正仿宋_GBK"/>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0534732">
            <w:pPr>
              <w:spacing w:line="340" w:lineRule="exact"/>
              <w:jc w:val="left"/>
              <w:rPr>
                <w:rFonts w:hint="eastAsia" w:ascii="方正仿宋_GBK" w:hAnsi="方正仿宋_GBK" w:eastAsia="方正仿宋_GBK" w:cs="方正仿宋_GBK"/>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04403A5">
            <w:pPr>
              <w:spacing w:line="340" w:lineRule="exact"/>
              <w:jc w:val="left"/>
              <w:rPr>
                <w:rFonts w:hint="eastAsia" w:ascii="方正仿宋_GBK" w:hAnsi="方正仿宋_GBK" w:eastAsia="方正仿宋_GBK" w:cs="方正仿宋_GBK"/>
                <w:color w:val="auto"/>
                <w:sz w:val="24"/>
                <w:highlight w:val="none"/>
              </w:rPr>
            </w:pPr>
          </w:p>
        </w:tc>
      </w:tr>
    </w:tbl>
    <w:p w14:paraId="5FE14E32">
      <w:pPr>
        <w:snapToGrid w:val="0"/>
        <w:spacing w:line="300" w:lineRule="auto"/>
        <w:contextualSpacing/>
        <w:rPr>
          <w:rFonts w:hint="eastAsia"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注：</w:t>
      </w:r>
    </w:p>
    <w:p w14:paraId="4563BF71">
      <w:pPr>
        <w:snapToGrid w:val="0"/>
        <w:spacing w:line="300" w:lineRule="auto"/>
        <w:ind w:firstLine="480" w:firstLineChars="200"/>
        <w:contextualSpacing/>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1.供应商提交的响应文件中与招标文件第三部分“项目需求”中的技术部分的要求，应逐条填列在偏离表中，</w:t>
      </w:r>
      <w:r>
        <w:rPr>
          <w:rFonts w:hint="eastAsia" w:ascii="方正仿宋_GBK" w:hAnsi="方正仿宋_GBK" w:eastAsia="方正仿宋_GBK" w:cs="方正仿宋_GBK"/>
          <w:b/>
          <w:bCs/>
          <w:color w:val="auto"/>
          <w:sz w:val="24"/>
          <w:highlight w:val="none"/>
        </w:rPr>
        <w:t>完全响应可以提供空白表格加盖投标人公章</w:t>
      </w:r>
      <w:r>
        <w:rPr>
          <w:rFonts w:hint="eastAsia" w:ascii="方正仿宋_GBK" w:hAnsi="方正仿宋_GBK" w:eastAsia="方正仿宋_GBK" w:cs="方正仿宋_GBK"/>
          <w:color w:val="auto"/>
          <w:sz w:val="24"/>
          <w:highlight w:val="none"/>
        </w:rPr>
        <w:t>。</w:t>
      </w:r>
    </w:p>
    <w:p w14:paraId="490C55AB">
      <w:pPr>
        <w:snapToGrid w:val="0"/>
        <w:spacing w:line="300" w:lineRule="auto"/>
        <w:ind w:firstLine="480" w:firstLineChars="200"/>
        <w:contextualSpacing/>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2.“偏离说明”一栏选择“正偏离”“负偏离”“无偏离”进行填写。正偏离、负偏离、无偏离的确认，由评标小组认定。</w:t>
      </w:r>
    </w:p>
    <w:p w14:paraId="111C3455">
      <w:pPr>
        <w:snapToGrid w:val="0"/>
        <w:spacing w:line="300" w:lineRule="auto"/>
        <w:ind w:firstLine="480" w:firstLineChars="200"/>
        <w:contextualSpacing/>
        <w:rPr>
          <w:rFonts w:hint="eastAsia" w:ascii="方正仿宋_GBK" w:hAnsi="方正仿宋_GBK" w:eastAsia="方正仿宋_GBK" w:cs="方正仿宋_GBK"/>
          <w:bCs/>
          <w:color w:val="auto"/>
          <w:sz w:val="24"/>
          <w:highlight w:val="none"/>
        </w:rPr>
      </w:pPr>
      <w:r>
        <w:rPr>
          <w:rFonts w:hint="eastAsia" w:ascii="方正仿宋_GBK" w:hAnsi="方正仿宋_GBK" w:eastAsia="方正仿宋_GBK" w:cs="方正仿宋_GBK"/>
          <w:bCs/>
          <w:color w:val="auto"/>
          <w:sz w:val="24"/>
          <w:highlight w:val="none"/>
        </w:rPr>
        <w:t>3.供应商若提供其他增值服务，可以在表中自行据实填写。</w:t>
      </w:r>
    </w:p>
    <w:p w14:paraId="3446D467">
      <w:pPr>
        <w:snapToGrid w:val="0"/>
        <w:spacing w:line="300" w:lineRule="auto"/>
        <w:ind w:firstLine="480" w:firstLineChars="200"/>
        <w:contextualSpacing/>
        <w:rPr>
          <w:rFonts w:ascii="宋体" w:hAnsi="宋体" w:cs="宋体"/>
          <w:bCs/>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442EB977">
      <w:pPr>
        <w:snapToGrid w:val="0"/>
        <w:spacing w:line="300" w:lineRule="auto"/>
        <w:ind w:firstLine="640" w:firstLineChars="200"/>
        <w:contextualSpacing/>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附件6</w:t>
      </w:r>
    </w:p>
    <w:p w14:paraId="0147B4E7">
      <w:pPr>
        <w:spacing w:line="360" w:lineRule="auto"/>
        <w:jc w:val="center"/>
        <w:rPr>
          <w:rFonts w:hint="eastAsia" w:ascii="黑体" w:hAnsi="黑体" w:eastAsia="黑体" w:cs="黑体"/>
          <w:b/>
          <w:bCs/>
          <w:color w:val="auto"/>
          <w:kern w:val="0"/>
          <w:sz w:val="32"/>
          <w:szCs w:val="32"/>
          <w:highlight w:val="none"/>
        </w:rPr>
      </w:pPr>
      <w:r>
        <w:rPr>
          <w:rFonts w:hint="eastAsia" w:ascii="黑体" w:hAnsi="黑体" w:eastAsia="黑体" w:cs="黑体"/>
          <w:b/>
          <w:bCs/>
          <w:color w:val="auto"/>
          <w:kern w:val="0"/>
          <w:sz w:val="32"/>
          <w:szCs w:val="32"/>
          <w:highlight w:val="none"/>
        </w:rPr>
        <w:t>开标一览表</w:t>
      </w:r>
    </w:p>
    <w:p w14:paraId="425841DF">
      <w:pPr>
        <w:spacing w:line="360" w:lineRule="auto"/>
        <w:rPr>
          <w:rFonts w:hint="eastAsia"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供应商全称（加盖公章）：</w:t>
      </w:r>
    </w:p>
    <w:p w14:paraId="6916E59E">
      <w:pPr>
        <w:spacing w:line="360" w:lineRule="auto"/>
        <w:rPr>
          <w:rFonts w:hint="eastAsia" w:ascii="方正仿宋_GBK" w:hAnsi="方正仿宋_GBK" w:eastAsia="方正仿宋_GBK" w:cs="方正仿宋_GBK"/>
          <w:color w:val="auto"/>
          <w:kern w:val="0"/>
          <w:sz w:val="28"/>
          <w:szCs w:val="28"/>
          <w:highlight w:val="none"/>
          <w:u w:val="single"/>
        </w:rPr>
      </w:pPr>
      <w:r>
        <w:rPr>
          <w:rFonts w:hint="eastAsia" w:ascii="方正仿宋_GBK" w:hAnsi="方正仿宋_GBK" w:eastAsia="方正仿宋_GBK" w:cs="方正仿宋_GBK"/>
          <w:color w:val="auto"/>
          <w:kern w:val="0"/>
          <w:sz w:val="28"/>
          <w:szCs w:val="28"/>
          <w:highlight w:val="none"/>
        </w:rPr>
        <w:t>项目名称：</w:t>
      </w:r>
    </w:p>
    <w:p w14:paraId="65B3DC34">
      <w:pPr>
        <w:spacing w:line="360" w:lineRule="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项目编号：</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0"/>
        <w:gridCol w:w="4486"/>
      </w:tblGrid>
      <w:tr w14:paraId="14ABA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9" w:type="pct"/>
          </w:tcPr>
          <w:p w14:paraId="2AD8EDF6">
            <w:pPr>
              <w:spacing w:line="360" w:lineRule="auto"/>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kern w:val="0"/>
                <w:sz w:val="28"/>
                <w:szCs w:val="28"/>
                <w:highlight w:val="none"/>
              </w:rPr>
              <w:t>项目名称</w:t>
            </w:r>
          </w:p>
        </w:tc>
        <w:tc>
          <w:tcPr>
            <w:tcW w:w="2630" w:type="pct"/>
          </w:tcPr>
          <w:p w14:paraId="002B0C90">
            <w:pPr>
              <w:spacing w:line="360" w:lineRule="auto"/>
              <w:jc w:val="center"/>
              <w:rPr>
                <w:rFonts w:hint="eastAsia" w:ascii="方正仿宋_GBK" w:hAnsi="方正仿宋_GBK" w:eastAsia="方正仿宋_GBK" w:cs="方正仿宋_GBK"/>
                <w:color w:val="auto"/>
                <w:szCs w:val="22"/>
                <w:highlight w:val="none"/>
              </w:rPr>
            </w:pPr>
            <w:r>
              <w:rPr>
                <w:rFonts w:hint="eastAsia" w:ascii="方正仿宋_GBK" w:hAnsi="方正仿宋_GBK" w:eastAsia="方正仿宋_GBK" w:cs="方正仿宋_GBK"/>
                <w:color w:val="auto"/>
                <w:kern w:val="0"/>
                <w:sz w:val="28"/>
                <w:szCs w:val="28"/>
                <w:highlight w:val="none"/>
              </w:rPr>
              <w:t>投标下浮率</w:t>
            </w:r>
          </w:p>
        </w:tc>
      </w:tr>
      <w:tr w14:paraId="080A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369" w:type="pct"/>
          </w:tcPr>
          <w:p w14:paraId="09EC1A7D">
            <w:pPr>
              <w:spacing w:line="360" w:lineRule="auto"/>
              <w:jc w:val="left"/>
              <w:rPr>
                <w:rFonts w:hint="eastAsia" w:ascii="方正仿宋_GBK" w:hAnsi="方正仿宋_GBK" w:eastAsia="方正仿宋_GBK" w:cs="方正仿宋_GBK"/>
                <w:color w:val="auto"/>
                <w:szCs w:val="22"/>
                <w:highlight w:val="none"/>
              </w:rPr>
            </w:pPr>
          </w:p>
        </w:tc>
        <w:tc>
          <w:tcPr>
            <w:tcW w:w="2630" w:type="pct"/>
            <w:vAlign w:val="center"/>
          </w:tcPr>
          <w:p w14:paraId="2D4D14BE">
            <w:pPr>
              <w:spacing w:line="360" w:lineRule="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大写：百分之</w:t>
            </w:r>
          </w:p>
          <w:p w14:paraId="1E697A1E">
            <w:pPr>
              <w:spacing w:line="360" w:lineRule="auto"/>
              <w:rPr>
                <w:rFonts w:hint="eastAsia" w:ascii="方正仿宋_GBK" w:hAnsi="方正仿宋_GBK" w:eastAsia="方正仿宋_GBK" w:cs="方正仿宋_GBK"/>
                <w:color w:val="auto"/>
                <w:szCs w:val="22"/>
                <w:highlight w:val="none"/>
                <w:u w:val="single"/>
              </w:rPr>
            </w:pPr>
            <w:r>
              <w:rPr>
                <w:rFonts w:hint="eastAsia" w:ascii="方正仿宋_GBK" w:hAnsi="方正仿宋_GBK" w:eastAsia="方正仿宋_GBK" w:cs="方正仿宋_GBK"/>
                <w:color w:val="auto"/>
                <w:kern w:val="0"/>
                <w:sz w:val="28"/>
                <w:szCs w:val="28"/>
                <w:highlight w:val="none"/>
              </w:rPr>
              <w:t>小写：</w:t>
            </w:r>
            <w:r>
              <w:rPr>
                <w:rFonts w:hint="eastAsia" w:ascii="方正仿宋_GBK" w:hAnsi="方正仿宋_GBK" w:eastAsia="方正仿宋_GBK" w:cs="方正仿宋_GBK"/>
                <w:color w:val="auto"/>
                <w:kern w:val="0"/>
                <w:sz w:val="28"/>
                <w:szCs w:val="28"/>
                <w:highlight w:val="none"/>
                <w:u w:val="single"/>
                <w:lang w:val="en-US" w:eastAsia="zh-CN"/>
              </w:rPr>
              <w:t xml:space="preserve">   </w:t>
            </w:r>
            <w:r>
              <w:rPr>
                <w:rFonts w:hint="eastAsia" w:ascii="方正仿宋_GBK" w:hAnsi="方正仿宋_GBK" w:eastAsia="方正仿宋_GBK" w:cs="方正仿宋_GBK"/>
                <w:color w:val="auto"/>
                <w:kern w:val="0"/>
                <w:sz w:val="28"/>
                <w:szCs w:val="28"/>
                <w:highlight w:val="none"/>
              </w:rPr>
              <w:t>%</w:t>
            </w:r>
          </w:p>
        </w:tc>
      </w:tr>
    </w:tbl>
    <w:p w14:paraId="3D97BE28">
      <w:pPr>
        <w:spacing w:line="360" w:lineRule="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日期：</w:t>
      </w:r>
    </w:p>
    <w:p w14:paraId="3E158E1C">
      <w:pPr>
        <w:spacing w:line="360" w:lineRule="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填写说明：</w:t>
      </w:r>
    </w:p>
    <w:p w14:paraId="27343148">
      <w:pPr>
        <w:spacing w:line="360" w:lineRule="auto"/>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1、报价总表必须加盖供应商公章（复印件无效）。</w:t>
      </w:r>
    </w:p>
    <w:p w14:paraId="67B1C830">
      <w:pPr>
        <w:snapToGrid w:val="0"/>
        <w:spacing w:line="360" w:lineRule="auto"/>
        <w:contextualSpacing/>
        <w:rPr>
          <w:rFonts w:hint="eastAsia" w:ascii="方正仿宋_GBK" w:hAnsi="方正仿宋_GBK" w:eastAsia="方正仿宋_GBK" w:cs="方正仿宋_GBK"/>
          <w:bCs/>
          <w:color w:val="auto"/>
          <w:kern w:val="0"/>
          <w:sz w:val="28"/>
          <w:szCs w:val="28"/>
          <w:highlight w:val="none"/>
        </w:rPr>
      </w:pPr>
      <w:r>
        <w:rPr>
          <w:rFonts w:hint="eastAsia" w:ascii="方正仿宋_GBK" w:hAnsi="方正仿宋_GBK" w:eastAsia="方正仿宋_GBK" w:cs="方正仿宋_GBK"/>
          <w:bCs/>
          <w:color w:val="auto"/>
          <w:kern w:val="0"/>
          <w:sz w:val="28"/>
          <w:szCs w:val="28"/>
          <w:highlight w:val="none"/>
        </w:rPr>
        <w:t>2、运营期间结算原则：国家发改委公布的当期江苏省柴油最高零售价格*（1-下浮率），时间以招标人加油当日日期为准；数量按加油装置实际加油量计算）。</w:t>
      </w:r>
    </w:p>
    <w:p w14:paraId="4212249B">
      <w:pPr>
        <w:snapToGrid w:val="0"/>
        <w:spacing w:line="360" w:lineRule="auto"/>
        <w:ind w:firstLine="540" w:firstLineChars="192"/>
        <w:contextualSpacing/>
        <w:rPr>
          <w:rFonts w:ascii="宋体" w:hAnsi="宋体" w:cs="宋体"/>
          <w:b/>
          <w:color w:val="auto"/>
          <w:kern w:val="0"/>
          <w:sz w:val="28"/>
          <w:szCs w:val="28"/>
          <w:highlight w:val="none"/>
        </w:rPr>
      </w:pPr>
    </w:p>
    <w:p w14:paraId="76BB81E2">
      <w:pPr>
        <w:snapToGrid w:val="0"/>
        <w:spacing w:line="360" w:lineRule="auto"/>
        <w:ind w:firstLine="540" w:firstLineChars="192"/>
        <w:contextualSpacing/>
        <w:rPr>
          <w:rFonts w:ascii="宋体" w:hAnsi="宋体" w:cs="宋体"/>
          <w:b/>
          <w:color w:val="auto"/>
          <w:kern w:val="0"/>
          <w:sz w:val="28"/>
          <w:szCs w:val="28"/>
          <w:highlight w:val="none"/>
        </w:rPr>
      </w:pPr>
    </w:p>
    <w:p w14:paraId="405639B6">
      <w:pPr>
        <w:snapToGrid w:val="0"/>
        <w:spacing w:line="360" w:lineRule="auto"/>
        <w:ind w:firstLine="540" w:firstLineChars="192"/>
        <w:contextualSpacing/>
        <w:rPr>
          <w:rFonts w:ascii="宋体" w:hAnsi="宋体" w:cs="宋体"/>
          <w:b/>
          <w:color w:val="auto"/>
          <w:kern w:val="0"/>
          <w:sz w:val="28"/>
          <w:szCs w:val="28"/>
          <w:highlight w:val="none"/>
        </w:rPr>
      </w:pPr>
    </w:p>
    <w:p w14:paraId="219B1173">
      <w:pPr>
        <w:snapToGrid w:val="0"/>
        <w:spacing w:line="360" w:lineRule="auto"/>
        <w:ind w:firstLine="540" w:firstLineChars="192"/>
        <w:contextualSpacing/>
        <w:rPr>
          <w:rFonts w:ascii="宋体" w:hAnsi="宋体" w:cs="宋体"/>
          <w:b/>
          <w:color w:val="auto"/>
          <w:kern w:val="0"/>
          <w:sz w:val="28"/>
          <w:szCs w:val="28"/>
          <w:highlight w:val="none"/>
        </w:rPr>
      </w:pPr>
    </w:p>
    <w:p w14:paraId="0D583E94">
      <w:pPr>
        <w:snapToGrid w:val="0"/>
        <w:spacing w:line="360" w:lineRule="auto"/>
        <w:ind w:firstLine="540" w:firstLineChars="192"/>
        <w:contextualSpacing/>
        <w:rPr>
          <w:rFonts w:ascii="宋体" w:hAnsi="宋体" w:cs="宋体"/>
          <w:b/>
          <w:color w:val="auto"/>
          <w:kern w:val="0"/>
          <w:sz w:val="28"/>
          <w:szCs w:val="28"/>
          <w:highlight w:val="none"/>
        </w:rPr>
      </w:pPr>
    </w:p>
    <w:p w14:paraId="57D2290D">
      <w:pPr>
        <w:spacing w:line="360" w:lineRule="auto"/>
        <w:jc w:val="left"/>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附件7</w:t>
      </w:r>
    </w:p>
    <w:p w14:paraId="134CFD01">
      <w:pPr>
        <w:spacing w:before="240" w:line="360" w:lineRule="auto"/>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供应商信用承诺书</w:t>
      </w:r>
    </w:p>
    <w:p w14:paraId="2D3CAAB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p>
    <w:p w14:paraId="590944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为营造公开、公平、公正的公共资源交易环境，树立诚信守法的投标人形象，本人代表本单位作出以下承诺：</w:t>
      </w:r>
    </w:p>
    <w:p w14:paraId="2F09AD9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一、本单位对所提交的单位基本信息、单位负责人、项目负责人、技术负责人、从业资质和资格、业绩、财务状况、信誉等所有资料，均合法、真实、准确、有效，无任何伪造、修改、虚假成分；</w:t>
      </w:r>
    </w:p>
    <w:p w14:paraId="056ECF1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二、严格依照国家和省、市、县关于政府招标等方面的法律法规、规章、规范性文件，参加</w:t>
      </w:r>
      <w:r>
        <w:rPr>
          <w:rFonts w:hint="eastAsia" w:ascii="方正仿宋_GBK" w:hAnsi="方正仿宋_GBK" w:eastAsia="方正仿宋_GBK" w:cs="方正仿宋_GBK"/>
          <w:color w:val="auto"/>
          <w:kern w:val="0"/>
          <w:sz w:val="24"/>
          <w:highlight w:val="none"/>
        </w:rPr>
        <w:t>招标人组织的</w:t>
      </w:r>
      <w:r>
        <w:rPr>
          <w:rFonts w:hint="eastAsia" w:ascii="方正仿宋_GBK" w:hAnsi="方正仿宋_GBK" w:eastAsia="方正仿宋_GBK" w:cs="方正仿宋_GBK"/>
          <w:color w:val="auto"/>
          <w:kern w:val="0"/>
          <w:sz w:val="24"/>
          <w:highlight w:val="none"/>
          <w:lang w:val="zh-CN"/>
        </w:rPr>
        <w:t>招标投标活动；积极履行社会责任，促进廉政建设；</w:t>
      </w:r>
    </w:p>
    <w:p w14:paraId="0486C6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三、严格遵守即时信息公示规定，及时更新公共资源交易中心主体信息库中信息；</w:t>
      </w:r>
    </w:p>
    <w:p w14:paraId="0EE7CBA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四、自我约束、自我管理，守合同、重信用，不参与围标串标、弄虚作假、骗取中标、干扰评标、违约毁约、恶意投诉等行为，主动维护公共资源交易招标投标的良好秩序；</w:t>
      </w:r>
    </w:p>
    <w:p w14:paraId="3C9A30C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14:paraId="5AE76BA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六、自觉接受政府部门、行业组织、社会公众、新闻舆论等监督；</w:t>
      </w:r>
    </w:p>
    <w:p w14:paraId="407B195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方正仿宋_GBK" w:hAnsi="方正仿宋_GBK" w:eastAsia="方正仿宋_GBK" w:cs="方正仿宋_GBK"/>
          <w:color w:val="auto"/>
          <w:kern w:val="0"/>
          <w:sz w:val="24"/>
          <w:highlight w:val="none"/>
          <w:lang w:val="zh-CN"/>
        </w:rPr>
      </w:pPr>
      <w:r>
        <w:rPr>
          <w:rFonts w:hint="eastAsia" w:ascii="方正仿宋_GBK" w:hAnsi="方正仿宋_GBK" w:eastAsia="方正仿宋_GBK" w:cs="方正仿宋_GBK"/>
          <w:color w:val="auto"/>
          <w:kern w:val="0"/>
          <w:sz w:val="24"/>
          <w:highlight w:val="none"/>
          <w:lang w:val="zh-CN"/>
        </w:rPr>
        <w:t>七、上述承诺已向本单位员工做了宣传教育；</w:t>
      </w:r>
    </w:p>
    <w:p w14:paraId="5D50FFEA">
      <w:pPr>
        <w:keepNext w:val="0"/>
        <w:keepLines w:val="0"/>
        <w:pageBreakBefore w:val="0"/>
        <w:widowControl w:val="0"/>
        <w:tabs>
          <w:tab w:val="left" w:pos="4860"/>
        </w:tabs>
        <w:kinsoku/>
        <w:wordWrap/>
        <w:overflowPunct/>
        <w:topLinePunct w:val="0"/>
        <w:autoSpaceDE/>
        <w:autoSpaceDN/>
        <w:bidi w:val="0"/>
        <w:adjustRightInd/>
        <w:snapToGrid/>
        <w:spacing w:line="520" w:lineRule="exact"/>
        <w:ind w:right="1560"/>
        <w:jc w:val="left"/>
        <w:textAlignment w:val="auto"/>
        <w:rPr>
          <w:rFonts w:hint="eastAsia" w:ascii="方正仿宋_GBK" w:hAnsi="方正仿宋_GBK" w:eastAsia="方正仿宋_GBK" w:cs="方正仿宋_GBK"/>
          <w:b/>
          <w:color w:val="auto"/>
          <w:kern w:val="0"/>
          <w:sz w:val="24"/>
          <w:highlight w:val="none"/>
          <w:lang w:val="zh-CN"/>
        </w:rPr>
      </w:pPr>
      <w:r>
        <w:rPr>
          <w:rFonts w:hint="eastAsia" w:ascii="方正仿宋_GBK" w:hAnsi="方正仿宋_GBK" w:eastAsia="方正仿宋_GBK" w:cs="方正仿宋_GBK"/>
          <w:b/>
          <w:color w:val="auto"/>
          <w:kern w:val="0"/>
          <w:sz w:val="24"/>
          <w:highlight w:val="none"/>
          <w:lang w:val="zh-CN"/>
        </w:rPr>
        <w:t>如有违反上述承诺的不良行为，本单位同意将其予以上网公示。</w:t>
      </w:r>
    </w:p>
    <w:p w14:paraId="458DE1C0">
      <w:pPr>
        <w:keepNext w:val="0"/>
        <w:keepLines w:val="0"/>
        <w:pageBreakBefore w:val="0"/>
        <w:widowControl w:val="0"/>
        <w:kinsoku/>
        <w:wordWrap/>
        <w:overflowPunct/>
        <w:topLinePunct w:val="0"/>
        <w:autoSpaceDE/>
        <w:autoSpaceDN/>
        <w:bidi w:val="0"/>
        <w:adjustRightInd/>
        <w:snapToGrid/>
        <w:spacing w:line="520" w:lineRule="exact"/>
        <w:ind w:firstLine="3080" w:firstLineChars="1100"/>
        <w:textAlignment w:val="auto"/>
        <w:rPr>
          <w:rFonts w:hint="eastAsia" w:ascii="方正仿宋_GBK" w:hAnsi="方正仿宋_GBK" w:eastAsia="方正仿宋_GBK" w:cs="方正仿宋_GBK"/>
          <w:color w:val="auto"/>
          <w:sz w:val="28"/>
          <w:szCs w:val="28"/>
          <w:highlight w:val="none"/>
        </w:rPr>
      </w:pPr>
    </w:p>
    <w:p w14:paraId="49DB2736">
      <w:pPr>
        <w:keepNext w:val="0"/>
        <w:keepLines w:val="0"/>
        <w:pageBreakBefore w:val="0"/>
        <w:widowControl w:val="0"/>
        <w:kinsoku/>
        <w:wordWrap/>
        <w:overflowPunct/>
        <w:topLinePunct w:val="0"/>
        <w:autoSpaceDE/>
        <w:autoSpaceDN/>
        <w:bidi w:val="0"/>
        <w:adjustRightInd/>
        <w:snapToGrid/>
        <w:spacing w:line="520" w:lineRule="exact"/>
        <w:ind w:firstLine="3080" w:firstLineChars="1100"/>
        <w:textAlignment w:val="auto"/>
        <w:rPr>
          <w:rFonts w:hint="eastAsia" w:ascii="方正仿宋_GBK" w:hAnsi="方正仿宋_GBK" w:eastAsia="方正仿宋_GBK" w:cs="方正仿宋_GBK"/>
          <w:color w:val="auto"/>
          <w:kern w:val="0"/>
          <w:sz w:val="28"/>
          <w:szCs w:val="28"/>
          <w:highlight w:val="none"/>
          <w:u w:val="single"/>
          <w:lang w:val="zh-CN"/>
        </w:rPr>
      </w:pPr>
      <w:r>
        <w:rPr>
          <w:rFonts w:hint="eastAsia" w:ascii="方正仿宋_GBK" w:hAnsi="方正仿宋_GBK" w:eastAsia="方正仿宋_GBK" w:cs="方正仿宋_GBK"/>
          <w:color w:val="auto"/>
          <w:kern w:val="0"/>
          <w:sz w:val="28"/>
          <w:szCs w:val="28"/>
          <w:highlight w:val="none"/>
          <w:lang w:val="zh-CN"/>
        </w:rPr>
        <w:t>投标供应商全称（盖公章）：</w:t>
      </w:r>
    </w:p>
    <w:p w14:paraId="295946AA">
      <w:pPr>
        <w:keepNext w:val="0"/>
        <w:keepLines w:val="0"/>
        <w:pageBreakBefore w:val="0"/>
        <w:widowControl w:val="0"/>
        <w:kinsoku/>
        <w:wordWrap/>
        <w:overflowPunct/>
        <w:topLinePunct w:val="0"/>
        <w:autoSpaceDE/>
        <w:autoSpaceDN/>
        <w:bidi w:val="0"/>
        <w:adjustRightInd/>
        <w:snapToGrid/>
        <w:spacing w:line="520" w:lineRule="exact"/>
        <w:ind w:firstLine="3080" w:firstLineChars="1100"/>
        <w:textAlignment w:val="auto"/>
        <w:rPr>
          <w:rFonts w:hint="eastAsia" w:ascii="方正仿宋_GBK" w:hAnsi="方正仿宋_GBK" w:eastAsia="方正仿宋_GBK" w:cs="方正仿宋_GBK"/>
          <w:color w:val="auto"/>
          <w:sz w:val="28"/>
          <w:szCs w:val="28"/>
          <w:highlight w:val="none"/>
          <w:u w:val="single"/>
          <w:lang w:val="zh-CN"/>
        </w:rPr>
      </w:pPr>
      <w:r>
        <w:rPr>
          <w:rFonts w:hint="eastAsia" w:ascii="方正仿宋_GBK" w:hAnsi="方正仿宋_GBK" w:eastAsia="方正仿宋_GBK" w:cs="方正仿宋_GBK"/>
          <w:color w:val="auto"/>
          <w:kern w:val="0"/>
          <w:sz w:val="28"/>
          <w:szCs w:val="28"/>
          <w:highlight w:val="none"/>
          <w:lang w:val="zh-CN"/>
        </w:rPr>
        <w:t>法定代表人（签字或盖章）：</w:t>
      </w:r>
    </w:p>
    <w:p w14:paraId="2E25D2AF">
      <w:pPr>
        <w:keepNext w:val="0"/>
        <w:keepLines w:val="0"/>
        <w:pageBreakBefore w:val="0"/>
        <w:widowControl w:val="0"/>
        <w:kinsoku/>
        <w:wordWrap/>
        <w:overflowPunct/>
        <w:topLinePunct w:val="0"/>
        <w:autoSpaceDE/>
        <w:autoSpaceDN/>
        <w:bidi w:val="0"/>
        <w:adjustRightInd/>
        <w:snapToGrid/>
        <w:spacing w:line="520" w:lineRule="exact"/>
        <w:ind w:firstLine="3080" w:firstLineChars="1100"/>
        <w:textAlignment w:val="auto"/>
        <w:rPr>
          <w:rFonts w:hint="eastAsia" w:ascii="方正仿宋_GBK" w:hAnsi="方正仿宋_GBK" w:eastAsia="方正仿宋_GBK" w:cs="方正仿宋_GBK"/>
          <w:color w:val="auto"/>
          <w:kern w:val="0"/>
          <w:sz w:val="28"/>
          <w:szCs w:val="28"/>
          <w:highlight w:val="none"/>
          <w:lang w:val="zh-CN"/>
        </w:rPr>
      </w:pPr>
      <w:r>
        <w:rPr>
          <w:rFonts w:hint="eastAsia" w:ascii="方正仿宋_GBK" w:hAnsi="方正仿宋_GBK" w:eastAsia="方正仿宋_GBK" w:cs="方正仿宋_GBK"/>
          <w:color w:val="auto"/>
          <w:kern w:val="0"/>
          <w:sz w:val="28"/>
          <w:szCs w:val="28"/>
          <w:highlight w:val="none"/>
          <w:lang w:val="zh-CN"/>
        </w:rPr>
        <w:t>时间：  年  月   日</w:t>
      </w:r>
    </w:p>
    <w:p w14:paraId="0910AAAD">
      <w:pPr>
        <w:spacing w:line="360" w:lineRule="auto"/>
        <w:rPr>
          <w:rFonts w:ascii="宋体" w:hAnsi="宋体" w:cs="宋体"/>
          <w:color w:val="auto"/>
          <w:highlight w:val="none"/>
        </w:rPr>
      </w:pPr>
    </w:p>
    <w:p w14:paraId="06A99960">
      <w:pPr>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br w:type="page"/>
      </w:r>
      <w:r>
        <w:rPr>
          <w:rFonts w:hint="eastAsia" w:ascii="宋体" w:hAnsi="宋体" w:cs="宋体"/>
          <w:color w:val="auto"/>
          <w:sz w:val="32"/>
          <w:szCs w:val="32"/>
          <w:highlight w:val="none"/>
        </w:rPr>
        <w:t>附件8</w:t>
      </w:r>
    </w:p>
    <w:p w14:paraId="3F2A93AC">
      <w:pPr>
        <w:spacing w:line="360" w:lineRule="auto"/>
        <w:jc w:val="center"/>
        <w:rPr>
          <w:rFonts w:hint="eastAsia" w:ascii="黑体" w:hAnsi="黑体" w:eastAsia="黑体" w:cs="黑体"/>
          <w:bCs/>
          <w:color w:val="auto"/>
          <w:sz w:val="40"/>
          <w:szCs w:val="40"/>
          <w:highlight w:val="none"/>
        </w:rPr>
      </w:pPr>
      <w:r>
        <w:rPr>
          <w:rFonts w:hint="eastAsia" w:ascii="黑体" w:hAnsi="黑体" w:eastAsia="黑体" w:cs="黑体"/>
          <w:bCs/>
          <w:color w:val="auto"/>
          <w:sz w:val="40"/>
          <w:szCs w:val="40"/>
          <w:highlight w:val="none"/>
        </w:rPr>
        <w:t>质疑函范本</w:t>
      </w:r>
    </w:p>
    <w:p w14:paraId="0FBECB69">
      <w:pPr>
        <w:keepNext w:val="0"/>
        <w:keepLines w:val="0"/>
        <w:pageBreakBefore w:val="0"/>
        <w:kinsoku/>
        <w:wordWrap/>
        <w:overflowPunct/>
        <w:topLinePunct w:val="0"/>
        <w:autoSpaceDE/>
        <w:autoSpaceDN/>
        <w:bidi w:val="0"/>
        <w:adjustRightInd w:val="0"/>
        <w:snapToGrid w:val="0"/>
        <w:spacing w:beforeLines="100" w:line="560" w:lineRule="exac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一、质疑供应商基本信息</w:t>
      </w:r>
    </w:p>
    <w:p w14:paraId="6B32816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质疑供应商：</w:t>
      </w:r>
    </w:p>
    <w:p w14:paraId="2780C8AD">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地址：邮编：</w:t>
      </w:r>
    </w:p>
    <w:p w14:paraId="7AA23CE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联系人：联系电话：</w:t>
      </w:r>
    </w:p>
    <w:p w14:paraId="2B581C2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授权代表：</w:t>
      </w:r>
    </w:p>
    <w:p w14:paraId="43A34B5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14:paraId="76CCC482">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地址：邮编：</w:t>
      </w:r>
    </w:p>
    <w:p w14:paraId="5897FCE3">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二、质疑项目基本情况</w:t>
      </w:r>
    </w:p>
    <w:p w14:paraId="79B6E282">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质疑项目的名称：</w:t>
      </w:r>
    </w:p>
    <w:p w14:paraId="018CDE2F">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质疑项目的编号：包号：</w:t>
      </w:r>
    </w:p>
    <w:p w14:paraId="03E40D51">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招标人名称：</w:t>
      </w:r>
    </w:p>
    <w:p w14:paraId="4392010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招标文件获取日期：</w:t>
      </w:r>
    </w:p>
    <w:p w14:paraId="44A75376">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三、质疑事项具体内容</w:t>
      </w:r>
    </w:p>
    <w:p w14:paraId="02E3D430">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质疑事项1：</w:t>
      </w:r>
    </w:p>
    <w:p w14:paraId="179E01A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事实依据：</w:t>
      </w:r>
    </w:p>
    <w:p w14:paraId="382BF34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p>
    <w:p w14:paraId="5C44429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法律依据：</w:t>
      </w:r>
    </w:p>
    <w:p w14:paraId="7E81BE7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p>
    <w:p w14:paraId="75A60D9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质疑事项2</w:t>
      </w:r>
    </w:p>
    <w:p w14:paraId="4D32213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p>
    <w:p w14:paraId="2A364FBE">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四、与质疑事项相关的质疑请求</w:t>
      </w:r>
    </w:p>
    <w:p w14:paraId="54F73C9D">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u w:val="dotted"/>
        </w:rPr>
      </w:pPr>
      <w:r>
        <w:rPr>
          <w:rFonts w:hint="eastAsia" w:ascii="方正仿宋_GBK" w:hAnsi="方正仿宋_GBK" w:eastAsia="方正仿宋_GBK" w:cs="方正仿宋_GBK"/>
          <w:color w:val="auto"/>
          <w:sz w:val="28"/>
          <w:szCs w:val="28"/>
          <w:highlight w:val="none"/>
        </w:rPr>
        <w:t>请求：</w:t>
      </w:r>
    </w:p>
    <w:p w14:paraId="21FA86C8">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签字（签章）：                   公章：                      </w:t>
      </w:r>
    </w:p>
    <w:p w14:paraId="2CC7B92F">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日期：    </w:t>
      </w:r>
    </w:p>
    <w:p w14:paraId="0ACE3D9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color w:val="auto"/>
          <w:sz w:val="28"/>
          <w:szCs w:val="28"/>
          <w:highlight w:val="none"/>
        </w:rPr>
      </w:pPr>
    </w:p>
    <w:p w14:paraId="5346A811">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color w:val="auto"/>
          <w:sz w:val="28"/>
          <w:szCs w:val="28"/>
          <w:highlight w:val="none"/>
        </w:rPr>
      </w:pPr>
    </w:p>
    <w:p w14:paraId="1FBCD91E">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color w:val="auto"/>
          <w:sz w:val="28"/>
          <w:szCs w:val="28"/>
          <w:highlight w:val="none"/>
        </w:rPr>
      </w:pPr>
    </w:p>
    <w:p w14:paraId="6259DDDE">
      <w:pPr>
        <w:keepNext w:val="0"/>
        <w:keepLines w:val="0"/>
        <w:pageBreakBefore w:val="0"/>
        <w:kinsoku/>
        <w:wordWrap/>
        <w:overflowPunct/>
        <w:topLinePunct w:val="0"/>
        <w:autoSpaceDE/>
        <w:autoSpaceDN/>
        <w:bidi w:val="0"/>
        <w:spacing w:line="560" w:lineRule="exact"/>
        <w:textAlignment w:val="auto"/>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质疑函制作说明：</w:t>
      </w:r>
    </w:p>
    <w:p w14:paraId="645465E1">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1.供应商提出质疑时，应提交质疑函和必要的证明材料。</w:t>
      </w:r>
    </w:p>
    <w:p w14:paraId="6EDBAAD1">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2.质疑供应商若委托代理人进行质疑的，质疑函应按要求列明“授权代表”的有关内容，并在附件中提交由质疑</w:t>
      </w:r>
      <w:r>
        <w:rPr>
          <w:rFonts w:hint="eastAsia" w:ascii="方正仿宋_GBK" w:hAnsi="方正仿宋_GBK" w:eastAsia="方正仿宋_GBK" w:cs="方正仿宋_GBK"/>
          <w:color w:val="auto"/>
          <w:kern w:val="0"/>
          <w:sz w:val="28"/>
          <w:szCs w:val="28"/>
          <w:highlight w:val="none"/>
        </w:rPr>
        <w:t>供应商签署的授权委托书。授权委托书应载明代理人的姓名或者名称、代理事项、具体权限、期限和相关事项。</w:t>
      </w:r>
    </w:p>
    <w:p w14:paraId="6A7B19DC">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3.质疑供应商若对项目的某一分包进行质疑，质疑函中应列明具体分包号。</w:t>
      </w:r>
    </w:p>
    <w:p w14:paraId="7DDB15D0">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4.质疑函的质疑事项应具体、明确，并有必要的事实依据和法律依据。</w:t>
      </w:r>
    </w:p>
    <w:p w14:paraId="78D18C63">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5.质疑函的质疑请求应与质疑事项相关。</w:t>
      </w:r>
    </w:p>
    <w:p w14:paraId="0B233A16">
      <w:pPr>
        <w:keepNext w:val="0"/>
        <w:keepLines w:val="0"/>
        <w:pageBreakBefore w:val="0"/>
        <w:widowControl/>
        <w:kinsoku/>
        <w:wordWrap/>
        <w:overflowPunct/>
        <w:topLinePunct w:val="0"/>
        <w:autoSpaceDE/>
        <w:autoSpaceDN/>
        <w:bidi w:val="0"/>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32FEE244">
      <w:pPr>
        <w:widowControl/>
        <w:ind w:firstLine="560" w:firstLineChars="200"/>
        <w:jc w:val="left"/>
        <w:rPr>
          <w:rFonts w:ascii="宋体" w:hAnsi="宋体" w:cs="宋体"/>
          <w:color w:val="auto"/>
          <w:sz w:val="28"/>
          <w:szCs w:val="28"/>
          <w:highlight w:val="none"/>
        </w:rPr>
      </w:pPr>
    </w:p>
    <w:sectPr>
      <w:headerReference r:id="rId5" w:type="default"/>
      <w:footerReference r:id="rId6"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28844"/>
      <w:docPartObj>
        <w:docPartGallery w:val="autotext"/>
      </w:docPartObj>
    </w:sdtPr>
    <w:sdtContent>
      <w:sdt>
        <w:sdtPr>
          <w:id w:val="171357217"/>
          <w:docPartObj>
            <w:docPartGallery w:val="autotext"/>
          </w:docPartObj>
        </w:sdtPr>
        <w:sdtContent>
          <w:p w14:paraId="3DEF3D17">
            <w:pPr>
              <w:pStyle w:val="25"/>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14:paraId="0CC4C522">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05B0D">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098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0980" cy="131445"/>
                      </a:xfrm>
                      <a:prstGeom prst="rect">
                        <a:avLst/>
                      </a:prstGeom>
                      <a:noFill/>
                      <a:ln>
                        <a:noFill/>
                      </a:ln>
                      <a:effectLst/>
                    </wps:spPr>
                    <wps:txbx>
                      <w:txbxContent>
                        <w:p w14:paraId="46101ACC">
                          <w:pPr>
                            <w:pStyle w:val="25"/>
                          </w:pPr>
                          <w:r>
                            <w:fldChar w:fldCharType="begin"/>
                          </w:r>
                          <w:r>
                            <w:instrText xml:space="preserve"> PAGE  \* MERGEFORMAT </w:instrText>
                          </w:r>
                          <w:r>
                            <w:fldChar w:fldCharType="separate"/>
                          </w:r>
                          <w:r>
                            <w:t>41</w:t>
                          </w:r>
                          <w: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10.35pt;width:17.4pt;mso-position-horizontal:center;mso-position-horizontal-relative:margin;z-index:251659264;mso-width-relative:page;mso-height-relative:page;" filled="f" stroked="f" coordsize="21600,21600" o:gfxdata="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3QXFk0gAAAAMBAAAPAAAAAAAAAAEAIAAAACIAAABkcnMvZG93&#10;bnJldi54bWxQSwECFAAUAAAACACHTuJA8FWd7c0BAACbAwAADgAAAAAAAAABACAAAAAhAQAAZHJz&#10;L2Uyb0RvYy54bWxQSwUGAAAAAAYABgBZAQAAYAUAAAAA&#10;">
              <v:fill on="f" focussize="0,0"/>
              <v:stroke on="f"/>
              <v:imagedata o:title=""/>
              <o:lock v:ext="edit" aspectratio="f"/>
              <v:textbox inset="0mm,0mm,0mm,0mm" style="mso-fit-shape-to-text:t;">
                <w:txbxContent>
                  <w:p w14:paraId="46101ACC">
                    <w:pPr>
                      <w:pStyle w:val="2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499E">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6EA0">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0A071"/>
    <w:multiLevelType w:val="singleLevel"/>
    <w:tmpl w:val="BD30A071"/>
    <w:lvl w:ilvl="0" w:tentative="0">
      <w:start w:val="1"/>
      <w:numFmt w:val="decimal"/>
      <w:suff w:val="space"/>
      <w:lvlText w:val="%1."/>
      <w:lvlJc w:val="left"/>
    </w:lvl>
  </w:abstractNum>
  <w:abstractNum w:abstractNumId="1">
    <w:nsid w:val="2B3C8E33"/>
    <w:multiLevelType w:val="singleLevel"/>
    <w:tmpl w:val="2B3C8E33"/>
    <w:lvl w:ilvl="0" w:tentative="0">
      <w:start w:val="1"/>
      <w:numFmt w:val="decimal"/>
      <w:suff w:val="space"/>
      <w:lvlText w:val="%1."/>
      <w:lvlJc w:val="left"/>
    </w:lvl>
  </w:abstractNum>
  <w:abstractNum w:abstractNumId="2">
    <w:nsid w:val="38DA3F37"/>
    <w:multiLevelType w:val="multilevel"/>
    <w:tmpl w:val="38DA3F37"/>
    <w:lvl w:ilvl="0" w:tentative="0">
      <w:start w:val="1"/>
      <w:numFmt w:val="bullet"/>
      <w:pStyle w:val="126"/>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OGJmOTYxNTk2YmY0MDIwYzUwNTc3OTVlNjE0MDIifQ=="/>
    <w:docVar w:name="KGWebUrl" w:val="http://jszfcg.jsczt.cn/jszc/gateWay/joffice/office?access_token=300b1800-803d-425e-b7b3-99806d8150e4"/>
    <w:docVar w:name="KSO_WPS_MARK_KEY" w:val="dc9524e9-0d5f-4bc5-b642-c69acf49d3a8"/>
  </w:docVars>
  <w:rsids>
    <w:rsidRoot w:val="00172A27"/>
    <w:rsid w:val="00000546"/>
    <w:rsid w:val="00000AB2"/>
    <w:rsid w:val="00001556"/>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35B6"/>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0C4D"/>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3F34"/>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8B0"/>
    <w:rsid w:val="000D7E1A"/>
    <w:rsid w:val="000E0BDF"/>
    <w:rsid w:val="000E13C5"/>
    <w:rsid w:val="000E190A"/>
    <w:rsid w:val="000E2542"/>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05D4"/>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2A27"/>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4E0"/>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06B"/>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7FA"/>
    <w:rsid w:val="00224912"/>
    <w:rsid w:val="00224A02"/>
    <w:rsid w:val="00225AD4"/>
    <w:rsid w:val="00225ED7"/>
    <w:rsid w:val="00227B1A"/>
    <w:rsid w:val="0023036A"/>
    <w:rsid w:val="002304ED"/>
    <w:rsid w:val="00230F76"/>
    <w:rsid w:val="00231953"/>
    <w:rsid w:val="002323C9"/>
    <w:rsid w:val="00232418"/>
    <w:rsid w:val="0023372A"/>
    <w:rsid w:val="002348AC"/>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5A7A"/>
    <w:rsid w:val="002567F6"/>
    <w:rsid w:val="00256976"/>
    <w:rsid w:val="00256EF8"/>
    <w:rsid w:val="00257303"/>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AD5"/>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53BA"/>
    <w:rsid w:val="002973FD"/>
    <w:rsid w:val="00297900"/>
    <w:rsid w:val="002A0A5B"/>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688F"/>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1EF"/>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82B"/>
    <w:rsid w:val="00314A90"/>
    <w:rsid w:val="00314C91"/>
    <w:rsid w:val="00317669"/>
    <w:rsid w:val="00317F41"/>
    <w:rsid w:val="00321C1B"/>
    <w:rsid w:val="00323BB3"/>
    <w:rsid w:val="00323C57"/>
    <w:rsid w:val="00323F5E"/>
    <w:rsid w:val="003251A6"/>
    <w:rsid w:val="00325DFB"/>
    <w:rsid w:val="00326695"/>
    <w:rsid w:val="00326724"/>
    <w:rsid w:val="0032696E"/>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5C5"/>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00"/>
    <w:rsid w:val="00375586"/>
    <w:rsid w:val="00376496"/>
    <w:rsid w:val="00376828"/>
    <w:rsid w:val="00376848"/>
    <w:rsid w:val="00377005"/>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63F"/>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38"/>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8D9"/>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07574"/>
    <w:rsid w:val="00410143"/>
    <w:rsid w:val="004105DE"/>
    <w:rsid w:val="00410F2E"/>
    <w:rsid w:val="0041144F"/>
    <w:rsid w:val="00412477"/>
    <w:rsid w:val="0041654F"/>
    <w:rsid w:val="0041717C"/>
    <w:rsid w:val="004214C7"/>
    <w:rsid w:val="00421885"/>
    <w:rsid w:val="004220FE"/>
    <w:rsid w:val="0042410A"/>
    <w:rsid w:val="00424D39"/>
    <w:rsid w:val="004260D0"/>
    <w:rsid w:val="00430320"/>
    <w:rsid w:val="004307C8"/>
    <w:rsid w:val="00431D96"/>
    <w:rsid w:val="00431E81"/>
    <w:rsid w:val="004324C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0B0B"/>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5F4"/>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1E63"/>
    <w:rsid w:val="005A2016"/>
    <w:rsid w:val="005A2EA2"/>
    <w:rsid w:val="005A3504"/>
    <w:rsid w:val="005A38BB"/>
    <w:rsid w:val="005A559E"/>
    <w:rsid w:val="005A6077"/>
    <w:rsid w:val="005A60E5"/>
    <w:rsid w:val="005A6C6C"/>
    <w:rsid w:val="005A74D4"/>
    <w:rsid w:val="005A78C1"/>
    <w:rsid w:val="005A7F48"/>
    <w:rsid w:val="005B09CF"/>
    <w:rsid w:val="005B1402"/>
    <w:rsid w:val="005B1C57"/>
    <w:rsid w:val="005B3D9B"/>
    <w:rsid w:val="005B55B2"/>
    <w:rsid w:val="005B71E3"/>
    <w:rsid w:val="005C036D"/>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3E73"/>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3A9E"/>
    <w:rsid w:val="0062417D"/>
    <w:rsid w:val="00625AFB"/>
    <w:rsid w:val="00626796"/>
    <w:rsid w:val="0062722E"/>
    <w:rsid w:val="00633086"/>
    <w:rsid w:val="00635E25"/>
    <w:rsid w:val="00635FBA"/>
    <w:rsid w:val="0063671A"/>
    <w:rsid w:val="00636DFC"/>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224"/>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215F"/>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A31"/>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1554"/>
    <w:rsid w:val="007121B2"/>
    <w:rsid w:val="00713D30"/>
    <w:rsid w:val="007144D0"/>
    <w:rsid w:val="00714BC8"/>
    <w:rsid w:val="0071583B"/>
    <w:rsid w:val="0071661C"/>
    <w:rsid w:val="007168E1"/>
    <w:rsid w:val="00720101"/>
    <w:rsid w:val="007206C8"/>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2E9A"/>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D767F"/>
    <w:rsid w:val="007E09EE"/>
    <w:rsid w:val="007E0F13"/>
    <w:rsid w:val="007E1294"/>
    <w:rsid w:val="007E19D6"/>
    <w:rsid w:val="007E37FD"/>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6A9A"/>
    <w:rsid w:val="008573EF"/>
    <w:rsid w:val="00857571"/>
    <w:rsid w:val="0086108F"/>
    <w:rsid w:val="0086125B"/>
    <w:rsid w:val="0086208A"/>
    <w:rsid w:val="00863197"/>
    <w:rsid w:val="00863727"/>
    <w:rsid w:val="00863975"/>
    <w:rsid w:val="00863B00"/>
    <w:rsid w:val="00865553"/>
    <w:rsid w:val="0086641F"/>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53A"/>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072D1"/>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26B2"/>
    <w:rsid w:val="0098378B"/>
    <w:rsid w:val="00983CD0"/>
    <w:rsid w:val="009858BF"/>
    <w:rsid w:val="009867F7"/>
    <w:rsid w:val="0098728F"/>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B0"/>
    <w:rsid w:val="00A414D0"/>
    <w:rsid w:val="00A416DA"/>
    <w:rsid w:val="00A42407"/>
    <w:rsid w:val="00A42683"/>
    <w:rsid w:val="00A433FE"/>
    <w:rsid w:val="00A43A10"/>
    <w:rsid w:val="00A44493"/>
    <w:rsid w:val="00A451F1"/>
    <w:rsid w:val="00A452D9"/>
    <w:rsid w:val="00A4551C"/>
    <w:rsid w:val="00A45AA2"/>
    <w:rsid w:val="00A45BF1"/>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173"/>
    <w:rsid w:val="00A71B7F"/>
    <w:rsid w:val="00A726A3"/>
    <w:rsid w:val="00A72EC4"/>
    <w:rsid w:val="00A72F6D"/>
    <w:rsid w:val="00A72F90"/>
    <w:rsid w:val="00A7322C"/>
    <w:rsid w:val="00A7518F"/>
    <w:rsid w:val="00A7537A"/>
    <w:rsid w:val="00A7546F"/>
    <w:rsid w:val="00A756DC"/>
    <w:rsid w:val="00A75879"/>
    <w:rsid w:val="00A7694C"/>
    <w:rsid w:val="00A76DDB"/>
    <w:rsid w:val="00A772AC"/>
    <w:rsid w:val="00A801AA"/>
    <w:rsid w:val="00A80A29"/>
    <w:rsid w:val="00A80E15"/>
    <w:rsid w:val="00A81A56"/>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70B"/>
    <w:rsid w:val="00AE6D5D"/>
    <w:rsid w:val="00AE7D95"/>
    <w:rsid w:val="00AF02C1"/>
    <w:rsid w:val="00AF0742"/>
    <w:rsid w:val="00AF077F"/>
    <w:rsid w:val="00AF1677"/>
    <w:rsid w:val="00AF1689"/>
    <w:rsid w:val="00AF1FAF"/>
    <w:rsid w:val="00AF2E78"/>
    <w:rsid w:val="00AF42C7"/>
    <w:rsid w:val="00AF49BB"/>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49D2"/>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9EF"/>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4D10"/>
    <w:rsid w:val="00B6584F"/>
    <w:rsid w:val="00B65F94"/>
    <w:rsid w:val="00B66498"/>
    <w:rsid w:val="00B67D26"/>
    <w:rsid w:val="00B71734"/>
    <w:rsid w:val="00B71859"/>
    <w:rsid w:val="00B733AC"/>
    <w:rsid w:val="00B742A1"/>
    <w:rsid w:val="00B754DE"/>
    <w:rsid w:val="00B76806"/>
    <w:rsid w:val="00B8231D"/>
    <w:rsid w:val="00B84014"/>
    <w:rsid w:val="00B84A70"/>
    <w:rsid w:val="00B84DE6"/>
    <w:rsid w:val="00B864F5"/>
    <w:rsid w:val="00B86DE2"/>
    <w:rsid w:val="00B87D27"/>
    <w:rsid w:val="00B87EC7"/>
    <w:rsid w:val="00B9038A"/>
    <w:rsid w:val="00B90B19"/>
    <w:rsid w:val="00B91592"/>
    <w:rsid w:val="00B91EC8"/>
    <w:rsid w:val="00B935DF"/>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4207"/>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6DA9"/>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20B7"/>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4C69"/>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20DD"/>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01EF"/>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3B2"/>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84C"/>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7CD"/>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0FDF"/>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1D46"/>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6DC"/>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3E5E"/>
    <w:rsid w:val="00EA44E9"/>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840"/>
    <w:rsid w:val="00EE0DBB"/>
    <w:rsid w:val="00EE10F4"/>
    <w:rsid w:val="00EE1D10"/>
    <w:rsid w:val="00EE2FBF"/>
    <w:rsid w:val="00EE3513"/>
    <w:rsid w:val="00EE36DC"/>
    <w:rsid w:val="00EE6A7B"/>
    <w:rsid w:val="00EE711D"/>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016C"/>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603C"/>
    <w:rsid w:val="00F47751"/>
    <w:rsid w:val="00F5077B"/>
    <w:rsid w:val="00F50D08"/>
    <w:rsid w:val="00F53648"/>
    <w:rsid w:val="00F5567F"/>
    <w:rsid w:val="00F56142"/>
    <w:rsid w:val="00F56CA7"/>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3372"/>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1032C9"/>
    <w:rsid w:val="01477BCB"/>
    <w:rsid w:val="0165774F"/>
    <w:rsid w:val="017513A9"/>
    <w:rsid w:val="01B11E35"/>
    <w:rsid w:val="01C62B3E"/>
    <w:rsid w:val="028407B3"/>
    <w:rsid w:val="02AB3D4B"/>
    <w:rsid w:val="02F2197A"/>
    <w:rsid w:val="03217B69"/>
    <w:rsid w:val="03665B50"/>
    <w:rsid w:val="03BE04CC"/>
    <w:rsid w:val="03E62EB1"/>
    <w:rsid w:val="03EC63C9"/>
    <w:rsid w:val="0413149A"/>
    <w:rsid w:val="0422003D"/>
    <w:rsid w:val="042913CB"/>
    <w:rsid w:val="04D774C5"/>
    <w:rsid w:val="04FF7556"/>
    <w:rsid w:val="054E19A4"/>
    <w:rsid w:val="05771562"/>
    <w:rsid w:val="05826495"/>
    <w:rsid w:val="05852CF4"/>
    <w:rsid w:val="05927A85"/>
    <w:rsid w:val="05CD5A09"/>
    <w:rsid w:val="060F639F"/>
    <w:rsid w:val="066E7569"/>
    <w:rsid w:val="06B37672"/>
    <w:rsid w:val="078F3BF1"/>
    <w:rsid w:val="07A87B3A"/>
    <w:rsid w:val="080E26A1"/>
    <w:rsid w:val="081A348F"/>
    <w:rsid w:val="088C088F"/>
    <w:rsid w:val="096961E0"/>
    <w:rsid w:val="09B3443D"/>
    <w:rsid w:val="09C1409A"/>
    <w:rsid w:val="0A743D85"/>
    <w:rsid w:val="0B6065BA"/>
    <w:rsid w:val="0B961C47"/>
    <w:rsid w:val="0BD55F69"/>
    <w:rsid w:val="0C152235"/>
    <w:rsid w:val="0C3B6140"/>
    <w:rsid w:val="0CD848B8"/>
    <w:rsid w:val="0D504342"/>
    <w:rsid w:val="0D870F11"/>
    <w:rsid w:val="0DB02216"/>
    <w:rsid w:val="0DC5128C"/>
    <w:rsid w:val="0DD9114E"/>
    <w:rsid w:val="0E0408E9"/>
    <w:rsid w:val="0E1664AC"/>
    <w:rsid w:val="0E1C525D"/>
    <w:rsid w:val="0E260891"/>
    <w:rsid w:val="0E725164"/>
    <w:rsid w:val="0EFE4AC2"/>
    <w:rsid w:val="0F882744"/>
    <w:rsid w:val="0F8C22AE"/>
    <w:rsid w:val="101F37A7"/>
    <w:rsid w:val="10CD159B"/>
    <w:rsid w:val="10D02C05"/>
    <w:rsid w:val="10D34B99"/>
    <w:rsid w:val="110732FE"/>
    <w:rsid w:val="115B2DE0"/>
    <w:rsid w:val="11802A9D"/>
    <w:rsid w:val="11A27ED6"/>
    <w:rsid w:val="11D14F29"/>
    <w:rsid w:val="12606AD8"/>
    <w:rsid w:val="12A065D5"/>
    <w:rsid w:val="12B207DE"/>
    <w:rsid w:val="12C66037"/>
    <w:rsid w:val="12D91221"/>
    <w:rsid w:val="134C6EF1"/>
    <w:rsid w:val="13693592"/>
    <w:rsid w:val="137E6AE5"/>
    <w:rsid w:val="13C366E3"/>
    <w:rsid w:val="143F0797"/>
    <w:rsid w:val="1451773B"/>
    <w:rsid w:val="149418A3"/>
    <w:rsid w:val="14C0689A"/>
    <w:rsid w:val="14CB202B"/>
    <w:rsid w:val="14CD3A88"/>
    <w:rsid w:val="14EB5FBC"/>
    <w:rsid w:val="15702678"/>
    <w:rsid w:val="159113BF"/>
    <w:rsid w:val="161A6DC6"/>
    <w:rsid w:val="163F0643"/>
    <w:rsid w:val="16C50244"/>
    <w:rsid w:val="16CF733A"/>
    <w:rsid w:val="171638DB"/>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9D35C0A"/>
    <w:rsid w:val="1A4505F1"/>
    <w:rsid w:val="1A7E4FCF"/>
    <w:rsid w:val="1A8211B0"/>
    <w:rsid w:val="1A8A42CA"/>
    <w:rsid w:val="1AE46560"/>
    <w:rsid w:val="1AED4AA9"/>
    <w:rsid w:val="1B217338"/>
    <w:rsid w:val="1B2A593E"/>
    <w:rsid w:val="1B3D037C"/>
    <w:rsid w:val="1B4C36BB"/>
    <w:rsid w:val="1B4D37FC"/>
    <w:rsid w:val="1B5A5C6B"/>
    <w:rsid w:val="1BAB6C8D"/>
    <w:rsid w:val="1C591711"/>
    <w:rsid w:val="1C6F2165"/>
    <w:rsid w:val="1C7539D5"/>
    <w:rsid w:val="1C7F0946"/>
    <w:rsid w:val="1C93342E"/>
    <w:rsid w:val="1CBD1967"/>
    <w:rsid w:val="1D0936F0"/>
    <w:rsid w:val="1D126FDD"/>
    <w:rsid w:val="1D2F75FB"/>
    <w:rsid w:val="1D8B05A9"/>
    <w:rsid w:val="1DCA664E"/>
    <w:rsid w:val="1DEE0E67"/>
    <w:rsid w:val="1DF12B02"/>
    <w:rsid w:val="1DF717DC"/>
    <w:rsid w:val="1E3F080B"/>
    <w:rsid w:val="1E450182"/>
    <w:rsid w:val="1E5D0198"/>
    <w:rsid w:val="1EDA53E2"/>
    <w:rsid w:val="1EE07F7F"/>
    <w:rsid w:val="1F4F72C9"/>
    <w:rsid w:val="1F5327B5"/>
    <w:rsid w:val="1FA977BF"/>
    <w:rsid w:val="1FC3402A"/>
    <w:rsid w:val="1FE94A78"/>
    <w:rsid w:val="20083BF5"/>
    <w:rsid w:val="20510066"/>
    <w:rsid w:val="206E2E3C"/>
    <w:rsid w:val="20C95670"/>
    <w:rsid w:val="20D06740"/>
    <w:rsid w:val="20EF0E4F"/>
    <w:rsid w:val="20FB4104"/>
    <w:rsid w:val="21050673"/>
    <w:rsid w:val="213F215E"/>
    <w:rsid w:val="21493877"/>
    <w:rsid w:val="214F7FD4"/>
    <w:rsid w:val="216D6944"/>
    <w:rsid w:val="21EF2BF7"/>
    <w:rsid w:val="2217457B"/>
    <w:rsid w:val="22245171"/>
    <w:rsid w:val="22386288"/>
    <w:rsid w:val="22503C1D"/>
    <w:rsid w:val="227B3D94"/>
    <w:rsid w:val="227C521C"/>
    <w:rsid w:val="229B4DEB"/>
    <w:rsid w:val="230E43B2"/>
    <w:rsid w:val="234731C4"/>
    <w:rsid w:val="23553BB3"/>
    <w:rsid w:val="236462EC"/>
    <w:rsid w:val="239E5129"/>
    <w:rsid w:val="241067BA"/>
    <w:rsid w:val="24400E1F"/>
    <w:rsid w:val="247D51DF"/>
    <w:rsid w:val="247E0175"/>
    <w:rsid w:val="248520D7"/>
    <w:rsid w:val="25055713"/>
    <w:rsid w:val="25461B93"/>
    <w:rsid w:val="25755DC7"/>
    <w:rsid w:val="257A1221"/>
    <w:rsid w:val="258F538D"/>
    <w:rsid w:val="26441671"/>
    <w:rsid w:val="26755F3B"/>
    <w:rsid w:val="26A839AE"/>
    <w:rsid w:val="26E0484D"/>
    <w:rsid w:val="27264850"/>
    <w:rsid w:val="27443528"/>
    <w:rsid w:val="27482DA8"/>
    <w:rsid w:val="27595274"/>
    <w:rsid w:val="280B0CBD"/>
    <w:rsid w:val="28174256"/>
    <w:rsid w:val="28312E15"/>
    <w:rsid w:val="283C1DD8"/>
    <w:rsid w:val="28E87C1A"/>
    <w:rsid w:val="29080D00"/>
    <w:rsid w:val="29810EE0"/>
    <w:rsid w:val="299C7E10"/>
    <w:rsid w:val="299E15A9"/>
    <w:rsid w:val="29DB6899"/>
    <w:rsid w:val="2A0C4820"/>
    <w:rsid w:val="2A494F4A"/>
    <w:rsid w:val="2A510C9C"/>
    <w:rsid w:val="2A6C52BE"/>
    <w:rsid w:val="2A805769"/>
    <w:rsid w:val="2A831E2D"/>
    <w:rsid w:val="2ADA11FD"/>
    <w:rsid w:val="2AE03E77"/>
    <w:rsid w:val="2B02634F"/>
    <w:rsid w:val="2B4104F9"/>
    <w:rsid w:val="2BB03D3C"/>
    <w:rsid w:val="2BD05397"/>
    <w:rsid w:val="2C0734F1"/>
    <w:rsid w:val="2C1D6BD5"/>
    <w:rsid w:val="2C546A99"/>
    <w:rsid w:val="2CA44507"/>
    <w:rsid w:val="2CBB4208"/>
    <w:rsid w:val="2CC32C39"/>
    <w:rsid w:val="2CDC0F6F"/>
    <w:rsid w:val="2CE46631"/>
    <w:rsid w:val="2CFD7770"/>
    <w:rsid w:val="2D3A16A4"/>
    <w:rsid w:val="2D606C10"/>
    <w:rsid w:val="2D6D5C07"/>
    <w:rsid w:val="2D7A3971"/>
    <w:rsid w:val="2D921A7D"/>
    <w:rsid w:val="2DA03BFD"/>
    <w:rsid w:val="2DAF2092"/>
    <w:rsid w:val="2EB8264A"/>
    <w:rsid w:val="2F155F21"/>
    <w:rsid w:val="2F914D18"/>
    <w:rsid w:val="2FA87B82"/>
    <w:rsid w:val="30143F05"/>
    <w:rsid w:val="30235B53"/>
    <w:rsid w:val="30F85AFE"/>
    <w:rsid w:val="31996FDB"/>
    <w:rsid w:val="321D7FAE"/>
    <w:rsid w:val="322643C9"/>
    <w:rsid w:val="32383A46"/>
    <w:rsid w:val="327C79C0"/>
    <w:rsid w:val="3296737C"/>
    <w:rsid w:val="32D84909"/>
    <w:rsid w:val="33305A23"/>
    <w:rsid w:val="337A31A4"/>
    <w:rsid w:val="33842D58"/>
    <w:rsid w:val="33C2377D"/>
    <w:rsid w:val="33C318AB"/>
    <w:rsid w:val="33E6570C"/>
    <w:rsid w:val="33F14B85"/>
    <w:rsid w:val="34293A3F"/>
    <w:rsid w:val="34710119"/>
    <w:rsid w:val="347673CF"/>
    <w:rsid w:val="348E47AF"/>
    <w:rsid w:val="34DF325D"/>
    <w:rsid w:val="35444772"/>
    <w:rsid w:val="35586B6B"/>
    <w:rsid w:val="36297FEC"/>
    <w:rsid w:val="364C66D0"/>
    <w:rsid w:val="36566100"/>
    <w:rsid w:val="365F17D9"/>
    <w:rsid w:val="36806E56"/>
    <w:rsid w:val="36C1498C"/>
    <w:rsid w:val="36E763F9"/>
    <w:rsid w:val="36FA25D0"/>
    <w:rsid w:val="3795459A"/>
    <w:rsid w:val="37B3452D"/>
    <w:rsid w:val="384C2872"/>
    <w:rsid w:val="3947656F"/>
    <w:rsid w:val="39560B33"/>
    <w:rsid w:val="39657518"/>
    <w:rsid w:val="398840B5"/>
    <w:rsid w:val="39A8171C"/>
    <w:rsid w:val="39EA702F"/>
    <w:rsid w:val="3AB234E7"/>
    <w:rsid w:val="3ABA54C6"/>
    <w:rsid w:val="3ABF56FA"/>
    <w:rsid w:val="3B1855C6"/>
    <w:rsid w:val="3B1E59BD"/>
    <w:rsid w:val="3B3B31B7"/>
    <w:rsid w:val="3B5D41A9"/>
    <w:rsid w:val="3B6237C2"/>
    <w:rsid w:val="3B8C3A12"/>
    <w:rsid w:val="3BC57B8F"/>
    <w:rsid w:val="3BCA5316"/>
    <w:rsid w:val="3BE056F1"/>
    <w:rsid w:val="3BE159ED"/>
    <w:rsid w:val="3C1F7ED7"/>
    <w:rsid w:val="3C2B4FD9"/>
    <w:rsid w:val="3C4953F6"/>
    <w:rsid w:val="3C7A15FE"/>
    <w:rsid w:val="3C7A2F1B"/>
    <w:rsid w:val="3C9C54B2"/>
    <w:rsid w:val="3CB745C8"/>
    <w:rsid w:val="3CB75C8C"/>
    <w:rsid w:val="3CD842BA"/>
    <w:rsid w:val="3CED04E1"/>
    <w:rsid w:val="3D0F5FEB"/>
    <w:rsid w:val="3D154364"/>
    <w:rsid w:val="3D3922A2"/>
    <w:rsid w:val="3D734A47"/>
    <w:rsid w:val="3D92781D"/>
    <w:rsid w:val="3DAB77F5"/>
    <w:rsid w:val="3DCC2C13"/>
    <w:rsid w:val="3DE82198"/>
    <w:rsid w:val="3E2D1234"/>
    <w:rsid w:val="3E846C23"/>
    <w:rsid w:val="3E884A7C"/>
    <w:rsid w:val="3E913314"/>
    <w:rsid w:val="3EA07B02"/>
    <w:rsid w:val="3EAD0CC4"/>
    <w:rsid w:val="3EDE7167"/>
    <w:rsid w:val="3EE649B0"/>
    <w:rsid w:val="3EFE4C27"/>
    <w:rsid w:val="3F3B0C9D"/>
    <w:rsid w:val="3FBB6674"/>
    <w:rsid w:val="3FDD1D9F"/>
    <w:rsid w:val="3FDF4001"/>
    <w:rsid w:val="3FF20EF0"/>
    <w:rsid w:val="3FF81C6C"/>
    <w:rsid w:val="40023ED6"/>
    <w:rsid w:val="40507645"/>
    <w:rsid w:val="409273C5"/>
    <w:rsid w:val="409A272E"/>
    <w:rsid w:val="40AB1B96"/>
    <w:rsid w:val="40AC57AD"/>
    <w:rsid w:val="40C95B0C"/>
    <w:rsid w:val="40DA0D7C"/>
    <w:rsid w:val="40E02836"/>
    <w:rsid w:val="4116259D"/>
    <w:rsid w:val="41724CF5"/>
    <w:rsid w:val="418A2378"/>
    <w:rsid w:val="41E37EB6"/>
    <w:rsid w:val="42C86C2C"/>
    <w:rsid w:val="43422FC4"/>
    <w:rsid w:val="434B5F61"/>
    <w:rsid w:val="440C56F0"/>
    <w:rsid w:val="44615A3C"/>
    <w:rsid w:val="448D5F45"/>
    <w:rsid w:val="45092B28"/>
    <w:rsid w:val="451166B5"/>
    <w:rsid w:val="45325A24"/>
    <w:rsid w:val="45381387"/>
    <w:rsid w:val="45970786"/>
    <w:rsid w:val="45BE0526"/>
    <w:rsid w:val="45CC091B"/>
    <w:rsid w:val="45E76415"/>
    <w:rsid w:val="463D6035"/>
    <w:rsid w:val="46521F1E"/>
    <w:rsid w:val="46B87BDD"/>
    <w:rsid w:val="46D5554A"/>
    <w:rsid w:val="46E850EA"/>
    <w:rsid w:val="46F94504"/>
    <w:rsid w:val="471A6376"/>
    <w:rsid w:val="476F2186"/>
    <w:rsid w:val="47C83729"/>
    <w:rsid w:val="47F807CD"/>
    <w:rsid w:val="48454C1B"/>
    <w:rsid w:val="48472F17"/>
    <w:rsid w:val="484D39DA"/>
    <w:rsid w:val="48590EF7"/>
    <w:rsid w:val="48620222"/>
    <w:rsid w:val="48952302"/>
    <w:rsid w:val="48B06C95"/>
    <w:rsid w:val="48BD16AF"/>
    <w:rsid w:val="490C7D41"/>
    <w:rsid w:val="495649FA"/>
    <w:rsid w:val="4A204B14"/>
    <w:rsid w:val="4A675E62"/>
    <w:rsid w:val="4A69067C"/>
    <w:rsid w:val="4AB12DCF"/>
    <w:rsid w:val="4AB40015"/>
    <w:rsid w:val="4AE31F58"/>
    <w:rsid w:val="4B054C48"/>
    <w:rsid w:val="4B0D3348"/>
    <w:rsid w:val="4B31189E"/>
    <w:rsid w:val="4B406CC7"/>
    <w:rsid w:val="4BA426B2"/>
    <w:rsid w:val="4C71597A"/>
    <w:rsid w:val="4CEA0599"/>
    <w:rsid w:val="4D4C4DB0"/>
    <w:rsid w:val="4D690508"/>
    <w:rsid w:val="4DB43081"/>
    <w:rsid w:val="4DB52828"/>
    <w:rsid w:val="4DFB054F"/>
    <w:rsid w:val="4E21448E"/>
    <w:rsid w:val="4EA40E15"/>
    <w:rsid w:val="4EC90CCF"/>
    <w:rsid w:val="4EE014EC"/>
    <w:rsid w:val="4EEA5B05"/>
    <w:rsid w:val="4F0D339E"/>
    <w:rsid w:val="4F277882"/>
    <w:rsid w:val="4F2B6026"/>
    <w:rsid w:val="4F46700B"/>
    <w:rsid w:val="4F4A7C2E"/>
    <w:rsid w:val="4F6C1739"/>
    <w:rsid w:val="4F7C445D"/>
    <w:rsid w:val="4FAA3D56"/>
    <w:rsid w:val="4FAC0CFF"/>
    <w:rsid w:val="4FB542D4"/>
    <w:rsid w:val="50242014"/>
    <w:rsid w:val="503F0BFC"/>
    <w:rsid w:val="50916485"/>
    <w:rsid w:val="509A7021"/>
    <w:rsid w:val="50A63F9F"/>
    <w:rsid w:val="50CE4F4B"/>
    <w:rsid w:val="50FF32D2"/>
    <w:rsid w:val="51044A52"/>
    <w:rsid w:val="510B4369"/>
    <w:rsid w:val="512A18AC"/>
    <w:rsid w:val="51424ECF"/>
    <w:rsid w:val="51550EA9"/>
    <w:rsid w:val="517E39D7"/>
    <w:rsid w:val="519A542A"/>
    <w:rsid w:val="51CB6BEB"/>
    <w:rsid w:val="51CD4715"/>
    <w:rsid w:val="51EE06FB"/>
    <w:rsid w:val="52016BD2"/>
    <w:rsid w:val="52603BA0"/>
    <w:rsid w:val="527B0E1B"/>
    <w:rsid w:val="52D47D21"/>
    <w:rsid w:val="537230CA"/>
    <w:rsid w:val="53D6609D"/>
    <w:rsid w:val="53FC6ACE"/>
    <w:rsid w:val="54147B52"/>
    <w:rsid w:val="5422216D"/>
    <w:rsid w:val="54660E4D"/>
    <w:rsid w:val="5484665D"/>
    <w:rsid w:val="54E95397"/>
    <w:rsid w:val="558D5808"/>
    <w:rsid w:val="558F5415"/>
    <w:rsid w:val="55961626"/>
    <w:rsid w:val="55FF50B5"/>
    <w:rsid w:val="56073F6A"/>
    <w:rsid w:val="56174349"/>
    <w:rsid w:val="56215A85"/>
    <w:rsid w:val="563C1E65"/>
    <w:rsid w:val="564D060A"/>
    <w:rsid w:val="56BC5F12"/>
    <w:rsid w:val="56BF4844"/>
    <w:rsid w:val="56D95720"/>
    <w:rsid w:val="56FC682E"/>
    <w:rsid w:val="57155A40"/>
    <w:rsid w:val="575A2A2C"/>
    <w:rsid w:val="575C1CC8"/>
    <w:rsid w:val="5780763F"/>
    <w:rsid w:val="57B40121"/>
    <w:rsid w:val="580C532F"/>
    <w:rsid w:val="586A6BDB"/>
    <w:rsid w:val="586D2BCD"/>
    <w:rsid w:val="587961F1"/>
    <w:rsid w:val="58832326"/>
    <w:rsid w:val="58A957AC"/>
    <w:rsid w:val="58CB6BE3"/>
    <w:rsid w:val="58DF56BC"/>
    <w:rsid w:val="595B4CF8"/>
    <w:rsid w:val="596811C3"/>
    <w:rsid w:val="5991071A"/>
    <w:rsid w:val="59A2740C"/>
    <w:rsid w:val="59B71030"/>
    <w:rsid w:val="59B75A38"/>
    <w:rsid w:val="59BB08D8"/>
    <w:rsid w:val="5A160809"/>
    <w:rsid w:val="5A5D7CC7"/>
    <w:rsid w:val="5AB7186C"/>
    <w:rsid w:val="5AF133E1"/>
    <w:rsid w:val="5B411CCC"/>
    <w:rsid w:val="5C0E0B8D"/>
    <w:rsid w:val="5C37671C"/>
    <w:rsid w:val="5C673325"/>
    <w:rsid w:val="5C757E7F"/>
    <w:rsid w:val="5CC11316"/>
    <w:rsid w:val="5CCB3F43"/>
    <w:rsid w:val="5D5D591D"/>
    <w:rsid w:val="5D783CDA"/>
    <w:rsid w:val="5E67546A"/>
    <w:rsid w:val="5E7509F3"/>
    <w:rsid w:val="5F0A6F31"/>
    <w:rsid w:val="5F2658AB"/>
    <w:rsid w:val="5FC4513D"/>
    <w:rsid w:val="5FC51DA0"/>
    <w:rsid w:val="60232C89"/>
    <w:rsid w:val="60602BF4"/>
    <w:rsid w:val="6080745F"/>
    <w:rsid w:val="61314591"/>
    <w:rsid w:val="6131633F"/>
    <w:rsid w:val="616F47F8"/>
    <w:rsid w:val="62982F8C"/>
    <w:rsid w:val="62EF64B1"/>
    <w:rsid w:val="62F7618C"/>
    <w:rsid w:val="63AD56B0"/>
    <w:rsid w:val="63DF4596"/>
    <w:rsid w:val="63F14444"/>
    <w:rsid w:val="642F4DB7"/>
    <w:rsid w:val="644B5969"/>
    <w:rsid w:val="64AA756E"/>
    <w:rsid w:val="64AC28AC"/>
    <w:rsid w:val="64D0523F"/>
    <w:rsid w:val="64D43BB1"/>
    <w:rsid w:val="65037FF2"/>
    <w:rsid w:val="65213759"/>
    <w:rsid w:val="65926EDA"/>
    <w:rsid w:val="65AA7225"/>
    <w:rsid w:val="65D07218"/>
    <w:rsid w:val="661965E1"/>
    <w:rsid w:val="664A6DB3"/>
    <w:rsid w:val="667446D6"/>
    <w:rsid w:val="67527824"/>
    <w:rsid w:val="67661BC6"/>
    <w:rsid w:val="67A7735B"/>
    <w:rsid w:val="67AA59CE"/>
    <w:rsid w:val="68021003"/>
    <w:rsid w:val="68024095"/>
    <w:rsid w:val="68137D28"/>
    <w:rsid w:val="682B7F8C"/>
    <w:rsid w:val="68407CED"/>
    <w:rsid w:val="6864090D"/>
    <w:rsid w:val="68E819D9"/>
    <w:rsid w:val="692D1AE1"/>
    <w:rsid w:val="696B5AAF"/>
    <w:rsid w:val="698F4691"/>
    <w:rsid w:val="69903460"/>
    <w:rsid w:val="699851AD"/>
    <w:rsid w:val="69B67D29"/>
    <w:rsid w:val="69C85B3E"/>
    <w:rsid w:val="6B2111D2"/>
    <w:rsid w:val="6BE83A33"/>
    <w:rsid w:val="6C113D26"/>
    <w:rsid w:val="6C1B20C5"/>
    <w:rsid w:val="6C3311BD"/>
    <w:rsid w:val="6C717FC7"/>
    <w:rsid w:val="6CAA3DF3"/>
    <w:rsid w:val="6CE8245D"/>
    <w:rsid w:val="6D0A10DE"/>
    <w:rsid w:val="6D4E6DD0"/>
    <w:rsid w:val="6DD100F1"/>
    <w:rsid w:val="6E2A65EF"/>
    <w:rsid w:val="6E3B4867"/>
    <w:rsid w:val="6E7354E8"/>
    <w:rsid w:val="6EA66D41"/>
    <w:rsid w:val="6F1E6154"/>
    <w:rsid w:val="6F3A26E8"/>
    <w:rsid w:val="6F50760F"/>
    <w:rsid w:val="6F881EDF"/>
    <w:rsid w:val="6FB645DF"/>
    <w:rsid w:val="70131A31"/>
    <w:rsid w:val="702E686B"/>
    <w:rsid w:val="706F0D4A"/>
    <w:rsid w:val="70981225"/>
    <w:rsid w:val="70BE7462"/>
    <w:rsid w:val="71937888"/>
    <w:rsid w:val="719E4CA8"/>
    <w:rsid w:val="71B30A46"/>
    <w:rsid w:val="725B4129"/>
    <w:rsid w:val="733221CE"/>
    <w:rsid w:val="7366378E"/>
    <w:rsid w:val="73712635"/>
    <w:rsid w:val="74445654"/>
    <w:rsid w:val="74461453"/>
    <w:rsid w:val="74614A1C"/>
    <w:rsid w:val="74BF306B"/>
    <w:rsid w:val="74DD43BC"/>
    <w:rsid w:val="752821B9"/>
    <w:rsid w:val="752D5343"/>
    <w:rsid w:val="75457105"/>
    <w:rsid w:val="75846F2D"/>
    <w:rsid w:val="75C60B79"/>
    <w:rsid w:val="75CF60A7"/>
    <w:rsid w:val="76AB70C1"/>
    <w:rsid w:val="76AD3FF9"/>
    <w:rsid w:val="76D252C8"/>
    <w:rsid w:val="76FA2A99"/>
    <w:rsid w:val="7771546F"/>
    <w:rsid w:val="777D4BE9"/>
    <w:rsid w:val="779A3579"/>
    <w:rsid w:val="77D10621"/>
    <w:rsid w:val="77F51D1A"/>
    <w:rsid w:val="78092C74"/>
    <w:rsid w:val="78E201F2"/>
    <w:rsid w:val="792408D3"/>
    <w:rsid w:val="794C1B10"/>
    <w:rsid w:val="795F350D"/>
    <w:rsid w:val="79866C7A"/>
    <w:rsid w:val="79895EAC"/>
    <w:rsid w:val="799236E7"/>
    <w:rsid w:val="79993AD1"/>
    <w:rsid w:val="79BC7FBE"/>
    <w:rsid w:val="7A04260F"/>
    <w:rsid w:val="7AA428F7"/>
    <w:rsid w:val="7AED106F"/>
    <w:rsid w:val="7B312AF7"/>
    <w:rsid w:val="7B4F5449"/>
    <w:rsid w:val="7B5C32EC"/>
    <w:rsid w:val="7BD32074"/>
    <w:rsid w:val="7C1525C8"/>
    <w:rsid w:val="7C380FE6"/>
    <w:rsid w:val="7C3B0FE1"/>
    <w:rsid w:val="7C517662"/>
    <w:rsid w:val="7C8D40C6"/>
    <w:rsid w:val="7C8F68E3"/>
    <w:rsid w:val="7CA227A5"/>
    <w:rsid w:val="7CBC0D5A"/>
    <w:rsid w:val="7CF92B0D"/>
    <w:rsid w:val="7CFC140B"/>
    <w:rsid w:val="7D094F84"/>
    <w:rsid w:val="7D155246"/>
    <w:rsid w:val="7D2B0B2C"/>
    <w:rsid w:val="7D4E057E"/>
    <w:rsid w:val="7D652500"/>
    <w:rsid w:val="7D68356F"/>
    <w:rsid w:val="7D730CDE"/>
    <w:rsid w:val="7DBA31B2"/>
    <w:rsid w:val="7DC2406E"/>
    <w:rsid w:val="7DD17CDB"/>
    <w:rsid w:val="7E2911F2"/>
    <w:rsid w:val="7E4B67C3"/>
    <w:rsid w:val="7ED56104"/>
    <w:rsid w:val="7EE84D92"/>
    <w:rsid w:val="7EEF18BB"/>
    <w:rsid w:val="7F295485"/>
    <w:rsid w:val="7F341DFF"/>
    <w:rsid w:val="7F9FD69F"/>
    <w:rsid w:val="7FE54D11"/>
    <w:rsid w:val="7FF81F25"/>
    <w:rsid w:val="7FFD0D27"/>
    <w:rsid w:val="BCFF7E4B"/>
    <w:rsid w:val="FFFB26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5"/>
    <w:qFormat/>
    <w:uiPriority w:val="0"/>
    <w:pPr>
      <w:keepNext/>
      <w:keepLines/>
      <w:spacing w:before="260" w:after="260" w:line="416" w:lineRule="auto"/>
      <w:outlineLvl w:val="2"/>
    </w:pPr>
    <w:rPr>
      <w:b/>
      <w:bCs/>
      <w:kern w:val="0"/>
      <w:sz w:val="32"/>
      <w:szCs w:val="32"/>
    </w:rPr>
  </w:style>
  <w:style w:type="paragraph" w:styleId="6">
    <w:name w:val="heading 4"/>
    <w:basedOn w:val="1"/>
    <w:next w:val="7"/>
    <w:link w:val="46"/>
    <w:qFormat/>
    <w:uiPriority w:val="0"/>
    <w:pPr>
      <w:keepNext/>
      <w:jc w:val="center"/>
      <w:outlineLvl w:val="3"/>
    </w:pPr>
    <w:rPr>
      <w:rFonts w:eastAsia="新宋体"/>
      <w:kern w:val="0"/>
      <w:sz w:val="30"/>
      <w:szCs w:val="21"/>
    </w:rPr>
  </w:style>
  <w:style w:type="paragraph" w:styleId="9">
    <w:name w:val="heading 5"/>
    <w:basedOn w:val="1"/>
    <w:next w:val="1"/>
    <w:link w:val="47"/>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48"/>
    <w:qFormat/>
    <w:uiPriority w:val="0"/>
    <w:pPr>
      <w:keepNext/>
      <w:jc w:val="center"/>
      <w:outlineLvl w:val="5"/>
    </w:pPr>
    <w:rPr>
      <w:b/>
      <w:kern w:val="0"/>
      <w:sz w:val="44"/>
      <w:szCs w:val="20"/>
    </w:rPr>
  </w:style>
  <w:style w:type="paragraph" w:styleId="11">
    <w:name w:val="heading 7"/>
    <w:basedOn w:val="1"/>
    <w:next w:val="1"/>
    <w:link w:val="49"/>
    <w:qFormat/>
    <w:uiPriority w:val="0"/>
    <w:pPr>
      <w:keepNext/>
      <w:keepLines/>
      <w:spacing w:before="240" w:after="64" w:line="320" w:lineRule="auto"/>
      <w:outlineLvl w:val="6"/>
    </w:pPr>
    <w:rPr>
      <w:b/>
      <w:bCs/>
      <w:kern w:val="0"/>
      <w:sz w:val="24"/>
    </w:rPr>
  </w:style>
  <w:style w:type="paragraph" w:styleId="12">
    <w:name w:val="heading 8"/>
    <w:basedOn w:val="1"/>
    <w:next w:val="1"/>
    <w:link w:val="50"/>
    <w:qFormat/>
    <w:uiPriority w:val="0"/>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51"/>
    <w:qFormat/>
    <w:uiPriority w:val="0"/>
    <w:pPr>
      <w:keepNext/>
      <w:keepLines/>
      <w:spacing w:before="240" w:after="64" w:line="320"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0"/>
    <w:qFormat/>
    <w:uiPriority w:val="0"/>
    <w:pPr>
      <w:spacing w:line="500" w:lineRule="exact"/>
      <w:ind w:firstLine="560" w:firstLineChars="200"/>
    </w:pPr>
    <w:rPr>
      <w:rFonts w:eastAsia="仿宋_GB2312"/>
      <w:kern w:val="0"/>
      <w:sz w:val="28"/>
      <w:szCs w:val="20"/>
    </w:rPr>
  </w:style>
  <w:style w:type="paragraph" w:styleId="7">
    <w:name w:val="Normal Indent"/>
    <w:basedOn w:val="1"/>
    <w:next w:val="8"/>
    <w:link w:val="52"/>
    <w:qFormat/>
    <w:uiPriority w:val="0"/>
    <w:pPr>
      <w:ind w:firstLine="420"/>
    </w:pPr>
    <w:rPr>
      <w:kern w:val="0"/>
      <w:sz w:val="20"/>
      <w:szCs w:val="20"/>
    </w:rPr>
  </w:style>
  <w:style w:type="paragraph" w:styleId="8">
    <w:name w:val="Plain Text"/>
    <w:basedOn w:val="1"/>
    <w:link w:val="58"/>
    <w:qFormat/>
    <w:uiPriority w:val="0"/>
    <w:rPr>
      <w:rFonts w:ascii="宋体" w:hAnsi="Courier New"/>
      <w:kern w:val="0"/>
      <w:sz w:val="20"/>
      <w:szCs w:val="21"/>
    </w:rPr>
  </w:style>
  <w:style w:type="paragraph" w:styleId="14">
    <w:name w:val="Note Heading"/>
    <w:basedOn w:val="1"/>
    <w:next w:val="1"/>
    <w:qFormat/>
    <w:uiPriority w:val="0"/>
    <w:rPr>
      <w:rFonts w:ascii="Verdana" w:hAnsi="Verdana"/>
      <w:szCs w:val="20"/>
    </w:rPr>
  </w:style>
  <w:style w:type="paragraph" w:styleId="15">
    <w:name w:val="Document Map"/>
    <w:basedOn w:val="1"/>
    <w:link w:val="53"/>
    <w:semiHidden/>
    <w:qFormat/>
    <w:uiPriority w:val="0"/>
    <w:pPr>
      <w:shd w:val="clear" w:color="auto" w:fill="000080"/>
    </w:pPr>
    <w:rPr>
      <w:kern w:val="0"/>
      <w:sz w:val="20"/>
    </w:r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7">
    <w:name w:val="annotation text"/>
    <w:basedOn w:val="1"/>
    <w:link w:val="54"/>
    <w:unhideWhenUsed/>
    <w:qFormat/>
    <w:uiPriority w:val="99"/>
    <w:pPr>
      <w:jc w:val="left"/>
    </w:pPr>
  </w:style>
  <w:style w:type="paragraph" w:styleId="18">
    <w:name w:val="Body Text 3"/>
    <w:basedOn w:val="1"/>
    <w:link w:val="55"/>
    <w:qFormat/>
    <w:uiPriority w:val="0"/>
    <w:pPr>
      <w:spacing w:after="120"/>
    </w:pPr>
    <w:rPr>
      <w:kern w:val="0"/>
      <w:sz w:val="16"/>
      <w:szCs w:val="16"/>
    </w:rPr>
  </w:style>
  <w:style w:type="paragraph" w:styleId="19">
    <w:name w:val="Body Text"/>
    <w:basedOn w:val="1"/>
    <w:link w:val="56"/>
    <w:qFormat/>
    <w:uiPriority w:val="0"/>
    <w:rPr>
      <w:rFonts w:ascii="仿宋_GB2312" w:eastAsia="仿宋_GB2312"/>
      <w:kern w:val="0"/>
      <w:sz w:val="24"/>
      <w:szCs w:val="20"/>
    </w:rPr>
  </w:style>
  <w:style w:type="paragraph" w:styleId="20">
    <w:name w:val="Body Text Indent"/>
    <w:basedOn w:val="1"/>
    <w:next w:val="21"/>
    <w:link w:val="57"/>
    <w:qFormat/>
    <w:uiPriority w:val="0"/>
    <w:pPr>
      <w:ind w:left="765"/>
    </w:pPr>
    <w:rPr>
      <w:rFonts w:ascii="仿宋_GB2312" w:eastAsia="仿宋_GB2312"/>
      <w:kern w:val="0"/>
      <w:sz w:val="28"/>
      <w:szCs w:val="20"/>
    </w:rPr>
  </w:style>
  <w:style w:type="paragraph" w:styleId="21">
    <w:name w:val="envelope return"/>
    <w:basedOn w:val="1"/>
    <w:unhideWhenUsed/>
    <w:qFormat/>
    <w:uiPriority w:val="99"/>
    <w:pPr>
      <w:snapToGrid w:val="0"/>
    </w:pPr>
    <w:rPr>
      <w:rFonts w:ascii="Arial" w:hAnsi="Arial"/>
    </w:rPr>
  </w:style>
  <w:style w:type="paragraph" w:styleId="22">
    <w:name w:val="Block Text"/>
    <w:basedOn w:val="1"/>
    <w:next w:val="19"/>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Date"/>
    <w:basedOn w:val="1"/>
    <w:next w:val="1"/>
    <w:link w:val="59"/>
    <w:qFormat/>
    <w:uiPriority w:val="0"/>
    <w:rPr>
      <w:kern w:val="0"/>
      <w:sz w:val="24"/>
      <w:szCs w:val="20"/>
    </w:rPr>
  </w:style>
  <w:style w:type="paragraph" w:styleId="24">
    <w:name w:val="Balloon Text"/>
    <w:basedOn w:val="1"/>
    <w:link w:val="61"/>
    <w:semiHidden/>
    <w:qFormat/>
    <w:uiPriority w:val="0"/>
    <w:rPr>
      <w:kern w:val="0"/>
      <w:sz w:val="18"/>
      <w:szCs w:val="18"/>
    </w:rPr>
  </w:style>
  <w:style w:type="paragraph" w:styleId="25">
    <w:name w:val="footer"/>
    <w:basedOn w:val="1"/>
    <w:link w:val="62"/>
    <w:qFormat/>
    <w:uiPriority w:val="99"/>
    <w:pPr>
      <w:tabs>
        <w:tab w:val="center" w:pos="4153"/>
        <w:tab w:val="right" w:pos="8306"/>
      </w:tabs>
      <w:snapToGrid w:val="0"/>
      <w:jc w:val="left"/>
    </w:pPr>
    <w:rPr>
      <w:kern w:val="0"/>
      <w:sz w:val="18"/>
      <w:szCs w:val="20"/>
    </w:rPr>
  </w:style>
  <w:style w:type="paragraph" w:styleId="26">
    <w:name w:val="header"/>
    <w:basedOn w:val="1"/>
    <w:link w:val="6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qFormat/>
    <w:uiPriority w:val="0"/>
    <w:rPr>
      <w:sz w:val="24"/>
    </w:rPr>
  </w:style>
  <w:style w:type="paragraph" w:styleId="28">
    <w:name w:val="List"/>
    <w:basedOn w:val="1"/>
    <w:qFormat/>
    <w:uiPriority w:val="0"/>
    <w:pPr>
      <w:ind w:left="200" w:hanging="200" w:hangingChars="200"/>
    </w:pPr>
  </w:style>
  <w:style w:type="paragraph" w:styleId="29">
    <w:name w:val="Body Text Indent 3"/>
    <w:basedOn w:val="1"/>
    <w:next w:val="16"/>
    <w:link w:val="64"/>
    <w:qFormat/>
    <w:uiPriority w:val="0"/>
    <w:pPr>
      <w:spacing w:after="120"/>
      <w:ind w:left="420" w:leftChars="200"/>
    </w:pPr>
    <w:rPr>
      <w:kern w:val="0"/>
      <w:sz w:val="16"/>
      <w:szCs w:val="16"/>
    </w:rPr>
  </w:style>
  <w:style w:type="paragraph" w:styleId="30">
    <w:name w:val="Body Text 2"/>
    <w:basedOn w:val="1"/>
    <w:link w:val="65"/>
    <w:qFormat/>
    <w:uiPriority w:val="0"/>
    <w:pPr>
      <w:snapToGrid w:val="0"/>
    </w:pPr>
    <w:rPr>
      <w:b/>
      <w:bCs/>
      <w:kern w:val="0"/>
      <w:sz w:val="18"/>
    </w:rPr>
  </w:style>
  <w:style w:type="paragraph" w:styleId="3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2">
    <w:name w:val="annotation subject"/>
    <w:basedOn w:val="17"/>
    <w:next w:val="17"/>
    <w:link w:val="66"/>
    <w:unhideWhenUsed/>
    <w:qFormat/>
    <w:uiPriority w:val="99"/>
    <w:rPr>
      <w:b/>
      <w:bCs/>
    </w:rPr>
  </w:style>
  <w:style w:type="paragraph" w:styleId="33">
    <w:name w:val="Body Text First Indent"/>
    <w:basedOn w:val="19"/>
    <w:link w:val="67"/>
    <w:qFormat/>
    <w:uiPriority w:val="0"/>
    <w:pPr>
      <w:spacing w:after="120"/>
      <w:ind w:firstLine="420" w:firstLineChars="100"/>
    </w:pPr>
    <w:rPr>
      <w:rFonts w:ascii="Times New Roman" w:eastAsia="宋体"/>
      <w:szCs w:val="24"/>
    </w:rPr>
  </w:style>
  <w:style w:type="paragraph" w:styleId="34">
    <w:name w:val="Body Text First Indent 2"/>
    <w:basedOn w:val="20"/>
    <w:unhideWhenUsed/>
    <w:qFormat/>
    <w:uiPriority w:val="99"/>
    <w:pPr>
      <w:ind w:firstLine="200" w:firstLineChars="200"/>
    </w:pPr>
  </w:style>
  <w:style w:type="table" w:styleId="36">
    <w:name w:val="Table Grid"/>
    <w:basedOn w:val="3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qFormat/>
    <w:uiPriority w:val="0"/>
  </w:style>
  <w:style w:type="character" w:styleId="40">
    <w:name w:val="FollowedHyperlink"/>
    <w:qFormat/>
    <w:uiPriority w:val="0"/>
    <w:rPr>
      <w:color w:val="800080"/>
      <w:u w:val="single"/>
    </w:rPr>
  </w:style>
  <w:style w:type="character" w:styleId="41">
    <w:name w:val="Hyperlink"/>
    <w:qFormat/>
    <w:uiPriority w:val="0"/>
    <w:rPr>
      <w:color w:val="0000FF"/>
      <w:u w:val="single"/>
    </w:rPr>
  </w:style>
  <w:style w:type="character" w:styleId="42">
    <w:name w:val="annotation reference"/>
    <w:unhideWhenUsed/>
    <w:qFormat/>
    <w:uiPriority w:val="99"/>
    <w:rPr>
      <w:sz w:val="21"/>
      <w:szCs w:val="21"/>
    </w:rPr>
  </w:style>
  <w:style w:type="character" w:customStyle="1" w:styleId="43">
    <w:name w:val="标题 2 Char"/>
    <w:link w:val="4"/>
    <w:qFormat/>
    <w:uiPriority w:val="0"/>
    <w:rPr>
      <w:rFonts w:ascii="Arial" w:hAnsi="Arial" w:eastAsia="黑体" w:cs="Times New Roman"/>
      <w:b/>
      <w:bCs/>
      <w:sz w:val="32"/>
      <w:szCs w:val="32"/>
    </w:rPr>
  </w:style>
  <w:style w:type="character" w:customStyle="1" w:styleId="44">
    <w:name w:val="标题 1 Char"/>
    <w:link w:val="3"/>
    <w:qFormat/>
    <w:uiPriority w:val="0"/>
    <w:rPr>
      <w:rFonts w:ascii="Times New Roman" w:hAnsi="Times New Roman" w:eastAsia="宋体" w:cs="Times New Roman"/>
      <w:b/>
      <w:bCs/>
      <w:kern w:val="44"/>
      <w:sz w:val="44"/>
      <w:szCs w:val="44"/>
    </w:rPr>
  </w:style>
  <w:style w:type="character" w:customStyle="1" w:styleId="45">
    <w:name w:val="标题 3 Char"/>
    <w:link w:val="5"/>
    <w:qFormat/>
    <w:uiPriority w:val="0"/>
    <w:rPr>
      <w:rFonts w:ascii="Times New Roman" w:hAnsi="Times New Roman" w:eastAsia="宋体" w:cs="Times New Roman"/>
      <w:b/>
      <w:bCs/>
      <w:sz w:val="32"/>
      <w:szCs w:val="32"/>
    </w:rPr>
  </w:style>
  <w:style w:type="character" w:customStyle="1" w:styleId="46">
    <w:name w:val="标题 4 Char"/>
    <w:link w:val="6"/>
    <w:qFormat/>
    <w:uiPriority w:val="0"/>
    <w:rPr>
      <w:rFonts w:ascii="Times New Roman" w:hAnsi="Times New Roman" w:eastAsia="新宋体" w:cs="Times New Roman"/>
      <w:sz w:val="30"/>
      <w:szCs w:val="21"/>
    </w:rPr>
  </w:style>
  <w:style w:type="character" w:customStyle="1" w:styleId="47">
    <w:name w:val="标题 5 Char"/>
    <w:link w:val="9"/>
    <w:qFormat/>
    <w:uiPriority w:val="0"/>
    <w:rPr>
      <w:rFonts w:ascii="Times New Roman" w:hAnsi="Times New Roman" w:eastAsia="宋体" w:cs="Times New Roman"/>
      <w:b/>
      <w:bCs/>
      <w:sz w:val="28"/>
      <w:szCs w:val="28"/>
    </w:rPr>
  </w:style>
  <w:style w:type="character" w:customStyle="1" w:styleId="48">
    <w:name w:val="标题 6 Char"/>
    <w:link w:val="10"/>
    <w:qFormat/>
    <w:uiPriority w:val="0"/>
    <w:rPr>
      <w:rFonts w:ascii="Times New Roman" w:hAnsi="Times New Roman" w:eastAsia="宋体" w:cs="Times New Roman"/>
      <w:b/>
      <w:sz w:val="44"/>
      <w:szCs w:val="20"/>
    </w:rPr>
  </w:style>
  <w:style w:type="character" w:customStyle="1" w:styleId="49">
    <w:name w:val="标题 7 Char"/>
    <w:link w:val="11"/>
    <w:qFormat/>
    <w:uiPriority w:val="0"/>
    <w:rPr>
      <w:rFonts w:ascii="Times New Roman" w:hAnsi="Times New Roman" w:eastAsia="宋体" w:cs="Times New Roman"/>
      <w:b/>
      <w:bCs/>
      <w:sz w:val="24"/>
      <w:szCs w:val="24"/>
    </w:rPr>
  </w:style>
  <w:style w:type="character" w:customStyle="1" w:styleId="50">
    <w:name w:val="标题 8 Char"/>
    <w:link w:val="12"/>
    <w:qFormat/>
    <w:uiPriority w:val="0"/>
    <w:rPr>
      <w:rFonts w:ascii="Arial" w:hAnsi="Arial" w:eastAsia="黑体" w:cs="Times New Roman"/>
      <w:sz w:val="24"/>
      <w:szCs w:val="24"/>
    </w:rPr>
  </w:style>
  <w:style w:type="character" w:customStyle="1" w:styleId="51">
    <w:name w:val="标题 9 Char"/>
    <w:link w:val="13"/>
    <w:qFormat/>
    <w:uiPriority w:val="0"/>
    <w:rPr>
      <w:rFonts w:ascii="Arial" w:hAnsi="Arial" w:eastAsia="黑体" w:cs="Times New Roman"/>
      <w:sz w:val="24"/>
      <w:szCs w:val="21"/>
    </w:rPr>
  </w:style>
  <w:style w:type="character" w:customStyle="1" w:styleId="52">
    <w:name w:val="正文缩进 Char"/>
    <w:link w:val="7"/>
    <w:qFormat/>
    <w:uiPriority w:val="0"/>
    <w:rPr>
      <w:rFonts w:ascii="Times New Roman" w:hAnsi="Times New Roman" w:eastAsia="宋体" w:cs="Times New Roman"/>
      <w:kern w:val="0"/>
      <w:sz w:val="20"/>
      <w:szCs w:val="20"/>
    </w:rPr>
  </w:style>
  <w:style w:type="character" w:customStyle="1" w:styleId="53">
    <w:name w:val="文档结构图 Char"/>
    <w:link w:val="15"/>
    <w:semiHidden/>
    <w:qFormat/>
    <w:uiPriority w:val="0"/>
    <w:rPr>
      <w:szCs w:val="24"/>
      <w:shd w:val="clear" w:color="auto" w:fill="000080"/>
    </w:rPr>
  </w:style>
  <w:style w:type="character" w:customStyle="1" w:styleId="54">
    <w:name w:val="批注文字 Char"/>
    <w:link w:val="17"/>
    <w:qFormat/>
    <w:uiPriority w:val="99"/>
    <w:rPr>
      <w:kern w:val="2"/>
      <w:sz w:val="21"/>
      <w:szCs w:val="24"/>
    </w:rPr>
  </w:style>
  <w:style w:type="character" w:customStyle="1" w:styleId="55">
    <w:name w:val="正文文本 3 Char"/>
    <w:link w:val="18"/>
    <w:qFormat/>
    <w:uiPriority w:val="0"/>
    <w:rPr>
      <w:rFonts w:ascii="Times New Roman" w:hAnsi="Times New Roman" w:eastAsia="宋体" w:cs="Times New Roman"/>
      <w:sz w:val="16"/>
      <w:szCs w:val="16"/>
    </w:rPr>
  </w:style>
  <w:style w:type="character" w:customStyle="1" w:styleId="56">
    <w:name w:val="正文文本 Char"/>
    <w:link w:val="19"/>
    <w:qFormat/>
    <w:uiPriority w:val="0"/>
    <w:rPr>
      <w:rFonts w:ascii="仿宋_GB2312" w:hAnsi="Times New Roman" w:eastAsia="仿宋_GB2312" w:cs="Times New Roman"/>
      <w:sz w:val="24"/>
      <w:szCs w:val="20"/>
    </w:rPr>
  </w:style>
  <w:style w:type="character" w:customStyle="1" w:styleId="57">
    <w:name w:val="正文文本缩进 Char"/>
    <w:link w:val="20"/>
    <w:qFormat/>
    <w:uiPriority w:val="0"/>
    <w:rPr>
      <w:rFonts w:ascii="仿宋_GB2312" w:hAnsi="Times New Roman" w:eastAsia="仿宋_GB2312" w:cs="Times New Roman"/>
      <w:sz w:val="28"/>
      <w:szCs w:val="20"/>
    </w:rPr>
  </w:style>
  <w:style w:type="character" w:customStyle="1" w:styleId="58">
    <w:name w:val="纯文本 Char"/>
    <w:link w:val="8"/>
    <w:qFormat/>
    <w:uiPriority w:val="0"/>
    <w:rPr>
      <w:rFonts w:ascii="宋体" w:hAnsi="Courier New" w:eastAsia="宋体" w:cs="Courier New"/>
      <w:szCs w:val="21"/>
    </w:rPr>
  </w:style>
  <w:style w:type="character" w:customStyle="1" w:styleId="59">
    <w:name w:val="日期 Char"/>
    <w:link w:val="23"/>
    <w:qFormat/>
    <w:uiPriority w:val="0"/>
    <w:rPr>
      <w:rFonts w:ascii="Times New Roman" w:hAnsi="Times New Roman" w:eastAsia="宋体" w:cs="Times New Roman"/>
      <w:sz w:val="24"/>
      <w:szCs w:val="20"/>
    </w:rPr>
  </w:style>
  <w:style w:type="character" w:customStyle="1" w:styleId="60">
    <w:name w:val="正文文本缩进 2 Char"/>
    <w:link w:val="2"/>
    <w:qFormat/>
    <w:uiPriority w:val="0"/>
    <w:rPr>
      <w:rFonts w:ascii="Times New Roman" w:hAnsi="Times New Roman" w:eastAsia="仿宋_GB2312" w:cs="Times New Roman"/>
      <w:sz w:val="28"/>
      <w:szCs w:val="20"/>
    </w:rPr>
  </w:style>
  <w:style w:type="character" w:customStyle="1" w:styleId="61">
    <w:name w:val="批注框文本 Char"/>
    <w:link w:val="24"/>
    <w:semiHidden/>
    <w:qFormat/>
    <w:uiPriority w:val="0"/>
    <w:rPr>
      <w:sz w:val="18"/>
      <w:szCs w:val="18"/>
    </w:rPr>
  </w:style>
  <w:style w:type="character" w:customStyle="1" w:styleId="62">
    <w:name w:val="页脚 Char"/>
    <w:link w:val="25"/>
    <w:qFormat/>
    <w:uiPriority w:val="99"/>
    <w:rPr>
      <w:rFonts w:ascii="Times New Roman" w:hAnsi="Times New Roman" w:eastAsia="宋体" w:cs="Times New Roman"/>
      <w:sz w:val="18"/>
      <w:szCs w:val="20"/>
    </w:rPr>
  </w:style>
  <w:style w:type="character" w:customStyle="1" w:styleId="63">
    <w:name w:val="页眉 Char"/>
    <w:link w:val="26"/>
    <w:qFormat/>
    <w:uiPriority w:val="0"/>
    <w:rPr>
      <w:rFonts w:ascii="Times New Roman" w:hAnsi="Times New Roman" w:eastAsia="宋体" w:cs="Times New Roman"/>
      <w:sz w:val="18"/>
      <w:szCs w:val="18"/>
    </w:rPr>
  </w:style>
  <w:style w:type="character" w:customStyle="1" w:styleId="64">
    <w:name w:val="正文文本缩进 3 Char"/>
    <w:link w:val="29"/>
    <w:qFormat/>
    <w:uiPriority w:val="0"/>
    <w:rPr>
      <w:rFonts w:ascii="Times New Roman" w:hAnsi="Times New Roman" w:eastAsia="宋体" w:cs="Times New Roman"/>
      <w:sz w:val="16"/>
      <w:szCs w:val="16"/>
    </w:rPr>
  </w:style>
  <w:style w:type="character" w:customStyle="1" w:styleId="65">
    <w:name w:val="正文文本 2 Char"/>
    <w:link w:val="30"/>
    <w:qFormat/>
    <w:uiPriority w:val="0"/>
    <w:rPr>
      <w:rFonts w:ascii="Times New Roman" w:hAnsi="Times New Roman" w:eastAsia="宋体" w:cs="Times New Roman"/>
      <w:b/>
      <w:bCs/>
      <w:sz w:val="18"/>
      <w:szCs w:val="24"/>
    </w:rPr>
  </w:style>
  <w:style w:type="character" w:customStyle="1" w:styleId="66">
    <w:name w:val="批注主题 Char"/>
    <w:link w:val="32"/>
    <w:semiHidden/>
    <w:qFormat/>
    <w:uiPriority w:val="99"/>
    <w:rPr>
      <w:b/>
      <w:bCs/>
      <w:kern w:val="2"/>
      <w:sz w:val="21"/>
      <w:szCs w:val="24"/>
    </w:rPr>
  </w:style>
  <w:style w:type="character" w:customStyle="1" w:styleId="67">
    <w:name w:val="正文首行缩进 Char"/>
    <w:link w:val="33"/>
    <w:qFormat/>
    <w:uiPriority w:val="0"/>
    <w:rPr>
      <w:rFonts w:ascii="Times New Roman" w:hAnsi="Times New Roman" w:eastAsia="宋体" w:cs="Times New Roman"/>
      <w:sz w:val="24"/>
      <w:szCs w:val="24"/>
    </w:rPr>
  </w:style>
  <w:style w:type="paragraph" w:customStyle="1" w:styleId="68">
    <w:name w:val="无间隔1"/>
    <w:qFormat/>
    <w:uiPriority w:val="0"/>
    <w:rPr>
      <w:rFonts w:ascii="Times New Roman" w:hAnsi="Times New Roman" w:eastAsia="宋体" w:cs="Calibri"/>
      <w:sz w:val="22"/>
      <w:lang w:val="en-US" w:eastAsia="zh-CN" w:bidi="ar-SA"/>
    </w:rPr>
  </w:style>
  <w:style w:type="paragraph" w:customStyle="1" w:styleId="69">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0">
    <w:name w:val="style4"/>
    <w:basedOn w:val="1"/>
    <w:next w:val="71"/>
    <w:qFormat/>
    <w:uiPriority w:val="0"/>
    <w:pPr>
      <w:widowControl/>
      <w:spacing w:before="280" w:after="280"/>
    </w:pPr>
    <w:rPr>
      <w:rFonts w:ascii="宋体"/>
      <w:sz w:val="18"/>
    </w:rPr>
  </w:style>
  <w:style w:type="paragraph" w:customStyle="1" w:styleId="7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2">
    <w:name w:val="font11"/>
    <w:qFormat/>
    <w:uiPriority w:val="0"/>
    <w:rPr>
      <w:rFonts w:hint="eastAsia" w:ascii="宋体" w:hAnsi="宋体" w:eastAsia="宋体" w:cs="宋体"/>
      <w:color w:val="000000"/>
      <w:sz w:val="24"/>
      <w:szCs w:val="24"/>
      <w:u w:val="none"/>
    </w:rPr>
  </w:style>
  <w:style w:type="character" w:customStyle="1" w:styleId="73">
    <w:name w:val="font41"/>
    <w:qFormat/>
    <w:uiPriority w:val="0"/>
    <w:rPr>
      <w:rFonts w:hint="eastAsia" w:ascii="宋体" w:hAnsi="宋体" w:eastAsia="宋体" w:cs="宋体"/>
      <w:color w:val="FFCC00"/>
      <w:sz w:val="24"/>
      <w:szCs w:val="24"/>
      <w:u w:val="none"/>
    </w:rPr>
  </w:style>
  <w:style w:type="character" w:customStyle="1" w:styleId="74">
    <w:name w:val="样式 ssss + 宋体 五号1 Char"/>
    <w:link w:val="75"/>
    <w:qFormat/>
    <w:uiPriority w:val="0"/>
    <w:rPr>
      <w:rFonts w:ascii="宋体" w:hAnsi="宋体" w:eastAsia="宋体" w:cs="Times New Roman"/>
      <w:sz w:val="24"/>
      <w:szCs w:val="24"/>
    </w:rPr>
  </w:style>
  <w:style w:type="paragraph" w:customStyle="1" w:styleId="75">
    <w:name w:val="样式 ssss + 宋体 五号1"/>
    <w:basedOn w:val="76"/>
    <w:link w:val="74"/>
    <w:qFormat/>
    <w:uiPriority w:val="0"/>
    <w:rPr>
      <w:rFonts w:ascii="宋体" w:hAnsi="宋体"/>
    </w:rPr>
  </w:style>
  <w:style w:type="paragraph" w:customStyle="1" w:styleId="76">
    <w:name w:val="ssss"/>
    <w:basedOn w:val="1"/>
    <w:link w:val="77"/>
    <w:qFormat/>
    <w:uiPriority w:val="0"/>
    <w:pPr>
      <w:spacing w:line="360" w:lineRule="auto"/>
      <w:ind w:firstLine="480" w:firstLineChars="200"/>
    </w:pPr>
    <w:rPr>
      <w:kern w:val="0"/>
      <w:sz w:val="24"/>
    </w:rPr>
  </w:style>
  <w:style w:type="character" w:customStyle="1" w:styleId="77">
    <w:name w:val="ssss Char1"/>
    <w:link w:val="76"/>
    <w:qFormat/>
    <w:uiPriority w:val="0"/>
    <w:rPr>
      <w:rFonts w:ascii="Times New Roman" w:hAnsi="Times New Roman" w:eastAsia="宋体" w:cs="Times New Roman"/>
      <w:sz w:val="24"/>
      <w:szCs w:val="24"/>
    </w:rPr>
  </w:style>
  <w:style w:type="character" w:customStyle="1" w:styleId="78">
    <w:name w:val="font01"/>
    <w:qFormat/>
    <w:uiPriority w:val="0"/>
    <w:rPr>
      <w:rFonts w:hint="eastAsia" w:ascii="宋体" w:hAnsi="宋体" w:eastAsia="宋体" w:cs="宋体"/>
      <w:color w:val="FF0000"/>
      <w:sz w:val="24"/>
      <w:szCs w:val="24"/>
      <w:u w:val="none"/>
    </w:rPr>
  </w:style>
  <w:style w:type="character" w:customStyle="1" w:styleId="79">
    <w:name w:val="point_normal1"/>
    <w:qFormat/>
    <w:uiPriority w:val="0"/>
    <w:rPr>
      <w:rFonts w:hint="default" w:ascii="Arial" w:hAnsi="Arial" w:cs="Arial"/>
      <w:sz w:val="16"/>
      <w:szCs w:val="16"/>
    </w:rPr>
  </w:style>
  <w:style w:type="character" w:customStyle="1" w:styleId="80">
    <w:name w:val="列出段落 Char"/>
    <w:link w:val="81"/>
    <w:qFormat/>
    <w:locked/>
    <w:uiPriority w:val="99"/>
  </w:style>
  <w:style w:type="paragraph" w:styleId="81">
    <w:name w:val="List Paragraph"/>
    <w:basedOn w:val="1"/>
    <w:link w:val="80"/>
    <w:qFormat/>
    <w:uiPriority w:val="99"/>
    <w:pPr>
      <w:ind w:firstLine="420" w:firstLineChars="200"/>
    </w:pPr>
    <w:rPr>
      <w:kern w:val="0"/>
      <w:sz w:val="20"/>
      <w:szCs w:val="20"/>
    </w:rPr>
  </w:style>
  <w:style w:type="character" w:customStyle="1" w:styleId="82">
    <w:name w:val="文档结构图 Char1"/>
    <w:semiHidden/>
    <w:qFormat/>
    <w:uiPriority w:val="99"/>
    <w:rPr>
      <w:rFonts w:ascii="宋体" w:hAnsi="Times New Roman" w:eastAsia="宋体" w:cs="Times New Roman"/>
      <w:sz w:val="18"/>
      <w:szCs w:val="18"/>
    </w:rPr>
  </w:style>
  <w:style w:type="character" w:customStyle="1" w:styleId="83">
    <w:name w:val="普通正文 Char"/>
    <w:link w:val="84"/>
    <w:qFormat/>
    <w:uiPriority w:val="0"/>
    <w:rPr>
      <w:rFonts w:ascii="Arial" w:hAnsi="Arial"/>
      <w:sz w:val="24"/>
      <w:szCs w:val="24"/>
    </w:rPr>
  </w:style>
  <w:style w:type="paragraph" w:customStyle="1" w:styleId="84">
    <w:name w:val="普通正文"/>
    <w:basedOn w:val="1"/>
    <w:link w:val="83"/>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5">
    <w:name w:val="FA正文 Char"/>
    <w:link w:val="86"/>
    <w:qFormat/>
    <w:uiPriority w:val="0"/>
    <w:rPr>
      <w:rFonts w:ascii="宋体" w:hAnsi="宋体" w:eastAsia="宋体" w:cs="Times New Roman"/>
      <w:sz w:val="28"/>
      <w:szCs w:val="28"/>
    </w:rPr>
  </w:style>
  <w:style w:type="paragraph" w:customStyle="1" w:styleId="86">
    <w:name w:val="FA正文"/>
    <w:basedOn w:val="1"/>
    <w:link w:val="85"/>
    <w:qFormat/>
    <w:uiPriority w:val="0"/>
    <w:pPr>
      <w:tabs>
        <w:tab w:val="left" w:pos="3375"/>
      </w:tabs>
      <w:spacing w:line="440" w:lineRule="atLeast"/>
      <w:ind w:firstLine="538" w:firstLineChars="192"/>
    </w:pPr>
    <w:rPr>
      <w:rFonts w:ascii="宋体" w:hAnsi="宋体"/>
      <w:kern w:val="0"/>
      <w:sz w:val="28"/>
      <w:szCs w:val="28"/>
    </w:rPr>
  </w:style>
  <w:style w:type="character" w:customStyle="1" w:styleId="87">
    <w:name w:val="正文缩进2格 Char"/>
    <w:link w:val="88"/>
    <w:qFormat/>
    <w:uiPriority w:val="0"/>
    <w:rPr>
      <w:rFonts w:ascii="仿宋_GB2312" w:hAnsi="宋体" w:eastAsia="仿宋_GB2312" w:cs="Times New Roman"/>
      <w:sz w:val="31"/>
      <w:szCs w:val="28"/>
    </w:rPr>
  </w:style>
  <w:style w:type="paragraph" w:customStyle="1" w:styleId="88">
    <w:name w:val="正文缩进2格"/>
    <w:basedOn w:val="1"/>
    <w:link w:val="87"/>
    <w:qFormat/>
    <w:uiPriority w:val="0"/>
    <w:pPr>
      <w:spacing w:line="600" w:lineRule="exact"/>
      <w:ind w:firstLine="639" w:firstLineChars="206"/>
    </w:pPr>
    <w:rPr>
      <w:rFonts w:ascii="仿宋_GB2312" w:hAnsi="宋体" w:eastAsia="仿宋_GB2312"/>
      <w:kern w:val="0"/>
      <w:sz w:val="31"/>
      <w:szCs w:val="28"/>
    </w:rPr>
  </w:style>
  <w:style w:type="character" w:customStyle="1" w:styleId="89">
    <w:name w:val="cn_text1"/>
    <w:qFormat/>
    <w:uiPriority w:val="0"/>
    <w:rPr>
      <w:rFonts w:hint="default" w:ascii="ˎ̥" w:hAnsi="ˎ̥"/>
      <w:color w:val="003399"/>
      <w:spacing w:val="15"/>
      <w:sz w:val="18"/>
      <w:szCs w:val="18"/>
    </w:rPr>
  </w:style>
  <w:style w:type="character" w:customStyle="1" w:styleId="90">
    <w:name w:val="ssss Char"/>
    <w:qFormat/>
    <w:uiPriority w:val="0"/>
    <w:rPr>
      <w:rFonts w:eastAsia="宋体"/>
      <w:kern w:val="2"/>
      <w:sz w:val="24"/>
      <w:szCs w:val="24"/>
      <w:lang w:val="en-US" w:eastAsia="zh-CN" w:bidi="ar-SA"/>
    </w:rPr>
  </w:style>
  <w:style w:type="character" w:customStyle="1" w:styleId="91">
    <w:name w:val="标题 4 Char1"/>
    <w:qFormat/>
    <w:uiPriority w:val="0"/>
    <w:rPr>
      <w:rFonts w:ascii="Arial" w:hAnsi="Arial" w:eastAsia="黑体"/>
      <w:b/>
      <w:bCs/>
      <w:kern w:val="2"/>
      <w:sz w:val="28"/>
      <w:szCs w:val="28"/>
      <w:lang w:val="en-US" w:eastAsia="zh-CN" w:bidi="ar-SA"/>
    </w:rPr>
  </w:style>
  <w:style w:type="character" w:customStyle="1" w:styleId="92">
    <w:name w:val="列表段落 字符"/>
    <w:qFormat/>
    <w:uiPriority w:val="34"/>
    <w:rPr>
      <w:rFonts w:ascii="Calibri" w:hAnsi="Calibri"/>
      <w:kern w:val="2"/>
      <w:sz w:val="21"/>
      <w:szCs w:val="22"/>
    </w:rPr>
  </w:style>
  <w:style w:type="character" w:customStyle="1" w:styleId="93">
    <w:name w:val="批注框文本 Char1"/>
    <w:semiHidden/>
    <w:qFormat/>
    <w:uiPriority w:val="99"/>
    <w:rPr>
      <w:rFonts w:ascii="Times New Roman" w:hAnsi="Times New Roman" w:eastAsia="宋体" w:cs="Times New Roman"/>
      <w:sz w:val="18"/>
      <w:szCs w:val="18"/>
    </w:rPr>
  </w:style>
  <w:style w:type="paragraph" w:customStyle="1" w:styleId="94">
    <w:name w:val="样式 正文文本缩进 3 + 四号"/>
    <w:basedOn w:val="29"/>
    <w:qFormat/>
    <w:uiPriority w:val="0"/>
    <w:pPr>
      <w:spacing w:after="0" w:line="360" w:lineRule="auto"/>
      <w:ind w:left="0" w:leftChars="0" w:firstLine="437"/>
    </w:pPr>
    <w:rPr>
      <w:sz w:val="24"/>
      <w:szCs w:val="21"/>
    </w:rPr>
  </w:style>
  <w:style w:type="paragraph" w:customStyle="1" w:styleId="95">
    <w:name w:val="Default"/>
    <w:basedOn w:val="1"/>
    <w:qFormat/>
    <w:uiPriority w:val="0"/>
    <w:pPr>
      <w:autoSpaceDE w:val="0"/>
      <w:autoSpaceDN w:val="0"/>
      <w:adjustRightInd w:val="0"/>
      <w:jc w:val="left"/>
    </w:pPr>
    <w:rPr>
      <w:rFonts w:ascii="Arial" w:hAnsi="Arial" w:eastAsia="PMingLiU"/>
      <w:kern w:val="0"/>
      <w:sz w:val="20"/>
      <w:szCs w:val="20"/>
    </w:rPr>
  </w:style>
  <w:style w:type="paragraph" w:customStyle="1" w:styleId="9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7">
    <w:name w:val="正文缩进1"/>
    <w:basedOn w:val="1"/>
    <w:qFormat/>
    <w:uiPriority w:val="0"/>
    <w:pPr>
      <w:widowControl/>
      <w:ind w:firstLine="420"/>
      <w:jc w:val="left"/>
    </w:pPr>
    <w:rPr>
      <w:kern w:val="0"/>
    </w:rPr>
  </w:style>
  <w:style w:type="paragraph" w:customStyle="1" w:styleId="98">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99">
    <w:name w:val="样式 样式 ssss + 宋体 五号 + 首行缩进:  2 字符"/>
    <w:basedOn w:val="100"/>
    <w:qFormat/>
    <w:uiPriority w:val="0"/>
    <w:pPr>
      <w:ind w:firstLine="480"/>
    </w:pPr>
  </w:style>
  <w:style w:type="paragraph" w:customStyle="1" w:styleId="100">
    <w:name w:val="样式 ssss + 宋体 五号"/>
    <w:basedOn w:val="76"/>
    <w:qFormat/>
    <w:uiPriority w:val="0"/>
    <w:pPr>
      <w:ind w:firstLine="420"/>
    </w:pPr>
    <w:rPr>
      <w:rFonts w:ascii="宋体" w:hAnsi="宋体" w:cs="宋体"/>
      <w:szCs w:val="20"/>
    </w:rPr>
  </w:style>
  <w:style w:type="paragraph" w:customStyle="1" w:styleId="101">
    <w:name w:val="Char Char Char Char"/>
    <w:basedOn w:val="1"/>
    <w:qFormat/>
    <w:uiPriority w:val="0"/>
    <w:rPr>
      <w:rFonts w:ascii="Tahoma" w:hAnsi="Tahoma"/>
      <w:sz w:val="24"/>
      <w:szCs w:val="20"/>
    </w:rPr>
  </w:style>
  <w:style w:type="paragraph" w:customStyle="1" w:styleId="102">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标题-----3"/>
    <w:basedOn w:val="5"/>
    <w:qFormat/>
    <w:uiPriority w:val="0"/>
    <w:pPr>
      <w:spacing w:before="0" w:after="0" w:line="240" w:lineRule="auto"/>
      <w:outlineLvl w:val="0"/>
    </w:pPr>
    <w:rPr>
      <w:rFonts w:ascii="宋体" w:hAnsi="宋体"/>
      <w:b w:val="0"/>
      <w:bCs w:val="0"/>
      <w:sz w:val="28"/>
      <w:szCs w:val="28"/>
    </w:rPr>
  </w:style>
  <w:style w:type="paragraph" w:customStyle="1" w:styleId="105">
    <w:name w:val="Char Char Char Char Char Char Char Char Char Char Char Char Char"/>
    <w:basedOn w:val="1"/>
    <w:qFormat/>
    <w:uiPriority w:val="0"/>
  </w:style>
  <w:style w:type="paragraph" w:customStyle="1" w:styleId="106">
    <w:name w:val="表格正文"/>
    <w:basedOn w:val="1"/>
    <w:qFormat/>
    <w:uiPriority w:val="0"/>
    <w:pPr>
      <w:spacing w:line="360" w:lineRule="auto"/>
      <w:jc w:val="left"/>
    </w:pPr>
    <w:rPr>
      <w:rFonts w:ascii="Calibri" w:hAnsi="Calibri"/>
      <w:color w:val="000000"/>
      <w:szCs w:val="28"/>
    </w:rPr>
  </w:style>
  <w:style w:type="paragraph" w:customStyle="1" w:styleId="107">
    <w:name w:val="Char Char Char Char1"/>
    <w:basedOn w:val="1"/>
    <w:qFormat/>
    <w:uiPriority w:val="0"/>
    <w:rPr>
      <w:rFonts w:ascii="Tahoma" w:hAnsi="Tahoma"/>
      <w:sz w:val="24"/>
      <w:szCs w:val="20"/>
    </w:rPr>
  </w:style>
  <w:style w:type="paragraph" w:customStyle="1" w:styleId="108">
    <w:name w:val="Char Char Char"/>
    <w:basedOn w:val="1"/>
    <w:qFormat/>
    <w:uiPriority w:val="0"/>
    <w:rPr>
      <w:rFonts w:ascii="Tahoma" w:hAnsi="Tahoma"/>
      <w:sz w:val="24"/>
      <w:szCs w:val="20"/>
    </w:rPr>
  </w:style>
  <w:style w:type="paragraph" w:customStyle="1" w:styleId="109">
    <w:name w:val="样式 ssss + 居中"/>
    <w:basedOn w:val="76"/>
    <w:qFormat/>
    <w:uiPriority w:val="0"/>
    <w:pPr>
      <w:jc w:val="center"/>
    </w:pPr>
    <w:rPr>
      <w:rFonts w:cs="宋体"/>
      <w:szCs w:val="20"/>
    </w:rPr>
  </w:style>
  <w:style w:type="paragraph" w:customStyle="1" w:styleId="110">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Char"/>
    <w:basedOn w:val="1"/>
    <w:qFormat/>
    <w:uiPriority w:val="0"/>
    <w:rPr>
      <w:rFonts w:ascii="Tahoma" w:hAnsi="Tahoma"/>
      <w:sz w:val="24"/>
      <w:szCs w:val="20"/>
    </w:rPr>
  </w:style>
  <w:style w:type="paragraph" w:customStyle="1" w:styleId="112">
    <w:name w:val="列出段落1"/>
    <w:basedOn w:val="1"/>
    <w:qFormat/>
    <w:uiPriority w:val="34"/>
    <w:pPr>
      <w:widowControl/>
      <w:ind w:left="720"/>
      <w:contextualSpacing/>
      <w:jc w:val="left"/>
    </w:pPr>
    <w:rPr>
      <w:kern w:val="0"/>
      <w:sz w:val="24"/>
      <w:lang w:eastAsia="en-US" w:bidi="en-US"/>
    </w:rPr>
  </w:style>
  <w:style w:type="paragraph" w:customStyle="1" w:styleId="113">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4">
    <w:name w:val="样式8"/>
    <w:basedOn w:val="10"/>
    <w:qFormat/>
    <w:uiPriority w:val="0"/>
    <w:pPr>
      <w:tabs>
        <w:tab w:val="left" w:pos="1152"/>
      </w:tabs>
    </w:pPr>
  </w:style>
  <w:style w:type="paragraph" w:customStyle="1" w:styleId="115">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6">
    <w:name w:val="Char Char 字元 字元 字元 Char Char Char Char"/>
    <w:basedOn w:val="1"/>
    <w:qFormat/>
    <w:uiPriority w:val="0"/>
    <w:pPr>
      <w:adjustRightInd w:val="0"/>
      <w:spacing w:line="360" w:lineRule="auto"/>
    </w:pPr>
    <w:rPr>
      <w:kern w:val="0"/>
      <w:sz w:val="24"/>
      <w:szCs w:val="20"/>
    </w:rPr>
  </w:style>
  <w:style w:type="paragraph" w:customStyle="1" w:styleId="117">
    <w:name w:val="Char Char Char Char Char Char Char Char Char Char Char Char Char1"/>
    <w:basedOn w:val="1"/>
    <w:qFormat/>
    <w:uiPriority w:val="0"/>
    <w:rPr>
      <w:sz w:val="24"/>
    </w:rPr>
  </w:style>
  <w:style w:type="paragraph" w:customStyle="1" w:styleId="118">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表格"/>
    <w:basedOn w:val="1"/>
    <w:qFormat/>
    <w:uiPriority w:val="0"/>
    <w:rPr>
      <w:rFonts w:ascii="Arial" w:hAnsi="Arial"/>
      <w:sz w:val="24"/>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样式1"/>
    <w:basedOn w:val="1"/>
    <w:qFormat/>
    <w:uiPriority w:val="0"/>
    <w:pPr>
      <w:spacing w:before="120" w:after="120" w:line="360" w:lineRule="auto"/>
      <w:ind w:firstLine="480" w:firstLineChars="200"/>
    </w:pPr>
    <w:rPr>
      <w:sz w:val="24"/>
      <w:szCs w:val="20"/>
    </w:rPr>
  </w:style>
  <w:style w:type="paragraph" w:customStyle="1" w:styleId="12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4">
    <w:name w:val="Char Char Char Char Char Char Char Char Char Char"/>
    <w:basedOn w:val="1"/>
    <w:qFormat/>
    <w:uiPriority w:val="0"/>
    <w:rPr>
      <w:rFonts w:ascii="Tahoma" w:hAnsi="Tahoma"/>
      <w:sz w:val="24"/>
      <w:szCs w:val="20"/>
    </w:rPr>
  </w:style>
  <w:style w:type="paragraph" w:customStyle="1" w:styleId="125">
    <w:name w:val="Char1"/>
    <w:basedOn w:val="1"/>
    <w:qFormat/>
    <w:uiPriority w:val="0"/>
    <w:pPr>
      <w:tabs>
        <w:tab w:val="left" w:pos="360"/>
      </w:tabs>
    </w:pPr>
    <w:rPr>
      <w:sz w:val="24"/>
    </w:rPr>
  </w:style>
  <w:style w:type="paragraph" w:customStyle="1" w:styleId="126">
    <w:name w:val="Header2"/>
    <w:basedOn w:val="1"/>
    <w:qFormat/>
    <w:uiPriority w:val="0"/>
    <w:pPr>
      <w:numPr>
        <w:ilvl w:val="0"/>
        <w:numId w:val="1"/>
      </w:numPr>
    </w:pPr>
  </w:style>
  <w:style w:type="paragraph" w:customStyle="1" w:styleId="127">
    <w:name w:val="普通(网站) Cha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28">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DAS正文"/>
    <w:basedOn w:val="1"/>
    <w:qFormat/>
    <w:uiPriority w:val="0"/>
    <w:pPr>
      <w:spacing w:line="360" w:lineRule="auto"/>
      <w:ind w:right="181" w:firstLine="480" w:firstLineChars="200"/>
    </w:pPr>
    <w:rPr>
      <w:rFonts w:ascii="Verdana" w:hAnsi="Verdana"/>
      <w:sz w:val="24"/>
      <w:szCs w:val="20"/>
    </w:rPr>
  </w:style>
  <w:style w:type="table" w:customStyle="1" w:styleId="130">
    <w:name w:val="网格型1"/>
    <w:basedOn w:val="3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1">
    <w:name w:val="font51"/>
    <w:qFormat/>
    <w:uiPriority w:val="0"/>
    <w:rPr>
      <w:rFonts w:hint="default" w:ascii="Times New Roman" w:hAnsi="Times New Roman" w:cs="Times New Roman"/>
      <w:color w:val="000000"/>
      <w:sz w:val="20"/>
      <w:szCs w:val="20"/>
      <w:u w:val="none"/>
    </w:rPr>
  </w:style>
  <w:style w:type="character" w:customStyle="1" w:styleId="132">
    <w:name w:val="font61"/>
    <w:qFormat/>
    <w:uiPriority w:val="0"/>
    <w:rPr>
      <w:rFonts w:hint="default" w:ascii="Times New Roman" w:hAnsi="Times New Roman" w:cs="Times New Roman"/>
      <w:color w:val="000000"/>
      <w:sz w:val="21"/>
      <w:szCs w:val="21"/>
      <w:u w:val="none"/>
    </w:rPr>
  </w:style>
  <w:style w:type="character" w:customStyle="1" w:styleId="133">
    <w:name w:val="font71"/>
    <w:qFormat/>
    <w:uiPriority w:val="0"/>
    <w:rPr>
      <w:rFonts w:hint="eastAsia" w:ascii="宋体" w:hAnsi="宋体" w:eastAsia="宋体" w:cs="宋体"/>
      <w:color w:val="000000"/>
      <w:sz w:val="22"/>
      <w:szCs w:val="22"/>
      <w:u w:val="none"/>
    </w:rPr>
  </w:style>
  <w:style w:type="paragraph" w:customStyle="1" w:styleId="134">
    <w:name w:val="表格CXH"/>
    <w:basedOn w:val="1"/>
    <w:qFormat/>
    <w:uiPriority w:val="0"/>
    <w:pPr>
      <w:spacing w:line="276" w:lineRule="auto"/>
    </w:pPr>
    <w:rPr>
      <w:rFonts w:ascii="等线" w:hAnsi="等线"/>
    </w:rPr>
  </w:style>
  <w:style w:type="paragraph" w:customStyle="1" w:styleId="135">
    <w:name w:val="首行缩进"/>
    <w:basedOn w:val="1"/>
    <w:qFormat/>
    <w:uiPriority w:val="0"/>
    <w:pPr>
      <w:ind w:firstLine="480" w:firstLineChars="200"/>
    </w:pPr>
    <w:rPr>
      <w:szCs w:val="20"/>
      <w:lang w:val="zh-CN"/>
    </w:rPr>
  </w:style>
  <w:style w:type="paragraph" w:customStyle="1" w:styleId="136">
    <w:name w:val="sh3"/>
    <w:basedOn w:val="1"/>
    <w:qFormat/>
    <w:uiPriority w:val="0"/>
    <w:pPr>
      <w:spacing w:line="460" w:lineRule="exact"/>
      <w:jc w:val="left"/>
    </w:pPr>
    <w:rPr>
      <w:rFonts w:ascii="宋体" w:hAnsi="宋体"/>
      <w:b/>
      <w:szCs w:val="21"/>
    </w:rPr>
  </w:style>
  <w:style w:type="paragraph" w:customStyle="1" w:styleId="137">
    <w:name w:val="批注文字1"/>
    <w:basedOn w:val="1"/>
    <w:unhideWhenUsed/>
    <w:qFormat/>
    <w:uiPriority w:val="99"/>
    <w:pPr>
      <w:jc w:val="left"/>
    </w:pPr>
  </w:style>
  <w:style w:type="paragraph" w:customStyle="1" w:styleId="138">
    <w:name w:val="Table Paragraph"/>
    <w:basedOn w:val="1"/>
    <w:qFormat/>
    <w:uiPriority w:val="0"/>
    <w:pPr>
      <w:autoSpaceDE w:val="0"/>
      <w:autoSpaceDN w:val="0"/>
      <w:adjustRightInd w:val="0"/>
      <w:jc w:val="left"/>
    </w:pPr>
    <w:rPr>
      <w:kern w:val="0"/>
      <w:sz w:val="24"/>
    </w:rPr>
  </w:style>
  <w:style w:type="paragraph" w:customStyle="1" w:styleId="139">
    <w:name w:val="null3"/>
    <w:qFormat/>
    <w:uiPriority w:val="0"/>
    <w:rPr>
      <w:rFonts w:hint="eastAsia" w:ascii="Calibri" w:hAnsi="Calibri" w:eastAsia="宋体" w:cs="Times New Roman"/>
      <w:lang w:val="en-US" w:eastAsia="zh-CN" w:bidi="ar-SA"/>
    </w:rPr>
  </w:style>
  <w:style w:type="paragraph" w:customStyle="1" w:styleId="140">
    <w:name w:val="_Style 3"/>
    <w:basedOn w:val="1"/>
    <w:qFormat/>
    <w:uiPriority w:val="0"/>
    <w:pPr>
      <w:ind w:firstLine="420" w:firstLineChars="200"/>
    </w:pPr>
    <w:rPr>
      <w:sz w:val="20"/>
    </w:rPr>
  </w:style>
  <w:style w:type="paragraph" w:customStyle="1" w:styleId="141">
    <w:name w:val="_Style 1"/>
    <w:basedOn w:val="1"/>
    <w:qFormat/>
    <w:uiPriority w:val="0"/>
    <w:pPr>
      <w:widowControl/>
      <w:spacing w:before="120" w:after="120"/>
      <w:ind w:left="720" w:firstLine="200" w:firstLineChars="200"/>
      <w:contextualSpacing/>
      <w:jc w:val="left"/>
    </w:pPr>
    <w:rPr>
      <w:rFonts w:ascii="Calibri" w:hAnsi="Calibri"/>
      <w:iCs/>
      <w:color w:val="17365D"/>
      <w:kern w:val="0"/>
      <w:szCs w:val="20"/>
    </w:rPr>
  </w:style>
  <w:style w:type="paragraph" w:customStyle="1" w:styleId="142">
    <w:name w:val="图例"/>
    <w:basedOn w:val="1"/>
    <w:qFormat/>
    <w:uiPriority w:val="0"/>
    <w:pPr>
      <w:spacing w:before="120" w:after="120" w:line="360" w:lineRule="auto"/>
      <w:jc w:val="center"/>
    </w:pPr>
    <w:rPr>
      <w:rFonts w:eastAsia="仿宋_GB2312"/>
      <w:b/>
      <w:sz w:val="24"/>
      <w:szCs w:val="20"/>
    </w:rPr>
  </w:style>
  <w:style w:type="paragraph" w:customStyle="1" w:styleId="143">
    <w:name w:val="正文首行缩进11"/>
    <w:basedOn w:val="144"/>
    <w:qFormat/>
    <w:uiPriority w:val="0"/>
    <w:pPr>
      <w:spacing w:line="360" w:lineRule="auto"/>
      <w:ind w:firstLine="200"/>
    </w:pPr>
    <w:rPr>
      <w:rFonts w:ascii="仿宋_GB2312" w:hAnsi="Times New Roman" w:eastAsia="仿宋_GB2312"/>
      <w:sz w:val="30"/>
      <w:szCs w:val="30"/>
    </w:rPr>
  </w:style>
  <w:style w:type="paragraph" w:customStyle="1" w:styleId="144">
    <w:name w:val="正文文本1"/>
    <w:basedOn w:val="1"/>
    <w:next w:val="1"/>
    <w:qFormat/>
    <w:uiPriority w:val="0"/>
    <w:rPr>
      <w:rFonts w:ascii="楷体_GB2312" w:hAnsi="Arial" w:eastAsia="楷体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15228</Words>
  <Characters>15944</Characters>
  <Lines>146</Lines>
  <Paragraphs>41</Paragraphs>
  <TotalTime>18</TotalTime>
  <ScaleCrop>false</ScaleCrop>
  <LinksUpToDate>false</LinksUpToDate>
  <CharactersWithSpaces>16063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2024-01-20T06:00:00Z</dcterms:created>
  <dc:creator>User</dc:creator>
  <cp:lastModifiedBy>Administrator</cp:lastModifiedBy>
  <cp:lastPrinted>2024-09-10T06:28:00Z</cp:lastPrinted>
  <dcterms:modified xsi:type="dcterms:W3CDTF">2025-04-14T02:06:47Z</dcterms:modified>
  <dc:title>南通市Ⅹ项目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75220D3C72A442C09280BBFD76FC1685_13</vt:lpwstr>
  </property>
  <property fmtid="{D5CDD505-2E9C-101B-9397-08002B2CF9AE}" pid="4" name="KSOTemplateDocerSaveRecord">
    <vt:lpwstr>eyJoZGlkIjoiNzJlZTQ3M2MyOTlmMGVhNjhkZmE5ZWE1NGZmOTI0MDMifQ==</vt:lpwstr>
  </property>
</Properties>
</file>