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4DB22">
      <w:pPr>
        <w:adjustRightInd w:val="0"/>
        <w:snapToGrid w:val="0"/>
        <w:spacing w:line="360" w:lineRule="auto"/>
        <w:jc w:val="center"/>
        <w:rPr>
          <w:rFonts w:ascii="宋体" w:hAnsi="宋体" w:cs="宋体"/>
          <w:bCs/>
          <w:sz w:val="44"/>
          <w:szCs w:val="44"/>
          <w:lang w:val="zh-CN"/>
        </w:rPr>
      </w:pPr>
    </w:p>
    <w:p w14:paraId="7C478D1A">
      <w:pPr>
        <w:adjustRightInd w:val="0"/>
        <w:snapToGrid w:val="0"/>
        <w:spacing w:line="360" w:lineRule="auto"/>
        <w:jc w:val="center"/>
        <w:rPr>
          <w:rFonts w:ascii="宋体" w:hAnsi="宋体" w:cs="宋体"/>
          <w:b/>
          <w:sz w:val="48"/>
          <w:szCs w:val="48"/>
          <w:lang w:val="zh-CN"/>
        </w:rPr>
      </w:pPr>
      <w:r>
        <w:rPr>
          <w:rFonts w:hint="eastAsia" w:ascii="宋体" w:hAnsi="宋体" w:cs="宋体"/>
          <w:b/>
          <w:sz w:val="48"/>
          <w:szCs w:val="48"/>
          <w:lang w:val="zh-CN"/>
        </w:rPr>
        <w:t>南通市崇川区城市管理局户外店招标牌安全风险评估服务项目</w:t>
      </w:r>
    </w:p>
    <w:p w14:paraId="5FFD120F">
      <w:pPr>
        <w:adjustRightInd w:val="0"/>
        <w:snapToGrid w:val="0"/>
        <w:spacing w:line="360" w:lineRule="auto"/>
        <w:jc w:val="center"/>
        <w:rPr>
          <w:rFonts w:ascii="宋体" w:hAnsi="宋体" w:cs="宋体"/>
          <w:b/>
          <w:sz w:val="44"/>
          <w:szCs w:val="44"/>
          <w:lang w:val="zh-CN"/>
        </w:rPr>
      </w:pPr>
      <w:r>
        <w:rPr>
          <w:rFonts w:hint="eastAsia" w:ascii="宋体" w:hAnsi="宋体" w:cs="宋体"/>
          <w:b/>
          <w:sz w:val="44"/>
          <w:szCs w:val="44"/>
          <w:lang w:val="zh-CN"/>
        </w:rPr>
        <w:t>（</w:t>
      </w:r>
      <w:r>
        <w:rPr>
          <w:rFonts w:hint="eastAsia" w:ascii="宋体" w:hAnsi="宋体" w:cs="宋体"/>
          <w:b/>
          <w:sz w:val="44"/>
          <w:szCs w:val="44"/>
          <w:lang w:val="en-US" w:eastAsia="zh-CN"/>
        </w:rPr>
        <w:t>二次</w:t>
      </w:r>
      <w:r>
        <w:rPr>
          <w:rFonts w:hint="eastAsia" w:ascii="宋体" w:hAnsi="宋体" w:cs="宋体"/>
          <w:b/>
          <w:sz w:val="44"/>
          <w:szCs w:val="44"/>
          <w:lang w:val="zh-CN"/>
        </w:rPr>
        <w:t>）</w:t>
      </w:r>
    </w:p>
    <w:p w14:paraId="0AAAADC8">
      <w:pPr>
        <w:adjustRightInd w:val="0"/>
        <w:snapToGrid w:val="0"/>
        <w:spacing w:line="360" w:lineRule="auto"/>
        <w:jc w:val="center"/>
        <w:rPr>
          <w:rFonts w:ascii="宋体" w:hAnsi="宋体" w:cs="宋体"/>
          <w:b/>
          <w:sz w:val="44"/>
          <w:szCs w:val="44"/>
          <w:lang w:val="zh-CN"/>
        </w:rPr>
      </w:pPr>
    </w:p>
    <w:p w14:paraId="50D98D73">
      <w:pPr>
        <w:adjustRightInd w:val="0"/>
        <w:snapToGrid w:val="0"/>
        <w:spacing w:line="360" w:lineRule="auto"/>
        <w:jc w:val="center"/>
        <w:rPr>
          <w:rFonts w:ascii="宋体" w:hAnsi="宋体" w:cs="宋体"/>
          <w:b/>
          <w:sz w:val="44"/>
          <w:szCs w:val="44"/>
          <w:lang w:val="zh-CN"/>
        </w:rPr>
      </w:pPr>
      <w:r>
        <w:rPr>
          <w:rFonts w:hint="eastAsia" w:ascii="宋体" w:hAnsi="宋体" w:cs="宋体"/>
          <w:b/>
          <w:sz w:val="44"/>
          <w:szCs w:val="44"/>
          <w:lang w:val="zh-CN"/>
        </w:rPr>
        <w:t>竞争性磋商文件</w:t>
      </w:r>
    </w:p>
    <w:p w14:paraId="45144CAB">
      <w:pPr>
        <w:pStyle w:val="6"/>
        <w:jc w:val="center"/>
        <w:rPr>
          <w:rFonts w:ascii="宋体" w:hAnsi="宋体" w:cs="宋体"/>
          <w:lang w:val="zh-CN"/>
        </w:rPr>
      </w:pPr>
      <w:r>
        <w:rPr>
          <w:rFonts w:hint="eastAsia"/>
          <w:b/>
          <w:bCs/>
          <w:sz w:val="32"/>
          <w:szCs w:val="32"/>
        </w:rPr>
        <w:t>项目编号：中莲代理（2025）CC004</w:t>
      </w:r>
    </w:p>
    <w:p w14:paraId="36CE186F">
      <w:pPr>
        <w:pStyle w:val="6"/>
        <w:rPr>
          <w:rFonts w:ascii="宋体" w:hAnsi="宋体" w:cs="宋体"/>
          <w:lang w:val="zh-CN"/>
        </w:rPr>
      </w:pPr>
    </w:p>
    <w:p w14:paraId="1B8C2BC6">
      <w:pPr>
        <w:pStyle w:val="6"/>
        <w:rPr>
          <w:rFonts w:ascii="宋体" w:hAnsi="宋体" w:cs="宋体"/>
          <w:lang w:val="zh-CN"/>
        </w:rPr>
      </w:pPr>
    </w:p>
    <w:p w14:paraId="6B780F69">
      <w:pPr>
        <w:pStyle w:val="6"/>
        <w:rPr>
          <w:rFonts w:ascii="宋体" w:hAnsi="宋体" w:cs="宋体"/>
          <w:lang w:val="zh-CN"/>
        </w:rPr>
      </w:pPr>
    </w:p>
    <w:p w14:paraId="77F43018">
      <w:pPr>
        <w:pStyle w:val="6"/>
        <w:widowControl/>
        <w:spacing w:line="312" w:lineRule="auto"/>
        <w:rPr>
          <w:rFonts w:ascii="宋体" w:hAnsi="宋体" w:cs="宋体"/>
        </w:rPr>
      </w:pPr>
    </w:p>
    <w:p w14:paraId="6DE5F9C8">
      <w:pPr>
        <w:autoSpaceDE w:val="0"/>
        <w:autoSpaceDN w:val="0"/>
        <w:adjustRightInd w:val="0"/>
        <w:spacing w:line="312" w:lineRule="auto"/>
        <w:ind w:firstLine="625" w:firstLineChars="298"/>
        <w:jc w:val="left"/>
        <w:rPr>
          <w:rFonts w:ascii="宋体" w:hAnsi="宋体" w:cs="宋体"/>
          <w:szCs w:val="21"/>
        </w:rPr>
      </w:pPr>
    </w:p>
    <w:p w14:paraId="2AAC719B">
      <w:pPr>
        <w:autoSpaceDE w:val="0"/>
        <w:autoSpaceDN w:val="0"/>
        <w:adjustRightInd w:val="0"/>
        <w:spacing w:line="312" w:lineRule="auto"/>
        <w:jc w:val="center"/>
        <w:rPr>
          <w:rFonts w:ascii="宋体" w:hAnsi="宋体" w:cs="宋体"/>
          <w:szCs w:val="21"/>
        </w:rPr>
      </w:pPr>
    </w:p>
    <w:p w14:paraId="348F1C34">
      <w:pPr>
        <w:autoSpaceDE w:val="0"/>
        <w:autoSpaceDN w:val="0"/>
        <w:adjustRightInd w:val="0"/>
        <w:spacing w:line="312" w:lineRule="auto"/>
        <w:ind w:firstLine="420"/>
        <w:jc w:val="center"/>
        <w:rPr>
          <w:rFonts w:ascii="宋体" w:hAnsi="宋体" w:cs="宋体"/>
          <w:szCs w:val="21"/>
        </w:rPr>
      </w:pPr>
    </w:p>
    <w:p w14:paraId="7139C902">
      <w:pPr>
        <w:autoSpaceDE w:val="0"/>
        <w:autoSpaceDN w:val="0"/>
        <w:adjustRightInd w:val="0"/>
        <w:spacing w:line="312" w:lineRule="auto"/>
        <w:rPr>
          <w:rFonts w:ascii="宋体" w:hAnsi="宋体" w:cs="宋体"/>
          <w:b/>
          <w:bCs/>
          <w:sz w:val="36"/>
          <w:szCs w:val="36"/>
          <w:lang w:val="zh-CN"/>
        </w:rPr>
      </w:pPr>
    </w:p>
    <w:p w14:paraId="50E154ED">
      <w:pPr>
        <w:pStyle w:val="6"/>
        <w:rPr>
          <w:rFonts w:ascii="宋体" w:hAnsi="宋体" w:cs="宋体"/>
          <w:lang w:val="zh-CN"/>
        </w:rPr>
      </w:pPr>
    </w:p>
    <w:p w14:paraId="6F83E408">
      <w:pPr>
        <w:rPr>
          <w:rFonts w:ascii="宋体" w:hAnsi="宋体" w:cs="宋体"/>
          <w:lang w:val="zh-CN"/>
        </w:rPr>
      </w:pPr>
    </w:p>
    <w:p w14:paraId="31D0023D">
      <w:pPr>
        <w:pStyle w:val="6"/>
        <w:rPr>
          <w:lang w:val="zh-CN"/>
        </w:rPr>
      </w:pPr>
    </w:p>
    <w:p w14:paraId="13F2B767">
      <w:pPr>
        <w:rPr>
          <w:rFonts w:ascii="宋体" w:hAnsi="宋体" w:cs="宋体"/>
          <w:lang w:val="zh-CN"/>
        </w:rPr>
      </w:pPr>
    </w:p>
    <w:p w14:paraId="6172AAB4">
      <w:pPr>
        <w:rPr>
          <w:rFonts w:ascii="宋体" w:hAnsi="宋体" w:cs="宋体"/>
          <w:lang w:val="zh-CN"/>
        </w:rPr>
      </w:pPr>
    </w:p>
    <w:p w14:paraId="070BB5C1">
      <w:pPr>
        <w:adjustRightInd w:val="0"/>
        <w:snapToGrid w:val="0"/>
        <w:spacing w:line="360" w:lineRule="auto"/>
        <w:ind w:firstLine="640" w:firstLineChars="200"/>
        <w:rPr>
          <w:rFonts w:ascii="宋体" w:hAnsi="宋体" w:cs="宋体"/>
          <w:bCs/>
          <w:sz w:val="32"/>
          <w:szCs w:val="32"/>
        </w:rPr>
      </w:pPr>
      <w:bookmarkStart w:id="0" w:name="_Toc241913651"/>
      <w:bookmarkStart w:id="1" w:name="_Toc257275442"/>
      <w:bookmarkStart w:id="2" w:name="_Toc312608845"/>
      <w:r>
        <w:rPr>
          <w:rFonts w:hint="eastAsia" w:ascii="宋体" w:hAnsi="宋体" w:cs="宋体"/>
          <w:bCs/>
          <w:sz w:val="32"/>
          <w:szCs w:val="32"/>
        </w:rPr>
        <w:t xml:space="preserve">采 购 人：南通市崇川区城市管理局             </w:t>
      </w:r>
    </w:p>
    <w:p w14:paraId="674851FA">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 xml:space="preserve">代理机构：江苏中莲土地房地产资产评估造价有限公司   </w:t>
      </w:r>
      <w:bookmarkEnd w:id="0"/>
      <w:bookmarkEnd w:id="1"/>
      <w:bookmarkEnd w:id="2"/>
    </w:p>
    <w:p w14:paraId="5C7DCBBF">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日    期：2025年</w:t>
      </w:r>
      <w:r>
        <w:rPr>
          <w:rFonts w:hint="eastAsia" w:ascii="宋体" w:hAnsi="宋体" w:cs="宋体"/>
          <w:bCs/>
          <w:sz w:val="32"/>
          <w:szCs w:val="32"/>
          <w:lang w:val="en-US" w:eastAsia="zh-CN"/>
        </w:rPr>
        <w:t>8</w:t>
      </w:r>
      <w:r>
        <w:rPr>
          <w:rFonts w:hint="eastAsia" w:ascii="宋体" w:hAnsi="宋体" w:cs="宋体"/>
          <w:bCs/>
          <w:sz w:val="32"/>
          <w:szCs w:val="32"/>
        </w:rPr>
        <w:t>月</w:t>
      </w:r>
    </w:p>
    <w:p w14:paraId="60FE35C0">
      <w:pPr>
        <w:pStyle w:val="6"/>
      </w:pPr>
    </w:p>
    <w:p w14:paraId="1360FF03">
      <w:pPr>
        <w:pStyle w:val="6"/>
        <w:rPr>
          <w:rFonts w:ascii="宋体" w:hAnsi="宋体" w:cs="宋体"/>
          <w:sz w:val="44"/>
          <w:szCs w:val="44"/>
        </w:rPr>
      </w:pPr>
    </w:p>
    <w:p w14:paraId="0B23DE06">
      <w:pPr>
        <w:rPr>
          <w:rFonts w:ascii="宋体" w:hAnsi="宋体" w:cs="宋体"/>
        </w:rPr>
      </w:pPr>
    </w:p>
    <w:p w14:paraId="7A094E0A">
      <w:pPr>
        <w:adjustRightInd w:val="0"/>
        <w:snapToGrid w:val="0"/>
        <w:spacing w:line="360" w:lineRule="auto"/>
        <w:ind w:firstLine="880" w:firstLineChars="200"/>
        <w:jc w:val="center"/>
        <w:rPr>
          <w:rFonts w:ascii="宋体" w:hAnsi="宋体" w:cs="宋体"/>
          <w:sz w:val="44"/>
          <w:szCs w:val="44"/>
          <w:lang w:val="zh-CN"/>
        </w:rPr>
        <w:sectPr>
          <w:headerReference r:id="rId3" w:type="default"/>
          <w:headerReference r:id="rId4" w:type="even"/>
          <w:pgSz w:w="11907" w:h="16839"/>
          <w:pgMar w:top="1440" w:right="1800" w:bottom="1440" w:left="1800" w:header="720" w:footer="737" w:gutter="0"/>
          <w:pgNumType w:start="45"/>
          <w:cols w:space="720" w:num="1"/>
          <w:docGrid w:linePitch="286" w:charSpace="0"/>
        </w:sectPr>
      </w:pPr>
    </w:p>
    <w:p w14:paraId="5203C8DF">
      <w:pPr>
        <w:adjustRightInd w:val="0"/>
        <w:snapToGrid w:val="0"/>
        <w:spacing w:line="360" w:lineRule="auto"/>
        <w:ind w:firstLine="880" w:firstLineChars="200"/>
        <w:jc w:val="center"/>
        <w:rPr>
          <w:rFonts w:ascii="宋体" w:hAnsi="宋体" w:cs="宋体"/>
          <w:sz w:val="44"/>
          <w:szCs w:val="44"/>
          <w:lang w:val="zh-CN"/>
        </w:rPr>
      </w:pPr>
      <w:r>
        <w:rPr>
          <w:rFonts w:hint="eastAsia" w:ascii="宋体" w:hAnsi="宋体" w:cs="宋体"/>
          <w:sz w:val="44"/>
          <w:szCs w:val="44"/>
          <w:lang w:val="zh-CN"/>
        </w:rPr>
        <w:t>目 录</w:t>
      </w:r>
    </w:p>
    <w:p w14:paraId="763DFAEF">
      <w:pPr>
        <w:autoSpaceDE w:val="0"/>
        <w:autoSpaceDN w:val="0"/>
        <w:adjustRightInd w:val="0"/>
        <w:snapToGrid w:val="0"/>
        <w:spacing w:line="360" w:lineRule="auto"/>
        <w:ind w:firstLine="556"/>
        <w:rPr>
          <w:rFonts w:ascii="宋体" w:hAnsi="宋体" w:cs="宋体"/>
          <w:sz w:val="32"/>
          <w:szCs w:val="32"/>
        </w:rPr>
      </w:pPr>
    </w:p>
    <w:p w14:paraId="42D0A08E">
      <w:pPr>
        <w:autoSpaceDE w:val="0"/>
        <w:autoSpaceDN w:val="0"/>
        <w:adjustRightInd w:val="0"/>
        <w:snapToGrid w:val="0"/>
        <w:spacing w:line="360" w:lineRule="auto"/>
        <w:ind w:firstLine="556"/>
        <w:rPr>
          <w:rFonts w:ascii="宋体" w:hAnsi="宋体" w:cs="宋体"/>
          <w:sz w:val="32"/>
          <w:szCs w:val="32"/>
        </w:rPr>
      </w:pPr>
    </w:p>
    <w:p w14:paraId="58AC39A2">
      <w:pPr>
        <w:autoSpaceDE w:val="0"/>
        <w:autoSpaceDN w:val="0"/>
        <w:adjustRightInd w:val="0"/>
        <w:snapToGrid w:val="0"/>
        <w:spacing w:line="360" w:lineRule="auto"/>
        <w:ind w:firstLine="556"/>
        <w:rPr>
          <w:rFonts w:ascii="宋体" w:hAnsi="宋体" w:cs="宋体"/>
          <w:sz w:val="32"/>
          <w:szCs w:val="32"/>
        </w:rPr>
      </w:pPr>
      <w:r>
        <w:rPr>
          <w:rFonts w:hint="eastAsia" w:ascii="宋体" w:hAnsi="宋体" w:cs="宋体"/>
          <w:sz w:val="32"/>
          <w:szCs w:val="32"/>
        </w:rPr>
        <w:t>第一部分  竞争性磋商公告</w:t>
      </w:r>
    </w:p>
    <w:p w14:paraId="622BD1B8">
      <w:pPr>
        <w:autoSpaceDE w:val="0"/>
        <w:autoSpaceDN w:val="0"/>
        <w:adjustRightInd w:val="0"/>
        <w:snapToGrid w:val="0"/>
        <w:spacing w:line="360" w:lineRule="auto"/>
        <w:ind w:firstLine="556"/>
        <w:rPr>
          <w:rFonts w:ascii="宋体" w:hAnsi="宋体" w:cs="宋体"/>
          <w:sz w:val="32"/>
          <w:szCs w:val="32"/>
        </w:rPr>
      </w:pPr>
      <w:r>
        <w:rPr>
          <w:rFonts w:hint="eastAsia" w:ascii="宋体" w:hAnsi="宋体" w:cs="宋体"/>
          <w:sz w:val="32"/>
          <w:szCs w:val="32"/>
        </w:rPr>
        <w:t>第二部分  磋商须知</w:t>
      </w:r>
    </w:p>
    <w:p w14:paraId="46195FD4">
      <w:pPr>
        <w:autoSpaceDE w:val="0"/>
        <w:autoSpaceDN w:val="0"/>
        <w:adjustRightInd w:val="0"/>
        <w:snapToGrid w:val="0"/>
        <w:spacing w:line="360" w:lineRule="auto"/>
        <w:ind w:firstLine="556"/>
        <w:rPr>
          <w:rFonts w:ascii="宋体" w:hAnsi="宋体" w:cs="宋体"/>
          <w:sz w:val="32"/>
          <w:szCs w:val="32"/>
        </w:rPr>
      </w:pPr>
      <w:r>
        <w:rPr>
          <w:rFonts w:hint="eastAsia" w:ascii="宋体" w:hAnsi="宋体" w:cs="宋体"/>
          <w:sz w:val="32"/>
          <w:szCs w:val="32"/>
        </w:rPr>
        <w:t>第三部分  项目需求</w:t>
      </w:r>
    </w:p>
    <w:p w14:paraId="567E15A4">
      <w:pPr>
        <w:autoSpaceDE w:val="0"/>
        <w:autoSpaceDN w:val="0"/>
        <w:adjustRightInd w:val="0"/>
        <w:snapToGrid w:val="0"/>
        <w:spacing w:line="360" w:lineRule="auto"/>
        <w:ind w:firstLine="556"/>
        <w:rPr>
          <w:rFonts w:ascii="宋体" w:hAnsi="宋体" w:cs="宋体"/>
          <w:sz w:val="32"/>
          <w:szCs w:val="32"/>
        </w:rPr>
      </w:pPr>
      <w:r>
        <w:rPr>
          <w:rFonts w:hint="eastAsia" w:ascii="宋体" w:hAnsi="宋体" w:cs="宋体"/>
          <w:sz w:val="32"/>
          <w:szCs w:val="32"/>
        </w:rPr>
        <w:t>第四部分  评审方法和评审标准</w:t>
      </w:r>
    </w:p>
    <w:p w14:paraId="3E111550">
      <w:pPr>
        <w:autoSpaceDE w:val="0"/>
        <w:autoSpaceDN w:val="0"/>
        <w:adjustRightInd w:val="0"/>
        <w:snapToGrid w:val="0"/>
        <w:spacing w:line="360" w:lineRule="auto"/>
        <w:ind w:firstLine="556"/>
        <w:rPr>
          <w:rFonts w:ascii="宋体" w:hAnsi="宋体" w:cs="宋体"/>
          <w:sz w:val="32"/>
          <w:szCs w:val="32"/>
        </w:rPr>
      </w:pPr>
      <w:r>
        <w:rPr>
          <w:rFonts w:hint="eastAsia" w:ascii="宋体" w:hAnsi="宋体" w:cs="宋体"/>
          <w:sz w:val="32"/>
          <w:szCs w:val="32"/>
        </w:rPr>
        <w:t>第五部分  响应文件组成</w:t>
      </w:r>
    </w:p>
    <w:p w14:paraId="306B64A5">
      <w:pPr>
        <w:autoSpaceDE w:val="0"/>
        <w:autoSpaceDN w:val="0"/>
        <w:adjustRightInd w:val="0"/>
        <w:snapToGrid w:val="0"/>
        <w:spacing w:line="360" w:lineRule="auto"/>
        <w:ind w:firstLine="556"/>
        <w:rPr>
          <w:rFonts w:ascii="宋体" w:hAnsi="宋体" w:cs="宋体"/>
          <w:sz w:val="32"/>
          <w:szCs w:val="32"/>
        </w:rPr>
      </w:pPr>
    </w:p>
    <w:p w14:paraId="2300EBD4">
      <w:pPr>
        <w:tabs>
          <w:tab w:val="left" w:pos="7740"/>
        </w:tabs>
        <w:spacing w:line="500" w:lineRule="exact"/>
        <w:rPr>
          <w:rFonts w:ascii="宋体" w:hAnsi="宋体" w:cs="宋体"/>
          <w:bCs/>
          <w:sz w:val="32"/>
          <w:szCs w:val="32"/>
        </w:rPr>
      </w:pPr>
    </w:p>
    <w:p w14:paraId="7563EE57">
      <w:pPr>
        <w:autoSpaceDE w:val="0"/>
        <w:autoSpaceDN w:val="0"/>
        <w:adjustRightInd w:val="0"/>
        <w:spacing w:line="500" w:lineRule="exact"/>
        <w:jc w:val="center"/>
        <w:rPr>
          <w:rFonts w:ascii="宋体" w:hAnsi="宋体" w:cs="宋体"/>
          <w:b/>
          <w:bCs/>
          <w:sz w:val="36"/>
          <w:szCs w:val="36"/>
          <w:lang w:val="zh-CN"/>
        </w:rPr>
      </w:pPr>
    </w:p>
    <w:p w14:paraId="15BB8701">
      <w:pPr>
        <w:autoSpaceDE w:val="0"/>
        <w:autoSpaceDN w:val="0"/>
        <w:adjustRightInd w:val="0"/>
        <w:spacing w:line="500" w:lineRule="exact"/>
        <w:rPr>
          <w:rFonts w:ascii="宋体" w:hAnsi="宋体" w:cs="宋体"/>
          <w:b/>
          <w:bCs/>
          <w:sz w:val="36"/>
          <w:szCs w:val="36"/>
          <w:lang w:val="zh-CN"/>
        </w:rPr>
      </w:pPr>
    </w:p>
    <w:p w14:paraId="5636ED88">
      <w:pPr>
        <w:autoSpaceDE w:val="0"/>
        <w:autoSpaceDN w:val="0"/>
        <w:adjustRightInd w:val="0"/>
        <w:spacing w:line="500" w:lineRule="exact"/>
        <w:jc w:val="center"/>
        <w:rPr>
          <w:rFonts w:ascii="宋体" w:hAnsi="宋体" w:cs="宋体"/>
          <w:b/>
          <w:bCs/>
          <w:sz w:val="36"/>
          <w:szCs w:val="36"/>
          <w:lang w:val="zh-CN"/>
        </w:rPr>
      </w:pPr>
    </w:p>
    <w:p w14:paraId="14434EC7">
      <w:pPr>
        <w:autoSpaceDE w:val="0"/>
        <w:autoSpaceDN w:val="0"/>
        <w:adjustRightInd w:val="0"/>
        <w:spacing w:line="500" w:lineRule="exact"/>
        <w:jc w:val="center"/>
        <w:rPr>
          <w:rFonts w:ascii="宋体" w:hAnsi="宋体" w:cs="宋体"/>
          <w:b/>
          <w:bCs/>
          <w:sz w:val="36"/>
          <w:szCs w:val="36"/>
          <w:lang w:val="zh-CN"/>
        </w:rPr>
      </w:pPr>
    </w:p>
    <w:p w14:paraId="7531EFFF">
      <w:pPr>
        <w:autoSpaceDE w:val="0"/>
        <w:autoSpaceDN w:val="0"/>
        <w:adjustRightInd w:val="0"/>
        <w:spacing w:line="500" w:lineRule="exact"/>
        <w:jc w:val="center"/>
        <w:rPr>
          <w:rFonts w:ascii="宋体" w:hAnsi="宋体" w:cs="宋体"/>
          <w:b/>
          <w:bCs/>
          <w:sz w:val="36"/>
          <w:szCs w:val="36"/>
          <w:lang w:val="zh-CN"/>
        </w:rPr>
      </w:pPr>
    </w:p>
    <w:p w14:paraId="17D10353">
      <w:pPr>
        <w:autoSpaceDE w:val="0"/>
        <w:autoSpaceDN w:val="0"/>
        <w:adjustRightInd w:val="0"/>
        <w:spacing w:line="500" w:lineRule="exact"/>
        <w:jc w:val="center"/>
        <w:rPr>
          <w:rFonts w:ascii="宋体" w:hAnsi="宋体" w:cs="宋体"/>
          <w:b/>
          <w:bCs/>
          <w:sz w:val="36"/>
          <w:szCs w:val="36"/>
          <w:lang w:val="zh-CN"/>
        </w:rPr>
      </w:pPr>
    </w:p>
    <w:p w14:paraId="48793A07">
      <w:pPr>
        <w:autoSpaceDE w:val="0"/>
        <w:autoSpaceDN w:val="0"/>
        <w:adjustRightInd w:val="0"/>
        <w:spacing w:line="500" w:lineRule="exact"/>
        <w:jc w:val="center"/>
        <w:rPr>
          <w:rFonts w:ascii="宋体" w:hAnsi="宋体" w:cs="宋体"/>
          <w:b/>
          <w:bCs/>
          <w:sz w:val="36"/>
          <w:szCs w:val="36"/>
          <w:lang w:val="zh-CN"/>
        </w:rPr>
      </w:pPr>
    </w:p>
    <w:p w14:paraId="6DB40531">
      <w:pPr>
        <w:autoSpaceDE w:val="0"/>
        <w:autoSpaceDN w:val="0"/>
        <w:adjustRightInd w:val="0"/>
        <w:spacing w:line="500" w:lineRule="exact"/>
        <w:jc w:val="center"/>
        <w:rPr>
          <w:rFonts w:ascii="宋体" w:hAnsi="宋体" w:cs="宋体"/>
          <w:b/>
          <w:bCs/>
          <w:sz w:val="36"/>
          <w:szCs w:val="36"/>
          <w:lang w:val="zh-CN"/>
        </w:rPr>
      </w:pPr>
    </w:p>
    <w:p w14:paraId="2E382329">
      <w:pPr>
        <w:autoSpaceDE w:val="0"/>
        <w:autoSpaceDN w:val="0"/>
        <w:adjustRightInd w:val="0"/>
        <w:spacing w:line="500" w:lineRule="exact"/>
        <w:jc w:val="center"/>
        <w:rPr>
          <w:rFonts w:ascii="宋体" w:hAnsi="宋体" w:cs="宋体"/>
          <w:b/>
          <w:bCs/>
          <w:sz w:val="36"/>
          <w:szCs w:val="36"/>
          <w:lang w:val="zh-CN"/>
        </w:rPr>
      </w:pPr>
    </w:p>
    <w:p w14:paraId="3AA9A733">
      <w:pPr>
        <w:autoSpaceDE w:val="0"/>
        <w:autoSpaceDN w:val="0"/>
        <w:adjustRightInd w:val="0"/>
        <w:spacing w:line="500" w:lineRule="exact"/>
        <w:jc w:val="center"/>
        <w:rPr>
          <w:rFonts w:ascii="宋体" w:hAnsi="宋体" w:cs="宋体"/>
          <w:b/>
          <w:bCs/>
          <w:sz w:val="36"/>
          <w:szCs w:val="36"/>
          <w:lang w:val="zh-CN"/>
        </w:rPr>
      </w:pPr>
    </w:p>
    <w:p w14:paraId="19801810">
      <w:pPr>
        <w:autoSpaceDE w:val="0"/>
        <w:autoSpaceDN w:val="0"/>
        <w:adjustRightInd w:val="0"/>
        <w:spacing w:line="500" w:lineRule="exact"/>
        <w:jc w:val="center"/>
        <w:rPr>
          <w:rFonts w:ascii="宋体" w:hAnsi="宋体" w:cs="宋体"/>
          <w:b/>
          <w:bCs/>
          <w:sz w:val="36"/>
          <w:szCs w:val="36"/>
          <w:lang w:val="zh-CN"/>
        </w:rPr>
      </w:pPr>
    </w:p>
    <w:p w14:paraId="6227CAB1">
      <w:pPr>
        <w:autoSpaceDE w:val="0"/>
        <w:autoSpaceDN w:val="0"/>
        <w:adjustRightInd w:val="0"/>
        <w:snapToGrid w:val="0"/>
        <w:spacing w:line="500" w:lineRule="exact"/>
        <w:jc w:val="center"/>
        <w:outlineLvl w:val="0"/>
        <w:rPr>
          <w:rFonts w:ascii="宋体" w:hAnsi="宋体" w:cs="宋体"/>
          <w:sz w:val="36"/>
          <w:szCs w:val="36"/>
          <w:lang w:val="zh-CN"/>
        </w:rPr>
        <w:sectPr>
          <w:footerReference r:id="rId5" w:type="default"/>
          <w:footerReference r:id="rId6" w:type="even"/>
          <w:pgSz w:w="11907" w:h="16839"/>
          <w:pgMar w:top="1440" w:right="1800" w:bottom="1440" w:left="1800" w:header="720" w:footer="737" w:gutter="0"/>
          <w:pgNumType w:start="1"/>
          <w:cols w:space="720" w:num="1"/>
          <w:docGrid w:linePitch="286" w:charSpace="0"/>
        </w:sectPr>
      </w:pPr>
    </w:p>
    <w:p w14:paraId="2B97E0F0">
      <w:pPr>
        <w:autoSpaceDE w:val="0"/>
        <w:autoSpaceDN w:val="0"/>
        <w:adjustRightInd w:val="0"/>
        <w:snapToGrid w:val="0"/>
        <w:spacing w:line="500" w:lineRule="exact"/>
        <w:jc w:val="center"/>
        <w:outlineLvl w:val="0"/>
        <w:rPr>
          <w:rFonts w:ascii="宋体" w:hAnsi="宋体" w:cs="宋体"/>
          <w:b/>
          <w:bCs/>
          <w:sz w:val="32"/>
          <w:szCs w:val="32"/>
        </w:rPr>
      </w:pPr>
      <w:r>
        <w:rPr>
          <w:rFonts w:hint="eastAsia" w:ascii="宋体" w:hAnsi="宋体" w:cs="宋体"/>
          <w:b/>
          <w:bCs/>
          <w:sz w:val="32"/>
          <w:szCs w:val="32"/>
          <w:lang w:val="zh-CN"/>
        </w:rPr>
        <w:t>第一部分  竞争性磋商公告（</w:t>
      </w:r>
      <w:r>
        <w:rPr>
          <w:rFonts w:hint="eastAsia" w:ascii="宋体" w:hAnsi="宋体" w:cs="宋体"/>
          <w:b/>
          <w:bCs/>
          <w:sz w:val="32"/>
          <w:szCs w:val="32"/>
          <w:lang w:val="en-US" w:eastAsia="zh-CN"/>
        </w:rPr>
        <w:t>二次</w:t>
      </w:r>
      <w:r>
        <w:rPr>
          <w:rFonts w:hint="eastAsia" w:ascii="宋体" w:hAnsi="宋体" w:cs="宋体"/>
          <w:b/>
          <w:bCs/>
          <w:sz w:val="32"/>
          <w:szCs w:val="32"/>
          <w:lang w:val="zh-CN"/>
        </w:rPr>
        <w:t>）</w:t>
      </w:r>
    </w:p>
    <w:p w14:paraId="7C9D1B9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238903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u w:val="single"/>
        </w:rPr>
        <w:t>南通市崇川区城市管理局户外店招标牌安全风险评估服务项目</w:t>
      </w:r>
      <w:r>
        <w:rPr>
          <w:rFonts w:hint="eastAsia" w:ascii="宋体" w:hAnsi="宋体" w:cs="宋体"/>
          <w:sz w:val="24"/>
        </w:rPr>
        <w:t>采购项目的潜在供应商</w:t>
      </w:r>
      <w:r>
        <w:rPr>
          <w:rFonts w:hint="eastAsia" w:ascii="宋体" w:hAnsi="宋体" w:cs="宋体"/>
          <w:sz w:val="24"/>
          <w:u w:val="single"/>
        </w:rPr>
        <w:t>可在“南通市崇川区人民政府网”自行免费下载</w:t>
      </w:r>
      <w:r>
        <w:rPr>
          <w:rFonts w:hint="eastAsia" w:ascii="宋体" w:hAnsi="宋体" w:cs="宋体"/>
          <w:sz w:val="24"/>
        </w:rPr>
        <w:t>采购文件，并于</w:t>
      </w:r>
      <w:r>
        <w:rPr>
          <w:rFonts w:hint="eastAsia" w:ascii="宋体" w:hAnsi="宋体" w:cs="宋体"/>
          <w:sz w:val="24"/>
          <w:highlight w:val="none"/>
          <w:u w:val="single"/>
        </w:rPr>
        <w:t>2025</w:t>
      </w:r>
      <w:r>
        <w:rPr>
          <w:rFonts w:hint="eastAsia" w:ascii="宋体" w:hAnsi="宋体" w:cs="宋体"/>
          <w:bCs/>
          <w:sz w:val="24"/>
          <w:highlight w:val="none"/>
          <w:u w:val="single"/>
        </w:rPr>
        <w:t>年</w:t>
      </w:r>
      <w:r>
        <w:rPr>
          <w:rFonts w:hint="eastAsia" w:cs="宋体"/>
          <w:bCs/>
          <w:sz w:val="24"/>
          <w:highlight w:val="none"/>
          <w:u w:val="single"/>
          <w:lang w:val="en-US" w:eastAsia="zh-CN"/>
        </w:rPr>
        <w:t>09</w:t>
      </w:r>
      <w:r>
        <w:rPr>
          <w:rFonts w:hint="eastAsia" w:ascii="宋体" w:hAnsi="宋体" w:cs="宋体"/>
          <w:bCs/>
          <w:sz w:val="24"/>
          <w:highlight w:val="none"/>
          <w:u w:val="single"/>
        </w:rPr>
        <w:t>月</w:t>
      </w:r>
      <w:r>
        <w:rPr>
          <w:rFonts w:hint="eastAsia" w:cs="宋体"/>
          <w:bCs/>
          <w:sz w:val="24"/>
          <w:highlight w:val="none"/>
          <w:u w:val="single"/>
          <w:lang w:val="en-US" w:eastAsia="zh-CN"/>
        </w:rPr>
        <w:t>01</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14</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00</w:t>
      </w:r>
      <w:r>
        <w:rPr>
          <w:rFonts w:ascii="宋体" w:hAnsi="宋体" w:cs="宋体"/>
          <w:bCs/>
          <w:sz w:val="24"/>
          <w:highlight w:val="none"/>
          <w:u w:val="single"/>
        </w:rPr>
        <w:t>分</w:t>
      </w:r>
      <w:r>
        <w:rPr>
          <w:rFonts w:hint="eastAsia" w:ascii="宋体" w:hAnsi="宋体" w:cs="宋体"/>
          <w:bCs/>
          <w:sz w:val="24"/>
        </w:rPr>
        <w:t>（北京时间）前提交响应文件</w:t>
      </w:r>
      <w:r>
        <w:rPr>
          <w:rFonts w:hint="eastAsia" w:ascii="宋体" w:hAnsi="宋体" w:cs="宋体"/>
          <w:sz w:val="24"/>
        </w:rPr>
        <w:t>。</w:t>
      </w:r>
    </w:p>
    <w:p w14:paraId="3F00E9A4">
      <w:pPr>
        <w:widowControl/>
        <w:shd w:val="clear" w:color="auto" w:fill="FFFFFF"/>
        <w:adjustRightInd w:val="0"/>
        <w:snapToGrid w:val="0"/>
        <w:spacing w:line="500" w:lineRule="exact"/>
        <w:ind w:firstLine="500" w:firstLineChars="196"/>
        <w:rPr>
          <w:rFonts w:ascii="宋体" w:hAnsi="宋体" w:cs="宋体"/>
          <w:sz w:val="24"/>
        </w:rPr>
      </w:pPr>
      <w:r>
        <w:rPr>
          <w:rFonts w:hint="eastAsia" w:ascii="宋体" w:hAnsi="宋体" w:cs="宋体"/>
          <w:b/>
          <w:spacing w:val="7"/>
          <w:kern w:val="0"/>
          <w:sz w:val="24"/>
        </w:rPr>
        <w:t>一、项目基本情况</w:t>
      </w:r>
      <w:r>
        <w:rPr>
          <w:rFonts w:hint="eastAsia" w:ascii="宋体" w:hAnsi="宋体" w:cs="宋体"/>
          <w:sz w:val="24"/>
        </w:rPr>
        <w:t xml:space="preserve">                   </w:t>
      </w:r>
    </w:p>
    <w:p w14:paraId="21100EBF">
      <w:pPr>
        <w:adjustRightInd w:val="0"/>
        <w:snapToGrid w:val="0"/>
        <w:spacing w:line="500" w:lineRule="exact"/>
        <w:ind w:firstLine="480" w:firstLineChars="200"/>
        <w:rPr>
          <w:rFonts w:ascii="宋体" w:hAnsi="宋体" w:cs="宋体"/>
          <w:sz w:val="24"/>
        </w:rPr>
      </w:pPr>
      <w:r>
        <w:rPr>
          <w:rFonts w:hint="eastAsia" w:ascii="宋体" w:hAnsi="宋体" w:cs="宋体"/>
          <w:sz w:val="24"/>
        </w:rPr>
        <w:t>项目名称：南通市崇川区城市管理局户外店招标牌安全风险评估服务项目</w:t>
      </w:r>
    </w:p>
    <w:p w14:paraId="00128AE2">
      <w:pPr>
        <w:adjustRightInd w:val="0"/>
        <w:snapToGrid w:val="0"/>
        <w:spacing w:line="500" w:lineRule="exact"/>
        <w:ind w:firstLine="480" w:firstLineChars="200"/>
        <w:rPr>
          <w:rFonts w:ascii="宋体" w:hAnsi="宋体" w:cs="宋体"/>
          <w:sz w:val="24"/>
        </w:rPr>
      </w:pPr>
      <w:r>
        <w:rPr>
          <w:rFonts w:hint="eastAsia" w:ascii="宋体" w:hAnsi="宋体" w:cs="宋体"/>
          <w:sz w:val="24"/>
        </w:rPr>
        <w:t>项目类型：服务</w:t>
      </w:r>
    </w:p>
    <w:p w14:paraId="6266BD3E">
      <w:pPr>
        <w:adjustRightInd w:val="0"/>
        <w:snapToGrid w:val="0"/>
        <w:spacing w:line="500" w:lineRule="exact"/>
        <w:ind w:firstLine="480" w:firstLineChars="200"/>
        <w:rPr>
          <w:rFonts w:ascii="宋体" w:hAnsi="宋体" w:cs="宋体"/>
          <w:sz w:val="24"/>
        </w:rPr>
      </w:pPr>
      <w:r>
        <w:rPr>
          <w:rFonts w:hint="eastAsia" w:ascii="宋体" w:hAnsi="宋体" w:cs="宋体"/>
          <w:sz w:val="24"/>
        </w:rPr>
        <w:t>所属行业：其他未列明行业</w:t>
      </w:r>
    </w:p>
    <w:p w14:paraId="1A76D5C2">
      <w:pPr>
        <w:adjustRightInd w:val="0"/>
        <w:snapToGrid w:val="0"/>
        <w:spacing w:line="500" w:lineRule="exact"/>
        <w:ind w:firstLine="480" w:firstLineChars="200"/>
        <w:rPr>
          <w:rFonts w:ascii="宋体" w:hAnsi="宋体" w:cs="宋体"/>
          <w:sz w:val="24"/>
          <w:highlight w:val="none"/>
        </w:rPr>
      </w:pPr>
      <w:r>
        <w:rPr>
          <w:rFonts w:hint="eastAsia" w:ascii="宋体" w:hAnsi="宋体" w:cs="宋体"/>
          <w:sz w:val="24"/>
        </w:rPr>
        <w:t>预算金额：</w:t>
      </w:r>
      <w:r>
        <w:rPr>
          <w:rFonts w:hint="eastAsia" w:ascii="宋体" w:cs="宋体"/>
          <w:sz w:val="24"/>
        </w:rPr>
        <w:t>需检测（出具检测报告）的户外店招标牌（抽检）：</w:t>
      </w:r>
      <w:r>
        <w:rPr>
          <w:rFonts w:hint="eastAsia" w:ascii="宋体" w:hAnsi="宋体" w:cs="宋体"/>
          <w:sz w:val="24"/>
        </w:rPr>
        <w:t>单价最高限价：</w:t>
      </w:r>
      <w:r>
        <w:rPr>
          <w:rFonts w:hint="eastAsia" w:ascii="宋体" w:cs="宋体"/>
          <w:b/>
          <w:bCs/>
          <w:sz w:val="24"/>
          <w:highlight w:val="none"/>
        </w:rPr>
        <w:t>210</w:t>
      </w:r>
      <w:r>
        <w:rPr>
          <w:rFonts w:hint="eastAsia" w:ascii="宋体" w:hAnsi="宋体" w:cs="宋体"/>
          <w:b/>
          <w:bCs/>
          <w:sz w:val="24"/>
          <w:highlight w:val="none"/>
        </w:rPr>
        <w:t>元/户</w:t>
      </w:r>
      <w:r>
        <w:rPr>
          <w:rFonts w:hint="eastAsia" w:ascii="宋体" w:hAnsi="宋体" w:cs="宋体"/>
          <w:sz w:val="24"/>
          <w:highlight w:val="none"/>
        </w:rPr>
        <w:t>；</w:t>
      </w:r>
    </w:p>
    <w:p w14:paraId="5BF3399C">
      <w:pPr>
        <w:pStyle w:val="16"/>
        <w:spacing w:line="480" w:lineRule="exact"/>
        <w:ind w:firstLine="480" w:firstLineChars="200"/>
        <w:contextualSpacing/>
        <w:rPr>
          <w:rFonts w:ascii="宋体" w:eastAsia="宋体" w:cs="宋体"/>
          <w:sz w:val="24"/>
          <w:szCs w:val="24"/>
        </w:rPr>
      </w:pPr>
      <w:r>
        <w:rPr>
          <w:rFonts w:hint="eastAsia" w:ascii="宋体" w:eastAsia="宋体" w:cs="宋体"/>
          <w:sz w:val="24"/>
          <w:szCs w:val="24"/>
        </w:rPr>
        <w:t>总价不超过20万元。</w:t>
      </w:r>
    </w:p>
    <w:p w14:paraId="1CF5F01D">
      <w:pPr>
        <w:pStyle w:val="16"/>
        <w:spacing w:line="480" w:lineRule="exact"/>
        <w:ind w:firstLine="480" w:firstLineChars="200"/>
        <w:contextualSpacing/>
        <w:rPr>
          <w:rFonts w:ascii="宋体" w:eastAsia="宋体" w:cs="宋体"/>
          <w:sz w:val="24"/>
          <w:szCs w:val="24"/>
        </w:rPr>
      </w:pPr>
      <w:r>
        <w:rPr>
          <w:rFonts w:hint="eastAsia" w:ascii="宋体" w:eastAsia="宋体" w:cs="宋体"/>
          <w:sz w:val="24"/>
          <w:szCs w:val="24"/>
        </w:rPr>
        <w:t>投标单价及总价小于或等于单价及总价最高限价的为有效报价，投标单价及总价大于单价及总价最高限价的作无效标处理。</w:t>
      </w:r>
    </w:p>
    <w:p w14:paraId="2209453B">
      <w:pPr>
        <w:adjustRightInd w:val="0"/>
        <w:snapToGrid w:val="0"/>
        <w:spacing w:line="500" w:lineRule="exact"/>
        <w:ind w:firstLine="480" w:firstLineChars="200"/>
        <w:rPr>
          <w:rFonts w:ascii="宋体" w:hAnsi="宋体" w:cs="宋体"/>
          <w:sz w:val="24"/>
        </w:rPr>
      </w:pPr>
      <w:r>
        <w:rPr>
          <w:rFonts w:hint="eastAsia" w:ascii="宋体" w:hAnsi="宋体" w:cs="宋体"/>
          <w:sz w:val="24"/>
        </w:rPr>
        <w:t>采购需求：详见磋商文件，请仔细研究。</w:t>
      </w:r>
    </w:p>
    <w:p w14:paraId="58B1A0DA">
      <w:pPr>
        <w:adjustRightInd w:val="0"/>
        <w:snapToGrid w:val="0"/>
        <w:spacing w:line="500" w:lineRule="exact"/>
        <w:ind w:firstLine="480" w:firstLineChars="200"/>
        <w:rPr>
          <w:rFonts w:ascii="宋体" w:hAnsi="宋体" w:cs="宋体"/>
          <w:sz w:val="24"/>
        </w:rPr>
      </w:pPr>
      <w:r>
        <w:rPr>
          <w:rFonts w:hint="eastAsia" w:ascii="宋体" w:hAnsi="宋体" w:cs="宋体"/>
          <w:sz w:val="24"/>
        </w:rPr>
        <w:t>合同履行期限：详见磋商文件。</w:t>
      </w:r>
    </w:p>
    <w:p w14:paraId="3174C2C8">
      <w:pPr>
        <w:adjustRightInd w:val="0"/>
        <w:snapToGrid w:val="0"/>
        <w:spacing w:line="500" w:lineRule="exact"/>
        <w:ind w:firstLine="480" w:firstLineChars="200"/>
        <w:rPr>
          <w:rFonts w:ascii="宋体" w:hAnsi="宋体" w:cs="宋体"/>
          <w:sz w:val="24"/>
        </w:rPr>
      </w:pPr>
      <w:r>
        <w:rPr>
          <w:rFonts w:hint="eastAsia" w:ascii="宋体" w:hAnsi="宋体" w:cs="宋体"/>
          <w:sz w:val="24"/>
        </w:rPr>
        <w:t>本项目不接受联合体投标。</w:t>
      </w:r>
    </w:p>
    <w:p w14:paraId="67614899">
      <w:pPr>
        <w:adjustRightInd w:val="0"/>
        <w:snapToGrid w:val="0"/>
        <w:spacing w:line="500" w:lineRule="exact"/>
        <w:ind w:firstLine="480" w:firstLineChars="200"/>
        <w:rPr>
          <w:rFonts w:ascii="宋体" w:hAnsi="宋体" w:cs="宋体"/>
          <w:sz w:val="24"/>
        </w:rPr>
      </w:pPr>
      <w:r>
        <w:rPr>
          <w:rFonts w:hint="eastAsia" w:ascii="宋体" w:hAnsi="宋体" w:cs="宋体"/>
          <w:sz w:val="24"/>
        </w:rPr>
        <w:t>本项目不接受分包。</w:t>
      </w:r>
    </w:p>
    <w:p w14:paraId="1A2AFC89">
      <w:pPr>
        <w:adjustRightInd w:val="0"/>
        <w:snapToGrid w:val="0"/>
        <w:spacing w:line="500" w:lineRule="exact"/>
        <w:ind w:firstLine="482" w:firstLineChars="200"/>
        <w:rPr>
          <w:rFonts w:ascii="宋体" w:hAnsi="宋体" w:cs="宋体"/>
          <w:b/>
          <w:sz w:val="24"/>
        </w:rPr>
      </w:pPr>
      <w:r>
        <w:rPr>
          <w:rFonts w:hint="eastAsia" w:ascii="宋体" w:hAnsi="宋体" w:cs="宋体"/>
          <w:b/>
          <w:sz w:val="24"/>
        </w:rPr>
        <w:t>二、供应商的资格要求：</w:t>
      </w:r>
    </w:p>
    <w:p w14:paraId="7E26DD45">
      <w:pPr>
        <w:pStyle w:val="16"/>
        <w:spacing w:line="480" w:lineRule="exact"/>
        <w:ind w:firstLine="480" w:firstLineChars="200"/>
        <w:contextualSpacing/>
        <w:rPr>
          <w:rFonts w:ascii="宋体" w:eastAsia="宋体" w:cs="宋体"/>
          <w:sz w:val="24"/>
          <w:szCs w:val="24"/>
          <w:lang w:val="zh-CN"/>
        </w:rPr>
      </w:pPr>
      <w:r>
        <w:rPr>
          <w:rFonts w:hint="eastAsia" w:ascii="宋体" w:cs="宋体"/>
          <w:bCs/>
          <w:sz w:val="24"/>
          <w:szCs w:val="24"/>
          <w:lang w:val="zh-CN"/>
        </w:rPr>
        <w:t>1.</w:t>
      </w:r>
      <w:r>
        <w:rPr>
          <w:rFonts w:hint="eastAsia" w:ascii="宋体" w:eastAsia="宋体" w:cs="宋体"/>
          <w:sz w:val="24"/>
          <w:szCs w:val="24"/>
          <w:lang w:val="zh-CN"/>
        </w:rPr>
        <w:t>满足《中华人民共和国政府采购法》第二十二条规定</w:t>
      </w:r>
    </w:p>
    <w:p w14:paraId="3403A78A">
      <w:pPr>
        <w:pStyle w:val="16"/>
        <w:spacing w:line="480" w:lineRule="exact"/>
        <w:ind w:firstLine="480" w:firstLineChars="200"/>
        <w:contextualSpacing/>
        <w:rPr>
          <w:rFonts w:ascii="宋体" w:eastAsia="宋体" w:cs="宋体"/>
          <w:sz w:val="24"/>
          <w:szCs w:val="24"/>
        </w:rPr>
      </w:pPr>
      <w:r>
        <w:rPr>
          <w:rFonts w:hint="eastAsia" w:ascii="宋体" w:eastAsia="宋体" w:cs="宋体"/>
          <w:sz w:val="24"/>
          <w:szCs w:val="24"/>
          <w:lang w:val="zh-CN"/>
        </w:rPr>
        <w:t>2.</w:t>
      </w:r>
      <w:r>
        <w:rPr>
          <w:rFonts w:hint="eastAsia" w:ascii="宋体" w:eastAsia="宋体" w:cs="宋体"/>
          <w:sz w:val="24"/>
          <w:szCs w:val="24"/>
        </w:rPr>
        <w:t>供应商须具有有效的营业执照。</w:t>
      </w:r>
    </w:p>
    <w:p w14:paraId="0B3F1C32">
      <w:pPr>
        <w:pStyle w:val="16"/>
        <w:spacing w:line="480" w:lineRule="exact"/>
        <w:ind w:firstLine="480" w:firstLineChars="200"/>
        <w:contextualSpacing/>
        <w:rPr>
          <w:rFonts w:ascii="宋体" w:eastAsia="宋体" w:cs="宋体"/>
          <w:sz w:val="24"/>
          <w:szCs w:val="24"/>
          <w:lang w:val="zh-CN"/>
        </w:rPr>
      </w:pPr>
      <w:r>
        <w:rPr>
          <w:rFonts w:hint="eastAsia" w:ascii="宋体" w:eastAsia="宋体" w:cs="宋体"/>
          <w:sz w:val="24"/>
          <w:szCs w:val="24"/>
        </w:rPr>
        <w:t>3.</w:t>
      </w:r>
      <w:r>
        <w:rPr>
          <w:rFonts w:hint="eastAsia" w:ascii="宋体" w:eastAsia="宋体" w:cs="宋体"/>
          <w:sz w:val="24"/>
          <w:szCs w:val="24"/>
          <w:lang w:val="zh-CN"/>
        </w:rPr>
        <w:t>落实政府采购政策需满足的资格要求：</w:t>
      </w:r>
      <w:r>
        <w:rPr>
          <w:rFonts w:hint="eastAsia" w:ascii="宋体" w:eastAsia="宋体" w:cs="宋体"/>
          <w:b w:val="0"/>
          <w:bCs w:val="0"/>
          <w:sz w:val="24"/>
          <w:szCs w:val="24"/>
          <w:lang w:val="en-US" w:eastAsia="zh-CN"/>
        </w:rPr>
        <w:t>/</w:t>
      </w:r>
      <w:r>
        <w:rPr>
          <w:rFonts w:hint="eastAsia" w:ascii="宋体" w:eastAsia="宋体" w:cs="宋体"/>
          <w:sz w:val="24"/>
          <w:szCs w:val="24"/>
          <w:lang w:val="zh-CN"/>
        </w:rPr>
        <w:t>。</w:t>
      </w:r>
    </w:p>
    <w:p w14:paraId="0F297372">
      <w:pPr>
        <w:pStyle w:val="16"/>
        <w:spacing w:line="480" w:lineRule="exact"/>
        <w:ind w:firstLine="480" w:firstLineChars="200"/>
        <w:contextualSpacing/>
        <w:rPr>
          <w:rFonts w:ascii="宋体" w:cs="宋体"/>
          <w:bCs/>
          <w:sz w:val="24"/>
          <w:szCs w:val="24"/>
          <w:highlight w:val="none"/>
        </w:rPr>
      </w:pPr>
      <w:r>
        <w:rPr>
          <w:rFonts w:hint="eastAsia" w:ascii="宋体" w:eastAsia="宋体" w:cs="宋体"/>
          <w:sz w:val="24"/>
          <w:szCs w:val="24"/>
          <w:highlight w:val="none"/>
        </w:rPr>
        <w:t>4.</w:t>
      </w:r>
      <w:r>
        <w:rPr>
          <w:rFonts w:hint="eastAsia" w:ascii="宋体" w:eastAsia="宋体" w:cs="宋体"/>
          <w:sz w:val="24"/>
          <w:szCs w:val="24"/>
          <w:highlight w:val="none"/>
          <w:lang w:val="zh-CN"/>
        </w:rPr>
        <w:t>本项目的特定资格要求：</w:t>
      </w:r>
      <w:r>
        <w:rPr>
          <w:rFonts w:hint="eastAsia" w:ascii="宋体" w:eastAsia="宋体" w:cs="宋体"/>
          <w:sz w:val="24"/>
          <w:szCs w:val="24"/>
          <w:highlight w:val="none"/>
        </w:rPr>
        <w:t>建设行政主管部门颁发的建设工程质量检测机构资质证书、省级以上市场监督管理局颁发的检验检测机构资质认定证书，且在有效期内</w:t>
      </w:r>
      <w:r>
        <w:rPr>
          <w:rFonts w:hint="eastAsia" w:ascii="宋体" w:eastAsia="宋体" w:cs="宋体"/>
          <w:sz w:val="24"/>
          <w:szCs w:val="24"/>
          <w:highlight w:val="none"/>
          <w:lang w:val="zh-CN"/>
        </w:rPr>
        <w:t>。</w:t>
      </w:r>
    </w:p>
    <w:p w14:paraId="443EA89E">
      <w:pPr>
        <w:adjustRightInd w:val="0"/>
        <w:snapToGrid w:val="0"/>
        <w:spacing w:line="500" w:lineRule="exact"/>
        <w:ind w:firstLine="482" w:firstLineChars="200"/>
        <w:rPr>
          <w:rFonts w:ascii="宋体" w:hAnsi="宋体" w:cs="宋体"/>
          <w:b/>
          <w:sz w:val="24"/>
        </w:rPr>
      </w:pPr>
      <w:r>
        <w:rPr>
          <w:rFonts w:hint="eastAsia" w:ascii="宋体" w:hAnsi="宋体" w:cs="宋体"/>
          <w:b/>
          <w:sz w:val="24"/>
        </w:rPr>
        <w:t>三、获取采购文件</w:t>
      </w:r>
    </w:p>
    <w:p w14:paraId="32D784D3">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1.时间：自磋商文件公告发布之日起10日。</w:t>
      </w:r>
    </w:p>
    <w:p w14:paraId="110F5AD0">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2.方式：在“南通市崇川区人民政府网”自行免费下载采购文件。</w:t>
      </w:r>
    </w:p>
    <w:p w14:paraId="151B8DF8">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3.采购文件工本费：免收。</w:t>
      </w:r>
    </w:p>
    <w:p w14:paraId="5D22239B">
      <w:pPr>
        <w:adjustRightInd w:val="0"/>
        <w:snapToGrid w:val="0"/>
        <w:spacing w:line="500" w:lineRule="exact"/>
        <w:ind w:firstLine="482" w:firstLineChars="200"/>
        <w:rPr>
          <w:rFonts w:ascii="宋体" w:hAnsi="宋体" w:cs="宋体"/>
          <w:b/>
          <w:sz w:val="24"/>
        </w:rPr>
      </w:pPr>
      <w:r>
        <w:rPr>
          <w:rFonts w:hint="eastAsia" w:ascii="宋体" w:hAnsi="宋体" w:cs="宋体"/>
          <w:b/>
          <w:sz w:val="24"/>
        </w:rPr>
        <w:t>四、提交响应文件截止时间、磋商时间和地点</w:t>
      </w:r>
    </w:p>
    <w:p w14:paraId="01BCDA36">
      <w:pPr>
        <w:adjustRightInd w:val="0"/>
        <w:snapToGrid w:val="0"/>
        <w:spacing w:line="500" w:lineRule="exact"/>
        <w:ind w:firstLine="480" w:firstLineChars="200"/>
        <w:rPr>
          <w:rFonts w:ascii="宋体" w:hAnsi="宋体" w:cs="宋体"/>
          <w:sz w:val="24"/>
          <w:highlight w:val="none"/>
        </w:rPr>
      </w:pPr>
      <w:r>
        <w:rPr>
          <w:rFonts w:hint="eastAsia" w:ascii="宋体" w:hAnsi="宋体" w:cs="宋体"/>
          <w:sz w:val="24"/>
        </w:rPr>
        <w:t>截止时间：</w:t>
      </w:r>
      <w:r>
        <w:rPr>
          <w:rFonts w:hint="eastAsia" w:ascii="宋体" w:hAnsi="宋体" w:cs="宋体"/>
          <w:b/>
          <w:bCs/>
          <w:sz w:val="24"/>
          <w:highlight w:val="none"/>
          <w:lang w:eastAsia="zh-CN"/>
        </w:rPr>
        <w:t>2025年09月01日14点00分</w:t>
      </w:r>
      <w:r>
        <w:rPr>
          <w:rFonts w:hint="eastAsia" w:ascii="宋体" w:hAnsi="宋体" w:cs="宋体"/>
          <w:sz w:val="24"/>
          <w:highlight w:val="none"/>
        </w:rPr>
        <w:t>（北京时间）</w:t>
      </w:r>
    </w:p>
    <w:p w14:paraId="450C087B">
      <w:pPr>
        <w:adjustRightInd w:val="0"/>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开标时间：</w:t>
      </w:r>
      <w:r>
        <w:rPr>
          <w:rFonts w:hint="eastAsia" w:ascii="宋体" w:hAnsi="宋体" w:cs="宋体"/>
          <w:b/>
          <w:bCs/>
          <w:sz w:val="24"/>
          <w:highlight w:val="none"/>
          <w:lang w:eastAsia="zh-CN"/>
        </w:rPr>
        <w:t>2025年09月01日14点00分</w:t>
      </w:r>
      <w:r>
        <w:rPr>
          <w:rFonts w:hint="eastAsia" w:ascii="宋体" w:hAnsi="宋体" w:cs="宋体"/>
          <w:sz w:val="24"/>
          <w:highlight w:val="none"/>
        </w:rPr>
        <w:t>（北京时间）</w:t>
      </w:r>
    </w:p>
    <w:p w14:paraId="79AE3FBB">
      <w:pPr>
        <w:adjustRightInd w:val="0"/>
        <w:snapToGrid w:val="0"/>
        <w:spacing w:line="500" w:lineRule="exact"/>
        <w:ind w:firstLine="480" w:firstLineChars="200"/>
        <w:rPr>
          <w:rFonts w:ascii="宋体" w:hAnsi="宋体" w:cs="宋体"/>
          <w:i/>
          <w:sz w:val="24"/>
          <w:highlight w:val="none"/>
        </w:rPr>
      </w:pPr>
      <w:r>
        <w:rPr>
          <w:rFonts w:hint="eastAsia" w:ascii="宋体" w:hAnsi="宋体" w:cs="宋体"/>
          <w:sz w:val="24"/>
          <w:highlight w:val="none"/>
        </w:rPr>
        <w:t>地点</w:t>
      </w:r>
      <w:r>
        <w:rPr>
          <w:rFonts w:hint="eastAsia" w:ascii="宋体" w:hAnsi="宋体" w:cs="宋体"/>
          <w:sz w:val="24"/>
          <w:highlight w:val="none"/>
          <w:lang w:eastAsia="zh-CN"/>
        </w:rPr>
        <w:t>：南通市崇川区人民中路255号财智天地园（中关村信息谷）8号楼8层大会议室</w:t>
      </w:r>
      <w:r>
        <w:rPr>
          <w:rFonts w:hint="eastAsia" w:ascii="宋体" w:hAnsi="宋体" w:cs="宋体"/>
          <w:sz w:val="24"/>
          <w:highlight w:val="none"/>
        </w:rPr>
        <w:t>，如有变动另行通知。</w:t>
      </w:r>
    </w:p>
    <w:p w14:paraId="2CCFF31A">
      <w:pPr>
        <w:adjustRightInd w:val="0"/>
        <w:snapToGrid w:val="0"/>
        <w:spacing w:line="500" w:lineRule="exact"/>
        <w:ind w:firstLine="482" w:firstLineChars="200"/>
        <w:rPr>
          <w:rFonts w:ascii="宋体" w:hAnsi="宋体" w:cs="宋体"/>
          <w:b/>
          <w:sz w:val="24"/>
        </w:rPr>
      </w:pPr>
      <w:r>
        <w:rPr>
          <w:rFonts w:hint="eastAsia" w:ascii="宋体" w:hAnsi="宋体" w:cs="宋体"/>
          <w:b/>
          <w:sz w:val="24"/>
        </w:rPr>
        <w:t>五、公告期限</w:t>
      </w:r>
    </w:p>
    <w:p w14:paraId="40AE0430">
      <w:pPr>
        <w:adjustRightInd w:val="0"/>
        <w:snapToGrid w:val="0"/>
        <w:spacing w:line="500" w:lineRule="exact"/>
        <w:ind w:firstLine="480" w:firstLineChars="200"/>
        <w:rPr>
          <w:rFonts w:ascii="宋体" w:hAnsi="宋体" w:cs="宋体"/>
          <w:sz w:val="24"/>
        </w:rPr>
      </w:pPr>
      <w:r>
        <w:rPr>
          <w:rFonts w:hint="eastAsia" w:ascii="宋体" w:hAnsi="宋体" w:cs="宋体"/>
          <w:sz w:val="24"/>
        </w:rPr>
        <w:t>自本公告发布之日起3个工作日。</w:t>
      </w:r>
    </w:p>
    <w:p w14:paraId="6EE373CF">
      <w:pPr>
        <w:adjustRightInd w:val="0"/>
        <w:snapToGrid w:val="0"/>
        <w:spacing w:line="500" w:lineRule="exact"/>
        <w:ind w:firstLine="482" w:firstLineChars="200"/>
        <w:rPr>
          <w:rFonts w:ascii="宋体" w:hAnsi="宋体" w:cs="宋体"/>
          <w:b/>
          <w:sz w:val="24"/>
        </w:rPr>
      </w:pPr>
      <w:r>
        <w:rPr>
          <w:rFonts w:hint="eastAsia" w:ascii="宋体" w:hAnsi="宋体" w:cs="宋体"/>
          <w:b/>
          <w:sz w:val="24"/>
        </w:rPr>
        <w:t>六、其他补充事宜</w:t>
      </w:r>
    </w:p>
    <w:p w14:paraId="26DECC41">
      <w:pPr>
        <w:adjustRightInd w:val="0"/>
        <w:snapToGrid w:val="0"/>
        <w:spacing w:line="500" w:lineRule="exact"/>
        <w:ind w:firstLine="480" w:firstLineChars="200"/>
        <w:rPr>
          <w:rFonts w:ascii="宋体" w:hAnsi="宋体" w:cs="宋体"/>
          <w:sz w:val="24"/>
        </w:rPr>
      </w:pPr>
      <w:r>
        <w:rPr>
          <w:rFonts w:hint="eastAsia" w:ascii="宋体" w:hAnsi="宋体" w:cs="宋体"/>
          <w:sz w:val="24"/>
        </w:rPr>
        <w:t>1、投标保证金：免收</w:t>
      </w:r>
    </w:p>
    <w:p w14:paraId="4C4E9D6C">
      <w:pPr>
        <w:adjustRightInd w:val="0"/>
        <w:snapToGrid w:val="0"/>
        <w:spacing w:line="500" w:lineRule="exact"/>
        <w:ind w:firstLine="480" w:firstLineChars="200"/>
        <w:rPr>
          <w:rFonts w:ascii="宋体" w:hAnsi="宋体" w:cs="宋体"/>
          <w:sz w:val="24"/>
        </w:rPr>
      </w:pPr>
      <w:r>
        <w:rPr>
          <w:rFonts w:hint="eastAsia" w:ascii="宋体" w:hAnsi="宋体" w:cs="宋体"/>
          <w:sz w:val="24"/>
        </w:rPr>
        <w:t>2、项目磋商活动模式：见面开标模式。</w:t>
      </w:r>
    </w:p>
    <w:p w14:paraId="7EFA20D5">
      <w:pPr>
        <w:adjustRightInd w:val="0"/>
        <w:snapToGrid w:val="0"/>
        <w:spacing w:line="500" w:lineRule="exact"/>
        <w:ind w:firstLine="480" w:firstLineChars="200"/>
        <w:rPr>
          <w:rFonts w:ascii="宋体" w:hAnsi="宋体" w:cs="宋体"/>
          <w:sz w:val="24"/>
        </w:rPr>
      </w:pPr>
      <w:r>
        <w:rPr>
          <w:rFonts w:hint="eastAsia" w:ascii="宋体" w:hAnsi="宋体" w:cs="宋体"/>
          <w:sz w:val="24"/>
        </w:rPr>
        <w:t>3、项目演示、样品、答辩等：无</w:t>
      </w:r>
    </w:p>
    <w:p w14:paraId="5CCA7B18">
      <w:pPr>
        <w:adjustRightInd w:val="0"/>
        <w:snapToGrid w:val="0"/>
        <w:spacing w:line="500" w:lineRule="exact"/>
        <w:ind w:firstLine="480" w:firstLineChars="200"/>
        <w:rPr>
          <w:rFonts w:ascii="宋体" w:hAnsi="宋体" w:cs="宋体"/>
          <w:sz w:val="24"/>
        </w:rPr>
      </w:pPr>
      <w:r>
        <w:rPr>
          <w:rFonts w:hint="eastAsia" w:ascii="宋体" w:hAnsi="宋体" w:cs="宋体"/>
          <w:sz w:val="24"/>
        </w:rPr>
        <w:t>4、对项目需求部分（供应商资格要求、项目需求、商务技术评分标准）的询问、质疑请向采购人提出，由采购人负责答复；对项目磋商文件其它部分的询问请向磋商文件制作人或项目磋商经办人提出。</w:t>
      </w:r>
    </w:p>
    <w:p w14:paraId="5EE14153">
      <w:pPr>
        <w:adjustRightInd w:val="0"/>
        <w:snapToGrid w:val="0"/>
        <w:spacing w:line="500" w:lineRule="exact"/>
        <w:ind w:firstLine="480" w:firstLineChars="200"/>
        <w:rPr>
          <w:rFonts w:ascii="宋体" w:hAnsi="宋体" w:cs="宋体"/>
          <w:sz w:val="24"/>
        </w:rPr>
      </w:pPr>
      <w:r>
        <w:rPr>
          <w:rFonts w:hint="eastAsia" w:ascii="宋体" w:hAnsi="宋体" w:cs="宋体"/>
          <w:sz w:val="24"/>
        </w:rPr>
        <w:t>5、本项目招标代理费2000元由成交供应商承担，请参加磋商的供应商在成本中自行考虑，形式为转账。</w:t>
      </w:r>
    </w:p>
    <w:p w14:paraId="029405CA">
      <w:pPr>
        <w:adjustRightInd w:val="0"/>
        <w:snapToGrid w:val="0"/>
        <w:spacing w:line="500" w:lineRule="exact"/>
        <w:ind w:firstLine="360" w:firstLineChars="150"/>
        <w:rPr>
          <w:rFonts w:ascii="宋体" w:hAnsi="宋体" w:cs="宋体"/>
          <w:sz w:val="24"/>
        </w:rPr>
      </w:pPr>
      <w:r>
        <w:rPr>
          <w:rFonts w:hint="eastAsia" w:ascii="宋体" w:hAnsi="宋体" w:cs="宋体"/>
          <w:sz w:val="24"/>
        </w:rPr>
        <w:t xml:space="preserve"> 6、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03AEDACC">
      <w:pPr>
        <w:widowControl/>
        <w:shd w:val="clear" w:color="auto" w:fill="FFFFFF"/>
        <w:adjustRightInd w:val="0"/>
        <w:snapToGrid w:val="0"/>
        <w:spacing w:line="500" w:lineRule="exact"/>
        <w:ind w:firstLine="497" w:firstLineChars="195"/>
        <w:rPr>
          <w:rFonts w:ascii="宋体" w:hAnsi="宋体" w:cs="宋体"/>
          <w:b/>
          <w:spacing w:val="7"/>
          <w:kern w:val="0"/>
          <w:sz w:val="24"/>
        </w:rPr>
      </w:pPr>
      <w:r>
        <w:rPr>
          <w:rFonts w:hint="eastAsia" w:ascii="宋体" w:hAnsi="宋体" w:cs="宋体"/>
          <w:b/>
          <w:spacing w:val="7"/>
          <w:kern w:val="0"/>
          <w:sz w:val="24"/>
        </w:rPr>
        <w:t>八、凡对本次采购提出询问，请按以下方式联系。</w:t>
      </w:r>
    </w:p>
    <w:p w14:paraId="660C715E">
      <w:pPr>
        <w:adjustRightInd w:val="0"/>
        <w:snapToGrid w:val="0"/>
        <w:spacing w:line="500" w:lineRule="exact"/>
        <w:ind w:firstLine="480" w:firstLineChars="200"/>
        <w:rPr>
          <w:rFonts w:ascii="宋体" w:hAnsi="宋体" w:cs="宋体"/>
          <w:sz w:val="24"/>
        </w:rPr>
      </w:pPr>
      <w:r>
        <w:rPr>
          <w:rFonts w:hint="eastAsia" w:ascii="宋体" w:hAnsi="宋体" w:cs="宋体"/>
          <w:sz w:val="24"/>
        </w:rPr>
        <w:t>1.采购人信息</w:t>
      </w:r>
    </w:p>
    <w:p w14:paraId="066608E5">
      <w:pPr>
        <w:adjustRightInd w:val="0"/>
        <w:snapToGrid w:val="0"/>
        <w:spacing w:line="500" w:lineRule="exact"/>
        <w:ind w:firstLine="480" w:firstLineChars="200"/>
        <w:rPr>
          <w:rFonts w:ascii="宋体" w:hAnsi="宋体" w:cs="宋体"/>
          <w:sz w:val="24"/>
        </w:rPr>
      </w:pPr>
      <w:r>
        <w:rPr>
          <w:rFonts w:hint="eastAsia" w:ascii="宋体" w:hAnsi="宋体" w:cs="宋体"/>
          <w:sz w:val="24"/>
        </w:rPr>
        <w:t>单位：南通市崇川区城市管理局；</w:t>
      </w:r>
    </w:p>
    <w:p w14:paraId="136FF703">
      <w:pPr>
        <w:adjustRightInd w:val="0"/>
        <w:snapToGrid w:val="0"/>
        <w:spacing w:line="500" w:lineRule="exact"/>
        <w:ind w:firstLine="480" w:firstLineChars="200"/>
        <w:rPr>
          <w:rFonts w:ascii="宋体" w:hAnsi="宋体" w:cs="宋体"/>
          <w:sz w:val="24"/>
        </w:rPr>
      </w:pPr>
      <w:r>
        <w:rPr>
          <w:rFonts w:hint="eastAsia" w:ascii="宋体" w:hAnsi="宋体" w:cs="宋体"/>
          <w:sz w:val="24"/>
        </w:rPr>
        <w:t>地址：普贤路公园南苑南侧；</w:t>
      </w:r>
    </w:p>
    <w:p w14:paraId="4963DBF2">
      <w:pPr>
        <w:adjustRightInd w:val="0"/>
        <w:snapToGrid w:val="0"/>
        <w:spacing w:line="500" w:lineRule="exact"/>
        <w:ind w:firstLine="480" w:firstLineChars="200"/>
        <w:rPr>
          <w:rFonts w:ascii="宋体" w:hAnsi="宋体" w:cs="宋体"/>
          <w:sz w:val="24"/>
        </w:rPr>
      </w:pPr>
      <w:r>
        <w:rPr>
          <w:rFonts w:hint="eastAsia" w:ascii="宋体" w:hAnsi="宋体" w:cs="宋体"/>
          <w:sz w:val="24"/>
        </w:rPr>
        <w:t>联系人：徐女士；</w:t>
      </w:r>
    </w:p>
    <w:p w14:paraId="16F9B30D">
      <w:pPr>
        <w:adjustRightInd w:val="0"/>
        <w:snapToGrid w:val="0"/>
        <w:spacing w:line="500" w:lineRule="exact"/>
        <w:ind w:firstLine="480" w:firstLineChars="200"/>
        <w:rPr>
          <w:rFonts w:ascii="宋体" w:hAnsi="宋体" w:cs="宋体"/>
          <w:sz w:val="24"/>
        </w:rPr>
      </w:pPr>
      <w:r>
        <w:rPr>
          <w:rFonts w:hint="eastAsia" w:ascii="宋体" w:hAnsi="宋体" w:cs="宋体"/>
          <w:sz w:val="24"/>
        </w:rPr>
        <w:t>联系方式：</w:t>
      </w:r>
      <w:r>
        <w:rPr>
          <w:rFonts w:hint="eastAsia" w:ascii="宋体" w:hAnsi="宋体" w:cs="宋体"/>
          <w:sz w:val="24"/>
          <w:highlight w:val="none"/>
        </w:rPr>
        <w:t>051389091332</w:t>
      </w:r>
      <w:r>
        <w:rPr>
          <w:rFonts w:hint="eastAsia" w:ascii="宋体" w:hAnsi="宋体" w:cs="宋体"/>
          <w:sz w:val="24"/>
        </w:rPr>
        <w:t>。</w:t>
      </w:r>
    </w:p>
    <w:p w14:paraId="0456AEED">
      <w:pPr>
        <w:adjustRightInd w:val="0"/>
        <w:snapToGrid w:val="0"/>
        <w:spacing w:line="500" w:lineRule="exact"/>
        <w:ind w:firstLine="480" w:firstLineChars="200"/>
        <w:rPr>
          <w:rFonts w:ascii="宋体" w:hAnsi="宋体" w:cs="宋体"/>
          <w:sz w:val="24"/>
        </w:rPr>
      </w:pPr>
      <w:r>
        <w:rPr>
          <w:rFonts w:hint="eastAsia" w:ascii="宋体" w:hAnsi="宋体" w:cs="宋体"/>
          <w:sz w:val="24"/>
        </w:rPr>
        <w:t>2.采购代理机构信息</w:t>
      </w:r>
    </w:p>
    <w:p w14:paraId="0C816C3A">
      <w:pPr>
        <w:adjustRightInd w:val="0"/>
        <w:snapToGrid w:val="0"/>
        <w:spacing w:line="500" w:lineRule="exact"/>
        <w:ind w:firstLine="480" w:firstLineChars="200"/>
        <w:rPr>
          <w:rFonts w:ascii="宋体" w:hAnsi="宋体" w:cs="宋体"/>
          <w:sz w:val="24"/>
        </w:rPr>
      </w:pPr>
      <w:r>
        <w:rPr>
          <w:rFonts w:hint="eastAsia" w:ascii="宋体" w:hAnsi="宋体" w:cs="宋体"/>
          <w:sz w:val="24"/>
        </w:rPr>
        <w:t>名    称：江苏中莲土地房地产资产评估造价有限公司；</w:t>
      </w:r>
    </w:p>
    <w:p w14:paraId="5C21B467">
      <w:pPr>
        <w:adjustRightInd w:val="0"/>
        <w:snapToGrid w:val="0"/>
        <w:spacing w:line="500" w:lineRule="exact"/>
        <w:ind w:firstLine="480" w:firstLineChars="200"/>
        <w:rPr>
          <w:rFonts w:ascii="宋体" w:hAnsi="宋体" w:cs="宋体"/>
          <w:sz w:val="24"/>
        </w:rPr>
      </w:pPr>
      <w:r>
        <w:rPr>
          <w:rFonts w:hint="eastAsia" w:ascii="宋体" w:hAnsi="宋体" w:cs="宋体"/>
          <w:sz w:val="24"/>
        </w:rPr>
        <w:t>地　  址：南通市崇川区人民中路255号财智天地园8号楼801、802、803、804室；</w:t>
      </w:r>
    </w:p>
    <w:p w14:paraId="1412AA43">
      <w:pPr>
        <w:adjustRightInd w:val="0"/>
        <w:snapToGrid w:val="0"/>
        <w:spacing w:line="500" w:lineRule="exact"/>
        <w:ind w:firstLine="480" w:firstLineChars="200"/>
        <w:rPr>
          <w:rFonts w:ascii="宋体" w:hAnsi="宋体" w:cs="宋体"/>
          <w:sz w:val="24"/>
        </w:rPr>
      </w:pPr>
      <w:r>
        <w:rPr>
          <w:rFonts w:hint="eastAsia" w:ascii="宋体" w:hAnsi="宋体" w:cs="宋体"/>
          <w:sz w:val="24"/>
        </w:rPr>
        <w:t>联系方式：15262730907。</w:t>
      </w:r>
    </w:p>
    <w:p w14:paraId="2B1A93D3">
      <w:pPr>
        <w:adjustRightInd w:val="0"/>
        <w:snapToGrid w:val="0"/>
        <w:spacing w:line="500" w:lineRule="exact"/>
        <w:ind w:firstLine="480" w:firstLineChars="200"/>
        <w:rPr>
          <w:rFonts w:ascii="宋体" w:hAnsi="宋体" w:cs="宋体"/>
          <w:sz w:val="24"/>
        </w:rPr>
      </w:pPr>
      <w:r>
        <w:rPr>
          <w:rFonts w:hint="eastAsia" w:ascii="宋体" w:hAnsi="宋体" w:cs="宋体"/>
          <w:sz w:val="24"/>
        </w:rPr>
        <w:t>3.项目联系方式</w:t>
      </w:r>
    </w:p>
    <w:p w14:paraId="35A5C412">
      <w:pPr>
        <w:adjustRightInd w:val="0"/>
        <w:snapToGrid w:val="0"/>
        <w:spacing w:line="500" w:lineRule="exact"/>
        <w:ind w:firstLine="480" w:firstLineChars="200"/>
        <w:rPr>
          <w:rFonts w:ascii="宋体" w:hAnsi="宋体" w:cs="宋体"/>
          <w:sz w:val="24"/>
        </w:rPr>
      </w:pPr>
      <w:r>
        <w:rPr>
          <w:rFonts w:hint="eastAsia" w:ascii="宋体" w:hAnsi="宋体" w:cs="宋体"/>
          <w:sz w:val="24"/>
        </w:rPr>
        <w:t>项目联系人：张销雅；</w:t>
      </w:r>
    </w:p>
    <w:p w14:paraId="335FA5C8">
      <w:pPr>
        <w:adjustRightInd w:val="0"/>
        <w:snapToGrid w:val="0"/>
        <w:spacing w:line="500" w:lineRule="exact"/>
        <w:ind w:firstLine="480" w:firstLineChars="200"/>
        <w:rPr>
          <w:rFonts w:ascii="宋体" w:hAnsi="宋体" w:cs="宋体"/>
          <w:sz w:val="24"/>
        </w:rPr>
      </w:pPr>
      <w:r>
        <w:rPr>
          <w:rFonts w:hint="eastAsia" w:ascii="宋体" w:hAnsi="宋体" w:cs="宋体"/>
          <w:sz w:val="24"/>
        </w:rPr>
        <w:t xml:space="preserve">电　  话：15262730907。 </w:t>
      </w:r>
    </w:p>
    <w:p w14:paraId="7767A8D1">
      <w:pPr>
        <w:rPr>
          <w:rFonts w:ascii="宋体" w:hAnsi="宋体" w:cs="宋体"/>
          <w:sz w:val="24"/>
        </w:rPr>
      </w:pPr>
    </w:p>
    <w:p w14:paraId="5EC45ED9">
      <w:pPr>
        <w:autoSpaceDE w:val="0"/>
        <w:autoSpaceDN w:val="0"/>
        <w:adjustRightInd w:val="0"/>
        <w:snapToGrid w:val="0"/>
        <w:spacing w:line="500" w:lineRule="exact"/>
        <w:jc w:val="center"/>
        <w:rPr>
          <w:rFonts w:ascii="宋体" w:hAnsi="宋体" w:cs="宋体"/>
          <w:sz w:val="24"/>
          <w:lang w:val="zh-CN"/>
        </w:rPr>
        <w:sectPr>
          <w:pgSz w:w="11907" w:h="16839"/>
          <w:pgMar w:top="1440" w:right="1800" w:bottom="1440" w:left="1800" w:header="720" w:footer="737" w:gutter="0"/>
          <w:cols w:space="720" w:num="1"/>
          <w:docGrid w:linePitch="286" w:charSpace="0"/>
        </w:sectPr>
      </w:pPr>
    </w:p>
    <w:p w14:paraId="2E778DAA">
      <w:pPr>
        <w:autoSpaceDE w:val="0"/>
        <w:autoSpaceDN w:val="0"/>
        <w:adjustRightInd w:val="0"/>
        <w:snapToGrid w:val="0"/>
        <w:spacing w:line="500" w:lineRule="exact"/>
        <w:jc w:val="center"/>
        <w:rPr>
          <w:rFonts w:ascii="宋体" w:hAnsi="宋体" w:cs="宋体"/>
          <w:b/>
          <w:bCs/>
          <w:sz w:val="32"/>
          <w:szCs w:val="32"/>
          <w:lang w:val="zh-CN"/>
        </w:rPr>
      </w:pPr>
      <w:r>
        <w:rPr>
          <w:rFonts w:hint="eastAsia" w:ascii="宋体" w:hAnsi="宋体" w:cs="宋体"/>
          <w:b/>
          <w:bCs/>
          <w:sz w:val="32"/>
          <w:szCs w:val="32"/>
          <w:lang w:val="zh-CN"/>
        </w:rPr>
        <w:t>第二部分 磋商须知</w:t>
      </w:r>
    </w:p>
    <w:p w14:paraId="3B827CA3">
      <w:pPr>
        <w:keepNext/>
        <w:keepLines/>
        <w:adjustRightInd w:val="0"/>
        <w:snapToGrid w:val="0"/>
        <w:spacing w:line="500" w:lineRule="exact"/>
        <w:jc w:val="center"/>
        <w:outlineLvl w:val="2"/>
        <w:rPr>
          <w:rFonts w:ascii="宋体" w:hAnsi="宋体" w:cs="宋体"/>
          <w:b/>
          <w:bCs/>
          <w:kern w:val="0"/>
          <w:sz w:val="24"/>
        </w:rPr>
      </w:pPr>
      <w:bookmarkStart w:id="3" w:name="_Toc16938519"/>
      <w:bookmarkStart w:id="4" w:name="_Toc513029203"/>
      <w:bookmarkStart w:id="5" w:name="_Toc120614214"/>
      <w:bookmarkStart w:id="6" w:name="_Toc20823275"/>
      <w:r>
        <w:rPr>
          <w:rFonts w:hint="eastAsia" w:ascii="宋体" w:hAnsi="宋体" w:cs="宋体"/>
          <w:b/>
          <w:bCs/>
          <w:kern w:val="0"/>
          <w:sz w:val="24"/>
        </w:rPr>
        <w:t>（一）总则</w:t>
      </w:r>
      <w:bookmarkEnd w:id="3"/>
      <w:bookmarkEnd w:id="4"/>
      <w:bookmarkEnd w:id="5"/>
      <w:bookmarkEnd w:id="6"/>
    </w:p>
    <w:p w14:paraId="17F456CE">
      <w:pPr>
        <w:keepNext/>
        <w:adjustRightInd w:val="0"/>
        <w:snapToGrid w:val="0"/>
        <w:spacing w:line="500" w:lineRule="exact"/>
        <w:outlineLvl w:val="3"/>
        <w:rPr>
          <w:rFonts w:ascii="宋体" w:hAnsi="宋体" w:cs="宋体"/>
          <w:b/>
          <w:bCs/>
          <w:kern w:val="0"/>
          <w:sz w:val="24"/>
        </w:rPr>
      </w:pPr>
      <w:bookmarkStart w:id="7" w:name="_Hlt16619475"/>
      <w:bookmarkEnd w:id="7"/>
      <w:bookmarkStart w:id="8" w:name="_Toc458694821"/>
      <w:bookmarkStart w:id="9" w:name="_Toc16938520"/>
      <w:bookmarkStart w:id="10" w:name="_Toc20823276"/>
      <w:bookmarkStart w:id="11" w:name="_Toc513029204"/>
      <w:r>
        <w:rPr>
          <w:rFonts w:hint="eastAsia" w:ascii="宋体" w:hAnsi="宋体" w:cs="宋体"/>
          <w:kern w:val="0"/>
          <w:sz w:val="24"/>
        </w:rPr>
        <w:t>1</w:t>
      </w:r>
      <w:bookmarkEnd w:id="8"/>
      <w:r>
        <w:rPr>
          <w:rFonts w:hint="eastAsia" w:ascii="宋体" w:hAnsi="宋体" w:cs="宋体"/>
          <w:kern w:val="0"/>
          <w:sz w:val="24"/>
        </w:rPr>
        <w:t>.采购方式</w:t>
      </w:r>
      <w:bookmarkEnd w:id="9"/>
      <w:bookmarkEnd w:id="10"/>
      <w:bookmarkEnd w:id="11"/>
    </w:p>
    <w:p w14:paraId="13B2CB4B">
      <w:pPr>
        <w:adjustRightInd w:val="0"/>
        <w:snapToGrid w:val="0"/>
        <w:spacing w:line="500" w:lineRule="exact"/>
        <w:ind w:firstLine="480" w:firstLineChars="200"/>
        <w:rPr>
          <w:rFonts w:ascii="宋体" w:hAnsi="宋体" w:cs="宋体"/>
          <w:sz w:val="24"/>
        </w:rPr>
      </w:pPr>
      <w:r>
        <w:rPr>
          <w:rFonts w:hint="eastAsia" w:ascii="宋体" w:hAnsi="宋体" w:cs="宋体"/>
          <w:sz w:val="24"/>
        </w:rPr>
        <w:t>1.1 本次采取竞争性磋商方式，本磋商文件仅适用于磋商公告中所述项目。</w:t>
      </w:r>
    </w:p>
    <w:p w14:paraId="4D2DC766">
      <w:pPr>
        <w:keepNext/>
        <w:adjustRightInd w:val="0"/>
        <w:snapToGrid w:val="0"/>
        <w:spacing w:line="500" w:lineRule="exact"/>
        <w:outlineLvl w:val="3"/>
        <w:rPr>
          <w:rFonts w:ascii="宋体" w:hAnsi="宋体" w:cs="宋体"/>
          <w:b/>
          <w:bCs/>
          <w:kern w:val="0"/>
          <w:sz w:val="24"/>
        </w:rPr>
      </w:pPr>
      <w:bookmarkStart w:id="12" w:name="_Toc20823277"/>
      <w:bookmarkStart w:id="13" w:name="_Toc16938521"/>
      <w:bookmarkStart w:id="14" w:name="_Toc513029205"/>
      <w:r>
        <w:rPr>
          <w:rFonts w:hint="eastAsia" w:ascii="宋体" w:hAnsi="宋体" w:cs="宋体"/>
          <w:kern w:val="0"/>
          <w:sz w:val="24"/>
        </w:rPr>
        <w:t>2.合格的</w:t>
      </w:r>
      <w:bookmarkEnd w:id="12"/>
      <w:bookmarkEnd w:id="13"/>
      <w:bookmarkEnd w:id="14"/>
      <w:r>
        <w:rPr>
          <w:rFonts w:hint="eastAsia" w:ascii="宋体" w:hAnsi="宋体" w:cs="宋体"/>
          <w:kern w:val="0"/>
          <w:sz w:val="24"/>
        </w:rPr>
        <w:t>供应商</w:t>
      </w:r>
    </w:p>
    <w:p w14:paraId="70477502">
      <w:pPr>
        <w:adjustRightInd w:val="0"/>
        <w:snapToGrid w:val="0"/>
        <w:spacing w:line="500" w:lineRule="exact"/>
        <w:ind w:firstLine="480" w:firstLineChars="200"/>
        <w:rPr>
          <w:rFonts w:ascii="宋体" w:hAnsi="宋体" w:cs="宋体"/>
          <w:sz w:val="24"/>
        </w:rPr>
      </w:pPr>
      <w:r>
        <w:rPr>
          <w:rFonts w:hint="eastAsia" w:ascii="宋体" w:hAnsi="宋体" w:cs="宋体"/>
          <w:sz w:val="24"/>
        </w:rPr>
        <w:t>2.1 满足磋商公告中供应商的资格要求的规定。</w:t>
      </w:r>
    </w:p>
    <w:p w14:paraId="0060CF95">
      <w:pPr>
        <w:adjustRightInd w:val="0"/>
        <w:snapToGrid w:val="0"/>
        <w:spacing w:line="500" w:lineRule="exact"/>
        <w:ind w:firstLine="480" w:firstLineChars="200"/>
        <w:rPr>
          <w:rFonts w:ascii="宋体" w:hAnsi="宋体" w:cs="宋体"/>
          <w:sz w:val="24"/>
        </w:rPr>
      </w:pPr>
      <w:r>
        <w:rPr>
          <w:rFonts w:hint="eastAsia" w:ascii="宋体" w:hAnsi="宋体" w:cs="宋体"/>
          <w:sz w:val="24"/>
        </w:rPr>
        <w:t>2.2 满足本文件实质性条款的规定。</w:t>
      </w:r>
    </w:p>
    <w:p w14:paraId="1D08325D">
      <w:pPr>
        <w:keepNext/>
        <w:adjustRightInd w:val="0"/>
        <w:snapToGrid w:val="0"/>
        <w:spacing w:line="500" w:lineRule="exact"/>
        <w:outlineLvl w:val="3"/>
        <w:rPr>
          <w:rFonts w:ascii="宋体" w:hAnsi="宋体" w:cs="宋体"/>
          <w:b/>
          <w:bCs/>
          <w:kern w:val="0"/>
          <w:sz w:val="24"/>
        </w:rPr>
      </w:pPr>
      <w:bookmarkStart w:id="15" w:name="_Toc20823278"/>
      <w:bookmarkStart w:id="16" w:name="_Toc16938522"/>
      <w:bookmarkStart w:id="17" w:name="_Toc513029206"/>
      <w:r>
        <w:rPr>
          <w:rFonts w:hint="eastAsia" w:ascii="宋体" w:hAnsi="宋体" w:cs="宋体"/>
          <w:kern w:val="0"/>
          <w:sz w:val="24"/>
        </w:rPr>
        <w:t>3.适用法律</w:t>
      </w:r>
      <w:bookmarkEnd w:id="15"/>
      <w:bookmarkEnd w:id="16"/>
      <w:bookmarkEnd w:id="17"/>
    </w:p>
    <w:p w14:paraId="5E80EC35">
      <w:pPr>
        <w:adjustRightInd w:val="0"/>
        <w:snapToGrid w:val="0"/>
        <w:spacing w:line="500" w:lineRule="exact"/>
        <w:ind w:firstLine="420" w:firstLineChars="175"/>
        <w:rPr>
          <w:rFonts w:ascii="宋体" w:hAnsi="宋体" w:cs="宋体"/>
          <w:sz w:val="24"/>
        </w:rPr>
      </w:pPr>
      <w:r>
        <w:rPr>
          <w:rFonts w:hint="eastAsia" w:ascii="宋体" w:hAnsi="宋体" w:cs="宋体"/>
          <w:sz w:val="24"/>
        </w:rPr>
        <w:t>3.1 本次采购及由此产生的合同受中华人民共和国有关的法律法规制约和保护。</w:t>
      </w:r>
    </w:p>
    <w:p w14:paraId="12F28DFD">
      <w:pPr>
        <w:keepNext/>
        <w:adjustRightInd w:val="0"/>
        <w:snapToGrid w:val="0"/>
        <w:spacing w:line="500" w:lineRule="exact"/>
        <w:outlineLvl w:val="3"/>
        <w:rPr>
          <w:rFonts w:ascii="宋体" w:hAnsi="宋体" w:cs="宋体"/>
          <w:b/>
          <w:bCs/>
          <w:kern w:val="0"/>
          <w:sz w:val="24"/>
        </w:rPr>
      </w:pPr>
      <w:bookmarkStart w:id="18" w:name="_Toc20823279"/>
      <w:bookmarkStart w:id="19" w:name="_Toc16938523"/>
      <w:bookmarkStart w:id="20" w:name="_Toc513029207"/>
      <w:bookmarkStart w:id="21" w:name="_Toc462564067"/>
      <w:r>
        <w:rPr>
          <w:rFonts w:hint="eastAsia" w:ascii="宋体" w:hAnsi="宋体" w:cs="宋体"/>
          <w:kern w:val="0"/>
          <w:sz w:val="24"/>
        </w:rPr>
        <w:t>4.磋商费用</w:t>
      </w:r>
      <w:bookmarkEnd w:id="18"/>
      <w:bookmarkEnd w:id="19"/>
      <w:bookmarkEnd w:id="20"/>
      <w:bookmarkEnd w:id="21"/>
    </w:p>
    <w:p w14:paraId="7E3DE97D">
      <w:pPr>
        <w:adjustRightInd w:val="0"/>
        <w:snapToGrid w:val="0"/>
        <w:spacing w:line="500" w:lineRule="exact"/>
        <w:ind w:firstLine="480" w:firstLineChars="200"/>
        <w:rPr>
          <w:rFonts w:ascii="宋体" w:hAnsi="宋体" w:cs="宋体"/>
          <w:sz w:val="24"/>
        </w:rPr>
      </w:pPr>
      <w:r>
        <w:rPr>
          <w:rFonts w:hint="eastAsia" w:ascii="宋体" w:hAnsi="宋体" w:cs="宋体"/>
          <w:bCs/>
          <w:sz w:val="24"/>
        </w:rPr>
        <w:t>4.1</w:t>
      </w:r>
      <w:r>
        <w:rPr>
          <w:rFonts w:hint="eastAsia" w:ascii="宋体" w:hAnsi="宋体" w:cs="宋体"/>
          <w:sz w:val="24"/>
        </w:rPr>
        <w:t xml:space="preserve"> 供应商应自行承担所有与参加磋商有关的费用，无论磋商过程中的做法和结果如何，采购人在任何情况下均无义务和责任承担这些费用。</w:t>
      </w:r>
    </w:p>
    <w:p w14:paraId="283364A9">
      <w:pPr>
        <w:adjustRightInd w:val="0"/>
        <w:snapToGrid w:val="0"/>
        <w:spacing w:line="500" w:lineRule="exact"/>
        <w:ind w:firstLine="480" w:firstLineChars="200"/>
        <w:rPr>
          <w:rFonts w:ascii="宋体" w:hAnsi="宋体" w:cs="宋体"/>
          <w:sz w:val="24"/>
        </w:rPr>
      </w:pPr>
      <w:r>
        <w:rPr>
          <w:rFonts w:hint="eastAsia" w:ascii="宋体" w:hAnsi="宋体" w:cs="宋体"/>
          <w:sz w:val="24"/>
        </w:rPr>
        <w:t xml:space="preserve">4.2 </w:t>
      </w:r>
      <w:r>
        <w:rPr>
          <w:rFonts w:hint="eastAsia" w:ascii="宋体" w:hAnsi="宋体" w:cs="宋体"/>
          <w:sz w:val="24"/>
          <w:lang w:val="zh-CN"/>
        </w:rPr>
        <w:t>招标代理费（</w:t>
      </w:r>
      <w:r>
        <w:rPr>
          <w:rFonts w:hint="eastAsia" w:ascii="宋体" w:hAnsi="宋体" w:cs="宋体"/>
          <w:sz w:val="24"/>
        </w:rPr>
        <w:t>2000元</w:t>
      </w:r>
      <w:r>
        <w:rPr>
          <w:rFonts w:hint="eastAsia" w:ascii="宋体" w:hAnsi="宋体" w:cs="宋体"/>
          <w:sz w:val="24"/>
          <w:lang w:val="zh-CN"/>
        </w:rPr>
        <w:t>）</w:t>
      </w:r>
      <w:r>
        <w:rPr>
          <w:rFonts w:hint="eastAsia" w:ascii="宋体" w:hAnsi="宋体" w:cs="宋体"/>
          <w:sz w:val="24"/>
        </w:rPr>
        <w:t>由中标单位在领取中标通知书时向采购代理机构支付。</w:t>
      </w:r>
    </w:p>
    <w:p w14:paraId="56A971CC">
      <w:pPr>
        <w:keepNext/>
        <w:adjustRightInd w:val="0"/>
        <w:snapToGrid w:val="0"/>
        <w:spacing w:line="500" w:lineRule="exact"/>
        <w:outlineLvl w:val="3"/>
        <w:rPr>
          <w:rFonts w:ascii="宋体" w:hAnsi="宋体" w:cs="宋体"/>
          <w:b/>
          <w:bCs/>
          <w:kern w:val="0"/>
          <w:sz w:val="24"/>
        </w:rPr>
      </w:pPr>
      <w:r>
        <w:rPr>
          <w:rFonts w:hint="eastAsia" w:ascii="宋体" w:hAnsi="宋体" w:cs="宋体"/>
          <w:kern w:val="0"/>
          <w:sz w:val="24"/>
        </w:rPr>
        <w:t>5.磋商文件的约束力</w:t>
      </w:r>
    </w:p>
    <w:p w14:paraId="3D7F871C">
      <w:pPr>
        <w:adjustRightInd w:val="0"/>
        <w:snapToGrid w:val="0"/>
        <w:spacing w:line="500" w:lineRule="exact"/>
        <w:ind w:firstLine="480" w:firstLineChars="200"/>
        <w:rPr>
          <w:rFonts w:ascii="宋体" w:hAnsi="宋体" w:cs="宋体"/>
          <w:sz w:val="24"/>
        </w:rPr>
      </w:pPr>
      <w:r>
        <w:rPr>
          <w:rFonts w:hint="eastAsia" w:ascii="宋体" w:hAnsi="宋体" w:cs="宋体"/>
          <w:bCs/>
          <w:sz w:val="24"/>
        </w:rPr>
        <w:t>5.1</w:t>
      </w:r>
      <w:r>
        <w:rPr>
          <w:rFonts w:hint="eastAsia" w:ascii="宋体" w:hAnsi="宋体" w:cs="宋体"/>
          <w:sz w:val="24"/>
        </w:rPr>
        <w:t xml:space="preserve"> 供应商一旦参加本项目采购活动，即被认为接受了本磋商文件的规定和约束。</w:t>
      </w:r>
    </w:p>
    <w:p w14:paraId="606F1B81">
      <w:pPr>
        <w:keepNext/>
        <w:adjustRightInd w:val="0"/>
        <w:snapToGrid w:val="0"/>
        <w:spacing w:line="500" w:lineRule="exact"/>
        <w:outlineLvl w:val="3"/>
        <w:rPr>
          <w:rFonts w:ascii="宋体" w:hAnsi="宋体" w:cs="宋体"/>
          <w:kern w:val="0"/>
          <w:sz w:val="24"/>
        </w:rPr>
      </w:pPr>
      <w:r>
        <w:rPr>
          <w:rFonts w:hint="eastAsia" w:ascii="宋体" w:hAnsi="宋体" w:cs="宋体"/>
          <w:kern w:val="0"/>
          <w:sz w:val="24"/>
        </w:rPr>
        <w:t>6.磋商文件的解释</w:t>
      </w:r>
    </w:p>
    <w:p w14:paraId="217F1801">
      <w:pPr>
        <w:adjustRightInd w:val="0"/>
        <w:snapToGrid w:val="0"/>
        <w:spacing w:line="500" w:lineRule="exact"/>
        <w:ind w:firstLine="420" w:firstLineChars="175"/>
        <w:rPr>
          <w:rFonts w:ascii="宋体" w:hAnsi="宋体" w:cs="宋体"/>
          <w:sz w:val="24"/>
        </w:rPr>
      </w:pPr>
      <w:r>
        <w:rPr>
          <w:rFonts w:hint="eastAsia" w:ascii="宋体" w:hAnsi="宋体" w:cs="宋体"/>
          <w:bCs/>
          <w:sz w:val="24"/>
        </w:rPr>
        <w:t>6.1</w:t>
      </w:r>
      <w:r>
        <w:rPr>
          <w:rFonts w:hint="eastAsia" w:ascii="宋体" w:hAnsi="宋体" w:cs="宋体"/>
          <w:sz w:val="24"/>
        </w:rPr>
        <w:t>磋商文件需求部分（供应商资格要求、项目需求、商务技术评分标准）由采购人解释，其它部分由代理机构解释。</w:t>
      </w:r>
    </w:p>
    <w:p w14:paraId="23C8A6AC">
      <w:pPr>
        <w:adjustRightInd w:val="0"/>
        <w:snapToGrid w:val="0"/>
        <w:spacing w:line="500" w:lineRule="exact"/>
        <w:rPr>
          <w:rFonts w:ascii="宋体" w:hAnsi="宋体" w:cs="宋体"/>
          <w:sz w:val="24"/>
        </w:rPr>
      </w:pPr>
      <w:r>
        <w:rPr>
          <w:rFonts w:hint="eastAsia" w:ascii="宋体" w:hAnsi="宋体" w:cs="宋体"/>
          <w:sz w:val="24"/>
        </w:rPr>
        <w:t>7.报价要求</w:t>
      </w:r>
    </w:p>
    <w:p w14:paraId="63AED2D3">
      <w:pPr>
        <w:adjustRightInd w:val="0"/>
        <w:snapToGrid w:val="0"/>
        <w:spacing w:line="500" w:lineRule="exact"/>
        <w:ind w:firstLine="420"/>
        <w:rPr>
          <w:rFonts w:ascii="宋体" w:hAnsi="宋体" w:cs="宋体"/>
          <w:sz w:val="24"/>
          <w:lang w:val="zh-CN"/>
        </w:rPr>
      </w:pPr>
      <w:r>
        <w:rPr>
          <w:rFonts w:hint="eastAsia" w:ascii="宋体" w:hAnsi="宋体" w:cs="宋体"/>
          <w:sz w:val="24"/>
        </w:rPr>
        <w:t>7.1</w:t>
      </w:r>
      <w:bookmarkStart w:id="22" w:name="_Toc120614215"/>
      <w:bookmarkStart w:id="23" w:name="_Toc16938525"/>
      <w:bookmarkStart w:id="24" w:name="_Toc20823281"/>
      <w:bookmarkStart w:id="25" w:name="_Toc513029209"/>
      <w:r>
        <w:rPr>
          <w:rFonts w:hint="eastAsia" w:ascii="宋体" w:hAnsi="宋体" w:cs="宋体"/>
          <w:sz w:val="24"/>
          <w:lang w:val="zh-CN"/>
        </w:rPr>
        <w:t>本项目采用固定单价报价，报价应包含本项目采购内容的全部费用，包括（但不限于）直接费、间接费、损耗、运输相关费用、管理费、人工费、服务人员五险一金、服务费、招标代理费（按计价格【2002】1980号文件执行）、专家评审费（如有按实）、利润、税费及一切技术和售后服务费等各项税费及合同实施过程中不可预见的全部费用。</w:t>
      </w:r>
    </w:p>
    <w:p w14:paraId="44DAC749">
      <w:pPr>
        <w:adjustRightInd w:val="0"/>
        <w:snapToGrid w:val="0"/>
        <w:spacing w:line="500" w:lineRule="exact"/>
        <w:jc w:val="center"/>
        <w:rPr>
          <w:rFonts w:ascii="宋体" w:hAnsi="宋体" w:cs="宋体"/>
          <w:b/>
          <w:bCs/>
          <w:sz w:val="24"/>
        </w:rPr>
      </w:pPr>
      <w:r>
        <w:rPr>
          <w:rFonts w:hint="eastAsia" w:ascii="宋体" w:hAnsi="宋体" w:cs="宋体"/>
          <w:b/>
          <w:bCs/>
          <w:sz w:val="24"/>
        </w:rPr>
        <w:t>（二）磋商文件</w:t>
      </w:r>
      <w:bookmarkEnd w:id="22"/>
      <w:bookmarkEnd w:id="23"/>
      <w:bookmarkEnd w:id="24"/>
      <w:bookmarkEnd w:id="25"/>
    </w:p>
    <w:p w14:paraId="181C252C">
      <w:pPr>
        <w:adjustRightInd w:val="0"/>
        <w:snapToGrid w:val="0"/>
        <w:spacing w:line="500" w:lineRule="exact"/>
        <w:rPr>
          <w:rFonts w:ascii="宋体" w:hAnsi="宋体" w:cs="宋体"/>
          <w:sz w:val="24"/>
        </w:rPr>
      </w:pPr>
      <w:bookmarkStart w:id="26" w:name="_Toc16938526"/>
      <w:bookmarkStart w:id="27" w:name="_Toc20823282"/>
      <w:bookmarkStart w:id="28" w:name="_Toc513029210"/>
      <w:r>
        <w:rPr>
          <w:rFonts w:hint="eastAsia" w:ascii="宋体" w:hAnsi="宋体" w:cs="宋体"/>
          <w:sz w:val="24"/>
        </w:rPr>
        <w:t>1.磋商文件构成</w:t>
      </w:r>
      <w:bookmarkEnd w:id="26"/>
      <w:bookmarkEnd w:id="27"/>
      <w:bookmarkEnd w:id="28"/>
    </w:p>
    <w:p w14:paraId="0ACAC0CF">
      <w:pPr>
        <w:adjustRightInd w:val="0"/>
        <w:snapToGrid w:val="0"/>
        <w:spacing w:line="500" w:lineRule="exact"/>
        <w:ind w:firstLine="480" w:firstLineChars="200"/>
        <w:rPr>
          <w:rFonts w:ascii="宋体" w:hAnsi="宋体" w:cs="宋体"/>
          <w:sz w:val="24"/>
        </w:rPr>
      </w:pPr>
      <w:r>
        <w:rPr>
          <w:rFonts w:hint="eastAsia" w:ascii="宋体" w:hAnsi="宋体" w:cs="宋体"/>
          <w:bCs/>
          <w:sz w:val="24"/>
        </w:rPr>
        <w:t>1.1</w:t>
      </w:r>
      <w:r>
        <w:rPr>
          <w:rFonts w:hint="eastAsia" w:ascii="宋体" w:hAnsi="宋体" w:cs="宋体"/>
          <w:sz w:val="24"/>
        </w:rPr>
        <w:t xml:space="preserve"> 磋商文件由以下部分组成：</w:t>
      </w:r>
    </w:p>
    <w:p w14:paraId="1F53850A">
      <w:pPr>
        <w:adjustRightInd w:val="0"/>
        <w:snapToGrid w:val="0"/>
        <w:spacing w:line="500" w:lineRule="exact"/>
        <w:ind w:firstLine="360" w:firstLineChars="150"/>
        <w:rPr>
          <w:rFonts w:ascii="宋体" w:hAnsi="宋体" w:cs="宋体"/>
          <w:sz w:val="24"/>
        </w:rPr>
      </w:pPr>
      <w:r>
        <w:rPr>
          <w:rFonts w:hint="eastAsia" w:ascii="宋体" w:hAnsi="宋体" w:cs="宋体"/>
          <w:sz w:val="24"/>
        </w:rPr>
        <w:t>（1）采购邀请</w:t>
      </w:r>
    </w:p>
    <w:p w14:paraId="6223A12E">
      <w:pPr>
        <w:adjustRightInd w:val="0"/>
        <w:snapToGrid w:val="0"/>
        <w:spacing w:line="500" w:lineRule="exact"/>
        <w:ind w:firstLine="360" w:firstLineChars="150"/>
        <w:rPr>
          <w:rFonts w:ascii="宋体" w:hAnsi="宋体" w:cs="宋体"/>
          <w:sz w:val="24"/>
        </w:rPr>
      </w:pPr>
      <w:r>
        <w:rPr>
          <w:rFonts w:hint="eastAsia" w:ascii="宋体" w:hAnsi="宋体" w:cs="宋体"/>
          <w:sz w:val="24"/>
        </w:rPr>
        <w:t>（2）磋商须知</w:t>
      </w:r>
    </w:p>
    <w:p w14:paraId="0BEB45AB">
      <w:pPr>
        <w:adjustRightInd w:val="0"/>
        <w:snapToGrid w:val="0"/>
        <w:spacing w:line="500" w:lineRule="exact"/>
        <w:ind w:firstLine="360" w:firstLineChars="150"/>
        <w:rPr>
          <w:rFonts w:ascii="宋体" w:hAnsi="宋体" w:cs="宋体"/>
          <w:sz w:val="24"/>
        </w:rPr>
      </w:pPr>
      <w:r>
        <w:rPr>
          <w:rFonts w:hint="eastAsia" w:ascii="宋体" w:hAnsi="宋体" w:cs="宋体"/>
          <w:sz w:val="24"/>
        </w:rPr>
        <w:t>（3）项目需求</w:t>
      </w:r>
    </w:p>
    <w:p w14:paraId="5BDC706F">
      <w:pPr>
        <w:adjustRightInd w:val="0"/>
        <w:snapToGrid w:val="0"/>
        <w:spacing w:line="500" w:lineRule="exact"/>
        <w:ind w:firstLine="360" w:firstLineChars="150"/>
        <w:rPr>
          <w:rFonts w:ascii="宋体" w:hAnsi="宋体" w:cs="宋体"/>
          <w:sz w:val="24"/>
        </w:rPr>
      </w:pPr>
      <w:r>
        <w:rPr>
          <w:rFonts w:hint="eastAsia" w:ascii="宋体" w:hAnsi="宋体" w:cs="宋体"/>
          <w:sz w:val="24"/>
        </w:rPr>
        <w:t>（4）评审方法和评审标准</w:t>
      </w:r>
    </w:p>
    <w:p w14:paraId="32D23ED2">
      <w:pPr>
        <w:adjustRightInd w:val="0"/>
        <w:snapToGrid w:val="0"/>
        <w:spacing w:line="500" w:lineRule="exact"/>
        <w:ind w:firstLine="360" w:firstLineChars="150"/>
        <w:rPr>
          <w:rFonts w:ascii="宋体" w:hAnsi="宋体" w:cs="宋体"/>
          <w:sz w:val="24"/>
        </w:rPr>
      </w:pPr>
      <w:r>
        <w:rPr>
          <w:rFonts w:hint="eastAsia" w:ascii="宋体" w:hAnsi="宋体" w:cs="宋体"/>
          <w:sz w:val="24"/>
        </w:rPr>
        <w:t>（5）响应文件组成</w:t>
      </w:r>
    </w:p>
    <w:p w14:paraId="46C0D8BA">
      <w:pPr>
        <w:adjustRightInd w:val="0"/>
        <w:snapToGrid w:val="0"/>
        <w:spacing w:line="500" w:lineRule="exact"/>
        <w:ind w:firstLine="360" w:firstLineChars="150"/>
        <w:rPr>
          <w:rFonts w:ascii="宋体" w:hAnsi="宋体" w:cs="宋体"/>
          <w:sz w:val="24"/>
        </w:rPr>
      </w:pPr>
      <w:r>
        <w:rPr>
          <w:rFonts w:hint="eastAsia" w:ascii="宋体" w:hAnsi="宋体" w:cs="宋体"/>
          <w:sz w:val="24"/>
        </w:rPr>
        <w:t>（6）附件</w:t>
      </w:r>
    </w:p>
    <w:p w14:paraId="6F473A9F">
      <w:pPr>
        <w:adjustRightInd w:val="0"/>
        <w:snapToGrid w:val="0"/>
        <w:spacing w:line="500" w:lineRule="exact"/>
        <w:ind w:firstLine="480" w:firstLineChars="200"/>
        <w:rPr>
          <w:rFonts w:ascii="宋体" w:hAnsi="宋体" w:cs="宋体"/>
          <w:sz w:val="24"/>
        </w:rPr>
      </w:pPr>
      <w:r>
        <w:rPr>
          <w:rFonts w:hint="eastAsia" w:ascii="宋体" w:hAnsi="宋体" w:cs="宋体"/>
          <w:sz w:val="24"/>
        </w:rPr>
        <w:t>请仔细检查磋商文件是否齐全，如有缺漏请立即与代理机构联系解决。</w:t>
      </w:r>
    </w:p>
    <w:p w14:paraId="1AA0EAE9">
      <w:pPr>
        <w:adjustRightInd w:val="0"/>
        <w:snapToGrid w:val="0"/>
        <w:spacing w:line="500" w:lineRule="exact"/>
        <w:ind w:firstLine="480" w:firstLineChars="200"/>
        <w:rPr>
          <w:rFonts w:ascii="宋体" w:hAnsi="宋体" w:cs="宋体"/>
          <w:sz w:val="24"/>
        </w:rPr>
      </w:pPr>
      <w:r>
        <w:rPr>
          <w:rFonts w:hint="eastAsia" w:ascii="宋体" w:hAnsi="宋体" w:cs="宋体"/>
          <w:bCs/>
          <w:sz w:val="24"/>
        </w:rPr>
        <w:t>1.2</w:t>
      </w:r>
      <w:r>
        <w:rPr>
          <w:rFonts w:hint="eastAsia" w:ascii="宋体" w:hAnsi="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2A60BDF2">
      <w:pPr>
        <w:keepNext/>
        <w:adjustRightInd w:val="0"/>
        <w:snapToGrid w:val="0"/>
        <w:spacing w:line="500" w:lineRule="exact"/>
        <w:outlineLvl w:val="3"/>
        <w:rPr>
          <w:rFonts w:ascii="宋体" w:hAnsi="宋体" w:cs="宋体"/>
          <w:b/>
          <w:bCs/>
          <w:kern w:val="0"/>
          <w:sz w:val="24"/>
        </w:rPr>
      </w:pPr>
      <w:bookmarkStart w:id="29" w:name="_Toc513029211"/>
      <w:bookmarkStart w:id="30" w:name="_Toc16938527"/>
      <w:bookmarkStart w:id="31" w:name="_Toc462564070"/>
      <w:bookmarkStart w:id="32" w:name="_Toc20823283"/>
      <w:r>
        <w:rPr>
          <w:rFonts w:hint="eastAsia" w:ascii="宋体" w:hAnsi="宋体" w:cs="宋体"/>
          <w:kern w:val="0"/>
          <w:sz w:val="24"/>
        </w:rPr>
        <w:t>2.磋商文件的澄清</w:t>
      </w:r>
      <w:bookmarkEnd w:id="29"/>
      <w:bookmarkEnd w:id="30"/>
      <w:bookmarkEnd w:id="31"/>
      <w:bookmarkEnd w:id="32"/>
    </w:p>
    <w:p w14:paraId="5C63A376">
      <w:pPr>
        <w:adjustRightInd w:val="0"/>
        <w:snapToGrid w:val="0"/>
        <w:spacing w:line="500" w:lineRule="exact"/>
        <w:ind w:firstLine="480" w:firstLineChars="200"/>
        <w:rPr>
          <w:rFonts w:ascii="宋体" w:hAnsi="宋体" w:cs="宋体"/>
          <w:sz w:val="24"/>
        </w:rPr>
      </w:pPr>
      <w:r>
        <w:rPr>
          <w:rFonts w:hint="eastAsia" w:ascii="宋体" w:hAnsi="宋体" w:cs="宋体"/>
          <w:bCs/>
          <w:sz w:val="24"/>
        </w:rPr>
        <w:t>2.1</w:t>
      </w:r>
      <w:r>
        <w:rPr>
          <w:rFonts w:hint="eastAsia" w:ascii="宋体" w:hAnsi="宋体" w:cs="宋体"/>
          <w:sz w:val="24"/>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7582C8B2">
      <w:pPr>
        <w:adjustRightInd w:val="0"/>
        <w:snapToGrid w:val="0"/>
        <w:spacing w:line="500" w:lineRule="exact"/>
        <w:ind w:firstLine="480" w:firstLineChars="200"/>
        <w:rPr>
          <w:rFonts w:ascii="宋体" w:hAnsi="宋体" w:cs="宋体"/>
          <w:sz w:val="24"/>
        </w:rPr>
      </w:pPr>
      <w:r>
        <w:rPr>
          <w:rFonts w:hint="eastAsia" w:ascii="宋体" w:hAnsi="宋体" w:cs="宋体"/>
          <w:sz w:val="24"/>
        </w:rPr>
        <w:t>2.2采购人视情组织答疑会</w:t>
      </w:r>
    </w:p>
    <w:p w14:paraId="355A44E8">
      <w:pPr>
        <w:keepNext/>
        <w:adjustRightInd w:val="0"/>
        <w:snapToGrid w:val="0"/>
        <w:spacing w:line="500" w:lineRule="exact"/>
        <w:outlineLvl w:val="3"/>
        <w:rPr>
          <w:rFonts w:ascii="宋体" w:hAnsi="宋体" w:cs="宋体"/>
          <w:b/>
          <w:bCs/>
          <w:kern w:val="0"/>
          <w:sz w:val="24"/>
        </w:rPr>
      </w:pPr>
      <w:bookmarkStart w:id="33" w:name="_Toc20823284"/>
      <w:bookmarkStart w:id="34" w:name="_Toc462564071"/>
      <w:bookmarkStart w:id="35" w:name="_Toc513029212"/>
      <w:bookmarkStart w:id="36" w:name="_Toc16938528"/>
      <w:r>
        <w:rPr>
          <w:rFonts w:hint="eastAsia" w:ascii="宋体" w:hAnsi="宋体" w:cs="宋体"/>
          <w:kern w:val="0"/>
          <w:sz w:val="24"/>
        </w:rPr>
        <w:t>3.磋商文件的修改</w:t>
      </w:r>
      <w:bookmarkEnd w:id="33"/>
      <w:bookmarkEnd w:id="34"/>
      <w:bookmarkEnd w:id="35"/>
      <w:bookmarkEnd w:id="36"/>
    </w:p>
    <w:p w14:paraId="63125604">
      <w:pPr>
        <w:adjustRightInd w:val="0"/>
        <w:snapToGrid w:val="0"/>
        <w:spacing w:line="500" w:lineRule="exact"/>
        <w:ind w:firstLine="480" w:firstLineChars="200"/>
        <w:rPr>
          <w:rFonts w:ascii="宋体" w:hAnsi="宋体" w:cs="宋体"/>
          <w:sz w:val="24"/>
        </w:rPr>
      </w:pPr>
      <w:r>
        <w:rPr>
          <w:rFonts w:hint="eastAsia" w:ascii="宋体" w:hAnsi="宋体" w:cs="宋体"/>
          <w:bCs/>
          <w:sz w:val="24"/>
        </w:rPr>
        <w:t>3.1</w:t>
      </w:r>
      <w:r>
        <w:rPr>
          <w:rFonts w:hint="eastAsia" w:ascii="宋体" w:hAnsi="宋体" w:cs="宋体"/>
          <w:sz w:val="24"/>
        </w:rPr>
        <w:t xml:space="preserve"> 在响应文件提交截止时间前，采购人可以对磋商文件进行修改。</w:t>
      </w:r>
    </w:p>
    <w:p w14:paraId="517ABA35">
      <w:pPr>
        <w:adjustRightInd w:val="0"/>
        <w:snapToGrid w:val="0"/>
        <w:spacing w:line="500" w:lineRule="exact"/>
        <w:ind w:firstLine="480" w:firstLineChars="200"/>
        <w:rPr>
          <w:rFonts w:ascii="宋体" w:hAnsi="宋体" w:cs="宋体"/>
          <w:sz w:val="24"/>
        </w:rPr>
      </w:pPr>
      <w:r>
        <w:rPr>
          <w:rFonts w:hint="eastAsia" w:ascii="宋体" w:hAnsi="宋体" w:cs="宋体"/>
          <w:bCs/>
          <w:sz w:val="24"/>
        </w:rPr>
        <w:t xml:space="preserve">3.2 </w:t>
      </w:r>
      <w:r>
        <w:rPr>
          <w:rFonts w:hint="eastAsia" w:ascii="宋体" w:hAnsi="宋体" w:cs="宋体"/>
          <w:sz w:val="24"/>
        </w:rPr>
        <w:t>采购人有权按照法定的要求推迟响应文件提交截止日期和磋商日期。</w:t>
      </w:r>
    </w:p>
    <w:p w14:paraId="6C466C87">
      <w:pPr>
        <w:adjustRightInd w:val="0"/>
        <w:snapToGrid w:val="0"/>
        <w:spacing w:line="500" w:lineRule="exact"/>
        <w:ind w:firstLine="480" w:firstLineChars="200"/>
        <w:rPr>
          <w:rFonts w:ascii="宋体" w:hAnsi="宋体" w:cs="宋体"/>
          <w:sz w:val="24"/>
        </w:rPr>
      </w:pPr>
      <w:r>
        <w:rPr>
          <w:rFonts w:hint="eastAsia" w:ascii="宋体" w:hAnsi="宋体" w:cs="宋体"/>
          <w:bCs/>
          <w:sz w:val="24"/>
        </w:rPr>
        <w:t xml:space="preserve">3.3 </w:t>
      </w:r>
      <w:r>
        <w:rPr>
          <w:rFonts w:hint="eastAsia" w:ascii="宋体" w:hAnsi="宋体" w:cs="宋体"/>
          <w:sz w:val="24"/>
        </w:rPr>
        <w:t>磋商文件的修改将在南通市崇川区人民政府网公布，补充文件将作为磋商文件的组成部分，并对供应商具有约束力，请供应商及时关注网站公告信息。</w:t>
      </w:r>
    </w:p>
    <w:p w14:paraId="64BE58BF">
      <w:pPr>
        <w:keepNext/>
        <w:keepLines/>
        <w:adjustRightInd w:val="0"/>
        <w:snapToGrid w:val="0"/>
        <w:spacing w:line="500" w:lineRule="exact"/>
        <w:jc w:val="center"/>
        <w:outlineLvl w:val="2"/>
        <w:rPr>
          <w:rFonts w:ascii="宋体" w:hAnsi="宋体" w:cs="宋体"/>
          <w:b/>
          <w:bCs/>
          <w:kern w:val="0"/>
          <w:sz w:val="24"/>
        </w:rPr>
      </w:pPr>
      <w:bookmarkStart w:id="37" w:name="_Toc462564072"/>
      <w:bookmarkStart w:id="38" w:name="_Toc20823285"/>
      <w:bookmarkStart w:id="39" w:name="_Toc120614216"/>
      <w:bookmarkStart w:id="40" w:name="_Toc16938529"/>
      <w:bookmarkStart w:id="41" w:name="_Toc513029213"/>
      <w:r>
        <w:rPr>
          <w:rFonts w:hint="eastAsia" w:ascii="宋体" w:hAnsi="宋体" w:cs="宋体"/>
          <w:b/>
          <w:bCs/>
          <w:kern w:val="0"/>
          <w:sz w:val="24"/>
        </w:rPr>
        <w:t>（三）响应文件的编制</w:t>
      </w:r>
      <w:bookmarkEnd w:id="37"/>
      <w:bookmarkEnd w:id="38"/>
      <w:bookmarkEnd w:id="39"/>
      <w:bookmarkEnd w:id="40"/>
      <w:bookmarkEnd w:id="41"/>
    </w:p>
    <w:p w14:paraId="755F9231">
      <w:pPr>
        <w:keepNext/>
        <w:adjustRightInd w:val="0"/>
        <w:snapToGrid w:val="0"/>
        <w:spacing w:line="500" w:lineRule="exact"/>
        <w:outlineLvl w:val="3"/>
        <w:rPr>
          <w:rFonts w:ascii="宋体" w:hAnsi="宋体" w:cs="宋体"/>
          <w:bCs/>
          <w:kern w:val="0"/>
          <w:sz w:val="24"/>
        </w:rPr>
      </w:pPr>
      <w:bookmarkStart w:id="42" w:name="_Toc16938530"/>
      <w:bookmarkStart w:id="43" w:name="_Toc20823286"/>
      <w:bookmarkStart w:id="44" w:name="_Toc513029214"/>
      <w:bookmarkStart w:id="45" w:name="_Toc462564073"/>
      <w:r>
        <w:rPr>
          <w:rFonts w:hint="eastAsia" w:ascii="宋体" w:hAnsi="宋体" w:cs="宋体"/>
          <w:kern w:val="0"/>
          <w:sz w:val="24"/>
        </w:rPr>
        <w:t>1.响应文件的语言及度量衡单位</w:t>
      </w:r>
      <w:bookmarkEnd w:id="42"/>
      <w:bookmarkEnd w:id="43"/>
      <w:bookmarkEnd w:id="44"/>
      <w:bookmarkEnd w:id="45"/>
    </w:p>
    <w:p w14:paraId="6E7856D6">
      <w:pPr>
        <w:adjustRightInd w:val="0"/>
        <w:snapToGrid w:val="0"/>
        <w:spacing w:line="500" w:lineRule="exact"/>
        <w:ind w:firstLine="480" w:firstLineChars="200"/>
        <w:rPr>
          <w:rFonts w:ascii="宋体" w:hAnsi="宋体" w:cs="宋体"/>
          <w:sz w:val="24"/>
        </w:rPr>
      </w:pPr>
      <w:r>
        <w:rPr>
          <w:rFonts w:hint="eastAsia" w:ascii="宋体" w:hAnsi="宋体" w:cs="宋体"/>
          <w:bCs/>
          <w:sz w:val="24"/>
        </w:rPr>
        <w:t>1.1</w:t>
      </w:r>
      <w:r>
        <w:rPr>
          <w:rFonts w:hint="eastAsia" w:ascii="宋体" w:hAnsi="宋体" w:cs="宋体"/>
          <w:sz w:val="24"/>
        </w:rPr>
        <w:t>供应商提交的响应文件以及供应商与代理机构及采购人就有关磋商的所有来往通知、函件和文件均应使用</w:t>
      </w:r>
      <w:r>
        <w:rPr>
          <w:rFonts w:hint="eastAsia" w:ascii="宋体" w:hAnsi="宋体" w:cs="宋体"/>
          <w:bCs/>
          <w:sz w:val="24"/>
        </w:rPr>
        <w:t>简体中文</w:t>
      </w:r>
      <w:r>
        <w:rPr>
          <w:rFonts w:hint="eastAsia" w:ascii="宋体" w:hAnsi="宋体" w:cs="宋体"/>
          <w:sz w:val="24"/>
        </w:rPr>
        <w:t>。</w:t>
      </w:r>
    </w:p>
    <w:p w14:paraId="19A84575">
      <w:pPr>
        <w:adjustRightInd w:val="0"/>
        <w:snapToGrid w:val="0"/>
        <w:spacing w:line="500" w:lineRule="exact"/>
        <w:ind w:firstLine="480" w:firstLineChars="200"/>
        <w:rPr>
          <w:rFonts w:ascii="宋体" w:hAnsi="宋体" w:cs="宋体"/>
          <w:sz w:val="24"/>
        </w:rPr>
      </w:pPr>
      <w:r>
        <w:rPr>
          <w:rFonts w:hint="eastAsia" w:ascii="宋体" w:hAnsi="宋体" w:cs="宋体"/>
          <w:bCs/>
          <w:sz w:val="24"/>
        </w:rPr>
        <w:t>1.2</w:t>
      </w:r>
      <w:r>
        <w:rPr>
          <w:rFonts w:hint="eastAsia" w:ascii="宋体" w:hAnsi="宋体" w:cs="宋体"/>
          <w:sz w:val="24"/>
        </w:rPr>
        <w:t xml:space="preserve"> 除技术性能另有规定外，响应文件所使用的度量衡单位，均须采用国家法定计量单位。</w:t>
      </w:r>
    </w:p>
    <w:p w14:paraId="677D5AC4">
      <w:pPr>
        <w:keepNext/>
        <w:adjustRightInd w:val="0"/>
        <w:snapToGrid w:val="0"/>
        <w:spacing w:line="500" w:lineRule="exact"/>
        <w:outlineLvl w:val="3"/>
        <w:rPr>
          <w:rFonts w:ascii="宋体" w:hAnsi="宋体" w:cs="宋体"/>
          <w:b/>
          <w:bCs/>
          <w:kern w:val="0"/>
          <w:sz w:val="24"/>
        </w:rPr>
      </w:pPr>
      <w:bookmarkStart w:id="46" w:name="_Toc16938531"/>
      <w:bookmarkStart w:id="47" w:name="_Toc462564074"/>
      <w:bookmarkStart w:id="48" w:name="_Toc513029215"/>
      <w:bookmarkStart w:id="49" w:name="_Toc20823287"/>
      <w:r>
        <w:rPr>
          <w:rFonts w:hint="eastAsia" w:ascii="宋体" w:hAnsi="宋体" w:cs="宋体"/>
          <w:kern w:val="0"/>
          <w:sz w:val="24"/>
        </w:rPr>
        <w:t>2.响应文件构成</w:t>
      </w:r>
      <w:bookmarkEnd w:id="46"/>
      <w:bookmarkEnd w:id="47"/>
      <w:bookmarkEnd w:id="48"/>
      <w:bookmarkEnd w:id="49"/>
    </w:p>
    <w:p w14:paraId="4F0FF30F">
      <w:pPr>
        <w:adjustRightInd w:val="0"/>
        <w:snapToGrid w:val="0"/>
        <w:spacing w:line="500" w:lineRule="exact"/>
        <w:ind w:firstLine="480" w:firstLineChars="200"/>
        <w:rPr>
          <w:rFonts w:ascii="宋体" w:hAnsi="宋体" w:cs="宋体"/>
          <w:sz w:val="24"/>
        </w:rPr>
      </w:pPr>
      <w:r>
        <w:rPr>
          <w:rFonts w:hint="eastAsia" w:ascii="宋体" w:hAnsi="宋体" w:cs="宋体"/>
          <w:bCs/>
          <w:sz w:val="24"/>
        </w:rPr>
        <w:t>2.1</w:t>
      </w:r>
      <w:r>
        <w:rPr>
          <w:rFonts w:hint="eastAsia" w:ascii="宋体" w:hAnsi="宋体" w:cs="宋体"/>
          <w:sz w:val="24"/>
        </w:rPr>
        <w:t xml:space="preserve"> 供应商编写的响应文件应包括资格审查证明材料文件、商务技术标文件、价格标文件。供应商按“第五部分 响应文件组成”要求编写响应文件。</w:t>
      </w:r>
    </w:p>
    <w:p w14:paraId="31EC68D5">
      <w:pPr>
        <w:keepNext/>
        <w:adjustRightInd w:val="0"/>
        <w:snapToGrid w:val="0"/>
        <w:spacing w:line="500" w:lineRule="exact"/>
        <w:outlineLvl w:val="3"/>
        <w:rPr>
          <w:rFonts w:ascii="宋体" w:hAnsi="宋体" w:cs="宋体"/>
          <w:b/>
          <w:bCs/>
          <w:kern w:val="0"/>
          <w:sz w:val="24"/>
        </w:rPr>
      </w:pPr>
      <w:bookmarkStart w:id="50" w:name="_Hlt26670360"/>
      <w:bookmarkEnd w:id="50"/>
      <w:bookmarkStart w:id="51" w:name="_Hlt26954838"/>
      <w:bookmarkEnd w:id="51"/>
      <w:bookmarkStart w:id="52" w:name="_Hlt26668975"/>
      <w:bookmarkEnd w:id="52"/>
      <w:bookmarkStart w:id="53" w:name="_Toc49090511"/>
      <w:bookmarkStart w:id="54" w:name="_Toc14577360"/>
      <w:r>
        <w:rPr>
          <w:rFonts w:hint="eastAsia" w:ascii="宋体" w:hAnsi="宋体" w:cs="宋体"/>
          <w:kern w:val="0"/>
          <w:sz w:val="24"/>
        </w:rPr>
        <w:t>3.</w:t>
      </w:r>
      <w:bookmarkEnd w:id="53"/>
      <w:bookmarkEnd w:id="54"/>
      <w:r>
        <w:rPr>
          <w:rFonts w:hint="eastAsia" w:ascii="宋体" w:hAnsi="宋体" w:cs="宋体"/>
          <w:kern w:val="0"/>
          <w:sz w:val="24"/>
        </w:rPr>
        <w:t>磋商响应有效期</w:t>
      </w:r>
    </w:p>
    <w:p w14:paraId="557E79CF">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3.1磋商响应有效期为响应文件</w:t>
      </w:r>
      <w:r>
        <w:rPr>
          <w:rFonts w:hint="eastAsia" w:ascii="宋体" w:hAnsi="宋体" w:cs="宋体"/>
          <w:sz w:val="24"/>
        </w:rPr>
        <w:t>提交</w:t>
      </w:r>
      <w:r>
        <w:rPr>
          <w:rFonts w:hint="eastAsia" w:ascii="宋体" w:hAnsi="宋体" w:cs="宋体"/>
          <w:bCs/>
          <w:sz w:val="24"/>
        </w:rPr>
        <w:t>截止时间后</w:t>
      </w:r>
      <w:r>
        <w:rPr>
          <w:rFonts w:hint="eastAsia" w:ascii="宋体" w:hAnsi="宋体" w:cs="宋体"/>
          <w:b/>
          <w:sz w:val="24"/>
          <w:u w:val="single"/>
        </w:rPr>
        <w:t>六十（60）天</w:t>
      </w:r>
      <w:r>
        <w:rPr>
          <w:rFonts w:hint="eastAsia" w:ascii="宋体" w:hAnsi="宋体" w:cs="宋体"/>
          <w:bCs/>
          <w:sz w:val="24"/>
        </w:rPr>
        <w:t>。磋商响应有效期比规定短的将被视为非实质性响应而予以拒绝。</w:t>
      </w:r>
    </w:p>
    <w:p w14:paraId="7013F082">
      <w:pPr>
        <w:keepNext/>
        <w:adjustRightInd w:val="0"/>
        <w:snapToGrid w:val="0"/>
        <w:spacing w:line="500" w:lineRule="exact"/>
        <w:outlineLvl w:val="3"/>
        <w:rPr>
          <w:rFonts w:ascii="宋体" w:hAnsi="宋体" w:cs="宋体"/>
          <w:b/>
          <w:bCs/>
          <w:kern w:val="0"/>
          <w:sz w:val="24"/>
        </w:rPr>
      </w:pPr>
      <w:r>
        <w:rPr>
          <w:rFonts w:hint="eastAsia" w:ascii="宋体" w:hAnsi="宋体" w:cs="宋体"/>
          <w:kern w:val="0"/>
          <w:sz w:val="24"/>
        </w:rPr>
        <w:t>4. 磋商响应有效期的延长</w:t>
      </w:r>
    </w:p>
    <w:p w14:paraId="47FEA429">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4.1在特殊情况下，代理机构于原磋商响应有效期满之前，可向磋商供应商提出延长磋商响应有效期的要求。这种要求与答复均应采用书面形式。供应商可以拒绝代理机构的这一要求而放弃磋商响应，同意延长磋商响应有效期的供应商既不能要求也不允许修改其响应文件。</w:t>
      </w:r>
      <w:r>
        <w:rPr>
          <w:rFonts w:hint="eastAsia" w:ascii="宋体" w:hAnsi="宋体" w:cs="宋体"/>
          <w:sz w:val="24"/>
        </w:rPr>
        <w:t>受磋商响应有效期约束的所有权利与义务均延长至新的有效期</w:t>
      </w:r>
      <w:r>
        <w:rPr>
          <w:rFonts w:hint="eastAsia" w:ascii="宋体" w:hAnsi="宋体" w:cs="宋体"/>
          <w:bCs/>
          <w:sz w:val="24"/>
        </w:rPr>
        <w:t>。</w:t>
      </w:r>
    </w:p>
    <w:p w14:paraId="0EEC9955">
      <w:pPr>
        <w:keepNext/>
        <w:keepLines/>
        <w:adjustRightInd w:val="0"/>
        <w:snapToGrid w:val="0"/>
        <w:spacing w:line="500" w:lineRule="exact"/>
        <w:jc w:val="center"/>
        <w:outlineLvl w:val="2"/>
        <w:rPr>
          <w:rFonts w:ascii="宋体" w:hAnsi="宋体" w:cs="宋体"/>
          <w:b/>
          <w:bCs/>
          <w:kern w:val="0"/>
          <w:sz w:val="24"/>
        </w:rPr>
      </w:pPr>
      <w:bookmarkStart w:id="55" w:name="_Hlt26954852"/>
      <w:bookmarkEnd w:id="55"/>
      <w:bookmarkStart w:id="56" w:name="_Hlt26954739"/>
      <w:bookmarkEnd w:id="56"/>
      <w:bookmarkStart w:id="57" w:name="_Toc120614217"/>
      <w:bookmarkStart w:id="58" w:name="_Toc20823296"/>
      <w:bookmarkStart w:id="59" w:name="_Toc16938540"/>
      <w:bookmarkStart w:id="60" w:name="_Toc513029224"/>
      <w:r>
        <w:rPr>
          <w:rFonts w:hint="eastAsia" w:ascii="宋体" w:hAnsi="宋体" w:cs="宋体"/>
          <w:b/>
          <w:bCs/>
          <w:kern w:val="0"/>
          <w:sz w:val="24"/>
        </w:rPr>
        <w:t>（四）响应文件的提交</w:t>
      </w:r>
      <w:bookmarkEnd w:id="57"/>
      <w:bookmarkEnd w:id="58"/>
      <w:bookmarkEnd w:id="59"/>
      <w:bookmarkEnd w:id="60"/>
    </w:p>
    <w:p w14:paraId="25C2FC97">
      <w:pPr>
        <w:keepNext/>
        <w:adjustRightInd w:val="0"/>
        <w:snapToGrid w:val="0"/>
        <w:spacing w:line="500" w:lineRule="exact"/>
        <w:ind w:firstLine="480" w:firstLineChars="200"/>
        <w:outlineLvl w:val="3"/>
        <w:rPr>
          <w:rFonts w:ascii="宋体" w:hAnsi="宋体" w:cs="宋体"/>
          <w:b/>
          <w:bCs/>
          <w:kern w:val="0"/>
          <w:sz w:val="24"/>
        </w:rPr>
      </w:pPr>
      <w:bookmarkStart w:id="61" w:name="_Toc462564084"/>
      <w:bookmarkStart w:id="62" w:name="_Toc16938541"/>
      <w:bookmarkStart w:id="63" w:name="_Toc513029225"/>
      <w:bookmarkStart w:id="64" w:name="_Toc20823297"/>
      <w:r>
        <w:rPr>
          <w:rFonts w:hint="eastAsia" w:ascii="宋体" w:hAnsi="宋体" w:cs="宋体"/>
          <w:kern w:val="0"/>
          <w:sz w:val="24"/>
        </w:rPr>
        <w:t>1.响应文件</w:t>
      </w:r>
      <w:bookmarkEnd w:id="61"/>
      <w:bookmarkEnd w:id="62"/>
      <w:bookmarkEnd w:id="63"/>
      <w:bookmarkEnd w:id="64"/>
      <w:r>
        <w:rPr>
          <w:rFonts w:hint="eastAsia" w:ascii="宋体" w:hAnsi="宋体" w:cs="宋体"/>
          <w:kern w:val="0"/>
          <w:sz w:val="24"/>
        </w:rPr>
        <w:t>的提交</w:t>
      </w:r>
    </w:p>
    <w:p w14:paraId="4460F4DD">
      <w:pPr>
        <w:adjustRightInd w:val="0"/>
        <w:snapToGrid w:val="0"/>
        <w:spacing w:line="500" w:lineRule="exact"/>
        <w:ind w:firstLine="556"/>
        <w:rPr>
          <w:rFonts w:ascii="宋体" w:hAnsi="宋体" w:cs="宋体"/>
          <w:bCs/>
          <w:sz w:val="24"/>
        </w:rPr>
      </w:pPr>
      <w:bookmarkStart w:id="65" w:name="_Toc16938542"/>
      <w:bookmarkStart w:id="66" w:name="_Toc513029226"/>
      <w:bookmarkStart w:id="67" w:name="_Toc20823298"/>
      <w:r>
        <w:rPr>
          <w:rFonts w:hint="eastAsia" w:ascii="宋体" w:hAnsi="宋体" w:cs="宋体"/>
          <w:bCs/>
          <w:sz w:val="24"/>
        </w:rPr>
        <w:t>磋商响应文件请于</w:t>
      </w:r>
      <w:r>
        <w:rPr>
          <w:rFonts w:hint="eastAsia" w:ascii="宋体" w:hAnsi="宋体" w:cs="宋体"/>
          <w:b/>
          <w:sz w:val="24"/>
          <w:highlight w:val="none"/>
        </w:rPr>
        <w:t>2025年09月01日14点00分</w:t>
      </w:r>
      <w:r>
        <w:rPr>
          <w:rFonts w:hint="eastAsia" w:ascii="宋体" w:hAnsi="宋体" w:cs="宋体"/>
          <w:bCs/>
          <w:sz w:val="24"/>
          <w:highlight w:val="none"/>
        </w:rPr>
        <w:t>前密封至</w:t>
      </w:r>
      <w:r>
        <w:rPr>
          <w:rFonts w:hint="eastAsia" w:ascii="宋体" w:hAnsi="宋体" w:cs="宋体"/>
          <w:sz w:val="24"/>
          <w:highlight w:val="none"/>
          <w:lang w:eastAsia="zh-CN"/>
        </w:rPr>
        <w:t>南通市崇川区人民中路255号财智天地园（中关村信息谷）8号楼8层大会议室</w:t>
      </w:r>
      <w:r>
        <w:rPr>
          <w:rFonts w:hint="eastAsia" w:ascii="宋体" w:hAnsi="宋体" w:cs="宋体"/>
          <w:bCs/>
          <w:sz w:val="24"/>
          <w:highlight w:val="none"/>
        </w:rPr>
        <w:t>（只接受直接送达），逾时则不予受理。并于</w:t>
      </w:r>
      <w:r>
        <w:rPr>
          <w:rFonts w:hint="eastAsia" w:ascii="宋体" w:hAnsi="宋体" w:cs="宋体"/>
          <w:b/>
          <w:sz w:val="24"/>
          <w:highlight w:val="none"/>
        </w:rPr>
        <w:t>2025年09月01日14点00分</w:t>
      </w:r>
      <w:r>
        <w:rPr>
          <w:rFonts w:hint="eastAsia" w:ascii="宋体" w:hAnsi="宋体" w:cs="宋体"/>
          <w:bCs/>
          <w:sz w:val="24"/>
          <w:highlight w:val="none"/>
        </w:rPr>
        <w:t>开标。</w:t>
      </w:r>
    </w:p>
    <w:bookmarkEnd w:id="65"/>
    <w:bookmarkEnd w:id="66"/>
    <w:bookmarkEnd w:id="67"/>
    <w:p w14:paraId="569E8B1D">
      <w:pPr>
        <w:adjustRightInd w:val="0"/>
        <w:snapToGrid w:val="0"/>
        <w:spacing w:line="500" w:lineRule="exact"/>
        <w:ind w:firstLine="555"/>
        <w:rPr>
          <w:rFonts w:ascii="宋体" w:hAnsi="宋体" w:cs="宋体"/>
          <w:bCs/>
          <w:sz w:val="24"/>
        </w:rPr>
      </w:pPr>
      <w:r>
        <w:rPr>
          <w:rFonts w:hint="eastAsia" w:ascii="宋体" w:hAnsi="宋体" w:cs="宋体"/>
          <w:sz w:val="24"/>
        </w:rPr>
        <w:t>2.</w:t>
      </w:r>
      <w:r>
        <w:rPr>
          <w:rFonts w:hint="eastAsia" w:ascii="宋体" w:hAnsi="宋体" w:cs="宋体"/>
          <w:bCs/>
          <w:sz w:val="24"/>
        </w:rPr>
        <w:t>磋商响应文件必须提供</w:t>
      </w:r>
      <w:r>
        <w:rPr>
          <w:rFonts w:hint="eastAsia" w:ascii="宋体" w:hAnsi="宋体" w:cs="宋体"/>
          <w:sz w:val="24"/>
        </w:rPr>
        <w:t>正本一份、副本二份；文件分三包密封：一包资格审查文件、一包商务技术标、一包价格标（每包内含相应文件1份正本，2份副本），否则视为无效投标文件。供应商应在</w:t>
      </w:r>
      <w:r>
        <w:rPr>
          <w:rFonts w:hint="eastAsia" w:ascii="宋体" w:hAnsi="宋体" w:cs="宋体"/>
          <w:bCs/>
          <w:sz w:val="24"/>
        </w:rPr>
        <w:t>磋商响应文件</w:t>
      </w:r>
      <w:r>
        <w:rPr>
          <w:rFonts w:hint="eastAsia" w:ascii="宋体" w:hAnsi="宋体" w:cs="宋体"/>
          <w:sz w:val="24"/>
        </w:rPr>
        <w:t>密封袋上标明：采购单位名称、项目名称、供应商名称、磋商响应文件名称（如：“资格审查文件”、“商务技术标文件”、“价格标文件”），密封袋封口处均应加盖供应商印章，否则视为无效投标文件。</w:t>
      </w:r>
    </w:p>
    <w:p w14:paraId="1B4BC6A8">
      <w:pPr>
        <w:adjustRightInd w:val="0"/>
        <w:snapToGrid w:val="0"/>
        <w:spacing w:line="500" w:lineRule="exact"/>
        <w:rPr>
          <w:rFonts w:ascii="宋体" w:hAnsi="宋体" w:cs="宋体"/>
          <w:b/>
          <w:bCs/>
          <w:sz w:val="24"/>
        </w:rPr>
      </w:pPr>
      <w:bookmarkStart w:id="68" w:name="_Toc16938545"/>
      <w:bookmarkStart w:id="69" w:name="_Toc120614218"/>
      <w:bookmarkStart w:id="70" w:name="_Toc20823301"/>
      <w:bookmarkStart w:id="71" w:name="_Toc513029229"/>
      <w:r>
        <w:rPr>
          <w:rFonts w:hint="eastAsia" w:ascii="宋体" w:hAnsi="宋体" w:cs="宋体"/>
          <w:b/>
          <w:bCs/>
          <w:sz w:val="24"/>
        </w:rPr>
        <w:t>（五）</w:t>
      </w:r>
      <w:bookmarkEnd w:id="68"/>
      <w:bookmarkEnd w:id="69"/>
      <w:bookmarkEnd w:id="70"/>
      <w:bookmarkEnd w:id="71"/>
      <w:bookmarkStart w:id="72" w:name="_Toc16938546"/>
      <w:bookmarkStart w:id="73" w:name="_Toc513029230"/>
      <w:bookmarkStart w:id="74" w:name="_Toc20823302"/>
      <w:r>
        <w:rPr>
          <w:rFonts w:hint="eastAsia" w:ascii="宋体" w:hAnsi="宋体" w:cs="宋体"/>
          <w:b/>
          <w:bCs/>
          <w:sz w:val="24"/>
        </w:rPr>
        <w:t>磋商与评审</w:t>
      </w:r>
    </w:p>
    <w:p w14:paraId="4510DCD1">
      <w:pPr>
        <w:adjustRightInd w:val="0"/>
        <w:snapToGrid w:val="0"/>
        <w:spacing w:line="500" w:lineRule="exact"/>
        <w:ind w:firstLine="480" w:firstLineChars="200"/>
        <w:rPr>
          <w:rFonts w:ascii="宋体" w:hAnsi="宋体" w:cs="宋体"/>
          <w:sz w:val="24"/>
        </w:rPr>
      </w:pPr>
      <w:r>
        <w:rPr>
          <w:rFonts w:hint="eastAsia" w:ascii="宋体" w:hAnsi="宋体" w:cs="宋体"/>
          <w:sz w:val="24"/>
        </w:rPr>
        <w:t>1.磋商小组</w:t>
      </w:r>
    </w:p>
    <w:p w14:paraId="32F42A33">
      <w:pPr>
        <w:adjustRightInd w:val="0"/>
        <w:snapToGrid w:val="0"/>
        <w:spacing w:line="500" w:lineRule="exact"/>
        <w:ind w:firstLine="480" w:firstLineChars="200"/>
        <w:rPr>
          <w:rFonts w:ascii="宋体" w:hAnsi="宋体" w:cs="宋体"/>
          <w:sz w:val="24"/>
        </w:rPr>
      </w:pPr>
      <w:r>
        <w:rPr>
          <w:rFonts w:hint="eastAsia" w:ascii="宋体" w:hAnsi="宋体" w:cs="宋体"/>
          <w:sz w:val="24"/>
        </w:rPr>
        <w:t>1.1磋商开始仪式结束后，采购人将组织磋商小组进行评审。</w:t>
      </w:r>
    </w:p>
    <w:p w14:paraId="5C03AC0F">
      <w:pPr>
        <w:adjustRightInd w:val="0"/>
        <w:snapToGrid w:val="0"/>
        <w:spacing w:line="500" w:lineRule="exact"/>
        <w:ind w:firstLine="480" w:firstLineChars="200"/>
        <w:rPr>
          <w:rFonts w:ascii="宋体" w:hAnsi="宋体" w:cs="宋体"/>
          <w:sz w:val="24"/>
        </w:rPr>
      </w:pPr>
      <w:r>
        <w:rPr>
          <w:rFonts w:hint="eastAsia" w:ascii="宋体" w:hAnsi="宋体" w:cs="宋体"/>
          <w:sz w:val="24"/>
        </w:rPr>
        <w:t>1.2磋商小组由采购人代表和评审专家共3人以上单数组成，其中评审专家人数不得少于磋商小组成员总数的2/3。采购人不得以评审专家身份参加本部门或本单位采购项目的评审。</w:t>
      </w:r>
    </w:p>
    <w:p w14:paraId="13ECAADF">
      <w:pPr>
        <w:adjustRightInd w:val="0"/>
        <w:snapToGrid w:val="0"/>
        <w:spacing w:line="500" w:lineRule="exact"/>
        <w:ind w:firstLine="480" w:firstLineChars="200"/>
        <w:rPr>
          <w:rFonts w:ascii="宋体" w:hAnsi="宋体" w:cs="宋体"/>
          <w:sz w:val="24"/>
        </w:rPr>
      </w:pPr>
      <w:r>
        <w:rPr>
          <w:rFonts w:hint="eastAsia" w:ascii="宋体" w:hAnsi="宋体" w:cs="宋体"/>
          <w:sz w:val="24"/>
        </w:rPr>
        <w:t>1.3磋商小组独立工作，负责评审所有响应文件并确定成交侯选人。</w:t>
      </w:r>
    </w:p>
    <w:p w14:paraId="7963E44E">
      <w:pPr>
        <w:adjustRightInd w:val="0"/>
        <w:snapToGrid w:val="0"/>
        <w:spacing w:line="500" w:lineRule="exact"/>
        <w:ind w:firstLine="480" w:firstLineChars="200"/>
        <w:rPr>
          <w:rFonts w:ascii="宋体" w:hAnsi="宋体" w:cs="宋体"/>
          <w:sz w:val="24"/>
        </w:rPr>
      </w:pPr>
      <w:r>
        <w:rPr>
          <w:rFonts w:hint="eastAsia" w:ascii="宋体" w:hAnsi="宋体" w:cs="宋体"/>
          <w:sz w:val="24"/>
        </w:rPr>
        <w:t>2. 磋商评审过程的保密与公正</w:t>
      </w:r>
    </w:p>
    <w:p w14:paraId="083A867D">
      <w:pPr>
        <w:tabs>
          <w:tab w:val="left" w:pos="900"/>
        </w:tabs>
        <w:adjustRightInd w:val="0"/>
        <w:snapToGrid w:val="0"/>
        <w:spacing w:line="500" w:lineRule="exact"/>
        <w:ind w:firstLine="477" w:firstLineChars="199"/>
        <w:rPr>
          <w:rFonts w:ascii="宋体" w:hAnsi="宋体" w:cs="宋体"/>
          <w:sz w:val="24"/>
        </w:rPr>
      </w:pPr>
      <w:r>
        <w:rPr>
          <w:rFonts w:hint="eastAsia" w:ascii="宋体" w:hAnsi="宋体" w:cs="宋体"/>
          <w:sz w:val="24"/>
        </w:rPr>
        <w:t>2.1磋商小组、采购人和代理机构等与评审工作有关的人员，对评审情况以及在评审过程中获悉的国家秘密、商业秘密负有保密责任。</w:t>
      </w:r>
    </w:p>
    <w:p w14:paraId="48463084">
      <w:pPr>
        <w:tabs>
          <w:tab w:val="left" w:pos="900"/>
        </w:tabs>
        <w:adjustRightInd w:val="0"/>
        <w:snapToGrid w:val="0"/>
        <w:spacing w:line="500" w:lineRule="exact"/>
        <w:ind w:firstLine="477" w:firstLineChars="199"/>
        <w:rPr>
          <w:rFonts w:ascii="宋体" w:hAnsi="宋体" w:cs="宋体"/>
          <w:sz w:val="24"/>
        </w:rPr>
      </w:pPr>
      <w:r>
        <w:rPr>
          <w:rFonts w:hint="eastAsia" w:ascii="宋体" w:hAnsi="宋体" w:cs="宋体"/>
          <w:sz w:val="24"/>
        </w:rPr>
        <w:t>2.2在磋商评审过程中，磋商供应商不得以任何行为影响磋商评审过程，否则其响应文件将被作为无效响应文件。</w:t>
      </w:r>
    </w:p>
    <w:p w14:paraId="47C02041">
      <w:pPr>
        <w:tabs>
          <w:tab w:val="left" w:pos="900"/>
        </w:tabs>
        <w:adjustRightInd w:val="0"/>
        <w:snapToGrid w:val="0"/>
        <w:spacing w:line="500" w:lineRule="exact"/>
        <w:ind w:firstLine="477" w:firstLineChars="199"/>
        <w:rPr>
          <w:rFonts w:ascii="宋体" w:hAnsi="宋体" w:cs="宋体"/>
          <w:sz w:val="24"/>
        </w:rPr>
      </w:pPr>
      <w:r>
        <w:rPr>
          <w:rFonts w:hint="eastAsia" w:ascii="宋体" w:hAnsi="宋体" w:cs="宋体"/>
          <w:sz w:val="24"/>
        </w:rPr>
        <w:t>2.3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0A23176">
      <w:pPr>
        <w:tabs>
          <w:tab w:val="left" w:pos="900"/>
        </w:tabs>
        <w:adjustRightInd w:val="0"/>
        <w:snapToGrid w:val="0"/>
        <w:spacing w:line="500" w:lineRule="exact"/>
        <w:ind w:firstLine="477" w:firstLineChars="199"/>
        <w:rPr>
          <w:rFonts w:ascii="宋体" w:hAnsi="宋体" w:cs="宋体"/>
          <w:bCs/>
          <w:sz w:val="24"/>
        </w:rPr>
      </w:pPr>
      <w:r>
        <w:rPr>
          <w:rFonts w:hint="eastAsia" w:ascii="宋体" w:hAnsi="宋体" w:cs="宋体"/>
          <w:sz w:val="24"/>
        </w:rPr>
        <w:t>2.4</w:t>
      </w:r>
      <w:r>
        <w:rPr>
          <w:rFonts w:hint="eastAsia" w:ascii="宋体" w:hAnsi="宋体" w:cs="宋体"/>
          <w:bCs/>
          <w:sz w:val="24"/>
        </w:rPr>
        <w:t>评审开始后，直至向成交供应商授予合同时止，凡是与审查、澄清、评价和比较响应的有关资料以及授标建议等，采购人、磋商小组、代理机构均不得向供应商或与评标无关的其他人员透露。</w:t>
      </w:r>
    </w:p>
    <w:p w14:paraId="59503928">
      <w:pPr>
        <w:adjustRightInd w:val="0"/>
        <w:snapToGrid w:val="0"/>
        <w:spacing w:line="500" w:lineRule="exact"/>
        <w:ind w:firstLine="480" w:firstLineChars="200"/>
        <w:rPr>
          <w:rFonts w:ascii="宋体" w:hAnsi="宋体" w:cs="宋体"/>
          <w:sz w:val="24"/>
        </w:rPr>
      </w:pPr>
      <w:r>
        <w:rPr>
          <w:rFonts w:hint="eastAsia" w:ascii="宋体" w:hAnsi="宋体" w:cs="宋体"/>
          <w:sz w:val="24"/>
        </w:rPr>
        <w:t>2.5在评审期间，代理机构将设专门人员与供应商联系。</w:t>
      </w:r>
    </w:p>
    <w:p w14:paraId="75ADA3B2">
      <w:pPr>
        <w:adjustRightInd w:val="0"/>
        <w:snapToGrid w:val="0"/>
        <w:spacing w:line="500" w:lineRule="exact"/>
        <w:ind w:firstLine="480" w:firstLineChars="200"/>
        <w:rPr>
          <w:rFonts w:ascii="宋体" w:hAnsi="宋体" w:cs="宋体"/>
          <w:sz w:val="24"/>
        </w:rPr>
      </w:pPr>
      <w:r>
        <w:rPr>
          <w:rFonts w:hint="eastAsia" w:ascii="宋体" w:hAnsi="宋体" w:cs="宋体"/>
          <w:sz w:val="24"/>
        </w:rPr>
        <w:t>2.6代理机构和评审小组不向未成交的供应商解释未成交原因，也不公布评审过程中的相关细节。</w:t>
      </w:r>
    </w:p>
    <w:p w14:paraId="216DE0A6">
      <w:pPr>
        <w:tabs>
          <w:tab w:val="left" w:pos="900"/>
        </w:tabs>
        <w:adjustRightInd w:val="0"/>
        <w:snapToGrid w:val="0"/>
        <w:spacing w:line="500" w:lineRule="exact"/>
        <w:ind w:firstLine="477" w:firstLineChars="199"/>
        <w:rPr>
          <w:rFonts w:ascii="宋体" w:hAnsi="宋体" w:cs="宋体"/>
          <w:sz w:val="24"/>
        </w:rPr>
      </w:pPr>
      <w:r>
        <w:rPr>
          <w:rFonts w:hint="eastAsia" w:ascii="宋体" w:hAnsi="宋体" w:cs="宋体"/>
          <w:sz w:val="24"/>
        </w:rPr>
        <w:t>3、评审过程的澄清</w:t>
      </w:r>
    </w:p>
    <w:p w14:paraId="0F4FF2E2">
      <w:pPr>
        <w:adjustRightInd w:val="0"/>
        <w:snapToGrid w:val="0"/>
        <w:spacing w:line="500" w:lineRule="exact"/>
        <w:ind w:firstLine="480" w:firstLineChars="200"/>
        <w:rPr>
          <w:rFonts w:ascii="宋体" w:hAnsi="宋体" w:cs="宋体"/>
          <w:sz w:val="24"/>
        </w:rPr>
      </w:pPr>
      <w:r>
        <w:rPr>
          <w:rFonts w:hint="eastAsia" w:ascii="宋体" w:hAnsi="宋体" w:cs="宋体"/>
          <w:sz w:val="24"/>
        </w:rPr>
        <w:t>3.1评审期间，为有助于对响应文件的审查、评价和比较，磋商小组有权要求响应人对其响应文件进行澄清，但并非对每个供应商都作澄清要求。</w:t>
      </w:r>
    </w:p>
    <w:p w14:paraId="092592E2">
      <w:pPr>
        <w:adjustRightInd w:val="0"/>
        <w:snapToGrid w:val="0"/>
        <w:spacing w:line="500" w:lineRule="exact"/>
        <w:ind w:firstLine="480" w:firstLineChars="200"/>
        <w:rPr>
          <w:rFonts w:ascii="宋体" w:hAnsi="宋体" w:cs="宋体"/>
          <w:sz w:val="24"/>
        </w:rPr>
      </w:pPr>
      <w:r>
        <w:rPr>
          <w:rFonts w:hint="eastAsia" w:ascii="宋体" w:hAnsi="宋体" w:cs="宋体"/>
          <w:sz w:val="24"/>
        </w:rPr>
        <w:t>3.2接到磋商小组澄清要求的供应商应派人按磋商小组规定的时间和格式做出澄清，澄清的内容作为响应文件的补充部分，但实质性的内容不得做任何更改。</w:t>
      </w:r>
    </w:p>
    <w:p w14:paraId="0180A639">
      <w:pPr>
        <w:adjustRightInd w:val="0"/>
        <w:snapToGrid w:val="0"/>
        <w:spacing w:line="500" w:lineRule="exact"/>
        <w:ind w:firstLine="480" w:firstLineChars="200"/>
        <w:rPr>
          <w:rFonts w:ascii="宋体" w:hAnsi="宋体" w:cs="宋体"/>
          <w:bCs/>
          <w:sz w:val="24"/>
        </w:rPr>
      </w:pPr>
      <w:r>
        <w:rPr>
          <w:rFonts w:hint="eastAsia" w:ascii="宋体" w:hAnsi="宋体" w:cs="宋体"/>
          <w:sz w:val="24"/>
        </w:rPr>
        <w:t>3.3 接到磋商小组澄清要求的供应商如未按规定做出澄清，其风</w:t>
      </w:r>
      <w:r>
        <w:rPr>
          <w:rFonts w:hint="eastAsia" w:ascii="宋体" w:hAnsi="宋体" w:cs="宋体"/>
          <w:bCs/>
          <w:sz w:val="24"/>
        </w:rPr>
        <w:t>险由供应商自行承担。</w:t>
      </w:r>
    </w:p>
    <w:p w14:paraId="3F757C13">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4.对响应文件的初审</w:t>
      </w:r>
    </w:p>
    <w:p w14:paraId="1925B48E">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4.1响应文件初审分为资格性审查和符合性审查。</w:t>
      </w:r>
    </w:p>
    <w:p w14:paraId="568C6DBF">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4.1.1资格性检查：依据法律法规和磋商文件的规定，由</w:t>
      </w:r>
      <w:r>
        <w:rPr>
          <w:rFonts w:hint="eastAsia" w:ascii="宋体" w:hAnsi="宋体" w:cs="宋体"/>
          <w:sz w:val="24"/>
        </w:rPr>
        <w:t>磋商小组</w:t>
      </w:r>
      <w:r>
        <w:rPr>
          <w:rFonts w:hint="eastAsia" w:ascii="宋体" w:hAnsi="宋体" w:cs="宋体"/>
          <w:bCs/>
          <w:sz w:val="24"/>
        </w:rPr>
        <w:t>对响应文件中的资格审查证明材料进行审查，</w:t>
      </w:r>
      <w:r>
        <w:rPr>
          <w:rFonts w:hint="eastAsia" w:ascii="宋体" w:hAnsi="宋体" w:cs="宋体"/>
          <w:sz w:val="24"/>
        </w:rPr>
        <w:t>以确定供应商是否具备参加磋商的资格。</w:t>
      </w:r>
    </w:p>
    <w:p w14:paraId="645B2122">
      <w:pPr>
        <w:adjustRightInd w:val="0"/>
        <w:snapToGrid w:val="0"/>
        <w:spacing w:line="500" w:lineRule="exact"/>
        <w:ind w:firstLine="480" w:firstLineChars="200"/>
        <w:rPr>
          <w:rFonts w:ascii="宋体" w:hAnsi="宋体" w:cs="宋体"/>
          <w:bCs/>
          <w:sz w:val="24"/>
        </w:rPr>
      </w:pPr>
      <w:r>
        <w:rPr>
          <w:rFonts w:hint="eastAsia" w:ascii="宋体" w:hAnsi="宋体" w:cs="宋体"/>
          <w:sz w:val="24"/>
        </w:rPr>
        <w:t>磋商小组</w:t>
      </w:r>
      <w:r>
        <w:rPr>
          <w:rFonts w:hint="eastAsia" w:ascii="宋体" w:hAnsi="宋体" w:cs="宋体"/>
          <w:bCs/>
          <w:sz w:val="24"/>
        </w:rPr>
        <w:t>在进行资格性审查的同时，将在“信用中国”网站查询供应商的信用记录，以确定供应商是否具备参加磋商的资格。</w:t>
      </w:r>
      <w:r>
        <w:rPr>
          <w:rFonts w:hint="eastAsia" w:ascii="宋体" w:hAnsi="宋体" w:cs="宋体"/>
          <w:sz w:val="24"/>
        </w:rPr>
        <w:t>查询结果将以网页打印的形式留存并归档</w:t>
      </w:r>
      <w:r>
        <w:rPr>
          <w:rFonts w:hint="eastAsia" w:ascii="宋体" w:hAnsi="宋体" w:cs="宋体"/>
          <w:bCs/>
          <w:sz w:val="24"/>
        </w:rPr>
        <w:t>。</w:t>
      </w:r>
    </w:p>
    <w:p w14:paraId="17131302">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51CCFEA7">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4.1.2符合性审查：依据磋商文件的规定，由磋商小组从响应文件的有效性、完整性和对磋商文件的响应程度进行审查，以确定是否对磋商文件的实质性要求作出响应。</w:t>
      </w:r>
    </w:p>
    <w:p w14:paraId="40523F15">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4.1.3未通过资格审查或符合性审查的供应商人，代理机构将告知其未通过资格审查或符合性审查的原因。</w:t>
      </w:r>
    </w:p>
    <w:p w14:paraId="2E4AF07B">
      <w:pPr>
        <w:tabs>
          <w:tab w:val="left" w:pos="900"/>
        </w:tabs>
        <w:adjustRightInd w:val="0"/>
        <w:snapToGrid w:val="0"/>
        <w:spacing w:line="500" w:lineRule="exact"/>
        <w:ind w:firstLine="477" w:firstLineChars="199"/>
        <w:rPr>
          <w:rFonts w:ascii="宋体" w:hAnsi="宋体" w:cs="宋体"/>
          <w:bCs/>
          <w:sz w:val="24"/>
        </w:rPr>
      </w:pPr>
      <w:r>
        <w:rPr>
          <w:rFonts w:hint="eastAsia" w:ascii="宋体" w:hAnsi="宋体" w:cs="宋体"/>
          <w:bCs/>
          <w:sz w:val="24"/>
        </w:rPr>
        <w:t>4.2在正式磋商之前，磋商小组将首先审查每份响应文件是否实质性响应了磋商文件的要求。实质性响应的响应文件应该是与磋商文件要求的全部条款、条件和规格相符，没有重大负偏离或保留。</w:t>
      </w:r>
    </w:p>
    <w:p w14:paraId="0BF86F16">
      <w:pPr>
        <w:tabs>
          <w:tab w:val="left" w:pos="900"/>
        </w:tabs>
        <w:adjustRightInd w:val="0"/>
        <w:snapToGrid w:val="0"/>
        <w:spacing w:line="500" w:lineRule="exact"/>
        <w:ind w:firstLine="477" w:firstLineChars="199"/>
        <w:rPr>
          <w:rFonts w:ascii="宋体" w:hAnsi="宋体" w:cs="宋体"/>
          <w:bCs/>
          <w:sz w:val="24"/>
        </w:rPr>
      </w:pPr>
      <w:r>
        <w:rPr>
          <w:rFonts w:hint="eastAsia" w:ascii="宋体" w:hAnsi="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4CA4EA5">
      <w:pPr>
        <w:tabs>
          <w:tab w:val="left" w:pos="900"/>
        </w:tabs>
        <w:adjustRightInd w:val="0"/>
        <w:snapToGrid w:val="0"/>
        <w:spacing w:line="500" w:lineRule="exact"/>
        <w:ind w:firstLine="477" w:firstLineChars="199"/>
        <w:rPr>
          <w:rFonts w:ascii="宋体" w:hAnsi="宋体" w:cs="宋体"/>
          <w:bCs/>
          <w:sz w:val="24"/>
        </w:rPr>
      </w:pPr>
      <w:r>
        <w:rPr>
          <w:rFonts w:hint="eastAsia" w:ascii="宋体" w:hAnsi="宋体" w:cs="宋体"/>
          <w:bCs/>
          <w:sz w:val="24"/>
        </w:rPr>
        <w:t>4.3如果响应文件实质上没有响应磋商文件的要求，磋商小组将予以拒绝，供应商不得通过修改或撤销不合要求的偏离或保留而使其响应文件成为实质性响应的文件。</w:t>
      </w:r>
    </w:p>
    <w:p w14:paraId="7037FDDC">
      <w:pPr>
        <w:adjustRightInd w:val="0"/>
        <w:snapToGrid w:val="0"/>
        <w:spacing w:line="500" w:lineRule="exact"/>
        <w:ind w:firstLine="480" w:firstLineChars="200"/>
        <w:rPr>
          <w:rFonts w:ascii="宋体" w:hAnsi="宋体" w:cs="宋体"/>
          <w:bCs/>
          <w:sz w:val="24"/>
        </w:rPr>
      </w:pPr>
      <w:r>
        <w:rPr>
          <w:rFonts w:hint="eastAsia" w:ascii="宋体" w:hAnsi="宋体" w:cs="宋体"/>
          <w:sz w:val="24"/>
        </w:rPr>
        <w:t>4.4</w:t>
      </w:r>
      <w:r>
        <w:rPr>
          <w:rFonts w:hint="eastAsia" w:ascii="宋体" w:hAnsi="宋体" w:cs="宋体"/>
          <w:bCs/>
          <w:sz w:val="24"/>
        </w:rPr>
        <w:t>磋商小组将对确定为实质性响应的文件进行进一步审核，看其是否有计算上或累加上的算术错误，修正错误的原则如下：</w:t>
      </w:r>
    </w:p>
    <w:p w14:paraId="2F12CCAC">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（1）响应文件中</w:t>
      </w:r>
      <w:r>
        <w:rPr>
          <w:rFonts w:hint="eastAsia" w:ascii="宋体" w:hAnsi="宋体" w:cs="宋体"/>
          <w:kern w:val="0"/>
          <w:sz w:val="24"/>
        </w:rPr>
        <w:t>报价总表</w:t>
      </w:r>
      <w:r>
        <w:rPr>
          <w:rFonts w:hint="eastAsia" w:ascii="宋体" w:hAnsi="宋体" w:cs="宋体"/>
          <w:bCs/>
          <w:sz w:val="24"/>
        </w:rPr>
        <w:t>内容与响应文件中相应内容不一致的，以</w:t>
      </w:r>
      <w:r>
        <w:rPr>
          <w:rFonts w:hint="eastAsia" w:ascii="宋体" w:hAnsi="宋体" w:cs="宋体"/>
          <w:kern w:val="0"/>
          <w:sz w:val="24"/>
        </w:rPr>
        <w:t>报价总表</w:t>
      </w:r>
      <w:r>
        <w:rPr>
          <w:rFonts w:hint="eastAsia" w:ascii="宋体" w:hAnsi="宋体" w:cs="宋体"/>
          <w:bCs/>
          <w:sz w:val="24"/>
        </w:rPr>
        <w:t>为准。</w:t>
      </w:r>
    </w:p>
    <w:p w14:paraId="7F429DC0">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（2）大写金额和小写金额不一致的，以大写金额为准。</w:t>
      </w:r>
    </w:p>
    <w:p w14:paraId="39AAC297">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（3）单价金额小数点或者百分比有明显错位的，以</w:t>
      </w:r>
      <w:r>
        <w:rPr>
          <w:rFonts w:hint="eastAsia" w:ascii="宋体" w:hAnsi="宋体" w:cs="宋体"/>
          <w:kern w:val="0"/>
          <w:sz w:val="24"/>
        </w:rPr>
        <w:t>报价总表</w:t>
      </w:r>
      <w:r>
        <w:rPr>
          <w:rFonts w:hint="eastAsia" w:ascii="宋体" w:hAnsi="宋体" w:cs="宋体"/>
          <w:bCs/>
          <w:sz w:val="24"/>
        </w:rPr>
        <w:t>的总价为准，并修改单价。</w:t>
      </w:r>
    </w:p>
    <w:p w14:paraId="66F7EDCD">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（4）总价金额与按单价汇总金额不一致的，以单价金额计算结果为准。</w:t>
      </w:r>
    </w:p>
    <w:p w14:paraId="506AAE3C">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同时出现两种以上错误的，按照前款规定的顺序修正。</w:t>
      </w:r>
    </w:p>
    <w:p w14:paraId="27AB08B1">
      <w:pPr>
        <w:adjustRightInd w:val="0"/>
        <w:snapToGrid w:val="0"/>
        <w:spacing w:line="500" w:lineRule="exact"/>
        <w:ind w:firstLine="480" w:firstLineChars="200"/>
        <w:rPr>
          <w:rFonts w:ascii="宋体" w:hAnsi="宋体" w:cs="宋体"/>
          <w:bCs/>
          <w:sz w:val="24"/>
        </w:rPr>
      </w:pPr>
      <w:r>
        <w:rPr>
          <w:rFonts w:hint="eastAsia" w:ascii="宋体" w:hAnsi="宋体" w:cs="宋体"/>
          <w:sz w:val="24"/>
        </w:rPr>
        <w:t>4</w:t>
      </w:r>
      <w:r>
        <w:rPr>
          <w:rFonts w:hint="eastAsia" w:ascii="宋体" w:hAnsi="宋体" w:cs="宋体"/>
          <w:bCs/>
          <w:sz w:val="24"/>
        </w:rPr>
        <w:t>.5磋商小组将按上述修正错误的方法调整响应文件中的报价，并告知供应商，调整后的价格应对供应商具有约束力。如果供应商不接受修正后的价格，则其磋商活动将被拒绝。</w:t>
      </w:r>
    </w:p>
    <w:p w14:paraId="6779406C">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4.6磋商小组将允许修正响应文件中不构成重大偏离的、微小的、非正规的、不一致的或不规则的地方，但这些修改不能影响任何供应商相应的名次排列。</w:t>
      </w:r>
    </w:p>
    <w:p w14:paraId="31A94C12">
      <w:pPr>
        <w:adjustRightInd w:val="0"/>
        <w:snapToGrid w:val="0"/>
        <w:spacing w:line="500" w:lineRule="exact"/>
        <w:ind w:firstLine="480" w:firstLineChars="200"/>
        <w:rPr>
          <w:rFonts w:ascii="宋体" w:hAnsi="宋体" w:cs="宋体"/>
          <w:sz w:val="24"/>
        </w:rPr>
      </w:pPr>
      <w:r>
        <w:rPr>
          <w:rFonts w:hint="eastAsia" w:ascii="宋体" w:hAnsi="宋体" w:cs="宋体"/>
          <w:bCs/>
          <w:sz w:val="24"/>
        </w:rPr>
        <w:t>4.7</w:t>
      </w:r>
      <w:r>
        <w:rPr>
          <w:rFonts w:hint="eastAsia" w:ascii="宋体" w:hAnsi="宋体" w:cs="宋体"/>
          <w:sz w:val="24"/>
        </w:rPr>
        <w:t>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46D82A67">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非单一产品采购项目，磋商文件中将载明其中的核心产品。多家供应商提供的核心产品品牌相同的，按前款规定处理。</w:t>
      </w:r>
    </w:p>
    <w:p w14:paraId="6DDF7F6A">
      <w:pPr>
        <w:adjustRightInd w:val="0"/>
        <w:snapToGrid w:val="0"/>
        <w:spacing w:line="500" w:lineRule="exact"/>
        <w:ind w:firstLine="480" w:firstLineChars="200"/>
        <w:rPr>
          <w:rFonts w:ascii="宋体" w:hAnsi="宋体" w:cs="宋体"/>
          <w:bCs/>
          <w:sz w:val="24"/>
        </w:rPr>
      </w:pPr>
      <w:r>
        <w:rPr>
          <w:rFonts w:hint="eastAsia" w:ascii="宋体" w:hAnsi="宋体" w:cs="宋体"/>
          <w:sz w:val="24"/>
        </w:rPr>
        <w:t>4.8 供应商在评审全过程中应保持通讯畅通，并安排专人与代理机构磋商小组联系。</w:t>
      </w:r>
    </w:p>
    <w:p w14:paraId="32280915">
      <w:pPr>
        <w:tabs>
          <w:tab w:val="left" w:pos="6555"/>
          <w:tab w:val="right" w:pos="8306"/>
        </w:tabs>
        <w:adjustRightInd w:val="0"/>
        <w:snapToGrid w:val="0"/>
        <w:spacing w:line="500" w:lineRule="exact"/>
        <w:ind w:firstLine="480" w:firstLineChars="200"/>
        <w:rPr>
          <w:rFonts w:ascii="宋体" w:hAnsi="宋体" w:cs="宋体"/>
          <w:bCs/>
          <w:sz w:val="24"/>
        </w:rPr>
      </w:pPr>
      <w:r>
        <w:rPr>
          <w:rFonts w:hint="eastAsia" w:ascii="宋体" w:hAnsi="宋体" w:cs="宋体"/>
          <w:bCs/>
          <w:sz w:val="24"/>
        </w:rPr>
        <w:t>5. 被认定为未实质性响应磋商文件的响应文件的情形。</w:t>
      </w:r>
    </w:p>
    <w:p w14:paraId="44F142F8">
      <w:pPr>
        <w:tabs>
          <w:tab w:val="left" w:pos="6555"/>
          <w:tab w:val="right" w:pos="8306"/>
        </w:tabs>
        <w:adjustRightInd w:val="0"/>
        <w:snapToGrid w:val="0"/>
        <w:spacing w:line="500" w:lineRule="exact"/>
        <w:ind w:firstLine="480" w:firstLineChars="200"/>
        <w:rPr>
          <w:rFonts w:ascii="宋体" w:hAnsi="宋体" w:cs="宋体"/>
          <w:b/>
          <w:sz w:val="24"/>
        </w:rPr>
      </w:pPr>
      <w:r>
        <w:rPr>
          <w:rFonts w:hint="eastAsia" w:ascii="宋体" w:hAnsi="宋体" w:cs="宋体"/>
          <w:bCs/>
          <w:sz w:val="24"/>
        </w:rPr>
        <w:t>5.1出现下列情形之一的，作无效响应处理。</w:t>
      </w:r>
      <w:r>
        <w:rPr>
          <w:rFonts w:hint="eastAsia" w:ascii="宋体" w:hAnsi="宋体" w:cs="宋体"/>
          <w:bCs/>
          <w:sz w:val="24"/>
        </w:rPr>
        <w:tab/>
      </w:r>
      <w:r>
        <w:rPr>
          <w:rFonts w:hint="eastAsia" w:ascii="宋体" w:hAnsi="宋体" w:cs="宋体"/>
          <w:b/>
          <w:sz w:val="24"/>
        </w:rPr>
        <w:tab/>
      </w:r>
    </w:p>
    <w:p w14:paraId="76A303D9">
      <w:pPr>
        <w:adjustRightInd w:val="0"/>
        <w:snapToGrid w:val="0"/>
        <w:spacing w:line="500" w:lineRule="exact"/>
        <w:ind w:firstLine="570"/>
        <w:rPr>
          <w:rFonts w:ascii="宋体" w:hAnsi="宋体" w:cs="宋体"/>
          <w:bCs/>
          <w:sz w:val="24"/>
        </w:rPr>
      </w:pPr>
      <w:r>
        <w:rPr>
          <w:rFonts w:hint="eastAsia" w:ascii="宋体" w:hAnsi="宋体" w:cs="宋体"/>
          <w:bCs/>
          <w:sz w:val="24"/>
        </w:rPr>
        <w:t>5.1.1</w:t>
      </w:r>
      <w:r>
        <w:rPr>
          <w:rFonts w:hint="eastAsia" w:ascii="宋体" w:hAnsi="宋体" w:cs="宋体"/>
          <w:sz w:val="24"/>
        </w:rPr>
        <w:t>响应供应商未按本采购文件要求递交响应文件的；</w:t>
      </w:r>
    </w:p>
    <w:p w14:paraId="66D7A147">
      <w:pPr>
        <w:adjustRightInd w:val="0"/>
        <w:snapToGrid w:val="0"/>
        <w:spacing w:line="500" w:lineRule="exact"/>
        <w:ind w:firstLine="570"/>
        <w:rPr>
          <w:rFonts w:ascii="宋体" w:hAnsi="宋体" w:cs="宋体"/>
          <w:bCs/>
          <w:sz w:val="24"/>
        </w:rPr>
      </w:pPr>
      <w:r>
        <w:rPr>
          <w:rFonts w:hint="eastAsia" w:ascii="宋体" w:hAnsi="宋体" w:cs="宋体"/>
          <w:bCs/>
          <w:sz w:val="24"/>
        </w:rPr>
        <w:t>5.1.2同一供应商提交两个（含两个）以上不同的响应报价的；</w:t>
      </w:r>
    </w:p>
    <w:p w14:paraId="79530DF6">
      <w:pPr>
        <w:adjustRightInd w:val="0"/>
        <w:snapToGrid w:val="0"/>
        <w:spacing w:line="500" w:lineRule="exact"/>
        <w:ind w:left="559" w:leftChars="266"/>
        <w:rPr>
          <w:rFonts w:ascii="宋体" w:hAnsi="宋体" w:cs="宋体"/>
          <w:bCs/>
          <w:sz w:val="24"/>
        </w:rPr>
      </w:pPr>
      <w:r>
        <w:rPr>
          <w:rFonts w:hint="eastAsia" w:ascii="宋体" w:hAnsi="宋体" w:cs="宋体"/>
          <w:bCs/>
          <w:sz w:val="24"/>
        </w:rPr>
        <w:t>5.1.3不具备磋商文件中规定的资格要求的；</w:t>
      </w:r>
    </w:p>
    <w:p w14:paraId="024B8929">
      <w:pPr>
        <w:adjustRightInd w:val="0"/>
        <w:snapToGrid w:val="0"/>
        <w:spacing w:line="500" w:lineRule="exact"/>
        <w:ind w:left="559" w:leftChars="266"/>
        <w:rPr>
          <w:rFonts w:ascii="宋体" w:hAnsi="宋体" w:cs="宋体"/>
          <w:bCs/>
          <w:sz w:val="24"/>
        </w:rPr>
      </w:pPr>
      <w:r>
        <w:rPr>
          <w:rFonts w:hint="eastAsia" w:ascii="宋体" w:hAnsi="宋体" w:cs="宋体"/>
          <w:bCs/>
          <w:sz w:val="24"/>
        </w:rPr>
        <w:t>5.1.4响应报价超过了采购预算或最高限价的；</w:t>
      </w:r>
    </w:p>
    <w:p w14:paraId="26D9A7DD">
      <w:pPr>
        <w:adjustRightInd w:val="0"/>
        <w:snapToGrid w:val="0"/>
        <w:spacing w:line="500" w:lineRule="exact"/>
        <w:ind w:firstLine="570"/>
        <w:rPr>
          <w:rFonts w:ascii="宋体" w:hAnsi="宋体" w:cs="宋体"/>
          <w:bCs/>
          <w:sz w:val="24"/>
        </w:rPr>
      </w:pPr>
      <w:r>
        <w:rPr>
          <w:rFonts w:hint="eastAsia" w:ascii="宋体" w:hAnsi="宋体" w:cs="宋体"/>
          <w:bCs/>
          <w:sz w:val="24"/>
        </w:rPr>
        <w:t xml:space="preserve">5.1.5 </w:t>
      </w:r>
      <w:r>
        <w:rPr>
          <w:rFonts w:hint="eastAsia" w:ascii="宋体" w:hAnsi="宋体" w:cs="宋体"/>
          <w:sz w:val="24"/>
        </w:rPr>
        <w:t>未通过资格性、符合性审查的；</w:t>
      </w:r>
    </w:p>
    <w:p w14:paraId="07098516">
      <w:pPr>
        <w:adjustRightInd w:val="0"/>
        <w:snapToGrid w:val="0"/>
        <w:spacing w:line="500" w:lineRule="exact"/>
        <w:ind w:firstLine="570"/>
        <w:rPr>
          <w:rFonts w:ascii="宋体" w:hAnsi="宋体" w:cs="宋体"/>
          <w:bCs/>
          <w:sz w:val="24"/>
        </w:rPr>
      </w:pPr>
      <w:r>
        <w:rPr>
          <w:rFonts w:hint="eastAsia" w:ascii="宋体" w:hAnsi="宋体" w:cs="宋体"/>
          <w:bCs/>
          <w:sz w:val="24"/>
        </w:rPr>
        <w:t>5.1.6不符合法律、法规和磋商文件中规定的其他实质性要求的；</w:t>
      </w:r>
    </w:p>
    <w:p w14:paraId="13433F2A">
      <w:pPr>
        <w:adjustRightInd w:val="0"/>
        <w:snapToGrid w:val="0"/>
        <w:spacing w:line="500" w:lineRule="exact"/>
        <w:ind w:firstLine="570"/>
        <w:rPr>
          <w:rFonts w:ascii="宋体" w:hAnsi="宋体" w:cs="宋体"/>
          <w:bCs/>
          <w:sz w:val="24"/>
        </w:rPr>
      </w:pPr>
      <w:r>
        <w:rPr>
          <w:rFonts w:hint="eastAsia" w:ascii="宋体" w:hAnsi="宋体" w:cs="宋体"/>
          <w:bCs/>
          <w:sz w:val="24"/>
        </w:rPr>
        <w:t>5.1.7供应商被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15DADB25">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5.1.8响应文件含有采购人不能接受的附加条件的；</w:t>
      </w:r>
    </w:p>
    <w:p w14:paraId="0815C65A">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5.1.9 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46672F1B">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5.1.10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14:paraId="7F86F26D">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5.1.11响应文件未按照采购文件要求加盖电子签章；</w:t>
      </w:r>
    </w:p>
    <w:p w14:paraId="770F34B5">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5.1.12投标人的商务技术部分得分相差异常悬殊，评标委员会一致认为得分畸低者有可能影响产品质量或者不能诚信履约的。</w:t>
      </w:r>
    </w:p>
    <w:p w14:paraId="1D66005D">
      <w:pPr>
        <w:adjustRightInd w:val="0"/>
        <w:snapToGrid w:val="0"/>
        <w:spacing w:line="500" w:lineRule="exact"/>
        <w:ind w:firstLine="480" w:firstLineChars="200"/>
        <w:rPr>
          <w:rFonts w:ascii="宋体" w:hAnsi="宋体" w:cs="宋体"/>
          <w:bCs/>
          <w:sz w:val="24"/>
          <w:highlight w:val="none"/>
        </w:rPr>
      </w:pPr>
      <w:r>
        <w:rPr>
          <w:rFonts w:hint="eastAsia" w:ascii="宋体" w:hAnsi="宋体" w:cs="宋体"/>
          <w:bCs/>
          <w:sz w:val="24"/>
          <w:highlight w:val="none"/>
        </w:rPr>
        <w:t>5.1.13</w:t>
      </w:r>
      <w:r>
        <w:rPr>
          <w:rFonts w:hint="eastAsia" w:ascii="宋体" w:hAnsi="宋体" w:cs="宋体"/>
          <w:b/>
          <w:sz w:val="24"/>
          <w:highlight w:val="none"/>
        </w:rPr>
        <w:t>技术分不满40分的</w:t>
      </w:r>
      <w:r>
        <w:rPr>
          <w:rFonts w:hint="eastAsia" w:ascii="宋体" w:hAnsi="宋体" w:cs="宋体"/>
          <w:bCs/>
          <w:sz w:val="24"/>
          <w:highlight w:val="none"/>
        </w:rPr>
        <w:t>。</w:t>
      </w:r>
    </w:p>
    <w:p w14:paraId="6D28A5F5">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5.1.14其他法律、法规及本磋商文件规定的属无效响应的情形</w:t>
      </w:r>
    </w:p>
    <w:p w14:paraId="4B738E5B">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5.2出现下列情形之一的，磋商失败。</w:t>
      </w:r>
    </w:p>
    <w:p w14:paraId="2B2917B2">
      <w:pPr>
        <w:adjustRightInd w:val="0"/>
        <w:snapToGrid w:val="0"/>
        <w:spacing w:line="500" w:lineRule="exact"/>
        <w:ind w:firstLine="570"/>
        <w:rPr>
          <w:rFonts w:ascii="宋体" w:hAnsi="宋体" w:cs="宋体"/>
          <w:bCs/>
          <w:sz w:val="24"/>
        </w:rPr>
      </w:pPr>
      <w:r>
        <w:rPr>
          <w:rFonts w:hint="eastAsia" w:ascii="宋体" w:hAnsi="宋体" w:cs="宋体"/>
          <w:bCs/>
          <w:sz w:val="24"/>
        </w:rPr>
        <w:t>5.2.1符合条件的供应商或者对磋商文件作实质响应的供应商不足3家的（市场竞争不充分的科研项目，以及需要扶持的科技成果转化项目可以是2家）；</w:t>
      </w:r>
    </w:p>
    <w:p w14:paraId="627ECAF3">
      <w:pPr>
        <w:adjustRightInd w:val="0"/>
        <w:snapToGrid w:val="0"/>
        <w:spacing w:line="500" w:lineRule="exact"/>
        <w:ind w:firstLine="555"/>
        <w:rPr>
          <w:rFonts w:ascii="宋体" w:hAnsi="宋体" w:cs="宋体"/>
          <w:bCs/>
          <w:sz w:val="24"/>
        </w:rPr>
      </w:pPr>
      <w:r>
        <w:rPr>
          <w:rFonts w:hint="eastAsia" w:ascii="宋体" w:hAnsi="宋体" w:cs="宋体"/>
          <w:bCs/>
          <w:sz w:val="24"/>
        </w:rPr>
        <w:t>5.2.2出现影响采购公正的违法违规行为的；</w:t>
      </w:r>
    </w:p>
    <w:p w14:paraId="353CAA77">
      <w:pPr>
        <w:adjustRightInd w:val="0"/>
        <w:snapToGrid w:val="0"/>
        <w:spacing w:line="500" w:lineRule="exact"/>
        <w:ind w:firstLine="555"/>
        <w:rPr>
          <w:rFonts w:ascii="宋体" w:hAnsi="宋体" w:cs="宋体"/>
          <w:bCs/>
          <w:sz w:val="24"/>
        </w:rPr>
      </w:pPr>
      <w:r>
        <w:rPr>
          <w:rFonts w:hint="eastAsia" w:ascii="宋体" w:hAnsi="宋体" w:cs="宋体"/>
          <w:bCs/>
          <w:sz w:val="24"/>
        </w:rPr>
        <w:t>5.2.3因重大变故，采购任务取消的。</w:t>
      </w:r>
    </w:p>
    <w:p w14:paraId="73645711">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5.2.4磋商小组认定磋商文件存在歧义、重大缺陷导致评审工作无法进行。</w:t>
      </w:r>
    </w:p>
    <w:p w14:paraId="6B6D1E16">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5.3 响应</w:t>
      </w:r>
      <w:r>
        <w:rPr>
          <w:rFonts w:hint="eastAsia" w:ascii="宋体" w:hAnsi="宋体" w:cs="宋体"/>
          <w:sz w:val="24"/>
        </w:rPr>
        <w:t>文件提交</w:t>
      </w:r>
      <w:r>
        <w:rPr>
          <w:rFonts w:hint="eastAsia" w:ascii="宋体" w:hAnsi="宋体" w:cs="宋体"/>
          <w:bCs/>
          <w:sz w:val="24"/>
        </w:rPr>
        <w:t>截止时间结束后参加磋商的供应商不足三家的处理：</w:t>
      </w:r>
    </w:p>
    <w:p w14:paraId="54281605">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5.3.1如出现响应</w:t>
      </w:r>
      <w:r>
        <w:rPr>
          <w:rFonts w:hint="eastAsia" w:ascii="宋体" w:hAnsi="宋体" w:cs="宋体"/>
          <w:sz w:val="24"/>
        </w:rPr>
        <w:t>文件提交</w:t>
      </w:r>
      <w:r>
        <w:rPr>
          <w:rFonts w:hint="eastAsia" w:ascii="宋体" w:hAnsi="宋体" w:cs="宋体"/>
          <w:bCs/>
          <w:sz w:val="24"/>
        </w:rPr>
        <w:t>截止时间结束后参加磋商的供应商或者在评审期间对磋商文件做出实质响应的供应商不足三家情况，按政府采购相关规定执行。</w:t>
      </w:r>
    </w:p>
    <w:bookmarkEnd w:id="72"/>
    <w:bookmarkEnd w:id="73"/>
    <w:bookmarkEnd w:id="74"/>
    <w:p w14:paraId="20E1AA8A">
      <w:pPr>
        <w:keepNext/>
        <w:keepLines/>
        <w:adjustRightInd w:val="0"/>
        <w:snapToGrid w:val="0"/>
        <w:spacing w:line="500" w:lineRule="exact"/>
        <w:outlineLvl w:val="2"/>
        <w:rPr>
          <w:rFonts w:ascii="宋体" w:hAnsi="宋体" w:cs="宋体"/>
          <w:b/>
          <w:bCs/>
          <w:kern w:val="0"/>
          <w:sz w:val="24"/>
        </w:rPr>
      </w:pPr>
      <w:bookmarkStart w:id="75" w:name="_Toc120614219"/>
      <w:r>
        <w:rPr>
          <w:rFonts w:hint="eastAsia" w:ascii="宋体" w:hAnsi="宋体" w:cs="宋体"/>
          <w:b/>
          <w:bCs/>
          <w:kern w:val="0"/>
          <w:sz w:val="24"/>
        </w:rPr>
        <w:t>（六）</w:t>
      </w:r>
      <w:bookmarkEnd w:id="75"/>
      <w:r>
        <w:rPr>
          <w:rFonts w:hint="eastAsia" w:ascii="宋体" w:hAnsi="宋体" w:cs="宋体"/>
          <w:b/>
          <w:bCs/>
          <w:kern w:val="0"/>
          <w:sz w:val="24"/>
        </w:rPr>
        <w:t>成交</w:t>
      </w:r>
    </w:p>
    <w:p w14:paraId="0C58391E">
      <w:pPr>
        <w:keepNext/>
        <w:adjustRightInd w:val="0"/>
        <w:snapToGrid w:val="0"/>
        <w:spacing w:line="500" w:lineRule="exact"/>
        <w:ind w:firstLine="360" w:firstLineChars="150"/>
        <w:outlineLvl w:val="3"/>
        <w:rPr>
          <w:rFonts w:ascii="宋体" w:hAnsi="宋体" w:cs="宋体"/>
          <w:b/>
          <w:kern w:val="0"/>
          <w:sz w:val="24"/>
        </w:rPr>
      </w:pPr>
      <w:bookmarkStart w:id="76" w:name="_Toc16938554"/>
      <w:bookmarkStart w:id="77" w:name="_Toc20823310"/>
      <w:r>
        <w:rPr>
          <w:rFonts w:hint="eastAsia" w:ascii="宋体" w:hAnsi="宋体" w:cs="宋体"/>
          <w:kern w:val="0"/>
          <w:sz w:val="24"/>
        </w:rPr>
        <w:t>1.确定</w:t>
      </w:r>
      <w:bookmarkEnd w:id="76"/>
      <w:bookmarkEnd w:id="77"/>
      <w:r>
        <w:rPr>
          <w:rFonts w:hint="eastAsia" w:ascii="宋体" w:hAnsi="宋体" w:cs="宋体"/>
          <w:kern w:val="0"/>
          <w:sz w:val="24"/>
        </w:rPr>
        <w:t>成交单位</w:t>
      </w:r>
    </w:p>
    <w:p w14:paraId="2F93E43B">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 xml:space="preserve">1.1成交候选供应商的选取原则和数量见磋商文件第四部分规定。 </w:t>
      </w:r>
    </w:p>
    <w:p w14:paraId="57A764FA">
      <w:pPr>
        <w:adjustRightInd w:val="0"/>
        <w:snapToGrid w:val="0"/>
        <w:spacing w:line="500" w:lineRule="exact"/>
        <w:ind w:firstLine="480" w:firstLineChars="200"/>
        <w:rPr>
          <w:rFonts w:ascii="宋体" w:hAnsi="宋体" w:cs="宋体"/>
          <w:bCs/>
          <w:sz w:val="24"/>
        </w:rPr>
      </w:pPr>
      <w:r>
        <w:rPr>
          <w:rFonts w:hint="eastAsia" w:ascii="宋体" w:hAnsi="宋体" w:cs="宋体"/>
          <w:bCs/>
          <w:sz w:val="24"/>
        </w:rPr>
        <w:t>1.2采购人授权磋商小组在成交候选供应商中直接确定成交供应商。</w:t>
      </w:r>
    </w:p>
    <w:p w14:paraId="4BD9B7D7">
      <w:pPr>
        <w:adjustRightInd w:val="0"/>
        <w:snapToGrid w:val="0"/>
        <w:spacing w:line="500" w:lineRule="exact"/>
        <w:ind w:firstLine="480" w:firstLineChars="200"/>
        <w:rPr>
          <w:rFonts w:ascii="宋体" w:hAnsi="宋体" w:cs="宋体"/>
          <w:sz w:val="24"/>
        </w:rPr>
      </w:pPr>
      <w:r>
        <w:rPr>
          <w:rFonts w:hint="eastAsia" w:ascii="宋体" w:hAnsi="宋体" w:cs="宋体"/>
          <w:bCs/>
          <w:sz w:val="24"/>
        </w:rPr>
        <w:t>1.3采购人将在“南通市崇川区人民政府网”</w:t>
      </w:r>
      <w:r>
        <w:rPr>
          <w:rFonts w:hint="eastAsia" w:ascii="宋体" w:hAnsi="宋体" w:cs="宋体"/>
          <w:sz w:val="24"/>
        </w:rPr>
        <w:t>发布成交结果公告，公告期限为1个工作日。</w:t>
      </w:r>
    </w:p>
    <w:p w14:paraId="7A6E97F5">
      <w:pPr>
        <w:adjustRightInd w:val="0"/>
        <w:snapToGrid w:val="0"/>
        <w:spacing w:line="500" w:lineRule="exact"/>
        <w:ind w:firstLine="480" w:firstLineChars="200"/>
        <w:rPr>
          <w:rFonts w:ascii="宋体" w:hAnsi="宋体" w:cs="宋体"/>
          <w:sz w:val="24"/>
        </w:rPr>
      </w:pPr>
      <w:r>
        <w:rPr>
          <w:rFonts w:hint="eastAsia" w:ascii="宋体" w:hAnsi="宋体" w:cs="宋体"/>
          <w:sz w:val="24"/>
        </w:rPr>
        <w:t>1.4  若有充分证据证明，成交供应商出现下列情况之一的，一经查实，将被取消成交资格：</w:t>
      </w:r>
    </w:p>
    <w:p w14:paraId="7FC87E92">
      <w:pPr>
        <w:adjustRightInd w:val="0"/>
        <w:snapToGrid w:val="0"/>
        <w:spacing w:line="500" w:lineRule="exact"/>
        <w:ind w:firstLine="480" w:firstLineChars="200"/>
        <w:rPr>
          <w:rFonts w:ascii="宋体" w:hAnsi="宋体" w:cs="宋体"/>
          <w:sz w:val="24"/>
        </w:rPr>
      </w:pPr>
      <w:r>
        <w:rPr>
          <w:rFonts w:hint="eastAsia" w:ascii="宋体" w:hAnsi="宋体" w:cs="宋体"/>
          <w:sz w:val="24"/>
        </w:rPr>
        <w:t>1.4.1提供虚假材料谋取成交的。</w:t>
      </w:r>
    </w:p>
    <w:p w14:paraId="49ACAEE2">
      <w:pPr>
        <w:adjustRightInd w:val="0"/>
        <w:snapToGrid w:val="0"/>
        <w:spacing w:line="500" w:lineRule="exact"/>
        <w:ind w:firstLine="480" w:firstLineChars="200"/>
        <w:rPr>
          <w:rFonts w:ascii="宋体" w:hAnsi="宋体" w:cs="宋体"/>
          <w:sz w:val="24"/>
        </w:rPr>
      </w:pPr>
      <w:r>
        <w:rPr>
          <w:rFonts w:hint="eastAsia" w:ascii="宋体" w:hAnsi="宋体" w:cs="宋体"/>
          <w:sz w:val="24"/>
        </w:rPr>
        <w:t>1.4.2向采购人、代理机构行贿或者评审专家提供其他不正当利益的。</w:t>
      </w:r>
    </w:p>
    <w:p w14:paraId="00BDFA15">
      <w:pPr>
        <w:adjustRightInd w:val="0"/>
        <w:snapToGrid w:val="0"/>
        <w:spacing w:line="500" w:lineRule="exact"/>
        <w:ind w:firstLine="480" w:firstLineChars="200"/>
        <w:rPr>
          <w:rFonts w:ascii="宋体" w:hAnsi="宋体" w:cs="宋体"/>
          <w:sz w:val="24"/>
        </w:rPr>
      </w:pPr>
      <w:r>
        <w:rPr>
          <w:rFonts w:hint="eastAsia" w:ascii="宋体" w:hAnsi="宋体" w:cs="宋体"/>
          <w:sz w:val="24"/>
        </w:rPr>
        <w:t>1.4.3恶意竞争，最终总报价明显低于其自身合理成本且又无法提供证明的。</w:t>
      </w:r>
    </w:p>
    <w:p w14:paraId="132FB346">
      <w:pPr>
        <w:adjustRightInd w:val="0"/>
        <w:snapToGrid w:val="0"/>
        <w:spacing w:line="500" w:lineRule="exact"/>
        <w:ind w:firstLine="480" w:firstLineChars="200"/>
        <w:rPr>
          <w:rFonts w:ascii="宋体" w:hAnsi="宋体" w:cs="宋体"/>
          <w:sz w:val="24"/>
        </w:rPr>
      </w:pPr>
      <w:r>
        <w:rPr>
          <w:rFonts w:hint="eastAsia" w:ascii="宋体" w:hAnsi="宋体" w:cs="宋体"/>
          <w:sz w:val="24"/>
        </w:rPr>
        <w:t>1.4.4属于本文件规定的无效条件，但在评审过程中又未被磋商小组发现的。</w:t>
      </w:r>
    </w:p>
    <w:p w14:paraId="27FD4E63">
      <w:pPr>
        <w:adjustRightInd w:val="0"/>
        <w:snapToGrid w:val="0"/>
        <w:spacing w:line="500" w:lineRule="exact"/>
        <w:ind w:firstLine="480" w:firstLineChars="200"/>
        <w:rPr>
          <w:rFonts w:ascii="宋体" w:hAnsi="宋体" w:cs="宋体"/>
          <w:sz w:val="24"/>
        </w:rPr>
      </w:pPr>
      <w:r>
        <w:rPr>
          <w:rFonts w:hint="eastAsia" w:ascii="宋体" w:hAnsi="宋体" w:cs="宋体"/>
          <w:sz w:val="24"/>
        </w:rPr>
        <w:t>1.4.5与采购人或者其他供应商恶意串通的。</w:t>
      </w:r>
    </w:p>
    <w:p w14:paraId="3BB4F5A8">
      <w:pPr>
        <w:adjustRightInd w:val="0"/>
        <w:snapToGrid w:val="0"/>
        <w:spacing w:line="500" w:lineRule="exact"/>
        <w:ind w:firstLine="480" w:firstLineChars="200"/>
        <w:rPr>
          <w:rFonts w:ascii="宋体" w:hAnsi="宋体" w:cs="宋体"/>
          <w:sz w:val="24"/>
        </w:rPr>
      </w:pPr>
      <w:r>
        <w:rPr>
          <w:rFonts w:hint="eastAsia" w:ascii="宋体" w:hAnsi="宋体" w:cs="宋体"/>
          <w:sz w:val="24"/>
        </w:rPr>
        <w:t>1.4.6采取不正当手段诋毁、排挤其他供应商的。</w:t>
      </w:r>
    </w:p>
    <w:p w14:paraId="28410D61">
      <w:pPr>
        <w:adjustRightInd w:val="0"/>
        <w:snapToGrid w:val="0"/>
        <w:spacing w:line="500" w:lineRule="exact"/>
        <w:ind w:firstLine="480" w:firstLineChars="200"/>
        <w:rPr>
          <w:rFonts w:ascii="宋体" w:hAnsi="宋体" w:cs="宋体"/>
          <w:sz w:val="24"/>
        </w:rPr>
      </w:pPr>
      <w:bookmarkStart w:id="78" w:name="_Toc200451960"/>
      <w:r>
        <w:rPr>
          <w:rFonts w:hint="eastAsia" w:ascii="宋体" w:hAnsi="宋体" w:cs="宋体"/>
          <w:sz w:val="24"/>
        </w:rPr>
        <w:t>1.5.</w:t>
      </w:r>
      <w:r>
        <w:rPr>
          <w:rFonts w:hint="eastAsia" w:ascii="宋体" w:hAnsi="宋体" w:cs="宋体"/>
          <w:kern w:val="0"/>
          <w:sz w:val="24"/>
        </w:rPr>
        <w:t>有下列情形之一的，视为供应商串通参与磋商，响应无效：</w:t>
      </w:r>
    </w:p>
    <w:p w14:paraId="62AB0E37">
      <w:pPr>
        <w:adjustRightInd w:val="0"/>
        <w:snapToGrid w:val="0"/>
        <w:spacing w:line="500" w:lineRule="exact"/>
        <w:ind w:firstLine="480" w:firstLineChars="200"/>
        <w:rPr>
          <w:rFonts w:ascii="宋体" w:hAnsi="宋体" w:cs="宋体"/>
          <w:sz w:val="24"/>
        </w:rPr>
      </w:pPr>
      <w:r>
        <w:rPr>
          <w:rFonts w:hint="eastAsia" w:ascii="宋体" w:hAnsi="宋体" w:cs="宋体"/>
          <w:sz w:val="24"/>
        </w:rPr>
        <w:t>1.5.1不同供应商的响应文件由同一单位或者个人编制；</w:t>
      </w:r>
    </w:p>
    <w:p w14:paraId="574D34DD">
      <w:pPr>
        <w:adjustRightInd w:val="0"/>
        <w:snapToGrid w:val="0"/>
        <w:spacing w:line="500" w:lineRule="exact"/>
        <w:ind w:firstLine="480" w:firstLineChars="200"/>
        <w:rPr>
          <w:rFonts w:ascii="宋体" w:hAnsi="宋体" w:cs="宋体"/>
          <w:sz w:val="24"/>
        </w:rPr>
      </w:pPr>
      <w:r>
        <w:rPr>
          <w:rFonts w:hint="eastAsia" w:ascii="宋体" w:hAnsi="宋体" w:cs="宋体"/>
          <w:sz w:val="24"/>
        </w:rPr>
        <w:t>1.5.2不同供应商委托同一单位或者个人办理磋商事宜；</w:t>
      </w:r>
    </w:p>
    <w:p w14:paraId="47F1D6CE">
      <w:pPr>
        <w:adjustRightInd w:val="0"/>
        <w:snapToGrid w:val="0"/>
        <w:spacing w:line="500" w:lineRule="exact"/>
        <w:ind w:firstLine="480" w:firstLineChars="200"/>
        <w:rPr>
          <w:rFonts w:ascii="宋体" w:hAnsi="宋体" w:cs="宋体"/>
          <w:sz w:val="24"/>
        </w:rPr>
      </w:pPr>
      <w:r>
        <w:rPr>
          <w:rFonts w:hint="eastAsia" w:ascii="宋体" w:hAnsi="宋体" w:cs="宋体"/>
          <w:sz w:val="24"/>
        </w:rPr>
        <w:t>1.5.3不同供应商的响应文件载明的项目管理成员或者联系人员为同一人；</w:t>
      </w:r>
    </w:p>
    <w:p w14:paraId="23CA727B">
      <w:pPr>
        <w:adjustRightInd w:val="0"/>
        <w:snapToGrid w:val="0"/>
        <w:spacing w:line="500" w:lineRule="exact"/>
        <w:ind w:firstLine="480" w:firstLineChars="200"/>
        <w:rPr>
          <w:rFonts w:ascii="宋体" w:hAnsi="宋体" w:cs="宋体"/>
          <w:sz w:val="24"/>
        </w:rPr>
      </w:pPr>
      <w:r>
        <w:rPr>
          <w:rFonts w:hint="eastAsia" w:ascii="宋体" w:hAnsi="宋体" w:cs="宋体"/>
          <w:sz w:val="24"/>
        </w:rPr>
        <w:t>1.5.4不同供应商的响应文件异常一致或者响应报价呈规律性差异。</w:t>
      </w:r>
    </w:p>
    <w:p w14:paraId="2896A3C3">
      <w:pPr>
        <w:keepNext/>
        <w:adjustRightInd w:val="0"/>
        <w:snapToGrid w:val="0"/>
        <w:spacing w:line="500" w:lineRule="exact"/>
        <w:ind w:firstLine="360" w:firstLineChars="150"/>
        <w:outlineLvl w:val="3"/>
        <w:rPr>
          <w:rFonts w:ascii="宋体" w:hAnsi="宋体" w:cs="宋体"/>
          <w:b/>
          <w:kern w:val="0"/>
          <w:sz w:val="24"/>
        </w:rPr>
      </w:pPr>
      <w:r>
        <w:rPr>
          <w:rFonts w:hint="eastAsia" w:ascii="宋体" w:hAnsi="宋体" w:cs="宋体"/>
          <w:kern w:val="0"/>
          <w:sz w:val="24"/>
        </w:rPr>
        <w:t>2.质疑处理</w:t>
      </w:r>
      <w:bookmarkEnd w:id="78"/>
    </w:p>
    <w:p w14:paraId="361549D4">
      <w:pPr>
        <w:adjustRightInd w:val="0"/>
        <w:snapToGrid w:val="0"/>
        <w:spacing w:line="500" w:lineRule="exact"/>
        <w:ind w:firstLine="480" w:firstLineChars="200"/>
        <w:rPr>
          <w:rFonts w:ascii="宋体" w:hAnsi="宋体" w:cs="宋体"/>
          <w:sz w:val="24"/>
        </w:rPr>
      </w:pPr>
      <w:r>
        <w:rPr>
          <w:rFonts w:hint="eastAsia" w:ascii="宋体" w:hAnsi="宋体" w:cs="宋体"/>
          <w:sz w:val="24"/>
        </w:rPr>
        <w:t>2.1 提出质疑的供应商应当是参与所质疑项目采购活动的供应商。潜在供应商依法获取其可质疑的磋商文件的，可以对磋商文件提出质疑。</w:t>
      </w:r>
    </w:p>
    <w:p w14:paraId="69BE299F">
      <w:pPr>
        <w:adjustRightInd w:val="0"/>
        <w:snapToGrid w:val="0"/>
        <w:spacing w:line="500" w:lineRule="exact"/>
        <w:ind w:firstLine="480" w:firstLineChars="200"/>
        <w:rPr>
          <w:rFonts w:ascii="宋体" w:hAnsi="宋体" w:cs="宋体"/>
          <w:sz w:val="24"/>
        </w:rPr>
      </w:pPr>
      <w:r>
        <w:rPr>
          <w:rFonts w:hint="eastAsia" w:ascii="宋体" w:hAnsi="宋体" w:cs="宋体"/>
          <w:sz w:val="24"/>
        </w:rPr>
        <w:t>2.2供应商认为磋商文件、采购过程和采购结果使自己的权益受到损害的，可以在知道或应知其权益受到损害之日起七个工作日内，以书面形式向代理机构或采购人提出质疑。上述应知其权益受到损害之日，是指：</w:t>
      </w:r>
    </w:p>
    <w:p w14:paraId="3F4FB046">
      <w:pPr>
        <w:adjustRightInd w:val="0"/>
        <w:snapToGrid w:val="0"/>
        <w:spacing w:line="500" w:lineRule="exact"/>
        <w:ind w:firstLine="480" w:firstLineChars="200"/>
        <w:rPr>
          <w:rFonts w:ascii="宋体" w:hAnsi="宋体" w:cs="宋体"/>
          <w:kern w:val="0"/>
          <w:sz w:val="24"/>
        </w:rPr>
      </w:pPr>
      <w:r>
        <w:rPr>
          <w:rFonts w:hint="eastAsia" w:ascii="宋体" w:hAnsi="宋体" w:cs="宋体"/>
          <w:sz w:val="24"/>
        </w:rPr>
        <w:t>2.2.1</w:t>
      </w:r>
      <w:r>
        <w:rPr>
          <w:rFonts w:hint="eastAsia" w:ascii="宋体" w:hAnsi="宋体" w:cs="宋体"/>
          <w:kern w:val="0"/>
          <w:sz w:val="24"/>
        </w:rPr>
        <w:t>对可以质疑的磋商文件提出质疑的，为收到磋商文件之日或者磋商文件公告期限届满之日；</w:t>
      </w:r>
    </w:p>
    <w:p w14:paraId="6F2A3C67">
      <w:pPr>
        <w:adjustRightInd w:val="0"/>
        <w:snapToGrid w:val="0"/>
        <w:spacing w:line="500" w:lineRule="exact"/>
        <w:ind w:firstLine="480" w:firstLineChars="200"/>
        <w:rPr>
          <w:rFonts w:ascii="宋体" w:hAnsi="宋体" w:cs="宋体"/>
          <w:kern w:val="0"/>
          <w:sz w:val="24"/>
        </w:rPr>
      </w:pPr>
      <w:r>
        <w:rPr>
          <w:rFonts w:hint="eastAsia" w:ascii="宋体" w:hAnsi="宋体" w:cs="宋体"/>
          <w:sz w:val="24"/>
        </w:rPr>
        <w:t>2.2.2</w:t>
      </w:r>
      <w:r>
        <w:rPr>
          <w:rFonts w:hint="eastAsia" w:ascii="宋体" w:hAnsi="宋体" w:cs="宋体"/>
          <w:kern w:val="0"/>
          <w:sz w:val="24"/>
        </w:rPr>
        <w:t>对采购过程提出质疑的，为各采购程序环节结束之日；</w:t>
      </w:r>
    </w:p>
    <w:p w14:paraId="425C267E">
      <w:pPr>
        <w:adjustRightInd w:val="0"/>
        <w:snapToGrid w:val="0"/>
        <w:spacing w:line="500" w:lineRule="exact"/>
        <w:ind w:firstLine="480" w:firstLineChars="200"/>
        <w:rPr>
          <w:rFonts w:ascii="宋体" w:hAnsi="宋体" w:cs="宋体"/>
          <w:kern w:val="0"/>
          <w:sz w:val="24"/>
        </w:rPr>
      </w:pPr>
      <w:r>
        <w:rPr>
          <w:rFonts w:hint="eastAsia" w:ascii="宋体" w:hAnsi="宋体" w:cs="宋体"/>
          <w:sz w:val="24"/>
        </w:rPr>
        <w:t>2.2.3</w:t>
      </w:r>
      <w:r>
        <w:rPr>
          <w:rFonts w:hint="eastAsia" w:ascii="宋体" w:hAnsi="宋体" w:cs="宋体"/>
          <w:kern w:val="0"/>
          <w:sz w:val="24"/>
        </w:rPr>
        <w:t>对成交结果提出质疑的，为成交结果公告期限届满之日。</w:t>
      </w:r>
    </w:p>
    <w:p w14:paraId="643D78FA">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供应商应当在法定质疑期内一次性提出针对同一采购程序环节的质疑。</w:t>
      </w:r>
    </w:p>
    <w:p w14:paraId="2556FA6B">
      <w:pPr>
        <w:adjustRightInd w:val="0"/>
        <w:snapToGrid w:val="0"/>
        <w:spacing w:line="500" w:lineRule="exact"/>
        <w:ind w:firstLine="480" w:firstLineChars="200"/>
        <w:rPr>
          <w:rFonts w:ascii="宋体" w:hAnsi="宋体" w:cs="宋体"/>
          <w:sz w:val="24"/>
        </w:rPr>
      </w:pPr>
      <w:r>
        <w:rPr>
          <w:rFonts w:hint="eastAsia" w:ascii="宋体" w:hAnsi="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14D1AE6B">
      <w:pPr>
        <w:adjustRightInd w:val="0"/>
        <w:snapToGrid w:val="0"/>
        <w:spacing w:line="500" w:lineRule="exact"/>
        <w:ind w:firstLine="480" w:firstLineChars="200"/>
        <w:rPr>
          <w:rFonts w:ascii="宋体" w:hAnsi="宋体" w:cs="宋体"/>
          <w:sz w:val="24"/>
        </w:rPr>
      </w:pPr>
      <w:r>
        <w:rPr>
          <w:rFonts w:hint="eastAsia" w:ascii="宋体" w:hAnsi="宋体" w:cs="宋体"/>
          <w:sz w:val="24"/>
        </w:rPr>
        <w:t>2.4对采购方式、磋商文件中项目需求、供应商资格条件、评审方法和评审标准、资格审查结果等应当由采购人答复的质疑，请向采购人提出，由采购人负责答复。供应商对其他事项的质疑，请向代理机构提出，由代理机构负责答复。</w:t>
      </w:r>
    </w:p>
    <w:p w14:paraId="4B1D06A7">
      <w:pPr>
        <w:adjustRightInd w:val="0"/>
        <w:snapToGrid w:val="0"/>
        <w:spacing w:line="500" w:lineRule="exact"/>
        <w:ind w:firstLine="480" w:firstLineChars="200"/>
        <w:rPr>
          <w:rFonts w:ascii="宋体" w:hAnsi="宋体" w:cs="宋体"/>
          <w:sz w:val="24"/>
        </w:rPr>
      </w:pPr>
      <w:r>
        <w:rPr>
          <w:rFonts w:hint="eastAsia" w:ascii="宋体" w:hAnsi="宋体" w:cs="宋体"/>
          <w:sz w:val="24"/>
        </w:rPr>
        <w:t>采购人质疑接收人及联系方式，见磋商文件第一部分。</w:t>
      </w:r>
    </w:p>
    <w:p w14:paraId="33950EF5">
      <w:pPr>
        <w:adjustRightInd w:val="0"/>
        <w:snapToGrid w:val="0"/>
        <w:spacing w:line="500" w:lineRule="exact"/>
        <w:ind w:firstLine="480" w:firstLineChars="200"/>
        <w:rPr>
          <w:rFonts w:ascii="宋体" w:hAnsi="宋体" w:cs="宋体"/>
          <w:sz w:val="24"/>
        </w:rPr>
      </w:pPr>
      <w:r>
        <w:rPr>
          <w:rFonts w:hint="eastAsia" w:ascii="宋体" w:hAnsi="宋体" w:cs="宋体"/>
          <w:sz w:val="24"/>
        </w:rPr>
        <w:t>2.5 以下情形的质疑不予受理</w:t>
      </w:r>
    </w:p>
    <w:p w14:paraId="786BA21F">
      <w:pPr>
        <w:adjustRightInd w:val="0"/>
        <w:snapToGrid w:val="0"/>
        <w:spacing w:line="500" w:lineRule="exact"/>
        <w:ind w:firstLine="480" w:firstLineChars="200"/>
        <w:rPr>
          <w:rFonts w:ascii="宋体" w:hAnsi="宋体" w:cs="宋体"/>
          <w:sz w:val="24"/>
        </w:rPr>
      </w:pPr>
      <w:r>
        <w:rPr>
          <w:rFonts w:hint="eastAsia" w:ascii="宋体" w:hAnsi="宋体" w:cs="宋体"/>
          <w:sz w:val="24"/>
        </w:rPr>
        <w:t>2.5.1 内容不符合《政府采购质疑和投诉办法》第十二条规定的质疑。</w:t>
      </w:r>
    </w:p>
    <w:p w14:paraId="5437664A">
      <w:pPr>
        <w:adjustRightInd w:val="0"/>
        <w:snapToGrid w:val="0"/>
        <w:spacing w:line="500" w:lineRule="exact"/>
        <w:ind w:firstLine="480" w:firstLineChars="200"/>
        <w:rPr>
          <w:rFonts w:ascii="宋体" w:hAnsi="宋体" w:cs="宋体"/>
          <w:sz w:val="24"/>
        </w:rPr>
      </w:pPr>
      <w:r>
        <w:rPr>
          <w:rFonts w:hint="eastAsia" w:ascii="宋体" w:hAnsi="宋体" w:cs="宋体"/>
          <w:sz w:val="24"/>
        </w:rPr>
        <w:t>2.5.2 超出政府采购法定期限的质疑。</w:t>
      </w:r>
    </w:p>
    <w:p w14:paraId="6C5BF56E">
      <w:pPr>
        <w:adjustRightInd w:val="0"/>
        <w:snapToGrid w:val="0"/>
        <w:spacing w:line="500" w:lineRule="exact"/>
        <w:ind w:firstLine="480" w:firstLineChars="200"/>
        <w:rPr>
          <w:rFonts w:ascii="宋体" w:hAnsi="宋体" w:cs="宋体"/>
          <w:sz w:val="24"/>
        </w:rPr>
      </w:pPr>
      <w:r>
        <w:rPr>
          <w:rFonts w:hint="eastAsia" w:ascii="宋体" w:hAnsi="宋体" w:cs="宋体"/>
          <w:sz w:val="24"/>
        </w:rPr>
        <w:t>2.5.3 未参加磋商活动的供应商或在磋商活动中自身权益未受到损害的供应商所提出的质疑。</w:t>
      </w:r>
    </w:p>
    <w:p w14:paraId="1EE360EB">
      <w:pPr>
        <w:adjustRightInd w:val="0"/>
        <w:snapToGrid w:val="0"/>
        <w:spacing w:line="500" w:lineRule="exact"/>
        <w:ind w:firstLine="480" w:firstLineChars="200"/>
        <w:rPr>
          <w:rFonts w:ascii="宋体" w:hAnsi="宋体" w:cs="宋体"/>
          <w:sz w:val="24"/>
        </w:rPr>
      </w:pPr>
      <w:r>
        <w:rPr>
          <w:rFonts w:hint="eastAsia" w:ascii="宋体" w:hAnsi="宋体" w:cs="宋体"/>
          <w:sz w:val="24"/>
        </w:rPr>
        <w:t>2.5.4供应商组成联合体参加磋商，联合体中任何一方或多方未按要求签字、盖章、加盖公章的质疑。</w:t>
      </w:r>
    </w:p>
    <w:p w14:paraId="1409D6D7">
      <w:pPr>
        <w:adjustRightInd w:val="0"/>
        <w:snapToGrid w:val="0"/>
        <w:spacing w:line="500" w:lineRule="exact"/>
        <w:ind w:firstLine="468" w:firstLineChars="195"/>
        <w:rPr>
          <w:rFonts w:ascii="宋体" w:hAnsi="宋体" w:cs="宋体"/>
          <w:sz w:val="24"/>
        </w:rPr>
      </w:pPr>
      <w:r>
        <w:rPr>
          <w:rFonts w:hint="eastAsia" w:ascii="宋体" w:hAnsi="宋体" w:cs="宋体"/>
          <w:sz w:val="24"/>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5883A3D0">
      <w:pPr>
        <w:keepNext/>
        <w:adjustRightInd w:val="0"/>
        <w:snapToGrid w:val="0"/>
        <w:spacing w:line="500" w:lineRule="exact"/>
        <w:ind w:firstLine="360" w:firstLineChars="150"/>
        <w:outlineLvl w:val="3"/>
        <w:rPr>
          <w:rFonts w:ascii="宋体" w:hAnsi="宋体" w:cs="宋体"/>
          <w:b/>
          <w:kern w:val="0"/>
          <w:sz w:val="24"/>
        </w:rPr>
      </w:pPr>
      <w:r>
        <w:rPr>
          <w:rFonts w:hint="eastAsia" w:ascii="宋体" w:hAnsi="宋体" w:cs="宋体"/>
          <w:kern w:val="0"/>
          <w:sz w:val="24"/>
        </w:rPr>
        <w:t>3．成交通知书</w:t>
      </w:r>
    </w:p>
    <w:p w14:paraId="4D3034C2">
      <w:pPr>
        <w:adjustRightInd w:val="0"/>
        <w:snapToGrid w:val="0"/>
        <w:spacing w:line="500" w:lineRule="exact"/>
        <w:ind w:firstLine="360" w:firstLineChars="150"/>
        <w:rPr>
          <w:rFonts w:ascii="宋体" w:hAnsi="宋体" w:cs="宋体"/>
          <w:sz w:val="24"/>
        </w:rPr>
      </w:pPr>
      <w:r>
        <w:rPr>
          <w:rFonts w:hint="eastAsia" w:ascii="宋体" w:hAnsi="宋体" w:cs="宋体"/>
          <w:sz w:val="24"/>
        </w:rPr>
        <w:t>3.1成交结果确定后，</w:t>
      </w:r>
      <w:r>
        <w:rPr>
          <w:rFonts w:hint="eastAsia" w:ascii="宋体" w:hAnsi="宋体" w:cs="宋体"/>
          <w:bCs/>
          <w:sz w:val="24"/>
        </w:rPr>
        <w:t>采购人</w:t>
      </w:r>
      <w:r>
        <w:rPr>
          <w:rFonts w:hint="eastAsia" w:ascii="宋体" w:hAnsi="宋体" w:cs="宋体"/>
          <w:sz w:val="24"/>
        </w:rPr>
        <w:t>将向成交供应商发出成交通知书</w:t>
      </w:r>
      <w:r>
        <w:rPr>
          <w:rFonts w:hint="eastAsia" w:ascii="宋体" w:hAnsi="宋体" w:cs="宋体"/>
          <w:bCs/>
          <w:sz w:val="24"/>
        </w:rPr>
        <w:t>（详见磋商文件第四部分）</w:t>
      </w:r>
      <w:r>
        <w:rPr>
          <w:rFonts w:hint="eastAsia" w:ascii="宋体" w:hAnsi="宋体" w:cs="宋体"/>
          <w:sz w:val="24"/>
        </w:rPr>
        <w:t>。</w:t>
      </w:r>
    </w:p>
    <w:p w14:paraId="4D64DA48">
      <w:pPr>
        <w:adjustRightInd w:val="0"/>
        <w:snapToGrid w:val="0"/>
        <w:spacing w:line="500" w:lineRule="exact"/>
        <w:ind w:firstLine="360" w:firstLineChars="150"/>
        <w:rPr>
          <w:rFonts w:ascii="宋体" w:hAnsi="宋体" w:cs="宋体"/>
          <w:sz w:val="24"/>
        </w:rPr>
      </w:pPr>
      <w:r>
        <w:rPr>
          <w:rFonts w:hint="eastAsia" w:ascii="宋体" w:hAnsi="宋体" w:cs="宋体"/>
          <w:sz w:val="24"/>
        </w:rPr>
        <w:t>3.2成交通知书将是合同的一个组成部分。对采购人和成交供应商均具有法律效力。成交通知书发出后，采购人改变成交结果的，或者成交供应商放弃磋商项目的，应当依法承担法律责任。</w:t>
      </w:r>
    </w:p>
    <w:p w14:paraId="3116D3E6">
      <w:pPr>
        <w:keepNext/>
        <w:keepLines/>
        <w:adjustRightInd w:val="0"/>
        <w:snapToGrid w:val="0"/>
        <w:spacing w:line="500" w:lineRule="exact"/>
        <w:outlineLvl w:val="2"/>
        <w:rPr>
          <w:rFonts w:ascii="宋体" w:hAnsi="宋体" w:cs="宋体"/>
          <w:b/>
          <w:bCs/>
          <w:kern w:val="0"/>
          <w:sz w:val="24"/>
        </w:rPr>
      </w:pPr>
      <w:bookmarkStart w:id="79" w:name="_Toc120614220"/>
      <w:bookmarkStart w:id="80" w:name="_Toc16938552"/>
      <w:bookmarkStart w:id="81" w:name="_Toc513029236"/>
      <w:bookmarkStart w:id="82" w:name="_Toc20823308"/>
      <w:r>
        <w:rPr>
          <w:rFonts w:hint="eastAsia" w:ascii="宋体" w:hAnsi="宋体" w:cs="宋体"/>
          <w:b/>
          <w:bCs/>
          <w:kern w:val="0"/>
          <w:sz w:val="24"/>
        </w:rPr>
        <w:t>（七）授予合同</w:t>
      </w:r>
      <w:bookmarkEnd w:id="79"/>
    </w:p>
    <w:bookmarkEnd w:id="80"/>
    <w:bookmarkEnd w:id="81"/>
    <w:bookmarkEnd w:id="82"/>
    <w:p w14:paraId="53CBECEE">
      <w:pPr>
        <w:keepNext/>
        <w:adjustRightInd w:val="0"/>
        <w:snapToGrid w:val="0"/>
        <w:spacing w:line="500" w:lineRule="exact"/>
        <w:outlineLvl w:val="3"/>
        <w:rPr>
          <w:rFonts w:ascii="宋体" w:hAnsi="宋体" w:cs="宋体"/>
          <w:b/>
          <w:kern w:val="0"/>
          <w:sz w:val="24"/>
        </w:rPr>
      </w:pPr>
      <w:bookmarkStart w:id="83" w:name="_Toc16938553"/>
      <w:bookmarkStart w:id="84" w:name="_Toc20823309"/>
      <w:bookmarkStart w:id="85" w:name="_Toc513029237"/>
      <w:r>
        <w:rPr>
          <w:rFonts w:hint="eastAsia" w:ascii="宋体" w:hAnsi="宋体" w:cs="宋体"/>
          <w:kern w:val="0"/>
          <w:sz w:val="24"/>
        </w:rPr>
        <w:t>1.签订合同</w:t>
      </w:r>
    </w:p>
    <w:p w14:paraId="514D4026">
      <w:pPr>
        <w:adjustRightInd w:val="0"/>
        <w:snapToGrid w:val="0"/>
        <w:spacing w:line="500" w:lineRule="exact"/>
        <w:ind w:firstLine="600" w:firstLineChars="250"/>
        <w:rPr>
          <w:rFonts w:ascii="宋体" w:hAnsi="宋体" w:cs="宋体"/>
          <w:sz w:val="24"/>
        </w:rPr>
      </w:pPr>
      <w:r>
        <w:rPr>
          <w:rFonts w:hint="eastAsia" w:ascii="宋体" w:hAnsi="宋体" w:cs="宋体"/>
          <w:bCs/>
          <w:sz w:val="24"/>
        </w:rPr>
        <w:t>1</w:t>
      </w:r>
      <w:r>
        <w:rPr>
          <w:rFonts w:hint="eastAsia" w:ascii="宋体" w:hAnsi="宋体" w:cs="宋体"/>
          <w:sz w:val="24"/>
        </w:rPr>
        <w:t>.l成交供应商应当在成交通知书发出之日起三十日内，按照磋商文件确定的事项与采购人签订政府采购合同。</w:t>
      </w:r>
    </w:p>
    <w:p w14:paraId="1BA2DBE8">
      <w:pPr>
        <w:adjustRightInd w:val="0"/>
        <w:snapToGrid w:val="0"/>
        <w:spacing w:line="500" w:lineRule="exact"/>
        <w:ind w:firstLine="600" w:firstLineChars="250"/>
        <w:rPr>
          <w:rFonts w:ascii="宋体" w:hAnsi="宋体" w:cs="宋体"/>
          <w:sz w:val="24"/>
        </w:rPr>
      </w:pPr>
      <w:r>
        <w:rPr>
          <w:rFonts w:hint="eastAsia" w:ascii="宋体" w:hAnsi="宋体" w:cs="宋体"/>
          <w:sz w:val="24"/>
        </w:rPr>
        <w:t>1.2磋商文件、成交供应商的响应文件及磋商过程中有关澄清、承诺文件均应作为合同附件。</w:t>
      </w:r>
    </w:p>
    <w:p w14:paraId="51DB0E8C">
      <w:pPr>
        <w:adjustRightInd w:val="0"/>
        <w:snapToGrid w:val="0"/>
        <w:spacing w:line="500" w:lineRule="exact"/>
        <w:ind w:firstLine="600" w:firstLineChars="250"/>
        <w:rPr>
          <w:rFonts w:ascii="宋体" w:hAnsi="宋体" w:cs="宋体"/>
          <w:sz w:val="24"/>
        </w:rPr>
      </w:pPr>
      <w:r>
        <w:rPr>
          <w:rFonts w:hint="eastAsia" w:ascii="宋体" w:hAnsi="宋体" w:cs="宋体"/>
          <w:sz w:val="24"/>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5BCA04B2">
      <w:pPr>
        <w:keepNext/>
        <w:adjustRightInd w:val="0"/>
        <w:snapToGrid w:val="0"/>
        <w:spacing w:line="500" w:lineRule="exact"/>
        <w:outlineLvl w:val="3"/>
        <w:rPr>
          <w:rFonts w:ascii="宋体" w:hAnsi="宋体" w:cs="宋体"/>
          <w:b/>
          <w:kern w:val="0"/>
          <w:sz w:val="24"/>
        </w:rPr>
      </w:pPr>
      <w:r>
        <w:rPr>
          <w:rFonts w:hint="eastAsia" w:ascii="宋体" w:hAnsi="宋体" w:cs="宋体"/>
          <w:kern w:val="0"/>
          <w:sz w:val="24"/>
        </w:rPr>
        <w:t>2.货物和服务的追加、减少和添购。</w:t>
      </w:r>
    </w:p>
    <w:p w14:paraId="702319D2">
      <w:pPr>
        <w:adjustRightInd w:val="0"/>
        <w:snapToGrid w:val="0"/>
        <w:spacing w:line="500" w:lineRule="exact"/>
        <w:ind w:firstLine="480" w:firstLineChars="200"/>
        <w:rPr>
          <w:rFonts w:ascii="宋体" w:hAnsi="宋体" w:cs="宋体"/>
          <w:sz w:val="24"/>
        </w:rPr>
      </w:pPr>
      <w:r>
        <w:rPr>
          <w:rFonts w:hint="eastAsia" w:ascii="宋体" w:hAnsi="宋体" w:cs="宋体"/>
          <w:sz w:val="24"/>
        </w:rPr>
        <w:t>2.1政府采购合同履行中，采购人需追加与合同标的相同的货物和服务的，在不改变合同其他条款的前提下，可以与成交供应商协商签订补充合同，但所有补充合同的采购金额不超过原合同金额10%。</w:t>
      </w:r>
    </w:p>
    <w:p w14:paraId="0DA2827B">
      <w:pPr>
        <w:keepNext/>
        <w:adjustRightInd w:val="0"/>
        <w:snapToGrid w:val="0"/>
        <w:spacing w:line="500" w:lineRule="exact"/>
        <w:ind w:firstLine="480" w:firstLineChars="200"/>
        <w:outlineLvl w:val="3"/>
        <w:rPr>
          <w:rFonts w:ascii="宋体" w:hAnsi="宋体" w:cs="宋体"/>
          <w:sz w:val="24"/>
        </w:rPr>
      </w:pPr>
      <w:r>
        <w:rPr>
          <w:rFonts w:hint="eastAsia" w:ascii="宋体" w:hAnsi="宋体" w:cs="宋体"/>
          <w:sz w:val="24"/>
        </w:rPr>
        <w:t>2.2采购结束后，采购人若由于各种客观原因，必须对采购项目所牵涉的货物和服务进行适当的减少时，在双方协商一致的前提下，可以按照采购时的价格水平做相应的调减，并据此签订补充合同。</w:t>
      </w:r>
    </w:p>
    <w:p w14:paraId="04681772">
      <w:pPr>
        <w:keepNext/>
        <w:keepLines/>
        <w:adjustRightInd w:val="0"/>
        <w:snapToGrid w:val="0"/>
        <w:spacing w:line="500" w:lineRule="exact"/>
        <w:outlineLvl w:val="2"/>
        <w:rPr>
          <w:rFonts w:ascii="宋体" w:hAnsi="宋体" w:cs="宋体"/>
          <w:b/>
          <w:bCs/>
          <w:kern w:val="0"/>
          <w:sz w:val="24"/>
        </w:rPr>
      </w:pPr>
      <w:r>
        <w:rPr>
          <w:rFonts w:hint="eastAsia" w:ascii="宋体" w:hAnsi="宋体" w:cs="宋体"/>
          <w:b/>
          <w:bCs/>
          <w:kern w:val="0"/>
          <w:sz w:val="24"/>
        </w:rPr>
        <w:t>（</w:t>
      </w:r>
      <w:r>
        <w:rPr>
          <w:rFonts w:hint="eastAsia" w:ascii="宋体" w:hAnsi="宋体" w:cs="宋体"/>
          <w:b/>
          <w:bCs/>
          <w:kern w:val="0"/>
          <w:sz w:val="24"/>
          <w:lang w:val="en-US" w:eastAsia="zh-CN"/>
        </w:rPr>
        <w:t>八</w:t>
      </w:r>
      <w:r>
        <w:rPr>
          <w:rFonts w:hint="eastAsia" w:ascii="宋体" w:hAnsi="宋体" w:cs="宋体"/>
          <w:b/>
          <w:bCs/>
          <w:kern w:val="0"/>
          <w:sz w:val="24"/>
        </w:rPr>
        <w:t>）特殊情况</w:t>
      </w:r>
    </w:p>
    <w:p w14:paraId="2B9A2B17">
      <w:pPr>
        <w:keepNext/>
        <w:adjustRightInd w:val="0"/>
        <w:snapToGrid w:val="0"/>
        <w:spacing w:line="500" w:lineRule="exact"/>
        <w:ind w:firstLine="482" w:firstLineChars="200"/>
        <w:outlineLvl w:val="3"/>
        <w:rPr>
          <w:rFonts w:ascii="宋体" w:hAnsi="宋体" w:cs="宋体"/>
          <w:b/>
          <w:bCs/>
          <w:kern w:val="0"/>
          <w:sz w:val="24"/>
        </w:rPr>
      </w:pPr>
      <w:r>
        <w:rPr>
          <w:rFonts w:hint="eastAsia" w:ascii="宋体" w:hAnsi="宋体" w:cs="宋体"/>
          <w:b/>
          <w:bCs/>
          <w:kern w:val="0"/>
          <w:sz w:val="24"/>
        </w:rPr>
        <w:t>各供应商的投标文件应对招标文件提出的所有实质性要求和条件作出实质性响应，才能参加评标。因此次为二次公告，若此次本项目有效供应商不满三家，则可以由采购人用以下方式进行（前提是不得降低标准或改变招标文件的实质性内容）；如现场有2家资质符合要求的供应商，则根据采购人意见可同供应商采用磋商的方式现场确定中标单位；如现场有1家资质符合要求的供应商，则根据采购人意见可同供应商采用谈判的方式现场确定中标单位。</w:t>
      </w:r>
      <w:bookmarkStart w:id="87" w:name="_GoBack"/>
      <w:bookmarkEnd w:id="87"/>
    </w:p>
    <w:p w14:paraId="6D14623B">
      <w:pPr>
        <w:adjustRightInd w:val="0"/>
        <w:snapToGrid w:val="0"/>
        <w:spacing w:line="500" w:lineRule="exact"/>
        <w:ind w:firstLine="482" w:firstLineChars="200"/>
        <w:rPr>
          <w:rFonts w:ascii="宋体" w:hAnsi="宋体" w:cs="宋体"/>
          <w:b/>
          <w:sz w:val="24"/>
        </w:rPr>
      </w:pPr>
    </w:p>
    <w:p w14:paraId="417EDCE0">
      <w:pPr>
        <w:adjustRightInd w:val="0"/>
        <w:snapToGrid w:val="0"/>
        <w:spacing w:line="500" w:lineRule="exact"/>
        <w:ind w:firstLine="482" w:firstLineChars="200"/>
        <w:rPr>
          <w:rFonts w:ascii="宋体" w:hAnsi="宋体" w:cs="宋体"/>
          <w:b/>
          <w:sz w:val="24"/>
        </w:rPr>
      </w:pPr>
    </w:p>
    <w:bookmarkEnd w:id="83"/>
    <w:bookmarkEnd w:id="84"/>
    <w:bookmarkEnd w:id="85"/>
    <w:p w14:paraId="3AEC6141">
      <w:pPr>
        <w:adjustRightInd w:val="0"/>
        <w:snapToGrid w:val="0"/>
        <w:spacing w:line="500" w:lineRule="exact"/>
        <w:jc w:val="center"/>
        <w:rPr>
          <w:rFonts w:ascii="宋体" w:hAnsi="宋体" w:cs="宋体"/>
          <w:bCs/>
          <w:sz w:val="24"/>
        </w:rPr>
        <w:sectPr>
          <w:pgSz w:w="11907" w:h="16839"/>
          <w:pgMar w:top="1440" w:right="1800" w:bottom="1440" w:left="1800" w:header="720" w:footer="737" w:gutter="0"/>
          <w:cols w:space="720" w:num="1"/>
          <w:docGrid w:linePitch="286" w:charSpace="0"/>
        </w:sectPr>
      </w:pPr>
    </w:p>
    <w:p w14:paraId="195BD953">
      <w:pPr>
        <w:adjustRightInd w:val="0"/>
        <w:snapToGrid w:val="0"/>
        <w:spacing w:line="500" w:lineRule="exact"/>
        <w:jc w:val="center"/>
        <w:rPr>
          <w:rFonts w:ascii="宋体" w:hAnsi="宋体" w:cs="宋体"/>
          <w:b/>
          <w:sz w:val="32"/>
          <w:szCs w:val="32"/>
          <w:highlight w:val="none"/>
        </w:rPr>
      </w:pPr>
      <w:r>
        <w:rPr>
          <w:rFonts w:hint="eastAsia" w:ascii="宋体" w:hAnsi="宋体" w:cs="宋体"/>
          <w:b/>
          <w:sz w:val="32"/>
          <w:szCs w:val="32"/>
          <w:highlight w:val="none"/>
        </w:rPr>
        <w:t>第三部分  项目需求</w:t>
      </w:r>
    </w:p>
    <w:p w14:paraId="73AD0F67">
      <w:pPr>
        <w:adjustRightInd w:val="0"/>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134E2D8">
      <w:pPr>
        <w:adjustRightInd w:val="0"/>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74EF5F31">
      <w:pPr>
        <w:adjustRightInd w:val="0"/>
        <w:snapToGrid w:val="0"/>
        <w:spacing w:line="500" w:lineRule="exact"/>
        <w:ind w:firstLine="482" w:firstLineChars="200"/>
        <w:rPr>
          <w:rFonts w:ascii="宋体" w:hAnsi="宋体" w:cs="宋体"/>
          <w:b/>
          <w:sz w:val="24"/>
          <w:highlight w:val="none"/>
        </w:rPr>
      </w:pPr>
      <w:r>
        <w:rPr>
          <w:rFonts w:hint="eastAsia" w:ascii="宋体" w:hAnsi="宋体" w:cs="宋体"/>
          <w:b/>
          <w:bCs/>
          <w:sz w:val="24"/>
          <w:highlight w:val="none"/>
        </w:rPr>
        <w:t>其内容包含：</w:t>
      </w:r>
    </w:p>
    <w:p w14:paraId="1E23DC21">
      <w:pPr>
        <w:pStyle w:val="16"/>
        <w:spacing w:line="480" w:lineRule="exact"/>
        <w:ind w:firstLine="482" w:firstLineChars="200"/>
        <w:contextualSpacing/>
        <w:rPr>
          <w:rFonts w:ascii="宋体" w:eastAsia="宋体" w:cs="宋体"/>
          <w:b/>
          <w:bCs/>
          <w:sz w:val="24"/>
          <w:szCs w:val="24"/>
          <w:highlight w:val="none"/>
        </w:rPr>
      </w:pPr>
      <w:r>
        <w:rPr>
          <w:rFonts w:hint="eastAsia" w:ascii="宋体" w:eastAsia="宋体" w:cs="宋体"/>
          <w:b/>
          <w:bCs/>
          <w:sz w:val="24"/>
          <w:szCs w:val="24"/>
          <w:highlight w:val="none"/>
        </w:rPr>
        <w:t>一、服务内容及要求：</w:t>
      </w:r>
    </w:p>
    <w:p w14:paraId="60C0A53E">
      <w:pPr>
        <w:spacing w:line="500" w:lineRule="exact"/>
        <w:ind w:firstLine="480" w:firstLineChars="200"/>
        <w:rPr>
          <w:rFonts w:ascii="宋体" w:cs="宋体"/>
          <w:sz w:val="24"/>
          <w:highlight w:val="none"/>
        </w:rPr>
      </w:pPr>
      <w:r>
        <w:rPr>
          <w:rFonts w:hint="eastAsia" w:ascii="宋体" w:cs="宋体"/>
          <w:sz w:val="24"/>
          <w:highlight w:val="none"/>
        </w:rPr>
        <w:t>（一）采购内容</w:t>
      </w:r>
    </w:p>
    <w:p w14:paraId="599031C2">
      <w:pPr>
        <w:spacing w:line="500" w:lineRule="exact"/>
        <w:ind w:firstLine="480" w:firstLineChars="200"/>
        <w:rPr>
          <w:rFonts w:ascii="宋体" w:cs="宋体"/>
          <w:sz w:val="24"/>
        </w:rPr>
      </w:pPr>
      <w:r>
        <w:rPr>
          <w:rFonts w:hint="eastAsia" w:ascii="宋体" w:cs="宋体"/>
          <w:sz w:val="24"/>
          <w:highlight w:val="none"/>
          <w:lang w:eastAsia="zh-CN"/>
        </w:rPr>
        <w:t>根据采购人提供的店招标牌清单检测出具检测报告，并负责提供整改意见。</w:t>
      </w:r>
    </w:p>
    <w:p w14:paraId="0BD1D172">
      <w:pPr>
        <w:spacing w:line="500" w:lineRule="exact"/>
        <w:ind w:firstLine="480" w:firstLineChars="200"/>
        <w:rPr>
          <w:rFonts w:ascii="宋体" w:cs="宋体"/>
          <w:sz w:val="24"/>
        </w:rPr>
      </w:pPr>
      <w:r>
        <w:rPr>
          <w:rFonts w:hint="eastAsia" w:ascii="宋体" w:cs="宋体"/>
          <w:sz w:val="24"/>
        </w:rPr>
        <w:t>1.提供安全风险评估检测报告，具体包括但不限于：</w:t>
      </w:r>
    </w:p>
    <w:p w14:paraId="0B5CC075">
      <w:pPr>
        <w:spacing w:line="500" w:lineRule="exact"/>
        <w:ind w:firstLine="480" w:firstLineChars="200"/>
        <w:rPr>
          <w:rFonts w:ascii="宋体" w:cs="宋体"/>
          <w:sz w:val="24"/>
        </w:rPr>
      </w:pPr>
      <w:r>
        <w:rPr>
          <w:rFonts w:hint="eastAsia" w:ascii="宋体" w:cs="宋体"/>
          <w:sz w:val="24"/>
        </w:rPr>
        <w:t>（1）安全检测包括强度、刚度和稳定性；</w:t>
      </w:r>
    </w:p>
    <w:p w14:paraId="00500B45">
      <w:pPr>
        <w:spacing w:line="500" w:lineRule="exact"/>
        <w:ind w:firstLine="480" w:firstLineChars="200"/>
        <w:rPr>
          <w:rFonts w:ascii="宋体" w:cs="宋体"/>
          <w:sz w:val="24"/>
        </w:rPr>
      </w:pPr>
      <w:r>
        <w:rPr>
          <w:rFonts w:hint="eastAsia" w:ascii="宋体" w:cs="宋体"/>
          <w:sz w:val="24"/>
        </w:rPr>
        <w:t>（2）钢结构防腐及外观节点连接，重点是结构强度、刚度、结构节点、连接焊缝、螺栓和地脚螺栓；</w:t>
      </w:r>
    </w:p>
    <w:p w14:paraId="19CD037A">
      <w:pPr>
        <w:spacing w:line="500" w:lineRule="exact"/>
        <w:ind w:firstLine="480" w:firstLineChars="200"/>
        <w:rPr>
          <w:rFonts w:ascii="宋体" w:cs="宋体"/>
          <w:sz w:val="24"/>
        </w:rPr>
      </w:pPr>
      <w:r>
        <w:rPr>
          <w:rFonts w:hint="eastAsia" w:ascii="宋体" w:cs="宋体"/>
          <w:sz w:val="24"/>
        </w:rPr>
        <w:t>（3）基础和连接部件，重点是牢固性能；</w:t>
      </w:r>
    </w:p>
    <w:p w14:paraId="1E457471">
      <w:pPr>
        <w:spacing w:line="500" w:lineRule="exact"/>
        <w:ind w:firstLine="480" w:firstLineChars="200"/>
        <w:rPr>
          <w:rFonts w:hint="eastAsia" w:ascii="宋体" w:eastAsia="宋体" w:cs="宋体"/>
          <w:sz w:val="24"/>
          <w:lang w:eastAsia="zh-CN"/>
        </w:rPr>
      </w:pPr>
      <w:r>
        <w:rPr>
          <w:rFonts w:hint="eastAsia" w:ascii="宋体" w:cs="宋体"/>
          <w:sz w:val="24"/>
        </w:rPr>
        <w:t>（4）电路、电器和避雷设施，重点是电源、配电箱、 灯具、导线连接安全性检查，避雷设施和电器安全保险设置，确保正常安全使用</w:t>
      </w:r>
      <w:r>
        <w:rPr>
          <w:rFonts w:hint="eastAsia" w:ascii="宋体" w:cs="宋体"/>
          <w:sz w:val="24"/>
          <w:lang w:eastAsia="zh-CN"/>
        </w:rPr>
        <w:t>；</w:t>
      </w:r>
    </w:p>
    <w:p w14:paraId="2FF05C54">
      <w:pPr>
        <w:spacing w:line="500" w:lineRule="exact"/>
        <w:ind w:firstLine="480" w:firstLineChars="200"/>
        <w:rPr>
          <w:rFonts w:ascii="宋体" w:cs="宋体"/>
          <w:sz w:val="24"/>
        </w:rPr>
      </w:pPr>
      <w:r>
        <w:rPr>
          <w:rFonts w:hint="eastAsia" w:ascii="宋体" w:cs="宋体"/>
          <w:sz w:val="24"/>
        </w:rPr>
        <w:t>（5）出于检测需要，对金属结构的店招店牌设施设置可开启式检修口。原则上开口尺寸不小于6</w:t>
      </w:r>
      <w:r>
        <w:rPr>
          <w:rFonts w:ascii="宋体" w:cs="宋体"/>
          <w:sz w:val="24"/>
        </w:rPr>
        <w:t>0</w:t>
      </w:r>
      <w:r>
        <w:rPr>
          <w:rFonts w:hint="eastAsia" w:ascii="宋体" w:cs="宋体"/>
          <w:sz w:val="24"/>
        </w:rPr>
        <w:t>cm</w:t>
      </w:r>
      <w:r>
        <w:rPr>
          <w:rFonts w:hint="eastAsia" w:ascii="等线" w:hAnsi="等线" w:eastAsia="等线" w:cs="宋体"/>
          <w:sz w:val="24"/>
        </w:rPr>
        <w:t>◊</w:t>
      </w:r>
      <w:r>
        <w:rPr>
          <w:rFonts w:ascii="宋体" w:cs="宋体"/>
          <w:sz w:val="24"/>
        </w:rPr>
        <w:t>60</w:t>
      </w:r>
      <w:r>
        <w:rPr>
          <w:rFonts w:hint="eastAsia" w:ascii="宋体" w:cs="宋体"/>
          <w:sz w:val="24"/>
        </w:rPr>
        <w:t xml:space="preserve"> cm（或直径6</w:t>
      </w:r>
      <w:r>
        <w:rPr>
          <w:rFonts w:ascii="宋体" w:cs="宋体"/>
          <w:sz w:val="24"/>
        </w:rPr>
        <w:t>0</w:t>
      </w:r>
      <w:r>
        <w:rPr>
          <w:rFonts w:hint="eastAsia" w:ascii="宋体" w:cs="宋体"/>
          <w:sz w:val="24"/>
        </w:rPr>
        <w:t xml:space="preserve"> cm的圆形）；</w:t>
      </w:r>
    </w:p>
    <w:p w14:paraId="694A373B">
      <w:pPr>
        <w:spacing w:line="500" w:lineRule="exact"/>
        <w:ind w:firstLine="480" w:firstLineChars="200"/>
        <w:rPr>
          <w:rFonts w:ascii="宋体" w:cs="宋体"/>
          <w:sz w:val="24"/>
        </w:rPr>
      </w:pPr>
      <w:r>
        <w:rPr>
          <w:rFonts w:hint="eastAsia" w:ascii="宋体" w:cs="宋体"/>
          <w:sz w:val="24"/>
        </w:rPr>
        <w:t>（</w:t>
      </w:r>
      <w:r>
        <w:rPr>
          <w:rFonts w:ascii="宋体" w:cs="宋体"/>
          <w:sz w:val="24"/>
        </w:rPr>
        <w:t>6</w:t>
      </w:r>
      <w:r>
        <w:rPr>
          <w:rFonts w:hint="eastAsia" w:ascii="宋体" w:cs="宋体"/>
          <w:sz w:val="24"/>
        </w:rPr>
        <w:t>）其它安全事项，要检测后恢复招牌设施原貌。</w:t>
      </w:r>
    </w:p>
    <w:p w14:paraId="5F35D21C">
      <w:pPr>
        <w:spacing w:line="500" w:lineRule="exact"/>
        <w:ind w:firstLine="480" w:firstLineChars="200"/>
        <w:rPr>
          <w:rFonts w:ascii="宋体" w:cs="宋体"/>
          <w:sz w:val="24"/>
        </w:rPr>
      </w:pPr>
      <w:r>
        <w:rPr>
          <w:rFonts w:hint="eastAsia" w:ascii="宋体" w:cs="宋体"/>
          <w:sz w:val="24"/>
        </w:rPr>
        <w:t>2.提供整改意见。</w:t>
      </w:r>
    </w:p>
    <w:p w14:paraId="2ECA69CB">
      <w:pPr>
        <w:spacing w:line="500" w:lineRule="exact"/>
        <w:ind w:firstLine="480" w:firstLineChars="200"/>
        <w:rPr>
          <w:rFonts w:ascii="宋体" w:cs="宋体"/>
          <w:sz w:val="24"/>
        </w:rPr>
      </w:pPr>
      <w:r>
        <w:rPr>
          <w:rFonts w:hint="eastAsia" w:ascii="宋体" w:cs="宋体"/>
          <w:sz w:val="24"/>
        </w:rPr>
        <w:t>（二）采购项目的工作依据及技术参数、执行标准、质量要求</w:t>
      </w:r>
    </w:p>
    <w:p w14:paraId="2649609F">
      <w:pPr>
        <w:spacing w:line="500" w:lineRule="exact"/>
        <w:ind w:firstLine="480" w:firstLineChars="200"/>
        <w:rPr>
          <w:rFonts w:ascii="宋体" w:cs="宋体"/>
          <w:sz w:val="24"/>
        </w:rPr>
      </w:pPr>
      <w:r>
        <w:rPr>
          <w:rFonts w:hint="eastAsia" w:ascii="宋体" w:cs="宋体"/>
          <w:sz w:val="24"/>
        </w:rPr>
        <w:t>（1）《城市户外广告和招牌设施技术标准》CJJ/T149-2021；</w:t>
      </w:r>
    </w:p>
    <w:p w14:paraId="680C7F5D">
      <w:pPr>
        <w:spacing w:line="500" w:lineRule="exact"/>
        <w:ind w:firstLine="480" w:firstLineChars="200"/>
        <w:rPr>
          <w:rFonts w:ascii="宋体" w:cs="宋体"/>
          <w:sz w:val="24"/>
        </w:rPr>
      </w:pPr>
      <w:r>
        <w:rPr>
          <w:rFonts w:hint="eastAsia" w:ascii="宋体" w:cs="宋体"/>
          <w:sz w:val="24"/>
        </w:rPr>
        <w:t>（2）《城镇户外广告和店招标牌设施设置技术标准》（DB32/T4781-2024）；</w:t>
      </w:r>
    </w:p>
    <w:p w14:paraId="427EF730">
      <w:pPr>
        <w:spacing w:line="500" w:lineRule="exact"/>
        <w:ind w:firstLine="480" w:firstLineChars="200"/>
        <w:rPr>
          <w:rFonts w:ascii="宋体" w:cs="宋体"/>
          <w:sz w:val="24"/>
        </w:rPr>
      </w:pPr>
      <w:r>
        <w:rPr>
          <w:rFonts w:hint="eastAsia" w:ascii="宋体" w:cs="宋体"/>
          <w:sz w:val="24"/>
        </w:rPr>
        <w:t>（3）《钢结构工程施工质量验收标准》GB50205-2020；</w:t>
      </w:r>
    </w:p>
    <w:p w14:paraId="1BDDD590">
      <w:pPr>
        <w:spacing w:line="500" w:lineRule="exact"/>
        <w:ind w:firstLine="480" w:firstLineChars="200"/>
        <w:rPr>
          <w:rFonts w:ascii="宋体" w:cs="宋体"/>
          <w:sz w:val="24"/>
        </w:rPr>
      </w:pPr>
      <w:r>
        <w:rPr>
          <w:rFonts w:hint="eastAsia" w:ascii="宋体" w:cs="宋体"/>
          <w:sz w:val="24"/>
        </w:rPr>
        <w:t>（4）《钢结构现场检测技术标准》GB/T50621-2010；</w:t>
      </w:r>
    </w:p>
    <w:p w14:paraId="2856C916">
      <w:pPr>
        <w:spacing w:line="500" w:lineRule="exact"/>
        <w:ind w:firstLine="480" w:firstLineChars="200"/>
        <w:rPr>
          <w:rFonts w:ascii="宋体" w:cs="宋体"/>
          <w:sz w:val="24"/>
        </w:rPr>
      </w:pPr>
      <w:r>
        <w:rPr>
          <w:rFonts w:hint="eastAsia" w:ascii="宋体" w:cs="宋体"/>
          <w:sz w:val="24"/>
        </w:rPr>
        <w:t>（5）《建筑电气工程施工质量验收规范》GB50303-2015 ；</w:t>
      </w:r>
    </w:p>
    <w:p w14:paraId="246D0751">
      <w:pPr>
        <w:spacing w:line="500" w:lineRule="exact"/>
        <w:ind w:firstLine="480" w:firstLineChars="200"/>
        <w:rPr>
          <w:rFonts w:ascii="宋体" w:cs="宋体"/>
          <w:sz w:val="24"/>
        </w:rPr>
      </w:pPr>
      <w:r>
        <w:rPr>
          <w:rFonts w:hint="eastAsia" w:ascii="宋体" w:cs="宋体"/>
          <w:sz w:val="24"/>
        </w:rPr>
        <w:t>（6）《户外广告设施设置技术规范》DB31/283-2015；</w:t>
      </w:r>
    </w:p>
    <w:p w14:paraId="05BE7C5B">
      <w:pPr>
        <w:spacing w:line="500" w:lineRule="exact"/>
        <w:ind w:firstLine="480" w:firstLineChars="200"/>
        <w:rPr>
          <w:rFonts w:ascii="宋体" w:cs="宋体"/>
          <w:sz w:val="24"/>
        </w:rPr>
      </w:pPr>
      <w:r>
        <w:rPr>
          <w:rFonts w:hint="eastAsia" w:ascii="宋体" w:cs="宋体"/>
          <w:sz w:val="24"/>
        </w:rPr>
        <w:t>（7）《户外招牌设置技术规范》DB31/T977-2016；</w:t>
      </w:r>
    </w:p>
    <w:p w14:paraId="77B55EEF">
      <w:pPr>
        <w:spacing w:line="500" w:lineRule="exact"/>
        <w:ind w:firstLine="480" w:firstLineChars="200"/>
        <w:rPr>
          <w:rFonts w:ascii="宋体" w:cs="宋体"/>
          <w:sz w:val="24"/>
        </w:rPr>
      </w:pPr>
      <w:r>
        <w:rPr>
          <w:rFonts w:hint="eastAsia" w:ascii="宋体" w:cs="宋体"/>
          <w:sz w:val="24"/>
        </w:rPr>
        <w:t>（8）《钢结构焊接规范》GB50661-2011；</w:t>
      </w:r>
    </w:p>
    <w:p w14:paraId="0407F9A7">
      <w:pPr>
        <w:spacing w:line="500" w:lineRule="exact"/>
        <w:ind w:firstLine="480" w:firstLineChars="200"/>
        <w:rPr>
          <w:rFonts w:ascii="宋体" w:cs="宋体"/>
          <w:sz w:val="24"/>
        </w:rPr>
      </w:pPr>
      <w:r>
        <w:rPr>
          <w:rFonts w:hint="eastAsia" w:ascii="宋体" w:cs="宋体"/>
          <w:sz w:val="24"/>
        </w:rPr>
        <w:t>（9）《户外广告和招牌设施安全检测要求》DB31/T 1289-2021。</w:t>
      </w:r>
    </w:p>
    <w:p w14:paraId="410134D7">
      <w:pPr>
        <w:spacing w:line="500" w:lineRule="exact"/>
        <w:ind w:firstLine="480" w:firstLineChars="200"/>
        <w:rPr>
          <w:rFonts w:ascii="宋体" w:hAnsi="宋体" w:cs="宋体"/>
          <w:sz w:val="24"/>
        </w:rPr>
      </w:pPr>
      <w:r>
        <w:rPr>
          <w:rFonts w:hint="eastAsia" w:ascii="宋体" w:hAnsi="宋体" w:cs="宋体"/>
          <w:sz w:val="24"/>
        </w:rPr>
        <w:t>（三）采购项目的工作要求</w:t>
      </w:r>
    </w:p>
    <w:p w14:paraId="6654E648">
      <w:pPr>
        <w:spacing w:line="500" w:lineRule="exact"/>
        <w:ind w:firstLine="480" w:firstLineChars="200"/>
        <w:rPr>
          <w:rFonts w:ascii="宋体" w:hAnsi="宋体" w:cs="宋体"/>
          <w:sz w:val="24"/>
        </w:rPr>
      </w:pPr>
      <w:r>
        <w:rPr>
          <w:rFonts w:hint="eastAsia" w:ascii="宋体" w:hAnsi="宋体" w:cs="宋体"/>
          <w:sz w:val="24"/>
        </w:rPr>
        <w:t>1.为使项目按质、按量、按时及有序实施，本项目必须有齐全的评估设备和完善且固定的项目实施小组及项目负责人；人员必须取得持证上岗。</w:t>
      </w:r>
    </w:p>
    <w:p w14:paraId="6213519D">
      <w:pPr>
        <w:spacing w:line="500" w:lineRule="exact"/>
        <w:ind w:firstLine="480" w:firstLineChars="200"/>
        <w:rPr>
          <w:rFonts w:ascii="宋体" w:hAnsi="宋体" w:cs="宋体"/>
          <w:sz w:val="24"/>
        </w:rPr>
      </w:pPr>
      <w:r>
        <w:rPr>
          <w:rFonts w:hint="eastAsia" w:ascii="宋体" w:hAnsi="宋体" w:cs="宋体"/>
          <w:sz w:val="24"/>
        </w:rPr>
        <w:t>2.中标人服务项目期间若发现重大安全隐患的，须及时向采购人报告，并协助采购人消除安全隐患，严防安全事故。认真做好与本项目相关的日常工作，如发现工作中所存在问题，须及时向采购人反映情况，并提出解决的方案。</w:t>
      </w:r>
    </w:p>
    <w:p w14:paraId="1A2EDEBC">
      <w:pPr>
        <w:spacing w:line="500" w:lineRule="exact"/>
        <w:ind w:firstLine="480" w:firstLineChars="200"/>
        <w:rPr>
          <w:rFonts w:ascii="宋体" w:hAnsi="宋体" w:cs="宋体"/>
          <w:sz w:val="24"/>
          <w:highlight w:val="none"/>
        </w:rPr>
      </w:pPr>
      <w:r>
        <w:rPr>
          <w:rFonts w:hint="eastAsia" w:ascii="宋体" w:hAnsi="宋体" w:cs="宋体"/>
          <w:sz w:val="24"/>
        </w:rPr>
        <w:t>3.在采购人发出工作指令或提出疑问时中标人应在</w:t>
      </w:r>
      <w:r>
        <w:rPr>
          <w:rFonts w:hint="eastAsia" w:ascii="宋体" w:hAnsi="宋体" w:cs="宋体"/>
          <w:sz w:val="24"/>
          <w:highlight w:val="none"/>
        </w:rPr>
        <w:t>30分钟内给予答复，如需提供现场服务或现场解决问题的，应在双方约定的时间内到达指定的地点。</w:t>
      </w:r>
    </w:p>
    <w:p w14:paraId="13239EF4">
      <w:pPr>
        <w:spacing w:line="500" w:lineRule="exact"/>
        <w:ind w:firstLine="480" w:firstLineChars="200"/>
        <w:rPr>
          <w:rFonts w:ascii="宋体" w:hAnsi="宋体" w:cs="宋体"/>
          <w:sz w:val="24"/>
          <w:highlight w:val="none"/>
        </w:rPr>
      </w:pPr>
      <w:r>
        <w:rPr>
          <w:rFonts w:hint="eastAsia" w:ascii="宋体" w:hAnsi="宋体" w:cs="宋体"/>
          <w:sz w:val="24"/>
          <w:highlight w:val="none"/>
        </w:rPr>
        <w:t>4.中标人为本项目提供服务过程中产生的一切所有风险和责任由中标人自行承担。</w:t>
      </w:r>
    </w:p>
    <w:p w14:paraId="5895A326">
      <w:pPr>
        <w:spacing w:line="500" w:lineRule="exact"/>
        <w:ind w:firstLine="482" w:firstLineChars="200"/>
        <w:rPr>
          <w:rFonts w:ascii="宋体" w:hAnsi="宋体" w:cs="宋体"/>
          <w:b/>
          <w:bCs/>
          <w:sz w:val="24"/>
          <w:highlight w:val="none"/>
        </w:rPr>
      </w:pPr>
      <w:r>
        <w:rPr>
          <w:rFonts w:hint="eastAsia" w:ascii="宋体" w:hAnsi="宋体" w:cs="宋体"/>
          <w:b/>
          <w:bCs/>
          <w:sz w:val="24"/>
          <w:highlight w:val="none"/>
        </w:rPr>
        <w:t>二、其他要求：</w:t>
      </w:r>
    </w:p>
    <w:p w14:paraId="7FA0BE98">
      <w:pPr>
        <w:spacing w:line="500" w:lineRule="exact"/>
        <w:ind w:firstLine="480" w:firstLineChars="200"/>
        <w:rPr>
          <w:rFonts w:ascii="宋体" w:hAnsi="宋体" w:cs="宋体"/>
          <w:sz w:val="24"/>
          <w:highlight w:val="none"/>
        </w:rPr>
      </w:pPr>
      <w:r>
        <w:rPr>
          <w:rFonts w:hint="eastAsia" w:ascii="宋体" w:hAnsi="宋体" w:cs="宋体"/>
          <w:sz w:val="24"/>
          <w:highlight w:val="none"/>
        </w:rPr>
        <w:t>1、服务期限：一年（自合同签订日起）。</w:t>
      </w:r>
    </w:p>
    <w:p w14:paraId="54BCCC99">
      <w:pPr>
        <w:spacing w:line="500" w:lineRule="exact"/>
        <w:ind w:firstLine="480" w:firstLineChars="200"/>
        <w:rPr>
          <w:rFonts w:ascii="宋体" w:hAnsi="宋体" w:cs="宋体"/>
          <w:sz w:val="24"/>
          <w:highlight w:val="none"/>
        </w:rPr>
      </w:pPr>
      <w:r>
        <w:rPr>
          <w:rFonts w:hint="eastAsia" w:ascii="宋体" w:hAnsi="宋体" w:cs="宋体"/>
          <w:sz w:val="24"/>
          <w:highlight w:val="none"/>
        </w:rPr>
        <w:t>2、投标保证金：免收投标保证金。</w:t>
      </w:r>
    </w:p>
    <w:p w14:paraId="6A01DB54">
      <w:pPr>
        <w:spacing w:line="500" w:lineRule="exact"/>
        <w:ind w:firstLine="482" w:firstLineChars="200"/>
        <w:rPr>
          <w:rFonts w:ascii="宋体" w:hAnsi="宋体" w:cs="宋体"/>
          <w:sz w:val="24"/>
          <w:highlight w:val="none"/>
        </w:rPr>
      </w:pPr>
      <w:r>
        <w:rPr>
          <w:rFonts w:hint="eastAsia" w:ascii="宋体" w:hAnsi="宋体" w:cs="宋体"/>
          <w:b/>
          <w:bCs/>
          <w:sz w:val="24"/>
          <w:highlight w:val="none"/>
        </w:rPr>
        <w:t>三、付款方式：</w:t>
      </w:r>
      <w:r>
        <w:rPr>
          <w:rFonts w:hint="eastAsia" w:ascii="宋体" w:hAnsi="宋体" w:cs="宋体"/>
          <w:sz w:val="24"/>
          <w:highlight w:val="none"/>
        </w:rPr>
        <w:t>待成交供应商提供完整的店招标牌检测报告后支付至结算价（实际检测户数×中标单价）的90%，余款10%待合同完成无遗留问题且服务期满后一次性付清。采购单位如因其它原因需要，对所定区域的作业范围和内容等因素有所增减调整，将提前以书面形式告知成交供应商，并核减或增加相应的费用，成交供应商应无条件响应。</w:t>
      </w:r>
    </w:p>
    <w:p w14:paraId="644805DF">
      <w:pPr>
        <w:spacing w:line="500" w:lineRule="exact"/>
        <w:ind w:firstLine="480" w:firstLineChars="200"/>
        <w:rPr>
          <w:rFonts w:ascii="宋体" w:hAnsi="宋体" w:cs="宋体"/>
          <w:sz w:val="24"/>
          <w:highlight w:val="none"/>
        </w:rPr>
      </w:pPr>
      <w:r>
        <w:rPr>
          <w:rFonts w:hint="eastAsia" w:ascii="宋体" w:hAnsi="宋体" w:cs="宋体"/>
          <w:sz w:val="24"/>
        </w:rPr>
        <w:t>本项目服务费按实结算，服务费</w:t>
      </w:r>
      <w:r>
        <w:rPr>
          <w:rFonts w:hint="eastAsia" w:ascii="宋体" w:hAnsi="宋体" w:cs="宋体"/>
          <w:sz w:val="24"/>
          <w:highlight w:val="none"/>
        </w:rPr>
        <w:t>=中标单价（检测）*抽检测户数。本次项目服务期内最终结算价不超过20万元。</w:t>
      </w:r>
    </w:p>
    <w:p w14:paraId="3A162C7B">
      <w:pPr>
        <w:spacing w:line="500" w:lineRule="exact"/>
        <w:ind w:firstLine="480" w:firstLineChars="200"/>
        <w:rPr>
          <w:rFonts w:ascii="宋体" w:hAnsi="宋体" w:cs="宋体"/>
          <w:sz w:val="24"/>
        </w:rPr>
      </w:pPr>
      <w:r>
        <w:rPr>
          <w:rFonts w:hint="eastAsia" w:ascii="宋体" w:hAnsi="宋体" w:cs="宋体"/>
          <w:sz w:val="24"/>
          <w:highlight w:val="none"/>
        </w:rPr>
        <w:t>注：付款前中标(成交)人需向采购</w:t>
      </w:r>
      <w:r>
        <w:rPr>
          <w:rFonts w:hint="eastAsia" w:ascii="宋体" w:hAnsi="宋体" w:cs="宋体"/>
          <w:sz w:val="24"/>
        </w:rPr>
        <w:t>人提供正式发票。</w:t>
      </w:r>
    </w:p>
    <w:p w14:paraId="7FB536CF">
      <w:pPr>
        <w:spacing w:line="500" w:lineRule="exact"/>
        <w:ind w:firstLine="482" w:firstLineChars="200"/>
        <w:rPr>
          <w:rFonts w:ascii="宋体" w:hAnsi="宋体" w:cs="宋体"/>
          <w:b/>
          <w:bCs/>
          <w:sz w:val="24"/>
        </w:rPr>
      </w:pPr>
      <w:r>
        <w:rPr>
          <w:rFonts w:hint="eastAsia" w:ascii="宋体" w:hAnsi="宋体" w:cs="宋体"/>
          <w:b/>
          <w:bCs/>
          <w:sz w:val="24"/>
        </w:rPr>
        <w:t>四、履约保证金：</w:t>
      </w:r>
    </w:p>
    <w:p w14:paraId="66049204">
      <w:pPr>
        <w:spacing w:line="500" w:lineRule="exact"/>
        <w:ind w:firstLine="480" w:firstLineChars="200"/>
        <w:rPr>
          <w:rFonts w:ascii="宋体" w:hAnsi="宋体" w:cs="宋体"/>
          <w:sz w:val="24"/>
        </w:rPr>
      </w:pPr>
      <w:r>
        <w:rPr>
          <w:rFonts w:hint="eastAsia" w:ascii="宋体" w:hAnsi="宋体" w:cs="宋体"/>
          <w:sz w:val="24"/>
        </w:rPr>
        <w:t>①本项目成交后的履约保证金为</w:t>
      </w:r>
      <w:r>
        <w:rPr>
          <w:rFonts w:hint="eastAsia" w:ascii="宋体" w:hAnsi="宋体" w:cs="宋体"/>
          <w:sz w:val="24"/>
          <w:lang w:val="en-US" w:eastAsia="zh-CN"/>
        </w:rPr>
        <w:t>壹万元整</w:t>
      </w:r>
      <w:r>
        <w:rPr>
          <w:rFonts w:hint="eastAsia" w:ascii="宋体" w:hAnsi="宋体" w:cs="宋体"/>
          <w:sz w:val="24"/>
        </w:rPr>
        <w:t>，成交供应商的履约保证金须在成交通知书发出之日起至合同签订前汇入采购单位账户，成交供应商凭成交通知书与采购单位签订合同。超期或未有协商，则视为自动放弃成交资格。</w:t>
      </w:r>
    </w:p>
    <w:p w14:paraId="5862962B">
      <w:pPr>
        <w:spacing w:line="500" w:lineRule="exact"/>
        <w:ind w:firstLine="480" w:firstLineChars="200"/>
        <w:rPr>
          <w:rFonts w:ascii="宋体" w:hAnsi="宋体" w:cs="宋体"/>
          <w:sz w:val="24"/>
        </w:rPr>
      </w:pPr>
      <w:r>
        <w:rPr>
          <w:rFonts w:hint="eastAsia" w:ascii="宋体" w:hAnsi="宋体" w:cs="宋体"/>
          <w:sz w:val="24"/>
        </w:rPr>
        <w:t>②成交供应商全部履约合同义务，经采购单位验收合格（提供符合规范的检测报告）无质量、进度等问题的，采购人在验收合格（提供符合规范的检测报告）后一次性无息退还履约保证金。</w:t>
      </w:r>
    </w:p>
    <w:p w14:paraId="5927CCFB">
      <w:pPr>
        <w:spacing w:line="500" w:lineRule="exact"/>
        <w:ind w:firstLine="480" w:firstLineChars="200"/>
        <w:rPr>
          <w:rFonts w:ascii="宋体" w:hAnsi="宋体" w:cs="宋体"/>
          <w:sz w:val="24"/>
        </w:rPr>
      </w:pPr>
      <w:r>
        <w:rPr>
          <w:rFonts w:hint="eastAsia" w:ascii="宋体" w:hAnsi="宋体" w:cs="宋体"/>
          <w:sz w:val="24"/>
        </w:rPr>
        <w:t>③发生以下情况的，履约保证金不予退还或部分退还：</w:t>
      </w:r>
    </w:p>
    <w:p w14:paraId="66EF9F75">
      <w:pPr>
        <w:spacing w:line="500" w:lineRule="exact"/>
        <w:ind w:firstLine="480" w:firstLineChars="200"/>
        <w:rPr>
          <w:rFonts w:ascii="宋体" w:hAnsi="宋体" w:cs="宋体"/>
          <w:sz w:val="24"/>
        </w:rPr>
      </w:pPr>
      <w:r>
        <w:rPr>
          <w:rFonts w:hint="eastAsia" w:ascii="宋体" w:hAnsi="宋体" w:cs="宋体"/>
          <w:sz w:val="24"/>
        </w:rPr>
        <w:t>a.签订合同后，成交供应商不履行合同义务的，采购单位有权全额扣除履约保证金，全额不予退还，同时采购单位亦有权终止合同，成交供应商还须承担相应的法律赔偿责任。</w:t>
      </w:r>
    </w:p>
    <w:p w14:paraId="11C54963">
      <w:pPr>
        <w:spacing w:line="500" w:lineRule="exact"/>
        <w:ind w:firstLine="480" w:firstLineChars="200"/>
        <w:rPr>
          <w:rFonts w:ascii="宋体" w:hAnsi="宋体" w:cs="宋体"/>
          <w:sz w:val="24"/>
        </w:rPr>
      </w:pPr>
      <w:r>
        <w:rPr>
          <w:rFonts w:hint="eastAsia" w:ascii="宋体" w:hAnsi="宋体" w:cs="宋体"/>
          <w:sz w:val="24"/>
        </w:rPr>
        <w:t>b.成交供应商在履约过程中发生违约行为，给采购单位造成损失的，采购单位有权在成交供应商缴纳的履约保证金中予以扣款，以弥补采购单位经济损失，不足的部分成交供应商另外补齐。</w:t>
      </w:r>
    </w:p>
    <w:p w14:paraId="589D146F">
      <w:pPr>
        <w:spacing w:line="500" w:lineRule="exact"/>
        <w:ind w:firstLine="482" w:firstLineChars="200"/>
        <w:rPr>
          <w:rFonts w:ascii="宋体" w:hAnsi="宋体" w:cs="宋体"/>
          <w:b/>
          <w:bCs/>
          <w:sz w:val="24"/>
        </w:rPr>
        <w:sectPr>
          <w:pgSz w:w="11907" w:h="16839"/>
          <w:pgMar w:top="1440" w:right="1800" w:bottom="1440" w:left="1800" w:header="720" w:footer="737" w:gutter="0"/>
          <w:cols w:space="720" w:num="1"/>
          <w:docGrid w:linePitch="286" w:charSpace="0"/>
        </w:sectPr>
      </w:pPr>
    </w:p>
    <w:p w14:paraId="1D25CC61">
      <w:pPr>
        <w:pStyle w:val="3"/>
        <w:ind w:firstLine="0" w:firstLineChars="0"/>
        <w:jc w:val="both"/>
        <w:rPr>
          <w:highlight w:val="none"/>
        </w:rPr>
      </w:pPr>
      <w:r>
        <w:rPr>
          <w:rFonts w:hint="eastAsia" w:ascii="宋体" w:hAnsi="宋体" w:eastAsia="宋体"/>
          <w:b/>
          <w:sz w:val="24"/>
          <w:szCs w:val="24"/>
          <w:highlight w:val="none"/>
        </w:rPr>
        <w:t>五、合同条款：</w:t>
      </w:r>
    </w:p>
    <w:p w14:paraId="4E1E67D9">
      <w:pPr>
        <w:keepNext/>
        <w:keepLines/>
        <w:tabs>
          <w:tab w:val="left" w:pos="0"/>
        </w:tabs>
        <w:autoSpaceDE w:val="0"/>
        <w:autoSpaceDN w:val="0"/>
        <w:adjustRightInd w:val="0"/>
        <w:spacing w:line="360" w:lineRule="auto"/>
        <w:jc w:val="center"/>
        <w:outlineLvl w:val="0"/>
        <w:rPr>
          <w:rFonts w:ascii="宋体" w:hAnsi="宋体" w:cs="宋体"/>
          <w:b/>
          <w:bCs/>
          <w:kern w:val="44"/>
          <w:sz w:val="52"/>
          <w:szCs w:val="52"/>
        </w:rPr>
      </w:pPr>
    </w:p>
    <w:p w14:paraId="7F82DC06">
      <w:pPr>
        <w:keepNext/>
        <w:keepLines/>
        <w:tabs>
          <w:tab w:val="left" w:pos="0"/>
        </w:tabs>
        <w:autoSpaceDE w:val="0"/>
        <w:autoSpaceDN w:val="0"/>
        <w:adjustRightInd w:val="0"/>
        <w:spacing w:line="360" w:lineRule="auto"/>
        <w:jc w:val="center"/>
        <w:outlineLvl w:val="0"/>
        <w:rPr>
          <w:rFonts w:ascii="宋体" w:hAnsi="宋体" w:cs="宋体"/>
          <w:b/>
          <w:bCs/>
          <w:kern w:val="44"/>
          <w:sz w:val="52"/>
          <w:szCs w:val="52"/>
        </w:rPr>
      </w:pPr>
      <w:r>
        <w:rPr>
          <w:rFonts w:hint="eastAsia" w:ascii="宋体" w:hAnsi="宋体" w:cs="宋体"/>
          <w:b/>
          <w:bCs/>
          <w:kern w:val="44"/>
          <w:sz w:val="52"/>
          <w:szCs w:val="52"/>
        </w:rPr>
        <w:t>南通市崇川区城市管理局户外店招标牌安全风险评估服务项目合同书</w:t>
      </w:r>
    </w:p>
    <w:p w14:paraId="5A3FDD78">
      <w:pPr>
        <w:jc w:val="center"/>
        <w:rPr>
          <w:rFonts w:ascii="宋体" w:hAnsi="宋体" w:cs="宋体"/>
          <w:b/>
          <w:sz w:val="44"/>
          <w:szCs w:val="32"/>
        </w:rPr>
      </w:pPr>
    </w:p>
    <w:p w14:paraId="5F203835">
      <w:pPr>
        <w:ind w:firstLine="480"/>
        <w:rPr>
          <w:rFonts w:ascii="宋体" w:hAnsi="宋体" w:cs="宋体"/>
        </w:rPr>
      </w:pPr>
    </w:p>
    <w:p w14:paraId="72192D81">
      <w:pPr>
        <w:ind w:firstLine="480"/>
        <w:rPr>
          <w:rFonts w:ascii="宋体" w:hAnsi="宋体" w:cs="宋体"/>
        </w:rPr>
      </w:pPr>
    </w:p>
    <w:p w14:paraId="4AF3AF6A">
      <w:pPr>
        <w:pStyle w:val="6"/>
        <w:rPr>
          <w:rFonts w:ascii="宋体" w:hAnsi="宋体" w:cs="宋体"/>
        </w:rPr>
      </w:pPr>
    </w:p>
    <w:p w14:paraId="019D5199">
      <w:pPr>
        <w:rPr>
          <w:rFonts w:ascii="宋体" w:hAnsi="宋体" w:cs="宋体"/>
        </w:rPr>
      </w:pPr>
    </w:p>
    <w:p w14:paraId="0B501721">
      <w:pPr>
        <w:pStyle w:val="6"/>
        <w:rPr>
          <w:rFonts w:ascii="宋体" w:hAnsi="宋体" w:cs="宋体"/>
        </w:rPr>
      </w:pPr>
    </w:p>
    <w:p w14:paraId="1A93F77A">
      <w:pPr>
        <w:rPr>
          <w:rFonts w:ascii="宋体" w:hAnsi="宋体" w:cs="宋体"/>
        </w:rPr>
      </w:pPr>
    </w:p>
    <w:p w14:paraId="3989C1EC">
      <w:pPr>
        <w:pStyle w:val="6"/>
        <w:rPr>
          <w:rFonts w:ascii="宋体" w:hAnsi="宋体" w:cs="宋体"/>
        </w:rPr>
      </w:pPr>
    </w:p>
    <w:p w14:paraId="74E15E93">
      <w:pPr>
        <w:rPr>
          <w:rFonts w:ascii="宋体" w:hAnsi="宋体" w:cs="宋体"/>
        </w:rPr>
      </w:pPr>
    </w:p>
    <w:p w14:paraId="04F61BDA">
      <w:pPr>
        <w:ind w:firstLine="480"/>
        <w:rPr>
          <w:rFonts w:ascii="宋体" w:hAnsi="宋体" w:cs="宋体"/>
        </w:rPr>
      </w:pPr>
    </w:p>
    <w:p w14:paraId="709723C7">
      <w:pPr>
        <w:ind w:firstLine="480"/>
        <w:rPr>
          <w:rFonts w:ascii="宋体" w:hAnsi="宋体" w:cs="宋体"/>
        </w:rPr>
      </w:pPr>
    </w:p>
    <w:p w14:paraId="71448239">
      <w:pPr>
        <w:ind w:firstLine="480"/>
        <w:rPr>
          <w:rFonts w:ascii="宋体" w:hAnsi="宋体" w:cs="宋体"/>
        </w:rPr>
      </w:pPr>
    </w:p>
    <w:p w14:paraId="6C44CB80">
      <w:pPr>
        <w:ind w:firstLine="480"/>
        <w:rPr>
          <w:rFonts w:ascii="宋体" w:hAnsi="宋体" w:cs="宋体"/>
        </w:rPr>
      </w:pPr>
    </w:p>
    <w:p w14:paraId="263FE503">
      <w:pPr>
        <w:adjustRightInd w:val="0"/>
        <w:snapToGrid w:val="0"/>
        <w:spacing w:line="360" w:lineRule="auto"/>
        <w:ind w:firstLine="1205"/>
        <w:rPr>
          <w:rFonts w:ascii="宋体" w:hAnsi="宋体" w:cs="宋体"/>
          <w:b/>
          <w:sz w:val="30"/>
          <w:szCs w:val="30"/>
        </w:rPr>
      </w:pPr>
    </w:p>
    <w:p w14:paraId="7C417323">
      <w:pPr>
        <w:adjustRightInd w:val="0"/>
        <w:snapToGrid w:val="0"/>
        <w:spacing w:line="360" w:lineRule="auto"/>
        <w:ind w:firstLine="1205"/>
        <w:rPr>
          <w:rFonts w:ascii="宋体" w:hAnsi="宋体" w:cs="宋体"/>
          <w:b/>
          <w:sz w:val="30"/>
          <w:szCs w:val="30"/>
        </w:rPr>
      </w:pPr>
    </w:p>
    <w:p w14:paraId="75EAF7C1">
      <w:pPr>
        <w:adjustRightInd w:val="0"/>
        <w:snapToGrid w:val="0"/>
        <w:spacing w:line="360" w:lineRule="auto"/>
        <w:ind w:firstLine="1205"/>
        <w:rPr>
          <w:rFonts w:ascii="宋体" w:hAnsi="宋体" w:cs="宋体"/>
          <w:b/>
          <w:sz w:val="36"/>
          <w:szCs w:val="36"/>
        </w:rPr>
      </w:pPr>
      <w:r>
        <w:rPr>
          <w:rFonts w:hint="eastAsia" w:ascii="宋体" w:hAnsi="宋体" w:cs="宋体"/>
          <w:b/>
          <w:sz w:val="36"/>
          <w:szCs w:val="36"/>
        </w:rPr>
        <w:t xml:space="preserve">甲方：南通市崇川区城市管理局    </w:t>
      </w:r>
    </w:p>
    <w:p w14:paraId="522F92A2">
      <w:pPr>
        <w:adjustRightInd w:val="0"/>
        <w:snapToGrid w:val="0"/>
        <w:spacing w:line="360" w:lineRule="auto"/>
        <w:ind w:firstLine="1205"/>
        <w:rPr>
          <w:rFonts w:ascii="宋体" w:hAnsi="宋体" w:cs="宋体"/>
          <w:b/>
          <w:sz w:val="36"/>
          <w:szCs w:val="36"/>
        </w:rPr>
      </w:pPr>
      <w:r>
        <w:rPr>
          <w:rFonts w:hint="eastAsia" w:ascii="宋体" w:hAnsi="宋体" w:cs="宋体"/>
          <w:b/>
          <w:sz w:val="36"/>
          <w:szCs w:val="36"/>
        </w:rPr>
        <w:t xml:space="preserve">乙方：     </w:t>
      </w:r>
    </w:p>
    <w:p w14:paraId="061943DF">
      <w:pPr>
        <w:adjustRightInd w:val="0"/>
        <w:snapToGrid w:val="0"/>
        <w:spacing w:line="360" w:lineRule="auto"/>
        <w:ind w:firstLine="2530" w:firstLineChars="700"/>
        <w:rPr>
          <w:rFonts w:ascii="宋体" w:hAnsi="宋体" w:cs="宋体"/>
          <w:b/>
          <w:sz w:val="36"/>
          <w:szCs w:val="36"/>
        </w:rPr>
        <w:sectPr>
          <w:pgSz w:w="11906" w:h="16838"/>
          <w:pgMar w:top="1463" w:right="1417" w:bottom="1463" w:left="1417" w:header="851" w:footer="992" w:gutter="0"/>
          <w:cols w:space="720" w:num="1"/>
          <w:docGrid w:linePitch="360" w:charSpace="0"/>
        </w:sectPr>
      </w:pPr>
      <w:r>
        <w:rPr>
          <w:rFonts w:hint="eastAsia" w:ascii="宋体" w:hAnsi="宋体" w:cs="宋体"/>
          <w:b/>
          <w:sz w:val="36"/>
          <w:szCs w:val="36"/>
        </w:rPr>
        <w:t>二〇二五年   月</w:t>
      </w:r>
    </w:p>
    <w:p w14:paraId="124D6E86">
      <w:pPr>
        <w:adjustRightInd w:val="0"/>
        <w:snapToGrid w:val="0"/>
        <w:spacing w:line="360" w:lineRule="auto"/>
        <w:ind w:firstLine="480" w:firstLineChars="200"/>
        <w:rPr>
          <w:rFonts w:ascii="宋体" w:hAnsi="宋体" w:cs="宋体"/>
          <w:sz w:val="24"/>
        </w:rPr>
      </w:pPr>
      <w:r>
        <w:rPr>
          <w:rFonts w:hint="eastAsia" w:ascii="宋体" w:hAnsi="宋体" w:cs="宋体"/>
          <w:sz w:val="24"/>
        </w:rPr>
        <w:t>甲方：</w:t>
      </w:r>
      <w:r>
        <w:rPr>
          <w:rFonts w:hint="eastAsia" w:ascii="宋体" w:hAnsi="宋体" w:cs="宋体"/>
          <w:b/>
          <w:bCs/>
          <w:sz w:val="24"/>
        </w:rPr>
        <w:t xml:space="preserve"> </w:t>
      </w:r>
      <w:r>
        <w:rPr>
          <w:rFonts w:hint="eastAsia" w:ascii="宋体" w:hAnsi="宋体" w:cs="宋体"/>
          <w:sz w:val="24"/>
        </w:rPr>
        <w:t xml:space="preserve">       </w:t>
      </w:r>
    </w:p>
    <w:p w14:paraId="3F95BA1C">
      <w:pPr>
        <w:adjustRightInd w:val="0"/>
        <w:snapToGrid w:val="0"/>
        <w:spacing w:line="360" w:lineRule="auto"/>
        <w:ind w:firstLine="480" w:firstLineChars="200"/>
        <w:rPr>
          <w:rFonts w:ascii="宋体" w:hAnsi="宋体" w:cs="宋体"/>
          <w:sz w:val="24"/>
        </w:rPr>
      </w:pPr>
      <w:r>
        <w:rPr>
          <w:rFonts w:hint="eastAsia" w:ascii="宋体" w:hAnsi="宋体" w:cs="宋体"/>
          <w:sz w:val="24"/>
        </w:rPr>
        <w:t>乙方：</w:t>
      </w:r>
      <w:r>
        <w:rPr>
          <w:rFonts w:hint="eastAsia" w:ascii="宋体" w:hAnsi="宋体" w:cs="宋体"/>
          <w:b/>
          <w:bCs/>
          <w:sz w:val="24"/>
        </w:rPr>
        <w:t xml:space="preserve"> </w:t>
      </w:r>
    </w:p>
    <w:p w14:paraId="6E119D2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甲、乙双方根据依照《中华人民共和国政府采购法》、《中华人民共和国民法典》及有关法律、法规，遵循平等、自愿、公平和诚实信用的原则，双方协商一致，订立以下合同：</w:t>
      </w:r>
    </w:p>
    <w:p w14:paraId="34C80C2F">
      <w:pPr>
        <w:adjustRightInd w:val="0"/>
        <w:snapToGrid w:val="0"/>
        <w:spacing w:line="360" w:lineRule="auto"/>
        <w:ind w:firstLine="482" w:firstLineChars="200"/>
        <w:rPr>
          <w:rFonts w:ascii="宋体" w:hAnsi="宋体" w:cs="宋体"/>
          <w:b/>
          <w:sz w:val="24"/>
        </w:rPr>
      </w:pPr>
      <w:r>
        <w:rPr>
          <w:rFonts w:hint="eastAsia" w:ascii="宋体" w:hAnsi="宋体" w:cs="宋体"/>
          <w:b/>
          <w:sz w:val="24"/>
        </w:rPr>
        <w:t>第一章 服务内容及要求</w:t>
      </w:r>
    </w:p>
    <w:p w14:paraId="79884781">
      <w:pPr>
        <w:adjustRightInd w:val="0"/>
        <w:snapToGrid w:val="0"/>
        <w:spacing w:line="360" w:lineRule="auto"/>
        <w:ind w:firstLine="480" w:firstLineChars="200"/>
        <w:rPr>
          <w:rFonts w:ascii="宋体" w:cs="宋体"/>
          <w:sz w:val="24"/>
        </w:rPr>
      </w:pPr>
      <w:r>
        <w:rPr>
          <w:rFonts w:hint="eastAsia" w:ascii="宋体" w:cs="宋体"/>
          <w:sz w:val="24"/>
        </w:rPr>
        <w:t>根据《城市户外广告和招牌设施技术标准》（CJJ/T149-2021）和《城镇户外广告和店招标牌设施设置技术标准》（DB32/T4781-2024）等相关规定，开展以下工作：</w:t>
      </w:r>
    </w:p>
    <w:p w14:paraId="7C2C174C">
      <w:pPr>
        <w:spacing w:line="500" w:lineRule="exact"/>
        <w:ind w:firstLine="480" w:firstLineChars="200"/>
        <w:rPr>
          <w:rFonts w:ascii="宋体" w:cs="宋体"/>
          <w:sz w:val="24"/>
        </w:rPr>
      </w:pPr>
      <w:r>
        <w:rPr>
          <w:rFonts w:hint="eastAsia" w:ascii="宋体" w:cs="宋体"/>
          <w:sz w:val="24"/>
          <w:lang w:eastAsia="zh-CN"/>
        </w:rPr>
        <w:t>根据采购人提供的店招标牌清单检测出具检测报告，并负责提供整改意见。</w:t>
      </w:r>
    </w:p>
    <w:p w14:paraId="4286AD21">
      <w:pPr>
        <w:spacing w:line="500" w:lineRule="exact"/>
        <w:ind w:firstLine="480" w:firstLineChars="200"/>
        <w:rPr>
          <w:rFonts w:ascii="宋体" w:cs="宋体"/>
          <w:sz w:val="24"/>
        </w:rPr>
      </w:pPr>
      <w:r>
        <w:rPr>
          <w:rFonts w:hint="eastAsia" w:ascii="宋体" w:cs="宋体"/>
          <w:sz w:val="24"/>
        </w:rPr>
        <w:t>1.提供安全风险评估检测报告，具体包括但不限于：</w:t>
      </w:r>
    </w:p>
    <w:p w14:paraId="43ACA1D5">
      <w:pPr>
        <w:spacing w:line="500" w:lineRule="exact"/>
        <w:ind w:firstLine="480" w:firstLineChars="200"/>
        <w:rPr>
          <w:rFonts w:ascii="宋体" w:cs="宋体"/>
          <w:sz w:val="24"/>
        </w:rPr>
      </w:pPr>
      <w:r>
        <w:rPr>
          <w:rFonts w:hint="eastAsia" w:ascii="宋体" w:cs="宋体"/>
          <w:sz w:val="24"/>
        </w:rPr>
        <w:t>（1）安全检测包括强度、刚度和稳定性；</w:t>
      </w:r>
    </w:p>
    <w:p w14:paraId="50C92FDC">
      <w:pPr>
        <w:spacing w:line="500" w:lineRule="exact"/>
        <w:ind w:firstLine="480" w:firstLineChars="200"/>
        <w:rPr>
          <w:rFonts w:ascii="宋体" w:cs="宋体"/>
          <w:sz w:val="24"/>
        </w:rPr>
      </w:pPr>
      <w:r>
        <w:rPr>
          <w:rFonts w:hint="eastAsia" w:ascii="宋体" w:cs="宋体"/>
          <w:sz w:val="24"/>
        </w:rPr>
        <w:t>（2）钢结构防腐及外观节点连接，重点是结构强度、刚度、结构节点、连接焊缝、螺栓和地脚螺栓；</w:t>
      </w:r>
    </w:p>
    <w:p w14:paraId="513DEFB3">
      <w:pPr>
        <w:spacing w:line="500" w:lineRule="exact"/>
        <w:ind w:firstLine="480" w:firstLineChars="200"/>
        <w:rPr>
          <w:rFonts w:ascii="宋体" w:cs="宋体"/>
          <w:sz w:val="24"/>
        </w:rPr>
      </w:pPr>
      <w:r>
        <w:rPr>
          <w:rFonts w:hint="eastAsia" w:ascii="宋体" w:cs="宋体"/>
          <w:sz w:val="24"/>
        </w:rPr>
        <w:t>（3）基础和连接部件，重点是牢固性能；</w:t>
      </w:r>
    </w:p>
    <w:p w14:paraId="66B85455">
      <w:pPr>
        <w:spacing w:line="500" w:lineRule="exact"/>
        <w:ind w:firstLine="480" w:firstLineChars="200"/>
        <w:rPr>
          <w:rFonts w:hint="eastAsia" w:ascii="宋体" w:cs="宋体"/>
          <w:sz w:val="24"/>
          <w:lang w:eastAsia="zh-CN"/>
        </w:rPr>
      </w:pPr>
      <w:r>
        <w:rPr>
          <w:rFonts w:hint="eastAsia" w:ascii="宋体" w:cs="宋体"/>
          <w:sz w:val="24"/>
        </w:rPr>
        <w:t>（4）电路、电器和避雷设施，重点是电源、配电箱、 灯具、导线连接安全性检查，避雷设施和电器安全保险设置，确保正常安全使用</w:t>
      </w:r>
      <w:r>
        <w:rPr>
          <w:rFonts w:hint="eastAsia" w:ascii="宋体" w:cs="宋体"/>
          <w:sz w:val="24"/>
          <w:lang w:eastAsia="zh-CN"/>
        </w:rPr>
        <w:t>；</w:t>
      </w:r>
    </w:p>
    <w:p w14:paraId="42642CF5">
      <w:pPr>
        <w:spacing w:line="500" w:lineRule="exact"/>
        <w:ind w:firstLine="480" w:firstLineChars="200"/>
        <w:rPr>
          <w:rFonts w:ascii="宋体" w:cs="宋体"/>
          <w:sz w:val="24"/>
        </w:rPr>
      </w:pPr>
      <w:r>
        <w:rPr>
          <w:rFonts w:hint="eastAsia" w:ascii="宋体" w:cs="宋体"/>
          <w:sz w:val="24"/>
        </w:rPr>
        <w:t>（5）出于检测需要，对金属结构的店招店牌设施设置可开启式检修口。原则上开口尺寸不小于6</w:t>
      </w:r>
      <w:r>
        <w:rPr>
          <w:rFonts w:ascii="宋体" w:cs="宋体"/>
          <w:sz w:val="24"/>
        </w:rPr>
        <w:t>0</w:t>
      </w:r>
      <w:r>
        <w:rPr>
          <w:rFonts w:hint="eastAsia" w:ascii="宋体" w:cs="宋体"/>
          <w:sz w:val="24"/>
        </w:rPr>
        <w:t>cm</w:t>
      </w:r>
      <w:r>
        <w:rPr>
          <w:rFonts w:hint="eastAsia" w:ascii="等线" w:hAnsi="等线" w:eastAsia="等线" w:cs="宋体"/>
          <w:sz w:val="24"/>
        </w:rPr>
        <w:t>◊</w:t>
      </w:r>
      <w:r>
        <w:rPr>
          <w:rFonts w:ascii="宋体" w:cs="宋体"/>
          <w:sz w:val="24"/>
        </w:rPr>
        <w:t>60</w:t>
      </w:r>
      <w:r>
        <w:rPr>
          <w:rFonts w:hint="eastAsia" w:ascii="宋体" w:cs="宋体"/>
          <w:sz w:val="24"/>
        </w:rPr>
        <w:t xml:space="preserve"> cm（或直径6</w:t>
      </w:r>
      <w:r>
        <w:rPr>
          <w:rFonts w:ascii="宋体" w:cs="宋体"/>
          <w:sz w:val="24"/>
        </w:rPr>
        <w:t>0</w:t>
      </w:r>
      <w:r>
        <w:rPr>
          <w:rFonts w:hint="eastAsia" w:ascii="宋体" w:cs="宋体"/>
          <w:sz w:val="24"/>
        </w:rPr>
        <w:t xml:space="preserve"> cm的圆形）；</w:t>
      </w:r>
    </w:p>
    <w:p w14:paraId="31F68504">
      <w:pPr>
        <w:spacing w:line="500" w:lineRule="exact"/>
        <w:ind w:firstLine="480" w:firstLineChars="200"/>
        <w:rPr>
          <w:rFonts w:ascii="宋体" w:hAnsi="宋体" w:cs="宋体"/>
          <w:b/>
          <w:bCs/>
          <w:sz w:val="24"/>
          <w:highlight w:val="yellow"/>
        </w:rPr>
      </w:pPr>
      <w:r>
        <w:rPr>
          <w:rFonts w:hint="eastAsia" w:ascii="宋体" w:cs="宋体"/>
          <w:sz w:val="24"/>
        </w:rPr>
        <w:t>（</w:t>
      </w:r>
      <w:r>
        <w:rPr>
          <w:rFonts w:ascii="宋体" w:cs="宋体"/>
          <w:sz w:val="24"/>
        </w:rPr>
        <w:t>6</w:t>
      </w:r>
      <w:r>
        <w:rPr>
          <w:rFonts w:hint="eastAsia" w:ascii="宋体" w:cs="宋体"/>
          <w:sz w:val="24"/>
        </w:rPr>
        <w:t>）其它安全事项，要检测后恢复招牌设施原貌。</w:t>
      </w:r>
    </w:p>
    <w:p w14:paraId="5959C903">
      <w:pPr>
        <w:adjustRightInd w:val="0"/>
        <w:snapToGrid w:val="0"/>
        <w:spacing w:line="360" w:lineRule="auto"/>
        <w:ind w:firstLine="482" w:firstLineChars="200"/>
        <w:rPr>
          <w:rFonts w:ascii="宋体" w:hAnsi="宋体" w:cs="宋体"/>
          <w:b/>
          <w:sz w:val="24"/>
        </w:rPr>
      </w:pPr>
      <w:r>
        <w:rPr>
          <w:rFonts w:hint="eastAsia" w:ascii="宋体" w:hAnsi="宋体" w:cs="宋体"/>
          <w:b/>
          <w:sz w:val="24"/>
        </w:rPr>
        <w:t>第二章 乙方应按下列要求完成服务工作：</w:t>
      </w:r>
    </w:p>
    <w:p w14:paraId="64815AC5">
      <w:pPr>
        <w:pStyle w:val="16"/>
        <w:spacing w:line="360" w:lineRule="auto"/>
        <w:ind w:firstLine="480" w:firstLineChars="200"/>
        <w:contextualSpacing/>
        <w:rPr>
          <w:rStyle w:val="17"/>
          <w:rFonts w:ascii="宋体" w:eastAsia="宋体" w:cs="宋体"/>
          <w:kern w:val="0"/>
          <w:sz w:val="24"/>
          <w:szCs w:val="24"/>
          <w:highlight w:val="none"/>
        </w:rPr>
      </w:pPr>
      <w:r>
        <w:rPr>
          <w:rFonts w:hint="eastAsia" w:ascii="宋体" w:eastAsia="宋体" w:cs="宋体"/>
          <w:bCs/>
          <w:sz w:val="24"/>
          <w:szCs w:val="24"/>
          <w:highlight w:val="none"/>
        </w:rPr>
        <w:t>1、</w:t>
      </w:r>
      <w:r>
        <w:rPr>
          <w:rFonts w:hint="eastAsia" w:ascii="宋体" w:eastAsia="宋体" w:cs="宋体"/>
          <w:sz w:val="24"/>
          <w:szCs w:val="24"/>
          <w:highlight w:val="none"/>
        </w:rPr>
        <w:t>服务期限：一年（自合同签订日起）。</w:t>
      </w:r>
    </w:p>
    <w:p w14:paraId="518419DF">
      <w:pPr>
        <w:adjustRightInd w:val="0"/>
        <w:snapToGrid w:val="0"/>
        <w:spacing w:line="360" w:lineRule="auto"/>
        <w:ind w:firstLine="480" w:firstLineChars="200"/>
        <w:rPr>
          <w:rFonts w:ascii="宋体" w:cs="宋体"/>
          <w:sz w:val="24"/>
          <w:highlight w:val="none"/>
        </w:rPr>
      </w:pPr>
      <w:r>
        <w:rPr>
          <w:rFonts w:hint="eastAsia" w:ascii="宋体" w:cs="宋体"/>
          <w:sz w:val="24"/>
          <w:highlight w:val="none"/>
        </w:rPr>
        <w:t>2、为使项目按质、按量、按时及有序实施，本项目必须有齐全的评估设备和完善且固定的项目实施小组及项目负责人；人员必须取得持证上岗。</w:t>
      </w:r>
    </w:p>
    <w:p w14:paraId="53E165D7">
      <w:pPr>
        <w:adjustRightInd w:val="0"/>
        <w:snapToGrid w:val="0"/>
        <w:spacing w:line="360" w:lineRule="auto"/>
        <w:ind w:firstLine="480" w:firstLineChars="200"/>
        <w:rPr>
          <w:rFonts w:ascii="宋体" w:cs="宋体"/>
          <w:sz w:val="24"/>
          <w:highlight w:val="none"/>
        </w:rPr>
      </w:pPr>
      <w:r>
        <w:rPr>
          <w:rFonts w:hint="eastAsia" w:ascii="宋体" w:cs="宋体"/>
          <w:sz w:val="24"/>
          <w:highlight w:val="none"/>
        </w:rPr>
        <w:t>3、中标人服务项目期间若发现重大安全隐患的，须及时向采购人报告，并协助采购人消除安全隐患，严防安全事故。认真做好与本项目相关的日常工作，如发现工作中所存在问题，须及时向采购人反映情况，并提出解决的方案。</w:t>
      </w:r>
    </w:p>
    <w:p w14:paraId="090CBD2E">
      <w:pPr>
        <w:adjustRightInd w:val="0"/>
        <w:snapToGrid w:val="0"/>
        <w:spacing w:line="360" w:lineRule="auto"/>
        <w:ind w:firstLine="480" w:firstLineChars="200"/>
        <w:rPr>
          <w:rFonts w:ascii="宋体" w:cs="宋体"/>
          <w:sz w:val="24"/>
          <w:highlight w:val="none"/>
        </w:rPr>
      </w:pPr>
      <w:r>
        <w:rPr>
          <w:rFonts w:hint="eastAsia" w:ascii="宋体" w:cs="宋体"/>
          <w:sz w:val="24"/>
          <w:highlight w:val="none"/>
        </w:rPr>
        <w:t>4、在采购人发出工作指令或提出疑问时中标人应在30分钟内给予答复，如需提供现场服务或现场解决问题的，应在双方约定的时间内到达指定的地点。</w:t>
      </w:r>
    </w:p>
    <w:p w14:paraId="48C2398B">
      <w:pPr>
        <w:adjustRightInd w:val="0"/>
        <w:snapToGrid w:val="0"/>
        <w:spacing w:line="360" w:lineRule="auto"/>
        <w:ind w:firstLine="480" w:firstLineChars="200"/>
        <w:rPr>
          <w:rFonts w:ascii="宋体" w:cs="宋体"/>
          <w:sz w:val="24"/>
          <w:highlight w:val="none"/>
        </w:rPr>
      </w:pPr>
      <w:r>
        <w:rPr>
          <w:rFonts w:hint="eastAsia" w:ascii="宋体" w:cs="宋体"/>
          <w:sz w:val="24"/>
          <w:highlight w:val="none"/>
        </w:rPr>
        <w:t>5、中标人为本项目提供服务过程中产生的一切所有风险和责任由中标人自行承担。</w:t>
      </w:r>
    </w:p>
    <w:p w14:paraId="5E266D4D">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第三章  付款方式：</w:t>
      </w:r>
    </w:p>
    <w:p w14:paraId="033BFAB8">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中标单价（检测）：</w:t>
      </w:r>
      <w:r>
        <w:rPr>
          <w:rFonts w:hint="eastAsia" w:ascii="宋体" w:hAnsi="宋体" w:cs="宋体"/>
          <w:bCs/>
          <w:sz w:val="24"/>
          <w:highlight w:val="none"/>
          <w:u w:val="single"/>
        </w:rPr>
        <w:t xml:space="preserve">        </w:t>
      </w:r>
      <w:r>
        <w:rPr>
          <w:rFonts w:hint="eastAsia" w:ascii="宋体" w:hAnsi="宋体" w:cs="宋体"/>
          <w:bCs/>
          <w:sz w:val="24"/>
          <w:highlight w:val="none"/>
        </w:rPr>
        <w:t>元/户</w:t>
      </w:r>
    </w:p>
    <w:p w14:paraId="2F0E0CDB">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服务费用暂定总额：人民币(大写)</w:t>
      </w:r>
      <w:r>
        <w:rPr>
          <w:rFonts w:hint="eastAsia" w:ascii="宋体" w:hAnsi="宋体" w:cs="宋体"/>
          <w:b/>
          <w:sz w:val="24"/>
          <w:highlight w:val="none"/>
          <w:u w:val="single"/>
        </w:rPr>
        <w:t xml:space="preserve">        </w:t>
      </w:r>
    </w:p>
    <w:p w14:paraId="49100740">
      <w:pPr>
        <w:pStyle w:val="16"/>
        <w:spacing w:line="360" w:lineRule="auto"/>
        <w:ind w:firstLine="480" w:firstLineChars="200"/>
        <w:contextualSpacing/>
        <w:rPr>
          <w:rFonts w:ascii="宋体" w:eastAsia="宋体" w:cs="宋体"/>
          <w:bCs/>
          <w:sz w:val="24"/>
          <w:szCs w:val="24"/>
          <w:highlight w:val="none"/>
        </w:rPr>
      </w:pPr>
      <w:r>
        <w:rPr>
          <w:rFonts w:hint="eastAsia" w:ascii="宋体" w:eastAsia="宋体" w:cs="宋体"/>
          <w:bCs/>
          <w:sz w:val="24"/>
          <w:szCs w:val="24"/>
          <w:highlight w:val="none"/>
        </w:rPr>
        <w:t xml:space="preserve">                人民币(小写)</w:t>
      </w:r>
      <w:r>
        <w:rPr>
          <w:rFonts w:hint="eastAsia" w:ascii="宋体" w:eastAsia="宋体" w:cs="宋体"/>
          <w:b/>
          <w:sz w:val="24"/>
          <w:szCs w:val="24"/>
          <w:highlight w:val="none"/>
          <w:u w:val="single"/>
        </w:rPr>
        <w:t xml:space="preserve">     </w:t>
      </w:r>
      <w:r>
        <w:rPr>
          <w:rFonts w:hint="eastAsia" w:ascii="宋体" w:eastAsia="宋体" w:cs="宋体"/>
          <w:bCs/>
          <w:sz w:val="24"/>
          <w:szCs w:val="24"/>
          <w:highlight w:val="none"/>
        </w:rPr>
        <w:t xml:space="preserve">元  </w:t>
      </w:r>
    </w:p>
    <w:p w14:paraId="06F2FCFE">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本项目服务费按实结算，服务费=中标单价（检测）*抽检测户数。本次项目服务期内最终结算价不超过20万元。</w:t>
      </w:r>
    </w:p>
    <w:p w14:paraId="32E04E7A">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待成交供应商提供完整的店招标牌检测报告后支付至结算价（实际检测户数×中标单价）的90%，余款10%待合同完成无遗留问题且服务期满后一次性付清。采购单位如因其它原因需要，对所定区域的作业范围和内容等因素有所增减调整，将提前以书面形式告知成交供应商，并核减或增加相应的费用，成交供应商应无条件响应。</w:t>
      </w:r>
    </w:p>
    <w:p w14:paraId="622F6C9E">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注：付款前中标(成交)人需向采购人提供正式发票。</w:t>
      </w:r>
    </w:p>
    <w:p w14:paraId="5066E27B">
      <w:pPr>
        <w:adjustRightInd w:val="0"/>
        <w:snapToGrid w:val="0"/>
        <w:spacing w:line="360" w:lineRule="auto"/>
        <w:ind w:firstLine="480" w:firstLineChars="200"/>
        <w:rPr>
          <w:rFonts w:ascii="宋体" w:hAnsi="宋体" w:cs="宋体"/>
          <w:sz w:val="24"/>
          <w:lang w:val="zh-CN"/>
        </w:rPr>
      </w:pPr>
      <w:r>
        <w:rPr>
          <w:rFonts w:hint="eastAsia" w:ascii="宋体" w:hAnsi="宋体" w:cs="宋体"/>
          <w:bCs/>
          <w:sz w:val="24"/>
        </w:rPr>
        <w:t>本合同为</w:t>
      </w:r>
      <w:r>
        <w:rPr>
          <w:rFonts w:hint="eastAsia" w:ascii="宋体" w:hAnsi="宋体" w:cs="宋体"/>
          <w:sz w:val="24"/>
        </w:rPr>
        <w:t>固定单价合同</w:t>
      </w:r>
      <w:r>
        <w:rPr>
          <w:rFonts w:hint="eastAsia" w:ascii="宋体" w:hAnsi="宋体" w:cs="宋体"/>
          <w:sz w:val="24"/>
          <w:lang w:val="zh-CN"/>
        </w:rPr>
        <w:t>，</w:t>
      </w:r>
      <w:r>
        <w:rPr>
          <w:rFonts w:hint="eastAsia" w:ascii="宋体" w:hAnsi="宋体" w:cs="宋体"/>
          <w:sz w:val="24"/>
        </w:rPr>
        <w:t>报价</w:t>
      </w:r>
      <w:r>
        <w:rPr>
          <w:rFonts w:hint="eastAsia" w:ascii="宋体" w:hAnsi="宋体" w:cs="宋体"/>
          <w:sz w:val="24"/>
          <w:lang w:val="zh-CN"/>
        </w:rPr>
        <w:t>包含本</w:t>
      </w:r>
      <w:r>
        <w:rPr>
          <w:rFonts w:hint="eastAsia" w:ascii="宋体" w:hAnsi="宋体" w:cs="宋体"/>
          <w:sz w:val="24"/>
        </w:rPr>
        <w:t>合同</w:t>
      </w:r>
      <w:r>
        <w:rPr>
          <w:rFonts w:hint="eastAsia" w:ascii="宋体" w:hAnsi="宋体" w:cs="宋体"/>
          <w:sz w:val="24"/>
          <w:lang w:val="zh-CN"/>
        </w:rPr>
        <w:t>采购内容的全部费用，包括（但不限于）直接费、间接费、损耗、运输相关费用、管理费、人工费、服务人员五险一金、服务费、招标代理费、利润、税费及一切技术和售后服务费等各项税费及合同实施过程中不可预见的全部费用。</w:t>
      </w:r>
    </w:p>
    <w:p w14:paraId="160B76E8">
      <w:pPr>
        <w:adjustRightInd w:val="0"/>
        <w:snapToGrid w:val="0"/>
        <w:spacing w:line="360" w:lineRule="auto"/>
        <w:ind w:firstLine="482" w:firstLineChars="200"/>
        <w:rPr>
          <w:rFonts w:ascii="宋体" w:hAnsi="宋体" w:cs="宋体"/>
          <w:b/>
          <w:sz w:val="24"/>
        </w:rPr>
      </w:pPr>
      <w:r>
        <w:rPr>
          <w:rFonts w:hint="eastAsia" w:ascii="宋体" w:hAnsi="宋体" w:cs="宋体"/>
          <w:b/>
          <w:sz w:val="24"/>
        </w:rPr>
        <w:t>第四章   履约保证金</w:t>
      </w:r>
    </w:p>
    <w:p w14:paraId="50DD5D2D">
      <w:pPr>
        <w:adjustRightInd w:val="0"/>
        <w:snapToGrid w:val="0"/>
        <w:spacing w:line="360" w:lineRule="auto"/>
        <w:ind w:firstLine="480" w:firstLineChars="200"/>
        <w:rPr>
          <w:rFonts w:ascii="宋体" w:hAnsi="宋体" w:cs="宋体"/>
          <w:sz w:val="24"/>
        </w:rPr>
      </w:pPr>
      <w:r>
        <w:rPr>
          <w:rFonts w:hint="eastAsia" w:ascii="宋体" w:hAnsi="宋体" w:cs="宋体"/>
          <w:sz w:val="24"/>
        </w:rPr>
        <w:t>1.本项目中标后的履约保证金为中标价的10%，即</w:t>
      </w:r>
      <w:r>
        <w:rPr>
          <w:rFonts w:hint="eastAsia" w:ascii="宋体" w:hAnsi="宋体" w:cs="宋体"/>
          <w:sz w:val="24"/>
          <w:u w:val="single"/>
        </w:rPr>
        <w:t xml:space="preserve">    </w:t>
      </w:r>
      <w:r>
        <w:rPr>
          <w:rFonts w:hint="eastAsia" w:ascii="宋体" w:hAnsi="宋体" w:cs="宋体"/>
          <w:sz w:val="24"/>
        </w:rPr>
        <w:t>元 ，乙方的履约保证金须在成交通知书发出之日起至合同签订前汇入甲方账户，乙方凭中标通知书与甲方签订合同。超期或未有协商，则视为自动放弃成交资格。</w:t>
      </w:r>
    </w:p>
    <w:p w14:paraId="574C5858">
      <w:pPr>
        <w:adjustRightInd w:val="0"/>
        <w:snapToGrid w:val="0"/>
        <w:spacing w:line="360" w:lineRule="auto"/>
        <w:ind w:firstLine="480" w:firstLineChars="200"/>
        <w:rPr>
          <w:rFonts w:ascii="宋体" w:hAnsi="宋体" w:cs="宋体"/>
          <w:sz w:val="24"/>
        </w:rPr>
      </w:pPr>
      <w:r>
        <w:rPr>
          <w:rFonts w:hint="eastAsia" w:ascii="宋体" w:hAnsi="宋体" w:cs="宋体"/>
          <w:sz w:val="24"/>
        </w:rPr>
        <w:t>2.乙方全部履约合同义务，经甲方验收合格（提供符合规范的检测报告）无质量、进度等问题的，甲方在验收合格（提供符合规范的检测报告）后一次性无息退还履约保证金。</w:t>
      </w:r>
    </w:p>
    <w:p w14:paraId="26E60F5F">
      <w:pPr>
        <w:adjustRightInd w:val="0"/>
        <w:snapToGrid w:val="0"/>
        <w:spacing w:line="360" w:lineRule="auto"/>
        <w:ind w:firstLine="480" w:firstLineChars="200"/>
        <w:rPr>
          <w:rFonts w:ascii="宋体" w:hAnsi="宋体" w:cs="宋体"/>
          <w:sz w:val="24"/>
        </w:rPr>
      </w:pPr>
      <w:r>
        <w:rPr>
          <w:rFonts w:hint="eastAsia" w:ascii="宋体" w:hAnsi="宋体" w:cs="宋体"/>
          <w:sz w:val="24"/>
        </w:rPr>
        <w:t>3.发生以下情况的，乙方不予退还或部分退还：</w:t>
      </w:r>
    </w:p>
    <w:p w14:paraId="62E87C76">
      <w:pPr>
        <w:adjustRightInd w:val="0"/>
        <w:snapToGrid w:val="0"/>
        <w:spacing w:line="360" w:lineRule="auto"/>
        <w:ind w:firstLine="480" w:firstLineChars="200"/>
        <w:rPr>
          <w:rFonts w:ascii="宋体" w:hAnsi="宋体" w:cs="宋体"/>
          <w:sz w:val="24"/>
        </w:rPr>
      </w:pPr>
      <w:r>
        <w:rPr>
          <w:rFonts w:hint="eastAsia" w:ascii="宋体" w:hAnsi="宋体" w:cs="宋体"/>
          <w:sz w:val="24"/>
        </w:rPr>
        <w:t>a.签订合同后，乙方不履行合同义务的，甲方有权全额扣除履约保证金，全额不予退还，同时甲方亦有权终止合同，乙方还须承担相应的法律赔偿责任。</w:t>
      </w:r>
    </w:p>
    <w:p w14:paraId="0BFBA99D">
      <w:pPr>
        <w:adjustRightInd w:val="0"/>
        <w:snapToGrid w:val="0"/>
        <w:spacing w:line="360" w:lineRule="auto"/>
        <w:ind w:firstLine="480" w:firstLineChars="200"/>
        <w:rPr>
          <w:rFonts w:ascii="宋体" w:hAnsi="宋体" w:cs="宋体"/>
          <w:sz w:val="24"/>
        </w:rPr>
      </w:pPr>
      <w:r>
        <w:rPr>
          <w:rFonts w:hint="eastAsia" w:ascii="宋体" w:hAnsi="宋体" w:cs="宋体"/>
          <w:sz w:val="24"/>
        </w:rPr>
        <w:t>b.乙方在履约过程中发生违约行为，给甲方造成损失的，甲方有权在乙方缴纳的履约保证金中予以扣款，以弥补甲方经济损失，不足的部分乙方另外补齐。</w:t>
      </w:r>
    </w:p>
    <w:p w14:paraId="50A6B158">
      <w:pPr>
        <w:autoSpaceDE w:val="0"/>
        <w:autoSpaceDN w:val="0"/>
        <w:adjustRightInd w:val="0"/>
        <w:snapToGrid w:val="0"/>
        <w:spacing w:line="360" w:lineRule="auto"/>
        <w:ind w:firstLine="518" w:firstLineChars="200"/>
        <w:jc w:val="left"/>
        <w:rPr>
          <w:rFonts w:ascii="宋体" w:hAnsi="宋体" w:cs="宋体"/>
          <w:b/>
          <w:bCs/>
          <w:sz w:val="24"/>
        </w:rPr>
      </w:pPr>
      <w:r>
        <w:rPr>
          <w:rFonts w:hint="eastAsia" w:ascii="宋体" w:hAnsi="宋体" w:cs="宋体"/>
          <w:b/>
          <w:bCs/>
          <w:spacing w:val="9"/>
          <w:sz w:val="24"/>
        </w:rPr>
        <w:t xml:space="preserve">第四条 </w:t>
      </w:r>
      <w:r>
        <w:rPr>
          <w:rFonts w:hint="eastAsia" w:ascii="宋体" w:hAnsi="宋体" w:cs="宋体"/>
          <w:b/>
          <w:bCs/>
          <w:sz w:val="24"/>
        </w:rPr>
        <w:t>甲方权利和义务：</w:t>
      </w:r>
    </w:p>
    <w:p w14:paraId="25EE577C">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1.甲方有权在合同规定的范围内享受服务，对没有达到合同规定的服务质量或标准的服务事项，甲方有权要求乙方在规定的时间内免费加急提供服务，直至符合要求为止。</w:t>
      </w:r>
    </w:p>
    <w:p w14:paraId="439EF3B5">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如果乙方无法完成合同规定的服务内容、或者服务无法达到合同规定的服务质量或标准的，甲方有权邀请第三方提供服务，其支付的服务费用由乙方承担；如果乙方不支付，甲方有权在支付乙方合同款项时扣除其相等的金额。</w:t>
      </w:r>
    </w:p>
    <w:p w14:paraId="43F8416B">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3.由于乙方服务质量或延误服务的原因，使甲方造成经济损失的，甲方有权要求乙方进行经济赔偿。</w:t>
      </w:r>
    </w:p>
    <w:p w14:paraId="25F27778">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4.甲方在合同规定的服务期限内有义务为乙方创造适当的服务工作便利，并提供适合的配合工作，协助乙方完成服务工作。</w:t>
      </w:r>
    </w:p>
    <w:p w14:paraId="61DE0903">
      <w:pPr>
        <w:autoSpaceDE w:val="0"/>
        <w:autoSpaceDN w:val="0"/>
        <w:adjustRightInd w:val="0"/>
        <w:snapToGrid w:val="0"/>
        <w:spacing w:line="360" w:lineRule="auto"/>
        <w:ind w:firstLine="480" w:firstLineChars="200"/>
        <w:jc w:val="left"/>
        <w:rPr>
          <w:rFonts w:ascii="宋体" w:hAnsi="宋体" w:cs="宋体"/>
          <w:b/>
          <w:bCs/>
          <w:sz w:val="24"/>
        </w:rPr>
      </w:pPr>
      <w:r>
        <w:rPr>
          <w:rFonts w:hint="eastAsia" w:ascii="宋体" w:hAnsi="宋体" w:cs="宋体"/>
          <w:sz w:val="24"/>
        </w:rPr>
        <w:t>5.如果甲方因工作需要对原有合同内容进行调整，应有义务并通过有效的方式及时通知乙方涉及合同服务范围调整内容，并与乙方协商解决。</w:t>
      </w:r>
    </w:p>
    <w:p w14:paraId="1E0CB0CD">
      <w:pPr>
        <w:autoSpaceDE w:val="0"/>
        <w:autoSpaceDN w:val="0"/>
        <w:adjustRightInd w:val="0"/>
        <w:snapToGrid w:val="0"/>
        <w:spacing w:line="360" w:lineRule="auto"/>
        <w:ind w:firstLine="482" w:firstLineChars="200"/>
        <w:jc w:val="left"/>
        <w:rPr>
          <w:rFonts w:ascii="宋体" w:hAnsi="宋体" w:cs="宋体"/>
          <w:b/>
          <w:bCs/>
          <w:sz w:val="24"/>
        </w:rPr>
      </w:pPr>
      <w:r>
        <w:rPr>
          <w:rFonts w:hint="eastAsia" w:ascii="宋体" w:hAnsi="宋体" w:cs="宋体"/>
          <w:b/>
          <w:bCs/>
          <w:sz w:val="24"/>
        </w:rPr>
        <w:t>第五条 乙方权利和义务：</w:t>
      </w:r>
    </w:p>
    <w:p w14:paraId="67E773D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1.乙方根据合同的服务内容和要求及时提供相应的服务；</w:t>
      </w:r>
    </w:p>
    <w:p w14:paraId="355441B2">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 xml:space="preserve">2.按合同要求按时完成任务，并及时向甲方提交相关报告等材料； </w:t>
      </w:r>
    </w:p>
    <w:p w14:paraId="7C6918C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3.严格遵守甲方的有关保密、安全工作要求，不向第三方提供或披露与本合同相关的资料、信息；</w:t>
      </w:r>
    </w:p>
    <w:p w14:paraId="66E8D007">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4.乙方为了更好地进行服务，满足甲方对服务质量的要求，有权利要求甲方提供合适的配合工作；</w:t>
      </w:r>
    </w:p>
    <w:p w14:paraId="0C8183DF">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5.如果由于甲方的责任而造成服务延误或不能达到服务质量的，乙方不承担违约责任；</w:t>
      </w:r>
    </w:p>
    <w:p w14:paraId="5FACC7FE">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6.如果乙方确实需要第三方合作才能完成合同规定的服务内容和服务质量的，应事先征得甲方的同意，并由乙方承担第三方提供服务的费用；</w:t>
      </w:r>
    </w:p>
    <w:p w14:paraId="02814E25">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7.如果乙方在合同要求服务范围内未能有效履职，导致甲方出现被政府通报的较大环境问题或安全生产事故的，终止合同、扣除履约保证金，并计入企业不良行为上报招投标主管部门；</w:t>
      </w:r>
    </w:p>
    <w:p w14:paraId="359F8003">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8.其他为履行本合同所应承担的义务。</w:t>
      </w:r>
    </w:p>
    <w:p w14:paraId="42FED121">
      <w:pPr>
        <w:autoSpaceDE w:val="0"/>
        <w:autoSpaceDN w:val="0"/>
        <w:adjustRightInd w:val="0"/>
        <w:snapToGrid w:val="0"/>
        <w:spacing w:line="360" w:lineRule="auto"/>
        <w:ind w:firstLine="482" w:firstLineChars="200"/>
        <w:jc w:val="left"/>
        <w:rPr>
          <w:rFonts w:ascii="宋体" w:hAnsi="宋体" w:cs="宋体"/>
          <w:b/>
          <w:bCs/>
          <w:sz w:val="24"/>
        </w:rPr>
      </w:pPr>
      <w:r>
        <w:rPr>
          <w:rFonts w:hint="eastAsia" w:ascii="宋体" w:hAnsi="宋体" w:cs="宋体"/>
          <w:b/>
          <w:bCs/>
          <w:sz w:val="24"/>
        </w:rPr>
        <w:t>第六条 违约责任：</w:t>
      </w:r>
    </w:p>
    <w:p w14:paraId="44A9A7E5">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合同一方不履行合同义务或者履行合同义务不符合约定的，应当承担继续履行、采取补救措施或赔偿损失等违约责任。</w:t>
      </w:r>
    </w:p>
    <w:p w14:paraId="3B9ACBE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（一）</w:t>
      </w:r>
      <w:r>
        <w:rPr>
          <w:rFonts w:hint="eastAsia" w:ascii="宋体" w:hAnsi="宋体" w:cs="宋体"/>
          <w:sz w:val="24"/>
          <w:lang w:val="zh-CN"/>
        </w:rPr>
        <w:t>甲方违约责任</w:t>
      </w:r>
    </w:p>
    <w:p w14:paraId="3C8DB40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zh-CN"/>
        </w:rPr>
        <w:t>．合同签订后，由于甲方原因而终止合同的，</w:t>
      </w:r>
      <w:r>
        <w:rPr>
          <w:rFonts w:hint="eastAsia" w:ascii="宋体" w:hAnsi="宋体" w:cs="宋体"/>
          <w:sz w:val="24"/>
        </w:rPr>
        <w:t>双方应协商确定乙方实际完成的本合同各分项工作占本合同应完成的相应分项工作的比例，结算合同价款，并按结算的合同价款多退少补；甲方不承担其它任何费用，同时乙方应向甲方提交已完成的所有成果。</w:t>
      </w:r>
    </w:p>
    <w:p w14:paraId="2340A9EB">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（二）</w:t>
      </w:r>
      <w:r>
        <w:rPr>
          <w:rFonts w:hint="eastAsia" w:ascii="宋体" w:hAnsi="宋体" w:cs="宋体"/>
          <w:sz w:val="24"/>
          <w:lang w:val="zh-CN"/>
        </w:rPr>
        <w:t>乙方违约责任</w:t>
      </w:r>
    </w:p>
    <w:p w14:paraId="02C35E63">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zh-CN"/>
        </w:rPr>
        <w:t>．合同生效后，如乙方擅自中途停止或解除合同，须全额</w:t>
      </w:r>
      <w:r>
        <w:rPr>
          <w:rFonts w:hint="eastAsia" w:ascii="宋体" w:hAnsi="宋体" w:cs="宋体"/>
          <w:sz w:val="24"/>
        </w:rPr>
        <w:t>放弃所交履约保证金</w:t>
      </w:r>
      <w:r>
        <w:rPr>
          <w:rFonts w:hint="eastAsia" w:ascii="宋体" w:hAnsi="宋体" w:cs="宋体"/>
          <w:sz w:val="24"/>
          <w:lang w:val="zh-CN"/>
        </w:rPr>
        <w:t>，另须赔偿</w:t>
      </w:r>
      <w:r>
        <w:rPr>
          <w:rFonts w:hint="eastAsia" w:ascii="宋体" w:hAnsi="宋体" w:cs="宋体"/>
          <w:sz w:val="24"/>
        </w:rPr>
        <w:t>合同</w:t>
      </w:r>
      <w:r>
        <w:rPr>
          <w:rFonts w:hint="eastAsia" w:ascii="宋体" w:hAnsi="宋体" w:cs="宋体"/>
          <w:sz w:val="24"/>
          <w:lang w:val="zh-CN"/>
        </w:rPr>
        <w:t>总</w:t>
      </w:r>
      <w:r>
        <w:rPr>
          <w:rFonts w:hint="eastAsia" w:ascii="宋体" w:hAnsi="宋体" w:cs="宋体"/>
          <w:sz w:val="24"/>
        </w:rPr>
        <w:t>价</w:t>
      </w:r>
      <w:r>
        <w:rPr>
          <w:rFonts w:hint="eastAsia" w:ascii="宋体" w:hAnsi="宋体" w:cs="宋体"/>
          <w:sz w:val="24"/>
          <w:lang w:val="zh-CN"/>
        </w:rPr>
        <w:t>款</w:t>
      </w:r>
      <w:r>
        <w:rPr>
          <w:rFonts w:hint="eastAsia" w:ascii="宋体" w:hAnsi="宋体" w:cs="宋体"/>
          <w:sz w:val="24"/>
        </w:rPr>
        <w:t>5%的违约金</w:t>
      </w:r>
      <w:r>
        <w:rPr>
          <w:rFonts w:hint="eastAsia" w:ascii="宋体" w:hAnsi="宋体" w:cs="宋体"/>
          <w:sz w:val="24"/>
          <w:lang w:val="zh-CN"/>
        </w:rPr>
        <w:t>。</w:t>
      </w:r>
    </w:p>
    <w:p w14:paraId="1C08B06B">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2．</w:t>
      </w:r>
      <w:r>
        <w:rPr>
          <w:rFonts w:hint="eastAsia" w:ascii="宋体" w:hAnsi="宋体" w:cs="宋体"/>
          <w:sz w:val="24"/>
        </w:rPr>
        <w:t>乙方应按照甲方及本合同要求按时合格完成各阶段服务，若逾期，每逾期一天应支付本合同总金额的千分之一作为违约金；若经甲方催告后10日还无法完成，则甲方有权没收履约保证金作为违约金，并有权单方解除本合同，若违约金不足以弥补甲方损失，甲方有权向乙方继续追偿。</w:t>
      </w:r>
    </w:p>
    <w:p w14:paraId="1464B20C">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rPr>
        <w:t xml:space="preserve">3. </w:t>
      </w:r>
      <w:r>
        <w:rPr>
          <w:rFonts w:hint="eastAsia" w:ascii="宋体" w:hAnsi="宋体" w:cs="宋体"/>
          <w:sz w:val="24"/>
          <w:lang w:val="zh-CN"/>
        </w:rPr>
        <w:t>乙方成果报告经采购人验收（采购人对第三方检测报告进行确认）为不合格的，乙方应无偿给予修改或重做，采取补救措施以达到质量要求。因质量不符合同约定的要求</w:t>
      </w:r>
      <w:r>
        <w:rPr>
          <w:rFonts w:hint="eastAsia" w:ascii="宋体" w:hAnsi="宋体" w:cs="宋体"/>
          <w:sz w:val="24"/>
        </w:rPr>
        <w:t>并因此给甲方</w:t>
      </w:r>
      <w:r>
        <w:rPr>
          <w:rFonts w:hint="eastAsia" w:ascii="宋体" w:hAnsi="宋体" w:cs="宋体"/>
          <w:sz w:val="24"/>
          <w:lang w:val="zh-CN"/>
        </w:rPr>
        <w:t>造成</w:t>
      </w:r>
      <w:r>
        <w:rPr>
          <w:rFonts w:hint="eastAsia" w:ascii="宋体" w:hAnsi="宋体" w:cs="宋体"/>
          <w:sz w:val="24"/>
        </w:rPr>
        <w:t>损失的</w:t>
      </w:r>
      <w:r>
        <w:rPr>
          <w:rFonts w:hint="eastAsia" w:ascii="宋体" w:hAnsi="宋体" w:cs="宋体"/>
          <w:sz w:val="24"/>
          <w:lang w:val="zh-CN"/>
        </w:rPr>
        <w:t>，乙方应对此造成的直接损失负赔偿责任，并承担相应的法律责任。</w:t>
      </w:r>
    </w:p>
    <w:p w14:paraId="760F312D">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rPr>
        <w:t>4</w:t>
      </w:r>
      <w:r>
        <w:rPr>
          <w:rFonts w:hint="eastAsia" w:ascii="宋体" w:hAnsi="宋体" w:cs="宋体"/>
          <w:sz w:val="24"/>
          <w:lang w:val="zh-CN"/>
        </w:rPr>
        <w:t>.乙方须积极协助甲方推进与本项目有关的报批工作，若因乙方原因影响报批进程，甲方可酌情进行处罚，乙方无条件接受。</w:t>
      </w:r>
    </w:p>
    <w:p w14:paraId="3FDE7BBE">
      <w:pPr>
        <w:adjustRightInd w:val="0"/>
        <w:snapToGrid w:val="0"/>
        <w:spacing w:line="360" w:lineRule="auto"/>
        <w:ind w:firstLine="482" w:firstLineChars="200"/>
        <w:jc w:val="left"/>
        <w:rPr>
          <w:rFonts w:ascii="宋体" w:hAnsi="宋体" w:cs="宋体"/>
          <w:sz w:val="24"/>
        </w:rPr>
      </w:pPr>
      <w:r>
        <w:rPr>
          <w:rFonts w:hint="eastAsia" w:ascii="宋体" w:hAnsi="宋体" w:cs="宋体"/>
          <w:b/>
          <w:bCs/>
          <w:sz w:val="24"/>
        </w:rPr>
        <w:t>第七条 不可抗力：</w:t>
      </w:r>
    </w:p>
    <w:p w14:paraId="553DED2E">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 因不可抗力不能履行合同的，根据不可抗力的影响，部分或者全部免除责任。但合同一方延迟履行后发生不可抗力的，不能免除责任。</w:t>
      </w:r>
    </w:p>
    <w:p w14:paraId="43C0F0A7">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 合同一方因不可抗力不能履行合同的，应当及时通知对方，以减轻可能给对方造成的损失，并应当在合理期限内提供证明。</w:t>
      </w:r>
    </w:p>
    <w:p w14:paraId="5BDD0292">
      <w:pPr>
        <w:adjustRightInd w:val="0"/>
        <w:snapToGrid w:val="0"/>
        <w:spacing w:line="360" w:lineRule="auto"/>
        <w:ind w:firstLine="482" w:firstLineChars="200"/>
        <w:jc w:val="left"/>
        <w:rPr>
          <w:rFonts w:ascii="宋体" w:hAnsi="宋体" w:cs="宋体"/>
          <w:sz w:val="24"/>
        </w:rPr>
      </w:pPr>
      <w:r>
        <w:rPr>
          <w:rFonts w:hint="eastAsia" w:ascii="宋体" w:hAnsi="宋体" w:cs="宋体"/>
          <w:b/>
          <w:bCs/>
          <w:sz w:val="24"/>
        </w:rPr>
        <w:t>第八条  其他：</w:t>
      </w:r>
    </w:p>
    <w:p w14:paraId="48B874F4">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 xml:space="preserve">1. 双方协商解决；                          </w:t>
      </w:r>
    </w:p>
    <w:p w14:paraId="676B8D47">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 如协商不了，向南通市人民法院提起诉讼。</w:t>
      </w:r>
    </w:p>
    <w:p w14:paraId="2417D86D">
      <w:pPr>
        <w:pStyle w:val="6"/>
        <w:spacing w:line="360" w:lineRule="auto"/>
        <w:rPr>
          <w:sz w:val="24"/>
          <w:szCs w:val="24"/>
        </w:rPr>
      </w:pPr>
    </w:p>
    <w:p w14:paraId="41D69C33">
      <w:pPr>
        <w:spacing w:line="360" w:lineRule="auto"/>
        <w:jc w:val="left"/>
        <w:rPr>
          <w:rFonts w:ascii="宋体" w:hAnsi="宋体" w:cs="宋体"/>
          <w:sz w:val="24"/>
          <w:lang w:bidi="zh-TW"/>
        </w:rPr>
      </w:pPr>
      <w:r>
        <w:rPr>
          <w:rFonts w:hint="eastAsia" w:ascii="宋体" w:hAnsi="宋体" w:cs="宋体"/>
          <w:sz w:val="24"/>
          <w:lang w:bidi="zh-TW"/>
        </w:rPr>
        <w:t>甲方：                             乙方:</w:t>
      </w:r>
    </w:p>
    <w:p w14:paraId="613318C2">
      <w:pPr>
        <w:spacing w:line="360" w:lineRule="auto"/>
        <w:jc w:val="left"/>
        <w:rPr>
          <w:rFonts w:ascii="宋体" w:hAnsi="宋体" w:cs="宋体"/>
          <w:sz w:val="24"/>
          <w:lang w:bidi="zh-TW"/>
        </w:rPr>
      </w:pPr>
      <w:r>
        <w:rPr>
          <w:rFonts w:hint="eastAsia" w:ascii="宋体" w:hAnsi="宋体" w:cs="宋体"/>
          <w:sz w:val="24"/>
          <w:lang w:bidi="zh-TW"/>
        </w:rPr>
        <w:t>法定代表人：                       法定代表人：</w:t>
      </w:r>
    </w:p>
    <w:p w14:paraId="0049A837">
      <w:pPr>
        <w:spacing w:line="360" w:lineRule="auto"/>
        <w:jc w:val="left"/>
        <w:rPr>
          <w:rFonts w:ascii="宋体" w:hAnsi="宋体" w:cs="宋体"/>
          <w:sz w:val="24"/>
          <w:lang w:bidi="zh-TW"/>
        </w:rPr>
      </w:pPr>
      <w:r>
        <w:rPr>
          <w:rFonts w:hint="eastAsia" w:ascii="宋体" w:hAnsi="宋体" w:cs="宋体"/>
          <w:sz w:val="24"/>
          <w:lang w:bidi="zh-TW"/>
        </w:rPr>
        <w:t>委托代理人：                       委托代理人：</w:t>
      </w:r>
    </w:p>
    <w:p w14:paraId="24C70260">
      <w:pPr>
        <w:spacing w:line="360" w:lineRule="auto"/>
        <w:jc w:val="left"/>
        <w:rPr>
          <w:rFonts w:ascii="宋体" w:hAnsi="宋体" w:cs="宋体"/>
          <w:sz w:val="24"/>
          <w:lang w:bidi="zh-TW"/>
        </w:rPr>
      </w:pPr>
      <w:r>
        <w:rPr>
          <w:rFonts w:hint="eastAsia" w:ascii="宋体" w:hAnsi="宋体" w:cs="宋体"/>
          <w:sz w:val="24"/>
          <w:lang w:bidi="zh-TW"/>
        </w:rPr>
        <w:t>电话：                             电话：</w:t>
      </w:r>
    </w:p>
    <w:p w14:paraId="01B2DFCB">
      <w:pPr>
        <w:spacing w:line="360" w:lineRule="auto"/>
        <w:jc w:val="left"/>
        <w:rPr>
          <w:rFonts w:ascii="宋体" w:hAnsi="宋体" w:cs="宋体"/>
          <w:sz w:val="24"/>
          <w:lang w:bidi="zh-TW"/>
        </w:rPr>
      </w:pPr>
      <w:r>
        <w:rPr>
          <w:rFonts w:hint="eastAsia" w:ascii="宋体" w:hAnsi="宋体" w:cs="宋体"/>
          <w:sz w:val="24"/>
          <w:lang w:bidi="zh-TW"/>
        </w:rPr>
        <w:t>地址：                             地址：</w:t>
      </w:r>
    </w:p>
    <w:p w14:paraId="4640121D">
      <w:pPr>
        <w:spacing w:line="360" w:lineRule="auto"/>
        <w:jc w:val="left"/>
        <w:rPr>
          <w:rFonts w:ascii="宋体" w:hAnsi="宋体" w:cs="宋体"/>
          <w:sz w:val="24"/>
          <w:lang w:bidi="zh-TW"/>
        </w:rPr>
      </w:pPr>
      <w:r>
        <w:rPr>
          <w:rFonts w:hint="eastAsia" w:ascii="宋体" w:hAnsi="宋体" w:cs="宋体"/>
          <w:sz w:val="24"/>
          <w:lang w:bidi="zh-TW"/>
        </w:rPr>
        <w:t xml:space="preserve">日期：                             日期： </w:t>
      </w:r>
    </w:p>
    <w:p w14:paraId="2303B230">
      <w:pPr>
        <w:spacing w:line="360" w:lineRule="auto"/>
        <w:jc w:val="left"/>
        <w:rPr>
          <w:rFonts w:ascii="宋体" w:hAnsi="宋体" w:cs="宋体"/>
          <w:sz w:val="24"/>
          <w:lang w:bidi="zh-TW"/>
        </w:rPr>
      </w:pPr>
      <w:r>
        <w:rPr>
          <w:rFonts w:hint="eastAsia" w:ascii="宋体" w:hAnsi="宋体" w:cs="宋体"/>
          <w:sz w:val="24"/>
          <w:lang w:bidi="zh-TW"/>
        </w:rPr>
        <w:t>账户：                             账户:</w:t>
      </w:r>
    </w:p>
    <w:p w14:paraId="5FD7A923">
      <w:pPr>
        <w:spacing w:line="360" w:lineRule="auto"/>
        <w:jc w:val="left"/>
        <w:rPr>
          <w:rFonts w:ascii="宋体" w:hAnsi="宋体" w:cs="宋体"/>
          <w:sz w:val="24"/>
          <w:lang w:bidi="zh-TW"/>
        </w:rPr>
        <w:sectPr>
          <w:headerReference r:id="rId7" w:type="default"/>
          <w:footerReference r:id="rId8" w:type="default"/>
          <w:pgSz w:w="11907" w:h="16839"/>
          <w:pgMar w:top="1440" w:right="1800" w:bottom="1440" w:left="1800" w:header="720" w:footer="737" w:gutter="0"/>
          <w:cols w:space="720" w:num="1"/>
          <w:docGrid w:linePitch="286" w:charSpace="0"/>
        </w:sectPr>
      </w:pPr>
      <w:r>
        <w:rPr>
          <w:rFonts w:hint="eastAsia" w:ascii="宋体" w:hAnsi="宋体" w:cs="宋体"/>
          <w:sz w:val="24"/>
          <w:lang w:bidi="zh-TW"/>
        </w:rPr>
        <w:t xml:space="preserve">开户行：                           开户行: </w:t>
      </w:r>
    </w:p>
    <w:p w14:paraId="6F808B6A">
      <w:pPr>
        <w:spacing w:line="360" w:lineRule="auto"/>
        <w:jc w:val="center"/>
        <w:rPr>
          <w:rFonts w:ascii="宋体" w:hAnsi="宋体" w:cs="宋体"/>
          <w:b/>
          <w:sz w:val="32"/>
          <w:szCs w:val="32"/>
        </w:rPr>
      </w:pPr>
      <w:r>
        <w:rPr>
          <w:rFonts w:hint="eastAsia" w:ascii="宋体" w:hAnsi="宋体" w:cs="宋体"/>
          <w:b/>
          <w:sz w:val="32"/>
          <w:szCs w:val="32"/>
        </w:rPr>
        <w:t>第四部分 评审方法和评审标准</w:t>
      </w:r>
    </w:p>
    <w:p w14:paraId="31714A55">
      <w:pPr>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一、磋商方式</w:t>
      </w:r>
    </w:p>
    <w:p w14:paraId="623D7D36">
      <w:pPr>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线下磋商模式：供应商须在磋商开始时间前到达开标地点。</w:t>
      </w:r>
    </w:p>
    <w:p w14:paraId="6BF974C1">
      <w:pPr>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二、磋商程序及评审方法和标准</w:t>
      </w:r>
    </w:p>
    <w:p w14:paraId="5C00FEC8">
      <w:pPr>
        <w:adjustRightInd w:val="0"/>
        <w:snapToGrid w:val="0"/>
        <w:spacing w:line="360" w:lineRule="auto"/>
        <w:ind w:firstLine="480" w:firstLineChars="200"/>
        <w:jc w:val="left"/>
        <w:textAlignment w:val="baseline"/>
        <w:rPr>
          <w:rFonts w:ascii="宋体" w:hAnsi="宋体" w:cs="宋体"/>
          <w:bCs/>
          <w:sz w:val="24"/>
        </w:rPr>
      </w:pPr>
      <w:r>
        <w:rPr>
          <w:rFonts w:hint="eastAsia" w:ascii="宋体" w:hAnsi="宋体" w:cs="宋体"/>
          <w:sz w:val="24"/>
        </w:rPr>
        <w:t>1.评审方法：综合评分法，经磋商</w:t>
      </w:r>
      <w:r>
        <w:rPr>
          <w:rFonts w:hint="eastAsia" w:ascii="宋体" w:hAnsi="宋体" w:cs="宋体"/>
          <w:bCs/>
          <w:sz w:val="24"/>
        </w:rPr>
        <w:t>确定最终采购需求和提交最后报价的供应商后，由磋商小组采用综合评分法对提交最后报价的供应商的响应文件和最后报价进行综合评分。</w:t>
      </w:r>
    </w:p>
    <w:p w14:paraId="2D3B2370">
      <w:pPr>
        <w:adjustRightInd w:val="0"/>
        <w:snapToGrid w:val="0"/>
        <w:spacing w:line="360" w:lineRule="auto"/>
        <w:ind w:firstLine="600" w:firstLineChars="250"/>
        <w:rPr>
          <w:rFonts w:ascii="宋体" w:hAnsi="宋体" w:cs="宋体"/>
          <w:bCs/>
          <w:sz w:val="24"/>
        </w:rPr>
      </w:pPr>
      <w:r>
        <w:rPr>
          <w:rFonts w:hint="eastAsia" w:ascii="宋体" w:hAnsi="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50CB3EE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商务技术部分评审结束后进入最后报价环节，最后报价将作为评审价。所有的响应供应商须在20分钟内填写并提交最后报价，未在规定时间内提交最后报价的或超过第一轮报价的，视作无效响应处理。</w:t>
      </w:r>
    </w:p>
    <w:p w14:paraId="2039EFA1">
      <w:pPr>
        <w:tabs>
          <w:tab w:val="left" w:pos="900"/>
        </w:tabs>
        <w:adjustRightInd w:val="0"/>
        <w:snapToGrid w:val="0"/>
        <w:spacing w:line="360" w:lineRule="auto"/>
        <w:ind w:firstLine="477" w:firstLineChars="199"/>
        <w:rPr>
          <w:rFonts w:ascii="宋体" w:hAnsi="宋体" w:cs="宋体"/>
          <w:bCs/>
          <w:sz w:val="24"/>
        </w:rPr>
      </w:pPr>
      <w:r>
        <w:rPr>
          <w:rFonts w:hint="eastAsia" w:ascii="宋体" w:hAnsi="宋体" w:cs="宋体"/>
          <w:bCs/>
          <w:sz w:val="24"/>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69AAABAF">
      <w:pPr>
        <w:adjustRightInd w:val="0"/>
        <w:snapToGrid w:val="0"/>
        <w:spacing w:line="360" w:lineRule="auto"/>
        <w:ind w:firstLine="555"/>
        <w:rPr>
          <w:rFonts w:ascii="宋体" w:hAnsi="宋体" w:cs="宋体"/>
          <w:bCs/>
          <w:sz w:val="24"/>
        </w:rPr>
      </w:pPr>
      <w:r>
        <w:rPr>
          <w:rFonts w:hint="eastAsia" w:ascii="宋体" w:hAnsi="宋体" w:cs="宋体"/>
          <w:bCs/>
          <w:sz w:val="24"/>
        </w:rPr>
        <w:t>供应商商务、技术部分和价格部分的合计分值，为该供应商的评审总得分。</w:t>
      </w:r>
    </w:p>
    <w:p w14:paraId="53893B41">
      <w:pPr>
        <w:adjustRightInd w:val="0"/>
        <w:snapToGrid w:val="0"/>
        <w:spacing w:line="360" w:lineRule="auto"/>
        <w:ind w:firstLine="555"/>
        <w:rPr>
          <w:rFonts w:ascii="宋体" w:hAnsi="宋体" w:cs="宋体"/>
          <w:sz w:val="24"/>
        </w:rPr>
      </w:pPr>
      <w:r>
        <w:rPr>
          <w:rFonts w:hint="eastAsia" w:ascii="宋体" w:hAnsi="宋体" w:cs="宋体"/>
          <w:sz w:val="24"/>
        </w:rPr>
        <w:t>评标结果按评审后总得分由高到低顺序排列，确定成交候选人名单并按顺序确定成交供应商。得分相同的，按响应报价由低到高顺序排列，得分且响应报价相同的并列。</w:t>
      </w:r>
    </w:p>
    <w:p w14:paraId="52B30EEB">
      <w:pPr>
        <w:adjustRightInd w:val="0"/>
        <w:snapToGrid w:val="0"/>
        <w:spacing w:line="360" w:lineRule="auto"/>
        <w:ind w:firstLine="555"/>
        <w:rPr>
          <w:rFonts w:ascii="宋体" w:hAnsi="宋体" w:cs="宋体"/>
          <w:sz w:val="24"/>
        </w:rPr>
      </w:pPr>
      <w:r>
        <w:rPr>
          <w:rFonts w:hint="eastAsia" w:ascii="宋体" w:hAnsi="宋体" w:cs="宋体"/>
          <w:sz w:val="24"/>
        </w:rPr>
        <w:t>评委在认真审阅响应文件的基础上，根据各响应文件的响应程度独立评判，不得统一打分。</w:t>
      </w:r>
    </w:p>
    <w:p w14:paraId="3A503333">
      <w:pPr>
        <w:adjustRightInd w:val="0"/>
        <w:snapToGrid w:val="0"/>
        <w:spacing w:line="360" w:lineRule="auto"/>
        <w:rPr>
          <w:rFonts w:ascii="宋体" w:hAnsi="宋体" w:cs="宋体"/>
          <w:b/>
          <w:sz w:val="24"/>
        </w:rPr>
      </w:pPr>
      <w:r>
        <w:rPr>
          <w:rFonts w:hint="eastAsia" w:ascii="宋体" w:hAnsi="宋体" w:cs="宋体"/>
          <w:b/>
          <w:sz w:val="24"/>
        </w:rPr>
        <w:t>（一）磋商小组对供应商资格进行审查。</w:t>
      </w:r>
    </w:p>
    <w:p w14:paraId="31C8FF99">
      <w:pPr>
        <w:adjustRightInd w:val="0"/>
        <w:snapToGrid w:val="0"/>
        <w:spacing w:line="360" w:lineRule="auto"/>
        <w:ind w:firstLine="494" w:firstLineChars="206"/>
        <w:rPr>
          <w:rFonts w:ascii="宋体" w:hAnsi="宋体" w:cs="宋体"/>
          <w:kern w:val="0"/>
          <w:sz w:val="24"/>
        </w:rPr>
      </w:pPr>
      <w:r>
        <w:rPr>
          <w:rFonts w:hint="eastAsia" w:ascii="宋体" w:hAnsi="宋体" w:cs="宋体"/>
          <w:kern w:val="0"/>
          <w:sz w:val="24"/>
        </w:rPr>
        <w:t>供应商资格不合格的，其响应文件判定为无效响应文件。</w:t>
      </w:r>
    </w:p>
    <w:p w14:paraId="070262C8">
      <w:pPr>
        <w:adjustRightInd w:val="0"/>
        <w:snapToGrid w:val="0"/>
        <w:spacing w:line="360" w:lineRule="auto"/>
        <w:jc w:val="left"/>
        <w:rPr>
          <w:rFonts w:ascii="宋体" w:hAnsi="宋体" w:cs="宋体"/>
          <w:b/>
          <w:sz w:val="24"/>
        </w:rPr>
      </w:pPr>
      <w:r>
        <w:rPr>
          <w:rFonts w:hint="eastAsia" w:ascii="宋体" w:hAnsi="宋体" w:cs="宋体"/>
          <w:b/>
          <w:sz w:val="24"/>
        </w:rPr>
        <w:t>（二）磋商小组对符合资格供应商的响应文件进行符合性审查。</w:t>
      </w:r>
    </w:p>
    <w:p w14:paraId="0194501A">
      <w:pPr>
        <w:adjustRightInd w:val="0"/>
        <w:snapToGrid w:val="0"/>
        <w:spacing w:line="360" w:lineRule="auto"/>
        <w:ind w:firstLine="494" w:firstLineChars="206"/>
        <w:rPr>
          <w:rFonts w:ascii="宋体" w:hAnsi="宋体" w:cs="宋体"/>
          <w:kern w:val="0"/>
          <w:sz w:val="24"/>
        </w:rPr>
      </w:pPr>
      <w:r>
        <w:rPr>
          <w:rFonts w:hint="eastAsia" w:ascii="宋体" w:hAnsi="宋体" w:cs="宋体"/>
          <w:kern w:val="0"/>
          <w:sz w:val="24"/>
        </w:rPr>
        <w:t xml:space="preserve">未通过符合性审查的响应文件，将被判为不满足磋商文件实质性要求。 </w:t>
      </w:r>
    </w:p>
    <w:p w14:paraId="31D1A6D3">
      <w:pPr>
        <w:adjustRightInd w:val="0"/>
        <w:snapToGrid w:val="0"/>
        <w:spacing w:line="360" w:lineRule="auto"/>
        <w:jc w:val="left"/>
        <w:rPr>
          <w:rFonts w:ascii="宋体" w:hAnsi="宋体" w:cs="宋体"/>
          <w:b/>
          <w:bCs/>
          <w:kern w:val="0"/>
          <w:sz w:val="24"/>
        </w:rPr>
      </w:pPr>
      <w:r>
        <w:rPr>
          <w:rFonts w:hint="eastAsia" w:ascii="宋体" w:hAnsi="宋体" w:cs="宋体"/>
          <w:b/>
          <w:sz w:val="24"/>
          <w:lang w:val="zh-CN"/>
        </w:rPr>
        <w:t>（</w:t>
      </w:r>
      <w:r>
        <w:rPr>
          <w:rFonts w:hint="eastAsia" w:ascii="宋体" w:hAnsi="宋体" w:cs="宋体"/>
          <w:b/>
          <w:sz w:val="24"/>
        </w:rPr>
        <w:t>三</w:t>
      </w:r>
      <w:r>
        <w:rPr>
          <w:rFonts w:hint="eastAsia" w:ascii="宋体" w:hAnsi="宋体" w:cs="宋体"/>
          <w:b/>
          <w:sz w:val="24"/>
          <w:lang w:val="zh-CN"/>
        </w:rPr>
        <w:t>）商务技术分：</w:t>
      </w:r>
      <w:r>
        <w:rPr>
          <w:rFonts w:hint="eastAsia" w:ascii="宋体" w:hAnsi="宋体" w:cs="宋体"/>
          <w:b/>
          <w:sz w:val="24"/>
        </w:rPr>
        <w:t>80分</w:t>
      </w:r>
    </w:p>
    <w:p w14:paraId="52F9BB07">
      <w:pPr>
        <w:pStyle w:val="16"/>
        <w:spacing w:line="360" w:lineRule="auto"/>
        <w:ind w:firstLine="0" w:firstLineChars="0"/>
        <w:contextualSpacing/>
        <w:rPr>
          <w:rFonts w:ascii="宋体" w:eastAsia="宋体" w:cs="宋体"/>
          <w:sz w:val="24"/>
          <w:szCs w:val="24"/>
          <w:lang w:val="zh-CN"/>
        </w:rPr>
      </w:pPr>
      <w:r>
        <w:rPr>
          <w:rFonts w:hint="eastAsia" w:ascii="宋体" w:eastAsia="宋体" w:cs="宋体"/>
          <w:sz w:val="24"/>
          <w:szCs w:val="24"/>
          <w:lang w:val="zh-CN"/>
        </w:rPr>
        <w:t>各供应商得分为磋商小组成员评分的算术平均分，分值保留小数点后两位。</w:t>
      </w:r>
    </w:p>
    <w:tbl>
      <w:tblPr>
        <w:tblStyle w:val="13"/>
        <w:tblW w:w="54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98"/>
        <w:gridCol w:w="736"/>
        <w:gridCol w:w="6448"/>
      </w:tblGrid>
      <w:tr w14:paraId="79FA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22" w:type="pct"/>
            <w:tcBorders>
              <w:top w:val="single" w:color="auto" w:sz="4" w:space="0"/>
              <w:left w:val="single" w:color="auto" w:sz="4" w:space="0"/>
              <w:bottom w:val="single" w:color="auto" w:sz="4" w:space="0"/>
              <w:right w:val="single" w:color="auto" w:sz="4" w:space="0"/>
            </w:tcBorders>
            <w:vAlign w:val="center"/>
          </w:tcPr>
          <w:p w14:paraId="5188E0BC">
            <w:pPr>
              <w:spacing w:line="360" w:lineRule="auto"/>
              <w:jc w:val="center"/>
              <w:rPr>
                <w:rFonts w:ascii="宋体" w:hAnsi="宋体" w:cs="宋体"/>
                <w:b/>
                <w:bCs/>
                <w:sz w:val="24"/>
                <w:lang w:val="zh-CN"/>
              </w:rPr>
            </w:pPr>
            <w:r>
              <w:rPr>
                <w:rFonts w:hint="eastAsia" w:ascii="宋体" w:hAnsi="宋体" w:cs="宋体"/>
                <w:b/>
                <w:bCs/>
                <w:sz w:val="24"/>
                <w:lang w:val="zh-CN"/>
              </w:rPr>
              <w:t>序号</w:t>
            </w:r>
          </w:p>
        </w:tc>
        <w:tc>
          <w:tcPr>
            <w:tcW w:w="701" w:type="pct"/>
            <w:tcBorders>
              <w:top w:val="single" w:color="auto" w:sz="4" w:space="0"/>
              <w:left w:val="single" w:color="auto" w:sz="4" w:space="0"/>
              <w:bottom w:val="single" w:color="auto" w:sz="4" w:space="0"/>
              <w:right w:val="single" w:color="auto" w:sz="4" w:space="0"/>
            </w:tcBorders>
            <w:vAlign w:val="center"/>
          </w:tcPr>
          <w:p w14:paraId="0B225EB9">
            <w:pPr>
              <w:spacing w:line="360" w:lineRule="auto"/>
              <w:jc w:val="center"/>
              <w:rPr>
                <w:rFonts w:ascii="宋体" w:hAnsi="宋体" w:cs="宋体"/>
                <w:b/>
                <w:bCs/>
                <w:sz w:val="24"/>
                <w:lang w:val="zh-CN"/>
              </w:rPr>
            </w:pPr>
            <w:r>
              <w:rPr>
                <w:rFonts w:hint="eastAsia" w:ascii="宋体" w:hAnsi="宋体" w:cs="宋体"/>
                <w:b/>
                <w:bCs/>
                <w:sz w:val="24"/>
                <w:lang w:val="zh-CN"/>
              </w:rPr>
              <w:t>评审项目</w:t>
            </w:r>
          </w:p>
        </w:tc>
        <w:tc>
          <w:tcPr>
            <w:tcW w:w="397" w:type="pct"/>
            <w:tcBorders>
              <w:top w:val="single" w:color="auto" w:sz="4" w:space="0"/>
              <w:left w:val="single" w:color="auto" w:sz="4" w:space="0"/>
              <w:bottom w:val="single" w:color="auto" w:sz="4" w:space="0"/>
              <w:right w:val="single" w:color="auto" w:sz="4" w:space="0"/>
            </w:tcBorders>
            <w:vAlign w:val="center"/>
          </w:tcPr>
          <w:p w14:paraId="40988B31">
            <w:pPr>
              <w:spacing w:line="360" w:lineRule="auto"/>
              <w:jc w:val="center"/>
              <w:rPr>
                <w:rFonts w:ascii="宋体" w:hAnsi="宋体" w:cs="宋体"/>
                <w:b/>
                <w:bCs/>
                <w:sz w:val="24"/>
                <w:lang w:val="zh-CN"/>
              </w:rPr>
            </w:pPr>
            <w:r>
              <w:rPr>
                <w:rFonts w:hint="eastAsia" w:ascii="宋体" w:hAnsi="宋体" w:cs="宋体"/>
                <w:b/>
                <w:bCs/>
                <w:sz w:val="24"/>
                <w:lang w:val="zh-CN"/>
              </w:rPr>
              <w:t>分值</w:t>
            </w:r>
          </w:p>
        </w:tc>
        <w:tc>
          <w:tcPr>
            <w:tcW w:w="3479" w:type="pct"/>
            <w:tcBorders>
              <w:top w:val="single" w:color="auto" w:sz="4" w:space="0"/>
              <w:left w:val="single" w:color="auto" w:sz="4" w:space="0"/>
              <w:bottom w:val="single" w:color="auto" w:sz="4" w:space="0"/>
              <w:right w:val="single" w:color="auto" w:sz="4" w:space="0"/>
            </w:tcBorders>
            <w:vAlign w:val="center"/>
          </w:tcPr>
          <w:p w14:paraId="3720A22E">
            <w:pPr>
              <w:spacing w:line="360" w:lineRule="auto"/>
              <w:jc w:val="center"/>
              <w:rPr>
                <w:rFonts w:ascii="宋体" w:hAnsi="宋体" w:cs="宋体"/>
                <w:b/>
                <w:bCs/>
                <w:sz w:val="24"/>
                <w:lang w:val="zh-CN"/>
              </w:rPr>
            </w:pPr>
            <w:r>
              <w:rPr>
                <w:rFonts w:hint="eastAsia" w:ascii="宋体" w:hAnsi="宋体" w:cs="宋体"/>
                <w:b/>
                <w:bCs/>
                <w:sz w:val="24"/>
                <w:lang w:val="zh-CN"/>
              </w:rPr>
              <w:t>评审细则</w:t>
            </w:r>
          </w:p>
        </w:tc>
      </w:tr>
      <w:tr w14:paraId="5CD0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422" w:type="pct"/>
            <w:tcBorders>
              <w:left w:val="single" w:color="auto" w:sz="4" w:space="0"/>
              <w:bottom w:val="single" w:color="auto" w:sz="4" w:space="0"/>
              <w:right w:val="single" w:color="auto" w:sz="4" w:space="0"/>
            </w:tcBorders>
            <w:vAlign w:val="center"/>
          </w:tcPr>
          <w:p w14:paraId="1C2E7CBE">
            <w:pPr>
              <w:pStyle w:val="16"/>
              <w:spacing w:line="360" w:lineRule="auto"/>
              <w:ind w:firstLine="0" w:firstLineChars="0"/>
              <w:contextualSpacing/>
              <w:jc w:val="center"/>
              <w:rPr>
                <w:rFonts w:ascii="宋体" w:eastAsia="宋体" w:cs="宋体"/>
                <w:sz w:val="24"/>
                <w:szCs w:val="24"/>
              </w:rPr>
            </w:pPr>
            <w:r>
              <w:rPr>
                <w:rFonts w:hint="eastAsia" w:ascii="宋体" w:eastAsia="宋体" w:cs="宋体"/>
                <w:sz w:val="24"/>
                <w:szCs w:val="24"/>
              </w:rPr>
              <w:t>1</w:t>
            </w:r>
          </w:p>
        </w:tc>
        <w:tc>
          <w:tcPr>
            <w:tcW w:w="701" w:type="pct"/>
            <w:tcBorders>
              <w:left w:val="single" w:color="auto" w:sz="4" w:space="0"/>
              <w:bottom w:val="single" w:color="auto" w:sz="4" w:space="0"/>
              <w:right w:val="single" w:color="auto" w:sz="4" w:space="0"/>
            </w:tcBorders>
            <w:vAlign w:val="center"/>
          </w:tcPr>
          <w:p w14:paraId="3E7457AB">
            <w:pPr>
              <w:spacing w:line="360" w:lineRule="auto"/>
              <w:jc w:val="center"/>
              <w:rPr>
                <w:rFonts w:ascii="宋体" w:hAnsi="宋体" w:cs="宋体"/>
                <w:sz w:val="24"/>
                <w:highlight w:val="none"/>
              </w:rPr>
            </w:pPr>
            <w:r>
              <w:rPr>
                <w:rFonts w:hint="eastAsia" w:ascii="宋体" w:hAnsi="宋体" w:cs="宋体"/>
                <w:sz w:val="24"/>
                <w:highlight w:val="none"/>
              </w:rPr>
              <w:t>项目现状分析理解</w:t>
            </w:r>
          </w:p>
        </w:tc>
        <w:tc>
          <w:tcPr>
            <w:tcW w:w="397" w:type="pct"/>
            <w:tcBorders>
              <w:top w:val="single" w:color="auto" w:sz="4" w:space="0"/>
              <w:left w:val="single" w:color="auto" w:sz="4" w:space="0"/>
              <w:bottom w:val="single" w:color="auto" w:sz="4" w:space="0"/>
              <w:right w:val="single" w:color="auto" w:sz="4" w:space="0"/>
            </w:tcBorders>
            <w:vAlign w:val="center"/>
          </w:tcPr>
          <w:p w14:paraId="10542260">
            <w:pPr>
              <w:spacing w:line="360" w:lineRule="auto"/>
              <w:jc w:val="center"/>
              <w:rPr>
                <w:rFonts w:ascii="宋体" w:hAnsi="宋体" w:cs="宋体"/>
                <w:sz w:val="24"/>
                <w:highlight w:val="none"/>
              </w:rPr>
            </w:pPr>
            <w:r>
              <w:rPr>
                <w:rFonts w:hint="eastAsia" w:ascii="宋体" w:hAnsi="宋体" w:cs="宋体"/>
                <w:sz w:val="24"/>
                <w:highlight w:val="none"/>
              </w:rPr>
              <w:t>10</w:t>
            </w:r>
          </w:p>
        </w:tc>
        <w:tc>
          <w:tcPr>
            <w:tcW w:w="3479" w:type="pct"/>
            <w:tcBorders>
              <w:top w:val="single" w:color="auto" w:sz="4" w:space="0"/>
              <w:left w:val="single" w:color="auto" w:sz="4" w:space="0"/>
              <w:bottom w:val="single" w:color="auto" w:sz="4" w:space="0"/>
              <w:right w:val="single" w:color="auto" w:sz="4" w:space="0"/>
            </w:tcBorders>
            <w:vAlign w:val="center"/>
          </w:tcPr>
          <w:p w14:paraId="06B77BE5">
            <w:pPr>
              <w:spacing w:line="360" w:lineRule="auto"/>
              <w:jc w:val="left"/>
              <w:rPr>
                <w:rFonts w:ascii="宋体" w:hAnsi="宋体" w:cs="宋体"/>
                <w:sz w:val="24"/>
                <w:highlight w:val="none"/>
              </w:rPr>
            </w:pPr>
            <w:r>
              <w:rPr>
                <w:rFonts w:hint="eastAsia" w:ascii="宋体" w:hAnsi="宋体" w:cs="宋体"/>
                <w:sz w:val="24"/>
                <w:highlight w:val="none"/>
              </w:rPr>
              <w:t>对项目现状的理解程度，对采购需求的分析等。</w:t>
            </w:r>
          </w:p>
          <w:p w14:paraId="4818AA73">
            <w:pPr>
              <w:spacing w:line="360" w:lineRule="auto"/>
              <w:ind w:hanging="10"/>
              <w:jc w:val="left"/>
              <w:rPr>
                <w:rFonts w:ascii="宋体" w:hAnsi="宋体" w:cs="宋体"/>
                <w:sz w:val="24"/>
                <w:highlight w:val="none"/>
              </w:rPr>
            </w:pPr>
            <w:r>
              <w:rPr>
                <w:rFonts w:hint="eastAsia" w:ascii="宋体" w:hAnsi="宋体" w:cs="宋体"/>
                <w:sz w:val="24"/>
                <w:highlight w:val="none"/>
              </w:rPr>
              <w:t>对项目理解程度高，能够详尽分析项目现状或采购需求的重点难点等，得10分；</w:t>
            </w:r>
          </w:p>
          <w:p w14:paraId="754FE8B2">
            <w:pPr>
              <w:spacing w:line="360" w:lineRule="auto"/>
              <w:jc w:val="left"/>
              <w:rPr>
                <w:rFonts w:ascii="宋体" w:hAnsi="宋体" w:cs="宋体"/>
                <w:sz w:val="24"/>
                <w:highlight w:val="none"/>
              </w:rPr>
            </w:pPr>
            <w:r>
              <w:rPr>
                <w:rFonts w:hint="eastAsia" w:ascii="宋体" w:hAnsi="宋体" w:cs="宋体"/>
                <w:sz w:val="24"/>
                <w:highlight w:val="none"/>
              </w:rPr>
              <w:t>对项目理解程度较高，对项目现状或采购需求的分析较好，个别方面分析稍有欠缺，得7分；</w:t>
            </w:r>
          </w:p>
          <w:p w14:paraId="159EFC96">
            <w:pPr>
              <w:spacing w:line="360" w:lineRule="auto"/>
              <w:jc w:val="left"/>
              <w:rPr>
                <w:rFonts w:ascii="宋体" w:hAnsi="宋体" w:cs="宋体"/>
                <w:sz w:val="24"/>
                <w:highlight w:val="none"/>
              </w:rPr>
            </w:pPr>
            <w:r>
              <w:rPr>
                <w:rFonts w:hint="eastAsia" w:ascii="宋体" w:hAnsi="宋体" w:cs="宋体"/>
                <w:sz w:val="24"/>
                <w:highlight w:val="none"/>
              </w:rPr>
              <w:t>对项目理解程度一般，对项目实施或后续沟通会造成一定风险的，得3分；</w:t>
            </w:r>
          </w:p>
          <w:p w14:paraId="0F4CCD27">
            <w:pPr>
              <w:spacing w:line="360" w:lineRule="auto"/>
              <w:jc w:val="left"/>
              <w:rPr>
                <w:rFonts w:ascii="宋体" w:hAnsi="宋体" w:cs="宋体"/>
                <w:sz w:val="24"/>
                <w:highlight w:val="none"/>
              </w:rPr>
            </w:pPr>
            <w:r>
              <w:rPr>
                <w:rFonts w:hint="eastAsia" w:ascii="宋体" w:hAnsi="宋体" w:cs="宋体"/>
                <w:sz w:val="24"/>
                <w:highlight w:val="none"/>
              </w:rPr>
              <w:t>对项目理解程度较差，对项目实施可能会造成较大影响的，得1分。</w:t>
            </w:r>
          </w:p>
          <w:p w14:paraId="10670FA9">
            <w:pPr>
              <w:spacing w:line="360" w:lineRule="auto"/>
              <w:jc w:val="left"/>
              <w:rPr>
                <w:rFonts w:ascii="宋体" w:hAnsi="宋体" w:cs="宋体"/>
                <w:sz w:val="24"/>
                <w:highlight w:val="none"/>
                <w:lang w:val="zh-CN"/>
              </w:rPr>
            </w:pPr>
            <w:r>
              <w:rPr>
                <w:rFonts w:hint="eastAsia" w:ascii="宋体" w:hAnsi="宋体" w:cs="宋体"/>
                <w:sz w:val="24"/>
                <w:highlight w:val="none"/>
              </w:rPr>
              <w:t>未提供不得分。</w:t>
            </w:r>
          </w:p>
        </w:tc>
      </w:tr>
      <w:tr w14:paraId="17C0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0" w:hRule="atLeast"/>
          <w:jc w:val="center"/>
        </w:trPr>
        <w:tc>
          <w:tcPr>
            <w:tcW w:w="422" w:type="pct"/>
            <w:tcBorders>
              <w:left w:val="single" w:color="auto" w:sz="4" w:space="0"/>
              <w:bottom w:val="single" w:color="auto" w:sz="4" w:space="0"/>
              <w:right w:val="single" w:color="auto" w:sz="4" w:space="0"/>
            </w:tcBorders>
            <w:vAlign w:val="center"/>
          </w:tcPr>
          <w:p w14:paraId="47AED15A">
            <w:pPr>
              <w:pStyle w:val="16"/>
              <w:spacing w:line="360" w:lineRule="auto"/>
              <w:ind w:firstLine="0" w:firstLineChars="0"/>
              <w:contextualSpacing/>
              <w:jc w:val="center"/>
              <w:rPr>
                <w:rFonts w:ascii="宋体" w:eastAsia="宋体" w:cs="宋体"/>
                <w:sz w:val="24"/>
                <w:szCs w:val="24"/>
              </w:rPr>
            </w:pPr>
            <w:r>
              <w:rPr>
                <w:rFonts w:hint="eastAsia" w:ascii="宋体" w:eastAsia="宋体" w:cs="宋体"/>
                <w:sz w:val="24"/>
                <w:szCs w:val="24"/>
              </w:rPr>
              <w:t>2</w:t>
            </w:r>
          </w:p>
        </w:tc>
        <w:tc>
          <w:tcPr>
            <w:tcW w:w="701" w:type="pct"/>
            <w:tcBorders>
              <w:left w:val="single" w:color="auto" w:sz="4" w:space="0"/>
              <w:bottom w:val="single" w:color="auto" w:sz="4" w:space="0"/>
              <w:right w:val="single" w:color="auto" w:sz="4" w:space="0"/>
            </w:tcBorders>
            <w:vAlign w:val="center"/>
          </w:tcPr>
          <w:p w14:paraId="18A248A2">
            <w:pPr>
              <w:spacing w:line="360" w:lineRule="auto"/>
              <w:jc w:val="center"/>
              <w:rPr>
                <w:rFonts w:ascii="宋体" w:hAnsi="宋体" w:cs="宋体"/>
                <w:sz w:val="24"/>
                <w:highlight w:val="none"/>
              </w:rPr>
            </w:pPr>
            <w:r>
              <w:rPr>
                <w:rFonts w:hint="eastAsia" w:ascii="宋体" w:hAnsi="宋体" w:cs="宋体"/>
                <w:snapToGrid w:val="0"/>
                <w:kern w:val="0"/>
                <w:sz w:val="24"/>
                <w:highlight w:val="none"/>
              </w:rPr>
              <w:t>服务方案及服务承诺</w:t>
            </w:r>
          </w:p>
        </w:tc>
        <w:tc>
          <w:tcPr>
            <w:tcW w:w="397" w:type="pct"/>
            <w:tcBorders>
              <w:top w:val="single" w:color="auto" w:sz="4" w:space="0"/>
              <w:left w:val="single" w:color="auto" w:sz="4" w:space="0"/>
              <w:bottom w:val="single" w:color="auto" w:sz="4" w:space="0"/>
              <w:right w:val="single" w:color="auto" w:sz="4" w:space="0"/>
            </w:tcBorders>
            <w:vAlign w:val="center"/>
          </w:tcPr>
          <w:p w14:paraId="24C927A6">
            <w:pPr>
              <w:spacing w:line="360" w:lineRule="auto"/>
              <w:jc w:val="center"/>
              <w:rPr>
                <w:rFonts w:ascii="宋体" w:hAnsi="宋体" w:cs="宋体"/>
                <w:sz w:val="24"/>
                <w:highlight w:val="none"/>
              </w:rPr>
            </w:pPr>
            <w:r>
              <w:rPr>
                <w:rFonts w:hint="eastAsia" w:ascii="宋体" w:hAnsi="宋体" w:cs="宋体"/>
                <w:sz w:val="24"/>
                <w:highlight w:val="none"/>
              </w:rPr>
              <w:t>20</w:t>
            </w:r>
          </w:p>
        </w:tc>
        <w:tc>
          <w:tcPr>
            <w:tcW w:w="3479" w:type="pct"/>
            <w:tcBorders>
              <w:top w:val="single" w:color="auto" w:sz="4" w:space="0"/>
              <w:left w:val="single" w:color="auto" w:sz="4" w:space="0"/>
              <w:bottom w:val="single" w:color="auto" w:sz="4" w:space="0"/>
              <w:right w:val="single" w:color="auto" w:sz="4" w:space="0"/>
            </w:tcBorders>
            <w:vAlign w:val="center"/>
          </w:tcPr>
          <w:p w14:paraId="5402D901">
            <w:pPr>
              <w:spacing w:line="360" w:lineRule="auto"/>
              <w:rPr>
                <w:rFonts w:ascii="宋体" w:hAnsi="宋体" w:cs="宋体"/>
                <w:sz w:val="24"/>
                <w:highlight w:val="none"/>
              </w:rPr>
            </w:pPr>
            <w:r>
              <w:rPr>
                <w:rFonts w:hint="eastAsia" w:ascii="宋体" w:hAnsi="宋体" w:cs="宋体"/>
                <w:sz w:val="24"/>
                <w:highlight w:val="none"/>
              </w:rPr>
              <w:t>方案有针对性，对采购需求可以及时响应和满足，服务响应迅速、服务内容有一定深度，满足或优于项目需求，能提供建设性意见，服务承诺完整合理，具备可行性得20分；</w:t>
            </w:r>
          </w:p>
          <w:p w14:paraId="0C4BE311">
            <w:pPr>
              <w:spacing w:line="360" w:lineRule="auto"/>
              <w:rPr>
                <w:rFonts w:ascii="宋体" w:hAnsi="宋体" w:cs="宋体"/>
                <w:sz w:val="24"/>
                <w:highlight w:val="none"/>
              </w:rPr>
            </w:pPr>
            <w:r>
              <w:rPr>
                <w:rFonts w:hint="eastAsia" w:ascii="宋体" w:hAnsi="宋体" w:cs="宋体"/>
                <w:sz w:val="24"/>
                <w:highlight w:val="none"/>
              </w:rPr>
              <w:t>方案较有针对性，服务响应较及时、服务内容全面，能满足项目需求，服务承诺较为合理可行得15分；</w:t>
            </w:r>
          </w:p>
          <w:p w14:paraId="5652C5A3">
            <w:pPr>
              <w:spacing w:line="360" w:lineRule="auto"/>
              <w:rPr>
                <w:rFonts w:ascii="宋体" w:hAnsi="宋体" w:cs="宋体"/>
                <w:sz w:val="24"/>
                <w:highlight w:val="none"/>
              </w:rPr>
            </w:pPr>
            <w:r>
              <w:rPr>
                <w:rFonts w:hint="eastAsia" w:ascii="宋体" w:hAnsi="宋体" w:cs="宋体"/>
                <w:sz w:val="24"/>
                <w:highlight w:val="none"/>
              </w:rPr>
              <w:t>方案欠缺针对性，对采购需求的响应和满足不充分，服务响应时间较长、服务内容欠缺，对项目需求的满足存在一定偏差，服务承诺的合理性与可行性一般得10分；</w:t>
            </w:r>
          </w:p>
          <w:p w14:paraId="4074DC7A">
            <w:pPr>
              <w:spacing w:line="360" w:lineRule="auto"/>
              <w:rPr>
                <w:rFonts w:ascii="宋体" w:hAnsi="宋体" w:cs="宋体"/>
                <w:sz w:val="24"/>
                <w:highlight w:val="none"/>
              </w:rPr>
            </w:pPr>
            <w:r>
              <w:rPr>
                <w:rFonts w:hint="eastAsia" w:ascii="宋体" w:hAnsi="宋体" w:cs="宋体"/>
                <w:sz w:val="24"/>
                <w:highlight w:val="none"/>
              </w:rPr>
              <w:t>服务方案较笼统和简略，服务响应描述含糊不清晰，不能满足项目需求，服务承诺的合理性与可行性较差得5分；</w:t>
            </w:r>
          </w:p>
          <w:p w14:paraId="5E3AFB20">
            <w:pPr>
              <w:spacing w:line="360" w:lineRule="auto"/>
              <w:rPr>
                <w:rFonts w:ascii="宋体" w:hAnsi="宋体" w:cs="宋体"/>
                <w:sz w:val="24"/>
                <w:highlight w:val="none"/>
                <w:lang w:val="zh-CN"/>
              </w:rPr>
            </w:pPr>
            <w:r>
              <w:rPr>
                <w:rFonts w:hint="eastAsia" w:ascii="宋体" w:hAnsi="宋体" w:cs="宋体"/>
                <w:sz w:val="24"/>
                <w:highlight w:val="none"/>
              </w:rPr>
              <w:t>未提供不得分。</w:t>
            </w:r>
          </w:p>
        </w:tc>
      </w:tr>
      <w:tr w14:paraId="08CA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5" w:hRule="atLeast"/>
          <w:jc w:val="center"/>
        </w:trPr>
        <w:tc>
          <w:tcPr>
            <w:tcW w:w="422" w:type="pct"/>
            <w:tcBorders>
              <w:left w:val="single" w:color="auto" w:sz="4" w:space="0"/>
              <w:bottom w:val="single" w:color="auto" w:sz="4" w:space="0"/>
              <w:right w:val="single" w:color="auto" w:sz="4" w:space="0"/>
            </w:tcBorders>
            <w:vAlign w:val="center"/>
          </w:tcPr>
          <w:p w14:paraId="5F60DFD6">
            <w:pPr>
              <w:pStyle w:val="16"/>
              <w:spacing w:line="360" w:lineRule="auto"/>
              <w:ind w:firstLine="0" w:firstLineChars="0"/>
              <w:contextualSpacing/>
              <w:jc w:val="center"/>
              <w:rPr>
                <w:rFonts w:ascii="宋体" w:eastAsia="宋体" w:cs="宋体"/>
                <w:sz w:val="24"/>
                <w:szCs w:val="24"/>
              </w:rPr>
            </w:pPr>
            <w:r>
              <w:rPr>
                <w:rFonts w:hint="eastAsia" w:ascii="宋体" w:eastAsia="宋体" w:cs="宋体"/>
                <w:sz w:val="24"/>
                <w:szCs w:val="24"/>
              </w:rPr>
              <w:t>3</w:t>
            </w:r>
          </w:p>
        </w:tc>
        <w:tc>
          <w:tcPr>
            <w:tcW w:w="701" w:type="pct"/>
            <w:tcBorders>
              <w:left w:val="single" w:color="auto" w:sz="4" w:space="0"/>
              <w:bottom w:val="single" w:color="auto" w:sz="4" w:space="0"/>
              <w:right w:val="single" w:color="auto" w:sz="4" w:space="0"/>
            </w:tcBorders>
            <w:vAlign w:val="center"/>
          </w:tcPr>
          <w:p w14:paraId="2277F6E6">
            <w:pPr>
              <w:spacing w:line="360" w:lineRule="auto"/>
              <w:jc w:val="center"/>
              <w:rPr>
                <w:rFonts w:ascii="宋体" w:hAnsi="宋体" w:cs="宋体"/>
                <w:sz w:val="24"/>
                <w:highlight w:val="none"/>
              </w:rPr>
            </w:pPr>
            <w:r>
              <w:rPr>
                <w:rFonts w:hint="eastAsia" w:ascii="宋体" w:hAnsi="宋体" w:cs="宋体"/>
                <w:snapToGrid w:val="0"/>
                <w:kern w:val="0"/>
                <w:sz w:val="24"/>
                <w:highlight w:val="none"/>
              </w:rPr>
              <w:t>质量保证措施</w:t>
            </w:r>
          </w:p>
        </w:tc>
        <w:tc>
          <w:tcPr>
            <w:tcW w:w="397" w:type="pct"/>
            <w:tcBorders>
              <w:top w:val="single" w:color="auto" w:sz="4" w:space="0"/>
              <w:left w:val="single" w:color="auto" w:sz="4" w:space="0"/>
              <w:bottom w:val="single" w:color="auto" w:sz="4" w:space="0"/>
              <w:right w:val="single" w:color="auto" w:sz="4" w:space="0"/>
            </w:tcBorders>
            <w:vAlign w:val="center"/>
          </w:tcPr>
          <w:p w14:paraId="6F47AD71">
            <w:pPr>
              <w:spacing w:line="360" w:lineRule="auto"/>
              <w:jc w:val="center"/>
              <w:rPr>
                <w:rFonts w:ascii="宋体" w:hAnsi="宋体" w:cs="宋体"/>
                <w:sz w:val="24"/>
                <w:highlight w:val="none"/>
              </w:rPr>
            </w:pPr>
            <w:r>
              <w:rPr>
                <w:rFonts w:hint="eastAsia" w:ascii="宋体" w:hAnsi="宋体" w:cs="宋体"/>
                <w:sz w:val="24"/>
                <w:highlight w:val="none"/>
              </w:rPr>
              <w:t>20</w:t>
            </w:r>
          </w:p>
        </w:tc>
        <w:tc>
          <w:tcPr>
            <w:tcW w:w="3479" w:type="pct"/>
            <w:tcBorders>
              <w:top w:val="single" w:color="auto" w:sz="4" w:space="0"/>
              <w:left w:val="single" w:color="auto" w:sz="4" w:space="0"/>
              <w:bottom w:val="single" w:color="auto" w:sz="4" w:space="0"/>
              <w:right w:val="single" w:color="auto" w:sz="4" w:space="0"/>
            </w:tcBorders>
            <w:vAlign w:val="center"/>
          </w:tcPr>
          <w:p w14:paraId="2BD5CABA">
            <w:pPr>
              <w:spacing w:line="360" w:lineRule="auto"/>
              <w:rPr>
                <w:rFonts w:ascii="宋体" w:hAnsi="宋体" w:cs="宋体"/>
                <w:sz w:val="24"/>
                <w:highlight w:val="none"/>
                <w:lang w:val="zh-CN" w:eastAsia="zh-Hans"/>
              </w:rPr>
            </w:pPr>
            <w:r>
              <w:rPr>
                <w:rFonts w:hint="eastAsia" w:ascii="宋体" w:hAnsi="宋体" w:cs="宋体"/>
                <w:sz w:val="24"/>
                <w:highlight w:val="none"/>
                <w:lang w:val="zh-CN" w:eastAsia="zh-Hans"/>
              </w:rPr>
              <w:t>质量保证措施方案合理，内容详细，措施完善，可行性强，技术支撑能力强，完全满足或优于</w:t>
            </w:r>
            <w:r>
              <w:rPr>
                <w:rFonts w:hint="eastAsia" w:ascii="宋体" w:hAnsi="宋体" w:cs="宋体"/>
                <w:sz w:val="24"/>
                <w:highlight w:val="none"/>
              </w:rPr>
              <w:t>采购</w:t>
            </w:r>
            <w:r>
              <w:rPr>
                <w:rFonts w:hint="eastAsia" w:ascii="宋体" w:hAnsi="宋体" w:cs="宋体"/>
                <w:sz w:val="24"/>
                <w:highlight w:val="none"/>
                <w:lang w:val="zh-CN" w:eastAsia="zh-Hans"/>
              </w:rPr>
              <w:t>要求，得</w:t>
            </w:r>
            <w:r>
              <w:rPr>
                <w:rFonts w:hint="eastAsia" w:ascii="宋体" w:hAnsi="宋体" w:cs="宋体"/>
                <w:sz w:val="24"/>
                <w:highlight w:val="none"/>
              </w:rPr>
              <w:t>20</w:t>
            </w:r>
            <w:r>
              <w:rPr>
                <w:rFonts w:hint="eastAsia" w:ascii="宋体" w:hAnsi="宋体" w:cs="宋体"/>
                <w:sz w:val="24"/>
                <w:highlight w:val="none"/>
                <w:lang w:val="zh-CN" w:eastAsia="zh-Hans"/>
              </w:rPr>
              <w:t>分；</w:t>
            </w:r>
          </w:p>
          <w:p w14:paraId="43CF1304">
            <w:pPr>
              <w:spacing w:line="360" w:lineRule="auto"/>
              <w:rPr>
                <w:rFonts w:ascii="宋体" w:hAnsi="宋体" w:cs="宋体"/>
                <w:sz w:val="24"/>
                <w:highlight w:val="none"/>
                <w:lang w:val="zh-CN" w:eastAsia="zh-Hans"/>
              </w:rPr>
            </w:pPr>
            <w:r>
              <w:rPr>
                <w:rFonts w:hint="eastAsia" w:ascii="宋体" w:hAnsi="宋体" w:cs="宋体"/>
                <w:sz w:val="24"/>
                <w:highlight w:val="none"/>
                <w:lang w:val="zh-CN" w:eastAsia="zh-Hans"/>
              </w:rPr>
              <w:t>质量保证措施方案较合理，内容较详细，措施合理，可行性较好，技术支持能力一般，基本满足</w:t>
            </w:r>
            <w:r>
              <w:rPr>
                <w:rFonts w:hint="eastAsia" w:ascii="宋体" w:hAnsi="宋体" w:cs="宋体"/>
                <w:sz w:val="24"/>
                <w:highlight w:val="none"/>
              </w:rPr>
              <w:t>采购</w:t>
            </w:r>
            <w:r>
              <w:rPr>
                <w:rFonts w:hint="eastAsia" w:ascii="宋体" w:hAnsi="宋体" w:cs="宋体"/>
                <w:sz w:val="24"/>
                <w:highlight w:val="none"/>
                <w:lang w:val="zh-CN" w:eastAsia="zh-Hans"/>
              </w:rPr>
              <w:t>要求，得</w:t>
            </w:r>
            <w:r>
              <w:rPr>
                <w:rFonts w:hint="eastAsia" w:ascii="宋体" w:hAnsi="宋体" w:cs="宋体"/>
                <w:sz w:val="24"/>
                <w:highlight w:val="none"/>
              </w:rPr>
              <w:t>15</w:t>
            </w:r>
            <w:r>
              <w:rPr>
                <w:rFonts w:hint="eastAsia" w:ascii="宋体" w:hAnsi="宋体" w:cs="宋体"/>
                <w:sz w:val="24"/>
                <w:highlight w:val="none"/>
                <w:lang w:val="zh-CN" w:eastAsia="zh-Hans"/>
              </w:rPr>
              <w:t>分；</w:t>
            </w:r>
          </w:p>
          <w:p w14:paraId="7A196B4C">
            <w:pPr>
              <w:spacing w:line="360" w:lineRule="auto"/>
              <w:rPr>
                <w:rFonts w:ascii="宋体" w:hAnsi="宋体" w:cs="宋体"/>
                <w:sz w:val="24"/>
                <w:highlight w:val="none"/>
                <w:lang w:val="zh-CN" w:eastAsia="zh-Hans"/>
              </w:rPr>
            </w:pPr>
            <w:r>
              <w:rPr>
                <w:rFonts w:hint="eastAsia" w:ascii="宋体" w:hAnsi="宋体" w:cs="宋体"/>
                <w:sz w:val="24"/>
                <w:highlight w:val="none"/>
                <w:lang w:val="zh-CN" w:eastAsia="zh-Hans"/>
              </w:rPr>
              <w:t>质量保证措施方案内容有遗漏，措施欠合理，可行性较差，技术支持能力较差，得</w:t>
            </w:r>
            <w:r>
              <w:rPr>
                <w:rFonts w:hint="eastAsia" w:ascii="宋体" w:hAnsi="宋体" w:cs="宋体"/>
                <w:sz w:val="24"/>
                <w:highlight w:val="none"/>
              </w:rPr>
              <w:t>10</w:t>
            </w:r>
            <w:r>
              <w:rPr>
                <w:rFonts w:hint="eastAsia" w:ascii="宋体" w:hAnsi="宋体" w:cs="宋体"/>
                <w:sz w:val="24"/>
                <w:highlight w:val="none"/>
                <w:lang w:val="zh-CN" w:eastAsia="zh-Hans"/>
              </w:rPr>
              <w:t>分；</w:t>
            </w:r>
          </w:p>
          <w:p w14:paraId="3C364390">
            <w:pPr>
              <w:spacing w:line="360" w:lineRule="auto"/>
              <w:rPr>
                <w:rFonts w:ascii="宋体" w:hAnsi="宋体" w:cs="宋体"/>
                <w:sz w:val="24"/>
                <w:highlight w:val="none"/>
              </w:rPr>
            </w:pPr>
            <w:r>
              <w:rPr>
                <w:rFonts w:hint="eastAsia" w:ascii="宋体" w:hAnsi="宋体" w:cs="宋体"/>
                <w:sz w:val="24"/>
                <w:highlight w:val="none"/>
              </w:rPr>
              <w:t>未提供不得分。</w:t>
            </w:r>
          </w:p>
        </w:tc>
      </w:tr>
      <w:tr w14:paraId="17AD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0" w:hRule="atLeast"/>
          <w:jc w:val="center"/>
        </w:trPr>
        <w:tc>
          <w:tcPr>
            <w:tcW w:w="422" w:type="pct"/>
            <w:tcBorders>
              <w:left w:val="single" w:color="auto" w:sz="4" w:space="0"/>
              <w:right w:val="single" w:color="auto" w:sz="4" w:space="0"/>
            </w:tcBorders>
            <w:vAlign w:val="center"/>
          </w:tcPr>
          <w:p w14:paraId="63B594F6">
            <w:pPr>
              <w:pStyle w:val="16"/>
              <w:spacing w:line="360" w:lineRule="auto"/>
              <w:ind w:firstLine="0" w:firstLineChars="0"/>
              <w:contextualSpacing/>
              <w:jc w:val="center"/>
              <w:rPr>
                <w:rFonts w:ascii="宋体" w:eastAsia="宋体" w:cs="宋体"/>
                <w:sz w:val="24"/>
                <w:szCs w:val="24"/>
              </w:rPr>
            </w:pPr>
            <w:r>
              <w:rPr>
                <w:rFonts w:hint="eastAsia" w:ascii="宋体" w:eastAsia="宋体" w:cs="宋体"/>
                <w:sz w:val="24"/>
                <w:szCs w:val="24"/>
              </w:rPr>
              <w:t>4</w:t>
            </w:r>
          </w:p>
        </w:tc>
        <w:tc>
          <w:tcPr>
            <w:tcW w:w="701" w:type="pct"/>
            <w:tcBorders>
              <w:left w:val="single" w:color="auto" w:sz="4" w:space="0"/>
              <w:right w:val="single" w:color="auto" w:sz="4" w:space="0"/>
            </w:tcBorders>
            <w:vAlign w:val="center"/>
          </w:tcPr>
          <w:p w14:paraId="48209595">
            <w:pPr>
              <w:spacing w:line="360" w:lineRule="auto"/>
              <w:jc w:val="center"/>
              <w:rPr>
                <w:rFonts w:ascii="宋体" w:hAnsi="宋体" w:cs="宋体"/>
                <w:sz w:val="24"/>
                <w:highlight w:val="none"/>
              </w:rPr>
            </w:pPr>
            <w:r>
              <w:rPr>
                <w:rFonts w:hint="eastAsia" w:ascii="宋体" w:hAnsi="宋体" w:cs="宋体"/>
                <w:spacing w:val="6"/>
                <w:sz w:val="24"/>
                <w:highlight w:val="none"/>
              </w:rPr>
              <w:t>硬件设备</w:t>
            </w:r>
          </w:p>
        </w:tc>
        <w:tc>
          <w:tcPr>
            <w:tcW w:w="397" w:type="pct"/>
            <w:tcBorders>
              <w:left w:val="single" w:color="auto" w:sz="4" w:space="0"/>
              <w:right w:val="single" w:color="auto" w:sz="4" w:space="0"/>
            </w:tcBorders>
            <w:vAlign w:val="center"/>
          </w:tcPr>
          <w:p w14:paraId="25174468">
            <w:pPr>
              <w:spacing w:line="360" w:lineRule="auto"/>
              <w:jc w:val="center"/>
              <w:rPr>
                <w:rFonts w:ascii="宋体" w:hAnsi="宋体" w:cs="宋体"/>
                <w:sz w:val="24"/>
                <w:highlight w:val="none"/>
              </w:rPr>
            </w:pPr>
            <w:r>
              <w:rPr>
                <w:rFonts w:hint="eastAsia" w:ascii="宋体" w:hAnsi="宋体" w:cs="宋体"/>
                <w:sz w:val="24"/>
                <w:highlight w:val="none"/>
              </w:rPr>
              <w:t>10</w:t>
            </w:r>
          </w:p>
        </w:tc>
        <w:tc>
          <w:tcPr>
            <w:tcW w:w="3479" w:type="pct"/>
            <w:tcBorders>
              <w:top w:val="single" w:color="auto" w:sz="4" w:space="0"/>
              <w:left w:val="single" w:color="auto" w:sz="4" w:space="0"/>
              <w:right w:val="single" w:color="auto" w:sz="4" w:space="0"/>
            </w:tcBorders>
            <w:vAlign w:val="center"/>
          </w:tcPr>
          <w:p w14:paraId="08A80401">
            <w:pPr>
              <w:spacing w:line="360" w:lineRule="auto"/>
              <w:rPr>
                <w:rFonts w:ascii="宋体" w:hAnsi="宋体" w:cs="宋体"/>
                <w:sz w:val="24"/>
                <w:highlight w:val="none"/>
                <w:lang w:val="zh-CN" w:eastAsia="zh-Hans"/>
              </w:rPr>
            </w:pPr>
            <w:r>
              <w:rPr>
                <w:rFonts w:hint="eastAsia" w:ascii="宋体" w:hAnsi="宋体" w:cs="宋体"/>
                <w:sz w:val="24"/>
                <w:highlight w:val="none"/>
                <w:lang w:val="zh-CN" w:eastAsia="zh-Hans"/>
              </w:rPr>
              <w:t>针对供应商提供的，用于本项目的设备（设备附图）性能参数、质量等进行综合评审：</w:t>
            </w:r>
          </w:p>
          <w:p w14:paraId="30AE5303">
            <w:pPr>
              <w:spacing w:line="360" w:lineRule="auto"/>
              <w:rPr>
                <w:rFonts w:ascii="宋体" w:hAnsi="宋体" w:cs="宋体"/>
                <w:sz w:val="24"/>
                <w:highlight w:val="none"/>
                <w:lang w:val="zh-CN" w:eastAsia="zh-Hans"/>
              </w:rPr>
            </w:pPr>
            <w:r>
              <w:rPr>
                <w:rFonts w:hint="eastAsia" w:ascii="宋体" w:hAnsi="宋体" w:cs="宋体"/>
                <w:sz w:val="24"/>
                <w:highlight w:val="none"/>
                <w:lang w:val="zh-CN" w:eastAsia="zh-Hans"/>
              </w:rPr>
              <w:t>性能优、质量好、保障项目实施得</w:t>
            </w:r>
            <w:r>
              <w:rPr>
                <w:rFonts w:hint="eastAsia" w:ascii="宋体" w:hAnsi="宋体" w:cs="宋体"/>
                <w:sz w:val="24"/>
                <w:highlight w:val="none"/>
              </w:rPr>
              <w:t>10</w:t>
            </w:r>
            <w:r>
              <w:rPr>
                <w:rFonts w:hint="eastAsia" w:ascii="宋体" w:hAnsi="宋体" w:cs="宋体"/>
                <w:sz w:val="24"/>
                <w:highlight w:val="none"/>
                <w:lang w:val="zh-CN" w:eastAsia="zh-Hans"/>
              </w:rPr>
              <w:t>分；</w:t>
            </w:r>
          </w:p>
          <w:p w14:paraId="2AB359DB">
            <w:pPr>
              <w:spacing w:line="360" w:lineRule="auto"/>
              <w:rPr>
                <w:rFonts w:ascii="宋体" w:hAnsi="宋体" w:cs="宋体"/>
                <w:sz w:val="24"/>
                <w:highlight w:val="none"/>
                <w:lang w:val="zh-CN" w:eastAsia="zh-Hans"/>
              </w:rPr>
            </w:pPr>
            <w:r>
              <w:rPr>
                <w:rFonts w:hint="eastAsia" w:ascii="宋体" w:hAnsi="宋体" w:cs="宋体"/>
                <w:sz w:val="24"/>
                <w:highlight w:val="none"/>
                <w:lang w:val="zh-CN" w:eastAsia="zh-Hans"/>
              </w:rPr>
              <w:t>性能及质量较好，基本满足项目实施得</w:t>
            </w:r>
            <w:r>
              <w:rPr>
                <w:rFonts w:hint="eastAsia" w:ascii="宋体" w:hAnsi="宋体" w:cs="宋体"/>
                <w:sz w:val="24"/>
                <w:highlight w:val="none"/>
              </w:rPr>
              <w:t>7</w:t>
            </w:r>
            <w:r>
              <w:rPr>
                <w:rFonts w:hint="eastAsia" w:ascii="宋体" w:hAnsi="宋体" w:cs="宋体"/>
                <w:sz w:val="24"/>
                <w:highlight w:val="none"/>
                <w:lang w:val="zh-CN" w:eastAsia="zh-Hans"/>
              </w:rPr>
              <w:t>分；</w:t>
            </w:r>
          </w:p>
          <w:p w14:paraId="3D8AF023">
            <w:pPr>
              <w:spacing w:line="360" w:lineRule="auto"/>
              <w:rPr>
                <w:rFonts w:ascii="宋体" w:hAnsi="宋体" w:cs="宋体"/>
                <w:sz w:val="24"/>
                <w:highlight w:val="none"/>
                <w:lang w:val="zh-CN" w:eastAsia="zh-Hans"/>
              </w:rPr>
            </w:pPr>
            <w:r>
              <w:rPr>
                <w:rFonts w:hint="eastAsia" w:ascii="宋体" w:hAnsi="宋体" w:cs="宋体"/>
                <w:sz w:val="24"/>
                <w:highlight w:val="none"/>
                <w:lang w:val="zh-CN" w:eastAsia="zh-Hans"/>
              </w:rPr>
              <w:t>设备性能及质量有欠缺，对项目实施可能产生影响得</w:t>
            </w:r>
            <w:r>
              <w:rPr>
                <w:rFonts w:hint="eastAsia" w:ascii="宋体" w:hAnsi="宋体" w:cs="宋体"/>
                <w:sz w:val="24"/>
                <w:highlight w:val="none"/>
              </w:rPr>
              <w:t>2</w:t>
            </w:r>
            <w:r>
              <w:rPr>
                <w:rFonts w:hint="eastAsia" w:ascii="宋体" w:hAnsi="宋体" w:cs="宋体"/>
                <w:sz w:val="24"/>
                <w:highlight w:val="none"/>
                <w:lang w:val="zh-CN" w:eastAsia="zh-Hans"/>
              </w:rPr>
              <w:t>分。</w:t>
            </w:r>
          </w:p>
          <w:p w14:paraId="162B56CB">
            <w:pPr>
              <w:spacing w:line="360" w:lineRule="auto"/>
              <w:rPr>
                <w:rFonts w:ascii="宋体" w:hAnsi="宋体" w:cs="宋体"/>
                <w:sz w:val="24"/>
                <w:highlight w:val="none"/>
                <w:lang w:val="zh-CN"/>
              </w:rPr>
            </w:pPr>
            <w:r>
              <w:rPr>
                <w:rFonts w:hint="eastAsia" w:ascii="宋体" w:hAnsi="宋体" w:cs="宋体"/>
                <w:sz w:val="24"/>
                <w:highlight w:val="none"/>
              </w:rPr>
              <w:t>未提供不得分。</w:t>
            </w:r>
          </w:p>
        </w:tc>
      </w:tr>
      <w:tr w14:paraId="773E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422" w:type="pct"/>
            <w:tcBorders>
              <w:left w:val="single" w:color="auto" w:sz="4" w:space="0"/>
              <w:right w:val="single" w:color="auto" w:sz="4" w:space="0"/>
            </w:tcBorders>
            <w:vAlign w:val="center"/>
          </w:tcPr>
          <w:p w14:paraId="7295F197">
            <w:pPr>
              <w:pStyle w:val="16"/>
              <w:spacing w:line="360" w:lineRule="auto"/>
              <w:ind w:firstLine="0" w:firstLineChars="0"/>
              <w:contextualSpacing/>
              <w:jc w:val="center"/>
              <w:rPr>
                <w:rFonts w:ascii="宋体" w:eastAsia="宋体" w:cs="宋体"/>
                <w:sz w:val="24"/>
                <w:szCs w:val="24"/>
              </w:rPr>
            </w:pPr>
            <w:r>
              <w:rPr>
                <w:rFonts w:hint="eastAsia" w:ascii="宋体" w:eastAsia="宋体" w:cs="宋体"/>
                <w:sz w:val="24"/>
                <w:szCs w:val="24"/>
              </w:rPr>
              <w:t>5</w:t>
            </w:r>
          </w:p>
        </w:tc>
        <w:tc>
          <w:tcPr>
            <w:tcW w:w="701" w:type="pct"/>
            <w:tcBorders>
              <w:left w:val="single" w:color="auto" w:sz="4" w:space="0"/>
              <w:right w:val="single" w:color="auto" w:sz="4" w:space="0"/>
            </w:tcBorders>
            <w:vAlign w:val="center"/>
          </w:tcPr>
          <w:p w14:paraId="7D621CE5">
            <w:pPr>
              <w:spacing w:line="360" w:lineRule="auto"/>
              <w:jc w:val="center"/>
              <w:rPr>
                <w:rFonts w:ascii="宋体" w:hAnsi="宋体" w:cs="宋体"/>
                <w:sz w:val="24"/>
                <w:highlight w:val="none"/>
                <w:lang w:val="zh-CN"/>
              </w:rPr>
            </w:pPr>
            <w:r>
              <w:rPr>
                <w:rFonts w:hint="eastAsia" w:ascii="宋体" w:hAnsi="宋体" w:cs="宋体"/>
                <w:sz w:val="24"/>
                <w:highlight w:val="none"/>
              </w:rPr>
              <w:t>服务团队实力</w:t>
            </w:r>
          </w:p>
        </w:tc>
        <w:tc>
          <w:tcPr>
            <w:tcW w:w="397" w:type="pct"/>
            <w:tcBorders>
              <w:left w:val="single" w:color="auto" w:sz="4" w:space="0"/>
              <w:right w:val="single" w:color="auto" w:sz="4" w:space="0"/>
            </w:tcBorders>
            <w:vAlign w:val="center"/>
          </w:tcPr>
          <w:p w14:paraId="37FB84E3">
            <w:pPr>
              <w:spacing w:line="360" w:lineRule="auto"/>
              <w:jc w:val="center"/>
              <w:rPr>
                <w:rFonts w:ascii="宋体" w:hAnsi="宋体" w:cs="宋体"/>
                <w:sz w:val="24"/>
                <w:highlight w:val="none"/>
              </w:rPr>
            </w:pPr>
            <w:r>
              <w:rPr>
                <w:rFonts w:hint="eastAsia" w:ascii="宋体" w:hAnsi="宋体" w:cs="宋体"/>
                <w:sz w:val="24"/>
                <w:highlight w:val="none"/>
              </w:rPr>
              <w:t>5</w:t>
            </w:r>
          </w:p>
        </w:tc>
        <w:tc>
          <w:tcPr>
            <w:tcW w:w="3479" w:type="pct"/>
            <w:tcBorders>
              <w:top w:val="single" w:color="auto" w:sz="4" w:space="0"/>
              <w:left w:val="single" w:color="auto" w:sz="4" w:space="0"/>
              <w:bottom w:val="single" w:color="auto" w:sz="4" w:space="0"/>
              <w:right w:val="single" w:color="auto" w:sz="4" w:space="0"/>
            </w:tcBorders>
            <w:vAlign w:val="center"/>
          </w:tcPr>
          <w:p w14:paraId="4725D081">
            <w:pPr>
              <w:spacing w:line="360" w:lineRule="auto"/>
              <w:rPr>
                <w:rFonts w:ascii="宋体" w:hAnsi="宋体" w:cs="宋体"/>
                <w:sz w:val="24"/>
                <w:highlight w:val="none"/>
                <w:lang w:val="zh-CN" w:eastAsia="zh-Hans"/>
              </w:rPr>
            </w:pPr>
            <w:r>
              <w:rPr>
                <w:rFonts w:hint="eastAsia" w:ascii="宋体" w:hAnsi="宋体" w:cs="宋体"/>
                <w:sz w:val="24"/>
                <w:highlight w:val="none"/>
                <w:lang w:val="zh-CN" w:eastAsia="zh-Hans"/>
              </w:rPr>
              <w:t>评审要点：投入本项目的人员情况，保证按照项目要求按时完成各项工作，人员配置是否全面合理、分工是否合理。</w:t>
            </w:r>
          </w:p>
          <w:p w14:paraId="10BCCF1D">
            <w:pPr>
              <w:spacing w:line="360" w:lineRule="auto"/>
              <w:rPr>
                <w:rFonts w:ascii="宋体" w:hAnsi="宋体" w:cs="宋体"/>
                <w:sz w:val="24"/>
                <w:highlight w:val="none"/>
                <w:lang w:val="zh-CN" w:eastAsia="zh-Hans"/>
              </w:rPr>
            </w:pPr>
            <w:r>
              <w:rPr>
                <w:rFonts w:hint="eastAsia" w:ascii="宋体" w:hAnsi="宋体" w:cs="宋体"/>
                <w:sz w:val="24"/>
                <w:highlight w:val="none"/>
                <w:lang w:val="zh-CN" w:eastAsia="zh-Hans"/>
              </w:rPr>
              <w:t>人员配置全面合理、分工明确、人员相关资质证书比较齐全，得5分；</w:t>
            </w:r>
          </w:p>
          <w:p w14:paraId="366254BE">
            <w:pPr>
              <w:spacing w:line="360" w:lineRule="auto"/>
              <w:rPr>
                <w:rFonts w:ascii="宋体" w:hAnsi="宋体" w:cs="宋体"/>
                <w:sz w:val="24"/>
                <w:highlight w:val="none"/>
                <w:lang w:val="zh-CN" w:eastAsia="zh-Hans"/>
              </w:rPr>
            </w:pPr>
            <w:r>
              <w:rPr>
                <w:rFonts w:hint="eastAsia" w:ascii="宋体" w:hAnsi="宋体" w:cs="宋体"/>
                <w:sz w:val="24"/>
                <w:highlight w:val="none"/>
                <w:lang w:val="zh-CN" w:eastAsia="zh-Hans"/>
              </w:rPr>
              <w:t>人员配置比较全面合理、分工比较明确、人员相关资质证书一般，得4分；</w:t>
            </w:r>
          </w:p>
          <w:p w14:paraId="7559C241">
            <w:pPr>
              <w:spacing w:line="360" w:lineRule="auto"/>
              <w:rPr>
                <w:rFonts w:ascii="宋体" w:hAnsi="宋体" w:cs="宋体"/>
                <w:sz w:val="24"/>
                <w:highlight w:val="none"/>
                <w:lang w:val="zh-CN" w:eastAsia="zh-Hans"/>
              </w:rPr>
            </w:pPr>
            <w:r>
              <w:rPr>
                <w:rFonts w:hint="eastAsia" w:ascii="宋体" w:hAnsi="宋体" w:cs="宋体"/>
                <w:sz w:val="24"/>
                <w:highlight w:val="none"/>
                <w:lang w:val="zh-CN" w:eastAsia="zh-Hans"/>
              </w:rPr>
              <w:t>人员配置情况一般、分工基本明确、人员相关资质证书比较少，得2分；</w:t>
            </w:r>
          </w:p>
          <w:p w14:paraId="0F7E3186">
            <w:pPr>
              <w:spacing w:line="360" w:lineRule="auto"/>
              <w:rPr>
                <w:rFonts w:ascii="宋体" w:hAnsi="宋体" w:cs="宋体"/>
                <w:sz w:val="24"/>
                <w:highlight w:val="none"/>
                <w:lang w:val="zh-CN"/>
              </w:rPr>
            </w:pPr>
            <w:r>
              <w:rPr>
                <w:rFonts w:hint="eastAsia" w:ascii="宋体" w:hAnsi="宋体" w:cs="宋体"/>
                <w:sz w:val="24"/>
                <w:highlight w:val="none"/>
                <w:lang w:val="zh-CN" w:eastAsia="zh-Hans"/>
              </w:rPr>
              <w:t>人员配置情况较差、分工含糊、人员无相关资质证书或非常少，得1分；</w:t>
            </w:r>
          </w:p>
        </w:tc>
      </w:tr>
      <w:tr w14:paraId="3445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422" w:type="pct"/>
            <w:tcBorders>
              <w:left w:val="single" w:color="auto" w:sz="4" w:space="0"/>
              <w:right w:val="single" w:color="auto" w:sz="4" w:space="0"/>
            </w:tcBorders>
            <w:vAlign w:val="center"/>
          </w:tcPr>
          <w:p w14:paraId="39FACE07">
            <w:pPr>
              <w:pStyle w:val="16"/>
              <w:spacing w:line="360" w:lineRule="auto"/>
              <w:ind w:firstLine="0" w:firstLineChars="0"/>
              <w:contextualSpacing/>
              <w:jc w:val="center"/>
              <w:rPr>
                <w:rFonts w:ascii="宋体" w:eastAsia="宋体" w:cs="宋体"/>
                <w:sz w:val="24"/>
                <w:szCs w:val="24"/>
              </w:rPr>
            </w:pPr>
            <w:r>
              <w:rPr>
                <w:rFonts w:hint="eastAsia" w:ascii="宋体" w:eastAsia="宋体" w:cs="宋体"/>
                <w:sz w:val="24"/>
                <w:szCs w:val="24"/>
              </w:rPr>
              <w:t>6</w:t>
            </w:r>
          </w:p>
        </w:tc>
        <w:tc>
          <w:tcPr>
            <w:tcW w:w="701" w:type="pct"/>
            <w:tcBorders>
              <w:left w:val="single" w:color="auto" w:sz="4" w:space="0"/>
              <w:right w:val="single" w:color="auto" w:sz="4" w:space="0"/>
            </w:tcBorders>
            <w:vAlign w:val="center"/>
          </w:tcPr>
          <w:p w14:paraId="65BEB3B0">
            <w:pPr>
              <w:spacing w:line="360" w:lineRule="auto"/>
              <w:jc w:val="center"/>
              <w:rPr>
                <w:rFonts w:ascii="宋体" w:hAnsi="宋体" w:cs="宋体"/>
                <w:sz w:val="24"/>
                <w:highlight w:val="none"/>
                <w:lang w:val="zh-CN"/>
              </w:rPr>
            </w:pPr>
            <w:r>
              <w:rPr>
                <w:rFonts w:hint="eastAsia" w:ascii="宋体" w:hAnsi="宋体" w:cs="宋体"/>
                <w:snapToGrid w:val="0"/>
                <w:kern w:val="0"/>
                <w:sz w:val="24"/>
                <w:highlight w:val="none"/>
              </w:rPr>
              <w:t>企业业绩</w:t>
            </w:r>
          </w:p>
        </w:tc>
        <w:tc>
          <w:tcPr>
            <w:tcW w:w="397" w:type="pct"/>
            <w:tcBorders>
              <w:left w:val="single" w:color="auto" w:sz="4" w:space="0"/>
              <w:right w:val="single" w:color="auto" w:sz="4" w:space="0"/>
            </w:tcBorders>
            <w:vAlign w:val="center"/>
          </w:tcPr>
          <w:p w14:paraId="60005C46">
            <w:pPr>
              <w:spacing w:line="360" w:lineRule="auto"/>
              <w:jc w:val="center"/>
              <w:rPr>
                <w:rFonts w:ascii="宋体" w:hAnsi="宋体" w:cs="宋体"/>
                <w:sz w:val="24"/>
                <w:highlight w:val="none"/>
              </w:rPr>
            </w:pPr>
            <w:r>
              <w:rPr>
                <w:rFonts w:hint="eastAsia" w:ascii="宋体" w:hAnsi="宋体" w:cs="宋体"/>
                <w:sz w:val="24"/>
                <w:highlight w:val="none"/>
              </w:rPr>
              <w:t>10</w:t>
            </w:r>
          </w:p>
        </w:tc>
        <w:tc>
          <w:tcPr>
            <w:tcW w:w="3479" w:type="pct"/>
            <w:tcBorders>
              <w:top w:val="single" w:color="auto" w:sz="4" w:space="0"/>
              <w:left w:val="single" w:color="auto" w:sz="4" w:space="0"/>
              <w:bottom w:val="single" w:color="auto" w:sz="4" w:space="0"/>
              <w:right w:val="single" w:color="auto" w:sz="4" w:space="0"/>
            </w:tcBorders>
            <w:vAlign w:val="center"/>
          </w:tcPr>
          <w:p w14:paraId="08E0D482">
            <w:pPr>
              <w:spacing w:line="360" w:lineRule="auto"/>
              <w:jc w:val="left"/>
              <w:rPr>
                <w:rFonts w:ascii="宋体" w:hAnsi="宋体" w:cs="宋体"/>
                <w:sz w:val="24"/>
                <w:highlight w:val="none"/>
                <w:lang w:val="zh-CN"/>
              </w:rPr>
            </w:pPr>
            <w:r>
              <w:rPr>
                <w:rFonts w:hint="eastAsia" w:ascii="宋体" w:hAnsi="宋体" w:cs="宋体"/>
                <w:sz w:val="24"/>
                <w:highlight w:val="none"/>
              </w:rPr>
              <w:t>供应商提供自2022年2月1日以来（以合同签订日期为准），承担过类似店招标牌安全检测服务的。每提供1个得2分，最高得10分。以合同复印件或许协议等证明材料为准。复印件要求字体和印章清晰（部分保密内容可进行隐藏处理），如提供复印件不清晰而无法辨认，则评审时将不予认可。</w:t>
            </w:r>
          </w:p>
        </w:tc>
      </w:tr>
      <w:tr w14:paraId="5245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422" w:type="pct"/>
            <w:tcBorders>
              <w:left w:val="single" w:color="auto" w:sz="4" w:space="0"/>
              <w:right w:val="single" w:color="auto" w:sz="4" w:space="0"/>
            </w:tcBorders>
            <w:vAlign w:val="center"/>
          </w:tcPr>
          <w:p w14:paraId="5B35F1E7">
            <w:pPr>
              <w:pStyle w:val="16"/>
              <w:spacing w:line="360" w:lineRule="auto"/>
              <w:ind w:firstLine="0" w:firstLineChars="0"/>
              <w:contextualSpacing/>
              <w:jc w:val="center"/>
              <w:rPr>
                <w:rFonts w:ascii="宋体" w:eastAsia="宋体" w:cs="宋体"/>
                <w:sz w:val="24"/>
                <w:szCs w:val="24"/>
                <w:highlight w:val="none"/>
              </w:rPr>
            </w:pPr>
            <w:r>
              <w:rPr>
                <w:rFonts w:hint="eastAsia" w:ascii="宋体" w:eastAsia="宋体" w:cs="宋体"/>
                <w:sz w:val="24"/>
                <w:szCs w:val="24"/>
                <w:highlight w:val="none"/>
              </w:rPr>
              <w:t>7</w:t>
            </w:r>
          </w:p>
        </w:tc>
        <w:tc>
          <w:tcPr>
            <w:tcW w:w="701" w:type="pct"/>
            <w:tcBorders>
              <w:left w:val="single" w:color="auto" w:sz="4" w:space="0"/>
              <w:right w:val="single" w:color="auto" w:sz="4" w:space="0"/>
            </w:tcBorders>
            <w:vAlign w:val="center"/>
          </w:tcPr>
          <w:p w14:paraId="3F8E0296">
            <w:pPr>
              <w:spacing w:line="360" w:lineRule="auto"/>
              <w:jc w:val="center"/>
              <w:rPr>
                <w:rFonts w:ascii="宋体" w:hAnsi="宋体" w:cs="宋体"/>
                <w:sz w:val="24"/>
                <w:highlight w:val="none"/>
                <w:lang w:val="zh-CN"/>
              </w:rPr>
            </w:pPr>
            <w:r>
              <w:rPr>
                <w:rFonts w:hint="eastAsia" w:ascii="宋体" w:hAnsi="宋体" w:cs="宋体"/>
                <w:sz w:val="24"/>
                <w:highlight w:val="none"/>
              </w:rPr>
              <w:t>企业延伸服务</w:t>
            </w:r>
          </w:p>
        </w:tc>
        <w:tc>
          <w:tcPr>
            <w:tcW w:w="397" w:type="pct"/>
            <w:tcBorders>
              <w:left w:val="single" w:color="auto" w:sz="4" w:space="0"/>
              <w:right w:val="single" w:color="auto" w:sz="4" w:space="0"/>
            </w:tcBorders>
            <w:vAlign w:val="center"/>
          </w:tcPr>
          <w:p w14:paraId="4605FBE6">
            <w:pPr>
              <w:spacing w:line="360" w:lineRule="auto"/>
              <w:jc w:val="center"/>
              <w:rPr>
                <w:rFonts w:ascii="宋体" w:hAnsi="宋体" w:cs="宋体"/>
                <w:sz w:val="24"/>
                <w:highlight w:val="none"/>
              </w:rPr>
            </w:pPr>
            <w:r>
              <w:rPr>
                <w:rFonts w:hint="eastAsia" w:ascii="宋体" w:hAnsi="宋体" w:cs="宋体"/>
                <w:sz w:val="24"/>
                <w:highlight w:val="none"/>
              </w:rPr>
              <w:t>5</w:t>
            </w:r>
          </w:p>
        </w:tc>
        <w:tc>
          <w:tcPr>
            <w:tcW w:w="3479" w:type="pct"/>
            <w:tcBorders>
              <w:top w:val="single" w:color="auto" w:sz="4" w:space="0"/>
              <w:left w:val="single" w:color="auto" w:sz="4" w:space="0"/>
              <w:bottom w:val="single" w:color="auto" w:sz="4" w:space="0"/>
              <w:right w:val="single" w:color="auto" w:sz="4" w:space="0"/>
            </w:tcBorders>
            <w:vAlign w:val="center"/>
          </w:tcPr>
          <w:p w14:paraId="6E9D845D">
            <w:pPr>
              <w:spacing w:line="360" w:lineRule="auto"/>
              <w:rPr>
                <w:rFonts w:ascii="宋体" w:hAnsi="宋体" w:cs="宋体"/>
                <w:sz w:val="24"/>
                <w:highlight w:val="none"/>
              </w:rPr>
            </w:pPr>
            <w:r>
              <w:rPr>
                <w:rFonts w:hint="eastAsia" w:ascii="宋体" w:hAnsi="宋体" w:cs="宋体"/>
                <w:sz w:val="24"/>
                <w:highlight w:val="none"/>
              </w:rPr>
              <w:t>针对本采购项目所提供的延伸服务等。</w:t>
            </w:r>
          </w:p>
          <w:p w14:paraId="2BEBCD83">
            <w:pPr>
              <w:spacing w:line="360" w:lineRule="auto"/>
              <w:rPr>
                <w:rFonts w:ascii="宋体" w:hAnsi="宋体" w:cs="宋体"/>
                <w:sz w:val="24"/>
                <w:highlight w:val="none"/>
              </w:rPr>
            </w:pPr>
            <w:r>
              <w:rPr>
                <w:rFonts w:hint="eastAsia" w:ascii="宋体" w:hAnsi="宋体" w:cs="宋体"/>
                <w:sz w:val="24"/>
                <w:highlight w:val="none"/>
              </w:rPr>
              <w:t>自合同签订之日起一年内提供2次巡查服务的得5分；</w:t>
            </w:r>
          </w:p>
          <w:p w14:paraId="1037D975">
            <w:pPr>
              <w:spacing w:line="360" w:lineRule="auto"/>
              <w:rPr>
                <w:rFonts w:ascii="宋体" w:hAnsi="宋体" w:cs="宋体"/>
                <w:sz w:val="24"/>
                <w:highlight w:val="none"/>
              </w:rPr>
            </w:pPr>
            <w:r>
              <w:rPr>
                <w:rFonts w:hint="eastAsia" w:ascii="宋体" w:hAnsi="宋体" w:cs="宋体"/>
                <w:sz w:val="24"/>
                <w:highlight w:val="none"/>
              </w:rPr>
              <w:t>自合同签订之日起一年内提供1次巡查服务的得2分。</w:t>
            </w:r>
          </w:p>
          <w:p w14:paraId="499E2031">
            <w:pPr>
              <w:spacing w:line="360" w:lineRule="auto"/>
              <w:rPr>
                <w:rFonts w:ascii="宋体" w:hAnsi="宋体" w:cs="宋体"/>
                <w:sz w:val="24"/>
                <w:highlight w:val="none"/>
              </w:rPr>
            </w:pPr>
            <w:r>
              <w:rPr>
                <w:rFonts w:hint="eastAsia" w:ascii="宋体" w:hAnsi="宋体" w:cs="宋体"/>
                <w:sz w:val="24"/>
                <w:highlight w:val="none"/>
              </w:rPr>
              <w:t>注：须提供承诺书（承诺书内容须至少体现巡查服务），格式自拟。</w:t>
            </w:r>
          </w:p>
        </w:tc>
      </w:tr>
    </w:tbl>
    <w:p w14:paraId="599428C0">
      <w:pPr>
        <w:spacing w:line="360" w:lineRule="auto"/>
        <w:rPr>
          <w:rFonts w:ascii="宋体" w:hAnsi="宋体" w:cs="宋体"/>
          <w:b/>
          <w:bCs/>
          <w:sz w:val="24"/>
          <w:highlight w:val="none"/>
        </w:rPr>
      </w:pPr>
      <w:r>
        <w:rPr>
          <w:rFonts w:hint="eastAsia" w:ascii="宋体" w:hAnsi="宋体" w:cs="宋体"/>
          <w:b/>
          <w:bCs/>
          <w:sz w:val="24"/>
          <w:highlight w:val="none"/>
        </w:rPr>
        <w:t>备注：商务技术分不满40分的，作无效投标文件处理。</w:t>
      </w:r>
    </w:p>
    <w:p w14:paraId="23EC41AB">
      <w:pPr>
        <w:autoSpaceDE w:val="0"/>
        <w:autoSpaceDN w:val="0"/>
        <w:adjustRightInd w:val="0"/>
        <w:snapToGrid w:val="0"/>
        <w:spacing w:line="360" w:lineRule="auto"/>
        <w:rPr>
          <w:rFonts w:ascii="宋体" w:hAnsi="宋体" w:cs="宋体"/>
          <w:b/>
          <w:sz w:val="24"/>
        </w:rPr>
      </w:pPr>
      <w:r>
        <w:rPr>
          <w:rFonts w:hint="eastAsia" w:ascii="宋体" w:hAnsi="宋体" w:cs="宋体"/>
          <w:b/>
          <w:sz w:val="24"/>
        </w:rPr>
        <w:t>（四）</w:t>
      </w:r>
      <w:r>
        <w:rPr>
          <w:rFonts w:hint="eastAsia" w:ascii="宋体" w:hAnsi="宋体" w:cs="宋体"/>
          <w:b/>
          <w:sz w:val="24"/>
          <w:lang w:val="zh-CN"/>
        </w:rPr>
        <w:t>价格分</w:t>
      </w:r>
      <w:r>
        <w:rPr>
          <w:rFonts w:hint="eastAsia" w:ascii="宋体" w:hAnsi="宋体" w:cs="宋体"/>
          <w:b/>
          <w:sz w:val="24"/>
        </w:rPr>
        <w:t>：20</w:t>
      </w:r>
      <w:r>
        <w:rPr>
          <w:rFonts w:hint="eastAsia" w:ascii="宋体" w:hAnsi="宋体" w:cs="宋体"/>
          <w:b/>
          <w:sz w:val="24"/>
          <w:lang w:val="zh-CN"/>
        </w:rPr>
        <w:t>分</w:t>
      </w:r>
    </w:p>
    <w:p w14:paraId="399FF086">
      <w:pPr>
        <w:pStyle w:val="18"/>
        <w:adjustRightInd/>
        <w:spacing w:before="0" w:after="0"/>
        <w:ind w:left="0" w:right="0" w:firstLineChars="200"/>
        <w:jc w:val="both"/>
        <w:rPr>
          <w:rFonts w:ascii="宋体" w:hAnsi="宋体" w:cs="宋体"/>
          <w:bCs/>
        </w:rPr>
      </w:pPr>
      <w:r>
        <w:rPr>
          <w:rFonts w:hint="eastAsia" w:ascii="宋体" w:hAnsi="宋体" w:cs="宋体"/>
          <w:bCs/>
        </w:rPr>
        <w:t>价格分统一采用低价优先法计算，即满足磋商文件要求且</w:t>
      </w:r>
      <w:r>
        <w:rPr>
          <w:rFonts w:hint="eastAsia" w:ascii="宋体" w:hAnsi="宋体" w:cs="宋体"/>
          <w:b/>
        </w:rPr>
        <w:t>报价最低</w:t>
      </w:r>
      <w:r>
        <w:rPr>
          <w:rFonts w:hint="eastAsia" w:ascii="宋体" w:hAnsi="宋体" w:cs="宋体"/>
          <w:bCs/>
        </w:rPr>
        <w:t>的供应商的价格为磋商基准价，其价格分为满分。其他供应商的价格分统一按照下列公式计算：</w:t>
      </w:r>
    </w:p>
    <w:p w14:paraId="47DB0F62">
      <w:pPr>
        <w:pStyle w:val="18"/>
        <w:adjustRightInd/>
        <w:spacing w:before="0" w:after="0"/>
        <w:ind w:left="0" w:right="0" w:firstLineChars="200"/>
        <w:jc w:val="both"/>
        <w:rPr>
          <w:rFonts w:ascii="宋体" w:hAnsi="宋体" w:cs="宋体"/>
          <w:bCs/>
        </w:rPr>
      </w:pPr>
      <w:r>
        <w:rPr>
          <w:rFonts w:hint="eastAsia" w:ascii="宋体" w:hAnsi="宋体" w:cs="宋体"/>
          <w:bCs/>
        </w:rPr>
        <w:t>磋商报价得分=（磋商基准价/</w:t>
      </w:r>
      <w:r>
        <w:rPr>
          <w:rFonts w:hint="eastAsia" w:ascii="宋体" w:hAnsi="宋体" w:cs="宋体"/>
          <w:b/>
        </w:rPr>
        <w:t>最后磋商报价</w:t>
      </w:r>
      <w:r>
        <w:rPr>
          <w:rFonts w:hint="eastAsia" w:ascii="宋体" w:hAnsi="宋体" w:cs="宋体"/>
          <w:bCs/>
        </w:rPr>
        <w:t>）×20%×100</w:t>
      </w:r>
    </w:p>
    <w:p w14:paraId="3F425BEC">
      <w:pPr>
        <w:adjustRightInd w:val="0"/>
        <w:snapToGrid w:val="0"/>
        <w:spacing w:line="360" w:lineRule="auto"/>
        <w:ind w:firstLine="570"/>
        <w:rPr>
          <w:rFonts w:ascii="宋体" w:hAnsi="宋体" w:cs="宋体"/>
          <w:bCs/>
          <w:sz w:val="24"/>
        </w:rPr>
      </w:pPr>
      <w:r>
        <w:rPr>
          <w:rFonts w:hint="eastAsia" w:ascii="宋体" w:hAnsi="宋体" w:cs="宋体"/>
          <w:b/>
          <w:sz w:val="24"/>
        </w:rPr>
        <w:t>（</w:t>
      </w:r>
      <w:r>
        <w:rPr>
          <w:rFonts w:hint="eastAsia" w:ascii="宋体" w:hAnsi="宋体" w:cs="宋体"/>
          <w:b/>
          <w:sz w:val="24"/>
          <w:lang w:val="en-US" w:eastAsia="zh-CN"/>
        </w:rPr>
        <w:t>五</w:t>
      </w:r>
      <w:r>
        <w:rPr>
          <w:rFonts w:hint="eastAsia" w:ascii="宋体" w:hAnsi="宋体" w:cs="宋体"/>
          <w:b/>
          <w:sz w:val="24"/>
        </w:rPr>
        <w:t>）成交供应商的确定</w:t>
      </w:r>
    </w:p>
    <w:p w14:paraId="6FCD4DC4">
      <w:pPr>
        <w:adjustRightInd w:val="0"/>
        <w:snapToGrid w:val="0"/>
        <w:spacing w:line="360" w:lineRule="auto"/>
        <w:ind w:firstLine="475" w:firstLineChars="198"/>
        <w:rPr>
          <w:rFonts w:ascii="宋体" w:hAnsi="宋体" w:cs="宋体"/>
          <w:sz w:val="24"/>
        </w:rPr>
      </w:pPr>
      <w:r>
        <w:rPr>
          <w:rFonts w:hint="eastAsia" w:ascii="宋体" w:hAnsi="宋体" w:cs="宋体"/>
          <w:sz w:val="24"/>
        </w:rPr>
        <w:t>①各投标人的商务技术标、价格标得分之和为其总得分；</w:t>
      </w:r>
    </w:p>
    <w:p w14:paraId="322D3AA9">
      <w:pPr>
        <w:adjustRightInd w:val="0"/>
        <w:snapToGrid w:val="0"/>
        <w:spacing w:line="360" w:lineRule="auto"/>
        <w:ind w:firstLine="475" w:firstLineChars="198"/>
        <w:rPr>
          <w:rFonts w:ascii="宋体" w:hAnsi="宋体" w:cs="宋体"/>
          <w:sz w:val="24"/>
        </w:rPr>
      </w:pPr>
      <w:r>
        <w:rPr>
          <w:rFonts w:hint="eastAsia" w:ascii="宋体" w:hAnsi="宋体" w:cs="宋体"/>
          <w:sz w:val="24"/>
        </w:rPr>
        <w:t>②由评标委员会按照总得分由高到低进行排序，综合得分最高者推荐为第一中标候选人。</w:t>
      </w:r>
    </w:p>
    <w:p w14:paraId="0C3032F3">
      <w:pPr>
        <w:adjustRightInd w:val="0"/>
        <w:snapToGrid w:val="0"/>
        <w:spacing w:line="360" w:lineRule="auto"/>
        <w:ind w:firstLine="475" w:firstLineChars="198"/>
        <w:rPr>
          <w:rFonts w:ascii="宋体" w:hAnsi="宋体" w:cs="宋体"/>
          <w:sz w:val="24"/>
        </w:rPr>
      </w:pPr>
      <w:r>
        <w:rPr>
          <w:rFonts w:hint="eastAsia" w:ascii="宋体" w:hAnsi="宋体" w:cs="宋体"/>
          <w:sz w:val="24"/>
        </w:rPr>
        <w:t>③若总得分者有相同时，则投标报价较低者排名优先，均相同时则通过抽签方式随机确定第一中标候选人。</w:t>
      </w:r>
    </w:p>
    <w:p w14:paraId="301F47AE">
      <w:pPr>
        <w:adjustRightInd w:val="0"/>
        <w:snapToGrid w:val="0"/>
        <w:spacing w:line="360" w:lineRule="auto"/>
        <w:ind w:firstLine="477" w:firstLineChars="198"/>
        <w:rPr>
          <w:rFonts w:ascii="宋体" w:hAnsi="宋体" w:cs="宋体"/>
          <w:b/>
          <w:sz w:val="24"/>
        </w:rPr>
      </w:pPr>
      <w:r>
        <w:rPr>
          <w:rFonts w:hint="eastAsia" w:ascii="宋体" w:hAnsi="宋体" w:cs="宋体"/>
          <w:b/>
          <w:sz w:val="24"/>
        </w:rPr>
        <w:t>（</w:t>
      </w:r>
      <w:r>
        <w:rPr>
          <w:rFonts w:hint="eastAsia" w:ascii="宋体" w:hAnsi="宋体" w:cs="宋体"/>
          <w:b/>
          <w:sz w:val="24"/>
          <w:lang w:val="en-US" w:eastAsia="zh-CN"/>
        </w:rPr>
        <w:t>六</w:t>
      </w:r>
      <w:r>
        <w:rPr>
          <w:rFonts w:hint="eastAsia" w:ascii="宋体" w:hAnsi="宋体" w:cs="宋体"/>
          <w:b/>
          <w:sz w:val="24"/>
        </w:rPr>
        <w:t>）采购人代表宣布评审结果。</w:t>
      </w:r>
    </w:p>
    <w:p w14:paraId="3B0DA8EA">
      <w:pPr>
        <w:adjustRightInd w:val="0"/>
        <w:snapToGrid w:val="0"/>
        <w:spacing w:line="360" w:lineRule="auto"/>
        <w:ind w:firstLine="482" w:firstLineChars="200"/>
        <w:rPr>
          <w:rFonts w:ascii="宋体" w:hAnsi="宋体" w:cs="宋体"/>
          <w:b/>
          <w:sz w:val="24"/>
        </w:rPr>
      </w:pPr>
      <w:r>
        <w:rPr>
          <w:rFonts w:hint="eastAsia" w:ascii="宋体" w:hAnsi="宋体" w:cs="宋体"/>
          <w:b/>
          <w:sz w:val="24"/>
        </w:rPr>
        <w:t>（</w:t>
      </w:r>
      <w:r>
        <w:rPr>
          <w:rFonts w:hint="eastAsia" w:ascii="宋体" w:hAnsi="宋体" w:cs="宋体"/>
          <w:b/>
          <w:sz w:val="24"/>
          <w:lang w:val="en-US" w:eastAsia="zh-CN"/>
        </w:rPr>
        <w:t>七</w:t>
      </w:r>
      <w:r>
        <w:rPr>
          <w:rFonts w:hint="eastAsia" w:ascii="宋体" w:hAnsi="宋体" w:cs="宋体"/>
          <w:b/>
          <w:sz w:val="24"/>
        </w:rPr>
        <w:t>）公告成交结果</w:t>
      </w:r>
    </w:p>
    <w:p w14:paraId="1615F685">
      <w:pPr>
        <w:adjustRightInd w:val="0"/>
        <w:snapToGrid w:val="0"/>
        <w:spacing w:line="360" w:lineRule="auto"/>
        <w:ind w:firstLine="570"/>
        <w:rPr>
          <w:rFonts w:ascii="宋体" w:hAnsi="宋体" w:cs="宋体"/>
          <w:sz w:val="24"/>
        </w:rPr>
      </w:pPr>
      <w:r>
        <w:rPr>
          <w:rFonts w:hint="eastAsia" w:ascii="宋体" w:hAnsi="宋体" w:cs="宋体"/>
          <w:sz w:val="24"/>
        </w:rPr>
        <w:t>自确定成交供应商之日起2个工作日内，在南通市崇川区人民政府网公告成交结果，公告期限为1个工作日。</w:t>
      </w:r>
    </w:p>
    <w:p w14:paraId="639F1A2A">
      <w:pPr>
        <w:adjustRightInd w:val="0"/>
        <w:snapToGrid w:val="0"/>
        <w:spacing w:line="360" w:lineRule="auto"/>
        <w:ind w:firstLine="482" w:firstLineChars="200"/>
        <w:rPr>
          <w:rFonts w:ascii="宋体" w:hAnsi="宋体" w:cs="宋体"/>
          <w:b/>
          <w:bCs/>
          <w:sz w:val="24"/>
        </w:rPr>
      </w:pPr>
      <w:r>
        <w:rPr>
          <w:rFonts w:hint="eastAsia" w:ascii="宋体" w:hAnsi="宋体" w:cs="宋体"/>
          <w:b/>
          <w:sz w:val="24"/>
        </w:rPr>
        <w:t>（</w:t>
      </w:r>
      <w:r>
        <w:rPr>
          <w:rFonts w:hint="eastAsia" w:ascii="宋体" w:hAnsi="宋体" w:cs="宋体"/>
          <w:b/>
          <w:bCs/>
          <w:sz w:val="24"/>
        </w:rPr>
        <w:t>八</w:t>
      </w:r>
      <w:r>
        <w:rPr>
          <w:rFonts w:hint="eastAsia" w:ascii="宋体" w:hAnsi="宋体" w:cs="宋体"/>
          <w:b/>
          <w:sz w:val="24"/>
        </w:rPr>
        <w:t>）</w:t>
      </w:r>
      <w:r>
        <w:rPr>
          <w:rFonts w:hint="eastAsia" w:ascii="宋体" w:hAnsi="宋体" w:cs="宋体"/>
          <w:b/>
          <w:bCs/>
          <w:sz w:val="24"/>
        </w:rPr>
        <w:t>发放成交通知书</w:t>
      </w:r>
    </w:p>
    <w:p w14:paraId="69BBB2E5">
      <w:pPr>
        <w:adjustRightInd w:val="0"/>
        <w:snapToGrid w:val="0"/>
        <w:spacing w:line="360" w:lineRule="auto"/>
        <w:ind w:firstLine="480" w:firstLineChars="200"/>
        <w:rPr>
          <w:rFonts w:ascii="宋体" w:hAnsi="宋体" w:cs="宋体"/>
          <w:bCs/>
          <w:sz w:val="24"/>
        </w:rPr>
      </w:pPr>
      <w:r>
        <w:rPr>
          <w:rFonts w:hint="eastAsia" w:ascii="宋体" w:hAnsi="宋体" w:cs="宋体"/>
          <w:sz w:val="24"/>
        </w:rPr>
        <w:t>公告成交结果的同时，采购中心</w:t>
      </w:r>
      <w:r>
        <w:rPr>
          <w:rFonts w:hint="eastAsia" w:ascii="宋体" w:hAnsi="宋体" w:cs="宋体"/>
          <w:bCs/>
          <w:sz w:val="24"/>
        </w:rPr>
        <w:t>向成交供应商发放成交通知书。</w:t>
      </w:r>
    </w:p>
    <w:p w14:paraId="60CADBC6">
      <w:pPr>
        <w:adjustRightInd w:val="0"/>
        <w:snapToGrid w:val="0"/>
        <w:spacing w:line="360" w:lineRule="auto"/>
        <w:ind w:firstLine="480" w:firstLineChars="200"/>
        <w:rPr>
          <w:rFonts w:ascii="宋体" w:hAnsi="宋体" w:cs="宋体"/>
          <w:b/>
          <w:sz w:val="24"/>
        </w:rPr>
      </w:pPr>
      <w:r>
        <w:rPr>
          <w:rFonts w:hint="eastAsia" w:ascii="宋体" w:hAnsi="宋体" w:cs="宋体"/>
          <w:sz w:val="24"/>
        </w:rPr>
        <w:t>成交通知书发出后，采购人不得违法改变成交结果，成交供应商无正当理由不得放弃成交。</w:t>
      </w:r>
    </w:p>
    <w:p w14:paraId="615E19F0">
      <w:pPr>
        <w:adjustRightInd w:val="0"/>
        <w:snapToGrid w:val="0"/>
        <w:spacing w:line="360" w:lineRule="auto"/>
        <w:ind w:firstLine="480" w:firstLineChars="200"/>
        <w:rPr>
          <w:rFonts w:ascii="宋体" w:hAnsi="宋体" w:cs="宋体"/>
          <w:sz w:val="24"/>
        </w:rPr>
      </w:pPr>
      <w:r>
        <w:rPr>
          <w:rFonts w:hint="eastAsia" w:ascii="宋体" w:hAnsi="宋体" w:cs="宋体"/>
          <w:sz w:val="24"/>
        </w:rPr>
        <w:t>（九）若中标人毁标或在中标结果公示期间被查证确实存在影响中标结果的违法违规行为等情形，不符合中标条件的，中标人的投标保证金不予退还，并记不良记录一次，同时，采购人可以按照评标委员会提出的中标候选人名单排序依次确定其他中标候选人为中标人，也可依法重新招标。</w:t>
      </w:r>
    </w:p>
    <w:p w14:paraId="7215F250">
      <w:pPr>
        <w:adjustRightInd w:val="0"/>
        <w:snapToGrid w:val="0"/>
        <w:spacing w:line="360" w:lineRule="auto"/>
        <w:ind w:firstLine="480" w:firstLineChars="200"/>
        <w:rPr>
          <w:rFonts w:ascii="宋体" w:hAnsi="宋体" w:cs="宋体"/>
          <w:sz w:val="24"/>
        </w:rPr>
      </w:pPr>
      <w:r>
        <w:rPr>
          <w:rFonts w:hint="eastAsia" w:ascii="宋体" w:hAnsi="宋体" w:cs="宋体"/>
          <w:sz w:val="24"/>
        </w:rPr>
        <w:t>本办法未尽事宜，由评标委员会依据相关法规研究确定。</w:t>
      </w:r>
    </w:p>
    <w:p w14:paraId="4EFDD701">
      <w:pPr>
        <w:adjustRightInd w:val="0"/>
        <w:snapToGrid w:val="0"/>
        <w:spacing w:line="360" w:lineRule="auto"/>
        <w:ind w:firstLine="480" w:firstLineChars="200"/>
        <w:jc w:val="center"/>
        <w:rPr>
          <w:rFonts w:ascii="宋体" w:hAnsi="宋体" w:cs="宋体"/>
          <w:bCs/>
          <w:sz w:val="24"/>
        </w:rPr>
      </w:pPr>
      <w:r>
        <w:rPr>
          <w:rFonts w:hint="eastAsia" w:ascii="宋体" w:hAnsi="宋体" w:cs="宋体"/>
          <w:sz w:val="24"/>
        </w:rPr>
        <w:br w:type="page"/>
      </w:r>
      <w:r>
        <w:rPr>
          <w:rFonts w:hint="eastAsia" w:ascii="宋体" w:hAnsi="宋体" w:cs="宋体"/>
          <w:b/>
          <w:sz w:val="32"/>
          <w:szCs w:val="32"/>
        </w:rPr>
        <w:t>第五部分  响应文件组成</w:t>
      </w:r>
    </w:p>
    <w:p w14:paraId="7B2E2996">
      <w:pPr>
        <w:adjustRightInd w:val="0"/>
        <w:snapToGrid w:val="0"/>
        <w:spacing w:line="360" w:lineRule="auto"/>
        <w:jc w:val="left"/>
        <w:rPr>
          <w:rFonts w:ascii="宋体" w:hAnsi="宋体" w:cs="宋体"/>
          <w:b/>
          <w:sz w:val="24"/>
        </w:rPr>
      </w:pPr>
      <w:r>
        <w:rPr>
          <w:rFonts w:hint="eastAsia" w:ascii="宋体" w:hAnsi="宋体" w:cs="宋体"/>
          <w:b/>
          <w:sz w:val="24"/>
        </w:rPr>
        <w:t>响应文件由资格审查证明材料、商务技术标文件、价格标文件三部分组成。</w:t>
      </w:r>
    </w:p>
    <w:p w14:paraId="34FE52BC">
      <w:pPr>
        <w:adjustRightInd w:val="0"/>
        <w:snapToGrid w:val="0"/>
        <w:spacing w:line="360" w:lineRule="auto"/>
        <w:rPr>
          <w:rFonts w:ascii="宋体" w:hAnsi="宋体" w:cs="宋体"/>
          <w:b/>
          <w:bCs/>
          <w:kern w:val="0"/>
          <w:sz w:val="24"/>
          <w:lang w:val="zh-CN"/>
        </w:rPr>
      </w:pPr>
      <w:r>
        <w:rPr>
          <w:rFonts w:hint="eastAsia" w:ascii="宋体" w:hAnsi="宋体" w:cs="宋体"/>
          <w:b/>
          <w:bCs/>
          <w:kern w:val="0"/>
          <w:sz w:val="24"/>
          <w:lang w:val="zh-CN"/>
        </w:rPr>
        <w:t>一、资格审查证明材料（不能出现商务技术</w:t>
      </w:r>
      <w:r>
        <w:rPr>
          <w:rFonts w:hint="eastAsia" w:ascii="宋体" w:hAnsi="宋体" w:cs="宋体"/>
          <w:b/>
          <w:bCs/>
          <w:kern w:val="0"/>
          <w:sz w:val="24"/>
        </w:rPr>
        <w:t>标</w:t>
      </w:r>
      <w:r>
        <w:rPr>
          <w:rFonts w:hint="eastAsia" w:ascii="宋体" w:hAnsi="宋体" w:cs="宋体"/>
          <w:b/>
          <w:bCs/>
          <w:kern w:val="0"/>
          <w:sz w:val="24"/>
          <w:lang w:val="zh-CN"/>
        </w:rPr>
        <w:t>文件、价格</w:t>
      </w:r>
      <w:r>
        <w:rPr>
          <w:rFonts w:hint="eastAsia" w:ascii="宋体" w:hAnsi="宋体" w:cs="宋体"/>
          <w:b/>
          <w:bCs/>
          <w:kern w:val="0"/>
          <w:sz w:val="24"/>
        </w:rPr>
        <w:t>标</w:t>
      </w:r>
      <w:r>
        <w:rPr>
          <w:rFonts w:hint="eastAsia" w:ascii="宋体" w:hAnsi="宋体" w:cs="宋体"/>
          <w:b/>
          <w:bCs/>
          <w:kern w:val="0"/>
          <w:sz w:val="24"/>
          <w:lang w:val="zh-CN"/>
        </w:rPr>
        <w:t>文件）</w:t>
      </w:r>
    </w:p>
    <w:p w14:paraId="1BB8B7DD">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投标人符合《政府采购法》第二十二条规定条件的承诺函</w:t>
      </w:r>
      <w:r>
        <w:rPr>
          <w:rFonts w:hint="eastAsia" w:ascii="宋体" w:hAnsi="宋体" w:cs="宋体"/>
          <w:kern w:val="0"/>
          <w:sz w:val="24"/>
          <w:lang w:val="zh-CN"/>
        </w:rPr>
        <w:t>（格式见附件1）（如分公司参加投标的，另需提供总公司的授权证明）；</w:t>
      </w:r>
    </w:p>
    <w:p w14:paraId="18724A4A">
      <w:pPr>
        <w:adjustRightInd w:val="0"/>
        <w:snapToGrid w:val="0"/>
        <w:spacing w:line="360" w:lineRule="auto"/>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.法定代表人身份证明书（格式见附件2）；</w:t>
      </w:r>
    </w:p>
    <w:p w14:paraId="7398CAC7">
      <w:pPr>
        <w:adjustRightInd w:val="0"/>
        <w:snapToGrid w:val="0"/>
        <w:spacing w:line="360" w:lineRule="auto"/>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.法定代表人授权委托书原件，磋商代表本人身份证复印件（格式见附件3，法定代表人参加的，无需提供授权委托书）；</w:t>
      </w:r>
    </w:p>
    <w:p w14:paraId="47A82296">
      <w:pPr>
        <w:adjustRightInd w:val="0"/>
        <w:snapToGrid w:val="0"/>
        <w:spacing w:line="360" w:lineRule="auto"/>
        <w:rPr>
          <w:rFonts w:ascii="宋体" w:hAnsi="宋体" w:cs="宋体"/>
          <w:kern w:val="0"/>
          <w:sz w:val="24"/>
          <w:highlight w:val="none"/>
        </w:rPr>
      </w:pPr>
      <w:r>
        <w:rPr>
          <w:rFonts w:hint="eastAsia" w:ascii="宋体" w:hAnsi="宋体" w:cs="宋体"/>
          <w:kern w:val="0"/>
          <w:sz w:val="24"/>
          <w:highlight w:val="none"/>
        </w:rPr>
        <w:t>4</w:t>
      </w:r>
      <w:r>
        <w:rPr>
          <w:rFonts w:hint="eastAsia" w:ascii="宋体" w:hAnsi="宋体" w:cs="宋体"/>
          <w:kern w:val="0"/>
          <w:sz w:val="24"/>
          <w:highlight w:val="none"/>
          <w:lang w:val="zh-CN"/>
        </w:rPr>
        <w:t>.</w:t>
      </w:r>
      <w:r>
        <w:rPr>
          <w:rFonts w:hint="eastAsia" w:ascii="宋体" w:hAnsi="宋体" w:cs="宋体"/>
          <w:kern w:val="0"/>
          <w:sz w:val="24"/>
          <w:highlight w:val="none"/>
        </w:rPr>
        <w:t>有效的营业执照复印件；</w:t>
      </w:r>
    </w:p>
    <w:p w14:paraId="1843BCB8">
      <w:pPr>
        <w:adjustRightInd w:val="0"/>
        <w:snapToGrid w:val="0"/>
        <w:spacing w:line="360" w:lineRule="auto"/>
        <w:rPr>
          <w:rFonts w:hint="eastAsia" w:ascii="宋体" w:hAnsi="宋体" w:eastAsia="宋体" w:cs="宋体"/>
          <w:kern w:val="0"/>
          <w:sz w:val="24"/>
          <w:highlight w:val="none"/>
          <w:lang w:eastAsia="zh-CN"/>
        </w:rPr>
      </w:pPr>
      <w:r>
        <w:rPr>
          <w:rFonts w:hint="eastAsia" w:ascii="宋体" w:hAnsi="宋体" w:cs="宋体"/>
          <w:kern w:val="0"/>
          <w:sz w:val="24"/>
          <w:highlight w:val="none"/>
        </w:rPr>
        <w:t>5.提供建设行政主管部门颁发的建设工程质量检测机构资质证书复印件、省级以上市场监督管理局颁发的检验检测机构资质认定证书复印件，且在有效期内</w:t>
      </w:r>
      <w:r>
        <w:rPr>
          <w:rFonts w:hint="eastAsia" w:ascii="宋体" w:hAnsi="宋体" w:cs="宋体"/>
          <w:kern w:val="0"/>
          <w:sz w:val="24"/>
          <w:highlight w:val="none"/>
          <w:lang w:eastAsia="zh-CN"/>
        </w:rPr>
        <w:t>；</w:t>
      </w:r>
    </w:p>
    <w:p w14:paraId="79ABABB8">
      <w:pPr>
        <w:adjustRightInd w:val="0"/>
        <w:snapToGrid w:val="0"/>
        <w:spacing w:line="360" w:lineRule="auto"/>
        <w:rPr>
          <w:rFonts w:ascii="宋体" w:hAnsi="宋体" w:cs="宋体"/>
          <w:kern w:val="0"/>
          <w:sz w:val="24"/>
        </w:rPr>
      </w:pPr>
      <w:r>
        <w:rPr>
          <w:rFonts w:hint="eastAsia" w:ascii="宋体" w:hAnsi="宋体" w:cs="宋体"/>
          <w:kern w:val="0"/>
          <w:sz w:val="24"/>
        </w:rPr>
        <w:t>6.</w:t>
      </w:r>
      <w:r>
        <w:rPr>
          <w:rFonts w:hint="eastAsia" w:ascii="宋体" w:hAnsi="宋体" w:cs="宋体"/>
          <w:kern w:val="0"/>
          <w:sz w:val="24"/>
          <w:lang w:val="zh-CN"/>
        </w:rPr>
        <w:t>磋商承诺书（格式见附件</w:t>
      </w:r>
      <w:r>
        <w:rPr>
          <w:rFonts w:hint="eastAsia" w:ascii="宋体" w:hAnsi="宋体" w:cs="宋体"/>
          <w:kern w:val="0"/>
          <w:sz w:val="24"/>
          <w:lang w:val="en-US" w:eastAsia="zh-CN"/>
        </w:rPr>
        <w:t>8</w:t>
      </w:r>
      <w:r>
        <w:rPr>
          <w:rFonts w:hint="eastAsia" w:ascii="宋体" w:hAnsi="宋体" w:cs="宋体"/>
          <w:kern w:val="0"/>
          <w:sz w:val="24"/>
          <w:lang w:val="zh-CN"/>
        </w:rPr>
        <w:t>）；</w:t>
      </w:r>
    </w:p>
    <w:p w14:paraId="54FD3244">
      <w:pPr>
        <w:adjustRightInd w:val="0"/>
        <w:snapToGrid w:val="0"/>
        <w:spacing w:line="360" w:lineRule="auto"/>
        <w:rPr>
          <w:rFonts w:ascii="宋体" w:hAnsi="宋体" w:cs="宋体"/>
          <w:kern w:val="0"/>
          <w:sz w:val="24"/>
          <w:lang w:val="zh-CN"/>
        </w:rPr>
      </w:pPr>
      <w:r>
        <w:rPr>
          <w:rFonts w:hint="eastAsia" w:ascii="宋体" w:hAnsi="宋体" w:cs="宋体"/>
          <w:kern w:val="0"/>
          <w:sz w:val="24"/>
          <w:lang w:val="en-US" w:eastAsia="zh-CN"/>
        </w:rPr>
        <w:t>7</w:t>
      </w:r>
      <w:r>
        <w:rPr>
          <w:rFonts w:hint="eastAsia" w:ascii="宋体" w:hAnsi="宋体" w:cs="宋体"/>
          <w:kern w:val="0"/>
          <w:sz w:val="24"/>
        </w:rPr>
        <w:t>.</w:t>
      </w:r>
      <w:r>
        <w:rPr>
          <w:rFonts w:hint="eastAsia" w:ascii="宋体" w:hAnsi="宋体" w:cs="宋体"/>
          <w:kern w:val="0"/>
          <w:sz w:val="24"/>
          <w:lang w:val="zh-CN"/>
        </w:rPr>
        <w:t>需要提交的资格审查证明材料。</w:t>
      </w:r>
    </w:p>
    <w:p w14:paraId="107E3BD0">
      <w:pPr>
        <w:adjustRightInd w:val="0"/>
        <w:snapToGrid w:val="0"/>
        <w:spacing w:line="360" w:lineRule="auto"/>
        <w:rPr>
          <w:rFonts w:ascii="宋体" w:hAnsi="宋体" w:cs="宋体"/>
          <w:b/>
          <w:bCs/>
          <w:kern w:val="0"/>
          <w:sz w:val="24"/>
          <w:lang w:val="zh-CN"/>
        </w:rPr>
      </w:pPr>
      <w:r>
        <w:rPr>
          <w:rFonts w:hint="eastAsia" w:ascii="宋体" w:hAnsi="宋体" w:cs="宋体"/>
          <w:b/>
          <w:bCs/>
          <w:kern w:val="0"/>
          <w:sz w:val="24"/>
          <w:lang w:val="zh-CN"/>
        </w:rPr>
        <w:t>二、技术</w:t>
      </w:r>
      <w:r>
        <w:rPr>
          <w:rFonts w:hint="eastAsia" w:ascii="宋体" w:hAnsi="宋体" w:cs="宋体"/>
          <w:b/>
          <w:bCs/>
          <w:kern w:val="0"/>
          <w:sz w:val="24"/>
        </w:rPr>
        <w:t>标</w:t>
      </w:r>
      <w:r>
        <w:rPr>
          <w:rFonts w:hint="eastAsia" w:ascii="宋体" w:hAnsi="宋体" w:cs="宋体"/>
          <w:b/>
          <w:bCs/>
          <w:kern w:val="0"/>
          <w:sz w:val="24"/>
          <w:lang w:val="zh-CN"/>
        </w:rPr>
        <w:t>文件（不能出现价格</w:t>
      </w:r>
      <w:r>
        <w:rPr>
          <w:rFonts w:hint="eastAsia" w:ascii="宋体" w:hAnsi="宋体" w:cs="宋体"/>
          <w:b/>
          <w:bCs/>
          <w:kern w:val="0"/>
          <w:sz w:val="24"/>
        </w:rPr>
        <w:t>标</w:t>
      </w:r>
      <w:r>
        <w:rPr>
          <w:rFonts w:hint="eastAsia" w:ascii="宋体" w:hAnsi="宋体" w:cs="宋体"/>
          <w:b/>
          <w:bCs/>
          <w:kern w:val="0"/>
          <w:sz w:val="24"/>
          <w:lang w:val="zh-CN"/>
        </w:rPr>
        <w:t>文件）</w:t>
      </w:r>
    </w:p>
    <w:p w14:paraId="55C95D9F">
      <w:pPr>
        <w:adjustRightInd w:val="0"/>
        <w:snapToGrid w:val="0"/>
        <w:spacing w:line="360" w:lineRule="auto"/>
        <w:rPr>
          <w:rFonts w:ascii="宋体" w:hAnsi="宋体" w:cs="宋体"/>
          <w:bCs/>
          <w:kern w:val="0"/>
          <w:sz w:val="24"/>
          <w:lang w:val="zh-CN"/>
        </w:rPr>
      </w:pPr>
      <w:r>
        <w:rPr>
          <w:rFonts w:hint="eastAsia" w:ascii="宋体" w:hAnsi="宋体" w:cs="宋体"/>
          <w:bCs/>
          <w:kern w:val="0"/>
          <w:sz w:val="24"/>
          <w:lang w:val="zh-CN"/>
        </w:rPr>
        <w:t>1.供应商情况一览表；（格式见附件4）</w:t>
      </w:r>
    </w:p>
    <w:p w14:paraId="29198C68">
      <w:pPr>
        <w:adjustRightInd w:val="0"/>
        <w:snapToGrid w:val="0"/>
        <w:spacing w:line="360" w:lineRule="auto"/>
        <w:rPr>
          <w:rFonts w:ascii="宋体" w:hAnsi="宋体" w:cs="宋体"/>
          <w:bCs/>
          <w:kern w:val="0"/>
          <w:sz w:val="24"/>
          <w:lang w:val="zh-CN"/>
        </w:rPr>
      </w:pPr>
      <w:r>
        <w:rPr>
          <w:rFonts w:hint="eastAsia" w:ascii="宋体" w:hAnsi="宋体" w:cs="宋体"/>
          <w:bCs/>
          <w:kern w:val="0"/>
          <w:sz w:val="24"/>
          <w:lang w:val="zh-CN"/>
        </w:rPr>
        <w:t>2.商务部分正负偏离表；（格式见附件5）</w:t>
      </w:r>
    </w:p>
    <w:p w14:paraId="542C3DFB">
      <w:pPr>
        <w:adjustRightInd w:val="0"/>
        <w:snapToGrid w:val="0"/>
        <w:spacing w:line="360" w:lineRule="auto"/>
        <w:rPr>
          <w:rFonts w:ascii="宋体" w:hAnsi="宋体" w:cs="宋体"/>
          <w:bCs/>
          <w:kern w:val="0"/>
          <w:sz w:val="24"/>
          <w:lang w:val="zh-CN"/>
        </w:rPr>
      </w:pPr>
      <w:r>
        <w:rPr>
          <w:rFonts w:hint="eastAsia" w:ascii="宋体" w:hAnsi="宋体" w:cs="宋体"/>
          <w:bCs/>
          <w:kern w:val="0"/>
          <w:sz w:val="24"/>
          <w:lang w:val="zh-CN"/>
        </w:rPr>
        <w:t>3.技术部分正负偏离表；（格式见附件6）</w:t>
      </w:r>
    </w:p>
    <w:p w14:paraId="4052BBF9">
      <w:pPr>
        <w:adjustRightInd w:val="0"/>
        <w:snapToGrid w:val="0"/>
        <w:spacing w:line="360" w:lineRule="auto"/>
        <w:rPr>
          <w:rFonts w:ascii="宋体" w:hAnsi="宋体" w:cs="宋体"/>
          <w:b/>
          <w:kern w:val="0"/>
          <w:sz w:val="24"/>
          <w:lang w:val="zh-CN"/>
        </w:rPr>
      </w:pPr>
      <w:r>
        <w:rPr>
          <w:rFonts w:hint="eastAsia" w:ascii="宋体" w:hAnsi="宋体" w:cs="宋体"/>
          <w:b/>
          <w:kern w:val="0"/>
          <w:sz w:val="24"/>
          <w:lang w:val="zh-CN"/>
        </w:rPr>
        <w:t>填制正负偏离表，完全响应的，请以空白表列示。不完全响应的，必须在偏离表中列示；列示不全的，视同故意隐瞒。</w:t>
      </w:r>
    </w:p>
    <w:p w14:paraId="4102079D">
      <w:pPr>
        <w:adjustRightInd w:val="0"/>
        <w:snapToGrid w:val="0"/>
        <w:spacing w:line="360" w:lineRule="auto"/>
        <w:rPr>
          <w:rFonts w:ascii="宋体" w:hAnsi="宋体" w:cs="宋体"/>
          <w:bCs/>
          <w:kern w:val="0"/>
          <w:sz w:val="24"/>
          <w:lang w:val="zh-CN"/>
        </w:rPr>
      </w:pPr>
      <w:r>
        <w:rPr>
          <w:rFonts w:hint="eastAsia" w:ascii="宋体" w:hAnsi="宋体" w:cs="宋体"/>
          <w:bCs/>
          <w:kern w:val="0"/>
          <w:sz w:val="24"/>
          <w:lang w:val="zh-CN"/>
        </w:rPr>
        <w:t>4.</w:t>
      </w:r>
      <w:r>
        <w:rPr>
          <w:rFonts w:hint="eastAsia" w:ascii="宋体" w:hAnsi="宋体" w:cs="宋体"/>
          <w:sz w:val="24"/>
        </w:rPr>
        <w:t>商务</w:t>
      </w:r>
      <w:r>
        <w:rPr>
          <w:rFonts w:hint="eastAsia" w:ascii="宋体" w:hAnsi="宋体" w:cs="宋体"/>
          <w:bCs/>
          <w:kern w:val="0"/>
          <w:sz w:val="24"/>
          <w:lang w:val="zh-CN"/>
        </w:rPr>
        <w:t>技术评分标准中须提供的相关得分佐证材料；</w:t>
      </w:r>
    </w:p>
    <w:p w14:paraId="05EAE8CE">
      <w:pPr>
        <w:adjustRightInd w:val="0"/>
        <w:snapToGrid w:val="0"/>
        <w:spacing w:line="360" w:lineRule="auto"/>
        <w:rPr>
          <w:rFonts w:ascii="宋体" w:hAnsi="宋体" w:cs="宋体"/>
          <w:bCs/>
          <w:kern w:val="0"/>
          <w:sz w:val="24"/>
          <w:lang w:val="zh-CN"/>
        </w:rPr>
      </w:pPr>
      <w:r>
        <w:rPr>
          <w:rFonts w:hint="eastAsia" w:ascii="宋体" w:hAnsi="宋体" w:cs="宋体"/>
          <w:bCs/>
          <w:kern w:val="0"/>
          <w:sz w:val="24"/>
          <w:lang w:val="zh-CN"/>
        </w:rPr>
        <w:t>5.供应商认为需要提交的其他</w:t>
      </w:r>
      <w:r>
        <w:rPr>
          <w:rFonts w:hint="eastAsia" w:ascii="宋体" w:hAnsi="宋体" w:cs="宋体"/>
          <w:sz w:val="24"/>
        </w:rPr>
        <w:t>商务</w:t>
      </w:r>
      <w:r>
        <w:rPr>
          <w:rFonts w:hint="eastAsia" w:ascii="宋体" w:hAnsi="宋体" w:cs="宋体"/>
          <w:bCs/>
          <w:kern w:val="0"/>
          <w:sz w:val="24"/>
          <w:lang w:val="zh-CN"/>
        </w:rPr>
        <w:t>技术材料。</w:t>
      </w:r>
    </w:p>
    <w:p w14:paraId="1FF1E75A">
      <w:pPr>
        <w:adjustRightInd w:val="0"/>
        <w:snapToGrid w:val="0"/>
        <w:spacing w:line="360" w:lineRule="auto"/>
        <w:rPr>
          <w:rFonts w:ascii="宋体" w:hAnsi="宋体" w:cs="宋体"/>
          <w:b/>
          <w:bCs/>
          <w:kern w:val="0"/>
          <w:sz w:val="24"/>
          <w:lang w:val="zh-CN"/>
        </w:rPr>
      </w:pPr>
      <w:r>
        <w:rPr>
          <w:rFonts w:hint="eastAsia" w:ascii="宋体" w:hAnsi="宋体" w:cs="宋体"/>
          <w:b/>
          <w:bCs/>
          <w:kern w:val="0"/>
          <w:sz w:val="24"/>
          <w:lang w:val="zh-CN"/>
        </w:rPr>
        <w:t>三、价格</w:t>
      </w:r>
      <w:r>
        <w:rPr>
          <w:rFonts w:hint="eastAsia" w:ascii="宋体" w:hAnsi="宋体" w:cs="宋体"/>
          <w:b/>
          <w:bCs/>
          <w:kern w:val="0"/>
          <w:sz w:val="24"/>
        </w:rPr>
        <w:t>标</w:t>
      </w:r>
      <w:r>
        <w:rPr>
          <w:rFonts w:hint="eastAsia" w:ascii="宋体" w:hAnsi="宋体" w:cs="宋体"/>
          <w:b/>
          <w:bCs/>
          <w:kern w:val="0"/>
          <w:sz w:val="24"/>
          <w:lang w:val="zh-CN"/>
        </w:rPr>
        <w:t>文件</w:t>
      </w:r>
    </w:p>
    <w:p w14:paraId="1E452A3C">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磋商报价表（按照附件7格式填写，必须加盖投标人公章）（报价表必须密封在价格标密封袋内，磋商响应文件的其他地方不得出现报价金额，否则按无效磋商响应文件处理。）</w:t>
      </w:r>
      <w:r>
        <w:rPr>
          <w:rFonts w:hint="eastAsia" w:ascii="宋体" w:hAnsi="宋体" w:cs="宋体"/>
          <w:kern w:val="0"/>
          <w:sz w:val="24"/>
          <w:lang w:val="zh-CN"/>
        </w:rPr>
        <w:t xml:space="preserve">； </w:t>
      </w:r>
    </w:p>
    <w:p w14:paraId="5E71FEA9">
      <w:pPr>
        <w:adjustRightInd w:val="0"/>
        <w:snapToGrid w:val="0"/>
        <w:spacing w:line="360" w:lineRule="auto"/>
        <w:rPr>
          <w:rFonts w:ascii="宋体" w:hAnsi="宋体" w:cs="宋体"/>
          <w:b/>
          <w:kern w:val="0"/>
          <w:sz w:val="24"/>
          <w:lang w:val="zh-CN"/>
        </w:rPr>
      </w:pPr>
      <w:r>
        <w:rPr>
          <w:rFonts w:hint="eastAsia" w:ascii="宋体" w:hAnsi="宋体" w:cs="宋体"/>
          <w:kern w:val="0"/>
          <w:sz w:val="24"/>
          <w:lang w:val="zh-CN"/>
        </w:rPr>
        <w:t>2.磋商报价表（最终）</w:t>
      </w:r>
      <w:r>
        <w:rPr>
          <w:rFonts w:hint="eastAsia" w:ascii="宋体" w:hAnsi="宋体" w:cs="宋体"/>
          <w:b/>
          <w:bCs/>
          <w:kern w:val="0"/>
          <w:sz w:val="24"/>
          <w:lang w:val="zh-CN"/>
        </w:rPr>
        <w:t>（</w:t>
      </w:r>
      <w:r>
        <w:rPr>
          <w:rFonts w:hint="eastAsia" w:ascii="宋体" w:hAnsi="宋体" w:cs="宋体"/>
          <w:b/>
          <w:bCs/>
          <w:kern w:val="0"/>
          <w:sz w:val="24"/>
        </w:rPr>
        <w:t>无需自带，由采购人或代理机构现场提供</w:t>
      </w:r>
      <w:r>
        <w:rPr>
          <w:rFonts w:hint="eastAsia" w:ascii="宋体" w:hAnsi="宋体" w:cs="宋体"/>
          <w:b/>
          <w:bCs/>
          <w:kern w:val="0"/>
          <w:sz w:val="24"/>
          <w:lang w:val="zh-CN"/>
        </w:rPr>
        <w:t>）</w:t>
      </w:r>
      <w:r>
        <w:rPr>
          <w:rFonts w:hint="eastAsia" w:ascii="宋体" w:hAnsi="宋体" w:cs="宋体"/>
          <w:kern w:val="0"/>
          <w:sz w:val="24"/>
          <w:lang w:val="zh-CN"/>
        </w:rPr>
        <w:t>，</w:t>
      </w:r>
      <w:r>
        <w:rPr>
          <w:rFonts w:hint="eastAsia" w:ascii="宋体" w:hAnsi="宋体" w:cs="宋体"/>
          <w:b/>
          <w:bCs/>
          <w:kern w:val="0"/>
          <w:sz w:val="24"/>
          <w:lang w:val="zh-CN"/>
        </w:rPr>
        <w:t>最终报价表将在磋商现场填写，不得密封在竞争性磋商响应文件中</w:t>
      </w:r>
      <w:r>
        <w:rPr>
          <w:rFonts w:hint="eastAsia" w:ascii="宋体" w:hAnsi="宋体" w:cs="宋体"/>
          <w:kern w:val="0"/>
          <w:sz w:val="24"/>
          <w:lang w:val="zh-CN"/>
        </w:rPr>
        <w:t>。</w:t>
      </w:r>
    </w:p>
    <w:p w14:paraId="56438271">
      <w:pPr>
        <w:snapToGrid w:val="0"/>
        <w:spacing w:line="360" w:lineRule="auto"/>
        <w:contextualSpacing/>
        <w:rPr>
          <w:rFonts w:ascii="宋体" w:hAnsi="宋体" w:cs="宋体"/>
          <w:kern w:val="0"/>
          <w:sz w:val="24"/>
          <w:lang w:val="zh-CN"/>
        </w:rPr>
        <w:sectPr>
          <w:pgSz w:w="11907" w:h="16839"/>
          <w:pgMar w:top="1440" w:right="1800" w:bottom="1440" w:left="1800" w:header="720" w:footer="737" w:gutter="0"/>
          <w:cols w:space="720" w:num="1"/>
          <w:docGrid w:linePitch="286" w:charSpace="0"/>
        </w:sectPr>
      </w:pPr>
    </w:p>
    <w:p w14:paraId="76F01C36">
      <w:pPr>
        <w:snapToGrid w:val="0"/>
        <w:spacing w:line="360" w:lineRule="auto"/>
        <w:contextualSpacing/>
        <w:rPr>
          <w:rFonts w:ascii="宋体" w:hAnsi="宋体" w:cs="宋体"/>
          <w:kern w:val="0"/>
          <w:sz w:val="24"/>
          <w:lang w:val="zh-CN"/>
        </w:rPr>
      </w:pPr>
      <w:r>
        <w:rPr>
          <w:rFonts w:hint="eastAsia" w:ascii="宋体" w:hAnsi="宋体" w:cs="宋体"/>
          <w:kern w:val="0"/>
          <w:sz w:val="24"/>
          <w:lang w:val="zh-CN"/>
        </w:rPr>
        <w:t>附件1</w:t>
      </w:r>
    </w:p>
    <w:p w14:paraId="74774AC9">
      <w:pPr>
        <w:spacing w:line="360" w:lineRule="auto"/>
        <w:jc w:val="center"/>
        <w:rPr>
          <w:rFonts w:ascii="宋体" w:hAnsi="宋体" w:cs="宋体"/>
          <w:b/>
          <w:sz w:val="24"/>
        </w:rPr>
      </w:pPr>
    </w:p>
    <w:p w14:paraId="1F7CF4F0">
      <w:pPr>
        <w:spacing w:line="360" w:lineRule="auto"/>
        <w:jc w:val="center"/>
        <w:rPr>
          <w:rFonts w:ascii="宋体" w:hAnsi="宋体" w:cs="宋体"/>
          <w:b/>
          <w:sz w:val="24"/>
        </w:rPr>
      </w:pPr>
      <w:r>
        <w:rPr>
          <w:rFonts w:hint="eastAsia" w:ascii="宋体" w:hAnsi="宋体" w:cs="宋体"/>
          <w:b/>
          <w:sz w:val="24"/>
        </w:rPr>
        <w:t>投标人符合《政府采购法》第二十二条规定条件的声明函</w:t>
      </w:r>
    </w:p>
    <w:p w14:paraId="17CD4EAB">
      <w:pPr>
        <w:spacing w:line="360" w:lineRule="auto"/>
        <w:rPr>
          <w:rFonts w:ascii="宋体" w:hAnsi="宋体" w:cs="宋体"/>
          <w:b/>
          <w:bCs/>
          <w:sz w:val="24"/>
        </w:rPr>
      </w:pPr>
      <w:r>
        <w:rPr>
          <w:rFonts w:hint="eastAsia" w:ascii="宋体" w:hAnsi="宋体" w:cs="宋体"/>
          <w:b/>
          <w:bCs/>
          <w:sz w:val="24"/>
        </w:rPr>
        <w:t xml:space="preserve">                          </w:t>
      </w:r>
    </w:p>
    <w:p w14:paraId="3A4FA16E">
      <w:pPr>
        <w:spacing w:line="360" w:lineRule="auto"/>
        <w:ind w:firstLine="480" w:firstLineChars="200"/>
        <w:rPr>
          <w:rFonts w:ascii="宋体" w:hAnsi="宋体" w:cs="宋体"/>
          <w:b/>
          <w:bCs/>
          <w:sz w:val="24"/>
        </w:rPr>
      </w:pPr>
      <w:r>
        <w:rPr>
          <w:rFonts w:hint="eastAsia" w:ascii="宋体" w:hAnsi="宋体" w:cs="宋体"/>
          <w:bCs/>
          <w:sz w:val="24"/>
        </w:rPr>
        <w:t>我单位参加</w:t>
      </w:r>
      <w:r>
        <w:rPr>
          <w:rFonts w:hint="eastAsia" w:ascii="宋体" w:hAnsi="宋体" w:cs="宋体"/>
          <w:bCs/>
          <w:sz w:val="24"/>
          <w:u w:val="single"/>
        </w:rPr>
        <w:t xml:space="preserve">                </w:t>
      </w:r>
      <w:r>
        <w:rPr>
          <w:rFonts w:hint="eastAsia" w:ascii="宋体" w:hAnsi="宋体" w:cs="宋体"/>
          <w:bCs/>
          <w:sz w:val="24"/>
        </w:rPr>
        <w:t>（项目名称），</w:t>
      </w:r>
      <w:r>
        <w:rPr>
          <w:rFonts w:hint="eastAsia" w:ascii="宋体" w:hAnsi="宋体" w:cs="宋体"/>
          <w:bCs/>
          <w:sz w:val="24"/>
          <w:u w:val="single"/>
        </w:rPr>
        <w:t xml:space="preserve">                </w:t>
      </w:r>
      <w:r>
        <w:rPr>
          <w:rFonts w:hint="eastAsia" w:ascii="宋体" w:hAnsi="宋体" w:cs="宋体"/>
          <w:bCs/>
          <w:sz w:val="24"/>
        </w:rPr>
        <w:t>（项目编号）投标活动。针对《中华人民共和国政府采购法》第二十二条规定做出如下声明：</w:t>
      </w:r>
    </w:p>
    <w:p w14:paraId="1BF0D25A">
      <w:pPr>
        <w:spacing w:line="360" w:lineRule="auto"/>
        <w:ind w:firstLine="482"/>
        <w:rPr>
          <w:rFonts w:ascii="宋体" w:hAnsi="宋体" w:cs="宋体"/>
          <w:sz w:val="24"/>
        </w:rPr>
      </w:pPr>
      <w:r>
        <w:rPr>
          <w:rFonts w:hint="eastAsia" w:ascii="宋体" w:hAnsi="宋体" w:cs="宋体"/>
          <w:bCs/>
          <w:sz w:val="24"/>
        </w:rPr>
        <w:t>1.我单位具有独立承担民事责任的能力；</w:t>
      </w:r>
    </w:p>
    <w:p w14:paraId="00C294ED">
      <w:pPr>
        <w:spacing w:line="360" w:lineRule="auto"/>
        <w:ind w:firstLine="482"/>
        <w:rPr>
          <w:rFonts w:ascii="宋体" w:hAnsi="宋体" w:cs="宋体"/>
          <w:sz w:val="24"/>
        </w:rPr>
      </w:pPr>
      <w:r>
        <w:rPr>
          <w:rFonts w:hint="eastAsia" w:ascii="宋体" w:hAnsi="宋体" w:cs="宋体"/>
          <w:sz w:val="24"/>
        </w:rPr>
        <w:t>2.我单位具有良好的商业信誉和健全的财务会计制度；</w:t>
      </w:r>
    </w:p>
    <w:p w14:paraId="43D7ED7D">
      <w:pPr>
        <w:spacing w:line="360" w:lineRule="auto"/>
        <w:ind w:firstLine="482"/>
        <w:rPr>
          <w:rFonts w:ascii="宋体" w:hAnsi="宋体" w:cs="宋体"/>
          <w:sz w:val="24"/>
        </w:rPr>
      </w:pPr>
      <w:r>
        <w:rPr>
          <w:rFonts w:hint="eastAsia" w:ascii="宋体" w:hAnsi="宋体" w:cs="宋体"/>
          <w:sz w:val="24"/>
        </w:rPr>
        <w:t>3.我单位具有履行合同所必需的设备和专业技术能力；</w:t>
      </w:r>
    </w:p>
    <w:p w14:paraId="4DBEA063">
      <w:pPr>
        <w:spacing w:line="360" w:lineRule="auto"/>
        <w:ind w:firstLine="482"/>
        <w:rPr>
          <w:rFonts w:ascii="宋体" w:hAnsi="宋体" w:cs="宋体"/>
          <w:sz w:val="24"/>
        </w:rPr>
      </w:pPr>
      <w:r>
        <w:rPr>
          <w:rFonts w:hint="eastAsia" w:ascii="宋体" w:hAnsi="宋体" w:cs="宋体"/>
          <w:sz w:val="24"/>
        </w:rPr>
        <w:t>4.我单位有依法缴纳税收和社会保障资金的良好记录；</w:t>
      </w:r>
    </w:p>
    <w:p w14:paraId="251BE250">
      <w:pPr>
        <w:spacing w:line="360" w:lineRule="auto"/>
        <w:ind w:firstLine="482"/>
        <w:rPr>
          <w:rFonts w:ascii="宋体" w:hAnsi="宋体" w:cs="宋体"/>
          <w:sz w:val="24"/>
        </w:rPr>
      </w:pPr>
      <w:r>
        <w:rPr>
          <w:rFonts w:hint="eastAsia" w:ascii="宋体" w:hAnsi="宋体" w:cs="宋体"/>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9C5E391">
      <w:pPr>
        <w:spacing w:line="360" w:lineRule="auto"/>
        <w:ind w:firstLine="482"/>
        <w:rPr>
          <w:rFonts w:ascii="宋体" w:hAnsi="宋体" w:cs="宋体"/>
          <w:sz w:val="24"/>
        </w:rPr>
      </w:pPr>
      <w:r>
        <w:rPr>
          <w:rFonts w:hint="eastAsia" w:ascii="宋体" w:hAnsi="宋体" w:cs="宋体"/>
          <w:sz w:val="24"/>
        </w:rPr>
        <w:t>6.我单位满足法律、行政法规规定的其他条件。</w:t>
      </w:r>
    </w:p>
    <w:p w14:paraId="77B7F69B">
      <w:pPr>
        <w:spacing w:line="360" w:lineRule="auto"/>
        <w:ind w:firstLine="482"/>
        <w:rPr>
          <w:rFonts w:ascii="宋体" w:hAnsi="宋体" w:cs="宋体"/>
          <w:sz w:val="24"/>
        </w:rPr>
      </w:pPr>
    </w:p>
    <w:p w14:paraId="677C9CB4">
      <w:pPr>
        <w:spacing w:line="360" w:lineRule="auto"/>
        <w:rPr>
          <w:rFonts w:ascii="宋体" w:hAnsi="宋体" w:cs="宋体"/>
          <w:sz w:val="24"/>
        </w:rPr>
      </w:pPr>
    </w:p>
    <w:p w14:paraId="3294A418">
      <w:pPr>
        <w:spacing w:line="360" w:lineRule="auto"/>
        <w:rPr>
          <w:rFonts w:ascii="宋体" w:hAnsi="宋体" w:cs="宋体"/>
          <w:bCs/>
          <w:sz w:val="24"/>
        </w:rPr>
      </w:pPr>
    </w:p>
    <w:p w14:paraId="0B680C7B">
      <w:pPr>
        <w:spacing w:line="360" w:lineRule="auto"/>
        <w:rPr>
          <w:rFonts w:ascii="宋体" w:hAnsi="宋体" w:cs="宋体"/>
          <w:bCs/>
          <w:sz w:val="24"/>
        </w:rPr>
      </w:pPr>
    </w:p>
    <w:p w14:paraId="31B38368">
      <w:pPr>
        <w:spacing w:line="360" w:lineRule="auto"/>
        <w:rPr>
          <w:rFonts w:ascii="宋体" w:hAnsi="宋体" w:cs="宋体"/>
          <w:bCs/>
          <w:sz w:val="24"/>
        </w:rPr>
      </w:pPr>
    </w:p>
    <w:p w14:paraId="4EC4F383">
      <w:pPr>
        <w:spacing w:line="360" w:lineRule="auto"/>
        <w:jc w:val="center"/>
        <w:rPr>
          <w:rFonts w:ascii="宋体" w:hAnsi="宋体" w:cs="宋体"/>
          <w:bCs/>
          <w:sz w:val="24"/>
        </w:rPr>
      </w:pPr>
      <w:r>
        <w:rPr>
          <w:rFonts w:hint="eastAsia" w:ascii="宋体" w:hAnsi="宋体" w:cs="宋体"/>
          <w:bCs/>
          <w:sz w:val="24"/>
        </w:rPr>
        <w:t xml:space="preserve">                                             承诺人名称（公章）：</w:t>
      </w:r>
    </w:p>
    <w:p w14:paraId="74BED469">
      <w:pPr>
        <w:spacing w:line="360" w:lineRule="auto"/>
        <w:jc w:val="right"/>
        <w:rPr>
          <w:rFonts w:ascii="宋体" w:hAnsi="宋体" w:cs="宋体"/>
          <w:bCs/>
          <w:sz w:val="24"/>
        </w:rPr>
      </w:pPr>
      <w:r>
        <w:rPr>
          <w:rFonts w:hint="eastAsia" w:ascii="宋体" w:hAnsi="宋体" w:cs="宋体"/>
          <w:bCs/>
          <w:sz w:val="24"/>
        </w:rPr>
        <w:t xml:space="preserve">    </w:t>
      </w:r>
    </w:p>
    <w:p w14:paraId="57E7A898">
      <w:pPr>
        <w:spacing w:line="360" w:lineRule="auto"/>
        <w:jc w:val="right"/>
        <w:rPr>
          <w:rFonts w:ascii="宋体" w:hAnsi="宋体" w:cs="宋体"/>
          <w:bCs/>
          <w:sz w:val="24"/>
        </w:rPr>
      </w:pPr>
      <w:r>
        <w:rPr>
          <w:rFonts w:hint="eastAsia" w:ascii="宋体" w:hAnsi="宋体" w:cs="宋体"/>
          <w:bCs/>
          <w:sz w:val="24"/>
        </w:rPr>
        <w:t xml:space="preserve">                                 日期：</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14:paraId="6D3BB126">
      <w:pPr>
        <w:snapToGrid w:val="0"/>
        <w:spacing w:line="360" w:lineRule="auto"/>
        <w:ind w:firstLine="463" w:firstLineChars="192"/>
        <w:contextualSpacing/>
        <w:rPr>
          <w:rFonts w:ascii="宋体" w:hAnsi="宋体" w:cs="宋体"/>
          <w:b/>
          <w:kern w:val="0"/>
          <w:sz w:val="24"/>
        </w:rPr>
      </w:pPr>
    </w:p>
    <w:p w14:paraId="2607E828">
      <w:pPr>
        <w:snapToGrid w:val="0"/>
        <w:spacing w:line="360" w:lineRule="auto"/>
        <w:ind w:firstLine="463" w:firstLineChars="192"/>
        <w:contextualSpacing/>
        <w:rPr>
          <w:rFonts w:ascii="宋体" w:hAnsi="宋体" w:cs="宋体"/>
          <w:b/>
          <w:kern w:val="0"/>
          <w:sz w:val="24"/>
          <w:lang w:val="zh-CN"/>
        </w:rPr>
      </w:pPr>
    </w:p>
    <w:p w14:paraId="186208FF">
      <w:pPr>
        <w:snapToGrid w:val="0"/>
        <w:spacing w:line="360" w:lineRule="auto"/>
        <w:contextualSpacing/>
        <w:rPr>
          <w:rFonts w:ascii="宋体" w:hAnsi="宋体" w:cs="宋体"/>
          <w:b/>
          <w:kern w:val="0"/>
          <w:sz w:val="24"/>
          <w:lang w:val="zh-CN"/>
        </w:rPr>
        <w:sectPr>
          <w:pgSz w:w="11907" w:h="16839"/>
          <w:pgMar w:top="1440" w:right="1800" w:bottom="1440" w:left="1800" w:header="720" w:footer="737" w:gutter="0"/>
          <w:cols w:space="720" w:num="1"/>
          <w:docGrid w:linePitch="286" w:charSpace="0"/>
        </w:sectPr>
      </w:pPr>
    </w:p>
    <w:p w14:paraId="03FFD68A">
      <w:pPr>
        <w:snapToGrid w:val="0"/>
        <w:spacing w:line="360" w:lineRule="auto"/>
        <w:contextualSpacing/>
        <w:rPr>
          <w:rFonts w:ascii="宋体" w:hAnsi="宋体" w:cs="宋体"/>
          <w:kern w:val="0"/>
          <w:sz w:val="24"/>
          <w:lang w:val="zh-CN"/>
        </w:rPr>
      </w:pPr>
      <w:r>
        <w:rPr>
          <w:rFonts w:hint="eastAsia" w:ascii="宋体" w:hAnsi="宋体" w:cs="宋体"/>
          <w:kern w:val="0"/>
          <w:sz w:val="24"/>
          <w:lang w:val="zh-CN"/>
        </w:rPr>
        <w:t>附件2</w:t>
      </w:r>
    </w:p>
    <w:p w14:paraId="08D60C95">
      <w:pPr>
        <w:spacing w:line="360" w:lineRule="auto"/>
        <w:jc w:val="center"/>
        <w:rPr>
          <w:rFonts w:ascii="宋体" w:hAnsi="宋体" w:cs="宋体"/>
          <w:b/>
          <w:bCs/>
          <w:sz w:val="24"/>
        </w:rPr>
      </w:pPr>
      <w:r>
        <w:rPr>
          <w:rFonts w:hint="eastAsia" w:ascii="宋体" w:hAnsi="宋体" w:cs="宋体"/>
          <w:b/>
          <w:bCs/>
          <w:sz w:val="24"/>
        </w:rPr>
        <w:t>法定代表人身份证明</w:t>
      </w:r>
    </w:p>
    <w:p w14:paraId="16AD5632">
      <w:pPr>
        <w:spacing w:line="360" w:lineRule="auto"/>
        <w:rPr>
          <w:rFonts w:ascii="宋体" w:hAnsi="宋体" w:cs="宋体"/>
          <w:sz w:val="24"/>
        </w:rPr>
      </w:pPr>
    </w:p>
    <w:p w14:paraId="12D07A22">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先生/女士： 现任我单位</w:t>
      </w:r>
      <w:r>
        <w:rPr>
          <w:rFonts w:hint="eastAsia" w:ascii="宋体" w:hAnsi="宋体" w:cs="宋体"/>
          <w:sz w:val="24"/>
          <w:u w:val="single"/>
        </w:rPr>
        <w:t xml:space="preserve">        </w:t>
      </w:r>
      <w:r>
        <w:rPr>
          <w:rFonts w:hint="eastAsia" w:ascii="宋体" w:hAnsi="宋体" w:cs="宋体"/>
          <w:sz w:val="24"/>
        </w:rPr>
        <w:t>职务，为法定代表人，特此证明。</w:t>
      </w:r>
    </w:p>
    <w:p w14:paraId="62EA2624">
      <w:pPr>
        <w:spacing w:line="360" w:lineRule="auto"/>
        <w:ind w:firstLine="480"/>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4BC63155">
      <w:pPr>
        <w:spacing w:line="360" w:lineRule="auto"/>
        <w:ind w:firstLine="480"/>
        <w:rPr>
          <w:rFonts w:ascii="宋体" w:hAnsi="宋体" w:cs="宋体"/>
          <w:sz w:val="24"/>
        </w:rPr>
      </w:pPr>
    </w:p>
    <w:p w14:paraId="0D5F6632">
      <w:pPr>
        <w:spacing w:line="360" w:lineRule="auto"/>
        <w:rPr>
          <w:rFonts w:ascii="宋体" w:hAnsi="宋体" w:cs="宋体"/>
          <w:b/>
          <w:sz w:val="24"/>
        </w:rPr>
      </w:pPr>
      <w:r>
        <w:rPr>
          <w:rFonts w:hint="eastAsia" w:ascii="宋体" w:hAnsi="宋体" w:cs="宋体"/>
          <w:b/>
          <w:sz w:val="24"/>
        </w:rPr>
        <w:t>注：提供法定代表人的身份证复印件盖公章</w:t>
      </w:r>
    </w:p>
    <w:p w14:paraId="1FE03740">
      <w:pPr>
        <w:rPr>
          <w:rFonts w:ascii="宋体" w:hAnsi="宋体" w:cs="宋体"/>
          <w:b/>
          <w:kern w:val="0"/>
          <w:sz w:val="24"/>
          <w:lang w:val="zh-CN"/>
        </w:rPr>
      </w:pPr>
      <w:r>
        <w:rPr>
          <w:rFonts w:hint="eastAsia" w:ascii="宋体" w:hAnsi="宋体" w:cs="宋体"/>
          <w:b/>
          <w:sz w:val="24"/>
        </w:rPr>
        <w:br w:type="page"/>
      </w:r>
    </w:p>
    <w:p w14:paraId="77B456BB">
      <w:pPr>
        <w:snapToGrid w:val="0"/>
        <w:spacing w:line="360" w:lineRule="auto"/>
        <w:contextualSpacing/>
        <w:rPr>
          <w:rFonts w:ascii="宋体" w:hAnsi="宋体" w:cs="宋体"/>
          <w:kern w:val="0"/>
          <w:sz w:val="24"/>
          <w:lang w:val="zh-CN"/>
        </w:rPr>
      </w:pPr>
      <w:r>
        <w:rPr>
          <w:rFonts w:hint="eastAsia" w:ascii="宋体" w:hAnsi="宋体" w:cs="宋体"/>
          <w:kern w:val="0"/>
          <w:sz w:val="24"/>
          <w:lang w:val="zh-CN"/>
        </w:rPr>
        <w:t>附件3</w:t>
      </w:r>
    </w:p>
    <w:p w14:paraId="5C7044E2">
      <w:pPr>
        <w:spacing w:line="360" w:lineRule="auto"/>
        <w:jc w:val="center"/>
        <w:rPr>
          <w:rFonts w:ascii="宋体" w:hAnsi="宋体" w:cs="宋体"/>
          <w:sz w:val="24"/>
        </w:rPr>
      </w:pPr>
    </w:p>
    <w:p w14:paraId="5A0F832B">
      <w:pPr>
        <w:spacing w:line="360" w:lineRule="auto"/>
        <w:jc w:val="center"/>
        <w:rPr>
          <w:rFonts w:ascii="宋体" w:hAnsi="宋体" w:cs="宋体"/>
          <w:sz w:val="24"/>
        </w:rPr>
      </w:pPr>
      <w:r>
        <w:rPr>
          <w:rFonts w:hint="eastAsia" w:ascii="宋体" w:hAnsi="宋体" w:cs="宋体"/>
          <w:sz w:val="24"/>
        </w:rPr>
        <w:t>法定代表人授权委托书</w:t>
      </w:r>
    </w:p>
    <w:p w14:paraId="2027E622">
      <w:pPr>
        <w:spacing w:line="360" w:lineRule="auto"/>
        <w:rPr>
          <w:rFonts w:ascii="宋体" w:hAnsi="宋体" w:cs="宋体"/>
          <w:sz w:val="24"/>
        </w:rPr>
      </w:pPr>
    </w:p>
    <w:p w14:paraId="35B47434">
      <w:pPr>
        <w:spacing w:line="360" w:lineRule="auto"/>
        <w:ind w:firstLine="480" w:firstLineChars="200"/>
        <w:rPr>
          <w:rFonts w:ascii="宋体" w:hAnsi="宋体" w:cs="宋体"/>
          <w:sz w:val="24"/>
        </w:rPr>
      </w:pPr>
      <w:r>
        <w:rPr>
          <w:rFonts w:hint="eastAsia" w:ascii="宋体" w:hAnsi="宋体" w:cs="宋体"/>
          <w:sz w:val="24"/>
        </w:rPr>
        <w:t>本人------（姓名）系————（授权单位名称）的法定代表人，现委托-------（姓名）（身份证号——————）为我方代理人，以我方名义全权处理与本次采购项目（编号：----------）有关的一切事务，其法律后果由我方承担。</w:t>
      </w:r>
    </w:p>
    <w:p w14:paraId="66DABE2A">
      <w:pPr>
        <w:spacing w:line="360" w:lineRule="auto"/>
        <w:ind w:firstLine="480" w:firstLineChars="200"/>
        <w:rPr>
          <w:rFonts w:ascii="宋体" w:hAnsi="宋体" w:cs="宋体"/>
          <w:sz w:val="24"/>
        </w:rPr>
      </w:pPr>
      <w:r>
        <w:rPr>
          <w:rFonts w:hint="eastAsia" w:ascii="宋体" w:hAnsi="宋体" w:cs="宋体"/>
          <w:sz w:val="24"/>
        </w:rPr>
        <w:t>本授权书于---年---月---日起生效。代理人无转委托权。</w:t>
      </w:r>
    </w:p>
    <w:p w14:paraId="70BE31D6">
      <w:pPr>
        <w:spacing w:line="360" w:lineRule="auto"/>
        <w:ind w:firstLine="360" w:firstLineChars="150"/>
        <w:rPr>
          <w:rFonts w:ascii="宋体" w:hAnsi="宋体" w:cs="宋体"/>
          <w:sz w:val="24"/>
        </w:rPr>
      </w:pPr>
      <w:r>
        <w:rPr>
          <w:rFonts w:hint="eastAsia" w:ascii="宋体" w:hAnsi="宋体" w:cs="宋体"/>
          <w:sz w:val="24"/>
        </w:rPr>
        <w:t>代理人(被授权人):------</w:t>
      </w:r>
    </w:p>
    <w:p w14:paraId="4B8AE41D">
      <w:pPr>
        <w:spacing w:line="360" w:lineRule="auto"/>
        <w:ind w:firstLine="360" w:firstLineChars="150"/>
        <w:rPr>
          <w:rFonts w:ascii="宋体" w:hAnsi="宋体" w:cs="宋体"/>
          <w:sz w:val="24"/>
        </w:rPr>
      </w:pPr>
      <w:r>
        <w:rPr>
          <w:rFonts w:hint="eastAsia" w:ascii="宋体" w:hAnsi="宋体" w:cs="宋体"/>
          <w:sz w:val="24"/>
        </w:rPr>
        <w:t>授权单位名称（盖章）：-----</w:t>
      </w:r>
    </w:p>
    <w:p w14:paraId="2A5E12AA">
      <w:pPr>
        <w:spacing w:line="360" w:lineRule="auto"/>
        <w:ind w:firstLine="360" w:firstLineChars="150"/>
        <w:rPr>
          <w:rFonts w:ascii="宋体" w:hAnsi="宋体" w:cs="宋体"/>
          <w:sz w:val="24"/>
        </w:rPr>
      </w:pPr>
      <w:r>
        <w:rPr>
          <w:rFonts w:hint="eastAsia" w:ascii="宋体" w:hAnsi="宋体" w:cs="宋体"/>
          <w:sz w:val="24"/>
        </w:rPr>
        <w:t>授权单位法定代表人（签字或盖章）：-----</w:t>
      </w:r>
    </w:p>
    <w:p w14:paraId="75FECD56">
      <w:pPr>
        <w:spacing w:line="360" w:lineRule="auto"/>
        <w:jc w:val="right"/>
        <w:rPr>
          <w:rFonts w:ascii="宋体" w:hAnsi="宋体" w:cs="宋体"/>
          <w:sz w:val="24"/>
        </w:rPr>
      </w:pPr>
    </w:p>
    <w:p w14:paraId="4B184451">
      <w:pPr>
        <w:spacing w:line="360" w:lineRule="auto"/>
        <w:jc w:val="right"/>
        <w:rPr>
          <w:rFonts w:ascii="宋体" w:hAnsi="宋体" w:cs="宋体"/>
          <w:sz w:val="24"/>
        </w:rPr>
      </w:pPr>
      <w:r>
        <w:rPr>
          <w:rFonts w:hint="eastAsia" w:ascii="宋体" w:hAnsi="宋体" w:cs="宋体"/>
          <w:sz w:val="24"/>
        </w:rPr>
        <w:t>年  月  日</w:t>
      </w:r>
    </w:p>
    <w:p w14:paraId="7D01BCCD">
      <w:pPr>
        <w:rPr>
          <w:rFonts w:ascii="宋体" w:hAnsi="宋体" w:cs="宋体"/>
          <w:sz w:val="24"/>
        </w:rPr>
      </w:pPr>
      <w:r>
        <w:rPr>
          <w:rFonts w:hint="eastAsia" w:ascii="宋体" w:hAnsi="宋体" w:cs="宋体"/>
          <w:sz w:val="24"/>
        </w:rPr>
        <w:br w:type="page"/>
      </w:r>
    </w:p>
    <w:p w14:paraId="46B4FB75">
      <w:pPr>
        <w:snapToGrid w:val="0"/>
        <w:spacing w:line="360" w:lineRule="auto"/>
        <w:contextualSpacing/>
        <w:rPr>
          <w:rFonts w:ascii="宋体" w:hAnsi="宋体" w:cs="宋体"/>
          <w:kern w:val="0"/>
          <w:sz w:val="24"/>
        </w:rPr>
      </w:pPr>
      <w:r>
        <w:rPr>
          <w:rFonts w:hint="eastAsia" w:ascii="宋体" w:hAnsi="宋体" w:cs="宋体"/>
          <w:kern w:val="0"/>
          <w:sz w:val="24"/>
        </w:rPr>
        <w:t>附件4</w:t>
      </w:r>
    </w:p>
    <w:p w14:paraId="281FA26E">
      <w:pPr>
        <w:tabs>
          <w:tab w:val="left" w:pos="1260"/>
        </w:tabs>
        <w:snapToGrid w:val="0"/>
        <w:spacing w:line="360" w:lineRule="auto"/>
        <w:contextualSpacing/>
        <w:jc w:val="center"/>
        <w:rPr>
          <w:rFonts w:ascii="宋体" w:hAnsi="宋体" w:cs="宋体"/>
          <w:b/>
          <w:sz w:val="24"/>
        </w:rPr>
      </w:pPr>
      <w:r>
        <w:rPr>
          <w:rFonts w:hint="eastAsia" w:ascii="宋体" w:hAnsi="宋体" w:cs="宋体"/>
          <w:b/>
          <w:sz w:val="24"/>
        </w:rPr>
        <w:t>供应商情况一览表</w:t>
      </w:r>
    </w:p>
    <w:tbl>
      <w:tblPr>
        <w:tblStyle w:val="13"/>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960"/>
      </w:tblGrid>
      <w:tr w14:paraId="23D7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14:paraId="60A71127">
            <w:pPr>
              <w:tabs>
                <w:tab w:val="left" w:pos="4320"/>
              </w:tabs>
              <w:spacing w:line="360" w:lineRule="auto"/>
              <w:jc w:val="center"/>
              <w:rPr>
                <w:rFonts w:ascii="宋体" w:hAnsi="宋体" w:cs="宋体"/>
                <w:sz w:val="24"/>
              </w:rPr>
            </w:pPr>
            <w:r>
              <w:rPr>
                <w:rFonts w:hint="eastAsia" w:ascii="宋体" w:hAnsi="宋体" w:cs="宋体"/>
                <w:sz w:val="24"/>
              </w:rPr>
              <w:t>单位名称</w:t>
            </w:r>
          </w:p>
        </w:tc>
        <w:tc>
          <w:tcPr>
            <w:tcW w:w="7339" w:type="dxa"/>
            <w:gridSpan w:val="10"/>
            <w:tcBorders>
              <w:top w:val="double" w:color="auto" w:sz="4" w:space="0"/>
              <w:right w:val="double" w:color="auto" w:sz="4" w:space="0"/>
            </w:tcBorders>
            <w:vAlign w:val="center"/>
          </w:tcPr>
          <w:p w14:paraId="0449F20B">
            <w:pPr>
              <w:tabs>
                <w:tab w:val="left" w:pos="4320"/>
              </w:tabs>
              <w:spacing w:line="360" w:lineRule="auto"/>
              <w:rPr>
                <w:rFonts w:ascii="宋体" w:hAnsi="宋体" w:cs="宋体"/>
                <w:sz w:val="24"/>
              </w:rPr>
            </w:pPr>
          </w:p>
        </w:tc>
      </w:tr>
      <w:tr w14:paraId="7E32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14:paraId="13D42FAD">
            <w:pPr>
              <w:tabs>
                <w:tab w:val="left" w:pos="4320"/>
              </w:tabs>
              <w:spacing w:line="360" w:lineRule="auto"/>
              <w:rPr>
                <w:rFonts w:ascii="宋体" w:hAnsi="宋体" w:cs="宋体"/>
                <w:sz w:val="24"/>
              </w:rPr>
            </w:pPr>
            <w:r>
              <w:rPr>
                <w:rFonts w:hint="eastAsia" w:ascii="宋体" w:hAnsi="宋体" w:cs="宋体"/>
                <w:sz w:val="24"/>
              </w:rPr>
              <w:t>单位优势及特长</w:t>
            </w:r>
          </w:p>
        </w:tc>
        <w:tc>
          <w:tcPr>
            <w:tcW w:w="6488" w:type="dxa"/>
            <w:gridSpan w:val="9"/>
            <w:tcBorders>
              <w:left w:val="single" w:color="auto" w:sz="4" w:space="0"/>
              <w:right w:val="double" w:color="auto" w:sz="4" w:space="0"/>
            </w:tcBorders>
            <w:vAlign w:val="center"/>
          </w:tcPr>
          <w:p w14:paraId="4E35BA24">
            <w:pPr>
              <w:tabs>
                <w:tab w:val="left" w:pos="4320"/>
              </w:tabs>
              <w:spacing w:line="360" w:lineRule="auto"/>
              <w:rPr>
                <w:rFonts w:ascii="宋体" w:hAnsi="宋体" w:cs="宋体"/>
                <w:sz w:val="24"/>
              </w:rPr>
            </w:pPr>
          </w:p>
        </w:tc>
      </w:tr>
      <w:tr w14:paraId="219D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00574419">
            <w:pPr>
              <w:tabs>
                <w:tab w:val="left" w:pos="4320"/>
              </w:tabs>
              <w:spacing w:line="360" w:lineRule="auto"/>
              <w:ind w:left="266" w:hanging="266" w:hangingChars="111"/>
              <w:rPr>
                <w:rFonts w:ascii="宋体" w:hAnsi="宋体" w:cs="宋体"/>
                <w:sz w:val="24"/>
              </w:rPr>
            </w:pPr>
            <w:r>
              <w:rPr>
                <w:rFonts w:hint="eastAsia" w:ascii="宋体" w:hAnsi="宋体" w:cs="宋体"/>
                <w:sz w:val="24"/>
              </w:rPr>
              <w:t>单位</w:t>
            </w:r>
          </w:p>
          <w:p w14:paraId="2EDC16AD">
            <w:pPr>
              <w:tabs>
                <w:tab w:val="left" w:pos="4320"/>
              </w:tabs>
              <w:spacing w:line="360" w:lineRule="auto"/>
              <w:ind w:left="266" w:hanging="266" w:hangingChars="111"/>
              <w:rPr>
                <w:rFonts w:ascii="宋体" w:hAnsi="宋体" w:cs="宋体"/>
                <w:sz w:val="24"/>
              </w:rPr>
            </w:pPr>
            <w:r>
              <w:rPr>
                <w:rFonts w:hint="eastAsia" w:ascii="宋体" w:hAnsi="宋体" w:cs="宋体"/>
                <w:sz w:val="24"/>
              </w:rPr>
              <w:t>概况</w:t>
            </w:r>
          </w:p>
        </w:tc>
        <w:tc>
          <w:tcPr>
            <w:tcW w:w="1276" w:type="dxa"/>
            <w:gridSpan w:val="2"/>
            <w:vAlign w:val="center"/>
          </w:tcPr>
          <w:p w14:paraId="4C5EA90A">
            <w:pPr>
              <w:tabs>
                <w:tab w:val="left" w:pos="4320"/>
              </w:tabs>
              <w:spacing w:line="360" w:lineRule="auto"/>
              <w:jc w:val="center"/>
              <w:rPr>
                <w:rFonts w:ascii="宋体" w:hAnsi="宋体" w:cs="宋体"/>
                <w:sz w:val="24"/>
              </w:rPr>
            </w:pPr>
            <w:r>
              <w:rPr>
                <w:rFonts w:hint="eastAsia" w:ascii="宋体" w:hAnsi="宋体" w:cs="宋体"/>
                <w:sz w:val="24"/>
              </w:rPr>
              <w:t>职工总数</w:t>
            </w:r>
          </w:p>
        </w:tc>
        <w:tc>
          <w:tcPr>
            <w:tcW w:w="1417" w:type="dxa"/>
            <w:gridSpan w:val="2"/>
            <w:vAlign w:val="center"/>
          </w:tcPr>
          <w:p w14:paraId="6687C3B7">
            <w:pPr>
              <w:tabs>
                <w:tab w:val="left" w:pos="4320"/>
              </w:tabs>
              <w:spacing w:line="360" w:lineRule="auto"/>
              <w:jc w:val="right"/>
              <w:rPr>
                <w:rFonts w:ascii="宋体" w:hAnsi="宋体" w:cs="宋体"/>
                <w:sz w:val="24"/>
              </w:rPr>
            </w:pPr>
            <w:r>
              <w:rPr>
                <w:rFonts w:hint="eastAsia" w:ascii="宋体" w:hAnsi="宋体" w:cs="宋体"/>
                <w:sz w:val="24"/>
              </w:rPr>
              <w:t>人</w:t>
            </w:r>
          </w:p>
        </w:tc>
        <w:tc>
          <w:tcPr>
            <w:tcW w:w="567" w:type="dxa"/>
            <w:vMerge w:val="restart"/>
            <w:vAlign w:val="center"/>
          </w:tcPr>
          <w:p w14:paraId="016C3095">
            <w:pPr>
              <w:tabs>
                <w:tab w:val="left" w:pos="4320"/>
              </w:tabs>
              <w:spacing w:line="360" w:lineRule="auto"/>
              <w:rPr>
                <w:rFonts w:ascii="宋体" w:hAnsi="宋体" w:cs="宋体"/>
                <w:sz w:val="24"/>
              </w:rPr>
            </w:pPr>
            <w:r>
              <w:rPr>
                <w:rFonts w:hint="eastAsia" w:ascii="宋体" w:hAnsi="宋体" w:cs="宋体"/>
                <w:sz w:val="24"/>
              </w:rPr>
              <w:t>上一年主要经济指标</w:t>
            </w:r>
          </w:p>
        </w:tc>
        <w:tc>
          <w:tcPr>
            <w:tcW w:w="946" w:type="dxa"/>
            <w:vAlign w:val="center"/>
          </w:tcPr>
          <w:p w14:paraId="2E90633A">
            <w:pPr>
              <w:tabs>
                <w:tab w:val="left" w:pos="4320"/>
              </w:tabs>
              <w:spacing w:line="360" w:lineRule="auto"/>
              <w:jc w:val="center"/>
              <w:rPr>
                <w:rFonts w:ascii="宋体" w:hAnsi="宋体" w:cs="宋体"/>
                <w:sz w:val="24"/>
              </w:rPr>
            </w:pPr>
            <w:r>
              <w:rPr>
                <w:rFonts w:hint="eastAsia" w:ascii="宋体" w:hAnsi="宋体" w:cs="宋体"/>
                <w:sz w:val="24"/>
              </w:rPr>
              <w:t>营业额</w:t>
            </w:r>
          </w:p>
        </w:tc>
        <w:tc>
          <w:tcPr>
            <w:tcW w:w="1414" w:type="dxa"/>
            <w:gridSpan w:val="2"/>
            <w:vAlign w:val="center"/>
          </w:tcPr>
          <w:p w14:paraId="743B6A28">
            <w:pPr>
              <w:tabs>
                <w:tab w:val="left" w:pos="4320"/>
              </w:tabs>
              <w:spacing w:line="360" w:lineRule="auto"/>
              <w:rPr>
                <w:rFonts w:ascii="宋体" w:hAnsi="宋体" w:cs="宋体"/>
                <w:sz w:val="24"/>
              </w:rPr>
            </w:pPr>
          </w:p>
        </w:tc>
        <w:tc>
          <w:tcPr>
            <w:tcW w:w="1184" w:type="dxa"/>
            <w:gridSpan w:val="2"/>
            <w:vAlign w:val="center"/>
          </w:tcPr>
          <w:p w14:paraId="26646DD1">
            <w:pPr>
              <w:tabs>
                <w:tab w:val="left" w:pos="4320"/>
              </w:tabs>
              <w:spacing w:line="360" w:lineRule="auto"/>
              <w:jc w:val="center"/>
              <w:rPr>
                <w:rFonts w:ascii="宋体" w:hAnsi="宋体" w:cs="宋体"/>
                <w:sz w:val="24"/>
              </w:rPr>
            </w:pPr>
            <w:r>
              <w:rPr>
                <w:rFonts w:hint="eastAsia" w:ascii="宋体" w:hAnsi="宋体" w:cs="宋体"/>
                <w:sz w:val="24"/>
              </w:rPr>
              <w:t>实现利润</w:t>
            </w:r>
          </w:p>
        </w:tc>
        <w:tc>
          <w:tcPr>
            <w:tcW w:w="960" w:type="dxa"/>
            <w:tcBorders>
              <w:right w:val="double" w:color="auto" w:sz="4" w:space="0"/>
            </w:tcBorders>
            <w:vAlign w:val="center"/>
          </w:tcPr>
          <w:p w14:paraId="75D5AEBC">
            <w:pPr>
              <w:tabs>
                <w:tab w:val="left" w:pos="4320"/>
              </w:tabs>
              <w:spacing w:line="360" w:lineRule="auto"/>
              <w:rPr>
                <w:rFonts w:ascii="宋体" w:hAnsi="宋体" w:cs="宋体"/>
                <w:sz w:val="24"/>
              </w:rPr>
            </w:pPr>
          </w:p>
        </w:tc>
      </w:tr>
      <w:tr w14:paraId="2158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A4F22E9">
            <w:pPr>
              <w:tabs>
                <w:tab w:val="left" w:pos="4320"/>
              </w:tabs>
              <w:spacing w:line="360" w:lineRule="auto"/>
              <w:ind w:left="266" w:hanging="266" w:hangingChars="111"/>
              <w:rPr>
                <w:rFonts w:ascii="宋体" w:hAnsi="宋体" w:cs="宋体"/>
                <w:sz w:val="24"/>
              </w:rPr>
            </w:pPr>
          </w:p>
        </w:tc>
        <w:tc>
          <w:tcPr>
            <w:tcW w:w="1276" w:type="dxa"/>
            <w:gridSpan w:val="2"/>
            <w:vAlign w:val="center"/>
          </w:tcPr>
          <w:p w14:paraId="38FB17D1">
            <w:pPr>
              <w:tabs>
                <w:tab w:val="left" w:pos="4320"/>
              </w:tabs>
              <w:spacing w:line="360" w:lineRule="auto"/>
              <w:jc w:val="center"/>
              <w:rPr>
                <w:rFonts w:ascii="宋体" w:hAnsi="宋体" w:cs="宋体"/>
                <w:sz w:val="24"/>
              </w:rPr>
            </w:pPr>
            <w:r>
              <w:rPr>
                <w:rFonts w:hint="eastAsia" w:ascii="宋体" w:hAnsi="宋体" w:cs="宋体"/>
                <w:sz w:val="24"/>
              </w:rPr>
              <w:t>流动资金</w:t>
            </w:r>
          </w:p>
        </w:tc>
        <w:tc>
          <w:tcPr>
            <w:tcW w:w="1417" w:type="dxa"/>
            <w:gridSpan w:val="2"/>
            <w:vAlign w:val="center"/>
          </w:tcPr>
          <w:p w14:paraId="13CD783B">
            <w:pPr>
              <w:tabs>
                <w:tab w:val="left" w:pos="4320"/>
              </w:tabs>
              <w:spacing w:line="360" w:lineRule="auto"/>
              <w:jc w:val="right"/>
              <w:rPr>
                <w:rFonts w:ascii="宋体" w:hAnsi="宋体" w:cs="宋体"/>
                <w:sz w:val="24"/>
              </w:rPr>
            </w:pPr>
            <w:r>
              <w:rPr>
                <w:rFonts w:hint="eastAsia" w:ascii="宋体" w:hAnsi="宋体" w:cs="宋体"/>
                <w:sz w:val="24"/>
              </w:rPr>
              <w:t>万元</w:t>
            </w:r>
          </w:p>
        </w:tc>
        <w:tc>
          <w:tcPr>
            <w:tcW w:w="567" w:type="dxa"/>
            <w:vMerge w:val="continue"/>
            <w:vAlign w:val="center"/>
          </w:tcPr>
          <w:p w14:paraId="4C8A37F7">
            <w:pPr>
              <w:tabs>
                <w:tab w:val="left" w:pos="4320"/>
              </w:tabs>
              <w:spacing w:line="360" w:lineRule="auto"/>
              <w:rPr>
                <w:rFonts w:ascii="宋体" w:hAnsi="宋体" w:cs="宋体"/>
                <w:sz w:val="24"/>
              </w:rPr>
            </w:pPr>
          </w:p>
        </w:tc>
        <w:tc>
          <w:tcPr>
            <w:tcW w:w="946" w:type="dxa"/>
            <w:vMerge w:val="restart"/>
            <w:vAlign w:val="center"/>
          </w:tcPr>
          <w:p w14:paraId="6D91D1F9">
            <w:pPr>
              <w:tabs>
                <w:tab w:val="left" w:pos="4320"/>
              </w:tabs>
              <w:spacing w:line="360" w:lineRule="auto"/>
              <w:jc w:val="center"/>
              <w:rPr>
                <w:rFonts w:ascii="宋体" w:hAnsi="宋体" w:cs="宋体"/>
                <w:sz w:val="24"/>
              </w:rPr>
            </w:pPr>
            <w:r>
              <w:rPr>
                <w:rFonts w:hint="eastAsia" w:ascii="宋体" w:hAnsi="宋体" w:cs="宋体"/>
                <w:sz w:val="24"/>
              </w:rPr>
              <w:t>主要</w:t>
            </w:r>
          </w:p>
          <w:p w14:paraId="0E313618">
            <w:pPr>
              <w:tabs>
                <w:tab w:val="left" w:pos="4320"/>
              </w:tabs>
              <w:spacing w:line="360" w:lineRule="auto"/>
              <w:jc w:val="center"/>
              <w:rPr>
                <w:rFonts w:ascii="宋体" w:hAnsi="宋体" w:cs="宋体"/>
                <w:sz w:val="24"/>
              </w:rPr>
            </w:pPr>
            <w:r>
              <w:rPr>
                <w:rFonts w:hint="eastAsia" w:ascii="宋体" w:hAnsi="宋体" w:cs="宋体"/>
                <w:sz w:val="24"/>
              </w:rPr>
              <w:t>产品</w:t>
            </w:r>
          </w:p>
        </w:tc>
        <w:tc>
          <w:tcPr>
            <w:tcW w:w="3558" w:type="dxa"/>
            <w:gridSpan w:val="5"/>
            <w:tcBorders>
              <w:right w:val="double" w:color="auto" w:sz="4" w:space="0"/>
            </w:tcBorders>
            <w:vAlign w:val="center"/>
          </w:tcPr>
          <w:p w14:paraId="10F4FB48">
            <w:pPr>
              <w:tabs>
                <w:tab w:val="left" w:pos="4320"/>
              </w:tabs>
              <w:spacing w:before="120" w:after="120" w:line="360" w:lineRule="auto"/>
              <w:rPr>
                <w:rFonts w:ascii="宋体" w:hAnsi="宋体" w:cs="宋体"/>
                <w:sz w:val="24"/>
              </w:rPr>
            </w:pPr>
            <w:r>
              <w:rPr>
                <w:rFonts w:hint="eastAsia" w:ascii="宋体" w:hAnsi="宋体" w:cs="宋体"/>
                <w:sz w:val="24"/>
              </w:rPr>
              <w:t>1.</w:t>
            </w:r>
          </w:p>
        </w:tc>
      </w:tr>
      <w:tr w14:paraId="5086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14:paraId="630BA733">
            <w:pPr>
              <w:tabs>
                <w:tab w:val="left" w:pos="4320"/>
              </w:tabs>
              <w:spacing w:line="360" w:lineRule="auto"/>
              <w:ind w:left="266" w:hanging="266" w:hangingChars="111"/>
              <w:rPr>
                <w:rFonts w:ascii="宋体" w:hAnsi="宋体" w:cs="宋体"/>
                <w:sz w:val="24"/>
              </w:rPr>
            </w:pPr>
          </w:p>
        </w:tc>
        <w:tc>
          <w:tcPr>
            <w:tcW w:w="1276" w:type="dxa"/>
            <w:gridSpan w:val="2"/>
            <w:vAlign w:val="center"/>
          </w:tcPr>
          <w:p w14:paraId="511A4CCF">
            <w:pPr>
              <w:tabs>
                <w:tab w:val="left" w:pos="4320"/>
              </w:tabs>
              <w:spacing w:line="360" w:lineRule="auto"/>
              <w:jc w:val="center"/>
              <w:rPr>
                <w:rFonts w:ascii="宋体" w:hAnsi="宋体" w:cs="宋体"/>
                <w:sz w:val="24"/>
              </w:rPr>
            </w:pPr>
            <w:r>
              <w:rPr>
                <w:rFonts w:hint="eastAsia" w:ascii="宋体" w:hAnsi="宋体" w:cs="宋体"/>
                <w:sz w:val="24"/>
              </w:rPr>
              <w:t>固定资产</w:t>
            </w:r>
          </w:p>
          <w:p w14:paraId="79016FA5">
            <w:pPr>
              <w:tabs>
                <w:tab w:val="left" w:pos="4320"/>
              </w:tabs>
              <w:spacing w:line="360" w:lineRule="auto"/>
              <w:jc w:val="center"/>
              <w:rPr>
                <w:rFonts w:ascii="宋体" w:hAnsi="宋体" w:cs="宋体"/>
                <w:sz w:val="24"/>
              </w:rPr>
            </w:pPr>
            <w:r>
              <w:rPr>
                <w:rFonts w:hint="eastAsia" w:ascii="宋体" w:hAnsi="宋体" w:cs="宋体"/>
                <w:sz w:val="24"/>
              </w:rPr>
              <w:t>（万元）</w:t>
            </w:r>
          </w:p>
        </w:tc>
        <w:tc>
          <w:tcPr>
            <w:tcW w:w="1417" w:type="dxa"/>
            <w:gridSpan w:val="2"/>
            <w:vAlign w:val="center"/>
          </w:tcPr>
          <w:p w14:paraId="472513F6">
            <w:pPr>
              <w:tabs>
                <w:tab w:val="left" w:pos="-48"/>
                <w:tab w:val="left" w:pos="4320"/>
              </w:tabs>
              <w:spacing w:line="360" w:lineRule="auto"/>
              <w:ind w:right="-133" w:hanging="48"/>
              <w:rPr>
                <w:rFonts w:ascii="宋体" w:hAnsi="宋体" w:cs="宋体"/>
                <w:sz w:val="24"/>
              </w:rPr>
            </w:pPr>
            <w:r>
              <w:rPr>
                <w:rFonts w:hint="eastAsia" w:ascii="宋体" w:hAnsi="宋体" w:cs="宋体"/>
                <w:sz w:val="24"/>
              </w:rPr>
              <w:t>原值：</w:t>
            </w:r>
          </w:p>
          <w:p w14:paraId="747BAA7E">
            <w:pPr>
              <w:tabs>
                <w:tab w:val="left" w:pos="-48"/>
                <w:tab w:val="left" w:pos="4320"/>
              </w:tabs>
              <w:spacing w:line="360" w:lineRule="auto"/>
              <w:ind w:hanging="48"/>
              <w:jc w:val="right"/>
              <w:rPr>
                <w:rFonts w:ascii="宋体" w:hAnsi="宋体" w:cs="宋体"/>
                <w:sz w:val="24"/>
              </w:rPr>
            </w:pPr>
          </w:p>
          <w:p w14:paraId="474893B7">
            <w:pPr>
              <w:tabs>
                <w:tab w:val="left" w:pos="-48"/>
                <w:tab w:val="left" w:pos="4320"/>
              </w:tabs>
              <w:spacing w:line="360" w:lineRule="auto"/>
              <w:ind w:right="-133" w:hanging="48"/>
              <w:rPr>
                <w:rFonts w:ascii="宋体" w:hAnsi="宋体" w:cs="宋体"/>
                <w:sz w:val="24"/>
              </w:rPr>
            </w:pPr>
            <w:r>
              <w:rPr>
                <w:rFonts w:hint="eastAsia" w:ascii="宋体" w:hAnsi="宋体" w:cs="宋体"/>
                <w:sz w:val="24"/>
              </w:rPr>
              <w:t>净值：</w:t>
            </w:r>
          </w:p>
          <w:p w14:paraId="4657BBB5">
            <w:pPr>
              <w:tabs>
                <w:tab w:val="left" w:pos="-48"/>
                <w:tab w:val="left" w:pos="4320"/>
              </w:tabs>
              <w:spacing w:line="360" w:lineRule="auto"/>
              <w:ind w:hanging="48"/>
              <w:jc w:val="right"/>
              <w:rPr>
                <w:rFonts w:ascii="宋体" w:hAnsi="宋体" w:cs="宋体"/>
                <w:sz w:val="24"/>
              </w:rPr>
            </w:pPr>
          </w:p>
        </w:tc>
        <w:tc>
          <w:tcPr>
            <w:tcW w:w="567" w:type="dxa"/>
            <w:vMerge w:val="continue"/>
            <w:vAlign w:val="center"/>
          </w:tcPr>
          <w:p w14:paraId="2EC8DBA2">
            <w:pPr>
              <w:tabs>
                <w:tab w:val="left" w:pos="4320"/>
              </w:tabs>
              <w:spacing w:line="360" w:lineRule="auto"/>
              <w:rPr>
                <w:rFonts w:ascii="宋体" w:hAnsi="宋体" w:cs="宋体"/>
                <w:sz w:val="24"/>
              </w:rPr>
            </w:pPr>
          </w:p>
        </w:tc>
        <w:tc>
          <w:tcPr>
            <w:tcW w:w="946" w:type="dxa"/>
            <w:vMerge w:val="continue"/>
            <w:vAlign w:val="center"/>
          </w:tcPr>
          <w:p w14:paraId="6A9E9743">
            <w:pPr>
              <w:tabs>
                <w:tab w:val="left" w:pos="4320"/>
              </w:tabs>
              <w:spacing w:line="360" w:lineRule="auto"/>
              <w:jc w:val="center"/>
              <w:rPr>
                <w:rFonts w:ascii="宋体" w:hAnsi="宋体" w:cs="宋体"/>
                <w:sz w:val="24"/>
              </w:rPr>
            </w:pPr>
          </w:p>
        </w:tc>
        <w:tc>
          <w:tcPr>
            <w:tcW w:w="3558" w:type="dxa"/>
            <w:gridSpan w:val="5"/>
            <w:tcBorders>
              <w:right w:val="double" w:color="auto" w:sz="4" w:space="0"/>
            </w:tcBorders>
            <w:vAlign w:val="center"/>
          </w:tcPr>
          <w:p w14:paraId="611DD522">
            <w:pPr>
              <w:tabs>
                <w:tab w:val="left" w:pos="4320"/>
              </w:tabs>
              <w:spacing w:line="360" w:lineRule="auto"/>
              <w:rPr>
                <w:rFonts w:ascii="宋体" w:hAnsi="宋体" w:cs="宋体"/>
                <w:sz w:val="24"/>
              </w:rPr>
            </w:pPr>
            <w:r>
              <w:rPr>
                <w:rFonts w:hint="eastAsia" w:ascii="宋体" w:hAnsi="宋体" w:cs="宋体"/>
                <w:sz w:val="24"/>
              </w:rPr>
              <w:t>2.</w:t>
            </w:r>
          </w:p>
        </w:tc>
      </w:tr>
      <w:tr w14:paraId="065F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4C3DCFF4">
            <w:pPr>
              <w:tabs>
                <w:tab w:val="left" w:pos="4320"/>
              </w:tabs>
              <w:spacing w:line="360" w:lineRule="auto"/>
              <w:ind w:left="266" w:hanging="266" w:hangingChars="111"/>
              <w:rPr>
                <w:rFonts w:ascii="宋体" w:hAnsi="宋体" w:cs="宋体"/>
                <w:sz w:val="24"/>
              </w:rPr>
            </w:pPr>
          </w:p>
        </w:tc>
        <w:tc>
          <w:tcPr>
            <w:tcW w:w="1276" w:type="dxa"/>
            <w:gridSpan w:val="2"/>
            <w:vAlign w:val="center"/>
          </w:tcPr>
          <w:p w14:paraId="7A5FB2E8">
            <w:pPr>
              <w:tabs>
                <w:tab w:val="left" w:pos="4320"/>
              </w:tabs>
              <w:spacing w:line="360" w:lineRule="auto"/>
              <w:jc w:val="center"/>
              <w:rPr>
                <w:rFonts w:ascii="宋体" w:hAnsi="宋体" w:cs="宋体"/>
                <w:sz w:val="24"/>
              </w:rPr>
            </w:pPr>
            <w:r>
              <w:rPr>
                <w:rFonts w:hint="eastAsia" w:ascii="宋体" w:hAnsi="宋体" w:cs="宋体"/>
                <w:sz w:val="24"/>
              </w:rPr>
              <w:t>占地面积</w:t>
            </w:r>
          </w:p>
        </w:tc>
        <w:tc>
          <w:tcPr>
            <w:tcW w:w="1417" w:type="dxa"/>
            <w:gridSpan w:val="2"/>
            <w:vAlign w:val="center"/>
          </w:tcPr>
          <w:p w14:paraId="445F645E">
            <w:pPr>
              <w:tabs>
                <w:tab w:val="left" w:pos="4320"/>
              </w:tabs>
              <w:spacing w:line="360" w:lineRule="auto"/>
              <w:jc w:val="right"/>
              <w:rPr>
                <w:rFonts w:ascii="宋体" w:hAnsi="宋体" w:cs="宋体"/>
                <w:sz w:val="24"/>
              </w:rPr>
            </w:pPr>
            <w:r>
              <w:rPr>
                <w:rFonts w:hint="eastAsia" w:ascii="宋体" w:hAnsi="宋体" w:cs="宋体"/>
                <w:sz w:val="24"/>
              </w:rPr>
              <w:t>M</w:t>
            </w:r>
            <w:r>
              <w:rPr>
                <w:rFonts w:hint="eastAsia" w:ascii="宋体" w:hAnsi="宋体" w:cs="宋体"/>
                <w:sz w:val="24"/>
                <w:vertAlign w:val="superscript"/>
              </w:rPr>
              <w:t>2</w:t>
            </w:r>
          </w:p>
        </w:tc>
        <w:tc>
          <w:tcPr>
            <w:tcW w:w="567" w:type="dxa"/>
            <w:vMerge w:val="continue"/>
            <w:vAlign w:val="center"/>
          </w:tcPr>
          <w:p w14:paraId="1A9A4E2E">
            <w:pPr>
              <w:tabs>
                <w:tab w:val="left" w:pos="4320"/>
              </w:tabs>
              <w:spacing w:line="360" w:lineRule="auto"/>
              <w:rPr>
                <w:rFonts w:ascii="宋体" w:hAnsi="宋体" w:cs="宋体"/>
                <w:sz w:val="24"/>
              </w:rPr>
            </w:pPr>
          </w:p>
        </w:tc>
        <w:tc>
          <w:tcPr>
            <w:tcW w:w="946" w:type="dxa"/>
            <w:vMerge w:val="continue"/>
            <w:vAlign w:val="center"/>
          </w:tcPr>
          <w:p w14:paraId="2CB600FF">
            <w:pPr>
              <w:tabs>
                <w:tab w:val="left" w:pos="4320"/>
              </w:tabs>
              <w:spacing w:line="360" w:lineRule="auto"/>
              <w:jc w:val="center"/>
              <w:rPr>
                <w:rFonts w:ascii="宋体" w:hAnsi="宋体" w:cs="宋体"/>
                <w:sz w:val="24"/>
              </w:rPr>
            </w:pPr>
          </w:p>
        </w:tc>
        <w:tc>
          <w:tcPr>
            <w:tcW w:w="3558" w:type="dxa"/>
            <w:gridSpan w:val="5"/>
            <w:tcBorders>
              <w:right w:val="double" w:color="auto" w:sz="4" w:space="0"/>
            </w:tcBorders>
            <w:vAlign w:val="center"/>
          </w:tcPr>
          <w:p w14:paraId="5D50F8A6">
            <w:pPr>
              <w:tabs>
                <w:tab w:val="left" w:pos="4320"/>
              </w:tabs>
              <w:spacing w:before="120" w:after="120" w:line="360" w:lineRule="auto"/>
              <w:rPr>
                <w:rFonts w:ascii="宋体" w:hAnsi="宋体" w:cs="宋体"/>
                <w:sz w:val="24"/>
              </w:rPr>
            </w:pPr>
            <w:r>
              <w:rPr>
                <w:rFonts w:hint="eastAsia" w:ascii="宋体" w:hAnsi="宋体" w:cs="宋体"/>
                <w:sz w:val="24"/>
              </w:rPr>
              <w:t>3.</w:t>
            </w:r>
          </w:p>
        </w:tc>
      </w:tr>
      <w:tr w14:paraId="546B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2533056F">
            <w:pPr>
              <w:spacing w:line="360" w:lineRule="auto"/>
              <w:rPr>
                <w:rFonts w:ascii="宋体" w:hAnsi="宋体" w:cs="宋体"/>
                <w:sz w:val="24"/>
              </w:rPr>
            </w:pPr>
            <w:r>
              <w:rPr>
                <w:rFonts w:hint="eastAsia" w:ascii="宋体" w:hAnsi="宋体" w:cs="宋体"/>
                <w:sz w:val="24"/>
              </w:rPr>
              <w:t>本次</w:t>
            </w:r>
          </w:p>
          <w:p w14:paraId="31643D81">
            <w:pPr>
              <w:spacing w:line="360" w:lineRule="auto"/>
              <w:rPr>
                <w:rFonts w:ascii="宋体" w:hAnsi="宋体" w:cs="宋体"/>
                <w:sz w:val="24"/>
              </w:rPr>
            </w:pPr>
            <w:r>
              <w:rPr>
                <w:rFonts w:hint="eastAsia" w:ascii="宋体" w:hAnsi="宋体" w:cs="宋体"/>
                <w:sz w:val="24"/>
              </w:rPr>
              <w:t>投标</w:t>
            </w:r>
          </w:p>
          <w:p w14:paraId="6D9850F5">
            <w:pPr>
              <w:spacing w:line="360" w:lineRule="auto"/>
              <w:rPr>
                <w:rFonts w:ascii="宋体" w:hAnsi="宋体" w:cs="宋体"/>
                <w:sz w:val="24"/>
              </w:rPr>
            </w:pPr>
            <w:r>
              <w:rPr>
                <w:rFonts w:hint="eastAsia" w:ascii="宋体" w:hAnsi="宋体" w:cs="宋体"/>
                <w:sz w:val="24"/>
              </w:rPr>
              <w:t>主要</w:t>
            </w:r>
          </w:p>
          <w:p w14:paraId="0766B1B5">
            <w:pPr>
              <w:spacing w:line="360" w:lineRule="auto"/>
              <w:rPr>
                <w:rFonts w:ascii="宋体" w:hAnsi="宋体" w:cs="宋体"/>
                <w:sz w:val="24"/>
              </w:rPr>
            </w:pPr>
            <w:r>
              <w:rPr>
                <w:rFonts w:hint="eastAsia" w:ascii="宋体" w:hAnsi="宋体" w:cs="宋体"/>
                <w:sz w:val="24"/>
              </w:rPr>
              <w:t>产品</w:t>
            </w:r>
          </w:p>
          <w:p w14:paraId="09BC130C">
            <w:pPr>
              <w:spacing w:line="360" w:lineRule="auto"/>
              <w:rPr>
                <w:rFonts w:ascii="宋体" w:hAnsi="宋体" w:cs="宋体"/>
                <w:sz w:val="24"/>
              </w:rPr>
            </w:pPr>
            <w:r>
              <w:rPr>
                <w:rFonts w:hint="eastAsia" w:ascii="宋体" w:hAnsi="宋体" w:cs="宋体"/>
                <w:sz w:val="24"/>
              </w:rPr>
              <w:t>情况</w:t>
            </w:r>
          </w:p>
        </w:tc>
        <w:tc>
          <w:tcPr>
            <w:tcW w:w="1643" w:type="dxa"/>
            <w:gridSpan w:val="3"/>
            <w:vAlign w:val="center"/>
          </w:tcPr>
          <w:p w14:paraId="0F335FDF">
            <w:pPr>
              <w:tabs>
                <w:tab w:val="left" w:pos="4320"/>
              </w:tabs>
              <w:spacing w:before="60" w:after="60" w:line="360" w:lineRule="auto"/>
              <w:jc w:val="center"/>
              <w:rPr>
                <w:rFonts w:ascii="宋体" w:hAnsi="宋体" w:cs="宋体"/>
                <w:sz w:val="24"/>
              </w:rPr>
            </w:pPr>
            <w:r>
              <w:rPr>
                <w:rFonts w:hint="eastAsia" w:ascii="宋体" w:hAnsi="宋体" w:cs="宋体"/>
                <w:sz w:val="24"/>
              </w:rPr>
              <w:t>本次投标</w:t>
            </w:r>
          </w:p>
          <w:p w14:paraId="40F19D71">
            <w:pPr>
              <w:tabs>
                <w:tab w:val="left" w:pos="4320"/>
              </w:tabs>
              <w:spacing w:before="60" w:after="60" w:line="360" w:lineRule="auto"/>
              <w:jc w:val="center"/>
              <w:rPr>
                <w:rFonts w:ascii="宋体" w:hAnsi="宋体" w:cs="宋体"/>
                <w:sz w:val="24"/>
              </w:rPr>
            </w:pPr>
            <w:r>
              <w:rPr>
                <w:rFonts w:hint="eastAsia" w:ascii="宋体" w:hAnsi="宋体" w:cs="宋体"/>
                <w:sz w:val="24"/>
              </w:rPr>
              <w:t>主要产品名称</w:t>
            </w:r>
          </w:p>
        </w:tc>
        <w:tc>
          <w:tcPr>
            <w:tcW w:w="1617" w:type="dxa"/>
            <w:gridSpan w:val="2"/>
            <w:vAlign w:val="center"/>
          </w:tcPr>
          <w:p w14:paraId="1031D112">
            <w:pPr>
              <w:tabs>
                <w:tab w:val="left" w:pos="4320"/>
              </w:tabs>
              <w:spacing w:before="60" w:after="60" w:line="360" w:lineRule="auto"/>
              <w:jc w:val="center"/>
              <w:rPr>
                <w:rFonts w:ascii="宋体" w:hAnsi="宋体" w:cs="宋体"/>
                <w:sz w:val="24"/>
              </w:rPr>
            </w:pPr>
            <w:r>
              <w:rPr>
                <w:rFonts w:hint="eastAsia" w:ascii="宋体" w:hAnsi="宋体" w:cs="宋体"/>
                <w:sz w:val="24"/>
              </w:rPr>
              <w:t>型    号</w:t>
            </w:r>
          </w:p>
        </w:tc>
        <w:tc>
          <w:tcPr>
            <w:tcW w:w="946" w:type="dxa"/>
            <w:vAlign w:val="center"/>
          </w:tcPr>
          <w:p w14:paraId="622E4AEC">
            <w:pPr>
              <w:tabs>
                <w:tab w:val="left" w:pos="4320"/>
              </w:tabs>
              <w:spacing w:before="60" w:after="60" w:line="360" w:lineRule="auto"/>
              <w:jc w:val="center"/>
              <w:rPr>
                <w:rFonts w:ascii="宋体" w:hAnsi="宋体" w:cs="宋体"/>
                <w:sz w:val="24"/>
              </w:rPr>
            </w:pPr>
            <w:r>
              <w:rPr>
                <w:rFonts w:hint="eastAsia" w:ascii="宋体" w:hAnsi="宋体" w:cs="宋体"/>
                <w:sz w:val="24"/>
              </w:rPr>
              <w:t>上年</w:t>
            </w:r>
          </w:p>
          <w:p w14:paraId="24FD2018">
            <w:pPr>
              <w:tabs>
                <w:tab w:val="left" w:pos="4320"/>
              </w:tabs>
              <w:spacing w:before="60" w:after="60" w:line="360" w:lineRule="auto"/>
              <w:jc w:val="center"/>
              <w:rPr>
                <w:rFonts w:ascii="宋体" w:hAnsi="宋体" w:cs="宋体"/>
                <w:sz w:val="24"/>
              </w:rPr>
            </w:pPr>
            <w:r>
              <w:rPr>
                <w:rFonts w:hint="eastAsia" w:ascii="宋体" w:hAnsi="宋体" w:cs="宋体"/>
                <w:sz w:val="24"/>
              </w:rPr>
              <w:t>产销量</w:t>
            </w:r>
          </w:p>
        </w:tc>
        <w:tc>
          <w:tcPr>
            <w:tcW w:w="1263" w:type="dxa"/>
            <w:vAlign w:val="center"/>
          </w:tcPr>
          <w:p w14:paraId="1DC502D3">
            <w:pPr>
              <w:tabs>
                <w:tab w:val="left" w:pos="4320"/>
              </w:tabs>
              <w:spacing w:before="60" w:after="60" w:line="360" w:lineRule="auto"/>
              <w:jc w:val="center"/>
              <w:rPr>
                <w:rFonts w:ascii="宋体" w:hAnsi="宋体" w:cs="宋体"/>
                <w:sz w:val="24"/>
              </w:rPr>
            </w:pPr>
            <w:r>
              <w:rPr>
                <w:rFonts w:hint="eastAsia" w:ascii="宋体" w:hAnsi="宋体" w:cs="宋体"/>
                <w:sz w:val="24"/>
              </w:rPr>
              <w:t>产品技术</w:t>
            </w:r>
          </w:p>
          <w:p w14:paraId="2A0A24C8">
            <w:pPr>
              <w:tabs>
                <w:tab w:val="left" w:pos="4320"/>
              </w:tabs>
              <w:spacing w:before="60" w:after="60" w:line="360" w:lineRule="auto"/>
              <w:jc w:val="center"/>
              <w:rPr>
                <w:rFonts w:ascii="宋体" w:hAnsi="宋体" w:cs="宋体"/>
                <w:sz w:val="24"/>
              </w:rPr>
            </w:pPr>
            <w:r>
              <w:rPr>
                <w:rFonts w:hint="eastAsia" w:ascii="宋体" w:hAnsi="宋体" w:cs="宋体"/>
                <w:sz w:val="24"/>
              </w:rPr>
              <w:t>先进水平</w:t>
            </w:r>
          </w:p>
        </w:tc>
        <w:tc>
          <w:tcPr>
            <w:tcW w:w="1273" w:type="dxa"/>
            <w:gridSpan w:val="2"/>
            <w:vAlign w:val="center"/>
          </w:tcPr>
          <w:p w14:paraId="6231D51C">
            <w:pPr>
              <w:tabs>
                <w:tab w:val="left" w:pos="4320"/>
              </w:tabs>
              <w:spacing w:before="60" w:after="60" w:line="360" w:lineRule="auto"/>
              <w:jc w:val="center"/>
              <w:rPr>
                <w:rFonts w:ascii="宋体" w:hAnsi="宋体" w:cs="宋体"/>
                <w:sz w:val="24"/>
              </w:rPr>
            </w:pPr>
            <w:r>
              <w:rPr>
                <w:rFonts w:hint="eastAsia" w:ascii="宋体" w:hAnsi="宋体" w:cs="宋体"/>
                <w:sz w:val="24"/>
              </w:rPr>
              <w:t>曾获何级</w:t>
            </w:r>
          </w:p>
          <w:p w14:paraId="2CC985D0">
            <w:pPr>
              <w:tabs>
                <w:tab w:val="left" w:pos="4320"/>
              </w:tabs>
              <w:spacing w:before="60" w:after="60" w:line="360" w:lineRule="auto"/>
              <w:jc w:val="center"/>
              <w:rPr>
                <w:rFonts w:ascii="宋体" w:hAnsi="宋体" w:cs="宋体"/>
                <w:sz w:val="24"/>
              </w:rPr>
            </w:pPr>
            <w:r>
              <w:rPr>
                <w:rFonts w:hint="eastAsia" w:ascii="宋体" w:hAnsi="宋体" w:cs="宋体"/>
                <w:sz w:val="24"/>
              </w:rPr>
              <w:t>何种奖励</w:t>
            </w:r>
          </w:p>
        </w:tc>
        <w:tc>
          <w:tcPr>
            <w:tcW w:w="1022" w:type="dxa"/>
            <w:gridSpan w:val="2"/>
            <w:tcBorders>
              <w:right w:val="double" w:color="auto" w:sz="4" w:space="0"/>
            </w:tcBorders>
            <w:vAlign w:val="center"/>
          </w:tcPr>
          <w:p w14:paraId="4A1F52F4">
            <w:pPr>
              <w:tabs>
                <w:tab w:val="left" w:pos="4320"/>
              </w:tabs>
              <w:spacing w:before="60" w:after="60" w:line="360" w:lineRule="auto"/>
              <w:jc w:val="center"/>
              <w:rPr>
                <w:rFonts w:ascii="宋体" w:hAnsi="宋体" w:cs="宋体"/>
                <w:sz w:val="24"/>
              </w:rPr>
            </w:pPr>
            <w:r>
              <w:rPr>
                <w:rFonts w:hint="eastAsia" w:ascii="宋体" w:hAnsi="宋体" w:cs="宋体"/>
                <w:sz w:val="24"/>
              </w:rPr>
              <w:t>主要用户</w:t>
            </w:r>
          </w:p>
          <w:p w14:paraId="2EBE450A">
            <w:pPr>
              <w:tabs>
                <w:tab w:val="left" w:pos="4320"/>
              </w:tabs>
              <w:spacing w:before="60" w:after="60" w:line="360" w:lineRule="auto"/>
              <w:jc w:val="center"/>
              <w:rPr>
                <w:rFonts w:ascii="宋体" w:hAnsi="宋体" w:cs="宋体"/>
                <w:sz w:val="24"/>
              </w:rPr>
            </w:pPr>
            <w:r>
              <w:rPr>
                <w:rFonts w:hint="eastAsia" w:ascii="宋体" w:hAnsi="宋体" w:cs="宋体"/>
                <w:sz w:val="24"/>
              </w:rPr>
              <w:t>名称</w:t>
            </w:r>
          </w:p>
        </w:tc>
      </w:tr>
      <w:tr w14:paraId="656F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3778FA49">
            <w:pPr>
              <w:tabs>
                <w:tab w:val="left" w:pos="4320"/>
              </w:tabs>
              <w:spacing w:line="360" w:lineRule="auto"/>
              <w:rPr>
                <w:rFonts w:ascii="宋体" w:hAnsi="宋体" w:cs="宋体"/>
                <w:sz w:val="24"/>
              </w:rPr>
            </w:pPr>
          </w:p>
        </w:tc>
        <w:tc>
          <w:tcPr>
            <w:tcW w:w="1643" w:type="dxa"/>
            <w:gridSpan w:val="3"/>
            <w:vAlign w:val="center"/>
          </w:tcPr>
          <w:p w14:paraId="372696D1">
            <w:pPr>
              <w:tabs>
                <w:tab w:val="left" w:pos="4320"/>
              </w:tabs>
              <w:spacing w:line="360" w:lineRule="auto"/>
              <w:rPr>
                <w:rFonts w:ascii="宋体" w:hAnsi="宋体" w:cs="宋体"/>
                <w:sz w:val="24"/>
              </w:rPr>
            </w:pPr>
          </w:p>
        </w:tc>
        <w:tc>
          <w:tcPr>
            <w:tcW w:w="1617" w:type="dxa"/>
            <w:gridSpan w:val="2"/>
            <w:vAlign w:val="center"/>
          </w:tcPr>
          <w:p w14:paraId="5E7490AA">
            <w:pPr>
              <w:tabs>
                <w:tab w:val="left" w:pos="4320"/>
              </w:tabs>
              <w:spacing w:line="360" w:lineRule="auto"/>
              <w:rPr>
                <w:rFonts w:ascii="宋体" w:hAnsi="宋体" w:cs="宋体"/>
                <w:sz w:val="24"/>
              </w:rPr>
            </w:pPr>
          </w:p>
        </w:tc>
        <w:tc>
          <w:tcPr>
            <w:tcW w:w="946" w:type="dxa"/>
            <w:vAlign w:val="center"/>
          </w:tcPr>
          <w:p w14:paraId="38DEA133">
            <w:pPr>
              <w:tabs>
                <w:tab w:val="left" w:pos="4320"/>
              </w:tabs>
              <w:spacing w:line="360" w:lineRule="auto"/>
              <w:rPr>
                <w:rFonts w:ascii="宋体" w:hAnsi="宋体" w:cs="宋体"/>
                <w:sz w:val="24"/>
              </w:rPr>
            </w:pPr>
          </w:p>
        </w:tc>
        <w:tc>
          <w:tcPr>
            <w:tcW w:w="1263" w:type="dxa"/>
            <w:vAlign w:val="center"/>
          </w:tcPr>
          <w:p w14:paraId="4FDAFA64">
            <w:pPr>
              <w:tabs>
                <w:tab w:val="left" w:pos="4320"/>
              </w:tabs>
              <w:spacing w:line="360" w:lineRule="auto"/>
              <w:rPr>
                <w:rFonts w:ascii="宋体" w:hAnsi="宋体" w:cs="宋体"/>
                <w:sz w:val="24"/>
              </w:rPr>
            </w:pPr>
          </w:p>
        </w:tc>
        <w:tc>
          <w:tcPr>
            <w:tcW w:w="1273" w:type="dxa"/>
            <w:gridSpan w:val="2"/>
            <w:vAlign w:val="center"/>
          </w:tcPr>
          <w:p w14:paraId="1EC4B881">
            <w:pPr>
              <w:tabs>
                <w:tab w:val="left" w:pos="4320"/>
              </w:tabs>
              <w:spacing w:line="360" w:lineRule="auto"/>
              <w:rPr>
                <w:rFonts w:ascii="宋体" w:hAnsi="宋体" w:cs="宋体"/>
                <w:sz w:val="24"/>
              </w:rPr>
            </w:pPr>
          </w:p>
        </w:tc>
        <w:tc>
          <w:tcPr>
            <w:tcW w:w="1022" w:type="dxa"/>
            <w:gridSpan w:val="2"/>
            <w:tcBorders>
              <w:right w:val="double" w:color="auto" w:sz="4" w:space="0"/>
            </w:tcBorders>
            <w:vAlign w:val="center"/>
          </w:tcPr>
          <w:p w14:paraId="7BE6EF19">
            <w:pPr>
              <w:tabs>
                <w:tab w:val="left" w:pos="4320"/>
              </w:tabs>
              <w:spacing w:line="360" w:lineRule="auto"/>
              <w:rPr>
                <w:rFonts w:ascii="宋体" w:hAnsi="宋体" w:cs="宋体"/>
                <w:sz w:val="24"/>
              </w:rPr>
            </w:pPr>
          </w:p>
        </w:tc>
      </w:tr>
      <w:tr w14:paraId="39B0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01D368B9">
            <w:pPr>
              <w:tabs>
                <w:tab w:val="left" w:pos="4320"/>
              </w:tabs>
              <w:spacing w:line="360" w:lineRule="auto"/>
              <w:rPr>
                <w:rFonts w:ascii="宋体" w:hAnsi="宋体" w:cs="宋体"/>
                <w:sz w:val="24"/>
              </w:rPr>
            </w:pPr>
          </w:p>
        </w:tc>
        <w:tc>
          <w:tcPr>
            <w:tcW w:w="1643" w:type="dxa"/>
            <w:gridSpan w:val="3"/>
            <w:vAlign w:val="center"/>
          </w:tcPr>
          <w:p w14:paraId="26652D1E">
            <w:pPr>
              <w:tabs>
                <w:tab w:val="left" w:pos="4320"/>
              </w:tabs>
              <w:spacing w:line="360" w:lineRule="auto"/>
              <w:rPr>
                <w:rFonts w:ascii="宋体" w:hAnsi="宋体" w:cs="宋体"/>
                <w:sz w:val="24"/>
              </w:rPr>
            </w:pPr>
          </w:p>
        </w:tc>
        <w:tc>
          <w:tcPr>
            <w:tcW w:w="1617" w:type="dxa"/>
            <w:gridSpan w:val="2"/>
            <w:vAlign w:val="center"/>
          </w:tcPr>
          <w:p w14:paraId="12809C50">
            <w:pPr>
              <w:tabs>
                <w:tab w:val="left" w:pos="4320"/>
              </w:tabs>
              <w:spacing w:line="360" w:lineRule="auto"/>
              <w:rPr>
                <w:rFonts w:ascii="宋体" w:hAnsi="宋体" w:cs="宋体"/>
                <w:sz w:val="24"/>
              </w:rPr>
            </w:pPr>
          </w:p>
        </w:tc>
        <w:tc>
          <w:tcPr>
            <w:tcW w:w="946" w:type="dxa"/>
            <w:vAlign w:val="center"/>
          </w:tcPr>
          <w:p w14:paraId="6AF96D52">
            <w:pPr>
              <w:tabs>
                <w:tab w:val="left" w:pos="4320"/>
              </w:tabs>
              <w:spacing w:line="360" w:lineRule="auto"/>
              <w:rPr>
                <w:rFonts w:ascii="宋体" w:hAnsi="宋体" w:cs="宋体"/>
                <w:sz w:val="24"/>
              </w:rPr>
            </w:pPr>
          </w:p>
        </w:tc>
        <w:tc>
          <w:tcPr>
            <w:tcW w:w="1263" w:type="dxa"/>
            <w:vAlign w:val="center"/>
          </w:tcPr>
          <w:p w14:paraId="7DE3CED5">
            <w:pPr>
              <w:tabs>
                <w:tab w:val="left" w:pos="4320"/>
              </w:tabs>
              <w:spacing w:line="360" w:lineRule="auto"/>
              <w:rPr>
                <w:rFonts w:ascii="宋体" w:hAnsi="宋体" w:cs="宋体"/>
                <w:sz w:val="24"/>
              </w:rPr>
            </w:pPr>
          </w:p>
        </w:tc>
        <w:tc>
          <w:tcPr>
            <w:tcW w:w="1273" w:type="dxa"/>
            <w:gridSpan w:val="2"/>
            <w:vAlign w:val="center"/>
          </w:tcPr>
          <w:p w14:paraId="2782BEE3">
            <w:pPr>
              <w:tabs>
                <w:tab w:val="left" w:pos="4320"/>
              </w:tabs>
              <w:spacing w:line="360" w:lineRule="auto"/>
              <w:rPr>
                <w:rFonts w:ascii="宋体" w:hAnsi="宋体" w:cs="宋体"/>
                <w:sz w:val="24"/>
              </w:rPr>
            </w:pPr>
          </w:p>
        </w:tc>
        <w:tc>
          <w:tcPr>
            <w:tcW w:w="1022" w:type="dxa"/>
            <w:gridSpan w:val="2"/>
            <w:tcBorders>
              <w:right w:val="double" w:color="auto" w:sz="4" w:space="0"/>
            </w:tcBorders>
            <w:vAlign w:val="center"/>
          </w:tcPr>
          <w:p w14:paraId="5DE1C788">
            <w:pPr>
              <w:tabs>
                <w:tab w:val="left" w:pos="4320"/>
              </w:tabs>
              <w:spacing w:line="360" w:lineRule="auto"/>
              <w:rPr>
                <w:rFonts w:ascii="宋体" w:hAnsi="宋体" w:cs="宋体"/>
                <w:sz w:val="24"/>
              </w:rPr>
            </w:pPr>
          </w:p>
        </w:tc>
      </w:tr>
      <w:tr w14:paraId="0CC5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44518E1A">
            <w:pPr>
              <w:tabs>
                <w:tab w:val="left" w:pos="4320"/>
              </w:tabs>
              <w:spacing w:line="360" w:lineRule="auto"/>
              <w:rPr>
                <w:rFonts w:ascii="宋体" w:hAnsi="宋体" w:cs="宋体"/>
                <w:sz w:val="24"/>
              </w:rPr>
            </w:pPr>
            <w:r>
              <w:rPr>
                <w:rFonts w:hint="eastAsia" w:ascii="宋体" w:hAnsi="宋体" w:cs="宋体"/>
                <w:sz w:val="24"/>
              </w:rPr>
              <w:t>其它</w:t>
            </w:r>
          </w:p>
        </w:tc>
        <w:tc>
          <w:tcPr>
            <w:tcW w:w="4206" w:type="dxa"/>
            <w:gridSpan w:val="6"/>
            <w:vAlign w:val="center"/>
          </w:tcPr>
          <w:p w14:paraId="07C55344">
            <w:pPr>
              <w:tabs>
                <w:tab w:val="left" w:pos="4320"/>
              </w:tabs>
              <w:spacing w:before="60" w:after="60" w:line="360" w:lineRule="auto"/>
              <w:rPr>
                <w:rFonts w:ascii="宋体" w:hAnsi="宋体" w:cs="宋体"/>
                <w:sz w:val="24"/>
              </w:rPr>
            </w:pPr>
            <w:r>
              <w:rPr>
                <w:rFonts w:hint="eastAsia" w:ascii="宋体" w:hAnsi="宋体" w:cs="宋体"/>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3558" w:type="dxa"/>
            <w:gridSpan w:val="5"/>
            <w:tcBorders>
              <w:right w:val="double" w:color="auto" w:sz="4" w:space="0"/>
            </w:tcBorders>
            <w:vAlign w:val="center"/>
          </w:tcPr>
          <w:p w14:paraId="381806AF">
            <w:pPr>
              <w:tabs>
                <w:tab w:val="left" w:pos="4320"/>
              </w:tabs>
              <w:spacing w:before="60" w:after="60" w:line="360" w:lineRule="auto"/>
              <w:rPr>
                <w:rFonts w:ascii="宋体" w:hAnsi="宋体" w:cs="宋体"/>
                <w:sz w:val="24"/>
              </w:rPr>
            </w:pPr>
            <w:r>
              <w:rPr>
                <w:rFonts w:hint="eastAsia" w:ascii="宋体" w:hAnsi="宋体" w:cs="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4320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trPr>
        <w:tc>
          <w:tcPr>
            <w:tcW w:w="817" w:type="dxa"/>
            <w:vMerge w:val="continue"/>
            <w:tcBorders>
              <w:left w:val="double" w:color="auto" w:sz="4" w:space="0"/>
              <w:bottom w:val="double" w:color="auto" w:sz="4" w:space="0"/>
            </w:tcBorders>
            <w:vAlign w:val="center"/>
          </w:tcPr>
          <w:p w14:paraId="05C7788E">
            <w:pPr>
              <w:tabs>
                <w:tab w:val="left" w:pos="4320"/>
              </w:tabs>
              <w:spacing w:line="360" w:lineRule="auto"/>
              <w:rPr>
                <w:rFonts w:ascii="宋体" w:hAnsi="宋体" w:cs="宋体"/>
                <w:sz w:val="24"/>
              </w:rPr>
            </w:pPr>
          </w:p>
        </w:tc>
        <w:tc>
          <w:tcPr>
            <w:tcW w:w="4206" w:type="dxa"/>
            <w:gridSpan w:val="6"/>
            <w:tcBorders>
              <w:bottom w:val="double" w:color="auto" w:sz="4" w:space="0"/>
            </w:tcBorders>
            <w:vAlign w:val="center"/>
          </w:tcPr>
          <w:p w14:paraId="50689755">
            <w:pPr>
              <w:tabs>
                <w:tab w:val="left" w:pos="4320"/>
              </w:tabs>
              <w:spacing w:line="360" w:lineRule="auto"/>
              <w:rPr>
                <w:rFonts w:ascii="宋体" w:hAnsi="宋体" w:cs="宋体"/>
                <w:sz w:val="24"/>
              </w:rPr>
            </w:pPr>
          </w:p>
        </w:tc>
        <w:tc>
          <w:tcPr>
            <w:tcW w:w="3558" w:type="dxa"/>
            <w:gridSpan w:val="5"/>
            <w:tcBorders>
              <w:bottom w:val="double" w:color="auto" w:sz="4" w:space="0"/>
              <w:right w:val="double" w:color="auto" w:sz="4" w:space="0"/>
            </w:tcBorders>
            <w:vAlign w:val="center"/>
          </w:tcPr>
          <w:p w14:paraId="5782771D">
            <w:pPr>
              <w:tabs>
                <w:tab w:val="left" w:pos="4320"/>
              </w:tabs>
              <w:spacing w:line="360" w:lineRule="auto"/>
              <w:rPr>
                <w:rFonts w:ascii="宋体" w:hAnsi="宋体" w:cs="宋体"/>
                <w:sz w:val="24"/>
              </w:rPr>
            </w:pPr>
          </w:p>
        </w:tc>
      </w:tr>
    </w:tbl>
    <w:p w14:paraId="4D4A7678">
      <w:pPr>
        <w:rPr>
          <w:rFonts w:ascii="宋体" w:hAnsi="宋体" w:cs="宋体"/>
          <w:sz w:val="24"/>
        </w:rPr>
      </w:pPr>
      <w:r>
        <w:rPr>
          <w:rFonts w:hint="eastAsia" w:ascii="宋体" w:hAnsi="宋体" w:cs="宋体"/>
          <w:sz w:val="24"/>
        </w:rPr>
        <w:br w:type="page"/>
      </w:r>
    </w:p>
    <w:p w14:paraId="3CAFC2CB">
      <w:pPr>
        <w:snapToGrid w:val="0"/>
        <w:spacing w:line="360" w:lineRule="auto"/>
        <w:contextualSpacing/>
        <w:rPr>
          <w:rFonts w:ascii="宋体" w:hAnsi="宋体" w:cs="宋体"/>
          <w:kern w:val="0"/>
          <w:sz w:val="24"/>
        </w:rPr>
      </w:pPr>
      <w:r>
        <w:rPr>
          <w:rFonts w:hint="eastAsia" w:ascii="宋体" w:hAnsi="宋体" w:cs="宋体"/>
          <w:kern w:val="0"/>
          <w:sz w:val="24"/>
        </w:rPr>
        <w:t>附件5</w:t>
      </w:r>
    </w:p>
    <w:p w14:paraId="3DD0C07C">
      <w:pPr>
        <w:snapToGrid w:val="0"/>
        <w:spacing w:line="360" w:lineRule="auto"/>
        <w:contextualSpacing/>
        <w:jc w:val="center"/>
        <w:rPr>
          <w:rFonts w:ascii="宋体" w:hAnsi="宋体" w:cs="宋体"/>
          <w:b/>
          <w:sz w:val="24"/>
        </w:rPr>
      </w:pPr>
      <w:r>
        <w:rPr>
          <w:rFonts w:hint="eastAsia" w:ascii="宋体" w:hAnsi="宋体" w:cs="宋体"/>
          <w:b/>
          <w:sz w:val="24"/>
        </w:rPr>
        <w:t>商务部分正负偏离表</w:t>
      </w:r>
    </w:p>
    <w:p w14:paraId="0C752D9E">
      <w:pPr>
        <w:spacing w:line="360" w:lineRule="auto"/>
        <w:ind w:firstLine="480" w:firstLineChars="200"/>
        <w:jc w:val="center"/>
        <w:rPr>
          <w:rFonts w:ascii="宋体" w:hAnsi="宋体" w:cs="宋体"/>
          <w:sz w:val="24"/>
        </w:rPr>
      </w:pPr>
      <w:r>
        <w:rPr>
          <w:rFonts w:hint="eastAsia" w:ascii="宋体" w:hAnsi="宋体" w:cs="宋体"/>
          <w:sz w:val="24"/>
        </w:rPr>
        <w:t>（由供应商据实填写，表格不够自行添加）</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14:paraId="597A9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0663AE57">
            <w:pPr>
              <w:spacing w:line="360" w:lineRule="auto"/>
              <w:jc w:val="center"/>
              <w:rPr>
                <w:rFonts w:ascii="宋体" w:hAnsi="宋体" w:cs="宋体"/>
                <w:sz w:val="24"/>
              </w:rPr>
            </w:pPr>
            <w:r>
              <w:rPr>
                <w:rFonts w:hint="eastAsia" w:ascii="宋体" w:hAnsi="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3923EBF7">
            <w:pPr>
              <w:spacing w:line="360" w:lineRule="auto"/>
              <w:jc w:val="center"/>
              <w:rPr>
                <w:rFonts w:ascii="宋体" w:hAnsi="宋体" w:cs="宋体"/>
                <w:sz w:val="24"/>
              </w:rPr>
            </w:pPr>
            <w:r>
              <w:rPr>
                <w:rFonts w:hint="eastAsia" w:ascii="宋体" w:hAnsi="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32202A96">
            <w:pPr>
              <w:spacing w:line="360" w:lineRule="auto"/>
              <w:jc w:val="center"/>
              <w:rPr>
                <w:rFonts w:ascii="宋体" w:hAnsi="宋体" w:cs="宋体"/>
                <w:sz w:val="24"/>
              </w:rPr>
            </w:pPr>
            <w:r>
              <w:rPr>
                <w:rFonts w:hint="eastAsia" w:ascii="宋体" w:hAnsi="宋体" w:cs="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170E9DC0">
            <w:pPr>
              <w:spacing w:line="360" w:lineRule="auto"/>
              <w:jc w:val="center"/>
              <w:rPr>
                <w:rFonts w:ascii="宋体" w:hAnsi="宋体" w:cs="宋体"/>
                <w:sz w:val="24"/>
              </w:rPr>
            </w:pPr>
            <w:r>
              <w:rPr>
                <w:rFonts w:hint="eastAsia" w:ascii="宋体" w:hAnsi="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26C69FC0">
            <w:pPr>
              <w:spacing w:line="360" w:lineRule="auto"/>
              <w:jc w:val="center"/>
              <w:rPr>
                <w:rFonts w:ascii="宋体" w:hAnsi="宋体" w:cs="宋体"/>
                <w:sz w:val="24"/>
              </w:rPr>
            </w:pPr>
          </w:p>
          <w:p w14:paraId="2CEB49CA">
            <w:pPr>
              <w:spacing w:line="360" w:lineRule="auto"/>
              <w:jc w:val="center"/>
              <w:rPr>
                <w:rFonts w:ascii="宋体" w:hAnsi="宋体" w:cs="宋体"/>
                <w:sz w:val="24"/>
              </w:rPr>
            </w:pPr>
            <w:r>
              <w:rPr>
                <w:rFonts w:hint="eastAsia" w:ascii="宋体" w:hAnsi="宋体" w:cs="宋体"/>
                <w:sz w:val="24"/>
              </w:rPr>
              <w:t>偏离说明</w:t>
            </w:r>
          </w:p>
        </w:tc>
      </w:tr>
      <w:tr w14:paraId="19E74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4F0C869F">
            <w:pPr>
              <w:spacing w:line="360" w:lineRule="auto"/>
              <w:jc w:val="center"/>
              <w:rPr>
                <w:rFonts w:ascii="宋体" w:hAnsi="宋体" w:cs="宋体"/>
                <w:sz w:val="24"/>
              </w:rPr>
            </w:pPr>
            <w:r>
              <w:rPr>
                <w:rFonts w:hint="eastAsia" w:ascii="宋体" w:hAnsi="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2E956D6F">
            <w:pPr>
              <w:spacing w:line="360" w:lineRule="auto"/>
              <w:jc w:val="lef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59415D7">
            <w:pPr>
              <w:spacing w:line="360" w:lineRule="auto"/>
              <w:jc w:val="lef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D169CC5">
            <w:pPr>
              <w:spacing w:line="360" w:lineRule="auto"/>
              <w:jc w:val="lef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788E5DE">
            <w:pPr>
              <w:spacing w:line="360" w:lineRule="auto"/>
              <w:jc w:val="left"/>
              <w:rPr>
                <w:rFonts w:ascii="宋体" w:hAnsi="宋体" w:cs="宋体"/>
                <w:sz w:val="24"/>
              </w:rPr>
            </w:pPr>
          </w:p>
        </w:tc>
      </w:tr>
      <w:tr w14:paraId="2905E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58A50E4F">
            <w:pPr>
              <w:spacing w:line="360" w:lineRule="auto"/>
              <w:jc w:val="center"/>
              <w:rPr>
                <w:rFonts w:ascii="宋体" w:hAnsi="宋体" w:cs="宋体"/>
                <w:sz w:val="24"/>
              </w:rPr>
            </w:pPr>
            <w:r>
              <w:rPr>
                <w:rFonts w:hint="eastAsia" w:ascii="宋体" w:hAnsi="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4F22BF0B">
            <w:pPr>
              <w:spacing w:line="360" w:lineRule="auto"/>
              <w:jc w:val="lef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0307FABE">
            <w:pPr>
              <w:spacing w:line="360" w:lineRule="auto"/>
              <w:jc w:val="lef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42AF428">
            <w:pPr>
              <w:spacing w:line="360" w:lineRule="auto"/>
              <w:jc w:val="lef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5EE59805">
            <w:pPr>
              <w:spacing w:line="360" w:lineRule="auto"/>
              <w:jc w:val="left"/>
              <w:rPr>
                <w:rFonts w:ascii="宋体" w:hAnsi="宋体" w:cs="宋体"/>
                <w:sz w:val="24"/>
              </w:rPr>
            </w:pPr>
          </w:p>
        </w:tc>
      </w:tr>
      <w:tr w14:paraId="1465C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61A7706A">
            <w:pPr>
              <w:spacing w:line="360" w:lineRule="auto"/>
              <w:jc w:val="center"/>
              <w:rPr>
                <w:rFonts w:ascii="宋体" w:hAnsi="宋体" w:cs="宋体"/>
                <w:sz w:val="24"/>
              </w:rPr>
            </w:pPr>
            <w:r>
              <w:rPr>
                <w:rFonts w:hint="eastAsia" w:ascii="宋体" w:hAnsi="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6F9078B5">
            <w:pPr>
              <w:spacing w:line="360" w:lineRule="auto"/>
              <w:jc w:val="lef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473AEAB">
            <w:pPr>
              <w:spacing w:line="360" w:lineRule="auto"/>
              <w:jc w:val="lef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50093CA">
            <w:pPr>
              <w:spacing w:line="360" w:lineRule="auto"/>
              <w:jc w:val="lef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723272AA">
            <w:pPr>
              <w:spacing w:line="360" w:lineRule="auto"/>
              <w:jc w:val="left"/>
              <w:rPr>
                <w:rFonts w:ascii="宋体" w:hAnsi="宋体" w:cs="宋体"/>
                <w:sz w:val="24"/>
              </w:rPr>
            </w:pPr>
          </w:p>
        </w:tc>
      </w:tr>
      <w:tr w14:paraId="3CB22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20550F3E">
            <w:pPr>
              <w:spacing w:line="360" w:lineRule="auto"/>
              <w:jc w:val="center"/>
              <w:rPr>
                <w:rFonts w:ascii="宋体" w:hAnsi="宋体" w:cs="宋体"/>
                <w:sz w:val="24"/>
              </w:rPr>
            </w:pPr>
            <w:r>
              <w:rPr>
                <w:rFonts w:hint="eastAsia" w:ascii="宋体" w:hAnsi="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7A367DA9">
            <w:pPr>
              <w:spacing w:line="360" w:lineRule="auto"/>
              <w:jc w:val="lef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77FA8D2">
            <w:pPr>
              <w:spacing w:line="360" w:lineRule="auto"/>
              <w:jc w:val="lef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177C2D79">
            <w:pPr>
              <w:spacing w:line="360" w:lineRule="auto"/>
              <w:jc w:val="lef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1E942BE">
            <w:pPr>
              <w:spacing w:line="360" w:lineRule="auto"/>
              <w:jc w:val="left"/>
              <w:rPr>
                <w:rFonts w:ascii="宋体" w:hAnsi="宋体" w:cs="宋体"/>
                <w:sz w:val="24"/>
              </w:rPr>
            </w:pPr>
          </w:p>
        </w:tc>
      </w:tr>
    </w:tbl>
    <w:p w14:paraId="198D0D66">
      <w:pPr>
        <w:snapToGrid w:val="0"/>
        <w:spacing w:line="360" w:lineRule="auto"/>
        <w:contextualSpacing/>
        <w:rPr>
          <w:rFonts w:ascii="宋体" w:hAnsi="宋体" w:cs="宋体"/>
          <w:b/>
          <w:sz w:val="24"/>
        </w:rPr>
      </w:pPr>
      <w:r>
        <w:rPr>
          <w:rFonts w:hint="eastAsia" w:ascii="宋体" w:hAnsi="宋体" w:cs="宋体"/>
          <w:b/>
          <w:sz w:val="24"/>
        </w:rPr>
        <w:t>注：</w:t>
      </w:r>
    </w:p>
    <w:p w14:paraId="5F89376E">
      <w:pPr>
        <w:numPr>
          <w:ilvl w:val="0"/>
          <w:numId w:val="1"/>
        </w:numPr>
        <w:snapToGrid w:val="0"/>
        <w:spacing w:line="360" w:lineRule="auto"/>
        <w:ind w:firstLine="480" w:firstLineChars="200"/>
        <w:contextualSpacing/>
        <w:rPr>
          <w:rFonts w:hint="eastAsia" w:ascii="宋体" w:hAnsi="宋体" w:cs="宋体"/>
          <w:sz w:val="24"/>
        </w:rPr>
      </w:pPr>
      <w:r>
        <w:rPr>
          <w:rFonts w:hint="eastAsia" w:ascii="宋体" w:hAnsi="宋体" w:cs="宋体"/>
          <w:sz w:val="24"/>
        </w:rPr>
        <w:t>供应商提交的响应文件中与磋商文件第三部分“项目需求”中的商务部分的要求，应逐条填列在偏离表中。</w:t>
      </w:r>
    </w:p>
    <w:p w14:paraId="5347C2B8">
      <w:pPr>
        <w:numPr>
          <w:ilvl w:val="0"/>
          <w:numId w:val="1"/>
        </w:numPr>
        <w:snapToGrid w:val="0"/>
        <w:spacing w:line="360" w:lineRule="auto"/>
        <w:ind w:firstLine="482" w:firstLineChars="200"/>
        <w:contextualSpacing/>
        <w:rPr>
          <w:rFonts w:hint="eastAsia" w:ascii="宋体" w:hAnsi="宋体" w:eastAsia="宋体" w:cs="宋体"/>
          <w:sz w:val="24"/>
          <w:lang w:val="en-US" w:eastAsia="zh-CN"/>
        </w:rPr>
      </w:pPr>
      <w:r>
        <w:rPr>
          <w:rFonts w:hint="eastAsia" w:ascii="宋体" w:hAnsi="宋体" w:cs="宋体"/>
          <w:b/>
          <w:bCs/>
          <w:sz w:val="24"/>
        </w:rPr>
        <w:t>填制正负偏离表，完全响应的，请以空白表列示。不完全响应的，必须在偏离表中列示；列示不全的，视同故意隐瞒</w:t>
      </w:r>
      <w:r>
        <w:rPr>
          <w:rFonts w:hint="eastAsia" w:ascii="宋体" w:hAnsi="宋体" w:cs="宋体"/>
          <w:b/>
          <w:bCs/>
          <w:sz w:val="24"/>
          <w:lang w:eastAsia="zh-CN"/>
        </w:rPr>
        <w:t>。</w:t>
      </w:r>
    </w:p>
    <w:p w14:paraId="0305DD52">
      <w:pPr>
        <w:snapToGrid w:val="0"/>
        <w:spacing w:line="360" w:lineRule="auto"/>
        <w:ind w:firstLine="480" w:firstLineChars="200"/>
        <w:contextualSpacing/>
        <w:rPr>
          <w:rFonts w:ascii="宋体" w:hAnsi="宋体" w:cs="宋体"/>
          <w:sz w:val="24"/>
        </w:rPr>
      </w:pPr>
      <w:r>
        <w:rPr>
          <w:rFonts w:hint="eastAsia" w:ascii="宋体" w:hAnsi="宋体" w:cs="宋体"/>
          <w:sz w:val="24"/>
          <w:lang w:val="en-US" w:eastAsia="zh-CN"/>
        </w:rPr>
        <w:t>3</w:t>
      </w:r>
      <w:r>
        <w:rPr>
          <w:rFonts w:hint="eastAsia" w:ascii="宋体" w:hAnsi="宋体" w:cs="宋体"/>
          <w:sz w:val="24"/>
        </w:rPr>
        <w:t>.“偏离说明”一栏选择“正偏离”、“无偏离”、“负偏离”进行填写。正偏离、无偏离的确认和负偏离的是否响应磋商文件，由磋商小组认定。</w:t>
      </w:r>
    </w:p>
    <w:p w14:paraId="1308496A">
      <w:pPr>
        <w:snapToGrid w:val="0"/>
        <w:spacing w:line="360" w:lineRule="auto"/>
        <w:ind w:firstLine="480" w:firstLineChars="200"/>
        <w:contextualSpacing/>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.供应商若提供其他增值服务，可以在表中自行据实填写。</w:t>
      </w:r>
    </w:p>
    <w:p w14:paraId="3FF52AF2">
      <w:pPr>
        <w:rPr>
          <w:rFonts w:ascii="宋体" w:hAnsi="宋体" w:cs="宋体"/>
          <w:bCs/>
          <w:sz w:val="24"/>
        </w:rPr>
      </w:pPr>
      <w:r>
        <w:rPr>
          <w:rFonts w:hint="eastAsia" w:ascii="宋体" w:hAnsi="宋体" w:cs="宋体"/>
          <w:bCs/>
          <w:sz w:val="24"/>
        </w:rPr>
        <w:br w:type="page"/>
      </w:r>
    </w:p>
    <w:p w14:paraId="3B7D62AD">
      <w:pPr>
        <w:snapToGrid w:val="0"/>
        <w:spacing w:line="360" w:lineRule="auto"/>
        <w:contextualSpacing/>
        <w:rPr>
          <w:rFonts w:ascii="宋体" w:hAnsi="宋体" w:cs="宋体"/>
          <w:kern w:val="0"/>
          <w:sz w:val="24"/>
        </w:rPr>
      </w:pPr>
      <w:r>
        <w:rPr>
          <w:rFonts w:hint="eastAsia" w:ascii="宋体" w:hAnsi="宋体" w:cs="宋体"/>
          <w:kern w:val="0"/>
          <w:sz w:val="24"/>
        </w:rPr>
        <w:t>附件6</w:t>
      </w:r>
    </w:p>
    <w:p w14:paraId="543F5BBE">
      <w:pPr>
        <w:snapToGrid w:val="0"/>
        <w:spacing w:line="360" w:lineRule="auto"/>
        <w:contextualSpacing/>
        <w:jc w:val="center"/>
        <w:rPr>
          <w:rFonts w:ascii="宋体" w:hAnsi="宋体" w:cs="宋体"/>
          <w:b/>
          <w:sz w:val="24"/>
        </w:rPr>
      </w:pPr>
      <w:r>
        <w:rPr>
          <w:rFonts w:hint="eastAsia" w:ascii="宋体" w:hAnsi="宋体" w:cs="宋体"/>
          <w:b/>
          <w:sz w:val="24"/>
        </w:rPr>
        <w:t>技术部分正负偏离表</w:t>
      </w:r>
    </w:p>
    <w:p w14:paraId="1DAF5A26">
      <w:pPr>
        <w:spacing w:line="360" w:lineRule="auto"/>
        <w:ind w:firstLine="480" w:firstLineChars="200"/>
        <w:jc w:val="center"/>
        <w:rPr>
          <w:rFonts w:ascii="宋体" w:hAnsi="宋体" w:cs="宋体"/>
          <w:sz w:val="24"/>
        </w:rPr>
      </w:pPr>
      <w:r>
        <w:rPr>
          <w:rFonts w:hint="eastAsia" w:ascii="宋体" w:hAnsi="宋体" w:cs="宋体"/>
          <w:sz w:val="24"/>
        </w:rPr>
        <w:t>（由供应商据实填写，表格不够自行添加）</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14:paraId="15F98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6B221A46">
            <w:pPr>
              <w:spacing w:line="360" w:lineRule="auto"/>
              <w:jc w:val="center"/>
              <w:rPr>
                <w:rFonts w:ascii="宋体" w:hAnsi="宋体" w:cs="宋体"/>
                <w:sz w:val="24"/>
              </w:rPr>
            </w:pPr>
            <w:r>
              <w:rPr>
                <w:rFonts w:hint="eastAsia" w:ascii="宋体" w:hAnsi="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656F1A8">
            <w:pPr>
              <w:spacing w:line="360" w:lineRule="auto"/>
              <w:jc w:val="center"/>
              <w:rPr>
                <w:rFonts w:ascii="宋体" w:hAnsi="宋体" w:cs="宋体"/>
                <w:sz w:val="24"/>
              </w:rPr>
            </w:pPr>
            <w:r>
              <w:rPr>
                <w:rFonts w:hint="eastAsia" w:ascii="宋体" w:hAnsi="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2081882F">
            <w:pPr>
              <w:spacing w:line="360" w:lineRule="auto"/>
              <w:jc w:val="center"/>
              <w:rPr>
                <w:rFonts w:ascii="宋体" w:hAnsi="宋体" w:cs="宋体"/>
                <w:sz w:val="24"/>
              </w:rPr>
            </w:pPr>
            <w:r>
              <w:rPr>
                <w:rFonts w:hint="eastAsia" w:ascii="宋体" w:hAnsi="宋体" w:cs="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245237DC">
            <w:pPr>
              <w:spacing w:line="360" w:lineRule="auto"/>
              <w:jc w:val="center"/>
              <w:rPr>
                <w:rFonts w:ascii="宋体" w:hAnsi="宋体" w:cs="宋体"/>
                <w:sz w:val="24"/>
              </w:rPr>
            </w:pPr>
            <w:r>
              <w:rPr>
                <w:rFonts w:hint="eastAsia" w:ascii="宋体" w:hAnsi="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0135C306">
            <w:pPr>
              <w:spacing w:line="360" w:lineRule="auto"/>
              <w:jc w:val="center"/>
              <w:rPr>
                <w:rFonts w:ascii="宋体" w:hAnsi="宋体" w:cs="宋体"/>
                <w:sz w:val="24"/>
              </w:rPr>
            </w:pPr>
          </w:p>
          <w:p w14:paraId="06877754">
            <w:pPr>
              <w:spacing w:line="360" w:lineRule="auto"/>
              <w:jc w:val="center"/>
              <w:rPr>
                <w:rFonts w:ascii="宋体" w:hAnsi="宋体" w:cs="宋体"/>
                <w:sz w:val="24"/>
              </w:rPr>
            </w:pPr>
            <w:r>
              <w:rPr>
                <w:rFonts w:hint="eastAsia" w:ascii="宋体" w:hAnsi="宋体" w:cs="宋体"/>
                <w:sz w:val="24"/>
              </w:rPr>
              <w:t>偏离说明</w:t>
            </w:r>
          </w:p>
        </w:tc>
      </w:tr>
      <w:tr w14:paraId="694B5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202AE48C">
            <w:pPr>
              <w:spacing w:line="360" w:lineRule="auto"/>
              <w:jc w:val="center"/>
              <w:rPr>
                <w:rFonts w:ascii="宋体" w:hAnsi="宋体" w:cs="宋体"/>
                <w:sz w:val="24"/>
              </w:rPr>
            </w:pPr>
            <w:r>
              <w:rPr>
                <w:rFonts w:hint="eastAsia" w:ascii="宋体" w:hAnsi="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288E9F17">
            <w:pPr>
              <w:spacing w:line="360" w:lineRule="auto"/>
              <w:jc w:val="lef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027A054F">
            <w:pPr>
              <w:spacing w:line="360" w:lineRule="auto"/>
              <w:jc w:val="lef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1E2A53E9">
            <w:pPr>
              <w:spacing w:line="360" w:lineRule="auto"/>
              <w:jc w:val="lef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58E1CB91">
            <w:pPr>
              <w:spacing w:line="360" w:lineRule="auto"/>
              <w:jc w:val="left"/>
              <w:rPr>
                <w:rFonts w:ascii="宋体" w:hAnsi="宋体" w:cs="宋体"/>
                <w:sz w:val="24"/>
              </w:rPr>
            </w:pPr>
          </w:p>
        </w:tc>
      </w:tr>
      <w:tr w14:paraId="27F07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09DB401C">
            <w:pPr>
              <w:spacing w:line="360" w:lineRule="auto"/>
              <w:jc w:val="center"/>
              <w:rPr>
                <w:rFonts w:ascii="宋体" w:hAnsi="宋体" w:cs="宋体"/>
                <w:sz w:val="24"/>
              </w:rPr>
            </w:pPr>
            <w:r>
              <w:rPr>
                <w:rFonts w:hint="eastAsia" w:ascii="宋体" w:hAnsi="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3B373B14">
            <w:pPr>
              <w:spacing w:line="360" w:lineRule="auto"/>
              <w:jc w:val="lef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0E23DFD">
            <w:pPr>
              <w:spacing w:line="360" w:lineRule="auto"/>
              <w:jc w:val="lef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1270F6F1">
            <w:pPr>
              <w:spacing w:line="360" w:lineRule="auto"/>
              <w:jc w:val="lef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2BE41D6">
            <w:pPr>
              <w:spacing w:line="360" w:lineRule="auto"/>
              <w:jc w:val="left"/>
              <w:rPr>
                <w:rFonts w:ascii="宋体" w:hAnsi="宋体" w:cs="宋体"/>
                <w:sz w:val="24"/>
              </w:rPr>
            </w:pPr>
          </w:p>
        </w:tc>
      </w:tr>
      <w:tr w14:paraId="4EEE9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E2276ED">
            <w:pPr>
              <w:spacing w:line="360" w:lineRule="auto"/>
              <w:jc w:val="center"/>
              <w:rPr>
                <w:rFonts w:ascii="宋体" w:hAnsi="宋体" w:cs="宋体"/>
                <w:sz w:val="24"/>
              </w:rPr>
            </w:pPr>
            <w:r>
              <w:rPr>
                <w:rFonts w:hint="eastAsia" w:ascii="宋体" w:hAnsi="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1B3941A2">
            <w:pPr>
              <w:spacing w:line="360" w:lineRule="auto"/>
              <w:jc w:val="lef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E97AE07">
            <w:pPr>
              <w:spacing w:line="360" w:lineRule="auto"/>
              <w:jc w:val="lef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1BFC3C01">
            <w:pPr>
              <w:spacing w:line="360" w:lineRule="auto"/>
              <w:jc w:val="lef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696B6C6">
            <w:pPr>
              <w:spacing w:line="360" w:lineRule="auto"/>
              <w:jc w:val="left"/>
              <w:rPr>
                <w:rFonts w:ascii="宋体" w:hAnsi="宋体" w:cs="宋体"/>
                <w:sz w:val="24"/>
              </w:rPr>
            </w:pPr>
          </w:p>
        </w:tc>
      </w:tr>
      <w:tr w14:paraId="6FCFC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331EF8F9">
            <w:pPr>
              <w:spacing w:line="360" w:lineRule="auto"/>
              <w:jc w:val="center"/>
              <w:rPr>
                <w:rFonts w:ascii="宋体" w:hAnsi="宋体" w:cs="宋体"/>
                <w:sz w:val="24"/>
              </w:rPr>
            </w:pPr>
            <w:r>
              <w:rPr>
                <w:rFonts w:hint="eastAsia" w:ascii="宋体" w:hAnsi="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46423EA0">
            <w:pPr>
              <w:spacing w:line="360" w:lineRule="auto"/>
              <w:jc w:val="lef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669559D">
            <w:pPr>
              <w:spacing w:line="360" w:lineRule="auto"/>
              <w:jc w:val="lef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20671E7">
            <w:pPr>
              <w:spacing w:line="360" w:lineRule="auto"/>
              <w:jc w:val="lef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0C4C8D27">
            <w:pPr>
              <w:spacing w:line="360" w:lineRule="auto"/>
              <w:jc w:val="left"/>
              <w:rPr>
                <w:rFonts w:ascii="宋体" w:hAnsi="宋体" w:cs="宋体"/>
                <w:sz w:val="24"/>
              </w:rPr>
            </w:pPr>
          </w:p>
        </w:tc>
      </w:tr>
    </w:tbl>
    <w:p w14:paraId="117856F4">
      <w:pPr>
        <w:snapToGrid w:val="0"/>
        <w:spacing w:line="360" w:lineRule="auto"/>
        <w:contextualSpacing/>
        <w:rPr>
          <w:rFonts w:ascii="宋体" w:hAnsi="宋体" w:cs="宋体"/>
          <w:b/>
          <w:sz w:val="24"/>
        </w:rPr>
      </w:pPr>
      <w:r>
        <w:rPr>
          <w:rFonts w:hint="eastAsia" w:ascii="宋体" w:hAnsi="宋体" w:cs="宋体"/>
          <w:b/>
          <w:sz w:val="24"/>
        </w:rPr>
        <w:t>注：</w:t>
      </w:r>
    </w:p>
    <w:p w14:paraId="50AC7A2C">
      <w:pPr>
        <w:snapToGrid w:val="0"/>
        <w:spacing w:line="360" w:lineRule="auto"/>
        <w:ind w:firstLine="480" w:firstLineChars="200"/>
        <w:contextualSpacing/>
        <w:rPr>
          <w:rFonts w:ascii="宋体" w:hAnsi="宋体" w:cs="宋体"/>
          <w:sz w:val="24"/>
        </w:rPr>
      </w:pPr>
      <w:r>
        <w:rPr>
          <w:rFonts w:hint="eastAsia" w:ascii="宋体" w:hAnsi="宋体" w:cs="宋体"/>
          <w:sz w:val="24"/>
        </w:rPr>
        <w:t>1.供应商提交的响应文件中与磋商文件第三部分“项目需求”中的技术部分的要求，应逐条填列在偏离表中。</w:t>
      </w:r>
    </w:p>
    <w:p w14:paraId="2BCC42A4">
      <w:pPr>
        <w:snapToGrid w:val="0"/>
        <w:spacing w:line="360" w:lineRule="auto"/>
        <w:ind w:firstLine="482" w:firstLineChars="200"/>
        <w:contextualSpacing/>
        <w:rPr>
          <w:rFonts w:hint="eastAsia" w:ascii="宋体" w:hAnsi="宋体" w:eastAsia="宋体" w:cs="宋体"/>
          <w:sz w:val="24"/>
          <w:lang w:val="en-US" w:eastAsia="zh-CN"/>
        </w:rPr>
      </w:pPr>
      <w:r>
        <w:rPr>
          <w:rFonts w:hint="eastAsia" w:ascii="宋体" w:hAnsi="宋体" w:cs="宋体"/>
          <w:b/>
          <w:bCs/>
          <w:sz w:val="24"/>
          <w:lang w:val="en-US" w:eastAsia="zh-CN"/>
        </w:rPr>
        <w:t>2.</w:t>
      </w:r>
      <w:r>
        <w:rPr>
          <w:rFonts w:hint="eastAsia" w:ascii="宋体" w:hAnsi="宋体" w:cs="宋体"/>
          <w:b/>
          <w:bCs/>
          <w:sz w:val="24"/>
        </w:rPr>
        <w:t>填制正负偏离表，完全响应的，请以空白表列示。不完全响应的，必须在偏离表中列示；列示不全的，视同故意隐瞒</w:t>
      </w:r>
      <w:r>
        <w:rPr>
          <w:rFonts w:hint="eastAsia" w:ascii="宋体" w:hAnsi="宋体" w:cs="宋体"/>
          <w:b/>
          <w:bCs/>
          <w:sz w:val="24"/>
          <w:lang w:eastAsia="zh-CN"/>
        </w:rPr>
        <w:t>。</w:t>
      </w:r>
    </w:p>
    <w:p w14:paraId="03D7D848">
      <w:pPr>
        <w:snapToGrid w:val="0"/>
        <w:spacing w:line="360" w:lineRule="auto"/>
        <w:ind w:firstLine="480" w:firstLineChars="200"/>
        <w:contextualSpacing/>
        <w:rPr>
          <w:rFonts w:ascii="宋体" w:hAnsi="宋体" w:cs="宋体"/>
          <w:sz w:val="24"/>
        </w:rPr>
      </w:pPr>
      <w:r>
        <w:rPr>
          <w:rFonts w:hint="eastAsia" w:ascii="宋体" w:hAnsi="宋体" w:cs="宋体"/>
          <w:sz w:val="24"/>
          <w:lang w:val="en-US" w:eastAsia="zh-CN"/>
        </w:rPr>
        <w:t>3</w:t>
      </w:r>
      <w:r>
        <w:rPr>
          <w:rFonts w:hint="eastAsia" w:ascii="宋体" w:hAnsi="宋体" w:cs="宋体"/>
          <w:sz w:val="24"/>
        </w:rPr>
        <w:t>.“偏离说明”一栏选择“正偏离”、“无偏离”、“负偏离”进行填写。正偏离、无偏离的确认和负偏离的是否响应磋商文件，由磋商小组认定。</w:t>
      </w:r>
    </w:p>
    <w:p w14:paraId="0A910406">
      <w:pPr>
        <w:snapToGrid w:val="0"/>
        <w:spacing w:line="360" w:lineRule="auto"/>
        <w:ind w:firstLine="480" w:firstLineChars="200"/>
        <w:contextualSpacing/>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.供应商若提供其他增值服务，可以在表中自行据实填写。</w:t>
      </w:r>
    </w:p>
    <w:p w14:paraId="785400B1">
      <w:pPr>
        <w:rPr>
          <w:rFonts w:ascii="宋体" w:hAnsi="宋体" w:cs="宋体"/>
          <w:bCs/>
          <w:sz w:val="24"/>
        </w:rPr>
      </w:pPr>
      <w:r>
        <w:rPr>
          <w:rFonts w:hint="eastAsia" w:ascii="宋体" w:hAnsi="宋体" w:cs="宋体"/>
          <w:bCs/>
          <w:sz w:val="24"/>
        </w:rPr>
        <w:br w:type="page"/>
      </w:r>
    </w:p>
    <w:p w14:paraId="49AB6E14">
      <w:pPr>
        <w:snapToGrid w:val="0"/>
        <w:spacing w:line="360" w:lineRule="auto"/>
        <w:contextualSpacing/>
        <w:rPr>
          <w:rFonts w:ascii="宋体" w:hAnsi="宋体" w:cs="宋体"/>
          <w:kern w:val="0"/>
          <w:sz w:val="24"/>
        </w:rPr>
      </w:pPr>
      <w:r>
        <w:rPr>
          <w:rFonts w:hint="eastAsia" w:ascii="宋体" w:hAnsi="宋体" w:cs="宋体"/>
          <w:kern w:val="0"/>
          <w:sz w:val="24"/>
        </w:rPr>
        <w:t>附件7</w:t>
      </w:r>
    </w:p>
    <w:p w14:paraId="50AABEC5">
      <w:pPr>
        <w:spacing w:line="360" w:lineRule="auto"/>
        <w:jc w:val="center"/>
        <w:outlineLvl w:val="1"/>
        <w:rPr>
          <w:rFonts w:ascii="宋体" w:hAnsi="宋体" w:cs="宋体"/>
          <w:b/>
          <w:bCs/>
          <w:sz w:val="24"/>
        </w:rPr>
      </w:pPr>
      <w:r>
        <w:rPr>
          <w:rFonts w:hint="eastAsia" w:ascii="宋体" w:hAnsi="宋体" w:cs="宋体"/>
          <w:b/>
          <w:kern w:val="0"/>
          <w:sz w:val="24"/>
        </w:rPr>
        <w:t>磋商报价表</w:t>
      </w:r>
    </w:p>
    <w:p w14:paraId="41656CAC">
      <w:pPr>
        <w:spacing w:line="360" w:lineRule="auto"/>
        <w:rPr>
          <w:rFonts w:ascii="宋体" w:hAnsi="宋体" w:cs="宋体"/>
          <w:sz w:val="24"/>
        </w:rPr>
      </w:pPr>
      <w:r>
        <w:rPr>
          <w:rFonts w:hint="eastAsia" w:ascii="宋体" w:hAnsi="宋体" w:cs="宋体"/>
          <w:sz w:val="24"/>
        </w:rPr>
        <w:t>采购项目名称：</w:t>
      </w:r>
      <w:r>
        <w:rPr>
          <w:rFonts w:hint="eastAsia" w:ascii="宋体" w:hAnsi="宋体" w:cs="宋体"/>
          <w:b/>
          <w:bCs/>
          <w:sz w:val="24"/>
          <w:u w:val="single"/>
        </w:rPr>
        <w:t>南通市崇川区城市管理局户外店招标牌安全风险评估服务项目</w:t>
      </w:r>
    </w:p>
    <w:tbl>
      <w:tblPr>
        <w:tblStyle w:val="13"/>
        <w:tblW w:w="5401" w:type="pct"/>
        <w:tblInd w:w="-401" w:type="dxa"/>
        <w:tblLayout w:type="fixed"/>
        <w:tblCellMar>
          <w:top w:w="0" w:type="dxa"/>
          <w:left w:w="108" w:type="dxa"/>
          <w:bottom w:w="0" w:type="dxa"/>
          <w:right w:w="108" w:type="dxa"/>
        </w:tblCellMar>
      </w:tblPr>
      <w:tblGrid>
        <w:gridCol w:w="874"/>
        <w:gridCol w:w="4072"/>
        <w:gridCol w:w="4261"/>
      </w:tblGrid>
      <w:tr w14:paraId="73E04B23">
        <w:tblPrEx>
          <w:tblCellMar>
            <w:top w:w="0" w:type="dxa"/>
            <w:left w:w="108" w:type="dxa"/>
            <w:bottom w:w="0" w:type="dxa"/>
            <w:right w:w="108" w:type="dxa"/>
          </w:tblCellMar>
        </w:tblPrEx>
        <w:trPr>
          <w:trHeight w:val="1057" w:hRule="atLeast"/>
        </w:trPr>
        <w:tc>
          <w:tcPr>
            <w:tcW w:w="475" w:type="pct"/>
            <w:tcBorders>
              <w:top w:val="single" w:color="auto" w:sz="8" w:space="0"/>
              <w:left w:val="single" w:color="auto" w:sz="8" w:space="0"/>
              <w:bottom w:val="single" w:color="auto" w:sz="8" w:space="0"/>
              <w:right w:val="single" w:color="auto" w:sz="8" w:space="0"/>
            </w:tcBorders>
            <w:noWrap/>
            <w:vAlign w:val="center"/>
          </w:tcPr>
          <w:p w14:paraId="6B06EBE8">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11" w:type="pct"/>
            <w:tcBorders>
              <w:top w:val="single" w:color="auto" w:sz="8" w:space="0"/>
              <w:left w:val="nil"/>
              <w:bottom w:val="single" w:color="auto" w:sz="8" w:space="0"/>
              <w:right w:val="single" w:color="auto" w:sz="8" w:space="0"/>
            </w:tcBorders>
            <w:noWrap/>
            <w:vAlign w:val="center"/>
          </w:tcPr>
          <w:p w14:paraId="039512EE">
            <w:pPr>
              <w:widowControl/>
              <w:spacing w:line="360" w:lineRule="auto"/>
              <w:jc w:val="center"/>
              <w:rPr>
                <w:rFonts w:ascii="宋体" w:hAnsi="宋体" w:cs="宋体"/>
                <w:b/>
                <w:bCs/>
                <w:kern w:val="0"/>
                <w:sz w:val="24"/>
              </w:rPr>
            </w:pPr>
            <w:r>
              <w:rPr>
                <w:rFonts w:hint="eastAsia" w:ascii="宋体" w:hAnsi="宋体" w:cs="宋体"/>
                <w:b/>
                <w:bCs/>
                <w:kern w:val="0"/>
                <w:sz w:val="24"/>
              </w:rPr>
              <w:t>内容</w:t>
            </w:r>
          </w:p>
        </w:tc>
        <w:tc>
          <w:tcPr>
            <w:tcW w:w="2313" w:type="pct"/>
            <w:tcBorders>
              <w:top w:val="single" w:color="auto" w:sz="8" w:space="0"/>
              <w:left w:val="nil"/>
              <w:bottom w:val="single" w:color="auto" w:sz="8" w:space="0"/>
              <w:right w:val="single" w:color="auto" w:sz="8" w:space="0"/>
            </w:tcBorders>
            <w:noWrap/>
            <w:vAlign w:val="center"/>
          </w:tcPr>
          <w:p w14:paraId="0903DA74">
            <w:pPr>
              <w:widowControl/>
              <w:spacing w:line="360" w:lineRule="auto"/>
              <w:jc w:val="center"/>
              <w:rPr>
                <w:rFonts w:ascii="宋体" w:hAnsi="宋体" w:cs="宋体"/>
                <w:b/>
                <w:bCs/>
                <w:kern w:val="0"/>
                <w:sz w:val="24"/>
              </w:rPr>
            </w:pPr>
            <w:r>
              <w:rPr>
                <w:rFonts w:hint="eastAsia" w:ascii="宋体" w:hAnsi="宋体" w:cs="宋体"/>
                <w:b/>
                <w:bCs/>
                <w:kern w:val="0"/>
                <w:sz w:val="24"/>
              </w:rPr>
              <w:t>投标单价（元/户）</w:t>
            </w:r>
          </w:p>
        </w:tc>
      </w:tr>
      <w:tr w14:paraId="2FD02CCC">
        <w:tblPrEx>
          <w:tblCellMar>
            <w:top w:w="0" w:type="dxa"/>
            <w:left w:w="108" w:type="dxa"/>
            <w:bottom w:w="0" w:type="dxa"/>
            <w:right w:w="108" w:type="dxa"/>
          </w:tblCellMar>
        </w:tblPrEx>
        <w:trPr>
          <w:trHeight w:val="1221" w:hRule="atLeast"/>
        </w:trPr>
        <w:tc>
          <w:tcPr>
            <w:tcW w:w="475" w:type="pct"/>
            <w:tcBorders>
              <w:top w:val="single" w:color="auto" w:sz="8" w:space="0"/>
              <w:left w:val="single" w:color="auto" w:sz="8" w:space="0"/>
              <w:bottom w:val="single" w:color="auto" w:sz="8" w:space="0"/>
              <w:right w:val="single" w:color="auto" w:sz="8" w:space="0"/>
            </w:tcBorders>
            <w:noWrap/>
            <w:vAlign w:val="center"/>
          </w:tcPr>
          <w:p w14:paraId="7EAF63FD">
            <w:pPr>
              <w:widowControl/>
              <w:spacing w:line="360" w:lineRule="auto"/>
              <w:jc w:val="center"/>
              <w:rPr>
                <w:rFonts w:ascii="宋体" w:hAnsi="宋体" w:cs="宋体"/>
                <w:kern w:val="0"/>
                <w:sz w:val="24"/>
              </w:rPr>
            </w:pPr>
            <w:bookmarkStart w:id="86" w:name="RANGE!A2"/>
            <w:r>
              <w:rPr>
                <w:rFonts w:hint="eastAsia" w:ascii="宋体" w:hAnsi="宋体" w:cs="宋体"/>
                <w:kern w:val="0"/>
                <w:sz w:val="24"/>
              </w:rPr>
              <w:t>1</w:t>
            </w:r>
            <w:bookmarkEnd w:id="86"/>
          </w:p>
        </w:tc>
        <w:tc>
          <w:tcPr>
            <w:tcW w:w="2211" w:type="pct"/>
            <w:tcBorders>
              <w:top w:val="single" w:color="auto" w:sz="8" w:space="0"/>
              <w:left w:val="nil"/>
              <w:bottom w:val="single" w:color="auto" w:sz="8" w:space="0"/>
              <w:right w:val="single" w:color="auto" w:sz="8" w:space="0"/>
            </w:tcBorders>
            <w:noWrap/>
            <w:vAlign w:val="center"/>
          </w:tcPr>
          <w:p w14:paraId="299BDEDE">
            <w:pPr>
              <w:widowControl/>
              <w:spacing w:line="360" w:lineRule="auto"/>
              <w:jc w:val="center"/>
              <w:rPr>
                <w:rFonts w:ascii="宋体" w:hAnsi="宋体" w:cs="宋体"/>
                <w:sz w:val="24"/>
              </w:rPr>
            </w:pPr>
            <w:r>
              <w:rPr>
                <w:rFonts w:hint="eastAsia" w:ascii="宋体" w:hAnsi="宋体" w:cs="宋体"/>
                <w:sz w:val="24"/>
              </w:rPr>
              <w:t>南通市崇川区城市管理局户外店招标牌安全风险评估服务项目</w:t>
            </w:r>
          </w:p>
        </w:tc>
        <w:tc>
          <w:tcPr>
            <w:tcW w:w="2313" w:type="pct"/>
            <w:tcBorders>
              <w:top w:val="single" w:color="auto" w:sz="8" w:space="0"/>
              <w:left w:val="nil"/>
              <w:bottom w:val="single" w:color="auto" w:sz="8" w:space="0"/>
              <w:right w:val="single" w:color="auto" w:sz="8" w:space="0"/>
            </w:tcBorders>
            <w:noWrap/>
            <w:vAlign w:val="center"/>
          </w:tcPr>
          <w:p w14:paraId="5BC1AB29">
            <w:pPr>
              <w:widowControl/>
              <w:spacing w:line="360" w:lineRule="auto"/>
              <w:jc w:val="left"/>
              <w:rPr>
                <w:rFonts w:ascii="宋体" w:hAnsi="宋体" w:cs="宋体"/>
                <w:sz w:val="24"/>
              </w:rPr>
            </w:pPr>
          </w:p>
        </w:tc>
      </w:tr>
      <w:tr w14:paraId="76BCD581">
        <w:tblPrEx>
          <w:tblCellMar>
            <w:top w:w="0" w:type="dxa"/>
            <w:left w:w="108" w:type="dxa"/>
            <w:bottom w:w="0" w:type="dxa"/>
            <w:right w:w="108" w:type="dxa"/>
          </w:tblCellMar>
        </w:tblPrEx>
        <w:trPr>
          <w:trHeight w:val="1221" w:hRule="atLeast"/>
        </w:trPr>
        <w:tc>
          <w:tcPr>
            <w:tcW w:w="5000" w:type="pct"/>
            <w:gridSpan w:val="3"/>
            <w:tcBorders>
              <w:top w:val="single" w:color="auto" w:sz="8" w:space="0"/>
              <w:left w:val="single" w:color="auto" w:sz="8" w:space="0"/>
              <w:bottom w:val="single" w:color="auto" w:sz="8" w:space="0"/>
              <w:right w:val="single" w:color="auto" w:sz="8" w:space="0"/>
            </w:tcBorders>
            <w:noWrap/>
            <w:vAlign w:val="center"/>
          </w:tcPr>
          <w:p w14:paraId="60534CF9">
            <w:pPr>
              <w:widowControl/>
              <w:spacing w:line="360" w:lineRule="auto"/>
              <w:jc w:val="left"/>
              <w:rPr>
                <w:rFonts w:ascii="宋体" w:hAnsi="宋体" w:cs="宋体"/>
                <w:sz w:val="24"/>
              </w:rPr>
            </w:pPr>
            <w:r>
              <w:rPr>
                <w:rFonts w:hint="eastAsia" w:ascii="宋体" w:hAnsi="宋体" w:cs="宋体"/>
                <w:sz w:val="24"/>
              </w:rPr>
              <w:t>备注：</w:t>
            </w:r>
          </w:p>
        </w:tc>
      </w:tr>
    </w:tbl>
    <w:p w14:paraId="4557A907">
      <w:pPr>
        <w:spacing w:line="360" w:lineRule="auto"/>
        <w:jc w:val="left"/>
        <w:rPr>
          <w:rFonts w:ascii="宋体" w:hAnsi="宋体" w:cs="宋体"/>
          <w:sz w:val="24"/>
        </w:rPr>
      </w:pPr>
    </w:p>
    <w:p w14:paraId="4EFC526D">
      <w:pPr>
        <w:spacing w:line="360" w:lineRule="auto"/>
        <w:jc w:val="left"/>
        <w:rPr>
          <w:rFonts w:ascii="宋体" w:hAnsi="宋体" w:cs="宋体"/>
          <w:sz w:val="24"/>
        </w:rPr>
      </w:pPr>
    </w:p>
    <w:p w14:paraId="40F2F41E">
      <w:pPr>
        <w:spacing w:line="360" w:lineRule="auto"/>
        <w:jc w:val="left"/>
        <w:rPr>
          <w:rFonts w:ascii="宋体" w:hAnsi="宋体" w:cs="宋体"/>
          <w:sz w:val="24"/>
        </w:rPr>
      </w:pPr>
      <w:r>
        <w:rPr>
          <w:rFonts w:hint="eastAsia" w:ascii="宋体" w:hAnsi="宋体" w:cs="宋体"/>
          <w:sz w:val="24"/>
        </w:rPr>
        <w:t>磋商响应方全称：</w:t>
      </w:r>
    </w:p>
    <w:p w14:paraId="438BF88B">
      <w:pPr>
        <w:spacing w:line="360" w:lineRule="auto"/>
        <w:jc w:val="left"/>
        <w:rPr>
          <w:rFonts w:ascii="宋体" w:hAnsi="宋体" w:cs="宋体"/>
          <w:sz w:val="24"/>
        </w:rPr>
      </w:pPr>
      <w:r>
        <w:rPr>
          <w:rFonts w:hint="eastAsia" w:ascii="宋体" w:hAnsi="宋体" w:cs="宋体"/>
          <w:sz w:val="24"/>
        </w:rPr>
        <w:t>法定代表人或授权代表（签字或盖章）：</w:t>
      </w:r>
    </w:p>
    <w:p w14:paraId="6BCAB792">
      <w:pPr>
        <w:spacing w:line="360" w:lineRule="auto"/>
        <w:jc w:val="left"/>
        <w:rPr>
          <w:rFonts w:ascii="宋体" w:hAnsi="宋体" w:cs="宋体"/>
          <w:sz w:val="24"/>
        </w:rPr>
      </w:pPr>
      <w:r>
        <w:rPr>
          <w:rFonts w:hint="eastAsia" w:ascii="宋体" w:hAnsi="宋体" w:cs="宋体"/>
          <w:sz w:val="24"/>
        </w:rPr>
        <w:t>日期：</w:t>
      </w:r>
    </w:p>
    <w:p w14:paraId="5AF15C64">
      <w:pPr>
        <w:snapToGrid w:val="0"/>
        <w:spacing w:line="360" w:lineRule="auto"/>
        <w:ind w:firstLine="463" w:firstLineChars="192"/>
        <w:contextualSpacing/>
        <w:rPr>
          <w:rFonts w:ascii="宋体" w:hAnsi="宋体" w:cs="宋体"/>
          <w:b/>
          <w:kern w:val="0"/>
          <w:sz w:val="24"/>
        </w:rPr>
      </w:pPr>
    </w:p>
    <w:p w14:paraId="78724802">
      <w:pPr>
        <w:snapToGrid w:val="0"/>
        <w:spacing w:line="360" w:lineRule="auto"/>
        <w:ind w:firstLine="463" w:firstLineChars="192"/>
        <w:contextualSpacing/>
        <w:rPr>
          <w:rFonts w:ascii="宋体" w:hAnsi="宋体" w:cs="宋体"/>
          <w:b/>
          <w:kern w:val="0"/>
          <w:sz w:val="24"/>
        </w:rPr>
      </w:pPr>
    </w:p>
    <w:p w14:paraId="53417334">
      <w:pPr>
        <w:snapToGrid w:val="0"/>
        <w:spacing w:line="360" w:lineRule="auto"/>
        <w:ind w:firstLine="463" w:firstLineChars="192"/>
        <w:contextualSpacing/>
        <w:rPr>
          <w:rFonts w:ascii="宋体" w:hAnsi="宋体" w:cs="宋体"/>
          <w:b/>
          <w:kern w:val="0"/>
          <w:sz w:val="24"/>
        </w:rPr>
      </w:pPr>
    </w:p>
    <w:p w14:paraId="10ED831C">
      <w:pPr>
        <w:spacing w:line="360" w:lineRule="auto"/>
        <w:jc w:val="left"/>
        <w:rPr>
          <w:rFonts w:ascii="宋体" w:hAnsi="宋体" w:cs="宋体"/>
          <w:b/>
          <w:kern w:val="0"/>
          <w:sz w:val="24"/>
        </w:rPr>
      </w:pPr>
    </w:p>
    <w:p w14:paraId="02CB8E43">
      <w:pPr>
        <w:snapToGrid w:val="0"/>
        <w:spacing w:line="360" w:lineRule="auto"/>
        <w:ind w:firstLine="463" w:firstLineChars="192"/>
        <w:contextualSpacing/>
        <w:rPr>
          <w:rFonts w:ascii="宋体" w:hAnsi="宋体" w:cs="宋体"/>
          <w:b/>
          <w:kern w:val="0"/>
          <w:sz w:val="24"/>
        </w:rPr>
      </w:pPr>
    </w:p>
    <w:p w14:paraId="561D3F95">
      <w:pPr>
        <w:snapToGrid w:val="0"/>
        <w:spacing w:line="360" w:lineRule="auto"/>
        <w:ind w:firstLine="463" w:firstLineChars="192"/>
        <w:contextualSpacing/>
        <w:rPr>
          <w:rFonts w:ascii="宋体" w:hAnsi="宋体" w:cs="宋体"/>
          <w:b/>
          <w:kern w:val="0"/>
          <w:sz w:val="24"/>
        </w:rPr>
      </w:pPr>
    </w:p>
    <w:p w14:paraId="3B1D2D85">
      <w:pPr>
        <w:snapToGrid w:val="0"/>
        <w:spacing w:line="360" w:lineRule="auto"/>
        <w:ind w:firstLine="463" w:firstLineChars="192"/>
        <w:contextualSpacing/>
        <w:rPr>
          <w:rFonts w:ascii="宋体" w:hAnsi="宋体" w:cs="宋体"/>
          <w:b/>
          <w:kern w:val="0"/>
          <w:sz w:val="24"/>
        </w:rPr>
      </w:pPr>
    </w:p>
    <w:p w14:paraId="6968117E">
      <w:pPr>
        <w:snapToGrid w:val="0"/>
        <w:spacing w:line="360" w:lineRule="auto"/>
        <w:ind w:firstLine="463" w:firstLineChars="192"/>
        <w:contextualSpacing/>
        <w:rPr>
          <w:rFonts w:ascii="宋体" w:hAnsi="宋体" w:cs="宋体"/>
          <w:b/>
          <w:kern w:val="0"/>
          <w:sz w:val="24"/>
        </w:rPr>
        <w:sectPr>
          <w:pgSz w:w="11907" w:h="16839"/>
          <w:pgMar w:top="1440" w:right="1800" w:bottom="1440" w:left="1800" w:header="720" w:footer="737" w:gutter="0"/>
          <w:cols w:space="720" w:num="1"/>
          <w:docGrid w:linePitch="286" w:charSpace="0"/>
        </w:sectPr>
      </w:pPr>
    </w:p>
    <w:p w14:paraId="6E9393EE">
      <w:pPr>
        <w:spacing w:line="360" w:lineRule="auto"/>
        <w:rPr>
          <w:rFonts w:hint="eastAsia" w:ascii="宋体" w:hAnsi="宋体" w:eastAsia="宋体" w:cs="宋体"/>
          <w:bCs/>
          <w:sz w:val="24"/>
          <w:lang w:val="en-US" w:eastAsia="zh-CN" w:bidi="ar"/>
        </w:rPr>
      </w:pPr>
      <w:r>
        <w:rPr>
          <w:rFonts w:hint="eastAsia" w:ascii="宋体" w:hAnsi="宋体" w:cs="宋体"/>
          <w:bCs/>
          <w:sz w:val="24"/>
          <w:lang w:bidi="ar"/>
        </w:rPr>
        <w:t>附件</w:t>
      </w:r>
      <w:r>
        <w:rPr>
          <w:rFonts w:hint="eastAsia" w:ascii="宋体" w:hAnsi="宋体" w:cs="宋体"/>
          <w:bCs/>
          <w:sz w:val="24"/>
          <w:lang w:val="en-US" w:eastAsia="zh-CN" w:bidi="ar"/>
        </w:rPr>
        <w:t>8</w:t>
      </w:r>
    </w:p>
    <w:p w14:paraId="2E9F0CDF">
      <w:pPr>
        <w:tabs>
          <w:tab w:val="left" w:pos="855"/>
        </w:tabs>
        <w:spacing w:line="360" w:lineRule="auto"/>
        <w:ind w:left="855"/>
        <w:jc w:val="center"/>
        <w:rPr>
          <w:rFonts w:ascii="宋体" w:hAnsi="宋体" w:cs="宋体"/>
          <w:b/>
          <w:sz w:val="24"/>
        </w:rPr>
      </w:pPr>
      <w:r>
        <w:rPr>
          <w:rFonts w:hint="eastAsia" w:ascii="宋体" w:hAnsi="宋体" w:cs="宋体"/>
          <w:b/>
          <w:sz w:val="24"/>
        </w:rPr>
        <w:t>磋商承诺书</w:t>
      </w:r>
    </w:p>
    <w:p w14:paraId="26BD80C9">
      <w:pPr>
        <w:adjustRightInd w:val="0"/>
        <w:snapToGrid w:val="0"/>
        <w:spacing w:line="360" w:lineRule="auto"/>
        <w:rPr>
          <w:rFonts w:ascii="宋体" w:hAnsi="宋体" w:cs="宋体"/>
          <w:b/>
          <w:bCs/>
          <w:sz w:val="24"/>
          <w:u w:val="single"/>
        </w:rPr>
      </w:pPr>
    </w:p>
    <w:p w14:paraId="4F025438">
      <w:pPr>
        <w:adjustRightInd w:val="0"/>
        <w:snapToGrid w:val="0"/>
        <w:spacing w:line="360" w:lineRule="auto"/>
        <w:rPr>
          <w:rFonts w:ascii="宋体" w:hAnsi="宋体" w:cs="宋体"/>
          <w:sz w:val="24"/>
        </w:rPr>
      </w:pPr>
      <w:r>
        <w:rPr>
          <w:rFonts w:hint="eastAsia" w:ascii="宋体" w:hAnsi="宋体" w:cs="宋体"/>
          <w:b/>
          <w:bCs/>
          <w:sz w:val="24"/>
          <w:u w:val="single"/>
        </w:rPr>
        <w:t>南通市崇川区城市管理局</w:t>
      </w:r>
      <w:r>
        <w:rPr>
          <w:rFonts w:hint="eastAsia" w:ascii="宋体" w:hAnsi="宋体" w:cs="宋体"/>
          <w:sz w:val="24"/>
        </w:rPr>
        <w:t>：</w:t>
      </w:r>
    </w:p>
    <w:p w14:paraId="2765C0D6">
      <w:pPr>
        <w:adjustRightInd w:val="0"/>
        <w:snapToGrid w:val="0"/>
        <w:spacing w:line="360" w:lineRule="auto"/>
        <w:ind w:firstLine="480" w:firstLineChars="200"/>
        <w:rPr>
          <w:rFonts w:ascii="宋体" w:hAnsi="宋体" w:cs="宋体"/>
          <w:sz w:val="24"/>
        </w:rPr>
      </w:pPr>
      <w:r>
        <w:rPr>
          <w:rFonts w:hint="eastAsia" w:ascii="宋体" w:hAnsi="宋体" w:cs="宋体"/>
          <w:sz w:val="24"/>
        </w:rPr>
        <w:t>（单位名称）授权（姓名）（职务）为全权代表，参加项目名称为：</w:t>
      </w:r>
      <w:r>
        <w:rPr>
          <w:rFonts w:hint="eastAsia" w:ascii="宋体" w:hAnsi="宋体" w:cs="宋体"/>
          <w:b/>
          <w:bCs/>
          <w:sz w:val="24"/>
          <w:u w:val="single"/>
        </w:rPr>
        <w:t>南通市崇川区城市管理局户外店招标牌安全风险评估服务项目</w:t>
      </w:r>
      <w:r>
        <w:rPr>
          <w:rFonts w:hint="eastAsia" w:ascii="宋体" w:hAnsi="宋体" w:cs="宋体"/>
          <w:sz w:val="24"/>
        </w:rPr>
        <w:t>招标的有关活动，并宣布同意如下：</w:t>
      </w:r>
    </w:p>
    <w:p w14:paraId="05A39914">
      <w:pPr>
        <w:adjustRightInd w:val="0"/>
        <w:snapToGrid w:val="0"/>
        <w:spacing w:line="360" w:lineRule="auto"/>
        <w:ind w:firstLine="480" w:firstLineChars="200"/>
        <w:rPr>
          <w:rFonts w:ascii="宋体" w:hAnsi="宋体" w:cs="宋体"/>
          <w:sz w:val="24"/>
        </w:rPr>
      </w:pPr>
      <w:r>
        <w:rPr>
          <w:rFonts w:hint="eastAsia" w:ascii="宋体" w:hAnsi="宋体" w:cs="宋体"/>
          <w:sz w:val="24"/>
        </w:rPr>
        <w:t>1．我方愿意按照磋商文件的全部要求进行投标（投标内容及价格以磋商响应文件为准）。</w:t>
      </w:r>
    </w:p>
    <w:p w14:paraId="703444BE">
      <w:pPr>
        <w:adjustRightInd w:val="0"/>
        <w:snapToGrid w:val="0"/>
        <w:spacing w:line="360" w:lineRule="auto"/>
        <w:ind w:firstLine="480" w:firstLineChars="200"/>
        <w:rPr>
          <w:rFonts w:ascii="宋体" w:hAnsi="宋体" w:cs="宋体"/>
          <w:sz w:val="24"/>
        </w:rPr>
      </w:pPr>
      <w:r>
        <w:rPr>
          <w:rFonts w:hint="eastAsia" w:ascii="宋体" w:hAnsi="宋体" w:cs="宋体"/>
          <w:sz w:val="24"/>
        </w:rPr>
        <w:t>2．我方完全理解并同意放弃对磋商文件有不明及误解的权利。</w:t>
      </w:r>
    </w:p>
    <w:p w14:paraId="203E1ADF">
      <w:pPr>
        <w:adjustRightInd w:val="0"/>
        <w:snapToGrid w:val="0"/>
        <w:spacing w:line="360" w:lineRule="auto"/>
        <w:ind w:firstLine="480" w:firstLineChars="200"/>
        <w:rPr>
          <w:rFonts w:ascii="宋体" w:hAnsi="宋体" w:cs="宋体"/>
          <w:sz w:val="24"/>
        </w:rPr>
      </w:pPr>
      <w:r>
        <w:rPr>
          <w:rFonts w:hint="eastAsia" w:ascii="宋体" w:hAnsi="宋体" w:cs="宋体"/>
          <w:sz w:val="24"/>
        </w:rPr>
        <w:t>3．我方将按磋商文件的规定履行合同责任和义务。</w:t>
      </w:r>
    </w:p>
    <w:p w14:paraId="09999B95">
      <w:pPr>
        <w:adjustRightInd w:val="0"/>
        <w:snapToGrid w:val="0"/>
        <w:spacing w:line="360" w:lineRule="auto"/>
        <w:ind w:firstLine="480" w:firstLineChars="200"/>
        <w:rPr>
          <w:rFonts w:ascii="宋体" w:hAnsi="宋体" w:cs="宋体"/>
          <w:sz w:val="24"/>
        </w:rPr>
      </w:pPr>
      <w:r>
        <w:rPr>
          <w:rFonts w:hint="eastAsia" w:ascii="宋体" w:hAnsi="宋体" w:cs="宋体"/>
          <w:sz w:val="24"/>
        </w:rPr>
        <w:t>4．我方同意提供按照贵方可能要求的与其投标有关的一切数据或资料，理解贵方不一定要选择最低价的投标。</w:t>
      </w:r>
    </w:p>
    <w:p w14:paraId="64F249F1">
      <w:pPr>
        <w:adjustRightInd w:val="0"/>
        <w:snapToGrid w:val="0"/>
        <w:spacing w:line="360" w:lineRule="auto"/>
        <w:ind w:firstLine="480" w:firstLineChars="200"/>
        <w:rPr>
          <w:rFonts w:ascii="宋体" w:hAnsi="宋体" w:cs="宋体"/>
          <w:sz w:val="24"/>
        </w:rPr>
      </w:pPr>
      <w:r>
        <w:rPr>
          <w:rFonts w:hint="eastAsia" w:ascii="宋体" w:hAnsi="宋体" w:cs="宋体"/>
          <w:sz w:val="24"/>
        </w:rPr>
        <w:t>5．我方的磋商响应文件自开标后</w:t>
      </w:r>
      <w:r>
        <w:rPr>
          <w:rFonts w:hint="eastAsia" w:ascii="宋体" w:hAnsi="宋体" w:cs="宋体"/>
          <w:sz w:val="24"/>
          <w:lang w:val="en-US" w:eastAsia="zh-CN"/>
        </w:rPr>
        <w:t>60</w:t>
      </w:r>
      <w:r>
        <w:rPr>
          <w:rFonts w:hint="eastAsia" w:ascii="宋体" w:hAnsi="宋体" w:cs="宋体"/>
          <w:sz w:val="24"/>
        </w:rPr>
        <w:t>天内有效。</w:t>
      </w:r>
    </w:p>
    <w:p w14:paraId="3E0B7FD6">
      <w:pPr>
        <w:adjustRightInd w:val="0"/>
        <w:snapToGrid w:val="0"/>
        <w:spacing w:line="360" w:lineRule="auto"/>
        <w:ind w:firstLine="480" w:firstLineChars="200"/>
        <w:rPr>
          <w:rFonts w:ascii="宋体" w:hAnsi="宋体" w:cs="宋体"/>
          <w:sz w:val="24"/>
        </w:rPr>
      </w:pPr>
      <w:r>
        <w:rPr>
          <w:rFonts w:hint="eastAsia" w:ascii="宋体" w:hAnsi="宋体" w:cs="宋体"/>
          <w:sz w:val="24"/>
        </w:rPr>
        <w:t>6．与本投标有关的一切往来通讯请寄：</w:t>
      </w:r>
    </w:p>
    <w:p w14:paraId="5A34140D">
      <w:pPr>
        <w:adjustRightInd w:val="0"/>
        <w:snapToGrid w:val="0"/>
        <w:spacing w:line="360" w:lineRule="auto"/>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1AF2125D">
      <w:pPr>
        <w:adjustRightInd w:val="0"/>
        <w:snapToGrid w:val="0"/>
        <w:spacing w:line="360" w:lineRule="auto"/>
        <w:ind w:firstLine="480" w:firstLineChars="200"/>
        <w:rPr>
          <w:rFonts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14:paraId="53B732E1">
      <w:pPr>
        <w:adjustRightInd w:val="0"/>
        <w:snapToGrid w:val="0"/>
        <w:spacing w:line="360" w:lineRule="auto"/>
        <w:ind w:firstLine="480" w:firstLineChars="200"/>
        <w:rPr>
          <w:rFonts w:ascii="宋体" w:hAnsi="宋体" w:cs="宋体"/>
          <w:sz w:val="24"/>
        </w:rPr>
      </w:pPr>
      <w:r>
        <w:rPr>
          <w:rFonts w:hint="eastAsia" w:ascii="宋体" w:hAnsi="宋体" w:cs="宋体"/>
          <w:sz w:val="24"/>
        </w:rPr>
        <w:t>投标方代表姓名：</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3627CB50">
      <w:pPr>
        <w:adjustRightInd w:val="0"/>
        <w:snapToGrid w:val="0"/>
        <w:spacing w:line="360" w:lineRule="auto"/>
        <w:ind w:firstLine="480" w:firstLineChars="200"/>
        <w:rPr>
          <w:rFonts w:ascii="宋体" w:hAnsi="宋体" w:cs="宋体"/>
          <w:sz w:val="24"/>
        </w:rPr>
      </w:pPr>
      <w:r>
        <w:rPr>
          <w:rFonts w:hint="eastAsia" w:ascii="宋体" w:hAnsi="宋体" w:cs="宋体"/>
          <w:sz w:val="24"/>
        </w:rPr>
        <w:t>投标单位名称：</w:t>
      </w:r>
      <w:r>
        <w:rPr>
          <w:rFonts w:hint="eastAsia" w:ascii="宋体" w:hAnsi="宋体" w:cs="宋体"/>
          <w:sz w:val="24"/>
          <w:u w:val="single"/>
        </w:rPr>
        <w:t xml:space="preserve">             </w:t>
      </w:r>
      <w:r>
        <w:rPr>
          <w:rFonts w:hint="eastAsia" w:ascii="宋体" w:hAnsi="宋体" w:cs="宋体"/>
          <w:sz w:val="24"/>
        </w:rPr>
        <w:t>（加盖单位公章）</w:t>
      </w:r>
    </w:p>
    <w:p w14:paraId="2FAF9348">
      <w:pPr>
        <w:adjustRightInd w:val="0"/>
        <w:snapToGrid w:val="0"/>
        <w:spacing w:line="360" w:lineRule="auto"/>
        <w:ind w:firstLine="3360" w:firstLineChars="1400"/>
        <w:rPr>
          <w:rFonts w:ascii="宋体" w:hAnsi="宋体" w:cs="宋体"/>
          <w:sz w:val="24"/>
        </w:rPr>
      </w:pPr>
    </w:p>
    <w:p w14:paraId="7DB1F51D">
      <w:pPr>
        <w:spacing w:line="360" w:lineRule="auto"/>
        <w:ind w:firstLine="2640" w:firstLineChars="1100"/>
        <w:rPr>
          <w:rFonts w:ascii="宋体" w:hAnsi="宋体" w:cs="宋体"/>
          <w:kern w:val="0"/>
          <w:sz w:val="24"/>
          <w:lang w:val="zh-CN" w:bidi="ar"/>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F155013">
      <w:pPr>
        <w:pStyle w:val="6"/>
        <w:spacing w:line="360" w:lineRule="auto"/>
        <w:rPr>
          <w:rFonts w:ascii="宋体" w:hAnsi="宋体" w:cs="宋体"/>
          <w:sz w:val="24"/>
          <w:szCs w:val="24"/>
          <w:lang w:val="zh-CN" w:bidi="ar"/>
        </w:rPr>
      </w:pPr>
    </w:p>
    <w:p w14:paraId="5FADAA2A">
      <w:pPr>
        <w:spacing w:line="360" w:lineRule="auto"/>
        <w:rPr>
          <w:rFonts w:ascii="宋体" w:hAnsi="宋体" w:cs="宋体"/>
          <w:sz w:val="24"/>
          <w:lang w:val="zh-CN" w:bidi="ar"/>
        </w:rPr>
      </w:pPr>
    </w:p>
    <w:p w14:paraId="2465EF1E">
      <w:pPr>
        <w:spacing w:line="360" w:lineRule="auto"/>
        <w:rPr>
          <w:rFonts w:ascii="宋体" w:hAnsi="宋体" w:cs="宋体"/>
          <w:sz w:val="24"/>
        </w:rPr>
        <w:sectPr>
          <w:pgSz w:w="11907" w:h="16839"/>
          <w:pgMar w:top="1440" w:right="1800" w:bottom="1440" w:left="1800" w:header="720" w:footer="737" w:gutter="0"/>
          <w:cols w:space="720" w:num="1"/>
          <w:docGrid w:linePitch="286" w:charSpace="0"/>
        </w:sectPr>
      </w:pPr>
    </w:p>
    <w:p w14:paraId="75930DEA">
      <w:pPr>
        <w:spacing w:line="360" w:lineRule="auto"/>
        <w:rPr>
          <w:rFonts w:hint="eastAsia" w:ascii="宋体" w:hAnsi="宋体" w:eastAsia="宋体" w:cs="宋体"/>
          <w:sz w:val="24"/>
          <w:lang w:val="en-US" w:eastAsia="zh-CN"/>
        </w:rPr>
      </w:pPr>
      <w:r>
        <w:rPr>
          <w:rFonts w:hint="eastAsia" w:ascii="宋体" w:hAnsi="宋体" w:cs="宋体"/>
          <w:sz w:val="24"/>
        </w:rPr>
        <w:t>附件</w:t>
      </w:r>
      <w:r>
        <w:rPr>
          <w:rFonts w:hint="eastAsia" w:ascii="宋体" w:hAnsi="宋体" w:cs="宋体"/>
          <w:sz w:val="24"/>
          <w:lang w:val="en-US" w:eastAsia="zh-CN"/>
        </w:rPr>
        <w:t>9</w:t>
      </w:r>
    </w:p>
    <w:p w14:paraId="2589B6CE">
      <w:pPr>
        <w:spacing w:line="360" w:lineRule="auto"/>
        <w:jc w:val="center"/>
        <w:rPr>
          <w:rFonts w:ascii="宋体" w:hAnsi="宋体" w:cs="宋体"/>
          <w:bCs/>
          <w:sz w:val="24"/>
        </w:rPr>
      </w:pPr>
      <w:r>
        <w:rPr>
          <w:rFonts w:hint="eastAsia" w:ascii="宋体" w:hAnsi="宋体" w:cs="宋体"/>
          <w:bCs/>
          <w:sz w:val="24"/>
        </w:rPr>
        <w:t>质疑函范本</w:t>
      </w:r>
    </w:p>
    <w:p w14:paraId="2F36CCC9">
      <w:pPr>
        <w:adjustRightInd w:val="0"/>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45B0D97">
      <w:pPr>
        <w:adjustRightInd w:val="0"/>
        <w:snapToGrid w:val="0"/>
        <w:spacing w:line="360" w:lineRule="auto"/>
        <w:rPr>
          <w:rFonts w:ascii="宋体" w:hAnsi="宋体" w:cs="宋体"/>
          <w:sz w:val="24"/>
          <w:u w:val="dotted"/>
        </w:rPr>
      </w:pPr>
      <w:r>
        <w:rPr>
          <w:rFonts w:hint="eastAsia" w:ascii="宋体" w:hAnsi="宋体" w:cs="宋体"/>
          <w:sz w:val="24"/>
        </w:rPr>
        <w:t>质疑供应商：</w:t>
      </w:r>
    </w:p>
    <w:p w14:paraId="14253A24">
      <w:pPr>
        <w:adjustRightInd w:val="0"/>
        <w:snapToGrid w:val="0"/>
        <w:spacing w:line="360" w:lineRule="auto"/>
        <w:rPr>
          <w:rFonts w:ascii="宋体" w:hAnsi="宋体" w:cs="宋体"/>
          <w:sz w:val="24"/>
        </w:rPr>
      </w:pPr>
      <w:r>
        <w:rPr>
          <w:rFonts w:hint="eastAsia" w:ascii="宋体" w:hAnsi="宋体" w:cs="宋体"/>
          <w:sz w:val="24"/>
        </w:rPr>
        <w:t>地址：邮编：</w:t>
      </w:r>
    </w:p>
    <w:p w14:paraId="73343A36">
      <w:pPr>
        <w:adjustRightInd w:val="0"/>
        <w:snapToGrid w:val="0"/>
        <w:spacing w:line="360" w:lineRule="auto"/>
        <w:rPr>
          <w:rFonts w:ascii="宋体" w:hAnsi="宋体" w:cs="宋体"/>
          <w:sz w:val="24"/>
        </w:rPr>
      </w:pPr>
      <w:r>
        <w:rPr>
          <w:rFonts w:hint="eastAsia" w:ascii="宋体" w:hAnsi="宋体" w:cs="宋体"/>
          <w:sz w:val="24"/>
        </w:rPr>
        <w:t>联系人：联系电话：</w:t>
      </w:r>
    </w:p>
    <w:p w14:paraId="35AA203B">
      <w:pPr>
        <w:adjustRightInd w:val="0"/>
        <w:snapToGrid w:val="0"/>
        <w:spacing w:line="360" w:lineRule="auto"/>
        <w:rPr>
          <w:rFonts w:ascii="宋体" w:hAnsi="宋体" w:cs="宋体"/>
          <w:sz w:val="24"/>
          <w:u w:val="dotted"/>
        </w:rPr>
      </w:pPr>
      <w:r>
        <w:rPr>
          <w:rFonts w:hint="eastAsia" w:ascii="宋体" w:hAnsi="宋体" w:cs="宋体"/>
          <w:sz w:val="24"/>
        </w:rPr>
        <w:t>授权代表：</w:t>
      </w:r>
    </w:p>
    <w:p w14:paraId="5AA33F97">
      <w:pPr>
        <w:adjustRightInd w:val="0"/>
        <w:snapToGrid w:val="0"/>
        <w:spacing w:line="360" w:lineRule="auto"/>
        <w:rPr>
          <w:rFonts w:ascii="宋体" w:hAnsi="宋体" w:cs="宋体"/>
          <w:sz w:val="24"/>
        </w:rPr>
      </w:pPr>
      <w:r>
        <w:rPr>
          <w:rFonts w:hint="eastAsia" w:ascii="宋体" w:hAnsi="宋体" w:cs="宋体"/>
          <w:sz w:val="24"/>
        </w:rPr>
        <w:t>联系电话：</w:t>
      </w:r>
    </w:p>
    <w:p w14:paraId="43CB5A9F">
      <w:pPr>
        <w:adjustRightInd w:val="0"/>
        <w:snapToGrid w:val="0"/>
        <w:spacing w:line="360" w:lineRule="auto"/>
        <w:rPr>
          <w:rFonts w:ascii="宋体" w:hAnsi="宋体" w:cs="宋体"/>
          <w:sz w:val="24"/>
        </w:rPr>
      </w:pPr>
      <w:r>
        <w:rPr>
          <w:rFonts w:hint="eastAsia" w:ascii="宋体" w:hAnsi="宋体" w:cs="宋体"/>
          <w:sz w:val="24"/>
        </w:rPr>
        <w:t>地址：邮编：</w:t>
      </w:r>
    </w:p>
    <w:p w14:paraId="6B606CA3">
      <w:pPr>
        <w:adjustRightInd w:val="0"/>
        <w:snapToGrid w:val="0"/>
        <w:spacing w:line="360" w:lineRule="auto"/>
        <w:rPr>
          <w:rFonts w:ascii="宋体" w:hAnsi="宋体" w:cs="宋体"/>
          <w:bCs/>
          <w:sz w:val="24"/>
        </w:rPr>
      </w:pPr>
      <w:r>
        <w:rPr>
          <w:rFonts w:hint="eastAsia" w:ascii="宋体" w:hAnsi="宋体" w:cs="宋体"/>
          <w:bCs/>
          <w:sz w:val="24"/>
        </w:rPr>
        <w:t>二、质疑项目基本情况</w:t>
      </w:r>
    </w:p>
    <w:p w14:paraId="6D34921D">
      <w:pPr>
        <w:adjustRightInd w:val="0"/>
        <w:snapToGrid w:val="0"/>
        <w:spacing w:line="360" w:lineRule="auto"/>
        <w:rPr>
          <w:rFonts w:ascii="宋体" w:hAnsi="宋体" w:cs="宋体"/>
          <w:sz w:val="24"/>
        </w:rPr>
      </w:pPr>
      <w:r>
        <w:rPr>
          <w:rFonts w:hint="eastAsia" w:ascii="宋体" w:hAnsi="宋体" w:cs="宋体"/>
          <w:sz w:val="24"/>
        </w:rPr>
        <w:t>质疑项目的名称：</w:t>
      </w:r>
    </w:p>
    <w:p w14:paraId="14D647C4">
      <w:pPr>
        <w:adjustRightInd w:val="0"/>
        <w:snapToGrid w:val="0"/>
        <w:spacing w:line="360" w:lineRule="auto"/>
        <w:rPr>
          <w:rFonts w:ascii="宋体" w:hAnsi="宋体" w:cs="宋体"/>
          <w:sz w:val="24"/>
        </w:rPr>
      </w:pPr>
      <w:r>
        <w:rPr>
          <w:rFonts w:hint="eastAsia" w:ascii="宋体" w:hAnsi="宋体" w:cs="宋体"/>
          <w:sz w:val="24"/>
        </w:rPr>
        <w:t>质疑项目的编号：包号：</w:t>
      </w:r>
    </w:p>
    <w:p w14:paraId="7B8BECF6">
      <w:pPr>
        <w:adjustRightInd w:val="0"/>
        <w:snapToGrid w:val="0"/>
        <w:spacing w:line="360" w:lineRule="auto"/>
        <w:rPr>
          <w:rFonts w:ascii="宋体" w:hAnsi="宋体" w:cs="宋体"/>
          <w:sz w:val="24"/>
          <w:u w:val="dotted"/>
        </w:rPr>
      </w:pPr>
      <w:r>
        <w:rPr>
          <w:rFonts w:hint="eastAsia" w:ascii="宋体" w:hAnsi="宋体" w:cs="宋体"/>
          <w:sz w:val="24"/>
        </w:rPr>
        <w:t>采购人名称：</w:t>
      </w:r>
    </w:p>
    <w:p w14:paraId="420E9380">
      <w:pPr>
        <w:adjustRightInd w:val="0"/>
        <w:snapToGrid w:val="0"/>
        <w:spacing w:line="360" w:lineRule="auto"/>
        <w:rPr>
          <w:rFonts w:ascii="宋体" w:hAnsi="宋体" w:cs="宋体"/>
          <w:sz w:val="24"/>
        </w:rPr>
      </w:pPr>
      <w:r>
        <w:rPr>
          <w:rFonts w:hint="eastAsia" w:ascii="宋体" w:hAnsi="宋体" w:cs="宋体"/>
          <w:sz w:val="24"/>
        </w:rPr>
        <w:t>采购文件获取日期：</w:t>
      </w:r>
    </w:p>
    <w:p w14:paraId="443D7256">
      <w:pPr>
        <w:adjustRightInd w:val="0"/>
        <w:snapToGrid w:val="0"/>
        <w:spacing w:line="360" w:lineRule="auto"/>
        <w:rPr>
          <w:rFonts w:ascii="宋体" w:hAnsi="宋体" w:cs="宋体"/>
          <w:bCs/>
          <w:sz w:val="24"/>
        </w:rPr>
      </w:pPr>
      <w:r>
        <w:rPr>
          <w:rFonts w:hint="eastAsia" w:ascii="宋体" w:hAnsi="宋体" w:cs="宋体"/>
          <w:bCs/>
          <w:sz w:val="24"/>
        </w:rPr>
        <w:t>三、质疑事项具体内容</w:t>
      </w:r>
    </w:p>
    <w:p w14:paraId="0458291C">
      <w:pPr>
        <w:adjustRightInd w:val="0"/>
        <w:snapToGrid w:val="0"/>
        <w:spacing w:line="360" w:lineRule="auto"/>
        <w:rPr>
          <w:rFonts w:ascii="宋体" w:hAnsi="宋体" w:cs="宋体"/>
          <w:sz w:val="24"/>
          <w:u w:val="dotted"/>
        </w:rPr>
      </w:pPr>
      <w:r>
        <w:rPr>
          <w:rFonts w:hint="eastAsia" w:ascii="宋体" w:hAnsi="宋体" w:cs="宋体"/>
          <w:sz w:val="24"/>
        </w:rPr>
        <w:t>质疑事项1：</w:t>
      </w:r>
    </w:p>
    <w:p w14:paraId="452DBECF">
      <w:pPr>
        <w:adjustRightInd w:val="0"/>
        <w:snapToGrid w:val="0"/>
        <w:spacing w:line="360" w:lineRule="auto"/>
        <w:rPr>
          <w:rFonts w:ascii="宋体" w:hAnsi="宋体" w:cs="宋体"/>
          <w:sz w:val="24"/>
          <w:u w:val="dotted"/>
        </w:rPr>
      </w:pPr>
      <w:r>
        <w:rPr>
          <w:rFonts w:hint="eastAsia" w:ascii="宋体" w:hAnsi="宋体" w:cs="宋体"/>
          <w:sz w:val="24"/>
        </w:rPr>
        <w:t>事实依据：</w:t>
      </w:r>
    </w:p>
    <w:p w14:paraId="06FDE86A">
      <w:pPr>
        <w:adjustRightInd w:val="0"/>
        <w:snapToGrid w:val="0"/>
        <w:spacing w:line="360" w:lineRule="auto"/>
        <w:rPr>
          <w:rFonts w:ascii="宋体" w:hAnsi="宋体" w:cs="宋体"/>
          <w:sz w:val="24"/>
        </w:rPr>
      </w:pPr>
    </w:p>
    <w:p w14:paraId="55C9DC7C">
      <w:pPr>
        <w:adjustRightInd w:val="0"/>
        <w:snapToGrid w:val="0"/>
        <w:spacing w:line="360" w:lineRule="auto"/>
        <w:rPr>
          <w:rFonts w:ascii="宋体" w:hAnsi="宋体" w:cs="宋体"/>
          <w:sz w:val="24"/>
          <w:u w:val="dotted"/>
        </w:rPr>
      </w:pPr>
      <w:r>
        <w:rPr>
          <w:rFonts w:hint="eastAsia" w:ascii="宋体" w:hAnsi="宋体" w:cs="宋体"/>
          <w:sz w:val="24"/>
        </w:rPr>
        <w:t>法律依据：</w:t>
      </w:r>
    </w:p>
    <w:p w14:paraId="3C1C60CE">
      <w:pPr>
        <w:adjustRightInd w:val="0"/>
        <w:snapToGrid w:val="0"/>
        <w:spacing w:line="360" w:lineRule="auto"/>
        <w:rPr>
          <w:rFonts w:ascii="宋体" w:hAnsi="宋体" w:cs="宋体"/>
          <w:sz w:val="24"/>
          <w:u w:val="dotted"/>
        </w:rPr>
      </w:pPr>
    </w:p>
    <w:p w14:paraId="27BA9DEC">
      <w:pPr>
        <w:adjustRightInd w:val="0"/>
        <w:snapToGrid w:val="0"/>
        <w:spacing w:line="360" w:lineRule="auto"/>
        <w:rPr>
          <w:rFonts w:ascii="宋体" w:hAnsi="宋体" w:cs="宋体"/>
          <w:sz w:val="24"/>
          <w:u w:val="dotted"/>
        </w:rPr>
      </w:pPr>
      <w:r>
        <w:rPr>
          <w:rFonts w:hint="eastAsia" w:ascii="宋体" w:hAnsi="宋体" w:cs="宋体"/>
          <w:sz w:val="24"/>
        </w:rPr>
        <w:t>质疑事项2</w:t>
      </w:r>
    </w:p>
    <w:p w14:paraId="3D492D78">
      <w:pPr>
        <w:adjustRightInd w:val="0"/>
        <w:snapToGrid w:val="0"/>
        <w:spacing w:line="360" w:lineRule="auto"/>
        <w:rPr>
          <w:rFonts w:ascii="宋体" w:hAnsi="宋体" w:cs="宋体"/>
          <w:sz w:val="24"/>
        </w:rPr>
      </w:pPr>
      <w:r>
        <w:rPr>
          <w:rFonts w:hint="eastAsia" w:ascii="宋体" w:hAnsi="宋体" w:cs="宋体"/>
          <w:sz w:val="24"/>
        </w:rPr>
        <w:t>……</w:t>
      </w:r>
    </w:p>
    <w:p w14:paraId="3B621A0E">
      <w:pPr>
        <w:adjustRightInd w:val="0"/>
        <w:snapToGrid w:val="0"/>
        <w:spacing w:line="360" w:lineRule="auto"/>
        <w:rPr>
          <w:rFonts w:ascii="宋体" w:hAnsi="宋体" w:cs="宋体"/>
          <w:bCs/>
          <w:sz w:val="24"/>
        </w:rPr>
      </w:pPr>
      <w:r>
        <w:rPr>
          <w:rFonts w:hint="eastAsia" w:ascii="宋体" w:hAnsi="宋体" w:cs="宋体"/>
          <w:bCs/>
          <w:sz w:val="24"/>
        </w:rPr>
        <w:t>四、与质疑事项相关的质疑请求</w:t>
      </w:r>
    </w:p>
    <w:p w14:paraId="3D8E4D2C">
      <w:pPr>
        <w:adjustRightInd w:val="0"/>
        <w:snapToGrid w:val="0"/>
        <w:spacing w:line="360" w:lineRule="auto"/>
        <w:rPr>
          <w:rFonts w:ascii="宋体" w:hAnsi="宋体" w:cs="宋体"/>
          <w:sz w:val="24"/>
          <w:u w:val="dotted"/>
        </w:rPr>
      </w:pPr>
      <w:r>
        <w:rPr>
          <w:rFonts w:hint="eastAsia" w:ascii="宋体" w:hAnsi="宋体" w:cs="宋体"/>
          <w:sz w:val="24"/>
        </w:rPr>
        <w:t>请求：</w:t>
      </w:r>
    </w:p>
    <w:p w14:paraId="173372C5">
      <w:pPr>
        <w:spacing w:line="360" w:lineRule="auto"/>
        <w:rPr>
          <w:rFonts w:ascii="宋体" w:hAnsi="宋体" w:cs="宋体"/>
          <w:sz w:val="24"/>
        </w:rPr>
      </w:pPr>
      <w:r>
        <w:rPr>
          <w:rFonts w:hint="eastAsia" w:ascii="宋体" w:hAnsi="宋体" w:cs="宋体"/>
          <w:sz w:val="24"/>
        </w:rPr>
        <w:t xml:space="preserve">签字(签章)：                   公章：                      </w:t>
      </w:r>
    </w:p>
    <w:p w14:paraId="2BC6A49E">
      <w:pPr>
        <w:spacing w:line="360" w:lineRule="auto"/>
        <w:rPr>
          <w:rFonts w:ascii="宋体" w:hAnsi="宋体" w:cs="宋体"/>
          <w:sz w:val="24"/>
        </w:rPr>
      </w:pPr>
      <w:r>
        <w:rPr>
          <w:rFonts w:hint="eastAsia" w:ascii="宋体" w:hAnsi="宋体" w:cs="宋体"/>
          <w:sz w:val="24"/>
        </w:rPr>
        <w:t xml:space="preserve">日期：    </w:t>
      </w:r>
    </w:p>
    <w:p w14:paraId="7EA60BF3">
      <w:pPr>
        <w:adjustRightInd w:val="0"/>
        <w:snapToGrid w:val="0"/>
        <w:spacing w:line="360" w:lineRule="auto"/>
        <w:rPr>
          <w:rFonts w:ascii="宋体" w:hAnsi="宋体" w:cs="宋体"/>
          <w:sz w:val="24"/>
        </w:rPr>
      </w:pPr>
    </w:p>
    <w:p w14:paraId="43255F37">
      <w:pPr>
        <w:spacing w:line="360" w:lineRule="auto"/>
        <w:rPr>
          <w:rFonts w:ascii="宋体" w:hAnsi="宋体" w:cs="宋体"/>
          <w:b/>
          <w:sz w:val="24"/>
        </w:rPr>
      </w:pPr>
    </w:p>
    <w:p w14:paraId="0BC2973A">
      <w:pPr>
        <w:rPr>
          <w:rFonts w:ascii="宋体" w:hAnsi="宋体" w:cs="宋体"/>
          <w:b/>
          <w:sz w:val="24"/>
        </w:rPr>
      </w:pPr>
      <w:r>
        <w:rPr>
          <w:rFonts w:hint="eastAsia" w:ascii="宋体" w:hAnsi="宋体" w:cs="宋体"/>
          <w:b/>
          <w:sz w:val="24"/>
        </w:rPr>
        <w:br w:type="page"/>
      </w:r>
    </w:p>
    <w:p w14:paraId="4330422B">
      <w:pPr>
        <w:spacing w:line="360" w:lineRule="auto"/>
        <w:rPr>
          <w:rFonts w:ascii="宋体" w:hAnsi="宋体" w:cs="宋体"/>
          <w:b/>
          <w:sz w:val="24"/>
        </w:rPr>
      </w:pPr>
      <w:r>
        <w:rPr>
          <w:rFonts w:hint="eastAsia" w:ascii="宋体" w:hAnsi="宋体" w:cs="宋体"/>
          <w:b/>
          <w:sz w:val="24"/>
        </w:rPr>
        <w:t>质疑函制作说明：</w:t>
      </w:r>
    </w:p>
    <w:p w14:paraId="2D674B02">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EB547F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B96D06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3C6F5FD">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2D79F36">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503AC37">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8F28C67">
      <w:pPr>
        <w:spacing w:line="360" w:lineRule="auto"/>
        <w:rPr>
          <w:sz w:val="24"/>
        </w:rPr>
      </w:pPr>
    </w:p>
    <w:sectPr>
      <w:pgSz w:w="11907" w:h="16839"/>
      <w:pgMar w:top="1440" w:right="1800" w:bottom="1440" w:left="1800" w:header="720" w:footer="73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40FA0">
    <w:pPr>
      <w:pStyle w:val="8"/>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3D567F">
                          <w:pPr>
                            <w:pStyle w:val="8"/>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733D567F">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D1B2B">
    <w:pPr>
      <w:pStyle w:val="8"/>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31B930">
                          <w:pPr>
                            <w:pStyle w:val="8"/>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331B930">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C2549">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5090A5C">
                          <w:pPr>
                            <w:pStyle w:val="8"/>
                          </w:pPr>
                          <w:r>
                            <w:fldChar w:fldCharType="begin"/>
                          </w:r>
                          <w:r>
                            <w:instrText xml:space="preserve"> PAGE  \* MERGEFORMAT </w:instrText>
                          </w:r>
                          <w:r>
                            <w:fldChar w:fldCharType="separate"/>
                          </w:r>
                          <w:r>
                            <w:t>31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pQ6mh0QEAAKUDAAAOAAAAAAAAAAEAIAAAACIB&#10;AABkcnMvZTJvRG9jLnhtbFBLBQYAAAAABgAGAFkBAABlBQAAAAA=&#10;">
              <v:fill on="f" focussize="0,0"/>
              <v:stroke on="f" weight="1.25pt"/>
              <v:imagedata o:title=""/>
              <o:lock v:ext="edit" aspectratio="f"/>
              <v:textbox inset="0mm,0mm,0mm,0mm" style="mso-fit-shape-to-text:t;">
                <w:txbxContent>
                  <w:p w14:paraId="45090A5C">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C3EBE">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C0029">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086A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7852F"/>
    <w:multiLevelType w:val="singleLevel"/>
    <w:tmpl w:val="5757852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5A629B"/>
    <w:rsid w:val="000C470C"/>
    <w:rsid w:val="002F2710"/>
    <w:rsid w:val="006B2A57"/>
    <w:rsid w:val="0094630E"/>
    <w:rsid w:val="00A94A74"/>
    <w:rsid w:val="00AA234B"/>
    <w:rsid w:val="00B32EA0"/>
    <w:rsid w:val="09FF12FA"/>
    <w:rsid w:val="0C0355A4"/>
    <w:rsid w:val="155B33AF"/>
    <w:rsid w:val="15713B50"/>
    <w:rsid w:val="15CE3065"/>
    <w:rsid w:val="16A14DF1"/>
    <w:rsid w:val="1B0939E9"/>
    <w:rsid w:val="27F70FA8"/>
    <w:rsid w:val="280C52FD"/>
    <w:rsid w:val="286C2A83"/>
    <w:rsid w:val="28E93C7D"/>
    <w:rsid w:val="2B002D1A"/>
    <w:rsid w:val="2B5E3E47"/>
    <w:rsid w:val="2C8E7C30"/>
    <w:rsid w:val="2FDC7F21"/>
    <w:rsid w:val="313F4EF8"/>
    <w:rsid w:val="315A629B"/>
    <w:rsid w:val="33A53886"/>
    <w:rsid w:val="362C021B"/>
    <w:rsid w:val="383E3053"/>
    <w:rsid w:val="3BCC289B"/>
    <w:rsid w:val="3CAC53AB"/>
    <w:rsid w:val="423B3FC8"/>
    <w:rsid w:val="45A07778"/>
    <w:rsid w:val="4708217A"/>
    <w:rsid w:val="58FF1315"/>
    <w:rsid w:val="5C1D50FD"/>
    <w:rsid w:val="5D850D22"/>
    <w:rsid w:val="68DA22EA"/>
    <w:rsid w:val="6B3B6738"/>
    <w:rsid w:val="6DB33E01"/>
    <w:rsid w:val="6F780595"/>
    <w:rsid w:val="78C25DA2"/>
    <w:rsid w:val="79921C19"/>
    <w:rsid w:val="7BC77DDD"/>
    <w:rsid w:val="7BD1454E"/>
    <w:rsid w:val="7FD2081F"/>
    <w:rsid w:val="7FE37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8" w:lineRule="auto"/>
    </w:pPr>
    <w:rPr>
      <w:b w:val="0"/>
      <w:bCs/>
      <w:kern w:val="44"/>
      <w:sz w:val="44"/>
      <w:szCs w:val="4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4">
    <w:name w:val="Title"/>
    <w:basedOn w:val="1"/>
    <w:qFormat/>
    <w:uiPriority w:val="10"/>
    <w:pPr>
      <w:spacing w:before="240" w:after="60" w:line="360" w:lineRule="auto"/>
      <w:ind w:firstLine="880" w:firstLineChars="200"/>
      <w:jc w:val="center"/>
      <w:outlineLvl w:val="0"/>
    </w:pPr>
    <w:rPr>
      <w:rFonts w:ascii="Arial" w:hAnsi="Arial" w:eastAsia="华文仿宋" w:cs="宋体"/>
      <w:b/>
      <w:sz w:val="32"/>
    </w:rPr>
  </w:style>
  <w:style w:type="paragraph" w:styleId="5">
    <w:name w:val="annotation text"/>
    <w:basedOn w:val="1"/>
    <w:link w:val="19"/>
    <w:qFormat/>
    <w:uiPriority w:val="0"/>
    <w:pPr>
      <w:jc w:val="left"/>
    </w:pPr>
  </w:style>
  <w:style w:type="paragraph" w:styleId="6">
    <w:name w:val="Body Text"/>
    <w:basedOn w:val="1"/>
    <w:next w:val="1"/>
    <w:qFormat/>
    <w:uiPriority w:val="0"/>
    <w:pPr>
      <w:spacing w:after="120"/>
    </w:pPr>
    <w:rPr>
      <w:szCs w:val="20"/>
    </w:rPr>
  </w:style>
  <w:style w:type="paragraph" w:styleId="7">
    <w:name w:val="Balloon Text"/>
    <w:basedOn w:val="1"/>
    <w:link w:val="21"/>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envelope return"/>
    <w:basedOn w:val="1"/>
    <w:unhideWhenUsed/>
    <w:qFormat/>
    <w:uiPriority w:val="99"/>
    <w:pPr>
      <w:snapToGrid w:val="0"/>
    </w:pPr>
    <w:rPr>
      <w:rFonts w:ascii="Arial" w:hAnsi="Arial"/>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0"/>
    <w:qFormat/>
    <w:uiPriority w:val="0"/>
    <w:rPr>
      <w:b/>
      <w:bCs/>
    </w:rPr>
  </w:style>
  <w:style w:type="paragraph" w:styleId="12">
    <w:name w:val="Body Text First Indent 2"/>
    <w:basedOn w:val="2"/>
    <w:unhideWhenUsed/>
    <w:qFormat/>
    <w:uiPriority w:val="99"/>
    <w:pPr>
      <w:ind w:firstLine="200" w:firstLineChars="200"/>
    </w:pPr>
  </w:style>
  <w:style w:type="character" w:styleId="15">
    <w:name w:val="annotation reference"/>
    <w:basedOn w:val="14"/>
    <w:qFormat/>
    <w:uiPriority w:val="0"/>
    <w:rPr>
      <w:sz w:val="21"/>
      <w:szCs w:val="21"/>
    </w:rPr>
  </w:style>
  <w:style w:type="paragraph" w:customStyle="1" w:styleId="1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17">
    <w:name w:val="NormalCharacter"/>
    <w:semiHidden/>
    <w:qFormat/>
    <w:uiPriority w:val="0"/>
  </w:style>
  <w:style w:type="paragraph" w:customStyle="1" w:styleId="18">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19">
    <w:name w:val="批注文字 字符"/>
    <w:basedOn w:val="14"/>
    <w:link w:val="5"/>
    <w:qFormat/>
    <w:uiPriority w:val="0"/>
    <w:rPr>
      <w:rFonts w:ascii="Times New Roman" w:hAnsi="Times New Roman" w:eastAsia="宋体" w:cs="Times New Roman"/>
      <w:kern w:val="2"/>
      <w:sz w:val="21"/>
      <w:szCs w:val="24"/>
    </w:rPr>
  </w:style>
  <w:style w:type="character" w:customStyle="1" w:styleId="20">
    <w:name w:val="批注主题 字符"/>
    <w:basedOn w:val="19"/>
    <w:link w:val="11"/>
    <w:qFormat/>
    <w:uiPriority w:val="0"/>
    <w:rPr>
      <w:rFonts w:ascii="Times New Roman" w:hAnsi="Times New Roman" w:eastAsia="宋体" w:cs="Times New Roman"/>
      <w:b/>
      <w:bCs/>
      <w:kern w:val="2"/>
      <w:sz w:val="21"/>
      <w:szCs w:val="24"/>
    </w:rPr>
  </w:style>
  <w:style w:type="character" w:customStyle="1" w:styleId="21">
    <w:name w:val="批注框文本 字符"/>
    <w:basedOn w:val="14"/>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16822</Words>
  <Characters>17564</Characters>
  <Lines>21</Lines>
  <Paragraphs>44</Paragraphs>
  <TotalTime>7</TotalTime>
  <ScaleCrop>false</ScaleCrop>
  <LinksUpToDate>false</LinksUpToDate>
  <CharactersWithSpaces>18238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2025-07-29T09:31:00Z</dcterms:created>
  <dc:creator>溯溯</dc:creator>
  <cp:lastModifiedBy>zxy</cp:lastModifiedBy>
  <cp:lastPrinted>2025-06-19T06:24:00Z</cp:lastPrinted>
  <dcterms:modified xsi:type="dcterms:W3CDTF">2025-08-19T07:12:29Z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0BAC258D2BDD4106BF03CDABA1E0785D_11</vt:lpwstr>
  </property>
  <property fmtid="{D5CDD505-2E9C-101B-9397-08002B2CF9AE}" pid="4" name="KSOTemplateDocerSaveRecord">
    <vt:lpwstr>eyJoZGlkIjoiYmE5MTMxYjA2ZmUwZjdkMWE1ZTc4MTU3NTYzYmFkNWUiLCJ1c2VySWQiOiI0MjI5MzgzMTgifQ==</vt:lpwstr>
  </property>
</Properties>
</file>