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73796">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32"/>
          <w:szCs w:val="32"/>
          <w:highlight w:val="none"/>
        </w:rPr>
      </w:pPr>
      <w:bookmarkStart w:id="0" w:name="_Toc497463974"/>
      <w:bookmarkStart w:id="1" w:name="_Toc13432"/>
      <w:bookmarkStart w:id="2" w:name="OLE_LINK4"/>
      <w:bookmarkStart w:id="3" w:name="OLE_LINK5"/>
      <w:r>
        <w:rPr>
          <w:rFonts w:hint="eastAsia" w:ascii="宋体" w:hAnsi="宋体" w:cs="宋体"/>
          <w:color w:val="auto"/>
          <w:sz w:val="32"/>
          <w:szCs w:val="32"/>
          <w:highlight w:val="none"/>
          <w:lang w:eastAsia="zh-CN"/>
        </w:rPr>
        <w:t>经十一路（幸福路-幸余路）工程、纬十一路（经十一路-通京大道）工程、经十一路东侧规划路（幸福路-纬十一路）工程监理</w:t>
      </w:r>
      <w:r>
        <w:rPr>
          <w:rFonts w:hint="eastAsia" w:ascii="宋体" w:hAnsi="宋体" w:eastAsia="宋体" w:cs="宋体"/>
          <w:color w:val="auto"/>
          <w:sz w:val="32"/>
          <w:szCs w:val="32"/>
          <w:highlight w:val="none"/>
        </w:rPr>
        <w:t>招标公告</w:t>
      </w:r>
      <w:bookmarkEnd w:id="0"/>
      <w:bookmarkEnd w:id="1"/>
    </w:p>
    <w:p w14:paraId="7801DCD4">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32"/>
          <w:szCs w:val="32"/>
          <w:highlight w:val="none"/>
        </w:rPr>
      </w:pPr>
    </w:p>
    <w:bookmarkEnd w:id="2"/>
    <w:bookmarkEnd w:id="3"/>
    <w:p w14:paraId="1CEB4EB9">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bookmarkStart w:id="4" w:name="OLE_LINK3"/>
      <w:r>
        <w:rPr>
          <w:rFonts w:hint="eastAsia" w:ascii="宋体" w:hAnsi="宋体" w:cs="宋体"/>
          <w:color w:val="auto"/>
          <w:kern w:val="0"/>
          <w:sz w:val="24"/>
          <w:szCs w:val="24"/>
          <w:highlight w:val="none"/>
          <w:shd w:val="clear" w:color="auto" w:fill="FFFFFF"/>
          <w:lang w:eastAsia="zh-CN"/>
        </w:rPr>
        <w:t>一</w:t>
      </w:r>
      <w:r>
        <w:rPr>
          <w:rFonts w:hint="eastAsia" w:ascii="宋体" w:hAnsi="宋体" w:eastAsia="宋体" w:cs="宋体"/>
          <w:color w:val="auto"/>
          <w:kern w:val="0"/>
          <w:sz w:val="24"/>
          <w:szCs w:val="24"/>
          <w:highlight w:val="none"/>
          <w:shd w:val="clear" w:color="auto" w:fill="FFFFFF"/>
        </w:rPr>
        <w:t>、</w:t>
      </w:r>
      <w:r>
        <w:rPr>
          <w:rFonts w:hint="eastAsia" w:ascii="宋体" w:hAnsi="宋体" w:eastAsia="宋体" w:cs="宋体"/>
          <w:b/>
          <w:color w:val="auto"/>
          <w:kern w:val="0"/>
          <w:sz w:val="24"/>
          <w:szCs w:val="24"/>
          <w:highlight w:val="none"/>
          <w:u w:val="single"/>
          <w:shd w:val="clear" w:color="auto" w:fill="FFFFFF"/>
        </w:rPr>
        <w:t>南通市崇川区城市工程建设管理中心</w:t>
      </w:r>
      <w:r>
        <w:rPr>
          <w:rFonts w:hint="eastAsia" w:ascii="宋体" w:hAnsi="宋体" w:eastAsia="宋体" w:cs="宋体"/>
          <w:color w:val="auto"/>
          <w:kern w:val="0"/>
          <w:sz w:val="24"/>
          <w:szCs w:val="24"/>
          <w:highlight w:val="none"/>
          <w:shd w:val="clear" w:color="auto" w:fill="FFFFFF"/>
        </w:rPr>
        <w:t>的</w:t>
      </w:r>
      <w:r>
        <w:rPr>
          <w:rFonts w:hint="eastAsia" w:ascii="宋体" w:hAnsi="宋体" w:cs="宋体"/>
          <w:b/>
          <w:bCs/>
          <w:color w:val="auto"/>
          <w:kern w:val="0"/>
          <w:sz w:val="24"/>
          <w:szCs w:val="24"/>
          <w:highlight w:val="none"/>
          <w:u w:val="single"/>
          <w:shd w:val="clear" w:color="auto" w:fill="FFFFFF"/>
          <w:lang w:eastAsia="zh-CN"/>
        </w:rPr>
        <w:t>经十一路（幸福路-幸余路）工程、纬十一路（经十一路-通京大道）工程、经十一路东侧规划路（幸福路-纬十一路）工程</w:t>
      </w:r>
      <w:r>
        <w:rPr>
          <w:rFonts w:hint="eastAsia" w:ascii="宋体" w:hAnsi="宋体" w:eastAsia="宋体" w:cs="宋体"/>
          <w:b w:val="0"/>
          <w:bCs w:val="0"/>
          <w:color w:val="auto"/>
          <w:kern w:val="0"/>
          <w:sz w:val="24"/>
          <w:szCs w:val="24"/>
          <w:highlight w:val="none"/>
          <w:u w:val="none"/>
          <w:shd w:val="clear" w:color="auto" w:fill="FFFFFF"/>
          <w:lang w:val="en-US" w:eastAsia="zh-CN"/>
        </w:rPr>
        <w:t>项目</w:t>
      </w:r>
      <w:r>
        <w:rPr>
          <w:rFonts w:hint="eastAsia" w:ascii="宋体" w:hAnsi="宋体" w:eastAsia="宋体" w:cs="宋体"/>
          <w:color w:val="auto"/>
          <w:kern w:val="0"/>
          <w:sz w:val="24"/>
          <w:szCs w:val="24"/>
          <w:highlight w:val="none"/>
          <w:shd w:val="clear" w:color="auto" w:fill="FFFFFF"/>
        </w:rPr>
        <w:t>已经批准建设，工程所需资金来源为</w:t>
      </w:r>
      <w:r>
        <w:rPr>
          <w:rFonts w:hint="eastAsia" w:ascii="宋体" w:hAnsi="宋体" w:eastAsia="宋体" w:cs="宋体"/>
          <w:b/>
          <w:color w:val="auto"/>
          <w:kern w:val="0"/>
          <w:sz w:val="24"/>
          <w:szCs w:val="24"/>
          <w:highlight w:val="none"/>
          <w:u w:val="single"/>
        </w:rPr>
        <w:t>财政拨款</w:t>
      </w:r>
      <w:r>
        <w:rPr>
          <w:rFonts w:hint="eastAsia" w:ascii="宋体" w:hAnsi="宋体" w:eastAsia="宋体" w:cs="宋体"/>
          <w:color w:val="auto"/>
          <w:kern w:val="0"/>
          <w:sz w:val="24"/>
          <w:szCs w:val="24"/>
          <w:highlight w:val="none"/>
          <w:shd w:val="clear" w:color="auto" w:fill="FFFFFF"/>
        </w:rPr>
        <w:t>。现对该</w:t>
      </w:r>
      <w:r>
        <w:rPr>
          <w:rFonts w:hint="eastAsia" w:ascii="宋体" w:hAnsi="宋体" w:eastAsia="宋体" w:cs="宋体"/>
          <w:color w:val="auto"/>
          <w:kern w:val="0"/>
          <w:sz w:val="24"/>
          <w:szCs w:val="24"/>
          <w:highlight w:val="none"/>
          <w:shd w:val="clear" w:color="auto" w:fill="FFFFFF"/>
          <w:lang w:val="en-US" w:eastAsia="zh-CN"/>
        </w:rPr>
        <w:t>项目</w:t>
      </w:r>
      <w:r>
        <w:rPr>
          <w:rFonts w:hint="eastAsia" w:ascii="宋体" w:hAnsi="宋体" w:cs="宋体"/>
          <w:color w:val="auto"/>
          <w:kern w:val="0"/>
          <w:sz w:val="24"/>
          <w:szCs w:val="24"/>
          <w:highlight w:val="none"/>
          <w:shd w:val="clear" w:color="auto" w:fill="FFFFFF"/>
          <w:lang w:val="en-US" w:eastAsia="zh-CN"/>
        </w:rPr>
        <w:t>监理</w:t>
      </w:r>
      <w:r>
        <w:rPr>
          <w:rFonts w:hint="eastAsia" w:ascii="宋体" w:hAnsi="宋体" w:eastAsia="宋体" w:cs="宋体"/>
          <w:color w:val="auto"/>
          <w:kern w:val="0"/>
          <w:sz w:val="24"/>
          <w:szCs w:val="24"/>
          <w:highlight w:val="none"/>
          <w:shd w:val="clear" w:color="auto" w:fill="FFFFFF"/>
        </w:rPr>
        <w:t>进行公开招标，邀请合格的潜在投标人参加本工程的资格后审。</w:t>
      </w:r>
    </w:p>
    <w:p w14:paraId="7E55720F">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eastAsia="zh-CN"/>
        </w:rPr>
        <w:t>二</w:t>
      </w:r>
      <w:r>
        <w:rPr>
          <w:rFonts w:hint="eastAsia" w:ascii="宋体" w:hAnsi="宋体" w:eastAsia="宋体" w:cs="宋体"/>
          <w:color w:val="auto"/>
          <w:kern w:val="0"/>
          <w:sz w:val="24"/>
          <w:szCs w:val="24"/>
          <w:highlight w:val="none"/>
          <w:shd w:val="clear" w:color="auto" w:fill="FFFFFF"/>
        </w:rPr>
        <w:t>、</w:t>
      </w:r>
      <w:r>
        <w:rPr>
          <w:rFonts w:hint="eastAsia" w:ascii="宋体" w:hAnsi="宋体" w:cs="宋体"/>
          <w:b/>
          <w:color w:val="auto"/>
          <w:kern w:val="0"/>
          <w:sz w:val="24"/>
          <w:szCs w:val="24"/>
          <w:highlight w:val="none"/>
          <w:u w:val="single"/>
          <w:lang w:eastAsia="zh-CN"/>
        </w:rPr>
        <w:t>江苏方桂圆工程项目管理有限公司</w:t>
      </w:r>
      <w:r>
        <w:rPr>
          <w:rFonts w:hint="eastAsia" w:ascii="宋体" w:hAnsi="宋体" w:eastAsia="宋体" w:cs="宋体"/>
          <w:color w:val="auto"/>
          <w:kern w:val="0"/>
          <w:sz w:val="24"/>
          <w:szCs w:val="24"/>
          <w:highlight w:val="none"/>
          <w:shd w:val="clear" w:color="auto" w:fill="FFFFFF"/>
        </w:rPr>
        <w:t>受招标人委托具体负责工程的招标事宜。</w:t>
      </w:r>
    </w:p>
    <w:p w14:paraId="2D90E9B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eastAsia="zh-CN"/>
        </w:rPr>
        <w:t>三</w:t>
      </w:r>
      <w:r>
        <w:rPr>
          <w:rFonts w:hint="eastAsia" w:ascii="宋体" w:hAnsi="宋体" w:eastAsia="宋体" w:cs="宋体"/>
          <w:color w:val="auto"/>
          <w:kern w:val="0"/>
          <w:sz w:val="24"/>
          <w:szCs w:val="24"/>
          <w:highlight w:val="none"/>
          <w:shd w:val="clear" w:color="auto" w:fill="FFFFFF"/>
        </w:rPr>
        <w:t>、工程概况:</w:t>
      </w:r>
    </w:p>
    <w:p w14:paraId="67C4C156">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工程地点：</w:t>
      </w:r>
      <w:r>
        <w:rPr>
          <w:rFonts w:hint="eastAsia" w:ascii="宋体" w:hAnsi="宋体" w:eastAsia="宋体" w:cs="宋体"/>
          <w:color w:val="auto"/>
          <w:kern w:val="0"/>
          <w:sz w:val="24"/>
          <w:szCs w:val="24"/>
          <w:highlight w:val="none"/>
          <w:shd w:val="clear" w:color="auto" w:fill="FFFFFF"/>
          <w:lang w:val="en-US" w:eastAsia="zh-CN"/>
        </w:rPr>
        <w:t>经十一路（幸福路-幸余路）工程、纬十一路（经十一路-通京大道）工程、经十一路东侧规划路（幸福路-纬十一路）</w:t>
      </w:r>
    </w:p>
    <w:p w14:paraId="7AFF254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rPr>
        <w:t>2</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工程规模：</w:t>
      </w:r>
      <w:r>
        <w:rPr>
          <w:rFonts w:hint="eastAsia" w:ascii="宋体" w:hAnsi="宋体" w:eastAsia="宋体" w:cs="宋体"/>
          <w:color w:val="auto"/>
          <w:kern w:val="0"/>
          <w:sz w:val="24"/>
          <w:szCs w:val="24"/>
          <w:highlight w:val="none"/>
          <w:shd w:val="clear" w:color="auto" w:fill="FFFFFF"/>
          <w:lang w:val="en-US" w:eastAsia="zh-CN"/>
        </w:rPr>
        <w:t>经十一路（幸福路-幸余路）全长约625米，规划宽度24米；纬十一路（经十一路-通京大道）全长约530米，规划宽度18米；经</w:t>
      </w:r>
      <w:bookmarkStart w:id="5" w:name="_GoBack"/>
      <w:bookmarkEnd w:id="5"/>
      <w:r>
        <w:rPr>
          <w:rFonts w:hint="eastAsia" w:ascii="宋体" w:hAnsi="宋体" w:eastAsia="宋体" w:cs="宋体"/>
          <w:color w:val="auto"/>
          <w:kern w:val="0"/>
          <w:sz w:val="24"/>
          <w:szCs w:val="24"/>
          <w:highlight w:val="none"/>
          <w:shd w:val="clear" w:color="auto" w:fill="FFFFFF"/>
          <w:lang w:val="en-US" w:eastAsia="zh-CN"/>
        </w:rPr>
        <w:t>十一路东侧规划路（幸福路-纬十一路）全长约280米，规划宽度18米。</w:t>
      </w:r>
      <w:r>
        <w:rPr>
          <w:rFonts w:hint="eastAsia" w:ascii="宋体" w:hAnsi="宋体" w:eastAsia="宋体" w:cs="宋体"/>
          <w:color w:val="auto"/>
          <w:kern w:val="0"/>
          <w:sz w:val="24"/>
          <w:szCs w:val="24"/>
          <w:highlight w:val="none"/>
          <w:shd w:val="clear" w:color="auto" w:fill="FFFFFF"/>
          <w:lang w:val="en-US" w:eastAsia="zh-CN"/>
        </w:rPr>
        <w:t>工程费用约3000万元</w:t>
      </w:r>
      <w:r>
        <w:rPr>
          <w:rFonts w:hint="eastAsia" w:ascii="宋体" w:hAnsi="宋体" w:eastAsia="宋体" w:cs="宋体"/>
          <w:color w:val="auto"/>
          <w:kern w:val="0"/>
          <w:sz w:val="24"/>
          <w:szCs w:val="24"/>
          <w:highlight w:val="none"/>
          <w:shd w:val="clear" w:color="auto" w:fill="FFFFFF"/>
          <w:lang w:val="en-US" w:eastAsia="zh-CN"/>
        </w:rPr>
        <w:t>。</w:t>
      </w:r>
    </w:p>
    <w:p w14:paraId="1D8E6E53">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lang w:val="en-US" w:eastAsia="zh-CN"/>
        </w:rPr>
        <w:t>招标范围：</w:t>
      </w:r>
      <w:r>
        <w:rPr>
          <w:rFonts w:hint="eastAsia" w:ascii="宋体" w:hAnsi="宋体" w:eastAsia="宋体" w:cs="宋体"/>
          <w:color w:val="auto"/>
          <w:sz w:val="24"/>
          <w:szCs w:val="24"/>
          <w:highlight w:val="none"/>
        </w:rPr>
        <w:t>施工准备阶段、施工阶段、竣工验收和保修阶段（含质量缺陷责任期及绿化养护期）全过程监理。协助业主办理图纸审查和各项报批工作，对工程进行质量、进度、投资、安全和合同管理、信息管理、安全生产管理、文明施工管理、组织协调施工现场各方关系及工程竣工资料审核、竣工结算初审等。</w:t>
      </w:r>
    </w:p>
    <w:p w14:paraId="1548A9B2">
      <w:pPr>
        <w:keepNext w:val="0"/>
        <w:keepLines w:val="0"/>
        <w:pageBreakBefore w:val="0"/>
        <w:widowControl/>
        <w:numPr>
          <w:ilvl w:val="0"/>
          <w:numId w:val="0"/>
        </w:numPr>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监理服务期：施工工期+保修期，施工工期</w:t>
      </w:r>
      <w:r>
        <w:rPr>
          <w:rFonts w:hint="eastAsia" w:ascii="宋体" w:hAnsi="宋体" w:cs="宋体"/>
          <w:b w:val="0"/>
          <w:bCs w:val="0"/>
          <w:color w:val="auto"/>
          <w:sz w:val="24"/>
          <w:szCs w:val="24"/>
          <w:highlight w:val="none"/>
          <w:lang w:val="en-US" w:eastAsia="zh-CN"/>
        </w:rPr>
        <w:t>240</w:t>
      </w:r>
      <w:r>
        <w:rPr>
          <w:rFonts w:hint="eastAsia" w:ascii="宋体" w:hAnsi="宋体" w:eastAsia="宋体" w:cs="宋体"/>
          <w:b w:val="0"/>
          <w:bCs w:val="0"/>
          <w:color w:val="auto"/>
          <w:sz w:val="24"/>
          <w:szCs w:val="24"/>
          <w:highlight w:val="none"/>
        </w:rPr>
        <w:t>日历天。</w:t>
      </w:r>
    </w:p>
    <w:p w14:paraId="556C38CD">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b w:val="0"/>
          <w:bCs w:val="0"/>
          <w:color w:val="auto"/>
          <w:kern w:val="0"/>
          <w:sz w:val="24"/>
          <w:szCs w:val="24"/>
          <w:highlight w:val="none"/>
          <w:shd w:val="clear" w:color="auto" w:fill="FFFFFF"/>
          <w:lang w:val="en-US" w:eastAsia="zh-CN"/>
        </w:rPr>
      </w:pPr>
      <w:r>
        <w:rPr>
          <w:rFonts w:hint="eastAsia" w:ascii="宋体" w:hAnsi="宋体" w:cs="宋体"/>
          <w:b w:val="0"/>
          <w:bCs w:val="0"/>
          <w:color w:val="auto"/>
          <w:kern w:val="0"/>
          <w:sz w:val="24"/>
          <w:szCs w:val="24"/>
          <w:highlight w:val="none"/>
          <w:shd w:val="clear" w:color="auto" w:fill="FFFFFF"/>
          <w:lang w:val="en-US" w:eastAsia="zh-CN"/>
        </w:rPr>
        <w:t>四</w:t>
      </w:r>
      <w:r>
        <w:rPr>
          <w:rFonts w:hint="eastAsia" w:ascii="宋体" w:hAnsi="宋体" w:eastAsia="宋体" w:cs="宋体"/>
          <w:b w:val="0"/>
          <w:bCs w:val="0"/>
          <w:color w:val="auto"/>
          <w:kern w:val="0"/>
          <w:sz w:val="24"/>
          <w:szCs w:val="24"/>
          <w:highlight w:val="none"/>
          <w:shd w:val="clear" w:color="auto" w:fill="FFFFFF"/>
          <w:lang w:val="en-US" w:eastAsia="zh-CN"/>
        </w:rPr>
        <w:t>、招标控制价：本工程最高投标固定费率为</w:t>
      </w:r>
      <w:r>
        <w:rPr>
          <w:rFonts w:hint="eastAsia" w:ascii="宋体" w:hAnsi="宋体" w:cs="宋体"/>
          <w:b w:val="0"/>
          <w:bCs w:val="0"/>
          <w:color w:val="auto"/>
          <w:kern w:val="0"/>
          <w:sz w:val="24"/>
          <w:szCs w:val="24"/>
          <w:highlight w:val="none"/>
          <w:shd w:val="clear" w:color="auto" w:fill="FFFFFF"/>
          <w:lang w:val="en-US" w:eastAsia="zh-CN"/>
        </w:rPr>
        <w:t>2.60</w:t>
      </w:r>
      <w:r>
        <w:rPr>
          <w:rFonts w:hint="eastAsia" w:ascii="宋体" w:hAnsi="宋体" w:eastAsia="宋体" w:cs="宋体"/>
          <w:b w:val="0"/>
          <w:bCs w:val="0"/>
          <w:color w:val="auto"/>
          <w:kern w:val="0"/>
          <w:sz w:val="24"/>
          <w:szCs w:val="24"/>
          <w:highlight w:val="none"/>
          <w:shd w:val="clear" w:color="auto" w:fill="FFFFFF"/>
          <w:lang w:val="en-US" w:eastAsia="zh-CN"/>
        </w:rPr>
        <w:t>% ；投标费率需小于最高投标固定费率，大于等于</w:t>
      </w:r>
      <w:r>
        <w:rPr>
          <w:rFonts w:hint="eastAsia" w:ascii="宋体" w:hAnsi="宋体" w:cs="宋体"/>
          <w:b w:val="0"/>
          <w:bCs w:val="0"/>
          <w:color w:val="auto"/>
          <w:kern w:val="0"/>
          <w:sz w:val="24"/>
          <w:szCs w:val="24"/>
          <w:highlight w:val="none"/>
          <w:shd w:val="clear" w:color="auto" w:fill="FFFFFF"/>
          <w:lang w:val="en-US" w:eastAsia="zh-CN"/>
        </w:rPr>
        <w:t>2.60</w:t>
      </w:r>
      <w:r>
        <w:rPr>
          <w:rFonts w:hint="eastAsia" w:ascii="宋体" w:hAnsi="宋体" w:eastAsia="宋体" w:cs="宋体"/>
          <w:b w:val="0"/>
          <w:bCs w:val="0"/>
          <w:color w:val="auto"/>
          <w:kern w:val="0"/>
          <w:sz w:val="24"/>
          <w:szCs w:val="24"/>
          <w:highlight w:val="none"/>
          <w:shd w:val="clear" w:color="auto" w:fill="FFFFFF"/>
          <w:lang w:val="en-US" w:eastAsia="zh-CN"/>
        </w:rPr>
        <w:t>%的作废标处理。</w:t>
      </w:r>
    </w:p>
    <w:p w14:paraId="3E663B8A">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lang w:val="en-US" w:eastAsia="zh-CN"/>
        </w:rPr>
        <w:t>五</w:t>
      </w:r>
      <w:r>
        <w:rPr>
          <w:rFonts w:hint="eastAsia" w:ascii="宋体" w:hAnsi="宋体" w:eastAsia="宋体" w:cs="宋体"/>
          <w:color w:val="auto"/>
          <w:kern w:val="0"/>
          <w:sz w:val="24"/>
          <w:szCs w:val="24"/>
          <w:highlight w:val="none"/>
          <w:shd w:val="clear" w:color="auto" w:fill="FFFFFF"/>
        </w:rPr>
        <w:t>、质量等级要求：合格。</w:t>
      </w:r>
    </w:p>
    <w:p w14:paraId="02113AC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shd w:val="clear" w:color="auto" w:fill="FFFFFF"/>
          <w:lang w:eastAsia="zh-CN"/>
        </w:rPr>
        <w:t>六</w:t>
      </w:r>
      <w:r>
        <w:rPr>
          <w:rFonts w:hint="eastAsia" w:ascii="宋体" w:hAnsi="宋体" w:eastAsia="宋体" w:cs="宋体"/>
          <w:color w:val="auto"/>
          <w:kern w:val="0"/>
          <w:sz w:val="24"/>
          <w:szCs w:val="24"/>
          <w:highlight w:val="none"/>
          <w:shd w:val="clear" w:color="auto" w:fill="FFFFFF"/>
        </w:rPr>
        <w:t>、</w:t>
      </w:r>
      <w:r>
        <w:rPr>
          <w:rFonts w:hint="eastAsia" w:ascii="宋体" w:hAnsi="宋体" w:cs="宋体"/>
          <w:color w:val="auto"/>
          <w:kern w:val="0"/>
          <w:sz w:val="24"/>
          <w:szCs w:val="24"/>
          <w:highlight w:val="none"/>
          <w:shd w:val="clear" w:color="auto" w:fill="FFFFFF"/>
          <w:lang w:eastAsia="zh-CN"/>
        </w:rPr>
        <w:t>投标</w:t>
      </w:r>
      <w:r>
        <w:rPr>
          <w:rFonts w:hint="eastAsia" w:ascii="宋体" w:hAnsi="宋体" w:eastAsia="宋体" w:cs="宋体"/>
          <w:color w:val="auto"/>
          <w:kern w:val="0"/>
          <w:sz w:val="24"/>
          <w:szCs w:val="24"/>
          <w:highlight w:val="none"/>
          <w:shd w:val="clear" w:color="auto" w:fill="FFFFFF"/>
        </w:rPr>
        <w:t>人应当具备的主要资格条件</w:t>
      </w:r>
      <w:r>
        <w:rPr>
          <w:rFonts w:hint="eastAsia" w:ascii="宋体" w:hAnsi="宋体" w:cs="宋体"/>
          <w:color w:val="auto"/>
          <w:kern w:val="0"/>
          <w:sz w:val="24"/>
          <w:szCs w:val="24"/>
          <w:highlight w:val="none"/>
          <w:shd w:val="clear" w:color="auto" w:fill="FFFFFF"/>
          <w:lang w:eastAsia="zh-CN"/>
        </w:rPr>
        <w:t>：</w:t>
      </w:r>
    </w:p>
    <w:p w14:paraId="5487F0B8">
      <w:pPr>
        <w:keepNext w:val="0"/>
        <w:keepLines w:val="0"/>
        <w:pageBreakBefore w:val="0"/>
        <w:kinsoku/>
        <w:wordWrap/>
        <w:overflowPunct/>
        <w:topLinePunct w:val="0"/>
        <w:autoSpaceDE w:val="0"/>
        <w:autoSpaceDN w:val="0"/>
        <w:bidi w:val="0"/>
        <w:adjustRightInd/>
        <w:snapToGrid/>
        <w:spacing w:line="500" w:lineRule="exact"/>
        <w:ind w:left="0" w:leftChars="0" w:right="0" w:rightChars="0" w:firstLine="480" w:firstLineChars="200"/>
        <w:rPr>
          <w:rFonts w:hAnsi="宋体" w:cs="宋体"/>
          <w:b/>
          <w:bCs/>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cs="宋体"/>
          <w:color w:val="auto"/>
          <w:kern w:val="0"/>
          <w:sz w:val="24"/>
          <w:szCs w:val="24"/>
          <w:highlight w:val="none"/>
          <w:shd w:val="clear" w:color="auto" w:fill="FFFFFF"/>
          <w:lang w:eastAsia="zh-CN"/>
        </w:rPr>
        <w:t>投标</w:t>
      </w:r>
      <w:r>
        <w:rPr>
          <w:rFonts w:hint="eastAsia" w:ascii="宋体" w:hAnsi="宋体" w:eastAsia="宋体" w:cs="宋体"/>
          <w:color w:val="auto"/>
          <w:kern w:val="0"/>
          <w:sz w:val="24"/>
          <w:szCs w:val="24"/>
          <w:highlight w:val="none"/>
          <w:shd w:val="clear" w:color="auto" w:fill="FFFFFF"/>
        </w:rPr>
        <w:t>人资质类别和等级</w:t>
      </w:r>
      <w:r>
        <w:rPr>
          <w:rFonts w:hint="eastAsia" w:cs="宋体"/>
          <w:b/>
          <w:bCs/>
          <w:color w:val="auto"/>
          <w:kern w:val="0"/>
          <w:sz w:val="24"/>
          <w:szCs w:val="24"/>
          <w:highlight w:val="none"/>
        </w:rPr>
        <w:t>：</w:t>
      </w:r>
      <w:r>
        <w:rPr>
          <w:rFonts w:hint="eastAsia" w:hAnsi="宋体" w:cs="宋体"/>
          <w:b/>
          <w:bCs/>
          <w:color w:val="auto"/>
          <w:kern w:val="0"/>
          <w:sz w:val="24"/>
          <w:szCs w:val="24"/>
          <w:highlight w:val="none"/>
        </w:rPr>
        <w:t>必须具有行政管理部门核发的有效企业法人营业执照和建设部核发的工程监理综合资质或市政公用工程监理丙级及以上资质；</w:t>
      </w:r>
    </w:p>
    <w:p w14:paraId="6A531881">
      <w:pPr>
        <w:keepNext w:val="0"/>
        <w:keepLines w:val="0"/>
        <w:pageBreakBefore w:val="0"/>
        <w:kinsoku/>
        <w:wordWrap/>
        <w:overflowPunct/>
        <w:topLinePunct w:val="0"/>
        <w:autoSpaceDE w:val="0"/>
        <w:autoSpaceDN w:val="0"/>
        <w:bidi w:val="0"/>
        <w:adjustRightInd/>
        <w:snapToGrid/>
        <w:spacing w:line="500" w:lineRule="exact"/>
        <w:ind w:left="0" w:leftChars="0" w:right="0" w:rightChars="0" w:firstLine="480" w:firstLineChars="200"/>
        <w:rPr>
          <w:rFonts w:cs="宋体"/>
          <w:color w:val="auto"/>
          <w:kern w:val="0"/>
          <w:sz w:val="24"/>
          <w:szCs w:val="24"/>
          <w:highlight w:val="none"/>
        </w:rPr>
      </w:pPr>
      <w:r>
        <w:rPr>
          <w:rFonts w:hint="eastAsia" w:ascii="宋体" w:hAnsi="宋体" w:cs="宋体"/>
          <w:color w:val="auto"/>
          <w:kern w:val="0"/>
          <w:sz w:val="24"/>
          <w:szCs w:val="24"/>
          <w:highlight w:val="none"/>
          <w:shd w:val="clear" w:color="auto" w:fill="FFFFFF"/>
          <w:lang w:val="en-US" w:eastAsia="zh-CN"/>
        </w:rPr>
        <w:t>2.</w:t>
      </w:r>
      <w:r>
        <w:rPr>
          <w:rFonts w:hint="eastAsia" w:hAnsi="宋体" w:cs="宋体"/>
          <w:b/>
          <w:bCs/>
          <w:color w:val="auto"/>
          <w:kern w:val="0"/>
          <w:sz w:val="24"/>
          <w:szCs w:val="24"/>
          <w:highlight w:val="none"/>
        </w:rPr>
        <w:t>监理机构人员配备要求</w:t>
      </w:r>
      <w:r>
        <w:rPr>
          <w:rFonts w:hint="eastAsia" w:hAnsi="宋体" w:cs="宋体"/>
          <w:color w:val="auto"/>
          <w:kern w:val="0"/>
          <w:sz w:val="24"/>
          <w:szCs w:val="24"/>
          <w:highlight w:val="none"/>
        </w:rPr>
        <w:t>：</w:t>
      </w:r>
    </w:p>
    <w:p w14:paraId="2B10280A">
      <w:pPr>
        <w:keepNext w:val="0"/>
        <w:keepLines w:val="0"/>
        <w:pageBreakBefore w:val="0"/>
        <w:kinsoku/>
        <w:wordWrap/>
        <w:overflowPunct/>
        <w:topLinePunct w:val="0"/>
        <w:bidi w:val="0"/>
        <w:adjustRightInd/>
        <w:snapToGrid/>
        <w:spacing w:line="500" w:lineRule="exact"/>
        <w:ind w:left="0" w:leftChars="0" w:right="0" w:rightChars="0" w:firstLine="436" w:firstLineChars="182"/>
        <w:rPr>
          <w:rFonts w:hint="eastAsia" w:hAnsi="宋体" w:cs="宋体"/>
          <w:color w:val="auto"/>
          <w:kern w:val="0"/>
          <w:sz w:val="24"/>
          <w:szCs w:val="24"/>
          <w:highlight w:val="none"/>
        </w:rPr>
      </w:pPr>
      <w:r>
        <w:rPr>
          <w:rFonts w:hint="eastAsia" w:hAnsi="宋体" w:cs="宋体"/>
          <w:color w:val="auto"/>
          <w:kern w:val="0"/>
          <w:sz w:val="24"/>
          <w:szCs w:val="24"/>
          <w:highlight w:val="none"/>
        </w:rPr>
        <w:t>拟选派本项目总监理工程师及专业监理人员最低配备要求（</w:t>
      </w:r>
      <w:r>
        <w:rPr>
          <w:rFonts w:hint="eastAsia" w:hAnsi="宋体" w:cs="宋体"/>
          <w:b/>
          <w:bCs/>
          <w:color w:val="auto"/>
          <w:kern w:val="0"/>
          <w:sz w:val="24"/>
          <w:szCs w:val="24"/>
          <w:highlight w:val="none"/>
        </w:rPr>
        <w:t>本项目不接受退休返聘</w:t>
      </w:r>
      <w:r>
        <w:rPr>
          <w:rFonts w:hint="eastAsia" w:hAnsi="宋体" w:cs="宋体"/>
          <w:b/>
          <w:bCs/>
          <w:color w:val="auto"/>
          <w:kern w:val="0"/>
          <w:sz w:val="24"/>
          <w:szCs w:val="24"/>
          <w:highlight w:val="none"/>
          <w:lang w:val="en-US" w:eastAsia="zh-CN"/>
        </w:rPr>
        <w:t>人</w:t>
      </w:r>
      <w:r>
        <w:rPr>
          <w:rFonts w:hint="eastAsia" w:hAnsi="宋体" w:cs="宋体"/>
          <w:b/>
          <w:bCs/>
          <w:color w:val="auto"/>
          <w:kern w:val="0"/>
          <w:sz w:val="24"/>
          <w:szCs w:val="24"/>
          <w:highlight w:val="none"/>
        </w:rPr>
        <w:t>员</w:t>
      </w:r>
      <w:r>
        <w:rPr>
          <w:rFonts w:hint="eastAsia" w:hAnsi="宋体" w:cs="宋体"/>
          <w:color w:val="auto"/>
          <w:kern w:val="0"/>
          <w:sz w:val="24"/>
          <w:szCs w:val="24"/>
          <w:highlight w:val="none"/>
        </w:rPr>
        <w:t>）：</w:t>
      </w:r>
    </w:p>
    <w:p w14:paraId="7928C3EE">
      <w:pPr>
        <w:keepNext w:val="0"/>
        <w:keepLines w:val="0"/>
        <w:pageBreakBefore w:val="0"/>
        <w:overflowPunct/>
        <w:topLinePunct w:val="0"/>
        <w:bidi w:val="0"/>
        <w:spacing w:line="360" w:lineRule="auto"/>
        <w:ind w:left="0" w:leftChars="0" w:right="0" w:rightChars="0" w:firstLine="436" w:firstLineChars="182"/>
        <w:rPr>
          <w:rFonts w:hint="eastAsia" w:hAnsi="宋体" w:cs="宋体"/>
          <w:color w:val="auto"/>
          <w:kern w:val="0"/>
          <w:sz w:val="24"/>
          <w:szCs w:val="24"/>
          <w:highlight w:val="none"/>
        </w:rPr>
      </w:pPr>
    </w:p>
    <w:tbl>
      <w:tblPr>
        <w:tblStyle w:val="5"/>
        <w:tblW w:w="92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4"/>
        <w:gridCol w:w="1945"/>
        <w:gridCol w:w="4941"/>
      </w:tblGrid>
      <w:tr w14:paraId="654EF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394" w:type="dxa"/>
          </w:tcPr>
          <w:p w14:paraId="56851BB8">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岗位</w:t>
            </w:r>
          </w:p>
        </w:tc>
        <w:tc>
          <w:tcPr>
            <w:tcW w:w="1945" w:type="dxa"/>
          </w:tcPr>
          <w:p w14:paraId="2E1F9F19">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人员要求</w:t>
            </w:r>
          </w:p>
        </w:tc>
        <w:tc>
          <w:tcPr>
            <w:tcW w:w="4941" w:type="dxa"/>
          </w:tcPr>
          <w:p w14:paraId="761857A3">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持证上岗要求</w:t>
            </w:r>
          </w:p>
        </w:tc>
      </w:tr>
      <w:tr w14:paraId="26CF1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trPr>
        <w:tc>
          <w:tcPr>
            <w:tcW w:w="2394" w:type="dxa"/>
            <w:vAlign w:val="center"/>
          </w:tcPr>
          <w:p w14:paraId="736FAE01">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总监理工程师</w:t>
            </w:r>
          </w:p>
        </w:tc>
        <w:tc>
          <w:tcPr>
            <w:tcW w:w="1945" w:type="dxa"/>
            <w:vAlign w:val="center"/>
          </w:tcPr>
          <w:p w14:paraId="22B1A774">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b/>
                <w:color w:val="auto"/>
                <w:kern w:val="0"/>
                <w:szCs w:val="21"/>
                <w:highlight w:val="none"/>
              </w:rPr>
              <w:t>1名</w:t>
            </w:r>
          </w:p>
        </w:tc>
        <w:tc>
          <w:tcPr>
            <w:tcW w:w="4941" w:type="dxa"/>
            <w:vAlign w:val="center"/>
          </w:tcPr>
          <w:p w14:paraId="51D240F6">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国家注册监理工程师，注册</w:t>
            </w:r>
            <w:r>
              <w:rPr>
                <w:rFonts w:hint="eastAsia"/>
                <w:color w:val="auto"/>
                <w:kern w:val="0"/>
                <w:szCs w:val="21"/>
                <w:highlight w:val="none"/>
              </w:rPr>
              <w:t>专业为</w:t>
            </w:r>
            <w:r>
              <w:rPr>
                <w:b w:val="0"/>
                <w:bCs/>
                <w:color w:val="auto"/>
                <w:kern w:val="0"/>
                <w:szCs w:val="21"/>
                <w:highlight w:val="none"/>
              </w:rPr>
              <w:t>市政公用工程专业。</w:t>
            </w:r>
          </w:p>
        </w:tc>
      </w:tr>
      <w:tr w14:paraId="0CDDD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2394" w:type="dxa"/>
            <w:vAlign w:val="center"/>
          </w:tcPr>
          <w:p w14:paraId="23EA5A3E">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专业监理工程师</w:t>
            </w:r>
          </w:p>
        </w:tc>
        <w:tc>
          <w:tcPr>
            <w:tcW w:w="1945" w:type="dxa"/>
            <w:vAlign w:val="center"/>
          </w:tcPr>
          <w:p w14:paraId="2DF7BDD5">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rPr>
              <w:t>1</w:t>
            </w:r>
            <w:r>
              <w:rPr>
                <w:b/>
                <w:color w:val="auto"/>
                <w:kern w:val="0"/>
                <w:szCs w:val="21"/>
                <w:highlight w:val="none"/>
              </w:rPr>
              <w:t>名</w:t>
            </w:r>
          </w:p>
        </w:tc>
        <w:tc>
          <w:tcPr>
            <w:tcW w:w="4941" w:type="dxa"/>
            <w:vAlign w:val="center"/>
          </w:tcPr>
          <w:p w14:paraId="5D41BB9F">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14:paraId="4023E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2394" w:type="dxa"/>
            <w:vAlign w:val="center"/>
          </w:tcPr>
          <w:p w14:paraId="67198D06">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监理员</w:t>
            </w:r>
          </w:p>
        </w:tc>
        <w:tc>
          <w:tcPr>
            <w:tcW w:w="1945" w:type="dxa"/>
            <w:vAlign w:val="center"/>
          </w:tcPr>
          <w:p w14:paraId="0A4D89B4">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3</w:t>
            </w:r>
            <w:r>
              <w:rPr>
                <w:b/>
                <w:color w:val="auto"/>
                <w:kern w:val="0"/>
                <w:szCs w:val="21"/>
                <w:highlight w:val="none"/>
              </w:rPr>
              <w:t>名</w:t>
            </w:r>
          </w:p>
        </w:tc>
        <w:tc>
          <w:tcPr>
            <w:tcW w:w="4941" w:type="dxa"/>
            <w:vAlign w:val="center"/>
          </w:tcPr>
          <w:p w14:paraId="487C0E98">
            <w:pPr>
              <w:keepNext w:val="0"/>
              <w:keepLines w:val="0"/>
              <w:pageBreakBefore w:val="0"/>
              <w:overflowPunct/>
              <w:topLinePunct w:val="0"/>
              <w:autoSpaceDN w:val="0"/>
              <w:bidi w:val="0"/>
              <w:spacing w:line="360" w:lineRule="auto"/>
              <w:ind w:left="0" w:leftChars="0" w:right="0" w:rightChars="0"/>
              <w:jc w:val="left"/>
              <w:textAlignment w:val="center"/>
              <w:rPr>
                <w:color w:val="auto"/>
                <w:kern w:val="0"/>
                <w:szCs w:val="21"/>
                <w:highlight w:val="none"/>
              </w:rPr>
            </w:pPr>
            <w:r>
              <w:rPr>
                <w:color w:val="auto"/>
                <w:kern w:val="0"/>
                <w:szCs w:val="21"/>
                <w:highlight w:val="none"/>
              </w:rPr>
              <w:t>江苏省监理员及以上资格</w:t>
            </w:r>
            <w:r>
              <w:rPr>
                <w:rFonts w:hint="eastAsia"/>
                <w:color w:val="auto"/>
                <w:kern w:val="0"/>
                <w:szCs w:val="21"/>
                <w:highlight w:val="none"/>
              </w:rPr>
              <w:t>或监理员业务培训合格证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14:paraId="3F4E9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trPr>
        <w:tc>
          <w:tcPr>
            <w:tcW w:w="2394" w:type="dxa"/>
            <w:vAlign w:val="center"/>
          </w:tcPr>
          <w:p w14:paraId="0CFA9254">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合计</w:t>
            </w:r>
          </w:p>
        </w:tc>
        <w:tc>
          <w:tcPr>
            <w:tcW w:w="1945" w:type="dxa"/>
            <w:vAlign w:val="center"/>
          </w:tcPr>
          <w:p w14:paraId="0FB43382">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5</w:t>
            </w:r>
            <w:r>
              <w:rPr>
                <w:b/>
                <w:color w:val="auto"/>
                <w:kern w:val="0"/>
                <w:szCs w:val="21"/>
                <w:highlight w:val="none"/>
              </w:rPr>
              <w:t>名</w:t>
            </w:r>
          </w:p>
        </w:tc>
        <w:tc>
          <w:tcPr>
            <w:tcW w:w="4941" w:type="dxa"/>
            <w:vAlign w:val="center"/>
          </w:tcPr>
          <w:p w14:paraId="445B0E94">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以上人员需至少一人有《工程质量检测见证取样人员岗位证书》，如没有，则需另增加1名见证取样人员）。</w:t>
            </w:r>
          </w:p>
        </w:tc>
      </w:tr>
    </w:tbl>
    <w:p w14:paraId="16914297">
      <w:pPr>
        <w:keepNext w:val="0"/>
        <w:keepLines w:val="0"/>
        <w:pageBreakBefore w:val="0"/>
        <w:kinsoku/>
        <w:wordWrap/>
        <w:overflowPunct/>
        <w:topLinePunct w:val="0"/>
        <w:autoSpaceDE w:val="0"/>
        <w:autoSpaceDN w:val="0"/>
        <w:bidi w:val="0"/>
        <w:adjustRightInd w:val="0"/>
        <w:snapToGrid/>
        <w:spacing w:line="500" w:lineRule="exact"/>
        <w:ind w:left="0" w:leftChars="0" w:right="0" w:rightChars="0" w:firstLine="465"/>
        <w:jc w:val="left"/>
        <w:rPr>
          <w:rFonts w:hint="default" w:ascii="宋体" w:hAnsi="宋体" w:eastAsia="宋体" w:cs="宋体"/>
          <w:b w:val="0"/>
          <w:color w:val="auto"/>
          <w:spacing w:val="0"/>
          <w:kern w:val="0"/>
          <w:sz w:val="24"/>
          <w:szCs w:val="24"/>
          <w:highlight w:val="none"/>
          <w:shd w:val="clear" w:color="auto" w:fill="FFFFFF"/>
          <w:lang w:val="en-US" w:eastAsia="zh-CN" w:bidi="ar-SA"/>
        </w:rPr>
      </w:pPr>
      <w:r>
        <w:rPr>
          <w:color w:val="auto"/>
          <w:kern w:val="0"/>
          <w:sz w:val="24"/>
          <w:szCs w:val="24"/>
          <w:highlight w:val="none"/>
        </w:rPr>
        <w:t>注：以上人员配备为最低限度要求，监理单位必须按招标人要求适时配备相应监理人员，并确保人员到位，否则将按照合同相关处罚条例予以处罚。</w:t>
      </w:r>
      <w:r>
        <w:rPr>
          <w:b/>
          <w:color w:val="auto"/>
          <w:kern w:val="0"/>
          <w:sz w:val="24"/>
          <w:szCs w:val="24"/>
          <w:highlight w:val="none"/>
        </w:rPr>
        <w:t>中标后，上述所有人员配置不得随意更换，确需更换须经建设单位或相关主管部门认可后，方可变更。</w:t>
      </w:r>
    </w:p>
    <w:p w14:paraId="1A01CCF4">
      <w:pPr>
        <w:keepNext w:val="0"/>
        <w:keepLines w:val="0"/>
        <w:pageBreakBefore w:val="0"/>
        <w:widowControl/>
        <w:shd w:val="clear" w:color="auto" w:fill="FFFFFF"/>
        <w:kinsoku/>
        <w:wordWrap/>
        <w:overflowPunct/>
        <w:topLinePunct w:val="0"/>
        <w:bidi w:val="0"/>
        <w:snapToGrid/>
        <w:spacing w:line="500" w:lineRule="exact"/>
        <w:ind w:firstLine="480" w:firstLineChars="200"/>
        <w:contextualSpacing/>
        <w:jc w:val="left"/>
        <w:textAlignment w:val="baseline"/>
        <w:rPr>
          <w:rFonts w:hint="eastAsia" w:ascii="宋体" w:hAnsi="宋体" w:eastAsia="宋体" w:cs="宋体"/>
          <w:color w:val="auto"/>
          <w:kern w:val="0"/>
          <w:sz w:val="24"/>
          <w:szCs w:val="24"/>
          <w:highlight w:val="none"/>
        </w:rPr>
      </w:pPr>
      <w:r>
        <w:rPr>
          <w:rFonts w:hint="eastAsia" w:ascii="宋体" w:hAnsi="宋体" w:cs="宋体"/>
          <w:b w:val="0"/>
          <w:bCs/>
          <w:color w:val="auto"/>
          <w:kern w:val="0"/>
          <w:sz w:val="24"/>
          <w:szCs w:val="24"/>
          <w:highlight w:val="none"/>
          <w:shd w:val="clear" w:color="auto" w:fill="FFFFFF"/>
          <w:lang w:val="en-US" w:eastAsia="zh-CN"/>
        </w:rPr>
        <w:t>七</w:t>
      </w:r>
      <w:r>
        <w:rPr>
          <w:rFonts w:hint="eastAsia" w:ascii="宋体" w:hAnsi="宋体" w:eastAsia="宋体" w:cs="宋体"/>
          <w:b w:val="0"/>
          <w:bCs/>
          <w:color w:val="auto"/>
          <w:kern w:val="0"/>
          <w:sz w:val="24"/>
          <w:szCs w:val="24"/>
          <w:highlight w:val="none"/>
          <w:shd w:val="clear" w:color="auto" w:fill="FFFFFF"/>
        </w:rPr>
        <w:t>、</w:t>
      </w:r>
      <w:r>
        <w:rPr>
          <w:rFonts w:hint="eastAsia" w:ascii="宋体" w:hAnsi="宋体" w:cs="宋体"/>
          <w:b w:val="0"/>
          <w:bCs/>
          <w:color w:val="auto"/>
          <w:kern w:val="0"/>
          <w:sz w:val="24"/>
          <w:szCs w:val="24"/>
          <w:highlight w:val="none"/>
          <w:shd w:val="clear" w:color="auto" w:fill="FFFFFF"/>
          <w:lang w:eastAsia="zh-CN"/>
        </w:rPr>
        <w:t>以下条</w:t>
      </w:r>
      <w:r>
        <w:rPr>
          <w:rFonts w:hint="eastAsia" w:ascii="宋体" w:hAnsi="宋体" w:eastAsia="宋体" w:cs="宋体"/>
          <w:b w:val="0"/>
          <w:bCs/>
          <w:color w:val="auto"/>
          <w:kern w:val="0"/>
          <w:sz w:val="24"/>
          <w:szCs w:val="24"/>
          <w:highlight w:val="none"/>
          <w:shd w:val="clear" w:color="auto" w:fill="FFFFFF"/>
        </w:rPr>
        <w:t>件</w:t>
      </w:r>
      <w:r>
        <w:rPr>
          <w:rFonts w:hint="eastAsia" w:ascii="宋体" w:hAnsi="宋体" w:cs="宋体"/>
          <w:b w:val="0"/>
          <w:bCs/>
          <w:color w:val="auto"/>
          <w:kern w:val="0"/>
          <w:sz w:val="24"/>
          <w:szCs w:val="24"/>
          <w:highlight w:val="none"/>
          <w:shd w:val="clear" w:color="auto" w:fill="FFFFFF"/>
          <w:lang w:eastAsia="zh-CN"/>
        </w:rPr>
        <w:t>属于资格后审的</w:t>
      </w:r>
      <w:r>
        <w:rPr>
          <w:rFonts w:hint="eastAsia" w:ascii="宋体" w:hAnsi="宋体" w:eastAsia="宋体" w:cs="宋体"/>
          <w:color w:val="auto"/>
          <w:kern w:val="0"/>
          <w:sz w:val="24"/>
          <w:szCs w:val="24"/>
          <w:highlight w:val="none"/>
          <w:shd w:val="clear" w:color="auto" w:fill="FFFFFF"/>
        </w:rPr>
        <w:t>必要合格条件：</w:t>
      </w:r>
    </w:p>
    <w:p w14:paraId="265DE408">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具有独立订立合同及履行合同的能力；</w:t>
      </w:r>
    </w:p>
    <w:p w14:paraId="5DCB45A8">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2</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未处于被责令停业、投标资格被取消或者财产被接管、冻结和破产状态；</w:t>
      </w:r>
    </w:p>
    <w:p w14:paraId="7EEA3C2F">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企业没有因骗取中标或者严重违约以及发生重大工程质量、安全生产事故等问题，被有关部门暂停投标资格并在暂停期内的，且企业无违纪行为和不良记录的；</w:t>
      </w:r>
    </w:p>
    <w:p w14:paraId="4162C22A">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4</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企业的资质类别、等级和总监理工程师的资质等级满足招标公告要求；</w:t>
      </w:r>
    </w:p>
    <w:p w14:paraId="54D73F16">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5</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资格审查文件中的重要内容没有失实或者弄虚作假；</w:t>
      </w:r>
    </w:p>
    <w:p w14:paraId="0964BB02">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6</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拟派的总监理工程师在监理过程中不得随意变更；</w:t>
      </w:r>
    </w:p>
    <w:p w14:paraId="1F69006B">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本工程不接受联合体投标。</w:t>
      </w:r>
    </w:p>
    <w:p w14:paraId="204E0559">
      <w:pPr>
        <w:keepNext w:val="0"/>
        <w:keepLines w:val="0"/>
        <w:pageBreakBefore w:val="0"/>
        <w:kinsoku/>
        <w:wordWrap/>
        <w:overflowPunct/>
        <w:topLinePunct w:val="0"/>
        <w:autoSpaceDE w:val="0"/>
        <w:autoSpaceDN w:val="0"/>
        <w:bidi w:val="0"/>
        <w:snapToGrid/>
        <w:spacing w:line="500" w:lineRule="exact"/>
        <w:ind w:firstLine="435"/>
        <w:rPr>
          <w:rFonts w:hint="eastAsia"/>
          <w:color w:val="auto"/>
          <w:sz w:val="24"/>
          <w:szCs w:val="24"/>
          <w:highlight w:val="none"/>
        </w:rPr>
      </w:pPr>
      <w:r>
        <w:rPr>
          <w:rFonts w:hint="eastAsia" w:hAnsi="宋体" w:cs="宋体"/>
          <w:b/>
          <w:bCs/>
          <w:color w:val="auto"/>
          <w:kern w:val="0"/>
          <w:sz w:val="24"/>
          <w:szCs w:val="24"/>
          <w:highlight w:val="none"/>
        </w:rPr>
        <w:t>其余要求详见</w:t>
      </w:r>
      <w:r>
        <w:rPr>
          <w:rFonts w:hint="eastAsia" w:hAnsi="宋体" w:cs="宋体"/>
          <w:b/>
          <w:bCs/>
          <w:color w:val="auto"/>
          <w:kern w:val="0"/>
          <w:sz w:val="24"/>
          <w:szCs w:val="24"/>
          <w:highlight w:val="none"/>
          <w:lang w:val="en-US" w:eastAsia="zh-CN"/>
        </w:rPr>
        <w:t>招标文件</w:t>
      </w:r>
      <w:r>
        <w:rPr>
          <w:rFonts w:hint="eastAsia" w:hAnsi="宋体" w:cs="宋体"/>
          <w:b/>
          <w:bCs/>
          <w:color w:val="auto"/>
          <w:kern w:val="0"/>
          <w:sz w:val="24"/>
          <w:szCs w:val="24"/>
          <w:highlight w:val="none"/>
        </w:rPr>
        <w:t>第二章评标办法</w:t>
      </w:r>
      <w:r>
        <w:rPr>
          <w:rFonts w:hAnsi="宋体" w:cs="宋体"/>
          <w:b/>
          <w:bCs/>
          <w:color w:val="auto"/>
          <w:kern w:val="0"/>
          <w:sz w:val="24"/>
          <w:szCs w:val="24"/>
          <w:highlight w:val="none"/>
        </w:rPr>
        <w:t>资格审查标准汇总表</w:t>
      </w:r>
    </w:p>
    <w:p w14:paraId="73A47D37">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如发现投标人递交的资格后审材料有弄虚作假行为，该投标人将记入不良记录，并上报有关部门。如已中标，招标人有权取消其中标资格，并由该投标人承担一切责任和损失。</w:t>
      </w:r>
    </w:p>
    <w:p w14:paraId="5C7108E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lang w:val="en-US" w:eastAsia="zh-CN"/>
        </w:rPr>
        <w:t>八、</w:t>
      </w:r>
      <w:r>
        <w:rPr>
          <w:rFonts w:hint="eastAsia" w:ascii="宋体" w:hAnsi="宋体" w:eastAsia="宋体" w:cs="宋体"/>
          <w:color w:val="auto"/>
          <w:kern w:val="0"/>
          <w:sz w:val="24"/>
          <w:szCs w:val="24"/>
          <w:highlight w:val="none"/>
          <w:shd w:val="clear" w:color="auto" w:fill="FFFFFF"/>
        </w:rPr>
        <w:t>本工程投标申请人的资格审查采用资格后审的方式，无需另行进行网上报各，各投标人须于</w:t>
      </w:r>
      <w:r>
        <w:rPr>
          <w:rFonts w:hint="eastAsia" w:ascii="宋体" w:hAnsi="宋体" w:eastAsia="宋体" w:cs="宋体"/>
          <w:b/>
          <w:color w:val="auto"/>
          <w:kern w:val="0"/>
          <w:sz w:val="24"/>
          <w:szCs w:val="24"/>
          <w:highlight w:val="none"/>
          <w:u w:val="thick"/>
        </w:rPr>
        <w:t>202</w:t>
      </w:r>
      <w:r>
        <w:rPr>
          <w:rFonts w:hint="eastAsia" w:ascii="宋体" w:hAnsi="宋体" w:eastAsia="宋体" w:cs="宋体"/>
          <w:b/>
          <w:color w:val="auto"/>
          <w:kern w:val="0"/>
          <w:sz w:val="24"/>
          <w:szCs w:val="24"/>
          <w:highlight w:val="none"/>
          <w:u w:val="thick"/>
          <w:lang w:val="en-US" w:eastAsia="zh-CN"/>
        </w:rPr>
        <w:t>5</w:t>
      </w:r>
      <w:r>
        <w:rPr>
          <w:rFonts w:hint="eastAsia" w:ascii="宋体" w:hAnsi="宋体" w:eastAsia="宋体" w:cs="宋体"/>
          <w:b/>
          <w:color w:val="auto"/>
          <w:kern w:val="0"/>
          <w:sz w:val="24"/>
          <w:szCs w:val="24"/>
          <w:highlight w:val="none"/>
          <w:u w:val="thick"/>
        </w:rPr>
        <w:t>年</w:t>
      </w:r>
      <w:r>
        <w:rPr>
          <w:rFonts w:hint="eastAsia" w:ascii="宋体" w:hAnsi="宋体" w:cs="宋体"/>
          <w:b/>
          <w:color w:val="auto"/>
          <w:kern w:val="0"/>
          <w:sz w:val="24"/>
          <w:szCs w:val="24"/>
          <w:highlight w:val="none"/>
          <w:u w:val="thick"/>
          <w:lang w:val="en-US" w:eastAsia="zh-CN"/>
        </w:rPr>
        <w:t>11</w:t>
      </w:r>
      <w:r>
        <w:rPr>
          <w:rFonts w:hint="eastAsia" w:ascii="宋体" w:hAnsi="宋体" w:eastAsia="宋体" w:cs="宋体"/>
          <w:b/>
          <w:color w:val="auto"/>
          <w:kern w:val="0"/>
          <w:sz w:val="24"/>
          <w:szCs w:val="24"/>
          <w:highlight w:val="none"/>
          <w:u w:val="thick"/>
        </w:rPr>
        <w:t>月</w:t>
      </w:r>
      <w:r>
        <w:rPr>
          <w:rFonts w:hint="eastAsia" w:ascii="宋体" w:hAnsi="宋体" w:cs="宋体"/>
          <w:b/>
          <w:color w:val="auto"/>
          <w:kern w:val="0"/>
          <w:sz w:val="24"/>
          <w:szCs w:val="24"/>
          <w:highlight w:val="none"/>
          <w:u w:val="thick"/>
          <w:lang w:val="en-US" w:eastAsia="zh-CN"/>
        </w:rPr>
        <w:t>10</w:t>
      </w:r>
      <w:r>
        <w:rPr>
          <w:rFonts w:hint="eastAsia" w:ascii="宋体" w:hAnsi="宋体" w:eastAsia="宋体" w:cs="宋体"/>
          <w:b/>
          <w:color w:val="auto"/>
          <w:kern w:val="0"/>
          <w:sz w:val="24"/>
          <w:szCs w:val="24"/>
          <w:highlight w:val="none"/>
          <w:u w:val="thick"/>
        </w:rPr>
        <w:t>日</w:t>
      </w:r>
      <w:r>
        <w:rPr>
          <w:rFonts w:hint="eastAsia" w:ascii="宋体" w:hAnsi="宋体" w:eastAsia="宋体" w:cs="宋体"/>
          <w:b/>
          <w:color w:val="auto"/>
          <w:kern w:val="0"/>
          <w:sz w:val="24"/>
          <w:szCs w:val="24"/>
          <w:highlight w:val="none"/>
          <w:u w:val="thick"/>
          <w:lang w:val="en-US" w:eastAsia="zh-CN"/>
        </w:rPr>
        <w:t>14</w:t>
      </w:r>
      <w:r>
        <w:rPr>
          <w:rFonts w:hint="eastAsia" w:ascii="宋体" w:hAnsi="宋体" w:eastAsia="宋体" w:cs="宋体"/>
          <w:b/>
          <w:color w:val="auto"/>
          <w:kern w:val="0"/>
          <w:sz w:val="24"/>
          <w:szCs w:val="24"/>
          <w:highlight w:val="none"/>
          <w:u w:val="thick"/>
        </w:rPr>
        <w:t>时</w:t>
      </w:r>
      <w:r>
        <w:rPr>
          <w:rFonts w:hint="eastAsia" w:ascii="宋体" w:hAnsi="宋体" w:eastAsia="宋体" w:cs="宋体"/>
          <w:b/>
          <w:color w:val="auto"/>
          <w:kern w:val="0"/>
          <w:sz w:val="24"/>
          <w:szCs w:val="24"/>
          <w:highlight w:val="none"/>
          <w:u w:val="thick"/>
          <w:lang w:val="en-US" w:eastAsia="zh-CN"/>
        </w:rPr>
        <w:t>00</w:t>
      </w:r>
      <w:r>
        <w:rPr>
          <w:rFonts w:hint="eastAsia" w:ascii="宋体" w:hAnsi="宋体" w:eastAsia="宋体" w:cs="宋体"/>
          <w:b/>
          <w:color w:val="auto"/>
          <w:kern w:val="0"/>
          <w:sz w:val="24"/>
          <w:szCs w:val="24"/>
          <w:highlight w:val="none"/>
          <w:u w:val="thick"/>
        </w:rPr>
        <w:t>分（以开标室电子时钟显示时间为准）</w:t>
      </w:r>
      <w:r>
        <w:rPr>
          <w:rFonts w:hint="eastAsia" w:ascii="宋体" w:hAnsi="宋体" w:eastAsia="宋体" w:cs="宋体"/>
          <w:color w:val="auto"/>
          <w:kern w:val="0"/>
          <w:sz w:val="24"/>
          <w:szCs w:val="24"/>
          <w:highlight w:val="none"/>
          <w:shd w:val="clear" w:color="auto" w:fill="FFFFFF"/>
        </w:rPr>
        <w:t>以前将投标文件提交至</w:t>
      </w:r>
      <w:r>
        <w:rPr>
          <w:rFonts w:hint="eastAsia" w:ascii="宋体" w:hAnsi="宋体" w:eastAsia="宋体" w:cs="宋体"/>
          <w:b/>
          <w:color w:val="auto"/>
          <w:kern w:val="0"/>
          <w:sz w:val="24"/>
          <w:szCs w:val="24"/>
          <w:highlight w:val="none"/>
          <w:u w:val="single"/>
        </w:rPr>
        <w:t xml:space="preserve"> 南通市崇川区青年中路128号，崇川区便民服务中心314会议室（东楼）</w:t>
      </w:r>
      <w:r>
        <w:rPr>
          <w:rFonts w:hint="eastAsia" w:ascii="宋体" w:hAnsi="宋体" w:eastAsia="宋体" w:cs="宋体"/>
          <w:color w:val="auto"/>
          <w:kern w:val="0"/>
          <w:sz w:val="24"/>
          <w:szCs w:val="24"/>
          <w:highlight w:val="none"/>
          <w:shd w:val="clear" w:color="auto" w:fill="FFFFFF"/>
        </w:rPr>
        <w:t>，并在</w:t>
      </w:r>
      <w:r>
        <w:rPr>
          <w:rFonts w:hint="eastAsia" w:ascii="宋体" w:hAnsi="宋体" w:eastAsia="宋体" w:cs="宋体"/>
          <w:b/>
          <w:color w:val="auto"/>
          <w:kern w:val="0"/>
          <w:sz w:val="24"/>
          <w:szCs w:val="24"/>
          <w:highlight w:val="none"/>
          <w:u w:val="thick"/>
        </w:rPr>
        <w:t>202</w:t>
      </w:r>
      <w:r>
        <w:rPr>
          <w:rFonts w:hint="eastAsia" w:ascii="宋体" w:hAnsi="宋体" w:eastAsia="宋体" w:cs="宋体"/>
          <w:b/>
          <w:color w:val="auto"/>
          <w:kern w:val="0"/>
          <w:sz w:val="24"/>
          <w:szCs w:val="24"/>
          <w:highlight w:val="none"/>
          <w:u w:val="thick"/>
          <w:lang w:val="en-US" w:eastAsia="zh-CN"/>
        </w:rPr>
        <w:t>5</w:t>
      </w:r>
      <w:r>
        <w:rPr>
          <w:rFonts w:hint="eastAsia" w:ascii="宋体" w:hAnsi="宋体" w:eastAsia="宋体" w:cs="宋体"/>
          <w:b/>
          <w:color w:val="auto"/>
          <w:kern w:val="0"/>
          <w:sz w:val="24"/>
          <w:szCs w:val="24"/>
          <w:highlight w:val="none"/>
          <w:u w:val="thick"/>
        </w:rPr>
        <w:t>年</w:t>
      </w:r>
      <w:r>
        <w:rPr>
          <w:rFonts w:hint="eastAsia" w:ascii="宋体" w:hAnsi="宋体" w:cs="宋体"/>
          <w:b/>
          <w:color w:val="auto"/>
          <w:kern w:val="0"/>
          <w:sz w:val="24"/>
          <w:szCs w:val="24"/>
          <w:highlight w:val="none"/>
          <w:u w:val="thick"/>
          <w:lang w:val="en-US" w:eastAsia="zh-CN"/>
        </w:rPr>
        <w:t xml:space="preserve">11 </w:t>
      </w:r>
      <w:r>
        <w:rPr>
          <w:rFonts w:hint="eastAsia" w:ascii="宋体" w:hAnsi="宋体" w:eastAsia="宋体" w:cs="宋体"/>
          <w:b/>
          <w:color w:val="auto"/>
          <w:kern w:val="0"/>
          <w:sz w:val="24"/>
          <w:szCs w:val="24"/>
          <w:highlight w:val="none"/>
          <w:u w:val="thick"/>
        </w:rPr>
        <w:t>月</w:t>
      </w:r>
      <w:r>
        <w:rPr>
          <w:rFonts w:hint="eastAsia" w:ascii="宋体" w:hAnsi="宋体" w:cs="宋体"/>
          <w:b/>
          <w:color w:val="auto"/>
          <w:kern w:val="0"/>
          <w:sz w:val="24"/>
          <w:szCs w:val="24"/>
          <w:highlight w:val="none"/>
          <w:u w:val="thick"/>
          <w:lang w:val="en-US" w:eastAsia="zh-CN"/>
        </w:rPr>
        <w:t>10</w:t>
      </w:r>
      <w:r>
        <w:rPr>
          <w:rFonts w:hint="eastAsia" w:ascii="宋体" w:hAnsi="宋体" w:eastAsia="宋体" w:cs="宋体"/>
          <w:b/>
          <w:color w:val="auto"/>
          <w:kern w:val="0"/>
          <w:sz w:val="24"/>
          <w:szCs w:val="24"/>
          <w:highlight w:val="none"/>
          <w:u w:val="thick"/>
        </w:rPr>
        <w:t>日</w:t>
      </w:r>
      <w:r>
        <w:rPr>
          <w:rFonts w:hint="eastAsia" w:ascii="宋体" w:hAnsi="宋体" w:eastAsia="宋体" w:cs="宋体"/>
          <w:b/>
          <w:color w:val="auto"/>
          <w:kern w:val="0"/>
          <w:sz w:val="24"/>
          <w:szCs w:val="24"/>
          <w:highlight w:val="none"/>
          <w:u w:val="thick"/>
          <w:lang w:val="en-US" w:eastAsia="zh-CN"/>
        </w:rPr>
        <w:t>14</w:t>
      </w:r>
      <w:r>
        <w:rPr>
          <w:rFonts w:hint="eastAsia" w:ascii="宋体" w:hAnsi="宋体" w:eastAsia="宋体" w:cs="宋体"/>
          <w:b/>
          <w:color w:val="auto"/>
          <w:kern w:val="0"/>
          <w:sz w:val="24"/>
          <w:szCs w:val="24"/>
          <w:highlight w:val="none"/>
          <w:u w:val="thick"/>
        </w:rPr>
        <w:t>时</w:t>
      </w:r>
      <w:r>
        <w:rPr>
          <w:rFonts w:hint="eastAsia" w:ascii="宋体" w:hAnsi="宋体" w:eastAsia="宋体" w:cs="宋体"/>
          <w:b/>
          <w:color w:val="auto"/>
          <w:kern w:val="0"/>
          <w:sz w:val="24"/>
          <w:szCs w:val="24"/>
          <w:highlight w:val="none"/>
          <w:u w:val="thick"/>
          <w:lang w:val="en-US" w:eastAsia="zh-CN"/>
        </w:rPr>
        <w:t>00</w:t>
      </w:r>
      <w:r>
        <w:rPr>
          <w:rFonts w:hint="eastAsia" w:ascii="宋体" w:hAnsi="宋体" w:eastAsia="宋体" w:cs="宋体"/>
          <w:b/>
          <w:color w:val="auto"/>
          <w:kern w:val="0"/>
          <w:sz w:val="24"/>
          <w:szCs w:val="24"/>
          <w:highlight w:val="none"/>
          <w:u w:val="thick"/>
        </w:rPr>
        <w:t>分</w:t>
      </w:r>
      <w:r>
        <w:rPr>
          <w:rFonts w:hint="eastAsia" w:ascii="宋体" w:hAnsi="宋体" w:eastAsia="宋体" w:cs="宋体"/>
          <w:color w:val="auto"/>
          <w:kern w:val="0"/>
          <w:sz w:val="24"/>
          <w:szCs w:val="24"/>
          <w:highlight w:val="none"/>
          <w:shd w:val="clear" w:color="auto" w:fill="FFFFFF"/>
        </w:rPr>
        <w:t>开标。逾期送达的投标文件将被拒绝。</w:t>
      </w:r>
    </w:p>
    <w:p w14:paraId="16AA39E7">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val="en-US" w:eastAsia="zh-CN"/>
        </w:rPr>
        <w:t>九</w:t>
      </w:r>
      <w:r>
        <w:rPr>
          <w:rFonts w:hint="eastAsia" w:ascii="宋体" w:hAnsi="宋体" w:eastAsia="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招标文件等材料从本公告附件下载；招标文件、修改、补充、图纸公布的网址及栏目：南通市崇川区人民政府网-公示公告栏。请各投标人自行关注，否则，引起的所有损失由投标人自行承担。当招标文件、招标文件的澄清、修改、补充等在同一内容的表述上不一致时，以最后网上发出的文件为准。否则，由此引起的损失及责任由投标人自行承担。</w:t>
      </w:r>
    </w:p>
    <w:p w14:paraId="2437B450">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cs="宋体"/>
          <w:color w:val="auto"/>
          <w:kern w:val="0"/>
          <w:sz w:val="24"/>
          <w:szCs w:val="24"/>
          <w:highlight w:val="none"/>
          <w:shd w:val="clear" w:color="auto" w:fill="FFFFFF"/>
          <w:lang w:eastAsia="zh-CN"/>
        </w:rPr>
      </w:pPr>
      <w:r>
        <w:rPr>
          <w:rFonts w:hint="eastAsia" w:ascii="宋体" w:hAnsi="宋体" w:cs="宋体"/>
          <w:color w:val="auto"/>
          <w:kern w:val="0"/>
          <w:sz w:val="24"/>
          <w:szCs w:val="24"/>
          <w:highlight w:val="none"/>
          <w:shd w:val="clear" w:color="auto" w:fill="FFFFFF"/>
          <w:lang w:eastAsia="zh-CN"/>
        </w:rPr>
        <w:t>十、联系方式</w:t>
      </w:r>
    </w:p>
    <w:p w14:paraId="1CEB96BB">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招标人：南通市崇川区城市工程建设管理中心</w:t>
      </w:r>
    </w:p>
    <w:p w14:paraId="10D58F51">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联系人：石女士</w:t>
      </w:r>
    </w:p>
    <w:p w14:paraId="34E56416">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联系电话：0513-89106010</w:t>
      </w:r>
    </w:p>
    <w:p w14:paraId="54A62424">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rPr>
        <w:t>招标代理机构:</w:t>
      </w:r>
      <w:r>
        <w:rPr>
          <w:rFonts w:hint="eastAsia" w:ascii="宋体" w:hAnsi="宋体" w:cs="宋体"/>
          <w:color w:val="auto"/>
          <w:kern w:val="0"/>
          <w:sz w:val="24"/>
          <w:szCs w:val="24"/>
          <w:highlight w:val="none"/>
          <w:shd w:val="clear" w:color="auto" w:fill="FFFFFF"/>
          <w:lang w:eastAsia="zh-CN"/>
        </w:rPr>
        <w:t>江苏方桂圆工程项目管理有限公司</w:t>
      </w:r>
    </w:p>
    <w:p w14:paraId="279DBB2D">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lang w:eastAsia="zh-CN"/>
        </w:rPr>
        <w:t>地址：</w:t>
      </w:r>
      <w:r>
        <w:rPr>
          <w:rFonts w:hint="eastAsia" w:ascii="宋体" w:hAnsi="宋体" w:eastAsia="宋体" w:cs="宋体"/>
          <w:color w:val="auto"/>
          <w:kern w:val="0"/>
          <w:sz w:val="24"/>
          <w:szCs w:val="24"/>
          <w:highlight w:val="none"/>
          <w:shd w:val="clear" w:color="auto" w:fill="FFFFFF"/>
          <w:lang w:val="zh-CN" w:eastAsia="zh-CN"/>
        </w:rPr>
        <w:t>南通市世纪大道恒隆国际大厦A座701</w:t>
      </w:r>
    </w:p>
    <w:p w14:paraId="684CA2C4">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lang w:eastAsia="zh-CN"/>
        </w:rPr>
        <w:t>联系人：孙工</w:t>
      </w:r>
    </w:p>
    <w:p w14:paraId="4AD26BAF">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lang w:eastAsia="zh-CN"/>
        </w:rPr>
        <w:t>联系电话：0513-55886288</w:t>
      </w:r>
    </w:p>
    <w:p w14:paraId="172132E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p>
    <w:p w14:paraId="7F7F720A">
      <w:pPr>
        <w:keepNext w:val="0"/>
        <w:keepLines w:val="0"/>
        <w:pageBreakBefore w:val="0"/>
        <w:widowControl/>
        <w:wordWrap/>
        <w:overflowPunct/>
        <w:topLinePunct w:val="0"/>
        <w:bidi w:val="0"/>
        <w:spacing w:line="360" w:lineRule="auto"/>
        <w:jc w:val="right"/>
        <w:rPr>
          <w:color w:val="auto"/>
          <w:sz w:val="24"/>
          <w:szCs w:val="24"/>
          <w:highlight w:val="none"/>
        </w:rPr>
      </w:pPr>
      <w:r>
        <w:rPr>
          <w:rFonts w:hint="eastAsia" w:ascii="宋体" w:hAnsi="宋体" w:eastAsia="宋体" w:cs="宋体"/>
          <w:color w:val="auto"/>
          <w:sz w:val="24"/>
          <w:szCs w:val="24"/>
          <w:highlight w:val="none"/>
          <w:shd w:val="clear" w:color="auto" w:fill="FFFFFF"/>
        </w:rPr>
        <w:t>202</w:t>
      </w:r>
      <w:r>
        <w:rPr>
          <w:rFonts w:hint="eastAsia" w:ascii="宋体" w:hAnsi="宋体" w:eastAsia="宋体" w:cs="宋体"/>
          <w:color w:val="auto"/>
          <w:sz w:val="24"/>
          <w:szCs w:val="24"/>
          <w:highlight w:val="none"/>
          <w:shd w:val="clear" w:color="auto" w:fill="FFFFFF"/>
          <w:lang w:val="en-US" w:eastAsia="zh-CN"/>
        </w:rPr>
        <w:t>5</w:t>
      </w:r>
      <w:r>
        <w:rPr>
          <w:rFonts w:hint="eastAsia" w:ascii="宋体" w:hAnsi="宋体" w:eastAsia="宋体" w:cs="宋体"/>
          <w:color w:val="auto"/>
          <w:sz w:val="24"/>
          <w:szCs w:val="24"/>
          <w:highlight w:val="none"/>
          <w:shd w:val="clear" w:color="auto" w:fill="FFFFFF"/>
        </w:rPr>
        <w:t>年</w:t>
      </w:r>
      <w:r>
        <w:rPr>
          <w:rFonts w:hint="eastAsia" w:ascii="宋体" w:hAnsi="宋体" w:cs="宋体"/>
          <w:color w:val="auto"/>
          <w:sz w:val="24"/>
          <w:szCs w:val="24"/>
          <w:highlight w:val="none"/>
          <w:shd w:val="clear" w:color="auto" w:fill="FFFFFF"/>
          <w:lang w:val="en-US" w:eastAsia="zh-CN"/>
        </w:rPr>
        <w:t xml:space="preserve">10 </w:t>
      </w:r>
      <w:r>
        <w:rPr>
          <w:rFonts w:hint="eastAsia" w:ascii="宋体" w:hAnsi="宋体" w:eastAsia="宋体" w:cs="宋体"/>
          <w:color w:val="auto"/>
          <w:sz w:val="24"/>
          <w:szCs w:val="24"/>
          <w:highlight w:val="none"/>
          <w:shd w:val="clear" w:color="auto" w:fill="FFFFFF"/>
        </w:rPr>
        <w:t>月</w:t>
      </w:r>
      <w:r>
        <w:rPr>
          <w:rFonts w:hint="eastAsia" w:ascii="宋体" w:hAnsi="宋体" w:cs="宋体"/>
          <w:color w:val="auto"/>
          <w:sz w:val="24"/>
          <w:szCs w:val="24"/>
          <w:highlight w:val="none"/>
          <w:shd w:val="clear" w:color="auto" w:fill="FFFFFF"/>
          <w:lang w:val="en-US" w:eastAsia="zh-CN"/>
        </w:rPr>
        <w:t xml:space="preserve">28 </w:t>
      </w:r>
      <w:r>
        <w:rPr>
          <w:rFonts w:hint="eastAsia" w:ascii="宋体" w:hAnsi="宋体" w:eastAsia="宋体" w:cs="宋体"/>
          <w:color w:val="auto"/>
          <w:sz w:val="24"/>
          <w:szCs w:val="24"/>
          <w:highlight w:val="none"/>
          <w:shd w:val="clear" w:color="auto" w:fill="FFFFFF"/>
        </w:rPr>
        <w:t>日</w:t>
      </w:r>
      <w:bookmarkEnd w:id="4"/>
    </w:p>
    <w:p w14:paraId="48053CED">
      <w:pPr>
        <w:rPr>
          <w:color w:val="auto"/>
          <w:highlight w:val="none"/>
        </w:rPr>
      </w:pPr>
    </w:p>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01DA5271"/>
    <w:rsid w:val="040E73F0"/>
    <w:rsid w:val="086716BF"/>
    <w:rsid w:val="08E35943"/>
    <w:rsid w:val="122C73B3"/>
    <w:rsid w:val="1CFB53D3"/>
    <w:rsid w:val="25D678E1"/>
    <w:rsid w:val="35642DEF"/>
    <w:rsid w:val="393408EF"/>
    <w:rsid w:val="3F245964"/>
    <w:rsid w:val="41FC3128"/>
    <w:rsid w:val="42073C4B"/>
    <w:rsid w:val="446A3BBB"/>
    <w:rsid w:val="45F85054"/>
    <w:rsid w:val="47FC4B37"/>
    <w:rsid w:val="4CB73882"/>
    <w:rsid w:val="58AE337F"/>
    <w:rsid w:val="592F01C4"/>
    <w:rsid w:val="5CE36509"/>
    <w:rsid w:val="651F0531"/>
    <w:rsid w:val="65A94AF3"/>
    <w:rsid w:val="71177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eastAsia="宋体" w:asciiTheme="minorAscii" w:hAnsiTheme="minorAscii"/>
      <w:b/>
      <w:kern w:val="44"/>
      <w:sz w:val="28"/>
    </w:rPr>
  </w:style>
  <w:style w:type="paragraph" w:styleId="3">
    <w:name w:val="heading 2"/>
    <w:basedOn w:val="1"/>
    <w:next w:val="1"/>
    <w:semiHidden/>
    <w:unhideWhenUsed/>
    <w:qFormat/>
    <w:uiPriority w:val="0"/>
    <w:pPr>
      <w:keepNext/>
      <w:keepLines/>
      <w:spacing w:beforeLines="0" w:beforeAutospacing="0" w:afterLines="0" w:afterAutospacing="0" w:line="360" w:lineRule="auto"/>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jc w:val="left"/>
      <w:outlineLvl w:val="2"/>
    </w:pPr>
    <w:rPr>
      <w:rFonts w:eastAsia="宋体" w:asciiTheme="minorAscii" w:hAnsiTheme="minorAscii"/>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7">
    <w:name w:val="正文文本缩进 21"/>
    <w:basedOn w:val="1"/>
    <w:qFormat/>
    <w:uiPriority w:val="0"/>
    <w:pPr>
      <w:widowControl/>
      <w:tabs>
        <w:tab w:val="left" w:pos="0"/>
        <w:tab w:val="left" w:pos="993"/>
        <w:tab w:val="left" w:pos="1134"/>
      </w:tabs>
      <w:spacing w:line="500" w:lineRule="exact"/>
      <w:ind w:firstLine="851"/>
    </w:pPr>
    <w:rPr>
      <w:rFonts w:ascii="楷体_GB2312" w:eastAsia="楷体_GB2312"/>
      <w:b/>
      <w:spacing w:val="-24"/>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1787</Words>
  <Characters>1871</Characters>
  <Lines>0</Lines>
  <Paragraphs>0</Paragraphs>
  <TotalTime>7</TotalTime>
  <ScaleCrop>false</ScaleCrop>
  <LinksUpToDate>false</LinksUpToDate>
  <CharactersWithSpaces>1876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Administrator</cp:lastModifiedBy>
  <dcterms:modified xsi:type="dcterms:W3CDTF">2025-10-28T03:06:39Z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EDBBD9C8F8A74CB493413AFC855891DB</vt:lpwstr>
  </property>
  <property fmtid="{D5CDD505-2E9C-101B-9397-08002B2CF9AE}" pid="4" name="KSOTemplateDocerSaveRecord">
    <vt:lpwstr>eyJoZGlkIjoiZmI3YWZkYWVkMjcxZjQxZmNiNjMyNTE1YmY5ZTUxY2IifQ==</vt:lpwstr>
  </property>
</Properties>
</file>