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spacing w:val="20"/>
          <w:sz w:val="44"/>
          <w:u w:val="single"/>
        </w:rPr>
      </w:pPr>
    </w:p>
    <w:p>
      <w:pPr>
        <w:pStyle w:val="9"/>
        <w:rPr>
          <w:rFonts w:hint="eastAsia"/>
          <w:b/>
          <w:spacing w:val="20"/>
          <w:sz w:val="44"/>
          <w:u w:val="single"/>
        </w:rPr>
      </w:pPr>
    </w:p>
    <w:p>
      <w:pPr>
        <w:pStyle w:val="9"/>
        <w:ind w:firstLine="0"/>
        <w:rPr>
          <w:rFonts w:hint="eastAsia"/>
          <w:b/>
          <w:spacing w:val="20"/>
          <w:sz w:val="44"/>
          <w:u w:val="single"/>
        </w:rPr>
      </w:pPr>
    </w:p>
    <w:p>
      <w:pPr>
        <w:spacing w:line="500" w:lineRule="exact"/>
        <w:jc w:val="center"/>
        <w:rPr>
          <w:b/>
          <w:spacing w:val="20"/>
          <w:sz w:val="44"/>
          <w:u w:val="single"/>
        </w:rPr>
      </w:pPr>
    </w:p>
    <w:p>
      <w:pPr>
        <w:jc w:val="center"/>
        <w:rPr>
          <w:rFonts w:hint="eastAsia"/>
          <w:spacing w:val="20"/>
          <w:sz w:val="52"/>
          <w:szCs w:val="52"/>
        </w:rPr>
      </w:pPr>
      <w:r>
        <w:rPr>
          <w:rFonts w:hint="eastAsia"/>
          <w:spacing w:val="20"/>
          <w:sz w:val="52"/>
          <w:szCs w:val="52"/>
        </w:rPr>
        <w:t>悦泰花园前期物业管理服务项目</w:t>
      </w:r>
    </w:p>
    <w:p>
      <w:pPr>
        <w:pStyle w:val="9"/>
        <w:rPr>
          <w:rFonts w:hint="eastAsia"/>
          <w:spacing w:val="20"/>
          <w:sz w:val="44"/>
          <w:szCs w:val="44"/>
        </w:rPr>
      </w:pPr>
    </w:p>
    <w:p>
      <w:pPr>
        <w:pStyle w:val="9"/>
        <w:rPr>
          <w:rFonts w:hint="eastAsia"/>
          <w:spacing w:val="20"/>
          <w:sz w:val="44"/>
          <w:szCs w:val="44"/>
        </w:rPr>
      </w:pPr>
    </w:p>
    <w:p>
      <w:pPr>
        <w:jc w:val="center"/>
        <w:rPr>
          <w:rFonts w:ascii="宋体" w:hAnsi="宋体"/>
          <w:b/>
          <w:sz w:val="100"/>
          <w:szCs w:val="100"/>
        </w:rPr>
      </w:pPr>
      <w:r>
        <w:rPr>
          <w:rFonts w:ascii="宋体" w:hAnsi="宋体"/>
          <w:b/>
          <w:sz w:val="100"/>
          <w:szCs w:val="100"/>
        </w:rPr>
        <w:t>招标文件</w:t>
      </w:r>
    </w:p>
    <w:p/>
    <w:p>
      <w:pPr>
        <w:spacing w:line="500" w:lineRule="exact"/>
        <w:jc w:val="center"/>
        <w:rPr>
          <w:rFonts w:eastAsia="仿宋_GB2312"/>
          <w:b/>
          <w:sz w:val="36"/>
        </w:rPr>
      </w:pPr>
    </w:p>
    <w:p>
      <w:pPr>
        <w:spacing w:line="500" w:lineRule="exact"/>
        <w:rPr>
          <w:rFonts w:eastAsia="仿宋_GB2312"/>
          <w:b/>
          <w:sz w:val="36"/>
        </w:rPr>
      </w:pPr>
    </w:p>
    <w:p>
      <w:pPr>
        <w:spacing w:line="500" w:lineRule="exact"/>
        <w:jc w:val="center"/>
        <w:rPr>
          <w:rFonts w:eastAsia="仿宋_GB2312"/>
          <w:b/>
          <w:sz w:val="36"/>
        </w:rPr>
      </w:pPr>
    </w:p>
    <w:p>
      <w:pPr>
        <w:spacing w:line="500" w:lineRule="exact"/>
        <w:rPr>
          <w:rFonts w:eastAsia="仿宋_GB2312"/>
        </w:rPr>
      </w:pPr>
    </w:p>
    <w:p>
      <w:pPr>
        <w:spacing w:line="500" w:lineRule="exact"/>
        <w:jc w:val="center"/>
        <w:rPr>
          <w:rFonts w:eastAsia="仿宋_GB2312"/>
          <w:sz w:val="32"/>
        </w:rPr>
      </w:pPr>
    </w:p>
    <w:p>
      <w:pPr>
        <w:spacing w:line="500" w:lineRule="exact"/>
        <w:rPr>
          <w:rFonts w:eastAsia="仿宋_GB2312"/>
          <w:sz w:val="32"/>
        </w:rPr>
      </w:pPr>
    </w:p>
    <w:p>
      <w:pPr>
        <w:spacing w:line="500" w:lineRule="exact"/>
        <w:rPr>
          <w:rFonts w:hint="eastAsia"/>
          <w:spacing w:val="20"/>
          <w:sz w:val="28"/>
          <w:szCs w:val="28"/>
        </w:rPr>
      </w:pPr>
    </w:p>
    <w:p>
      <w:pPr>
        <w:spacing w:line="500" w:lineRule="exact"/>
        <w:jc w:val="center"/>
        <w:rPr>
          <w:rFonts w:hint="eastAsia"/>
          <w:spacing w:val="20"/>
          <w:sz w:val="28"/>
          <w:szCs w:val="28"/>
        </w:rPr>
      </w:pPr>
    </w:p>
    <w:p>
      <w:pPr>
        <w:spacing w:line="500" w:lineRule="exact"/>
        <w:rPr>
          <w:rFonts w:hint="eastAsia"/>
          <w:spacing w:val="20"/>
          <w:sz w:val="28"/>
          <w:szCs w:val="28"/>
        </w:rPr>
      </w:pPr>
    </w:p>
    <w:p>
      <w:pPr>
        <w:spacing w:line="500" w:lineRule="exact"/>
        <w:ind w:firstLine="960" w:firstLineChars="300"/>
        <w:rPr>
          <w:rFonts w:hint="eastAsia" w:eastAsia="宋体"/>
          <w:spacing w:val="20"/>
          <w:sz w:val="28"/>
          <w:szCs w:val="28"/>
          <w:lang w:eastAsia="zh-CN"/>
        </w:rPr>
      </w:pPr>
      <w:r>
        <w:rPr>
          <w:rFonts w:hint="eastAsia"/>
          <w:spacing w:val="20"/>
          <w:sz w:val="28"/>
          <w:szCs w:val="28"/>
        </w:rPr>
        <w:t xml:space="preserve">招 标 </w:t>
      </w:r>
      <w:r>
        <w:rPr>
          <w:spacing w:val="20"/>
          <w:sz w:val="28"/>
          <w:szCs w:val="28"/>
        </w:rPr>
        <w:t>单</w:t>
      </w:r>
      <w:r>
        <w:rPr>
          <w:rFonts w:hint="eastAsia"/>
          <w:spacing w:val="20"/>
          <w:sz w:val="28"/>
          <w:szCs w:val="28"/>
        </w:rPr>
        <w:t xml:space="preserve"> </w:t>
      </w:r>
      <w:r>
        <w:rPr>
          <w:spacing w:val="20"/>
          <w:sz w:val="28"/>
          <w:szCs w:val="28"/>
        </w:rPr>
        <w:t>位：</w:t>
      </w:r>
      <w:r>
        <w:rPr>
          <w:rFonts w:hint="eastAsia"/>
          <w:spacing w:val="20"/>
          <w:sz w:val="28"/>
          <w:szCs w:val="28"/>
          <w:lang w:eastAsia="zh-CN"/>
        </w:rPr>
        <w:t>陈桥街道办事处</w:t>
      </w:r>
    </w:p>
    <w:p>
      <w:pPr>
        <w:spacing w:line="500" w:lineRule="exact"/>
        <w:jc w:val="center"/>
        <w:rPr>
          <w:rFonts w:hint="eastAsia"/>
          <w:spacing w:val="20"/>
          <w:sz w:val="28"/>
          <w:szCs w:val="28"/>
        </w:rPr>
      </w:pPr>
      <w:r>
        <w:rPr>
          <w:rFonts w:hint="eastAsia"/>
          <w:spacing w:val="20"/>
          <w:sz w:val="28"/>
          <w:szCs w:val="28"/>
        </w:rPr>
        <w:t>招标</w:t>
      </w:r>
      <w:r>
        <w:rPr>
          <w:spacing w:val="20"/>
          <w:sz w:val="28"/>
          <w:szCs w:val="28"/>
        </w:rPr>
        <w:t>代理机构：</w:t>
      </w:r>
      <w:r>
        <w:rPr>
          <w:rFonts w:hint="eastAsia"/>
          <w:spacing w:val="20"/>
          <w:sz w:val="28"/>
          <w:szCs w:val="28"/>
        </w:rPr>
        <w:t xml:space="preserve">江苏新世纪工程项目管理有限公司 </w:t>
      </w:r>
    </w:p>
    <w:p>
      <w:pPr>
        <w:spacing w:line="500" w:lineRule="exact"/>
        <w:ind w:firstLine="960" w:firstLineChars="300"/>
        <w:rPr>
          <w:spacing w:val="20"/>
          <w:sz w:val="28"/>
          <w:szCs w:val="28"/>
        </w:rPr>
      </w:pPr>
      <w:r>
        <w:rPr>
          <w:spacing w:val="20"/>
          <w:sz w:val="28"/>
          <w:szCs w:val="28"/>
        </w:rPr>
        <w:t>日</w:t>
      </w:r>
      <w:r>
        <w:rPr>
          <w:rFonts w:hint="eastAsia"/>
          <w:spacing w:val="20"/>
          <w:sz w:val="28"/>
          <w:szCs w:val="28"/>
        </w:rPr>
        <w:t xml:space="preserve">       </w:t>
      </w:r>
      <w:r>
        <w:rPr>
          <w:spacing w:val="20"/>
          <w:sz w:val="28"/>
          <w:szCs w:val="28"/>
        </w:rPr>
        <w:t>期：二〇</w:t>
      </w:r>
      <w:r>
        <w:rPr>
          <w:rFonts w:hint="eastAsia"/>
          <w:spacing w:val="20"/>
          <w:sz w:val="28"/>
          <w:szCs w:val="28"/>
        </w:rPr>
        <w:t>二五</w:t>
      </w:r>
      <w:r>
        <w:rPr>
          <w:spacing w:val="20"/>
          <w:sz w:val="28"/>
          <w:szCs w:val="28"/>
        </w:rPr>
        <w:t>年</w:t>
      </w:r>
      <w:r>
        <w:rPr>
          <w:rFonts w:hint="eastAsia"/>
          <w:spacing w:val="20"/>
          <w:sz w:val="28"/>
          <w:szCs w:val="28"/>
        </w:rPr>
        <w:t>十</w:t>
      </w:r>
      <w:r>
        <w:rPr>
          <w:spacing w:val="20"/>
          <w:sz w:val="28"/>
          <w:szCs w:val="28"/>
        </w:rPr>
        <w:t>月</w:t>
      </w:r>
    </w:p>
    <w:p>
      <w:pPr>
        <w:adjustRightInd w:val="0"/>
        <w:snapToGrid w:val="0"/>
        <w:ind w:right="-601" w:rightChars="-286"/>
        <w:rPr>
          <w:snapToGrid w:val="0"/>
          <w:sz w:val="26"/>
          <w:szCs w:val="28"/>
        </w:rPr>
      </w:pPr>
    </w:p>
    <w:p>
      <w:pPr>
        <w:spacing w:line="500" w:lineRule="exact"/>
        <w:jc w:val="center"/>
        <w:rPr>
          <w:rFonts w:hint="eastAsia"/>
          <w:sz w:val="44"/>
          <w:szCs w:val="44"/>
        </w:rPr>
      </w:pPr>
      <w:r>
        <w:rPr>
          <w:sz w:val="44"/>
          <w:szCs w:val="44"/>
        </w:rPr>
        <w:br w:type="page"/>
      </w:r>
      <w:r>
        <w:rPr>
          <w:sz w:val="44"/>
          <w:szCs w:val="44"/>
        </w:rPr>
        <w:t>目      录</w:t>
      </w:r>
    </w:p>
    <w:p>
      <w:pPr>
        <w:tabs>
          <w:tab w:val="left" w:pos="7740"/>
        </w:tabs>
        <w:spacing w:line="500" w:lineRule="exact"/>
        <w:rPr>
          <w:spacing w:val="2"/>
          <w:sz w:val="32"/>
          <w:szCs w:val="32"/>
        </w:rPr>
      </w:pPr>
      <w:r>
        <w:rPr>
          <w:bCs/>
          <w:sz w:val="32"/>
          <w:szCs w:val="32"/>
        </w:rPr>
        <w:t>第一部分  招标公告</w:t>
      </w:r>
    </w:p>
    <w:p>
      <w:pPr>
        <w:tabs>
          <w:tab w:val="left" w:pos="7740"/>
        </w:tabs>
        <w:spacing w:line="500" w:lineRule="exact"/>
        <w:rPr>
          <w:sz w:val="32"/>
          <w:szCs w:val="32"/>
        </w:rPr>
      </w:pPr>
    </w:p>
    <w:p>
      <w:pPr>
        <w:tabs>
          <w:tab w:val="left" w:pos="7740"/>
        </w:tabs>
        <w:spacing w:line="500" w:lineRule="exact"/>
        <w:rPr>
          <w:spacing w:val="2"/>
          <w:sz w:val="32"/>
          <w:szCs w:val="32"/>
        </w:rPr>
      </w:pPr>
      <w:r>
        <w:rPr>
          <w:bCs/>
          <w:sz w:val="32"/>
          <w:szCs w:val="32"/>
        </w:rPr>
        <w:t>第二部分  投标须知</w:t>
      </w:r>
    </w:p>
    <w:p>
      <w:pPr>
        <w:spacing w:line="500" w:lineRule="exact"/>
        <w:rPr>
          <w:sz w:val="32"/>
          <w:szCs w:val="32"/>
        </w:rPr>
      </w:pPr>
    </w:p>
    <w:p>
      <w:pPr>
        <w:tabs>
          <w:tab w:val="left" w:pos="7740"/>
        </w:tabs>
        <w:spacing w:line="500" w:lineRule="exact"/>
        <w:rPr>
          <w:spacing w:val="2"/>
          <w:sz w:val="32"/>
          <w:szCs w:val="32"/>
        </w:rPr>
      </w:pPr>
      <w:r>
        <w:rPr>
          <w:bCs/>
          <w:sz w:val="32"/>
          <w:szCs w:val="32"/>
        </w:rPr>
        <w:t>第三部分  项目需求说明</w:t>
      </w:r>
    </w:p>
    <w:p>
      <w:pPr>
        <w:pStyle w:val="16"/>
        <w:tabs>
          <w:tab w:val="left" w:pos="7740"/>
          <w:tab w:val="left" w:pos="7920"/>
        </w:tabs>
        <w:spacing w:line="500" w:lineRule="exact"/>
        <w:ind w:left="0"/>
        <w:rPr>
          <w:rFonts w:ascii="Times New Roman" w:eastAsia="宋体"/>
          <w:sz w:val="32"/>
          <w:szCs w:val="32"/>
        </w:rPr>
      </w:pPr>
    </w:p>
    <w:p>
      <w:pPr>
        <w:tabs>
          <w:tab w:val="left" w:pos="7740"/>
        </w:tabs>
        <w:spacing w:line="500" w:lineRule="exact"/>
        <w:rPr>
          <w:spacing w:val="2"/>
          <w:sz w:val="32"/>
          <w:szCs w:val="32"/>
        </w:rPr>
      </w:pPr>
      <w:r>
        <w:rPr>
          <w:sz w:val="32"/>
          <w:szCs w:val="32"/>
        </w:rPr>
        <w:t xml:space="preserve">第四部分  </w:t>
      </w:r>
      <w:r>
        <w:rPr>
          <w:bCs/>
          <w:sz w:val="32"/>
          <w:szCs w:val="32"/>
        </w:rPr>
        <w:t>开标和评标</w:t>
      </w:r>
    </w:p>
    <w:p>
      <w:pPr>
        <w:spacing w:line="500" w:lineRule="exact"/>
        <w:rPr>
          <w:sz w:val="32"/>
          <w:szCs w:val="32"/>
        </w:rPr>
      </w:pPr>
    </w:p>
    <w:p>
      <w:pPr>
        <w:tabs>
          <w:tab w:val="left" w:pos="7740"/>
        </w:tabs>
        <w:spacing w:line="500" w:lineRule="exact"/>
        <w:rPr>
          <w:spacing w:val="2"/>
          <w:sz w:val="32"/>
          <w:szCs w:val="32"/>
        </w:rPr>
      </w:pPr>
      <w:r>
        <w:rPr>
          <w:bCs/>
          <w:sz w:val="32"/>
          <w:szCs w:val="32"/>
        </w:rPr>
        <w:t>第五部分  合同签订与验收付款</w:t>
      </w:r>
    </w:p>
    <w:p>
      <w:pPr>
        <w:spacing w:line="500" w:lineRule="exact"/>
        <w:rPr>
          <w:sz w:val="32"/>
          <w:szCs w:val="32"/>
        </w:rPr>
      </w:pPr>
    </w:p>
    <w:p>
      <w:pPr>
        <w:tabs>
          <w:tab w:val="left" w:pos="7740"/>
        </w:tabs>
        <w:spacing w:line="500" w:lineRule="exact"/>
        <w:rPr>
          <w:spacing w:val="2"/>
          <w:sz w:val="32"/>
          <w:szCs w:val="32"/>
        </w:rPr>
      </w:pPr>
      <w:r>
        <w:rPr>
          <w:bCs/>
          <w:sz w:val="32"/>
          <w:szCs w:val="32"/>
        </w:rPr>
        <w:t>第六部分  质疑提出和处理</w:t>
      </w:r>
    </w:p>
    <w:p>
      <w:pPr>
        <w:spacing w:line="500" w:lineRule="exact"/>
        <w:rPr>
          <w:sz w:val="32"/>
          <w:szCs w:val="32"/>
        </w:rPr>
      </w:pPr>
    </w:p>
    <w:p>
      <w:pPr>
        <w:tabs>
          <w:tab w:val="left" w:pos="7740"/>
        </w:tabs>
        <w:spacing w:line="500" w:lineRule="exact"/>
        <w:rPr>
          <w:spacing w:val="2"/>
          <w:sz w:val="32"/>
          <w:szCs w:val="32"/>
        </w:rPr>
      </w:pPr>
      <w:r>
        <w:rPr>
          <w:bCs/>
          <w:sz w:val="32"/>
          <w:szCs w:val="32"/>
        </w:rPr>
        <w:t>第七部分  投标文件组成</w:t>
      </w:r>
    </w:p>
    <w:p>
      <w:pPr>
        <w:spacing w:line="500" w:lineRule="exact"/>
        <w:rPr>
          <w:rFonts w:eastAsia="楷体_GB2312"/>
          <w:b/>
          <w:sz w:val="32"/>
          <w:szCs w:val="32"/>
        </w:rPr>
      </w:pPr>
    </w:p>
    <w:p>
      <w:pPr>
        <w:tabs>
          <w:tab w:val="left" w:pos="7740"/>
        </w:tabs>
        <w:spacing w:line="500" w:lineRule="exact"/>
        <w:rPr>
          <w:rFonts w:eastAsia="楷体_GB2312"/>
          <w:b/>
          <w:spacing w:val="2"/>
          <w:sz w:val="32"/>
          <w:szCs w:val="32"/>
        </w:rPr>
      </w:pPr>
    </w:p>
    <w:p>
      <w:pPr>
        <w:tabs>
          <w:tab w:val="left" w:pos="7740"/>
        </w:tabs>
        <w:spacing w:line="500" w:lineRule="exact"/>
        <w:rPr>
          <w:rFonts w:eastAsia="楷体_GB2312"/>
          <w:b/>
          <w:spacing w:val="2"/>
          <w:sz w:val="32"/>
          <w:szCs w:val="32"/>
        </w:rPr>
      </w:pPr>
    </w:p>
    <w:p>
      <w:pPr>
        <w:tabs>
          <w:tab w:val="left" w:pos="7740"/>
        </w:tabs>
        <w:spacing w:line="500" w:lineRule="exact"/>
        <w:rPr>
          <w:rFonts w:eastAsia="楷体_GB2312"/>
          <w:b/>
          <w:bCs/>
          <w:sz w:val="32"/>
          <w:szCs w:val="32"/>
        </w:rPr>
      </w:pPr>
    </w:p>
    <w:p>
      <w:pPr>
        <w:spacing w:line="500" w:lineRule="exact"/>
        <w:outlineLvl w:val="0"/>
        <w:rPr>
          <w:rFonts w:eastAsia="楷体_GB2312"/>
          <w:b/>
          <w:sz w:val="44"/>
          <w:szCs w:val="44"/>
        </w:rPr>
      </w:pPr>
    </w:p>
    <w:p>
      <w:pPr>
        <w:spacing w:line="500" w:lineRule="exact"/>
        <w:outlineLvl w:val="0"/>
        <w:rPr>
          <w:rFonts w:eastAsia="仿宋_GB2312"/>
          <w:sz w:val="44"/>
          <w:szCs w:val="44"/>
        </w:rPr>
      </w:pPr>
    </w:p>
    <w:p>
      <w:pPr>
        <w:spacing w:line="500" w:lineRule="exact"/>
        <w:outlineLvl w:val="0"/>
        <w:rPr>
          <w:rFonts w:eastAsia="仿宋_GB2312"/>
          <w:sz w:val="44"/>
          <w:szCs w:val="44"/>
        </w:rPr>
      </w:pPr>
    </w:p>
    <w:p>
      <w:pPr>
        <w:spacing w:line="500" w:lineRule="exact"/>
        <w:outlineLvl w:val="0"/>
        <w:rPr>
          <w:rFonts w:eastAsia="仿宋_GB2312"/>
          <w:sz w:val="44"/>
          <w:szCs w:val="44"/>
        </w:rPr>
      </w:pPr>
    </w:p>
    <w:p>
      <w:pPr>
        <w:spacing w:line="500" w:lineRule="exact"/>
        <w:outlineLvl w:val="0"/>
        <w:rPr>
          <w:rFonts w:eastAsia="仿宋_GB2312"/>
          <w:sz w:val="44"/>
          <w:szCs w:val="44"/>
        </w:rPr>
      </w:pPr>
    </w:p>
    <w:p>
      <w:pPr>
        <w:spacing w:line="500" w:lineRule="exact"/>
        <w:outlineLvl w:val="0"/>
        <w:rPr>
          <w:rFonts w:eastAsia="仿宋_GB2312"/>
          <w:sz w:val="44"/>
          <w:szCs w:val="44"/>
        </w:rPr>
      </w:pPr>
    </w:p>
    <w:p>
      <w:pPr>
        <w:spacing w:line="500" w:lineRule="exact"/>
        <w:outlineLvl w:val="0"/>
        <w:rPr>
          <w:rFonts w:eastAsia="仿宋_GB2312"/>
          <w:sz w:val="44"/>
          <w:szCs w:val="44"/>
        </w:rPr>
      </w:pPr>
    </w:p>
    <w:p>
      <w:pPr>
        <w:snapToGrid w:val="0"/>
        <w:spacing w:line="300" w:lineRule="auto"/>
        <w:jc w:val="center"/>
        <w:outlineLvl w:val="0"/>
        <w:rPr>
          <w:b/>
          <w:sz w:val="36"/>
          <w:szCs w:val="36"/>
        </w:rPr>
      </w:pPr>
      <w:r>
        <w:rPr>
          <w:b/>
          <w:sz w:val="36"/>
          <w:szCs w:val="36"/>
        </w:rPr>
        <w:br w:type="page"/>
      </w:r>
      <w:r>
        <w:rPr>
          <w:b/>
          <w:sz w:val="36"/>
          <w:szCs w:val="36"/>
        </w:rPr>
        <w:t xml:space="preserve">第一部分  </w:t>
      </w:r>
      <w:bookmarkStart w:id="0" w:name="OLE_LINK5"/>
      <w:bookmarkStart w:id="1" w:name="OLE_LINK7"/>
      <w:r>
        <w:rPr>
          <w:b/>
          <w:sz w:val="36"/>
          <w:szCs w:val="36"/>
        </w:rPr>
        <w:t>招标公告</w:t>
      </w:r>
    </w:p>
    <w:bookmarkEnd w:id="0"/>
    <w:bookmarkEnd w:id="1"/>
    <w:p>
      <w:pPr>
        <w:snapToGrid w:val="0"/>
        <w:spacing w:line="480" w:lineRule="exact"/>
        <w:ind w:firstLine="480" w:firstLineChars="200"/>
        <w:rPr>
          <w:color w:val="000000"/>
          <w:sz w:val="24"/>
        </w:rPr>
      </w:pPr>
      <w:r>
        <w:rPr>
          <w:bCs/>
          <w:sz w:val="24"/>
        </w:rPr>
        <w:t>项目概况：</w:t>
      </w:r>
      <w:r>
        <w:rPr>
          <w:rFonts w:hint="eastAsia"/>
          <w:bCs/>
          <w:sz w:val="24"/>
          <w:u w:val="single"/>
        </w:rPr>
        <w:t>悦泰花园前期物业管理服务项目</w:t>
      </w:r>
      <w:r>
        <w:rPr>
          <w:sz w:val="24"/>
        </w:rPr>
        <w:t>招标的潜在投标人应在</w:t>
      </w:r>
      <w:r>
        <w:rPr>
          <w:sz w:val="24"/>
          <w:u w:val="single"/>
        </w:rPr>
        <w:t>南通市崇川区人民政府网</w:t>
      </w:r>
      <w:r>
        <w:rPr>
          <w:rFonts w:hint="eastAsia"/>
          <w:sz w:val="24"/>
          <w:u w:val="single"/>
        </w:rPr>
        <w:t>－</w:t>
      </w:r>
      <w:r>
        <w:rPr>
          <w:sz w:val="24"/>
          <w:u w:val="single"/>
        </w:rPr>
        <w:t>公示公告招标</w:t>
      </w:r>
      <w:r>
        <w:rPr>
          <w:sz w:val="24"/>
        </w:rPr>
        <w:t>栏获取招标文件，并于</w:t>
      </w:r>
      <w:r>
        <w:rPr>
          <w:color w:val="000000"/>
          <w:sz w:val="24"/>
          <w:u w:val="single"/>
        </w:rPr>
        <w:t>20</w:t>
      </w:r>
      <w:r>
        <w:rPr>
          <w:rFonts w:hint="eastAsia"/>
          <w:color w:val="000000"/>
          <w:sz w:val="24"/>
          <w:u w:val="single"/>
        </w:rPr>
        <w:t>25</w:t>
      </w:r>
      <w:r>
        <w:rPr>
          <w:color w:val="000000"/>
          <w:sz w:val="24"/>
          <w:u w:val="single"/>
        </w:rPr>
        <w:t>年</w:t>
      </w:r>
      <w:r>
        <w:rPr>
          <w:rFonts w:hint="default"/>
          <w:color w:val="000000"/>
          <w:sz w:val="24"/>
          <w:u w:val="single"/>
          <w:lang w:val="en"/>
        </w:rPr>
        <w:t>11月21日</w:t>
      </w:r>
      <w:r>
        <w:rPr>
          <w:rFonts w:hint="eastAsia"/>
          <w:color w:val="000000"/>
          <w:sz w:val="24"/>
          <w:u w:val="single"/>
        </w:rPr>
        <w:t>14</w:t>
      </w:r>
      <w:r>
        <w:rPr>
          <w:color w:val="000000"/>
          <w:sz w:val="24"/>
          <w:u w:val="single"/>
        </w:rPr>
        <w:t>点</w:t>
      </w:r>
      <w:r>
        <w:rPr>
          <w:rFonts w:hint="eastAsia"/>
          <w:color w:val="000000"/>
          <w:sz w:val="24"/>
          <w:u w:val="single"/>
        </w:rPr>
        <w:t>00</w:t>
      </w:r>
      <w:r>
        <w:rPr>
          <w:color w:val="000000"/>
          <w:sz w:val="24"/>
          <w:u w:val="single"/>
        </w:rPr>
        <w:t>分</w:t>
      </w:r>
      <w:r>
        <w:rPr>
          <w:color w:val="000000"/>
          <w:sz w:val="24"/>
        </w:rPr>
        <w:t>（北京时间）前递交投标文件。</w:t>
      </w:r>
    </w:p>
    <w:p>
      <w:pPr>
        <w:numPr>
          <w:ilvl w:val="0"/>
          <w:numId w:val="3"/>
        </w:numPr>
        <w:snapToGrid w:val="0"/>
        <w:spacing w:line="480" w:lineRule="exact"/>
      </w:pPr>
      <w:r>
        <w:rPr>
          <w:b/>
          <w:sz w:val="24"/>
        </w:rPr>
        <w:t>项目基本情况</w:t>
      </w:r>
    </w:p>
    <w:p>
      <w:pPr>
        <w:snapToGrid w:val="0"/>
        <w:spacing w:line="480" w:lineRule="exact"/>
        <w:ind w:firstLine="480" w:firstLineChars="200"/>
        <w:rPr>
          <w:rFonts w:hint="eastAsia"/>
          <w:sz w:val="24"/>
        </w:rPr>
      </w:pPr>
      <w:r>
        <w:rPr>
          <w:sz w:val="24"/>
        </w:rPr>
        <w:t>项目名称：</w:t>
      </w:r>
      <w:r>
        <w:rPr>
          <w:rFonts w:hint="eastAsia"/>
          <w:sz w:val="24"/>
        </w:rPr>
        <w:t>悦泰花园前期物业管理服务项目</w:t>
      </w:r>
    </w:p>
    <w:p>
      <w:pPr>
        <w:snapToGrid w:val="0"/>
        <w:spacing w:line="480" w:lineRule="exact"/>
        <w:ind w:firstLine="480" w:firstLineChars="200"/>
        <w:rPr>
          <w:rFonts w:hint="eastAsia"/>
          <w:color w:val="000000"/>
          <w:sz w:val="24"/>
        </w:rPr>
      </w:pPr>
      <w:r>
        <w:rPr>
          <w:rFonts w:hint="eastAsia"/>
          <w:color w:val="000000"/>
          <w:sz w:val="24"/>
        </w:rPr>
        <w:t>项目概况及</w:t>
      </w:r>
      <w:r>
        <w:rPr>
          <w:color w:val="000000"/>
          <w:sz w:val="24"/>
        </w:rPr>
        <w:t>预算金额：</w:t>
      </w:r>
      <w:bookmarkStart w:id="2" w:name="OLE_LINK6"/>
      <w:r>
        <w:rPr>
          <w:rFonts w:hint="eastAsia"/>
          <w:color w:val="000000"/>
          <w:sz w:val="24"/>
        </w:rPr>
        <w:t>悦泰花园前期物业管理服务项目，悦泰花园位于长泰路北、惠农路东</w:t>
      </w:r>
      <w:r>
        <w:rPr>
          <w:rFonts w:hint="eastAsia"/>
          <w:color w:val="000000"/>
          <w:sz w:val="24"/>
          <w:lang w:eastAsia="zh-CN"/>
        </w:rPr>
        <w:t>，</w:t>
      </w:r>
      <w:r>
        <w:rPr>
          <w:rFonts w:hint="eastAsia"/>
          <w:color w:val="000000"/>
          <w:sz w:val="24"/>
        </w:rPr>
        <w:t>建筑住宅面积</w:t>
      </w:r>
      <w:r>
        <w:rPr>
          <w:rFonts w:hint="eastAsia"/>
          <w:color w:val="000000"/>
          <w:sz w:val="24"/>
          <w:lang w:eastAsia="zh-CN"/>
        </w:rPr>
        <w:t>171309</w:t>
      </w:r>
      <w:r>
        <w:rPr>
          <w:rFonts w:hint="eastAsia"/>
          <w:color w:val="000000"/>
          <w:sz w:val="24"/>
        </w:rPr>
        <w:t xml:space="preserve">㎡ </w:t>
      </w:r>
      <w:r>
        <w:rPr>
          <w:rFonts w:hint="eastAsia"/>
          <w:color w:val="000000"/>
          <w:sz w:val="24"/>
          <w:lang w:eastAsia="zh-CN"/>
        </w:rPr>
        <w:t>，住宅机动车停车位</w:t>
      </w:r>
      <w:r>
        <w:rPr>
          <w:rFonts w:hint="eastAsia"/>
          <w:color w:val="000000"/>
          <w:sz w:val="24"/>
          <w:lang w:val="en-US" w:eastAsia="zh-CN"/>
        </w:rPr>
        <w:t>2056个</w:t>
      </w:r>
      <w:r>
        <w:rPr>
          <w:rFonts w:hint="eastAsia"/>
          <w:color w:val="000000"/>
          <w:sz w:val="24"/>
        </w:rPr>
        <w:t>。</w:t>
      </w:r>
      <w:bookmarkEnd w:id="2"/>
      <w:r>
        <w:rPr>
          <w:rFonts w:hint="eastAsia"/>
          <w:color w:val="000000"/>
          <w:sz w:val="24"/>
        </w:rPr>
        <w:t>最终结算以交房后实测面积及相关文件规定为准。物业服务费按交付的建筑住宅面积计算，具体标准根据《南通市市区物业服务收费管理实施细则》（通价规[2011]2号）执行。</w:t>
      </w:r>
    </w:p>
    <w:p>
      <w:pPr>
        <w:snapToGrid w:val="0"/>
        <w:spacing w:line="480" w:lineRule="exact"/>
        <w:ind w:firstLine="480" w:firstLineChars="200"/>
        <w:rPr>
          <w:sz w:val="24"/>
        </w:rPr>
      </w:pPr>
      <w:r>
        <w:rPr>
          <w:rFonts w:hint="eastAsia"/>
          <w:sz w:val="24"/>
        </w:rPr>
        <w:t>项目</w:t>
      </w:r>
      <w:r>
        <w:rPr>
          <w:sz w:val="24"/>
        </w:rPr>
        <w:t>需求：详见</w:t>
      </w:r>
      <w:r>
        <w:rPr>
          <w:spacing w:val="7"/>
          <w:kern w:val="0"/>
          <w:sz w:val="24"/>
        </w:rPr>
        <w:t>第三部分</w:t>
      </w:r>
      <w:r>
        <w:rPr>
          <w:sz w:val="24"/>
        </w:rPr>
        <w:t>项目需求。</w:t>
      </w:r>
    </w:p>
    <w:p>
      <w:pPr>
        <w:snapToGrid w:val="0"/>
        <w:spacing w:line="480" w:lineRule="exact"/>
        <w:ind w:firstLine="480" w:firstLineChars="200"/>
        <w:rPr>
          <w:color w:val="000000"/>
          <w:sz w:val="24"/>
          <w:highlight w:val="green"/>
        </w:rPr>
      </w:pPr>
      <w:r>
        <w:rPr>
          <w:color w:val="000000"/>
          <w:sz w:val="24"/>
        </w:rPr>
        <w:t>合同履行期限：</w:t>
      </w:r>
      <w:r>
        <w:rPr>
          <w:rFonts w:hint="eastAsia"/>
          <w:sz w:val="24"/>
        </w:rPr>
        <w:t>自项目首次交付之日起至业主大会（或业委会、物管会）选聘新物业服务企业并签订合同生效之日止（最长不超过2年，具体以合同约定为准），招标人视中标人服务考核情况决定是否续签。</w:t>
      </w:r>
    </w:p>
    <w:p>
      <w:pPr>
        <w:snapToGrid w:val="0"/>
        <w:spacing w:line="480" w:lineRule="exact"/>
        <w:ind w:firstLine="480" w:firstLineChars="200"/>
        <w:rPr>
          <w:sz w:val="24"/>
        </w:rPr>
      </w:pPr>
      <w:r>
        <w:rPr>
          <w:sz w:val="24"/>
        </w:rPr>
        <w:t>本项目不接受联合体投标。</w:t>
      </w:r>
    </w:p>
    <w:p>
      <w:pPr>
        <w:snapToGrid w:val="0"/>
        <w:spacing w:line="480" w:lineRule="exact"/>
        <w:ind w:firstLine="481" w:firstLineChars="200"/>
        <w:rPr>
          <w:b/>
          <w:sz w:val="24"/>
        </w:rPr>
      </w:pPr>
      <w:r>
        <w:rPr>
          <w:b/>
          <w:sz w:val="24"/>
        </w:rPr>
        <w:t>二、申请人的资格要求：</w:t>
      </w:r>
    </w:p>
    <w:p>
      <w:pPr>
        <w:spacing w:line="480" w:lineRule="exact"/>
        <w:ind w:firstLine="480" w:firstLineChars="200"/>
        <w:rPr>
          <w:rFonts w:hint="eastAsia"/>
          <w:sz w:val="24"/>
        </w:rPr>
      </w:pPr>
      <w:r>
        <w:rPr>
          <w:rFonts w:hint="eastAsia"/>
          <w:sz w:val="24"/>
        </w:rPr>
        <w:t>1. 投标人具有独立承担民事责任的能力；具有良好的商业信誉和健全的财务会计制度；具有履行合同所必需的设备和专业技术能力；具有依法缴纳税收和社会保障资金的良好记录；参加招标活动前三年内，在经营活动中没有重大违法记录；在投标截止时间节点，没有被“信用中国”网站（www.creditchina.gov.cn）列入失信被执行人、重大税收违法案件当事人名单、严重失信行为记录名单；（提供营业执照复印件和投标人声明函格式见第七部分）；</w:t>
      </w:r>
    </w:p>
    <w:p>
      <w:pPr>
        <w:snapToGrid w:val="0"/>
        <w:spacing w:line="480" w:lineRule="exact"/>
        <w:ind w:firstLine="480" w:firstLineChars="200"/>
        <w:rPr>
          <w:rFonts w:hint="eastAsia" w:ascii="宋体" w:hAnsi="宋体" w:cs="宋体"/>
          <w:sz w:val="24"/>
        </w:rPr>
      </w:pPr>
      <w:r>
        <w:rPr>
          <w:rFonts w:hint="eastAsia"/>
          <w:sz w:val="24"/>
        </w:rPr>
        <w:t>2.</w:t>
      </w:r>
      <w:r>
        <w:rPr>
          <w:rFonts w:hint="eastAsia"/>
        </w:rPr>
        <w:t xml:space="preserve"> </w:t>
      </w:r>
      <w:r>
        <w:rPr>
          <w:rFonts w:hint="eastAsia"/>
          <w:sz w:val="24"/>
        </w:rPr>
        <w:t>投标人法定代表人参加投标的，必须提供法定代表人身份证明及法定代表人本人身份证复印件；非法定代表人参加投标的，必须提供法定代表人签字或盖章的授权</w:t>
      </w:r>
      <w:r>
        <w:rPr>
          <w:rFonts w:hint="eastAsia" w:ascii="宋体" w:hAnsi="宋体" w:cs="宋体"/>
          <w:sz w:val="24"/>
        </w:rPr>
        <w:t>委托书及法定代表人、被授权人的两人身份证的复印件，被授权人为供应商正式人员证明材料（提供与供应商签订的有效劳动合同复印件，格式参见第七部分）；</w:t>
      </w:r>
    </w:p>
    <w:p>
      <w:pPr>
        <w:snapToGrid w:val="0"/>
        <w:spacing w:line="480" w:lineRule="exact"/>
        <w:ind w:firstLine="480" w:firstLineChars="200"/>
        <w:rPr>
          <w:rFonts w:hint="eastAsia" w:ascii="宋体" w:hAnsi="宋体" w:cs="宋体"/>
          <w:sz w:val="24"/>
        </w:rPr>
      </w:pPr>
      <w:r>
        <w:rPr>
          <w:rFonts w:hint="eastAsia" w:ascii="宋体" w:hAnsi="宋体" w:cs="宋体"/>
          <w:color w:val="000000"/>
          <w:sz w:val="24"/>
        </w:rPr>
        <w:t>3.提供</w:t>
      </w:r>
      <w:r>
        <w:rPr>
          <w:rFonts w:hint="eastAsia" w:ascii="宋体" w:hAnsi="宋体" w:cs="宋体"/>
          <w:sz w:val="24"/>
          <w:lang w:val="zh-CN"/>
        </w:rPr>
        <w:t>投标人信用承诺书</w:t>
      </w:r>
      <w:r>
        <w:rPr>
          <w:rFonts w:hint="eastAsia" w:ascii="宋体" w:hAnsi="宋体" w:cs="宋体"/>
          <w:sz w:val="24"/>
        </w:rPr>
        <w:t>（格式参见第七部分）。</w:t>
      </w:r>
    </w:p>
    <w:p>
      <w:pPr>
        <w:snapToGrid w:val="0"/>
        <w:spacing w:line="480" w:lineRule="exact"/>
        <w:ind w:firstLine="481" w:firstLineChars="200"/>
        <w:rPr>
          <w:b/>
          <w:sz w:val="24"/>
        </w:rPr>
      </w:pPr>
      <w:r>
        <w:rPr>
          <w:b/>
          <w:sz w:val="24"/>
        </w:rPr>
        <w:t>三、获取招标文件</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000000"/>
          <w:sz w:val="24"/>
        </w:rPr>
      </w:pPr>
      <w:r>
        <w:rPr>
          <w:color w:val="000000"/>
          <w:sz w:val="24"/>
        </w:rPr>
        <w:t>时间：</w:t>
      </w:r>
      <w:r>
        <w:rPr>
          <w:rFonts w:hint="eastAsia"/>
          <w:color w:val="000000"/>
          <w:sz w:val="24"/>
          <w:u w:val="single"/>
        </w:rPr>
        <w:t>本公告发布之日起</w:t>
      </w:r>
      <w:r>
        <w:rPr>
          <w:color w:val="000000"/>
          <w:sz w:val="24"/>
        </w:rPr>
        <w:t>至</w:t>
      </w:r>
      <w:r>
        <w:rPr>
          <w:color w:val="000000"/>
          <w:sz w:val="24"/>
          <w:u w:val="single"/>
        </w:rPr>
        <w:t>20</w:t>
      </w:r>
      <w:r>
        <w:rPr>
          <w:rFonts w:hint="eastAsia"/>
          <w:color w:val="000000"/>
          <w:sz w:val="24"/>
          <w:u w:val="single"/>
        </w:rPr>
        <w:t>25</w:t>
      </w:r>
      <w:r>
        <w:rPr>
          <w:color w:val="000000"/>
          <w:sz w:val="24"/>
          <w:u w:val="single"/>
        </w:rPr>
        <w:t>年</w:t>
      </w:r>
      <w:r>
        <w:rPr>
          <w:rFonts w:hint="eastAsia"/>
          <w:color w:val="000000"/>
          <w:sz w:val="24"/>
          <w:u w:val="single"/>
        </w:rPr>
        <w:t>1</w:t>
      </w:r>
      <w:r>
        <w:rPr>
          <w:rFonts w:hint="default"/>
          <w:color w:val="000000"/>
          <w:sz w:val="24"/>
          <w:u w:val="single"/>
          <w:lang w:val="en"/>
        </w:rPr>
        <w:t>1</w:t>
      </w:r>
      <w:r>
        <w:rPr>
          <w:color w:val="000000"/>
          <w:sz w:val="24"/>
          <w:u w:val="single"/>
        </w:rPr>
        <w:t>月</w:t>
      </w:r>
      <w:r>
        <w:rPr>
          <w:rFonts w:hint="default"/>
          <w:color w:val="000000"/>
          <w:sz w:val="24"/>
          <w:u w:val="single"/>
          <w:lang w:val="en"/>
        </w:rPr>
        <w:t>21</w:t>
      </w:r>
      <w:r>
        <w:rPr>
          <w:color w:val="000000"/>
          <w:sz w:val="24"/>
          <w:u w:val="single"/>
        </w:rPr>
        <w:t>日</w:t>
      </w:r>
      <w:r>
        <w:rPr>
          <w:rFonts w:hint="eastAsia"/>
          <w:color w:val="000000"/>
          <w:sz w:val="24"/>
          <w:u w:val="single"/>
        </w:rPr>
        <w:t>14</w:t>
      </w:r>
      <w:r>
        <w:rPr>
          <w:color w:val="000000"/>
          <w:sz w:val="24"/>
          <w:u w:val="single"/>
        </w:rPr>
        <w:t>点</w:t>
      </w:r>
      <w:r>
        <w:rPr>
          <w:rFonts w:hint="eastAsia"/>
          <w:color w:val="000000"/>
          <w:sz w:val="24"/>
          <w:u w:val="single"/>
        </w:rPr>
        <w:t>00</w:t>
      </w:r>
      <w:r>
        <w:rPr>
          <w:color w:val="000000"/>
          <w:sz w:val="24"/>
          <w:u w:val="single"/>
        </w:rPr>
        <w:t>分</w:t>
      </w:r>
      <w:r>
        <w:rPr>
          <w:color w:val="000000"/>
          <w:sz w:val="24"/>
        </w:rPr>
        <w:t>。</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u w:val="single"/>
        </w:rPr>
      </w:pPr>
      <w:r>
        <w:rPr>
          <w:sz w:val="24"/>
        </w:rPr>
        <w:t>地点：南通市崇川区人民政府网</w:t>
      </w:r>
      <w:r>
        <w:rPr>
          <w:rFonts w:hint="eastAsia"/>
          <w:sz w:val="24"/>
        </w:rPr>
        <w:t>－公示公告栏</w:t>
      </w:r>
      <w:r>
        <w:rPr>
          <w:sz w:val="24"/>
        </w:rPr>
        <w:t>招标</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方式：自行下载</w:t>
      </w:r>
    </w:p>
    <w:p>
      <w:pPr>
        <w:keepNext w:val="0"/>
        <w:keepLines w:val="0"/>
        <w:pageBreakBefore w:val="0"/>
        <w:kinsoku/>
        <w:wordWrap/>
        <w:overflowPunct/>
        <w:topLinePunct w:val="0"/>
        <w:autoSpaceDE/>
        <w:autoSpaceDN/>
        <w:bidi w:val="0"/>
        <w:snapToGrid w:val="0"/>
        <w:spacing w:line="460" w:lineRule="exact"/>
        <w:ind w:firstLine="481" w:firstLineChars="200"/>
        <w:textAlignment w:val="auto"/>
        <w:rPr>
          <w:b/>
          <w:sz w:val="24"/>
        </w:rPr>
      </w:pPr>
      <w:r>
        <w:rPr>
          <w:b/>
          <w:sz w:val="24"/>
        </w:rPr>
        <w:t>四、提交投标文件截止时间、开标时间和地点</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000000"/>
          <w:sz w:val="24"/>
        </w:rPr>
      </w:pPr>
      <w:r>
        <w:rPr>
          <w:color w:val="000000"/>
          <w:sz w:val="24"/>
          <w:u w:val="single"/>
        </w:rPr>
        <w:t>20</w:t>
      </w:r>
      <w:r>
        <w:rPr>
          <w:rFonts w:hint="eastAsia"/>
          <w:color w:val="000000"/>
          <w:sz w:val="24"/>
          <w:u w:val="single"/>
        </w:rPr>
        <w:t>25</w:t>
      </w:r>
      <w:r>
        <w:rPr>
          <w:color w:val="000000"/>
          <w:sz w:val="24"/>
          <w:u w:val="single"/>
        </w:rPr>
        <w:t>年</w:t>
      </w:r>
      <w:r>
        <w:rPr>
          <w:rFonts w:hint="eastAsia"/>
          <w:color w:val="000000"/>
          <w:sz w:val="24"/>
          <w:u w:val="single"/>
        </w:rPr>
        <w:t>1</w:t>
      </w:r>
      <w:r>
        <w:rPr>
          <w:rFonts w:hint="default"/>
          <w:color w:val="000000"/>
          <w:sz w:val="24"/>
          <w:u w:val="single"/>
          <w:lang w:val="en"/>
        </w:rPr>
        <w:t>1</w:t>
      </w:r>
      <w:r>
        <w:rPr>
          <w:color w:val="000000"/>
          <w:sz w:val="24"/>
          <w:u w:val="single"/>
        </w:rPr>
        <w:t>月</w:t>
      </w:r>
      <w:r>
        <w:rPr>
          <w:rFonts w:hint="default"/>
          <w:color w:val="000000"/>
          <w:sz w:val="24"/>
          <w:u w:val="single"/>
          <w:lang w:val="en"/>
        </w:rPr>
        <w:t>2</w:t>
      </w:r>
      <w:r>
        <w:rPr>
          <w:rFonts w:hint="eastAsia"/>
          <w:color w:val="000000"/>
          <w:sz w:val="24"/>
          <w:u w:val="single"/>
        </w:rPr>
        <w:t>1</w:t>
      </w:r>
      <w:r>
        <w:rPr>
          <w:color w:val="000000"/>
          <w:sz w:val="24"/>
          <w:u w:val="single"/>
        </w:rPr>
        <w:t>日</w:t>
      </w:r>
      <w:r>
        <w:rPr>
          <w:rFonts w:hint="eastAsia"/>
          <w:color w:val="000000"/>
          <w:sz w:val="24"/>
          <w:u w:val="single"/>
        </w:rPr>
        <w:t>14</w:t>
      </w:r>
      <w:r>
        <w:rPr>
          <w:color w:val="000000"/>
          <w:sz w:val="24"/>
          <w:u w:val="single"/>
        </w:rPr>
        <w:t>点</w:t>
      </w:r>
      <w:r>
        <w:rPr>
          <w:rFonts w:hint="eastAsia"/>
          <w:color w:val="000000"/>
          <w:sz w:val="24"/>
          <w:u w:val="single"/>
        </w:rPr>
        <w:t>00</w:t>
      </w:r>
      <w:r>
        <w:rPr>
          <w:color w:val="000000"/>
          <w:sz w:val="24"/>
          <w:u w:val="single"/>
        </w:rPr>
        <w:t>分</w:t>
      </w:r>
      <w:r>
        <w:rPr>
          <w:color w:val="000000"/>
          <w:sz w:val="24"/>
        </w:rPr>
        <w:t>（北京时间），逾时拒绝接收投标响应文件。</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000000"/>
          <w:sz w:val="24"/>
        </w:rPr>
      </w:pPr>
      <w:r>
        <w:rPr>
          <w:color w:val="000000"/>
          <w:sz w:val="24"/>
        </w:rPr>
        <w:t>地点：</w:t>
      </w:r>
      <w:r>
        <w:rPr>
          <w:rFonts w:hint="eastAsia"/>
          <w:color w:val="000000"/>
          <w:sz w:val="24"/>
          <w:u w:val="single"/>
        </w:rPr>
        <w:t>南通市崇川区江海大道555号鸿鸣摩尔购物中心1幢13层会议室</w:t>
      </w:r>
      <w:r>
        <w:rPr>
          <w:color w:val="000000"/>
          <w:sz w:val="24"/>
        </w:rPr>
        <w:t>，如有变动另行通知。</w:t>
      </w:r>
    </w:p>
    <w:p>
      <w:pPr>
        <w:keepNext w:val="0"/>
        <w:keepLines w:val="0"/>
        <w:pageBreakBefore w:val="0"/>
        <w:kinsoku/>
        <w:wordWrap/>
        <w:overflowPunct/>
        <w:topLinePunct w:val="0"/>
        <w:autoSpaceDE/>
        <w:autoSpaceDN/>
        <w:bidi w:val="0"/>
        <w:snapToGrid w:val="0"/>
        <w:spacing w:line="460" w:lineRule="exact"/>
        <w:ind w:firstLine="481" w:firstLineChars="200"/>
        <w:textAlignment w:val="auto"/>
        <w:rPr>
          <w:b/>
          <w:sz w:val="24"/>
        </w:rPr>
      </w:pPr>
      <w:r>
        <w:rPr>
          <w:b/>
          <w:sz w:val="24"/>
        </w:rPr>
        <w:t>五、公告期限</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自本公告发布之日起</w:t>
      </w:r>
      <w:r>
        <w:rPr>
          <w:rFonts w:hint="default"/>
          <w:sz w:val="24"/>
          <w:lang w:val="en"/>
        </w:rPr>
        <w:t>20</w:t>
      </w:r>
      <w:r>
        <w:rPr>
          <w:sz w:val="24"/>
        </w:rPr>
        <w:t>个</w:t>
      </w:r>
      <w:r>
        <w:rPr>
          <w:rFonts w:hint="eastAsia"/>
          <w:sz w:val="24"/>
          <w:lang w:eastAsia="zh-CN"/>
        </w:rPr>
        <w:t>自然</w:t>
      </w:r>
      <w:r>
        <w:rPr>
          <w:sz w:val="24"/>
        </w:rPr>
        <w:t>日。</w:t>
      </w:r>
    </w:p>
    <w:p>
      <w:pPr>
        <w:keepNext w:val="0"/>
        <w:keepLines w:val="0"/>
        <w:pageBreakBefore w:val="0"/>
        <w:kinsoku/>
        <w:wordWrap/>
        <w:overflowPunct/>
        <w:topLinePunct w:val="0"/>
        <w:autoSpaceDE/>
        <w:autoSpaceDN/>
        <w:bidi w:val="0"/>
        <w:snapToGrid w:val="0"/>
        <w:spacing w:line="460" w:lineRule="exact"/>
        <w:ind w:firstLine="481" w:firstLineChars="200"/>
        <w:textAlignment w:val="auto"/>
        <w:rPr>
          <w:b/>
          <w:sz w:val="24"/>
        </w:rPr>
      </w:pPr>
      <w:r>
        <w:rPr>
          <w:b/>
          <w:sz w:val="24"/>
        </w:rPr>
        <w:t>六、其他补充事宜</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1.投标保证金：免收</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b/>
          <w:sz w:val="24"/>
        </w:rPr>
      </w:pPr>
      <w:r>
        <w:rPr>
          <w:sz w:val="24"/>
        </w:rPr>
        <w:t>2.项目开标活动模式：</w:t>
      </w:r>
      <w:r>
        <w:rPr>
          <w:bCs/>
          <w:sz w:val="24"/>
        </w:rPr>
        <w:t>现场投标模式</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3.项目演示、样品、答辩等：无</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4.对项目需求部分（供应商其他资格要求、项目需求、评分标准）的询问、质疑请向招标人提出，由招标人负责答复；对项目招标文件</w:t>
      </w:r>
      <w:r>
        <w:rPr>
          <w:rFonts w:hint="eastAsia"/>
          <w:sz w:val="24"/>
        </w:rPr>
        <w:t>其他部分</w:t>
      </w:r>
      <w:r>
        <w:rPr>
          <w:sz w:val="24"/>
        </w:rPr>
        <w:t>的询问请向招标人或项目联系人提出。</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5.</w:t>
      </w:r>
      <w:r>
        <w:rPr>
          <w:rFonts w:hint="eastAsia"/>
          <w:sz w:val="24"/>
        </w:rPr>
        <w:t>投标人</w:t>
      </w:r>
      <w:r>
        <w:rPr>
          <w:sz w:val="24"/>
        </w:rPr>
        <w:t>应依照规定提交各类声明函、承诺函，不再同时提供原件备查或提供有关部门出具的相关证明文件。但中标或</w:t>
      </w:r>
      <w:r>
        <w:rPr>
          <w:rFonts w:hint="eastAsia"/>
          <w:sz w:val="24"/>
        </w:rPr>
        <w:t>中标供应商</w:t>
      </w:r>
      <w:r>
        <w:rPr>
          <w:sz w:val="24"/>
        </w:rPr>
        <w:t>，应做好提交声明函、承诺函相应原件的核查准备；核查后发现虚假或违背承诺的，依照相关法律法规规定处理。</w:t>
      </w:r>
    </w:p>
    <w:p>
      <w:pPr>
        <w:keepNext w:val="0"/>
        <w:keepLines w:val="0"/>
        <w:pageBreakBefore w:val="0"/>
        <w:kinsoku/>
        <w:wordWrap/>
        <w:overflowPunct/>
        <w:topLinePunct w:val="0"/>
        <w:autoSpaceDE/>
        <w:autoSpaceDN/>
        <w:bidi w:val="0"/>
        <w:snapToGrid w:val="0"/>
        <w:spacing w:line="460" w:lineRule="exact"/>
        <w:ind w:firstLine="481" w:firstLineChars="200"/>
        <w:textAlignment w:val="auto"/>
        <w:rPr>
          <w:b/>
          <w:sz w:val="24"/>
        </w:rPr>
      </w:pPr>
      <w:r>
        <w:rPr>
          <w:b/>
          <w:sz w:val="24"/>
        </w:rPr>
        <w:t>七、对本次招标提出询问，请按以下方式联系。</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rPr>
      </w:pPr>
      <w:r>
        <w:rPr>
          <w:sz w:val="24"/>
        </w:rPr>
        <w:t xml:space="preserve">1. </w:t>
      </w:r>
      <w:r>
        <w:rPr>
          <w:rFonts w:hint="eastAsia"/>
          <w:sz w:val="24"/>
        </w:rPr>
        <w:t>招标</w:t>
      </w:r>
      <w:r>
        <w:rPr>
          <w:sz w:val="24"/>
        </w:rPr>
        <w:t>人信息</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sz w:val="24"/>
          <w:highlight w:val="green"/>
          <w:u w:val="single"/>
        </w:rPr>
      </w:pPr>
      <w:r>
        <w:rPr>
          <w:sz w:val="24"/>
        </w:rPr>
        <w:t>名 称：</w:t>
      </w:r>
      <w:r>
        <w:rPr>
          <w:rFonts w:hint="eastAsia"/>
          <w:sz w:val="24"/>
        </w:rPr>
        <w:t>陈桥街道办事处</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sz w:val="24"/>
        </w:rPr>
      </w:pPr>
      <w:r>
        <w:rPr>
          <w:sz w:val="24"/>
        </w:rPr>
        <w:t>联系方式：</w:t>
      </w:r>
      <w:r>
        <w:rPr>
          <w:rFonts w:hint="eastAsia"/>
          <w:sz w:val="24"/>
        </w:rPr>
        <w:t>钱坤 13921670865</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sz w:val="24"/>
        </w:rPr>
      </w:pPr>
      <w:r>
        <w:rPr>
          <w:sz w:val="24"/>
        </w:rPr>
        <w:t>2. 招标代理机构信息</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eastAsia"/>
          <w:sz w:val="24"/>
        </w:rPr>
      </w:pPr>
      <w:r>
        <w:rPr>
          <w:sz w:val="24"/>
        </w:rPr>
        <w:t>名 称：</w:t>
      </w:r>
      <w:r>
        <w:rPr>
          <w:rFonts w:hint="eastAsia"/>
          <w:sz w:val="24"/>
        </w:rPr>
        <w:t xml:space="preserve">江苏新世纪工程项目管理有限公司 </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eastAsia"/>
          <w:sz w:val="24"/>
        </w:rPr>
      </w:pPr>
      <w:r>
        <w:rPr>
          <w:sz w:val="24"/>
        </w:rPr>
        <w:t>地 址：</w:t>
      </w:r>
      <w:r>
        <w:rPr>
          <w:rFonts w:hint="eastAsia" w:ascii="宋体" w:hAnsi="宋体" w:cs="宋体"/>
          <w:sz w:val="24"/>
        </w:rPr>
        <w:t>南通市崇川区江海大道555号鸿鸣摩尔购物中心1幢1301室</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eastAsia"/>
          <w:sz w:val="24"/>
        </w:rPr>
      </w:pPr>
      <w:r>
        <w:rPr>
          <w:sz w:val="24"/>
        </w:rPr>
        <w:t>联系方式：</w:t>
      </w:r>
      <w:r>
        <w:rPr>
          <w:rFonts w:hint="eastAsia"/>
          <w:sz w:val="24"/>
        </w:rPr>
        <w:t>马继红15851396099</w:t>
      </w:r>
    </w:p>
    <w:p>
      <w:pPr>
        <w:keepNext w:val="0"/>
        <w:keepLines w:val="0"/>
        <w:pageBreakBefore w:val="0"/>
        <w:numPr>
          <w:ilvl w:val="0"/>
          <w:numId w:val="4"/>
        </w:numPr>
        <w:kinsoku/>
        <w:wordWrap/>
        <w:overflowPunct/>
        <w:topLinePunct w:val="0"/>
        <w:autoSpaceDE/>
        <w:autoSpaceDN/>
        <w:bidi w:val="0"/>
        <w:adjustRightInd w:val="0"/>
        <w:snapToGrid w:val="0"/>
        <w:spacing w:line="460" w:lineRule="exact"/>
        <w:ind w:firstLine="480" w:firstLineChars="200"/>
        <w:textAlignment w:val="auto"/>
        <w:rPr>
          <w:sz w:val="24"/>
        </w:rPr>
      </w:pPr>
      <w:r>
        <w:rPr>
          <w:sz w:val="24"/>
        </w:rPr>
        <w:t>项目联系方式</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rFonts w:hint="eastAsia"/>
          <w:sz w:val="24"/>
        </w:rPr>
      </w:pPr>
      <w:r>
        <w:rPr>
          <w:sz w:val="24"/>
        </w:rPr>
        <w:t>项目联系人：</w:t>
      </w:r>
      <w:r>
        <w:rPr>
          <w:rFonts w:hint="eastAsia"/>
          <w:sz w:val="24"/>
        </w:rPr>
        <w:t>马继红</w:t>
      </w:r>
    </w:p>
    <w:p>
      <w:pPr>
        <w:snapToGrid w:val="0"/>
        <w:spacing w:line="480" w:lineRule="exact"/>
        <w:ind w:firstLine="480" w:firstLineChars="200"/>
        <w:rPr>
          <w:rFonts w:hint="eastAsia"/>
          <w:sz w:val="24"/>
        </w:rPr>
      </w:pPr>
      <w:r>
        <w:rPr>
          <w:sz w:val="24"/>
        </w:rPr>
        <w:t>电 话：</w:t>
      </w:r>
      <w:r>
        <w:rPr>
          <w:rFonts w:hint="eastAsia"/>
          <w:sz w:val="24"/>
        </w:rPr>
        <w:t>15851396099</w:t>
      </w:r>
    </w:p>
    <w:p>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pPr>
        <w:snapToGrid w:val="0"/>
        <w:spacing w:line="480" w:lineRule="exact"/>
        <w:ind w:firstLine="361" w:firstLineChars="150"/>
        <w:outlineLvl w:val="0"/>
        <w:rPr>
          <w:sz w:val="24"/>
        </w:rPr>
      </w:pPr>
      <w:r>
        <w:rPr>
          <w:b/>
          <w:sz w:val="24"/>
        </w:rPr>
        <w:t>一、招标文件由</w:t>
      </w:r>
      <w:r>
        <w:rPr>
          <w:rFonts w:hint="eastAsia"/>
          <w:b/>
          <w:sz w:val="24"/>
        </w:rPr>
        <w:t>招标</w:t>
      </w:r>
      <w:r>
        <w:rPr>
          <w:b/>
          <w:sz w:val="24"/>
        </w:rPr>
        <w:t>人或招标代理机构解释</w:t>
      </w:r>
      <w:r>
        <w:rPr>
          <w:sz w:val="24"/>
        </w:rPr>
        <w:t>。</w:t>
      </w:r>
    </w:p>
    <w:p>
      <w:pPr>
        <w:snapToGrid w:val="0"/>
        <w:spacing w:line="480" w:lineRule="exact"/>
        <w:ind w:firstLine="480" w:firstLineChars="200"/>
        <w:rPr>
          <w:sz w:val="24"/>
        </w:rPr>
      </w:pPr>
      <w:r>
        <w:rPr>
          <w:sz w:val="24"/>
        </w:rPr>
        <w:t>1、</w:t>
      </w:r>
      <w:r>
        <w:rPr>
          <w:rFonts w:hint="eastAsia"/>
          <w:sz w:val="24"/>
        </w:rPr>
        <w:t>投标人</w:t>
      </w:r>
      <w:r>
        <w:rPr>
          <w:sz w:val="24"/>
        </w:rPr>
        <w:t>下载招标文件后，应仔细检查招标文件的所有内容，如对</w:t>
      </w:r>
      <w:r>
        <w:rPr>
          <w:rFonts w:hint="eastAsia"/>
          <w:sz w:val="24"/>
        </w:rPr>
        <w:t>招标</w:t>
      </w:r>
      <w:r>
        <w:rPr>
          <w:sz w:val="24"/>
        </w:rPr>
        <w:t>活动事项有疑问的，应在下载招标文件开始之日起3日内以书面形式提出询问或疑问，未在规定的3日内提出询问或疑问的，视同供应商理解并接受本招标文件所有内容，并由此引起的投标损失自负。</w:t>
      </w:r>
    </w:p>
    <w:p>
      <w:pPr>
        <w:snapToGrid w:val="0"/>
        <w:spacing w:line="480" w:lineRule="exact"/>
        <w:ind w:firstLine="480" w:firstLineChars="200"/>
        <w:rPr>
          <w:sz w:val="24"/>
        </w:rPr>
      </w:pPr>
      <w:r>
        <w:rPr>
          <w:sz w:val="24"/>
        </w:rPr>
        <w:t>2、投标人应认真审阅招标文件中所有的事项、格式、条款和规范要求等，如果投标人没有按照招标文件要求提交投标文件，或者投标文件没有对招标文件</w:t>
      </w:r>
      <w:r>
        <w:rPr>
          <w:rFonts w:hint="eastAsia"/>
          <w:sz w:val="24"/>
        </w:rPr>
        <w:t>作出</w:t>
      </w:r>
      <w:r>
        <w:rPr>
          <w:sz w:val="24"/>
        </w:rPr>
        <w:t>实质性响应，其投标将被拒绝，投标人自行承担责任。</w:t>
      </w:r>
    </w:p>
    <w:p>
      <w:pPr>
        <w:snapToGrid w:val="0"/>
        <w:spacing w:line="480" w:lineRule="exact"/>
        <w:ind w:firstLine="481" w:firstLineChars="200"/>
        <w:rPr>
          <w:b/>
          <w:sz w:val="24"/>
        </w:rPr>
      </w:pPr>
      <w:r>
        <w:rPr>
          <w:b/>
          <w:sz w:val="24"/>
        </w:rPr>
        <w:t>二、招标文件的澄清、修改、答疑</w:t>
      </w:r>
    </w:p>
    <w:p>
      <w:pPr>
        <w:pStyle w:val="16"/>
        <w:snapToGrid w:val="0"/>
        <w:spacing w:line="480" w:lineRule="exact"/>
        <w:ind w:left="0" w:firstLine="480" w:firstLineChars="200"/>
        <w:rPr>
          <w:rFonts w:ascii="Times New Roman" w:eastAsia="宋体"/>
          <w:sz w:val="24"/>
          <w:szCs w:val="24"/>
        </w:rPr>
      </w:pPr>
      <w:r>
        <w:rPr>
          <w:rFonts w:ascii="Times New Roman" w:eastAsia="宋体"/>
          <w:sz w:val="24"/>
          <w:szCs w:val="24"/>
        </w:rPr>
        <w:t>1、招标人有权对发出的招标文件进行必要的澄清或修改。</w:t>
      </w:r>
    </w:p>
    <w:p>
      <w:pPr>
        <w:pStyle w:val="16"/>
        <w:snapToGrid w:val="0"/>
        <w:spacing w:line="480" w:lineRule="exact"/>
        <w:ind w:left="0" w:firstLine="480" w:firstLineChars="200"/>
        <w:rPr>
          <w:rFonts w:ascii="Times New Roman" w:eastAsia="宋体"/>
          <w:sz w:val="24"/>
          <w:szCs w:val="24"/>
        </w:rPr>
      </w:pPr>
      <w:r>
        <w:rPr>
          <w:rFonts w:ascii="Times New Roman" w:eastAsia="宋体"/>
          <w:sz w:val="24"/>
          <w:szCs w:val="24"/>
        </w:rPr>
        <w:t>2、招标人可视情取消、延长相关时间。</w:t>
      </w:r>
    </w:p>
    <w:p>
      <w:pPr>
        <w:pStyle w:val="16"/>
        <w:snapToGrid w:val="0"/>
        <w:spacing w:line="480" w:lineRule="exact"/>
        <w:ind w:left="0" w:firstLine="480" w:firstLineChars="200"/>
        <w:rPr>
          <w:rFonts w:ascii="Times New Roman" w:eastAsia="宋体"/>
          <w:sz w:val="24"/>
          <w:szCs w:val="24"/>
        </w:rPr>
      </w:pPr>
      <w:r>
        <w:rPr>
          <w:rFonts w:ascii="Times New Roman" w:eastAsia="宋体"/>
          <w:sz w:val="24"/>
          <w:szCs w:val="24"/>
        </w:rPr>
        <w:t>3、招标人对招标文件的澄清、修改将构成招标文件的一部分，对投标人具有约束力。</w:t>
      </w:r>
    </w:p>
    <w:p>
      <w:pPr>
        <w:pStyle w:val="16"/>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4、投标人由于对招标文件的任何推论和误解以及招标人对有关问题的口头解释所造成的后果，均由投标人自负。</w:t>
      </w:r>
    </w:p>
    <w:p>
      <w:pPr>
        <w:pStyle w:val="16"/>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5、招标人视情组织答疑会。</w:t>
      </w:r>
    </w:p>
    <w:p>
      <w:pPr>
        <w:autoSpaceDE w:val="0"/>
        <w:autoSpaceDN w:val="0"/>
        <w:adjustRightInd w:val="0"/>
        <w:snapToGrid w:val="0"/>
        <w:spacing w:after="120" w:line="480" w:lineRule="exact"/>
        <w:ind w:firstLine="562"/>
        <w:contextualSpacing/>
        <w:rPr>
          <w:rFonts w:hint="eastAsia"/>
          <w:b/>
          <w:bCs/>
          <w:sz w:val="24"/>
        </w:rPr>
      </w:pPr>
      <w:r>
        <w:rPr>
          <w:b/>
          <w:bCs/>
          <w:sz w:val="24"/>
          <w:lang w:val="zh-CN"/>
        </w:rPr>
        <w:t>三、投标文件的编写、递交、</w:t>
      </w:r>
      <w:r>
        <w:rPr>
          <w:rFonts w:hint="eastAsia"/>
          <w:b/>
          <w:bCs/>
          <w:sz w:val="24"/>
        </w:rPr>
        <w:t>密封</w:t>
      </w:r>
    </w:p>
    <w:p>
      <w:pPr>
        <w:autoSpaceDE w:val="0"/>
        <w:autoSpaceDN w:val="0"/>
        <w:adjustRightInd w:val="0"/>
        <w:snapToGrid w:val="0"/>
        <w:spacing w:line="480" w:lineRule="exact"/>
        <w:ind w:right="210" w:firstLine="560"/>
        <w:rPr>
          <w:b/>
          <w:sz w:val="24"/>
        </w:rPr>
      </w:pPr>
      <w:r>
        <w:rPr>
          <w:b/>
          <w:sz w:val="24"/>
        </w:rPr>
        <w:t>（一）投标文件的编写</w:t>
      </w:r>
    </w:p>
    <w:p>
      <w:pPr>
        <w:snapToGrid w:val="0"/>
        <w:spacing w:line="480" w:lineRule="exact"/>
        <w:ind w:firstLine="600" w:firstLineChars="250"/>
        <w:contextualSpacing/>
        <w:rPr>
          <w:sz w:val="24"/>
        </w:rPr>
      </w:pPr>
      <w:r>
        <w:rPr>
          <w:rFonts w:hint="eastAsia"/>
          <w:sz w:val="24"/>
        </w:rPr>
        <w:t>投标人</w:t>
      </w:r>
      <w:r>
        <w:rPr>
          <w:sz w:val="24"/>
        </w:rPr>
        <w:t>按“第七部分 投标文件组成”要求编写投标文件。</w:t>
      </w:r>
    </w:p>
    <w:p>
      <w:pPr>
        <w:snapToGrid w:val="0"/>
        <w:spacing w:line="480" w:lineRule="exact"/>
        <w:ind w:firstLine="481" w:firstLineChars="200"/>
        <w:contextualSpacing/>
        <w:rPr>
          <w:rFonts w:eastAsia="仿宋_GB2312"/>
          <w:b/>
          <w:sz w:val="24"/>
        </w:rPr>
      </w:pPr>
      <w:r>
        <w:rPr>
          <w:b/>
          <w:sz w:val="24"/>
        </w:rPr>
        <w:t>（二）投标文件的递交</w:t>
      </w:r>
    </w:p>
    <w:p>
      <w:pPr>
        <w:snapToGrid w:val="0"/>
        <w:spacing w:line="480" w:lineRule="exact"/>
        <w:ind w:firstLine="600" w:firstLineChars="250"/>
        <w:contextualSpacing/>
        <w:rPr>
          <w:sz w:val="24"/>
        </w:rPr>
      </w:pPr>
      <w:r>
        <w:rPr>
          <w:sz w:val="24"/>
        </w:rPr>
        <w:t>1、投标文件</w:t>
      </w:r>
      <w:r>
        <w:rPr>
          <w:rFonts w:hint="eastAsia"/>
          <w:sz w:val="24"/>
        </w:rPr>
        <w:t>二</w:t>
      </w:r>
      <w:r>
        <w:rPr>
          <w:sz w:val="24"/>
        </w:rPr>
        <w:t>部分内容（资格审查文件、商务技术文件）须</w:t>
      </w:r>
      <w:r>
        <w:rPr>
          <w:b/>
          <w:bCs/>
          <w:sz w:val="24"/>
        </w:rPr>
        <w:t>分别单独密封</w:t>
      </w:r>
      <w:r>
        <w:rPr>
          <w:sz w:val="24"/>
        </w:rPr>
        <w:t>，并牢固装订成册，不得相互混淆，文件自编目录并连续标注页码，不得将内容拆开。报价文件不得出现于其他投标文件中。</w:t>
      </w:r>
    </w:p>
    <w:p>
      <w:pPr>
        <w:snapToGrid w:val="0"/>
        <w:spacing w:line="480" w:lineRule="exact"/>
        <w:ind w:firstLine="600" w:firstLineChars="250"/>
        <w:contextualSpacing/>
        <w:rPr>
          <w:sz w:val="24"/>
        </w:rPr>
      </w:pPr>
      <w:r>
        <w:rPr>
          <w:sz w:val="24"/>
        </w:rPr>
        <w:t>2、投标文件每一部分内容均须提供“</w:t>
      </w:r>
      <w:r>
        <w:rPr>
          <w:b/>
          <w:bCs/>
          <w:sz w:val="24"/>
        </w:rPr>
        <w:t>一正、</w:t>
      </w:r>
      <w:r>
        <w:rPr>
          <w:rFonts w:hint="eastAsia"/>
          <w:b/>
          <w:bCs/>
          <w:sz w:val="24"/>
        </w:rPr>
        <w:t>肆</w:t>
      </w:r>
      <w:r>
        <w:rPr>
          <w:b/>
          <w:bCs/>
          <w:sz w:val="24"/>
        </w:rPr>
        <w:t>副</w:t>
      </w:r>
      <w:r>
        <w:rPr>
          <w:sz w:val="24"/>
        </w:rPr>
        <w:t>”纸质投标文件，并将正本、副本及图纸类等（如需提供图纸等</w:t>
      </w:r>
      <w:r>
        <w:rPr>
          <w:rFonts w:hint="eastAsia"/>
          <w:sz w:val="24"/>
        </w:rPr>
        <w:t>其他</w:t>
      </w:r>
      <w:r>
        <w:rPr>
          <w:sz w:val="24"/>
        </w:rPr>
        <w:t>资料的话）合并密封，统一装在一个密封袋或密封箱内（如有A3大小的图纸类，可单独密封）。</w:t>
      </w:r>
    </w:p>
    <w:p>
      <w:pPr>
        <w:snapToGrid w:val="0"/>
        <w:spacing w:line="480" w:lineRule="exact"/>
        <w:ind w:firstLine="600" w:firstLineChars="250"/>
        <w:contextualSpacing/>
        <w:rPr>
          <w:sz w:val="24"/>
        </w:rPr>
      </w:pPr>
      <w:r>
        <w:rPr>
          <w:sz w:val="24"/>
        </w:rPr>
        <w:t>3、纸质投标文件须采用A4纸（图纸等除外），正本须打印并由法定代表人（负责人）或被授权人签字并加盖单位印章。副本可复印，但须加盖单位印章。文件内容中不得行间插字、涂改、增删，如修补错漏处，须由投标文件签署人签字并加盖公章。</w:t>
      </w:r>
    </w:p>
    <w:p>
      <w:pPr>
        <w:snapToGrid w:val="0"/>
        <w:spacing w:line="480" w:lineRule="exact"/>
        <w:ind w:firstLine="600" w:firstLineChars="250"/>
        <w:contextualSpacing/>
        <w:rPr>
          <w:sz w:val="24"/>
        </w:rPr>
      </w:pPr>
      <w:r>
        <w:rPr>
          <w:sz w:val="24"/>
        </w:rPr>
        <w:t>4、投标文件密封后应标明投标文件项目名称、标段名称、边缝处加盖单位骑缝章或骑缝签字。</w:t>
      </w:r>
    </w:p>
    <w:p>
      <w:pPr>
        <w:snapToGrid w:val="0"/>
        <w:spacing w:line="480" w:lineRule="exact"/>
        <w:ind w:firstLine="600" w:firstLineChars="250"/>
        <w:contextualSpacing/>
        <w:rPr>
          <w:sz w:val="24"/>
        </w:rPr>
      </w:pPr>
      <w:r>
        <w:rPr>
          <w:sz w:val="24"/>
        </w:rPr>
        <w:t>5、递交时间：供应商须在规定的投标文件接收截止时间前送达指定地点。</w:t>
      </w:r>
    </w:p>
    <w:p>
      <w:pPr>
        <w:snapToGrid w:val="0"/>
        <w:spacing w:line="480" w:lineRule="exact"/>
        <w:ind w:firstLine="602" w:firstLineChars="250"/>
        <w:contextualSpacing/>
        <w:rPr>
          <w:b/>
          <w:sz w:val="24"/>
        </w:rPr>
      </w:pPr>
      <w:r>
        <w:rPr>
          <w:b/>
          <w:sz w:val="24"/>
        </w:rPr>
        <w:t>友情提醒：代理机构将拒绝接收未按照招标文件要求密封的投标文件，拒绝接收在投标文件接收截止时间后递交的投标文件。如果供应商无故不到现场递交纸质投标文件或者故意迟到，影响开评标活动正常进行的，将被列作一般失信行为。</w:t>
      </w:r>
    </w:p>
    <w:p>
      <w:pPr>
        <w:snapToGrid w:val="0"/>
        <w:spacing w:line="460" w:lineRule="exact"/>
        <w:ind w:firstLine="481" w:firstLineChars="200"/>
        <w:outlineLvl w:val="1"/>
        <w:rPr>
          <w:b/>
          <w:bCs/>
          <w:sz w:val="24"/>
        </w:rPr>
      </w:pPr>
      <w:r>
        <w:rPr>
          <w:b/>
          <w:bCs/>
          <w:sz w:val="24"/>
        </w:rPr>
        <w:t>四、投标文件的有效期</w:t>
      </w:r>
    </w:p>
    <w:p>
      <w:pPr>
        <w:snapToGrid w:val="0"/>
        <w:spacing w:line="460" w:lineRule="exact"/>
        <w:ind w:firstLine="480" w:firstLineChars="200"/>
        <w:rPr>
          <w:sz w:val="24"/>
        </w:rPr>
      </w:pPr>
      <w:r>
        <w:rPr>
          <w:sz w:val="24"/>
        </w:rPr>
        <w:t>1、从投标文件接收截止之日算起，</w:t>
      </w:r>
      <w:r>
        <w:rPr>
          <w:b/>
          <w:sz w:val="24"/>
          <w:u w:val="single"/>
        </w:rPr>
        <w:t xml:space="preserve"> </w:t>
      </w:r>
      <w:r>
        <w:rPr>
          <w:rFonts w:hint="eastAsia"/>
          <w:b/>
          <w:sz w:val="24"/>
          <w:u w:val="single"/>
        </w:rPr>
        <w:t>60</w:t>
      </w:r>
      <w:r>
        <w:rPr>
          <w:b/>
          <w:sz w:val="24"/>
          <w:u w:val="single"/>
        </w:rPr>
        <w:t xml:space="preserve"> </w:t>
      </w:r>
      <w:r>
        <w:rPr>
          <w:sz w:val="24"/>
        </w:rPr>
        <w:t>个“日历天”内投标书应保持有效。有效期短于这个规定期限的，投标将被拒绝。</w:t>
      </w:r>
    </w:p>
    <w:p>
      <w:pPr>
        <w:snapToGrid w:val="0"/>
        <w:spacing w:line="460" w:lineRule="exact"/>
        <w:ind w:firstLine="470" w:firstLineChars="196"/>
        <w:outlineLvl w:val="1"/>
        <w:rPr>
          <w:b/>
          <w:sz w:val="24"/>
        </w:rPr>
      </w:pPr>
      <w:r>
        <w:rPr>
          <w:sz w:val="24"/>
        </w:rPr>
        <w:t>2、在特殊情况下，</w:t>
      </w:r>
      <w:r>
        <w:rPr>
          <w:rFonts w:hint="eastAsia"/>
          <w:sz w:val="24"/>
        </w:rPr>
        <w:t>招标</w:t>
      </w:r>
      <w:r>
        <w:rPr>
          <w:sz w:val="24"/>
        </w:rPr>
        <w:t>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481" w:firstLineChars="200"/>
        <w:contextualSpacing/>
        <w:rPr>
          <w:b/>
          <w:sz w:val="24"/>
        </w:rPr>
      </w:pPr>
      <w:r>
        <w:rPr>
          <w:b/>
          <w:sz w:val="24"/>
        </w:rPr>
        <w:t>五、投标报价</w:t>
      </w:r>
    </w:p>
    <w:p>
      <w:pPr>
        <w:snapToGrid w:val="0"/>
        <w:spacing w:line="480" w:lineRule="exact"/>
        <w:ind w:firstLine="480" w:firstLineChars="200"/>
        <w:rPr>
          <w:sz w:val="24"/>
        </w:rPr>
      </w:pPr>
      <w:r>
        <w:rPr>
          <w:rFonts w:hint="eastAsia"/>
          <w:sz w:val="24"/>
        </w:rPr>
        <w:t>本项目按固定价格进行结算，无需进行报价，结算方式详见第三部分。</w:t>
      </w:r>
    </w:p>
    <w:p>
      <w:pPr>
        <w:snapToGrid w:val="0"/>
        <w:spacing w:line="480" w:lineRule="exact"/>
        <w:ind w:firstLine="481" w:firstLineChars="200"/>
        <w:rPr>
          <w:sz w:val="24"/>
        </w:rPr>
      </w:pPr>
      <w:r>
        <w:rPr>
          <w:b/>
          <w:bCs/>
          <w:sz w:val="24"/>
        </w:rPr>
        <w:t>六、</w:t>
      </w:r>
      <w:r>
        <w:rPr>
          <w:b/>
          <w:sz w:val="24"/>
        </w:rPr>
        <w:t>投标</w:t>
      </w:r>
      <w:r>
        <w:rPr>
          <w:b/>
          <w:bCs/>
          <w:sz w:val="24"/>
        </w:rPr>
        <w:t>费用</w:t>
      </w:r>
    </w:p>
    <w:p>
      <w:pPr>
        <w:snapToGrid w:val="0"/>
        <w:spacing w:line="480" w:lineRule="exact"/>
        <w:ind w:firstLine="480" w:firstLineChars="200"/>
        <w:rPr>
          <w:sz w:val="24"/>
        </w:rPr>
      </w:pPr>
      <w:r>
        <w:rPr>
          <w:sz w:val="24"/>
        </w:rPr>
        <w:t>1、投标人承担参与投标可能发生的全部费用，招标人在任何情况下均无义务和责任承担这些费用。</w:t>
      </w:r>
    </w:p>
    <w:p>
      <w:pPr>
        <w:snapToGrid w:val="0"/>
        <w:spacing w:line="480" w:lineRule="exact"/>
        <w:ind w:firstLine="480" w:firstLineChars="200"/>
        <w:rPr>
          <w:sz w:val="24"/>
        </w:rPr>
      </w:pPr>
      <w:r>
        <w:rPr>
          <w:sz w:val="24"/>
        </w:rPr>
        <w:t>2、</w:t>
      </w:r>
      <w:r>
        <w:rPr>
          <w:rFonts w:hint="eastAsia" w:ascii="宋体" w:hAnsi="宋体" w:cs="宋体"/>
          <w:sz w:val="24"/>
        </w:rPr>
        <w:t>本项目资料费300元/套，现场递交投标文件时由代理单位收取，无论中标与否，不予退还</w:t>
      </w:r>
      <w:r>
        <w:rPr>
          <w:sz w:val="24"/>
        </w:rPr>
        <w:t>。</w:t>
      </w:r>
    </w:p>
    <w:p>
      <w:pPr>
        <w:snapToGrid w:val="0"/>
        <w:spacing w:line="440" w:lineRule="exact"/>
        <w:ind w:firstLine="480" w:firstLineChars="200"/>
        <w:outlineLvl w:val="1"/>
        <w:rPr>
          <w:rFonts w:hint="eastAsia"/>
          <w:b/>
          <w:bCs/>
          <w:sz w:val="24"/>
        </w:rPr>
      </w:pPr>
      <w:r>
        <w:rPr>
          <w:sz w:val="24"/>
        </w:rPr>
        <w:t>3、招标代理费</w:t>
      </w:r>
      <w:r>
        <w:rPr>
          <w:rFonts w:hint="eastAsia"/>
          <w:sz w:val="24"/>
        </w:rPr>
        <w:t>为陆仟元整，评审费按实结算，</w:t>
      </w:r>
      <w:r>
        <w:rPr>
          <w:sz w:val="24"/>
        </w:rPr>
        <w:t>本项目代理服务费</w:t>
      </w:r>
      <w:r>
        <w:rPr>
          <w:rFonts w:hint="eastAsia"/>
          <w:sz w:val="24"/>
        </w:rPr>
        <w:t>和评审费</w:t>
      </w:r>
      <w:r>
        <w:rPr>
          <w:sz w:val="24"/>
        </w:rPr>
        <w:t>由中标人承担</w:t>
      </w:r>
      <w:r>
        <w:rPr>
          <w:rFonts w:hint="eastAsia"/>
          <w:sz w:val="24"/>
        </w:rPr>
        <w:t>，在领取中标通知书前缴纳</w:t>
      </w:r>
      <w:r>
        <w:rPr>
          <w:sz w:val="24"/>
        </w:rPr>
        <w:t>。</w:t>
      </w:r>
    </w:p>
    <w:p>
      <w:pPr>
        <w:snapToGrid w:val="0"/>
        <w:spacing w:line="480" w:lineRule="exact"/>
        <w:ind w:firstLine="480" w:firstLineChars="200"/>
        <w:rPr>
          <w:rFonts w:hint="eastAsia"/>
          <w:sz w:val="24"/>
        </w:rPr>
      </w:pPr>
      <w:r>
        <w:rPr>
          <w:rFonts w:hint="eastAsia"/>
          <w:sz w:val="24"/>
        </w:rPr>
        <w:t>投标人自行考虑包含在投标总价内的该项费用及风险并将其综合在单价内，不得单列。代理服务费应在中标通知书发出送达后3日内一次性付清。</w:t>
      </w:r>
    </w:p>
    <w:p>
      <w:pPr>
        <w:snapToGrid w:val="0"/>
        <w:spacing w:line="480" w:lineRule="exact"/>
        <w:ind w:firstLine="481" w:firstLineChars="200"/>
        <w:rPr>
          <w:b/>
          <w:bCs/>
          <w:kern w:val="0"/>
          <w:sz w:val="24"/>
          <w:szCs w:val="20"/>
        </w:rPr>
      </w:pPr>
      <w:r>
        <w:rPr>
          <w:rFonts w:hint="eastAsia"/>
          <w:b/>
          <w:bCs/>
          <w:kern w:val="0"/>
          <w:sz w:val="24"/>
          <w:szCs w:val="20"/>
        </w:rPr>
        <w:t>七、</w:t>
      </w:r>
      <w:r>
        <w:rPr>
          <w:b/>
          <w:bCs/>
          <w:kern w:val="0"/>
          <w:sz w:val="24"/>
          <w:szCs w:val="20"/>
        </w:rPr>
        <w:t>项目涉及到的现场勘察</w:t>
      </w:r>
    </w:p>
    <w:p>
      <w:pPr>
        <w:snapToGrid w:val="0"/>
        <w:spacing w:line="480" w:lineRule="exact"/>
        <w:ind w:firstLine="480" w:firstLineChars="200"/>
        <w:rPr>
          <w:sz w:val="24"/>
        </w:rPr>
      </w:pPr>
      <w:r>
        <w:rPr>
          <w:sz w:val="24"/>
        </w:rPr>
        <w:t>1、根据自身情况，供应商对有关现场和周围环境进行勘察，以获取编制</w:t>
      </w:r>
      <w:r>
        <w:rPr>
          <w:rFonts w:hint="eastAsia"/>
          <w:sz w:val="24"/>
        </w:rPr>
        <w:t>投标响应</w:t>
      </w:r>
      <w:r>
        <w:rPr>
          <w:sz w:val="24"/>
        </w:rPr>
        <w:t>文件和签署合同所需的信息。</w:t>
      </w:r>
      <w:r>
        <w:rPr>
          <w:rFonts w:hint="eastAsia"/>
          <w:sz w:val="24"/>
        </w:rPr>
        <w:t>勘查现场</w:t>
      </w:r>
      <w:r>
        <w:rPr>
          <w:sz w:val="24"/>
        </w:rPr>
        <w:t>所发生的费用由供应商自己承担。</w:t>
      </w:r>
    </w:p>
    <w:p>
      <w:pPr>
        <w:snapToGrid w:val="0"/>
        <w:spacing w:line="480" w:lineRule="exact"/>
        <w:ind w:firstLine="480" w:firstLineChars="200"/>
        <w:rPr>
          <w:sz w:val="24"/>
        </w:rPr>
      </w:pPr>
      <w:r>
        <w:rPr>
          <w:sz w:val="24"/>
        </w:rPr>
        <w:t>2、招标人向供应商提供的有关现场的资料和数据，是招标人现有的并认为能使投标供应商可利用的资料。招标人对投标供应商由此而做出的推论、理解和结论概不负责。</w:t>
      </w:r>
    </w:p>
    <w:p>
      <w:pPr>
        <w:snapToGrid w:val="0"/>
        <w:spacing w:line="480" w:lineRule="exact"/>
        <w:ind w:firstLine="480" w:firstLineChars="200"/>
        <w:rPr>
          <w:sz w:val="24"/>
        </w:rPr>
      </w:pPr>
      <w:r>
        <w:rPr>
          <w:sz w:val="24"/>
        </w:rPr>
        <w:t>3、经招标人允许，供应商可为勘察目的进入招标人的项目现场，但供应商不得因此使招标人承担有关的责任和蒙受损失。供应商应承担</w:t>
      </w:r>
      <w:r>
        <w:rPr>
          <w:rFonts w:hint="eastAsia"/>
          <w:sz w:val="24"/>
        </w:rPr>
        <w:t>勘查现场</w:t>
      </w:r>
      <w:r>
        <w:rPr>
          <w:sz w:val="24"/>
        </w:rPr>
        <w:t>的责任和风险。</w:t>
      </w:r>
    </w:p>
    <w:p>
      <w:pPr>
        <w:snapToGrid w:val="0"/>
        <w:spacing w:line="480" w:lineRule="exact"/>
        <w:ind w:firstLine="480" w:firstLineChars="200"/>
        <w:rPr>
          <w:sz w:val="24"/>
        </w:rPr>
      </w:pPr>
      <w:r>
        <w:rPr>
          <w:sz w:val="24"/>
        </w:rPr>
        <w:t>4、供应商应自行对现场环境进行认真踏勘。在现场勘察时，熟悉服务现场、现场周围交通道路等情况，以获得一切可能影响其投标的直接资料。供应商</w:t>
      </w:r>
      <w:r>
        <w:rPr>
          <w:rFonts w:hint="eastAsia"/>
          <w:sz w:val="24"/>
        </w:rPr>
        <w:t>成交</w:t>
      </w:r>
      <w:r>
        <w:rPr>
          <w:sz w:val="24"/>
        </w:rPr>
        <w:t>后和签订合同时及服务过程中，不得以不完全了解现场情况为理由而向招标人提出任何形式增加服务费用的要求，服务过程中因场地问题引起的成本费用增加，均由供应商自行承担，结算时不予调整。</w:t>
      </w:r>
    </w:p>
    <w:p>
      <w:pPr>
        <w:snapToGrid w:val="0"/>
        <w:spacing w:line="520" w:lineRule="exact"/>
        <w:ind w:firstLine="480" w:firstLineChars="200"/>
        <w:jc w:val="left"/>
        <w:outlineLvl w:val="4"/>
        <w:rPr>
          <w:sz w:val="24"/>
        </w:rPr>
      </w:pPr>
      <w:r>
        <w:rPr>
          <w:rFonts w:hint="eastAsia"/>
          <w:sz w:val="24"/>
        </w:rPr>
        <w:t>现场</w:t>
      </w:r>
      <w:r>
        <w:rPr>
          <w:sz w:val="24"/>
        </w:rPr>
        <w:t>勘察联系人：</w:t>
      </w:r>
      <w:r>
        <w:rPr>
          <w:rFonts w:hint="eastAsia"/>
          <w:sz w:val="24"/>
        </w:rPr>
        <w:t>钱坤</w:t>
      </w:r>
      <w:r>
        <w:rPr>
          <w:sz w:val="24"/>
        </w:rPr>
        <w:t>，联系电话：</w:t>
      </w:r>
      <w:r>
        <w:rPr>
          <w:rFonts w:hint="eastAsia"/>
          <w:sz w:val="24"/>
        </w:rPr>
        <w:t>13921670865。</w:t>
      </w:r>
    </w:p>
    <w:p>
      <w:pPr>
        <w:pStyle w:val="9"/>
        <w:rPr>
          <w:rFonts w:hint="eastAsia"/>
        </w:rPr>
      </w:pPr>
    </w:p>
    <w:p>
      <w:pPr>
        <w:pStyle w:val="9"/>
      </w:pPr>
    </w:p>
    <w:p>
      <w:pPr>
        <w:snapToGrid w:val="0"/>
        <w:spacing w:line="360" w:lineRule="auto"/>
        <w:contextualSpacing/>
        <w:jc w:val="center"/>
        <w:rPr>
          <w:sz w:val="28"/>
          <w:szCs w:val="28"/>
          <w:u w:val="single"/>
        </w:rPr>
      </w:pPr>
      <w:r>
        <w:rPr>
          <w:sz w:val="24"/>
          <w:u w:val="single"/>
        </w:rPr>
        <w:br w:type="page"/>
      </w:r>
      <w:r>
        <w:rPr>
          <w:b/>
          <w:bCs/>
          <w:sz w:val="36"/>
          <w:szCs w:val="36"/>
        </w:rPr>
        <w:t>第三部分  项目需求说明</w:t>
      </w:r>
      <w:bookmarkStart w:id="3" w:name="OLE_LINK3"/>
      <w:bookmarkStart w:id="4" w:name="OLE_LINK4"/>
    </w:p>
    <w:p>
      <w:pPr>
        <w:pStyle w:val="77"/>
        <w:snapToGrid w:val="0"/>
        <w:spacing w:line="360" w:lineRule="auto"/>
        <w:ind w:firstLine="481" w:firstLineChars="200"/>
        <w:contextualSpacing/>
        <w:rPr>
          <w:rFonts w:ascii="Times New Roman" w:hAnsi="Times New Roman" w:eastAsia="宋体"/>
          <w:sz w:val="24"/>
          <w:szCs w:val="24"/>
        </w:rPr>
      </w:pPr>
      <w:r>
        <w:rPr>
          <w:rFonts w:ascii="Times New Roman" w:hAnsi="Times New Roman" w:eastAsia="宋体"/>
          <w:b/>
          <w:sz w:val="24"/>
          <w:szCs w:val="24"/>
          <w:lang w:val="zh-CN"/>
        </w:rPr>
        <w:t>请投标人在制作投标文件时仔细研究项目需求说明。</w:t>
      </w:r>
      <w:r>
        <w:rPr>
          <w:rFonts w:ascii="Times New Roman" w:hAnsi="Times New Roman" w:eastAsia="宋体"/>
          <w:sz w:val="24"/>
          <w:szCs w:val="24"/>
          <w:lang w:val="zh-CN"/>
        </w:rPr>
        <w:t>投标人不能简单照搬照抄招标人项目需求说明中的技术、商务要求，必须作实事求是的响应。如照搬照抄项目需求说明中的技术、商务要求的，中标后供应商在同招标人签订合同和履约环节中不得提出异议，一切后果和损失由中标供应商承担。</w:t>
      </w:r>
    </w:p>
    <w:bookmarkEnd w:id="3"/>
    <w:bookmarkEnd w:id="4"/>
    <w:p>
      <w:pPr>
        <w:snapToGrid w:val="0"/>
        <w:spacing w:line="480" w:lineRule="exact"/>
        <w:ind w:firstLine="481" w:firstLineChars="200"/>
        <w:contextualSpacing/>
        <w:outlineLvl w:val="0"/>
        <w:rPr>
          <w:rFonts w:hint="eastAsia"/>
          <w:b/>
          <w:sz w:val="24"/>
        </w:rPr>
      </w:pPr>
      <w:r>
        <w:rPr>
          <w:rFonts w:hint="eastAsia"/>
          <w:b/>
          <w:sz w:val="24"/>
        </w:rPr>
        <w:t>一</w:t>
      </w:r>
      <w:r>
        <w:rPr>
          <w:b/>
          <w:sz w:val="24"/>
        </w:rPr>
        <w:t>、项目</w:t>
      </w:r>
      <w:r>
        <w:rPr>
          <w:rFonts w:hint="eastAsia"/>
          <w:b/>
          <w:sz w:val="24"/>
        </w:rPr>
        <w:t>概况</w:t>
      </w:r>
    </w:p>
    <w:p>
      <w:pPr>
        <w:widowControl/>
        <w:spacing w:line="480" w:lineRule="exact"/>
        <w:ind w:firstLine="470" w:firstLineChars="196"/>
        <w:jc w:val="left"/>
        <w:rPr>
          <w:sz w:val="24"/>
        </w:rPr>
      </w:pPr>
      <w:r>
        <w:rPr>
          <w:rFonts w:hint="eastAsia"/>
          <w:sz w:val="24"/>
        </w:rPr>
        <w:t>1、</w:t>
      </w:r>
      <w:r>
        <w:rPr>
          <w:sz w:val="24"/>
        </w:rPr>
        <w:t>项目位置：</w:t>
      </w:r>
      <w:r>
        <w:rPr>
          <w:kern w:val="0"/>
          <w:sz w:val="24"/>
          <w:lang w:val="zh-CN"/>
        </w:rPr>
        <w:t>长泰路北、惠农路东</w:t>
      </w:r>
      <w:r>
        <w:rPr>
          <w:sz w:val="24"/>
        </w:rPr>
        <w:t>。</w:t>
      </w:r>
    </w:p>
    <w:p>
      <w:pPr>
        <w:spacing w:line="480" w:lineRule="exact"/>
        <w:ind w:firstLine="480" w:firstLineChars="200"/>
        <w:rPr>
          <w:rFonts w:hint="eastAsia"/>
          <w:sz w:val="24"/>
        </w:rPr>
      </w:pPr>
      <w:r>
        <w:rPr>
          <w:rFonts w:hint="eastAsia"/>
          <w:sz w:val="24"/>
        </w:rPr>
        <w:t>2、</w:t>
      </w:r>
      <w:r>
        <w:rPr>
          <w:sz w:val="24"/>
        </w:rPr>
        <w:t>项目面积及项目概况：</w:t>
      </w:r>
      <w:r>
        <w:rPr>
          <w:rFonts w:hint="eastAsia"/>
          <w:sz w:val="24"/>
        </w:rPr>
        <w:t>悦泰花园前期物业管理服务项目，悦泰花园位于崇川区</w:t>
      </w:r>
      <w:r>
        <w:rPr>
          <w:kern w:val="0"/>
          <w:sz w:val="24"/>
          <w:lang w:val="zh-CN"/>
        </w:rPr>
        <w:t>长泰路北、惠农路东</w:t>
      </w:r>
      <w:r>
        <w:rPr>
          <w:rFonts w:hint="eastAsia"/>
          <w:sz w:val="24"/>
        </w:rPr>
        <w:t>，</w:t>
      </w:r>
      <w:r>
        <w:rPr>
          <w:rFonts w:hint="eastAsia"/>
          <w:color w:val="000000"/>
          <w:sz w:val="24"/>
        </w:rPr>
        <w:t>建筑住宅面积</w:t>
      </w:r>
      <w:r>
        <w:rPr>
          <w:rFonts w:hint="eastAsia"/>
          <w:color w:val="000000"/>
          <w:sz w:val="24"/>
          <w:lang w:eastAsia="zh-CN"/>
        </w:rPr>
        <w:t>171309</w:t>
      </w:r>
      <w:r>
        <w:rPr>
          <w:rFonts w:hint="eastAsia"/>
          <w:color w:val="000000"/>
          <w:sz w:val="24"/>
        </w:rPr>
        <w:t>㎡</w:t>
      </w:r>
      <w:r>
        <w:rPr>
          <w:rFonts w:hint="eastAsia"/>
          <w:sz w:val="24"/>
        </w:rPr>
        <w:t xml:space="preserve">。 </w:t>
      </w:r>
    </w:p>
    <w:p>
      <w:pPr>
        <w:snapToGrid w:val="0"/>
        <w:spacing w:line="480" w:lineRule="exact"/>
        <w:ind w:firstLine="481" w:firstLineChars="200"/>
        <w:contextualSpacing/>
        <w:outlineLvl w:val="0"/>
        <w:rPr>
          <w:b/>
          <w:sz w:val="24"/>
        </w:rPr>
      </w:pPr>
      <w:r>
        <w:rPr>
          <w:rFonts w:hint="eastAsia"/>
          <w:b/>
          <w:sz w:val="24"/>
        </w:rPr>
        <w:t>二、物业服务内容及要求</w:t>
      </w:r>
    </w:p>
    <w:p>
      <w:pPr>
        <w:spacing w:line="360" w:lineRule="auto"/>
        <w:ind w:firstLine="481" w:firstLineChars="200"/>
        <w:rPr>
          <w:rFonts w:hint="eastAsia" w:ascii="宋体" w:hAnsi="宋体" w:cs="宋体"/>
          <w:sz w:val="24"/>
        </w:rPr>
      </w:pPr>
      <w:r>
        <w:rPr>
          <w:rFonts w:hint="eastAsia" w:ascii="宋体" w:hAnsi="宋体" w:cs="宋体"/>
          <w:b/>
          <w:bCs/>
          <w:sz w:val="24"/>
        </w:rPr>
        <w:t>（一）物业服务包括以下事项：</w:t>
      </w:r>
    </w:p>
    <w:p>
      <w:pPr>
        <w:spacing w:line="360" w:lineRule="auto"/>
        <w:ind w:firstLine="480" w:firstLineChars="200"/>
        <w:rPr>
          <w:rFonts w:hint="eastAsia" w:ascii="宋体" w:hAnsi="宋体" w:cs="宋体"/>
          <w:sz w:val="24"/>
        </w:rPr>
      </w:pPr>
      <w:r>
        <w:rPr>
          <w:rFonts w:hint="eastAsia" w:ascii="宋体" w:hAnsi="宋体" w:cs="宋体"/>
          <w:sz w:val="24"/>
        </w:rPr>
        <w:t>1、保洁服务（含公建房的小区整体公共区域保洁服务，不承担任何公共能耗及维修、耗材）；</w:t>
      </w:r>
    </w:p>
    <w:p>
      <w:pPr>
        <w:spacing w:line="360" w:lineRule="auto"/>
        <w:ind w:firstLine="480" w:firstLineChars="200"/>
        <w:rPr>
          <w:rFonts w:hint="eastAsia" w:ascii="宋体" w:hAnsi="宋体" w:cs="宋体"/>
          <w:sz w:val="24"/>
        </w:rPr>
      </w:pPr>
      <w:r>
        <w:rPr>
          <w:rFonts w:hint="eastAsia" w:ascii="宋体" w:hAnsi="宋体" w:cs="宋体"/>
          <w:sz w:val="24"/>
        </w:rPr>
        <w:t>2、甲方委托管理的保安管理、维修等具体事宜。</w:t>
      </w:r>
    </w:p>
    <w:p>
      <w:pPr>
        <w:spacing w:line="360" w:lineRule="auto"/>
        <w:ind w:firstLine="480" w:firstLineChars="200"/>
        <w:rPr>
          <w:rFonts w:hint="eastAsia" w:ascii="宋体" w:hAnsi="宋体" w:cs="宋体"/>
          <w:sz w:val="24"/>
        </w:rPr>
      </w:pPr>
      <w:r>
        <w:rPr>
          <w:rFonts w:hint="eastAsia" w:ascii="宋体" w:hAnsi="宋体" w:cs="宋体"/>
          <w:sz w:val="24"/>
        </w:rPr>
        <w:t>3、小区服务范围内的消防电梯系统的日常检查管理维护。</w:t>
      </w:r>
    </w:p>
    <w:p>
      <w:pPr>
        <w:spacing w:line="360" w:lineRule="auto"/>
        <w:ind w:firstLine="480" w:firstLineChars="200"/>
        <w:rPr>
          <w:rFonts w:hint="eastAsia" w:ascii="宋体" w:hAnsi="宋体" w:cs="宋体"/>
          <w:sz w:val="24"/>
        </w:rPr>
      </w:pPr>
      <w:r>
        <w:rPr>
          <w:rFonts w:hint="eastAsia" w:ascii="宋体" w:hAnsi="宋体" w:cs="宋体"/>
          <w:sz w:val="24"/>
        </w:rPr>
        <w:t>4、提供环境卫生管理方案，其中须包含但不限于：室内公共区域内地面、楼道、栏杆的每周清洁、除尘并在顶楼签到；室外包括小区道路地面、绿地、宣传栏等清洁；消毒灭害；垃圾收集清理（不含垃圾清运）；保持小区整洁干净的环境。</w:t>
      </w:r>
    </w:p>
    <w:p>
      <w:pPr>
        <w:pStyle w:val="16"/>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5、配合进行公共绿化养护和管理。</w:t>
      </w:r>
    </w:p>
    <w:p>
      <w:pPr>
        <w:spacing w:line="360" w:lineRule="auto"/>
        <w:ind w:firstLine="481" w:firstLineChars="200"/>
        <w:rPr>
          <w:rFonts w:hint="eastAsia" w:ascii="宋体" w:hAnsi="宋体" w:cs="宋体"/>
          <w:b/>
          <w:bCs/>
          <w:sz w:val="24"/>
        </w:rPr>
      </w:pPr>
      <w:r>
        <w:rPr>
          <w:rFonts w:hint="eastAsia" w:ascii="宋体" w:hAnsi="宋体" w:cs="宋体"/>
          <w:b/>
          <w:bCs/>
          <w:sz w:val="24"/>
        </w:rPr>
        <w:t>（二）物业服务范围</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室内公共区域卫生：楼道、栏杆等；</w:t>
      </w:r>
    </w:p>
    <w:p>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室外公共区域卫生：包含整个小区室外道路、绿化带、停车位等区域卫生保洁。</w:t>
      </w:r>
    </w:p>
    <w:p>
      <w:pPr>
        <w:spacing w:line="360" w:lineRule="auto"/>
        <w:ind w:firstLine="480" w:firstLineChars="200"/>
        <w:rPr>
          <w:rFonts w:ascii="宋体" w:hAnsi="宋体" w:cs="宋体"/>
          <w:sz w:val="24"/>
        </w:rPr>
      </w:pPr>
      <w:r>
        <w:rPr>
          <w:rFonts w:hint="eastAsia" w:ascii="宋体" w:hAnsi="宋体" w:cs="宋体"/>
          <w:sz w:val="24"/>
        </w:rPr>
        <w:t>3、对小区居民进行建档立册，完善小区物业档案资料。</w:t>
      </w:r>
    </w:p>
    <w:p>
      <w:pPr>
        <w:spacing w:line="360" w:lineRule="auto"/>
        <w:ind w:firstLine="480" w:firstLineChars="200"/>
        <w:rPr>
          <w:rFonts w:hint="eastAsia" w:ascii="宋体" w:hAnsi="宋体" w:cs="宋体"/>
          <w:sz w:val="24"/>
        </w:rPr>
      </w:pPr>
      <w:r>
        <w:rPr>
          <w:rFonts w:hint="eastAsia" w:ascii="宋体" w:hAnsi="宋体" w:cs="宋体"/>
          <w:sz w:val="24"/>
        </w:rPr>
        <w:t>4、定时收取小区公建房水电费。</w:t>
      </w:r>
    </w:p>
    <w:p>
      <w:pPr>
        <w:spacing w:line="360" w:lineRule="auto"/>
        <w:ind w:firstLine="480" w:firstLineChars="200"/>
        <w:rPr>
          <w:rFonts w:hint="eastAsia" w:ascii="宋体" w:hAnsi="宋体" w:cs="宋体"/>
          <w:sz w:val="24"/>
        </w:rPr>
      </w:pPr>
      <w:r>
        <w:rPr>
          <w:rFonts w:hint="eastAsia" w:ascii="宋体" w:hAnsi="宋体" w:cs="宋体"/>
          <w:sz w:val="24"/>
        </w:rPr>
        <w:t>5、提供无偿便民服务内容：打气筒借用、便民服务信息张贴、换灯泡、水龙头（业主自备物料）等简单水电维修、老人手机使用帮助等。</w:t>
      </w:r>
    </w:p>
    <w:p>
      <w:pPr>
        <w:spacing w:line="360" w:lineRule="auto"/>
        <w:ind w:firstLine="480" w:firstLineChars="200"/>
        <w:rPr>
          <w:rFonts w:hint="eastAsia" w:ascii="宋体" w:hAnsi="宋体" w:cs="宋体"/>
          <w:sz w:val="24"/>
        </w:rPr>
      </w:pPr>
      <w:r>
        <w:rPr>
          <w:rFonts w:hint="eastAsia" w:ascii="宋体" w:hAnsi="宋体" w:cs="宋体"/>
          <w:sz w:val="24"/>
        </w:rPr>
        <w:t>6、提供有偿便民服务内容：疏通下水道（公共面积除外）、复杂水电维修、家庭保洁、灯具成套更新换代安装等。有偿服务由业主或物业使用人根据需求自愿选择，费用由业主或物业使用人承担，收费标准由乙方依据市场调节价确定并予以公示。</w:t>
      </w:r>
    </w:p>
    <w:p>
      <w:pPr>
        <w:spacing w:line="360" w:lineRule="auto"/>
        <w:ind w:firstLine="481" w:firstLineChars="200"/>
        <w:rPr>
          <w:rFonts w:ascii="宋体" w:hAnsi="宋体" w:cs="宋体"/>
          <w:b/>
          <w:bCs/>
          <w:sz w:val="24"/>
        </w:rPr>
      </w:pPr>
      <w:r>
        <w:rPr>
          <w:rFonts w:hint="eastAsia" w:ascii="宋体" w:hAnsi="宋体" w:cs="宋体"/>
          <w:b/>
          <w:bCs/>
          <w:sz w:val="24"/>
        </w:rPr>
        <w:t>（三）</w:t>
      </w:r>
      <w:r>
        <w:rPr>
          <w:rFonts w:ascii="宋体" w:hAnsi="宋体" w:cs="宋体"/>
          <w:b/>
          <w:bCs/>
          <w:sz w:val="24"/>
        </w:rPr>
        <w:t>服务要求</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地面保持干净、光亮，没有烟蒂、纸屑等杂物，墙面四周及阴角做到无蜘蛛网；</w:t>
      </w:r>
    </w:p>
    <w:p>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小区道路干净整洁，地面无杂草、杂物、无烟头纸屑，垃圾清扫及时，在规定时间内完成保洁作业任务；</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根据季节需要灭鼠、灭蟑螂，无明显蚊蝇滋生、鼠迹；</w:t>
      </w:r>
    </w:p>
    <w:p>
      <w:pPr>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工作期间接受甲方监督，遵守甲方管理制度，并完成甲方交办的一些临时性工作。</w:t>
      </w:r>
    </w:p>
    <w:p>
      <w:pPr>
        <w:spacing w:line="360" w:lineRule="auto"/>
        <w:ind w:firstLine="480" w:firstLineChars="200"/>
        <w:rPr>
          <w:rFonts w:hint="eastAsia" w:ascii="宋体" w:hAnsi="宋体" w:cs="宋体"/>
          <w:sz w:val="24"/>
        </w:rPr>
      </w:pPr>
      <w:r>
        <w:rPr>
          <w:rFonts w:hint="eastAsia" w:ascii="宋体" w:hAnsi="宋体" w:cs="宋体"/>
          <w:sz w:val="24"/>
        </w:rPr>
        <w:t>5、公示24小时服务电话，及时接收业主和使用人的报修、求助、建议、问询、质疑、投诉等，对业主的投诉48小时内答复处理，做到投诉有受理、有记录、有处理、有回访。</w:t>
      </w:r>
    </w:p>
    <w:p>
      <w:pPr>
        <w:spacing w:line="360" w:lineRule="auto"/>
        <w:rPr>
          <w:rFonts w:hint="eastAsia" w:ascii="宋体" w:hAnsi="宋体" w:cs="宋体"/>
          <w:b/>
          <w:bCs/>
          <w:sz w:val="24"/>
        </w:rPr>
      </w:pPr>
      <w:r>
        <w:rPr>
          <w:rFonts w:hint="eastAsia" w:ascii="宋体" w:hAnsi="宋体" w:cs="宋体"/>
          <w:sz w:val="24"/>
        </w:rPr>
        <w:t>紧急报修45分钟内（9:00--20:00）赶到现场处理，有完整的报修、维修记录，一般修理3天内完成，不能及时修复的，约时修理。</w:t>
      </w:r>
    </w:p>
    <w:p>
      <w:pPr>
        <w:spacing w:line="360" w:lineRule="auto"/>
        <w:ind w:firstLine="481" w:firstLineChars="200"/>
        <w:rPr>
          <w:rFonts w:hint="eastAsia" w:ascii="宋体" w:hAnsi="宋体" w:cs="宋体"/>
          <w:b/>
          <w:bCs/>
          <w:sz w:val="24"/>
        </w:rPr>
      </w:pPr>
      <w:r>
        <w:rPr>
          <w:rFonts w:hint="eastAsia" w:ascii="宋体" w:hAnsi="宋体" w:cs="宋体"/>
          <w:b/>
          <w:bCs/>
          <w:sz w:val="24"/>
        </w:rPr>
        <w:t>（四）物业的公共秩序维护</w:t>
      </w:r>
    </w:p>
    <w:p>
      <w:pPr>
        <w:spacing w:line="360" w:lineRule="auto"/>
        <w:ind w:firstLine="480" w:firstLineChars="200"/>
        <w:rPr>
          <w:rFonts w:hint="eastAsia" w:ascii="宋体" w:hAnsi="宋体" w:cs="宋体"/>
          <w:sz w:val="24"/>
        </w:rPr>
      </w:pPr>
      <w:r>
        <w:rPr>
          <w:rFonts w:hint="eastAsia" w:ascii="宋体" w:hAnsi="宋体" w:cs="宋体"/>
          <w:sz w:val="24"/>
        </w:rPr>
        <w:t>1、小区主出入口设有小区平面图、居民公约、防火公约，消防设施器材标识齐全。</w:t>
      </w:r>
    </w:p>
    <w:p>
      <w:pPr>
        <w:spacing w:line="360" w:lineRule="auto"/>
        <w:ind w:firstLine="480" w:firstLineChars="200"/>
        <w:rPr>
          <w:rFonts w:hint="eastAsia" w:ascii="宋体" w:hAnsi="宋体" w:cs="宋体"/>
          <w:sz w:val="24"/>
        </w:rPr>
      </w:pPr>
      <w:r>
        <w:rPr>
          <w:rFonts w:hint="eastAsia" w:ascii="宋体" w:hAnsi="宋体" w:cs="宋体"/>
          <w:sz w:val="24"/>
        </w:rPr>
        <w:t>2、门岗整洁，24小时值勤看守，交接班制度完善、有记录，对外来人员进入小区进行问询、盘查，保持出入口环境整洁、卫生、有序。</w:t>
      </w:r>
    </w:p>
    <w:p>
      <w:pPr>
        <w:spacing w:line="360" w:lineRule="auto"/>
        <w:ind w:firstLine="480" w:firstLineChars="200"/>
        <w:rPr>
          <w:rFonts w:hint="eastAsia" w:ascii="宋体" w:hAnsi="宋体" w:cs="宋体"/>
          <w:sz w:val="24"/>
        </w:rPr>
      </w:pPr>
      <w:r>
        <w:rPr>
          <w:rFonts w:hint="eastAsia" w:ascii="宋体" w:hAnsi="宋体" w:cs="宋体"/>
          <w:sz w:val="24"/>
        </w:rPr>
        <w:t>3、设置巡逻岗，24小时巡逻次数不少于4次，有巡查记录，发现异常情况、突发事件时，采取相应的应对措施，防止事态扩大并迅速向相关部门汇报，协助保护现场和收集证据。</w:t>
      </w:r>
    </w:p>
    <w:p>
      <w:pPr>
        <w:spacing w:line="360" w:lineRule="auto"/>
        <w:ind w:firstLine="480" w:firstLineChars="200"/>
        <w:rPr>
          <w:rFonts w:hint="eastAsia" w:ascii="宋体" w:hAnsi="宋体" w:cs="宋体"/>
          <w:sz w:val="24"/>
        </w:rPr>
      </w:pPr>
      <w:r>
        <w:rPr>
          <w:rFonts w:hint="eastAsia" w:ascii="宋体" w:hAnsi="宋体" w:cs="宋体"/>
          <w:sz w:val="24"/>
        </w:rPr>
        <w:t>4、小区内配有监控设施，监控记录储存不低于30天，监控室、消防控制室内的人员需24小时在岗，值班人员需持证上岗。</w:t>
      </w:r>
    </w:p>
    <w:p>
      <w:pPr>
        <w:spacing w:line="360" w:lineRule="auto"/>
        <w:ind w:firstLine="481" w:firstLineChars="200"/>
        <w:rPr>
          <w:rFonts w:hint="eastAsia" w:ascii="宋体" w:hAnsi="宋体" w:cs="宋体"/>
          <w:b/>
          <w:bCs/>
          <w:sz w:val="24"/>
        </w:rPr>
      </w:pPr>
      <w:r>
        <w:rPr>
          <w:rFonts w:hint="eastAsia" w:ascii="宋体" w:hAnsi="宋体" w:cs="宋体"/>
          <w:b/>
          <w:bCs/>
          <w:sz w:val="24"/>
        </w:rPr>
        <w:t>（五）车辆停放秩序管理</w:t>
      </w:r>
    </w:p>
    <w:p>
      <w:pPr>
        <w:spacing w:line="360" w:lineRule="auto"/>
        <w:ind w:firstLine="480" w:firstLineChars="200"/>
        <w:rPr>
          <w:rFonts w:hint="eastAsia" w:ascii="宋体" w:hAnsi="宋体" w:cs="宋体"/>
          <w:sz w:val="24"/>
        </w:rPr>
      </w:pPr>
      <w:r>
        <w:rPr>
          <w:rFonts w:hint="eastAsia" w:ascii="宋体" w:hAnsi="宋体" w:cs="宋体"/>
          <w:sz w:val="24"/>
        </w:rPr>
        <w:t>1、中标供应商负责物业区域内的汽车停放管理，对机动车位进行登记管理，收取车位管理费及人防区域的车位租金。机动车停放不得占用消防通道和消防登高场地。</w:t>
      </w:r>
    </w:p>
    <w:p>
      <w:pPr>
        <w:spacing w:line="360" w:lineRule="auto"/>
        <w:ind w:firstLine="480" w:firstLineChars="200"/>
        <w:rPr>
          <w:rFonts w:hint="eastAsia" w:ascii="宋体" w:hAnsi="宋体" w:cs="宋体"/>
          <w:sz w:val="24"/>
        </w:rPr>
      </w:pPr>
      <w:r>
        <w:rPr>
          <w:rFonts w:hint="eastAsia" w:ascii="宋体" w:hAnsi="宋体" w:cs="宋体"/>
          <w:sz w:val="24"/>
        </w:rPr>
        <w:t>2、提档升级智能道闸系统，根据小区车辆管理办法对业主自有车辆及外来访客车辆进行严格管理。小区主要进出口周边及重要通行道口严禁车辆停放。</w:t>
      </w:r>
    </w:p>
    <w:p>
      <w:pPr>
        <w:spacing w:line="360" w:lineRule="auto"/>
        <w:ind w:firstLine="480" w:firstLineChars="200"/>
        <w:rPr>
          <w:rFonts w:hint="eastAsia" w:ascii="宋体" w:hAnsi="宋体" w:cs="宋体"/>
          <w:sz w:val="24"/>
        </w:rPr>
      </w:pPr>
      <w:r>
        <w:rPr>
          <w:rFonts w:hint="eastAsia" w:ascii="宋体" w:hAnsi="宋体" w:cs="宋体"/>
          <w:sz w:val="24"/>
        </w:rPr>
        <w:t>3、有条件的小区可在地下或地上设置电瓶车停放、充电点，推进安装智能联网式充电桩，禁止业主私拉乱接及“飞线”充电，禁止电瓶车进入电梯及在楼道内充电。</w:t>
      </w:r>
    </w:p>
    <w:p>
      <w:pPr>
        <w:spacing w:line="360" w:lineRule="auto"/>
        <w:ind w:firstLine="481" w:firstLineChars="200"/>
        <w:rPr>
          <w:rFonts w:hint="eastAsia" w:ascii="宋体" w:hAnsi="宋体" w:cs="宋体"/>
          <w:sz w:val="24"/>
        </w:rPr>
      </w:pPr>
      <w:r>
        <w:rPr>
          <w:rFonts w:hint="eastAsia" w:ascii="宋体" w:hAnsi="宋体" w:cs="宋体"/>
          <w:b/>
          <w:bCs/>
          <w:sz w:val="24"/>
        </w:rPr>
        <w:t>（六）公共秩序维护、安全防范、小区内交通等事项的协助管理</w:t>
      </w:r>
    </w:p>
    <w:p>
      <w:pPr>
        <w:spacing w:line="360" w:lineRule="auto"/>
        <w:ind w:firstLine="480" w:firstLineChars="200"/>
        <w:rPr>
          <w:rFonts w:hint="eastAsia" w:ascii="宋体" w:hAnsi="宋体" w:cs="宋体"/>
          <w:sz w:val="24"/>
        </w:rPr>
      </w:pPr>
      <w:r>
        <w:rPr>
          <w:rFonts w:hint="eastAsia" w:ascii="宋体" w:hAnsi="宋体" w:cs="宋体"/>
          <w:sz w:val="24"/>
        </w:rPr>
        <w:t>1、中标供应商应当协助公安、消防、质监部门做好物业管理区域内的公共秩序维护和安全防范工作。在本物业管理区域内发生治安案件或者各类灾害事故时，应当及时向公安和有关部门报告，并积极协助做好调查和救助工作。</w:t>
      </w:r>
    </w:p>
    <w:p>
      <w:pPr>
        <w:spacing w:line="360" w:lineRule="auto"/>
        <w:ind w:firstLine="480" w:firstLineChars="200"/>
        <w:rPr>
          <w:rFonts w:hint="eastAsia" w:ascii="宋体" w:hAnsi="宋体" w:cs="宋体"/>
          <w:sz w:val="24"/>
        </w:rPr>
      </w:pPr>
      <w:r>
        <w:rPr>
          <w:rFonts w:hint="eastAsia" w:ascii="宋体" w:hAnsi="宋体" w:cs="宋体"/>
          <w:sz w:val="24"/>
        </w:rPr>
        <w:t>2、中标供应商应对擅自占用，侵害物业共用部位、共用设施设备、改变使用功能的行为进行制止，并要求责任人停止侵害的行为，并要求其恢复原状。</w:t>
      </w:r>
    </w:p>
    <w:p>
      <w:pPr>
        <w:spacing w:line="360" w:lineRule="auto"/>
        <w:ind w:firstLine="480" w:firstLineChars="200"/>
        <w:rPr>
          <w:rFonts w:hint="eastAsia" w:ascii="宋体" w:hAnsi="宋体" w:cs="宋体"/>
          <w:sz w:val="24"/>
        </w:rPr>
      </w:pPr>
      <w:r>
        <w:rPr>
          <w:rFonts w:hint="eastAsia" w:ascii="宋体" w:hAnsi="宋体" w:cs="宋体"/>
          <w:sz w:val="24"/>
        </w:rPr>
        <w:t>3、中标供应商应对业主违法或违反小区其他管理规约的行为，进行劝阻、制止，并向采购人和有关部门报告。</w:t>
      </w:r>
    </w:p>
    <w:p>
      <w:pPr>
        <w:spacing w:line="360" w:lineRule="auto"/>
        <w:ind w:firstLine="481" w:firstLineChars="200"/>
        <w:rPr>
          <w:rFonts w:hint="eastAsia" w:ascii="宋体" w:hAnsi="宋体" w:cs="宋体"/>
          <w:b/>
          <w:bCs/>
          <w:sz w:val="24"/>
        </w:rPr>
      </w:pPr>
      <w:r>
        <w:rPr>
          <w:rFonts w:hint="eastAsia" w:ascii="宋体" w:hAnsi="宋体" w:cs="宋体"/>
          <w:b/>
          <w:bCs/>
          <w:sz w:val="24"/>
        </w:rPr>
        <w:t>（七）装饰装修管理服务</w:t>
      </w:r>
    </w:p>
    <w:p>
      <w:pPr>
        <w:spacing w:line="360" w:lineRule="auto"/>
        <w:ind w:firstLine="480" w:firstLineChars="200"/>
        <w:rPr>
          <w:rFonts w:hint="eastAsia" w:ascii="宋体" w:hAnsi="宋体" w:cs="宋体"/>
          <w:sz w:val="24"/>
        </w:rPr>
      </w:pPr>
      <w:r>
        <w:rPr>
          <w:rFonts w:hint="eastAsia" w:ascii="宋体" w:hAnsi="宋体" w:cs="宋体"/>
          <w:sz w:val="24"/>
        </w:rPr>
        <w:t>1、中标供应商应对业主、物业使用人和装修企业的装修行为进行管理。中标供应商的管理应当符合国家和省市相关规定。</w:t>
      </w:r>
    </w:p>
    <w:p>
      <w:pPr>
        <w:spacing w:line="360" w:lineRule="auto"/>
        <w:ind w:firstLine="480" w:firstLineChars="200"/>
        <w:rPr>
          <w:rFonts w:hint="eastAsia" w:ascii="宋体" w:hAnsi="宋体" w:cs="宋体"/>
          <w:sz w:val="24"/>
        </w:rPr>
      </w:pPr>
      <w:r>
        <w:rPr>
          <w:rFonts w:hint="eastAsia" w:ascii="宋体" w:hAnsi="宋体" w:cs="宋体"/>
          <w:sz w:val="24"/>
        </w:rPr>
        <w:t>2、中标供应商应对不符合安全要求和影响公共利益的装修行为进行制止，责令其改正，制止无效时应向有关行政管理部门和执法部门报告。</w:t>
      </w:r>
    </w:p>
    <w:p>
      <w:pPr>
        <w:spacing w:line="360" w:lineRule="auto"/>
        <w:ind w:firstLine="480" w:firstLineChars="200"/>
        <w:rPr>
          <w:rFonts w:hint="eastAsia" w:ascii="宋体" w:hAnsi="宋体" w:cs="宋体"/>
          <w:sz w:val="24"/>
        </w:rPr>
      </w:pPr>
      <w:r>
        <w:rPr>
          <w:rFonts w:hint="eastAsia" w:ascii="宋体" w:hAnsi="宋体" w:cs="宋体"/>
          <w:sz w:val="24"/>
        </w:rPr>
        <w:t>3、业主应按照相关规定处理装修垃圾，如业主未能及时按照规定处理装修垃圾，中标供应商可联系区城管局与环卫处及下属部门督促业主处理。</w:t>
      </w:r>
    </w:p>
    <w:p>
      <w:pPr>
        <w:spacing w:line="360" w:lineRule="auto"/>
        <w:ind w:firstLine="480" w:firstLineChars="200"/>
        <w:rPr>
          <w:rFonts w:hint="eastAsia" w:ascii="宋体" w:hAnsi="宋体" w:cs="宋体"/>
          <w:sz w:val="24"/>
        </w:rPr>
      </w:pPr>
      <w:r>
        <w:rPr>
          <w:rFonts w:hint="eastAsia" w:ascii="宋体" w:hAnsi="宋体" w:cs="宋体"/>
          <w:sz w:val="24"/>
        </w:rPr>
        <w:t>备注：如政府有新收费文件出台，一律按新的文件执行。</w:t>
      </w:r>
    </w:p>
    <w:p>
      <w:pPr>
        <w:spacing w:line="360" w:lineRule="auto"/>
        <w:ind w:firstLine="481" w:firstLineChars="200"/>
        <w:rPr>
          <w:rFonts w:hint="eastAsia" w:ascii="宋体" w:hAnsi="宋体" w:cs="宋体"/>
          <w:b/>
          <w:bCs/>
          <w:sz w:val="24"/>
        </w:rPr>
      </w:pPr>
      <w:r>
        <w:rPr>
          <w:rFonts w:hint="eastAsia" w:ascii="宋体" w:hAnsi="宋体" w:cs="宋体"/>
          <w:b/>
          <w:bCs/>
          <w:sz w:val="24"/>
        </w:rPr>
        <w:t>（八）物业综合服务</w:t>
      </w:r>
    </w:p>
    <w:p>
      <w:pPr>
        <w:spacing w:line="360" w:lineRule="auto"/>
        <w:ind w:firstLine="480" w:firstLineChars="200"/>
        <w:rPr>
          <w:rFonts w:hint="eastAsia" w:ascii="宋体" w:hAnsi="宋体" w:cs="宋体"/>
          <w:sz w:val="24"/>
        </w:rPr>
      </w:pPr>
      <w:r>
        <w:rPr>
          <w:rFonts w:hint="eastAsia" w:ascii="宋体" w:hAnsi="宋体" w:cs="宋体"/>
          <w:sz w:val="24"/>
        </w:rPr>
        <w:t>中标人负责拟定以下计划与方案：</w:t>
      </w:r>
    </w:p>
    <w:p>
      <w:pPr>
        <w:spacing w:line="360" w:lineRule="auto"/>
        <w:ind w:firstLine="480" w:firstLineChars="200"/>
        <w:rPr>
          <w:rFonts w:hint="eastAsia" w:ascii="宋体" w:hAnsi="宋体" w:cs="宋体"/>
          <w:sz w:val="24"/>
        </w:rPr>
      </w:pPr>
      <w:r>
        <w:rPr>
          <w:rFonts w:hint="eastAsia" w:ascii="宋体" w:hAnsi="宋体" w:cs="宋体"/>
          <w:sz w:val="24"/>
        </w:rPr>
        <w:t>1、物业的年度维修养护计划</w:t>
      </w:r>
    </w:p>
    <w:p>
      <w:pPr>
        <w:spacing w:line="360" w:lineRule="auto"/>
        <w:ind w:firstLine="480" w:firstLineChars="200"/>
        <w:rPr>
          <w:rFonts w:hint="eastAsia" w:ascii="宋体" w:hAnsi="宋体" w:cs="宋体"/>
          <w:sz w:val="24"/>
        </w:rPr>
      </w:pPr>
      <w:r>
        <w:rPr>
          <w:rFonts w:hint="eastAsia" w:ascii="宋体" w:hAnsi="宋体" w:cs="宋体"/>
          <w:sz w:val="24"/>
        </w:rPr>
        <w:t>2、物业的大中修方案</w:t>
      </w:r>
    </w:p>
    <w:p>
      <w:pPr>
        <w:spacing w:line="360" w:lineRule="auto"/>
        <w:ind w:firstLine="480" w:firstLineChars="200"/>
        <w:rPr>
          <w:rFonts w:hint="eastAsia" w:ascii="宋体" w:hAnsi="宋体" w:cs="宋体"/>
          <w:sz w:val="24"/>
        </w:rPr>
      </w:pPr>
      <w:r>
        <w:rPr>
          <w:rFonts w:hint="eastAsia" w:ascii="宋体" w:hAnsi="宋体" w:cs="宋体"/>
          <w:sz w:val="24"/>
        </w:rPr>
        <w:t>3、物业年度管理计划</w:t>
      </w:r>
    </w:p>
    <w:p>
      <w:pPr>
        <w:spacing w:line="360" w:lineRule="auto"/>
        <w:ind w:firstLine="480" w:firstLineChars="200"/>
        <w:rPr>
          <w:rFonts w:hint="eastAsia" w:ascii="宋体" w:hAnsi="宋体" w:cs="宋体"/>
          <w:sz w:val="24"/>
        </w:rPr>
      </w:pPr>
      <w:r>
        <w:rPr>
          <w:rFonts w:hint="eastAsia" w:ascii="宋体" w:hAnsi="宋体" w:cs="宋体"/>
          <w:sz w:val="24"/>
        </w:rPr>
        <w:t>4、物业年度资金使用计划及决算报告</w:t>
      </w:r>
    </w:p>
    <w:p>
      <w:pPr>
        <w:spacing w:line="360" w:lineRule="auto"/>
        <w:ind w:firstLine="480" w:firstLineChars="200"/>
        <w:rPr>
          <w:rFonts w:hint="eastAsia" w:ascii="宋体" w:hAnsi="宋体" w:cs="宋体"/>
          <w:sz w:val="24"/>
        </w:rPr>
      </w:pPr>
      <w:r>
        <w:rPr>
          <w:rFonts w:hint="eastAsia" w:ascii="宋体" w:hAnsi="宋体" w:cs="宋体"/>
          <w:sz w:val="24"/>
        </w:rPr>
        <w:t>5、年度财务预算及财务报告（实行酬金制时）</w:t>
      </w:r>
    </w:p>
    <w:p>
      <w:pPr>
        <w:spacing w:line="360" w:lineRule="auto"/>
        <w:ind w:firstLine="480" w:firstLineChars="200"/>
        <w:rPr>
          <w:rFonts w:hint="eastAsia" w:ascii="宋体" w:hAnsi="宋体" w:cs="宋体"/>
          <w:sz w:val="24"/>
        </w:rPr>
      </w:pPr>
      <w:r>
        <w:rPr>
          <w:rFonts w:hint="eastAsia" w:ascii="宋体" w:hAnsi="宋体" w:cs="宋体"/>
          <w:sz w:val="24"/>
        </w:rPr>
        <w:t>6、小区内房屋共用部位、共用设施设备得维修、更新、改造方案</w:t>
      </w:r>
    </w:p>
    <w:p>
      <w:pPr>
        <w:spacing w:line="360" w:lineRule="auto"/>
        <w:ind w:firstLine="480" w:firstLineChars="200"/>
        <w:rPr>
          <w:rFonts w:hint="eastAsia" w:ascii="宋体" w:hAnsi="宋体" w:cs="宋体"/>
          <w:sz w:val="24"/>
        </w:rPr>
      </w:pPr>
      <w:r>
        <w:rPr>
          <w:rFonts w:hint="eastAsia" w:ascii="宋体" w:hAnsi="宋体" w:cs="宋体"/>
          <w:sz w:val="24"/>
        </w:rPr>
        <w:t>7、根据法律、法规及本合同的约定拟定物业管理制度</w:t>
      </w:r>
    </w:p>
    <w:p>
      <w:pPr>
        <w:spacing w:line="360" w:lineRule="auto"/>
        <w:ind w:firstLine="480" w:firstLineChars="200"/>
        <w:rPr>
          <w:rFonts w:hint="eastAsia" w:ascii="宋体" w:hAnsi="宋体" w:cs="宋体"/>
          <w:sz w:val="24"/>
        </w:rPr>
      </w:pPr>
      <w:r>
        <w:rPr>
          <w:rFonts w:hint="eastAsia" w:ascii="宋体" w:hAnsi="宋体" w:cs="宋体"/>
          <w:sz w:val="24"/>
        </w:rPr>
        <w:t>以上计划与报告、方案、制度经采购人审定后，由中标供应商负责实施，采购人负责监督执行与配合。</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b/>
          <w:bCs/>
          <w:sz w:val="24"/>
        </w:rPr>
        <w:t>九）通知公示服务</w:t>
      </w:r>
    </w:p>
    <w:p>
      <w:pPr>
        <w:spacing w:line="360" w:lineRule="auto"/>
        <w:ind w:firstLine="480" w:firstLineChars="200"/>
        <w:rPr>
          <w:rFonts w:hint="eastAsia" w:ascii="宋体" w:hAnsi="宋体" w:cs="宋体"/>
          <w:sz w:val="24"/>
        </w:rPr>
      </w:pPr>
      <w:r>
        <w:rPr>
          <w:rFonts w:hint="eastAsia" w:ascii="宋体" w:hAnsi="宋体" w:cs="宋体"/>
          <w:sz w:val="24"/>
        </w:rPr>
        <w:t>1、因维修或公共利益，影响相关业主生产、生活时，中标供应商应及时通知相关业主。</w:t>
      </w:r>
    </w:p>
    <w:p>
      <w:pPr>
        <w:spacing w:line="360" w:lineRule="auto"/>
        <w:ind w:firstLine="480" w:firstLineChars="200"/>
        <w:rPr>
          <w:rFonts w:hint="eastAsia" w:ascii="宋体" w:hAnsi="宋体" w:cs="宋体"/>
          <w:sz w:val="24"/>
        </w:rPr>
      </w:pPr>
      <w:r>
        <w:rPr>
          <w:rFonts w:hint="eastAsia" w:ascii="宋体" w:hAnsi="宋体" w:cs="宋体"/>
          <w:sz w:val="24"/>
        </w:rPr>
        <w:t>2、中标供应商每年5月份必须将年度物业费收缴情况、车位费用收支及其他相关公共收益收支情况向采购人报告（含与业委会对账结算报告）。</w:t>
      </w:r>
    </w:p>
    <w:p>
      <w:pPr>
        <w:spacing w:line="360" w:lineRule="auto"/>
        <w:ind w:firstLine="480" w:firstLineChars="200"/>
        <w:rPr>
          <w:rFonts w:hint="eastAsia" w:ascii="宋体" w:hAnsi="宋体" w:cs="宋体"/>
          <w:sz w:val="24"/>
        </w:rPr>
      </w:pPr>
      <w:r>
        <w:rPr>
          <w:rFonts w:hint="eastAsia" w:ascii="宋体" w:hAnsi="宋体" w:cs="宋体"/>
          <w:sz w:val="24"/>
        </w:rPr>
        <w:t>3、中标供应商撤出小区90日前，应在物业管理区域内显著位置公示，</w:t>
      </w:r>
    </w:p>
    <w:p>
      <w:pPr>
        <w:spacing w:line="360" w:lineRule="auto"/>
        <w:ind w:firstLine="481" w:firstLineChars="200"/>
        <w:rPr>
          <w:rFonts w:hint="eastAsia" w:ascii="宋体" w:hAnsi="宋体" w:cs="宋体"/>
          <w:b/>
          <w:bCs/>
          <w:sz w:val="24"/>
        </w:rPr>
      </w:pPr>
      <w:r>
        <w:rPr>
          <w:rFonts w:hint="eastAsia" w:ascii="宋体" w:hAnsi="宋体" w:cs="宋体"/>
          <w:b/>
          <w:bCs/>
          <w:sz w:val="24"/>
        </w:rPr>
        <w:t>（十）公共服务收益</w:t>
      </w:r>
    </w:p>
    <w:p>
      <w:pPr>
        <w:spacing w:line="360" w:lineRule="auto"/>
        <w:ind w:firstLine="480" w:firstLineChars="200"/>
        <w:rPr>
          <w:rFonts w:hint="eastAsia" w:ascii="宋体" w:hAnsi="宋体" w:cs="宋体"/>
          <w:sz w:val="24"/>
        </w:rPr>
      </w:pPr>
      <w:r>
        <w:rPr>
          <w:rFonts w:hint="eastAsia" w:ascii="宋体" w:hAnsi="宋体" w:cs="宋体"/>
          <w:sz w:val="24"/>
        </w:rPr>
        <w:t>中标供应商利用物业共用部位、共用设施设备进行经营所得的收益，在扣除必要的能耗费用后，30%补贴物业企业服务费用，70%按物业管理条例上缴相关机构、部门。</w:t>
      </w:r>
    </w:p>
    <w:p>
      <w:pPr>
        <w:spacing w:line="360" w:lineRule="auto"/>
        <w:ind w:firstLine="481" w:firstLineChars="200"/>
        <w:rPr>
          <w:rFonts w:hint="eastAsia" w:ascii="宋体" w:hAnsi="宋体" w:cs="宋体"/>
          <w:b/>
          <w:bCs/>
          <w:sz w:val="24"/>
        </w:rPr>
      </w:pPr>
      <w:r>
        <w:rPr>
          <w:rFonts w:hint="eastAsia" w:ascii="宋体" w:hAnsi="宋体" w:cs="宋体"/>
          <w:b/>
          <w:bCs/>
          <w:sz w:val="24"/>
        </w:rPr>
        <w:t>（十一）小区物业从业人员配备标准应符合以下要求：</w:t>
      </w:r>
    </w:p>
    <w:p>
      <w:pPr>
        <w:spacing w:line="360" w:lineRule="auto"/>
        <w:ind w:firstLine="480" w:firstLineChars="200"/>
        <w:rPr>
          <w:rFonts w:hint="eastAsia" w:ascii="宋体" w:hAnsi="宋体" w:cs="宋体"/>
          <w:sz w:val="24"/>
        </w:rPr>
      </w:pPr>
      <w:bookmarkStart w:id="10" w:name="_GoBack"/>
      <w:r>
        <w:rPr>
          <w:rFonts w:hint="eastAsia" w:ascii="宋体" w:hAnsi="宋体" w:cs="宋体"/>
          <w:sz w:val="24"/>
        </w:rPr>
        <w:t>（1）物业经理1名：负责全面物业管理工作。</w:t>
      </w:r>
    </w:p>
    <w:p>
      <w:pPr>
        <w:pStyle w:val="2"/>
        <w:rPr>
          <w:rFonts w:hint="default" w:eastAsia="仿宋_GB2312"/>
          <w:lang w:val="en-US" w:eastAsia="zh-CN"/>
        </w:rPr>
      </w:pPr>
      <w:r>
        <w:rPr>
          <w:rFonts w:hint="eastAsia" w:ascii="宋体" w:hAnsi="宋体" w:cs="宋体"/>
          <w:sz w:val="24"/>
          <w:lang w:val="en-US" w:eastAsia="zh-CN"/>
        </w:rPr>
        <w:t xml:space="preserve">    </w:t>
      </w:r>
      <w:r>
        <w:rPr>
          <w:rFonts w:hint="eastAsia" w:ascii="宋体" w:hAnsi="宋体" w:eastAsia="宋体" w:cs="宋体"/>
          <w:kern w:val="2"/>
          <w:sz w:val="24"/>
          <w:szCs w:val="24"/>
          <w:lang w:val="en-US" w:eastAsia="zh-CN" w:bidi="ar-SA"/>
        </w:rPr>
        <w:t>（2）物业管理员1名：负责配合物业经理处理小区事务。</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）保洁工</w:t>
      </w:r>
      <w:r>
        <w:rPr>
          <w:rFonts w:hint="eastAsia" w:ascii="宋体" w:hAnsi="宋体" w:cs="宋体"/>
          <w:sz w:val="24"/>
          <w:lang w:val="en-US" w:eastAsia="zh-CN"/>
        </w:rPr>
        <w:t>12</w:t>
      </w:r>
      <w:r>
        <w:rPr>
          <w:rFonts w:hint="eastAsia" w:ascii="宋体" w:hAnsi="宋体" w:cs="宋体"/>
          <w:sz w:val="24"/>
        </w:rPr>
        <w:t>名：负责公共环境卫生管理，包括公共楼道、小区内道路、公共场地、零散垃圾清理、消杀等。</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）秩序管理</w:t>
      </w:r>
      <w:r>
        <w:rPr>
          <w:rFonts w:hint="eastAsia" w:ascii="宋体" w:hAnsi="宋体" w:cs="宋体"/>
          <w:sz w:val="24"/>
          <w:lang w:val="en-US" w:eastAsia="zh-CN"/>
        </w:rPr>
        <w:t>12</w:t>
      </w:r>
      <w:r>
        <w:rPr>
          <w:rFonts w:hint="eastAsia" w:ascii="宋体" w:hAnsi="宋体" w:cs="宋体"/>
          <w:sz w:val="24"/>
        </w:rPr>
        <w:t>名：职责是维护公共秩序、小区巡逻、监控室执勤、安全护卫、车辆进出停放秩序的管理等。</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）维修工1名：负责小区公用部位设施设备水电维修。</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）勤杂人员</w:t>
      </w:r>
      <w:r>
        <w:rPr>
          <w:rFonts w:hint="eastAsia" w:ascii="宋体" w:hAnsi="宋体" w:cs="宋体"/>
          <w:sz w:val="24"/>
          <w:lang w:val="en-US" w:eastAsia="zh-CN"/>
        </w:rPr>
        <w:t>2</w:t>
      </w:r>
      <w:r>
        <w:rPr>
          <w:rFonts w:hint="eastAsia" w:ascii="宋体" w:hAnsi="宋体" w:cs="宋体"/>
          <w:sz w:val="24"/>
        </w:rPr>
        <w:t>名。</w:t>
      </w:r>
    </w:p>
    <w:bookmarkEnd w:id="10"/>
    <w:p>
      <w:pPr>
        <w:spacing w:line="360" w:lineRule="auto"/>
        <w:ind w:firstLine="480" w:firstLineChars="200"/>
        <w:rPr>
          <w:rFonts w:hint="eastAsia" w:ascii="宋体" w:hAnsi="宋体" w:cs="宋体"/>
          <w:sz w:val="24"/>
        </w:rPr>
      </w:pPr>
      <w:r>
        <w:rPr>
          <w:rFonts w:hint="eastAsia" w:ascii="宋体" w:hAnsi="宋体" w:cs="宋体"/>
          <w:sz w:val="24"/>
        </w:rPr>
        <w:t>上述人员标准仅为日常管理配备要求，如遇突发重点工作，各物业服务企业需按照实际情况临时加派人员，确保相关工作能够有序推进。</w:t>
      </w:r>
    </w:p>
    <w:p>
      <w:pPr>
        <w:spacing w:line="360" w:lineRule="auto"/>
        <w:ind w:firstLine="481" w:firstLineChars="200"/>
        <w:rPr>
          <w:rFonts w:hint="eastAsia" w:ascii="宋体" w:hAnsi="宋体" w:cs="宋体"/>
          <w:b/>
          <w:bCs/>
          <w:sz w:val="24"/>
        </w:rPr>
      </w:pPr>
      <w:r>
        <w:rPr>
          <w:rFonts w:hint="eastAsia" w:ascii="宋体" w:hAnsi="宋体" w:cs="宋体"/>
          <w:b/>
          <w:bCs/>
          <w:sz w:val="24"/>
        </w:rPr>
        <w:t>三、物业管理服务质量</w:t>
      </w:r>
    </w:p>
    <w:p>
      <w:pPr>
        <w:spacing w:line="360" w:lineRule="auto"/>
        <w:ind w:firstLine="480" w:firstLineChars="200"/>
        <w:rPr>
          <w:rFonts w:hint="eastAsia" w:ascii="宋体" w:hAnsi="宋体" w:cs="宋体"/>
          <w:sz w:val="24"/>
        </w:rPr>
      </w:pPr>
      <w:r>
        <w:rPr>
          <w:rFonts w:hint="eastAsia" w:ascii="宋体" w:hAnsi="宋体" w:cs="宋体"/>
          <w:sz w:val="24"/>
        </w:rPr>
        <w:t>物业服务质量标准及服务评价方法按区相关文件执行。合同期内未出现以下情况之一的，则本合同继续生效：如发生以下情况之一的，采购人有权终止合同：</w:t>
      </w:r>
    </w:p>
    <w:p>
      <w:pPr>
        <w:spacing w:line="360" w:lineRule="auto"/>
        <w:ind w:firstLine="480" w:firstLineChars="200"/>
        <w:rPr>
          <w:rFonts w:hint="eastAsia" w:ascii="宋体" w:hAnsi="宋体" w:cs="宋体"/>
          <w:sz w:val="24"/>
        </w:rPr>
      </w:pPr>
      <w:r>
        <w:rPr>
          <w:rFonts w:hint="eastAsia" w:ascii="宋体" w:hAnsi="宋体" w:cs="宋体"/>
          <w:sz w:val="24"/>
        </w:rPr>
        <w:t>1、当季度考核排名最后一位或分值低于60分的，由区住建物管科和街道进行约谈，被约谈后不能在下季度内提升改变的；</w:t>
      </w:r>
    </w:p>
    <w:p>
      <w:pPr>
        <w:spacing w:line="360" w:lineRule="auto"/>
        <w:ind w:firstLine="480" w:firstLineChars="200"/>
        <w:rPr>
          <w:rFonts w:hint="eastAsia" w:ascii="宋体" w:hAnsi="宋体" w:cs="宋体"/>
          <w:sz w:val="24"/>
        </w:rPr>
      </w:pPr>
      <w:r>
        <w:rPr>
          <w:rFonts w:hint="eastAsia" w:ascii="宋体" w:hAnsi="宋体" w:cs="宋体"/>
          <w:sz w:val="24"/>
        </w:rPr>
        <w:t>2、连续两个季度考核排名最后一位或低于60分的；</w:t>
      </w:r>
    </w:p>
    <w:p>
      <w:pPr>
        <w:spacing w:line="360" w:lineRule="auto"/>
        <w:ind w:firstLine="480" w:firstLineChars="200"/>
        <w:rPr>
          <w:rFonts w:hint="eastAsia" w:ascii="宋体" w:hAnsi="宋体" w:cs="宋体"/>
          <w:sz w:val="24"/>
        </w:rPr>
      </w:pPr>
      <w:r>
        <w:rPr>
          <w:rFonts w:hint="eastAsia" w:ascii="宋体" w:hAnsi="宋体" w:cs="宋体"/>
          <w:sz w:val="24"/>
        </w:rPr>
        <w:t>3、多次上崇川在线文明城市长效管理“黑榜”和被市相关部门督查通报整改不力，影响较坏，约谈后仍未能整改到位的：</w:t>
      </w:r>
    </w:p>
    <w:p>
      <w:pPr>
        <w:spacing w:line="360" w:lineRule="auto"/>
        <w:ind w:firstLine="480" w:firstLineChars="200"/>
        <w:rPr>
          <w:rFonts w:hint="eastAsia" w:ascii="宋体" w:hAnsi="宋体" w:cs="宋体"/>
          <w:sz w:val="24"/>
        </w:rPr>
      </w:pPr>
      <w:r>
        <w:rPr>
          <w:rFonts w:hint="eastAsia" w:ascii="宋体" w:hAnsi="宋体" w:cs="宋体"/>
          <w:sz w:val="24"/>
        </w:rPr>
        <w:t>4、物业服务项目发生重大安全生产事故，影响极其恶劣的。</w:t>
      </w:r>
    </w:p>
    <w:p>
      <w:pPr>
        <w:spacing w:line="360" w:lineRule="auto"/>
        <w:ind w:firstLine="481" w:firstLineChars="200"/>
        <w:rPr>
          <w:rFonts w:hint="eastAsia" w:ascii="宋体" w:hAnsi="宋体" w:cs="宋体"/>
          <w:b/>
          <w:bCs/>
          <w:sz w:val="24"/>
        </w:rPr>
      </w:pPr>
      <w:r>
        <w:rPr>
          <w:rFonts w:hint="eastAsia" w:ascii="宋体" w:hAnsi="宋体" w:cs="宋体"/>
          <w:b/>
          <w:bCs/>
          <w:sz w:val="24"/>
        </w:rPr>
        <w:t>四、服务期限</w:t>
      </w:r>
    </w:p>
    <w:p>
      <w:pPr>
        <w:spacing w:line="360" w:lineRule="auto"/>
        <w:ind w:firstLine="480" w:firstLineChars="200"/>
        <w:rPr>
          <w:rFonts w:hint="eastAsia" w:ascii="宋体" w:hAnsi="宋体" w:cs="宋体"/>
          <w:sz w:val="24"/>
        </w:rPr>
      </w:pPr>
      <w:r>
        <w:rPr>
          <w:rFonts w:hint="eastAsia" w:ascii="宋体" w:hAnsi="宋体" w:cs="宋体"/>
          <w:sz w:val="24"/>
        </w:rPr>
        <w:t>自项目首次交付之日起至业主大会（或业委会、物管会）选聘新物业服务企业并签订合同生效之日止（最长不超过2年，具体以合同约定为准），招标人视中标人服务考核情况决定是否续签。</w:t>
      </w:r>
    </w:p>
    <w:p>
      <w:pPr>
        <w:spacing w:line="360" w:lineRule="auto"/>
        <w:ind w:firstLine="480" w:firstLineChars="200"/>
        <w:rPr>
          <w:rFonts w:hint="eastAsia" w:ascii="宋体" w:hAnsi="宋体" w:cs="宋体"/>
          <w:sz w:val="24"/>
        </w:rPr>
      </w:pPr>
      <w:r>
        <w:rPr>
          <w:rFonts w:hint="eastAsia" w:ascii="宋体" w:hAnsi="宋体" w:cs="宋体"/>
          <w:sz w:val="24"/>
        </w:rPr>
        <w:t>服务期限内，因政策性因素、不可抗力等原因致使服务协议无法继续履行的，采购人有权终止履行服务协议。如需终止合同的，应提前三个月以书面形式通知对方。</w:t>
      </w:r>
    </w:p>
    <w:p>
      <w:pPr>
        <w:spacing w:line="360" w:lineRule="auto"/>
        <w:ind w:firstLine="481" w:firstLineChars="200"/>
        <w:rPr>
          <w:rFonts w:hint="eastAsia" w:ascii="宋体" w:hAnsi="宋体" w:cs="宋体"/>
          <w:b/>
          <w:bCs/>
          <w:sz w:val="24"/>
        </w:rPr>
      </w:pPr>
      <w:r>
        <w:rPr>
          <w:rFonts w:hint="eastAsia" w:ascii="宋体" w:hAnsi="宋体" w:cs="宋体"/>
          <w:b/>
          <w:bCs/>
          <w:sz w:val="24"/>
        </w:rPr>
        <w:t>五、付款方式</w:t>
      </w:r>
    </w:p>
    <w:p>
      <w:pPr>
        <w:spacing w:line="360" w:lineRule="auto"/>
        <w:ind w:firstLine="480" w:firstLineChars="200"/>
        <w:rPr>
          <w:rFonts w:hint="eastAsia" w:ascii="宋体" w:hAnsi="宋体" w:cs="宋体"/>
          <w:sz w:val="24"/>
        </w:rPr>
      </w:pPr>
      <w:r>
        <w:rPr>
          <w:rFonts w:hint="eastAsia" w:ascii="宋体" w:hAnsi="宋体" w:cs="宋体"/>
          <w:sz w:val="24"/>
        </w:rPr>
        <w:t>1、对安置小区的物业管理费补贴与小区物业管理主体每季度的考评成绩(区抽查调整后的成绩）挂钩。考评得分在90分（含90分）以上的全额兑付，考评得分在90分以下的，按同比例兑付，考评得分在60分以下的，不予兑付。</w:t>
      </w:r>
    </w:p>
    <w:p>
      <w:pPr>
        <w:spacing w:line="360" w:lineRule="auto"/>
        <w:ind w:firstLine="480" w:firstLineChars="200"/>
        <w:rPr>
          <w:rFonts w:hint="eastAsia" w:ascii="宋体" w:hAnsi="宋体" w:cs="宋体"/>
          <w:sz w:val="24"/>
        </w:rPr>
      </w:pPr>
      <w:r>
        <w:rPr>
          <w:rFonts w:hint="eastAsia" w:ascii="宋体" w:hAnsi="宋体" w:cs="宋体"/>
          <w:sz w:val="24"/>
        </w:rPr>
        <w:t>2、如中标供应商有违约情形时，采购人可以在合同款支付时直接扣除相关费用。</w:t>
      </w:r>
    </w:p>
    <w:p>
      <w:pPr>
        <w:spacing w:line="360" w:lineRule="auto"/>
        <w:ind w:firstLine="480" w:firstLineChars="200"/>
        <w:jc w:val="left"/>
        <w:rPr>
          <w:rFonts w:hint="eastAsia" w:ascii="宋体" w:hAnsi="宋体" w:cs="宋体"/>
          <w:sz w:val="24"/>
        </w:rPr>
      </w:pPr>
      <w:r>
        <w:rPr>
          <w:rFonts w:hint="eastAsia" w:ascii="宋体" w:hAnsi="宋体" w:cs="宋体"/>
          <w:sz w:val="24"/>
        </w:rPr>
        <w:t>3、收费标准参照《南通市市区物业服务收费管理实施细则》（通价规〔2011〕2号）执行。安置小区（带电梯）物业服务收费暂定为二级二类，标准为1.1元/平方米·月，公共能耗0.2元/平方米·月，共计1.3元/平方米·月，其中现场物业得0.5元/平方米·月。前2年由业主全额缴纳，第3年起业主（原安置户）缴纳0.2元/平方米.月，其余由区政府进行补贴，补贴面积为小区住宅建筑面积。经过二手房交易的业主不再享受政府补贴（近亲属过户的除外，近亲属指配偶、父母、子女、兄弟姐妹、祖父母、外祖父母、孙子女、外孙子女）。补贴面积每年核准一次。设施设备维护、公共能耗费用等由区政府相关部门统一负责维护。</w:t>
      </w:r>
    </w:p>
    <w:p>
      <w:pPr>
        <w:spacing w:line="360" w:lineRule="auto"/>
        <w:ind w:firstLine="480" w:firstLineChars="200"/>
        <w:rPr>
          <w:rFonts w:hint="eastAsia" w:ascii="宋体" w:hAnsi="宋体" w:cs="宋体"/>
          <w:sz w:val="24"/>
        </w:rPr>
        <w:sectPr>
          <w:headerReference r:id="rId3" w:type="default"/>
          <w:footerReference r:id="rId4" w:type="default"/>
          <w:pgSz w:w="11906" w:h="16838"/>
          <w:pgMar w:top="1418" w:right="1474" w:bottom="1418" w:left="1474" w:header="851" w:footer="907" w:gutter="0"/>
          <w:cols w:space="720" w:num="1"/>
          <w:docGrid w:type="lines" w:linePitch="312" w:charSpace="0"/>
        </w:sectPr>
      </w:pPr>
    </w:p>
    <w:p>
      <w:pPr>
        <w:snapToGrid w:val="0"/>
        <w:spacing w:line="800" w:lineRule="exact"/>
        <w:jc w:val="center"/>
        <w:outlineLvl w:val="0"/>
        <w:rPr>
          <w:b/>
          <w:sz w:val="36"/>
          <w:szCs w:val="36"/>
        </w:rPr>
      </w:pPr>
      <w:r>
        <w:rPr>
          <w:b/>
          <w:sz w:val="36"/>
          <w:szCs w:val="36"/>
        </w:rPr>
        <w:t>第四部分  开标和评标</w:t>
      </w:r>
    </w:p>
    <w:p>
      <w:pPr>
        <w:tabs>
          <w:tab w:val="left" w:pos="3585"/>
        </w:tabs>
        <w:snapToGrid w:val="0"/>
        <w:spacing w:line="480" w:lineRule="exact"/>
        <w:ind w:firstLine="462" w:firstLineChars="192"/>
        <w:rPr>
          <w:b/>
          <w:sz w:val="24"/>
        </w:rPr>
      </w:pPr>
      <w:r>
        <w:rPr>
          <w:b/>
          <w:bCs/>
          <w:sz w:val="24"/>
        </w:rPr>
        <w:t>一、</w:t>
      </w:r>
      <w:r>
        <w:rPr>
          <w:b/>
          <w:sz w:val="24"/>
        </w:rPr>
        <w:t>招标人委托代理机构组织开标</w:t>
      </w:r>
    </w:p>
    <w:p>
      <w:pPr>
        <w:tabs>
          <w:tab w:val="left" w:pos="3585"/>
        </w:tabs>
        <w:snapToGrid w:val="0"/>
        <w:spacing w:line="480" w:lineRule="exact"/>
        <w:ind w:firstLine="460" w:firstLineChars="192"/>
        <w:rPr>
          <w:kern w:val="0"/>
          <w:sz w:val="24"/>
        </w:rPr>
      </w:pPr>
      <w:r>
        <w:rPr>
          <w:kern w:val="0"/>
          <w:sz w:val="24"/>
          <w:lang w:val="zh-CN"/>
        </w:rPr>
        <w:t>投标人须持有效身份</w:t>
      </w:r>
      <w:r>
        <w:rPr>
          <w:kern w:val="0"/>
          <w:sz w:val="24"/>
        </w:rPr>
        <w:t>证明</w:t>
      </w:r>
      <w:r>
        <w:rPr>
          <w:kern w:val="0"/>
          <w:sz w:val="24"/>
          <w:lang w:val="zh-CN"/>
        </w:rPr>
        <w:t>参加开标会。</w:t>
      </w:r>
    </w:p>
    <w:p>
      <w:pPr>
        <w:numPr>
          <w:ilvl w:val="0"/>
          <w:numId w:val="5"/>
        </w:numPr>
        <w:snapToGrid w:val="0"/>
        <w:spacing w:line="480" w:lineRule="exact"/>
        <w:ind w:firstLine="570"/>
        <w:rPr>
          <w:b/>
          <w:bCs/>
          <w:sz w:val="24"/>
        </w:rPr>
      </w:pPr>
      <w:r>
        <w:rPr>
          <w:b/>
          <w:bCs/>
          <w:sz w:val="24"/>
        </w:rPr>
        <w:t>评委会由有关专家和</w:t>
      </w:r>
      <w:r>
        <w:rPr>
          <w:b/>
          <w:sz w:val="24"/>
        </w:rPr>
        <w:t>招标人代表</w:t>
      </w:r>
      <w:r>
        <w:rPr>
          <w:b/>
          <w:bCs/>
          <w:sz w:val="24"/>
        </w:rPr>
        <w:t>组成</w:t>
      </w:r>
      <w:r>
        <w:rPr>
          <w:b/>
          <w:sz w:val="24"/>
        </w:rPr>
        <w:t>，按照</w:t>
      </w:r>
      <w:r>
        <w:rPr>
          <w:b/>
          <w:bCs/>
          <w:sz w:val="24"/>
        </w:rPr>
        <w:t>公平、公正、择优的原则进行</w:t>
      </w:r>
      <w:r>
        <w:rPr>
          <w:b/>
          <w:sz w:val="24"/>
        </w:rPr>
        <w:t>独立</w:t>
      </w:r>
      <w:r>
        <w:rPr>
          <w:b/>
          <w:bCs/>
          <w:sz w:val="24"/>
        </w:rPr>
        <w:t>评标。</w:t>
      </w:r>
    </w:p>
    <w:p>
      <w:pPr>
        <w:snapToGrid w:val="0"/>
        <w:spacing w:line="480" w:lineRule="exact"/>
        <w:ind w:firstLine="480" w:firstLineChars="200"/>
        <w:rPr>
          <w:b/>
          <w:bCs/>
          <w:sz w:val="24"/>
        </w:rPr>
      </w:pPr>
      <w:r>
        <w:rPr>
          <w:bCs/>
          <w:sz w:val="24"/>
        </w:rPr>
        <w:t>评委会由招标人代表和评审专家共计</w:t>
      </w:r>
      <w:r>
        <w:rPr>
          <w:rFonts w:hint="eastAsia"/>
          <w:b/>
          <w:bCs/>
          <w:sz w:val="24"/>
        </w:rPr>
        <w:t>5</w:t>
      </w:r>
      <w:r>
        <w:rPr>
          <w:bCs/>
          <w:sz w:val="24"/>
        </w:rPr>
        <w:t>人组成，其中评审专家</w:t>
      </w:r>
      <w:r>
        <w:rPr>
          <w:rFonts w:hint="eastAsia"/>
          <w:b/>
          <w:bCs/>
          <w:sz w:val="24"/>
        </w:rPr>
        <w:t>4</w:t>
      </w:r>
      <w:r>
        <w:rPr>
          <w:bCs/>
          <w:sz w:val="24"/>
        </w:rPr>
        <w:t>人，招标人代表</w:t>
      </w:r>
      <w:r>
        <w:rPr>
          <w:rFonts w:hint="eastAsia"/>
          <w:b/>
          <w:bCs/>
          <w:sz w:val="24"/>
        </w:rPr>
        <w:t>1</w:t>
      </w:r>
      <w:r>
        <w:rPr>
          <w:bCs/>
          <w:sz w:val="24"/>
        </w:rPr>
        <w:t>人。</w:t>
      </w:r>
    </w:p>
    <w:p>
      <w:pPr>
        <w:snapToGrid w:val="0"/>
        <w:spacing w:line="480" w:lineRule="exact"/>
        <w:ind w:firstLine="570"/>
        <w:rPr>
          <w:b/>
          <w:bCs/>
          <w:sz w:val="24"/>
        </w:rPr>
      </w:pPr>
      <w:r>
        <w:rPr>
          <w:b/>
          <w:bCs/>
          <w:sz w:val="24"/>
        </w:rPr>
        <w:t>（一）评审内容</w:t>
      </w:r>
    </w:p>
    <w:p>
      <w:pPr>
        <w:snapToGrid w:val="0"/>
        <w:spacing w:line="480" w:lineRule="exact"/>
        <w:ind w:firstLine="570"/>
        <w:rPr>
          <w:bCs/>
          <w:sz w:val="24"/>
        </w:rPr>
      </w:pPr>
      <w:r>
        <w:rPr>
          <w:bCs/>
          <w:sz w:val="24"/>
        </w:rPr>
        <w:t>1、是否递交投标文件；</w:t>
      </w:r>
    </w:p>
    <w:p>
      <w:pPr>
        <w:snapToGrid w:val="0"/>
        <w:spacing w:line="480" w:lineRule="exact"/>
        <w:ind w:firstLine="570"/>
        <w:rPr>
          <w:bCs/>
          <w:sz w:val="24"/>
        </w:rPr>
      </w:pPr>
      <w:r>
        <w:rPr>
          <w:bCs/>
          <w:sz w:val="24"/>
        </w:rPr>
        <w:t>2、投标资格是否符合（由</w:t>
      </w:r>
      <w:r>
        <w:rPr>
          <w:rFonts w:hint="eastAsia"/>
          <w:bCs/>
          <w:sz w:val="24"/>
        </w:rPr>
        <w:t>评标委员会</w:t>
      </w:r>
      <w:r>
        <w:rPr>
          <w:bCs/>
          <w:sz w:val="24"/>
        </w:rPr>
        <w:t>审查）</w:t>
      </w:r>
      <w:r>
        <w:rPr>
          <w:rFonts w:hint="eastAsia"/>
          <w:bCs/>
          <w:sz w:val="24"/>
        </w:rPr>
        <w:t>；</w:t>
      </w:r>
    </w:p>
    <w:p>
      <w:pPr>
        <w:snapToGrid w:val="0"/>
        <w:spacing w:line="480" w:lineRule="exact"/>
        <w:ind w:firstLine="480" w:firstLineChars="200"/>
        <w:rPr>
          <w:sz w:val="24"/>
        </w:rPr>
      </w:pPr>
      <w:r>
        <w:rPr>
          <w:sz w:val="24"/>
        </w:rPr>
        <w:t>3、投标文件是否完整；</w:t>
      </w:r>
    </w:p>
    <w:p>
      <w:pPr>
        <w:snapToGrid w:val="0"/>
        <w:spacing w:line="480" w:lineRule="exact"/>
        <w:ind w:firstLine="480" w:firstLineChars="200"/>
        <w:rPr>
          <w:sz w:val="24"/>
        </w:rPr>
      </w:pPr>
      <w:r>
        <w:rPr>
          <w:sz w:val="24"/>
        </w:rPr>
        <w:t>4、投标文件是否恰当地签署；</w:t>
      </w:r>
    </w:p>
    <w:p>
      <w:pPr>
        <w:snapToGrid w:val="0"/>
        <w:spacing w:line="480" w:lineRule="exact"/>
        <w:ind w:firstLine="540"/>
        <w:rPr>
          <w:sz w:val="24"/>
        </w:rPr>
      </w:pPr>
      <w:r>
        <w:rPr>
          <w:sz w:val="24"/>
        </w:rPr>
        <w:t>5、是否作出实质性响应（是否有实质性响应，只根据投标文件本身，而不寻求外部证据）；</w:t>
      </w:r>
    </w:p>
    <w:p>
      <w:pPr>
        <w:snapToGrid w:val="0"/>
        <w:spacing w:line="480" w:lineRule="exact"/>
        <w:ind w:firstLine="480" w:firstLineChars="200"/>
        <w:rPr>
          <w:sz w:val="24"/>
        </w:rPr>
      </w:pPr>
      <w:r>
        <w:rPr>
          <w:sz w:val="24"/>
        </w:rPr>
        <w:t>6、是否有计算错误。</w:t>
      </w:r>
    </w:p>
    <w:p>
      <w:pPr>
        <w:snapToGrid w:val="0"/>
        <w:spacing w:line="480" w:lineRule="exact"/>
        <w:ind w:firstLine="570"/>
        <w:rPr>
          <w:b/>
          <w:sz w:val="24"/>
        </w:rPr>
      </w:pPr>
      <w:r>
        <w:rPr>
          <w:rFonts w:hint="eastAsia"/>
          <w:b/>
          <w:sz w:val="24"/>
        </w:rPr>
        <w:t>三</w:t>
      </w:r>
      <w:r>
        <w:rPr>
          <w:b/>
          <w:sz w:val="24"/>
        </w:rPr>
        <w:t>、出现下列情形之一的，作无效投标处理</w:t>
      </w:r>
    </w:p>
    <w:p>
      <w:pPr>
        <w:numPr>
          <w:ilvl w:val="0"/>
          <w:numId w:val="6"/>
        </w:numPr>
        <w:snapToGrid w:val="0"/>
        <w:spacing w:line="480" w:lineRule="exact"/>
        <w:ind w:firstLine="480" w:firstLineChars="200"/>
        <w:rPr>
          <w:sz w:val="24"/>
        </w:rPr>
      </w:pPr>
      <w:r>
        <w:rPr>
          <w:sz w:val="24"/>
        </w:rPr>
        <w:t>投标文件未按招标文件要求密封、签署、盖章及主要资料不齐全；</w:t>
      </w:r>
    </w:p>
    <w:p>
      <w:pPr>
        <w:numPr>
          <w:ilvl w:val="0"/>
          <w:numId w:val="6"/>
        </w:numPr>
        <w:snapToGrid w:val="0"/>
        <w:spacing w:line="480" w:lineRule="exact"/>
        <w:ind w:firstLine="480" w:firstLineChars="200"/>
        <w:rPr>
          <w:sz w:val="24"/>
        </w:rPr>
      </w:pPr>
      <w:r>
        <w:rPr>
          <w:sz w:val="24"/>
        </w:rPr>
        <w:t>不具备招标文件中规定的资格要求的；</w:t>
      </w:r>
    </w:p>
    <w:p>
      <w:pPr>
        <w:numPr>
          <w:ilvl w:val="0"/>
          <w:numId w:val="6"/>
        </w:numPr>
        <w:snapToGrid w:val="0"/>
        <w:spacing w:line="480" w:lineRule="exact"/>
        <w:ind w:firstLine="480" w:firstLineChars="200"/>
        <w:rPr>
          <w:sz w:val="24"/>
        </w:rPr>
      </w:pPr>
      <w:r>
        <w:rPr>
          <w:kern w:val="0"/>
          <w:sz w:val="24"/>
          <w:szCs w:val="20"/>
        </w:rPr>
        <w:t>未通过符合性检查的</w:t>
      </w:r>
      <w:r>
        <w:rPr>
          <w:sz w:val="24"/>
        </w:rPr>
        <w:t>；</w:t>
      </w:r>
    </w:p>
    <w:p>
      <w:pPr>
        <w:numPr>
          <w:ilvl w:val="0"/>
          <w:numId w:val="6"/>
        </w:numPr>
        <w:snapToGrid w:val="0"/>
        <w:spacing w:line="480" w:lineRule="exact"/>
        <w:ind w:firstLine="480" w:firstLineChars="200"/>
        <w:rPr>
          <w:color w:val="FF0000"/>
          <w:sz w:val="24"/>
        </w:rPr>
      </w:pPr>
      <w:r>
        <w:rPr>
          <w:sz w:val="24"/>
        </w:rPr>
        <w:t>投标文件含有招标人不能接受的附加条件的；</w:t>
      </w:r>
    </w:p>
    <w:p>
      <w:pPr>
        <w:numPr>
          <w:ilvl w:val="0"/>
          <w:numId w:val="6"/>
        </w:numPr>
        <w:snapToGrid w:val="0"/>
        <w:spacing w:line="480" w:lineRule="exact"/>
        <w:ind w:firstLine="480" w:firstLineChars="200"/>
        <w:rPr>
          <w:kern w:val="0"/>
          <w:sz w:val="24"/>
          <w:szCs w:val="20"/>
        </w:rPr>
      </w:pPr>
      <w:r>
        <w:rPr>
          <w:sz w:val="24"/>
        </w:rPr>
        <w:t>不符合招标文件中规定的其他实质性要求和条件的；</w:t>
      </w:r>
    </w:p>
    <w:p>
      <w:pPr>
        <w:numPr>
          <w:ilvl w:val="0"/>
          <w:numId w:val="6"/>
        </w:numPr>
        <w:snapToGrid w:val="0"/>
        <w:spacing w:line="480" w:lineRule="exact"/>
        <w:ind w:firstLine="480" w:firstLineChars="200"/>
        <w:rPr>
          <w:kern w:val="0"/>
          <w:sz w:val="24"/>
          <w:szCs w:val="20"/>
        </w:rPr>
      </w:pPr>
      <w:r>
        <w:rPr>
          <w:kern w:val="0"/>
          <w:sz w:val="24"/>
          <w:szCs w:val="20"/>
        </w:rPr>
        <w:t>投标人的商务技术部分得分相差悬殊，评标委员会认为得分畸低者没有实质性响应的；</w:t>
      </w:r>
    </w:p>
    <w:p>
      <w:pPr>
        <w:numPr>
          <w:ilvl w:val="0"/>
          <w:numId w:val="6"/>
        </w:numPr>
        <w:snapToGrid w:val="0"/>
        <w:spacing w:line="480" w:lineRule="exact"/>
        <w:ind w:firstLine="480" w:firstLineChars="200"/>
        <w:rPr>
          <w:kern w:val="0"/>
          <w:sz w:val="24"/>
          <w:szCs w:val="20"/>
        </w:rPr>
      </w:pPr>
      <w:r>
        <w:rPr>
          <w:kern w:val="0"/>
          <w:sz w:val="24"/>
          <w:szCs w:val="20"/>
        </w:rPr>
        <w:t>其他法律、法规及本招标文件规定的属无效投标的情形。</w:t>
      </w:r>
    </w:p>
    <w:p>
      <w:pPr>
        <w:numPr>
          <w:ilvl w:val="0"/>
          <w:numId w:val="6"/>
        </w:numPr>
        <w:snapToGrid w:val="0"/>
        <w:spacing w:line="480" w:lineRule="exact"/>
        <w:ind w:firstLine="480"/>
        <w:rPr>
          <w:rFonts w:hint="eastAsia"/>
          <w:sz w:val="24"/>
        </w:rPr>
      </w:pPr>
      <w:r>
        <w:rPr>
          <w:rFonts w:hint="eastAsia"/>
          <w:sz w:val="24"/>
        </w:rPr>
        <w:t>同一投标供应商的不同投标文件（资格审查文件、商务技术文件）相互混装的。</w:t>
      </w:r>
    </w:p>
    <w:p>
      <w:pPr>
        <w:snapToGrid w:val="0"/>
        <w:spacing w:line="480" w:lineRule="exact"/>
        <w:ind w:firstLine="570"/>
        <w:rPr>
          <w:b/>
          <w:sz w:val="24"/>
        </w:rPr>
      </w:pPr>
      <w:r>
        <w:rPr>
          <w:rFonts w:hint="eastAsia"/>
          <w:b/>
          <w:sz w:val="24"/>
        </w:rPr>
        <w:t>四</w:t>
      </w:r>
      <w:r>
        <w:rPr>
          <w:b/>
          <w:sz w:val="24"/>
        </w:rPr>
        <w:t>、出现下列情形之一的，作废标处理</w:t>
      </w:r>
    </w:p>
    <w:p>
      <w:pPr>
        <w:snapToGrid w:val="0"/>
        <w:spacing w:line="480" w:lineRule="exact"/>
        <w:ind w:firstLine="570"/>
        <w:rPr>
          <w:sz w:val="24"/>
        </w:rPr>
      </w:pPr>
      <w:r>
        <w:rPr>
          <w:sz w:val="24"/>
        </w:rPr>
        <w:t>1、符合专业条件的投标人或者对招标文件作实质响应的投标人不足</w:t>
      </w:r>
      <w:r>
        <w:rPr>
          <w:sz w:val="24"/>
          <w:u w:val="single"/>
        </w:rPr>
        <w:t xml:space="preserve"> </w:t>
      </w:r>
      <w:r>
        <w:rPr>
          <w:rFonts w:hint="eastAsia"/>
          <w:sz w:val="24"/>
          <w:u w:val="single"/>
        </w:rPr>
        <w:t>3</w:t>
      </w:r>
      <w:r>
        <w:rPr>
          <w:sz w:val="24"/>
          <w:u w:val="single"/>
        </w:rPr>
        <w:t xml:space="preserve"> </w:t>
      </w:r>
      <w:r>
        <w:rPr>
          <w:sz w:val="24"/>
        </w:rPr>
        <w:t>家的；</w:t>
      </w:r>
    </w:p>
    <w:p>
      <w:pPr>
        <w:snapToGrid w:val="0"/>
        <w:spacing w:line="480" w:lineRule="exact"/>
        <w:ind w:firstLine="555"/>
        <w:rPr>
          <w:sz w:val="24"/>
        </w:rPr>
      </w:pPr>
      <w:r>
        <w:rPr>
          <w:sz w:val="24"/>
        </w:rPr>
        <w:t>2、出现影响招标公正的违法违规行为的；</w:t>
      </w:r>
    </w:p>
    <w:p>
      <w:pPr>
        <w:snapToGrid w:val="0"/>
        <w:spacing w:line="480" w:lineRule="exact"/>
        <w:ind w:firstLine="570"/>
        <w:rPr>
          <w:sz w:val="24"/>
        </w:rPr>
      </w:pPr>
      <w:r>
        <w:rPr>
          <w:rFonts w:hint="eastAsia"/>
          <w:sz w:val="24"/>
        </w:rPr>
        <w:t>3</w:t>
      </w:r>
      <w:r>
        <w:rPr>
          <w:sz w:val="24"/>
        </w:rPr>
        <w:t>、评标委员会认定招标文件存在歧义、重大缺陷导致评审工作无法进行</w:t>
      </w:r>
    </w:p>
    <w:p>
      <w:pPr>
        <w:snapToGrid w:val="0"/>
        <w:spacing w:line="480" w:lineRule="exact"/>
        <w:ind w:firstLine="555"/>
        <w:rPr>
          <w:sz w:val="24"/>
        </w:rPr>
      </w:pPr>
      <w:r>
        <w:rPr>
          <w:rFonts w:hint="eastAsia"/>
          <w:sz w:val="24"/>
        </w:rPr>
        <w:t>4</w:t>
      </w:r>
      <w:r>
        <w:rPr>
          <w:sz w:val="24"/>
        </w:rPr>
        <w:t>、因重大变故，招标任务取消的。</w:t>
      </w:r>
    </w:p>
    <w:p>
      <w:pPr>
        <w:snapToGrid w:val="0"/>
        <w:spacing w:line="480" w:lineRule="exact"/>
        <w:ind w:firstLine="555"/>
        <w:rPr>
          <w:sz w:val="24"/>
        </w:rPr>
      </w:pPr>
      <w:r>
        <w:rPr>
          <w:sz w:val="24"/>
        </w:rPr>
        <w:t>上述均保留评委会认定可以确定为无效投标或废标的其他情况。</w:t>
      </w:r>
    </w:p>
    <w:p>
      <w:pPr>
        <w:snapToGrid w:val="0"/>
        <w:spacing w:line="480" w:lineRule="exact"/>
        <w:ind w:firstLine="555"/>
        <w:rPr>
          <w:b/>
          <w:sz w:val="24"/>
        </w:rPr>
      </w:pPr>
      <w:r>
        <w:rPr>
          <w:b/>
          <w:sz w:val="24"/>
        </w:rPr>
        <w:t>六</w:t>
      </w:r>
      <w:r>
        <w:rPr>
          <w:sz w:val="24"/>
        </w:rPr>
        <w:t>、</w:t>
      </w:r>
      <w:r>
        <w:rPr>
          <w:b/>
          <w:sz w:val="24"/>
        </w:rPr>
        <w:t>变更为其他方式招标的情形</w:t>
      </w:r>
    </w:p>
    <w:p>
      <w:pPr>
        <w:autoSpaceDE w:val="0"/>
        <w:autoSpaceDN w:val="0"/>
        <w:adjustRightInd w:val="0"/>
        <w:snapToGrid w:val="0"/>
        <w:spacing w:line="480" w:lineRule="exact"/>
        <w:ind w:firstLine="480" w:firstLineChars="200"/>
        <w:rPr>
          <w:sz w:val="24"/>
          <w:lang w:val="zh-CN"/>
        </w:rPr>
      </w:pPr>
      <w:r>
        <w:rPr>
          <w:sz w:val="24"/>
        </w:rPr>
        <w:t>投标截止时间出现：参加投标的供应商不足</w:t>
      </w:r>
      <w:r>
        <w:rPr>
          <w:sz w:val="24"/>
          <w:u w:val="single"/>
        </w:rPr>
        <w:t xml:space="preserve"> </w:t>
      </w:r>
      <w:r>
        <w:rPr>
          <w:rFonts w:hint="eastAsia"/>
          <w:sz w:val="24"/>
          <w:u w:val="single"/>
        </w:rPr>
        <w:t>3</w:t>
      </w:r>
      <w:r>
        <w:rPr>
          <w:sz w:val="24"/>
          <w:u w:val="single"/>
        </w:rPr>
        <w:t xml:space="preserve"> </w:t>
      </w:r>
      <w:r>
        <w:rPr>
          <w:sz w:val="24"/>
        </w:rPr>
        <w:t>家的，及评标中出现符合专业条件的供应商或对招标文件作实质响应的投标人不足</w:t>
      </w:r>
      <w:r>
        <w:rPr>
          <w:sz w:val="24"/>
          <w:u w:val="single"/>
        </w:rPr>
        <w:t xml:space="preserve"> </w:t>
      </w:r>
      <w:r>
        <w:rPr>
          <w:rFonts w:hint="eastAsia"/>
          <w:sz w:val="24"/>
          <w:u w:val="single"/>
        </w:rPr>
        <w:t>3</w:t>
      </w:r>
      <w:r>
        <w:rPr>
          <w:sz w:val="24"/>
          <w:u w:val="single"/>
        </w:rPr>
        <w:t xml:space="preserve"> </w:t>
      </w:r>
      <w:r>
        <w:rPr>
          <w:sz w:val="24"/>
        </w:rPr>
        <w:t>家如下情形时，除</w:t>
      </w:r>
      <w:r>
        <w:rPr>
          <w:rFonts w:hint="eastAsia"/>
          <w:sz w:val="24"/>
        </w:rPr>
        <w:t>招标</w:t>
      </w:r>
      <w:r>
        <w:rPr>
          <w:sz w:val="24"/>
        </w:rPr>
        <w:t>任务取消外，招标人报告</w:t>
      </w:r>
      <w:r>
        <w:rPr>
          <w:rFonts w:hint="eastAsia"/>
          <w:sz w:val="24"/>
        </w:rPr>
        <w:t>主管</w:t>
      </w:r>
      <w:r>
        <w:rPr>
          <w:sz w:val="24"/>
        </w:rPr>
        <w:t>部门，视情采取其他方式招标。</w:t>
      </w:r>
      <w:r>
        <w:rPr>
          <w:sz w:val="24"/>
          <w:lang w:val="zh-CN"/>
        </w:rPr>
        <w:t>本次招标文件中对供应商资质、技术等要求，将作为</w:t>
      </w:r>
      <w:r>
        <w:rPr>
          <w:sz w:val="24"/>
        </w:rPr>
        <w:t>其他</w:t>
      </w:r>
      <w:r>
        <w:rPr>
          <w:sz w:val="24"/>
          <w:lang w:val="zh-CN"/>
        </w:rPr>
        <w:t>方式招标的基本要求和依据。原已经参加投标并符合要求的供应商，根据自愿原则，参加</w:t>
      </w:r>
      <w:r>
        <w:rPr>
          <w:sz w:val="24"/>
        </w:rPr>
        <w:t>其他</w:t>
      </w:r>
      <w:r>
        <w:rPr>
          <w:sz w:val="24"/>
          <w:lang w:val="zh-CN"/>
        </w:rPr>
        <w:t>方式招标。</w:t>
      </w:r>
    </w:p>
    <w:p>
      <w:pPr>
        <w:pStyle w:val="73"/>
        <w:snapToGrid w:val="0"/>
        <w:spacing w:before="0" w:after="0" w:line="500" w:lineRule="exact"/>
        <w:ind w:left="0" w:right="0" w:firstLine="481" w:firstLineChars="200"/>
        <w:jc w:val="left"/>
        <w:rPr>
          <w:rFonts w:ascii="Times New Roman" w:hAnsi="Times New Roman"/>
          <w:b/>
        </w:rPr>
      </w:pPr>
      <w:r>
        <w:rPr>
          <w:rFonts w:ascii="Times New Roman" w:hAnsi="Times New Roman"/>
          <w:b/>
        </w:rPr>
        <w:t>七、评标流程和评标标准</w:t>
      </w:r>
    </w:p>
    <w:p>
      <w:pPr>
        <w:autoSpaceDE w:val="0"/>
        <w:autoSpaceDN w:val="0"/>
        <w:adjustRightInd w:val="0"/>
        <w:snapToGrid w:val="0"/>
        <w:spacing w:line="480" w:lineRule="exact"/>
        <w:ind w:firstLine="480" w:firstLineChars="200"/>
        <w:rPr>
          <w:sz w:val="24"/>
          <w:lang w:val="zh-CN"/>
        </w:rPr>
      </w:pPr>
      <w:r>
        <w:rPr>
          <w:sz w:val="24"/>
          <w:lang w:val="zh-CN"/>
        </w:rPr>
        <w:t>采用综合评分法。分资格审查文件、商务技术文件</w:t>
      </w:r>
      <w:r>
        <w:rPr>
          <w:rFonts w:hint="eastAsia"/>
          <w:sz w:val="24"/>
          <w:lang w:val="zh-CN"/>
        </w:rPr>
        <w:t>二</w:t>
      </w:r>
      <w:r>
        <w:rPr>
          <w:sz w:val="24"/>
          <w:lang w:val="zh-CN"/>
        </w:rPr>
        <w:t>部分评审，总分值为100分。</w:t>
      </w:r>
    </w:p>
    <w:p>
      <w:pPr>
        <w:autoSpaceDE w:val="0"/>
        <w:autoSpaceDN w:val="0"/>
        <w:adjustRightInd w:val="0"/>
        <w:snapToGrid w:val="0"/>
        <w:spacing w:line="480" w:lineRule="exact"/>
        <w:ind w:firstLine="480" w:firstLineChars="200"/>
        <w:rPr>
          <w:sz w:val="24"/>
          <w:lang w:val="zh-CN"/>
        </w:rPr>
      </w:pPr>
      <w:r>
        <w:rPr>
          <w:sz w:val="24"/>
          <w:lang w:val="zh-CN"/>
        </w:rPr>
        <w:t>首先由</w:t>
      </w:r>
      <w:r>
        <w:rPr>
          <w:rFonts w:hint="eastAsia"/>
          <w:sz w:val="24"/>
        </w:rPr>
        <w:t>评标委员会</w:t>
      </w:r>
      <w:r>
        <w:rPr>
          <w:sz w:val="24"/>
          <w:lang w:val="zh-CN"/>
        </w:rPr>
        <w:t>对投标人资格进行审查，然后评标委员会对符合资格的投标人的投标文件进行符合性审查，最后评标委员会对符合性审查合格的投标文件商务技术部分进行评</w:t>
      </w:r>
      <w:r>
        <w:rPr>
          <w:rFonts w:hint="eastAsia"/>
          <w:sz w:val="24"/>
          <w:lang w:val="zh-CN"/>
        </w:rPr>
        <w:t>审</w:t>
      </w:r>
      <w:r>
        <w:rPr>
          <w:sz w:val="24"/>
          <w:lang w:val="zh-CN"/>
        </w:rPr>
        <w:t>。</w:t>
      </w:r>
      <w:r>
        <w:rPr>
          <w:rFonts w:hint="eastAsia"/>
          <w:sz w:val="24"/>
          <w:lang w:val="zh-CN"/>
        </w:rPr>
        <w:t xml:space="preserve"> </w:t>
      </w:r>
      <w:r>
        <w:rPr>
          <w:rFonts w:hint="eastAsia"/>
          <w:sz w:val="24"/>
        </w:rPr>
        <w:t>商务</w:t>
      </w:r>
      <w:r>
        <w:rPr>
          <w:rFonts w:hint="eastAsia"/>
          <w:sz w:val="24"/>
          <w:lang w:val="zh-CN"/>
        </w:rPr>
        <w:t>技术分按5个评委的</w:t>
      </w:r>
      <w:r>
        <w:rPr>
          <w:rFonts w:hint="eastAsia"/>
          <w:sz w:val="24"/>
        </w:rPr>
        <w:t>最终得分的</w:t>
      </w:r>
      <w:r>
        <w:rPr>
          <w:rFonts w:hint="eastAsia"/>
          <w:sz w:val="24"/>
          <w:lang w:val="zh-CN"/>
        </w:rPr>
        <w:t>算术平均值计算（计算结果四舍五入保留两位小数）。按得分由高到低推荐排名前三的供应商作为中标候选人，如出现分值相同而无法决定入围的情况，抽签决定入围中标候选人（投标人的抽签顺序分别为各投标人递交投标文件签到顺序号）。</w:t>
      </w:r>
    </w:p>
    <w:p>
      <w:pPr>
        <w:adjustRightInd w:val="0"/>
        <w:snapToGrid w:val="0"/>
        <w:spacing w:line="500" w:lineRule="exact"/>
        <w:ind w:firstLine="555"/>
        <w:rPr>
          <w:sz w:val="24"/>
        </w:rPr>
      </w:pPr>
      <w:r>
        <w:rPr>
          <w:sz w:val="24"/>
        </w:rPr>
        <w:t>评委在认真审阅投标文件的基础上，根据各投标文件的响应程度独立评判，不得统一打分。</w:t>
      </w:r>
    </w:p>
    <w:p>
      <w:pPr>
        <w:snapToGrid w:val="0"/>
        <w:spacing w:line="480" w:lineRule="exact"/>
        <w:ind w:firstLine="570"/>
        <w:rPr>
          <w:b/>
          <w:kern w:val="0"/>
          <w:sz w:val="24"/>
        </w:rPr>
      </w:pPr>
      <w:r>
        <w:rPr>
          <w:b/>
          <w:kern w:val="0"/>
          <w:sz w:val="24"/>
        </w:rPr>
        <w:t>（一）</w:t>
      </w:r>
      <w:r>
        <w:rPr>
          <w:rFonts w:hint="eastAsia"/>
          <w:b/>
          <w:kern w:val="0"/>
          <w:sz w:val="24"/>
        </w:rPr>
        <w:t>评标委员会</w:t>
      </w:r>
      <w:r>
        <w:rPr>
          <w:b/>
          <w:kern w:val="0"/>
          <w:sz w:val="24"/>
        </w:rPr>
        <w:t>对投标人资格进行审查。</w:t>
      </w:r>
    </w:p>
    <w:p>
      <w:pPr>
        <w:pStyle w:val="77"/>
        <w:adjustRightInd w:val="0"/>
        <w:snapToGrid w:val="0"/>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投标人资格不合格的，其投标文件判定为无效投标文件。</w:t>
      </w:r>
    </w:p>
    <w:p>
      <w:pPr>
        <w:snapToGrid w:val="0"/>
        <w:spacing w:line="480" w:lineRule="exact"/>
        <w:ind w:firstLine="570"/>
        <w:rPr>
          <w:b/>
          <w:kern w:val="0"/>
          <w:sz w:val="24"/>
        </w:rPr>
      </w:pPr>
      <w:r>
        <w:rPr>
          <w:b/>
          <w:kern w:val="0"/>
          <w:sz w:val="24"/>
        </w:rPr>
        <w:t>（二）评标委员会对符合资格投标人的投标文件进行符合性审查。</w:t>
      </w:r>
    </w:p>
    <w:p>
      <w:pPr>
        <w:pStyle w:val="77"/>
        <w:adjustRightInd w:val="0"/>
        <w:snapToGrid w:val="0"/>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 xml:space="preserve">未通过符合性审查的投标文件，将被判为不满足招标文件实质性要求。 </w:t>
      </w:r>
    </w:p>
    <w:p>
      <w:pPr>
        <w:snapToGrid w:val="0"/>
        <w:spacing w:line="480" w:lineRule="exact"/>
        <w:ind w:firstLine="570"/>
        <w:rPr>
          <w:bCs/>
          <w:kern w:val="0"/>
          <w:sz w:val="24"/>
          <w:lang w:val="zh-CN"/>
        </w:rPr>
      </w:pPr>
      <w:r>
        <w:rPr>
          <w:b/>
          <w:kern w:val="0"/>
          <w:sz w:val="24"/>
        </w:rPr>
        <w:t>（</w:t>
      </w:r>
      <w:r>
        <w:rPr>
          <w:b/>
          <w:kern w:val="0"/>
          <w:sz w:val="24"/>
          <w:lang w:val="zh-CN"/>
        </w:rPr>
        <w:t>三</w:t>
      </w:r>
      <w:r>
        <w:rPr>
          <w:b/>
          <w:kern w:val="0"/>
          <w:sz w:val="24"/>
        </w:rPr>
        <w:t>）</w:t>
      </w:r>
      <w:r>
        <w:rPr>
          <w:b/>
          <w:kern w:val="0"/>
          <w:sz w:val="24"/>
          <w:lang w:val="zh-CN"/>
        </w:rPr>
        <w:t>商务技术分：</w:t>
      </w:r>
      <w:r>
        <w:rPr>
          <w:rFonts w:hint="eastAsia"/>
          <w:bCs/>
          <w:kern w:val="0"/>
          <w:sz w:val="24"/>
          <w:u w:val="single"/>
        </w:rPr>
        <w:t>100</w:t>
      </w:r>
      <w:r>
        <w:rPr>
          <w:bCs/>
          <w:kern w:val="0"/>
          <w:sz w:val="24"/>
          <w:u w:val="single"/>
        </w:rPr>
        <w:t xml:space="preserve"> </w:t>
      </w:r>
      <w:r>
        <w:rPr>
          <w:bCs/>
          <w:kern w:val="0"/>
          <w:sz w:val="24"/>
          <w:lang w:val="zh-CN"/>
        </w:rPr>
        <w:t>分</w:t>
      </w:r>
    </w:p>
    <w:p>
      <w:pPr>
        <w:adjustRightInd w:val="0"/>
        <w:snapToGrid w:val="0"/>
        <w:spacing w:line="500" w:lineRule="exact"/>
        <w:ind w:firstLine="480" w:firstLineChars="200"/>
        <w:jc w:val="left"/>
        <w:rPr>
          <w:sz w:val="24"/>
        </w:rPr>
      </w:pPr>
      <w:r>
        <w:rPr>
          <w:sz w:val="24"/>
        </w:rPr>
        <w:t>各投标人得分为评委会成员评分的算术平均分，分值</w:t>
      </w:r>
      <w:r>
        <w:rPr>
          <w:rFonts w:hint="eastAsia"/>
          <w:sz w:val="24"/>
        </w:rPr>
        <w:t>四舍五入</w:t>
      </w:r>
      <w:r>
        <w:rPr>
          <w:sz w:val="24"/>
        </w:rPr>
        <w:t>保留小数点后两位。</w:t>
      </w:r>
    </w:p>
    <w:p>
      <w:pPr>
        <w:adjustRightInd w:val="0"/>
        <w:snapToGrid w:val="0"/>
        <w:spacing w:line="500" w:lineRule="exact"/>
        <w:ind w:firstLine="600" w:firstLineChars="250"/>
        <w:jc w:val="left"/>
        <w:rPr>
          <w:sz w:val="24"/>
        </w:rPr>
      </w:pPr>
      <w:r>
        <w:rPr>
          <w:sz w:val="24"/>
        </w:rPr>
        <w:t xml:space="preserve">  </w:t>
      </w:r>
    </w:p>
    <w:p>
      <w:pPr>
        <w:adjustRightInd w:val="0"/>
        <w:snapToGrid w:val="0"/>
        <w:spacing w:line="500" w:lineRule="exact"/>
        <w:ind w:firstLine="600" w:firstLineChars="250"/>
        <w:jc w:val="left"/>
        <w:rPr>
          <w:sz w:val="24"/>
        </w:rPr>
      </w:pPr>
    </w:p>
    <w:p>
      <w:pPr>
        <w:adjustRightInd w:val="0"/>
        <w:snapToGrid w:val="0"/>
        <w:spacing w:line="500" w:lineRule="exact"/>
        <w:ind w:firstLine="600" w:firstLineChars="250"/>
        <w:jc w:val="left"/>
        <w:rPr>
          <w:rFonts w:hint="eastAsia"/>
          <w:sz w:val="24"/>
        </w:rPr>
      </w:pPr>
    </w:p>
    <w:tbl>
      <w:tblPr>
        <w:tblStyle w:val="33"/>
        <w:tblpPr w:leftFromText="180" w:rightFromText="180" w:vertAnchor="text" w:tblpY="1"/>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308"/>
        <w:gridCol w:w="541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7" w:type="pct"/>
            <w:vAlign w:val="center"/>
          </w:tcPr>
          <w:p>
            <w:pPr>
              <w:spacing w:line="360" w:lineRule="auto"/>
              <w:jc w:val="center"/>
              <w:rPr>
                <w:rFonts w:hint="eastAsia" w:ascii="宋体" w:hAnsi="宋体" w:cs="Tahoma"/>
                <w:b/>
                <w:bCs/>
                <w:szCs w:val="21"/>
              </w:rPr>
            </w:pPr>
            <w:r>
              <w:rPr>
                <w:rFonts w:hint="eastAsia" w:ascii="宋体" w:hAnsi="宋体" w:cs="Tahoma"/>
                <w:b/>
                <w:szCs w:val="21"/>
              </w:rPr>
              <w:t>评审类别</w:t>
            </w:r>
          </w:p>
        </w:tc>
        <w:tc>
          <w:tcPr>
            <w:tcW w:w="714" w:type="pct"/>
            <w:vAlign w:val="center"/>
          </w:tcPr>
          <w:p>
            <w:pPr>
              <w:spacing w:line="360" w:lineRule="auto"/>
              <w:jc w:val="center"/>
              <w:rPr>
                <w:rFonts w:hint="eastAsia" w:ascii="宋体" w:hAnsi="宋体" w:cs="Tahoma"/>
                <w:b/>
                <w:bCs/>
                <w:szCs w:val="21"/>
              </w:rPr>
            </w:pPr>
            <w:r>
              <w:rPr>
                <w:rFonts w:hint="eastAsia" w:ascii="宋体" w:hAnsi="宋体" w:cs="Tahoma"/>
                <w:b/>
                <w:szCs w:val="21"/>
              </w:rPr>
              <w:t>评审项</w:t>
            </w:r>
          </w:p>
        </w:tc>
        <w:tc>
          <w:tcPr>
            <w:tcW w:w="2956" w:type="pct"/>
            <w:vAlign w:val="center"/>
          </w:tcPr>
          <w:p>
            <w:pPr>
              <w:spacing w:line="360" w:lineRule="auto"/>
              <w:jc w:val="center"/>
              <w:rPr>
                <w:rFonts w:hint="eastAsia" w:ascii="宋体" w:hAnsi="宋体" w:cs="Tahoma"/>
                <w:b/>
                <w:bCs/>
                <w:szCs w:val="21"/>
              </w:rPr>
            </w:pPr>
            <w:r>
              <w:rPr>
                <w:rFonts w:hint="eastAsia" w:ascii="宋体" w:hAnsi="宋体" w:cs="Tahoma"/>
                <w:b/>
                <w:szCs w:val="21"/>
              </w:rPr>
              <w:t>评审规则</w:t>
            </w:r>
          </w:p>
        </w:tc>
        <w:tc>
          <w:tcPr>
            <w:tcW w:w="621" w:type="pct"/>
            <w:vAlign w:val="center"/>
          </w:tcPr>
          <w:p>
            <w:pPr>
              <w:spacing w:line="360" w:lineRule="auto"/>
              <w:jc w:val="center"/>
              <w:rPr>
                <w:rFonts w:hint="eastAsia" w:ascii="宋体" w:hAnsi="宋体" w:cs="Tahoma"/>
                <w:b/>
                <w:bCs/>
                <w:szCs w:val="21"/>
              </w:rPr>
            </w:pPr>
            <w:r>
              <w:rPr>
                <w:rFonts w:hint="eastAsia" w:ascii="宋体" w:hAnsi="宋体" w:cs="Tahoma"/>
                <w:b/>
                <w:szCs w:val="21"/>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7" w:type="pct"/>
            <w:vMerge w:val="restart"/>
            <w:vAlign w:val="center"/>
          </w:tcPr>
          <w:p>
            <w:pPr>
              <w:spacing w:line="360" w:lineRule="auto"/>
              <w:jc w:val="center"/>
              <w:rPr>
                <w:rFonts w:hint="eastAsia" w:ascii="宋体" w:hAnsi="宋体" w:cs="Tahoma"/>
                <w:b/>
                <w:szCs w:val="21"/>
              </w:rPr>
            </w:pPr>
            <w:r>
              <w:rPr>
                <w:rFonts w:hint="eastAsia" w:ascii="宋体" w:hAnsi="宋体" w:cs="Tahoma"/>
                <w:b/>
                <w:szCs w:val="21"/>
              </w:rPr>
              <w:t>技术及商务部分</w:t>
            </w:r>
          </w:p>
          <w:p>
            <w:pPr>
              <w:spacing w:line="360" w:lineRule="auto"/>
              <w:jc w:val="center"/>
              <w:rPr>
                <w:rFonts w:hint="eastAsia" w:ascii="宋体" w:hAnsi="宋体" w:cs="Tahoma"/>
                <w:b/>
                <w:bCs/>
                <w:szCs w:val="21"/>
              </w:rPr>
            </w:pPr>
            <w:r>
              <w:rPr>
                <w:rFonts w:hint="eastAsia" w:ascii="宋体" w:hAnsi="宋体" w:cs="Tahoma"/>
                <w:b/>
                <w:szCs w:val="21"/>
              </w:rPr>
              <w:t>（100分）</w:t>
            </w:r>
          </w:p>
        </w:tc>
        <w:tc>
          <w:tcPr>
            <w:tcW w:w="714" w:type="pct"/>
            <w:vAlign w:val="center"/>
          </w:tcPr>
          <w:p>
            <w:pPr>
              <w:jc w:val="center"/>
              <w:rPr>
                <w:rFonts w:hint="eastAsia" w:ascii="宋体" w:hAnsi="宋体" w:cs="Tahoma"/>
                <w:szCs w:val="21"/>
              </w:rPr>
            </w:pPr>
            <w:r>
              <w:rPr>
                <w:rFonts w:hint="eastAsia" w:ascii="宋体" w:hAnsi="宋体"/>
                <w:szCs w:val="21"/>
              </w:rPr>
              <w:t>服务理念及组织架构</w:t>
            </w:r>
          </w:p>
        </w:tc>
        <w:tc>
          <w:tcPr>
            <w:tcW w:w="2956" w:type="pct"/>
            <w:vAlign w:val="center"/>
          </w:tcPr>
          <w:p>
            <w:pPr>
              <w:rPr>
                <w:rFonts w:hint="eastAsia" w:ascii="宋体" w:hAnsi="宋体"/>
                <w:color w:val="auto"/>
                <w:szCs w:val="21"/>
              </w:rPr>
            </w:pPr>
            <w:r>
              <w:rPr>
                <w:rFonts w:hint="eastAsia" w:ascii="宋体" w:hAnsi="宋体"/>
                <w:color w:val="auto"/>
                <w:szCs w:val="21"/>
              </w:rPr>
              <w:t>供应商根据本项目特点，制定下列内容。</w:t>
            </w:r>
          </w:p>
          <w:p>
            <w:pPr>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物业管理理念；</w:t>
            </w:r>
          </w:p>
          <w:p>
            <w:pPr>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物业服务目标；</w:t>
            </w:r>
          </w:p>
          <w:p>
            <w:pPr>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梳理服务内容，设置服务组织机构，明确分工及职责。</w:t>
            </w:r>
          </w:p>
          <w:p>
            <w:pPr>
              <w:rPr>
                <w:rFonts w:hint="eastAsia" w:ascii="宋体" w:hAnsi="宋体"/>
                <w:color w:val="auto"/>
                <w:szCs w:val="21"/>
              </w:rPr>
            </w:pPr>
            <w:r>
              <w:rPr>
                <w:rFonts w:hint="eastAsia" w:ascii="宋体" w:hAnsi="宋体" w:cs="宋体"/>
                <w:color w:val="auto"/>
                <w:szCs w:val="21"/>
              </w:rPr>
              <w:t>上述每项应逐条叙述，</w:t>
            </w:r>
            <w:r>
              <w:rPr>
                <w:rFonts w:hint="eastAsia" w:ascii="宋体" w:hAnsi="宋体"/>
                <w:color w:val="auto"/>
                <w:szCs w:val="21"/>
              </w:rPr>
              <w:t>内容</w:t>
            </w:r>
            <w:r>
              <w:rPr>
                <w:rFonts w:hint="eastAsia" w:ascii="宋体" w:hAnsi="宋体" w:cs="宋体"/>
                <w:color w:val="auto"/>
                <w:szCs w:val="21"/>
              </w:rPr>
              <w:t>全面合理、可行性强、操作性强、贴合项目实际的得</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olor w:val="auto"/>
                <w:szCs w:val="21"/>
              </w:rPr>
              <w:t>内容基本合理、具有一定的可行性、具有一定的操作性、与项目实际基本贴合的得1分；</w:t>
            </w:r>
            <w:r>
              <w:rPr>
                <w:rFonts w:hint="eastAsia" w:ascii="宋体" w:hAnsi="宋体" w:cs="宋体"/>
                <w:color w:val="auto"/>
                <w:szCs w:val="21"/>
              </w:rPr>
              <w:t>每项叙述内容完全脱离采购需求或未作</w:t>
            </w:r>
            <w:r>
              <w:rPr>
                <w:rFonts w:hint="eastAsia" w:ascii="宋体" w:hAnsi="宋体"/>
                <w:color w:val="auto"/>
                <w:szCs w:val="21"/>
              </w:rPr>
              <w:t>完整</w:t>
            </w:r>
            <w:r>
              <w:rPr>
                <w:rFonts w:hint="eastAsia" w:ascii="宋体" w:hAnsi="宋体" w:cs="宋体"/>
                <w:color w:val="auto"/>
                <w:szCs w:val="21"/>
              </w:rPr>
              <w:t>叙述的不得分。</w:t>
            </w:r>
          </w:p>
        </w:tc>
        <w:tc>
          <w:tcPr>
            <w:tcW w:w="621" w:type="pct"/>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r>
              <w:rPr>
                <w:rFonts w:hint="eastAsia"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管理服务制度</w:t>
            </w:r>
          </w:p>
        </w:tc>
        <w:tc>
          <w:tcPr>
            <w:tcW w:w="2956" w:type="pct"/>
            <w:vAlign w:val="center"/>
          </w:tcPr>
          <w:p>
            <w:pPr>
              <w:rPr>
                <w:rFonts w:hint="eastAsia" w:ascii="宋体" w:hAnsi="宋体"/>
                <w:color w:val="auto"/>
                <w:szCs w:val="21"/>
              </w:rPr>
            </w:pPr>
            <w:bookmarkStart w:id="5" w:name="_Hlk180768857"/>
            <w:bookmarkStart w:id="6" w:name="_Hlk180768830"/>
            <w:r>
              <w:rPr>
                <w:rFonts w:hint="eastAsia" w:ascii="宋体" w:hAnsi="宋体"/>
                <w:color w:val="auto"/>
                <w:szCs w:val="21"/>
              </w:rPr>
              <w:t>供应商根据本项目特点，制定下列管理服务制度。</w:t>
            </w:r>
          </w:p>
          <w:p>
            <w:pPr>
              <w:rPr>
                <w:rFonts w:hint="eastAsia" w:ascii="宋体" w:hAnsi="宋体"/>
                <w:color w:val="auto"/>
                <w:szCs w:val="21"/>
              </w:rPr>
            </w:pPr>
            <w:r>
              <w:rPr>
                <w:rFonts w:hint="eastAsia" w:ascii="宋体" w:hAnsi="宋体"/>
                <w:color w:val="auto"/>
                <w:szCs w:val="21"/>
              </w:rPr>
              <w:t>1.</w:t>
            </w:r>
            <w:bookmarkStart w:id="7" w:name="_Hlk180768945"/>
            <w:r>
              <w:rPr>
                <w:rFonts w:hint="eastAsia" w:ascii="宋体" w:hAnsi="宋体"/>
                <w:color w:val="auto"/>
                <w:szCs w:val="21"/>
              </w:rPr>
              <w:t>岗位责任制度；</w:t>
            </w:r>
          </w:p>
          <w:p>
            <w:pPr>
              <w:rPr>
                <w:rFonts w:hint="eastAsia" w:ascii="宋体" w:hAnsi="宋体"/>
                <w:color w:val="auto"/>
                <w:szCs w:val="21"/>
              </w:rPr>
            </w:pPr>
            <w:r>
              <w:rPr>
                <w:rFonts w:hint="eastAsia" w:ascii="宋体" w:hAnsi="宋体"/>
                <w:color w:val="auto"/>
                <w:szCs w:val="21"/>
              </w:rPr>
              <w:t>2.考核制度；</w:t>
            </w:r>
          </w:p>
          <w:p>
            <w:pPr>
              <w:rPr>
                <w:rFonts w:hint="eastAsia" w:ascii="宋体" w:hAnsi="宋体"/>
                <w:color w:val="auto"/>
                <w:szCs w:val="21"/>
              </w:rPr>
            </w:pPr>
            <w:r>
              <w:rPr>
                <w:rFonts w:hint="eastAsia" w:ascii="宋体" w:hAnsi="宋体"/>
                <w:color w:val="auto"/>
                <w:szCs w:val="21"/>
              </w:rPr>
              <w:t>3.统一着装、文明上岗制度；</w:t>
            </w:r>
          </w:p>
          <w:p>
            <w:pPr>
              <w:rPr>
                <w:rFonts w:hint="eastAsia" w:ascii="宋体" w:hAnsi="宋体"/>
                <w:color w:val="auto"/>
                <w:szCs w:val="21"/>
              </w:rPr>
            </w:pPr>
            <w:r>
              <w:rPr>
                <w:rFonts w:hint="eastAsia" w:ascii="宋体" w:hAnsi="宋体"/>
                <w:color w:val="auto"/>
                <w:szCs w:val="21"/>
              </w:rPr>
              <w:t>4.保密管理制度；</w:t>
            </w:r>
          </w:p>
          <w:p>
            <w:pPr>
              <w:rPr>
                <w:rFonts w:hint="eastAsia" w:ascii="宋体" w:hAnsi="宋体"/>
                <w:color w:val="auto"/>
                <w:szCs w:val="21"/>
              </w:rPr>
            </w:pPr>
            <w:r>
              <w:rPr>
                <w:rFonts w:hint="eastAsia" w:ascii="宋体" w:hAnsi="宋体"/>
                <w:color w:val="auto"/>
                <w:szCs w:val="21"/>
              </w:rPr>
              <w:t>5.档案管理制度。</w:t>
            </w:r>
            <w:bookmarkEnd w:id="5"/>
            <w:bookmarkEnd w:id="7"/>
          </w:p>
          <w:p>
            <w:pPr>
              <w:rPr>
                <w:rFonts w:hint="eastAsia" w:ascii="宋体" w:hAnsi="宋体"/>
                <w:color w:val="auto"/>
                <w:szCs w:val="21"/>
              </w:rPr>
            </w:pPr>
            <w:r>
              <w:rPr>
                <w:rFonts w:hint="eastAsia" w:ascii="宋体" w:hAnsi="宋体"/>
                <w:color w:val="auto"/>
                <w:szCs w:val="21"/>
              </w:rPr>
              <w:t>上述每项应逐条叙述，制度全面合理、可行性强、操作性强、贴合项目实际的得</w:t>
            </w:r>
            <w:r>
              <w:rPr>
                <w:rFonts w:hint="eastAsia" w:ascii="宋体" w:hAnsi="宋体"/>
                <w:color w:val="auto"/>
                <w:szCs w:val="21"/>
                <w:lang w:val="en-US" w:eastAsia="zh-CN"/>
              </w:rPr>
              <w:t>2</w:t>
            </w:r>
            <w:r>
              <w:rPr>
                <w:rFonts w:hint="eastAsia" w:ascii="宋体" w:hAnsi="宋体"/>
                <w:color w:val="auto"/>
                <w:szCs w:val="21"/>
              </w:rPr>
              <w:t>分；制度基本合理、具有一定的可行性、具有一定的操作性、与项目实际基本贴合的得1分；每项叙述内容完全脱离采购需求或未作完整叙述的不得分。</w:t>
            </w:r>
            <w:bookmarkEnd w:id="6"/>
          </w:p>
        </w:tc>
        <w:tc>
          <w:tcPr>
            <w:tcW w:w="621" w:type="pct"/>
            <w:vAlign w:val="center"/>
          </w:tcPr>
          <w:p>
            <w:pPr>
              <w:jc w:val="center"/>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保安服务方案</w:t>
            </w:r>
          </w:p>
        </w:tc>
        <w:tc>
          <w:tcPr>
            <w:tcW w:w="2956" w:type="pct"/>
            <w:vAlign w:val="center"/>
          </w:tcPr>
          <w:p>
            <w:pPr>
              <w:rPr>
                <w:rFonts w:hint="eastAsia" w:ascii="宋体" w:hAnsi="宋体"/>
                <w:color w:val="auto"/>
                <w:szCs w:val="21"/>
              </w:rPr>
            </w:pPr>
            <w:r>
              <w:rPr>
                <w:rFonts w:hint="eastAsia" w:ascii="宋体" w:hAnsi="宋体"/>
                <w:color w:val="auto"/>
                <w:szCs w:val="21"/>
              </w:rPr>
              <w:t>供应商根据本项目特点，制定下列服务方案。</w:t>
            </w:r>
          </w:p>
          <w:p>
            <w:pPr>
              <w:rPr>
                <w:rFonts w:hint="eastAsia" w:ascii="宋体" w:hAnsi="宋体"/>
                <w:color w:val="auto"/>
                <w:szCs w:val="21"/>
              </w:rPr>
            </w:pPr>
            <w:r>
              <w:rPr>
                <w:rFonts w:hint="eastAsia" w:ascii="宋体" w:hAnsi="宋体"/>
                <w:color w:val="auto"/>
                <w:szCs w:val="21"/>
              </w:rPr>
              <w:t>1.保安服务管理；</w:t>
            </w:r>
          </w:p>
          <w:p>
            <w:pPr>
              <w:rPr>
                <w:rFonts w:hint="eastAsia" w:ascii="宋体" w:hAnsi="宋体"/>
                <w:color w:val="auto"/>
                <w:szCs w:val="21"/>
              </w:rPr>
            </w:pPr>
            <w:r>
              <w:rPr>
                <w:rFonts w:hint="eastAsia" w:ascii="宋体" w:hAnsi="宋体"/>
                <w:color w:val="auto"/>
                <w:szCs w:val="21"/>
              </w:rPr>
              <w:t>2.岗位责任制度；</w:t>
            </w:r>
          </w:p>
          <w:p>
            <w:pPr>
              <w:rPr>
                <w:rFonts w:hint="eastAsia" w:ascii="宋体" w:hAnsi="宋体"/>
                <w:color w:val="auto"/>
                <w:szCs w:val="21"/>
              </w:rPr>
            </w:pPr>
            <w:r>
              <w:rPr>
                <w:rFonts w:hint="eastAsia" w:ascii="宋体" w:hAnsi="宋体"/>
                <w:color w:val="auto"/>
                <w:szCs w:val="21"/>
              </w:rPr>
              <w:t>3.保安人员管理制度；</w:t>
            </w:r>
          </w:p>
          <w:p>
            <w:pPr>
              <w:rPr>
                <w:rFonts w:hint="eastAsia" w:ascii="宋体" w:hAnsi="宋体"/>
                <w:color w:val="auto"/>
                <w:szCs w:val="21"/>
              </w:rPr>
            </w:pPr>
            <w:r>
              <w:rPr>
                <w:rFonts w:hint="eastAsia" w:ascii="宋体" w:hAnsi="宋体"/>
                <w:color w:val="auto"/>
                <w:szCs w:val="21"/>
              </w:rPr>
              <w:t>4.紧急情况应急预案。</w:t>
            </w:r>
          </w:p>
          <w:p>
            <w:pPr>
              <w:widowControl/>
              <w:rPr>
                <w:rFonts w:hint="eastAsia" w:ascii="宋体" w:hAnsi="宋体"/>
                <w:color w:val="auto"/>
                <w:szCs w:val="21"/>
              </w:rPr>
            </w:pPr>
            <w:r>
              <w:rPr>
                <w:rFonts w:hint="eastAsia" w:ascii="宋体" w:hAnsi="宋体"/>
                <w:color w:val="auto"/>
                <w:szCs w:val="21"/>
              </w:rPr>
              <w:t>上述每项应逐条叙述，方案全面合理、可行性强、操作性强、贴合项目实际的得</w:t>
            </w:r>
            <w:r>
              <w:rPr>
                <w:rFonts w:hint="eastAsia" w:ascii="宋体" w:hAnsi="宋体"/>
                <w:color w:val="auto"/>
                <w:szCs w:val="21"/>
                <w:lang w:val="en-US" w:eastAsia="zh-CN"/>
              </w:rPr>
              <w:t>2</w:t>
            </w:r>
            <w:r>
              <w:rPr>
                <w:rFonts w:hint="eastAsia" w:ascii="宋体" w:hAnsi="宋体"/>
                <w:color w:val="auto"/>
                <w:szCs w:val="21"/>
              </w:rPr>
              <w:t>分；方案基本合理、具有一定的可行性、具有一定的操作性、与项目实际基本贴合的得1分；每项叙述内容完全脱离采购需求或未作完整叙述的不得分。</w:t>
            </w:r>
          </w:p>
        </w:tc>
        <w:tc>
          <w:tcPr>
            <w:tcW w:w="621" w:type="pct"/>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8</w:t>
            </w:r>
            <w:r>
              <w:rPr>
                <w:rFonts w:hint="eastAsia"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保洁服务方案</w:t>
            </w:r>
          </w:p>
        </w:tc>
        <w:tc>
          <w:tcPr>
            <w:tcW w:w="2956" w:type="pct"/>
            <w:vAlign w:val="center"/>
          </w:tcPr>
          <w:p>
            <w:pPr>
              <w:rPr>
                <w:rFonts w:hint="eastAsia" w:ascii="宋体" w:hAnsi="宋体"/>
                <w:szCs w:val="21"/>
              </w:rPr>
            </w:pPr>
            <w:r>
              <w:rPr>
                <w:rFonts w:hint="eastAsia" w:ascii="宋体" w:hAnsi="宋体"/>
                <w:szCs w:val="21"/>
              </w:rPr>
              <w:t>供应商根据本项目特点，制定下列服务方案。</w:t>
            </w:r>
          </w:p>
          <w:p>
            <w:pPr>
              <w:rPr>
                <w:rFonts w:hint="eastAsia" w:ascii="宋体" w:hAnsi="宋体"/>
                <w:szCs w:val="21"/>
              </w:rPr>
            </w:pPr>
            <w:r>
              <w:rPr>
                <w:rFonts w:hint="eastAsia" w:ascii="宋体" w:hAnsi="宋体"/>
                <w:szCs w:val="21"/>
              </w:rPr>
              <w:t>1.管理制度；</w:t>
            </w:r>
          </w:p>
          <w:p>
            <w:pPr>
              <w:rPr>
                <w:rFonts w:hint="eastAsia" w:ascii="宋体" w:hAnsi="宋体"/>
                <w:szCs w:val="21"/>
              </w:rPr>
            </w:pPr>
            <w:r>
              <w:rPr>
                <w:rFonts w:hint="eastAsia" w:ascii="宋体" w:hAnsi="宋体"/>
                <w:szCs w:val="21"/>
              </w:rPr>
              <w:t>2.保洁计划；</w:t>
            </w:r>
          </w:p>
          <w:p>
            <w:pPr>
              <w:rPr>
                <w:rFonts w:hint="eastAsia" w:ascii="宋体" w:hAnsi="宋体"/>
                <w:szCs w:val="21"/>
              </w:rPr>
            </w:pPr>
            <w:r>
              <w:rPr>
                <w:rFonts w:hint="eastAsia" w:ascii="宋体" w:hAnsi="宋体"/>
                <w:szCs w:val="21"/>
              </w:rPr>
              <w:t>3.保洁作业标准；</w:t>
            </w:r>
          </w:p>
          <w:p>
            <w:pPr>
              <w:rPr>
                <w:rFonts w:hint="eastAsia" w:ascii="宋体" w:hAnsi="宋体"/>
                <w:szCs w:val="21"/>
              </w:rPr>
            </w:pPr>
            <w:r>
              <w:rPr>
                <w:rFonts w:hint="eastAsia" w:ascii="宋体" w:hAnsi="宋体"/>
                <w:szCs w:val="21"/>
              </w:rPr>
              <w:t>4.人员配置方案。</w:t>
            </w:r>
          </w:p>
          <w:p>
            <w:pPr>
              <w:widowControl/>
              <w:rPr>
                <w:rFonts w:hint="eastAsia" w:ascii="宋体" w:hAnsi="宋体"/>
                <w:szCs w:val="21"/>
              </w:rPr>
            </w:pPr>
            <w:r>
              <w:rPr>
                <w:rFonts w:hint="eastAsia" w:ascii="宋体" w:hAnsi="宋体"/>
                <w:szCs w:val="21"/>
              </w:rPr>
              <w:t>上述每项应逐条叙述，方案全面合理、可行性强、操作性强、贴合项目实际的得3分；方案基本合理、具有一定的可行性、具有一定的操作性、与项目实际基本贴合的得1.5分；每项叙述内容完全脱离采购需求或未作完整叙述的不得分。</w:t>
            </w:r>
          </w:p>
        </w:tc>
        <w:tc>
          <w:tcPr>
            <w:tcW w:w="621" w:type="pct"/>
            <w:vAlign w:val="center"/>
          </w:tcPr>
          <w:p>
            <w:pPr>
              <w:jc w:val="center"/>
              <w:rPr>
                <w:rFonts w:hint="eastAsia" w:ascii="宋体" w:hAnsi="宋体"/>
                <w:szCs w:val="21"/>
              </w:rPr>
            </w:pPr>
            <w:r>
              <w:rPr>
                <w:rFonts w:hint="eastAsia" w:ascii="宋体" w:hAnsi="宋体"/>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垃圾分类服务方案</w:t>
            </w:r>
          </w:p>
        </w:tc>
        <w:tc>
          <w:tcPr>
            <w:tcW w:w="2956" w:type="pct"/>
            <w:vAlign w:val="center"/>
          </w:tcPr>
          <w:p>
            <w:pPr>
              <w:rPr>
                <w:rFonts w:hint="eastAsia" w:ascii="宋体" w:hAnsi="宋体"/>
                <w:szCs w:val="21"/>
              </w:rPr>
            </w:pPr>
            <w:r>
              <w:rPr>
                <w:rFonts w:hint="eastAsia" w:ascii="宋体" w:hAnsi="宋体"/>
                <w:szCs w:val="21"/>
              </w:rPr>
              <w:t>供应商根据本项目特点，制定下列服务方案。</w:t>
            </w:r>
          </w:p>
          <w:p>
            <w:pPr>
              <w:rPr>
                <w:rFonts w:hint="eastAsia" w:ascii="宋体" w:hAnsi="宋体"/>
                <w:szCs w:val="21"/>
              </w:rPr>
            </w:pPr>
            <w:r>
              <w:rPr>
                <w:rFonts w:hint="eastAsia" w:ascii="宋体" w:hAnsi="宋体"/>
                <w:szCs w:val="21"/>
              </w:rPr>
              <w:t>1.垃圾分类实施方案；</w:t>
            </w:r>
          </w:p>
          <w:p>
            <w:pPr>
              <w:rPr>
                <w:rFonts w:hint="eastAsia" w:ascii="宋体" w:hAnsi="宋体"/>
                <w:szCs w:val="21"/>
              </w:rPr>
            </w:pPr>
            <w:r>
              <w:rPr>
                <w:rFonts w:hint="eastAsia" w:ascii="宋体" w:hAnsi="宋体"/>
                <w:szCs w:val="21"/>
              </w:rPr>
              <w:t>2.垃圾分类宣传方案；</w:t>
            </w:r>
          </w:p>
          <w:p>
            <w:pPr>
              <w:rPr>
                <w:rFonts w:hint="eastAsia" w:ascii="宋体" w:hAnsi="宋体"/>
                <w:szCs w:val="21"/>
              </w:rPr>
            </w:pPr>
            <w:r>
              <w:rPr>
                <w:rFonts w:hint="eastAsia" w:ascii="宋体" w:hAnsi="宋体"/>
                <w:szCs w:val="21"/>
              </w:rPr>
              <w:t>3.垃圾分类督导方案。</w:t>
            </w:r>
          </w:p>
          <w:p>
            <w:pPr>
              <w:widowControl/>
              <w:rPr>
                <w:rFonts w:hint="eastAsia" w:ascii="宋体" w:hAnsi="宋体"/>
                <w:szCs w:val="21"/>
              </w:rPr>
            </w:pPr>
            <w:r>
              <w:rPr>
                <w:rFonts w:hint="eastAsia" w:ascii="宋体" w:hAnsi="宋体"/>
                <w:szCs w:val="21"/>
              </w:rPr>
              <w:t>上述每项应逐条叙述，方案全面合理、可行性强、操作性强、贴合项目实际的得3分；方案基本合理、具有一定的可行性、具有一定的操作性、与项目实际基本贴合的得1.5分；每项叙述内容完全脱离采购需求或未作完整叙述的不得分。</w:t>
            </w:r>
          </w:p>
        </w:tc>
        <w:tc>
          <w:tcPr>
            <w:tcW w:w="621" w:type="pct"/>
            <w:vAlign w:val="center"/>
          </w:tcPr>
          <w:p>
            <w:pPr>
              <w:jc w:val="center"/>
              <w:rPr>
                <w:rFonts w:hint="eastAsia" w:ascii="宋体" w:hAnsi="宋体"/>
                <w:szCs w:val="21"/>
              </w:rPr>
            </w:pPr>
            <w:r>
              <w:rPr>
                <w:rFonts w:hint="eastAsia" w:ascii="宋体" w:hAnsi="宋体"/>
                <w:szCs w:val="21"/>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移风易俗工作方案</w:t>
            </w:r>
          </w:p>
        </w:tc>
        <w:tc>
          <w:tcPr>
            <w:tcW w:w="2956" w:type="pct"/>
            <w:vAlign w:val="center"/>
          </w:tcPr>
          <w:p>
            <w:pPr>
              <w:rPr>
                <w:rFonts w:hint="eastAsia" w:ascii="宋体" w:hAnsi="宋体"/>
                <w:color w:val="auto"/>
                <w:szCs w:val="21"/>
              </w:rPr>
            </w:pPr>
            <w:r>
              <w:rPr>
                <w:rFonts w:hint="eastAsia" w:ascii="宋体" w:hAnsi="宋体"/>
                <w:color w:val="auto"/>
                <w:szCs w:val="21"/>
              </w:rPr>
              <w:t>供应商根据本项目特点，制定下列服务方案。</w:t>
            </w:r>
          </w:p>
          <w:p>
            <w:pPr>
              <w:widowControl/>
              <w:numPr>
                <w:ilvl w:val="0"/>
                <w:numId w:val="7"/>
              </w:numP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婚丧嫁娶文明</w:t>
            </w:r>
            <w:r>
              <w:rPr>
                <w:rFonts w:hint="eastAsia" w:ascii="宋体" w:hAnsi="宋体" w:cs="Times New Roman"/>
                <w:color w:val="auto"/>
                <w:kern w:val="2"/>
                <w:sz w:val="21"/>
                <w:szCs w:val="21"/>
                <w:lang w:val="en-US" w:eastAsia="zh-CN" w:bidi="ar-SA"/>
              </w:rPr>
              <w:t>引导</w:t>
            </w:r>
            <w:r>
              <w:rPr>
                <w:rFonts w:hint="eastAsia" w:ascii="宋体" w:hAnsi="宋体" w:eastAsia="宋体" w:cs="Times New Roman"/>
                <w:color w:val="auto"/>
                <w:kern w:val="2"/>
                <w:sz w:val="21"/>
                <w:szCs w:val="21"/>
                <w:lang w:val="en-US" w:eastAsia="zh-CN" w:bidi="ar-SA"/>
              </w:rPr>
              <w:t>方案</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针对婚丧活动中的铺张浪费、噪音扰民、占用公共空间等问题，推动简约化、文明化办理。</w:t>
            </w:r>
          </w:p>
          <w:p>
            <w:pPr>
              <w:widowControl/>
              <w:numPr>
                <w:ilvl w:val="0"/>
                <w:numId w:val="7"/>
              </w:numP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公共环境陋习整治方案</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包括但不限于整治“乱堆乱放”“乱种植”“高空抛物”“</w:t>
            </w:r>
            <w:r>
              <w:rPr>
                <w:rFonts w:hint="eastAsia" w:ascii="宋体" w:hAnsi="宋体" w:cs="Times New Roman"/>
                <w:color w:val="auto"/>
                <w:kern w:val="2"/>
                <w:sz w:val="21"/>
                <w:szCs w:val="21"/>
                <w:lang w:val="en-US" w:eastAsia="zh-CN" w:bidi="ar-SA"/>
              </w:rPr>
              <w:t>飞线充电</w:t>
            </w:r>
            <w:r>
              <w:rPr>
                <w:rFonts w:hint="eastAsia" w:ascii="宋体" w:hAnsi="宋体" w:eastAsia="宋体" w:cs="Times New Roman"/>
                <w:color w:val="auto"/>
                <w:kern w:val="2"/>
                <w:sz w:val="21"/>
                <w:szCs w:val="21"/>
                <w:lang w:val="en-US" w:eastAsia="zh-CN" w:bidi="ar-SA"/>
              </w:rPr>
              <w:t>”等不文明现象。</w:t>
            </w:r>
          </w:p>
          <w:p>
            <w:pPr>
              <w:widowControl/>
              <w:numPr>
                <w:ilvl w:val="0"/>
                <w:numId w:val="7"/>
              </w:numPr>
              <w:rPr>
                <w:rFonts w:hint="default"/>
                <w:color w:val="auto"/>
                <w:lang w:val="en-US" w:eastAsia="zh-CN"/>
              </w:rPr>
            </w:pPr>
            <w:r>
              <w:rPr>
                <w:rFonts w:hint="eastAsia" w:ascii="宋体" w:hAnsi="宋体" w:eastAsia="宋体" w:cs="Times New Roman"/>
                <w:color w:val="auto"/>
                <w:kern w:val="2"/>
                <w:sz w:val="21"/>
                <w:szCs w:val="21"/>
                <w:lang w:val="en-US" w:eastAsia="zh-CN" w:bidi="ar-SA"/>
              </w:rPr>
              <w:t>物业法规宣传普及方案；普及物业相关法律法规，促进居民养成公共规则意识</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公共事务责任意识及物业服务付费意识</w:t>
            </w:r>
            <w:r>
              <w:rPr>
                <w:rFonts w:hint="eastAsia" w:ascii="宋体" w:hAnsi="宋体" w:cs="Times New Roman"/>
                <w:color w:val="auto"/>
                <w:kern w:val="2"/>
                <w:sz w:val="21"/>
                <w:szCs w:val="21"/>
                <w:lang w:val="en-US" w:eastAsia="zh-CN" w:bidi="ar-SA"/>
              </w:rPr>
              <w:t>。</w:t>
            </w:r>
          </w:p>
          <w:p>
            <w:pPr>
              <w:widowControl/>
              <w:numPr>
                <w:ilvl w:val="0"/>
                <w:numId w:val="7"/>
              </w:numPr>
              <w:rPr>
                <w:rFonts w:hint="default"/>
                <w:color w:val="auto"/>
                <w:lang w:val="en-US" w:eastAsia="zh-CN"/>
              </w:rPr>
            </w:pPr>
            <w:r>
              <w:rPr>
                <w:rFonts w:hint="default" w:ascii="宋体" w:hAnsi="宋体" w:eastAsia="宋体" w:cs="Times New Roman"/>
                <w:color w:val="auto"/>
                <w:kern w:val="2"/>
                <w:sz w:val="21"/>
                <w:szCs w:val="21"/>
                <w:lang w:val="en-US" w:eastAsia="zh-CN" w:bidi="ar-SA"/>
              </w:rPr>
              <w:t>邻里关系与家风建设</w:t>
            </w:r>
            <w:r>
              <w:rPr>
                <w:rFonts w:hint="eastAsia" w:ascii="宋体" w:hAnsi="宋体" w:eastAsia="宋体" w:cs="Times New Roman"/>
                <w:color w:val="auto"/>
                <w:kern w:val="2"/>
                <w:sz w:val="21"/>
                <w:szCs w:val="21"/>
                <w:lang w:val="en-US" w:eastAsia="zh-CN" w:bidi="ar-SA"/>
              </w:rPr>
              <w:t>方案：结合传统节日和日常场景，通过正向活动营造和谐社区氛围，以良好风气带动习俗转变。</w:t>
            </w:r>
          </w:p>
          <w:p>
            <w:pPr>
              <w:pStyle w:val="2"/>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5.停车秩序规划方案：解决小区停车乱、车位占用、临时停车无序等问题，保障业主停车权益，同步强化停车付费与秩序意识。</w:t>
            </w:r>
          </w:p>
          <w:p>
            <w:pPr>
              <w:pStyle w:val="2"/>
              <w:rPr>
                <w:rFonts w:hint="default"/>
                <w:color w:val="auto"/>
                <w:lang w:val="en-US" w:eastAsia="zh-CN"/>
              </w:rPr>
            </w:pPr>
            <w:r>
              <w:rPr>
                <w:rFonts w:hint="eastAsia" w:ascii="宋体" w:hAnsi="宋体" w:eastAsia="宋体" w:cs="Times New Roman"/>
                <w:color w:val="auto"/>
                <w:kern w:val="2"/>
                <w:sz w:val="21"/>
                <w:szCs w:val="21"/>
                <w:lang w:val="en-US" w:eastAsia="zh-CN" w:bidi="ar-SA"/>
              </w:rPr>
              <w:t>上述每项应逐条叙述，方案全面合理、可行性强、操作性强、贴合项目实际的得3分；方案基本合理、具有一定的可行性、具有一定的操作性、与项目实际基本贴合的得1.5分；每项叙述内容完全脱离采购需求或未作完整叙述的不得分。</w:t>
            </w:r>
          </w:p>
        </w:tc>
        <w:tc>
          <w:tcPr>
            <w:tcW w:w="621" w:type="pct"/>
            <w:vAlign w:val="center"/>
          </w:tcPr>
          <w:p>
            <w:pPr>
              <w:jc w:val="center"/>
              <w:rPr>
                <w:rFonts w:hint="default" w:ascii="宋体" w:hAnsi="宋体" w:eastAsia="宋体"/>
                <w:color w:val="FF0000"/>
                <w:szCs w:val="21"/>
                <w:lang w:val="en-US" w:eastAsia="zh-CN"/>
              </w:rPr>
            </w:pPr>
            <w:r>
              <w:rPr>
                <w:rFonts w:hint="eastAsia" w:ascii="宋体" w:hAnsi="宋体"/>
                <w:color w:val="auto"/>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设备维护和运行管理方案</w:t>
            </w:r>
          </w:p>
        </w:tc>
        <w:tc>
          <w:tcPr>
            <w:tcW w:w="2956" w:type="pct"/>
            <w:vAlign w:val="center"/>
          </w:tcPr>
          <w:p>
            <w:pPr>
              <w:rPr>
                <w:rFonts w:hint="eastAsia" w:ascii="宋体" w:hAnsi="宋体"/>
                <w:color w:val="000000"/>
                <w:szCs w:val="21"/>
              </w:rPr>
            </w:pPr>
            <w:r>
              <w:rPr>
                <w:rFonts w:hint="eastAsia" w:ascii="宋体" w:hAnsi="宋体"/>
                <w:color w:val="000000"/>
                <w:szCs w:val="21"/>
              </w:rPr>
              <w:t>供应商根据本项目特点，制定下列服务方案。</w:t>
            </w:r>
          </w:p>
          <w:p>
            <w:pPr>
              <w:rPr>
                <w:rFonts w:hint="eastAsia" w:ascii="宋体" w:hAnsi="宋体"/>
                <w:szCs w:val="21"/>
              </w:rPr>
            </w:pPr>
            <w:r>
              <w:rPr>
                <w:rFonts w:hint="eastAsia" w:ascii="宋体" w:hAnsi="宋体"/>
                <w:szCs w:val="21"/>
              </w:rPr>
              <w:t>1.设备维护方案</w:t>
            </w:r>
            <w:r>
              <w:rPr>
                <w:rFonts w:hint="eastAsia" w:ascii="宋体" w:hAnsi="宋体"/>
                <w:color w:val="000000"/>
                <w:szCs w:val="21"/>
              </w:rPr>
              <w:t>；</w:t>
            </w:r>
          </w:p>
          <w:p>
            <w:pPr>
              <w:rPr>
                <w:rFonts w:hint="eastAsia" w:ascii="宋体" w:hAnsi="宋体"/>
                <w:szCs w:val="21"/>
              </w:rPr>
            </w:pPr>
            <w:r>
              <w:rPr>
                <w:rFonts w:hint="eastAsia" w:ascii="宋体" w:hAnsi="宋体"/>
                <w:szCs w:val="21"/>
              </w:rPr>
              <w:t>2.运行管理方案；</w:t>
            </w:r>
          </w:p>
          <w:p>
            <w:pPr>
              <w:widowControl/>
              <w:rPr>
                <w:rFonts w:hint="eastAsia" w:ascii="宋体" w:hAnsi="宋体"/>
                <w:szCs w:val="21"/>
              </w:rPr>
            </w:pPr>
            <w:r>
              <w:rPr>
                <w:rFonts w:hint="eastAsia" w:ascii="宋体" w:hAnsi="宋体"/>
                <w:szCs w:val="21"/>
              </w:rPr>
              <w:t>上述每项应逐条叙述，方案全面合理、可行性强、操作性强、贴合项目实际的得3分；方案基本合理、具有一定的可行性、具有一定的操作性、与项目实际基本贴合的得1.5分；每项叙述内容完全脱离采购需求或未作完整叙述的不得分。</w:t>
            </w:r>
          </w:p>
        </w:tc>
        <w:tc>
          <w:tcPr>
            <w:tcW w:w="621" w:type="pct"/>
            <w:vAlign w:val="center"/>
          </w:tcPr>
          <w:p>
            <w:pPr>
              <w:jc w:val="center"/>
              <w:rPr>
                <w:rFonts w:hint="eastAsia" w:ascii="宋体" w:hAnsi="宋体"/>
                <w:szCs w:val="21"/>
              </w:rPr>
            </w:pPr>
            <w:r>
              <w:rPr>
                <w:rFonts w:hint="eastAsia" w:ascii="宋体" w:hAnsi="宋体"/>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培训方案</w:t>
            </w:r>
          </w:p>
        </w:tc>
        <w:tc>
          <w:tcPr>
            <w:tcW w:w="2956" w:type="pct"/>
            <w:vAlign w:val="center"/>
          </w:tcPr>
          <w:p>
            <w:pPr>
              <w:rPr>
                <w:rFonts w:hint="eastAsia" w:ascii="宋体" w:hAnsi="宋体"/>
                <w:szCs w:val="21"/>
              </w:rPr>
            </w:pPr>
            <w:r>
              <w:rPr>
                <w:rFonts w:hint="eastAsia" w:ascii="宋体" w:hAnsi="宋体"/>
                <w:szCs w:val="21"/>
              </w:rPr>
              <w:t>供应商根据本项目特点，制定服务人员培训方案。</w:t>
            </w:r>
          </w:p>
          <w:p>
            <w:pPr>
              <w:rPr>
                <w:rFonts w:hint="eastAsia" w:ascii="宋体" w:hAnsi="宋体"/>
                <w:szCs w:val="21"/>
              </w:rPr>
            </w:pPr>
            <w:r>
              <w:rPr>
                <w:rFonts w:hint="eastAsia" w:ascii="宋体" w:hAnsi="宋体"/>
                <w:szCs w:val="21"/>
              </w:rPr>
              <w:t>1.培训时间、培训内容；</w:t>
            </w:r>
          </w:p>
          <w:p>
            <w:pPr>
              <w:rPr>
                <w:rFonts w:hint="eastAsia" w:ascii="宋体" w:hAnsi="宋体"/>
                <w:szCs w:val="21"/>
              </w:rPr>
            </w:pPr>
            <w:r>
              <w:rPr>
                <w:rFonts w:hint="eastAsia" w:ascii="宋体" w:hAnsi="宋体"/>
                <w:szCs w:val="21"/>
              </w:rPr>
              <w:t>2.培训目标、培训类别、培训方式及对培训测试不符合要求的员工有合理处理方案。</w:t>
            </w:r>
          </w:p>
          <w:p>
            <w:pPr>
              <w:widowControl/>
              <w:rPr>
                <w:rFonts w:hint="eastAsia" w:ascii="宋体" w:hAnsi="宋体"/>
                <w:szCs w:val="21"/>
              </w:rPr>
            </w:pPr>
            <w:r>
              <w:rPr>
                <w:rFonts w:hint="eastAsia" w:ascii="宋体" w:hAnsi="宋体"/>
                <w:szCs w:val="21"/>
              </w:rPr>
              <w:t>上述每项应逐条叙述，方案全面合理、可行性强、操作性强、贴合项目实际的得3分；方案基本合理、具有一定的可行性、具有一定的操作性、与项目实际基本贴合的得1.5分；每项叙述内容完全脱离采购需求或未作完整叙述的不得分。</w:t>
            </w:r>
          </w:p>
        </w:tc>
        <w:tc>
          <w:tcPr>
            <w:tcW w:w="621" w:type="pct"/>
            <w:vAlign w:val="center"/>
          </w:tcPr>
          <w:p>
            <w:pPr>
              <w:jc w:val="center"/>
              <w:rPr>
                <w:rFonts w:hint="eastAsia" w:ascii="宋体" w:hAnsi="宋体"/>
                <w:szCs w:val="21"/>
              </w:rPr>
            </w:pPr>
            <w:r>
              <w:rPr>
                <w:rFonts w:hint="eastAsia" w:ascii="宋体" w:hAnsi="宋体"/>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紧急情况处理预案</w:t>
            </w:r>
          </w:p>
        </w:tc>
        <w:tc>
          <w:tcPr>
            <w:tcW w:w="2956" w:type="pct"/>
            <w:vAlign w:val="center"/>
          </w:tcPr>
          <w:p>
            <w:pPr>
              <w:rPr>
                <w:rFonts w:hint="eastAsia" w:ascii="宋体" w:hAnsi="宋体"/>
                <w:szCs w:val="21"/>
              </w:rPr>
            </w:pPr>
            <w:r>
              <w:rPr>
                <w:rFonts w:hint="eastAsia" w:ascii="宋体" w:hAnsi="宋体"/>
                <w:szCs w:val="21"/>
              </w:rPr>
              <w:t>供应商根据本项目特点，制定下列服务方案。</w:t>
            </w:r>
          </w:p>
          <w:p>
            <w:pPr>
              <w:rPr>
                <w:rFonts w:hint="eastAsia" w:ascii="宋体" w:hAnsi="宋体"/>
                <w:szCs w:val="21"/>
              </w:rPr>
            </w:pPr>
            <w:r>
              <w:rPr>
                <w:rFonts w:hint="eastAsia" w:ascii="宋体" w:hAnsi="宋体"/>
                <w:szCs w:val="21"/>
              </w:rPr>
              <w:t>1.紧急情况（水、火灾、电、各类设备、重大疫情、异常天气等其他突发性事件）处理应急预案；</w:t>
            </w:r>
          </w:p>
          <w:p>
            <w:pPr>
              <w:rPr>
                <w:rFonts w:hint="eastAsia" w:ascii="宋体" w:hAnsi="宋体"/>
                <w:szCs w:val="21"/>
              </w:rPr>
            </w:pPr>
            <w:r>
              <w:rPr>
                <w:rFonts w:hint="eastAsia" w:ascii="宋体" w:hAnsi="宋体"/>
                <w:szCs w:val="21"/>
              </w:rPr>
              <w:t>2.安全文明作业的保障措施；</w:t>
            </w:r>
          </w:p>
          <w:p>
            <w:pPr>
              <w:rPr>
                <w:rFonts w:hint="eastAsia" w:ascii="宋体" w:hAnsi="宋体"/>
                <w:szCs w:val="21"/>
              </w:rPr>
            </w:pPr>
            <w:r>
              <w:rPr>
                <w:rFonts w:hint="eastAsia" w:ascii="宋体" w:hAnsi="宋体"/>
                <w:szCs w:val="21"/>
              </w:rPr>
              <w:t>3.作业安全管理措施；</w:t>
            </w:r>
          </w:p>
          <w:p>
            <w:pPr>
              <w:rPr>
                <w:rFonts w:hint="eastAsia" w:ascii="宋体" w:hAnsi="宋体"/>
                <w:szCs w:val="21"/>
              </w:rPr>
            </w:pPr>
            <w:r>
              <w:rPr>
                <w:rFonts w:hint="eastAsia" w:ascii="宋体" w:hAnsi="宋体"/>
                <w:szCs w:val="21"/>
              </w:rPr>
              <w:t>4.安全检查记录。</w:t>
            </w:r>
          </w:p>
          <w:p>
            <w:pPr>
              <w:widowControl/>
              <w:rPr>
                <w:rFonts w:hint="eastAsia" w:ascii="宋体" w:hAnsi="宋体"/>
                <w:szCs w:val="21"/>
              </w:rPr>
            </w:pPr>
            <w:r>
              <w:rPr>
                <w:rFonts w:hint="eastAsia" w:ascii="宋体" w:hAnsi="宋体"/>
                <w:szCs w:val="21"/>
              </w:rPr>
              <w:t>上述每项应逐条叙述，方案全面合理、可行性强、操作性强、贴合项目实际的得2分；方案基本合理、具有一定的可行性、具有一定的操作性、与项目实际基本贴合的得1分；每项叙述内容完全脱离采购需求或未作完整叙述的不得分。本项最高得8分。</w:t>
            </w:r>
          </w:p>
        </w:tc>
        <w:tc>
          <w:tcPr>
            <w:tcW w:w="621" w:type="pct"/>
            <w:vAlign w:val="center"/>
          </w:tcPr>
          <w:p>
            <w:pPr>
              <w:jc w:val="center"/>
              <w:rPr>
                <w:rFonts w:hint="eastAsia" w:ascii="宋体" w:hAnsi="宋体"/>
                <w:szCs w:val="21"/>
              </w:rPr>
            </w:pPr>
            <w:r>
              <w:rPr>
                <w:rFonts w:hint="eastAsia" w:ascii="宋体" w:hAnsi="宋体"/>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b/>
                <w:bCs/>
                <w:szCs w:val="21"/>
              </w:rPr>
              <w:t>▲</w:t>
            </w:r>
            <w:r>
              <w:rPr>
                <w:rFonts w:hint="eastAsia" w:ascii="宋体" w:hAnsi="宋体" w:cs="宋体"/>
                <w:szCs w:val="21"/>
              </w:rPr>
              <w:t>物业经理</w:t>
            </w:r>
          </w:p>
          <w:p>
            <w:pPr>
              <w:jc w:val="center"/>
              <w:rPr>
                <w:rFonts w:hint="eastAsia" w:ascii="宋体" w:hAnsi="宋体"/>
                <w:szCs w:val="21"/>
              </w:rPr>
            </w:pPr>
          </w:p>
        </w:tc>
        <w:tc>
          <w:tcPr>
            <w:tcW w:w="2956" w:type="pct"/>
            <w:vAlign w:val="center"/>
          </w:tcPr>
          <w:p>
            <w:pPr>
              <w:rPr>
                <w:rFonts w:hint="eastAsia" w:ascii="宋体" w:hAnsi="宋体"/>
                <w:color w:val="auto"/>
                <w:szCs w:val="21"/>
              </w:rPr>
            </w:pPr>
            <w:r>
              <w:rPr>
                <w:rFonts w:hint="eastAsia" w:ascii="宋体" w:hAnsi="宋体"/>
                <w:color w:val="auto"/>
                <w:szCs w:val="21"/>
              </w:rPr>
              <w:t>供应商拟派的物业经理具备物业项目经理证或物业管理从业人员岗位证书得</w:t>
            </w:r>
            <w:r>
              <w:rPr>
                <w:rFonts w:hint="eastAsia" w:ascii="宋体" w:hAnsi="宋体"/>
                <w:color w:val="auto"/>
                <w:szCs w:val="21"/>
                <w:lang w:val="en-US" w:eastAsia="zh-CN"/>
              </w:rPr>
              <w:t>2</w:t>
            </w:r>
            <w:r>
              <w:rPr>
                <w:rFonts w:hint="eastAsia" w:ascii="宋体" w:hAnsi="宋体"/>
                <w:color w:val="auto"/>
                <w:szCs w:val="21"/>
              </w:rPr>
              <w:t>分；</w:t>
            </w:r>
          </w:p>
          <w:p>
            <w:pPr>
              <w:rPr>
                <w:rFonts w:hint="eastAsia" w:ascii="宋体" w:hAnsi="宋体"/>
                <w:color w:val="auto"/>
                <w:szCs w:val="21"/>
              </w:rPr>
            </w:pPr>
            <w:r>
              <w:rPr>
                <w:rFonts w:hint="eastAsia" w:ascii="宋体" w:hAnsi="宋体"/>
                <w:b/>
                <w:color w:val="auto"/>
                <w:szCs w:val="21"/>
              </w:rPr>
              <w:t>注：响应文件内提供身份证复印件、有效证书或证明复印件、供应商为其缴纳的的2025年7月以来任意一个月社保证明资料并加盖供应商公章，否则不得分。</w:t>
            </w:r>
          </w:p>
        </w:tc>
        <w:tc>
          <w:tcPr>
            <w:tcW w:w="621" w:type="pct"/>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分</w:t>
            </w:r>
          </w:p>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b/>
                <w:bCs/>
                <w:szCs w:val="21"/>
              </w:rPr>
              <w:t>▲</w:t>
            </w:r>
            <w:r>
              <w:rPr>
                <w:rFonts w:hint="eastAsia" w:ascii="宋体" w:hAnsi="宋体"/>
                <w:szCs w:val="21"/>
              </w:rPr>
              <w:t>保安员（秩序管理岗）</w:t>
            </w:r>
          </w:p>
        </w:tc>
        <w:tc>
          <w:tcPr>
            <w:tcW w:w="2956" w:type="pct"/>
            <w:vAlign w:val="center"/>
          </w:tcPr>
          <w:p>
            <w:pPr>
              <w:spacing w:line="440" w:lineRule="exact"/>
              <w:rPr>
                <w:rFonts w:hint="eastAsia" w:ascii="宋体" w:hAnsi="宋体"/>
                <w:color w:val="auto"/>
                <w:szCs w:val="21"/>
              </w:rPr>
            </w:pPr>
            <w:r>
              <w:rPr>
                <w:rFonts w:hint="eastAsia" w:ascii="宋体" w:hAnsi="宋体"/>
                <w:color w:val="auto"/>
                <w:szCs w:val="21"/>
              </w:rPr>
              <w:t>供应商拟派本项目服务人员具备：</w:t>
            </w:r>
          </w:p>
          <w:p>
            <w:pPr>
              <w:spacing w:line="440" w:lineRule="exact"/>
              <w:rPr>
                <w:rFonts w:hint="eastAsia" w:ascii="宋体" w:hAnsi="宋体"/>
                <w:color w:val="auto"/>
                <w:szCs w:val="21"/>
              </w:rPr>
            </w:pPr>
            <w:r>
              <w:rPr>
                <w:rFonts w:hint="eastAsia" w:ascii="宋体" w:hAnsi="宋体"/>
                <w:color w:val="auto"/>
                <w:szCs w:val="21"/>
              </w:rPr>
              <w:t>每有一人具有中级（国家职业资格四级）及以上保安员职业资格证书得1分，最高</w:t>
            </w:r>
            <w:r>
              <w:rPr>
                <w:rFonts w:hint="eastAsia" w:ascii="宋体" w:hAnsi="宋体"/>
                <w:color w:val="auto"/>
                <w:szCs w:val="21"/>
                <w:lang w:val="en-US" w:eastAsia="zh-CN"/>
              </w:rPr>
              <w:t>4</w:t>
            </w:r>
            <w:r>
              <w:rPr>
                <w:rFonts w:hint="eastAsia" w:ascii="宋体" w:hAnsi="宋体"/>
                <w:color w:val="auto"/>
                <w:szCs w:val="21"/>
              </w:rPr>
              <w:t>分；</w:t>
            </w:r>
          </w:p>
          <w:p>
            <w:pPr>
              <w:rPr>
                <w:rFonts w:hint="eastAsia" w:ascii="宋体" w:hAnsi="宋体"/>
                <w:color w:val="auto"/>
                <w:szCs w:val="21"/>
              </w:rPr>
            </w:pPr>
            <w:r>
              <w:rPr>
                <w:rFonts w:hint="eastAsia" w:ascii="宋体" w:hAnsi="宋体"/>
                <w:b/>
                <w:color w:val="auto"/>
                <w:szCs w:val="21"/>
              </w:rPr>
              <w:t>注：响应文件内须提供身份证复印件、有效证书或证明复印件、供应商为其缴纳的2025年7月以来任意一个月社保证明资料并加盖供应商公章</w:t>
            </w:r>
            <w:r>
              <w:rPr>
                <w:rFonts w:hint="eastAsia" w:ascii="宋体" w:hAnsi="宋体"/>
                <w:b/>
                <w:color w:val="auto"/>
                <w:szCs w:val="21"/>
                <w:lang w:val="zh-CN" w:bidi="zh-CN"/>
              </w:rPr>
              <w:t>，未提供不得分</w:t>
            </w:r>
            <w:r>
              <w:rPr>
                <w:rFonts w:hint="eastAsia" w:ascii="宋体" w:hAnsi="宋体"/>
                <w:b/>
                <w:color w:val="auto"/>
                <w:szCs w:val="21"/>
              </w:rPr>
              <w:t>。（本项人员不得与保安主管重复）</w:t>
            </w:r>
          </w:p>
        </w:tc>
        <w:tc>
          <w:tcPr>
            <w:tcW w:w="621" w:type="pct"/>
            <w:vAlign w:val="center"/>
          </w:tcPr>
          <w:p>
            <w:pPr>
              <w:jc w:val="center"/>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szCs w:val="21"/>
              </w:rPr>
              <w:t>▲保安员（消防管理岗）</w:t>
            </w:r>
          </w:p>
        </w:tc>
        <w:tc>
          <w:tcPr>
            <w:tcW w:w="2956" w:type="pct"/>
            <w:vAlign w:val="center"/>
          </w:tcPr>
          <w:p>
            <w:pPr>
              <w:spacing w:line="440" w:lineRule="exact"/>
              <w:rPr>
                <w:rFonts w:hint="eastAsia" w:ascii="宋体" w:hAnsi="宋体"/>
                <w:szCs w:val="21"/>
              </w:rPr>
            </w:pPr>
            <w:r>
              <w:rPr>
                <w:rFonts w:hint="eastAsia" w:ascii="宋体" w:hAnsi="宋体"/>
                <w:szCs w:val="21"/>
              </w:rPr>
              <w:t>供应商拟派本项目服务人员具备：</w:t>
            </w:r>
          </w:p>
          <w:p>
            <w:pPr>
              <w:spacing w:line="440" w:lineRule="exact"/>
              <w:rPr>
                <w:rFonts w:hint="eastAsia" w:ascii="宋体" w:hAnsi="宋体"/>
                <w:szCs w:val="21"/>
              </w:rPr>
            </w:pPr>
            <w:r>
              <w:rPr>
                <w:rFonts w:hint="eastAsia" w:ascii="宋体" w:hAnsi="宋体"/>
                <w:szCs w:val="21"/>
              </w:rPr>
              <w:t>每有一人具有中级（国家职业资格四级）及以上消防设施操作员或中级（国家职业资格四级）及以上建（构）筑物消防员证书得1分，最高3分；</w:t>
            </w:r>
          </w:p>
          <w:p>
            <w:pPr>
              <w:rPr>
                <w:rFonts w:hint="eastAsia" w:ascii="宋体" w:hAnsi="宋体"/>
                <w:szCs w:val="21"/>
              </w:rPr>
            </w:pPr>
            <w:r>
              <w:rPr>
                <w:rFonts w:hint="eastAsia" w:ascii="宋体" w:hAnsi="宋体"/>
                <w:b/>
                <w:szCs w:val="21"/>
              </w:rPr>
              <w:t>注：响应文件内须提供身份证复印件、有效证书或证明复印件、供应商为其缴纳的的2025年7月以来任意一个月社保证明资料并加盖供应商公章</w:t>
            </w:r>
            <w:r>
              <w:rPr>
                <w:rFonts w:hint="eastAsia" w:ascii="宋体" w:hAnsi="宋体"/>
                <w:b/>
                <w:szCs w:val="21"/>
                <w:lang w:val="zh-CN" w:bidi="zh-CN"/>
              </w:rPr>
              <w:t>，未提供不得分</w:t>
            </w:r>
            <w:r>
              <w:rPr>
                <w:rFonts w:hint="eastAsia" w:ascii="宋体" w:hAnsi="宋体"/>
                <w:b/>
                <w:szCs w:val="21"/>
              </w:rPr>
              <w:t>。</w:t>
            </w:r>
          </w:p>
        </w:tc>
        <w:tc>
          <w:tcPr>
            <w:tcW w:w="621" w:type="pct"/>
            <w:vAlign w:val="center"/>
          </w:tcPr>
          <w:p>
            <w:pPr>
              <w:jc w:val="center"/>
              <w:rPr>
                <w:rFonts w:hint="eastAsia"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r>
              <w:rPr>
                <w:rFonts w:hint="eastAsia" w:ascii="宋体" w:hAnsi="宋体"/>
                <w:bCs/>
                <w:szCs w:val="21"/>
              </w:rPr>
              <w:t>▲体系认证</w:t>
            </w:r>
          </w:p>
        </w:tc>
        <w:tc>
          <w:tcPr>
            <w:tcW w:w="2956" w:type="pct"/>
            <w:vAlign w:val="center"/>
          </w:tcPr>
          <w:p>
            <w:pPr>
              <w:rPr>
                <w:rFonts w:hint="eastAsia" w:ascii="宋体" w:hAnsi="宋体"/>
                <w:szCs w:val="21"/>
                <w:lang w:val="zh-CN" w:bidi="zh-CN"/>
              </w:rPr>
            </w:pPr>
            <w:r>
              <w:rPr>
                <w:rFonts w:hint="eastAsia" w:ascii="宋体" w:hAnsi="宋体"/>
                <w:szCs w:val="21"/>
                <w:lang w:val="zh-CN" w:bidi="zh-CN"/>
              </w:rPr>
              <w:t>供应商具备：</w:t>
            </w:r>
          </w:p>
          <w:p>
            <w:pPr>
              <w:rPr>
                <w:rFonts w:hint="eastAsia" w:ascii="宋体" w:hAnsi="宋体"/>
                <w:szCs w:val="21"/>
                <w:lang w:val="zh-CN" w:bidi="zh-CN"/>
              </w:rPr>
            </w:pPr>
            <w:r>
              <w:rPr>
                <w:rFonts w:hint="eastAsia" w:ascii="宋体" w:hAnsi="宋体"/>
                <w:szCs w:val="21"/>
                <w:lang w:val="zh-CN" w:bidi="zh-CN"/>
              </w:rPr>
              <w:t>1</w:t>
            </w:r>
            <w:r>
              <w:rPr>
                <w:rFonts w:ascii="宋体" w:hAnsi="宋体"/>
                <w:szCs w:val="21"/>
                <w:lang w:val="zh-CN" w:bidi="zh-CN"/>
              </w:rPr>
              <w:t>.</w:t>
            </w:r>
            <w:r>
              <w:rPr>
                <w:rFonts w:hint="eastAsia" w:ascii="宋体" w:hAnsi="宋体"/>
                <w:szCs w:val="21"/>
                <w:lang w:val="zh-CN" w:bidi="zh-CN"/>
              </w:rPr>
              <w:t>质量管理体系认证证书；</w:t>
            </w:r>
          </w:p>
          <w:p>
            <w:pPr>
              <w:rPr>
                <w:rFonts w:hint="eastAsia" w:ascii="宋体" w:hAnsi="宋体"/>
                <w:szCs w:val="21"/>
                <w:lang w:val="zh-CN" w:bidi="zh-CN"/>
              </w:rPr>
            </w:pPr>
            <w:r>
              <w:rPr>
                <w:rFonts w:hint="eastAsia" w:ascii="宋体" w:hAnsi="宋体"/>
                <w:szCs w:val="21"/>
                <w:lang w:val="zh-CN" w:bidi="zh-CN"/>
              </w:rPr>
              <w:t>2</w:t>
            </w:r>
            <w:r>
              <w:rPr>
                <w:rFonts w:ascii="宋体" w:hAnsi="宋体"/>
                <w:szCs w:val="21"/>
                <w:lang w:val="zh-CN" w:bidi="zh-CN"/>
              </w:rPr>
              <w:t>.</w:t>
            </w:r>
            <w:r>
              <w:rPr>
                <w:rFonts w:hint="eastAsia" w:ascii="宋体" w:hAnsi="宋体"/>
                <w:szCs w:val="21"/>
                <w:lang w:val="zh-CN" w:bidi="zh-CN"/>
              </w:rPr>
              <w:t>环境管理体系认证证书；</w:t>
            </w:r>
          </w:p>
          <w:p>
            <w:pPr>
              <w:rPr>
                <w:rFonts w:hint="eastAsia" w:ascii="宋体" w:hAnsi="宋体"/>
                <w:szCs w:val="21"/>
                <w:lang w:val="zh-CN" w:bidi="zh-CN"/>
              </w:rPr>
            </w:pPr>
            <w:r>
              <w:rPr>
                <w:rFonts w:hint="eastAsia" w:ascii="宋体" w:hAnsi="宋体"/>
                <w:szCs w:val="21"/>
                <w:lang w:val="zh-CN" w:bidi="zh-CN"/>
              </w:rPr>
              <w:t>3</w:t>
            </w:r>
            <w:r>
              <w:rPr>
                <w:rFonts w:ascii="宋体" w:hAnsi="宋体"/>
                <w:szCs w:val="21"/>
                <w:lang w:val="zh-CN" w:bidi="zh-CN"/>
              </w:rPr>
              <w:t>.</w:t>
            </w:r>
            <w:r>
              <w:rPr>
                <w:rFonts w:hint="eastAsia" w:ascii="宋体" w:hAnsi="宋体"/>
                <w:szCs w:val="21"/>
                <w:lang w:val="zh-CN" w:bidi="zh-CN"/>
              </w:rPr>
              <w:t>职业</w:t>
            </w:r>
            <w:r>
              <w:rPr>
                <w:rFonts w:hint="eastAsia" w:ascii="宋体" w:hAnsi="宋体"/>
                <w:szCs w:val="21"/>
                <w:lang w:bidi="zh-CN"/>
              </w:rPr>
              <w:t>健康安全管理</w:t>
            </w:r>
            <w:r>
              <w:rPr>
                <w:rFonts w:hint="eastAsia" w:ascii="宋体" w:hAnsi="宋体"/>
                <w:szCs w:val="21"/>
                <w:lang w:val="zh-CN" w:bidi="zh-CN"/>
              </w:rPr>
              <w:t>体系认证证书；</w:t>
            </w:r>
          </w:p>
          <w:p>
            <w:pPr>
              <w:rPr>
                <w:rFonts w:hint="eastAsia" w:ascii="宋体" w:hAnsi="宋体"/>
                <w:szCs w:val="21"/>
              </w:rPr>
            </w:pPr>
            <w:r>
              <w:rPr>
                <w:rFonts w:hint="eastAsia" w:ascii="宋体" w:hAnsi="宋体"/>
                <w:szCs w:val="21"/>
              </w:rPr>
              <w:t>每项得1分，最高得3分。</w:t>
            </w:r>
          </w:p>
          <w:p>
            <w:pPr>
              <w:rPr>
                <w:rFonts w:hint="eastAsia" w:ascii="宋体" w:hAnsi="宋体"/>
                <w:szCs w:val="21"/>
              </w:rPr>
            </w:pPr>
            <w:r>
              <w:rPr>
                <w:rFonts w:hint="eastAsia" w:ascii="宋体" w:hAnsi="宋体"/>
                <w:b/>
                <w:szCs w:val="21"/>
              </w:rPr>
              <w:t>注：响应文件内须提供有效证书复印件及国家认证认可监督管理委员会官方网站上的查询截图并加盖供应商公章，未提供不得分。</w:t>
            </w:r>
          </w:p>
        </w:tc>
        <w:tc>
          <w:tcPr>
            <w:tcW w:w="621" w:type="pct"/>
            <w:vAlign w:val="center"/>
          </w:tcPr>
          <w:p>
            <w:pPr>
              <w:jc w:val="center"/>
              <w:rPr>
                <w:rFonts w:hint="eastAsia"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07" w:type="pct"/>
            <w:vMerge w:val="continue"/>
            <w:vAlign w:val="center"/>
          </w:tcPr>
          <w:p>
            <w:pPr>
              <w:spacing w:line="360" w:lineRule="auto"/>
              <w:jc w:val="center"/>
              <w:rPr>
                <w:rFonts w:hint="eastAsia" w:ascii="宋体" w:hAnsi="宋体" w:cs="Tahoma"/>
                <w:b/>
                <w:bCs/>
                <w:szCs w:val="21"/>
              </w:rPr>
            </w:pPr>
          </w:p>
        </w:tc>
        <w:tc>
          <w:tcPr>
            <w:tcW w:w="714" w:type="pct"/>
            <w:vAlign w:val="center"/>
          </w:tcPr>
          <w:p>
            <w:pPr>
              <w:jc w:val="center"/>
              <w:rPr>
                <w:rFonts w:hint="eastAsia" w:ascii="宋体" w:hAnsi="宋体"/>
                <w:szCs w:val="21"/>
              </w:rPr>
            </w:pPr>
          </w:p>
          <w:p>
            <w:pPr>
              <w:jc w:val="center"/>
              <w:rPr>
                <w:rFonts w:hint="eastAsia" w:ascii="宋体" w:hAnsi="宋体"/>
                <w:szCs w:val="21"/>
              </w:rPr>
            </w:pPr>
            <w:r>
              <w:rPr>
                <w:rFonts w:hint="eastAsia" w:ascii="宋体" w:hAnsi="宋体"/>
                <w:b/>
                <w:bCs/>
                <w:szCs w:val="21"/>
              </w:rPr>
              <w:t>▲</w:t>
            </w:r>
            <w:r>
              <w:rPr>
                <w:rFonts w:hint="eastAsia" w:ascii="宋体" w:hAnsi="宋体"/>
                <w:szCs w:val="21"/>
              </w:rPr>
              <w:t>类似业绩</w:t>
            </w:r>
          </w:p>
        </w:tc>
        <w:tc>
          <w:tcPr>
            <w:tcW w:w="2956" w:type="pct"/>
            <w:vAlign w:val="center"/>
          </w:tcPr>
          <w:p>
            <w:pPr>
              <w:rPr>
                <w:rFonts w:hint="eastAsia" w:ascii="宋体" w:hAnsi="宋体"/>
                <w:szCs w:val="21"/>
              </w:rPr>
            </w:pPr>
            <w:r>
              <w:rPr>
                <w:rFonts w:hint="eastAsia" w:ascii="宋体" w:hAnsi="宋体"/>
                <w:szCs w:val="21"/>
              </w:rPr>
              <w:t>供应商提供自2021年12月1日（以合同签订日期为准）以来承担的类似物业服务项目业绩，每具备1项业绩得2分，最高得8分。</w:t>
            </w:r>
          </w:p>
          <w:p>
            <w:pPr>
              <w:rPr>
                <w:rFonts w:hint="eastAsia" w:ascii="宋体" w:hAnsi="宋体"/>
                <w:szCs w:val="21"/>
              </w:rPr>
            </w:pPr>
            <w:r>
              <w:rPr>
                <w:rFonts w:hint="eastAsia" w:ascii="宋体" w:hAnsi="宋体"/>
                <w:b/>
                <w:szCs w:val="21"/>
              </w:rPr>
              <w:t>注：响应文件内须</w:t>
            </w:r>
            <w:r>
              <w:rPr>
                <w:rFonts w:hint="eastAsia" w:ascii="宋体" w:hAnsi="宋体"/>
                <w:b/>
                <w:bCs/>
                <w:szCs w:val="21"/>
              </w:rPr>
              <w:t>提供有效合同</w:t>
            </w:r>
            <w:r>
              <w:rPr>
                <w:rFonts w:hint="eastAsia" w:ascii="宋体" w:hAnsi="宋体"/>
                <w:b/>
                <w:szCs w:val="21"/>
              </w:rPr>
              <w:t>复印件和该合同任意一期发票复印件并加盖供应商公章，未提供不得分</w:t>
            </w:r>
            <w:r>
              <w:rPr>
                <w:rFonts w:hint="eastAsia" w:ascii="宋体" w:hAnsi="宋体"/>
                <w:b/>
                <w:bCs/>
                <w:szCs w:val="21"/>
              </w:rPr>
              <w:t>。</w:t>
            </w:r>
          </w:p>
        </w:tc>
        <w:tc>
          <w:tcPr>
            <w:tcW w:w="621" w:type="pct"/>
            <w:vAlign w:val="center"/>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8分</w:t>
            </w:r>
          </w:p>
        </w:tc>
      </w:tr>
    </w:tbl>
    <w:p>
      <w:pPr>
        <w:snapToGrid w:val="0"/>
        <w:spacing w:line="480" w:lineRule="exact"/>
        <w:ind w:firstLine="481" w:firstLineChars="200"/>
        <w:rPr>
          <w:b/>
          <w:kern w:val="0"/>
          <w:sz w:val="24"/>
        </w:rPr>
      </w:pPr>
    </w:p>
    <w:p>
      <w:pPr>
        <w:snapToGrid w:val="0"/>
        <w:spacing w:line="480" w:lineRule="exact"/>
        <w:ind w:firstLine="481" w:firstLineChars="200"/>
        <w:rPr>
          <w:b/>
          <w:kern w:val="0"/>
          <w:sz w:val="24"/>
        </w:rPr>
      </w:pPr>
      <w:r>
        <w:rPr>
          <w:b/>
          <w:kern w:val="0"/>
          <w:sz w:val="24"/>
        </w:rPr>
        <w:t>（</w:t>
      </w:r>
      <w:r>
        <w:rPr>
          <w:rFonts w:hint="eastAsia"/>
          <w:b/>
          <w:kern w:val="0"/>
          <w:sz w:val="24"/>
        </w:rPr>
        <w:t>四</w:t>
      </w:r>
      <w:r>
        <w:rPr>
          <w:b/>
          <w:kern w:val="0"/>
          <w:sz w:val="24"/>
        </w:rPr>
        <w:t>）中标人的确定</w:t>
      </w:r>
    </w:p>
    <w:p>
      <w:pPr>
        <w:adjustRightInd w:val="0"/>
        <w:snapToGrid w:val="0"/>
        <w:spacing w:line="500" w:lineRule="exact"/>
        <w:ind w:firstLine="570"/>
        <w:rPr>
          <w:bCs/>
          <w:sz w:val="24"/>
        </w:rPr>
      </w:pPr>
      <w:r>
        <w:rPr>
          <w:rFonts w:hint="eastAsia"/>
          <w:sz w:val="24"/>
        </w:rPr>
        <w:t>商务技术分按5个评委的最终得分的算术平均值计算（计算结果四舍五入保留两位小数），按得分由高到低推荐排名前三的供应商作为中标候选人，如出现分值相同而无法决定入围的情况，抽签决定入围中标候选人（投标人的抽签顺序分别为各投标人递交投标文件签到顺序号）。</w:t>
      </w:r>
      <w:r>
        <w:rPr>
          <w:b/>
          <w:sz w:val="24"/>
        </w:rPr>
        <w:t>招标人委托评委会</w:t>
      </w:r>
      <w:r>
        <w:rPr>
          <w:bCs/>
          <w:sz w:val="24"/>
        </w:rPr>
        <w:t>在评标报告确定的中标候选人名单中按顺序确定</w:t>
      </w:r>
      <w:r>
        <w:rPr>
          <w:rFonts w:hint="eastAsia"/>
          <w:bCs/>
          <w:sz w:val="24"/>
        </w:rPr>
        <w:t>一名</w:t>
      </w:r>
      <w:r>
        <w:rPr>
          <w:bCs/>
          <w:sz w:val="24"/>
        </w:rPr>
        <w:t>中标人。</w:t>
      </w:r>
    </w:p>
    <w:p>
      <w:pPr>
        <w:snapToGrid w:val="0"/>
        <w:spacing w:line="480" w:lineRule="exact"/>
        <w:ind w:firstLine="570"/>
        <w:rPr>
          <w:b/>
          <w:kern w:val="0"/>
          <w:sz w:val="24"/>
        </w:rPr>
      </w:pPr>
      <w:r>
        <w:rPr>
          <w:b/>
          <w:kern w:val="0"/>
          <w:sz w:val="24"/>
        </w:rPr>
        <w:t>（</w:t>
      </w:r>
      <w:r>
        <w:rPr>
          <w:rFonts w:hint="eastAsia"/>
          <w:b/>
          <w:kern w:val="0"/>
          <w:sz w:val="24"/>
        </w:rPr>
        <w:t>五</w:t>
      </w:r>
      <w:r>
        <w:rPr>
          <w:b/>
          <w:kern w:val="0"/>
          <w:sz w:val="24"/>
        </w:rPr>
        <w:t>）</w:t>
      </w:r>
      <w:r>
        <w:rPr>
          <w:rFonts w:hint="eastAsia"/>
          <w:b/>
          <w:kern w:val="0"/>
          <w:sz w:val="24"/>
        </w:rPr>
        <w:t>招标</w:t>
      </w:r>
      <w:r>
        <w:rPr>
          <w:b/>
          <w:kern w:val="0"/>
          <w:sz w:val="24"/>
        </w:rPr>
        <w:t>代理机构宣布评标结果。</w:t>
      </w:r>
    </w:p>
    <w:p>
      <w:pPr>
        <w:snapToGrid w:val="0"/>
        <w:spacing w:line="480" w:lineRule="exact"/>
        <w:ind w:firstLine="570"/>
        <w:rPr>
          <w:b/>
          <w:kern w:val="0"/>
          <w:sz w:val="24"/>
        </w:rPr>
      </w:pPr>
      <w:r>
        <w:rPr>
          <w:b/>
          <w:kern w:val="0"/>
          <w:sz w:val="24"/>
        </w:rPr>
        <w:t>（</w:t>
      </w:r>
      <w:r>
        <w:rPr>
          <w:rFonts w:hint="eastAsia"/>
          <w:b/>
          <w:kern w:val="0"/>
          <w:sz w:val="24"/>
        </w:rPr>
        <w:t>六</w:t>
      </w:r>
      <w:r>
        <w:rPr>
          <w:b/>
          <w:kern w:val="0"/>
          <w:sz w:val="24"/>
        </w:rPr>
        <w:t>）公告中标结果</w:t>
      </w:r>
    </w:p>
    <w:p>
      <w:pPr>
        <w:snapToGrid w:val="0"/>
        <w:spacing w:line="480" w:lineRule="exact"/>
        <w:ind w:firstLine="570"/>
        <w:rPr>
          <w:b/>
          <w:kern w:val="0"/>
          <w:sz w:val="24"/>
        </w:rPr>
      </w:pPr>
      <w:r>
        <w:rPr>
          <w:sz w:val="24"/>
        </w:rPr>
        <w:t>自确定中标人之日起2个工作日内，在南通市崇川区人民政府网</w:t>
      </w:r>
      <w:r>
        <w:rPr>
          <w:rFonts w:hint="eastAsia"/>
          <w:sz w:val="24"/>
        </w:rPr>
        <w:t>－公示</w:t>
      </w:r>
      <w:r>
        <w:rPr>
          <w:sz w:val="24"/>
        </w:rPr>
        <w:t>公告栏公告中标结果，公告期限为1个工作日。</w:t>
      </w:r>
    </w:p>
    <w:p>
      <w:pPr>
        <w:snapToGrid w:val="0"/>
        <w:spacing w:line="480" w:lineRule="exact"/>
        <w:ind w:firstLine="570"/>
        <w:rPr>
          <w:b/>
          <w:kern w:val="0"/>
          <w:sz w:val="24"/>
        </w:rPr>
      </w:pPr>
      <w:r>
        <w:rPr>
          <w:b/>
          <w:kern w:val="0"/>
          <w:sz w:val="24"/>
        </w:rPr>
        <w:t>（</w:t>
      </w:r>
      <w:r>
        <w:rPr>
          <w:rFonts w:hint="eastAsia"/>
          <w:b/>
          <w:kern w:val="0"/>
          <w:sz w:val="24"/>
        </w:rPr>
        <w:t>七</w:t>
      </w:r>
      <w:r>
        <w:rPr>
          <w:b/>
          <w:kern w:val="0"/>
          <w:sz w:val="24"/>
        </w:rPr>
        <w:t>）发放中标通知书</w:t>
      </w:r>
    </w:p>
    <w:p>
      <w:pPr>
        <w:snapToGrid w:val="0"/>
        <w:spacing w:line="480" w:lineRule="exact"/>
        <w:ind w:firstLine="480" w:firstLineChars="200"/>
        <w:contextualSpacing/>
        <w:rPr>
          <w:sz w:val="24"/>
          <w:u w:val="single"/>
        </w:rPr>
      </w:pPr>
      <w:r>
        <w:rPr>
          <w:sz w:val="24"/>
        </w:rPr>
        <w:t>中标通知书发放条件和途径：</w:t>
      </w:r>
      <w:r>
        <w:rPr>
          <w:rFonts w:hint="eastAsia"/>
          <w:sz w:val="24"/>
        </w:rPr>
        <w:t>发布</w:t>
      </w:r>
      <w:r>
        <w:rPr>
          <w:sz w:val="24"/>
        </w:rPr>
        <w:t>中标结果公告</w:t>
      </w:r>
      <w:r>
        <w:rPr>
          <w:rFonts w:hint="eastAsia"/>
          <w:sz w:val="24"/>
        </w:rPr>
        <w:t>的同时，招标人或者招标代理机构应当向中标人发放中标通知书。</w:t>
      </w:r>
      <w:r>
        <w:rPr>
          <w:sz w:val="24"/>
        </w:rPr>
        <w:t>领取地址：</w:t>
      </w:r>
      <w:r>
        <w:rPr>
          <w:rFonts w:hint="eastAsia"/>
          <w:sz w:val="24"/>
          <w:u w:val="single"/>
        </w:rPr>
        <w:t>南通市崇川区江海大道555号鸿鸣摩尔购物中心1幢1301室</w:t>
      </w:r>
      <w:r>
        <w:rPr>
          <w:sz w:val="24"/>
        </w:rPr>
        <w:t>，电话：</w:t>
      </w:r>
      <w:r>
        <w:rPr>
          <w:rFonts w:hint="eastAsia"/>
          <w:sz w:val="24"/>
          <w:u w:val="single"/>
        </w:rPr>
        <w:t>15851396099</w:t>
      </w:r>
      <w:r>
        <w:rPr>
          <w:sz w:val="24"/>
          <w:u w:val="single"/>
        </w:rPr>
        <w:t>。</w:t>
      </w:r>
    </w:p>
    <w:p>
      <w:pPr>
        <w:adjustRightInd w:val="0"/>
        <w:snapToGrid w:val="0"/>
        <w:spacing w:line="500" w:lineRule="exact"/>
        <w:ind w:firstLine="480" w:firstLineChars="200"/>
        <w:rPr>
          <w:sz w:val="24"/>
        </w:rPr>
      </w:pPr>
      <w:r>
        <w:rPr>
          <w:sz w:val="24"/>
        </w:rPr>
        <w:t>中标通知书发出后，招标人不得违法改变中标结果，中标供应商无正当理由不得放弃中标。</w:t>
      </w:r>
    </w:p>
    <w:p>
      <w:pPr>
        <w:snapToGrid w:val="0"/>
        <w:spacing w:line="480" w:lineRule="exact"/>
        <w:ind w:firstLine="477" w:firstLineChars="198"/>
        <w:rPr>
          <w:b/>
          <w:sz w:val="24"/>
        </w:rPr>
      </w:pPr>
      <w:r>
        <w:rPr>
          <w:b/>
          <w:sz w:val="24"/>
        </w:rPr>
        <w:t>八、其他注意事项</w:t>
      </w:r>
    </w:p>
    <w:p>
      <w:pPr>
        <w:snapToGrid w:val="0"/>
        <w:spacing w:line="480" w:lineRule="exact"/>
        <w:ind w:firstLine="570"/>
        <w:rPr>
          <w:sz w:val="24"/>
        </w:rPr>
      </w:pPr>
      <w:r>
        <w:rPr>
          <w:sz w:val="24"/>
        </w:rPr>
        <w:t>1、在投标、开标时间，投标人不得向评委询问情况，不得进行旨在影响评标结果的活动。</w:t>
      </w:r>
    </w:p>
    <w:p>
      <w:pPr>
        <w:snapToGrid w:val="0"/>
        <w:spacing w:line="480" w:lineRule="exact"/>
        <w:ind w:firstLine="570"/>
        <w:rPr>
          <w:sz w:val="24"/>
        </w:rPr>
      </w:pPr>
      <w:r>
        <w:rPr>
          <w:sz w:val="24"/>
        </w:rPr>
        <w:t>2、评委会不得向投标人解释落标原因。</w:t>
      </w:r>
    </w:p>
    <w:p>
      <w:pPr>
        <w:snapToGrid w:val="0"/>
        <w:spacing w:line="480" w:lineRule="exact"/>
        <w:ind w:firstLine="570"/>
        <w:rPr>
          <w:sz w:val="24"/>
        </w:rPr>
      </w:pPr>
      <w:r>
        <w:rPr>
          <w:sz w:val="24"/>
        </w:rPr>
        <w:t>3、在投标、评标过程中，如果投标人联合故意抬高报价或出现其他不正当行为，招标人有权中止投标或评标。</w:t>
      </w:r>
    </w:p>
    <w:p>
      <w:pPr>
        <w:snapToGrid w:val="0"/>
        <w:spacing w:line="480" w:lineRule="exact"/>
        <w:ind w:firstLine="570"/>
        <w:rPr>
          <w:sz w:val="24"/>
        </w:rPr>
      </w:pPr>
      <w:r>
        <w:rPr>
          <w:sz w:val="24"/>
        </w:rPr>
        <w:t>4、凡在投标、开标过程中，已提示是否异议的事项，投标人当时没有提出异议的，事后不得针对上述事项提出质疑。</w:t>
      </w:r>
    </w:p>
    <w:p>
      <w:pPr>
        <w:snapToGrid w:val="0"/>
        <w:spacing w:line="300" w:lineRule="auto"/>
        <w:jc w:val="center"/>
        <w:outlineLvl w:val="0"/>
        <w:rPr>
          <w:b/>
          <w:sz w:val="36"/>
          <w:szCs w:val="36"/>
        </w:rPr>
        <w:sectPr>
          <w:pgSz w:w="11906" w:h="16838"/>
          <w:pgMar w:top="1418" w:right="1474" w:bottom="1418" w:left="1474" w:header="851" w:footer="907" w:gutter="0"/>
          <w:cols w:space="720" w:num="1"/>
          <w:docGrid w:type="lines" w:linePitch="312" w:charSpace="0"/>
        </w:sectPr>
      </w:pPr>
    </w:p>
    <w:p>
      <w:pPr>
        <w:snapToGrid w:val="0"/>
        <w:spacing w:line="300" w:lineRule="auto"/>
        <w:jc w:val="center"/>
        <w:outlineLvl w:val="0"/>
        <w:rPr>
          <w:b/>
          <w:sz w:val="36"/>
          <w:szCs w:val="36"/>
        </w:rPr>
      </w:pPr>
      <w:r>
        <w:rPr>
          <w:b/>
          <w:sz w:val="36"/>
          <w:szCs w:val="36"/>
        </w:rPr>
        <w:t>第五部分  合同签订与验收付款</w:t>
      </w:r>
    </w:p>
    <w:p>
      <w:pPr>
        <w:snapToGrid w:val="0"/>
        <w:spacing w:line="300" w:lineRule="auto"/>
        <w:jc w:val="center"/>
        <w:rPr>
          <w:sz w:val="28"/>
          <w:szCs w:val="28"/>
        </w:rPr>
      </w:pPr>
    </w:p>
    <w:p>
      <w:pPr>
        <w:snapToGrid w:val="0"/>
        <w:spacing w:line="480" w:lineRule="exact"/>
        <w:ind w:firstLine="481" w:firstLineChars="200"/>
        <w:contextualSpacing/>
        <w:rPr>
          <w:sz w:val="24"/>
        </w:rPr>
      </w:pPr>
      <w:r>
        <w:rPr>
          <w:b/>
          <w:sz w:val="24"/>
        </w:rPr>
        <w:t>一</w:t>
      </w:r>
      <w:r>
        <w:rPr>
          <w:sz w:val="24"/>
        </w:rPr>
        <w:t>、</w:t>
      </w:r>
      <w:r>
        <w:rPr>
          <w:b/>
          <w:bCs/>
          <w:sz w:val="24"/>
        </w:rPr>
        <w:t>中标供应商和招标人需在《中标通知书》发出之日起15日内签订合同。</w:t>
      </w:r>
      <w:r>
        <w:rPr>
          <w:sz w:val="24"/>
        </w:rPr>
        <w:t>合同签订后中标供应商方可履约，否则引起的一切后果由中标供应商自行承担。</w:t>
      </w:r>
      <w:r>
        <w:rPr>
          <w:b/>
          <w:sz w:val="24"/>
        </w:rPr>
        <w:t>纸质合同一式</w:t>
      </w:r>
      <w:r>
        <w:rPr>
          <w:b/>
          <w:sz w:val="24"/>
          <w:u w:val="single"/>
        </w:rPr>
        <w:t xml:space="preserve"> </w:t>
      </w:r>
      <w:r>
        <w:rPr>
          <w:rFonts w:hint="eastAsia"/>
          <w:b/>
          <w:sz w:val="24"/>
          <w:u w:val="single"/>
        </w:rPr>
        <w:t>肆</w:t>
      </w:r>
      <w:r>
        <w:rPr>
          <w:b/>
          <w:sz w:val="24"/>
          <w:u w:val="single"/>
        </w:rPr>
        <w:t xml:space="preserve"> </w:t>
      </w:r>
      <w:r>
        <w:rPr>
          <w:b/>
          <w:sz w:val="24"/>
        </w:rPr>
        <w:t>份，招标人、</w:t>
      </w:r>
      <w:r>
        <w:rPr>
          <w:rFonts w:hint="eastAsia"/>
          <w:b/>
          <w:sz w:val="24"/>
        </w:rPr>
        <w:t>中标人</w:t>
      </w:r>
      <w:r>
        <w:rPr>
          <w:b/>
          <w:sz w:val="24"/>
        </w:rPr>
        <w:t>各</w:t>
      </w:r>
      <w:r>
        <w:rPr>
          <w:b/>
          <w:sz w:val="24"/>
          <w:u w:val="single"/>
        </w:rPr>
        <w:t xml:space="preserve"> </w:t>
      </w:r>
      <w:r>
        <w:rPr>
          <w:rFonts w:hint="eastAsia"/>
          <w:b/>
          <w:sz w:val="24"/>
          <w:u w:val="single"/>
        </w:rPr>
        <w:t>贰</w:t>
      </w:r>
      <w:r>
        <w:rPr>
          <w:b/>
          <w:sz w:val="24"/>
          <w:u w:val="single"/>
        </w:rPr>
        <w:t xml:space="preserve"> </w:t>
      </w:r>
      <w:r>
        <w:rPr>
          <w:b/>
          <w:sz w:val="24"/>
        </w:rPr>
        <w:t>份</w:t>
      </w:r>
      <w:r>
        <w:rPr>
          <w:rFonts w:hint="eastAsia"/>
          <w:b/>
          <w:bCs/>
          <w:sz w:val="24"/>
          <w:lang w:val="zh-CN"/>
        </w:rPr>
        <w:t>。</w:t>
      </w:r>
      <w:r>
        <w:rPr>
          <w:sz w:val="24"/>
          <w:lang w:val="zh-CN"/>
        </w:rPr>
        <w:t>所签合同不得对</w:t>
      </w:r>
      <w:r>
        <w:rPr>
          <w:rFonts w:hint="eastAsia"/>
          <w:sz w:val="24"/>
          <w:lang w:val="zh-CN"/>
        </w:rPr>
        <w:t>招标</w:t>
      </w:r>
      <w:r>
        <w:rPr>
          <w:sz w:val="24"/>
          <w:lang w:val="zh-CN"/>
        </w:rPr>
        <w:t>文件作实质性修改</w:t>
      </w:r>
      <w:r>
        <w:rPr>
          <w:sz w:val="24"/>
        </w:rPr>
        <w:t>。招标人不得向中标供应商提出不合理的要求作为签订合同的条件，不得与中标供应商私下订立背离</w:t>
      </w:r>
      <w:r>
        <w:rPr>
          <w:rFonts w:hint="eastAsia"/>
          <w:sz w:val="24"/>
        </w:rPr>
        <w:t>招标</w:t>
      </w:r>
      <w:r>
        <w:rPr>
          <w:sz w:val="24"/>
        </w:rPr>
        <w:t>文件实质性内容的协议。</w:t>
      </w:r>
    </w:p>
    <w:p>
      <w:pPr>
        <w:snapToGrid w:val="0"/>
        <w:spacing w:line="480" w:lineRule="exact"/>
        <w:ind w:firstLine="472" w:firstLineChars="196"/>
        <w:contextualSpacing/>
        <w:rPr>
          <w:sz w:val="24"/>
        </w:rPr>
      </w:pPr>
      <w:r>
        <w:rPr>
          <w:b/>
          <w:sz w:val="24"/>
        </w:rPr>
        <w:t>二</w:t>
      </w:r>
      <w:r>
        <w:rPr>
          <w:sz w:val="24"/>
        </w:rPr>
        <w:t>、</w:t>
      </w:r>
      <w:bookmarkStart w:id="8" w:name="OLE_LINK1"/>
      <w:bookmarkStart w:id="9" w:name="OLE_LINK2"/>
      <w:r>
        <w:rPr>
          <w:sz w:val="24"/>
        </w:rPr>
        <w:t>招标人按合同约定积极配合中标供应商履约，中标供应商履约到位后，请以书面形式向招标人提出验收申请，招标人接到申请后及时组织相关专业技术人员，必要时邀请专家、质检等部门共同参与验收，并出具验收报告，验收合格的支付相应款项。</w:t>
      </w:r>
    </w:p>
    <w:p>
      <w:pPr>
        <w:snapToGrid w:val="0"/>
        <w:spacing w:line="480" w:lineRule="exact"/>
        <w:ind w:firstLine="480" w:firstLineChars="200"/>
        <w:contextualSpacing/>
        <w:rPr>
          <w:sz w:val="24"/>
        </w:rPr>
      </w:pPr>
      <w:r>
        <w:rPr>
          <w:sz w:val="24"/>
        </w:rPr>
        <w:t>三、招标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招标人移交工商、质监、公安等行政执法部门依法查处。</w:t>
      </w:r>
    </w:p>
    <w:p>
      <w:pPr>
        <w:pStyle w:val="9"/>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实际付款方式以最终签订招标合同为准。</w:t>
      </w:r>
    </w:p>
    <w:p>
      <w:pPr>
        <w:pStyle w:val="9"/>
        <w:kinsoku w:val="0"/>
        <w:topLinePunct/>
        <w:autoSpaceDE w:val="0"/>
        <w:autoSpaceDN w:val="0"/>
        <w:snapToGrid w:val="0"/>
        <w:spacing w:line="480" w:lineRule="exact"/>
        <w:ind w:right="210" w:firstLine="480" w:firstLineChars="200"/>
        <w:contextualSpacing/>
        <w:rPr>
          <w:sz w:val="28"/>
          <w:szCs w:val="28"/>
        </w:rPr>
      </w:pPr>
      <w:r>
        <w:rPr>
          <w:sz w:val="24"/>
          <w:szCs w:val="24"/>
        </w:rPr>
        <w:t>款项由招标人按相关财务支付规定办理支付手续。不得故意拖延支付时间</w:t>
      </w:r>
      <w:bookmarkEnd w:id="8"/>
      <w:bookmarkEnd w:id="9"/>
      <w:r>
        <w:rPr>
          <w:sz w:val="24"/>
          <w:szCs w:val="24"/>
        </w:rPr>
        <w:t>。</w:t>
      </w:r>
    </w:p>
    <w:p>
      <w:pPr>
        <w:kinsoku w:val="0"/>
        <w:topLinePunct/>
        <w:autoSpaceDE w:val="0"/>
        <w:autoSpaceDN w:val="0"/>
        <w:snapToGrid w:val="0"/>
        <w:spacing w:line="480" w:lineRule="exact"/>
        <w:ind w:right="210" w:firstLine="513" w:firstLineChars="214"/>
        <w:contextualSpacing/>
        <w:rPr>
          <w:rFonts w:eastAsia="仿宋_GB2312"/>
        </w:rPr>
      </w:pPr>
      <w:r>
        <w:rPr>
          <w:sz w:val="24"/>
        </w:rPr>
        <w:t>六、合同主要条款</w:t>
      </w:r>
      <w:r>
        <w:rPr>
          <w:rFonts w:hint="eastAsia"/>
          <w:sz w:val="24"/>
        </w:rPr>
        <w:t>：详见第三部分内容</w:t>
      </w:r>
    </w:p>
    <w:p>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pPr>
        <w:pStyle w:val="125"/>
        <w:spacing w:before="312" w:after="312" w:line="360" w:lineRule="auto"/>
        <w:jc w:val="both"/>
        <w:rPr>
          <w:rFonts w:hint="eastAsia" w:ascii="宋体"/>
          <w:sz w:val="36"/>
          <w:szCs w:val="36"/>
        </w:rPr>
      </w:pPr>
      <w:r>
        <w:rPr>
          <w:rFonts w:hint="eastAsia" w:ascii="宋体"/>
          <w:sz w:val="36"/>
          <w:szCs w:val="36"/>
        </w:rPr>
        <w:t xml:space="preserve"> </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spacing w:line="560" w:lineRule="exact"/>
        <w:jc w:val="center"/>
        <w:rPr>
          <w:sz w:val="24"/>
        </w:rPr>
      </w:pPr>
      <w:r>
        <w:rPr>
          <w:b/>
          <w:color w:val="000000"/>
          <w:sz w:val="36"/>
          <w:szCs w:val="36"/>
        </w:rPr>
        <w:t>第六部分 质疑提出和处理</w:t>
      </w:r>
    </w:p>
    <w:p>
      <w:pPr>
        <w:adjustRightInd w:val="0"/>
        <w:snapToGrid w:val="0"/>
        <w:spacing w:line="460" w:lineRule="exact"/>
        <w:ind w:firstLine="480" w:firstLineChars="200"/>
        <w:rPr>
          <w:rFonts w:hint="eastAsia" w:ascii="宋体" w:hAnsi="宋体" w:cs="宋体"/>
          <w:sz w:val="24"/>
        </w:rPr>
      </w:pPr>
    </w:p>
    <w:p>
      <w:pPr>
        <w:adjustRightInd w:val="0"/>
        <w:snapToGrid w:val="0"/>
        <w:spacing w:line="360" w:lineRule="auto"/>
        <w:ind w:firstLine="481" w:firstLineChars="200"/>
        <w:contextualSpacing/>
        <w:rPr>
          <w:rFonts w:hint="eastAsia"/>
          <w:b/>
          <w:sz w:val="24"/>
          <w:szCs w:val="21"/>
        </w:rPr>
      </w:pPr>
      <w:r>
        <w:rPr>
          <w:b/>
          <w:sz w:val="24"/>
          <w:szCs w:val="21"/>
        </w:rPr>
        <w:t>一、质疑的提出</w:t>
      </w:r>
    </w:p>
    <w:p>
      <w:pPr>
        <w:adjustRightInd w:val="0"/>
        <w:snapToGrid w:val="0"/>
        <w:spacing w:line="360" w:lineRule="auto"/>
        <w:ind w:firstLine="480" w:firstLineChars="200"/>
        <w:contextualSpacing/>
        <w:rPr>
          <w:rFonts w:hint="eastAsia"/>
          <w:sz w:val="24"/>
          <w:szCs w:val="21"/>
        </w:rPr>
      </w:pPr>
      <w:r>
        <w:rPr>
          <w:rFonts w:hint="eastAsia"/>
          <w:sz w:val="24"/>
          <w:szCs w:val="21"/>
        </w:rPr>
        <w:t>1、提出质疑的供应商应当是参与所质疑项目采购活动的供应商。潜在供应商依法获取其可质疑的采购文件的，可以对采购文件提出质疑。</w:t>
      </w:r>
    </w:p>
    <w:p>
      <w:pPr>
        <w:adjustRightInd w:val="0"/>
        <w:snapToGrid w:val="0"/>
        <w:spacing w:line="360" w:lineRule="auto"/>
        <w:ind w:firstLine="480" w:firstLineChars="200"/>
        <w:contextualSpacing/>
        <w:rPr>
          <w:rFonts w:hint="eastAsia"/>
          <w:sz w:val="24"/>
          <w:szCs w:val="21"/>
        </w:rPr>
      </w:pPr>
      <w:r>
        <w:rPr>
          <w:rFonts w:hint="eastAsia"/>
          <w:sz w:val="24"/>
          <w:szCs w:val="21"/>
        </w:rPr>
        <w:t>2、供应商认为采购文件、采购过程和采购结果使自己的权益受到损害的，可以在知道或应知其权益受到损害之日起七个工作日内，以书面形式向采购人提出质疑。上述应知其权益受到损害之日，是指：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360" w:lineRule="auto"/>
        <w:ind w:firstLine="480" w:firstLineChars="200"/>
        <w:contextualSpacing/>
        <w:rPr>
          <w:rFonts w:hint="eastAsia"/>
          <w:sz w:val="24"/>
          <w:szCs w:val="21"/>
        </w:rPr>
      </w:pPr>
      <w:r>
        <w:rPr>
          <w:rFonts w:hint="eastAsia"/>
          <w:sz w:val="24"/>
          <w:szCs w:val="21"/>
        </w:rPr>
        <w:t>2.1对可以质疑的采购文件提出质疑的，为收到采购文件之日或者采购文件公告期限届满之日；</w:t>
      </w:r>
    </w:p>
    <w:p>
      <w:pPr>
        <w:adjustRightInd w:val="0"/>
        <w:snapToGrid w:val="0"/>
        <w:spacing w:line="360" w:lineRule="auto"/>
        <w:ind w:firstLine="480" w:firstLineChars="200"/>
        <w:contextualSpacing/>
        <w:rPr>
          <w:rFonts w:hint="eastAsia"/>
          <w:sz w:val="24"/>
          <w:szCs w:val="21"/>
        </w:rPr>
      </w:pPr>
      <w:r>
        <w:rPr>
          <w:rFonts w:hint="eastAsia"/>
          <w:sz w:val="24"/>
          <w:szCs w:val="21"/>
        </w:rPr>
        <w:t>2.2对采购过程提出质疑的，为各采购程序环节结束之日；</w:t>
      </w:r>
    </w:p>
    <w:p>
      <w:pPr>
        <w:adjustRightInd w:val="0"/>
        <w:snapToGrid w:val="0"/>
        <w:spacing w:line="360" w:lineRule="auto"/>
        <w:ind w:firstLine="480" w:firstLineChars="200"/>
        <w:contextualSpacing/>
        <w:rPr>
          <w:rFonts w:hint="eastAsia"/>
          <w:sz w:val="24"/>
          <w:szCs w:val="21"/>
        </w:rPr>
      </w:pPr>
      <w:r>
        <w:rPr>
          <w:rFonts w:hint="eastAsia"/>
          <w:sz w:val="24"/>
          <w:szCs w:val="21"/>
        </w:rPr>
        <w:t>2.3对成交结果提出质疑的，为成交结果公告期限届满之日。</w:t>
      </w:r>
    </w:p>
    <w:p>
      <w:pPr>
        <w:adjustRightInd w:val="0"/>
        <w:snapToGrid w:val="0"/>
        <w:spacing w:line="360" w:lineRule="auto"/>
        <w:ind w:firstLine="480" w:firstLineChars="200"/>
        <w:contextualSpacing/>
        <w:rPr>
          <w:rFonts w:hint="eastAsia"/>
          <w:sz w:val="24"/>
          <w:szCs w:val="21"/>
        </w:rPr>
      </w:pPr>
      <w:r>
        <w:rPr>
          <w:rFonts w:hint="eastAsia"/>
          <w:sz w:val="24"/>
          <w:szCs w:val="21"/>
        </w:rPr>
        <w:t>供应商应当在法定质疑期内一次性提出针对同一采购程序环节的质疑。</w:t>
      </w:r>
    </w:p>
    <w:p>
      <w:pPr>
        <w:adjustRightInd w:val="0"/>
        <w:snapToGrid w:val="0"/>
        <w:spacing w:line="360" w:lineRule="auto"/>
        <w:ind w:firstLine="480" w:firstLineChars="200"/>
        <w:contextualSpacing/>
        <w:rPr>
          <w:rFonts w:hint="eastAsia"/>
          <w:sz w:val="24"/>
          <w:szCs w:val="21"/>
        </w:rPr>
      </w:pPr>
      <w:r>
        <w:rPr>
          <w:rFonts w:hint="eastAsia"/>
          <w:sz w:val="24"/>
          <w:szCs w:val="21"/>
        </w:rPr>
        <w:t>3、质疑函必须按照本采购文件中《质疑函范本》要求的格式和内容进行填写。供应商如组成联合体参加采购活动，则《质疑函范本》中要求签字、盖章、加盖公章之处，联合体各方均须按要求签字、盖章、加盖公章。</w:t>
      </w:r>
    </w:p>
    <w:p>
      <w:pPr>
        <w:adjustRightInd w:val="0"/>
        <w:snapToGrid w:val="0"/>
        <w:spacing w:line="360" w:lineRule="auto"/>
        <w:ind w:firstLine="480" w:firstLineChars="200"/>
        <w:contextualSpacing/>
        <w:rPr>
          <w:rFonts w:hint="eastAsia"/>
          <w:sz w:val="24"/>
          <w:szCs w:val="21"/>
        </w:rPr>
      </w:pPr>
      <w:r>
        <w:rPr>
          <w:rFonts w:hint="eastAsia"/>
          <w:sz w:val="24"/>
          <w:szCs w:val="21"/>
        </w:rPr>
        <w:t>4、对采购方式、采购文件中项目需求、供应商资格条件、评审方法和评审标准、资格审查结果等应当由采购人答复的质疑，请向采购人提出，由采购人负责答复。</w:t>
      </w:r>
    </w:p>
    <w:p>
      <w:pPr>
        <w:adjustRightInd w:val="0"/>
        <w:snapToGrid w:val="0"/>
        <w:spacing w:line="360" w:lineRule="auto"/>
        <w:ind w:firstLine="480" w:firstLineChars="200"/>
        <w:contextualSpacing/>
        <w:rPr>
          <w:rFonts w:hint="eastAsia"/>
          <w:sz w:val="24"/>
          <w:szCs w:val="21"/>
        </w:rPr>
      </w:pPr>
      <w:r>
        <w:rPr>
          <w:rFonts w:hint="eastAsia"/>
          <w:sz w:val="24"/>
          <w:szCs w:val="21"/>
        </w:rPr>
        <w:t>采购人质疑接收人及联系方式，见采购文件第一章。</w:t>
      </w:r>
    </w:p>
    <w:p>
      <w:pPr>
        <w:adjustRightInd w:val="0"/>
        <w:snapToGrid w:val="0"/>
        <w:spacing w:line="360" w:lineRule="auto"/>
        <w:ind w:firstLine="480" w:firstLineChars="200"/>
        <w:contextualSpacing/>
        <w:rPr>
          <w:rFonts w:hint="eastAsia"/>
          <w:sz w:val="24"/>
          <w:szCs w:val="21"/>
        </w:rPr>
      </w:pPr>
      <w:r>
        <w:rPr>
          <w:rFonts w:hint="eastAsia"/>
          <w:sz w:val="24"/>
          <w:szCs w:val="21"/>
        </w:rPr>
        <w:t>5、 以下情形的质疑不予受理</w:t>
      </w:r>
    </w:p>
    <w:p>
      <w:pPr>
        <w:adjustRightInd w:val="0"/>
        <w:snapToGrid w:val="0"/>
        <w:spacing w:line="360" w:lineRule="auto"/>
        <w:ind w:firstLine="480" w:firstLineChars="200"/>
        <w:contextualSpacing/>
        <w:rPr>
          <w:rFonts w:hint="eastAsia"/>
          <w:sz w:val="24"/>
          <w:szCs w:val="21"/>
        </w:rPr>
      </w:pPr>
      <w:r>
        <w:rPr>
          <w:rFonts w:hint="eastAsia"/>
          <w:sz w:val="24"/>
          <w:szCs w:val="21"/>
        </w:rPr>
        <w:t>5.1 内容不符合《政府采购质疑和投诉办法》财政部第94号令第十二条规定的质疑。</w:t>
      </w:r>
    </w:p>
    <w:p>
      <w:pPr>
        <w:adjustRightInd w:val="0"/>
        <w:snapToGrid w:val="0"/>
        <w:spacing w:line="360" w:lineRule="auto"/>
        <w:ind w:firstLine="480" w:firstLineChars="200"/>
        <w:contextualSpacing/>
        <w:rPr>
          <w:rFonts w:hint="eastAsia"/>
          <w:sz w:val="24"/>
          <w:szCs w:val="21"/>
        </w:rPr>
      </w:pPr>
      <w:r>
        <w:rPr>
          <w:rFonts w:hint="eastAsia"/>
          <w:sz w:val="24"/>
          <w:szCs w:val="21"/>
        </w:rPr>
        <w:t>5.2 超出政府采购法定期限的质疑。</w:t>
      </w:r>
    </w:p>
    <w:p>
      <w:pPr>
        <w:adjustRightInd w:val="0"/>
        <w:snapToGrid w:val="0"/>
        <w:spacing w:line="360" w:lineRule="auto"/>
        <w:ind w:firstLine="480" w:firstLineChars="200"/>
        <w:contextualSpacing/>
        <w:rPr>
          <w:rFonts w:hint="eastAsia"/>
          <w:sz w:val="24"/>
          <w:szCs w:val="21"/>
        </w:rPr>
      </w:pPr>
      <w:r>
        <w:rPr>
          <w:rFonts w:hint="eastAsia"/>
          <w:sz w:val="24"/>
          <w:szCs w:val="21"/>
        </w:rPr>
        <w:t>5.3 未参加采购活动的供应商。</w:t>
      </w:r>
    </w:p>
    <w:p>
      <w:pPr>
        <w:adjustRightInd w:val="0"/>
        <w:snapToGrid w:val="0"/>
        <w:spacing w:line="360" w:lineRule="auto"/>
        <w:ind w:firstLine="480" w:firstLineChars="200"/>
        <w:contextualSpacing/>
        <w:rPr>
          <w:rFonts w:hint="eastAsia"/>
          <w:sz w:val="24"/>
          <w:szCs w:val="21"/>
        </w:rPr>
      </w:pPr>
      <w:r>
        <w:rPr>
          <w:rFonts w:hint="eastAsia"/>
          <w:sz w:val="24"/>
          <w:szCs w:val="21"/>
        </w:rPr>
        <w:t>5.4供应商组成联合体参加采购活动，联合体中任何一方或多方未按要求签字、盖章、加盖公章的质疑。</w:t>
      </w:r>
    </w:p>
    <w:p>
      <w:pPr>
        <w:adjustRightInd w:val="0"/>
        <w:snapToGrid w:val="0"/>
        <w:spacing w:line="360" w:lineRule="auto"/>
        <w:ind w:firstLine="480" w:firstLineChars="200"/>
        <w:contextualSpacing/>
        <w:rPr>
          <w:sz w:val="24"/>
          <w:szCs w:val="21"/>
        </w:rPr>
      </w:pPr>
      <w:r>
        <w:rPr>
          <w:rFonts w:hint="eastAsia"/>
          <w:sz w:val="24"/>
          <w:szCs w:val="21"/>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adjustRightInd w:val="0"/>
        <w:snapToGrid w:val="0"/>
        <w:spacing w:line="360" w:lineRule="auto"/>
        <w:contextualSpacing/>
        <w:rPr>
          <w:rFonts w:hint="eastAsia"/>
          <w:sz w:val="24"/>
          <w:szCs w:val="21"/>
        </w:rPr>
      </w:pPr>
      <w:r>
        <w:rPr>
          <w:rFonts w:hint="eastAsia"/>
          <w:sz w:val="24"/>
          <w:szCs w:val="21"/>
        </w:rPr>
        <w:t>附件：</w:t>
      </w:r>
    </w:p>
    <w:p>
      <w:pPr>
        <w:adjustRightInd w:val="0"/>
        <w:snapToGrid w:val="0"/>
        <w:spacing w:line="360" w:lineRule="auto"/>
        <w:contextualSpacing/>
        <w:jc w:val="center"/>
        <w:rPr>
          <w:bCs/>
          <w:sz w:val="24"/>
          <w:szCs w:val="21"/>
        </w:rPr>
      </w:pPr>
      <w:r>
        <w:rPr>
          <w:rFonts w:hint="eastAsia"/>
          <w:bCs/>
          <w:sz w:val="24"/>
          <w:szCs w:val="21"/>
        </w:rPr>
        <w:t>质疑函范本</w:t>
      </w:r>
    </w:p>
    <w:p>
      <w:pPr>
        <w:adjustRightInd w:val="0"/>
        <w:snapToGrid w:val="0"/>
        <w:spacing w:line="360" w:lineRule="auto"/>
        <w:ind w:firstLine="480" w:firstLineChars="200"/>
        <w:contextualSpacing/>
        <w:rPr>
          <w:bCs/>
          <w:sz w:val="24"/>
          <w:szCs w:val="21"/>
        </w:rPr>
      </w:pPr>
      <w:r>
        <w:rPr>
          <w:rFonts w:hint="eastAsia"/>
          <w:bCs/>
          <w:sz w:val="24"/>
          <w:szCs w:val="21"/>
        </w:rPr>
        <w:t>一、质疑供应商基本信息</w:t>
      </w:r>
    </w:p>
    <w:p>
      <w:pPr>
        <w:adjustRightInd w:val="0"/>
        <w:snapToGrid w:val="0"/>
        <w:spacing w:line="360" w:lineRule="auto"/>
        <w:ind w:firstLine="480" w:firstLineChars="200"/>
        <w:contextualSpacing/>
        <w:rPr>
          <w:sz w:val="24"/>
          <w:szCs w:val="21"/>
          <w:u w:val="dotted"/>
        </w:rPr>
      </w:pPr>
      <w:r>
        <w:rPr>
          <w:rFonts w:hint="eastAsia"/>
          <w:sz w:val="24"/>
          <w:szCs w:val="21"/>
        </w:rPr>
        <w:t>质疑供应商：</w:t>
      </w:r>
    </w:p>
    <w:p>
      <w:pPr>
        <w:adjustRightInd w:val="0"/>
        <w:snapToGrid w:val="0"/>
        <w:spacing w:line="360" w:lineRule="auto"/>
        <w:ind w:firstLine="480" w:firstLineChars="200"/>
        <w:contextualSpacing/>
        <w:rPr>
          <w:sz w:val="24"/>
          <w:szCs w:val="21"/>
        </w:rPr>
      </w:pPr>
      <w:r>
        <w:rPr>
          <w:rFonts w:hint="eastAsia"/>
          <w:sz w:val="24"/>
          <w:szCs w:val="21"/>
        </w:rPr>
        <w:t>地址：邮编：</w:t>
      </w:r>
    </w:p>
    <w:p>
      <w:pPr>
        <w:adjustRightInd w:val="0"/>
        <w:snapToGrid w:val="0"/>
        <w:spacing w:line="360" w:lineRule="auto"/>
        <w:ind w:firstLine="480" w:firstLineChars="200"/>
        <w:contextualSpacing/>
        <w:rPr>
          <w:sz w:val="24"/>
          <w:szCs w:val="21"/>
        </w:rPr>
      </w:pPr>
      <w:r>
        <w:rPr>
          <w:rFonts w:hint="eastAsia"/>
          <w:sz w:val="24"/>
          <w:szCs w:val="21"/>
        </w:rPr>
        <w:t>联系人：联系电话：</w:t>
      </w:r>
    </w:p>
    <w:p>
      <w:pPr>
        <w:adjustRightInd w:val="0"/>
        <w:snapToGrid w:val="0"/>
        <w:spacing w:line="360" w:lineRule="auto"/>
        <w:ind w:firstLine="480" w:firstLineChars="200"/>
        <w:contextualSpacing/>
        <w:rPr>
          <w:sz w:val="24"/>
          <w:szCs w:val="21"/>
          <w:u w:val="dotted"/>
        </w:rPr>
      </w:pPr>
      <w:r>
        <w:rPr>
          <w:rFonts w:hint="eastAsia"/>
          <w:sz w:val="24"/>
          <w:szCs w:val="21"/>
        </w:rPr>
        <w:t>授权代表：</w:t>
      </w:r>
    </w:p>
    <w:p>
      <w:pPr>
        <w:adjustRightInd w:val="0"/>
        <w:snapToGrid w:val="0"/>
        <w:spacing w:line="360" w:lineRule="auto"/>
        <w:ind w:firstLine="480" w:firstLineChars="200"/>
        <w:contextualSpacing/>
        <w:rPr>
          <w:sz w:val="24"/>
          <w:szCs w:val="21"/>
        </w:rPr>
      </w:pPr>
      <w:r>
        <w:rPr>
          <w:rFonts w:hint="eastAsia"/>
          <w:sz w:val="24"/>
          <w:szCs w:val="21"/>
        </w:rPr>
        <w:t>联系电话：</w:t>
      </w:r>
    </w:p>
    <w:p>
      <w:pPr>
        <w:adjustRightInd w:val="0"/>
        <w:snapToGrid w:val="0"/>
        <w:spacing w:line="360" w:lineRule="auto"/>
        <w:ind w:firstLine="480" w:firstLineChars="200"/>
        <w:contextualSpacing/>
        <w:rPr>
          <w:sz w:val="24"/>
          <w:szCs w:val="21"/>
        </w:rPr>
      </w:pPr>
      <w:r>
        <w:rPr>
          <w:rFonts w:hint="eastAsia"/>
          <w:sz w:val="24"/>
          <w:szCs w:val="21"/>
        </w:rPr>
        <w:t>地址：邮编：</w:t>
      </w:r>
    </w:p>
    <w:p>
      <w:pPr>
        <w:adjustRightInd w:val="0"/>
        <w:snapToGrid w:val="0"/>
        <w:spacing w:line="360" w:lineRule="auto"/>
        <w:ind w:firstLine="480" w:firstLineChars="200"/>
        <w:contextualSpacing/>
        <w:rPr>
          <w:bCs/>
          <w:sz w:val="24"/>
          <w:szCs w:val="21"/>
        </w:rPr>
      </w:pPr>
      <w:r>
        <w:rPr>
          <w:rFonts w:hint="eastAsia"/>
          <w:bCs/>
          <w:sz w:val="24"/>
          <w:szCs w:val="21"/>
        </w:rPr>
        <w:t>二、质疑项目基本情况</w:t>
      </w:r>
    </w:p>
    <w:p>
      <w:pPr>
        <w:adjustRightInd w:val="0"/>
        <w:snapToGrid w:val="0"/>
        <w:spacing w:line="360" w:lineRule="auto"/>
        <w:ind w:firstLine="480" w:firstLineChars="200"/>
        <w:contextualSpacing/>
        <w:rPr>
          <w:sz w:val="24"/>
          <w:szCs w:val="21"/>
        </w:rPr>
      </w:pPr>
      <w:r>
        <w:rPr>
          <w:rFonts w:hint="eastAsia"/>
          <w:sz w:val="24"/>
          <w:szCs w:val="21"/>
        </w:rPr>
        <w:t>质疑项目的名称：</w:t>
      </w:r>
    </w:p>
    <w:p>
      <w:pPr>
        <w:adjustRightInd w:val="0"/>
        <w:snapToGrid w:val="0"/>
        <w:spacing w:line="360" w:lineRule="auto"/>
        <w:ind w:firstLine="480" w:firstLineChars="200"/>
        <w:contextualSpacing/>
        <w:rPr>
          <w:sz w:val="24"/>
          <w:szCs w:val="21"/>
        </w:rPr>
      </w:pPr>
      <w:r>
        <w:rPr>
          <w:rFonts w:hint="eastAsia"/>
          <w:sz w:val="24"/>
          <w:szCs w:val="21"/>
        </w:rPr>
        <w:t>质疑项目的编号：包号：</w:t>
      </w:r>
    </w:p>
    <w:p>
      <w:pPr>
        <w:adjustRightInd w:val="0"/>
        <w:snapToGrid w:val="0"/>
        <w:spacing w:line="360" w:lineRule="auto"/>
        <w:ind w:firstLine="480" w:firstLineChars="200"/>
        <w:contextualSpacing/>
        <w:rPr>
          <w:sz w:val="24"/>
          <w:szCs w:val="21"/>
          <w:u w:val="dotted"/>
        </w:rPr>
      </w:pPr>
      <w:r>
        <w:rPr>
          <w:rFonts w:hint="eastAsia"/>
          <w:sz w:val="24"/>
          <w:szCs w:val="21"/>
        </w:rPr>
        <w:t>采购人名称：</w:t>
      </w:r>
    </w:p>
    <w:p>
      <w:pPr>
        <w:adjustRightInd w:val="0"/>
        <w:snapToGrid w:val="0"/>
        <w:spacing w:line="360" w:lineRule="auto"/>
        <w:ind w:firstLine="480" w:firstLineChars="200"/>
        <w:contextualSpacing/>
        <w:rPr>
          <w:sz w:val="24"/>
          <w:szCs w:val="21"/>
        </w:rPr>
      </w:pPr>
      <w:r>
        <w:rPr>
          <w:rFonts w:hint="eastAsia"/>
          <w:sz w:val="24"/>
          <w:szCs w:val="21"/>
        </w:rPr>
        <w:t>采购文件获取日期：</w:t>
      </w:r>
    </w:p>
    <w:p>
      <w:pPr>
        <w:adjustRightInd w:val="0"/>
        <w:snapToGrid w:val="0"/>
        <w:spacing w:line="360" w:lineRule="auto"/>
        <w:ind w:firstLine="480" w:firstLineChars="200"/>
        <w:contextualSpacing/>
        <w:rPr>
          <w:bCs/>
          <w:sz w:val="24"/>
          <w:szCs w:val="21"/>
        </w:rPr>
      </w:pPr>
      <w:r>
        <w:rPr>
          <w:rFonts w:hint="eastAsia"/>
          <w:bCs/>
          <w:sz w:val="24"/>
          <w:szCs w:val="21"/>
        </w:rPr>
        <w:t>三、质疑事项具体内容</w:t>
      </w:r>
    </w:p>
    <w:p>
      <w:pPr>
        <w:adjustRightInd w:val="0"/>
        <w:snapToGrid w:val="0"/>
        <w:spacing w:line="360" w:lineRule="auto"/>
        <w:ind w:firstLine="480" w:firstLineChars="200"/>
        <w:contextualSpacing/>
        <w:rPr>
          <w:sz w:val="24"/>
          <w:szCs w:val="21"/>
          <w:u w:val="dotted"/>
        </w:rPr>
      </w:pPr>
      <w:r>
        <w:rPr>
          <w:rFonts w:hint="eastAsia"/>
          <w:sz w:val="24"/>
          <w:szCs w:val="21"/>
        </w:rPr>
        <w:t>质疑事项1：</w:t>
      </w:r>
    </w:p>
    <w:p>
      <w:pPr>
        <w:adjustRightInd w:val="0"/>
        <w:snapToGrid w:val="0"/>
        <w:spacing w:line="360" w:lineRule="auto"/>
        <w:ind w:firstLine="480" w:firstLineChars="200"/>
        <w:contextualSpacing/>
        <w:rPr>
          <w:sz w:val="24"/>
          <w:szCs w:val="21"/>
          <w:u w:val="dotted"/>
        </w:rPr>
      </w:pPr>
      <w:r>
        <w:rPr>
          <w:rFonts w:hint="eastAsia"/>
          <w:sz w:val="24"/>
          <w:szCs w:val="21"/>
        </w:rPr>
        <w:t>事实依据：</w:t>
      </w:r>
    </w:p>
    <w:p>
      <w:pPr>
        <w:adjustRightInd w:val="0"/>
        <w:snapToGrid w:val="0"/>
        <w:spacing w:line="360" w:lineRule="auto"/>
        <w:ind w:firstLine="480" w:firstLineChars="200"/>
        <w:contextualSpacing/>
        <w:rPr>
          <w:sz w:val="24"/>
          <w:szCs w:val="21"/>
        </w:rPr>
      </w:pPr>
    </w:p>
    <w:p>
      <w:pPr>
        <w:adjustRightInd w:val="0"/>
        <w:snapToGrid w:val="0"/>
        <w:spacing w:line="360" w:lineRule="auto"/>
        <w:ind w:firstLine="480" w:firstLineChars="200"/>
        <w:contextualSpacing/>
        <w:rPr>
          <w:sz w:val="24"/>
          <w:szCs w:val="21"/>
          <w:u w:val="dotted"/>
        </w:rPr>
      </w:pPr>
      <w:r>
        <w:rPr>
          <w:rFonts w:hint="eastAsia"/>
          <w:sz w:val="24"/>
          <w:szCs w:val="21"/>
        </w:rPr>
        <w:t>法律依据：</w:t>
      </w:r>
    </w:p>
    <w:p>
      <w:pPr>
        <w:adjustRightInd w:val="0"/>
        <w:snapToGrid w:val="0"/>
        <w:spacing w:line="360" w:lineRule="auto"/>
        <w:ind w:firstLine="480" w:firstLineChars="200"/>
        <w:contextualSpacing/>
        <w:rPr>
          <w:sz w:val="24"/>
          <w:szCs w:val="21"/>
          <w:u w:val="dotted"/>
        </w:rPr>
      </w:pPr>
    </w:p>
    <w:p>
      <w:pPr>
        <w:adjustRightInd w:val="0"/>
        <w:snapToGrid w:val="0"/>
        <w:spacing w:line="360" w:lineRule="auto"/>
        <w:ind w:firstLine="480" w:firstLineChars="200"/>
        <w:contextualSpacing/>
        <w:rPr>
          <w:sz w:val="24"/>
          <w:szCs w:val="21"/>
          <w:u w:val="dotted"/>
        </w:rPr>
      </w:pPr>
      <w:r>
        <w:rPr>
          <w:rFonts w:hint="eastAsia"/>
          <w:sz w:val="24"/>
          <w:szCs w:val="21"/>
        </w:rPr>
        <w:t>质疑事项2</w:t>
      </w:r>
    </w:p>
    <w:p>
      <w:pPr>
        <w:adjustRightInd w:val="0"/>
        <w:snapToGrid w:val="0"/>
        <w:spacing w:line="360" w:lineRule="auto"/>
        <w:ind w:firstLine="480" w:firstLineChars="200"/>
        <w:contextualSpacing/>
        <w:rPr>
          <w:sz w:val="24"/>
          <w:szCs w:val="21"/>
        </w:rPr>
      </w:pPr>
      <w:r>
        <w:rPr>
          <w:rFonts w:hint="eastAsia"/>
          <w:sz w:val="24"/>
          <w:szCs w:val="21"/>
        </w:rPr>
        <w:t>……</w:t>
      </w:r>
    </w:p>
    <w:p>
      <w:pPr>
        <w:adjustRightInd w:val="0"/>
        <w:snapToGrid w:val="0"/>
        <w:spacing w:line="360" w:lineRule="auto"/>
        <w:ind w:firstLine="480" w:firstLineChars="200"/>
        <w:contextualSpacing/>
        <w:rPr>
          <w:bCs/>
          <w:sz w:val="24"/>
          <w:szCs w:val="21"/>
        </w:rPr>
      </w:pPr>
      <w:r>
        <w:rPr>
          <w:rFonts w:hint="eastAsia"/>
          <w:bCs/>
          <w:sz w:val="24"/>
          <w:szCs w:val="21"/>
        </w:rPr>
        <w:t>四、与质疑事项相关的质疑请求</w:t>
      </w:r>
    </w:p>
    <w:p>
      <w:pPr>
        <w:adjustRightInd w:val="0"/>
        <w:snapToGrid w:val="0"/>
        <w:spacing w:line="360" w:lineRule="auto"/>
        <w:ind w:firstLine="480" w:firstLineChars="200"/>
        <w:contextualSpacing/>
        <w:rPr>
          <w:sz w:val="24"/>
          <w:szCs w:val="21"/>
          <w:u w:val="dotted"/>
        </w:rPr>
      </w:pPr>
      <w:r>
        <w:rPr>
          <w:rFonts w:hint="eastAsia"/>
          <w:sz w:val="24"/>
          <w:szCs w:val="21"/>
        </w:rPr>
        <w:t>请求：</w:t>
      </w:r>
    </w:p>
    <w:p>
      <w:pPr>
        <w:adjustRightInd w:val="0"/>
        <w:snapToGrid w:val="0"/>
        <w:spacing w:line="360" w:lineRule="auto"/>
        <w:ind w:firstLine="480" w:firstLineChars="200"/>
        <w:contextualSpacing/>
        <w:rPr>
          <w:sz w:val="24"/>
          <w:szCs w:val="21"/>
        </w:rPr>
      </w:pPr>
      <w:r>
        <w:rPr>
          <w:rFonts w:hint="eastAsia"/>
          <w:sz w:val="24"/>
          <w:szCs w:val="21"/>
        </w:rPr>
        <w:t xml:space="preserve">签字（签章）：                   公章：                      </w:t>
      </w:r>
    </w:p>
    <w:p>
      <w:pPr>
        <w:adjustRightInd w:val="0"/>
        <w:snapToGrid w:val="0"/>
        <w:spacing w:line="360" w:lineRule="auto"/>
        <w:ind w:firstLine="480" w:firstLineChars="200"/>
        <w:contextualSpacing/>
        <w:rPr>
          <w:sz w:val="24"/>
          <w:szCs w:val="21"/>
        </w:rPr>
      </w:pPr>
      <w:r>
        <w:rPr>
          <w:rFonts w:hint="eastAsia"/>
          <w:sz w:val="24"/>
          <w:szCs w:val="21"/>
        </w:rPr>
        <w:t xml:space="preserve">日期：    </w:t>
      </w:r>
    </w:p>
    <w:p>
      <w:pPr>
        <w:adjustRightInd w:val="0"/>
        <w:snapToGrid w:val="0"/>
        <w:spacing w:line="360" w:lineRule="auto"/>
        <w:ind w:firstLine="480" w:firstLineChars="200"/>
        <w:contextualSpacing/>
        <w:rPr>
          <w:sz w:val="24"/>
          <w:szCs w:val="21"/>
        </w:rPr>
      </w:pPr>
    </w:p>
    <w:p>
      <w:pPr>
        <w:pStyle w:val="32"/>
        <w:ind w:firstLine="480"/>
        <w:rPr>
          <w:rFonts w:ascii="Times New Roman" w:eastAsia="宋体"/>
          <w:sz w:val="24"/>
          <w:szCs w:val="21"/>
        </w:rPr>
      </w:pPr>
    </w:p>
    <w:p/>
    <w:p>
      <w:pPr>
        <w:adjustRightInd w:val="0"/>
        <w:snapToGrid w:val="0"/>
        <w:spacing w:line="360" w:lineRule="auto"/>
        <w:ind w:firstLine="481" w:firstLineChars="200"/>
        <w:contextualSpacing/>
        <w:rPr>
          <w:b/>
          <w:sz w:val="24"/>
          <w:szCs w:val="21"/>
        </w:rPr>
      </w:pPr>
    </w:p>
    <w:p>
      <w:pPr>
        <w:adjustRightInd w:val="0"/>
        <w:snapToGrid w:val="0"/>
        <w:spacing w:line="360" w:lineRule="auto"/>
        <w:ind w:firstLine="481" w:firstLineChars="200"/>
        <w:contextualSpacing/>
        <w:rPr>
          <w:b/>
          <w:sz w:val="24"/>
          <w:szCs w:val="21"/>
        </w:rPr>
      </w:pPr>
      <w:r>
        <w:rPr>
          <w:rFonts w:hint="eastAsia"/>
          <w:b/>
          <w:sz w:val="24"/>
          <w:szCs w:val="21"/>
        </w:rPr>
        <w:br w:type="page"/>
      </w:r>
      <w:r>
        <w:rPr>
          <w:rFonts w:hint="eastAsia"/>
          <w:b/>
          <w:sz w:val="24"/>
          <w:szCs w:val="21"/>
        </w:rPr>
        <w:t>质疑函制作说明：</w:t>
      </w:r>
    </w:p>
    <w:p>
      <w:pPr>
        <w:adjustRightInd w:val="0"/>
        <w:snapToGrid w:val="0"/>
        <w:spacing w:line="360" w:lineRule="auto"/>
        <w:ind w:firstLine="480" w:firstLineChars="200"/>
        <w:contextualSpacing/>
        <w:rPr>
          <w:sz w:val="24"/>
          <w:szCs w:val="21"/>
        </w:rPr>
      </w:pPr>
      <w:r>
        <w:rPr>
          <w:rFonts w:hint="eastAsia"/>
          <w:sz w:val="24"/>
          <w:szCs w:val="21"/>
        </w:rPr>
        <w:t>1、供应商提出质疑时，应提交质疑函和必要的证明材料。</w:t>
      </w:r>
    </w:p>
    <w:p>
      <w:pPr>
        <w:adjustRightInd w:val="0"/>
        <w:snapToGrid w:val="0"/>
        <w:spacing w:line="360" w:lineRule="auto"/>
        <w:ind w:firstLine="480" w:firstLineChars="200"/>
        <w:contextualSpacing/>
        <w:rPr>
          <w:sz w:val="24"/>
          <w:szCs w:val="21"/>
        </w:rPr>
      </w:pPr>
      <w:r>
        <w:rPr>
          <w:rFonts w:hint="eastAsia"/>
          <w:sz w:val="24"/>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360" w:lineRule="auto"/>
        <w:ind w:firstLine="480" w:firstLineChars="200"/>
        <w:contextualSpacing/>
        <w:rPr>
          <w:sz w:val="24"/>
          <w:szCs w:val="21"/>
        </w:rPr>
      </w:pPr>
      <w:r>
        <w:rPr>
          <w:rFonts w:hint="eastAsia"/>
          <w:sz w:val="24"/>
          <w:szCs w:val="21"/>
        </w:rPr>
        <w:t>3、质疑供应商若对项目的某一分包进行质疑，质疑函中应列明具体分包号。</w:t>
      </w:r>
    </w:p>
    <w:p>
      <w:pPr>
        <w:adjustRightInd w:val="0"/>
        <w:snapToGrid w:val="0"/>
        <w:spacing w:line="360" w:lineRule="auto"/>
        <w:ind w:firstLine="480" w:firstLineChars="200"/>
        <w:contextualSpacing/>
        <w:rPr>
          <w:sz w:val="24"/>
          <w:szCs w:val="21"/>
        </w:rPr>
      </w:pPr>
      <w:r>
        <w:rPr>
          <w:rFonts w:hint="eastAsia"/>
          <w:sz w:val="24"/>
          <w:szCs w:val="21"/>
        </w:rPr>
        <w:t>4、质疑函的质疑事项应具体、明确，并有必要的事实依据和法律依据。</w:t>
      </w:r>
    </w:p>
    <w:p>
      <w:pPr>
        <w:adjustRightInd w:val="0"/>
        <w:snapToGrid w:val="0"/>
        <w:spacing w:line="360" w:lineRule="auto"/>
        <w:ind w:firstLine="480" w:firstLineChars="200"/>
        <w:contextualSpacing/>
        <w:rPr>
          <w:sz w:val="24"/>
          <w:szCs w:val="21"/>
        </w:rPr>
      </w:pPr>
      <w:r>
        <w:rPr>
          <w:rFonts w:hint="eastAsia"/>
          <w:sz w:val="24"/>
          <w:szCs w:val="21"/>
        </w:rPr>
        <w:t>5、质疑函的质疑请求应与质疑事项相关。</w:t>
      </w:r>
    </w:p>
    <w:p>
      <w:pPr>
        <w:adjustRightInd w:val="0"/>
        <w:snapToGrid w:val="0"/>
        <w:spacing w:line="360" w:lineRule="auto"/>
        <w:ind w:firstLine="480" w:firstLineChars="200"/>
        <w:contextualSpacing/>
        <w:rPr>
          <w:rFonts w:hint="eastAsia"/>
          <w:sz w:val="24"/>
          <w:szCs w:val="21"/>
        </w:rPr>
      </w:pPr>
      <w:r>
        <w:rPr>
          <w:rFonts w:hint="eastAsia"/>
          <w:sz w:val="24"/>
          <w:szCs w:val="21"/>
        </w:rPr>
        <w:t>6、质疑供应商为自然人的，质疑函应由本人签字；质疑供应商为法人或者其他组织的，质疑函应由法定代表人、主要负责人，或者其授权代表签字或者盖章，并加盖公章</w:t>
      </w:r>
      <w:r>
        <w:rPr>
          <w:sz w:val="24"/>
          <w:szCs w:val="21"/>
        </w:rPr>
        <w:t>。</w:t>
      </w:r>
    </w:p>
    <w:p>
      <w:pPr>
        <w:snapToGrid w:val="0"/>
        <w:spacing w:line="400" w:lineRule="atLeast"/>
        <w:ind w:firstLine="722" w:firstLineChars="200"/>
        <w:jc w:val="center"/>
        <w:outlineLvl w:val="0"/>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snapToGrid w:val="0"/>
        <w:spacing w:line="500" w:lineRule="exact"/>
        <w:jc w:val="center"/>
        <w:outlineLvl w:val="0"/>
        <w:rPr>
          <w:b/>
          <w:sz w:val="36"/>
          <w:szCs w:val="36"/>
        </w:rPr>
      </w:pPr>
    </w:p>
    <w:p>
      <w:pPr>
        <w:snapToGrid w:val="0"/>
        <w:spacing w:line="500" w:lineRule="exact"/>
        <w:jc w:val="center"/>
        <w:outlineLvl w:val="0"/>
        <w:rPr>
          <w:b/>
          <w:sz w:val="36"/>
          <w:szCs w:val="36"/>
        </w:rPr>
      </w:pPr>
      <w:r>
        <w:rPr>
          <w:b/>
          <w:sz w:val="36"/>
          <w:szCs w:val="36"/>
        </w:rPr>
        <w:t>第</w:t>
      </w:r>
      <w:r>
        <w:rPr>
          <w:rFonts w:hint="eastAsia"/>
          <w:b/>
          <w:sz w:val="36"/>
          <w:szCs w:val="36"/>
        </w:rPr>
        <w:t>七</w:t>
      </w:r>
      <w:r>
        <w:rPr>
          <w:b/>
          <w:sz w:val="36"/>
          <w:szCs w:val="36"/>
        </w:rPr>
        <w:t>部分  投标文件组成</w:t>
      </w:r>
    </w:p>
    <w:p>
      <w:pPr>
        <w:snapToGrid w:val="0"/>
        <w:spacing w:line="500" w:lineRule="exact"/>
        <w:ind w:firstLine="555"/>
        <w:jc w:val="left"/>
        <w:rPr>
          <w:b/>
          <w:sz w:val="24"/>
        </w:rPr>
      </w:pPr>
      <w:r>
        <w:rPr>
          <w:b/>
          <w:sz w:val="24"/>
        </w:rPr>
        <w:t>投标文件由资格审查文件、商务技术文件</w:t>
      </w:r>
      <w:r>
        <w:rPr>
          <w:rFonts w:hint="eastAsia"/>
          <w:b/>
          <w:sz w:val="24"/>
        </w:rPr>
        <w:t>二</w:t>
      </w:r>
      <w:r>
        <w:rPr>
          <w:b/>
          <w:sz w:val="24"/>
        </w:rPr>
        <w:t>部分组成，相关</w:t>
      </w:r>
      <w:r>
        <w:rPr>
          <w:b/>
          <w:sz w:val="24"/>
          <w:lang w:val="zh-CN"/>
        </w:rPr>
        <w:t>格式参见附件</w:t>
      </w:r>
      <w:r>
        <w:rPr>
          <w:b/>
          <w:sz w:val="24"/>
        </w:rPr>
        <w:t>。</w:t>
      </w:r>
    </w:p>
    <w:p>
      <w:pPr>
        <w:numPr>
          <w:ilvl w:val="0"/>
          <w:numId w:val="8"/>
        </w:numPr>
        <w:snapToGrid w:val="0"/>
        <w:spacing w:line="500" w:lineRule="exact"/>
        <w:ind w:firstLine="481"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w:t>
      </w:r>
      <w:r>
        <w:rPr>
          <w:rFonts w:hint="eastAsia"/>
          <w:b/>
          <w:bCs/>
          <w:kern w:val="0"/>
          <w:sz w:val="24"/>
        </w:rPr>
        <w:t>单独密封，一正四副</w:t>
      </w:r>
      <w:r>
        <w:rPr>
          <w:b/>
          <w:bCs/>
          <w:kern w:val="0"/>
          <w:sz w:val="24"/>
          <w:lang w:val="zh-CN"/>
        </w:rPr>
        <w:t>）</w:t>
      </w:r>
    </w:p>
    <w:p>
      <w:pPr>
        <w:snapToGrid w:val="0"/>
        <w:spacing w:line="500" w:lineRule="exact"/>
        <w:contextualSpacing/>
        <w:rPr>
          <w:kern w:val="0"/>
          <w:sz w:val="24"/>
          <w:lang w:val="zh-CN"/>
        </w:rPr>
      </w:pPr>
      <w:r>
        <w:rPr>
          <w:kern w:val="0"/>
          <w:sz w:val="24"/>
          <w:lang w:val="zh-CN"/>
        </w:rPr>
        <w:t>1、投标人声明函原件；</w:t>
      </w:r>
    </w:p>
    <w:p>
      <w:pPr>
        <w:snapToGrid w:val="0"/>
        <w:spacing w:line="500" w:lineRule="exact"/>
        <w:contextualSpacing/>
        <w:rPr>
          <w:kern w:val="0"/>
          <w:sz w:val="24"/>
          <w:lang w:val="zh-CN"/>
        </w:rPr>
      </w:pPr>
      <w:r>
        <w:rPr>
          <w:kern w:val="0"/>
          <w:sz w:val="24"/>
          <w:lang w:val="zh-CN"/>
        </w:rPr>
        <w:t>2、</w:t>
      </w:r>
      <w:r>
        <w:rPr>
          <w:rFonts w:hint="eastAsia"/>
          <w:sz w:val="24"/>
        </w:rPr>
        <w:t>投标人法定代表人参加投标的，必须提供法定代表人身份证明及法定代表人本人身份证复印件；非法定代表人参加投标的，必须提供法定代表人签字或盖章的授权委托书及法定代表人、被授权人的两人身份证的复印件，被授权人为供应商正式人员证明材料（提供被授权人与供应商签订的有效劳动合同复印件）</w:t>
      </w:r>
      <w:r>
        <w:rPr>
          <w:kern w:val="0"/>
          <w:sz w:val="24"/>
          <w:lang w:val="zh-CN"/>
        </w:rPr>
        <w:t>；</w:t>
      </w:r>
    </w:p>
    <w:p>
      <w:pPr>
        <w:snapToGrid w:val="0"/>
        <w:spacing w:line="500" w:lineRule="exact"/>
        <w:contextualSpacing/>
        <w:rPr>
          <w:kern w:val="0"/>
          <w:sz w:val="24"/>
          <w:lang w:val="zh-CN"/>
        </w:rPr>
      </w:pPr>
      <w:r>
        <w:rPr>
          <w:kern w:val="0"/>
          <w:sz w:val="24"/>
          <w:lang w:val="zh-CN"/>
        </w:rPr>
        <w:t>3、投标人信用承诺书；</w:t>
      </w:r>
    </w:p>
    <w:p>
      <w:pPr>
        <w:snapToGrid w:val="0"/>
        <w:spacing w:line="500" w:lineRule="exact"/>
        <w:contextualSpacing/>
        <w:rPr>
          <w:kern w:val="0"/>
          <w:sz w:val="24"/>
          <w:lang w:val="zh-CN"/>
        </w:rPr>
      </w:pPr>
      <w:r>
        <w:rPr>
          <w:kern w:val="0"/>
          <w:sz w:val="24"/>
          <w:lang w:val="zh-CN"/>
        </w:rPr>
        <w:t>4、招标公告资格要求提供相应的佐证材料；</w:t>
      </w:r>
    </w:p>
    <w:p>
      <w:pPr>
        <w:snapToGrid w:val="0"/>
        <w:spacing w:line="500" w:lineRule="exact"/>
        <w:contextualSpacing/>
        <w:rPr>
          <w:rFonts w:hint="eastAsia"/>
          <w:kern w:val="0"/>
          <w:sz w:val="24"/>
          <w:lang w:val="zh-CN"/>
        </w:rPr>
      </w:pPr>
      <w:r>
        <w:rPr>
          <w:rFonts w:hint="eastAsia"/>
          <w:kern w:val="0"/>
          <w:sz w:val="24"/>
          <w:lang w:val="zh-CN"/>
        </w:rPr>
        <w:t>5、其他</w:t>
      </w:r>
      <w:r>
        <w:rPr>
          <w:kern w:val="0"/>
          <w:sz w:val="24"/>
          <w:lang w:val="zh-CN"/>
        </w:rPr>
        <w:t>需要提交的资格审查证明材料。</w:t>
      </w:r>
    </w:p>
    <w:p>
      <w:pPr>
        <w:snapToGrid w:val="0"/>
        <w:spacing w:line="500" w:lineRule="exact"/>
        <w:ind w:firstLine="480" w:firstLineChars="200"/>
        <w:contextualSpacing/>
        <w:rPr>
          <w:rFonts w:hint="eastAsia"/>
          <w:sz w:val="24"/>
          <w:lang w:val="zh-CN"/>
        </w:rPr>
      </w:pPr>
      <w:r>
        <w:rPr>
          <w:rFonts w:hint="eastAsia"/>
          <w:sz w:val="24"/>
          <w:lang w:val="zh-CN"/>
        </w:rPr>
        <w:t>6、</w:t>
      </w:r>
      <w:r>
        <w:rPr>
          <w:rFonts w:hint="eastAsia"/>
          <w:kern w:val="0"/>
          <w:sz w:val="24"/>
          <w:lang w:val="zh-CN"/>
        </w:rPr>
        <w:t>投标人提供</w:t>
      </w:r>
      <w:r>
        <w:rPr>
          <w:rFonts w:hint="eastAsia"/>
          <w:kern w:val="0"/>
          <w:sz w:val="24"/>
        </w:rPr>
        <w:t>有效</w:t>
      </w:r>
      <w:r>
        <w:rPr>
          <w:rFonts w:hint="eastAsia"/>
          <w:kern w:val="0"/>
          <w:sz w:val="24"/>
          <w:lang w:val="zh-CN"/>
        </w:rPr>
        <w:t>的营业执照复印件</w:t>
      </w:r>
      <w:r>
        <w:rPr>
          <w:rFonts w:hint="eastAsia"/>
          <w:sz w:val="24"/>
        </w:rPr>
        <w:t>。</w:t>
      </w:r>
      <w:r>
        <w:rPr>
          <w:rFonts w:hint="eastAsia"/>
          <w:sz w:val="24"/>
          <w:lang w:val="zh-CN"/>
        </w:rPr>
        <w:t xml:space="preserve"> </w:t>
      </w:r>
    </w:p>
    <w:p>
      <w:pPr>
        <w:snapToGrid w:val="0"/>
        <w:spacing w:line="500" w:lineRule="exact"/>
        <w:ind w:firstLine="480" w:firstLineChars="200"/>
        <w:contextualSpacing/>
        <w:rPr>
          <w:sz w:val="24"/>
          <w:lang w:val="zh-CN"/>
        </w:rPr>
      </w:pPr>
      <w:r>
        <w:rPr>
          <w:rFonts w:hint="eastAsia"/>
          <w:sz w:val="24"/>
        </w:rPr>
        <w:t>以上材料为复印件的需加单投标供应商公章。</w:t>
      </w:r>
      <w:r>
        <w:rPr>
          <w:rFonts w:hint="eastAsia"/>
          <w:sz w:val="24"/>
          <w:lang w:val="zh-CN"/>
        </w:rPr>
        <w:t xml:space="preserve"> </w:t>
      </w:r>
    </w:p>
    <w:p>
      <w:pPr>
        <w:snapToGrid w:val="0"/>
        <w:spacing w:line="500" w:lineRule="exact"/>
        <w:ind w:firstLine="481"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w:t>
      </w:r>
      <w:r>
        <w:rPr>
          <w:rFonts w:hint="eastAsia"/>
          <w:b/>
          <w:bCs/>
          <w:kern w:val="0"/>
          <w:sz w:val="24"/>
        </w:rPr>
        <w:t>单独密封，一正四副</w:t>
      </w:r>
      <w:r>
        <w:rPr>
          <w:b/>
          <w:bCs/>
          <w:kern w:val="0"/>
          <w:sz w:val="24"/>
          <w:lang w:val="zh-CN"/>
        </w:rPr>
        <w:t>）</w:t>
      </w:r>
    </w:p>
    <w:p>
      <w:pPr>
        <w:numPr>
          <w:ilvl w:val="0"/>
          <w:numId w:val="9"/>
        </w:numPr>
        <w:snapToGrid w:val="0"/>
        <w:spacing w:line="500" w:lineRule="exact"/>
        <w:ind w:firstLine="480" w:firstLineChars="200"/>
        <w:contextualSpacing/>
        <w:rPr>
          <w:kern w:val="0"/>
          <w:sz w:val="24"/>
          <w:lang w:val="zh-CN"/>
        </w:rPr>
      </w:pPr>
      <w:r>
        <w:rPr>
          <w:kern w:val="0"/>
          <w:sz w:val="24"/>
          <w:lang w:val="zh-CN"/>
        </w:rPr>
        <w:t>投标人情况一览表；</w:t>
      </w:r>
    </w:p>
    <w:p>
      <w:pPr>
        <w:numPr>
          <w:ilvl w:val="0"/>
          <w:numId w:val="9"/>
        </w:numPr>
        <w:snapToGrid w:val="0"/>
        <w:spacing w:line="500" w:lineRule="exact"/>
        <w:ind w:firstLine="480" w:firstLineChars="200"/>
        <w:contextualSpacing/>
        <w:rPr>
          <w:kern w:val="0"/>
          <w:sz w:val="24"/>
          <w:lang w:val="zh-CN"/>
        </w:rPr>
      </w:pPr>
      <w:r>
        <w:rPr>
          <w:kern w:val="0"/>
          <w:sz w:val="24"/>
          <w:lang w:val="zh-CN"/>
        </w:rPr>
        <w:t>商务部分正负偏离表；</w:t>
      </w:r>
    </w:p>
    <w:p>
      <w:pPr>
        <w:numPr>
          <w:ilvl w:val="0"/>
          <w:numId w:val="9"/>
        </w:numPr>
        <w:snapToGrid w:val="0"/>
        <w:spacing w:line="500" w:lineRule="exact"/>
        <w:ind w:firstLine="480" w:firstLineChars="200"/>
        <w:contextualSpacing/>
        <w:rPr>
          <w:kern w:val="0"/>
          <w:sz w:val="24"/>
          <w:lang w:val="zh-CN"/>
        </w:rPr>
      </w:pPr>
      <w:r>
        <w:rPr>
          <w:kern w:val="0"/>
          <w:sz w:val="24"/>
          <w:lang w:val="zh-CN"/>
        </w:rPr>
        <w:t>技术部分正负偏离表；</w:t>
      </w:r>
    </w:p>
    <w:p>
      <w:pPr>
        <w:numPr>
          <w:ilvl w:val="0"/>
          <w:numId w:val="9"/>
        </w:numPr>
        <w:snapToGrid w:val="0"/>
        <w:spacing w:line="500" w:lineRule="exact"/>
        <w:ind w:firstLine="480" w:firstLineChars="200"/>
        <w:contextualSpacing/>
        <w:rPr>
          <w:kern w:val="0"/>
          <w:sz w:val="24"/>
          <w:lang w:val="zh-CN"/>
        </w:rPr>
      </w:pPr>
      <w:r>
        <w:rPr>
          <w:kern w:val="0"/>
          <w:sz w:val="24"/>
          <w:lang w:val="zh-CN"/>
        </w:rPr>
        <w:t>商务技术评分标准中须提供的相关得分佐证材料；</w:t>
      </w:r>
    </w:p>
    <w:p>
      <w:pPr>
        <w:numPr>
          <w:ilvl w:val="0"/>
          <w:numId w:val="9"/>
        </w:numPr>
        <w:snapToGrid w:val="0"/>
        <w:spacing w:line="500" w:lineRule="exact"/>
        <w:ind w:firstLine="480" w:firstLineChars="200"/>
        <w:contextualSpacing/>
        <w:rPr>
          <w:kern w:val="0"/>
          <w:sz w:val="24"/>
          <w:lang w:val="zh-CN"/>
        </w:rPr>
      </w:pPr>
      <w:r>
        <w:rPr>
          <w:kern w:val="0"/>
          <w:sz w:val="24"/>
          <w:lang w:val="zh-CN"/>
        </w:rPr>
        <w:t>投标人认为需要提交的其他商务技术材料。</w:t>
      </w:r>
    </w:p>
    <w:p>
      <w:pPr>
        <w:snapToGrid w:val="0"/>
        <w:spacing w:line="500" w:lineRule="exact"/>
        <w:ind w:firstLine="480" w:firstLineChars="200"/>
        <w:contextualSpacing/>
        <w:rPr>
          <w:sz w:val="24"/>
          <w:lang w:val="zh-CN"/>
        </w:rPr>
      </w:pPr>
      <w:r>
        <w:rPr>
          <w:rFonts w:hint="eastAsia"/>
          <w:sz w:val="24"/>
        </w:rPr>
        <w:t>以上材料为复印件的需加单投标供应商公章。</w:t>
      </w:r>
      <w:r>
        <w:rPr>
          <w:rFonts w:hint="eastAsia"/>
          <w:sz w:val="24"/>
          <w:lang w:val="zh-CN"/>
        </w:rPr>
        <w:t xml:space="preserve"> </w:t>
      </w:r>
    </w:p>
    <w:p>
      <w:pPr>
        <w:pStyle w:val="2"/>
        <w:rPr>
          <w:lang w:val="zh-CN"/>
        </w:rPr>
      </w:pPr>
    </w:p>
    <w:p>
      <w:pPr>
        <w:snapToGrid w:val="0"/>
        <w:spacing w:line="500" w:lineRule="exact"/>
        <w:contextualSpacing/>
        <w:rPr>
          <w:rFonts w:eastAsia="方正黑体_GBK"/>
          <w:kern w:val="0"/>
          <w:sz w:val="32"/>
          <w:szCs w:val="32"/>
          <w:lang w:val="zh-CN"/>
        </w:rPr>
      </w:pPr>
      <w:r>
        <w:rPr>
          <w:b/>
          <w:bCs/>
          <w:kern w:val="0"/>
          <w:sz w:val="24"/>
          <w:lang w:val="zh-CN"/>
        </w:rPr>
        <w:br w:type="page"/>
      </w:r>
      <w:r>
        <w:rPr>
          <w:rFonts w:eastAsia="方正黑体_GBK"/>
          <w:kern w:val="0"/>
          <w:sz w:val="32"/>
          <w:szCs w:val="32"/>
          <w:lang w:val="zh-CN"/>
        </w:rPr>
        <w:t>附件1</w:t>
      </w:r>
    </w:p>
    <w:p>
      <w:pPr>
        <w:pStyle w:val="121"/>
        <w:spacing w:line="560" w:lineRule="exact"/>
        <w:jc w:val="center"/>
        <w:rPr>
          <w:b/>
          <w:bCs/>
          <w:sz w:val="32"/>
          <w:szCs w:val="32"/>
        </w:rPr>
      </w:pPr>
      <w:r>
        <w:rPr>
          <w:b/>
          <w:bCs/>
          <w:sz w:val="32"/>
          <w:szCs w:val="32"/>
        </w:rPr>
        <w:t>投标人声明函</w:t>
      </w:r>
    </w:p>
    <w:p>
      <w:pPr>
        <w:spacing w:line="460" w:lineRule="exact"/>
        <w:rPr>
          <w:b/>
          <w:bCs/>
          <w:sz w:val="44"/>
          <w:szCs w:val="44"/>
        </w:rPr>
      </w:pPr>
      <w:r>
        <w:rPr>
          <w:b/>
          <w:bCs/>
          <w:sz w:val="24"/>
          <w:szCs w:val="21"/>
        </w:rPr>
        <w:t xml:space="preserve">                       </w:t>
      </w:r>
      <w:r>
        <w:rPr>
          <w:b/>
          <w:bCs/>
          <w:sz w:val="44"/>
          <w:szCs w:val="44"/>
        </w:rPr>
        <w:t xml:space="preserve">   </w:t>
      </w:r>
    </w:p>
    <w:p>
      <w:pPr>
        <w:spacing w:line="520" w:lineRule="exact"/>
        <w:ind w:firstLine="480" w:firstLineChars="200"/>
        <w:rPr>
          <w:b/>
          <w:bCs/>
          <w:sz w:val="24"/>
        </w:rPr>
      </w:pPr>
      <w:r>
        <w:rPr>
          <w:bCs/>
          <w:sz w:val="24"/>
        </w:rPr>
        <w:t>我单位参加</w:t>
      </w:r>
      <w:r>
        <w:rPr>
          <w:bCs/>
          <w:sz w:val="24"/>
          <w:szCs w:val="21"/>
          <w:u w:val="single"/>
        </w:rPr>
        <w:t xml:space="preserve">            </w:t>
      </w:r>
      <w:r>
        <w:rPr>
          <w:bCs/>
          <w:sz w:val="24"/>
          <w:szCs w:val="21"/>
        </w:rPr>
        <w:t>（项目名称）投标活动。</w:t>
      </w:r>
      <w:r>
        <w:rPr>
          <w:bCs/>
          <w:sz w:val="24"/>
        </w:rPr>
        <w:t>我单位</w:t>
      </w:r>
      <w:r>
        <w:rPr>
          <w:bCs/>
          <w:sz w:val="24"/>
          <w:szCs w:val="21"/>
        </w:rPr>
        <w:t>声明如下：</w:t>
      </w:r>
    </w:p>
    <w:p>
      <w:pPr>
        <w:numPr>
          <w:ilvl w:val="0"/>
          <w:numId w:val="10"/>
        </w:numPr>
        <w:snapToGrid w:val="0"/>
        <w:spacing w:line="460" w:lineRule="exact"/>
        <w:ind w:firstLine="480" w:firstLineChars="200"/>
        <w:contextualSpacing/>
        <w:rPr>
          <w:kern w:val="0"/>
          <w:sz w:val="24"/>
          <w:lang w:val="zh-CN"/>
        </w:rPr>
      </w:pPr>
      <w:r>
        <w:rPr>
          <w:kern w:val="0"/>
          <w:sz w:val="24"/>
          <w:lang w:val="zh-CN"/>
        </w:rPr>
        <w:t>我单位具有独立承担民事责任的能力；</w:t>
      </w:r>
    </w:p>
    <w:p>
      <w:pPr>
        <w:numPr>
          <w:ilvl w:val="0"/>
          <w:numId w:val="10"/>
        </w:numPr>
        <w:snapToGrid w:val="0"/>
        <w:spacing w:line="460" w:lineRule="exact"/>
        <w:ind w:firstLine="480" w:firstLineChars="200"/>
        <w:contextualSpacing/>
        <w:rPr>
          <w:kern w:val="0"/>
          <w:sz w:val="24"/>
          <w:lang w:val="zh-CN"/>
        </w:rPr>
      </w:pPr>
      <w:r>
        <w:rPr>
          <w:kern w:val="0"/>
          <w:sz w:val="24"/>
          <w:lang w:val="zh-CN"/>
        </w:rPr>
        <w:t>我单位具有良好的商业信誉和健全的财务会计制度；</w:t>
      </w:r>
    </w:p>
    <w:p>
      <w:pPr>
        <w:numPr>
          <w:ilvl w:val="0"/>
          <w:numId w:val="10"/>
        </w:numPr>
        <w:snapToGrid w:val="0"/>
        <w:spacing w:line="460" w:lineRule="exact"/>
        <w:ind w:firstLine="480" w:firstLineChars="200"/>
        <w:contextualSpacing/>
        <w:rPr>
          <w:kern w:val="0"/>
          <w:sz w:val="24"/>
          <w:lang w:val="zh-CN"/>
        </w:rPr>
      </w:pPr>
      <w:r>
        <w:rPr>
          <w:kern w:val="0"/>
          <w:sz w:val="24"/>
          <w:lang w:val="zh-CN"/>
        </w:rPr>
        <w:t xml:space="preserve">我单位具有履行合同所必需的设备和专业技术能力； </w:t>
      </w:r>
    </w:p>
    <w:p>
      <w:pPr>
        <w:numPr>
          <w:ilvl w:val="0"/>
          <w:numId w:val="10"/>
        </w:numPr>
        <w:snapToGrid w:val="0"/>
        <w:spacing w:line="460" w:lineRule="exact"/>
        <w:ind w:firstLine="480" w:firstLineChars="200"/>
        <w:contextualSpacing/>
        <w:rPr>
          <w:kern w:val="0"/>
          <w:sz w:val="24"/>
          <w:lang w:val="zh-CN"/>
        </w:rPr>
      </w:pPr>
      <w:r>
        <w:rPr>
          <w:kern w:val="0"/>
          <w:sz w:val="24"/>
          <w:lang w:val="zh-CN"/>
        </w:rPr>
        <w:t>我单位有依法缴纳税收和社会保障资金的良好记录；</w:t>
      </w:r>
    </w:p>
    <w:p>
      <w:pPr>
        <w:numPr>
          <w:ilvl w:val="0"/>
          <w:numId w:val="10"/>
        </w:numPr>
        <w:snapToGrid w:val="0"/>
        <w:spacing w:line="460" w:lineRule="exact"/>
        <w:ind w:firstLine="480" w:firstLineChars="200"/>
        <w:contextualSpacing/>
        <w:rPr>
          <w:kern w:val="0"/>
          <w:sz w:val="24"/>
          <w:lang w:val="zh-CN"/>
        </w:rPr>
      </w:pPr>
      <w:r>
        <w:rPr>
          <w:kern w:val="0"/>
          <w:sz w:val="24"/>
          <w:lang w:val="zh-CN"/>
        </w:rPr>
        <w:t>我单位参加</w:t>
      </w:r>
      <w:r>
        <w:rPr>
          <w:rFonts w:hint="eastAsia"/>
          <w:kern w:val="0"/>
          <w:sz w:val="24"/>
          <w:lang w:val="zh-CN"/>
        </w:rPr>
        <w:t>招标</w:t>
      </w:r>
      <w:r>
        <w:rPr>
          <w:kern w:val="0"/>
          <w:sz w:val="24"/>
          <w:lang w:val="zh-CN"/>
        </w:rPr>
        <w:t>活动前三年内，在经营活动中没有重大违法记录；在投标截止时间节点，没有被“信用中国”网站（www.creditchina.gov.cn）列入失信被执行人、重大税收违法案件当事人名单、严重失信行为记录名单；</w:t>
      </w:r>
    </w:p>
    <w:p>
      <w:pPr>
        <w:numPr>
          <w:ilvl w:val="0"/>
          <w:numId w:val="10"/>
        </w:numPr>
        <w:snapToGrid w:val="0"/>
        <w:spacing w:line="460" w:lineRule="exact"/>
        <w:ind w:firstLine="480" w:firstLineChars="200"/>
        <w:contextualSpacing/>
        <w:rPr>
          <w:kern w:val="0"/>
          <w:sz w:val="24"/>
          <w:lang w:val="zh-CN"/>
        </w:rPr>
      </w:pPr>
      <w:r>
        <w:rPr>
          <w:kern w:val="0"/>
          <w:sz w:val="24"/>
          <w:lang w:val="zh-CN"/>
        </w:rPr>
        <w:t>我单位满足法律、行政法规规定的其他条件。</w:t>
      </w:r>
    </w:p>
    <w:p>
      <w:pPr>
        <w:spacing w:line="500" w:lineRule="exact"/>
        <w:ind w:firstLine="482"/>
        <w:rPr>
          <w:sz w:val="24"/>
        </w:rPr>
      </w:pPr>
    </w:p>
    <w:p>
      <w:pPr>
        <w:spacing w:line="460" w:lineRule="exact"/>
        <w:jc w:val="center"/>
        <w:rPr>
          <w:bCs/>
          <w:sz w:val="24"/>
          <w:szCs w:val="21"/>
        </w:rPr>
      </w:pPr>
      <w:r>
        <w:rPr>
          <w:bCs/>
          <w:sz w:val="24"/>
          <w:szCs w:val="21"/>
        </w:rPr>
        <w:t xml:space="preserve">                                     承诺人名称（盖单位公章）：</w:t>
      </w:r>
    </w:p>
    <w:p>
      <w:pPr>
        <w:spacing w:line="460" w:lineRule="exact"/>
        <w:jc w:val="right"/>
        <w:rPr>
          <w:bCs/>
          <w:sz w:val="24"/>
          <w:szCs w:val="21"/>
        </w:rPr>
      </w:pPr>
      <w:r>
        <w:rPr>
          <w:bCs/>
          <w:sz w:val="24"/>
          <w:szCs w:val="21"/>
        </w:rPr>
        <w:t xml:space="preserve">  </w:t>
      </w:r>
    </w:p>
    <w:p>
      <w:pPr>
        <w:spacing w:line="460" w:lineRule="exact"/>
        <w:jc w:val="right"/>
        <w:rPr>
          <w:bCs/>
          <w:sz w:val="24"/>
          <w:szCs w:val="21"/>
        </w:rPr>
      </w:pPr>
      <w:r>
        <w:rPr>
          <w:bCs/>
          <w:sz w:val="24"/>
          <w:szCs w:val="21"/>
        </w:rPr>
        <w:t xml:space="preserve">                              日期：______年</w:t>
      </w:r>
      <w:r>
        <w:rPr>
          <w:bCs/>
          <w:sz w:val="24"/>
          <w:szCs w:val="21"/>
          <w:u w:val="single"/>
        </w:rPr>
        <w:t xml:space="preserve">    </w:t>
      </w:r>
      <w:r>
        <w:rPr>
          <w:bCs/>
          <w:sz w:val="24"/>
          <w:szCs w:val="21"/>
        </w:rPr>
        <w:t>月</w:t>
      </w:r>
      <w:r>
        <w:rPr>
          <w:bCs/>
          <w:sz w:val="24"/>
          <w:szCs w:val="21"/>
          <w:u w:val="single"/>
        </w:rPr>
        <w:t xml:space="preserve">    </w:t>
      </w:r>
      <w:r>
        <w:rPr>
          <w:bCs/>
          <w:sz w:val="24"/>
          <w:szCs w:val="21"/>
        </w:rPr>
        <w:t>日</w:t>
      </w:r>
    </w:p>
    <w:p>
      <w:pPr>
        <w:rPr>
          <w:szCs w:val="21"/>
        </w:rPr>
      </w:pPr>
      <w:r>
        <w:rPr>
          <w:b/>
          <w:bCs/>
          <w:sz w:val="28"/>
          <w:szCs w:val="28"/>
        </w:rPr>
        <w:br w:type="page"/>
      </w: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pPr>
        <w:pStyle w:val="121"/>
        <w:spacing w:line="560" w:lineRule="exact"/>
        <w:jc w:val="center"/>
        <w:rPr>
          <w:b/>
          <w:bCs/>
          <w:sz w:val="32"/>
          <w:szCs w:val="32"/>
        </w:rPr>
      </w:pPr>
      <w:r>
        <w:rPr>
          <w:b/>
          <w:bCs/>
          <w:sz w:val="32"/>
          <w:szCs w:val="32"/>
        </w:rPr>
        <w:t>法定代表人身份证明</w:t>
      </w:r>
    </w:p>
    <w:p>
      <w:pPr>
        <w:spacing w:line="480" w:lineRule="exact"/>
        <w:rPr>
          <w:sz w:val="24"/>
        </w:rPr>
      </w:pPr>
    </w:p>
    <w:p>
      <w:pPr>
        <w:spacing w:line="520" w:lineRule="exact"/>
        <w:ind w:firstLine="480" w:firstLineChars="200"/>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先生/女士： 现任我单位</w:t>
      </w:r>
      <w:r>
        <w:rPr>
          <w:rFonts w:hint="eastAsia" w:ascii="宋体" w:hAnsi="宋体" w:cs="宋体"/>
          <w:bCs/>
          <w:sz w:val="24"/>
          <w:u w:val="single"/>
        </w:rPr>
        <w:t xml:space="preserve">  （单位名称）   </w:t>
      </w:r>
      <w:r>
        <w:rPr>
          <w:rFonts w:hint="eastAsia" w:ascii="宋体" w:hAnsi="宋体" w:cs="宋体"/>
          <w:bCs/>
          <w:sz w:val="24"/>
        </w:rPr>
        <w:t>职务为法定代表人，特此证明。</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身份证号码：                                               </w:t>
      </w:r>
    </w:p>
    <w:p>
      <w:pPr>
        <w:tabs>
          <w:tab w:val="left" w:pos="4860"/>
        </w:tabs>
        <w:spacing w:line="500" w:lineRule="exact"/>
        <w:ind w:right="1560" w:firstLine="480" w:firstLineChars="200"/>
        <w:jc w:val="right"/>
        <w:rPr>
          <w:rFonts w:hint="eastAsia" w:ascii="宋体" w:hAnsi="宋体" w:cs="宋体"/>
          <w:sz w:val="24"/>
        </w:rPr>
      </w:pPr>
      <w:r>
        <w:rPr>
          <w:rFonts w:hint="eastAsia" w:ascii="宋体" w:hAnsi="宋体" w:cs="宋体"/>
          <w:sz w:val="24"/>
        </w:rPr>
        <w:t xml:space="preserve"> </w:t>
      </w:r>
    </w:p>
    <w:p>
      <w:pPr>
        <w:spacing w:line="520" w:lineRule="exact"/>
        <w:ind w:firstLine="480" w:firstLineChars="200"/>
        <w:jc w:val="center"/>
        <w:rPr>
          <w:rFonts w:hint="eastAsia" w:ascii="宋体" w:hAnsi="宋体" w:cs="宋体"/>
          <w:bCs/>
          <w:sz w:val="24"/>
        </w:rPr>
      </w:pPr>
      <w:r>
        <w:rPr>
          <w:rFonts w:hint="eastAsia" w:ascii="宋体" w:hAnsi="宋体" w:cs="宋体"/>
          <w:bCs/>
          <w:sz w:val="24"/>
        </w:rPr>
        <w:t xml:space="preserve">                           投标人全称（盖章）：</w:t>
      </w:r>
    </w:p>
    <w:p>
      <w:pPr>
        <w:spacing w:line="520" w:lineRule="exact"/>
        <w:ind w:firstLine="480" w:firstLineChars="200"/>
        <w:jc w:val="left"/>
        <w:rPr>
          <w:rFonts w:hint="eastAsia" w:ascii="宋体" w:hAnsi="宋体" w:cs="宋体"/>
          <w:sz w:val="24"/>
        </w:rPr>
      </w:pPr>
      <w:r>
        <w:rPr>
          <w:rFonts w:hint="eastAsia" w:ascii="宋体" w:hAnsi="宋体" w:cs="宋体"/>
          <w:bCs/>
          <w:sz w:val="24"/>
        </w:rPr>
        <w:t xml:space="preserve">                                         日  期：</w:t>
      </w:r>
    </w:p>
    <w:p>
      <w:pPr>
        <w:spacing w:line="480" w:lineRule="exact"/>
        <w:ind w:firstLine="480"/>
        <w:rPr>
          <w:rFonts w:hint="eastAsia" w:ascii="宋体" w:hAnsi="宋体" w:cs="宋体"/>
          <w:sz w:val="24"/>
        </w:rPr>
      </w:pPr>
    </w:p>
    <w:p>
      <w:pPr>
        <w:pStyle w:val="122"/>
        <w:spacing w:line="600" w:lineRule="exact"/>
        <w:rPr>
          <w:rFonts w:hint="eastAsia" w:ascii="宋体" w:hAnsi="宋体" w:cs="宋体"/>
          <w:b/>
          <w:sz w:val="24"/>
        </w:rPr>
      </w:pPr>
      <w:r>
        <w:rPr>
          <w:rFonts w:hint="eastAsia" w:ascii="宋体" w:hAnsi="宋体" w:cs="宋体"/>
          <w:b/>
          <w:sz w:val="24"/>
        </w:rPr>
        <w:t>注：提供法定代表人的身份证复印件</w:t>
      </w:r>
    </w:p>
    <w:p>
      <w:pPr>
        <w:spacing w:line="480" w:lineRule="exact"/>
        <w:ind w:firstLine="480" w:firstLineChars="200"/>
        <w:rPr>
          <w:rFonts w:eastAsia="仿宋_GB2312"/>
          <w:sz w:val="24"/>
        </w:rPr>
      </w:pPr>
    </w:p>
    <w:p>
      <w:r>
        <w:t xml:space="preserve">     </w:t>
      </w:r>
    </w:p>
    <w:p>
      <w:pPr>
        <w:snapToGrid w:val="0"/>
        <w:spacing w:line="400" w:lineRule="exact"/>
        <w:ind w:firstLine="539" w:firstLineChars="192"/>
        <w:contextualSpacing/>
        <w:rPr>
          <w:b/>
          <w:kern w:val="0"/>
          <w:sz w:val="28"/>
          <w:szCs w:val="28"/>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ind w:firstLine="539" w:firstLineChars="192"/>
        <w:contextualSpacing/>
        <w:rPr>
          <w:b/>
          <w:kern w:val="0"/>
          <w:sz w:val="28"/>
          <w:szCs w:val="28"/>
          <w:lang w:val="zh-CN"/>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附件3</w:t>
      </w:r>
    </w:p>
    <w:p>
      <w:pPr>
        <w:jc w:val="center"/>
        <w:rPr>
          <w:b/>
          <w:bCs/>
          <w:sz w:val="32"/>
          <w:szCs w:val="32"/>
        </w:rPr>
      </w:pPr>
      <w:r>
        <w:rPr>
          <w:b/>
          <w:bCs/>
          <w:sz w:val="32"/>
          <w:szCs w:val="32"/>
        </w:rPr>
        <w:t>法定代表人授权委托书</w:t>
      </w:r>
    </w:p>
    <w:p>
      <w:pPr>
        <w:rPr>
          <w:sz w:val="32"/>
          <w:szCs w:val="32"/>
        </w:rPr>
      </w:pPr>
    </w:p>
    <w:p>
      <w:pPr>
        <w:spacing w:line="480" w:lineRule="exact"/>
        <w:ind w:firstLine="480" w:firstLineChars="200"/>
        <w:rPr>
          <w:sz w:val="24"/>
        </w:rPr>
      </w:pPr>
      <w:r>
        <w:rPr>
          <w:sz w:val="24"/>
        </w:rPr>
        <w:t>本人------（姓名）系————（授权单位名称）的法定代表人，现委托-------（姓名）（身份证号——————）为我方代理人，以我方名义全权处理与本次</w:t>
      </w:r>
      <w:r>
        <w:rPr>
          <w:rFonts w:hint="eastAsia"/>
          <w:sz w:val="24"/>
        </w:rPr>
        <w:t>招标</w:t>
      </w:r>
      <w:r>
        <w:rPr>
          <w:sz w:val="24"/>
        </w:rPr>
        <w:t>项目（编号：----------）有关的一切事务，其法律后果由我方承担。</w:t>
      </w:r>
    </w:p>
    <w:p>
      <w:pPr>
        <w:spacing w:line="480" w:lineRule="exact"/>
        <w:ind w:firstLine="480" w:firstLineChars="200"/>
        <w:rPr>
          <w:sz w:val="24"/>
        </w:rPr>
      </w:pPr>
      <w:r>
        <w:rPr>
          <w:sz w:val="24"/>
        </w:rPr>
        <w:t>本授权书于---年---月---日起生效。代理人无转委托权。</w:t>
      </w:r>
    </w:p>
    <w:p>
      <w:pPr>
        <w:spacing w:line="480" w:lineRule="exact"/>
        <w:ind w:firstLine="480" w:firstLineChars="200"/>
        <w:rPr>
          <w:sz w:val="24"/>
        </w:rPr>
      </w:pPr>
      <w:r>
        <w:rPr>
          <w:sz w:val="24"/>
        </w:rPr>
        <w:t>代理人</w:t>
      </w:r>
      <w:r>
        <w:rPr>
          <w:rFonts w:hint="eastAsia"/>
          <w:sz w:val="24"/>
        </w:rPr>
        <w:t>（</w:t>
      </w:r>
      <w:r>
        <w:rPr>
          <w:sz w:val="24"/>
        </w:rPr>
        <w:t>被授权人</w:t>
      </w:r>
      <w:r>
        <w:rPr>
          <w:rFonts w:hint="eastAsia"/>
          <w:sz w:val="24"/>
        </w:rPr>
        <w:t>）</w:t>
      </w:r>
      <w:r>
        <w:rPr>
          <w:sz w:val="24"/>
        </w:rPr>
        <w:t>:------</w:t>
      </w:r>
    </w:p>
    <w:p>
      <w:pPr>
        <w:spacing w:line="480" w:lineRule="exact"/>
        <w:ind w:firstLine="480" w:firstLineChars="200"/>
        <w:rPr>
          <w:sz w:val="24"/>
        </w:rPr>
      </w:pPr>
      <w:r>
        <w:rPr>
          <w:sz w:val="24"/>
        </w:rPr>
        <w:t>授权单位名称（盖章）：-----</w:t>
      </w:r>
    </w:p>
    <w:p>
      <w:pPr>
        <w:spacing w:line="480" w:lineRule="exact"/>
        <w:ind w:firstLine="480" w:firstLineChars="200"/>
        <w:rPr>
          <w:sz w:val="24"/>
        </w:rPr>
      </w:pPr>
      <w:r>
        <w:rPr>
          <w:sz w:val="24"/>
        </w:rPr>
        <w:t>授权单位法定代表人（签字或盖章）：-----</w:t>
      </w:r>
    </w:p>
    <w:p>
      <w:pPr>
        <w:spacing w:line="480" w:lineRule="exact"/>
        <w:ind w:firstLine="480" w:firstLineChars="200"/>
        <w:rPr>
          <w:sz w:val="24"/>
        </w:rPr>
      </w:pPr>
    </w:p>
    <w:p>
      <w:pPr>
        <w:spacing w:line="480" w:lineRule="exact"/>
        <w:ind w:firstLine="480" w:firstLineChars="200"/>
        <w:jc w:val="right"/>
        <w:rPr>
          <w:sz w:val="24"/>
        </w:rPr>
      </w:pPr>
      <w:r>
        <w:rPr>
          <w:sz w:val="24"/>
        </w:rPr>
        <w:t>XXXX年XX月XX日</w:t>
      </w:r>
    </w:p>
    <w:p>
      <w:pPr>
        <w:snapToGrid w:val="0"/>
        <w:spacing w:line="400" w:lineRule="exact"/>
        <w:ind w:firstLine="539" w:firstLineChars="192"/>
        <w:contextualSpacing/>
        <w:rPr>
          <w:b/>
          <w:kern w:val="0"/>
          <w:sz w:val="28"/>
          <w:szCs w:val="28"/>
        </w:rPr>
      </w:pPr>
    </w:p>
    <w:p>
      <w:pPr>
        <w:snapToGrid w:val="0"/>
        <w:spacing w:line="400" w:lineRule="exact"/>
        <w:ind w:firstLine="539" w:firstLineChars="192"/>
        <w:contextualSpacing/>
        <w:rPr>
          <w:b/>
          <w:kern w:val="0"/>
          <w:sz w:val="28"/>
          <w:szCs w:val="28"/>
        </w:rPr>
      </w:pPr>
    </w:p>
    <w:p>
      <w:pPr>
        <w:snapToGrid w:val="0"/>
        <w:spacing w:line="400" w:lineRule="exact"/>
        <w:ind w:firstLine="539" w:firstLineChars="192"/>
        <w:contextualSpacing/>
        <w:rPr>
          <w:b/>
          <w:kern w:val="0"/>
          <w:sz w:val="28"/>
          <w:szCs w:val="28"/>
        </w:rPr>
      </w:pPr>
    </w:p>
    <w:p>
      <w:pPr>
        <w:snapToGrid w:val="0"/>
        <w:spacing w:line="400" w:lineRule="exact"/>
        <w:ind w:firstLine="539" w:firstLineChars="192"/>
        <w:contextualSpacing/>
        <w:rPr>
          <w:b/>
          <w:kern w:val="0"/>
          <w:sz w:val="28"/>
          <w:szCs w:val="28"/>
        </w:rPr>
      </w:pPr>
    </w:p>
    <w:p>
      <w:pPr>
        <w:snapToGrid w:val="0"/>
        <w:spacing w:line="400" w:lineRule="exact"/>
        <w:ind w:firstLine="539" w:firstLineChars="192"/>
        <w:contextualSpacing/>
        <w:rPr>
          <w:b/>
          <w:kern w:val="0"/>
          <w:sz w:val="28"/>
          <w:szCs w:val="28"/>
        </w:rPr>
      </w:pPr>
    </w:p>
    <w:p>
      <w:pPr>
        <w:snapToGrid w:val="0"/>
        <w:spacing w:line="400" w:lineRule="exact"/>
        <w:ind w:firstLine="462" w:firstLineChars="192"/>
        <w:contextualSpacing/>
        <w:rPr>
          <w:rFonts w:hint="eastAsia" w:ascii="宋体" w:hAnsi="宋体" w:cs="宋体"/>
          <w:b/>
          <w:sz w:val="24"/>
        </w:rPr>
      </w:pPr>
      <w:r>
        <w:rPr>
          <w:rFonts w:hint="eastAsia" w:ascii="宋体" w:hAnsi="宋体" w:cs="宋体"/>
          <w:b/>
          <w:sz w:val="24"/>
        </w:rPr>
        <w:t>注：</w:t>
      </w:r>
    </w:p>
    <w:p>
      <w:pPr>
        <w:snapToGrid w:val="0"/>
        <w:spacing w:line="400" w:lineRule="exact"/>
        <w:ind w:firstLine="462" w:firstLineChars="192"/>
        <w:contextualSpacing/>
        <w:rPr>
          <w:rFonts w:hint="eastAsia" w:ascii="宋体" w:hAnsi="宋体" w:cs="宋体"/>
          <w:b/>
          <w:sz w:val="24"/>
        </w:rPr>
      </w:pPr>
      <w:r>
        <w:rPr>
          <w:rFonts w:hint="eastAsia" w:ascii="宋体" w:hAnsi="宋体" w:cs="宋体"/>
          <w:b/>
          <w:sz w:val="24"/>
        </w:rPr>
        <w:t>提供法定代表人的身份证复印件</w:t>
      </w:r>
    </w:p>
    <w:p>
      <w:pPr>
        <w:pStyle w:val="2"/>
        <w:rPr>
          <w:rFonts w:hint="eastAsia" w:ascii="宋体" w:hAnsi="宋体" w:eastAsia="宋体" w:cs="宋体"/>
          <w:b/>
          <w:kern w:val="2"/>
          <w:szCs w:val="24"/>
        </w:rPr>
      </w:pPr>
    </w:p>
    <w:p>
      <w:pPr>
        <w:snapToGrid w:val="0"/>
        <w:spacing w:line="400" w:lineRule="exact"/>
        <w:ind w:firstLine="462" w:firstLineChars="192"/>
        <w:contextualSpacing/>
        <w:rPr>
          <w:rFonts w:hint="eastAsia" w:ascii="宋体" w:hAnsi="宋体" w:cs="宋体"/>
          <w:b/>
          <w:sz w:val="24"/>
        </w:rPr>
      </w:pPr>
    </w:p>
    <w:p>
      <w:pPr>
        <w:snapToGrid w:val="0"/>
        <w:spacing w:line="400" w:lineRule="exact"/>
        <w:ind w:firstLine="462" w:firstLineChars="192"/>
        <w:contextualSpacing/>
        <w:rPr>
          <w:rFonts w:hint="eastAsia" w:ascii="宋体" w:hAnsi="宋体" w:cs="宋体"/>
          <w:b/>
          <w:sz w:val="24"/>
        </w:rPr>
      </w:pPr>
    </w:p>
    <w:p>
      <w:pPr>
        <w:snapToGrid w:val="0"/>
        <w:spacing w:line="400" w:lineRule="exact"/>
        <w:ind w:firstLine="462" w:firstLineChars="192"/>
        <w:contextualSpacing/>
        <w:rPr>
          <w:rFonts w:hint="eastAsia" w:ascii="宋体" w:hAnsi="宋体" w:cs="宋体"/>
          <w:b/>
          <w:sz w:val="24"/>
        </w:rPr>
      </w:pPr>
    </w:p>
    <w:p>
      <w:pPr>
        <w:snapToGrid w:val="0"/>
        <w:spacing w:line="400" w:lineRule="exact"/>
        <w:ind w:firstLine="462" w:firstLineChars="192"/>
        <w:contextualSpacing/>
        <w:rPr>
          <w:rFonts w:hint="eastAsia" w:ascii="宋体" w:hAnsi="宋体" w:cs="宋体"/>
          <w:b/>
          <w:sz w:val="24"/>
        </w:rPr>
      </w:pPr>
    </w:p>
    <w:p>
      <w:pPr>
        <w:snapToGrid w:val="0"/>
        <w:spacing w:line="400" w:lineRule="exact"/>
        <w:ind w:firstLine="462" w:firstLineChars="192"/>
        <w:contextualSpacing/>
        <w:rPr>
          <w:rFonts w:hint="eastAsia" w:ascii="宋体" w:hAnsi="宋体" w:cs="宋体"/>
          <w:b/>
          <w:sz w:val="24"/>
        </w:rPr>
      </w:pPr>
    </w:p>
    <w:p>
      <w:pPr>
        <w:snapToGrid w:val="0"/>
        <w:spacing w:line="400" w:lineRule="exact"/>
        <w:ind w:firstLine="481" w:firstLineChars="200"/>
        <w:contextualSpacing/>
        <w:rPr>
          <w:rFonts w:hint="eastAsia" w:ascii="宋体" w:hAnsi="宋体" w:cs="宋体"/>
          <w:b/>
          <w:sz w:val="24"/>
        </w:rPr>
      </w:pPr>
      <w:r>
        <w:rPr>
          <w:rFonts w:hint="eastAsia" w:ascii="宋体" w:hAnsi="宋体" w:cs="宋体"/>
          <w:b/>
          <w:sz w:val="24"/>
        </w:rPr>
        <w:t>提供投标代表本人身份证复印件</w:t>
      </w:r>
    </w:p>
    <w:p>
      <w:pPr>
        <w:snapToGrid w:val="0"/>
        <w:spacing w:line="360" w:lineRule="auto"/>
        <w:jc w:val="center"/>
        <w:outlineLvl w:val="4"/>
        <w:rPr>
          <w:b/>
          <w:bCs/>
          <w:sz w:val="24"/>
        </w:rPr>
      </w:pPr>
    </w:p>
    <w:p>
      <w:pPr>
        <w:pStyle w:val="9"/>
      </w:pPr>
    </w:p>
    <w:p>
      <w:pPr>
        <w:snapToGrid w:val="0"/>
        <w:spacing w:line="360" w:lineRule="auto"/>
        <w:jc w:val="center"/>
        <w:outlineLvl w:val="4"/>
        <w:rPr>
          <w:b/>
          <w:bCs/>
          <w:sz w:val="24"/>
        </w:rPr>
      </w:pPr>
    </w:p>
    <w:p>
      <w:pPr>
        <w:snapToGrid w:val="0"/>
        <w:spacing w:line="360" w:lineRule="auto"/>
        <w:jc w:val="center"/>
        <w:outlineLvl w:val="4"/>
        <w:rPr>
          <w:b/>
          <w:bCs/>
          <w:sz w:val="24"/>
        </w:rPr>
      </w:pPr>
    </w:p>
    <w:p>
      <w:pPr>
        <w:snapToGrid w:val="0"/>
        <w:spacing w:line="360" w:lineRule="auto"/>
        <w:jc w:val="center"/>
        <w:outlineLvl w:val="4"/>
        <w:rPr>
          <w:b/>
          <w:bCs/>
          <w:sz w:val="24"/>
        </w:rPr>
      </w:pPr>
    </w:p>
    <w:p>
      <w:pPr>
        <w:pStyle w:val="121"/>
        <w:spacing w:line="560" w:lineRule="exact"/>
        <w:rPr>
          <w:b/>
          <w:bCs/>
          <w:sz w:val="32"/>
          <w:szCs w:val="32"/>
        </w:rPr>
      </w:pPr>
      <w:r>
        <w:rPr>
          <w:b/>
          <w:bCs/>
          <w:sz w:val="32"/>
          <w:szCs w:val="32"/>
        </w:rPr>
        <w:t xml:space="preserve">附件4 </w:t>
      </w:r>
    </w:p>
    <w:p>
      <w:pPr>
        <w:spacing w:before="240" w:line="312" w:lineRule="auto"/>
        <w:jc w:val="center"/>
        <w:rPr>
          <w:b/>
          <w:bCs/>
          <w:sz w:val="32"/>
          <w:szCs w:val="32"/>
        </w:rPr>
      </w:pPr>
      <w:r>
        <w:rPr>
          <w:b/>
          <w:bCs/>
          <w:sz w:val="32"/>
          <w:szCs w:val="32"/>
        </w:rPr>
        <w:t>投标人信用承诺书</w:t>
      </w:r>
    </w:p>
    <w:p>
      <w:pPr>
        <w:spacing w:line="360" w:lineRule="auto"/>
        <w:ind w:firstLine="480" w:firstLineChars="200"/>
        <w:rPr>
          <w:kern w:val="0"/>
          <w:sz w:val="24"/>
          <w:lang w:val="zh-CN"/>
        </w:rPr>
      </w:pPr>
      <w:r>
        <w:rPr>
          <w:kern w:val="0"/>
          <w:sz w:val="24"/>
          <w:lang w:val="zh-CN"/>
        </w:rPr>
        <w:t>为营造公开、公平、公正的</w:t>
      </w:r>
      <w:r>
        <w:rPr>
          <w:rFonts w:hint="eastAsia"/>
          <w:kern w:val="0"/>
          <w:sz w:val="24"/>
          <w:lang w:val="zh-CN"/>
        </w:rPr>
        <w:t>招标</w:t>
      </w:r>
      <w:r>
        <w:rPr>
          <w:kern w:val="0"/>
          <w:sz w:val="24"/>
          <w:lang w:val="zh-CN"/>
        </w:rPr>
        <w:t>环境，树立诚信守法的投标人形象，本人代表本单位作出以下承诺：</w:t>
      </w:r>
    </w:p>
    <w:p>
      <w:pPr>
        <w:spacing w:line="360" w:lineRule="auto"/>
        <w:ind w:firstLine="480" w:firstLineChars="200"/>
        <w:rPr>
          <w:kern w:val="0"/>
          <w:sz w:val="24"/>
          <w:lang w:val="zh-CN"/>
        </w:rPr>
      </w:pPr>
      <w:r>
        <w:rPr>
          <w:kern w:val="0"/>
          <w:sz w:val="24"/>
          <w:lang w:val="zh-CN"/>
        </w:rPr>
        <w:t>一、本单位对所提交的单位基本信息、单位负责人、从业资质和资格、业绩、财务状况、信誉等所有资料，均合法、真实、准确、有效，无任何伪造、修改、虚假成分；</w:t>
      </w:r>
    </w:p>
    <w:p>
      <w:pPr>
        <w:spacing w:line="360" w:lineRule="auto"/>
        <w:ind w:firstLine="480" w:firstLineChars="200"/>
        <w:rPr>
          <w:kern w:val="0"/>
          <w:sz w:val="24"/>
          <w:lang w:val="zh-CN"/>
        </w:rPr>
      </w:pPr>
      <w:r>
        <w:rPr>
          <w:kern w:val="0"/>
          <w:sz w:val="24"/>
          <w:lang w:val="zh-CN"/>
        </w:rPr>
        <w:t>二、严格依照国家和省、市、县关于招标投标等方面的法律、法规、规章、规范性文件，参加本项目的招标投标活动；积极履行社会责任，促进廉政建设；</w:t>
      </w:r>
    </w:p>
    <w:p>
      <w:pPr>
        <w:spacing w:line="360" w:lineRule="auto"/>
        <w:ind w:firstLine="480" w:firstLineChars="200"/>
        <w:rPr>
          <w:kern w:val="0"/>
          <w:sz w:val="24"/>
          <w:lang w:val="zh-CN"/>
        </w:rPr>
      </w:pPr>
      <w:r>
        <w:rPr>
          <w:kern w:val="0"/>
          <w:sz w:val="24"/>
          <w:lang w:val="zh-CN"/>
        </w:rPr>
        <w:t>三、自我约束、自我管理，守合同、重信用，不参与围标串标、弄虚作假、骗取中标、干扰评标、违约毁约、恶意投诉等行为，主动维护招标人招标投标的良好秩序；</w:t>
      </w:r>
    </w:p>
    <w:p>
      <w:pPr>
        <w:spacing w:line="360" w:lineRule="auto"/>
        <w:ind w:firstLine="480" w:firstLineChars="200"/>
        <w:rPr>
          <w:kern w:val="0"/>
          <w:sz w:val="24"/>
          <w:lang w:val="zh-CN"/>
        </w:rPr>
      </w:pPr>
      <w:r>
        <w:rPr>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firstLineChars="200"/>
        <w:rPr>
          <w:kern w:val="0"/>
          <w:sz w:val="24"/>
          <w:lang w:val="zh-CN"/>
        </w:rPr>
      </w:pPr>
      <w:r>
        <w:rPr>
          <w:kern w:val="0"/>
          <w:sz w:val="24"/>
          <w:lang w:val="zh-CN"/>
        </w:rPr>
        <w:t>五、自觉接受</w:t>
      </w:r>
      <w:r>
        <w:rPr>
          <w:kern w:val="0"/>
          <w:sz w:val="24"/>
        </w:rPr>
        <w:t>相关</w:t>
      </w:r>
      <w:r>
        <w:rPr>
          <w:kern w:val="0"/>
          <w:sz w:val="24"/>
          <w:lang w:val="zh-CN"/>
        </w:rPr>
        <w:t>部门、行业组织、社会公众、新闻舆论等监督；</w:t>
      </w:r>
    </w:p>
    <w:p>
      <w:pPr>
        <w:spacing w:line="360" w:lineRule="auto"/>
        <w:ind w:firstLine="480" w:firstLineChars="200"/>
        <w:rPr>
          <w:kern w:val="0"/>
          <w:sz w:val="24"/>
          <w:lang w:val="zh-CN"/>
        </w:rPr>
      </w:pPr>
      <w:r>
        <w:rPr>
          <w:kern w:val="0"/>
          <w:sz w:val="24"/>
          <w:lang w:val="zh-CN"/>
        </w:rPr>
        <w:t>六、上述承诺已向本单位员工作了宣传教育；</w:t>
      </w:r>
    </w:p>
    <w:p>
      <w:pPr>
        <w:spacing w:line="360" w:lineRule="auto"/>
        <w:ind w:firstLine="481" w:firstLineChars="200"/>
        <w:rPr>
          <w:b/>
          <w:kern w:val="0"/>
          <w:sz w:val="24"/>
          <w:lang w:val="zh-CN"/>
        </w:rPr>
      </w:pPr>
      <w:r>
        <w:rPr>
          <w:b/>
          <w:kern w:val="0"/>
          <w:sz w:val="24"/>
          <w:lang w:val="zh-CN"/>
        </w:rPr>
        <w:t>如有违反上述承诺的不良行为，本单位同意将其予以上网公示。</w:t>
      </w:r>
    </w:p>
    <w:p>
      <w:pPr>
        <w:spacing w:line="360" w:lineRule="auto"/>
        <w:rPr>
          <w:kern w:val="0"/>
          <w:sz w:val="24"/>
          <w:lang w:val="zh-CN"/>
        </w:rPr>
      </w:pPr>
    </w:p>
    <w:p>
      <w:pPr>
        <w:spacing w:line="360" w:lineRule="auto"/>
        <w:ind w:firstLine="4560" w:firstLineChars="1900"/>
        <w:rPr>
          <w:kern w:val="0"/>
          <w:sz w:val="24"/>
          <w:lang w:val="zh-CN"/>
        </w:rPr>
      </w:pPr>
    </w:p>
    <w:p>
      <w:pPr>
        <w:spacing w:line="360" w:lineRule="auto"/>
        <w:jc w:val="center"/>
        <w:rPr>
          <w:kern w:val="0"/>
          <w:sz w:val="24"/>
          <w:lang w:val="zh-CN"/>
        </w:rPr>
      </w:pPr>
      <w:r>
        <w:rPr>
          <w:sz w:val="24"/>
        </w:rPr>
        <w:t xml:space="preserve">   投标人</w:t>
      </w:r>
      <w:r>
        <w:rPr>
          <w:bCs/>
          <w:sz w:val="24"/>
          <w:szCs w:val="21"/>
        </w:rPr>
        <w:t>（盖单位公章）</w:t>
      </w:r>
      <w:r>
        <w:rPr>
          <w:sz w:val="24"/>
        </w:rPr>
        <w:t>：</w:t>
      </w:r>
    </w:p>
    <w:p>
      <w:pPr>
        <w:spacing w:line="360" w:lineRule="auto"/>
        <w:jc w:val="center"/>
        <w:rPr>
          <w:sz w:val="24"/>
          <w:u w:val="single"/>
          <w:lang w:val="zh-CN"/>
        </w:rPr>
      </w:pPr>
      <w:r>
        <w:rPr>
          <w:kern w:val="0"/>
          <w:sz w:val="24"/>
        </w:rPr>
        <w:t xml:space="preserve">                      </w:t>
      </w:r>
      <w:r>
        <w:rPr>
          <w:kern w:val="0"/>
          <w:sz w:val="24"/>
          <w:lang w:val="zh-CN"/>
        </w:rPr>
        <w:t>法定代表人或</w:t>
      </w:r>
      <w:r>
        <w:rPr>
          <w:kern w:val="0"/>
          <w:sz w:val="24"/>
        </w:rPr>
        <w:t>其委托代理人</w:t>
      </w:r>
      <w:r>
        <w:rPr>
          <w:kern w:val="0"/>
          <w:sz w:val="24"/>
          <w:lang w:val="zh-CN"/>
        </w:rPr>
        <w:t>（签字或盖章）：</w:t>
      </w:r>
    </w:p>
    <w:p>
      <w:pPr>
        <w:spacing w:line="360" w:lineRule="auto"/>
        <w:ind w:firstLine="4320" w:firstLineChars="1800"/>
        <w:rPr>
          <w:kern w:val="0"/>
          <w:sz w:val="24"/>
          <w:lang w:val="zh-CN"/>
        </w:rPr>
      </w:pPr>
      <w:r>
        <w:rPr>
          <w:kern w:val="0"/>
          <w:sz w:val="24"/>
        </w:rPr>
        <w:t xml:space="preserve">     </w:t>
      </w:r>
      <w:r>
        <w:rPr>
          <w:kern w:val="0"/>
          <w:sz w:val="24"/>
          <w:lang w:val="zh-CN"/>
        </w:rPr>
        <w:t xml:space="preserve">  年  月   日</w:t>
      </w:r>
    </w:p>
    <w:p>
      <w:pPr>
        <w:adjustRightInd w:val="0"/>
        <w:snapToGrid w:val="0"/>
        <w:spacing w:line="240" w:lineRule="atLeast"/>
        <w:jc w:val="center"/>
        <w:rPr>
          <w:sz w:val="24"/>
        </w:rPr>
      </w:pPr>
    </w:p>
    <w:p>
      <w:pPr>
        <w:snapToGrid w:val="0"/>
        <w:spacing w:line="400" w:lineRule="exact"/>
        <w:ind w:firstLine="640" w:firstLineChars="200"/>
        <w:contextualSpacing/>
        <w:jc w:val="left"/>
        <w:rPr>
          <w:rFonts w:hint="eastAsia" w:ascii="宋体" w:hAnsi="宋体" w:cs="宋体"/>
          <w:kern w:val="0"/>
          <w:sz w:val="32"/>
          <w:szCs w:val="32"/>
        </w:rPr>
      </w:pPr>
    </w:p>
    <w:p>
      <w:pPr>
        <w:snapToGrid w:val="0"/>
        <w:spacing w:line="400" w:lineRule="exact"/>
        <w:ind w:firstLine="640" w:firstLineChars="200"/>
        <w:contextualSpacing/>
        <w:jc w:val="left"/>
        <w:rPr>
          <w:rFonts w:hint="eastAsia" w:ascii="宋体" w:hAnsi="宋体" w:cs="宋体"/>
          <w:kern w:val="0"/>
          <w:sz w:val="32"/>
          <w:szCs w:val="32"/>
        </w:rPr>
      </w:pPr>
    </w:p>
    <w:p>
      <w:pPr>
        <w:snapToGrid w:val="0"/>
        <w:spacing w:line="400" w:lineRule="exact"/>
        <w:ind w:firstLine="640" w:firstLineChars="200"/>
        <w:contextualSpacing/>
        <w:jc w:val="left"/>
        <w:rPr>
          <w:rFonts w:hint="eastAsia" w:ascii="宋体" w:hAnsi="宋体" w:cs="宋体"/>
          <w:kern w:val="0"/>
          <w:sz w:val="32"/>
          <w:szCs w:val="32"/>
        </w:rPr>
      </w:pPr>
    </w:p>
    <w:p>
      <w:pPr>
        <w:snapToGrid w:val="0"/>
        <w:spacing w:line="400" w:lineRule="exact"/>
        <w:ind w:firstLine="640" w:firstLineChars="200"/>
        <w:contextualSpacing/>
        <w:jc w:val="left"/>
        <w:rPr>
          <w:rFonts w:hint="eastAsia" w:ascii="宋体" w:hAnsi="宋体" w:cs="宋体"/>
          <w:kern w:val="0"/>
          <w:sz w:val="32"/>
          <w:szCs w:val="32"/>
        </w:rPr>
      </w:pPr>
    </w:p>
    <w:p>
      <w:pPr>
        <w:snapToGrid w:val="0"/>
        <w:spacing w:line="400" w:lineRule="exact"/>
        <w:contextualSpacing/>
        <w:jc w:val="left"/>
        <w:rPr>
          <w:rFonts w:hint="eastAsia" w:ascii="宋体" w:hAnsi="宋体" w:cs="宋体"/>
          <w:kern w:val="0"/>
          <w:sz w:val="32"/>
          <w:szCs w:val="32"/>
        </w:rPr>
      </w:pPr>
      <w:r>
        <w:rPr>
          <w:rFonts w:hint="eastAsia" w:ascii="宋体" w:hAnsi="宋体" w:cs="宋体"/>
          <w:kern w:val="0"/>
          <w:sz w:val="32"/>
          <w:szCs w:val="32"/>
        </w:rPr>
        <w:t>附件5</w:t>
      </w:r>
    </w:p>
    <w:p>
      <w:pPr>
        <w:tabs>
          <w:tab w:val="left" w:pos="1260"/>
        </w:tabs>
        <w:snapToGrid w:val="0"/>
        <w:spacing w:line="300" w:lineRule="auto"/>
        <w:contextualSpacing/>
        <w:jc w:val="center"/>
        <w:rPr>
          <w:rFonts w:hint="eastAsia" w:ascii="宋体" w:hAnsi="宋体" w:cs="宋体"/>
          <w:b/>
          <w:sz w:val="28"/>
          <w:szCs w:val="28"/>
        </w:rPr>
      </w:pPr>
      <w:r>
        <w:rPr>
          <w:rFonts w:hint="eastAsia" w:ascii="宋体" w:hAnsi="宋体" w:cs="宋体"/>
          <w:b/>
          <w:sz w:val="28"/>
          <w:szCs w:val="28"/>
        </w:rPr>
        <w:t>投标人情况一览表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1</w:t>
            </w:r>
          </w:p>
        </w:tc>
        <w:tc>
          <w:tcPr>
            <w:tcW w:w="8385" w:type="dxa"/>
            <w:gridSpan w:val="2"/>
            <w:vAlign w:val="center"/>
          </w:tcPr>
          <w:p>
            <w:pPr>
              <w:spacing w:line="500" w:lineRule="exact"/>
              <w:rPr>
                <w:rFonts w:hint="eastAsia" w:ascii="宋体" w:hAnsi="宋体" w:cs="宋体"/>
              </w:rPr>
            </w:pPr>
            <w:r>
              <w:rPr>
                <w:rFonts w:hint="eastAsia" w:ascii="宋体" w:hAnsi="宋体" w:cs="宋体"/>
              </w:rPr>
              <w:t>企业名称（加盖公章）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2</w:t>
            </w:r>
          </w:p>
        </w:tc>
        <w:tc>
          <w:tcPr>
            <w:tcW w:w="8385" w:type="dxa"/>
            <w:gridSpan w:val="2"/>
            <w:vAlign w:val="center"/>
          </w:tcPr>
          <w:p>
            <w:pPr>
              <w:spacing w:line="500" w:lineRule="exact"/>
              <w:rPr>
                <w:rFonts w:hint="eastAsia" w:ascii="宋体" w:hAnsi="宋体" w:cs="宋体"/>
              </w:rPr>
            </w:pPr>
            <w:r>
              <w:rPr>
                <w:rFonts w:hint="eastAsia" w:ascii="宋体" w:hAnsi="宋体" w:cs="宋体"/>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3</w:t>
            </w:r>
          </w:p>
        </w:tc>
        <w:tc>
          <w:tcPr>
            <w:tcW w:w="8385" w:type="dxa"/>
            <w:gridSpan w:val="2"/>
            <w:vAlign w:val="center"/>
          </w:tcPr>
          <w:p>
            <w:pPr>
              <w:spacing w:line="500" w:lineRule="exact"/>
              <w:rPr>
                <w:rFonts w:hint="eastAsia" w:ascii="宋体" w:hAnsi="宋体" w:cs="宋体"/>
              </w:rPr>
            </w:pPr>
            <w:r>
              <w:rPr>
                <w:rFonts w:hint="eastAsia" w:ascii="宋体" w:hAnsi="宋体" w:cs="宋体"/>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500" w:lineRule="exact"/>
              <w:jc w:val="center"/>
              <w:rPr>
                <w:rFonts w:hint="eastAsia" w:ascii="宋体" w:hAnsi="宋体" w:cs="宋体"/>
              </w:rPr>
            </w:pPr>
            <w:r>
              <w:rPr>
                <w:rFonts w:hint="eastAsia" w:ascii="宋体" w:hAnsi="宋体" w:cs="宋体"/>
              </w:rPr>
              <w:t>4</w:t>
            </w:r>
          </w:p>
        </w:tc>
        <w:tc>
          <w:tcPr>
            <w:tcW w:w="3600" w:type="dxa"/>
            <w:vAlign w:val="center"/>
          </w:tcPr>
          <w:p>
            <w:pPr>
              <w:spacing w:line="500" w:lineRule="exact"/>
              <w:rPr>
                <w:rFonts w:hint="eastAsia" w:ascii="宋体" w:hAnsi="宋体" w:cs="宋体"/>
              </w:rPr>
            </w:pPr>
            <w:r>
              <w:rPr>
                <w:rFonts w:hint="eastAsia" w:ascii="宋体" w:hAnsi="宋体" w:cs="宋体"/>
              </w:rPr>
              <w:t>电话</w:t>
            </w:r>
          </w:p>
        </w:tc>
        <w:tc>
          <w:tcPr>
            <w:tcW w:w="4785" w:type="dxa"/>
            <w:vAlign w:val="center"/>
          </w:tcPr>
          <w:p>
            <w:pPr>
              <w:spacing w:line="500" w:lineRule="exact"/>
              <w:rPr>
                <w:rFonts w:hint="eastAsia" w:ascii="宋体" w:hAnsi="宋体" w:cs="宋体"/>
              </w:rPr>
            </w:pPr>
            <w:r>
              <w:rPr>
                <w:rFonts w:hint="eastAsia" w:ascii="宋体" w:hAnsi="宋体" w:cs="宋体"/>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500" w:lineRule="exact"/>
              <w:jc w:val="center"/>
              <w:rPr>
                <w:rFonts w:hint="eastAsia" w:ascii="宋体" w:hAnsi="宋体" w:cs="宋体"/>
              </w:rPr>
            </w:pPr>
            <w:r>
              <w:rPr>
                <w:rFonts w:hint="eastAsia" w:ascii="宋体" w:hAnsi="宋体" w:cs="宋体"/>
              </w:rPr>
              <w:t>5</w:t>
            </w:r>
          </w:p>
        </w:tc>
        <w:tc>
          <w:tcPr>
            <w:tcW w:w="3600" w:type="dxa"/>
            <w:vAlign w:val="center"/>
          </w:tcPr>
          <w:p>
            <w:pPr>
              <w:spacing w:line="500" w:lineRule="exact"/>
              <w:rPr>
                <w:rFonts w:hint="eastAsia" w:ascii="宋体" w:hAnsi="宋体" w:cs="宋体"/>
              </w:rPr>
            </w:pPr>
            <w:r>
              <w:rPr>
                <w:rFonts w:hint="eastAsia" w:ascii="宋体" w:hAnsi="宋体" w:cs="宋体"/>
              </w:rPr>
              <w:t>传真</w:t>
            </w:r>
          </w:p>
        </w:tc>
        <w:tc>
          <w:tcPr>
            <w:tcW w:w="4785" w:type="dxa"/>
            <w:vAlign w:val="center"/>
          </w:tcPr>
          <w:p>
            <w:pPr>
              <w:spacing w:line="500" w:lineRule="exact"/>
              <w:rPr>
                <w:rFonts w:hint="eastAsia"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500" w:lineRule="exact"/>
              <w:jc w:val="center"/>
              <w:rPr>
                <w:rFonts w:hint="eastAsia" w:ascii="宋体" w:hAnsi="宋体" w:cs="宋体"/>
              </w:rPr>
            </w:pPr>
            <w:r>
              <w:rPr>
                <w:rFonts w:hint="eastAsia" w:ascii="宋体" w:hAnsi="宋体" w:cs="宋体"/>
              </w:rPr>
              <w:t>6</w:t>
            </w:r>
          </w:p>
        </w:tc>
        <w:tc>
          <w:tcPr>
            <w:tcW w:w="3600" w:type="dxa"/>
            <w:vAlign w:val="center"/>
          </w:tcPr>
          <w:p>
            <w:pPr>
              <w:spacing w:line="500" w:lineRule="exact"/>
              <w:rPr>
                <w:rFonts w:hint="eastAsia" w:ascii="宋体" w:hAnsi="宋体" w:cs="宋体"/>
              </w:rPr>
            </w:pPr>
            <w:r>
              <w:rPr>
                <w:rFonts w:hint="eastAsia" w:ascii="宋体" w:hAnsi="宋体" w:cs="宋体"/>
              </w:rPr>
              <w:t>注册地</w:t>
            </w:r>
          </w:p>
        </w:tc>
        <w:tc>
          <w:tcPr>
            <w:tcW w:w="4785" w:type="dxa"/>
            <w:vAlign w:val="center"/>
          </w:tcPr>
          <w:p>
            <w:pPr>
              <w:spacing w:line="500" w:lineRule="exact"/>
              <w:rPr>
                <w:rFonts w:hint="eastAsia" w:ascii="宋体" w:hAnsi="宋体" w:cs="宋体"/>
              </w:rPr>
            </w:pPr>
            <w:r>
              <w:rPr>
                <w:rFonts w:hint="eastAsia" w:ascii="宋体" w:hAnsi="宋体" w:cs="宋体"/>
              </w:rPr>
              <w:t>注册年份（请附营业执照复印件）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7</w:t>
            </w:r>
          </w:p>
        </w:tc>
        <w:tc>
          <w:tcPr>
            <w:tcW w:w="8385" w:type="dxa"/>
            <w:gridSpan w:val="2"/>
            <w:vAlign w:val="center"/>
          </w:tcPr>
          <w:p>
            <w:pPr>
              <w:spacing w:line="500" w:lineRule="exact"/>
              <w:rPr>
                <w:rFonts w:hint="eastAsia" w:ascii="宋体" w:hAnsi="宋体" w:cs="宋体"/>
              </w:rPr>
            </w:pPr>
            <w:r>
              <w:rPr>
                <w:rFonts w:hint="eastAsia" w:ascii="宋体" w:hAnsi="宋体" w:cs="宋体"/>
              </w:rPr>
              <w:t>公司资格声明                    （请附有关证书的复印件）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8</w:t>
            </w:r>
          </w:p>
        </w:tc>
        <w:tc>
          <w:tcPr>
            <w:tcW w:w="8385" w:type="dxa"/>
            <w:gridSpan w:val="2"/>
            <w:vAlign w:val="center"/>
          </w:tcPr>
          <w:p>
            <w:pPr>
              <w:spacing w:line="500" w:lineRule="exact"/>
              <w:rPr>
                <w:rFonts w:hint="eastAsia" w:ascii="宋体" w:hAnsi="宋体" w:cs="宋体"/>
              </w:rPr>
            </w:pPr>
            <w:r>
              <w:rPr>
                <w:rFonts w:hint="eastAsia" w:ascii="宋体" w:hAnsi="宋体" w:cs="宋体"/>
              </w:rPr>
              <w:t>公司</w:t>
            </w:r>
            <w:r>
              <w:rPr>
                <w:rFonts w:hint="eastAsia" w:ascii="宋体" w:hAnsi="宋体" w:cs="宋体"/>
                <w:u w:val="single"/>
              </w:rPr>
              <w:t>（是否通过，何种）</w:t>
            </w:r>
            <w:r>
              <w:rPr>
                <w:rFonts w:hint="eastAsia" w:ascii="宋体" w:hAnsi="宋体" w:cs="宋体"/>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9</w:t>
            </w:r>
          </w:p>
        </w:tc>
        <w:tc>
          <w:tcPr>
            <w:tcW w:w="8385" w:type="dxa"/>
            <w:gridSpan w:val="2"/>
            <w:vAlign w:val="center"/>
          </w:tcPr>
          <w:p>
            <w:pPr>
              <w:spacing w:line="500" w:lineRule="exact"/>
              <w:rPr>
                <w:rFonts w:hint="eastAsia" w:ascii="宋体" w:hAnsi="宋体" w:cs="宋体"/>
              </w:rPr>
            </w:pPr>
            <w:r>
              <w:rPr>
                <w:rFonts w:hint="eastAsia" w:ascii="宋体" w:hAnsi="宋体" w:cs="宋体"/>
              </w:rPr>
              <w:t>主营范围</w:t>
            </w:r>
          </w:p>
          <w:p>
            <w:pPr>
              <w:spacing w:line="500" w:lineRule="exact"/>
              <w:rPr>
                <w:rFonts w:hint="eastAsia" w:ascii="宋体" w:hAnsi="宋体" w:cs="宋体"/>
                <w:u w:val="single"/>
              </w:rPr>
            </w:pPr>
            <w:r>
              <w:rPr>
                <w:rFonts w:hint="eastAsia" w:ascii="宋体" w:hAnsi="宋体" w:cs="宋体"/>
              </w:rPr>
              <w:t>1.</w:t>
            </w:r>
            <w:r>
              <w:rPr>
                <w:rFonts w:hint="eastAsia" w:ascii="宋体" w:hAnsi="宋体" w:cs="宋体"/>
                <w:u w:val="single"/>
              </w:rPr>
              <w:t xml:space="preserve">                                </w:t>
            </w:r>
          </w:p>
          <w:p>
            <w:pPr>
              <w:spacing w:line="500" w:lineRule="exact"/>
              <w:rPr>
                <w:rFonts w:hint="eastAsia" w:ascii="宋体" w:hAnsi="宋体" w:cs="宋体"/>
              </w:rPr>
            </w:pPr>
            <w:r>
              <w:rPr>
                <w:rFonts w:hint="eastAsia" w:ascii="宋体" w:hAnsi="宋体" w:cs="宋体"/>
              </w:rPr>
              <w:t>2.</w:t>
            </w:r>
            <w:r>
              <w:rPr>
                <w:rFonts w:hint="eastAsia" w:ascii="宋体" w:hAnsi="宋体" w:cs="宋体"/>
                <w:u w:val="single"/>
              </w:rPr>
              <w:t xml:space="preserve">                                </w:t>
            </w:r>
          </w:p>
          <w:p>
            <w:pPr>
              <w:spacing w:line="500" w:lineRule="exact"/>
              <w:rPr>
                <w:rFonts w:hint="eastAsia" w:ascii="宋体" w:hAnsi="宋体" w:cs="宋体"/>
                <w:u w:val="single"/>
              </w:rPr>
            </w:pPr>
            <w:r>
              <w:rPr>
                <w:rFonts w:hint="eastAsia" w:ascii="宋体" w:hAnsi="宋体" w:cs="宋体"/>
              </w:rPr>
              <w:t>3.</w:t>
            </w:r>
            <w:r>
              <w:rPr>
                <w:rFonts w:hint="eastAsia" w:ascii="宋体" w:hAnsi="宋体" w:cs="宋体"/>
                <w:u w:val="single"/>
              </w:rPr>
              <w:t xml:space="preserve">                               </w:t>
            </w:r>
          </w:p>
          <w:p>
            <w:pPr>
              <w:spacing w:line="500" w:lineRule="exact"/>
              <w:rPr>
                <w:rFonts w:hint="eastAsia" w:ascii="宋体" w:hAnsi="宋体" w:cs="宋体"/>
                <w:u w:val="single"/>
              </w:rPr>
            </w:pPr>
            <w:r>
              <w:rPr>
                <w:rFonts w:hint="eastAsia" w:ascii="宋体" w:hAnsi="宋体" w:cs="宋体"/>
              </w:rPr>
              <w:t>4.</w:t>
            </w:r>
            <w:r>
              <w:rPr>
                <w:rFonts w:hint="eastAsia" w:ascii="宋体" w:hAnsi="宋体" w:cs="宋体"/>
                <w:u w:val="single"/>
              </w:rPr>
              <w:t xml:space="preserve">                              </w:t>
            </w:r>
          </w:p>
          <w:p>
            <w:pPr>
              <w:spacing w:line="500" w:lineRule="exact"/>
              <w:rPr>
                <w:rFonts w:hint="eastAsia" w:ascii="宋体" w:hAnsi="宋体" w:cs="宋体"/>
              </w:rPr>
            </w:pPr>
            <w:r>
              <w:rPr>
                <w:rFonts w:hint="eastAsia" w:ascii="宋体" w:hAnsi="宋体" w:cs="宋体"/>
              </w:rPr>
              <w:t>…</w:t>
            </w:r>
          </w:p>
          <w:p>
            <w:pPr>
              <w:spacing w:line="500" w:lineRule="exact"/>
              <w:rPr>
                <w:rFonts w:hint="eastAsia"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648" w:type="dxa"/>
            <w:vAlign w:val="center"/>
          </w:tcPr>
          <w:p>
            <w:pPr>
              <w:spacing w:line="500" w:lineRule="exact"/>
              <w:jc w:val="center"/>
              <w:rPr>
                <w:rFonts w:hint="eastAsia" w:ascii="宋体" w:hAnsi="宋体" w:cs="宋体"/>
              </w:rPr>
            </w:pPr>
            <w:r>
              <w:rPr>
                <w:rFonts w:hint="eastAsia" w:ascii="宋体" w:hAnsi="宋体" w:cs="宋体"/>
              </w:rPr>
              <w:t>10</w:t>
            </w:r>
          </w:p>
        </w:tc>
        <w:tc>
          <w:tcPr>
            <w:tcW w:w="8385" w:type="dxa"/>
            <w:gridSpan w:val="2"/>
            <w:vAlign w:val="center"/>
          </w:tcPr>
          <w:p>
            <w:pPr>
              <w:spacing w:line="500" w:lineRule="exact"/>
              <w:rPr>
                <w:rFonts w:hint="eastAsia" w:ascii="宋体" w:hAnsi="宋体" w:cs="宋体"/>
              </w:rPr>
            </w:pPr>
            <w:r>
              <w:rPr>
                <w:rFonts w:hint="eastAsia" w:ascii="宋体" w:hAnsi="宋体" w:cs="宋体"/>
              </w:rPr>
              <w:t>其他需要说明的情况</w:t>
            </w:r>
          </w:p>
        </w:tc>
      </w:tr>
    </w:tbl>
    <w:p>
      <w:pPr>
        <w:snapToGrid w:val="0"/>
        <w:spacing w:line="300" w:lineRule="auto"/>
        <w:contextualSpacing/>
        <w:rPr>
          <w:rFonts w:hint="eastAsia" w:ascii="宋体" w:hAnsi="宋体" w:cs="宋体"/>
          <w:sz w:val="28"/>
          <w:szCs w:val="28"/>
        </w:rPr>
      </w:pPr>
    </w:p>
    <w:p>
      <w:pPr>
        <w:snapToGrid w:val="0"/>
        <w:spacing w:line="400" w:lineRule="exact"/>
        <w:contextualSpacing/>
        <w:rPr>
          <w:rFonts w:hint="eastAsia" w:ascii="宋体" w:hAnsi="宋体" w:cs="宋体"/>
          <w:kern w:val="0"/>
          <w:sz w:val="32"/>
          <w:szCs w:val="32"/>
        </w:rPr>
        <w:sectPr>
          <w:pgSz w:w="11906" w:h="16838"/>
          <w:pgMar w:top="1440" w:right="1797" w:bottom="1440" w:left="1797" w:header="851" w:footer="992" w:gutter="0"/>
          <w:cols w:space="720" w:num="1"/>
          <w:docGrid w:type="lines" w:linePitch="312" w:charSpace="0"/>
        </w:sectPr>
      </w:pPr>
    </w:p>
    <w:p>
      <w:pPr>
        <w:snapToGrid w:val="0"/>
        <w:spacing w:line="400" w:lineRule="exact"/>
        <w:contextualSpacing/>
        <w:rPr>
          <w:rFonts w:hint="eastAsia" w:ascii="宋体" w:hAnsi="宋体" w:cs="宋体"/>
          <w:kern w:val="0"/>
          <w:sz w:val="32"/>
          <w:szCs w:val="32"/>
        </w:rPr>
      </w:pPr>
      <w:r>
        <w:rPr>
          <w:rFonts w:hint="eastAsia" w:ascii="宋体" w:hAnsi="宋体" w:cs="宋体"/>
          <w:kern w:val="0"/>
          <w:sz w:val="32"/>
          <w:szCs w:val="32"/>
        </w:rPr>
        <w:t>附件6</w:t>
      </w:r>
    </w:p>
    <w:p>
      <w:pPr>
        <w:snapToGrid w:val="0"/>
        <w:spacing w:line="300" w:lineRule="auto"/>
        <w:contextualSpacing/>
        <w:jc w:val="center"/>
        <w:rPr>
          <w:rFonts w:hint="eastAsia" w:ascii="宋体" w:hAnsi="宋体" w:cs="宋体"/>
          <w:b/>
          <w:sz w:val="28"/>
          <w:szCs w:val="28"/>
        </w:rPr>
      </w:pPr>
      <w:r>
        <w:rPr>
          <w:rFonts w:hint="eastAsia" w:ascii="宋体" w:hAnsi="宋体" w:cs="宋体"/>
          <w:b/>
          <w:sz w:val="28"/>
          <w:szCs w:val="28"/>
        </w:rPr>
        <w:t>商务部分正负偏离表</w:t>
      </w:r>
    </w:p>
    <w:p>
      <w:pPr>
        <w:spacing w:line="500" w:lineRule="exact"/>
        <w:ind w:firstLine="480" w:firstLineChars="200"/>
        <w:jc w:val="center"/>
        <w:rPr>
          <w:rFonts w:hint="eastAsia" w:ascii="宋体" w:hAnsi="宋体" w:cs="宋体"/>
          <w:sz w:val="24"/>
        </w:rPr>
      </w:pPr>
      <w:r>
        <w:rPr>
          <w:rFonts w:hint="eastAsia" w:ascii="宋体" w:hAnsi="宋体" w:cs="宋体"/>
          <w:sz w:val="24"/>
        </w:rPr>
        <w:t>（由投标人据实填写，表格不够自行添加）</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9"/>
        <w:gridCol w:w="1868"/>
        <w:gridCol w:w="2410"/>
        <w:gridCol w:w="13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cs="宋体"/>
                <w:sz w:val="24"/>
              </w:rPr>
            </w:pPr>
          </w:p>
          <w:p>
            <w:pPr>
              <w:spacing w:line="340" w:lineRule="exact"/>
              <w:jc w:val="center"/>
              <w:rPr>
                <w:rFonts w:hint="eastAsia" w:ascii="宋体" w:hAnsi="宋体" w:cs="宋体"/>
                <w:sz w:val="24"/>
              </w:rPr>
            </w:pPr>
            <w:r>
              <w:rPr>
                <w:rFonts w:hint="eastAsia" w:ascii="宋体" w:hAnsi="宋体" w:cs="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bl>
    <w:p>
      <w:pPr>
        <w:pBdr>
          <w:top w:val="none" w:color="000000" w:sz="0" w:space="0"/>
          <w:left w:val="none" w:color="000000" w:sz="0" w:space="0"/>
          <w:bottom w:val="none" w:color="000000" w:sz="0" w:space="0"/>
          <w:right w:val="none" w:color="000000" w:sz="0" w:space="0"/>
        </w:pBdr>
        <w:spacing w:line="499" w:lineRule="atLeast"/>
        <w:ind w:right="1560" w:firstLine="480"/>
      </w:pPr>
      <w:r>
        <w:rPr>
          <w:rFonts w:hint="eastAsia" w:ascii="宋体" w:hAnsi="宋体" w:cs="宋体"/>
          <w:color w:val="000000"/>
          <w:sz w:val="24"/>
        </w:rPr>
        <w:t>投标人</w:t>
      </w:r>
      <w:r>
        <w:rPr>
          <w:rFonts w:ascii="宋体" w:hAnsi="宋体" w:cs="宋体"/>
          <w:color w:val="000000"/>
          <w:sz w:val="24"/>
        </w:rPr>
        <w:t>全称（盖章）：</w:t>
      </w:r>
    </w:p>
    <w:p>
      <w:pPr>
        <w:pBdr>
          <w:top w:val="none" w:color="000000" w:sz="0" w:space="0"/>
          <w:left w:val="none" w:color="000000" w:sz="0" w:space="0"/>
          <w:bottom w:val="none" w:color="000000" w:sz="0" w:space="0"/>
          <w:right w:val="none" w:color="000000" w:sz="0" w:space="0"/>
        </w:pBdr>
        <w:spacing w:line="499" w:lineRule="atLeast"/>
        <w:rPr>
          <w:rFonts w:ascii="宋体" w:hAnsi="宋体" w:cs="宋体"/>
          <w:b/>
          <w:color w:val="000000"/>
          <w:sz w:val="24"/>
        </w:rPr>
      </w:pPr>
      <w:r>
        <w:rPr>
          <w:rFonts w:ascii="宋体" w:hAnsi="宋体" w:cs="宋体"/>
          <w:color w:val="000000"/>
          <w:sz w:val="24"/>
        </w:rPr>
        <w:t>  </w:t>
      </w:r>
      <w:r>
        <w:rPr>
          <w:rFonts w:hint="eastAsia" w:ascii="宋体" w:hAnsi="宋体" w:cs="宋体"/>
          <w:color w:val="000000"/>
          <w:sz w:val="24"/>
        </w:rPr>
        <w:t>日</w:t>
      </w:r>
      <w:r>
        <w:rPr>
          <w:rFonts w:ascii="宋体" w:hAnsi="宋体" w:cs="宋体"/>
          <w:color w:val="000000"/>
          <w:sz w:val="24"/>
        </w:rPr>
        <w:t>期：</w:t>
      </w:r>
    </w:p>
    <w:p>
      <w:pPr>
        <w:snapToGrid w:val="0"/>
        <w:spacing w:line="500" w:lineRule="atLeast"/>
        <w:contextualSpacing/>
        <w:rPr>
          <w:rFonts w:hint="eastAsia" w:ascii="宋体" w:hAnsi="宋体" w:cs="宋体"/>
          <w:b/>
          <w:sz w:val="24"/>
        </w:rPr>
      </w:pPr>
    </w:p>
    <w:p>
      <w:pPr>
        <w:snapToGrid w:val="0"/>
        <w:spacing w:line="500" w:lineRule="atLeast"/>
        <w:contextualSpacing/>
        <w:rPr>
          <w:rFonts w:hint="eastAsia" w:ascii="宋体" w:hAnsi="宋体" w:cs="宋体"/>
          <w:b/>
          <w:sz w:val="24"/>
        </w:rPr>
      </w:pPr>
      <w:r>
        <w:rPr>
          <w:rFonts w:hint="eastAsia" w:ascii="宋体" w:hAnsi="宋体" w:cs="宋体"/>
          <w:b/>
          <w:sz w:val="24"/>
        </w:rPr>
        <w:t>注：</w:t>
      </w:r>
    </w:p>
    <w:p>
      <w:pPr>
        <w:snapToGrid w:val="0"/>
        <w:spacing w:line="500" w:lineRule="atLeast"/>
        <w:ind w:firstLine="480" w:firstLineChars="200"/>
        <w:contextualSpacing/>
        <w:rPr>
          <w:rFonts w:hint="eastAsia" w:ascii="宋体" w:hAnsi="宋体" w:cs="宋体"/>
          <w:sz w:val="24"/>
        </w:rPr>
      </w:pPr>
      <w:r>
        <w:rPr>
          <w:rFonts w:hint="eastAsia" w:ascii="宋体" w:hAnsi="宋体" w:cs="宋体"/>
          <w:sz w:val="24"/>
        </w:rPr>
        <w:t>1.投标人提交的投标文件中与招标文件第三部分“项目需求说明”中的商务部分的要求，应逐条填列在偏离表中。</w:t>
      </w:r>
    </w:p>
    <w:p>
      <w:pPr>
        <w:snapToGrid w:val="0"/>
        <w:spacing w:line="500" w:lineRule="atLeast"/>
        <w:ind w:firstLine="480" w:firstLineChars="200"/>
        <w:contextualSpacing/>
        <w:rPr>
          <w:rFonts w:hint="eastAsia" w:ascii="宋体" w:hAnsi="宋体" w:cs="宋体"/>
          <w:sz w:val="24"/>
        </w:rPr>
      </w:pPr>
      <w:r>
        <w:rPr>
          <w:rFonts w:hint="eastAsia" w:ascii="宋体" w:hAnsi="宋体" w:cs="宋体"/>
          <w:sz w:val="24"/>
        </w:rPr>
        <w:t>2.“偏离说明”一栏选择“正偏离”、“无偏离”、“负偏离”进行填写。正偏离、无偏离的确认和负偏离的是否响应招标文件，由评委认定。</w:t>
      </w:r>
    </w:p>
    <w:p>
      <w:pPr>
        <w:snapToGrid w:val="0"/>
        <w:spacing w:line="500" w:lineRule="atLeast"/>
        <w:ind w:left="479" w:leftChars="228"/>
        <w:contextualSpacing/>
        <w:rPr>
          <w:rFonts w:hint="eastAsia" w:ascii="宋体" w:hAnsi="宋体" w:cs="宋体"/>
          <w:bCs/>
          <w:sz w:val="24"/>
        </w:rPr>
      </w:pPr>
      <w:r>
        <w:rPr>
          <w:rFonts w:hint="eastAsia" w:ascii="宋体" w:hAnsi="宋体" w:cs="宋体"/>
          <w:sz w:val="24"/>
        </w:rPr>
        <w:t>3.投标人如果虚假响应，将取消其投标或中标资格，并按有关规定进行处罚。</w:t>
      </w:r>
      <w:r>
        <w:rPr>
          <w:rFonts w:hint="eastAsia" w:ascii="宋体" w:hAnsi="宋体" w:cs="宋体"/>
          <w:bCs/>
          <w:sz w:val="24"/>
        </w:rPr>
        <w:t>4.供应商若提供其他增值服务，可以在表中自行据实填写。</w:t>
      </w: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pPr>
    </w:p>
    <w:p>
      <w:pPr>
        <w:snapToGrid w:val="0"/>
        <w:spacing w:line="400" w:lineRule="exact"/>
        <w:ind w:firstLine="539" w:firstLineChars="192"/>
        <w:contextualSpacing/>
        <w:rPr>
          <w:rFonts w:hint="eastAsia" w:ascii="宋体" w:hAnsi="宋体" w:cs="宋体"/>
          <w:b/>
          <w:kern w:val="0"/>
          <w:sz w:val="28"/>
          <w:szCs w:val="28"/>
        </w:rPr>
        <w:sectPr>
          <w:pgSz w:w="11906" w:h="16838"/>
          <w:pgMar w:top="1440" w:right="1797" w:bottom="1440" w:left="1797" w:header="851" w:footer="992" w:gutter="0"/>
          <w:cols w:space="720" w:num="1"/>
          <w:docGrid w:type="lines" w:linePitch="312" w:charSpace="0"/>
        </w:sectPr>
      </w:pPr>
    </w:p>
    <w:p>
      <w:pPr>
        <w:snapToGrid w:val="0"/>
        <w:spacing w:line="400" w:lineRule="exact"/>
        <w:contextualSpacing/>
        <w:rPr>
          <w:rFonts w:ascii="宋体" w:hAnsi="宋体" w:cs="宋体"/>
          <w:kern w:val="0"/>
          <w:sz w:val="32"/>
          <w:szCs w:val="32"/>
        </w:rPr>
      </w:pPr>
      <w:r>
        <w:rPr>
          <w:rFonts w:hint="eastAsia" w:ascii="宋体" w:hAnsi="宋体" w:cs="宋体"/>
          <w:kern w:val="0"/>
          <w:sz w:val="32"/>
          <w:szCs w:val="32"/>
        </w:rPr>
        <w:t>附件7</w:t>
      </w:r>
    </w:p>
    <w:p>
      <w:pPr>
        <w:snapToGrid w:val="0"/>
        <w:spacing w:line="300" w:lineRule="auto"/>
        <w:contextualSpacing/>
        <w:jc w:val="center"/>
        <w:rPr>
          <w:rFonts w:hint="eastAsia" w:ascii="宋体" w:hAnsi="宋体" w:cs="宋体"/>
          <w:b/>
          <w:sz w:val="28"/>
          <w:szCs w:val="28"/>
        </w:rPr>
      </w:pPr>
      <w:r>
        <w:rPr>
          <w:rFonts w:hint="eastAsia" w:ascii="宋体" w:hAnsi="宋体" w:cs="宋体"/>
          <w:b/>
          <w:sz w:val="28"/>
          <w:szCs w:val="28"/>
        </w:rPr>
        <w:t>技术部分正负偏离表</w:t>
      </w:r>
    </w:p>
    <w:p>
      <w:pPr>
        <w:spacing w:line="500" w:lineRule="atLeast"/>
        <w:ind w:firstLine="480" w:firstLineChars="200"/>
        <w:jc w:val="center"/>
        <w:rPr>
          <w:rFonts w:hint="eastAsia" w:ascii="宋体" w:hAnsi="宋体" w:cs="宋体"/>
          <w:sz w:val="24"/>
        </w:rPr>
      </w:pPr>
      <w:r>
        <w:rPr>
          <w:rFonts w:hint="eastAsia" w:ascii="宋体" w:hAnsi="宋体" w:cs="宋体"/>
          <w:sz w:val="24"/>
        </w:rPr>
        <w:t>（由投标人据实填写，表格不够自行添加）</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sz w:val="24"/>
              </w:rPr>
            </w:pPr>
            <w:r>
              <w:rPr>
                <w:rFonts w:hint="eastAsia" w:ascii="宋体" w:hAnsi="宋体" w:cs="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cs="宋体"/>
                <w:sz w:val="24"/>
              </w:rPr>
            </w:pPr>
          </w:p>
          <w:p>
            <w:pPr>
              <w:spacing w:line="340" w:lineRule="exact"/>
              <w:jc w:val="center"/>
              <w:rPr>
                <w:rFonts w:hint="eastAsia" w:ascii="宋体" w:hAnsi="宋体" w:cs="宋体"/>
                <w:sz w:val="24"/>
              </w:rPr>
            </w:pPr>
            <w:r>
              <w:rPr>
                <w:rFonts w:hint="eastAsia" w:ascii="宋体" w:hAnsi="宋体" w:cs="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cs="宋体"/>
                <w:sz w:val="24"/>
              </w:rPr>
            </w:pPr>
          </w:p>
        </w:tc>
      </w:tr>
    </w:tbl>
    <w:p>
      <w:pPr>
        <w:pBdr>
          <w:top w:val="none" w:color="000000" w:sz="0" w:space="0"/>
          <w:left w:val="none" w:color="000000" w:sz="0" w:space="0"/>
          <w:bottom w:val="none" w:color="000000" w:sz="0" w:space="0"/>
          <w:right w:val="none" w:color="000000" w:sz="0" w:space="0"/>
        </w:pBdr>
        <w:spacing w:line="499" w:lineRule="atLeast"/>
        <w:ind w:right="1560" w:firstLine="480"/>
      </w:pPr>
      <w:r>
        <w:rPr>
          <w:rFonts w:hint="eastAsia" w:ascii="宋体" w:hAnsi="宋体" w:cs="宋体"/>
          <w:color w:val="000000"/>
          <w:sz w:val="24"/>
        </w:rPr>
        <w:t>投标人</w:t>
      </w:r>
      <w:r>
        <w:rPr>
          <w:rFonts w:ascii="宋体" w:hAnsi="宋体" w:cs="宋体"/>
          <w:color w:val="000000"/>
          <w:sz w:val="24"/>
        </w:rPr>
        <w:t>全称（盖章）：</w:t>
      </w:r>
    </w:p>
    <w:p>
      <w:pPr>
        <w:pBdr>
          <w:top w:val="none" w:color="000000" w:sz="0" w:space="0"/>
          <w:left w:val="none" w:color="000000" w:sz="0" w:space="0"/>
          <w:bottom w:val="none" w:color="000000" w:sz="0" w:space="0"/>
          <w:right w:val="none" w:color="000000" w:sz="0" w:space="0"/>
        </w:pBdr>
        <w:spacing w:line="499" w:lineRule="atLeast"/>
        <w:rPr>
          <w:rFonts w:ascii="宋体" w:hAnsi="宋体" w:cs="宋体"/>
          <w:b/>
          <w:color w:val="000000"/>
          <w:sz w:val="24"/>
        </w:rPr>
      </w:pPr>
      <w:r>
        <w:rPr>
          <w:rFonts w:ascii="宋体" w:hAnsi="宋体" w:cs="宋体"/>
          <w:color w:val="000000"/>
          <w:sz w:val="24"/>
        </w:rPr>
        <w:t>  </w:t>
      </w:r>
      <w:r>
        <w:rPr>
          <w:rFonts w:hint="eastAsia" w:ascii="宋体" w:hAnsi="宋体" w:cs="宋体"/>
          <w:color w:val="000000"/>
          <w:sz w:val="24"/>
        </w:rPr>
        <w:t>日</w:t>
      </w:r>
      <w:r>
        <w:rPr>
          <w:rFonts w:ascii="宋体" w:hAnsi="宋体" w:cs="宋体"/>
          <w:color w:val="000000"/>
          <w:sz w:val="24"/>
        </w:rPr>
        <w:t>期：</w:t>
      </w:r>
    </w:p>
    <w:p>
      <w:pPr>
        <w:snapToGrid w:val="0"/>
        <w:spacing w:line="500" w:lineRule="exact"/>
        <w:contextualSpacing/>
        <w:rPr>
          <w:rFonts w:hint="eastAsia" w:ascii="宋体" w:hAnsi="宋体" w:cs="宋体"/>
          <w:b/>
          <w:sz w:val="24"/>
        </w:rPr>
      </w:pPr>
    </w:p>
    <w:p>
      <w:pPr>
        <w:snapToGrid w:val="0"/>
        <w:spacing w:line="500" w:lineRule="exact"/>
        <w:contextualSpacing/>
        <w:rPr>
          <w:rFonts w:hint="eastAsia" w:ascii="宋体" w:hAnsi="宋体" w:cs="宋体"/>
          <w:b/>
          <w:sz w:val="24"/>
        </w:rPr>
      </w:pPr>
      <w:r>
        <w:rPr>
          <w:rFonts w:hint="eastAsia" w:ascii="宋体" w:hAnsi="宋体" w:cs="宋体"/>
          <w:b/>
          <w:sz w:val="24"/>
        </w:rPr>
        <w:t>注：</w:t>
      </w:r>
    </w:p>
    <w:p>
      <w:pPr>
        <w:snapToGrid w:val="0"/>
        <w:spacing w:line="500" w:lineRule="exact"/>
        <w:ind w:firstLine="480" w:firstLineChars="200"/>
        <w:contextualSpacing/>
        <w:rPr>
          <w:rFonts w:hint="eastAsia" w:ascii="宋体" w:hAnsi="宋体" w:cs="宋体"/>
          <w:sz w:val="24"/>
        </w:rPr>
      </w:pPr>
      <w:r>
        <w:rPr>
          <w:rFonts w:hint="eastAsia" w:ascii="宋体" w:hAnsi="宋体" w:cs="宋体"/>
          <w:sz w:val="24"/>
        </w:rPr>
        <w:t>1.投标人提交的投标文件中与招标文件第三部分“项目需求说明”中的技术部分的要求，应逐条填列在偏离表中。</w:t>
      </w:r>
    </w:p>
    <w:p>
      <w:pPr>
        <w:snapToGrid w:val="0"/>
        <w:spacing w:line="500" w:lineRule="exact"/>
        <w:ind w:firstLine="480" w:firstLineChars="200"/>
        <w:contextualSpacing/>
        <w:rPr>
          <w:rFonts w:hint="eastAsia" w:ascii="宋体" w:hAnsi="宋体" w:cs="宋体"/>
          <w:sz w:val="24"/>
        </w:rPr>
      </w:pPr>
      <w:r>
        <w:rPr>
          <w:rFonts w:hint="eastAsia" w:ascii="宋体" w:hAnsi="宋体" w:cs="宋体"/>
          <w:sz w:val="24"/>
        </w:rPr>
        <w:t>2. “偏离说明”一栏选择“正偏离”、“无偏离”、“负偏离”进行填写。正偏离、无偏离的确认和负偏离的是否响应招标文件，由评委认定。</w:t>
      </w:r>
    </w:p>
    <w:p>
      <w:pPr>
        <w:snapToGrid w:val="0"/>
        <w:spacing w:line="500" w:lineRule="exact"/>
        <w:ind w:left="479" w:leftChars="228"/>
        <w:contextualSpacing/>
        <w:rPr>
          <w:rFonts w:hint="eastAsia" w:ascii="宋体" w:hAnsi="宋体" w:cs="宋体"/>
          <w:bCs/>
          <w:sz w:val="24"/>
        </w:rPr>
      </w:pPr>
      <w:r>
        <w:rPr>
          <w:rFonts w:hint="eastAsia" w:ascii="宋体" w:hAnsi="宋体" w:cs="宋体"/>
          <w:sz w:val="24"/>
        </w:rPr>
        <w:t>3.投标人如果虚假响应，将取消其投标或中标资格，并按有关规定进行处罚。4.供应商若提供其他增值服务，可以在表中自行据实填写。</w:t>
      </w:r>
    </w:p>
    <w:p>
      <w:pPr>
        <w:snapToGrid w:val="0"/>
        <w:spacing w:line="400" w:lineRule="exact"/>
        <w:ind w:firstLine="539" w:firstLineChars="192"/>
        <w:contextualSpacing/>
        <w:rPr>
          <w:rFonts w:hint="eastAsia" w:ascii="宋体" w:hAnsi="宋体" w:cs="宋体"/>
          <w:b/>
          <w:kern w:val="0"/>
          <w:sz w:val="28"/>
          <w:szCs w:val="28"/>
        </w:rPr>
      </w:pPr>
    </w:p>
    <w:p>
      <w:pPr>
        <w:pStyle w:val="32"/>
        <w:ind w:left="0" w:leftChars="0" w:firstLine="0" w:firstLineChars="0"/>
        <w:rPr>
          <w:rFonts w:hint="eastAsia" w:eastAsia="方正黑体_GBK"/>
          <w:kern w:val="0"/>
          <w:sz w:val="32"/>
          <w:szCs w:val="32"/>
        </w:rPr>
      </w:pPr>
    </w:p>
    <w:p/>
    <w:sectPr>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left" w:pos="432"/>
      </w:tabs>
      <w:jc w:val="left"/>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F1335"/>
    <w:multiLevelType w:val="singleLevel"/>
    <w:tmpl w:val="830F1335"/>
    <w:lvl w:ilvl="0" w:tentative="0">
      <w:start w:val="1"/>
      <w:numFmt w:val="chineseCounting"/>
      <w:suff w:val="nothing"/>
      <w:lvlText w:val="%1、"/>
      <w:lvlJc w:val="left"/>
      <w:pPr>
        <w:ind w:left="660" w:firstLine="0"/>
      </w:pPr>
      <w:rPr>
        <w:rFonts w:hint="eastAsia"/>
      </w:rPr>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015F181A"/>
    <w:multiLevelType w:val="singleLevel"/>
    <w:tmpl w:val="015F181A"/>
    <w:lvl w:ilvl="0" w:tentative="0">
      <w:start w:val="1"/>
      <w:numFmt w:val="decimal"/>
      <w:pStyle w:val="18"/>
      <w:lvlText w:val="%1."/>
      <w:lvlJc w:val="left"/>
      <w:pPr>
        <w:tabs>
          <w:tab w:val="left" w:pos="2040"/>
        </w:tabs>
        <w:ind w:left="2040" w:hanging="360"/>
      </w:pPr>
    </w:lvl>
  </w:abstractNum>
  <w:abstractNum w:abstractNumId="4">
    <w:nsid w:val="064B394D"/>
    <w:multiLevelType w:val="singleLevel"/>
    <w:tmpl w:val="064B394D"/>
    <w:lvl w:ilvl="0" w:tentative="0">
      <w:start w:val="1"/>
      <w:numFmt w:val="decimal"/>
      <w:lvlText w:val="%1."/>
      <w:lvlJc w:val="left"/>
      <w:pPr>
        <w:tabs>
          <w:tab w:val="left" w:pos="312"/>
        </w:tabs>
      </w:pPr>
    </w:lvl>
  </w:abstractNum>
  <w:abstractNum w:abstractNumId="5">
    <w:nsid w:val="38DA3F37"/>
    <w:multiLevelType w:val="multilevel"/>
    <w:tmpl w:val="38DA3F37"/>
    <w:lvl w:ilvl="0" w:tentative="0">
      <w:start w:val="1"/>
      <w:numFmt w:val="bullet"/>
      <w:pStyle w:val="114"/>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6">
    <w:nsid w:val="4405C25D"/>
    <w:multiLevelType w:val="singleLevel"/>
    <w:tmpl w:val="4405C25D"/>
    <w:lvl w:ilvl="0" w:tentative="0">
      <w:start w:val="1"/>
      <w:numFmt w:val="chineseCounting"/>
      <w:suff w:val="nothing"/>
      <w:lvlText w:val="%1、"/>
      <w:lvlJc w:val="left"/>
      <w:rPr>
        <w:rFonts w:hint="eastAsia"/>
      </w:rPr>
    </w:lvl>
  </w:abstractNum>
  <w:abstractNum w:abstractNumId="7">
    <w:nsid w:val="4C2E8DB6"/>
    <w:multiLevelType w:val="singleLevel"/>
    <w:tmpl w:val="4C2E8DB6"/>
    <w:lvl w:ilvl="0" w:tentative="0">
      <w:start w:val="1"/>
      <w:numFmt w:val="decimal"/>
      <w:suff w:val="nothing"/>
      <w:lvlText w:val="%1、"/>
      <w:lvlJc w:val="left"/>
    </w:lvl>
  </w:abstractNum>
  <w:abstractNum w:abstractNumId="8">
    <w:nsid w:val="4E31E413"/>
    <w:multiLevelType w:val="singleLevel"/>
    <w:tmpl w:val="4E31E413"/>
    <w:lvl w:ilvl="0" w:tentative="0">
      <w:start w:val="3"/>
      <w:numFmt w:val="decimal"/>
      <w:suff w:val="space"/>
      <w:lvlText w:val="%1."/>
      <w:lvlJc w:val="left"/>
    </w:lvl>
  </w:abstractNum>
  <w:abstractNum w:abstractNumId="9">
    <w:nsid w:val="53C2DCFD"/>
    <w:multiLevelType w:val="singleLevel"/>
    <w:tmpl w:val="53C2DCFD"/>
    <w:lvl w:ilvl="0" w:tentative="0">
      <w:start w:val="1"/>
      <w:numFmt w:val="decimal"/>
      <w:suff w:val="nothing"/>
      <w:lvlText w:val="%1、"/>
      <w:lvlJc w:val="left"/>
      <w:rPr>
        <w:rFonts w:hint="default"/>
        <w:color w:val="auto"/>
      </w:rPr>
    </w:lvl>
  </w:abstractNum>
  <w:num w:numId="1">
    <w:abstractNumId w:val="3"/>
  </w:num>
  <w:num w:numId="2">
    <w:abstractNumId w:val="5"/>
  </w:num>
  <w:num w:numId="3">
    <w:abstractNumId w:val="0"/>
  </w:num>
  <w:num w:numId="4">
    <w:abstractNumId w:val="8"/>
  </w:num>
  <w:num w:numId="5">
    <w:abstractNumId w:val="2"/>
  </w:num>
  <w:num w:numId="6">
    <w:abstractNumId w:val="9"/>
  </w:num>
  <w:num w:numId="7">
    <w:abstractNumId w:val="4"/>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99"/>
    <w:rsid w:val="00000970"/>
    <w:rsid w:val="0001655E"/>
    <w:rsid w:val="00030DFC"/>
    <w:rsid w:val="00044781"/>
    <w:rsid w:val="00046BBE"/>
    <w:rsid w:val="000504E5"/>
    <w:rsid w:val="00052A01"/>
    <w:rsid w:val="000567B9"/>
    <w:rsid w:val="000714FD"/>
    <w:rsid w:val="00072ED1"/>
    <w:rsid w:val="00074F2F"/>
    <w:rsid w:val="00091E8F"/>
    <w:rsid w:val="000A1992"/>
    <w:rsid w:val="000A2E2D"/>
    <w:rsid w:val="000B3F4A"/>
    <w:rsid w:val="000B54A2"/>
    <w:rsid w:val="000D4147"/>
    <w:rsid w:val="000D44F0"/>
    <w:rsid w:val="000D7304"/>
    <w:rsid w:val="000D7565"/>
    <w:rsid w:val="000E1665"/>
    <w:rsid w:val="000E18E5"/>
    <w:rsid w:val="000E27F7"/>
    <w:rsid w:val="000E2CAC"/>
    <w:rsid w:val="000E7E48"/>
    <w:rsid w:val="000F0B99"/>
    <w:rsid w:val="000F7838"/>
    <w:rsid w:val="0010069A"/>
    <w:rsid w:val="00102053"/>
    <w:rsid w:val="001042BB"/>
    <w:rsid w:val="00115410"/>
    <w:rsid w:val="00117333"/>
    <w:rsid w:val="0013492D"/>
    <w:rsid w:val="0014408E"/>
    <w:rsid w:val="001546DF"/>
    <w:rsid w:val="00154869"/>
    <w:rsid w:val="001706AE"/>
    <w:rsid w:val="001952AB"/>
    <w:rsid w:val="001A0475"/>
    <w:rsid w:val="001A19C9"/>
    <w:rsid w:val="001A4725"/>
    <w:rsid w:val="001A566E"/>
    <w:rsid w:val="001A7469"/>
    <w:rsid w:val="001A7E55"/>
    <w:rsid w:val="001B3B84"/>
    <w:rsid w:val="001C793E"/>
    <w:rsid w:val="001D0B19"/>
    <w:rsid w:val="001E01AE"/>
    <w:rsid w:val="00202B7F"/>
    <w:rsid w:val="00203349"/>
    <w:rsid w:val="00212990"/>
    <w:rsid w:val="00215154"/>
    <w:rsid w:val="002226B8"/>
    <w:rsid w:val="00227C7A"/>
    <w:rsid w:val="00232FF6"/>
    <w:rsid w:val="00252437"/>
    <w:rsid w:val="002530B6"/>
    <w:rsid w:val="002569C9"/>
    <w:rsid w:val="00260AEB"/>
    <w:rsid w:val="00260F2C"/>
    <w:rsid w:val="002612D1"/>
    <w:rsid w:val="0026460E"/>
    <w:rsid w:val="0027418C"/>
    <w:rsid w:val="002845C5"/>
    <w:rsid w:val="00284A23"/>
    <w:rsid w:val="00287808"/>
    <w:rsid w:val="002930E1"/>
    <w:rsid w:val="00294031"/>
    <w:rsid w:val="002963BA"/>
    <w:rsid w:val="00297731"/>
    <w:rsid w:val="002B04C4"/>
    <w:rsid w:val="002B112A"/>
    <w:rsid w:val="002C4744"/>
    <w:rsid w:val="002E00F1"/>
    <w:rsid w:val="002E6A54"/>
    <w:rsid w:val="002F4C5B"/>
    <w:rsid w:val="002F58A5"/>
    <w:rsid w:val="00302C10"/>
    <w:rsid w:val="00302F41"/>
    <w:rsid w:val="0030509B"/>
    <w:rsid w:val="003058F6"/>
    <w:rsid w:val="0031001D"/>
    <w:rsid w:val="00324D1C"/>
    <w:rsid w:val="003349B1"/>
    <w:rsid w:val="00345FBC"/>
    <w:rsid w:val="003506EE"/>
    <w:rsid w:val="00353BC1"/>
    <w:rsid w:val="0036026E"/>
    <w:rsid w:val="0038226B"/>
    <w:rsid w:val="003844FA"/>
    <w:rsid w:val="003872F4"/>
    <w:rsid w:val="00391E07"/>
    <w:rsid w:val="00392C80"/>
    <w:rsid w:val="003A627B"/>
    <w:rsid w:val="003A7250"/>
    <w:rsid w:val="003B5FF3"/>
    <w:rsid w:val="003D191A"/>
    <w:rsid w:val="003E708E"/>
    <w:rsid w:val="003F0080"/>
    <w:rsid w:val="003F79A3"/>
    <w:rsid w:val="00401AD2"/>
    <w:rsid w:val="00402298"/>
    <w:rsid w:val="0041212C"/>
    <w:rsid w:val="00412FEE"/>
    <w:rsid w:val="004152C8"/>
    <w:rsid w:val="004209D7"/>
    <w:rsid w:val="0042306B"/>
    <w:rsid w:val="0042742E"/>
    <w:rsid w:val="00430B47"/>
    <w:rsid w:val="0043137E"/>
    <w:rsid w:val="00434FED"/>
    <w:rsid w:val="00440C4B"/>
    <w:rsid w:val="00440F09"/>
    <w:rsid w:val="00441CF6"/>
    <w:rsid w:val="00445421"/>
    <w:rsid w:val="00446A90"/>
    <w:rsid w:val="0046567A"/>
    <w:rsid w:val="004776A5"/>
    <w:rsid w:val="00491E8F"/>
    <w:rsid w:val="00495E52"/>
    <w:rsid w:val="004A2941"/>
    <w:rsid w:val="004A3359"/>
    <w:rsid w:val="004B147D"/>
    <w:rsid w:val="004C232B"/>
    <w:rsid w:val="004D0C7B"/>
    <w:rsid w:val="004E0DDE"/>
    <w:rsid w:val="004E13F7"/>
    <w:rsid w:val="004E535D"/>
    <w:rsid w:val="004E5961"/>
    <w:rsid w:val="004F3268"/>
    <w:rsid w:val="004F445E"/>
    <w:rsid w:val="004F6E44"/>
    <w:rsid w:val="00500F61"/>
    <w:rsid w:val="00510108"/>
    <w:rsid w:val="00512086"/>
    <w:rsid w:val="00514528"/>
    <w:rsid w:val="0052212E"/>
    <w:rsid w:val="00534730"/>
    <w:rsid w:val="0053610A"/>
    <w:rsid w:val="0054015F"/>
    <w:rsid w:val="00543787"/>
    <w:rsid w:val="00545AA1"/>
    <w:rsid w:val="00553CE3"/>
    <w:rsid w:val="00553EAF"/>
    <w:rsid w:val="0056502D"/>
    <w:rsid w:val="00567DD5"/>
    <w:rsid w:val="00571828"/>
    <w:rsid w:val="00575FFB"/>
    <w:rsid w:val="00596566"/>
    <w:rsid w:val="005A02C9"/>
    <w:rsid w:val="005C1315"/>
    <w:rsid w:val="005C1388"/>
    <w:rsid w:val="005D1B6F"/>
    <w:rsid w:val="005D31DC"/>
    <w:rsid w:val="005E241E"/>
    <w:rsid w:val="005F156D"/>
    <w:rsid w:val="005F6BFC"/>
    <w:rsid w:val="0060449C"/>
    <w:rsid w:val="0060608A"/>
    <w:rsid w:val="00606B55"/>
    <w:rsid w:val="00614992"/>
    <w:rsid w:val="00621681"/>
    <w:rsid w:val="00621D49"/>
    <w:rsid w:val="00627BED"/>
    <w:rsid w:val="006320C2"/>
    <w:rsid w:val="006342F4"/>
    <w:rsid w:val="006423E0"/>
    <w:rsid w:val="006439F9"/>
    <w:rsid w:val="00645159"/>
    <w:rsid w:val="006454DF"/>
    <w:rsid w:val="006456E8"/>
    <w:rsid w:val="0065698F"/>
    <w:rsid w:val="00660DD1"/>
    <w:rsid w:val="00661F70"/>
    <w:rsid w:val="0066294F"/>
    <w:rsid w:val="006634A3"/>
    <w:rsid w:val="00666331"/>
    <w:rsid w:val="00675621"/>
    <w:rsid w:val="006975FB"/>
    <w:rsid w:val="006B22C3"/>
    <w:rsid w:val="006B30CB"/>
    <w:rsid w:val="006B6CFB"/>
    <w:rsid w:val="006C6ADF"/>
    <w:rsid w:val="006D4520"/>
    <w:rsid w:val="006D6C9D"/>
    <w:rsid w:val="006D772D"/>
    <w:rsid w:val="006D7870"/>
    <w:rsid w:val="006E0955"/>
    <w:rsid w:val="006F0836"/>
    <w:rsid w:val="006F24C0"/>
    <w:rsid w:val="006F31A2"/>
    <w:rsid w:val="006F45FA"/>
    <w:rsid w:val="006F7783"/>
    <w:rsid w:val="00702982"/>
    <w:rsid w:val="00711C0D"/>
    <w:rsid w:val="00720DF4"/>
    <w:rsid w:val="00722C73"/>
    <w:rsid w:val="00732268"/>
    <w:rsid w:val="0073458B"/>
    <w:rsid w:val="00740FC1"/>
    <w:rsid w:val="00747B65"/>
    <w:rsid w:val="007730B7"/>
    <w:rsid w:val="00773A1E"/>
    <w:rsid w:val="00792D39"/>
    <w:rsid w:val="00795619"/>
    <w:rsid w:val="007A15CF"/>
    <w:rsid w:val="007A221A"/>
    <w:rsid w:val="007A430F"/>
    <w:rsid w:val="007A7438"/>
    <w:rsid w:val="007B04C0"/>
    <w:rsid w:val="007B157B"/>
    <w:rsid w:val="007D30D5"/>
    <w:rsid w:val="007E117C"/>
    <w:rsid w:val="007E1339"/>
    <w:rsid w:val="007F4FA1"/>
    <w:rsid w:val="007F745F"/>
    <w:rsid w:val="0080711F"/>
    <w:rsid w:val="008170B7"/>
    <w:rsid w:val="00832683"/>
    <w:rsid w:val="008464FF"/>
    <w:rsid w:val="00852ACF"/>
    <w:rsid w:val="00855215"/>
    <w:rsid w:val="00862486"/>
    <w:rsid w:val="00882C18"/>
    <w:rsid w:val="008865C2"/>
    <w:rsid w:val="00895AC4"/>
    <w:rsid w:val="008A010C"/>
    <w:rsid w:val="008A024A"/>
    <w:rsid w:val="008A30B4"/>
    <w:rsid w:val="008A7B34"/>
    <w:rsid w:val="008B39BB"/>
    <w:rsid w:val="008B779A"/>
    <w:rsid w:val="008C4A46"/>
    <w:rsid w:val="008C4EE1"/>
    <w:rsid w:val="008C6CCC"/>
    <w:rsid w:val="008D10CD"/>
    <w:rsid w:val="008D3E27"/>
    <w:rsid w:val="008E022B"/>
    <w:rsid w:val="008E46CC"/>
    <w:rsid w:val="008F3AF3"/>
    <w:rsid w:val="008F533E"/>
    <w:rsid w:val="009020A4"/>
    <w:rsid w:val="00922C23"/>
    <w:rsid w:val="009240C9"/>
    <w:rsid w:val="00924393"/>
    <w:rsid w:val="00925AB0"/>
    <w:rsid w:val="00930361"/>
    <w:rsid w:val="00932EFD"/>
    <w:rsid w:val="00932F32"/>
    <w:rsid w:val="009363A8"/>
    <w:rsid w:val="0093758D"/>
    <w:rsid w:val="00940FA9"/>
    <w:rsid w:val="00950186"/>
    <w:rsid w:val="0096271D"/>
    <w:rsid w:val="00971FC9"/>
    <w:rsid w:val="00976890"/>
    <w:rsid w:val="00980FB8"/>
    <w:rsid w:val="009831C9"/>
    <w:rsid w:val="009839C5"/>
    <w:rsid w:val="009A1C55"/>
    <w:rsid w:val="009A2D57"/>
    <w:rsid w:val="009C0143"/>
    <w:rsid w:val="009C4A1C"/>
    <w:rsid w:val="009D7A84"/>
    <w:rsid w:val="009F5E0A"/>
    <w:rsid w:val="00A0463B"/>
    <w:rsid w:val="00A07E34"/>
    <w:rsid w:val="00A17F0B"/>
    <w:rsid w:val="00A2245E"/>
    <w:rsid w:val="00A36407"/>
    <w:rsid w:val="00A3725D"/>
    <w:rsid w:val="00A47B9B"/>
    <w:rsid w:val="00A5152B"/>
    <w:rsid w:val="00A521EC"/>
    <w:rsid w:val="00A525BD"/>
    <w:rsid w:val="00A63CBB"/>
    <w:rsid w:val="00A905F1"/>
    <w:rsid w:val="00A90F46"/>
    <w:rsid w:val="00A9200E"/>
    <w:rsid w:val="00A92825"/>
    <w:rsid w:val="00AA3ED6"/>
    <w:rsid w:val="00AB2F62"/>
    <w:rsid w:val="00AE76FB"/>
    <w:rsid w:val="00AF68A5"/>
    <w:rsid w:val="00AF7881"/>
    <w:rsid w:val="00B01E74"/>
    <w:rsid w:val="00B122AF"/>
    <w:rsid w:val="00B15CEE"/>
    <w:rsid w:val="00B16A0F"/>
    <w:rsid w:val="00B26918"/>
    <w:rsid w:val="00B326AF"/>
    <w:rsid w:val="00B35756"/>
    <w:rsid w:val="00B42701"/>
    <w:rsid w:val="00B57E99"/>
    <w:rsid w:val="00B63101"/>
    <w:rsid w:val="00B7107D"/>
    <w:rsid w:val="00B8540A"/>
    <w:rsid w:val="00B9660F"/>
    <w:rsid w:val="00BA21E7"/>
    <w:rsid w:val="00BA2EF1"/>
    <w:rsid w:val="00BB5762"/>
    <w:rsid w:val="00BC25D2"/>
    <w:rsid w:val="00BC577C"/>
    <w:rsid w:val="00BD6ADB"/>
    <w:rsid w:val="00BE07DF"/>
    <w:rsid w:val="00BE11E0"/>
    <w:rsid w:val="00BF16E4"/>
    <w:rsid w:val="00BF2F67"/>
    <w:rsid w:val="00BF573A"/>
    <w:rsid w:val="00BF7053"/>
    <w:rsid w:val="00C0563E"/>
    <w:rsid w:val="00C10FEB"/>
    <w:rsid w:val="00C12ED7"/>
    <w:rsid w:val="00C1701C"/>
    <w:rsid w:val="00C2650B"/>
    <w:rsid w:val="00C32858"/>
    <w:rsid w:val="00C358BD"/>
    <w:rsid w:val="00C40931"/>
    <w:rsid w:val="00C6076B"/>
    <w:rsid w:val="00C83483"/>
    <w:rsid w:val="00C83D63"/>
    <w:rsid w:val="00C96E41"/>
    <w:rsid w:val="00CA05C8"/>
    <w:rsid w:val="00CB0568"/>
    <w:rsid w:val="00CB0F1B"/>
    <w:rsid w:val="00CC253E"/>
    <w:rsid w:val="00CC5C93"/>
    <w:rsid w:val="00CC7B1E"/>
    <w:rsid w:val="00CD0DFB"/>
    <w:rsid w:val="00CF318C"/>
    <w:rsid w:val="00CF43EA"/>
    <w:rsid w:val="00D00331"/>
    <w:rsid w:val="00D0190F"/>
    <w:rsid w:val="00D02891"/>
    <w:rsid w:val="00D0410E"/>
    <w:rsid w:val="00D13554"/>
    <w:rsid w:val="00D153A3"/>
    <w:rsid w:val="00D17D17"/>
    <w:rsid w:val="00D212D8"/>
    <w:rsid w:val="00D25B19"/>
    <w:rsid w:val="00D3182A"/>
    <w:rsid w:val="00D35364"/>
    <w:rsid w:val="00D36803"/>
    <w:rsid w:val="00D4543C"/>
    <w:rsid w:val="00D621F0"/>
    <w:rsid w:val="00D62CC7"/>
    <w:rsid w:val="00D71871"/>
    <w:rsid w:val="00D71AD2"/>
    <w:rsid w:val="00D72495"/>
    <w:rsid w:val="00D72D0E"/>
    <w:rsid w:val="00D9367E"/>
    <w:rsid w:val="00DA3178"/>
    <w:rsid w:val="00DC10C5"/>
    <w:rsid w:val="00DC50B4"/>
    <w:rsid w:val="00DC6AF4"/>
    <w:rsid w:val="00DD0A28"/>
    <w:rsid w:val="00DE0590"/>
    <w:rsid w:val="00DE0746"/>
    <w:rsid w:val="00DE2764"/>
    <w:rsid w:val="00DF492B"/>
    <w:rsid w:val="00E14ECA"/>
    <w:rsid w:val="00E36042"/>
    <w:rsid w:val="00E36A98"/>
    <w:rsid w:val="00E51630"/>
    <w:rsid w:val="00E5444A"/>
    <w:rsid w:val="00E5506E"/>
    <w:rsid w:val="00E56422"/>
    <w:rsid w:val="00E62FA7"/>
    <w:rsid w:val="00E64261"/>
    <w:rsid w:val="00E805BC"/>
    <w:rsid w:val="00E814EF"/>
    <w:rsid w:val="00E92209"/>
    <w:rsid w:val="00E95E72"/>
    <w:rsid w:val="00EA00EC"/>
    <w:rsid w:val="00EA3DCA"/>
    <w:rsid w:val="00EB32AD"/>
    <w:rsid w:val="00EB47B1"/>
    <w:rsid w:val="00EB6ADE"/>
    <w:rsid w:val="00ED2039"/>
    <w:rsid w:val="00ED2BC1"/>
    <w:rsid w:val="00ED6972"/>
    <w:rsid w:val="00EE180C"/>
    <w:rsid w:val="00EE6CC8"/>
    <w:rsid w:val="00F017FD"/>
    <w:rsid w:val="00F1248B"/>
    <w:rsid w:val="00F13E7E"/>
    <w:rsid w:val="00F34842"/>
    <w:rsid w:val="00F40006"/>
    <w:rsid w:val="00F437B5"/>
    <w:rsid w:val="00F50622"/>
    <w:rsid w:val="00F5081A"/>
    <w:rsid w:val="00F55496"/>
    <w:rsid w:val="00F64D28"/>
    <w:rsid w:val="00F65721"/>
    <w:rsid w:val="00F7148A"/>
    <w:rsid w:val="00F739AA"/>
    <w:rsid w:val="00F7537D"/>
    <w:rsid w:val="00F75DAF"/>
    <w:rsid w:val="00F87948"/>
    <w:rsid w:val="00F91886"/>
    <w:rsid w:val="00FA00F5"/>
    <w:rsid w:val="00FA01D6"/>
    <w:rsid w:val="00FA24B9"/>
    <w:rsid w:val="00FB3591"/>
    <w:rsid w:val="00FC1F9D"/>
    <w:rsid w:val="00FC3381"/>
    <w:rsid w:val="00FD1BF2"/>
    <w:rsid w:val="00FD6A1F"/>
    <w:rsid w:val="00FE2A2B"/>
    <w:rsid w:val="00FE378C"/>
    <w:rsid w:val="00FE426C"/>
    <w:rsid w:val="00FF253A"/>
    <w:rsid w:val="00FF44D1"/>
    <w:rsid w:val="3F157582"/>
    <w:rsid w:val="4E49331D"/>
    <w:rsid w:val="514327E1"/>
    <w:rsid w:val="569B5BE8"/>
    <w:rsid w:val="5D0A1089"/>
    <w:rsid w:val="D5778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2"/>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3"/>
    <w:qFormat/>
    <w:uiPriority w:val="0"/>
    <w:pPr>
      <w:keepNext/>
      <w:jc w:val="center"/>
      <w:outlineLvl w:val="3"/>
    </w:pPr>
    <w:rPr>
      <w:rFonts w:eastAsia="新宋体"/>
      <w:kern w:val="0"/>
      <w:sz w:val="30"/>
      <w:szCs w:val="21"/>
    </w:rPr>
  </w:style>
  <w:style w:type="paragraph" w:styleId="7">
    <w:name w:val="heading 5"/>
    <w:basedOn w:val="1"/>
    <w:next w:val="1"/>
    <w:link w:val="44"/>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45"/>
    <w:qFormat/>
    <w:uiPriority w:val="0"/>
    <w:pPr>
      <w:keepNext/>
      <w:jc w:val="center"/>
      <w:outlineLvl w:val="5"/>
    </w:pPr>
    <w:rPr>
      <w:b/>
      <w:kern w:val="0"/>
      <w:sz w:val="44"/>
      <w:szCs w:val="20"/>
    </w:rPr>
  </w:style>
  <w:style w:type="paragraph" w:styleId="10">
    <w:name w:val="heading 7"/>
    <w:basedOn w:val="1"/>
    <w:next w:val="1"/>
    <w:link w:val="46"/>
    <w:qFormat/>
    <w:uiPriority w:val="0"/>
    <w:pPr>
      <w:keepNext/>
      <w:keepLines/>
      <w:spacing w:before="240" w:after="64" w:line="320" w:lineRule="auto"/>
      <w:outlineLvl w:val="6"/>
    </w:pPr>
    <w:rPr>
      <w:b/>
      <w:bCs/>
      <w:kern w:val="0"/>
      <w:sz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kern w:val="0"/>
      <w:sz w:val="24"/>
      <w:szCs w:val="21"/>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rPr>
      <w:rFonts w:ascii="仿宋_GB2312" w:eastAsia="仿宋_GB2312"/>
      <w:kern w:val="0"/>
      <w:sz w:val="24"/>
      <w:szCs w:val="20"/>
    </w:rPr>
  </w:style>
  <w:style w:type="paragraph" w:styleId="9">
    <w:name w:val="Normal Indent"/>
    <w:basedOn w:val="1"/>
    <w:link w:val="50"/>
    <w:qFormat/>
    <w:uiPriority w:val="0"/>
    <w:pPr>
      <w:ind w:firstLine="420"/>
    </w:pPr>
    <w:rPr>
      <w:kern w:val="0"/>
      <w:sz w:val="20"/>
      <w:szCs w:val="20"/>
    </w:rPr>
  </w:style>
  <w:style w:type="paragraph" w:styleId="13">
    <w:name w:val="Document Map"/>
    <w:basedOn w:val="1"/>
    <w:link w:val="51"/>
    <w:semiHidden/>
    <w:qFormat/>
    <w:uiPriority w:val="0"/>
    <w:pPr>
      <w:shd w:val="clear" w:color="auto" w:fill="000080"/>
    </w:pPr>
    <w:rPr>
      <w:kern w:val="0"/>
      <w:sz w:val="20"/>
    </w:rPr>
  </w:style>
  <w:style w:type="paragraph" w:styleId="14">
    <w:name w:val="annotation text"/>
    <w:basedOn w:val="1"/>
    <w:link w:val="52"/>
    <w:unhideWhenUsed/>
    <w:qFormat/>
    <w:uiPriority w:val="99"/>
    <w:pPr>
      <w:jc w:val="left"/>
    </w:pPr>
  </w:style>
  <w:style w:type="paragraph" w:styleId="15">
    <w:name w:val="Body Text 3"/>
    <w:basedOn w:val="1"/>
    <w:link w:val="53"/>
    <w:qFormat/>
    <w:uiPriority w:val="0"/>
    <w:pPr>
      <w:spacing w:after="120"/>
    </w:pPr>
    <w:rPr>
      <w:kern w:val="0"/>
      <w:sz w:val="16"/>
      <w:szCs w:val="16"/>
    </w:rPr>
  </w:style>
  <w:style w:type="paragraph" w:styleId="16">
    <w:name w:val="Body Text Indent"/>
    <w:basedOn w:val="1"/>
    <w:next w:val="1"/>
    <w:link w:val="54"/>
    <w:qFormat/>
    <w:uiPriority w:val="0"/>
    <w:pPr>
      <w:ind w:left="765"/>
    </w:pPr>
    <w:rPr>
      <w:rFonts w:ascii="仿宋_GB2312" w:eastAsia="仿宋_GB2312"/>
      <w:kern w:val="0"/>
      <w:sz w:val="28"/>
      <w:szCs w:val="20"/>
    </w:rPr>
  </w:style>
  <w:style w:type="paragraph" w:styleId="17">
    <w:name w:val="Plain Text"/>
    <w:basedOn w:val="1"/>
    <w:next w:val="18"/>
    <w:link w:val="56"/>
    <w:qFormat/>
    <w:uiPriority w:val="0"/>
    <w:rPr>
      <w:rFonts w:ascii="宋体" w:hAnsi="Courier New"/>
      <w:kern w:val="0"/>
      <w:sz w:val="20"/>
      <w:szCs w:val="21"/>
    </w:rPr>
  </w:style>
  <w:style w:type="paragraph" w:styleId="18">
    <w:name w:val="List Number 5"/>
    <w:basedOn w:val="1"/>
    <w:unhideWhenUsed/>
    <w:qFormat/>
    <w:uiPriority w:val="99"/>
    <w:pPr>
      <w:numPr>
        <w:ilvl w:val="0"/>
        <w:numId w:val="1"/>
      </w:numPr>
    </w:pPr>
  </w:style>
  <w:style w:type="paragraph" w:styleId="19">
    <w:name w:val="Date"/>
    <w:basedOn w:val="1"/>
    <w:next w:val="1"/>
    <w:link w:val="57"/>
    <w:qFormat/>
    <w:uiPriority w:val="0"/>
    <w:rPr>
      <w:kern w:val="0"/>
      <w:sz w:val="24"/>
      <w:szCs w:val="20"/>
    </w:rPr>
  </w:style>
  <w:style w:type="paragraph" w:styleId="20">
    <w:name w:val="Body Text Indent 2"/>
    <w:basedOn w:val="1"/>
    <w:link w:val="58"/>
    <w:qFormat/>
    <w:uiPriority w:val="0"/>
    <w:pPr>
      <w:spacing w:line="500" w:lineRule="exact"/>
      <w:ind w:firstLine="560" w:firstLineChars="200"/>
    </w:pPr>
    <w:rPr>
      <w:rFonts w:eastAsia="仿宋_GB2312"/>
      <w:kern w:val="0"/>
      <w:sz w:val="28"/>
      <w:szCs w:val="20"/>
    </w:rPr>
  </w:style>
  <w:style w:type="paragraph" w:styleId="21">
    <w:name w:val="Balloon Text"/>
    <w:basedOn w:val="1"/>
    <w:link w:val="59"/>
    <w:semiHidden/>
    <w:qFormat/>
    <w:uiPriority w:val="0"/>
    <w:rPr>
      <w:kern w:val="0"/>
      <w:sz w:val="18"/>
      <w:szCs w:val="18"/>
    </w:rPr>
  </w:style>
  <w:style w:type="paragraph" w:styleId="22">
    <w:name w:val="footer"/>
    <w:basedOn w:val="1"/>
    <w:link w:val="60"/>
    <w:qFormat/>
    <w:uiPriority w:val="99"/>
    <w:pPr>
      <w:tabs>
        <w:tab w:val="center" w:pos="4153"/>
        <w:tab w:val="right" w:pos="8306"/>
      </w:tabs>
      <w:snapToGrid w:val="0"/>
      <w:jc w:val="left"/>
    </w:pPr>
    <w:rPr>
      <w:kern w:val="0"/>
      <w:sz w:val="18"/>
      <w:szCs w:val="20"/>
    </w:rPr>
  </w:style>
  <w:style w:type="paragraph" w:styleId="23">
    <w:name w:val="envelope return"/>
    <w:basedOn w:val="1"/>
    <w:unhideWhenUsed/>
    <w:qFormat/>
    <w:uiPriority w:val="99"/>
    <w:pPr>
      <w:snapToGrid w:val="0"/>
    </w:pPr>
    <w:rPr>
      <w:rFonts w:ascii="Arial" w:hAnsi="Arial"/>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semiHidden/>
    <w:qFormat/>
    <w:uiPriority w:val="0"/>
    <w:rPr>
      <w:sz w:val="24"/>
    </w:rPr>
  </w:style>
  <w:style w:type="paragraph" w:styleId="26">
    <w:name w:val="List"/>
    <w:basedOn w:val="1"/>
    <w:qFormat/>
    <w:uiPriority w:val="0"/>
    <w:pPr>
      <w:ind w:left="200" w:hanging="200" w:hangingChars="200"/>
    </w:pPr>
  </w:style>
  <w:style w:type="paragraph" w:styleId="27">
    <w:name w:val="Body Text Indent 3"/>
    <w:basedOn w:val="1"/>
    <w:link w:val="62"/>
    <w:qFormat/>
    <w:uiPriority w:val="0"/>
    <w:pPr>
      <w:spacing w:after="120"/>
      <w:ind w:left="420" w:leftChars="200"/>
    </w:pPr>
    <w:rPr>
      <w:kern w:val="0"/>
      <w:sz w:val="16"/>
      <w:szCs w:val="16"/>
    </w:rPr>
  </w:style>
  <w:style w:type="paragraph" w:styleId="28">
    <w:name w:val="Body Text 2"/>
    <w:basedOn w:val="1"/>
    <w:link w:val="63"/>
    <w:qFormat/>
    <w:uiPriority w:val="0"/>
    <w:pPr>
      <w:snapToGrid w:val="0"/>
    </w:pPr>
    <w:rPr>
      <w:b/>
      <w:bCs/>
      <w:kern w:val="0"/>
      <w:sz w:val="18"/>
    </w:rPr>
  </w:style>
  <w:style w:type="paragraph" w:styleId="2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0">
    <w:name w:val="annotation subject"/>
    <w:basedOn w:val="14"/>
    <w:next w:val="14"/>
    <w:link w:val="64"/>
    <w:unhideWhenUsed/>
    <w:qFormat/>
    <w:uiPriority w:val="99"/>
    <w:rPr>
      <w:b/>
      <w:bCs/>
    </w:rPr>
  </w:style>
  <w:style w:type="paragraph" w:styleId="31">
    <w:name w:val="Body Text First Indent"/>
    <w:basedOn w:val="2"/>
    <w:link w:val="65"/>
    <w:qFormat/>
    <w:uiPriority w:val="0"/>
    <w:pPr>
      <w:spacing w:after="120"/>
      <w:ind w:firstLine="420" w:firstLineChars="100"/>
    </w:pPr>
    <w:rPr>
      <w:rFonts w:ascii="Times New Roman" w:eastAsia="宋体"/>
      <w:szCs w:val="24"/>
    </w:rPr>
  </w:style>
  <w:style w:type="paragraph" w:styleId="32">
    <w:name w:val="Body Text First Indent 2"/>
    <w:basedOn w:val="16"/>
    <w:next w:val="17"/>
    <w:link w:val="66"/>
    <w:unhideWhenUsed/>
    <w:qFormat/>
    <w:uiPriority w:val="99"/>
    <w:pPr>
      <w:spacing w:after="120"/>
      <w:ind w:left="420" w:leftChars="200" w:firstLine="420" w:firstLineChars="200"/>
    </w:pPr>
    <w:rPr>
      <w:kern w:val="2"/>
      <w:sz w:val="21"/>
      <w:szCs w:val="24"/>
    </w:rPr>
  </w:style>
  <w:style w:type="character" w:styleId="35">
    <w:name w:val="Strong"/>
    <w:qFormat/>
    <w:uiPriority w:val="0"/>
    <w:rPr>
      <w:b/>
      <w:bCs/>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1 Char"/>
    <w:basedOn w:val="34"/>
    <w:link w:val="3"/>
    <w:qFormat/>
    <w:uiPriority w:val="0"/>
    <w:rPr>
      <w:rFonts w:ascii="Times New Roman" w:hAnsi="Times New Roman" w:eastAsia="宋体" w:cs="Times New Roman"/>
      <w:b/>
      <w:bCs/>
      <w:kern w:val="44"/>
      <w:sz w:val="44"/>
      <w:szCs w:val="44"/>
    </w:rPr>
  </w:style>
  <w:style w:type="character" w:customStyle="1" w:styleId="41">
    <w:name w:val="标题 2 Char"/>
    <w:basedOn w:val="34"/>
    <w:link w:val="4"/>
    <w:qFormat/>
    <w:uiPriority w:val="0"/>
    <w:rPr>
      <w:rFonts w:ascii="Arial" w:hAnsi="Arial" w:eastAsia="黑体" w:cs="Times New Roman"/>
      <w:b/>
      <w:bCs/>
      <w:kern w:val="0"/>
      <w:sz w:val="32"/>
      <w:szCs w:val="32"/>
    </w:rPr>
  </w:style>
  <w:style w:type="character" w:customStyle="1" w:styleId="42">
    <w:name w:val="标题 3 Char"/>
    <w:basedOn w:val="34"/>
    <w:link w:val="5"/>
    <w:qFormat/>
    <w:uiPriority w:val="0"/>
    <w:rPr>
      <w:rFonts w:ascii="Times New Roman" w:hAnsi="Times New Roman" w:eastAsia="宋体" w:cs="Times New Roman"/>
      <w:b/>
      <w:bCs/>
      <w:kern w:val="0"/>
      <w:sz w:val="32"/>
      <w:szCs w:val="32"/>
    </w:rPr>
  </w:style>
  <w:style w:type="character" w:customStyle="1" w:styleId="43">
    <w:name w:val="标题 4 Char"/>
    <w:basedOn w:val="34"/>
    <w:link w:val="6"/>
    <w:qFormat/>
    <w:uiPriority w:val="0"/>
    <w:rPr>
      <w:rFonts w:ascii="Times New Roman" w:hAnsi="Times New Roman" w:eastAsia="新宋体" w:cs="Times New Roman"/>
      <w:kern w:val="0"/>
      <w:sz w:val="30"/>
      <w:szCs w:val="21"/>
    </w:rPr>
  </w:style>
  <w:style w:type="character" w:customStyle="1" w:styleId="44">
    <w:name w:val="标题 5 Char"/>
    <w:basedOn w:val="34"/>
    <w:link w:val="7"/>
    <w:qFormat/>
    <w:uiPriority w:val="0"/>
    <w:rPr>
      <w:rFonts w:ascii="Times New Roman" w:hAnsi="Times New Roman" w:eastAsia="宋体" w:cs="Times New Roman"/>
      <w:b/>
      <w:bCs/>
      <w:kern w:val="0"/>
      <w:sz w:val="28"/>
      <w:szCs w:val="28"/>
    </w:rPr>
  </w:style>
  <w:style w:type="character" w:customStyle="1" w:styleId="45">
    <w:name w:val="标题 6 Char"/>
    <w:basedOn w:val="34"/>
    <w:link w:val="8"/>
    <w:qFormat/>
    <w:uiPriority w:val="0"/>
    <w:rPr>
      <w:rFonts w:ascii="Times New Roman" w:hAnsi="Times New Roman" w:eastAsia="宋体" w:cs="Times New Roman"/>
      <w:b/>
      <w:kern w:val="0"/>
      <w:sz w:val="44"/>
      <w:szCs w:val="20"/>
    </w:rPr>
  </w:style>
  <w:style w:type="character" w:customStyle="1" w:styleId="46">
    <w:name w:val="标题 7 Char"/>
    <w:basedOn w:val="34"/>
    <w:link w:val="10"/>
    <w:qFormat/>
    <w:uiPriority w:val="0"/>
    <w:rPr>
      <w:rFonts w:ascii="Times New Roman" w:hAnsi="Times New Roman" w:eastAsia="宋体" w:cs="Times New Roman"/>
      <w:b/>
      <w:bCs/>
      <w:kern w:val="0"/>
      <w:sz w:val="24"/>
      <w:szCs w:val="24"/>
    </w:rPr>
  </w:style>
  <w:style w:type="character" w:customStyle="1" w:styleId="47">
    <w:name w:val="标题 8 Char"/>
    <w:basedOn w:val="34"/>
    <w:link w:val="11"/>
    <w:qFormat/>
    <w:uiPriority w:val="0"/>
    <w:rPr>
      <w:rFonts w:ascii="Arial" w:hAnsi="Arial" w:eastAsia="黑体" w:cs="Times New Roman"/>
      <w:kern w:val="0"/>
      <w:sz w:val="24"/>
      <w:szCs w:val="24"/>
    </w:rPr>
  </w:style>
  <w:style w:type="character" w:customStyle="1" w:styleId="48">
    <w:name w:val="标题 9 Char"/>
    <w:basedOn w:val="34"/>
    <w:link w:val="12"/>
    <w:qFormat/>
    <w:uiPriority w:val="0"/>
    <w:rPr>
      <w:rFonts w:ascii="Arial" w:hAnsi="Arial" w:eastAsia="黑体" w:cs="Times New Roman"/>
      <w:kern w:val="0"/>
      <w:sz w:val="24"/>
      <w:szCs w:val="21"/>
    </w:rPr>
  </w:style>
  <w:style w:type="character" w:customStyle="1" w:styleId="49">
    <w:name w:val="正文文本 Char"/>
    <w:basedOn w:val="34"/>
    <w:link w:val="2"/>
    <w:qFormat/>
    <w:uiPriority w:val="0"/>
    <w:rPr>
      <w:rFonts w:ascii="仿宋_GB2312" w:hAnsi="Times New Roman" w:eastAsia="仿宋_GB2312" w:cs="Times New Roman"/>
      <w:kern w:val="0"/>
      <w:sz w:val="24"/>
      <w:szCs w:val="20"/>
    </w:rPr>
  </w:style>
  <w:style w:type="character" w:customStyle="1" w:styleId="50">
    <w:name w:val="正文缩进 Char"/>
    <w:link w:val="9"/>
    <w:qFormat/>
    <w:uiPriority w:val="0"/>
    <w:rPr>
      <w:rFonts w:ascii="Times New Roman" w:hAnsi="Times New Roman" w:eastAsia="宋体" w:cs="Times New Roman"/>
      <w:kern w:val="0"/>
      <w:sz w:val="20"/>
      <w:szCs w:val="20"/>
    </w:rPr>
  </w:style>
  <w:style w:type="character" w:customStyle="1" w:styleId="51">
    <w:name w:val="文档结构图 Char"/>
    <w:basedOn w:val="34"/>
    <w:link w:val="13"/>
    <w:semiHidden/>
    <w:qFormat/>
    <w:uiPriority w:val="0"/>
    <w:rPr>
      <w:rFonts w:ascii="Times New Roman" w:hAnsi="Times New Roman" w:eastAsia="宋体" w:cs="Times New Roman"/>
      <w:kern w:val="0"/>
      <w:sz w:val="20"/>
      <w:szCs w:val="24"/>
      <w:shd w:val="clear" w:color="auto" w:fill="000080"/>
    </w:rPr>
  </w:style>
  <w:style w:type="character" w:customStyle="1" w:styleId="52">
    <w:name w:val="批注文字 Char"/>
    <w:basedOn w:val="34"/>
    <w:link w:val="14"/>
    <w:qFormat/>
    <w:uiPriority w:val="99"/>
    <w:rPr>
      <w:rFonts w:ascii="Times New Roman" w:hAnsi="Times New Roman" w:eastAsia="宋体" w:cs="Times New Roman"/>
      <w:szCs w:val="24"/>
    </w:rPr>
  </w:style>
  <w:style w:type="character" w:customStyle="1" w:styleId="53">
    <w:name w:val="正文文本 3 Char"/>
    <w:basedOn w:val="34"/>
    <w:link w:val="15"/>
    <w:qFormat/>
    <w:uiPriority w:val="0"/>
    <w:rPr>
      <w:rFonts w:ascii="Times New Roman" w:hAnsi="Times New Roman" w:eastAsia="宋体" w:cs="Times New Roman"/>
      <w:kern w:val="0"/>
      <w:sz w:val="16"/>
      <w:szCs w:val="16"/>
    </w:rPr>
  </w:style>
  <w:style w:type="character" w:customStyle="1" w:styleId="54">
    <w:name w:val="正文文本缩进 Char"/>
    <w:basedOn w:val="34"/>
    <w:link w:val="16"/>
    <w:qFormat/>
    <w:uiPriority w:val="0"/>
    <w:rPr>
      <w:rFonts w:ascii="仿宋_GB2312" w:hAnsi="Times New Roman" w:eastAsia="仿宋_GB2312" w:cs="Times New Roman"/>
      <w:kern w:val="0"/>
      <w:sz w:val="28"/>
      <w:szCs w:val="20"/>
    </w:rPr>
  </w:style>
  <w:style w:type="character" w:customStyle="1" w:styleId="55">
    <w:name w:val="纯文本 Char"/>
    <w:basedOn w:val="34"/>
    <w:link w:val="17"/>
    <w:qFormat/>
    <w:uiPriority w:val="0"/>
    <w:rPr>
      <w:rFonts w:ascii="宋体" w:hAnsi="Courier New" w:eastAsia="宋体" w:cs="Courier New"/>
      <w:szCs w:val="21"/>
    </w:rPr>
  </w:style>
  <w:style w:type="character" w:customStyle="1" w:styleId="56">
    <w:name w:val="纯文本 Char1"/>
    <w:link w:val="17"/>
    <w:qFormat/>
    <w:uiPriority w:val="0"/>
    <w:rPr>
      <w:rFonts w:ascii="宋体" w:hAnsi="Courier New" w:eastAsia="宋体" w:cs="Times New Roman"/>
      <w:kern w:val="0"/>
      <w:sz w:val="20"/>
      <w:szCs w:val="21"/>
    </w:rPr>
  </w:style>
  <w:style w:type="character" w:customStyle="1" w:styleId="57">
    <w:name w:val="日期 Char"/>
    <w:basedOn w:val="34"/>
    <w:link w:val="19"/>
    <w:qFormat/>
    <w:uiPriority w:val="0"/>
    <w:rPr>
      <w:rFonts w:ascii="Times New Roman" w:hAnsi="Times New Roman" w:eastAsia="宋体" w:cs="Times New Roman"/>
      <w:kern w:val="0"/>
      <w:sz w:val="24"/>
      <w:szCs w:val="20"/>
    </w:rPr>
  </w:style>
  <w:style w:type="character" w:customStyle="1" w:styleId="58">
    <w:name w:val="正文文本缩进 2 Char"/>
    <w:basedOn w:val="34"/>
    <w:link w:val="20"/>
    <w:qFormat/>
    <w:uiPriority w:val="0"/>
    <w:rPr>
      <w:rFonts w:ascii="Times New Roman" w:hAnsi="Times New Roman" w:eastAsia="仿宋_GB2312" w:cs="Times New Roman"/>
      <w:kern w:val="0"/>
      <w:sz w:val="28"/>
      <w:szCs w:val="20"/>
    </w:rPr>
  </w:style>
  <w:style w:type="character" w:customStyle="1" w:styleId="59">
    <w:name w:val="批注框文本 Char"/>
    <w:basedOn w:val="34"/>
    <w:link w:val="21"/>
    <w:semiHidden/>
    <w:qFormat/>
    <w:uiPriority w:val="0"/>
    <w:rPr>
      <w:rFonts w:ascii="Times New Roman" w:hAnsi="Times New Roman" w:eastAsia="宋体" w:cs="Times New Roman"/>
      <w:kern w:val="0"/>
      <w:sz w:val="18"/>
      <w:szCs w:val="18"/>
    </w:rPr>
  </w:style>
  <w:style w:type="character" w:customStyle="1" w:styleId="60">
    <w:name w:val="页脚 Char"/>
    <w:basedOn w:val="34"/>
    <w:link w:val="22"/>
    <w:qFormat/>
    <w:uiPriority w:val="99"/>
    <w:rPr>
      <w:rFonts w:ascii="Times New Roman" w:hAnsi="Times New Roman" w:eastAsia="宋体" w:cs="Times New Roman"/>
      <w:kern w:val="0"/>
      <w:sz w:val="18"/>
      <w:szCs w:val="20"/>
    </w:rPr>
  </w:style>
  <w:style w:type="character" w:customStyle="1" w:styleId="61">
    <w:name w:val="页眉 Char"/>
    <w:basedOn w:val="34"/>
    <w:link w:val="24"/>
    <w:qFormat/>
    <w:uiPriority w:val="0"/>
    <w:rPr>
      <w:rFonts w:ascii="Times New Roman" w:hAnsi="Times New Roman" w:eastAsia="宋体" w:cs="Times New Roman"/>
      <w:kern w:val="0"/>
      <w:sz w:val="18"/>
      <w:szCs w:val="18"/>
    </w:rPr>
  </w:style>
  <w:style w:type="character" w:customStyle="1" w:styleId="62">
    <w:name w:val="正文文本缩进 3 Char"/>
    <w:basedOn w:val="34"/>
    <w:link w:val="27"/>
    <w:qFormat/>
    <w:uiPriority w:val="0"/>
    <w:rPr>
      <w:rFonts w:ascii="Times New Roman" w:hAnsi="Times New Roman" w:eastAsia="宋体" w:cs="Times New Roman"/>
      <w:kern w:val="0"/>
      <w:sz w:val="16"/>
      <w:szCs w:val="16"/>
    </w:rPr>
  </w:style>
  <w:style w:type="character" w:customStyle="1" w:styleId="63">
    <w:name w:val="正文文本 2 Char"/>
    <w:basedOn w:val="34"/>
    <w:link w:val="28"/>
    <w:qFormat/>
    <w:uiPriority w:val="0"/>
    <w:rPr>
      <w:rFonts w:ascii="Times New Roman" w:hAnsi="Times New Roman" w:eastAsia="宋体" w:cs="Times New Roman"/>
      <w:b/>
      <w:bCs/>
      <w:kern w:val="0"/>
      <w:sz w:val="18"/>
      <w:szCs w:val="24"/>
    </w:rPr>
  </w:style>
  <w:style w:type="character" w:customStyle="1" w:styleId="64">
    <w:name w:val="批注主题 Char"/>
    <w:basedOn w:val="52"/>
    <w:link w:val="30"/>
    <w:qFormat/>
    <w:uiPriority w:val="99"/>
    <w:rPr>
      <w:b/>
      <w:bCs/>
    </w:rPr>
  </w:style>
  <w:style w:type="character" w:customStyle="1" w:styleId="65">
    <w:name w:val="正文首行缩进 Char"/>
    <w:basedOn w:val="49"/>
    <w:link w:val="31"/>
    <w:qFormat/>
    <w:uiPriority w:val="0"/>
    <w:rPr>
      <w:rFonts w:ascii="Times New Roman" w:eastAsia="宋体"/>
      <w:szCs w:val="24"/>
    </w:rPr>
  </w:style>
  <w:style w:type="character" w:customStyle="1" w:styleId="66">
    <w:name w:val="正文首行缩进 2 Char"/>
    <w:basedOn w:val="54"/>
    <w:link w:val="32"/>
    <w:qFormat/>
    <w:uiPriority w:val="99"/>
    <w:rPr>
      <w:szCs w:val="24"/>
    </w:rPr>
  </w:style>
  <w:style w:type="paragraph" w:customStyle="1" w:styleId="67">
    <w:name w:val="style4"/>
    <w:basedOn w:val="1"/>
    <w:next w:val="68"/>
    <w:qFormat/>
    <w:uiPriority w:val="99"/>
    <w:pPr>
      <w:widowControl/>
      <w:spacing w:before="280" w:after="280"/>
    </w:pPr>
    <w:rPr>
      <w:rFonts w:ascii="宋体"/>
      <w:sz w:val="18"/>
    </w:rPr>
  </w:style>
  <w:style w:type="paragraph" w:customStyle="1" w:styleId="68">
    <w:name w:val="2"/>
    <w:next w:val="1"/>
    <w:qFormat/>
    <w:uiPriority w:val="99"/>
    <w:pPr>
      <w:widowControl w:val="0"/>
      <w:jc w:val="both"/>
    </w:pPr>
    <w:rPr>
      <w:rFonts w:ascii="Times New Roman" w:hAnsi="Times New Roman" w:eastAsia="宋体" w:cs="Times New Roman"/>
      <w:kern w:val="0"/>
      <w:sz w:val="21"/>
      <w:szCs w:val="22"/>
      <w:lang w:val="en-US" w:eastAsia="zh-CN" w:bidi="ar-SA"/>
    </w:rPr>
  </w:style>
  <w:style w:type="character" w:customStyle="1" w:styleId="69">
    <w:name w:val="列出段落 Char"/>
    <w:link w:val="70"/>
    <w:qFormat/>
    <w:locked/>
    <w:uiPriority w:val="99"/>
    <w:rPr>
      <w:rFonts w:ascii="Times New Roman" w:hAnsi="Times New Roman" w:eastAsia="宋体" w:cs="Times New Roman"/>
      <w:kern w:val="0"/>
      <w:sz w:val="20"/>
      <w:szCs w:val="20"/>
    </w:rPr>
  </w:style>
  <w:style w:type="paragraph" w:styleId="70">
    <w:name w:val="List Paragraph"/>
    <w:basedOn w:val="1"/>
    <w:link w:val="69"/>
    <w:qFormat/>
    <w:uiPriority w:val="99"/>
    <w:pPr>
      <w:ind w:firstLine="420" w:firstLineChars="200"/>
    </w:pPr>
    <w:rPr>
      <w:kern w:val="0"/>
      <w:sz w:val="20"/>
      <w:szCs w:val="20"/>
    </w:rPr>
  </w:style>
  <w:style w:type="character" w:customStyle="1" w:styleId="71">
    <w:name w:val="文档结构图 Char1"/>
    <w:semiHidden/>
    <w:qFormat/>
    <w:uiPriority w:val="99"/>
    <w:rPr>
      <w:rFonts w:ascii="宋体" w:hAnsi="Times New Roman" w:eastAsia="宋体" w:cs="Times New Roman"/>
      <w:sz w:val="18"/>
      <w:szCs w:val="18"/>
    </w:rPr>
  </w:style>
  <w:style w:type="character" w:customStyle="1" w:styleId="72">
    <w:name w:val="普通正文 Char"/>
    <w:link w:val="73"/>
    <w:qFormat/>
    <w:uiPriority w:val="0"/>
    <w:rPr>
      <w:rFonts w:ascii="Arial" w:hAnsi="Arial"/>
      <w:sz w:val="24"/>
      <w:szCs w:val="24"/>
    </w:rPr>
  </w:style>
  <w:style w:type="paragraph" w:customStyle="1" w:styleId="73">
    <w:name w:val="普通正文"/>
    <w:basedOn w:val="1"/>
    <w:link w:val="72"/>
    <w:qFormat/>
    <w:uiPriority w:val="0"/>
    <w:pPr>
      <w:adjustRightInd w:val="0"/>
      <w:spacing w:before="120" w:after="120" w:line="360" w:lineRule="auto"/>
      <w:ind w:left="-2" w:right="120" w:firstLine="480"/>
      <w:jc w:val="center"/>
      <w:textAlignment w:val="baseline"/>
    </w:pPr>
    <w:rPr>
      <w:rFonts w:ascii="Arial" w:hAnsi="Arial" w:eastAsiaTheme="minorEastAsia" w:cstheme="minorBidi"/>
      <w:sz w:val="24"/>
    </w:rPr>
  </w:style>
  <w:style w:type="character" w:customStyle="1" w:styleId="74">
    <w:name w:val="FA正文 Char"/>
    <w:link w:val="75"/>
    <w:qFormat/>
    <w:uiPriority w:val="0"/>
    <w:rPr>
      <w:rFonts w:ascii="宋体" w:hAnsi="宋体" w:eastAsia="宋体" w:cs="Times New Roman"/>
      <w:sz w:val="28"/>
      <w:szCs w:val="28"/>
    </w:rPr>
  </w:style>
  <w:style w:type="paragraph" w:customStyle="1" w:styleId="75">
    <w:name w:val="FA正文"/>
    <w:basedOn w:val="1"/>
    <w:link w:val="74"/>
    <w:qFormat/>
    <w:uiPriority w:val="0"/>
    <w:pPr>
      <w:tabs>
        <w:tab w:val="left" w:pos="3375"/>
      </w:tabs>
      <w:spacing w:line="440" w:lineRule="atLeast"/>
      <w:ind w:firstLine="538" w:firstLineChars="192"/>
    </w:pPr>
    <w:rPr>
      <w:rFonts w:ascii="宋体" w:hAnsi="宋体"/>
      <w:sz w:val="28"/>
      <w:szCs w:val="28"/>
    </w:rPr>
  </w:style>
  <w:style w:type="character" w:customStyle="1" w:styleId="76">
    <w:name w:val="正文缩进2格 Char"/>
    <w:link w:val="77"/>
    <w:qFormat/>
    <w:uiPriority w:val="0"/>
    <w:rPr>
      <w:rFonts w:ascii="仿宋_GB2312" w:hAnsi="宋体" w:eastAsia="仿宋_GB2312" w:cs="Times New Roman"/>
      <w:sz w:val="31"/>
      <w:szCs w:val="28"/>
    </w:rPr>
  </w:style>
  <w:style w:type="paragraph" w:customStyle="1" w:styleId="77">
    <w:name w:val="正文缩进2格"/>
    <w:basedOn w:val="1"/>
    <w:link w:val="76"/>
    <w:qFormat/>
    <w:uiPriority w:val="0"/>
    <w:pPr>
      <w:spacing w:line="600" w:lineRule="exact"/>
      <w:ind w:firstLine="639" w:firstLineChars="206"/>
    </w:pPr>
    <w:rPr>
      <w:rFonts w:ascii="仿宋_GB2312" w:hAnsi="宋体" w:eastAsia="仿宋_GB2312"/>
      <w:sz w:val="31"/>
      <w:szCs w:val="28"/>
    </w:rPr>
  </w:style>
  <w:style w:type="character" w:customStyle="1" w:styleId="78">
    <w:name w:val="cn_text1"/>
    <w:qFormat/>
    <w:uiPriority w:val="0"/>
    <w:rPr>
      <w:rFonts w:hint="default" w:ascii="ˎ̥" w:hAnsi="ˎ̥"/>
      <w:color w:val="003399"/>
      <w:spacing w:val="15"/>
      <w:sz w:val="18"/>
      <w:szCs w:val="18"/>
    </w:rPr>
  </w:style>
  <w:style w:type="character" w:customStyle="1" w:styleId="79">
    <w:name w:val="ssss Char"/>
    <w:qFormat/>
    <w:uiPriority w:val="0"/>
    <w:rPr>
      <w:rFonts w:eastAsia="宋体"/>
      <w:kern w:val="2"/>
      <w:sz w:val="24"/>
      <w:szCs w:val="24"/>
      <w:lang w:val="en-US" w:eastAsia="zh-CN" w:bidi="ar-SA"/>
    </w:rPr>
  </w:style>
  <w:style w:type="character" w:customStyle="1" w:styleId="80">
    <w:name w:val="ssss Char1"/>
    <w:link w:val="81"/>
    <w:qFormat/>
    <w:uiPriority w:val="0"/>
    <w:rPr>
      <w:rFonts w:ascii="Times New Roman" w:hAnsi="Times New Roman" w:eastAsia="宋体" w:cs="Times New Roman"/>
      <w:sz w:val="24"/>
      <w:szCs w:val="24"/>
    </w:rPr>
  </w:style>
  <w:style w:type="paragraph" w:customStyle="1" w:styleId="81">
    <w:name w:val="ssss"/>
    <w:basedOn w:val="1"/>
    <w:link w:val="80"/>
    <w:qFormat/>
    <w:uiPriority w:val="0"/>
    <w:pPr>
      <w:spacing w:line="360" w:lineRule="auto"/>
      <w:ind w:firstLine="480" w:firstLineChars="200"/>
    </w:pPr>
    <w:rPr>
      <w:sz w:val="24"/>
    </w:rPr>
  </w:style>
  <w:style w:type="character" w:customStyle="1" w:styleId="82">
    <w:name w:val="标题 4 Char1"/>
    <w:qFormat/>
    <w:uiPriority w:val="0"/>
    <w:rPr>
      <w:rFonts w:ascii="Arial" w:hAnsi="Arial" w:eastAsia="黑体"/>
      <w:b/>
      <w:bCs/>
      <w:kern w:val="2"/>
      <w:sz w:val="28"/>
      <w:szCs w:val="28"/>
      <w:lang w:val="en-US" w:eastAsia="zh-CN" w:bidi="ar-SA"/>
    </w:rPr>
  </w:style>
  <w:style w:type="character" w:customStyle="1" w:styleId="83">
    <w:name w:val="列表段落 字符"/>
    <w:qFormat/>
    <w:uiPriority w:val="34"/>
    <w:rPr>
      <w:rFonts w:ascii="Calibri" w:hAnsi="Calibri"/>
      <w:kern w:val="2"/>
      <w:sz w:val="21"/>
      <w:szCs w:val="22"/>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样式 ssss + 宋体 五号1 Char"/>
    <w:link w:val="86"/>
    <w:qFormat/>
    <w:uiPriority w:val="0"/>
    <w:rPr>
      <w:rFonts w:ascii="宋体" w:hAnsi="宋体" w:eastAsia="宋体" w:cs="Times New Roman"/>
      <w:sz w:val="24"/>
      <w:szCs w:val="24"/>
    </w:rPr>
  </w:style>
  <w:style w:type="paragraph" w:customStyle="1" w:styleId="86">
    <w:name w:val="样式 ssss + 宋体 五号1"/>
    <w:basedOn w:val="81"/>
    <w:link w:val="85"/>
    <w:qFormat/>
    <w:uiPriority w:val="0"/>
    <w:rPr>
      <w:rFonts w:ascii="宋体" w:hAnsi="宋体"/>
    </w:rPr>
  </w:style>
  <w:style w:type="character" w:customStyle="1" w:styleId="87">
    <w:name w:val="point_normal1"/>
    <w:qFormat/>
    <w:uiPriority w:val="0"/>
    <w:rPr>
      <w:rFonts w:hint="default" w:ascii="Arial" w:hAnsi="Arial" w:cs="Arial"/>
      <w:sz w:val="16"/>
      <w:szCs w:val="16"/>
    </w:rPr>
  </w:style>
  <w:style w:type="paragraph" w:customStyle="1" w:styleId="88">
    <w:name w:val="样式 正文文本缩进 3 + 四号"/>
    <w:basedOn w:val="27"/>
    <w:qFormat/>
    <w:uiPriority w:val="0"/>
    <w:pPr>
      <w:spacing w:after="0" w:line="360" w:lineRule="auto"/>
      <w:ind w:left="0" w:leftChars="0" w:firstLine="437"/>
    </w:pPr>
    <w:rPr>
      <w:sz w:val="24"/>
      <w:szCs w:val="21"/>
    </w:rPr>
  </w:style>
  <w:style w:type="paragraph" w:customStyle="1" w:styleId="8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1">
    <w:name w:val=" Char Char Char Char"/>
    <w:basedOn w:val="1"/>
    <w:qFormat/>
    <w:uiPriority w:val="0"/>
    <w:rPr>
      <w:rFonts w:ascii="Tahoma" w:hAnsi="Tahoma"/>
      <w:sz w:val="24"/>
      <w:szCs w:val="20"/>
    </w:rPr>
  </w:style>
  <w:style w:type="paragraph" w:customStyle="1" w:styleId="92">
    <w:name w:val=" Char Char Char Char Char Char Char Char Char Char Char Char Char"/>
    <w:basedOn w:val="1"/>
    <w:qFormat/>
    <w:uiPriority w:val="0"/>
  </w:style>
  <w:style w:type="paragraph" w:customStyle="1" w:styleId="93">
    <w:name w:val="表格正文"/>
    <w:basedOn w:val="1"/>
    <w:qFormat/>
    <w:uiPriority w:val="0"/>
    <w:pPr>
      <w:spacing w:line="360" w:lineRule="auto"/>
      <w:jc w:val="left"/>
    </w:pPr>
    <w:rPr>
      <w:rFonts w:ascii="Calibri" w:hAnsi="Calibri"/>
      <w:color w:val="000000"/>
      <w:szCs w:val="28"/>
    </w:rPr>
  </w:style>
  <w:style w:type="paragraph" w:customStyle="1" w:styleId="94">
    <w:name w:val="Normal"/>
    <w:qFormat/>
    <w:uiPriority w:val="0"/>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95">
    <w:name w:val="Char Char Char Char"/>
    <w:basedOn w:val="1"/>
    <w:qFormat/>
    <w:uiPriority w:val="0"/>
    <w:rPr>
      <w:rFonts w:ascii="Tahoma" w:hAnsi="Tahoma"/>
      <w:sz w:val="24"/>
      <w:szCs w:val="20"/>
    </w:rPr>
  </w:style>
  <w:style w:type="paragraph" w:customStyle="1" w:styleId="96">
    <w:name w:val="Char Char Char"/>
    <w:basedOn w:val="1"/>
    <w:qFormat/>
    <w:uiPriority w:val="0"/>
    <w:rPr>
      <w:rFonts w:ascii="Tahoma" w:hAnsi="Tahoma"/>
      <w:sz w:val="24"/>
      <w:szCs w:val="20"/>
    </w:rPr>
  </w:style>
  <w:style w:type="paragraph" w:customStyle="1" w:styleId="97">
    <w:name w:val="标题-----3"/>
    <w:basedOn w:val="5"/>
    <w:qFormat/>
    <w:uiPriority w:val="0"/>
    <w:pPr>
      <w:spacing w:before="0" w:after="0" w:line="240" w:lineRule="auto"/>
      <w:outlineLvl w:val="0"/>
    </w:pPr>
    <w:rPr>
      <w:rFonts w:ascii="宋体" w:hAnsi="宋体"/>
      <w:b w:val="0"/>
      <w:bCs w:val="0"/>
      <w:sz w:val="28"/>
      <w:szCs w:val="28"/>
    </w:rPr>
  </w:style>
  <w:style w:type="paragraph" w:customStyle="1" w:styleId="98">
    <w:name w:val="样式 ssss + 居中"/>
    <w:basedOn w:val="81"/>
    <w:qFormat/>
    <w:uiPriority w:val="0"/>
    <w:pPr>
      <w:jc w:val="center"/>
    </w:pPr>
    <w:rPr>
      <w:rFonts w:cs="宋体"/>
      <w:szCs w:val="20"/>
    </w:rPr>
  </w:style>
  <w:style w:type="paragraph" w:customStyle="1" w:styleId="9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0">
    <w:name w:val="样式 样式 ssss + 宋体 五号 + 首行缩进:  2 字符"/>
    <w:basedOn w:val="101"/>
    <w:qFormat/>
    <w:uiPriority w:val="0"/>
    <w:pPr>
      <w:ind w:firstLine="480"/>
    </w:pPr>
  </w:style>
  <w:style w:type="paragraph" w:customStyle="1" w:styleId="101">
    <w:name w:val="样式 ssss + 宋体 五号"/>
    <w:basedOn w:val="81"/>
    <w:qFormat/>
    <w:uiPriority w:val="0"/>
    <w:pPr>
      <w:ind w:firstLine="420"/>
    </w:pPr>
    <w:rPr>
      <w:rFonts w:ascii="宋体" w:hAnsi="宋体" w:cs="宋体"/>
      <w:szCs w:val="20"/>
    </w:rPr>
  </w:style>
  <w:style w:type="paragraph" w:customStyle="1" w:styleId="10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 Char"/>
    <w:basedOn w:val="1"/>
    <w:qFormat/>
    <w:uiPriority w:val="0"/>
    <w:rPr>
      <w:rFonts w:ascii="Tahoma" w:hAnsi="Tahoma"/>
      <w:sz w:val="24"/>
      <w:szCs w:val="20"/>
    </w:rPr>
  </w:style>
  <w:style w:type="paragraph" w:customStyle="1" w:styleId="10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5">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Char Char Char Char Char Char Char Char Char Char Char Char Char"/>
    <w:basedOn w:val="1"/>
    <w:qFormat/>
    <w:uiPriority w:val="0"/>
    <w:rPr>
      <w:sz w:val="24"/>
    </w:rPr>
  </w:style>
  <w:style w:type="paragraph" w:customStyle="1" w:styleId="108">
    <w:name w:val="表格"/>
    <w:basedOn w:val="1"/>
    <w:qFormat/>
    <w:uiPriority w:val="0"/>
    <w:rPr>
      <w:rFonts w:ascii="Arial" w:hAnsi="Arial"/>
      <w:sz w:val="24"/>
    </w:rPr>
  </w:style>
  <w:style w:type="paragraph" w:customStyle="1" w:styleId="109">
    <w:name w:val="正文样式1"/>
    <w:basedOn w:val="1"/>
    <w:qFormat/>
    <w:uiPriority w:val="0"/>
    <w:pPr>
      <w:spacing w:before="120" w:after="120" w:line="360" w:lineRule="auto"/>
      <w:ind w:firstLine="480" w:firstLineChars="200"/>
    </w:pPr>
    <w:rPr>
      <w:sz w:val="24"/>
      <w:szCs w:val="20"/>
    </w:rPr>
  </w:style>
  <w:style w:type="paragraph" w:customStyle="1" w:styleId="11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 Char Char Char Char Char Char Char Char"/>
    <w:basedOn w:val="1"/>
    <w:qFormat/>
    <w:uiPriority w:val="0"/>
    <w:rPr>
      <w:rFonts w:ascii="Tahoma" w:hAnsi="Tahoma"/>
      <w:sz w:val="24"/>
      <w:szCs w:val="20"/>
    </w:rPr>
  </w:style>
  <w:style w:type="paragraph" w:customStyle="1" w:styleId="112">
    <w:name w:val="Char"/>
    <w:basedOn w:val="1"/>
    <w:qFormat/>
    <w:uiPriority w:val="0"/>
    <w:pPr>
      <w:tabs>
        <w:tab w:val="left" w:pos="360"/>
      </w:tabs>
    </w:pPr>
    <w:rPr>
      <w:sz w:val="24"/>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4">
    <w:name w:val="Header2"/>
    <w:basedOn w:val="1"/>
    <w:qFormat/>
    <w:uiPriority w:val="0"/>
    <w:pPr>
      <w:numPr>
        <w:ilvl w:val="0"/>
        <w:numId w:val="2"/>
      </w:numPr>
    </w:pPr>
  </w:style>
  <w:style w:type="paragraph" w:customStyle="1" w:styleId="115">
    <w:name w:val=" Char Char 字元 字元 字元 Char Char Char Char"/>
    <w:basedOn w:val="1"/>
    <w:qFormat/>
    <w:uiPriority w:val="0"/>
    <w:pPr>
      <w:adjustRightInd w:val="0"/>
      <w:spacing w:line="360" w:lineRule="auto"/>
    </w:pPr>
    <w:rPr>
      <w:kern w:val="0"/>
      <w:sz w:val="24"/>
      <w:szCs w:val="20"/>
    </w:rPr>
  </w:style>
  <w:style w:type="paragraph" w:customStyle="1" w:styleId="116">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7">
    <w:name w:val="mini-outputtext1"/>
    <w:qFormat/>
    <w:uiPriority w:val="0"/>
  </w:style>
  <w:style w:type="character" w:customStyle="1" w:styleId="118">
    <w:name w:val="font31"/>
    <w:qFormat/>
    <w:uiPriority w:val="0"/>
    <w:rPr>
      <w:rFonts w:hint="eastAsia" w:ascii="宋体" w:hAnsi="宋体" w:eastAsia="宋体" w:cs="宋体"/>
      <w:color w:val="000000"/>
      <w:sz w:val="24"/>
      <w:szCs w:val="24"/>
      <w:u w:val="none"/>
    </w:rPr>
  </w:style>
  <w:style w:type="character" w:customStyle="1" w:styleId="119">
    <w:name w:val="font21"/>
    <w:qFormat/>
    <w:uiPriority w:val="0"/>
    <w:rPr>
      <w:rFonts w:hint="default" w:ascii="Times New Roman" w:hAnsi="Times New Roman" w:cs="Times New Roman"/>
      <w:color w:val="000000"/>
      <w:sz w:val="24"/>
      <w:szCs w:val="24"/>
      <w:u w:val="none"/>
    </w:rPr>
  </w:style>
  <w:style w:type="paragraph" w:customStyle="1" w:styleId="1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_Style 7"/>
    <w:basedOn w:val="1"/>
    <w:next w:val="70"/>
    <w:qFormat/>
    <w:uiPriority w:val="99"/>
    <w:pPr>
      <w:ind w:firstLine="420" w:firstLineChars="200"/>
    </w:pPr>
  </w:style>
  <w:style w:type="paragraph" w:customStyle="1" w:styleId="124">
    <w:name w:val="List Paragraph1"/>
    <w:basedOn w:val="1"/>
    <w:qFormat/>
    <w:uiPriority w:val="99"/>
    <w:pPr>
      <w:ind w:firstLine="420" w:firstLineChars="200"/>
    </w:pPr>
    <w:rPr>
      <w:rFonts w:ascii="Calibri" w:hAnsi="Calibri"/>
      <w:szCs w:val="22"/>
    </w:rPr>
  </w:style>
  <w:style w:type="paragraph" w:customStyle="1" w:styleId="125">
    <w:name w:val="样式 标题 1 + 宋体 段前: 0 磅 段后: 0 磅 行距: 单倍行距"/>
    <w:basedOn w:val="3"/>
    <w:next w:val="1"/>
    <w:qFormat/>
    <w:uiPriority w:val="0"/>
    <w:pPr>
      <w:spacing w:beforeLines="100" w:afterLines="100" w:line="240" w:lineRule="auto"/>
      <w:jc w:val="center"/>
    </w:pPr>
    <w:rPr>
      <w:rFonts w:ascii="仿宋_GB2312" w:hAnsi="宋体" w:eastAsia="仿宋_GB2312" w:cs="宋体"/>
    </w:rPr>
  </w:style>
  <w:style w:type="paragraph" w:customStyle="1" w:styleId="126">
    <w:name w:val="Default"/>
    <w:qFormat/>
    <w:uiPriority w:val="99"/>
    <w:pPr>
      <w:widowControl w:val="0"/>
      <w:autoSpaceDE w:val="0"/>
      <w:autoSpaceDN w:val="0"/>
      <w:adjustRightInd w:val="0"/>
    </w:pPr>
    <w:rPr>
      <w:rFonts w:ascii="......." w:hAnsi="Calibri" w:eastAsia="......." w:cs="......."/>
      <w:color w:val="000000"/>
      <w:kern w:val="0"/>
      <w:sz w:val="24"/>
      <w:szCs w:val="24"/>
      <w:lang w:val="en-US" w:eastAsia="zh-CN" w:bidi="ar-SA"/>
    </w:rPr>
  </w:style>
  <w:style w:type="paragraph" w:customStyle="1" w:styleId="127">
    <w:name w:val="正文首行缩进 21"/>
    <w:basedOn w:val="128"/>
    <w:qFormat/>
    <w:uiPriority w:val="0"/>
    <w:pPr>
      <w:spacing w:after="0" w:line="360" w:lineRule="auto"/>
      <w:ind w:left="0" w:firstLine="420"/>
    </w:pPr>
    <w:rPr>
      <w:rFonts w:ascii="宋体" w:hAnsi="宋体"/>
      <w:sz w:val="20"/>
      <w:szCs w:val="20"/>
    </w:rPr>
  </w:style>
  <w:style w:type="paragraph" w:customStyle="1" w:styleId="128">
    <w:name w:val="正文文本缩进1"/>
    <w:basedOn w:val="1"/>
    <w:unhideWhenUsed/>
    <w:qFormat/>
    <w:uiPriority w:val="99"/>
    <w:pPr>
      <w:spacing w:after="120"/>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8860</Words>
  <Characters>9051</Characters>
  <Lines>112</Lines>
  <Paragraphs>31</Paragraphs>
  <TotalTime>8</TotalTime>
  <ScaleCrop>false</ScaleCrop>
  <LinksUpToDate>false</LinksUpToDate>
  <CharactersWithSpaces>9116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2025-10-22T08:50:00Z</dcterms:created>
  <dc:creator>User</dc:creator>
  <cp:lastModifiedBy>kylin</cp:lastModifiedBy>
  <cp:lastPrinted>2025-10-31T10:16:00Z</cp:lastPrinted>
  <dcterms:modified xsi:type="dcterms:W3CDTF">2025-10-31T18:11:07Z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eyJoZGlkIjoiNTZhZThjOTcxYTA4NmIwYjIxYjFhMTcwOTVlNWE1ZTQiLCJ1c2VySWQiOiIyOTA4MzU5ODQifQ==</vt:lpwstr>
  </property>
  <property fmtid="{D5CDD505-2E9C-101B-9397-08002B2CF9AE}" pid="3" name="KSOProductBuildVer">
    <vt:lpwstr>2052-11.8.2.9849</vt:lpwstr>
  </property>
  <property fmtid="{D5CDD505-2E9C-101B-9397-08002B2CF9AE}" pid="4" name="ICV">
    <vt:lpwstr>0349B9CC39A34087B4E1FF818861CFCC_13</vt:lpwstr>
  </property>
</Properties>
</file>