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44"/>
        </w:rPr>
      </w:pPr>
    </w:p>
    <w:p>
      <w:pPr>
        <w:spacing w:line="360" w:lineRule="auto"/>
        <w:jc w:val="center"/>
        <w:rPr>
          <w:rFonts w:ascii="黑体" w:hAnsi="黑体" w:eastAsia="黑体" w:cs="黑体"/>
          <w:sz w:val="48"/>
          <w:szCs w:val="48"/>
        </w:rPr>
      </w:pPr>
      <w:r>
        <w:rPr>
          <w:rFonts w:hint="eastAsia" w:ascii="黑体" w:hAnsi="黑体" w:eastAsia="黑体" w:cs="黑体"/>
          <w:sz w:val="48"/>
          <w:szCs w:val="48"/>
        </w:rPr>
        <w:t>南通市崇川城市建设发展（集团）有限公司</w:t>
      </w:r>
    </w:p>
    <w:p>
      <w:pPr>
        <w:spacing w:line="360" w:lineRule="auto"/>
        <w:jc w:val="center"/>
        <w:rPr>
          <w:rFonts w:ascii="宋体" w:hAnsi="宋体" w:cs="宋体"/>
          <w:b/>
          <w:sz w:val="28"/>
          <w:szCs w:val="28"/>
        </w:rPr>
      </w:pPr>
      <w:r>
        <w:rPr>
          <w:rFonts w:hint="eastAsia" w:ascii="黑体" w:hAnsi="黑体" w:eastAsia="黑体" w:cs="黑体"/>
          <w:sz w:val="48"/>
          <w:szCs w:val="48"/>
        </w:rPr>
        <w:t>2023年企业债</w:t>
      </w:r>
      <w:r>
        <w:rPr>
          <w:rFonts w:hint="eastAsia" w:ascii="黑体" w:hAnsi="黑体" w:eastAsia="黑体" w:cs="黑体"/>
          <w:sz w:val="48"/>
          <w:szCs w:val="48"/>
          <w:lang w:eastAsia="zh-CN"/>
        </w:rPr>
        <w:t>券</w:t>
      </w:r>
      <w:r>
        <w:rPr>
          <w:rFonts w:hint="eastAsia" w:ascii="黑体" w:hAnsi="黑体" w:eastAsia="黑体" w:cs="黑体"/>
          <w:sz w:val="48"/>
          <w:szCs w:val="48"/>
        </w:rPr>
        <w:t>融资发行服务采购项目</w:t>
      </w:r>
    </w:p>
    <w:p>
      <w:pPr>
        <w:spacing w:line="360" w:lineRule="auto"/>
        <w:jc w:val="center"/>
        <w:rPr>
          <w:rFonts w:ascii="宋体" w:hAnsi="宋体" w:cs="宋体"/>
          <w:b/>
          <w:bCs/>
          <w:sz w:val="70"/>
          <w:szCs w:val="70"/>
        </w:rPr>
      </w:pPr>
    </w:p>
    <w:p>
      <w:pPr>
        <w:pStyle w:val="2"/>
      </w:pPr>
    </w:p>
    <w:p>
      <w:pPr>
        <w:spacing w:line="360" w:lineRule="auto"/>
        <w:jc w:val="center"/>
        <w:rPr>
          <w:rFonts w:ascii="宋体" w:hAnsi="宋体" w:cs="宋体"/>
          <w:b/>
          <w:bCs/>
          <w:sz w:val="70"/>
          <w:szCs w:val="70"/>
        </w:rPr>
      </w:pPr>
      <w:r>
        <w:rPr>
          <w:rFonts w:hint="eastAsia" w:ascii="宋体" w:hAnsi="宋体" w:cs="宋体"/>
          <w:b/>
          <w:bCs/>
          <w:sz w:val="70"/>
          <w:szCs w:val="70"/>
        </w:rPr>
        <w:t>公开招标文件</w:t>
      </w:r>
    </w:p>
    <w:p>
      <w:pPr>
        <w:spacing w:line="360" w:lineRule="auto"/>
        <w:jc w:val="center"/>
        <w:rPr>
          <w:rFonts w:ascii="宋体" w:hAnsi="宋体" w:cs="宋体"/>
          <w:b/>
          <w:sz w:val="28"/>
          <w:szCs w:val="28"/>
        </w:rPr>
      </w:pPr>
      <w:r>
        <w:rPr>
          <w:rFonts w:hint="eastAsia" w:ascii="宋体" w:hAnsi="宋体" w:cs="宋体"/>
          <w:b/>
          <w:sz w:val="28"/>
          <w:szCs w:val="28"/>
        </w:rPr>
        <w:t>（资格后审）</w:t>
      </w:r>
    </w:p>
    <w:p>
      <w:pPr>
        <w:spacing w:line="360" w:lineRule="auto"/>
        <w:jc w:val="center"/>
        <w:rPr>
          <w:rFonts w:ascii="宋体" w:hAnsi="宋体" w:cs="宋体"/>
          <w:b/>
          <w:sz w:val="28"/>
          <w:szCs w:val="28"/>
        </w:rPr>
      </w:pPr>
      <w:r>
        <w:rPr>
          <w:rFonts w:hint="eastAsia" w:ascii="宋体" w:hAnsi="宋体" w:cs="宋体"/>
          <w:b/>
          <w:sz w:val="28"/>
          <w:szCs w:val="28"/>
        </w:rPr>
        <w:t>项目编号：JSKJ2023020（GK08）</w:t>
      </w:r>
    </w:p>
    <w:p>
      <w:pPr>
        <w:tabs>
          <w:tab w:val="left" w:pos="6300"/>
        </w:tabs>
        <w:spacing w:line="360" w:lineRule="auto"/>
        <w:rPr>
          <w:rFonts w:ascii="宋体" w:hAnsi="宋体" w:cs="宋体"/>
          <w:b/>
          <w:bCs/>
          <w:sz w:val="28"/>
          <w:szCs w:val="28"/>
        </w:rPr>
      </w:pPr>
    </w:p>
    <w:p>
      <w:pPr>
        <w:tabs>
          <w:tab w:val="left" w:pos="6300"/>
        </w:tabs>
        <w:spacing w:line="360" w:lineRule="auto"/>
        <w:rPr>
          <w:rFonts w:ascii="宋体" w:hAnsi="宋体" w:cs="宋体"/>
          <w:b/>
          <w:bCs/>
          <w:sz w:val="28"/>
          <w:szCs w:val="28"/>
        </w:rPr>
      </w:pPr>
    </w:p>
    <w:p>
      <w:pPr>
        <w:spacing w:line="360" w:lineRule="auto"/>
        <w:ind w:firstLine="1105" w:firstLineChars="393"/>
        <w:rPr>
          <w:rFonts w:ascii="宋体" w:hAnsi="宋体" w:cs="宋体"/>
          <w:b/>
          <w:sz w:val="28"/>
          <w:szCs w:val="28"/>
        </w:rPr>
      </w:pPr>
    </w:p>
    <w:p>
      <w:pPr>
        <w:spacing w:line="360" w:lineRule="auto"/>
        <w:ind w:firstLine="1105" w:firstLineChars="393"/>
        <w:rPr>
          <w:rFonts w:ascii="宋体" w:hAnsi="宋体" w:cs="宋体"/>
          <w:b/>
          <w:sz w:val="28"/>
          <w:szCs w:val="28"/>
        </w:rPr>
      </w:pPr>
    </w:p>
    <w:p>
      <w:pPr>
        <w:spacing w:line="360" w:lineRule="auto"/>
        <w:ind w:firstLine="478" w:firstLineChars="200"/>
        <w:rPr>
          <w:rFonts w:ascii="宋体" w:hAnsi="宋体" w:cs="宋体"/>
          <w:b/>
          <w:w w:val="85"/>
          <w:sz w:val="28"/>
          <w:szCs w:val="28"/>
        </w:rPr>
      </w:pPr>
    </w:p>
    <w:p>
      <w:pPr>
        <w:spacing w:line="360" w:lineRule="auto"/>
        <w:ind w:firstLine="478" w:firstLineChars="200"/>
        <w:rPr>
          <w:rFonts w:ascii="宋体" w:hAnsi="宋体" w:cs="宋体"/>
          <w:b/>
          <w:w w:val="85"/>
          <w:sz w:val="28"/>
          <w:szCs w:val="28"/>
        </w:rPr>
      </w:pPr>
    </w:p>
    <w:p>
      <w:pPr>
        <w:spacing w:line="360" w:lineRule="auto"/>
        <w:ind w:firstLine="478" w:firstLineChars="200"/>
        <w:rPr>
          <w:rFonts w:ascii="宋体" w:hAnsi="宋体" w:cs="宋体"/>
          <w:b/>
          <w:w w:val="85"/>
          <w:sz w:val="28"/>
          <w:szCs w:val="28"/>
        </w:rPr>
      </w:pPr>
    </w:p>
    <w:p>
      <w:pPr>
        <w:spacing w:line="360" w:lineRule="auto"/>
        <w:ind w:firstLine="2118" w:firstLineChars="886"/>
        <w:rPr>
          <w:rFonts w:ascii="宋体" w:hAnsi="宋体" w:cs="宋体"/>
          <w:b/>
          <w:w w:val="85"/>
          <w:sz w:val="28"/>
          <w:szCs w:val="28"/>
        </w:rPr>
      </w:pPr>
      <w:r>
        <w:rPr>
          <w:rFonts w:hint="eastAsia" w:ascii="宋体" w:hAnsi="宋体" w:cs="宋体"/>
          <w:b/>
          <w:w w:val="85"/>
          <w:sz w:val="28"/>
          <w:szCs w:val="28"/>
        </w:rPr>
        <w:t>采 购 人：南通市崇川城市建设发展（集团）有限公司</w:t>
      </w:r>
    </w:p>
    <w:p>
      <w:pPr>
        <w:spacing w:line="360" w:lineRule="auto"/>
        <w:ind w:firstLine="2118" w:firstLineChars="886"/>
        <w:rPr>
          <w:rFonts w:ascii="宋体" w:hAnsi="宋体" w:cs="宋体"/>
          <w:b/>
          <w:w w:val="85"/>
          <w:sz w:val="28"/>
          <w:szCs w:val="28"/>
        </w:rPr>
      </w:pPr>
      <w:r>
        <w:rPr>
          <w:rFonts w:hint="eastAsia" w:ascii="宋体" w:hAnsi="宋体" w:cs="宋体"/>
          <w:b/>
          <w:w w:val="85"/>
          <w:sz w:val="28"/>
          <w:szCs w:val="28"/>
        </w:rPr>
        <w:t>代 理 人：江苏科建工程项目管理有限公司</w:t>
      </w:r>
    </w:p>
    <w:p>
      <w:pPr>
        <w:spacing w:line="360" w:lineRule="auto"/>
        <w:ind w:firstLine="2118" w:firstLineChars="886"/>
        <w:rPr>
          <w:rFonts w:ascii="宋体" w:hAnsi="宋体" w:cs="宋体"/>
          <w:b/>
          <w:w w:val="85"/>
          <w:sz w:val="28"/>
          <w:szCs w:val="28"/>
        </w:rPr>
      </w:pPr>
      <w:r>
        <w:rPr>
          <w:rFonts w:hint="eastAsia" w:ascii="宋体" w:hAnsi="宋体" w:cs="宋体"/>
          <w:b/>
          <w:w w:val="85"/>
          <w:sz w:val="28"/>
          <w:szCs w:val="28"/>
        </w:rPr>
        <w:t>日    期：2023年</w:t>
      </w:r>
      <w:r>
        <w:rPr>
          <w:rFonts w:ascii="宋体" w:hAnsi="宋体" w:cs="宋体"/>
          <w:b/>
          <w:w w:val="85"/>
          <w:sz w:val="28"/>
          <w:szCs w:val="28"/>
        </w:rPr>
        <w:t>2</w:t>
      </w:r>
      <w:r>
        <w:rPr>
          <w:rFonts w:hint="eastAsia" w:ascii="宋体" w:hAnsi="宋体" w:cs="宋体"/>
          <w:b/>
          <w:w w:val="85"/>
          <w:sz w:val="28"/>
          <w:szCs w:val="28"/>
        </w:rPr>
        <w:t>月1</w:t>
      </w:r>
      <w:r>
        <w:rPr>
          <w:rFonts w:ascii="宋体" w:hAnsi="宋体" w:cs="宋体"/>
          <w:b/>
          <w:w w:val="85"/>
          <w:sz w:val="28"/>
          <w:szCs w:val="28"/>
        </w:rPr>
        <w:t>6</w:t>
      </w:r>
      <w:r>
        <w:rPr>
          <w:rFonts w:hint="eastAsia" w:ascii="宋体" w:hAnsi="宋体" w:cs="宋体"/>
          <w:b/>
          <w:w w:val="85"/>
          <w:sz w:val="28"/>
          <w:szCs w:val="28"/>
        </w:rPr>
        <w:t>日</w:t>
      </w:r>
    </w:p>
    <w:p>
      <w:pPr>
        <w:spacing w:line="360" w:lineRule="auto"/>
        <w:ind w:firstLine="1100" w:firstLineChars="393"/>
        <w:rPr>
          <w:rFonts w:ascii="宋体" w:hAnsi="宋体" w:cs="宋体"/>
          <w:sz w:val="28"/>
          <w:szCs w:val="28"/>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 xml:space="preserve">目   录 </w:t>
      </w: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p>
    <w:p>
      <w:pPr>
        <w:pStyle w:val="2"/>
        <w:tabs>
          <w:tab w:val="right" w:leader="dot" w:pos="8296"/>
        </w:tabs>
        <w:spacing w:line="360" w:lineRule="auto"/>
        <w:ind w:firstLine="240" w:firstLineChars="100"/>
        <w:rPr>
          <w:rFonts w:ascii="宋体" w:hAnsi="宋体" w:cs="宋体"/>
          <w:sz w:val="28"/>
          <w:szCs w:val="28"/>
        </w:rPr>
      </w:pPr>
      <w:r>
        <w:fldChar w:fldCharType="begin"/>
      </w:r>
      <w:r>
        <w:instrText xml:space="preserve"> HYPERLINK \l "_Toc450137519" </w:instrText>
      </w:r>
      <w:r>
        <w:fldChar w:fldCharType="separate"/>
      </w:r>
      <w:r>
        <w:rPr>
          <w:rStyle w:val="12"/>
          <w:rFonts w:hint="eastAsia" w:ascii="宋体" w:hAnsi="宋体" w:cs="宋体"/>
          <w:color w:val="auto"/>
          <w:sz w:val="28"/>
          <w:szCs w:val="28"/>
        </w:rPr>
        <w:t>第一章 招标公告</w:t>
      </w:r>
      <w:r>
        <w:rPr>
          <w:rStyle w:val="12"/>
          <w:rFonts w:hint="eastAsia" w:ascii="宋体" w:hAnsi="宋体" w:cs="宋体"/>
          <w:color w:val="auto"/>
          <w:sz w:val="28"/>
          <w:szCs w:val="28"/>
        </w:rPr>
        <w:fldChar w:fldCharType="end"/>
      </w:r>
    </w:p>
    <w:p>
      <w:pPr>
        <w:pStyle w:val="2"/>
        <w:tabs>
          <w:tab w:val="right" w:leader="dot" w:pos="8296"/>
        </w:tabs>
        <w:spacing w:line="360" w:lineRule="auto"/>
        <w:ind w:firstLine="240" w:firstLineChars="100"/>
        <w:rPr>
          <w:rFonts w:ascii="宋体" w:hAnsi="宋体" w:cs="宋体"/>
          <w:sz w:val="28"/>
          <w:szCs w:val="28"/>
        </w:rPr>
      </w:pPr>
      <w:r>
        <w:fldChar w:fldCharType="begin"/>
      </w:r>
      <w:r>
        <w:instrText xml:space="preserve"> HYPERLINK \l "_Toc450137520" </w:instrText>
      </w:r>
      <w:r>
        <w:fldChar w:fldCharType="separate"/>
      </w:r>
      <w:r>
        <w:rPr>
          <w:rStyle w:val="12"/>
          <w:rFonts w:hint="eastAsia" w:ascii="宋体" w:hAnsi="宋体" w:cs="宋体"/>
          <w:color w:val="auto"/>
          <w:sz w:val="28"/>
          <w:szCs w:val="28"/>
        </w:rPr>
        <w:t>第二章 投标供应商须知</w:t>
      </w:r>
      <w:r>
        <w:rPr>
          <w:rStyle w:val="12"/>
          <w:rFonts w:hint="eastAsia" w:ascii="宋体" w:hAnsi="宋体" w:cs="宋体"/>
          <w:color w:val="auto"/>
          <w:sz w:val="28"/>
          <w:szCs w:val="28"/>
        </w:rPr>
        <w:fldChar w:fldCharType="end"/>
      </w:r>
    </w:p>
    <w:p>
      <w:pPr>
        <w:pStyle w:val="2"/>
        <w:tabs>
          <w:tab w:val="right" w:leader="dot" w:pos="8296"/>
        </w:tabs>
        <w:spacing w:line="360" w:lineRule="auto"/>
        <w:ind w:firstLine="240" w:firstLineChars="100"/>
        <w:rPr>
          <w:rFonts w:ascii="宋体" w:hAnsi="宋体" w:cs="宋体"/>
          <w:sz w:val="28"/>
          <w:szCs w:val="28"/>
        </w:rPr>
      </w:pPr>
      <w:r>
        <w:fldChar w:fldCharType="begin"/>
      </w:r>
      <w:r>
        <w:instrText xml:space="preserve"> HYPERLINK \l "_Toc450137521" </w:instrText>
      </w:r>
      <w:r>
        <w:fldChar w:fldCharType="separate"/>
      </w:r>
      <w:r>
        <w:rPr>
          <w:rStyle w:val="12"/>
          <w:rFonts w:hint="eastAsia" w:ascii="宋体" w:hAnsi="宋体" w:cs="宋体"/>
          <w:color w:val="auto"/>
          <w:sz w:val="28"/>
          <w:szCs w:val="28"/>
        </w:rPr>
        <w:t>第三章 项目需求</w:t>
      </w:r>
      <w:r>
        <w:rPr>
          <w:rStyle w:val="12"/>
          <w:rFonts w:hint="eastAsia" w:ascii="宋体" w:hAnsi="宋体" w:cs="宋体"/>
          <w:color w:val="auto"/>
          <w:sz w:val="28"/>
          <w:szCs w:val="28"/>
        </w:rPr>
        <w:fldChar w:fldCharType="end"/>
      </w:r>
    </w:p>
    <w:p>
      <w:pPr>
        <w:pStyle w:val="2"/>
        <w:tabs>
          <w:tab w:val="right" w:leader="dot" w:pos="8296"/>
        </w:tabs>
        <w:spacing w:line="360" w:lineRule="auto"/>
        <w:ind w:firstLine="240" w:firstLineChars="100"/>
        <w:rPr>
          <w:rFonts w:ascii="宋体" w:hAnsi="宋体" w:cs="宋体"/>
          <w:sz w:val="28"/>
          <w:szCs w:val="28"/>
        </w:rPr>
      </w:pPr>
      <w:r>
        <w:fldChar w:fldCharType="begin"/>
      </w:r>
      <w:r>
        <w:instrText xml:space="preserve"> HYPERLINK \l "_Toc450137522" </w:instrText>
      </w:r>
      <w:r>
        <w:fldChar w:fldCharType="separate"/>
      </w:r>
      <w:r>
        <w:rPr>
          <w:rStyle w:val="12"/>
          <w:rFonts w:hint="eastAsia" w:ascii="宋体" w:hAnsi="宋体" w:cs="宋体"/>
          <w:color w:val="auto"/>
          <w:sz w:val="28"/>
          <w:szCs w:val="28"/>
        </w:rPr>
        <w:t>第四章 评审方法和程序</w:t>
      </w:r>
      <w:r>
        <w:rPr>
          <w:rStyle w:val="12"/>
          <w:rFonts w:hint="eastAsia" w:ascii="宋体" w:hAnsi="宋体" w:cs="宋体"/>
          <w:color w:val="auto"/>
          <w:sz w:val="28"/>
          <w:szCs w:val="28"/>
        </w:rPr>
        <w:fldChar w:fldCharType="end"/>
      </w:r>
    </w:p>
    <w:p>
      <w:pPr>
        <w:pStyle w:val="2"/>
        <w:tabs>
          <w:tab w:val="right" w:leader="dot" w:pos="8296"/>
        </w:tabs>
        <w:spacing w:line="360" w:lineRule="auto"/>
        <w:ind w:firstLine="240" w:firstLineChars="100"/>
        <w:rPr>
          <w:rFonts w:ascii="宋体" w:hAnsi="宋体" w:cs="宋体"/>
          <w:sz w:val="28"/>
          <w:szCs w:val="28"/>
        </w:rPr>
      </w:pPr>
      <w:r>
        <w:fldChar w:fldCharType="begin"/>
      </w:r>
      <w:r>
        <w:instrText xml:space="preserve"> HYPERLINK \l "_Toc450137525" </w:instrText>
      </w:r>
      <w:r>
        <w:fldChar w:fldCharType="separate"/>
      </w:r>
      <w:r>
        <w:rPr>
          <w:rStyle w:val="12"/>
          <w:rFonts w:hint="eastAsia" w:ascii="宋体" w:hAnsi="宋体" w:cs="宋体"/>
          <w:color w:val="auto"/>
          <w:sz w:val="28"/>
          <w:szCs w:val="28"/>
        </w:rPr>
        <w:t>第五章 质疑与投诉</w:t>
      </w:r>
      <w:r>
        <w:rPr>
          <w:rStyle w:val="12"/>
          <w:rFonts w:hint="eastAsia" w:ascii="宋体" w:hAnsi="宋体" w:cs="宋体"/>
          <w:color w:val="auto"/>
          <w:sz w:val="28"/>
          <w:szCs w:val="28"/>
        </w:rPr>
        <w:fldChar w:fldCharType="end"/>
      </w:r>
    </w:p>
    <w:p>
      <w:pPr>
        <w:pStyle w:val="2"/>
        <w:tabs>
          <w:tab w:val="right" w:leader="dot" w:pos="8296"/>
        </w:tabs>
        <w:spacing w:line="360" w:lineRule="auto"/>
        <w:ind w:firstLine="240" w:firstLineChars="100"/>
        <w:rPr>
          <w:rFonts w:ascii="宋体" w:hAnsi="宋体" w:cs="宋体"/>
          <w:sz w:val="28"/>
          <w:szCs w:val="28"/>
        </w:rPr>
      </w:pPr>
      <w:r>
        <w:fldChar w:fldCharType="begin"/>
      </w:r>
      <w:r>
        <w:instrText xml:space="preserve"> HYPERLINK \l "_Toc450137526" </w:instrText>
      </w:r>
      <w:r>
        <w:fldChar w:fldCharType="separate"/>
      </w:r>
      <w:r>
        <w:rPr>
          <w:rStyle w:val="12"/>
          <w:rFonts w:hint="eastAsia" w:ascii="宋体" w:hAnsi="宋体" w:cs="宋体"/>
          <w:color w:val="auto"/>
          <w:sz w:val="28"/>
          <w:szCs w:val="28"/>
        </w:rPr>
        <w:t>第六章 投标文件组成及格式</w:t>
      </w:r>
      <w:r>
        <w:rPr>
          <w:rStyle w:val="12"/>
          <w:rFonts w:hint="eastAsia" w:ascii="宋体" w:hAnsi="宋体" w:cs="宋体"/>
          <w:color w:val="auto"/>
          <w:sz w:val="28"/>
          <w:szCs w:val="28"/>
        </w:rPr>
        <w:fldChar w:fldCharType="end"/>
      </w:r>
    </w:p>
    <w:p>
      <w:pPr>
        <w:spacing w:line="360" w:lineRule="auto"/>
        <w:rPr>
          <w:rFonts w:ascii="宋体" w:hAnsi="宋体" w:cs="宋体"/>
          <w:sz w:val="28"/>
          <w:szCs w:val="28"/>
        </w:rPr>
      </w:pPr>
      <w:r>
        <w:rPr>
          <w:rFonts w:hint="eastAsia" w:ascii="宋体" w:hAnsi="宋体" w:cs="宋体"/>
          <w:sz w:val="28"/>
          <w:szCs w:val="28"/>
        </w:rPr>
        <w:fldChar w:fldCharType="end"/>
      </w:r>
    </w:p>
    <w:p>
      <w:pPr>
        <w:snapToGrid w:val="0"/>
        <w:spacing w:line="360" w:lineRule="auto"/>
        <w:rPr>
          <w:rFonts w:ascii="宋体" w:hAnsi="宋体" w:cs="宋体"/>
          <w:sz w:val="24"/>
        </w:rPr>
      </w:pPr>
      <w:r>
        <w:rPr>
          <w:rFonts w:hint="eastAsia" w:ascii="宋体" w:hAnsi="宋体" w:cs="宋体"/>
          <w:b/>
          <w:sz w:val="28"/>
          <w:szCs w:val="28"/>
        </w:rPr>
        <w:br w:type="page"/>
      </w:r>
      <w:r>
        <w:rPr>
          <w:rFonts w:hint="eastAsia" w:ascii="宋体" w:hAnsi="宋体" w:cs="宋体"/>
          <w:b/>
          <w:sz w:val="24"/>
        </w:rPr>
        <w:t>尊敬的投标供应商（以下称投标供应商）：</w:t>
      </w:r>
    </w:p>
    <w:p>
      <w:pPr>
        <w:snapToGrid w:val="0"/>
        <w:spacing w:line="360" w:lineRule="auto"/>
        <w:ind w:firstLine="482" w:firstLineChars="200"/>
        <w:rPr>
          <w:rFonts w:ascii="宋体" w:hAnsi="宋体" w:cs="宋体"/>
          <w:b/>
          <w:sz w:val="24"/>
        </w:rPr>
      </w:pPr>
      <w:r>
        <w:rPr>
          <w:rFonts w:hint="eastAsia" w:ascii="宋体" w:hAnsi="宋体" w:cs="宋体"/>
          <w:b/>
          <w:sz w:val="24"/>
        </w:rPr>
        <w:t>欢迎参加本采购项目的公开招标。为了保证本次招标顺利进行，请在制作投标投标文件之前，仔细阅读本招标文件的各项条款，并按要求制作和递交投标投标文件。谢谢合作！</w:t>
      </w:r>
    </w:p>
    <w:p>
      <w:pPr>
        <w:pStyle w:val="13"/>
        <w:spacing w:beforeLines="0" w:afterLines="0" w:line="360" w:lineRule="auto"/>
        <w:rPr>
          <w:rFonts w:ascii="宋体" w:eastAsia="宋体"/>
          <w:sz w:val="30"/>
          <w:szCs w:val="30"/>
        </w:rPr>
      </w:pPr>
      <w:bookmarkStart w:id="0" w:name="_Toc450137519"/>
      <w:r>
        <w:rPr>
          <w:rFonts w:hint="eastAsia" w:ascii="宋体" w:eastAsia="宋体"/>
          <w:sz w:val="30"/>
          <w:szCs w:val="30"/>
        </w:rPr>
        <w:t>第一章 招标公告</w:t>
      </w:r>
      <w:bookmarkEnd w:id="0"/>
    </w:p>
    <w:p>
      <w:pPr>
        <w:spacing w:line="360" w:lineRule="auto"/>
        <w:ind w:firstLine="590" w:firstLineChars="245"/>
        <w:rPr>
          <w:rFonts w:ascii="宋体" w:hAnsi="宋体" w:cs="宋体"/>
          <w:kern w:val="0"/>
          <w:sz w:val="24"/>
        </w:rPr>
      </w:pPr>
      <w:bookmarkStart w:id="1" w:name="_Toc182848970"/>
      <w:r>
        <w:rPr>
          <w:rFonts w:hint="eastAsia" w:ascii="宋体" w:hAnsi="宋体"/>
          <w:b/>
          <w:sz w:val="24"/>
          <w:u w:val="single"/>
        </w:rPr>
        <w:t>南通市崇川城市建设发展（集团）有限公司2023年企业债</w:t>
      </w:r>
      <w:r>
        <w:rPr>
          <w:rFonts w:hint="eastAsia" w:ascii="宋体" w:hAnsi="宋体"/>
          <w:b/>
          <w:sz w:val="24"/>
          <w:u w:val="single"/>
          <w:lang w:eastAsia="zh-CN"/>
        </w:rPr>
        <w:t>券</w:t>
      </w:r>
      <w:r>
        <w:rPr>
          <w:rFonts w:hint="eastAsia" w:ascii="宋体" w:hAnsi="宋体"/>
          <w:b/>
          <w:sz w:val="24"/>
          <w:u w:val="single"/>
        </w:rPr>
        <w:t>融资发行服务采购项目</w:t>
      </w:r>
      <w:r>
        <w:rPr>
          <w:rFonts w:hint="eastAsia" w:ascii="宋体" w:hAnsi="宋体" w:cs="宋体"/>
          <w:kern w:val="0"/>
          <w:sz w:val="24"/>
        </w:rPr>
        <w:t>拟用公开招标方式组织采购。现公告如下：</w:t>
      </w:r>
    </w:p>
    <w:p>
      <w:pPr>
        <w:numPr>
          <w:ilvl w:val="0"/>
          <w:numId w:val="1"/>
        </w:numPr>
        <w:spacing w:line="360" w:lineRule="auto"/>
        <w:ind w:firstLine="480" w:firstLineChars="200"/>
        <w:rPr>
          <w:rFonts w:ascii="宋体" w:hAnsi="宋体"/>
          <w:sz w:val="24"/>
        </w:rPr>
      </w:pPr>
      <w:r>
        <w:rPr>
          <w:rFonts w:hint="eastAsia" w:ascii="宋体" w:hAnsi="宋体" w:cs="宋体"/>
          <w:kern w:val="0"/>
          <w:sz w:val="24"/>
        </w:rPr>
        <w:t>项目名称：南通市崇川城市建设发展（集团）有限公司</w:t>
      </w:r>
      <w:r>
        <w:rPr>
          <w:rFonts w:hint="eastAsia" w:ascii="宋体" w:hAnsi="宋体"/>
          <w:sz w:val="24"/>
        </w:rPr>
        <w:t>2023年企业债券融资发行服务采购项目</w:t>
      </w:r>
    </w:p>
    <w:p>
      <w:pPr>
        <w:numPr>
          <w:ilvl w:val="0"/>
          <w:numId w:val="1"/>
        </w:numPr>
        <w:spacing w:line="360" w:lineRule="auto"/>
        <w:ind w:firstLine="480" w:firstLineChars="200"/>
        <w:rPr>
          <w:rFonts w:ascii="宋体" w:hAnsi="宋体" w:cs="宋体"/>
          <w:kern w:val="0"/>
          <w:sz w:val="24"/>
        </w:rPr>
      </w:pPr>
      <w:r>
        <w:rPr>
          <w:rFonts w:hint="eastAsia" w:ascii="宋体" w:hAnsi="宋体" w:cs="宋体"/>
          <w:kern w:val="0"/>
          <w:sz w:val="24"/>
        </w:rPr>
        <w:t>项目编号：JSKJ2023020（GK08）</w:t>
      </w:r>
    </w:p>
    <w:p>
      <w:pPr>
        <w:spacing w:line="360" w:lineRule="auto"/>
        <w:ind w:firstLine="480" w:firstLineChars="200"/>
        <w:rPr>
          <w:rFonts w:ascii="宋体" w:hAnsi="宋体"/>
          <w:bCs/>
          <w:sz w:val="24"/>
        </w:rPr>
      </w:pPr>
      <w:r>
        <w:rPr>
          <w:rFonts w:hint="eastAsia" w:ascii="宋体" w:hAnsi="宋体" w:cs="宋体"/>
          <w:kern w:val="0"/>
          <w:sz w:val="24"/>
        </w:rPr>
        <w:t>三、项目需求：南通市崇川城市建设发展（集团）有限公司</w:t>
      </w:r>
      <w:r>
        <w:rPr>
          <w:rFonts w:hint="eastAsia" w:ascii="宋体" w:hAnsi="宋体"/>
          <w:sz w:val="24"/>
        </w:rPr>
        <w:t>2023年拟申报发行直融产品：企业债券</w:t>
      </w:r>
      <w:r>
        <w:rPr>
          <w:rFonts w:hint="eastAsia" w:ascii="宋体" w:hAnsi="宋体"/>
          <w:bCs/>
          <w:sz w:val="24"/>
        </w:rPr>
        <w:t>，发行规模不超过</w:t>
      </w:r>
      <w:r>
        <w:rPr>
          <w:rFonts w:ascii="宋体" w:hAnsi="宋体"/>
          <w:bCs/>
          <w:sz w:val="24"/>
        </w:rPr>
        <w:t>20</w:t>
      </w:r>
      <w:r>
        <w:rPr>
          <w:rFonts w:hint="eastAsia" w:ascii="宋体" w:hAnsi="宋体"/>
          <w:bCs/>
          <w:sz w:val="24"/>
        </w:rPr>
        <w:t>亿，详见招标文件第三章。</w:t>
      </w:r>
    </w:p>
    <w:p>
      <w:pPr>
        <w:spacing w:line="360" w:lineRule="auto"/>
        <w:ind w:firstLine="480" w:firstLineChars="200"/>
        <w:rPr>
          <w:rFonts w:ascii="宋体" w:hAnsi="宋体" w:cs="宋体"/>
          <w:kern w:val="0"/>
          <w:sz w:val="24"/>
        </w:rPr>
      </w:pPr>
      <w:r>
        <w:rPr>
          <w:rFonts w:hint="eastAsia" w:ascii="宋体" w:hAnsi="宋体" w:cs="宋体"/>
          <w:kern w:val="0"/>
          <w:sz w:val="24"/>
        </w:rPr>
        <w:t>四、投标供应商资格要求</w:t>
      </w:r>
    </w:p>
    <w:p>
      <w:pPr>
        <w:spacing w:line="360" w:lineRule="auto"/>
        <w:ind w:firstLine="480" w:firstLineChars="200"/>
        <w:rPr>
          <w:rFonts w:ascii="宋体" w:hAnsi="宋体" w:cs="宋体"/>
          <w:kern w:val="0"/>
          <w:sz w:val="24"/>
        </w:rPr>
      </w:pPr>
      <w:r>
        <w:rPr>
          <w:rFonts w:hint="eastAsia" w:ascii="宋体" w:hAnsi="宋体" w:cs="宋体"/>
          <w:kern w:val="0"/>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pacing w:line="360" w:lineRule="auto"/>
        <w:ind w:firstLine="480" w:firstLineChars="200"/>
        <w:rPr>
          <w:rFonts w:ascii="宋体" w:hAnsi="宋体" w:cs="宋体"/>
          <w:kern w:val="0"/>
          <w:sz w:val="24"/>
        </w:rPr>
      </w:pPr>
      <w:r>
        <w:rPr>
          <w:rFonts w:hint="eastAsia" w:ascii="宋体" w:hAnsi="宋体" w:cs="宋体"/>
          <w:kern w:val="0"/>
          <w:sz w:val="24"/>
        </w:rPr>
        <w:t>2.法定代表人为同一个人的两个及两个以上法人，母公司、全资子公司及其控股公司，都不得在同一采购项目相同标段中同时参加投标，一经发现，将视同围标处理。</w:t>
      </w:r>
    </w:p>
    <w:p>
      <w:pPr>
        <w:spacing w:line="360" w:lineRule="auto"/>
        <w:ind w:firstLine="480" w:firstLineChars="200"/>
        <w:rPr>
          <w:rFonts w:ascii="宋体" w:hAnsi="宋体" w:cs="宋体"/>
          <w:kern w:val="0"/>
          <w:sz w:val="24"/>
        </w:rPr>
      </w:pPr>
      <w:r>
        <w:rPr>
          <w:rFonts w:hint="eastAsia" w:ascii="宋体" w:hAnsi="宋体" w:cs="宋体"/>
          <w:kern w:val="0"/>
          <w:sz w:val="24"/>
        </w:rPr>
        <w:t>3.投标供应商的企业法人营业执照（副本）复印件；或者是三证合一的营业执照（副本）复印件。</w:t>
      </w:r>
    </w:p>
    <w:p>
      <w:pPr>
        <w:spacing w:line="360" w:lineRule="auto"/>
        <w:ind w:firstLine="420" w:firstLineChars="175"/>
        <w:rPr>
          <w:rFonts w:ascii="宋体" w:hAnsi="宋体" w:cs="宋体"/>
          <w:sz w:val="24"/>
        </w:rPr>
      </w:pPr>
      <w:r>
        <w:rPr>
          <w:rFonts w:hint="eastAsia" w:ascii="宋体" w:hAnsi="宋体" w:cs="宋体"/>
          <w:kern w:val="0"/>
          <w:sz w:val="24"/>
        </w:rPr>
        <w:t>4</w:t>
      </w:r>
      <w:bookmarkStart w:id="2" w:name="_Hlk522081866"/>
      <w:r>
        <w:rPr>
          <w:rFonts w:hint="eastAsia" w:ascii="宋体" w:hAnsi="宋体" w:cs="宋体"/>
          <w:kern w:val="0"/>
          <w:sz w:val="24"/>
        </w:rPr>
        <w:t>.投标供应商</w:t>
      </w:r>
      <w:bookmarkEnd w:id="2"/>
      <w:r>
        <w:rPr>
          <w:rFonts w:hint="eastAsia" w:ascii="宋体" w:hAnsi="宋体" w:cs="宋体"/>
          <w:sz w:val="24"/>
        </w:rPr>
        <w:t>的中国证监会批准核发的经营证券期货业务许可证复印件。</w:t>
      </w:r>
    </w:p>
    <w:p>
      <w:pPr>
        <w:spacing w:line="360" w:lineRule="auto"/>
        <w:ind w:firstLine="420" w:firstLineChars="175"/>
        <w:rPr>
          <w:rFonts w:ascii="宋体" w:hAnsi="宋体" w:cs="宋体"/>
          <w:kern w:val="0"/>
          <w:sz w:val="24"/>
        </w:rPr>
      </w:pPr>
      <w:r>
        <w:rPr>
          <w:rFonts w:hint="eastAsia" w:ascii="宋体" w:hAnsi="宋体" w:cs="宋体"/>
          <w:sz w:val="24"/>
        </w:rPr>
        <w:t xml:space="preserve">5.法定代表人参加投标的，必须提供法定代表人身份证明（格式参见第六章）及法定代表人本人身份证复印件（须加盖单位公章）；非法定代表人参加投标的，必须提供法定代表人签字或印章的授权委托书及被授权人本人身份证复印件（须加盖单位公章）（格式参见第六章 ）。被授权人为投标供应商正式人员证明材料（提供①与投标供应商签订的有效劳动合同复印件；②社保机构出具并盖章的投标供应商在公告发布之日起前连续6个月为其缴纳养老保险缴费清单复印件）。  </w:t>
      </w:r>
    </w:p>
    <w:p>
      <w:pPr>
        <w:spacing w:line="360" w:lineRule="auto"/>
        <w:ind w:firstLine="480" w:firstLineChars="200"/>
        <w:rPr>
          <w:rFonts w:ascii="宋体" w:hAnsi="宋体" w:cs="宋体"/>
          <w:sz w:val="24"/>
        </w:rPr>
      </w:pPr>
      <w:r>
        <w:rPr>
          <w:rFonts w:hint="eastAsia" w:ascii="宋体" w:hAnsi="宋体" w:cs="宋体"/>
          <w:kern w:val="0"/>
          <w:sz w:val="24"/>
        </w:rPr>
        <w:t>6.</w:t>
      </w:r>
      <w:r>
        <w:rPr>
          <w:rFonts w:hint="eastAsia" w:ascii="宋体" w:hAnsi="宋体" w:cs="仿宋_GB2312"/>
          <w:sz w:val="24"/>
        </w:rPr>
        <w:t>拟派项目负责人为投标供应商正式人员证明材料</w:t>
      </w:r>
      <w:r>
        <w:rPr>
          <w:rFonts w:hint="eastAsia" w:ascii="宋体" w:hAnsi="宋体" w:cs="宋体"/>
          <w:sz w:val="24"/>
        </w:rPr>
        <w:t>（提供①与投标供应商签订的有效劳动合同复印件；②社保机构出具并盖章的投标供应商在202</w:t>
      </w:r>
      <w:r>
        <w:rPr>
          <w:rFonts w:ascii="宋体" w:hAnsi="宋体" w:cs="宋体"/>
          <w:sz w:val="24"/>
        </w:rPr>
        <w:t>2</w:t>
      </w:r>
      <w:r>
        <w:rPr>
          <w:rFonts w:hint="eastAsia" w:ascii="宋体" w:hAnsi="宋体" w:cs="宋体"/>
          <w:sz w:val="24"/>
        </w:rPr>
        <w:t>年</w:t>
      </w:r>
      <w:r>
        <w:rPr>
          <w:rFonts w:ascii="宋体" w:hAnsi="宋体" w:cs="宋体"/>
          <w:sz w:val="24"/>
        </w:rPr>
        <w:t>7</w:t>
      </w:r>
      <w:r>
        <w:rPr>
          <w:rFonts w:hint="eastAsia" w:ascii="宋体" w:hAnsi="宋体" w:cs="宋体"/>
          <w:sz w:val="24"/>
        </w:rPr>
        <w:t>月-2022年</w:t>
      </w:r>
      <w:r>
        <w:rPr>
          <w:rFonts w:ascii="宋体" w:hAnsi="宋体" w:cs="宋体"/>
          <w:sz w:val="24"/>
        </w:rPr>
        <w:t>12</w:t>
      </w:r>
      <w:r>
        <w:rPr>
          <w:rFonts w:hint="eastAsia" w:ascii="宋体" w:hAnsi="宋体" w:cs="宋体"/>
          <w:sz w:val="24"/>
        </w:rPr>
        <w:t>月连续</w:t>
      </w:r>
      <w:r>
        <w:rPr>
          <w:rFonts w:ascii="宋体" w:hAnsi="宋体" w:cs="宋体"/>
          <w:sz w:val="24"/>
        </w:rPr>
        <w:t>6</w:t>
      </w:r>
      <w:r>
        <w:rPr>
          <w:rFonts w:hint="eastAsia" w:ascii="宋体" w:hAnsi="宋体" w:cs="宋体"/>
          <w:sz w:val="24"/>
        </w:rPr>
        <w:t>个月为其缴纳养老保险缴费清单复印件）。</w:t>
      </w:r>
    </w:p>
    <w:p>
      <w:pPr>
        <w:spacing w:line="360" w:lineRule="auto"/>
        <w:ind w:firstLine="480" w:firstLineChars="200"/>
        <w:rPr>
          <w:rFonts w:ascii="宋体" w:hAnsi="宋体" w:cs="宋体"/>
          <w:kern w:val="0"/>
          <w:sz w:val="24"/>
        </w:rPr>
      </w:pPr>
      <w:r>
        <w:rPr>
          <w:rFonts w:hint="eastAsia" w:ascii="宋体" w:hAnsi="宋体" w:cs="宋体"/>
          <w:sz w:val="24"/>
        </w:rPr>
        <w:t>7.</w:t>
      </w:r>
      <w:r>
        <w:rPr>
          <w:rFonts w:hint="eastAsia" w:ascii="宋体" w:hAnsi="宋体" w:cs="宋体"/>
          <w:kern w:val="0"/>
          <w:sz w:val="24"/>
        </w:rPr>
        <w:t>投标供应商须提供参与本次项目采购活动前三年内，在经营活动中没有重大违法记录的书面《无重大违法记录声明函》（格式参见第六章）。</w:t>
      </w:r>
    </w:p>
    <w:p>
      <w:pPr>
        <w:spacing w:line="360" w:lineRule="auto"/>
        <w:ind w:firstLine="480" w:firstLineChars="200"/>
        <w:rPr>
          <w:rFonts w:ascii="宋体" w:hAnsi="宋体" w:cs="宋体"/>
          <w:kern w:val="0"/>
          <w:sz w:val="24"/>
        </w:rPr>
      </w:pPr>
      <w:r>
        <w:rPr>
          <w:rFonts w:hint="eastAsia" w:ascii="宋体" w:hAnsi="宋体" w:cs="宋体"/>
          <w:kern w:val="0"/>
          <w:sz w:val="24"/>
        </w:rPr>
        <w:t>8.关于资格文件的声明函（格式参见第六章）。</w:t>
      </w:r>
    </w:p>
    <w:p>
      <w:pPr>
        <w:spacing w:line="360" w:lineRule="auto"/>
        <w:ind w:firstLine="480" w:firstLineChars="200"/>
        <w:rPr>
          <w:rFonts w:ascii="宋体" w:hAnsi="宋体" w:cs="宋体"/>
          <w:kern w:val="0"/>
          <w:sz w:val="24"/>
        </w:rPr>
      </w:pPr>
      <w:r>
        <w:rPr>
          <w:rFonts w:hint="eastAsia" w:ascii="宋体" w:hAnsi="宋体" w:cs="宋体"/>
          <w:kern w:val="0"/>
          <w:sz w:val="24"/>
        </w:rPr>
        <w:t>9.本项目不接受联合体投标。</w:t>
      </w:r>
    </w:p>
    <w:p>
      <w:pPr>
        <w:pStyle w:val="2"/>
        <w:spacing w:line="360" w:lineRule="auto"/>
      </w:pPr>
      <w:r>
        <w:rPr>
          <w:rFonts w:hint="eastAsia" w:ascii="宋体" w:hAnsi="宋体" w:cs="宋体"/>
          <w:kern w:val="0"/>
        </w:rPr>
        <w:t xml:space="preserve">    10.</w:t>
      </w:r>
      <w:r>
        <w:rPr>
          <w:rFonts w:hint="eastAsia" w:ascii="宋体" w:hAnsi="宋体" w:cs="宋体"/>
        </w:rPr>
        <w:t>截至本次招标公告挂网时间止，</w:t>
      </w:r>
      <w:r>
        <w:rPr>
          <w:rFonts w:hint="eastAsia" w:ascii="宋体" w:hAnsi="宋体" w:cs="宋体"/>
          <w:b/>
          <w:bCs/>
          <w:kern w:val="0"/>
        </w:rPr>
        <w:t>投标供应商已获发行人、发行人实际控制的公司债券承销资格（牵头主承销商）且债券申报未获批复和未发行完的，不得参加本次招投标</w:t>
      </w:r>
      <w:r>
        <w:rPr>
          <w:rFonts w:hint="eastAsia" w:ascii="宋体" w:hAnsi="宋体" w:cs="宋体"/>
        </w:rPr>
        <w:t>。</w:t>
      </w:r>
    </w:p>
    <w:p>
      <w:pPr>
        <w:spacing w:line="360" w:lineRule="auto"/>
        <w:ind w:firstLine="482" w:firstLineChars="200"/>
        <w:rPr>
          <w:rFonts w:ascii="宋体" w:hAnsi="宋体" w:cs="宋体"/>
          <w:b/>
          <w:sz w:val="24"/>
        </w:rPr>
      </w:pPr>
      <w:r>
        <w:rPr>
          <w:rFonts w:hint="eastAsia" w:ascii="宋体" w:hAnsi="宋体" w:cs="宋体"/>
          <w:b/>
          <w:sz w:val="24"/>
        </w:rPr>
        <w:t>具体详见本招标文件《第六章投标文件组成及格式》中的资格审查文件要求。</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w:t>
      </w:r>
      <w:r>
        <w:rPr>
          <w:rFonts w:hint="eastAsia" w:ascii="宋体" w:hAnsi="宋体" w:cs="宋体"/>
          <w:b/>
          <w:kern w:val="0"/>
          <w:sz w:val="24"/>
        </w:rPr>
        <w:t>该投标供应商将记入不良记录，将其列入采购黑名单</w:t>
      </w:r>
      <w:r>
        <w:rPr>
          <w:rFonts w:hint="eastAsia" w:ascii="宋体" w:hAnsi="宋体" w:cs="宋体"/>
          <w:b/>
          <w:bCs/>
          <w:kern w:val="0"/>
          <w:sz w:val="24"/>
        </w:rPr>
        <w:t>。</w:t>
      </w:r>
    </w:p>
    <w:p>
      <w:pPr>
        <w:snapToGrid w:val="0"/>
        <w:spacing w:line="360" w:lineRule="auto"/>
        <w:ind w:firstLine="491" w:firstLineChars="205"/>
        <w:rPr>
          <w:rFonts w:ascii="宋体" w:hAnsi="宋体" w:cs="宋体"/>
          <w:sz w:val="24"/>
        </w:rPr>
      </w:pPr>
      <w:r>
        <w:rPr>
          <w:rFonts w:hint="eastAsia" w:ascii="宋体" w:hAnsi="宋体" w:cs="宋体"/>
          <w:sz w:val="24"/>
        </w:rPr>
        <w:t>【特别提醒】单位负责人为同一人或者存在直接控股、管理关系的不同投标供应商，不得同时参与同一采购项目相同标段的采购活动；为采购项目提供整体设计、规范编制或者项目管理、监理、检测等服务的</w:t>
      </w:r>
      <w:r>
        <w:rPr>
          <w:rFonts w:hint="eastAsia" w:ascii="宋体" w:hAnsi="宋体" w:cs="仿宋_GB2312"/>
          <w:sz w:val="24"/>
        </w:rPr>
        <w:t>投标供应商</w:t>
      </w:r>
      <w:r>
        <w:rPr>
          <w:rFonts w:hint="eastAsia" w:ascii="宋体" w:hAnsi="宋体" w:cs="宋体"/>
          <w:sz w:val="24"/>
        </w:rPr>
        <w:t>，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五、投标</w:t>
      </w:r>
    </w:p>
    <w:p>
      <w:pPr>
        <w:spacing w:line="360" w:lineRule="auto"/>
        <w:ind w:firstLine="482" w:firstLineChars="200"/>
        <w:rPr>
          <w:rFonts w:ascii="宋体" w:hAnsi="宋体"/>
          <w:kern w:val="0"/>
          <w:sz w:val="24"/>
        </w:rPr>
      </w:pPr>
      <w:r>
        <w:rPr>
          <w:rFonts w:hint="eastAsia" w:ascii="宋体" w:hAnsi="宋体" w:cs="宋体"/>
          <w:b/>
          <w:bCs/>
          <w:sz w:val="24"/>
        </w:rPr>
        <w:t>1.投标供应商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hint="eastAsia" w:ascii="宋体" w:hAnsi="宋体"/>
          <w:kern w:val="0"/>
          <w:sz w:val="24"/>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2.投标文件的递交</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（1）接收人：南通市崇川城市建设发展（集团）有限公司；</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（2）投标文件接收截止及评审开始时间：</w:t>
      </w:r>
      <w:r>
        <w:rPr>
          <w:rFonts w:hint="eastAsia" w:ascii="宋体" w:hAnsi="宋体" w:cs="宋体"/>
          <w:b/>
          <w:sz w:val="24"/>
        </w:rPr>
        <w:t>202</w:t>
      </w:r>
      <w:r>
        <w:rPr>
          <w:rFonts w:ascii="宋体" w:hAnsi="宋体" w:cs="宋体"/>
          <w:b/>
          <w:sz w:val="24"/>
        </w:rPr>
        <w:t>3</w:t>
      </w:r>
      <w:r>
        <w:rPr>
          <w:rFonts w:hint="eastAsia" w:ascii="宋体" w:hAnsi="宋体" w:cs="宋体"/>
          <w:b/>
          <w:sz w:val="24"/>
        </w:rPr>
        <w:t>年</w:t>
      </w:r>
      <w:r>
        <w:rPr>
          <w:rFonts w:ascii="宋体" w:hAnsi="宋体" w:cs="宋体"/>
          <w:b/>
          <w:sz w:val="24"/>
        </w:rPr>
        <w:t>3</w:t>
      </w:r>
      <w:r>
        <w:rPr>
          <w:rFonts w:hint="eastAsia" w:ascii="宋体" w:hAnsi="宋体" w:cs="宋体"/>
          <w:b/>
          <w:sz w:val="24"/>
        </w:rPr>
        <w:t>月</w:t>
      </w:r>
      <w:r>
        <w:rPr>
          <w:rFonts w:ascii="宋体" w:hAnsi="宋体" w:cs="宋体"/>
          <w:b/>
          <w:sz w:val="24"/>
        </w:rPr>
        <w:t>1</w:t>
      </w:r>
      <w:r>
        <w:rPr>
          <w:rFonts w:hint="eastAsia" w:ascii="宋体" w:hAnsi="宋体" w:cs="宋体"/>
          <w:b/>
          <w:sz w:val="24"/>
        </w:rPr>
        <w:t>8日9时30分。</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（3）投标文件递交地址：</w:t>
      </w:r>
      <w:r>
        <w:rPr>
          <w:rFonts w:hint="eastAsia" w:ascii="宋体" w:hAnsi="宋体" w:cs="宋体"/>
          <w:b/>
          <w:bCs/>
          <w:sz w:val="24"/>
        </w:rPr>
        <w:t>南通市崇川路1号建发集团二楼会议室</w:t>
      </w:r>
      <w:r>
        <w:rPr>
          <w:rFonts w:hint="eastAsia" w:ascii="宋体" w:hAnsi="宋体" w:cs="宋体"/>
          <w:sz w:val="24"/>
        </w:rPr>
        <w:t>，如有变动另行通知。</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投标供应商递交投标文件时，</w:t>
      </w:r>
      <w:r>
        <w:rPr>
          <w:rFonts w:hint="eastAsia" w:ascii="宋体" w:hAnsi="宋体" w:cs="宋体"/>
          <w:b/>
          <w:bCs/>
          <w:sz w:val="24"/>
          <w:u w:val="thick" w:color="FF0000"/>
        </w:rPr>
        <w:t>投标供应商的法定代表人（或其授权代理人）必须携带本人身份证、法定代表人身份证明（或授权委托书）原件准时参加开标会议</w:t>
      </w:r>
      <w:r>
        <w:rPr>
          <w:rFonts w:hint="eastAsia" w:ascii="宋体" w:hAnsi="宋体" w:cs="宋体"/>
          <w:b/>
          <w:bCs/>
          <w:sz w:val="24"/>
        </w:rPr>
        <w:t>。否则，其投标文件不予受理。</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注：法定代表人身份证明（或授权委托书）一式二份，一份装订在资格审查文件中，</w:t>
      </w:r>
      <w:r>
        <w:rPr>
          <w:rFonts w:hint="eastAsia" w:ascii="宋体" w:hAnsi="宋体" w:cs="宋体"/>
          <w:b/>
          <w:bCs/>
          <w:sz w:val="24"/>
          <w:u w:val="thick" w:color="FF0000"/>
        </w:rPr>
        <w:t>另一份在投标时随身携带。</w:t>
      </w:r>
    </w:p>
    <w:p>
      <w:pPr>
        <w:widowControl/>
        <w:spacing w:line="360" w:lineRule="auto"/>
        <w:ind w:firstLine="236" w:firstLineChars="98"/>
        <w:jc w:val="left"/>
        <w:rPr>
          <w:rFonts w:ascii="宋体" w:hAnsi="宋体" w:cs="宋体"/>
          <w:b/>
          <w:bCs/>
          <w:kern w:val="0"/>
          <w:sz w:val="24"/>
        </w:rPr>
      </w:pPr>
      <w:r>
        <w:rPr>
          <w:rFonts w:hint="eastAsia" w:ascii="宋体" w:hAnsi="宋体" w:cs="宋体"/>
          <w:b/>
          <w:bCs/>
          <w:kern w:val="0"/>
          <w:sz w:val="24"/>
        </w:rPr>
        <w:t>六、开标</w:t>
      </w:r>
    </w:p>
    <w:p>
      <w:pPr>
        <w:widowControl/>
        <w:spacing w:line="360" w:lineRule="auto"/>
        <w:ind w:firstLine="480" w:firstLineChars="200"/>
        <w:jc w:val="left"/>
        <w:rPr>
          <w:rFonts w:ascii="宋体" w:hAnsi="宋体" w:cs="宋体"/>
          <w:b/>
          <w:sz w:val="24"/>
        </w:rPr>
      </w:pPr>
      <w:r>
        <w:rPr>
          <w:rFonts w:hint="eastAsia" w:ascii="宋体" w:hAnsi="宋体" w:cs="宋体"/>
          <w:kern w:val="0"/>
          <w:sz w:val="24"/>
        </w:rPr>
        <w:t>1.开标时间：</w:t>
      </w:r>
      <w:r>
        <w:rPr>
          <w:rFonts w:hint="eastAsia" w:ascii="宋体" w:hAnsi="宋体" w:cs="宋体"/>
          <w:b/>
          <w:sz w:val="24"/>
        </w:rPr>
        <w:t>202</w:t>
      </w:r>
      <w:r>
        <w:rPr>
          <w:rFonts w:ascii="宋体" w:hAnsi="宋体" w:cs="宋体"/>
          <w:b/>
          <w:sz w:val="24"/>
        </w:rPr>
        <w:t>3</w:t>
      </w:r>
      <w:r>
        <w:rPr>
          <w:rFonts w:hint="eastAsia" w:ascii="宋体" w:hAnsi="宋体" w:cs="宋体"/>
          <w:b/>
          <w:sz w:val="24"/>
        </w:rPr>
        <w:t>年</w:t>
      </w:r>
      <w:r>
        <w:rPr>
          <w:rFonts w:ascii="宋体" w:hAnsi="宋体" w:cs="宋体"/>
          <w:b/>
          <w:sz w:val="24"/>
        </w:rPr>
        <w:t>3</w:t>
      </w:r>
      <w:r>
        <w:rPr>
          <w:rFonts w:hint="eastAsia" w:ascii="宋体" w:hAnsi="宋体" w:cs="宋体"/>
          <w:b/>
          <w:sz w:val="24"/>
        </w:rPr>
        <w:t>月</w:t>
      </w:r>
      <w:r>
        <w:rPr>
          <w:rFonts w:ascii="宋体" w:hAnsi="宋体" w:cs="宋体"/>
          <w:b/>
          <w:sz w:val="24"/>
        </w:rPr>
        <w:t>1</w:t>
      </w:r>
      <w:r>
        <w:rPr>
          <w:rFonts w:hint="eastAsia" w:ascii="宋体" w:hAnsi="宋体" w:cs="宋体"/>
          <w:b/>
          <w:sz w:val="24"/>
        </w:rPr>
        <w:t>8日9时30分。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2.开标地点：</w:t>
      </w:r>
      <w:r>
        <w:rPr>
          <w:rFonts w:hint="eastAsia" w:ascii="宋体" w:hAnsi="宋体" w:cs="宋体"/>
          <w:b/>
          <w:bCs/>
          <w:sz w:val="24"/>
        </w:rPr>
        <w:t>南通市崇川路1号建发集团二楼会议室</w:t>
      </w:r>
      <w:r>
        <w:rPr>
          <w:rFonts w:hint="eastAsia" w:ascii="宋体" w:hAnsi="宋体" w:cs="宋体"/>
          <w:kern w:val="0"/>
          <w:sz w:val="24"/>
        </w:rPr>
        <w:t>，如有变动另行通知；</w:t>
      </w:r>
    </w:p>
    <w:p>
      <w:pPr>
        <w:widowControl/>
        <w:spacing w:line="360" w:lineRule="auto"/>
        <w:jc w:val="left"/>
        <w:rPr>
          <w:rFonts w:ascii="宋体" w:hAnsi="宋体" w:cs="宋体"/>
          <w:b/>
          <w:bCs/>
          <w:kern w:val="0"/>
          <w:sz w:val="24"/>
        </w:rPr>
      </w:pPr>
      <w:r>
        <w:rPr>
          <w:rFonts w:hint="eastAsia" w:ascii="宋体" w:hAnsi="宋体" w:cs="宋体"/>
          <w:b/>
          <w:bCs/>
          <w:kern w:val="0"/>
          <w:sz w:val="24"/>
        </w:rPr>
        <w:t xml:space="preserve">  七、资格审查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1.资格审查时间：</w:t>
      </w:r>
      <w:r>
        <w:rPr>
          <w:rFonts w:hint="eastAsia" w:ascii="宋体" w:hAnsi="宋体" w:cs="宋体"/>
          <w:b/>
          <w:sz w:val="24"/>
        </w:rPr>
        <w:t>202</w:t>
      </w:r>
      <w:r>
        <w:rPr>
          <w:rFonts w:ascii="宋体" w:hAnsi="宋体" w:cs="宋体"/>
          <w:b/>
          <w:sz w:val="24"/>
        </w:rPr>
        <w:t>3</w:t>
      </w:r>
      <w:r>
        <w:rPr>
          <w:rFonts w:hint="eastAsia" w:ascii="宋体" w:hAnsi="宋体" w:cs="宋体"/>
          <w:b/>
          <w:sz w:val="24"/>
        </w:rPr>
        <w:t>年</w:t>
      </w:r>
      <w:r>
        <w:rPr>
          <w:rFonts w:ascii="宋体" w:hAnsi="宋体" w:cs="宋体"/>
          <w:b/>
          <w:sz w:val="24"/>
        </w:rPr>
        <w:t>3</w:t>
      </w:r>
      <w:r>
        <w:rPr>
          <w:rFonts w:hint="eastAsia" w:ascii="宋体" w:hAnsi="宋体" w:cs="宋体"/>
          <w:b/>
          <w:sz w:val="24"/>
        </w:rPr>
        <w:t>月</w:t>
      </w:r>
      <w:r>
        <w:rPr>
          <w:rFonts w:ascii="宋体" w:hAnsi="宋体" w:cs="宋体"/>
          <w:b/>
          <w:sz w:val="24"/>
        </w:rPr>
        <w:t>1</w:t>
      </w:r>
      <w:r>
        <w:rPr>
          <w:rFonts w:hint="eastAsia" w:ascii="宋体" w:hAnsi="宋体" w:cs="宋体"/>
          <w:b/>
          <w:sz w:val="24"/>
        </w:rPr>
        <w:t>8日9时30分。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2.资格审查地点：</w:t>
      </w:r>
      <w:r>
        <w:rPr>
          <w:rFonts w:hint="eastAsia" w:ascii="宋体" w:hAnsi="宋体" w:cs="宋体"/>
          <w:b/>
          <w:bCs/>
          <w:sz w:val="24"/>
        </w:rPr>
        <w:t>南通市崇川路1号建发集团二楼会议室</w:t>
      </w:r>
      <w:r>
        <w:rPr>
          <w:rFonts w:hint="eastAsia" w:ascii="宋体" w:hAnsi="宋体" w:cs="宋体"/>
          <w:kern w:val="0"/>
          <w:sz w:val="24"/>
        </w:rPr>
        <w:t>，如有变动另行通知；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3.采购人将依法对投标供应商的资格进行审查，审查通过方可参与项目的评标。</w:t>
      </w:r>
    </w:p>
    <w:p>
      <w:pPr>
        <w:widowControl/>
        <w:spacing w:line="360" w:lineRule="auto"/>
        <w:ind w:firstLine="241" w:firstLineChars="100"/>
        <w:jc w:val="left"/>
        <w:rPr>
          <w:rFonts w:ascii="宋体" w:hAnsi="宋体" w:cs="宋体"/>
          <w:b/>
          <w:bCs/>
          <w:kern w:val="0"/>
          <w:sz w:val="24"/>
        </w:rPr>
      </w:pPr>
      <w:r>
        <w:rPr>
          <w:rFonts w:hint="eastAsia" w:ascii="宋体" w:hAnsi="宋体" w:cs="宋体"/>
          <w:b/>
          <w:bCs/>
          <w:kern w:val="0"/>
          <w:sz w:val="24"/>
        </w:rPr>
        <w:t>八、评标、路演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1.评标时间：资格审查后当即开始；</w:t>
      </w:r>
    </w:p>
    <w:p>
      <w:pPr>
        <w:adjustRightInd w:val="0"/>
        <w:snapToGrid w:val="0"/>
        <w:spacing w:line="360" w:lineRule="auto"/>
        <w:ind w:firstLine="484" w:firstLineChars="202"/>
        <w:rPr>
          <w:rFonts w:ascii="宋体" w:hAnsi="宋体"/>
          <w:sz w:val="24"/>
        </w:rPr>
      </w:pPr>
      <w:r>
        <w:rPr>
          <w:rFonts w:ascii="宋体" w:hAnsi="宋体"/>
          <w:sz w:val="24"/>
        </w:rPr>
        <w:t>2</w:t>
      </w:r>
      <w:r>
        <w:rPr>
          <w:rFonts w:hint="eastAsia" w:ascii="宋体" w:hAnsi="宋体"/>
          <w:sz w:val="24"/>
        </w:rPr>
        <w:t>.路演时间：技术标开标30分钟后开始，按现场签到顺序进行。采用投标供应商现场路演，投标准备的影像资料需提前准备好，采用</w:t>
      </w:r>
      <w:r>
        <w:rPr>
          <w:rFonts w:ascii="宋体" w:hAnsi="宋体"/>
          <w:sz w:val="24"/>
        </w:rPr>
        <w:t>U</w:t>
      </w:r>
      <w:r>
        <w:rPr>
          <w:rFonts w:hint="eastAsia" w:ascii="宋体" w:hAnsi="宋体"/>
          <w:sz w:val="24"/>
        </w:rPr>
        <w:t>盘存储，现场播放。</w:t>
      </w:r>
    </w:p>
    <w:p>
      <w:pPr>
        <w:adjustRightInd w:val="0"/>
        <w:snapToGrid w:val="0"/>
        <w:spacing w:line="360" w:lineRule="auto"/>
        <w:ind w:firstLine="484" w:firstLineChars="202"/>
        <w:rPr>
          <w:rFonts w:ascii="宋体" w:hAnsi="宋体"/>
          <w:sz w:val="24"/>
        </w:rPr>
      </w:pPr>
      <w:r>
        <w:rPr>
          <w:rFonts w:ascii="宋体" w:hAnsi="宋体"/>
          <w:sz w:val="24"/>
        </w:rPr>
        <w:t>3</w:t>
      </w:r>
      <w:r>
        <w:rPr>
          <w:rFonts w:hint="eastAsia" w:ascii="宋体" w:hAnsi="宋体"/>
          <w:sz w:val="24"/>
        </w:rPr>
        <w:t>.路演地点：</w:t>
      </w:r>
      <w:r>
        <w:rPr>
          <w:rFonts w:hint="eastAsia" w:ascii="宋体" w:hAnsi="宋体" w:cs="宋体"/>
          <w:bCs/>
          <w:sz w:val="24"/>
        </w:rPr>
        <w:t>南通市崇川区崇川路1号南通市崇川城市建设发展(集团)有限公司三楼会议室</w:t>
      </w:r>
      <w:r>
        <w:rPr>
          <w:rFonts w:hint="eastAsia" w:ascii="宋体" w:hAnsi="宋体"/>
          <w:sz w:val="24"/>
        </w:rPr>
        <w:t>，如有变动另行通知。</w:t>
      </w:r>
    </w:p>
    <w:p>
      <w:pPr>
        <w:adjustRightInd w:val="0"/>
        <w:snapToGrid w:val="0"/>
        <w:spacing w:line="360" w:lineRule="auto"/>
        <w:ind w:firstLine="484" w:firstLineChars="202"/>
      </w:pPr>
      <w:r>
        <w:rPr>
          <w:rFonts w:hint="eastAsia" w:ascii="宋体" w:hAnsi="宋体"/>
          <w:sz w:val="24"/>
        </w:rPr>
        <w:t>4.路演内容：结合本项目的特点，从</w:t>
      </w:r>
      <w:r>
        <w:rPr>
          <w:rFonts w:hint="eastAsia" w:ascii="宋体" w:hAnsi="宋体" w:cs="仿宋"/>
          <w:bCs/>
          <w:sz w:val="24"/>
        </w:rPr>
        <w:t>发行方案及团队实力</w:t>
      </w:r>
      <w:r>
        <w:rPr>
          <w:rFonts w:hint="eastAsia" w:ascii="宋体" w:hAnsi="宋体"/>
          <w:sz w:val="24"/>
        </w:rPr>
        <w:t>方面进行路演展示，限时10分钟，无路演的投标供应商不得进入评标环节，作无效标处理。</w:t>
      </w:r>
    </w:p>
    <w:p>
      <w:pPr>
        <w:pStyle w:val="2"/>
        <w:spacing w:line="360" w:lineRule="auto"/>
        <w:ind w:firstLine="482"/>
        <w:rPr>
          <w:rFonts w:ascii="宋体" w:hAnsi="宋体" w:cs="宋体"/>
          <w:kern w:val="0"/>
        </w:rPr>
      </w:pPr>
      <w:r>
        <w:rPr>
          <w:rFonts w:hint="eastAsia" w:ascii="宋体" w:hAnsi="宋体" w:cs="宋体"/>
          <w:kern w:val="0"/>
        </w:rPr>
        <w:t>5.评标委员会负责具体评标事务。</w:t>
      </w:r>
    </w:p>
    <w:p>
      <w:pPr>
        <w:pStyle w:val="2"/>
        <w:spacing w:line="360" w:lineRule="auto"/>
        <w:rPr>
          <w:rFonts w:ascii="宋体" w:hAnsi="宋体" w:cs="宋体"/>
          <w:b/>
          <w:bCs/>
          <w:kern w:val="0"/>
        </w:rPr>
      </w:pPr>
      <w:r>
        <w:rPr>
          <w:rFonts w:hint="eastAsia" w:ascii="宋体" w:hAnsi="宋体" w:cs="宋体"/>
          <w:b/>
          <w:bCs/>
          <w:kern w:val="0"/>
        </w:rPr>
        <w:t xml:space="preserve">  九、联系方式</w:t>
      </w:r>
    </w:p>
    <w:p>
      <w:pPr>
        <w:tabs>
          <w:tab w:val="left" w:pos="1985"/>
        </w:tabs>
        <w:spacing w:line="360" w:lineRule="auto"/>
        <w:ind w:firstLine="480" w:firstLineChars="200"/>
        <w:rPr>
          <w:rFonts w:ascii="宋体" w:hAnsi="宋体" w:cs="宋体"/>
          <w:sz w:val="24"/>
        </w:rPr>
      </w:pPr>
      <w:r>
        <w:rPr>
          <w:rFonts w:hint="eastAsia" w:ascii="宋体" w:hAnsi="宋体" w:cs="宋体"/>
          <w:sz w:val="24"/>
        </w:rPr>
        <w:t>采购人：南通市崇川城市建设发展（集团）有限公司；</w:t>
      </w:r>
    </w:p>
    <w:p>
      <w:pPr>
        <w:spacing w:line="360" w:lineRule="auto"/>
        <w:ind w:firstLine="480" w:firstLineChars="200"/>
        <w:rPr>
          <w:rFonts w:ascii="宋体" w:hAnsi="宋体" w:cs="宋体"/>
          <w:sz w:val="24"/>
        </w:rPr>
      </w:pPr>
      <w:r>
        <w:rPr>
          <w:rFonts w:hint="eastAsia" w:ascii="宋体" w:hAnsi="宋体" w:cs="宋体"/>
          <w:sz w:val="24"/>
        </w:rPr>
        <w:t>采购人联系人：赵女士     联系电话：</w:t>
      </w:r>
      <w:r>
        <w:rPr>
          <w:rFonts w:ascii="宋体" w:hAnsi="宋体" w:cs="宋体"/>
          <w:sz w:val="24"/>
        </w:rPr>
        <w:t>0513-66889924</w:t>
      </w:r>
    </w:p>
    <w:p>
      <w:pPr>
        <w:tabs>
          <w:tab w:val="left" w:pos="1985"/>
        </w:tabs>
        <w:spacing w:line="360" w:lineRule="auto"/>
        <w:ind w:firstLine="480" w:firstLineChars="200"/>
        <w:rPr>
          <w:rFonts w:ascii="宋体" w:hAnsi="宋体" w:cs="宋体"/>
          <w:sz w:val="24"/>
        </w:rPr>
      </w:pPr>
      <w:r>
        <w:rPr>
          <w:rFonts w:hint="eastAsia" w:ascii="宋体" w:hAnsi="宋体" w:cs="宋体"/>
          <w:sz w:val="24"/>
        </w:rPr>
        <w:t>代理机构：江苏科建工程项目管理有限公司</w:t>
      </w:r>
    </w:p>
    <w:p>
      <w:pPr>
        <w:tabs>
          <w:tab w:val="left" w:pos="1985"/>
        </w:tabs>
        <w:spacing w:line="360" w:lineRule="auto"/>
        <w:ind w:firstLine="480" w:firstLineChars="200"/>
        <w:rPr>
          <w:rFonts w:ascii="宋体" w:hAnsi="宋体" w:cs="宋体"/>
          <w:sz w:val="24"/>
        </w:rPr>
      </w:pPr>
      <w:r>
        <w:rPr>
          <w:rFonts w:hint="eastAsia" w:ascii="宋体" w:hAnsi="宋体" w:cs="宋体"/>
          <w:sz w:val="24"/>
        </w:rPr>
        <w:t>地址：南通市北朱家园路28号佳成大厦三楼</w:t>
      </w:r>
    </w:p>
    <w:p>
      <w:pPr>
        <w:tabs>
          <w:tab w:val="left" w:pos="1985"/>
        </w:tabs>
        <w:spacing w:line="360" w:lineRule="auto"/>
        <w:ind w:firstLine="480" w:firstLineChars="200"/>
        <w:rPr>
          <w:rFonts w:ascii="宋体" w:hAnsi="宋体" w:cs="宋体"/>
          <w:sz w:val="24"/>
        </w:rPr>
      </w:pPr>
      <w:r>
        <w:rPr>
          <w:rFonts w:hint="eastAsia" w:ascii="宋体" w:hAnsi="宋体" w:cs="宋体"/>
          <w:sz w:val="24"/>
        </w:rPr>
        <w:t>联系人：蒋惠   联系电话：0513-85110636,13912280232</w:t>
      </w:r>
    </w:p>
    <w:p>
      <w:pPr>
        <w:spacing w:line="360" w:lineRule="auto"/>
        <w:ind w:firstLine="241" w:firstLineChars="100"/>
        <w:rPr>
          <w:rFonts w:ascii="宋体" w:hAnsi="宋体" w:cs="宋体"/>
          <w:b/>
          <w:bCs/>
          <w:kern w:val="0"/>
          <w:sz w:val="24"/>
        </w:rPr>
      </w:pPr>
      <w:r>
        <w:rPr>
          <w:rFonts w:hint="eastAsia" w:ascii="宋体" w:hAnsi="宋体" w:cs="宋体"/>
          <w:b/>
          <w:bCs/>
          <w:kern w:val="0"/>
          <w:sz w:val="24"/>
        </w:rPr>
        <w:t>十、招标公告期</w:t>
      </w:r>
    </w:p>
    <w:p>
      <w:pPr>
        <w:spacing w:line="360" w:lineRule="auto"/>
        <w:ind w:firstLine="480" w:firstLineChars="200"/>
        <w:rPr>
          <w:rFonts w:ascii="宋体" w:hAnsi="宋体" w:cs="宋体"/>
          <w:sz w:val="24"/>
        </w:rPr>
      </w:pPr>
      <w:r>
        <w:rPr>
          <w:rFonts w:hint="eastAsia" w:ascii="宋体" w:hAnsi="宋体" w:cs="宋体"/>
          <w:sz w:val="24"/>
        </w:rPr>
        <w:t>1.本公开招标采购项目的公告期为公告之日后起的5个工作日。</w:t>
      </w:r>
    </w:p>
    <w:p>
      <w:pPr>
        <w:spacing w:line="360" w:lineRule="auto"/>
        <w:ind w:firstLine="480" w:firstLineChars="200"/>
        <w:jc w:val="left"/>
        <w:rPr>
          <w:rFonts w:ascii="宋体" w:hAnsi="宋体" w:cs="宋体"/>
          <w:sz w:val="24"/>
        </w:rPr>
      </w:pPr>
      <w:r>
        <w:rPr>
          <w:rFonts w:hint="eastAsia" w:ascii="宋体" w:hAnsi="宋体" w:cs="宋体"/>
          <w:sz w:val="24"/>
        </w:rPr>
        <w:t>2.本次采购的有关信息将在南通市崇川区人民政府网（http://www.chongchuan.gov.cn/ccqrmzf/index.html）上发布，敬请留意。</w:t>
      </w:r>
    </w:p>
    <w:p>
      <w:pPr>
        <w:spacing w:line="360" w:lineRule="auto"/>
        <w:ind w:firstLine="480" w:firstLineChars="200"/>
        <w:rPr>
          <w:rFonts w:ascii="宋体" w:hAnsi="宋体" w:cs="宋体"/>
          <w:kern w:val="0"/>
          <w:sz w:val="24"/>
        </w:rPr>
      </w:pPr>
      <w:r>
        <w:rPr>
          <w:rFonts w:hint="eastAsia" w:ascii="宋体" w:hAnsi="宋体" w:cs="宋体"/>
          <w:sz w:val="24"/>
        </w:rPr>
        <w:t>3.潜在</w:t>
      </w:r>
      <w:r>
        <w:rPr>
          <w:rFonts w:hint="eastAsia" w:ascii="宋体" w:hAnsi="宋体" w:cs="仿宋_GB2312"/>
          <w:sz w:val="24"/>
        </w:rPr>
        <w:t>投标供应商</w:t>
      </w:r>
      <w:r>
        <w:rPr>
          <w:rFonts w:hint="eastAsia" w:ascii="宋体" w:hAnsi="宋体" w:cs="宋体"/>
          <w:sz w:val="24"/>
        </w:rPr>
        <w:t>在获取本次招标招标文件后，认真阅读各项内容。有意愿参与本项目投标响应的供应商须进行必要准备工作，按招标文件的要求详细填写和编制投标文件，并按招标文件确定的时间、地点准时参加本项目</w:t>
      </w:r>
      <w:r>
        <w:rPr>
          <w:rFonts w:hint="eastAsia" w:ascii="宋体" w:hAnsi="宋体" w:cs="宋体"/>
          <w:kern w:val="0"/>
          <w:sz w:val="24"/>
        </w:rPr>
        <w:t>的招标采购活动。</w:t>
      </w:r>
    </w:p>
    <w:p>
      <w:pPr>
        <w:pStyle w:val="13"/>
        <w:spacing w:beforeLines="0" w:afterLines="0" w:line="360" w:lineRule="auto"/>
        <w:rPr>
          <w:rFonts w:ascii="宋体" w:eastAsia="宋体"/>
          <w:sz w:val="30"/>
          <w:szCs w:val="30"/>
        </w:rPr>
      </w:pPr>
      <w:bookmarkStart w:id="3" w:name="_Toc450137520"/>
      <w:r>
        <w:rPr>
          <w:rFonts w:hint="eastAsia" w:ascii="宋体" w:eastAsia="宋体"/>
          <w:sz w:val="30"/>
          <w:szCs w:val="30"/>
        </w:rPr>
        <w:t>第二章 投标供应商须知</w:t>
      </w:r>
      <w:bookmarkEnd w:id="1"/>
      <w:bookmarkEnd w:id="3"/>
    </w:p>
    <w:p>
      <w:pPr>
        <w:snapToGrid w:val="0"/>
        <w:spacing w:line="360" w:lineRule="auto"/>
        <w:ind w:firstLine="482" w:firstLineChars="200"/>
        <w:outlineLvl w:val="1"/>
        <w:rPr>
          <w:rFonts w:ascii="宋体" w:hAnsi="宋体" w:cs="宋体"/>
          <w:b/>
          <w:sz w:val="24"/>
        </w:rPr>
      </w:pPr>
      <w:r>
        <w:rPr>
          <w:rFonts w:hint="eastAsia" w:ascii="宋体" w:hAnsi="宋体" w:cs="宋体"/>
          <w:b/>
          <w:sz w:val="24"/>
        </w:rPr>
        <w:t>一、说明</w:t>
      </w:r>
    </w:p>
    <w:p>
      <w:pPr>
        <w:kinsoku w:val="0"/>
        <w:overflowPunct w:val="0"/>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1.本招标文件仅适用于南通市崇川城市建设发展（集团）有限公司的公开招标活动。</w:t>
      </w:r>
    </w:p>
    <w:p>
      <w:pPr>
        <w:spacing w:line="360" w:lineRule="auto"/>
        <w:ind w:firstLine="480" w:firstLineChars="200"/>
        <w:rPr>
          <w:rFonts w:ascii="宋体" w:hAnsi="宋体" w:cs="宋体"/>
          <w:kern w:val="0"/>
          <w:sz w:val="24"/>
        </w:rPr>
      </w:pPr>
      <w:r>
        <w:rPr>
          <w:rFonts w:hint="eastAsia" w:ascii="宋体" w:hAnsi="宋体" w:cs="宋体"/>
          <w:kern w:val="0"/>
          <w:sz w:val="24"/>
        </w:rPr>
        <w:t>2.公开招标活动及因本次招标产生的合同受中国法律制约和保护。</w:t>
      </w:r>
    </w:p>
    <w:p>
      <w:pPr>
        <w:spacing w:line="360" w:lineRule="auto"/>
        <w:ind w:firstLine="480" w:firstLineChars="200"/>
        <w:rPr>
          <w:rFonts w:ascii="宋体" w:hAnsi="宋体" w:cs="宋体"/>
          <w:kern w:val="0"/>
          <w:sz w:val="24"/>
        </w:rPr>
      </w:pPr>
      <w:r>
        <w:rPr>
          <w:rFonts w:hint="eastAsia" w:ascii="宋体" w:hAnsi="宋体" w:cs="宋体"/>
          <w:kern w:val="0"/>
          <w:sz w:val="24"/>
        </w:rPr>
        <w:t>3.招标文件的解释权属于南通市崇川城市建设发展（集团）有限公司。</w:t>
      </w:r>
    </w:p>
    <w:p>
      <w:pPr>
        <w:spacing w:line="360" w:lineRule="auto"/>
        <w:ind w:firstLine="480" w:firstLineChars="200"/>
        <w:rPr>
          <w:rFonts w:ascii="宋体" w:hAnsi="宋体" w:cs="宋体"/>
          <w:b/>
          <w:bCs/>
          <w:sz w:val="24"/>
        </w:rPr>
      </w:pPr>
      <w:r>
        <w:rPr>
          <w:rFonts w:hint="eastAsia" w:ascii="宋体" w:hAnsi="宋体" w:cs="宋体"/>
          <w:kern w:val="0"/>
          <w:sz w:val="24"/>
        </w:rPr>
        <w:t>4.</w:t>
      </w:r>
      <w:r>
        <w:rPr>
          <w:rFonts w:hint="eastAsia" w:ascii="宋体" w:hAnsi="宋体" w:cs="宋体"/>
          <w:sz w:val="24"/>
        </w:rPr>
        <w:t>投标供应商在知道或应当知道本项目招标公告及招标文件中的所有内容：如内容或页码短缺、资格要求和技术参数出现倾向性或排他性等表述的，</w:t>
      </w:r>
      <w:r>
        <w:rPr>
          <w:rFonts w:hint="eastAsia" w:ascii="宋体" w:hAnsi="宋体" w:cs="宋体"/>
          <w:b/>
          <w:sz w:val="24"/>
        </w:rPr>
        <w:t>应在本项目招标公告期限及期限届满之日后的7个工作日内提出询问或以书面实名制形式提出质疑</w:t>
      </w:r>
      <w:r>
        <w:rPr>
          <w:rFonts w:hint="eastAsia" w:ascii="宋体" w:hAnsi="宋体" w:cs="宋体"/>
          <w:sz w:val="24"/>
        </w:rPr>
        <w:t>；未提出询问、质疑或是未在规定期间内提出询问、质疑的，视作</w:t>
      </w:r>
      <w:r>
        <w:rPr>
          <w:rFonts w:hint="eastAsia" w:ascii="宋体" w:hAnsi="宋体" w:cs="仿宋_GB2312"/>
          <w:sz w:val="24"/>
        </w:rPr>
        <w:t>投标供应商</w:t>
      </w:r>
      <w:r>
        <w:rPr>
          <w:rFonts w:hint="eastAsia" w:ascii="宋体" w:hAnsi="宋体" w:cs="宋体"/>
          <w:sz w:val="24"/>
        </w:rPr>
        <w:t>接受本项目招标公告及招标文件中的全部内容；投标供应商不得在招标活动期间及招标结束后针对本项目招标公告及招标文件中的所有内容提出质疑、投诉。</w:t>
      </w:r>
      <w:r>
        <w:rPr>
          <w:rFonts w:hint="eastAsia" w:ascii="宋体" w:hAnsi="宋体" w:cs="宋体"/>
          <w:b/>
          <w:bCs/>
          <w:sz w:val="24"/>
        </w:rPr>
        <w:t>非书面形式的不作为日后质疑提出的依据。</w:t>
      </w:r>
    </w:p>
    <w:p>
      <w:pPr>
        <w:spacing w:line="360" w:lineRule="auto"/>
        <w:ind w:firstLine="480" w:firstLineChars="200"/>
        <w:rPr>
          <w:rFonts w:ascii="宋体" w:hAnsi="宋体" w:cs="宋体"/>
          <w:kern w:val="0"/>
          <w:sz w:val="24"/>
        </w:rPr>
      </w:pPr>
      <w:r>
        <w:rPr>
          <w:rFonts w:hint="eastAsia" w:ascii="宋体" w:hAnsi="宋体" w:cs="宋体"/>
          <w:kern w:val="0"/>
          <w:sz w:val="24"/>
        </w:rPr>
        <w:t>5.投标供应商应认真审阅招标文件中所有的事项、格式、条款和规范要求等，如果投标供应商没有按照招标文件要求提交投标文件，或者投标文件没有对招标文件做出实质性响应，将被拒绝参与投标。</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二、招标文件的补充说明、澄清、修改、答疑</w:t>
      </w:r>
    </w:p>
    <w:p>
      <w:pPr>
        <w:spacing w:line="360" w:lineRule="auto"/>
        <w:ind w:firstLine="480" w:firstLineChars="200"/>
        <w:rPr>
          <w:rFonts w:ascii="宋体" w:hAnsi="宋体" w:cs="宋体"/>
          <w:kern w:val="0"/>
          <w:sz w:val="24"/>
        </w:rPr>
      </w:pPr>
      <w:r>
        <w:rPr>
          <w:rFonts w:hint="eastAsia" w:ascii="宋体" w:hAnsi="宋体" w:cs="宋体"/>
          <w:kern w:val="0"/>
          <w:sz w:val="24"/>
        </w:rPr>
        <w:t>1.采购人有权对发出的招标文件进行必要的补充说明、澄清或修改。</w:t>
      </w:r>
    </w:p>
    <w:p>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招标文件的澄清、修改、补充等内容均以书面明确的形式发布，且以在“南通市崇川区人民政府网”发布的信息为准。</w:t>
      </w:r>
    </w:p>
    <w:p>
      <w:pPr>
        <w:spacing w:line="360" w:lineRule="auto"/>
        <w:ind w:firstLine="480" w:firstLineChars="200"/>
        <w:rPr>
          <w:rFonts w:ascii="宋体" w:hAnsi="宋体" w:cs="宋体"/>
          <w:kern w:val="0"/>
          <w:sz w:val="24"/>
        </w:rPr>
      </w:pPr>
      <w:r>
        <w:rPr>
          <w:rFonts w:hint="eastAsia" w:ascii="宋体" w:hAnsi="宋体" w:cs="宋体"/>
          <w:kern w:val="0"/>
          <w:sz w:val="24"/>
        </w:rPr>
        <w:t>3.采购人对招标文件的补充说明、澄清或修改，将构成招标文件的一部分，对投标供应商具有约束力。</w:t>
      </w:r>
    </w:p>
    <w:p>
      <w:pPr>
        <w:spacing w:line="360" w:lineRule="auto"/>
        <w:ind w:firstLine="480" w:firstLineChars="200"/>
        <w:rPr>
          <w:rFonts w:ascii="宋体" w:hAnsi="宋体" w:cs="宋体"/>
          <w:kern w:val="0"/>
          <w:sz w:val="24"/>
        </w:rPr>
      </w:pPr>
      <w:r>
        <w:rPr>
          <w:rFonts w:hint="eastAsia" w:ascii="宋体" w:hAnsi="宋体" w:cs="宋体"/>
          <w:kern w:val="0"/>
          <w:sz w:val="24"/>
        </w:rPr>
        <w:t>4.补充说明、澄清或修改的内容可能影响到投标文件编制的，采购人将在提交首次投标文件截止之日5日前，发布补充说明、澄清或修改公告，不足5日的，应当顺延提交首次投标文件截止之日。</w:t>
      </w:r>
    </w:p>
    <w:p>
      <w:pPr>
        <w:spacing w:line="360" w:lineRule="auto"/>
        <w:ind w:firstLine="480" w:firstLineChars="200"/>
        <w:rPr>
          <w:rFonts w:ascii="宋体" w:hAnsi="宋体" w:cs="宋体"/>
          <w:kern w:val="0"/>
          <w:sz w:val="24"/>
        </w:rPr>
      </w:pPr>
      <w:r>
        <w:rPr>
          <w:rFonts w:hint="eastAsia" w:ascii="宋体" w:hAnsi="宋体" w:cs="宋体"/>
          <w:kern w:val="0"/>
          <w:sz w:val="24"/>
        </w:rPr>
        <w:t>5.除非招标机构以书面的形式对招标文件作出澄清、修改及补充，投标供应商对涉及招标文件的任何推论、理解和结论所造成的结果，均由投标供应商自负。</w:t>
      </w:r>
    </w:p>
    <w:p>
      <w:pPr>
        <w:spacing w:line="360" w:lineRule="auto"/>
        <w:ind w:firstLine="480" w:firstLineChars="200"/>
        <w:rPr>
          <w:rFonts w:ascii="宋体" w:hAnsi="宋体" w:cs="宋体"/>
          <w:kern w:val="0"/>
          <w:sz w:val="24"/>
        </w:rPr>
      </w:pPr>
      <w:r>
        <w:rPr>
          <w:rFonts w:hint="eastAsia" w:ascii="宋体" w:hAnsi="宋体" w:cs="宋体"/>
          <w:kern w:val="0"/>
          <w:sz w:val="24"/>
        </w:rPr>
        <w:t>6.采购人视情组织答疑会。如有答疑且对招标文件内容有修改，采购人将按照本须知有关规定，以补充通知（公告）的方式发出。</w:t>
      </w:r>
    </w:p>
    <w:p>
      <w:pPr>
        <w:pStyle w:val="5"/>
        <w:snapToGrid w:val="0"/>
        <w:spacing w:line="360" w:lineRule="auto"/>
        <w:ind w:left="0" w:leftChars="0" w:firstLine="482" w:firstLineChars="200"/>
        <w:contextualSpacing/>
        <w:rPr>
          <w:rFonts w:ascii="宋体" w:hAnsi="宋体" w:cs="宋体"/>
          <w:b/>
          <w:sz w:val="24"/>
        </w:rPr>
      </w:pPr>
      <w:r>
        <w:rPr>
          <w:rFonts w:hint="eastAsia" w:ascii="宋体" w:hAnsi="宋体" w:cs="宋体"/>
          <w:b/>
          <w:sz w:val="24"/>
        </w:rPr>
        <w:t>三、投标文件的编写及装订</w:t>
      </w:r>
    </w:p>
    <w:p>
      <w:pPr>
        <w:snapToGrid w:val="0"/>
        <w:spacing w:line="360" w:lineRule="auto"/>
        <w:ind w:firstLine="480" w:firstLineChars="200"/>
        <w:rPr>
          <w:rFonts w:ascii="宋体" w:hAnsi="宋体" w:cs="宋体"/>
          <w:sz w:val="24"/>
        </w:rPr>
      </w:pPr>
      <w:r>
        <w:rPr>
          <w:rFonts w:hint="eastAsia" w:ascii="宋体" w:hAnsi="宋体" w:cs="宋体"/>
          <w:sz w:val="24"/>
        </w:rPr>
        <w:t>1.投标文件由：</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24"/>
        </w:rPr>
        <w:instrText xml:space="preserve">○</w:instrText>
      </w:r>
      <w:r>
        <w:rPr>
          <w:rFonts w:hint="eastAsia" w:ascii="宋体" w:hAnsi="宋体" w:cs="宋体"/>
          <w:sz w:val="24"/>
        </w:rPr>
        <w:instrText xml:space="preserve">,1)</w:instrText>
      </w:r>
      <w:r>
        <w:rPr>
          <w:rFonts w:hint="eastAsia" w:ascii="宋体" w:hAnsi="宋体" w:cs="宋体"/>
          <w:sz w:val="24"/>
        </w:rPr>
        <w:fldChar w:fldCharType="end"/>
      </w:r>
      <w:r>
        <w:rPr>
          <w:rFonts w:hint="eastAsia" w:ascii="宋体" w:hAnsi="宋体" w:cs="宋体"/>
          <w:sz w:val="24"/>
        </w:rPr>
        <w:t>资格审查文件、</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24"/>
        </w:rPr>
        <w:instrText xml:space="preserve">○</w:instrText>
      </w:r>
      <w:r>
        <w:rPr>
          <w:rFonts w:hint="eastAsia" w:ascii="宋体" w:hAnsi="宋体" w:cs="宋体"/>
          <w:sz w:val="24"/>
        </w:rPr>
        <w:instrText xml:space="preserve">,2)</w:instrText>
      </w:r>
      <w:r>
        <w:rPr>
          <w:rFonts w:hint="eastAsia" w:ascii="宋体" w:hAnsi="宋体" w:cs="宋体"/>
          <w:sz w:val="24"/>
        </w:rPr>
        <w:fldChar w:fldCharType="end"/>
      </w:r>
      <w:r>
        <w:rPr>
          <w:rFonts w:hint="eastAsia" w:ascii="宋体" w:hAnsi="宋体" w:cs="宋体"/>
          <w:sz w:val="24"/>
        </w:rPr>
        <w:t>技术标、</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24"/>
        </w:rPr>
        <w:instrText xml:space="preserve">○</w:instrText>
      </w:r>
      <w:r>
        <w:rPr>
          <w:rFonts w:hint="eastAsia" w:ascii="宋体" w:hAnsi="宋体" w:cs="宋体"/>
          <w:sz w:val="24"/>
        </w:rPr>
        <w:instrText xml:space="preserve">,3)</w:instrText>
      </w:r>
      <w:r>
        <w:rPr>
          <w:rFonts w:hint="eastAsia" w:ascii="宋体" w:hAnsi="宋体" w:cs="宋体"/>
          <w:sz w:val="24"/>
        </w:rPr>
        <w:fldChar w:fldCharType="end"/>
      </w:r>
      <w:r>
        <w:rPr>
          <w:rFonts w:hint="eastAsia" w:ascii="宋体" w:hAnsi="宋体" w:cs="宋体"/>
          <w:sz w:val="24"/>
        </w:rPr>
        <w:t>商务标共三部分组成（以下由文件序号代称）。</w:t>
      </w:r>
    </w:p>
    <w:p>
      <w:pPr>
        <w:spacing w:line="360" w:lineRule="auto"/>
        <w:ind w:firstLine="484" w:firstLineChars="202"/>
        <w:rPr>
          <w:rFonts w:ascii="宋体" w:hAnsi="宋体" w:cs="宋体"/>
          <w:sz w:val="24"/>
        </w:rPr>
      </w:pPr>
      <w:r>
        <w:rPr>
          <w:rFonts w:hint="eastAsia" w:ascii="宋体" w:hAnsi="宋体" w:cs="宋体"/>
          <w:sz w:val="24"/>
        </w:rPr>
        <w:t>2.投标供应商按招标文件要求编写投标文件，并牢固装订成册。投标文件均需采用A4纸（图纸等除外），不允许使用活页夹、拉杆夹、文件夹、塑料方便式书脊（插入式或穿孔式）装订。投标文件不得行间插字、涂改、增删，如：修改错漏处，须经投标文件签署人签字（或盖章）并加盖公章。</w:t>
      </w:r>
    </w:p>
    <w:p>
      <w:pPr>
        <w:spacing w:line="360" w:lineRule="auto"/>
        <w:ind w:firstLine="480" w:firstLineChars="200"/>
        <w:rPr>
          <w:rFonts w:ascii="宋体" w:hAnsi="宋体" w:cs="宋体"/>
          <w:sz w:val="24"/>
        </w:rPr>
      </w:pPr>
      <w:r>
        <w:rPr>
          <w:rFonts w:hint="eastAsia" w:ascii="宋体" w:hAnsi="宋体" w:cs="宋体"/>
          <w:sz w:val="24"/>
        </w:rPr>
        <w:t>3.投标文件的 “资格审查文件”、“技术标”、“商务标”各自装订成册。特别提示：“商务标”必须单独装订和封装，不得出现在“资格审查文件”和“技术标”之中，否则作无效投标处理。</w:t>
      </w:r>
    </w:p>
    <w:p>
      <w:pPr>
        <w:spacing w:line="360" w:lineRule="auto"/>
        <w:ind w:firstLine="487" w:firstLineChars="202"/>
        <w:rPr>
          <w:rFonts w:ascii="宋体" w:hAnsi="宋体" w:cs="宋体"/>
          <w:b/>
          <w:sz w:val="24"/>
        </w:rPr>
      </w:pPr>
      <w:r>
        <w:rPr>
          <w:rFonts w:hint="eastAsia" w:ascii="宋体" w:hAnsi="宋体" w:cs="宋体"/>
          <w:b/>
          <w:sz w:val="24"/>
        </w:rPr>
        <w:t>四、投标文件的份数和签署</w:t>
      </w:r>
    </w:p>
    <w:p>
      <w:pPr>
        <w:snapToGrid w:val="0"/>
        <w:spacing w:line="360" w:lineRule="auto"/>
        <w:ind w:firstLine="480" w:firstLineChars="200"/>
        <w:rPr>
          <w:rFonts w:ascii="宋体" w:hAnsi="宋体" w:cs="宋体"/>
          <w:sz w:val="24"/>
        </w:rPr>
      </w:pPr>
      <w:r>
        <w:rPr>
          <w:rFonts w:hint="eastAsia" w:ascii="宋体" w:hAnsi="宋体" w:cs="宋体"/>
          <w:sz w:val="24"/>
        </w:rPr>
        <w:t>1.投标供应商应准备</w:t>
      </w:r>
      <w:r>
        <w:rPr>
          <w:rFonts w:hint="eastAsia" w:ascii="宋体" w:hAnsi="宋体" w:cs="宋体"/>
          <w:sz w:val="24"/>
          <w:u w:val="single"/>
        </w:rPr>
        <w:t xml:space="preserve"> </w:t>
      </w:r>
      <w:r>
        <w:rPr>
          <w:rFonts w:hint="eastAsia" w:ascii="宋体" w:hAnsi="宋体" w:cs="宋体"/>
          <w:b/>
          <w:bCs/>
          <w:sz w:val="24"/>
          <w:u w:val="single"/>
        </w:rPr>
        <w:t>伍</w:t>
      </w:r>
      <w:r>
        <w:rPr>
          <w:rFonts w:hint="eastAsia" w:ascii="宋体" w:hAnsi="宋体" w:cs="宋体"/>
          <w:sz w:val="24"/>
        </w:rPr>
        <w:t>份完整的投标文件，其中正本</w:t>
      </w:r>
      <w:r>
        <w:rPr>
          <w:rFonts w:hint="eastAsia" w:ascii="宋体" w:hAnsi="宋体" w:cs="宋体"/>
          <w:sz w:val="24"/>
          <w:u w:val="single"/>
        </w:rPr>
        <w:t xml:space="preserve"> </w:t>
      </w:r>
      <w:r>
        <w:rPr>
          <w:rFonts w:hint="eastAsia" w:ascii="宋体" w:hAnsi="宋体" w:cs="宋体"/>
          <w:b/>
          <w:bCs/>
          <w:sz w:val="24"/>
          <w:u w:val="single"/>
        </w:rPr>
        <w:t>壹</w:t>
      </w:r>
      <w:r>
        <w:rPr>
          <w:rFonts w:hint="eastAsia" w:ascii="宋体" w:hAnsi="宋体" w:cs="宋体"/>
          <w:sz w:val="24"/>
          <w:u w:val="single"/>
        </w:rPr>
        <w:t xml:space="preserve"> </w:t>
      </w:r>
      <w:r>
        <w:rPr>
          <w:rFonts w:hint="eastAsia" w:ascii="宋体" w:hAnsi="宋体" w:cs="宋体"/>
          <w:sz w:val="24"/>
        </w:rPr>
        <w:t xml:space="preserve">份，副本 </w:t>
      </w:r>
      <w:r>
        <w:rPr>
          <w:rFonts w:hint="eastAsia" w:ascii="宋体" w:hAnsi="宋体" w:cs="宋体"/>
          <w:sz w:val="24"/>
          <w:u w:val="single"/>
        </w:rPr>
        <w:t xml:space="preserve"> </w:t>
      </w:r>
      <w:r>
        <w:rPr>
          <w:rFonts w:hint="eastAsia" w:ascii="宋体" w:hAnsi="宋体" w:cs="宋体"/>
          <w:b/>
          <w:bCs/>
          <w:sz w:val="24"/>
          <w:u w:val="single"/>
        </w:rPr>
        <w:t>肆</w:t>
      </w:r>
      <w:r>
        <w:rPr>
          <w:rFonts w:hint="eastAsia" w:ascii="宋体" w:hAnsi="宋体" w:cs="宋体"/>
          <w:sz w:val="24"/>
        </w:rPr>
        <w:t>份，并标明“正本”或“副本”字样，若有差异，概以“正本”为准。</w:t>
      </w:r>
    </w:p>
    <w:p>
      <w:pPr>
        <w:snapToGrid w:val="0"/>
        <w:spacing w:line="360" w:lineRule="auto"/>
        <w:ind w:firstLine="480" w:firstLineChars="200"/>
        <w:rPr>
          <w:rFonts w:ascii="宋体" w:hAnsi="宋体" w:cs="宋体"/>
          <w:sz w:val="24"/>
        </w:rPr>
      </w:pPr>
      <w:r>
        <w:rPr>
          <w:rFonts w:hint="eastAsia" w:ascii="宋体" w:hAnsi="宋体" w:cs="宋体"/>
          <w:sz w:val="24"/>
        </w:rPr>
        <w:t>2.投标文件分三册密封。第一册为“资格审查文件”，第二册为“技术标”，第三册为“商务标”，投标文件的第一册、第二册、第三册应分别密封，并在封袋上标明“资格审查文件”、“技术标”、“商务标”。</w:t>
      </w:r>
    </w:p>
    <w:p>
      <w:pPr>
        <w:snapToGrid w:val="0"/>
        <w:spacing w:line="360" w:lineRule="auto"/>
        <w:ind w:firstLine="480" w:firstLineChars="200"/>
        <w:rPr>
          <w:rFonts w:ascii="宋体" w:hAnsi="宋体" w:cs="宋体"/>
          <w:sz w:val="24"/>
        </w:rPr>
      </w:pPr>
      <w:r>
        <w:rPr>
          <w:rFonts w:hint="eastAsia" w:ascii="宋体" w:hAnsi="宋体" w:cs="宋体"/>
          <w:sz w:val="24"/>
        </w:rPr>
        <w:t>3.投标供应商可将投标文件正副本统一密封或分别密封，如正本和副本分别密封的，应在封袋上标明正、副本字样。</w:t>
      </w:r>
    </w:p>
    <w:p>
      <w:pPr>
        <w:snapToGrid w:val="0"/>
        <w:spacing w:line="360" w:lineRule="auto"/>
        <w:ind w:firstLine="470" w:firstLineChars="196"/>
        <w:outlineLvl w:val="1"/>
        <w:rPr>
          <w:rFonts w:ascii="宋体" w:hAnsi="宋体" w:cs="宋体"/>
          <w:sz w:val="24"/>
        </w:rPr>
      </w:pPr>
      <w:r>
        <w:rPr>
          <w:rFonts w:hint="eastAsia" w:ascii="宋体" w:hAnsi="宋体" w:cs="宋体"/>
          <w:sz w:val="24"/>
        </w:rPr>
        <w:t>4.投标文件正本须按招标文件要求由法定代表人或被授权人签字（或盖章）并加盖投标供应商印章。副本可复印，但须加盖投标供应商印章。</w:t>
      </w:r>
    </w:p>
    <w:p>
      <w:pPr>
        <w:spacing w:line="360" w:lineRule="auto"/>
        <w:ind w:firstLine="482" w:firstLineChars="200"/>
        <w:rPr>
          <w:rFonts w:ascii="宋体" w:hAnsi="宋体" w:cs="宋体"/>
          <w:b/>
          <w:sz w:val="24"/>
        </w:rPr>
      </w:pPr>
      <w:r>
        <w:rPr>
          <w:rFonts w:hint="eastAsia" w:ascii="宋体" w:hAnsi="宋体" w:cs="宋体"/>
          <w:b/>
          <w:sz w:val="24"/>
        </w:rPr>
        <w:t>五、投标文件的密封及标记</w:t>
      </w:r>
    </w:p>
    <w:p>
      <w:pPr>
        <w:snapToGrid w:val="0"/>
        <w:spacing w:line="360" w:lineRule="auto"/>
        <w:ind w:firstLine="470" w:firstLineChars="196"/>
        <w:outlineLvl w:val="1"/>
        <w:rPr>
          <w:rFonts w:ascii="宋体" w:hAnsi="宋体" w:cs="宋体"/>
          <w:bCs/>
          <w:sz w:val="24"/>
        </w:rPr>
      </w:pPr>
      <w:r>
        <w:rPr>
          <w:rFonts w:hint="eastAsia" w:ascii="宋体" w:hAnsi="宋体" w:cs="宋体"/>
          <w:bCs/>
          <w:sz w:val="24"/>
        </w:rPr>
        <w:t>密封后应标明投标文件项目名称、项目编号、投标文件各自对应的名称、投标供应商全称、日期，同时加盖投标供应商公章。边缝处加盖单位骑缝章或骑缝签字，并注明于开标开始前不得启封。</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六、投标文件的有效期</w:t>
      </w:r>
    </w:p>
    <w:p>
      <w:pPr>
        <w:snapToGrid w:val="0"/>
        <w:spacing w:line="360" w:lineRule="auto"/>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bCs/>
          <w:sz w:val="24"/>
        </w:rPr>
        <w:t>45</w:t>
      </w:r>
      <w:r>
        <w:rPr>
          <w:rFonts w:hint="eastAsia" w:ascii="宋体" w:hAnsi="宋体" w:cs="宋体"/>
          <w:sz w:val="24"/>
        </w:rPr>
        <w:t>个“日历天”内投标书应保持有效。有效期短于这个规定期限的，投标将被拒绝。</w:t>
      </w:r>
    </w:p>
    <w:p>
      <w:pPr>
        <w:snapToGrid w:val="0"/>
        <w:spacing w:line="360" w:lineRule="auto"/>
        <w:ind w:firstLine="480" w:firstLineChars="200"/>
        <w:rPr>
          <w:rFonts w:ascii="宋体" w:hAnsi="宋体" w:cs="宋体"/>
          <w:sz w:val="24"/>
        </w:rPr>
      </w:pPr>
      <w:r>
        <w:rPr>
          <w:rFonts w:hint="eastAsia" w:ascii="宋体" w:hAnsi="宋体" w:cs="宋体"/>
          <w:sz w:val="24"/>
        </w:rPr>
        <w:t>2.在特殊情况下，采购人可与投标供应商协商延长投标书的有效期。这种要求和答复都应以书面、传真、或电报的形式进行。同意延长有效期的投标供应商不能修改投标文件，拒绝接受延期要求的投标供应商的投标书将被拒绝。</w:t>
      </w:r>
    </w:p>
    <w:p>
      <w:pPr>
        <w:spacing w:line="360" w:lineRule="auto"/>
        <w:ind w:firstLine="482" w:firstLineChars="200"/>
        <w:rPr>
          <w:rFonts w:ascii="宋体" w:hAnsi="宋体" w:cs="宋体"/>
          <w:b/>
          <w:sz w:val="24"/>
        </w:rPr>
      </w:pPr>
      <w:r>
        <w:rPr>
          <w:rFonts w:hint="eastAsia" w:ascii="宋体" w:hAnsi="宋体" w:cs="宋体"/>
          <w:b/>
          <w:sz w:val="24"/>
        </w:rPr>
        <w:t>七、投标报价</w:t>
      </w:r>
    </w:p>
    <w:p>
      <w:pPr>
        <w:spacing w:line="360" w:lineRule="auto"/>
        <w:ind w:firstLine="480" w:firstLineChars="200"/>
        <w:rPr>
          <w:rFonts w:ascii="宋体" w:hAnsi="宋体" w:cs="宋体"/>
          <w:sz w:val="24"/>
        </w:rPr>
      </w:pPr>
      <w:r>
        <w:rPr>
          <w:rFonts w:hint="eastAsia" w:ascii="宋体" w:hAnsi="宋体" w:cs="宋体"/>
          <w:sz w:val="24"/>
        </w:rPr>
        <w:t>1.本项目不接受任何有选择的报价。</w:t>
      </w:r>
    </w:p>
    <w:p>
      <w:pPr>
        <w:spacing w:line="360" w:lineRule="auto"/>
        <w:ind w:firstLine="482" w:firstLineChars="200"/>
        <w:rPr>
          <w:rFonts w:ascii="宋体" w:hAnsi="宋体" w:cs="宋体"/>
          <w:b/>
          <w:sz w:val="24"/>
        </w:rPr>
      </w:pPr>
      <w:r>
        <w:rPr>
          <w:rFonts w:hint="eastAsia" w:ascii="宋体" w:hAnsi="宋体" w:cs="宋体"/>
          <w:b/>
          <w:sz w:val="24"/>
        </w:rPr>
        <w:t>2.</w:t>
      </w:r>
      <w:r>
        <w:rPr>
          <w:rFonts w:hint="eastAsia"/>
          <w:b/>
          <w:sz w:val="24"/>
        </w:rPr>
        <w:t>招标总承销费率控制价在发行债券总额的0.05%/年~0</w:t>
      </w:r>
      <w:r>
        <w:rPr>
          <w:b/>
          <w:sz w:val="24"/>
        </w:rPr>
        <w:t>.</w:t>
      </w:r>
      <w:r>
        <w:rPr>
          <w:rFonts w:hint="eastAsia"/>
          <w:b/>
          <w:sz w:val="24"/>
        </w:rPr>
        <w:t>15%/年。投标报价高于0</w:t>
      </w:r>
      <w:r>
        <w:rPr>
          <w:b/>
          <w:sz w:val="24"/>
        </w:rPr>
        <w:t>.</w:t>
      </w:r>
      <w:r>
        <w:rPr>
          <w:rFonts w:hint="eastAsia"/>
          <w:b/>
          <w:sz w:val="24"/>
        </w:rPr>
        <w:t>15%/年</w:t>
      </w:r>
      <w:r>
        <w:rPr>
          <w:rFonts w:hint="eastAsia"/>
          <w:b/>
          <w:color w:val="000000"/>
          <w:sz w:val="24"/>
        </w:rPr>
        <w:t>，低</w:t>
      </w:r>
      <w:r>
        <w:rPr>
          <w:rFonts w:hint="eastAsia"/>
          <w:b/>
          <w:sz w:val="24"/>
        </w:rPr>
        <w:t>于0.05%/年的，均为无效报价。报价</w:t>
      </w:r>
      <w:r>
        <w:rPr>
          <w:rFonts w:hint="eastAsia" w:ascii="宋体" w:hAnsi="宋体" w:cs="宋体"/>
          <w:b/>
          <w:bCs/>
          <w:sz w:val="24"/>
        </w:rPr>
        <w:t>保留两位小数</w:t>
      </w:r>
      <w:r>
        <w:rPr>
          <w:rFonts w:hint="eastAsia"/>
          <w:b/>
          <w:sz w:val="24"/>
        </w:rPr>
        <w:t>，否则做无效投标处理。中标金额=实际发行债券总额*中标费率*发行期限。</w:t>
      </w:r>
    </w:p>
    <w:p>
      <w:pPr>
        <w:spacing w:line="360" w:lineRule="auto"/>
        <w:ind w:firstLine="480" w:firstLineChars="200"/>
        <w:rPr>
          <w:rFonts w:ascii="宋体" w:hAnsi="宋体" w:cs="宋体"/>
          <w:sz w:val="24"/>
        </w:rPr>
      </w:pPr>
      <w:r>
        <w:rPr>
          <w:rFonts w:hint="eastAsia" w:ascii="宋体" w:hAnsi="宋体" w:cs="宋体"/>
          <w:sz w:val="24"/>
        </w:rPr>
        <w:t>3.报价表必须加盖投标供应商公章且必须经法定代表人或被授权人签字或盖章。</w:t>
      </w:r>
      <w:bookmarkStart w:id="4" w:name="OLE_LINK5"/>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.报价出现前后不一致的，按照下列规定修正：</w:t>
      </w:r>
    </w:p>
    <w:p>
      <w:pPr>
        <w:spacing w:line="360" w:lineRule="auto"/>
        <w:ind w:firstLine="480" w:firstLineChars="200"/>
        <w:rPr>
          <w:rFonts w:ascii="宋体" w:hAnsi="宋体" w:cs="宋体"/>
          <w:sz w:val="24"/>
        </w:rPr>
      </w:pPr>
      <w:r>
        <w:rPr>
          <w:rFonts w:hint="eastAsia" w:ascii="宋体" w:hAnsi="宋体" w:cs="宋体"/>
          <w:sz w:val="24"/>
        </w:rPr>
        <w:t>（1）投标文件中报价表（开标一览表）内容与投标文件技术响应中内容明细不一致的，以报价表（开标一览表）为准；</w:t>
      </w:r>
    </w:p>
    <w:p>
      <w:pPr>
        <w:spacing w:line="360" w:lineRule="auto"/>
        <w:ind w:firstLine="480" w:firstLineChars="200"/>
        <w:rPr>
          <w:rFonts w:ascii="宋体" w:hAnsi="宋体" w:cs="宋体"/>
          <w:sz w:val="24"/>
        </w:rPr>
      </w:pPr>
      <w:r>
        <w:rPr>
          <w:rFonts w:hint="eastAsia" w:ascii="宋体" w:hAnsi="宋体" w:cs="宋体"/>
          <w:sz w:val="24"/>
        </w:rPr>
        <w:t>（2）投标文件中涉及大写金额和小写金额不一致的，以大写金额为准；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同时出现两种以上不一致的，按照前签字确认后产生约束力，投标供应商不确认的，其投标无效。</w:t>
      </w:r>
    </w:p>
    <w:p>
      <w:pPr>
        <w:snapToGrid w:val="0"/>
        <w:spacing w:line="360" w:lineRule="auto"/>
        <w:ind w:firstLine="480" w:firstLineChars="200"/>
        <w:rPr>
          <w:rFonts w:ascii="宋体" w:hAnsi="宋体" w:cs="宋体"/>
          <w:sz w:val="24"/>
        </w:rPr>
      </w:pPr>
      <w:r>
        <w:rPr>
          <w:rFonts w:hint="eastAsia" w:ascii="宋体" w:hAnsi="宋体" w:cs="宋体"/>
          <w:sz w:val="24"/>
        </w:rPr>
        <w:t>5.投标总报价中应包含：</w:t>
      </w:r>
      <w:bookmarkEnd w:id="4"/>
      <w:r>
        <w:rPr>
          <w:rFonts w:hint="eastAsia" w:ascii="宋体" w:hAnsi="宋体" w:cs="宋体"/>
          <w:sz w:val="24"/>
        </w:rPr>
        <w:t>申报材料制作费、承销费用（包括差旅费等）、律师费、委托管理费用等完成本次企业债券发行过程中的一切费用。</w:t>
      </w:r>
    </w:p>
    <w:p>
      <w:pPr>
        <w:spacing w:line="360" w:lineRule="auto"/>
        <w:ind w:firstLine="480" w:firstLineChars="200"/>
        <w:rPr>
          <w:rFonts w:ascii="宋体" w:hAnsi="宋体" w:cs="宋体"/>
          <w:sz w:val="24"/>
        </w:rPr>
      </w:pPr>
      <w:r>
        <w:rPr>
          <w:rFonts w:hint="eastAsia" w:ascii="宋体" w:hAnsi="宋体" w:cs="宋体"/>
          <w:sz w:val="24"/>
        </w:rPr>
        <w:t>6.一次报定的投标报价为中标价，同时，中标供应商的中标价在合同实施期间不因市场变化因素而变动。</w:t>
      </w:r>
    </w:p>
    <w:p>
      <w:pPr>
        <w:spacing w:line="360" w:lineRule="auto"/>
        <w:ind w:firstLine="480" w:firstLineChars="200"/>
        <w:rPr>
          <w:rFonts w:ascii="宋体" w:hAnsi="宋体" w:cs="宋体"/>
          <w:sz w:val="24"/>
        </w:rPr>
      </w:pPr>
      <w:r>
        <w:rPr>
          <w:rFonts w:hint="eastAsia" w:ascii="宋体" w:hAnsi="宋体" w:cs="宋体"/>
          <w:sz w:val="24"/>
        </w:rPr>
        <w:t>7.投标供应商应详细阅读招标文件的全部内容，根据采购项目需求，准确制定相关工作方案等，必须对本采购项目全部进行报价，如有漏项，视同对本项目的优惠。不按招标文件的要求提供投标文件，导致报价无效，按无效投标处理。</w:t>
      </w:r>
    </w:p>
    <w:p>
      <w:pPr>
        <w:spacing w:line="360" w:lineRule="auto"/>
        <w:ind w:firstLine="482" w:firstLineChars="200"/>
        <w:rPr>
          <w:rFonts w:ascii="宋体" w:hAnsi="宋体" w:cs="宋体"/>
          <w:b/>
          <w:sz w:val="24"/>
        </w:rPr>
      </w:pPr>
      <w:r>
        <w:rPr>
          <w:rFonts w:hint="eastAsia" w:ascii="宋体" w:hAnsi="宋体" w:cs="宋体"/>
          <w:b/>
          <w:sz w:val="24"/>
        </w:rPr>
        <w:t>八、投标文件的递交时间及地址</w:t>
      </w:r>
    </w:p>
    <w:p>
      <w:pPr>
        <w:spacing w:line="360" w:lineRule="auto"/>
        <w:ind w:firstLine="480" w:firstLineChars="200"/>
        <w:rPr>
          <w:rFonts w:ascii="宋体" w:hAnsi="宋体" w:cs="宋体"/>
          <w:sz w:val="24"/>
        </w:rPr>
      </w:pPr>
      <w:r>
        <w:rPr>
          <w:rFonts w:hint="eastAsia" w:ascii="宋体" w:hAnsi="宋体" w:cs="宋体"/>
          <w:sz w:val="24"/>
        </w:rPr>
        <w:t>投标供应商必须在规定的投标文件接收截止时间前将投标文件送达指定地点。采购人将拒绝接收在投标文件接收截止时间后递交的投标文件。</w:t>
      </w:r>
    </w:p>
    <w:p>
      <w:pPr>
        <w:tabs>
          <w:tab w:val="left" w:pos="1050"/>
          <w:tab w:val="right" w:leader="dot" w:pos="9402"/>
        </w:tabs>
        <w:spacing w:line="360" w:lineRule="auto"/>
        <w:ind w:firstLine="562"/>
        <w:jc w:val="left"/>
        <w:outlineLvl w:val="0"/>
        <w:rPr>
          <w:rFonts w:ascii="宋体" w:hAnsi="宋体" w:cs="宋体"/>
          <w:b/>
          <w:sz w:val="24"/>
        </w:rPr>
      </w:pPr>
      <w:r>
        <w:rPr>
          <w:rFonts w:hint="eastAsia" w:ascii="宋体" w:hAnsi="宋体" w:cs="宋体"/>
          <w:b/>
          <w:sz w:val="24"/>
        </w:rPr>
        <w:t>九、投标费用</w:t>
      </w:r>
    </w:p>
    <w:p>
      <w:pPr>
        <w:spacing w:line="360" w:lineRule="auto"/>
        <w:ind w:firstLine="480" w:firstLineChars="200"/>
      </w:pPr>
      <w:r>
        <w:rPr>
          <w:rFonts w:hint="eastAsia" w:ascii="宋体" w:hAnsi="宋体" w:cs="宋体"/>
          <w:sz w:val="24"/>
        </w:rPr>
        <w:t>投标供应商承担参与投标可能发生的全部费用，采购人在任何情况下均无义务和责任承担这些费用。</w:t>
      </w:r>
    </w:p>
    <w:p>
      <w:pPr>
        <w:tabs>
          <w:tab w:val="left" w:pos="1050"/>
          <w:tab w:val="right" w:leader="dot" w:pos="9402"/>
        </w:tabs>
        <w:spacing w:line="360" w:lineRule="auto"/>
        <w:ind w:firstLine="562"/>
        <w:jc w:val="left"/>
        <w:outlineLvl w:val="0"/>
        <w:rPr>
          <w:rFonts w:ascii="宋体" w:hAnsi="宋体" w:cs="宋体"/>
          <w:b/>
          <w:sz w:val="24"/>
        </w:rPr>
      </w:pPr>
      <w:r>
        <w:rPr>
          <w:rFonts w:hint="eastAsia" w:ascii="宋体" w:hAnsi="宋体" w:cs="宋体"/>
          <w:b/>
          <w:sz w:val="24"/>
        </w:rPr>
        <w:t>十、未尽事宜</w:t>
      </w:r>
    </w:p>
    <w:p>
      <w:pPr>
        <w:tabs>
          <w:tab w:val="left" w:pos="1050"/>
          <w:tab w:val="right" w:leader="dot" w:pos="9402"/>
        </w:tabs>
        <w:spacing w:line="360" w:lineRule="auto"/>
        <w:ind w:firstLine="562"/>
        <w:jc w:val="left"/>
        <w:outlineLvl w:val="0"/>
        <w:rPr>
          <w:rFonts w:ascii="宋体" w:hAnsi="宋体" w:cs="宋体"/>
          <w:sz w:val="24"/>
        </w:rPr>
      </w:pPr>
      <w:r>
        <w:rPr>
          <w:rFonts w:hint="eastAsia" w:ascii="宋体" w:hAnsi="宋体" w:cs="宋体"/>
          <w:sz w:val="24"/>
        </w:rPr>
        <w:t>按《中华人民共和国招标投标法》及其他有关的法律法规的规定执行。</w:t>
      </w:r>
      <w:bookmarkStart w:id="5" w:name="_Toc450137521"/>
    </w:p>
    <w:p>
      <w:pPr>
        <w:tabs>
          <w:tab w:val="left" w:pos="1050"/>
          <w:tab w:val="right" w:leader="dot" w:pos="9402"/>
        </w:tabs>
        <w:spacing w:line="360" w:lineRule="auto"/>
        <w:ind w:firstLine="562"/>
        <w:jc w:val="center"/>
        <w:outlineLvl w:val="0"/>
        <w:rPr>
          <w:rFonts w:ascii="宋体"/>
          <w:b/>
          <w:bCs/>
          <w:sz w:val="30"/>
          <w:szCs w:val="30"/>
        </w:rPr>
      </w:pPr>
      <w:r>
        <w:rPr>
          <w:rFonts w:ascii="宋体"/>
          <w:sz w:val="30"/>
          <w:szCs w:val="30"/>
        </w:rPr>
        <w:br w:type="page"/>
      </w:r>
      <w:bookmarkEnd w:id="5"/>
      <w:r>
        <w:rPr>
          <w:rFonts w:hint="eastAsia" w:ascii="宋体"/>
          <w:b/>
          <w:bCs/>
          <w:sz w:val="30"/>
          <w:szCs w:val="30"/>
        </w:rPr>
        <w:t>第三章 项目需求</w:t>
      </w:r>
    </w:p>
    <w:p>
      <w:pPr>
        <w:numPr>
          <w:ilvl w:val="0"/>
          <w:numId w:val="2"/>
        </w:numPr>
        <w:spacing w:line="360" w:lineRule="auto"/>
        <w:ind w:firstLine="482"/>
        <w:outlineLvl w:val="1"/>
        <w:rPr>
          <w:rFonts w:ascii="宋体" w:hAnsi="宋体"/>
          <w:b/>
          <w:bCs/>
          <w:sz w:val="24"/>
        </w:rPr>
      </w:pPr>
      <w:r>
        <w:rPr>
          <w:rFonts w:hint="eastAsia" w:ascii="宋体" w:hAnsi="宋体"/>
          <w:b/>
          <w:bCs/>
          <w:sz w:val="24"/>
        </w:rPr>
        <w:t>项目概述</w:t>
      </w:r>
    </w:p>
    <w:p>
      <w:pPr>
        <w:spacing w:line="360" w:lineRule="auto"/>
        <w:ind w:firstLine="480" w:firstLineChars="200"/>
        <w:outlineLvl w:val="1"/>
        <w:rPr>
          <w:rFonts w:ascii="宋体" w:hAnsi="宋体"/>
          <w:bCs/>
          <w:sz w:val="24"/>
        </w:rPr>
      </w:pPr>
      <w:r>
        <w:rPr>
          <w:rFonts w:hint="eastAsia" w:ascii="宋体" w:hAnsi="宋体"/>
          <w:bCs/>
          <w:sz w:val="24"/>
        </w:rPr>
        <w:t>本次采购为南通市崇川城市建设发展（集团）有限公司2023年企业债券融资发行服务采购项目。</w:t>
      </w:r>
    </w:p>
    <w:p>
      <w:pPr>
        <w:spacing w:line="360" w:lineRule="auto"/>
        <w:ind w:firstLine="482" w:firstLineChars="200"/>
        <w:outlineLvl w:val="1"/>
        <w:rPr>
          <w:rFonts w:ascii="宋体" w:hAnsi="宋体"/>
          <w:b/>
          <w:bCs/>
          <w:sz w:val="24"/>
        </w:rPr>
      </w:pPr>
      <w:r>
        <w:rPr>
          <w:rFonts w:hint="eastAsia" w:ascii="宋体" w:hAnsi="宋体"/>
          <w:b/>
          <w:bCs/>
          <w:sz w:val="24"/>
        </w:rPr>
        <w:t>二、项目需求</w:t>
      </w:r>
    </w:p>
    <w:p>
      <w:pPr>
        <w:spacing w:line="360" w:lineRule="auto"/>
        <w:ind w:firstLine="480" w:firstLineChars="200"/>
        <w:outlineLvl w:val="1"/>
        <w:rPr>
          <w:rFonts w:ascii="宋体" w:hAnsi="宋体"/>
          <w:bCs/>
          <w:sz w:val="24"/>
        </w:rPr>
      </w:pPr>
      <w:r>
        <w:rPr>
          <w:rFonts w:hint="eastAsia" w:ascii="宋体" w:hAnsi="宋体"/>
          <w:bCs/>
          <w:sz w:val="24"/>
        </w:rPr>
        <w:t>南通市崇川城市建设发展（集团）有限公司因资金需求，拟发行企业债券，选择有实力、有业绩、具有丰富发行经验的券商担任本项目的承销商。</w:t>
      </w:r>
    </w:p>
    <w:p>
      <w:pPr>
        <w:spacing w:line="360" w:lineRule="auto"/>
        <w:ind w:firstLine="480" w:firstLineChars="200"/>
        <w:outlineLvl w:val="1"/>
        <w:rPr>
          <w:rFonts w:ascii="宋体" w:hAnsi="宋体"/>
          <w:bCs/>
          <w:sz w:val="24"/>
        </w:rPr>
      </w:pPr>
      <w:r>
        <w:rPr>
          <w:rFonts w:hint="eastAsia" w:ascii="宋体" w:hAnsi="宋体"/>
          <w:bCs/>
          <w:sz w:val="24"/>
        </w:rPr>
        <w:t>1.发行规模：不超过</w:t>
      </w:r>
      <w:r>
        <w:rPr>
          <w:rFonts w:ascii="宋体" w:hAnsi="宋体"/>
          <w:bCs/>
          <w:sz w:val="24"/>
        </w:rPr>
        <w:t>20</w:t>
      </w:r>
      <w:r>
        <w:rPr>
          <w:rFonts w:hint="eastAsia" w:ascii="宋体" w:hAnsi="宋体"/>
          <w:bCs/>
          <w:sz w:val="24"/>
        </w:rPr>
        <w:t>亿元。</w:t>
      </w:r>
    </w:p>
    <w:p>
      <w:pPr>
        <w:spacing w:line="360" w:lineRule="auto"/>
        <w:ind w:firstLine="480" w:firstLineChars="200"/>
        <w:outlineLvl w:val="1"/>
        <w:rPr>
          <w:rFonts w:ascii="宋体" w:hAnsi="宋体"/>
          <w:bCs/>
          <w:sz w:val="24"/>
        </w:rPr>
      </w:pPr>
      <w:r>
        <w:rPr>
          <w:rFonts w:hint="eastAsia" w:ascii="宋体" w:hAnsi="宋体"/>
          <w:bCs/>
          <w:sz w:val="24"/>
        </w:rPr>
        <w:t>2.产品期限：不超过7年</w:t>
      </w:r>
      <w:r>
        <w:rPr>
          <w:rFonts w:hint="eastAsia" w:ascii="宋体" w:hAnsi="宋体"/>
          <w:bCs/>
          <w:sz w:val="24"/>
          <w:lang w:eastAsia="zh-CN"/>
        </w:rPr>
        <w:t>（</w:t>
      </w:r>
      <w:r>
        <w:rPr>
          <w:rFonts w:hint="eastAsia" w:ascii="宋体" w:hAnsi="宋体"/>
          <w:bCs/>
          <w:sz w:val="24"/>
          <w:lang w:val="en-US" w:eastAsia="zh-CN"/>
        </w:rPr>
        <w:t>含7年</w:t>
      </w:r>
      <w:r>
        <w:rPr>
          <w:rFonts w:hint="eastAsia" w:ascii="宋体" w:hAnsi="宋体"/>
          <w:bCs/>
          <w:sz w:val="24"/>
          <w:lang w:eastAsia="zh-CN"/>
        </w:rPr>
        <w:t>）</w:t>
      </w:r>
      <w:r>
        <w:rPr>
          <w:rFonts w:hint="eastAsia" w:ascii="宋体" w:hAnsi="宋体"/>
          <w:bCs/>
          <w:sz w:val="24"/>
        </w:rPr>
        <w:t>。</w:t>
      </w:r>
    </w:p>
    <w:p>
      <w:pPr>
        <w:spacing w:line="360" w:lineRule="auto"/>
        <w:ind w:firstLine="480" w:firstLineChars="200"/>
        <w:outlineLvl w:val="1"/>
        <w:rPr>
          <w:rFonts w:ascii="宋体" w:hAnsi="宋体"/>
          <w:bCs/>
          <w:sz w:val="24"/>
        </w:rPr>
      </w:pPr>
      <w:r>
        <w:rPr>
          <w:rFonts w:hint="eastAsia" w:ascii="宋体" w:hAnsi="宋体"/>
          <w:bCs/>
          <w:sz w:val="24"/>
        </w:rPr>
        <w:t>3.承销方式：采取余额包销的方式。</w:t>
      </w:r>
    </w:p>
    <w:p>
      <w:pPr>
        <w:pStyle w:val="2"/>
        <w:numPr>
          <w:ilvl w:val="0"/>
          <w:numId w:val="3"/>
        </w:numPr>
        <w:spacing w:line="360" w:lineRule="auto"/>
        <w:rPr>
          <w:rFonts w:ascii="宋体" w:hAnsi="宋体"/>
          <w:bCs/>
        </w:rPr>
      </w:pPr>
      <w:r>
        <w:rPr>
          <w:rFonts w:hint="eastAsia" w:ascii="宋体" w:hAnsi="宋体"/>
          <w:bCs/>
        </w:rPr>
        <w:t>募集资金投向：本次企业债券的募集资金用于特定项目建设及补充公司营运资金。</w:t>
      </w:r>
    </w:p>
    <w:p>
      <w:pPr>
        <w:spacing w:line="360" w:lineRule="auto"/>
        <w:ind w:firstLine="482" w:firstLineChars="200"/>
        <w:outlineLvl w:val="1"/>
        <w:rPr>
          <w:rFonts w:ascii="宋体" w:hAnsi="宋体"/>
          <w:b/>
          <w:bCs/>
          <w:sz w:val="24"/>
        </w:rPr>
      </w:pPr>
      <w:r>
        <w:rPr>
          <w:rFonts w:hint="eastAsia" w:ascii="宋体" w:hAnsi="宋体"/>
          <w:b/>
          <w:bCs/>
          <w:sz w:val="24"/>
        </w:rPr>
        <w:t>三、服务要求</w:t>
      </w:r>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.投标</w:t>
      </w:r>
      <w:r>
        <w:rPr>
          <w:rFonts w:ascii="宋体" w:hAnsi="宋体"/>
          <w:bCs/>
          <w:sz w:val="24"/>
        </w:rPr>
        <w:t>供应商应当</w:t>
      </w:r>
      <w:r>
        <w:rPr>
          <w:rFonts w:hint="eastAsia" w:ascii="宋体" w:hAnsi="宋体"/>
          <w:bCs/>
          <w:sz w:val="24"/>
        </w:rPr>
        <w:t>具有较强的项目执行能力，包括对于债券监管政策的把握能力以及同各有关机构的沟通能力；</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.投标</w:t>
      </w:r>
      <w:r>
        <w:rPr>
          <w:rFonts w:ascii="宋体" w:hAnsi="宋体"/>
          <w:bCs/>
          <w:sz w:val="24"/>
        </w:rPr>
        <w:t>供应商</w:t>
      </w:r>
      <w:r>
        <w:rPr>
          <w:rFonts w:hint="eastAsia" w:ascii="宋体" w:hAnsi="宋体"/>
          <w:bCs/>
          <w:sz w:val="24"/>
        </w:rPr>
        <w:t>应具有健全的风险管理制度和内部控制机制；</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本项目服务供应商在履约期间</w:t>
      </w:r>
      <w:r>
        <w:rPr>
          <w:rFonts w:hint="eastAsia" w:ascii="宋体" w:hAnsi="宋体"/>
          <w:bCs/>
          <w:sz w:val="24"/>
        </w:rPr>
        <w:t>应自觉抵制商业贿赂行为。</w:t>
      </w:r>
    </w:p>
    <w:p>
      <w:pPr>
        <w:snapToGrid w:val="0"/>
        <w:spacing w:line="360" w:lineRule="auto"/>
        <w:ind w:firstLine="482" w:firstLineChars="200"/>
        <w:outlineLvl w:val="1"/>
        <w:rPr>
          <w:rFonts w:ascii="宋体" w:hAnsi="宋体"/>
          <w:b/>
          <w:bCs/>
          <w:sz w:val="24"/>
        </w:rPr>
      </w:pPr>
      <w:r>
        <w:rPr>
          <w:rFonts w:hint="eastAsia" w:ascii="宋体" w:hAnsi="宋体"/>
          <w:b/>
          <w:bCs/>
          <w:sz w:val="24"/>
        </w:rPr>
        <w:t>四、服务承诺</w:t>
      </w:r>
    </w:p>
    <w:p>
      <w:pPr>
        <w:adjustRightInd w:val="0"/>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保证债券发行达到最高规模；</w:t>
      </w:r>
    </w:p>
    <w:p>
      <w:pPr>
        <w:adjustRightInd w:val="0"/>
        <w:snapToGrid w:val="0"/>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保证债券存续期，提供服务满意度的1</w:t>
      </w:r>
      <w:r>
        <w:rPr>
          <w:rFonts w:ascii="宋体" w:hAnsi="宋体"/>
          <w:bCs/>
          <w:sz w:val="24"/>
        </w:rPr>
        <w:t>00</w:t>
      </w:r>
      <w:r>
        <w:rPr>
          <w:rFonts w:hint="eastAsia" w:ascii="宋体" w:hAnsi="宋体"/>
          <w:bCs/>
          <w:sz w:val="24"/>
        </w:rPr>
        <w:t>%。</w:t>
      </w:r>
    </w:p>
    <w:p>
      <w:pPr>
        <w:spacing w:line="360" w:lineRule="auto"/>
        <w:ind w:firstLine="482" w:firstLineChars="200"/>
        <w:outlineLvl w:val="1"/>
        <w:rPr>
          <w:rFonts w:ascii="宋体" w:hAnsi="宋体"/>
          <w:b/>
          <w:sz w:val="24"/>
        </w:rPr>
      </w:pPr>
      <w:r>
        <w:rPr>
          <w:rFonts w:hint="eastAsia" w:ascii="宋体" w:hAnsi="宋体"/>
          <w:b/>
          <w:sz w:val="24"/>
        </w:rPr>
        <w:t>五</w:t>
      </w:r>
      <w:r>
        <w:rPr>
          <w:rFonts w:ascii="宋体" w:hAnsi="宋体"/>
          <w:b/>
          <w:sz w:val="24"/>
        </w:rPr>
        <w:t>、</w:t>
      </w:r>
      <w:r>
        <w:rPr>
          <w:rFonts w:hint="eastAsia" w:ascii="宋体" w:hAnsi="宋体"/>
          <w:b/>
          <w:sz w:val="24"/>
        </w:rPr>
        <w:t>考核</w:t>
      </w:r>
      <w:r>
        <w:rPr>
          <w:rFonts w:ascii="宋体" w:hAnsi="宋体"/>
          <w:b/>
          <w:sz w:val="24"/>
        </w:rPr>
        <w:t>规定</w:t>
      </w:r>
    </w:p>
    <w:p>
      <w:pPr>
        <w:snapToGrid w:val="0"/>
        <w:spacing w:line="360" w:lineRule="auto"/>
        <w:ind w:firstLine="494" w:firstLineChars="206"/>
        <w:rPr>
          <w:rFonts w:ascii="宋体" w:hAnsi="宋体"/>
          <w:sz w:val="24"/>
        </w:rPr>
      </w:pPr>
      <w:r>
        <w:rPr>
          <w:rFonts w:hint="eastAsia" w:ascii="宋体" w:hAnsi="宋体"/>
          <w:sz w:val="24"/>
        </w:rPr>
        <w:t>按照相关法律法规等文件和采购人对本项目债券发行的总体要求，采购人对服务供应商有权进行监督考核。</w:t>
      </w:r>
    </w:p>
    <w:p>
      <w:pPr>
        <w:spacing w:line="360" w:lineRule="auto"/>
        <w:ind w:firstLine="482" w:firstLineChars="200"/>
        <w:outlineLvl w:val="1"/>
        <w:rPr>
          <w:rFonts w:ascii="宋体" w:hAnsi="宋体"/>
          <w:b/>
          <w:bCs/>
          <w:sz w:val="24"/>
        </w:rPr>
      </w:pPr>
      <w:r>
        <w:rPr>
          <w:rFonts w:hint="eastAsia" w:ascii="宋体" w:hAnsi="宋体"/>
          <w:b/>
          <w:bCs/>
          <w:sz w:val="24"/>
        </w:rPr>
        <w:t>六、确定中标候选人方式：</w:t>
      </w:r>
    </w:p>
    <w:p>
      <w:pPr>
        <w:spacing w:line="360" w:lineRule="auto"/>
        <w:ind w:firstLine="482" w:firstLineChars="200"/>
        <w:outlineLvl w:val="1"/>
        <w:rPr>
          <w:rFonts w:ascii="宋体" w:hAnsi="宋体"/>
          <w:bCs/>
          <w:sz w:val="24"/>
        </w:rPr>
      </w:pPr>
      <w:r>
        <w:rPr>
          <w:rFonts w:hint="eastAsia" w:ascii="宋体" w:hAnsi="宋体"/>
          <w:b/>
          <w:bCs/>
          <w:sz w:val="24"/>
        </w:rPr>
        <w:t>本项目投标供应商</w:t>
      </w:r>
      <w:r>
        <w:rPr>
          <w:rFonts w:hint="eastAsia" w:ascii="宋体" w:hAnsi="宋体"/>
          <w:bCs/>
          <w:sz w:val="24"/>
        </w:rPr>
        <w:t>在满足招标文件实质性要求前提下，按照招标文件中规定的评分标准和各项因素进行综合评审后，按评标总得分由高到低进行排名，排名第一为中标候选人。</w:t>
      </w:r>
    </w:p>
    <w:p>
      <w:pPr>
        <w:spacing w:line="360" w:lineRule="auto"/>
        <w:ind w:firstLine="482" w:firstLineChars="200"/>
        <w:outlineLvl w:val="1"/>
        <w:rPr>
          <w:rFonts w:ascii="宋体" w:hAnsi="宋体"/>
          <w:b/>
          <w:bCs/>
          <w:sz w:val="24"/>
        </w:rPr>
      </w:pPr>
      <w:r>
        <w:rPr>
          <w:rFonts w:hint="eastAsia" w:ascii="宋体" w:hAnsi="宋体"/>
          <w:b/>
          <w:bCs/>
          <w:sz w:val="24"/>
        </w:rPr>
        <w:t>七、</w:t>
      </w:r>
      <w:r>
        <w:rPr>
          <w:rFonts w:hint="eastAsia" w:ascii="宋体" w:hAnsi="宋体"/>
          <w:b/>
          <w:sz w:val="24"/>
        </w:rPr>
        <w:t>付款条件：</w:t>
      </w:r>
    </w:p>
    <w:p>
      <w:pPr>
        <w:spacing w:line="360" w:lineRule="auto"/>
        <w:ind w:firstLine="480" w:firstLineChars="200"/>
        <w:jc w:val="left"/>
        <w:rPr>
          <w:rFonts w:ascii="宋体" w:hAnsi="宋体" w:cs="宋体"/>
          <w:sz w:val="24"/>
        </w:rPr>
      </w:pPr>
      <w:r>
        <w:rPr>
          <w:rFonts w:hint="eastAsia" w:ascii="宋体" w:hAnsi="宋体"/>
          <w:bCs/>
          <w:sz w:val="24"/>
        </w:rPr>
        <w:t>以双方签订且生效后的承销合同（协议）内确定的条款为准执行，债券发行结束后</w:t>
      </w:r>
      <w:r>
        <w:rPr>
          <w:rFonts w:hint="eastAsia" w:ascii="宋体" w:hAnsi="宋体" w:cs="宋体"/>
          <w:sz w:val="24"/>
        </w:rPr>
        <w:t>由中标供应商一次性从债券募集款项中直接扣除。</w:t>
      </w:r>
    </w:p>
    <w:p>
      <w:pPr>
        <w:pStyle w:val="2"/>
        <w:spacing w:line="360" w:lineRule="auto"/>
        <w:ind w:firstLine="482" w:firstLineChars="200"/>
        <w:rPr>
          <w:rFonts w:ascii="宋体"/>
          <w:b/>
          <w:sz w:val="32"/>
          <w:szCs w:val="32"/>
        </w:rPr>
      </w:pPr>
      <w:r>
        <w:rPr>
          <w:rFonts w:ascii="宋体" w:hAnsi="宋体"/>
          <w:b/>
        </w:rPr>
        <w:t>特别提醒</w:t>
      </w:r>
      <w:r>
        <w:rPr>
          <w:rFonts w:hint="eastAsia" w:ascii="宋体" w:hAnsi="宋体"/>
          <w:b/>
        </w:rPr>
        <w:t>：</w:t>
      </w:r>
      <w:r>
        <w:rPr>
          <w:rFonts w:ascii="宋体" w:hAnsi="宋体"/>
          <w:b/>
        </w:rPr>
        <w:t>针对本项目的需求，在招标采购活动期间或履约期间，如遇有相应的政策调整或禁止性限令的，本项目终止，潜在缔约方均不承担任何责任。</w:t>
      </w:r>
      <w:r>
        <w:rPr>
          <w:rFonts w:ascii="宋体" w:hAnsi="宋体"/>
          <w:b/>
          <w:sz w:val="44"/>
          <w:szCs w:val="44"/>
        </w:rPr>
        <w:br w:type="page"/>
      </w:r>
      <w:r>
        <w:rPr>
          <w:rFonts w:hint="eastAsia" w:ascii="宋体" w:hAnsi="宋体"/>
          <w:b/>
          <w:sz w:val="44"/>
          <w:szCs w:val="44"/>
        </w:rPr>
        <w:t xml:space="preserve">               </w:t>
      </w:r>
      <w:r>
        <w:rPr>
          <w:rFonts w:hint="eastAsia" w:ascii="宋体"/>
          <w:b/>
          <w:sz w:val="32"/>
          <w:szCs w:val="32"/>
        </w:rPr>
        <w:t>第四章 评审方法和程序</w:t>
      </w:r>
    </w:p>
    <w:p>
      <w:pPr>
        <w:snapToGrid w:val="0"/>
        <w:spacing w:line="360" w:lineRule="auto"/>
        <w:ind w:firstLine="482" w:firstLineChars="200"/>
        <w:rPr>
          <w:rFonts w:ascii="宋体" w:hAnsi="宋体" w:cs="宋体"/>
          <w:b/>
          <w:sz w:val="24"/>
          <w:lang w:val="zh-CN"/>
        </w:rPr>
      </w:pPr>
      <w:bookmarkStart w:id="6" w:name="_Toc450137524"/>
      <w:r>
        <w:rPr>
          <w:rFonts w:hint="eastAsia" w:ascii="宋体" w:hAnsi="宋体" w:cs="宋体"/>
          <w:b/>
          <w:sz w:val="24"/>
          <w:lang w:val="zh-CN"/>
        </w:rPr>
        <w:t>一、采购人组织招标</w:t>
      </w:r>
    </w:p>
    <w:p>
      <w:pPr>
        <w:adjustRightInd w:val="0"/>
        <w:snapToGrid w:val="0"/>
        <w:spacing w:line="360" w:lineRule="auto"/>
        <w:ind w:firstLine="484" w:firstLineChars="202"/>
        <w:rPr>
          <w:rFonts w:ascii="宋体" w:hAnsi="宋体"/>
          <w:sz w:val="24"/>
        </w:rPr>
      </w:pPr>
      <w:r>
        <w:rPr>
          <w:rFonts w:hint="eastAsia" w:ascii="宋体" w:hAnsi="宋体"/>
          <w:sz w:val="24"/>
        </w:rPr>
        <w:t>1.成立评标委员会，由采购人代表和有关专家依法组成。</w:t>
      </w:r>
    </w:p>
    <w:p>
      <w:pPr>
        <w:adjustRightInd w:val="0"/>
        <w:snapToGrid w:val="0"/>
        <w:spacing w:line="360" w:lineRule="auto"/>
        <w:ind w:firstLine="484" w:firstLineChars="202"/>
        <w:rPr>
          <w:rFonts w:ascii="宋体" w:hAnsi="宋体"/>
          <w:sz w:val="24"/>
        </w:rPr>
      </w:pPr>
      <w:r>
        <w:rPr>
          <w:rFonts w:hint="eastAsia" w:ascii="宋体" w:hAnsi="宋体"/>
          <w:sz w:val="24"/>
        </w:rPr>
        <w:t>2.投标供应商的法定代表人或被授权人须持身份证准时参加投标会。</w:t>
      </w:r>
    </w:p>
    <w:p>
      <w:pPr>
        <w:spacing w:line="360" w:lineRule="auto"/>
        <w:ind w:firstLine="487" w:firstLineChars="202"/>
        <w:outlineLvl w:val="1"/>
        <w:rPr>
          <w:rFonts w:ascii="宋体" w:hAnsi="宋体"/>
          <w:b/>
          <w:sz w:val="24"/>
        </w:rPr>
      </w:pPr>
      <w:r>
        <w:rPr>
          <w:rFonts w:hint="eastAsia" w:ascii="宋体" w:hAnsi="宋体"/>
          <w:b/>
          <w:sz w:val="24"/>
        </w:rPr>
        <w:t>二、开标</w:t>
      </w:r>
    </w:p>
    <w:p>
      <w:pPr>
        <w:spacing w:line="360" w:lineRule="auto"/>
        <w:ind w:firstLine="480" w:firstLineChars="200"/>
        <w:rPr>
          <w:rFonts w:ascii="宋体" w:hAnsi="宋体"/>
          <w:sz w:val="24"/>
        </w:rPr>
      </w:pPr>
      <w:r>
        <w:rPr>
          <w:rFonts w:hint="eastAsia" w:ascii="宋体" w:hAnsi="宋体"/>
          <w:sz w:val="24"/>
        </w:rPr>
        <w:t>1.采购机构主持开标并记录，及时处理投标供应商代表提出的询问或者回避申请。</w:t>
      </w:r>
    </w:p>
    <w:p>
      <w:pPr>
        <w:spacing w:line="360" w:lineRule="auto"/>
        <w:ind w:firstLine="480" w:firstLineChars="200"/>
        <w:rPr>
          <w:rFonts w:ascii="宋体" w:hAnsi="宋体"/>
          <w:sz w:val="24"/>
        </w:rPr>
      </w:pPr>
      <w:r>
        <w:rPr>
          <w:rFonts w:hint="eastAsia" w:ascii="宋体" w:hAnsi="宋体"/>
          <w:sz w:val="24"/>
        </w:rPr>
        <w:t>2.投标供应商不足</w:t>
      </w:r>
      <w:r>
        <w:rPr>
          <w:rFonts w:ascii="宋体" w:hAnsi="宋体"/>
          <w:sz w:val="24"/>
        </w:rPr>
        <w:t>3</w:t>
      </w:r>
      <w:r>
        <w:rPr>
          <w:rFonts w:hint="eastAsia" w:ascii="宋体" w:hAnsi="宋体"/>
          <w:sz w:val="24"/>
        </w:rPr>
        <w:t>家的不得开标，相应处理方式见本招标文件第四章第十二条的规定。</w:t>
      </w:r>
    </w:p>
    <w:p>
      <w:pPr>
        <w:spacing w:line="360" w:lineRule="auto"/>
        <w:ind w:firstLine="487" w:firstLineChars="202"/>
        <w:outlineLvl w:val="1"/>
        <w:rPr>
          <w:rFonts w:ascii="宋体" w:hAnsi="宋体"/>
          <w:b/>
          <w:sz w:val="24"/>
        </w:rPr>
      </w:pPr>
      <w:r>
        <w:rPr>
          <w:rFonts w:hint="eastAsia" w:ascii="宋体" w:hAnsi="宋体"/>
          <w:b/>
          <w:sz w:val="24"/>
        </w:rPr>
        <w:t>三、资格审查</w:t>
      </w:r>
    </w:p>
    <w:p>
      <w:pPr>
        <w:adjustRightInd w:val="0"/>
        <w:snapToGrid w:val="0"/>
        <w:spacing w:line="360" w:lineRule="auto"/>
        <w:ind w:firstLine="484" w:firstLineChars="202"/>
        <w:rPr>
          <w:rFonts w:ascii="宋体" w:hAnsi="宋体"/>
          <w:sz w:val="24"/>
        </w:rPr>
      </w:pPr>
      <w:r>
        <w:rPr>
          <w:rFonts w:hint="eastAsia" w:ascii="宋体" w:hAnsi="宋体"/>
          <w:sz w:val="24"/>
        </w:rPr>
        <w:t>1.开标后，评标委员会根据招标文件载明的资格审查要求，对投标供应商的资格进行审查。</w:t>
      </w:r>
    </w:p>
    <w:p>
      <w:pPr>
        <w:adjustRightInd w:val="0"/>
        <w:snapToGrid w:val="0"/>
        <w:spacing w:line="360" w:lineRule="auto"/>
        <w:ind w:firstLine="484" w:firstLineChars="202"/>
        <w:rPr>
          <w:rFonts w:ascii="宋体" w:hAnsi="宋体"/>
          <w:sz w:val="24"/>
        </w:rPr>
      </w:pPr>
      <w:r>
        <w:rPr>
          <w:rFonts w:hint="eastAsia" w:ascii="宋体" w:hAnsi="宋体"/>
          <w:sz w:val="24"/>
        </w:rPr>
        <w:t>2.资格审查合格的供应商进入评标。</w:t>
      </w:r>
    </w:p>
    <w:p>
      <w:pPr>
        <w:adjustRightInd w:val="0"/>
        <w:snapToGrid w:val="0"/>
        <w:spacing w:line="360" w:lineRule="auto"/>
        <w:ind w:firstLine="484" w:firstLineChars="202"/>
        <w:rPr>
          <w:rFonts w:ascii="宋体" w:hAnsi="宋体"/>
          <w:sz w:val="24"/>
        </w:rPr>
      </w:pPr>
      <w:r>
        <w:rPr>
          <w:rFonts w:hint="eastAsia" w:ascii="宋体" w:hAnsi="宋体"/>
          <w:sz w:val="24"/>
        </w:rPr>
        <w:t>3.合格投标供应商不足</w:t>
      </w:r>
      <w:r>
        <w:rPr>
          <w:rFonts w:ascii="宋体" w:hAnsi="宋体"/>
          <w:sz w:val="24"/>
        </w:rPr>
        <w:t>3</w:t>
      </w:r>
      <w:r>
        <w:rPr>
          <w:rFonts w:hint="eastAsia" w:ascii="宋体" w:hAnsi="宋体"/>
          <w:sz w:val="24"/>
        </w:rPr>
        <w:t>家的，不得评标，相应处理方式见本招标文件第四章第十二条的规定。</w:t>
      </w:r>
    </w:p>
    <w:p>
      <w:pPr>
        <w:spacing w:line="360" w:lineRule="auto"/>
        <w:ind w:firstLine="487" w:firstLineChars="202"/>
        <w:outlineLvl w:val="1"/>
        <w:rPr>
          <w:rFonts w:ascii="宋体" w:hAnsi="宋体"/>
          <w:b/>
          <w:sz w:val="24"/>
        </w:rPr>
      </w:pPr>
      <w:r>
        <w:rPr>
          <w:rFonts w:hint="eastAsia" w:ascii="宋体" w:hAnsi="宋体"/>
          <w:b/>
          <w:sz w:val="24"/>
        </w:rPr>
        <w:t>四、路演</w:t>
      </w:r>
    </w:p>
    <w:p>
      <w:pPr>
        <w:adjustRightInd w:val="0"/>
        <w:snapToGrid w:val="0"/>
        <w:spacing w:line="360" w:lineRule="auto"/>
        <w:ind w:firstLine="484" w:firstLineChars="202"/>
        <w:rPr>
          <w:rFonts w:ascii="宋体" w:hAnsi="宋体"/>
          <w:sz w:val="24"/>
        </w:rPr>
      </w:pPr>
      <w:r>
        <w:rPr>
          <w:rFonts w:hint="eastAsia" w:ascii="宋体" w:hAnsi="宋体"/>
          <w:sz w:val="24"/>
        </w:rPr>
        <w:t>1.路演时间：技术标开始后；地点：崇川路1号建发集团三楼会议室。</w:t>
      </w:r>
    </w:p>
    <w:p>
      <w:pPr>
        <w:adjustRightInd w:val="0"/>
        <w:snapToGrid w:val="0"/>
        <w:spacing w:line="360" w:lineRule="auto"/>
        <w:ind w:firstLine="484" w:firstLineChars="202"/>
        <w:rPr>
          <w:rFonts w:ascii="宋体" w:hAnsi="宋体"/>
          <w:sz w:val="24"/>
        </w:rPr>
      </w:pPr>
      <w:r>
        <w:rPr>
          <w:rFonts w:hint="eastAsia" w:ascii="宋体" w:hAnsi="宋体"/>
          <w:sz w:val="24"/>
        </w:rPr>
        <w:t>2.路演对象：通过资格审查的各投标供应商。</w:t>
      </w:r>
    </w:p>
    <w:p>
      <w:pPr>
        <w:adjustRightInd w:val="0"/>
        <w:snapToGrid w:val="0"/>
        <w:spacing w:line="360" w:lineRule="auto"/>
        <w:ind w:firstLine="484" w:firstLineChars="202"/>
        <w:rPr>
          <w:rFonts w:ascii="宋体" w:hAnsi="宋体"/>
          <w:sz w:val="24"/>
        </w:rPr>
      </w:pPr>
      <w:r>
        <w:rPr>
          <w:rFonts w:hint="eastAsia" w:ascii="宋体" w:hAnsi="宋体"/>
          <w:sz w:val="24"/>
        </w:rPr>
        <w:t>3.路演内容：</w:t>
      </w:r>
    </w:p>
    <w:p>
      <w:pPr>
        <w:adjustRightInd w:val="0"/>
        <w:snapToGrid w:val="0"/>
        <w:spacing w:line="360" w:lineRule="auto"/>
        <w:ind w:firstLine="484" w:firstLineChars="202"/>
      </w:pPr>
      <w:r>
        <w:rPr>
          <w:rFonts w:hint="eastAsia" w:ascii="宋体" w:hAnsi="宋体"/>
          <w:sz w:val="24"/>
        </w:rPr>
        <w:t>结合本项目的特点，从</w:t>
      </w:r>
      <w:r>
        <w:rPr>
          <w:rFonts w:hint="eastAsia" w:ascii="宋体" w:hAnsi="宋体" w:cs="仿宋"/>
          <w:bCs/>
          <w:sz w:val="24"/>
        </w:rPr>
        <w:t>发行方案及团队实力</w:t>
      </w:r>
      <w:r>
        <w:rPr>
          <w:rFonts w:hint="eastAsia" w:ascii="宋体" w:hAnsi="宋体"/>
          <w:sz w:val="24"/>
        </w:rPr>
        <w:t>方面进行路演展示，限时10分钟，无路演的投标供应商不得进入评标环节，作无效标处理。</w:t>
      </w:r>
    </w:p>
    <w:p>
      <w:pPr>
        <w:adjustRightInd w:val="0"/>
        <w:snapToGrid w:val="0"/>
        <w:spacing w:line="360" w:lineRule="auto"/>
        <w:ind w:firstLine="487" w:firstLineChars="202"/>
        <w:outlineLvl w:val="1"/>
        <w:rPr>
          <w:rFonts w:ascii="宋体" w:hAnsi="宋体"/>
          <w:b/>
          <w:sz w:val="24"/>
        </w:rPr>
      </w:pPr>
      <w:r>
        <w:rPr>
          <w:rFonts w:hint="eastAsia" w:ascii="宋体" w:hAnsi="宋体"/>
          <w:b/>
          <w:sz w:val="24"/>
        </w:rPr>
        <w:t>五、评标</w:t>
      </w:r>
    </w:p>
    <w:p>
      <w:pPr>
        <w:snapToGrid w:val="0"/>
        <w:spacing w:line="360" w:lineRule="auto"/>
        <w:ind w:firstLine="480" w:firstLineChars="200"/>
        <w:rPr>
          <w:rFonts w:ascii="宋体" w:hAnsi="宋体"/>
          <w:sz w:val="24"/>
        </w:rPr>
      </w:pPr>
      <w:r>
        <w:rPr>
          <w:rFonts w:hint="eastAsia" w:ascii="宋体" w:hAnsi="宋体"/>
          <w:sz w:val="24"/>
        </w:rPr>
        <w:t>1.评标时间：</w:t>
      </w:r>
      <w:r>
        <w:rPr>
          <w:rFonts w:hint="eastAsia" w:ascii="宋体" w:hAnsi="宋体" w:cs="宋体"/>
          <w:kern w:val="0"/>
          <w:sz w:val="24"/>
        </w:rPr>
        <w:t>资格审查后当即开始</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2.采购人负责组织评标工作，并履行下列职责：</w:t>
      </w:r>
    </w:p>
    <w:p>
      <w:pPr>
        <w:spacing w:line="360" w:lineRule="auto"/>
        <w:ind w:firstLine="240" w:firstLineChars="100"/>
        <w:rPr>
          <w:rFonts w:ascii="宋体" w:hAnsi="宋体"/>
          <w:sz w:val="24"/>
        </w:rPr>
      </w:pPr>
      <w:r>
        <w:rPr>
          <w:rFonts w:hint="eastAsia" w:ascii="宋体" w:hAnsi="宋体"/>
          <w:sz w:val="24"/>
        </w:rPr>
        <w:t>（1）核对评审专家身份和采购人代表授权函，对评审专家在采购活动中的职责履行情况予以记录，并及时将有关违法违规行为向相关部门报告。</w:t>
      </w:r>
    </w:p>
    <w:p>
      <w:pPr>
        <w:spacing w:line="360" w:lineRule="auto"/>
        <w:ind w:firstLine="240" w:firstLineChars="100"/>
        <w:rPr>
          <w:rFonts w:ascii="宋体" w:hAnsi="宋体"/>
          <w:sz w:val="24"/>
        </w:rPr>
      </w:pPr>
      <w:r>
        <w:rPr>
          <w:rFonts w:hint="eastAsia" w:ascii="宋体" w:hAnsi="宋体"/>
          <w:sz w:val="24"/>
        </w:rPr>
        <w:t>（2）宣布评标纪律。</w:t>
      </w:r>
    </w:p>
    <w:p>
      <w:pPr>
        <w:spacing w:line="360" w:lineRule="auto"/>
        <w:ind w:firstLine="240" w:firstLineChars="100"/>
        <w:rPr>
          <w:rFonts w:ascii="宋体" w:hAnsi="宋体"/>
          <w:sz w:val="24"/>
        </w:rPr>
      </w:pPr>
      <w:r>
        <w:rPr>
          <w:rFonts w:hint="eastAsia" w:ascii="宋体" w:hAnsi="宋体"/>
          <w:sz w:val="24"/>
        </w:rPr>
        <w:t>（3）公布投标供应商名单，告知评审专家应当回避的情形。</w:t>
      </w:r>
    </w:p>
    <w:p>
      <w:pPr>
        <w:spacing w:line="360" w:lineRule="auto"/>
        <w:ind w:firstLine="240" w:firstLineChars="100"/>
        <w:rPr>
          <w:rFonts w:ascii="宋体" w:hAnsi="宋体"/>
          <w:sz w:val="24"/>
        </w:rPr>
      </w:pPr>
      <w:r>
        <w:rPr>
          <w:rFonts w:hint="eastAsia" w:ascii="宋体" w:hAnsi="宋体"/>
          <w:sz w:val="24"/>
        </w:rPr>
        <w:t>（4）组织评标委员会推选评标组长，采购人代表不得担任组长。</w:t>
      </w:r>
    </w:p>
    <w:p>
      <w:pPr>
        <w:spacing w:line="360" w:lineRule="auto"/>
        <w:ind w:firstLine="240" w:firstLineChars="100"/>
        <w:rPr>
          <w:rFonts w:ascii="宋体" w:hAnsi="宋体"/>
          <w:sz w:val="24"/>
        </w:rPr>
      </w:pPr>
      <w:r>
        <w:rPr>
          <w:rFonts w:hint="eastAsia" w:ascii="宋体" w:hAnsi="宋体"/>
          <w:sz w:val="24"/>
        </w:rPr>
        <w:t>（5）在评标期间采取必要的通讯管理措施，保证评标活动不受外界干扰；除采购人代表、评标现场组织人员外，采购人的其他工作人员以及与评标工作无关的人员不得进入评标现场。</w:t>
      </w:r>
    </w:p>
    <w:p>
      <w:pPr>
        <w:spacing w:line="360" w:lineRule="auto"/>
        <w:ind w:firstLine="240" w:firstLineChars="100"/>
        <w:rPr>
          <w:rFonts w:ascii="宋体" w:hAnsi="宋体"/>
          <w:sz w:val="24"/>
        </w:rPr>
      </w:pPr>
      <w:r>
        <w:rPr>
          <w:rFonts w:hint="eastAsia" w:ascii="宋体" w:hAnsi="宋体"/>
          <w:sz w:val="24"/>
        </w:rPr>
        <w:t>（6）根据评标委员会的要求介绍相关政策法规、招标文件。</w:t>
      </w:r>
    </w:p>
    <w:p>
      <w:pPr>
        <w:spacing w:line="360" w:lineRule="auto"/>
        <w:ind w:firstLine="240" w:firstLineChars="100"/>
        <w:rPr>
          <w:rFonts w:ascii="宋体" w:hAnsi="宋体"/>
          <w:sz w:val="24"/>
        </w:rPr>
      </w:pPr>
      <w:r>
        <w:rPr>
          <w:rFonts w:hint="eastAsia"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招标文件一并存档。</w:t>
      </w:r>
    </w:p>
    <w:p>
      <w:pPr>
        <w:spacing w:line="360" w:lineRule="auto"/>
        <w:ind w:firstLine="240" w:firstLineChars="100"/>
        <w:rPr>
          <w:rFonts w:ascii="宋体" w:hAnsi="宋体"/>
          <w:sz w:val="24"/>
        </w:rPr>
      </w:pPr>
      <w:r>
        <w:rPr>
          <w:rFonts w:hint="eastAsia" w:ascii="宋体" w:hAnsi="宋体"/>
          <w:sz w:val="24"/>
        </w:rPr>
        <w:t>（8）核对评标结果，有下列规定情形的，要求评标委员会复核或者书面说明理由，评标委员会拒绝的，则予以书面记录并向本级财政部门报告：</w:t>
      </w:r>
    </w:p>
    <w:p>
      <w:pPr>
        <w:spacing w:line="360" w:lineRule="auto"/>
        <w:ind w:firstLine="480" w:firstLineChars="200"/>
        <w:rPr>
          <w:rFonts w:ascii="宋体" w:hAnsi="宋体"/>
          <w:sz w:val="24"/>
        </w:rPr>
      </w:pPr>
      <w:r>
        <w:rPr>
          <w:rFonts w:hint="eastAsia" w:ascii="宋体" w:hAnsi="宋体"/>
          <w:sz w:val="24"/>
        </w:rPr>
        <w:t>① 分值汇总计算错误的；</w:t>
      </w:r>
    </w:p>
    <w:p>
      <w:pPr>
        <w:spacing w:line="360" w:lineRule="auto"/>
        <w:ind w:firstLine="480" w:firstLineChars="200"/>
        <w:rPr>
          <w:rFonts w:ascii="宋体" w:hAnsi="宋体"/>
          <w:sz w:val="24"/>
        </w:rPr>
      </w:pPr>
      <w:r>
        <w:rPr>
          <w:rFonts w:hint="eastAsia" w:ascii="宋体" w:hAnsi="宋体"/>
          <w:sz w:val="24"/>
        </w:rPr>
        <w:t>② 分项评分超出评分标准范围的；</w:t>
      </w:r>
    </w:p>
    <w:p>
      <w:pPr>
        <w:spacing w:line="360" w:lineRule="auto"/>
        <w:ind w:firstLine="480" w:firstLineChars="200"/>
        <w:rPr>
          <w:rFonts w:ascii="宋体" w:hAnsi="宋体"/>
          <w:sz w:val="24"/>
        </w:rPr>
      </w:pPr>
      <w:r>
        <w:rPr>
          <w:rFonts w:hint="eastAsia" w:ascii="宋体" w:hAnsi="宋体"/>
          <w:sz w:val="24"/>
        </w:rPr>
        <w:t>③ 评标委员会成员对客观评审因素评分不一致的；</w:t>
      </w:r>
    </w:p>
    <w:p>
      <w:pPr>
        <w:spacing w:line="360" w:lineRule="auto"/>
        <w:ind w:firstLine="480" w:firstLineChars="200"/>
        <w:rPr>
          <w:rFonts w:ascii="宋体" w:hAnsi="宋体"/>
          <w:sz w:val="24"/>
        </w:rPr>
      </w:pPr>
      <w:r>
        <w:rPr>
          <w:rFonts w:hint="eastAsia" w:ascii="宋体" w:hAnsi="宋体"/>
          <w:sz w:val="24"/>
        </w:rPr>
        <w:t>④ 经评标委员会认定评分畸高、畸低的。</w:t>
      </w:r>
    </w:p>
    <w:p>
      <w:pPr>
        <w:spacing w:line="360" w:lineRule="auto"/>
        <w:ind w:firstLine="240" w:firstLineChars="100"/>
        <w:rPr>
          <w:rFonts w:ascii="宋体" w:hAnsi="宋体"/>
          <w:sz w:val="24"/>
        </w:rPr>
      </w:pPr>
      <w:r>
        <w:rPr>
          <w:rFonts w:hint="eastAsia" w:ascii="宋体" w:hAnsi="宋体"/>
          <w:sz w:val="24"/>
        </w:rPr>
        <w:t>（9）评审工作完成后，按照规定向评审专家支付劳务报酬和异地评审差旅费，不得向评审专家以外的其他人员支付评审劳务报酬；</w:t>
      </w:r>
    </w:p>
    <w:p>
      <w:pPr>
        <w:spacing w:line="360" w:lineRule="auto"/>
        <w:ind w:firstLine="240" w:firstLineChars="100"/>
        <w:rPr>
          <w:rFonts w:ascii="宋体" w:hAnsi="宋体"/>
          <w:sz w:val="24"/>
        </w:rPr>
      </w:pPr>
      <w:r>
        <w:rPr>
          <w:rFonts w:hint="eastAsia" w:ascii="宋体" w:hAnsi="宋体"/>
          <w:sz w:val="24"/>
        </w:rPr>
        <w:t>（10）处理与评标有关的其他事项。</w:t>
      </w:r>
    </w:p>
    <w:p>
      <w:pPr>
        <w:spacing w:line="360" w:lineRule="auto"/>
        <w:ind w:firstLine="480" w:firstLineChars="200"/>
        <w:rPr>
          <w:rFonts w:ascii="宋体" w:hAnsi="宋体"/>
          <w:sz w:val="24"/>
        </w:rPr>
      </w:pPr>
      <w:r>
        <w:rPr>
          <w:rFonts w:hint="eastAsia" w:ascii="宋体" w:hAnsi="宋体"/>
          <w:sz w:val="24"/>
        </w:rPr>
        <w:t>4.评标委员会负责具体评标事务：</w:t>
      </w:r>
    </w:p>
    <w:p>
      <w:pPr>
        <w:spacing w:line="360" w:lineRule="auto"/>
        <w:ind w:firstLine="240" w:firstLineChars="100"/>
        <w:rPr>
          <w:rFonts w:ascii="宋体" w:hAnsi="宋体"/>
          <w:sz w:val="24"/>
        </w:rPr>
      </w:pPr>
      <w:r>
        <w:rPr>
          <w:rFonts w:hint="eastAsia" w:ascii="宋体" w:hAnsi="宋体"/>
          <w:sz w:val="24"/>
        </w:rPr>
        <w:t>（1）独立履行审查、评价合格投标供应商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供应商。</w:t>
      </w:r>
    </w:p>
    <w:p>
      <w:pPr>
        <w:spacing w:line="360" w:lineRule="auto"/>
        <w:ind w:firstLine="240" w:firstLineChars="100"/>
        <w:rPr>
          <w:rFonts w:ascii="宋体" w:hAnsi="宋体"/>
          <w:sz w:val="24"/>
        </w:rPr>
      </w:pPr>
      <w:r>
        <w:rPr>
          <w:rFonts w:hint="eastAsia" w:ascii="宋体" w:hAnsi="宋体"/>
          <w:sz w:val="24"/>
        </w:rPr>
        <w:t>（2）对于投标文件中含义不明确、同类问题表述不一致或者有明显文字和计算错误的内容，评标委员会应当以书面形式要求投标供应商作出必要的澄清、说明或者补正。投标供应商的澄清、说明或者补正，应当采用书面形式由投标供应商代表签字，但不得超出招标文件的范围或者改变其实质性内容。</w:t>
      </w:r>
    </w:p>
    <w:p>
      <w:pPr>
        <w:spacing w:line="360" w:lineRule="auto"/>
        <w:ind w:firstLine="240" w:firstLineChars="100"/>
        <w:rPr>
          <w:rFonts w:ascii="宋体" w:hAnsi="宋体"/>
          <w:sz w:val="24"/>
        </w:rPr>
      </w:pPr>
      <w:r>
        <w:rPr>
          <w:rFonts w:hint="eastAsia" w:ascii="宋体" w:hAnsi="宋体"/>
          <w:sz w:val="24"/>
        </w:rPr>
        <w:t>（3）评标委员会发现招标文件存在歧义、重大缺陷导致评标工作无法进行，或者招标文件内容违反国家有关强制性规定的，应当停止评标工作，与采购人沟通并作书面记录。采购人确认后，应当修改招标文件，重新组织采购活动。</w:t>
      </w:r>
    </w:p>
    <w:p>
      <w:pPr>
        <w:adjustRightInd w:val="0"/>
        <w:snapToGrid w:val="0"/>
        <w:spacing w:line="360" w:lineRule="auto"/>
        <w:ind w:firstLine="484" w:firstLineChars="202"/>
        <w:rPr>
          <w:rFonts w:ascii="宋体" w:hAnsi="宋体"/>
          <w:sz w:val="24"/>
        </w:rPr>
      </w:pPr>
      <w:r>
        <w:rPr>
          <w:rFonts w:hint="eastAsia" w:ascii="宋体" w:hAnsi="宋体"/>
          <w:sz w:val="24"/>
        </w:rPr>
        <w:t>5.评标委员会成员独立履行以下职责与义务：</w:t>
      </w:r>
    </w:p>
    <w:p>
      <w:pPr>
        <w:adjustRightInd w:val="0"/>
        <w:snapToGrid w:val="0"/>
        <w:spacing w:line="360" w:lineRule="auto"/>
        <w:ind w:firstLine="484" w:firstLineChars="202"/>
        <w:rPr>
          <w:rFonts w:ascii="宋体" w:hAnsi="宋体"/>
          <w:sz w:val="24"/>
        </w:rPr>
      </w:pPr>
      <w:r>
        <w:rPr>
          <w:rFonts w:hint="eastAsia" w:ascii="宋体" w:hAnsi="宋体"/>
          <w:sz w:val="24"/>
        </w:rPr>
        <w:t>（1）遵纪守法，客观、公正、廉洁地履行职责；</w:t>
      </w:r>
    </w:p>
    <w:p>
      <w:pPr>
        <w:adjustRightInd w:val="0"/>
        <w:snapToGrid w:val="0"/>
        <w:spacing w:line="360" w:lineRule="auto"/>
        <w:ind w:firstLine="484" w:firstLineChars="202"/>
        <w:rPr>
          <w:rFonts w:ascii="宋体" w:hAnsi="宋体"/>
          <w:sz w:val="24"/>
        </w:rPr>
      </w:pPr>
      <w:r>
        <w:rPr>
          <w:rFonts w:hint="eastAsia" w:ascii="宋体" w:hAnsi="宋体"/>
          <w:sz w:val="24"/>
        </w:rPr>
        <w:t>（2）审查合格投标供应商的投标文件是否实质性响应招标文件要求，并做出评价；</w:t>
      </w:r>
    </w:p>
    <w:p>
      <w:pPr>
        <w:adjustRightInd w:val="0"/>
        <w:snapToGrid w:val="0"/>
        <w:spacing w:line="360" w:lineRule="auto"/>
        <w:ind w:firstLine="484" w:firstLineChars="202"/>
        <w:rPr>
          <w:rFonts w:ascii="宋体" w:hAnsi="宋体"/>
          <w:sz w:val="24"/>
        </w:rPr>
      </w:pPr>
      <w:r>
        <w:rPr>
          <w:rFonts w:hint="eastAsia" w:ascii="宋体" w:hAnsi="宋体"/>
          <w:sz w:val="24"/>
        </w:rPr>
        <w:t>（3）按照招标文件规定的评标办法和评标标准进行评标，对评审意见承担个人责任；</w:t>
      </w:r>
    </w:p>
    <w:p>
      <w:pPr>
        <w:adjustRightInd w:val="0"/>
        <w:snapToGrid w:val="0"/>
        <w:spacing w:line="360" w:lineRule="auto"/>
        <w:ind w:firstLine="484" w:firstLineChars="202"/>
        <w:rPr>
          <w:rFonts w:ascii="宋体" w:hAnsi="宋体"/>
          <w:sz w:val="24"/>
        </w:rPr>
      </w:pPr>
      <w:r>
        <w:rPr>
          <w:rFonts w:hint="eastAsia" w:ascii="宋体" w:hAnsi="宋体"/>
          <w:sz w:val="24"/>
        </w:rPr>
        <w:t>（4）可以要求投标供应商对投标文件有关事项做出解释或澄清；</w:t>
      </w:r>
    </w:p>
    <w:p>
      <w:pPr>
        <w:adjustRightInd w:val="0"/>
        <w:snapToGrid w:val="0"/>
        <w:spacing w:line="360" w:lineRule="auto"/>
        <w:ind w:firstLine="484" w:firstLineChars="202"/>
        <w:rPr>
          <w:rFonts w:ascii="宋体" w:hAnsi="宋体"/>
          <w:sz w:val="24"/>
        </w:rPr>
      </w:pPr>
      <w:r>
        <w:rPr>
          <w:rFonts w:hint="eastAsia" w:ascii="宋体" w:hAnsi="宋体"/>
          <w:sz w:val="24"/>
        </w:rPr>
        <w:t>（5）对评标过程和结果，以及投标供应商的商业秘密保密；</w:t>
      </w:r>
    </w:p>
    <w:p>
      <w:pPr>
        <w:adjustRightInd w:val="0"/>
        <w:snapToGrid w:val="0"/>
        <w:spacing w:line="360" w:lineRule="auto"/>
        <w:ind w:firstLine="484" w:firstLineChars="202"/>
        <w:rPr>
          <w:rFonts w:ascii="宋体" w:hAnsi="宋体"/>
          <w:sz w:val="24"/>
        </w:rPr>
      </w:pPr>
      <w:r>
        <w:rPr>
          <w:rFonts w:hint="eastAsia" w:ascii="宋体" w:hAnsi="宋体"/>
          <w:sz w:val="24"/>
        </w:rPr>
        <w:t>（6）配合相关部门的投诉处理工作；</w:t>
      </w:r>
    </w:p>
    <w:p>
      <w:pPr>
        <w:adjustRightInd w:val="0"/>
        <w:snapToGrid w:val="0"/>
        <w:spacing w:line="360" w:lineRule="auto"/>
        <w:ind w:firstLine="484" w:firstLineChars="202"/>
        <w:rPr>
          <w:rFonts w:ascii="宋体" w:hAnsi="宋体"/>
          <w:sz w:val="24"/>
        </w:rPr>
      </w:pPr>
      <w:r>
        <w:rPr>
          <w:rFonts w:hint="eastAsia" w:ascii="宋体" w:hAnsi="宋体"/>
          <w:sz w:val="24"/>
        </w:rPr>
        <w:t>（7）配合采购人答复投标供应商提出的质疑。</w:t>
      </w:r>
    </w:p>
    <w:p>
      <w:pPr>
        <w:spacing w:line="360" w:lineRule="auto"/>
        <w:ind w:firstLine="480" w:firstLineChars="200"/>
        <w:rPr>
          <w:rFonts w:ascii="宋体" w:hAnsi="宋体"/>
          <w:sz w:val="24"/>
        </w:rPr>
      </w:pPr>
      <w:r>
        <w:rPr>
          <w:rFonts w:hint="eastAsia" w:ascii="宋体" w:hAnsi="宋体"/>
          <w:sz w:val="24"/>
        </w:rPr>
        <w:t>6.除采购人代表、评标现场组织人员外，采购人的其他工作人员以及与评标工作无关的人员不得进入评标现场；有关人员对评标情况以及在评标过程中获悉的国家秘密、商业秘密负有保密责任。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80" w:firstLineChars="200"/>
        <w:rPr>
          <w:rFonts w:ascii="宋体" w:hAnsi="宋体"/>
          <w:sz w:val="24"/>
        </w:rPr>
      </w:pPr>
      <w:r>
        <w:rPr>
          <w:rFonts w:hint="eastAsia" w:ascii="宋体" w:hAnsi="宋体"/>
          <w:sz w:val="24"/>
        </w:rPr>
        <w:t>7.开标后直到公告项目中标结果发出中标通知书并授予中标供应商合同为止，凡属于评审、澄清、评价和比较投标的所有资料及有关授予合同等的相关信息，都不应向投标供应商或与评标无关的其他人泄露。</w:t>
      </w:r>
    </w:p>
    <w:p>
      <w:pPr>
        <w:adjustRightInd w:val="0"/>
        <w:snapToGrid w:val="0"/>
        <w:spacing w:line="360" w:lineRule="auto"/>
        <w:ind w:firstLine="484" w:firstLineChars="202"/>
        <w:rPr>
          <w:rFonts w:ascii="宋体" w:hAnsi="宋体"/>
          <w:sz w:val="24"/>
        </w:rPr>
      </w:pPr>
      <w:r>
        <w:rPr>
          <w:rFonts w:hint="eastAsia" w:ascii="宋体" w:hAnsi="宋体"/>
          <w:sz w:val="24"/>
        </w:rPr>
        <w:t>8.评审期间，合格投标供应商的投标文件仍有可能被评标委员会根据规定判为无效投标。</w:t>
      </w:r>
    </w:p>
    <w:p>
      <w:pPr>
        <w:adjustRightInd w:val="0"/>
        <w:snapToGrid w:val="0"/>
        <w:spacing w:line="360" w:lineRule="auto"/>
        <w:ind w:firstLine="484" w:firstLineChars="202"/>
        <w:rPr>
          <w:rFonts w:ascii="宋体" w:hAnsi="宋体"/>
          <w:sz w:val="24"/>
        </w:rPr>
      </w:pPr>
      <w:r>
        <w:rPr>
          <w:rFonts w:hint="eastAsia" w:ascii="宋体" w:hAnsi="宋体"/>
          <w:sz w:val="24"/>
        </w:rPr>
        <w:t>9.在投标文件的评审、澄清、评价和比较以及授予合同的过程中，投标供应商对采购人和评标委员会成员有施加影响的任何行为，都将取消其可能的中标资格。</w:t>
      </w:r>
    </w:p>
    <w:p>
      <w:pPr>
        <w:adjustRightInd w:val="0"/>
        <w:snapToGrid w:val="0"/>
        <w:spacing w:line="360" w:lineRule="auto"/>
        <w:ind w:firstLine="487" w:firstLineChars="202"/>
        <w:outlineLvl w:val="1"/>
        <w:rPr>
          <w:rFonts w:ascii="宋体" w:hAnsi="宋体"/>
          <w:b/>
          <w:sz w:val="24"/>
        </w:rPr>
      </w:pPr>
      <w:r>
        <w:rPr>
          <w:rFonts w:hint="eastAsia" w:ascii="宋体" w:hAnsi="宋体"/>
          <w:b/>
          <w:sz w:val="24"/>
        </w:rPr>
        <w:t>六、评审原则</w:t>
      </w:r>
    </w:p>
    <w:p>
      <w:pPr>
        <w:snapToGrid w:val="0"/>
        <w:spacing w:line="360" w:lineRule="auto"/>
        <w:ind w:firstLine="484" w:firstLineChars="202"/>
        <w:rPr>
          <w:rFonts w:ascii="宋体" w:hAnsi="宋体" w:cs="宋体"/>
          <w:sz w:val="24"/>
        </w:rPr>
      </w:pPr>
      <w:r>
        <w:rPr>
          <w:rFonts w:hint="eastAsia" w:ascii="宋体" w:hAnsi="宋体" w:cs="宋体"/>
          <w:sz w:val="24"/>
        </w:rPr>
        <w:t>1.本项目采用</w:t>
      </w:r>
      <w:r>
        <w:rPr>
          <w:rFonts w:hint="eastAsia" w:ascii="宋体" w:hAnsi="宋体" w:cs="宋体"/>
          <w:sz w:val="24"/>
          <w:u w:val="single"/>
        </w:rPr>
        <w:t xml:space="preserve">  </w:t>
      </w:r>
      <w:r>
        <w:rPr>
          <w:rFonts w:hint="eastAsia" w:ascii="宋体" w:hAnsi="宋体" w:cs="宋体"/>
          <w:b/>
          <w:sz w:val="24"/>
          <w:u w:val="single"/>
        </w:rPr>
        <w:t>综合评分法</w:t>
      </w:r>
      <w:r>
        <w:rPr>
          <w:rFonts w:hint="eastAsia" w:ascii="宋体" w:hAnsi="宋体" w:cs="宋体"/>
          <w:sz w:val="24"/>
          <w:u w:val="single"/>
        </w:rPr>
        <w:t xml:space="preserve">  </w:t>
      </w:r>
      <w:r>
        <w:rPr>
          <w:rFonts w:hint="eastAsia" w:ascii="宋体" w:hAnsi="宋体" w:cs="宋体"/>
          <w:sz w:val="24"/>
        </w:rPr>
        <w:t>，即指投标文件满足本项目招标文件全部实质性要求，且按照评审因素的量化指标，经评审后得分最高的投标供应商推荐为中标供应商的评标方法。</w:t>
      </w:r>
    </w:p>
    <w:p>
      <w:pPr>
        <w:snapToGrid w:val="0"/>
        <w:spacing w:line="360" w:lineRule="auto"/>
        <w:ind w:firstLine="484" w:firstLineChars="202"/>
        <w:rPr>
          <w:rFonts w:ascii="宋体" w:hAnsi="宋体" w:cs="宋体"/>
          <w:sz w:val="24"/>
        </w:rPr>
      </w:pPr>
      <w:r>
        <w:rPr>
          <w:rFonts w:hint="eastAsia" w:ascii="宋体" w:hAnsi="宋体" w:cs="宋体"/>
          <w:sz w:val="24"/>
        </w:rPr>
        <w:t>2.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ascii="宋体" w:hAnsi="宋体" w:cs="宋体"/>
          <w:sz w:val="24"/>
        </w:rPr>
      </w:pPr>
      <w:r>
        <w:rPr>
          <w:rFonts w:hint="eastAsia" w:ascii="宋体" w:hAnsi="宋体" w:cs="宋体"/>
          <w:sz w:val="24"/>
        </w:rPr>
        <w:t>3.评标委员会严格按照招标文件规定的要求、条件、评分标准，对投标供应商所提供的完整计划标的物的科学性、可行性、产品质量、服务质量的保证及承诺等实质性响应内容进行比较评价。</w:t>
      </w:r>
    </w:p>
    <w:p>
      <w:pPr>
        <w:snapToGrid w:val="0"/>
        <w:spacing w:line="360" w:lineRule="auto"/>
        <w:ind w:firstLine="484" w:firstLineChars="202"/>
        <w:rPr>
          <w:rFonts w:ascii="宋体" w:hAnsi="宋体" w:cs="宋体"/>
          <w:sz w:val="24"/>
        </w:rPr>
      </w:pPr>
      <w:r>
        <w:rPr>
          <w:rFonts w:hint="eastAsia" w:ascii="宋体" w:hAnsi="宋体" w:cs="宋体"/>
          <w:sz w:val="24"/>
        </w:rPr>
        <w:t>4.对投标文件的评审判定，只依据投标文件内容本身，不依靠开标后任何外来证明文件。</w:t>
      </w:r>
    </w:p>
    <w:p>
      <w:pPr>
        <w:snapToGrid w:val="0"/>
        <w:spacing w:line="360" w:lineRule="auto"/>
        <w:ind w:firstLine="487" w:firstLineChars="202"/>
        <w:outlineLvl w:val="1"/>
        <w:rPr>
          <w:rFonts w:ascii="宋体" w:hAnsi="宋体" w:cs="宋体"/>
          <w:b/>
          <w:bCs/>
          <w:sz w:val="24"/>
        </w:rPr>
      </w:pPr>
      <w:r>
        <w:rPr>
          <w:rFonts w:hint="eastAsia" w:ascii="宋体" w:hAnsi="宋体" w:cs="宋体"/>
          <w:b/>
          <w:bCs/>
          <w:sz w:val="24"/>
        </w:rPr>
        <w:t>七、评审方法</w:t>
      </w:r>
    </w:p>
    <w:p>
      <w:pPr>
        <w:snapToGrid w:val="0"/>
        <w:spacing w:line="360" w:lineRule="auto"/>
        <w:ind w:firstLine="484" w:firstLineChars="202"/>
        <w:rPr>
          <w:rFonts w:ascii="宋体" w:hAnsi="宋体" w:cs="宋体"/>
          <w:sz w:val="24"/>
        </w:rPr>
      </w:pPr>
      <w:r>
        <w:rPr>
          <w:rFonts w:hint="eastAsia" w:ascii="宋体" w:hAnsi="宋体" w:cs="宋体"/>
          <w:sz w:val="24"/>
        </w:rPr>
        <w:t>1.评标程序：</w:t>
      </w:r>
    </w:p>
    <w:p>
      <w:pPr>
        <w:snapToGrid w:val="0"/>
        <w:spacing w:line="360" w:lineRule="auto"/>
        <w:ind w:firstLine="484" w:firstLineChars="202"/>
        <w:rPr>
          <w:rFonts w:ascii="宋体" w:hAnsi="宋体" w:cs="宋体"/>
          <w:sz w:val="24"/>
        </w:rPr>
      </w:pPr>
      <w:r>
        <w:rPr>
          <w:rFonts w:hint="eastAsia" w:ascii="宋体" w:hAnsi="宋体" w:cs="宋体"/>
          <w:sz w:val="24"/>
        </w:rPr>
        <w:t>资格符合性评审——技术标评审（路演）——商务标评审——确定中标候选人。</w:t>
      </w:r>
    </w:p>
    <w:p>
      <w:pPr>
        <w:snapToGrid w:val="0"/>
        <w:spacing w:line="360" w:lineRule="auto"/>
        <w:ind w:firstLine="484" w:firstLineChars="202"/>
        <w:rPr>
          <w:rFonts w:ascii="宋体" w:hAnsi="宋体" w:cs="宋体"/>
          <w:sz w:val="24"/>
        </w:rPr>
      </w:pPr>
      <w:r>
        <w:rPr>
          <w:rFonts w:hint="eastAsia" w:ascii="宋体" w:hAnsi="宋体" w:cs="宋体"/>
          <w:sz w:val="24"/>
        </w:rPr>
        <w:t>本次资格审查采用资格后审，各投标供应商资格审查通过后进入技术标的开标（技术标开标后进行路演）。先开技术标，技术标打分结束后再开商务标。</w:t>
      </w:r>
    </w:p>
    <w:p>
      <w:pPr>
        <w:snapToGrid w:val="0"/>
        <w:spacing w:line="360" w:lineRule="auto"/>
        <w:ind w:firstLine="484" w:firstLineChars="202"/>
        <w:rPr>
          <w:rFonts w:ascii="宋体" w:hAnsi="宋体" w:cs="宋体"/>
          <w:sz w:val="24"/>
        </w:rPr>
      </w:pPr>
      <w:r>
        <w:rPr>
          <w:rFonts w:hint="eastAsia" w:ascii="宋体" w:hAnsi="宋体" w:cs="宋体"/>
          <w:sz w:val="24"/>
        </w:rPr>
        <w:t>2.评标委员会将仅对按本招标文件载明的方法与规定，为实质上响应招标文件要求的投标文件评审并进行评价和比较。</w:t>
      </w:r>
    </w:p>
    <w:p>
      <w:pPr>
        <w:snapToGrid w:val="0"/>
        <w:spacing w:line="360" w:lineRule="auto"/>
        <w:ind w:firstLine="484" w:firstLineChars="202"/>
        <w:rPr>
          <w:rFonts w:ascii="宋体" w:hAnsi="宋体" w:cs="宋体"/>
          <w:sz w:val="24"/>
        </w:rPr>
      </w:pPr>
      <w:r>
        <w:rPr>
          <w:rFonts w:hint="eastAsia" w:ascii="宋体" w:hAnsi="宋体" w:cs="宋体"/>
          <w:sz w:val="24"/>
        </w:rPr>
        <w:t>3、本次项目的技术标和商务标评审总分值为100分。两部分评审因素比重如下：</w:t>
      </w:r>
    </w:p>
    <w:p>
      <w:pPr>
        <w:adjustRightInd w:val="0"/>
        <w:snapToGrid w:val="0"/>
        <w:spacing w:line="360" w:lineRule="auto"/>
        <w:ind w:firstLine="484" w:firstLineChars="202"/>
        <w:rPr>
          <w:rFonts w:ascii="宋体" w:hAnsi="宋体"/>
          <w:sz w:val="24"/>
        </w:rPr>
      </w:pPr>
      <w:r>
        <w:rPr>
          <w:rFonts w:hint="eastAsia" w:ascii="宋体" w:hAnsi="宋体"/>
          <w:sz w:val="24"/>
        </w:rPr>
        <w:t>（1）技术标分值占总分值的比重为</w:t>
      </w:r>
      <w:r>
        <w:rPr>
          <w:rFonts w:hint="eastAsia" w:ascii="宋体" w:hAnsi="宋体"/>
          <w:sz w:val="24"/>
          <w:u w:val="single"/>
        </w:rPr>
        <w:t xml:space="preserve"> </w:t>
      </w:r>
      <w:r>
        <w:rPr>
          <w:rFonts w:hint="eastAsia" w:ascii="宋体" w:hAnsi="宋体"/>
          <w:b/>
          <w:sz w:val="24"/>
          <w:u w:val="single"/>
        </w:rPr>
        <w:t>70%</w:t>
      </w:r>
      <w:r>
        <w:rPr>
          <w:rFonts w:hint="eastAsia" w:ascii="宋体" w:hAnsi="宋体"/>
          <w:sz w:val="24"/>
          <w:u w:val="single"/>
        </w:rPr>
        <w:t>（权重）</w:t>
      </w:r>
      <w:r>
        <w:rPr>
          <w:rFonts w:hint="eastAsia" w:ascii="宋体" w:hAnsi="宋体"/>
          <w:sz w:val="24"/>
        </w:rPr>
        <w:t>（取小数点后二位）；</w:t>
      </w:r>
    </w:p>
    <w:p>
      <w:pPr>
        <w:adjustRightInd w:val="0"/>
        <w:snapToGrid w:val="0"/>
        <w:spacing w:line="360" w:lineRule="auto"/>
        <w:ind w:firstLine="484" w:firstLineChars="202"/>
        <w:rPr>
          <w:rFonts w:ascii="宋体" w:hAnsi="宋体"/>
          <w:sz w:val="24"/>
        </w:rPr>
      </w:pPr>
      <w:r>
        <w:rPr>
          <w:rFonts w:hint="eastAsia" w:ascii="宋体" w:hAnsi="宋体"/>
          <w:sz w:val="24"/>
        </w:rPr>
        <w:t>（2）</w:t>
      </w:r>
      <w:r>
        <w:rPr>
          <w:rFonts w:hint="eastAsia" w:ascii="宋体" w:hAnsi="宋体" w:cs="宋体"/>
          <w:sz w:val="24"/>
        </w:rPr>
        <w:t>商务标</w:t>
      </w:r>
      <w:r>
        <w:rPr>
          <w:rFonts w:hint="eastAsia" w:ascii="宋体" w:hAnsi="宋体"/>
          <w:sz w:val="24"/>
        </w:rPr>
        <w:t xml:space="preserve">分值占总分值的比重为 </w:t>
      </w:r>
      <w:r>
        <w:rPr>
          <w:rFonts w:hint="eastAsia" w:ascii="宋体" w:hAnsi="宋体"/>
          <w:b/>
          <w:sz w:val="24"/>
          <w:u w:val="single"/>
        </w:rPr>
        <w:t>30%</w:t>
      </w:r>
      <w:r>
        <w:rPr>
          <w:rFonts w:hint="eastAsia" w:ascii="宋体" w:hAnsi="宋体"/>
          <w:sz w:val="24"/>
          <w:u w:val="single"/>
        </w:rPr>
        <w:t>（权重）</w:t>
      </w:r>
      <w:r>
        <w:rPr>
          <w:rFonts w:hint="eastAsia" w:ascii="宋体" w:hAnsi="宋体"/>
          <w:sz w:val="24"/>
        </w:rPr>
        <w:t>（取小数点后二位）。</w:t>
      </w:r>
    </w:p>
    <w:p>
      <w:pPr>
        <w:snapToGrid w:val="0"/>
        <w:spacing w:line="360" w:lineRule="auto"/>
        <w:ind w:firstLine="484" w:firstLineChars="202"/>
        <w:rPr>
          <w:rFonts w:ascii="宋体" w:hAnsi="宋体"/>
          <w:sz w:val="24"/>
        </w:rPr>
      </w:pPr>
      <w:r>
        <w:rPr>
          <w:rFonts w:hint="eastAsia" w:ascii="宋体" w:hAnsi="宋体"/>
          <w:sz w:val="24"/>
        </w:rPr>
        <w:t>4.评标小组严格按招标文件的要求、条件、评分标准，对投标供应商所提供货物或服务的先进性、可靠性、售后服务承诺、质量保证承诺等实质性响应内容进行比较。</w:t>
      </w:r>
    </w:p>
    <w:p>
      <w:pPr>
        <w:snapToGrid w:val="0"/>
        <w:spacing w:line="360" w:lineRule="auto"/>
        <w:ind w:firstLine="484" w:firstLineChars="202"/>
        <w:rPr>
          <w:rFonts w:ascii="宋体" w:hAnsi="宋体" w:cs="宋体"/>
          <w:sz w:val="24"/>
        </w:rPr>
      </w:pPr>
      <w:r>
        <w:rPr>
          <w:rFonts w:hint="eastAsia" w:ascii="宋体" w:hAnsi="宋体"/>
          <w:sz w:val="24"/>
        </w:rPr>
        <w:t>5.</w:t>
      </w:r>
      <w:r>
        <w:rPr>
          <w:rFonts w:hint="eastAsia" w:ascii="宋体" w:hAnsi="宋体" w:cs="宋体"/>
          <w:sz w:val="24"/>
        </w:rPr>
        <w:t>评标委员会构成共5人，评标专家4人，业主评委1人；评标专家确定方式：由采购人依法组建。评标委员会各成员独立对每个进入打分程序的有效投标供应商的投标文件的技术部分以打分的形式进行评审和评价。</w:t>
      </w:r>
    </w:p>
    <w:p>
      <w:pPr>
        <w:snapToGrid w:val="0"/>
        <w:spacing w:line="360" w:lineRule="auto"/>
        <w:ind w:firstLine="484" w:firstLineChars="202"/>
        <w:rPr>
          <w:rFonts w:ascii="宋体" w:hAnsi="宋体" w:cs="宋体"/>
          <w:sz w:val="24"/>
        </w:rPr>
      </w:pPr>
      <w:r>
        <w:rPr>
          <w:rFonts w:hint="eastAsia" w:ascii="宋体" w:hAnsi="宋体" w:cs="宋体"/>
          <w:sz w:val="24"/>
        </w:rPr>
        <w:t>6.评标委员会评委为5人，技术分按算术平均值计算（计算结果均四舍五入保留两位小数）。</w:t>
      </w:r>
    </w:p>
    <w:p>
      <w:pPr>
        <w:snapToGrid w:val="0"/>
        <w:spacing w:line="360" w:lineRule="auto"/>
        <w:ind w:firstLine="484" w:firstLineChars="202"/>
        <w:rPr>
          <w:rFonts w:ascii="宋体" w:hAnsi="宋体" w:cs="宋体"/>
          <w:sz w:val="24"/>
        </w:rPr>
      </w:pPr>
      <w:r>
        <w:rPr>
          <w:rFonts w:hint="eastAsia" w:ascii="宋体" w:hAnsi="宋体" w:cs="宋体"/>
          <w:sz w:val="24"/>
        </w:rPr>
        <w:t>7.开启投标供应商的商务报价标，现场唱标后由投标供应商代表签名确认。</w:t>
      </w:r>
    </w:p>
    <w:p>
      <w:pPr>
        <w:snapToGrid w:val="0"/>
        <w:spacing w:line="360" w:lineRule="auto"/>
        <w:ind w:firstLine="484" w:firstLineChars="202"/>
        <w:rPr>
          <w:rFonts w:ascii="宋体" w:hAnsi="宋体" w:cs="宋体"/>
          <w:sz w:val="24"/>
        </w:rPr>
      </w:pPr>
      <w:r>
        <w:rPr>
          <w:rFonts w:hint="eastAsia" w:ascii="宋体" w:hAnsi="宋体" w:cs="宋体"/>
          <w:sz w:val="24"/>
        </w:rPr>
        <w:t>8.投标供应商的报价标评审得分直接计算取得，并与其技术标得分相加为该投标供应商的综合得分（计算结果均四舍五入保留两位小数）。</w:t>
      </w:r>
    </w:p>
    <w:p>
      <w:pPr>
        <w:snapToGrid w:val="0"/>
        <w:spacing w:line="360" w:lineRule="auto"/>
        <w:ind w:firstLine="480" w:firstLineChars="200"/>
        <w:rPr>
          <w:rFonts w:ascii="宋体" w:hAnsi="宋体" w:cs="宋体"/>
          <w:sz w:val="24"/>
        </w:rPr>
      </w:pPr>
      <w:r>
        <w:rPr>
          <w:rFonts w:hint="eastAsia" w:ascii="宋体" w:hAnsi="宋体" w:cs="宋体"/>
          <w:sz w:val="24"/>
        </w:rPr>
        <w:t>9.总分得分相等时，商务标得分高者优先中标；如商务标得分和技术标得分均相同，由招标人代表现场抽签确定中标候选人顺序。</w:t>
      </w:r>
    </w:p>
    <w:p>
      <w:pPr>
        <w:snapToGrid w:val="0"/>
        <w:spacing w:line="360" w:lineRule="auto"/>
        <w:ind w:firstLine="484" w:firstLineChars="202"/>
        <w:rPr>
          <w:rFonts w:ascii="宋体" w:hAnsi="宋体" w:cs="宋体"/>
          <w:sz w:val="24"/>
        </w:rPr>
      </w:pPr>
      <w:r>
        <w:rPr>
          <w:rFonts w:hint="eastAsia" w:ascii="宋体" w:hAnsi="宋体" w:cs="宋体"/>
          <w:sz w:val="24"/>
        </w:rPr>
        <w:t>10.评标结果按投标文件满足招标文件全部实质性要求，且按照评审因素的量化指标评审综合得分最高的投标供应商，出具评审报告并将结果通知所有投标供应商。</w:t>
      </w:r>
    </w:p>
    <w:p>
      <w:pPr>
        <w:snapToGrid w:val="0"/>
        <w:spacing w:line="360" w:lineRule="auto"/>
        <w:ind w:firstLine="487" w:firstLineChars="202"/>
        <w:outlineLvl w:val="1"/>
        <w:rPr>
          <w:rFonts w:ascii="宋体" w:hAnsi="宋体" w:cs="宋体"/>
          <w:b/>
          <w:bCs/>
          <w:sz w:val="24"/>
        </w:rPr>
      </w:pPr>
      <w:r>
        <w:rPr>
          <w:rFonts w:hint="eastAsia" w:ascii="宋体" w:hAnsi="宋体" w:cs="宋体"/>
          <w:b/>
          <w:bCs/>
          <w:sz w:val="24"/>
        </w:rPr>
        <w:t>八、关于投标价格评审</w:t>
      </w:r>
    </w:p>
    <w:p>
      <w:pPr>
        <w:snapToGrid w:val="0"/>
        <w:spacing w:line="360" w:lineRule="auto"/>
        <w:ind w:firstLine="480" w:firstLineChars="200"/>
        <w:outlineLvl w:val="2"/>
        <w:rPr>
          <w:rFonts w:ascii="宋体" w:hAnsi="宋体" w:cs="宋体"/>
          <w:sz w:val="24"/>
        </w:rPr>
      </w:pPr>
      <w:r>
        <w:rPr>
          <w:rFonts w:hint="eastAsia" w:ascii="宋体" w:hAnsi="宋体" w:cs="宋体"/>
          <w:sz w:val="24"/>
        </w:rPr>
        <w:t>1.针对投标价格实质响应的评审</w:t>
      </w:r>
    </w:p>
    <w:p>
      <w:pPr>
        <w:snapToGrid w:val="0"/>
        <w:spacing w:line="360" w:lineRule="auto"/>
        <w:ind w:firstLine="484" w:firstLineChars="202"/>
        <w:rPr>
          <w:rFonts w:ascii="宋体" w:hAnsi="宋体" w:cs="宋体"/>
          <w:sz w:val="24"/>
        </w:rPr>
      </w:pPr>
      <w:r>
        <w:rPr>
          <w:rFonts w:hint="eastAsia" w:ascii="宋体" w:hAnsi="宋体" w:cs="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供应商的竞争地位产生不公正的影响。如未实质上响应 ，则按无效投标处理。</w:t>
      </w:r>
    </w:p>
    <w:p>
      <w:pPr>
        <w:snapToGrid w:val="0"/>
        <w:spacing w:line="360" w:lineRule="auto"/>
        <w:ind w:firstLine="480" w:firstLineChars="200"/>
        <w:outlineLvl w:val="2"/>
        <w:rPr>
          <w:rFonts w:ascii="宋体" w:hAnsi="宋体" w:cs="宋体"/>
          <w:sz w:val="24"/>
        </w:rPr>
      </w:pPr>
      <w:r>
        <w:rPr>
          <w:rFonts w:hint="eastAsia" w:ascii="宋体" w:hAnsi="宋体" w:cs="宋体"/>
          <w:sz w:val="24"/>
        </w:rPr>
        <w:t>2.针对投标价格合理性的评审</w:t>
      </w:r>
    </w:p>
    <w:p>
      <w:pPr>
        <w:snapToGrid w:val="0"/>
        <w:spacing w:line="360" w:lineRule="auto"/>
        <w:ind w:firstLine="484" w:firstLineChars="202"/>
        <w:rPr>
          <w:rFonts w:ascii="宋体" w:hAnsi="宋体" w:cs="宋体"/>
          <w:sz w:val="24"/>
        </w:rPr>
      </w:pPr>
      <w:r>
        <w:rPr>
          <w:rFonts w:hint="eastAsia" w:ascii="宋体" w:hAnsi="宋体" w:cs="宋体"/>
          <w:sz w:val="24"/>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0"/>
          <w:numId w:val="4"/>
        </w:numPr>
        <w:snapToGrid w:val="0"/>
        <w:spacing w:line="360" w:lineRule="auto"/>
        <w:ind w:firstLine="487" w:firstLineChars="202"/>
        <w:outlineLvl w:val="1"/>
        <w:rPr>
          <w:rFonts w:ascii="宋体" w:hAnsi="宋体" w:cs="宋体"/>
          <w:b/>
          <w:bCs/>
          <w:sz w:val="24"/>
        </w:rPr>
      </w:pPr>
      <w:r>
        <w:rPr>
          <w:rFonts w:hint="eastAsia" w:ascii="宋体" w:hAnsi="宋体" w:cs="宋体"/>
          <w:b/>
          <w:bCs/>
          <w:sz w:val="24"/>
        </w:rPr>
        <w:t>评审评分项</w:t>
      </w:r>
    </w:p>
    <w:p>
      <w:pPr>
        <w:snapToGrid w:val="0"/>
        <w:spacing w:line="360" w:lineRule="auto"/>
        <w:ind w:firstLine="482" w:firstLineChars="200"/>
        <w:rPr>
          <w:b/>
          <w:bCs/>
          <w:sz w:val="24"/>
        </w:rPr>
      </w:pPr>
      <w:r>
        <w:rPr>
          <w:rFonts w:hint="eastAsia"/>
          <w:b/>
          <w:bCs/>
          <w:sz w:val="24"/>
        </w:rPr>
        <w:t>（一）</w:t>
      </w:r>
      <w:r>
        <w:rPr>
          <w:b/>
          <w:bCs/>
          <w:sz w:val="24"/>
        </w:rPr>
        <w:t>技术标（满分70分）</w:t>
      </w:r>
    </w:p>
    <w:tbl>
      <w:tblPr>
        <w:tblStyle w:val="9"/>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200"/>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pPr>
              <w:spacing w:line="500" w:lineRule="exact"/>
              <w:jc w:val="center"/>
              <w:rPr>
                <w:b/>
                <w:sz w:val="23"/>
                <w:szCs w:val="23"/>
              </w:rPr>
            </w:pPr>
            <w:r>
              <w:rPr>
                <w:b/>
                <w:sz w:val="23"/>
                <w:szCs w:val="23"/>
              </w:rPr>
              <w:t>序号</w:t>
            </w:r>
          </w:p>
        </w:tc>
        <w:tc>
          <w:tcPr>
            <w:tcW w:w="2200" w:type="dxa"/>
            <w:vAlign w:val="center"/>
          </w:tcPr>
          <w:p>
            <w:pPr>
              <w:spacing w:line="500" w:lineRule="exact"/>
              <w:jc w:val="center"/>
              <w:rPr>
                <w:sz w:val="24"/>
              </w:rPr>
            </w:pPr>
            <w:r>
              <w:rPr>
                <w:b/>
                <w:sz w:val="23"/>
                <w:szCs w:val="23"/>
              </w:rPr>
              <w:t>项目</w:t>
            </w:r>
          </w:p>
        </w:tc>
        <w:tc>
          <w:tcPr>
            <w:tcW w:w="5976" w:type="dxa"/>
            <w:vAlign w:val="center"/>
          </w:tcPr>
          <w:p>
            <w:pPr>
              <w:spacing w:line="500" w:lineRule="exact"/>
              <w:jc w:val="center"/>
              <w:rPr>
                <w:sz w:val="24"/>
              </w:rPr>
            </w:pPr>
            <w:r>
              <w:rPr>
                <w:b/>
                <w:sz w:val="23"/>
                <w:szCs w:val="23"/>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53" w:type="dxa"/>
            <w:vAlign w:val="center"/>
          </w:tcPr>
          <w:p>
            <w:pPr>
              <w:spacing w:line="500" w:lineRule="exact"/>
              <w:jc w:val="center"/>
              <w:rPr>
                <w:sz w:val="24"/>
              </w:rPr>
            </w:pPr>
            <w:r>
              <w:rPr>
                <w:sz w:val="24"/>
              </w:rPr>
              <w:t>1</w:t>
            </w:r>
          </w:p>
        </w:tc>
        <w:tc>
          <w:tcPr>
            <w:tcW w:w="2200" w:type="dxa"/>
            <w:vAlign w:val="center"/>
          </w:tcPr>
          <w:p>
            <w:pPr>
              <w:spacing w:line="500" w:lineRule="exact"/>
              <w:jc w:val="center"/>
              <w:rPr>
                <w:sz w:val="24"/>
              </w:rPr>
            </w:pPr>
            <w:r>
              <w:rPr>
                <w:sz w:val="24"/>
              </w:rPr>
              <w:t>投标供应商</w:t>
            </w:r>
            <w:r>
              <w:rPr>
                <w:rFonts w:hint="eastAsia"/>
                <w:sz w:val="24"/>
              </w:rPr>
              <w:t>的承销资质</w:t>
            </w:r>
            <w:r>
              <w:rPr>
                <w:sz w:val="24"/>
              </w:rPr>
              <w:t>（6分）</w:t>
            </w:r>
          </w:p>
        </w:tc>
        <w:tc>
          <w:tcPr>
            <w:tcW w:w="5976" w:type="dxa"/>
          </w:tcPr>
          <w:p>
            <w:pPr>
              <w:snapToGrid w:val="0"/>
              <w:spacing w:line="360" w:lineRule="auto"/>
              <w:rPr>
                <w:sz w:val="24"/>
              </w:rPr>
            </w:pPr>
            <w:r>
              <w:rPr>
                <w:sz w:val="24"/>
              </w:rPr>
              <w:t>1</w:t>
            </w:r>
            <w:r>
              <w:rPr>
                <w:rFonts w:hint="eastAsia"/>
                <w:sz w:val="24"/>
              </w:rPr>
              <w:t>.</w:t>
            </w:r>
            <w:r>
              <w:rPr>
                <w:sz w:val="24"/>
              </w:rPr>
              <w:t>根据投标</w:t>
            </w:r>
            <w:r>
              <w:rPr>
                <w:rFonts w:hint="eastAsia"/>
                <w:sz w:val="24"/>
                <w:lang w:val="en-US" w:eastAsia="zh-CN"/>
              </w:rPr>
              <w:t>人</w:t>
            </w:r>
            <w:r>
              <w:rPr>
                <w:rFonts w:hint="eastAsia"/>
                <w:sz w:val="24"/>
                <w:lang w:eastAsia="zh-CN"/>
              </w:rPr>
              <w:t>（</w:t>
            </w:r>
            <w:r>
              <w:rPr>
                <w:rFonts w:hint="eastAsia"/>
                <w:sz w:val="24"/>
                <w:lang w:val="en-US" w:eastAsia="zh-CN"/>
              </w:rPr>
              <w:t>主承销商</w:t>
            </w:r>
            <w:r>
              <w:rPr>
                <w:rFonts w:hint="eastAsia"/>
                <w:sz w:val="24"/>
                <w:lang w:eastAsia="zh-CN"/>
              </w:rPr>
              <w:t>）</w:t>
            </w:r>
            <w:r>
              <w:rPr>
                <w:sz w:val="24"/>
              </w:rPr>
              <w:t>在《中国证监会公布2021年证券公司分类结果》中的分类情况进行评分。2021年，投标</w:t>
            </w:r>
            <w:r>
              <w:rPr>
                <w:rFonts w:hint="eastAsia"/>
                <w:sz w:val="24"/>
                <w:lang w:val="en-US" w:eastAsia="zh-CN"/>
              </w:rPr>
              <w:t>人</w:t>
            </w:r>
            <w:r>
              <w:rPr>
                <w:sz w:val="24"/>
              </w:rPr>
              <w:t>券商分类评价为AA类得3分，A类得2分。A类以下得1分。【投标</w:t>
            </w:r>
            <w:r>
              <w:rPr>
                <w:rFonts w:hint="eastAsia"/>
                <w:sz w:val="24"/>
                <w:lang w:val="en-US" w:eastAsia="zh-CN"/>
              </w:rPr>
              <w:t>人</w:t>
            </w:r>
            <w:r>
              <w:rPr>
                <w:sz w:val="24"/>
              </w:rPr>
              <w:t>应登录中国证券监督管理委员会官网，查询《中国证监会公布2021年证券公司分类结果》，截图圈出自身分类结果，并加盖公章。】</w:t>
            </w:r>
          </w:p>
          <w:p>
            <w:pPr>
              <w:numPr>
                <w:ilvl w:val="255"/>
                <w:numId w:val="0"/>
              </w:numPr>
              <w:snapToGrid w:val="0"/>
              <w:spacing w:line="360" w:lineRule="auto"/>
              <w:rPr>
                <w:sz w:val="24"/>
              </w:rPr>
            </w:pPr>
            <w:r>
              <w:rPr>
                <w:sz w:val="24"/>
              </w:rPr>
              <w:t>2</w:t>
            </w:r>
            <w:r>
              <w:rPr>
                <w:rFonts w:hint="eastAsia"/>
                <w:sz w:val="24"/>
              </w:rPr>
              <w:t>.</w:t>
            </w:r>
            <w:r>
              <w:rPr>
                <w:sz w:val="24"/>
              </w:rPr>
              <w:t>根据</w:t>
            </w:r>
            <w:r>
              <w:rPr>
                <w:rFonts w:hint="eastAsia"/>
                <w:sz w:val="24"/>
              </w:rPr>
              <w:t>国家发改委发文公布的2</w:t>
            </w:r>
            <w:r>
              <w:rPr>
                <w:sz w:val="24"/>
              </w:rPr>
              <w:t>019-2021</w:t>
            </w:r>
            <w:r>
              <w:rPr>
                <w:rFonts w:hint="eastAsia"/>
                <w:sz w:val="24"/>
              </w:rPr>
              <w:t>年度企业债主承销商信用评价排名，连续三年均排名全国前</w:t>
            </w:r>
            <w:r>
              <w:rPr>
                <w:sz w:val="24"/>
              </w:rPr>
              <w:t>5</w:t>
            </w:r>
            <w:r>
              <w:rPr>
                <w:rFonts w:hint="eastAsia"/>
                <w:sz w:val="24"/>
              </w:rPr>
              <w:t>名的得</w:t>
            </w:r>
            <w:r>
              <w:rPr>
                <w:sz w:val="24"/>
              </w:rPr>
              <w:t>3</w:t>
            </w:r>
            <w:r>
              <w:rPr>
                <w:rFonts w:hint="eastAsia"/>
                <w:sz w:val="24"/>
              </w:rPr>
              <w:t>分，有其中两年排前</w:t>
            </w:r>
            <w:r>
              <w:rPr>
                <w:sz w:val="24"/>
              </w:rPr>
              <w:t>5</w:t>
            </w:r>
            <w:r>
              <w:rPr>
                <w:rFonts w:hint="eastAsia"/>
                <w:sz w:val="24"/>
              </w:rPr>
              <w:t>名的得</w:t>
            </w:r>
            <w:r>
              <w:rPr>
                <w:sz w:val="24"/>
              </w:rPr>
              <w:t>2</w:t>
            </w:r>
            <w:r>
              <w:rPr>
                <w:rFonts w:hint="eastAsia"/>
                <w:sz w:val="24"/>
              </w:rPr>
              <w:t>分，除上述情况外三年均排名前10名的得</w:t>
            </w:r>
            <w:r>
              <w:rPr>
                <w:sz w:val="24"/>
              </w:rPr>
              <w:t>1</w:t>
            </w:r>
            <w:r>
              <w:rPr>
                <w:rFonts w:hint="eastAsia"/>
                <w:sz w:val="24"/>
              </w:rPr>
              <w:t>分，其余不得分。</w:t>
            </w:r>
          </w:p>
          <w:p>
            <w:pPr>
              <w:snapToGrid w:val="0"/>
              <w:spacing w:line="360" w:lineRule="auto"/>
              <w:rPr>
                <w:sz w:val="24"/>
              </w:rPr>
            </w:pPr>
            <w:r>
              <w:rPr>
                <w:sz w:val="24"/>
              </w:rPr>
              <w:t>【提供</w:t>
            </w:r>
            <w:r>
              <w:rPr>
                <w:rFonts w:hint="eastAsia"/>
                <w:sz w:val="24"/>
              </w:rPr>
              <w:t>国家发改委关于企业债主承销商2</w:t>
            </w:r>
            <w:r>
              <w:rPr>
                <w:sz w:val="24"/>
              </w:rPr>
              <w:t>019-2021</w:t>
            </w:r>
            <w:r>
              <w:rPr>
                <w:rFonts w:hint="eastAsia"/>
                <w:sz w:val="24"/>
              </w:rPr>
              <w:t>年度信用评价排名发文</w:t>
            </w:r>
            <w:r>
              <w:rPr>
                <w:sz w:val="24"/>
              </w:rPr>
              <w:t>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553" w:type="dxa"/>
            <w:vAlign w:val="center"/>
          </w:tcPr>
          <w:p>
            <w:pPr>
              <w:spacing w:line="500" w:lineRule="exact"/>
              <w:jc w:val="center"/>
              <w:rPr>
                <w:sz w:val="24"/>
              </w:rPr>
            </w:pPr>
            <w:r>
              <w:rPr>
                <w:sz w:val="24"/>
              </w:rPr>
              <w:t>2</w:t>
            </w:r>
          </w:p>
        </w:tc>
        <w:tc>
          <w:tcPr>
            <w:tcW w:w="2200" w:type="dxa"/>
            <w:vAlign w:val="center"/>
          </w:tcPr>
          <w:p>
            <w:pPr>
              <w:snapToGrid w:val="0"/>
              <w:spacing w:line="420" w:lineRule="exact"/>
              <w:rPr>
                <w:sz w:val="24"/>
              </w:rPr>
            </w:pPr>
            <w:r>
              <w:rPr>
                <w:sz w:val="24"/>
              </w:rPr>
              <w:t>投标供应商承销业绩（16分）</w:t>
            </w:r>
          </w:p>
          <w:p>
            <w:pPr>
              <w:spacing w:line="500" w:lineRule="exact"/>
              <w:jc w:val="center"/>
              <w:rPr>
                <w:sz w:val="24"/>
              </w:rPr>
            </w:pPr>
          </w:p>
        </w:tc>
        <w:tc>
          <w:tcPr>
            <w:tcW w:w="5976" w:type="dxa"/>
          </w:tcPr>
          <w:p>
            <w:pPr>
              <w:snapToGrid w:val="0"/>
              <w:spacing w:line="360" w:lineRule="auto"/>
              <w:rPr>
                <w:sz w:val="24"/>
              </w:rPr>
            </w:pPr>
            <w:r>
              <w:rPr>
                <w:rFonts w:hint="eastAsia"/>
                <w:sz w:val="24"/>
              </w:rPr>
              <w:t>1.根据投标</w:t>
            </w:r>
            <w:r>
              <w:rPr>
                <w:rFonts w:hint="eastAsia"/>
                <w:sz w:val="24"/>
                <w:lang w:val="en-US" w:eastAsia="zh-CN"/>
              </w:rPr>
              <w:t>人</w:t>
            </w:r>
            <w:r>
              <w:rPr>
                <w:rFonts w:hint="eastAsia"/>
                <w:sz w:val="24"/>
              </w:rPr>
              <w:t>自2020年1月1日—2022年</w:t>
            </w:r>
            <w:r>
              <w:rPr>
                <w:sz w:val="24"/>
              </w:rPr>
              <w:t>12</w:t>
            </w:r>
            <w:r>
              <w:rPr>
                <w:rFonts w:hint="eastAsia"/>
                <w:sz w:val="24"/>
              </w:rPr>
              <w:t>月</w:t>
            </w:r>
            <w:r>
              <w:rPr>
                <w:sz w:val="24"/>
              </w:rPr>
              <w:t>31</w:t>
            </w:r>
            <w:r>
              <w:rPr>
                <w:rFonts w:hint="eastAsia"/>
                <w:sz w:val="24"/>
              </w:rPr>
              <w:t>日在全国范围内为地方国有</w:t>
            </w:r>
            <w:r>
              <w:rPr>
                <w:rFonts w:hint="eastAsia"/>
                <w:sz w:val="24"/>
                <w:lang w:val="en-US" w:eastAsia="zh-CN"/>
              </w:rPr>
              <w:t>非金融</w:t>
            </w:r>
            <w:r>
              <w:rPr>
                <w:rFonts w:hint="eastAsia"/>
                <w:sz w:val="24"/>
              </w:rPr>
              <w:t>企业承销企业债券的业绩进行评分（8分）。</w:t>
            </w:r>
          </w:p>
          <w:p>
            <w:pPr>
              <w:snapToGrid w:val="0"/>
              <w:spacing w:line="360" w:lineRule="auto"/>
              <w:rPr>
                <w:sz w:val="24"/>
              </w:rPr>
            </w:pPr>
            <w:r>
              <w:rPr>
                <w:rFonts w:hint="eastAsia"/>
                <w:sz w:val="24"/>
              </w:rPr>
              <w:t>（1）在全国范围内为地方国有</w:t>
            </w:r>
            <w:r>
              <w:rPr>
                <w:rFonts w:hint="eastAsia"/>
                <w:sz w:val="24"/>
                <w:lang w:val="en-US" w:eastAsia="zh-CN"/>
              </w:rPr>
              <w:t>非金融</w:t>
            </w:r>
            <w:r>
              <w:rPr>
                <w:rFonts w:hint="eastAsia"/>
                <w:sz w:val="24"/>
              </w:rPr>
              <w:t>企业承销企业债券的总规模，</w:t>
            </w:r>
            <w:r>
              <w:rPr>
                <w:sz w:val="24"/>
              </w:rPr>
              <w:t>4</w:t>
            </w:r>
            <w:r>
              <w:rPr>
                <w:rFonts w:hint="eastAsia"/>
                <w:sz w:val="24"/>
              </w:rPr>
              <w:t>00亿（含）以上得4分，</w:t>
            </w:r>
            <w:r>
              <w:rPr>
                <w:sz w:val="24"/>
              </w:rPr>
              <w:t>30</w:t>
            </w:r>
            <w:r>
              <w:rPr>
                <w:rFonts w:hint="eastAsia"/>
                <w:sz w:val="24"/>
              </w:rPr>
              <w:t>0亿（含）—</w:t>
            </w:r>
            <w:r>
              <w:rPr>
                <w:sz w:val="24"/>
              </w:rPr>
              <w:t>4</w:t>
            </w:r>
            <w:r>
              <w:rPr>
                <w:rFonts w:hint="eastAsia"/>
                <w:sz w:val="24"/>
              </w:rPr>
              <w:t>00亿得3分，200亿（含）—</w:t>
            </w:r>
            <w:r>
              <w:rPr>
                <w:sz w:val="24"/>
              </w:rPr>
              <w:t>30</w:t>
            </w:r>
            <w:r>
              <w:rPr>
                <w:rFonts w:hint="eastAsia"/>
                <w:sz w:val="24"/>
              </w:rPr>
              <w:t>0亿得2分，200亿以下得1分，无承销规模不得分。</w:t>
            </w:r>
          </w:p>
          <w:p>
            <w:pPr>
              <w:snapToGrid w:val="0"/>
              <w:spacing w:line="360" w:lineRule="auto"/>
              <w:rPr>
                <w:sz w:val="24"/>
              </w:rPr>
            </w:pPr>
            <w:r>
              <w:rPr>
                <w:rFonts w:hint="eastAsia"/>
                <w:sz w:val="24"/>
              </w:rPr>
              <w:t>（</w:t>
            </w:r>
            <w:r>
              <w:rPr>
                <w:sz w:val="24"/>
              </w:rPr>
              <w:t>2</w:t>
            </w:r>
            <w:r>
              <w:rPr>
                <w:rFonts w:hint="eastAsia"/>
                <w:sz w:val="24"/>
              </w:rPr>
              <w:t>）在全国范围内为地方国有非金融企业承销</w:t>
            </w:r>
            <w:r>
              <w:rPr>
                <w:rFonts w:hint="eastAsia"/>
                <w:b/>
                <w:bCs/>
                <w:sz w:val="24"/>
                <w:u w:val="single"/>
              </w:rPr>
              <w:t>企业债券</w:t>
            </w:r>
            <w:r>
              <w:rPr>
                <w:rFonts w:hint="eastAsia"/>
                <w:sz w:val="24"/>
              </w:rPr>
              <w:t>的只数，每</w:t>
            </w:r>
            <w:r>
              <w:rPr>
                <w:rFonts w:hint="eastAsia"/>
                <w:b/>
                <w:bCs/>
                <w:sz w:val="24"/>
                <w:u w:val="single"/>
              </w:rPr>
              <w:t>1</w:t>
            </w:r>
            <w:r>
              <w:rPr>
                <w:rFonts w:hint="eastAsia"/>
                <w:sz w:val="24"/>
              </w:rPr>
              <w:t>只得</w:t>
            </w:r>
            <w:r>
              <w:rPr>
                <w:rFonts w:hint="eastAsia"/>
                <w:b/>
                <w:bCs/>
                <w:sz w:val="24"/>
                <w:u w:val="single"/>
              </w:rPr>
              <w:t>0.</w:t>
            </w:r>
            <w:r>
              <w:rPr>
                <w:b/>
                <w:bCs/>
                <w:sz w:val="24"/>
                <w:u w:val="single"/>
              </w:rPr>
              <w:t>02</w:t>
            </w:r>
            <w:r>
              <w:rPr>
                <w:rFonts w:hint="eastAsia"/>
                <w:b/>
                <w:bCs/>
                <w:sz w:val="24"/>
                <w:u w:val="single"/>
              </w:rPr>
              <w:t>分</w:t>
            </w:r>
            <w:r>
              <w:rPr>
                <w:rFonts w:hint="eastAsia"/>
                <w:sz w:val="24"/>
              </w:rPr>
              <w:t>，</w:t>
            </w:r>
            <w:r>
              <w:rPr>
                <w:b/>
                <w:bCs/>
                <w:sz w:val="24"/>
                <w:u w:val="single"/>
              </w:rPr>
              <w:t>200</w:t>
            </w:r>
            <w:r>
              <w:rPr>
                <w:rFonts w:hint="eastAsia"/>
                <w:b/>
                <w:bCs/>
                <w:sz w:val="24"/>
              </w:rPr>
              <w:t>只</w:t>
            </w:r>
            <w:r>
              <w:rPr>
                <w:rFonts w:hint="eastAsia"/>
                <w:sz w:val="24"/>
              </w:rPr>
              <w:t>及以上得满分4分；不到</w:t>
            </w:r>
            <w:r>
              <w:rPr>
                <w:b/>
                <w:bCs/>
                <w:sz w:val="24"/>
                <w:u w:val="single"/>
              </w:rPr>
              <w:t>200</w:t>
            </w:r>
            <w:r>
              <w:rPr>
                <w:rFonts w:hint="eastAsia"/>
                <w:sz w:val="24"/>
              </w:rPr>
              <w:t>只的按只数测算。</w:t>
            </w:r>
          </w:p>
          <w:p>
            <w:pPr>
              <w:snapToGrid w:val="0"/>
              <w:spacing w:line="360" w:lineRule="auto"/>
              <w:rPr>
                <w:sz w:val="24"/>
              </w:rPr>
            </w:pPr>
            <w:r>
              <w:rPr>
                <w:rFonts w:hint="eastAsia"/>
                <w:sz w:val="24"/>
              </w:rPr>
              <w:t>【投标供应商提供Wind数据库页面截图并加盖公章，全国业绩来源：Wind终端→债券→专题统计→一级市场→承销统计→债券承销分企业性质排名，进入新页面，债券类型选择“债券分类（Wind）</w:t>
            </w:r>
            <w:r>
              <w:rPr>
                <w:rFonts w:hint="eastAsia"/>
                <w:b/>
                <w:bCs/>
                <w:sz w:val="24"/>
              </w:rPr>
              <w:t>-</w:t>
            </w:r>
            <w:r>
              <w:rPr>
                <w:rFonts w:hint="eastAsia"/>
                <w:b/>
                <w:bCs/>
                <w:sz w:val="24"/>
                <w:u w:val="single"/>
              </w:rPr>
              <w:t>企业债</w:t>
            </w:r>
            <w:r>
              <w:rPr>
                <w:rFonts w:hint="eastAsia"/>
                <w:sz w:val="24"/>
              </w:rPr>
              <w:t>”，时间区间选择“</w:t>
            </w:r>
            <w:r>
              <w:rPr>
                <w:rFonts w:hint="eastAsia"/>
                <w:b/>
                <w:bCs/>
                <w:sz w:val="24"/>
                <w:u w:val="single"/>
              </w:rPr>
              <w:t>20</w:t>
            </w:r>
            <w:r>
              <w:rPr>
                <w:b/>
                <w:bCs/>
                <w:sz w:val="24"/>
                <w:u w:val="single"/>
              </w:rPr>
              <w:t>20</w:t>
            </w:r>
            <w:r>
              <w:rPr>
                <w:rFonts w:hint="eastAsia"/>
                <w:b/>
                <w:bCs/>
                <w:sz w:val="24"/>
                <w:u w:val="single"/>
              </w:rPr>
              <w:t>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22</w:t>
            </w:r>
            <w:r>
              <w:rPr>
                <w:rFonts w:hint="eastAsia"/>
                <w:b/>
                <w:bCs/>
                <w:sz w:val="24"/>
                <w:u w:val="single"/>
              </w:rPr>
              <w:t>年</w:t>
            </w:r>
            <w:r>
              <w:rPr>
                <w:b/>
                <w:bCs/>
                <w:sz w:val="24"/>
                <w:u w:val="single"/>
              </w:rPr>
              <w:t>12</w:t>
            </w:r>
            <w:r>
              <w:rPr>
                <w:rFonts w:hint="eastAsia"/>
                <w:b/>
                <w:bCs/>
                <w:sz w:val="24"/>
                <w:u w:val="single"/>
              </w:rPr>
              <w:t>月</w:t>
            </w:r>
            <w:r>
              <w:rPr>
                <w:b/>
                <w:bCs/>
                <w:sz w:val="24"/>
                <w:u w:val="single"/>
              </w:rPr>
              <w:t>31</w:t>
            </w:r>
            <w:r>
              <w:rPr>
                <w:rFonts w:hint="eastAsia"/>
                <w:b/>
                <w:bCs/>
                <w:sz w:val="24"/>
                <w:u w:val="single"/>
              </w:rPr>
              <w:t>日</w:t>
            </w:r>
            <w:r>
              <w:rPr>
                <w:rFonts w:hint="eastAsia"/>
                <w:sz w:val="24"/>
              </w:rPr>
              <w:t>”，机构类型选择“证券”，提取数据查阅“地方国有企业”一项各券商的承销业绩。】</w:t>
            </w:r>
          </w:p>
          <w:p>
            <w:pPr>
              <w:snapToGrid w:val="0"/>
              <w:spacing w:line="360" w:lineRule="auto"/>
              <w:rPr>
                <w:sz w:val="24"/>
              </w:rPr>
            </w:pPr>
            <w:r>
              <w:rPr>
                <w:rFonts w:hint="eastAsia"/>
                <w:sz w:val="24"/>
              </w:rPr>
              <w:t>2.根据投标</w:t>
            </w:r>
            <w:r>
              <w:rPr>
                <w:rFonts w:hint="eastAsia"/>
                <w:sz w:val="24"/>
                <w:lang w:val="en-US" w:eastAsia="zh-CN"/>
              </w:rPr>
              <w:t>人</w:t>
            </w:r>
            <w:r>
              <w:rPr>
                <w:rFonts w:hint="eastAsia"/>
                <w:sz w:val="24"/>
              </w:rPr>
              <w:t>自</w:t>
            </w:r>
            <w:r>
              <w:rPr>
                <w:rFonts w:hint="eastAsia"/>
                <w:b/>
                <w:bCs/>
                <w:sz w:val="24"/>
                <w:u w:val="single"/>
              </w:rPr>
              <w:t>20</w:t>
            </w:r>
            <w:r>
              <w:rPr>
                <w:b/>
                <w:bCs/>
                <w:sz w:val="24"/>
                <w:u w:val="single"/>
              </w:rPr>
              <w:t>20</w:t>
            </w:r>
            <w:r>
              <w:rPr>
                <w:rFonts w:hint="eastAsia"/>
                <w:b/>
                <w:bCs/>
                <w:sz w:val="24"/>
                <w:u w:val="single"/>
              </w:rPr>
              <w:t>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22</w:t>
            </w:r>
            <w:r>
              <w:rPr>
                <w:rFonts w:hint="eastAsia"/>
                <w:b/>
                <w:bCs/>
                <w:sz w:val="24"/>
                <w:u w:val="single"/>
              </w:rPr>
              <w:t>年</w:t>
            </w:r>
            <w:r>
              <w:rPr>
                <w:b/>
                <w:bCs/>
                <w:sz w:val="24"/>
                <w:u w:val="single"/>
              </w:rPr>
              <w:t>12</w:t>
            </w:r>
            <w:r>
              <w:rPr>
                <w:rFonts w:hint="eastAsia"/>
                <w:b/>
                <w:bCs/>
                <w:sz w:val="24"/>
                <w:u w:val="single"/>
              </w:rPr>
              <w:t>月</w:t>
            </w:r>
            <w:r>
              <w:rPr>
                <w:b/>
                <w:bCs/>
                <w:sz w:val="24"/>
                <w:u w:val="single"/>
              </w:rPr>
              <w:t>31</w:t>
            </w:r>
            <w:r>
              <w:rPr>
                <w:rFonts w:hint="eastAsia"/>
                <w:b/>
                <w:bCs/>
                <w:sz w:val="24"/>
                <w:u w:val="single"/>
              </w:rPr>
              <w:t>日</w:t>
            </w:r>
            <w:r>
              <w:rPr>
                <w:rFonts w:hint="eastAsia"/>
                <w:sz w:val="24"/>
              </w:rPr>
              <w:t>在江苏省范围内为国有</w:t>
            </w:r>
            <w:r>
              <w:rPr>
                <w:rFonts w:hint="eastAsia"/>
                <w:sz w:val="24"/>
                <w:lang w:val="en-US" w:eastAsia="zh-CN"/>
              </w:rPr>
              <w:t>非金融</w:t>
            </w:r>
            <w:r>
              <w:rPr>
                <w:rFonts w:hint="eastAsia"/>
                <w:sz w:val="24"/>
              </w:rPr>
              <w:t>企业承销</w:t>
            </w:r>
            <w:r>
              <w:rPr>
                <w:rFonts w:hint="eastAsia"/>
                <w:b/>
                <w:bCs/>
                <w:sz w:val="24"/>
                <w:u w:val="single"/>
              </w:rPr>
              <w:t>企业债券</w:t>
            </w:r>
            <w:r>
              <w:rPr>
                <w:rFonts w:hint="eastAsia"/>
                <w:sz w:val="24"/>
              </w:rPr>
              <w:t>的业绩进行评分（8分）。</w:t>
            </w:r>
          </w:p>
          <w:p>
            <w:pPr>
              <w:snapToGrid w:val="0"/>
              <w:spacing w:line="360" w:lineRule="auto"/>
              <w:rPr>
                <w:sz w:val="24"/>
              </w:rPr>
            </w:pPr>
            <w:r>
              <w:rPr>
                <w:rFonts w:hint="eastAsia"/>
                <w:sz w:val="24"/>
              </w:rPr>
              <w:t>（1）在江苏省范围内为国有</w:t>
            </w:r>
            <w:r>
              <w:rPr>
                <w:rFonts w:hint="eastAsia"/>
                <w:sz w:val="24"/>
                <w:lang w:val="en-US" w:eastAsia="zh-CN"/>
              </w:rPr>
              <w:t>非金融</w:t>
            </w:r>
            <w:r>
              <w:rPr>
                <w:rFonts w:hint="eastAsia"/>
                <w:sz w:val="24"/>
              </w:rPr>
              <w:t>企业公司承销企业债券的总规模，</w:t>
            </w:r>
            <w:r>
              <w:rPr>
                <w:b/>
                <w:bCs/>
                <w:sz w:val="24"/>
                <w:u w:val="single"/>
              </w:rPr>
              <w:t>80</w:t>
            </w:r>
            <w:r>
              <w:rPr>
                <w:rFonts w:hint="eastAsia"/>
                <w:b/>
                <w:bCs/>
                <w:sz w:val="24"/>
                <w:u w:val="single"/>
              </w:rPr>
              <w:t>亿（含）以上</w:t>
            </w:r>
            <w:r>
              <w:rPr>
                <w:rFonts w:hint="eastAsia"/>
                <w:sz w:val="24"/>
              </w:rPr>
              <w:t>得4分，</w:t>
            </w:r>
            <w:r>
              <w:rPr>
                <w:b/>
                <w:bCs/>
                <w:sz w:val="24"/>
                <w:u w:val="single"/>
              </w:rPr>
              <w:t>50</w:t>
            </w:r>
            <w:r>
              <w:rPr>
                <w:rFonts w:hint="eastAsia"/>
                <w:b/>
                <w:bCs/>
                <w:sz w:val="24"/>
                <w:u w:val="single"/>
              </w:rPr>
              <w:t>（亿）—</w:t>
            </w:r>
            <w:r>
              <w:rPr>
                <w:b/>
                <w:bCs/>
                <w:sz w:val="24"/>
                <w:u w:val="single"/>
              </w:rPr>
              <w:t>80</w:t>
            </w:r>
            <w:r>
              <w:rPr>
                <w:rFonts w:hint="eastAsia"/>
                <w:b/>
                <w:bCs/>
                <w:sz w:val="24"/>
                <w:u w:val="single"/>
              </w:rPr>
              <w:t>亿</w:t>
            </w:r>
            <w:r>
              <w:rPr>
                <w:rFonts w:hint="eastAsia"/>
                <w:sz w:val="24"/>
              </w:rPr>
              <w:t>得3分，</w:t>
            </w:r>
            <w:r>
              <w:rPr>
                <w:b/>
                <w:bCs/>
                <w:sz w:val="24"/>
                <w:u w:val="single"/>
              </w:rPr>
              <w:t>20</w:t>
            </w:r>
            <w:r>
              <w:rPr>
                <w:rFonts w:hint="eastAsia"/>
                <w:b/>
                <w:bCs/>
                <w:sz w:val="24"/>
                <w:u w:val="single"/>
              </w:rPr>
              <w:t>（亿）—</w:t>
            </w:r>
            <w:r>
              <w:rPr>
                <w:b/>
                <w:bCs/>
                <w:sz w:val="24"/>
                <w:u w:val="single"/>
              </w:rPr>
              <w:t>50</w:t>
            </w:r>
            <w:r>
              <w:rPr>
                <w:rFonts w:hint="eastAsia"/>
                <w:b/>
                <w:bCs/>
                <w:sz w:val="24"/>
                <w:u w:val="single"/>
              </w:rPr>
              <w:t>亿</w:t>
            </w:r>
            <w:r>
              <w:rPr>
                <w:rFonts w:hint="eastAsia"/>
                <w:sz w:val="24"/>
              </w:rPr>
              <w:t>得2分，</w:t>
            </w:r>
            <w:r>
              <w:rPr>
                <w:b/>
                <w:bCs/>
                <w:sz w:val="24"/>
                <w:u w:val="single"/>
              </w:rPr>
              <w:t>20</w:t>
            </w:r>
            <w:r>
              <w:rPr>
                <w:rFonts w:hint="eastAsia"/>
                <w:b/>
                <w:bCs/>
                <w:sz w:val="24"/>
                <w:u w:val="single"/>
              </w:rPr>
              <w:t>亿</w:t>
            </w:r>
            <w:r>
              <w:rPr>
                <w:rFonts w:hint="eastAsia"/>
                <w:sz w:val="24"/>
              </w:rPr>
              <w:t>以下得1分，无承销规模不得分。</w:t>
            </w:r>
          </w:p>
          <w:p>
            <w:pPr>
              <w:snapToGrid w:val="0"/>
              <w:spacing w:line="360" w:lineRule="auto"/>
              <w:rPr>
                <w:sz w:val="24"/>
              </w:rPr>
            </w:pPr>
            <w:r>
              <w:rPr>
                <w:rFonts w:hint="eastAsia"/>
                <w:sz w:val="24"/>
              </w:rPr>
              <w:t>（2）在江苏省范围内为国有</w:t>
            </w:r>
            <w:r>
              <w:rPr>
                <w:rFonts w:hint="eastAsia"/>
                <w:sz w:val="24"/>
                <w:lang w:val="en-US" w:eastAsia="zh-CN"/>
              </w:rPr>
              <w:t>非金融</w:t>
            </w:r>
            <w:r>
              <w:rPr>
                <w:rFonts w:hint="eastAsia"/>
                <w:sz w:val="24"/>
              </w:rPr>
              <w:t>企业公司承销企业债券的只数，每</w:t>
            </w:r>
            <w:r>
              <w:rPr>
                <w:rFonts w:hint="eastAsia"/>
                <w:b/>
                <w:bCs/>
                <w:sz w:val="24"/>
                <w:u w:val="single"/>
              </w:rPr>
              <w:t>1</w:t>
            </w:r>
            <w:r>
              <w:rPr>
                <w:rFonts w:hint="eastAsia"/>
                <w:sz w:val="24"/>
              </w:rPr>
              <w:t>只得</w:t>
            </w:r>
            <w:r>
              <w:rPr>
                <w:rFonts w:hint="eastAsia"/>
                <w:b/>
                <w:bCs/>
                <w:sz w:val="24"/>
                <w:u w:val="single"/>
              </w:rPr>
              <w:t>0.</w:t>
            </w:r>
            <w:r>
              <w:rPr>
                <w:b/>
                <w:bCs/>
                <w:sz w:val="24"/>
                <w:u w:val="single"/>
              </w:rPr>
              <w:t>05</w:t>
            </w:r>
            <w:r>
              <w:rPr>
                <w:rFonts w:hint="eastAsia"/>
                <w:b/>
                <w:bCs/>
                <w:sz w:val="24"/>
                <w:u w:val="single"/>
              </w:rPr>
              <w:t>分</w:t>
            </w:r>
            <w:r>
              <w:rPr>
                <w:rFonts w:hint="eastAsia"/>
                <w:sz w:val="24"/>
              </w:rPr>
              <w:t>，</w:t>
            </w:r>
            <w:r>
              <w:rPr>
                <w:b/>
                <w:bCs/>
                <w:sz w:val="24"/>
                <w:u w:val="single"/>
              </w:rPr>
              <w:t>80</w:t>
            </w:r>
            <w:r>
              <w:rPr>
                <w:rFonts w:hint="eastAsia"/>
                <w:b/>
                <w:bCs/>
                <w:sz w:val="24"/>
                <w:u w:val="single"/>
              </w:rPr>
              <w:t>只</w:t>
            </w:r>
            <w:r>
              <w:rPr>
                <w:rFonts w:hint="eastAsia"/>
                <w:sz w:val="24"/>
              </w:rPr>
              <w:t>及以上得满分4分；不到</w:t>
            </w:r>
            <w:r>
              <w:rPr>
                <w:sz w:val="24"/>
                <w:u w:val="single"/>
              </w:rPr>
              <w:t>80</w:t>
            </w:r>
            <w:r>
              <w:rPr>
                <w:rFonts w:hint="eastAsia"/>
                <w:sz w:val="24"/>
              </w:rPr>
              <w:t>只的按只数测算。</w:t>
            </w:r>
          </w:p>
          <w:p>
            <w:pPr>
              <w:snapToGrid w:val="0"/>
              <w:spacing w:line="360" w:lineRule="auto"/>
              <w:rPr>
                <w:sz w:val="24"/>
              </w:rPr>
            </w:pPr>
            <w:r>
              <w:rPr>
                <w:rFonts w:hint="eastAsia"/>
                <w:sz w:val="24"/>
              </w:rPr>
              <w:t>【投标</w:t>
            </w:r>
            <w:r>
              <w:rPr>
                <w:rFonts w:hint="eastAsia"/>
                <w:sz w:val="24"/>
                <w:lang w:val="en-US" w:eastAsia="zh-CN"/>
              </w:rPr>
              <w:t>人</w:t>
            </w:r>
            <w:r>
              <w:rPr>
                <w:rFonts w:hint="eastAsia"/>
                <w:sz w:val="24"/>
              </w:rPr>
              <w:t>提供Wind数据库页面截图并加盖公章，江苏业绩来源：Wind终端→债券→专题统计→一级市场→承销统计→债券承销分地域排名，进入新页面，板块选择“债券分类（Wind）-公司债”，时间区间选择“</w:t>
            </w:r>
            <w:r>
              <w:rPr>
                <w:rFonts w:hint="eastAsia"/>
                <w:b/>
                <w:bCs/>
                <w:sz w:val="24"/>
                <w:u w:val="single"/>
              </w:rPr>
              <w:t>20</w:t>
            </w:r>
            <w:r>
              <w:rPr>
                <w:b/>
                <w:bCs/>
                <w:sz w:val="24"/>
                <w:u w:val="single"/>
              </w:rPr>
              <w:t>20</w:t>
            </w:r>
            <w:r>
              <w:rPr>
                <w:rFonts w:hint="eastAsia"/>
                <w:b/>
                <w:bCs/>
                <w:sz w:val="24"/>
                <w:u w:val="single"/>
              </w:rPr>
              <w:t>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22</w:t>
            </w:r>
            <w:r>
              <w:rPr>
                <w:rFonts w:hint="eastAsia"/>
                <w:b/>
                <w:bCs/>
                <w:sz w:val="24"/>
                <w:u w:val="single"/>
              </w:rPr>
              <w:t>年</w:t>
            </w:r>
            <w:r>
              <w:rPr>
                <w:b/>
                <w:bCs/>
                <w:sz w:val="24"/>
                <w:u w:val="single"/>
              </w:rPr>
              <w:t>12</w:t>
            </w:r>
            <w:r>
              <w:rPr>
                <w:rFonts w:hint="eastAsia"/>
                <w:b/>
                <w:bCs/>
                <w:sz w:val="24"/>
                <w:u w:val="single"/>
              </w:rPr>
              <w:t>月</w:t>
            </w:r>
            <w:r>
              <w:rPr>
                <w:b/>
                <w:bCs/>
                <w:sz w:val="24"/>
                <w:u w:val="single"/>
              </w:rPr>
              <w:t>31</w:t>
            </w:r>
            <w:r>
              <w:rPr>
                <w:rFonts w:hint="eastAsia"/>
                <w:b/>
                <w:bCs/>
                <w:sz w:val="24"/>
                <w:u w:val="single"/>
              </w:rPr>
              <w:t>日</w:t>
            </w:r>
            <w:r>
              <w:rPr>
                <w:rFonts w:hint="eastAsia"/>
                <w:sz w:val="24"/>
              </w:rPr>
              <w:t>”，机构类型选择“证券”，选择“合并母子公司”选项并提取数据，然后选择“江苏省”，在下方对话框提取“地域承销商排名”数据，查阅各券商江苏省承销业绩。】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pPr>
              <w:spacing w:line="500" w:lineRule="exact"/>
              <w:jc w:val="center"/>
              <w:rPr>
                <w:sz w:val="24"/>
              </w:rPr>
            </w:pPr>
            <w:r>
              <w:rPr>
                <w:rFonts w:hint="eastAsia"/>
                <w:sz w:val="24"/>
              </w:rPr>
              <w:t>3</w:t>
            </w:r>
          </w:p>
        </w:tc>
        <w:tc>
          <w:tcPr>
            <w:tcW w:w="2200" w:type="dxa"/>
            <w:vAlign w:val="center"/>
          </w:tcPr>
          <w:p>
            <w:pPr>
              <w:spacing w:line="500" w:lineRule="exact"/>
              <w:jc w:val="center"/>
              <w:rPr>
                <w:sz w:val="24"/>
              </w:rPr>
            </w:pPr>
            <w:r>
              <w:rPr>
                <w:sz w:val="24"/>
              </w:rPr>
              <w:t>投标供应商销售能力（16分）</w:t>
            </w:r>
          </w:p>
        </w:tc>
        <w:tc>
          <w:tcPr>
            <w:tcW w:w="5976" w:type="dxa"/>
          </w:tcPr>
          <w:p>
            <w:pPr>
              <w:snapToGrid w:val="0"/>
              <w:spacing w:line="360" w:lineRule="auto"/>
              <w:rPr>
                <w:sz w:val="24"/>
              </w:rPr>
            </w:pPr>
            <w:r>
              <w:rPr>
                <w:rFonts w:hint="eastAsia"/>
                <w:sz w:val="24"/>
              </w:rPr>
              <w:t>1.根据投标</w:t>
            </w:r>
            <w:r>
              <w:rPr>
                <w:rFonts w:hint="eastAsia"/>
                <w:sz w:val="24"/>
                <w:lang w:val="en-US" w:eastAsia="zh-CN"/>
              </w:rPr>
              <w:t>人</w:t>
            </w:r>
            <w:r>
              <w:rPr>
                <w:rFonts w:hint="eastAsia"/>
                <w:sz w:val="24"/>
              </w:rPr>
              <w:t>自</w:t>
            </w:r>
            <w:r>
              <w:rPr>
                <w:rFonts w:hint="eastAsia"/>
                <w:b/>
                <w:bCs/>
                <w:sz w:val="24"/>
                <w:u w:val="single"/>
              </w:rPr>
              <w:t>20</w:t>
            </w:r>
            <w:r>
              <w:rPr>
                <w:b/>
                <w:bCs/>
                <w:sz w:val="24"/>
                <w:u w:val="single"/>
              </w:rPr>
              <w:t>20</w:t>
            </w:r>
            <w:r>
              <w:rPr>
                <w:rFonts w:hint="eastAsia"/>
                <w:b/>
                <w:bCs/>
                <w:sz w:val="24"/>
                <w:u w:val="single"/>
              </w:rPr>
              <w:t>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22</w:t>
            </w:r>
            <w:r>
              <w:rPr>
                <w:rFonts w:hint="eastAsia"/>
                <w:b/>
                <w:bCs/>
                <w:sz w:val="24"/>
                <w:u w:val="single"/>
              </w:rPr>
              <w:t>年</w:t>
            </w:r>
            <w:r>
              <w:rPr>
                <w:b/>
                <w:bCs/>
                <w:sz w:val="24"/>
                <w:u w:val="single"/>
              </w:rPr>
              <w:t>12</w:t>
            </w:r>
            <w:r>
              <w:rPr>
                <w:rFonts w:hint="eastAsia"/>
                <w:b/>
                <w:bCs/>
                <w:sz w:val="24"/>
                <w:u w:val="single"/>
              </w:rPr>
              <w:t>月</w:t>
            </w:r>
            <w:r>
              <w:rPr>
                <w:b/>
                <w:bCs/>
                <w:sz w:val="24"/>
                <w:u w:val="single"/>
              </w:rPr>
              <w:t>31</w:t>
            </w:r>
            <w:r>
              <w:rPr>
                <w:rFonts w:hint="eastAsia"/>
                <w:b/>
                <w:bCs/>
                <w:sz w:val="24"/>
                <w:u w:val="single"/>
              </w:rPr>
              <w:t>日</w:t>
            </w:r>
            <w:r>
              <w:rPr>
                <w:rFonts w:hint="eastAsia"/>
                <w:sz w:val="24"/>
                <w:u w:val="single"/>
              </w:rPr>
              <w:t>年</w:t>
            </w:r>
            <w:r>
              <w:rPr>
                <w:rFonts w:hint="eastAsia"/>
                <w:sz w:val="24"/>
              </w:rPr>
              <w:t>主承销的全国交易所及银行间市场流通的全部债券中，推迟或取消发行债券的比率进行评分：</w:t>
            </w:r>
            <w:r>
              <w:rPr>
                <w:b/>
                <w:bCs/>
                <w:sz w:val="24"/>
                <w:u w:val="single"/>
              </w:rPr>
              <w:t>2</w:t>
            </w:r>
            <w:r>
              <w:rPr>
                <w:rFonts w:hint="eastAsia"/>
                <w:b/>
                <w:bCs/>
                <w:sz w:val="24"/>
                <w:u w:val="single"/>
              </w:rPr>
              <w:t>%（含）以下</w:t>
            </w:r>
            <w:r>
              <w:rPr>
                <w:rFonts w:hint="eastAsia"/>
                <w:sz w:val="24"/>
              </w:rPr>
              <w:t>得满分6分，超过</w:t>
            </w:r>
            <w:r>
              <w:rPr>
                <w:b/>
                <w:bCs/>
                <w:sz w:val="24"/>
                <w:u w:val="single"/>
              </w:rPr>
              <w:t>2</w:t>
            </w:r>
            <w:r>
              <w:rPr>
                <w:rFonts w:hint="eastAsia"/>
                <w:b/>
                <w:bCs/>
                <w:sz w:val="24"/>
                <w:u w:val="single"/>
              </w:rPr>
              <w:t>%</w:t>
            </w:r>
            <w:r>
              <w:rPr>
                <w:rFonts w:hint="eastAsia"/>
                <w:sz w:val="24"/>
              </w:rPr>
              <w:t>部分，每多</w:t>
            </w:r>
            <w:r>
              <w:rPr>
                <w:b/>
                <w:bCs/>
                <w:sz w:val="24"/>
                <w:u w:val="single"/>
              </w:rPr>
              <w:t>1</w:t>
            </w:r>
            <w:r>
              <w:rPr>
                <w:rFonts w:hint="eastAsia"/>
                <w:b/>
                <w:bCs/>
                <w:sz w:val="24"/>
                <w:u w:val="single"/>
              </w:rPr>
              <w:t>%</w:t>
            </w:r>
            <w:r>
              <w:rPr>
                <w:rFonts w:hint="eastAsia"/>
                <w:sz w:val="24"/>
              </w:rPr>
              <w:t>扣1分，不满</w:t>
            </w:r>
            <w:r>
              <w:rPr>
                <w:b/>
                <w:bCs/>
                <w:sz w:val="24"/>
                <w:u w:val="single"/>
              </w:rPr>
              <w:t>1</w:t>
            </w:r>
            <w:r>
              <w:rPr>
                <w:rFonts w:hint="eastAsia"/>
                <w:b/>
                <w:bCs/>
                <w:sz w:val="24"/>
                <w:u w:val="single"/>
              </w:rPr>
              <w:t>%</w:t>
            </w:r>
            <w:r>
              <w:rPr>
                <w:rFonts w:hint="eastAsia"/>
                <w:sz w:val="24"/>
              </w:rPr>
              <w:t>按</w:t>
            </w:r>
            <w:r>
              <w:rPr>
                <w:b/>
                <w:bCs/>
                <w:sz w:val="24"/>
                <w:u w:val="single"/>
              </w:rPr>
              <w:t>1</w:t>
            </w:r>
            <w:r>
              <w:rPr>
                <w:rFonts w:hint="eastAsia"/>
                <w:b/>
                <w:bCs/>
                <w:sz w:val="24"/>
                <w:u w:val="single"/>
              </w:rPr>
              <w:t>%</w:t>
            </w:r>
            <w:r>
              <w:rPr>
                <w:rFonts w:hint="eastAsia"/>
                <w:sz w:val="24"/>
              </w:rPr>
              <w:t>计算，扣完为止。全国交易所及银行间市场流通的全部各类债券推迟或取消发行比率=推迟或取消发行只数/全国交易所及银行间市场流通的全部各类债券发行总只数，债券发行总只数低于</w:t>
            </w:r>
            <w:r>
              <w:rPr>
                <w:b/>
                <w:bCs/>
                <w:sz w:val="24"/>
                <w:u w:val="single"/>
              </w:rPr>
              <w:t>20</w:t>
            </w:r>
            <w:r>
              <w:rPr>
                <w:rFonts w:hint="eastAsia"/>
                <w:b/>
                <w:bCs/>
                <w:sz w:val="24"/>
                <w:u w:val="single"/>
              </w:rPr>
              <w:t>只</w:t>
            </w:r>
            <w:r>
              <w:rPr>
                <w:rFonts w:hint="eastAsia"/>
                <w:sz w:val="24"/>
              </w:rPr>
              <w:t>该项不得分。本项最高分6分，最低分0分。</w:t>
            </w:r>
          </w:p>
          <w:p>
            <w:pPr>
              <w:snapToGrid w:val="0"/>
              <w:spacing w:line="360" w:lineRule="auto"/>
              <w:rPr>
                <w:sz w:val="24"/>
              </w:rPr>
            </w:pPr>
            <w:r>
              <w:rPr>
                <w:rFonts w:hint="eastAsia"/>
                <w:sz w:val="24"/>
              </w:rPr>
              <w:t>【投标</w:t>
            </w:r>
            <w:r>
              <w:rPr>
                <w:rFonts w:hint="eastAsia"/>
                <w:sz w:val="24"/>
                <w:lang w:val="en-US" w:eastAsia="zh-CN"/>
              </w:rPr>
              <w:t>人</w:t>
            </w:r>
            <w:r>
              <w:rPr>
                <w:rFonts w:hint="eastAsia"/>
                <w:sz w:val="24"/>
              </w:rPr>
              <w:t>提供Wind数据库页面截图并加盖公章，数据来源：债券推迟或取消发行只数为：Wind终端→债券→专题统计→一级市场→新债发行→推迟或取消发行债券，进入新页面，债券类型选择“债券分类（Wind）-全部”，时间区间选择“</w:t>
            </w:r>
            <w:r>
              <w:rPr>
                <w:rFonts w:hint="eastAsia"/>
                <w:b/>
                <w:bCs/>
                <w:sz w:val="24"/>
                <w:u w:val="single"/>
              </w:rPr>
              <w:t>20</w:t>
            </w:r>
            <w:r>
              <w:rPr>
                <w:b/>
                <w:bCs/>
                <w:sz w:val="24"/>
                <w:u w:val="single"/>
              </w:rPr>
              <w:t>20</w:t>
            </w:r>
            <w:r>
              <w:rPr>
                <w:rFonts w:hint="eastAsia"/>
                <w:b/>
                <w:bCs/>
                <w:sz w:val="24"/>
                <w:u w:val="single"/>
              </w:rPr>
              <w:t>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22</w:t>
            </w:r>
            <w:r>
              <w:rPr>
                <w:rFonts w:hint="eastAsia"/>
                <w:b/>
                <w:bCs/>
                <w:sz w:val="24"/>
                <w:u w:val="single"/>
              </w:rPr>
              <w:t>年</w:t>
            </w:r>
            <w:r>
              <w:rPr>
                <w:b/>
                <w:bCs/>
                <w:sz w:val="24"/>
                <w:u w:val="single"/>
              </w:rPr>
              <w:t>12</w:t>
            </w:r>
            <w:r>
              <w:rPr>
                <w:rFonts w:hint="eastAsia"/>
                <w:b/>
                <w:bCs/>
                <w:sz w:val="24"/>
                <w:u w:val="single"/>
              </w:rPr>
              <w:t>月</w:t>
            </w:r>
            <w:r>
              <w:rPr>
                <w:b/>
                <w:bCs/>
                <w:sz w:val="24"/>
                <w:u w:val="single"/>
              </w:rPr>
              <w:t>31</w:t>
            </w:r>
            <w:r>
              <w:rPr>
                <w:rFonts w:hint="eastAsia"/>
                <w:b/>
                <w:bCs/>
                <w:sz w:val="24"/>
                <w:u w:val="single"/>
              </w:rPr>
              <w:t>日</w:t>
            </w:r>
            <w:r>
              <w:rPr>
                <w:rFonts w:hint="eastAsia"/>
                <w:sz w:val="24"/>
              </w:rPr>
              <w:t>”，在主承销商商列筛选投标</w:t>
            </w:r>
            <w:r>
              <w:rPr>
                <w:rFonts w:hint="eastAsia"/>
                <w:sz w:val="24"/>
                <w:lang w:val="en-US" w:eastAsia="zh-CN"/>
              </w:rPr>
              <w:t>人</w:t>
            </w:r>
            <w:r>
              <w:rPr>
                <w:rFonts w:hint="eastAsia"/>
                <w:sz w:val="24"/>
              </w:rPr>
              <w:t>全称后保留的债券只数；全国交易所及银行间市场流通的全部各类债券发行总只数为：Wind终端→债券→专题统计→一级市场→承销统计→债券承销统计（Wind口径），时间区间选择“</w:t>
            </w:r>
            <w:r>
              <w:rPr>
                <w:rFonts w:hint="eastAsia"/>
                <w:b/>
                <w:bCs/>
                <w:sz w:val="24"/>
                <w:u w:val="single"/>
              </w:rPr>
              <w:t>20</w:t>
            </w:r>
            <w:r>
              <w:rPr>
                <w:b/>
                <w:bCs/>
                <w:sz w:val="24"/>
                <w:u w:val="single"/>
              </w:rPr>
              <w:t>20</w:t>
            </w:r>
            <w:r>
              <w:rPr>
                <w:rFonts w:hint="eastAsia"/>
                <w:b/>
                <w:bCs/>
                <w:sz w:val="24"/>
                <w:u w:val="single"/>
              </w:rPr>
              <w:t>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22</w:t>
            </w:r>
            <w:r>
              <w:rPr>
                <w:rFonts w:hint="eastAsia"/>
                <w:b/>
                <w:bCs/>
                <w:sz w:val="24"/>
                <w:u w:val="single"/>
              </w:rPr>
              <w:t>年</w:t>
            </w:r>
            <w:r>
              <w:rPr>
                <w:b/>
                <w:bCs/>
                <w:sz w:val="24"/>
                <w:u w:val="single"/>
              </w:rPr>
              <w:t>12</w:t>
            </w:r>
            <w:r>
              <w:rPr>
                <w:rFonts w:hint="eastAsia"/>
                <w:b/>
                <w:bCs/>
                <w:sz w:val="24"/>
                <w:u w:val="single"/>
              </w:rPr>
              <w:t>月</w:t>
            </w:r>
            <w:r>
              <w:rPr>
                <w:b/>
                <w:bCs/>
                <w:sz w:val="24"/>
                <w:u w:val="single"/>
              </w:rPr>
              <w:t>31</w:t>
            </w:r>
            <w:r>
              <w:rPr>
                <w:rFonts w:hint="eastAsia"/>
                <w:b/>
                <w:bCs/>
                <w:sz w:val="24"/>
                <w:u w:val="single"/>
              </w:rPr>
              <w:t>日</w:t>
            </w:r>
            <w:r>
              <w:rPr>
                <w:rFonts w:hint="eastAsia"/>
                <w:sz w:val="24"/>
              </w:rPr>
              <w:t>”，机构类型选择“证券”，债券类型选择“债券分类（Wind）-全部”，选择“合并母子公司”选项并提取数据。】</w:t>
            </w:r>
          </w:p>
          <w:p>
            <w:pPr>
              <w:snapToGrid w:val="0"/>
              <w:spacing w:line="360" w:lineRule="auto"/>
              <w:rPr>
                <w:sz w:val="24"/>
              </w:rPr>
            </w:pPr>
          </w:p>
          <w:p>
            <w:pPr>
              <w:snapToGrid w:val="0"/>
              <w:spacing w:line="360" w:lineRule="auto"/>
              <w:rPr>
                <w:sz w:val="24"/>
              </w:rPr>
            </w:pPr>
            <w:r>
              <w:rPr>
                <w:rFonts w:hint="eastAsia"/>
                <w:sz w:val="24"/>
              </w:rPr>
              <w:t>2.根据投标</w:t>
            </w:r>
            <w:r>
              <w:rPr>
                <w:rFonts w:hint="eastAsia"/>
                <w:sz w:val="24"/>
                <w:lang w:val="en-US" w:eastAsia="zh-CN"/>
              </w:rPr>
              <w:t>人</w:t>
            </w:r>
            <w:r>
              <w:rPr>
                <w:rFonts w:hint="eastAsia"/>
                <w:sz w:val="24"/>
              </w:rPr>
              <w:t>自</w:t>
            </w:r>
            <w:r>
              <w:rPr>
                <w:rFonts w:hint="eastAsia"/>
                <w:b/>
                <w:bCs/>
                <w:sz w:val="24"/>
                <w:u w:val="single"/>
              </w:rPr>
              <w:t>20</w:t>
            </w:r>
            <w:r>
              <w:rPr>
                <w:b/>
                <w:bCs/>
                <w:sz w:val="24"/>
                <w:u w:val="single"/>
              </w:rPr>
              <w:t>20</w:t>
            </w:r>
            <w:r>
              <w:rPr>
                <w:rFonts w:hint="eastAsia"/>
                <w:b/>
                <w:bCs/>
                <w:sz w:val="24"/>
                <w:u w:val="single"/>
              </w:rPr>
              <w:t>—20</w:t>
            </w:r>
            <w:r>
              <w:rPr>
                <w:b/>
                <w:bCs/>
                <w:sz w:val="24"/>
                <w:u w:val="single"/>
              </w:rPr>
              <w:t>22</w:t>
            </w:r>
            <w:r>
              <w:rPr>
                <w:rFonts w:hint="eastAsia"/>
                <w:sz w:val="24"/>
                <w:u w:val="single"/>
              </w:rPr>
              <w:t>年</w:t>
            </w:r>
            <w:r>
              <w:rPr>
                <w:rFonts w:hint="eastAsia"/>
                <w:sz w:val="24"/>
              </w:rPr>
              <w:t>主承销的全国范围内的地方非金融国有企业作为发行人，发行的期限</w:t>
            </w:r>
            <w:r>
              <w:rPr>
                <w:b/>
                <w:bCs/>
                <w:sz w:val="24"/>
                <w:u w:val="single"/>
              </w:rPr>
              <w:t>5</w:t>
            </w:r>
            <w:r>
              <w:rPr>
                <w:rFonts w:hint="eastAsia"/>
                <w:b/>
                <w:bCs/>
                <w:sz w:val="24"/>
                <w:u w:val="single"/>
              </w:rPr>
              <w:t>年及以上</w:t>
            </w:r>
            <w:r>
              <w:rPr>
                <w:rFonts w:hint="eastAsia"/>
                <w:sz w:val="24"/>
              </w:rPr>
              <w:t>（含</w:t>
            </w:r>
            <w:r>
              <w:rPr>
                <w:b/>
                <w:bCs/>
                <w:sz w:val="24"/>
                <w:u w:val="single"/>
              </w:rPr>
              <w:t>3</w:t>
            </w:r>
            <w:r>
              <w:rPr>
                <w:rFonts w:hint="eastAsia"/>
                <w:b/>
                <w:bCs/>
                <w:sz w:val="24"/>
                <w:u w:val="single"/>
              </w:rPr>
              <w:t>+</w:t>
            </w:r>
            <w:r>
              <w:rPr>
                <w:b/>
                <w:bCs/>
                <w:sz w:val="24"/>
                <w:u w:val="single"/>
              </w:rPr>
              <w:t>2</w:t>
            </w:r>
            <w:r>
              <w:rPr>
                <w:rFonts w:hint="eastAsia"/>
                <w:sz w:val="24"/>
              </w:rPr>
              <w:t>年期）、发行时主体评级为</w:t>
            </w:r>
            <w:r>
              <w:rPr>
                <w:b/>
                <w:bCs/>
                <w:sz w:val="24"/>
                <w:u w:val="single"/>
              </w:rPr>
              <w:t>AA</w:t>
            </w:r>
            <w:r>
              <w:rPr>
                <w:rFonts w:hint="eastAsia"/>
                <w:b/>
                <w:bCs/>
                <w:sz w:val="24"/>
                <w:u w:val="single"/>
              </w:rPr>
              <w:t>（及以上）的企业债</w:t>
            </w:r>
            <w:r>
              <w:rPr>
                <w:rFonts w:hint="eastAsia"/>
                <w:sz w:val="24"/>
              </w:rPr>
              <w:t>，任意提供</w:t>
            </w:r>
            <w:r>
              <w:rPr>
                <w:rFonts w:hint="eastAsia"/>
                <w:b/>
                <w:bCs/>
                <w:sz w:val="24"/>
                <w:u w:val="single"/>
                <w:lang w:val="en-US" w:eastAsia="zh-CN"/>
              </w:rPr>
              <w:t>6</w:t>
            </w:r>
            <w:r>
              <w:rPr>
                <w:rFonts w:hint="eastAsia"/>
                <w:b/>
                <w:bCs/>
                <w:sz w:val="24"/>
                <w:u w:val="single"/>
              </w:rPr>
              <w:t>只</w:t>
            </w:r>
            <w:r>
              <w:rPr>
                <w:rFonts w:hint="eastAsia"/>
                <w:sz w:val="24"/>
              </w:rPr>
              <w:t>发行案例，现场随机抽取，确定纳入评定的案例及只数（不少于</w:t>
            </w:r>
            <w:r>
              <w:rPr>
                <w:b/>
                <w:bCs/>
                <w:sz w:val="24"/>
                <w:u w:val="single"/>
              </w:rPr>
              <w:t>3</w:t>
            </w:r>
            <w:r>
              <w:rPr>
                <w:rFonts w:hint="eastAsia"/>
                <w:b/>
                <w:bCs/>
                <w:sz w:val="24"/>
                <w:u w:val="single"/>
              </w:rPr>
              <w:t>只</w:t>
            </w:r>
            <w:r>
              <w:rPr>
                <w:rFonts w:hint="eastAsia"/>
                <w:sz w:val="24"/>
              </w:rPr>
              <w:t>），将发行案例的平均票面利率从低到高进行排列，排名为第1名得6分，名次每下降一名减一分，扣完为止，不能按要求提供案例的不得分；利率相同，排名相同；如提供案例样本不足</w:t>
            </w:r>
            <w:r>
              <w:rPr>
                <w:sz w:val="24"/>
              </w:rPr>
              <w:t>6</w:t>
            </w:r>
            <w:r>
              <w:rPr>
                <w:rFonts w:hint="eastAsia"/>
                <w:sz w:val="24"/>
              </w:rPr>
              <w:t>只，但抽取案例样本数大于所提供案例样本时，该项得0分。</w:t>
            </w:r>
          </w:p>
          <w:p>
            <w:pPr>
              <w:snapToGrid w:val="0"/>
              <w:spacing w:line="360" w:lineRule="auto"/>
              <w:rPr>
                <w:sz w:val="24"/>
              </w:rPr>
            </w:pPr>
            <w:r>
              <w:rPr>
                <w:rFonts w:hint="eastAsia"/>
                <w:sz w:val="24"/>
              </w:rPr>
              <w:t>【投标</w:t>
            </w:r>
            <w:r>
              <w:rPr>
                <w:rFonts w:hint="eastAsia"/>
                <w:sz w:val="24"/>
                <w:lang w:val="en-US" w:eastAsia="zh-CN"/>
              </w:rPr>
              <w:t>人</w:t>
            </w:r>
            <w:r>
              <w:rPr>
                <w:rFonts w:hint="eastAsia"/>
                <w:sz w:val="24"/>
              </w:rPr>
              <w:t>需填列《业绩清单表》，同时，每一案例需提供Wind数据库页面截图并加盖公章，数据来源：Wind→各期债券F9深度资料→发行人资料→公司资料，Wind→各期债券F9深度资料→基本条款，Wind→各期债券F9深度资料→基本条款→信用等级】</w:t>
            </w:r>
          </w:p>
          <w:p>
            <w:pPr>
              <w:snapToGrid w:val="0"/>
              <w:spacing w:line="360" w:lineRule="auto"/>
              <w:rPr>
                <w:sz w:val="24"/>
              </w:rPr>
            </w:pPr>
          </w:p>
          <w:p>
            <w:pPr>
              <w:snapToGrid w:val="0"/>
              <w:spacing w:line="360" w:lineRule="auto"/>
              <w:rPr>
                <w:rFonts w:ascii="宋体" w:hAnsi="宋体" w:cs="仿宋_GB2312"/>
                <w:sz w:val="24"/>
                <w:shd w:val="clear" w:color="auto" w:fill="FFFFFF"/>
              </w:rPr>
            </w:pPr>
            <w:r>
              <w:rPr>
                <w:rFonts w:hint="eastAsia"/>
                <w:sz w:val="24"/>
              </w:rPr>
              <w:t>3.本次</w:t>
            </w:r>
            <w:r>
              <w:rPr>
                <w:rFonts w:hint="eastAsia" w:ascii="宋体" w:hAnsi="宋体" w:cs="仿宋_GB2312"/>
                <w:sz w:val="24"/>
                <w:shd w:val="clear" w:color="auto" w:fill="FFFFFF"/>
              </w:rPr>
              <w:t>投标</w:t>
            </w:r>
            <w:r>
              <w:rPr>
                <w:rFonts w:hint="eastAsia" w:ascii="宋体" w:hAnsi="宋体" w:cs="仿宋_GB2312"/>
                <w:sz w:val="24"/>
                <w:shd w:val="clear" w:color="auto" w:fill="FFFFFF"/>
                <w:lang w:val="en-US" w:eastAsia="zh-CN"/>
              </w:rPr>
              <w:t>人</w:t>
            </w:r>
            <w:r>
              <w:rPr>
                <w:rFonts w:hint="eastAsia" w:ascii="宋体" w:hAnsi="宋体" w:cs="仿宋_GB2312"/>
                <w:sz w:val="24"/>
                <w:shd w:val="clear" w:color="auto" w:fill="FFFFFF"/>
              </w:rPr>
              <w:t>所派参选团队承销案例只数占总案例只数的比例，100%的得4分，低于100%按比例测算得分（保留两位小数）。</w:t>
            </w:r>
          </w:p>
          <w:p>
            <w:pPr>
              <w:snapToGrid w:val="0"/>
              <w:spacing w:line="360" w:lineRule="auto"/>
              <w:rPr>
                <w:sz w:val="24"/>
              </w:rPr>
            </w:pPr>
            <w:r>
              <w:rPr>
                <w:rFonts w:hint="eastAsia" w:ascii="宋体" w:hAnsi="宋体" w:cs="仿宋_GB2312"/>
                <w:sz w:val="24"/>
                <w:shd w:val="clear" w:color="auto" w:fill="FFFFFF"/>
              </w:rPr>
              <w:t>【投标</w:t>
            </w:r>
            <w:r>
              <w:rPr>
                <w:rFonts w:hint="eastAsia" w:ascii="宋体" w:hAnsi="宋体" w:cs="仿宋_GB2312"/>
                <w:sz w:val="24"/>
                <w:shd w:val="clear" w:color="auto" w:fill="FFFFFF"/>
                <w:lang w:val="en-US" w:eastAsia="zh-CN"/>
              </w:rPr>
              <w:t>人</w:t>
            </w:r>
            <w:r>
              <w:rPr>
                <w:rFonts w:hint="eastAsia" w:ascii="宋体" w:hAnsi="宋体" w:cs="仿宋_GB2312"/>
                <w:sz w:val="24"/>
                <w:shd w:val="clear" w:color="auto" w:fill="FFFFFF"/>
              </w:rPr>
              <w:t>参选团队总负责人或承做负责人为募集说明书中“本次债券发行的有关机构”注明的主承销商联系人的，则该案例纳入参选团队承销案例统计范围；总案例只数按照《业绩清单表》所填列案例总数统计】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pPr>
              <w:spacing w:line="500" w:lineRule="exact"/>
              <w:jc w:val="center"/>
              <w:rPr>
                <w:sz w:val="24"/>
              </w:rPr>
            </w:pPr>
            <w:r>
              <w:rPr>
                <w:sz w:val="24"/>
              </w:rPr>
              <w:t>4</w:t>
            </w:r>
          </w:p>
        </w:tc>
        <w:tc>
          <w:tcPr>
            <w:tcW w:w="2200" w:type="dxa"/>
            <w:vAlign w:val="center"/>
          </w:tcPr>
          <w:p>
            <w:pPr>
              <w:snapToGrid w:val="0"/>
              <w:spacing w:line="360" w:lineRule="auto"/>
              <w:jc w:val="center"/>
              <w:rPr>
                <w:sz w:val="24"/>
              </w:rPr>
            </w:pPr>
            <w:r>
              <w:rPr>
                <w:sz w:val="24"/>
              </w:rPr>
              <w:t>发行方案及团队实力（32分）</w:t>
            </w:r>
          </w:p>
        </w:tc>
        <w:tc>
          <w:tcPr>
            <w:tcW w:w="5976" w:type="dxa"/>
          </w:tcPr>
          <w:p>
            <w:pPr>
              <w:snapToGrid w:val="0"/>
              <w:spacing w:line="360" w:lineRule="auto"/>
              <w:rPr>
                <w:sz w:val="24"/>
                <w:shd w:val="clear" w:color="auto" w:fill="FFFFFF"/>
              </w:rPr>
            </w:pPr>
            <w:r>
              <w:rPr>
                <w:sz w:val="24"/>
              </w:rPr>
              <w:t>1</w:t>
            </w:r>
            <w:r>
              <w:rPr>
                <w:rFonts w:hint="eastAsia"/>
                <w:sz w:val="24"/>
              </w:rPr>
              <w:t>.</w:t>
            </w:r>
            <w:r>
              <w:rPr>
                <w:sz w:val="24"/>
                <w:shd w:val="clear" w:color="auto" w:fill="FFFFFF"/>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w:t>
            </w:r>
            <w:r>
              <w:rPr>
                <w:sz w:val="24"/>
              </w:rPr>
              <w:t>评委在1-5分内评定（该项最高5分）。</w:t>
            </w:r>
            <w:r>
              <w:rPr>
                <w:sz w:val="24"/>
                <w:shd w:val="clear" w:color="auto" w:fill="FFFFFF"/>
              </w:rPr>
              <w:t>（注：不得涉及价格标中的承销费率）。</w:t>
            </w:r>
          </w:p>
          <w:p>
            <w:pPr>
              <w:snapToGrid w:val="0"/>
              <w:spacing w:line="360" w:lineRule="auto"/>
              <w:rPr>
                <w:sz w:val="24"/>
              </w:rPr>
            </w:pPr>
            <w:r>
              <w:rPr>
                <w:sz w:val="24"/>
              </w:rPr>
              <w:t>2</w:t>
            </w:r>
            <w:r>
              <w:rPr>
                <w:rFonts w:hint="eastAsia"/>
                <w:sz w:val="24"/>
              </w:rPr>
              <w:t>.</w:t>
            </w:r>
            <w:r>
              <w:rPr>
                <w:sz w:val="24"/>
                <w:shd w:val="clear" w:color="auto" w:fill="FFFFFF"/>
              </w:rPr>
              <w:t>本次债券整体推进时间安排表：包括各参与机构的工作时间节点（上报、预计获批、发行时间等）、工作内容及预计审核时间等，工作时间节点要齐全，不可遗漏重要节点，中选后需按照该时间表推进工作。</w:t>
            </w:r>
            <w:r>
              <w:rPr>
                <w:sz w:val="24"/>
              </w:rPr>
              <w:t>评委在1-5分内评定（该项最高5分）。</w:t>
            </w:r>
          </w:p>
          <w:p>
            <w:pPr>
              <w:snapToGrid w:val="0"/>
              <w:spacing w:line="360" w:lineRule="auto"/>
              <w:rPr>
                <w:sz w:val="24"/>
              </w:rPr>
            </w:pPr>
            <w:r>
              <w:rPr>
                <w:sz w:val="24"/>
              </w:rPr>
              <w:t>3</w:t>
            </w:r>
            <w:r>
              <w:rPr>
                <w:rFonts w:hint="eastAsia"/>
                <w:sz w:val="24"/>
              </w:rPr>
              <w:t>.</w:t>
            </w:r>
            <w:r>
              <w:rPr>
                <w:sz w:val="24"/>
                <w:shd w:val="clear" w:color="auto" w:fill="FFFFFF"/>
              </w:rPr>
              <w:t>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w:t>
            </w:r>
            <w:r>
              <w:rPr>
                <w:sz w:val="24"/>
              </w:rPr>
              <w:t>评委在1-5分内评定（该项最高5分）。</w:t>
            </w:r>
          </w:p>
          <w:p>
            <w:pPr>
              <w:snapToGrid w:val="0"/>
              <w:spacing w:line="360" w:lineRule="auto"/>
              <w:rPr>
                <w:sz w:val="24"/>
              </w:rPr>
            </w:pPr>
            <w:r>
              <w:rPr>
                <w:sz w:val="24"/>
              </w:rPr>
              <w:t>4</w:t>
            </w:r>
            <w:r>
              <w:rPr>
                <w:rFonts w:hint="eastAsia"/>
                <w:sz w:val="24"/>
              </w:rPr>
              <w:t>.</w:t>
            </w:r>
            <w:r>
              <w:rPr>
                <w:sz w:val="24"/>
                <w:shd w:val="clear" w:color="auto" w:fill="FFFFFF"/>
              </w:rPr>
              <w:t>销售安排：参选单位对承销优势、销售阶段沟通机制安排等方面进行说明，对本次债券承销做出合理规划安排，并对参选单位余额包销的决策流程、包销额度、相应利率机制等情况详细说明。</w:t>
            </w:r>
            <w:r>
              <w:rPr>
                <w:sz w:val="24"/>
              </w:rPr>
              <w:t>评委在1-5分内评定（该项最高5分）。</w:t>
            </w:r>
          </w:p>
          <w:p>
            <w:pPr>
              <w:snapToGrid w:val="0"/>
              <w:spacing w:line="360" w:lineRule="auto"/>
              <w:rPr>
                <w:sz w:val="24"/>
              </w:rPr>
            </w:pPr>
            <w:r>
              <w:rPr>
                <w:sz w:val="24"/>
              </w:rPr>
              <w:t>5</w:t>
            </w:r>
            <w:r>
              <w:rPr>
                <w:rFonts w:hint="eastAsia"/>
                <w:sz w:val="24"/>
              </w:rPr>
              <w:t>.</w:t>
            </w:r>
            <w:r>
              <w:rPr>
                <w:sz w:val="24"/>
                <w:shd w:val="clear" w:color="auto" w:fill="FFFFFF"/>
              </w:rPr>
              <w:t>投标</w:t>
            </w:r>
            <w:r>
              <w:rPr>
                <w:rFonts w:hint="eastAsia"/>
                <w:sz w:val="24"/>
                <w:shd w:val="clear" w:color="auto" w:fill="FFFFFF"/>
                <w:lang w:val="en-US" w:eastAsia="zh-CN"/>
              </w:rPr>
              <w:t>人</w:t>
            </w:r>
            <w:r>
              <w:rPr>
                <w:sz w:val="24"/>
                <w:shd w:val="clear" w:color="auto" w:fill="FFFFFF"/>
              </w:rPr>
              <w:t>提供的增值服务。（1）投标</w:t>
            </w:r>
            <w:r>
              <w:rPr>
                <w:rFonts w:hint="eastAsia"/>
                <w:sz w:val="24"/>
                <w:shd w:val="clear" w:color="auto" w:fill="FFFFFF"/>
                <w:lang w:val="en-US" w:eastAsia="zh-CN"/>
              </w:rPr>
              <w:t>人</w:t>
            </w:r>
            <w:r>
              <w:rPr>
                <w:sz w:val="24"/>
                <w:shd w:val="clear" w:color="auto" w:fill="FFFFFF"/>
              </w:rPr>
              <w:t>已提供的增值服务5分；投标</w:t>
            </w:r>
            <w:r>
              <w:rPr>
                <w:rFonts w:hint="eastAsia"/>
                <w:sz w:val="24"/>
                <w:shd w:val="clear" w:color="auto" w:fill="FFFFFF"/>
                <w:lang w:val="en-US" w:eastAsia="zh-CN"/>
              </w:rPr>
              <w:t>人</w:t>
            </w:r>
            <w:r>
              <w:rPr>
                <w:sz w:val="24"/>
                <w:shd w:val="clear" w:color="auto" w:fill="FFFFFF"/>
              </w:rPr>
              <w:t>在标书中列项说明，招标人根据现有服务酌情给分。（2）拟进一步提供的增值服务3分；由评标委员会根据方案优劣酌情打分。</w:t>
            </w:r>
            <w:r>
              <w:rPr>
                <w:sz w:val="24"/>
              </w:rPr>
              <w:t>评委在1-5分内评定（该项最高5分）。</w:t>
            </w:r>
          </w:p>
          <w:p>
            <w:pPr>
              <w:snapToGrid w:val="0"/>
              <w:spacing w:line="360" w:lineRule="auto"/>
              <w:rPr>
                <w:sz w:val="24"/>
              </w:rPr>
            </w:pPr>
            <w:r>
              <w:rPr>
                <w:sz w:val="24"/>
              </w:rPr>
              <w:t>6</w:t>
            </w:r>
            <w:r>
              <w:rPr>
                <w:rFonts w:hint="eastAsia"/>
                <w:sz w:val="24"/>
              </w:rPr>
              <w:t>.</w:t>
            </w:r>
            <w:r>
              <w:rPr>
                <w:sz w:val="24"/>
              </w:rPr>
              <w:t>对主承销商的销售保障、成本控制能力、历史主承债券自投情况等进行评定，评委在1-5分内评定（该项最高5分）。</w:t>
            </w:r>
          </w:p>
          <w:p>
            <w:pPr>
              <w:snapToGrid w:val="0"/>
              <w:spacing w:line="360" w:lineRule="auto"/>
              <w:rPr>
                <w:sz w:val="24"/>
              </w:rPr>
            </w:pPr>
            <w:r>
              <w:rPr>
                <w:sz w:val="24"/>
                <w:shd w:val="clear" w:color="auto" w:fill="FFFFFF"/>
              </w:rPr>
              <w:t>7.根据标书装订、制作情况，</w:t>
            </w:r>
            <w:r>
              <w:rPr>
                <w:sz w:val="24"/>
              </w:rPr>
              <w:t>评委在1-2分内评定（该项最高2分）。</w:t>
            </w:r>
          </w:p>
        </w:tc>
      </w:tr>
    </w:tbl>
    <w:p>
      <w:pPr>
        <w:snapToGrid w:val="0"/>
        <w:spacing w:beforeLines="50" w:line="360" w:lineRule="auto"/>
        <w:ind w:firstLine="482" w:firstLineChars="200"/>
        <w:rPr>
          <w:b/>
          <w:bCs/>
          <w:sz w:val="24"/>
        </w:rPr>
      </w:pPr>
      <w:r>
        <w:rPr>
          <w:b/>
          <w:bCs/>
          <w:sz w:val="24"/>
        </w:rPr>
        <w:t>（二）商务标评分：（30分）</w:t>
      </w:r>
    </w:p>
    <w:p>
      <w:pPr>
        <w:snapToGrid w:val="0"/>
        <w:spacing w:line="360" w:lineRule="auto"/>
        <w:ind w:firstLine="570"/>
        <w:rPr>
          <w:sz w:val="24"/>
        </w:rPr>
      </w:pPr>
      <w:r>
        <w:rPr>
          <w:sz w:val="24"/>
        </w:rPr>
        <w:t>报价区间：0.05%/年</w:t>
      </w:r>
      <w:r>
        <w:rPr>
          <w:b/>
          <w:sz w:val="24"/>
        </w:rPr>
        <w:t>~</w:t>
      </w:r>
      <w:r>
        <w:rPr>
          <w:sz w:val="24"/>
        </w:rPr>
        <w:t>0.15%/年（含0.05%/年和0.15%/年，超出区间为无效报价）。</w:t>
      </w:r>
      <w:r>
        <w:rPr>
          <w:b/>
          <w:sz w:val="24"/>
        </w:rPr>
        <w:t>报价</w:t>
      </w:r>
      <w:r>
        <w:rPr>
          <w:b/>
          <w:bCs/>
          <w:sz w:val="24"/>
        </w:rPr>
        <w:t>保留两位小数</w:t>
      </w:r>
      <w:r>
        <w:rPr>
          <w:b/>
          <w:sz w:val="24"/>
        </w:rPr>
        <w:t>，否则做无效投标处理。</w:t>
      </w:r>
    </w:p>
    <w:p>
      <w:pPr>
        <w:snapToGrid w:val="0"/>
        <w:spacing w:line="360" w:lineRule="auto"/>
        <w:ind w:firstLine="480" w:firstLineChars="200"/>
        <w:rPr>
          <w:sz w:val="24"/>
        </w:rPr>
      </w:pPr>
      <w:r>
        <w:rPr>
          <w:sz w:val="24"/>
        </w:rPr>
        <w:t>评标基准费率=有效投标价算术平均值（不四舍五入，保留两位小数）</w:t>
      </w:r>
    </w:p>
    <w:p>
      <w:pPr>
        <w:snapToGrid w:val="0"/>
        <w:spacing w:line="360" w:lineRule="auto"/>
        <w:ind w:firstLine="480" w:firstLineChars="200"/>
        <w:rPr>
          <w:sz w:val="24"/>
        </w:rPr>
      </w:pPr>
      <w:r>
        <w:rPr>
          <w:sz w:val="24"/>
        </w:rPr>
        <w:t>满足招标文件技术要求的投标供应商的有效“服务费率报价”与“评审基准价费率”相比较，按以下方式评分：</w:t>
      </w:r>
    </w:p>
    <w:p>
      <w:pPr>
        <w:snapToGrid w:val="0"/>
        <w:spacing w:line="360" w:lineRule="auto"/>
        <w:ind w:firstLine="480" w:firstLineChars="200"/>
        <w:rPr>
          <w:sz w:val="24"/>
        </w:rPr>
      </w:pPr>
      <w:r>
        <w:rPr>
          <w:sz w:val="24"/>
        </w:rPr>
        <w:t>1</w:t>
      </w:r>
      <w:r>
        <w:rPr>
          <w:rFonts w:hint="eastAsia"/>
          <w:sz w:val="24"/>
        </w:rPr>
        <w:t>.</w:t>
      </w:r>
      <w:r>
        <w:rPr>
          <w:sz w:val="24"/>
        </w:rPr>
        <w:t>投标报价费率等于评审基准价费率的，得满分30分；</w:t>
      </w:r>
    </w:p>
    <w:p>
      <w:pPr>
        <w:snapToGrid w:val="0"/>
        <w:spacing w:line="360" w:lineRule="auto"/>
        <w:ind w:firstLine="480" w:firstLineChars="200"/>
        <w:rPr>
          <w:sz w:val="24"/>
        </w:rPr>
      </w:pPr>
      <w:r>
        <w:rPr>
          <w:sz w:val="24"/>
        </w:rPr>
        <w:t>2</w:t>
      </w:r>
      <w:r>
        <w:rPr>
          <w:rFonts w:hint="eastAsia"/>
          <w:sz w:val="24"/>
        </w:rPr>
        <w:t>.</w:t>
      </w:r>
      <w:r>
        <w:rPr>
          <w:sz w:val="24"/>
        </w:rPr>
        <w:t>投标报价与评审基准价相比，每高于或低于0.01%扣1分。</w:t>
      </w:r>
    </w:p>
    <w:p>
      <w:pPr>
        <w:snapToGrid w:val="0"/>
        <w:spacing w:line="360" w:lineRule="auto"/>
        <w:ind w:firstLine="480" w:firstLineChars="200"/>
        <w:rPr>
          <w:sz w:val="24"/>
        </w:rPr>
      </w:pPr>
      <w:r>
        <w:rPr>
          <w:sz w:val="24"/>
        </w:rPr>
        <w:t>注：</w:t>
      </w:r>
      <w:r>
        <w:rPr>
          <w:rFonts w:hint="eastAsia" w:ascii="宋体" w:hAnsi="宋体" w:cs="宋体"/>
          <w:sz w:val="24"/>
        </w:rPr>
        <w:t>①</w:t>
      </w:r>
      <w:r>
        <w:rPr>
          <w:sz w:val="24"/>
        </w:rPr>
        <w:t>（投标报价-评标基准价）为投标报价与评标基准价差额的绝对值。</w:t>
      </w:r>
    </w:p>
    <w:p>
      <w:pPr>
        <w:snapToGrid w:val="0"/>
        <w:spacing w:line="360" w:lineRule="auto"/>
        <w:ind w:firstLine="960" w:firstLineChars="400"/>
      </w:pPr>
      <w:r>
        <w:rPr>
          <w:rFonts w:hint="eastAsia" w:ascii="宋体" w:hAnsi="宋体" w:cs="宋体"/>
          <w:sz w:val="24"/>
        </w:rPr>
        <w:t>②</w:t>
      </w:r>
      <w:r>
        <w:rPr>
          <w:sz w:val="24"/>
        </w:rPr>
        <w:t>价格标计算结果均以科学计数法保留两位小数（四舍五入）。</w:t>
      </w:r>
    </w:p>
    <w:p>
      <w:pPr>
        <w:snapToGrid w:val="0"/>
        <w:spacing w:line="360" w:lineRule="auto"/>
        <w:ind w:firstLine="480" w:firstLineChars="200"/>
        <w:rPr>
          <w:rFonts w:ascii="宋体" w:hAnsi="宋体"/>
          <w:sz w:val="24"/>
        </w:rPr>
      </w:pPr>
      <w:r>
        <w:rPr>
          <w:rFonts w:hint="eastAsia" w:ascii="宋体" w:hAnsi="宋体"/>
          <w:sz w:val="24"/>
        </w:rPr>
        <w:t>（三）评标争议</w:t>
      </w:r>
    </w:p>
    <w:p>
      <w:pPr>
        <w:snapToGrid w:val="0"/>
        <w:spacing w:line="360" w:lineRule="auto"/>
        <w:ind w:firstLine="480" w:firstLineChars="200"/>
        <w:rPr>
          <w:rFonts w:ascii="宋体" w:hAnsi="宋体" w:cs="宋体"/>
          <w:sz w:val="24"/>
        </w:rPr>
      </w:pPr>
      <w:r>
        <w:rPr>
          <w:rFonts w:hint="eastAsia" w:ascii="宋体" w:hAnsi="宋体" w:cs="宋体"/>
          <w:sz w:val="24"/>
        </w:rPr>
        <w:t>评标时评委对评标的细则若有争议，由评标委员会评委集体讨论确定，并对未尽情况有最终解释权。</w:t>
      </w:r>
    </w:p>
    <w:p>
      <w:pPr>
        <w:snapToGrid w:val="0"/>
        <w:spacing w:line="360" w:lineRule="auto"/>
        <w:ind w:firstLine="480" w:firstLineChars="200"/>
        <w:rPr>
          <w:rFonts w:ascii="宋体" w:hAnsi="宋体" w:cs="宋体"/>
          <w:sz w:val="24"/>
        </w:rPr>
      </w:pPr>
      <w:r>
        <w:rPr>
          <w:rFonts w:hint="eastAsia" w:ascii="宋体" w:hAnsi="宋体" w:cs="宋体"/>
          <w:sz w:val="24"/>
        </w:rPr>
        <w:t>（四）落标原因</w:t>
      </w:r>
    </w:p>
    <w:p>
      <w:pPr>
        <w:snapToGrid w:val="0"/>
        <w:spacing w:line="360" w:lineRule="auto"/>
        <w:ind w:firstLine="480" w:firstLineChars="200"/>
        <w:rPr>
          <w:rFonts w:ascii="宋体" w:hAnsi="宋体" w:cs="宋体"/>
          <w:sz w:val="24"/>
        </w:rPr>
      </w:pPr>
      <w:r>
        <w:rPr>
          <w:rFonts w:hint="eastAsia" w:ascii="宋体" w:hAnsi="宋体" w:cs="宋体"/>
          <w:sz w:val="24"/>
        </w:rPr>
        <w:t>评标委员会不对落标的投标供应商做落标原因的解释。</w:t>
      </w:r>
    </w:p>
    <w:p>
      <w:pPr>
        <w:snapToGrid w:val="0"/>
        <w:spacing w:line="360" w:lineRule="auto"/>
        <w:ind w:firstLine="480" w:firstLineChars="200"/>
        <w:rPr>
          <w:rFonts w:ascii="宋体" w:hAnsi="宋体" w:cs="宋体"/>
          <w:sz w:val="24"/>
        </w:rPr>
      </w:pPr>
      <w:r>
        <w:rPr>
          <w:rFonts w:hint="eastAsia" w:ascii="宋体" w:hAnsi="宋体" w:cs="宋体"/>
          <w:sz w:val="24"/>
        </w:rPr>
        <w:t>（五）确定中标候选人</w:t>
      </w:r>
    </w:p>
    <w:p>
      <w:pPr>
        <w:snapToGrid w:val="0"/>
        <w:spacing w:line="360" w:lineRule="auto"/>
        <w:ind w:firstLine="480" w:firstLineChars="200"/>
        <w:rPr>
          <w:rFonts w:ascii="宋体" w:hAnsi="宋体" w:cs="宋体"/>
          <w:sz w:val="24"/>
        </w:rPr>
      </w:pPr>
      <w:r>
        <w:rPr>
          <w:rFonts w:hint="eastAsia" w:ascii="宋体" w:hAnsi="宋体" w:cs="宋体"/>
          <w:sz w:val="24"/>
        </w:rPr>
        <w:t>投标供应商最终得分=技术标得分+商务标得分</w:t>
      </w:r>
    </w:p>
    <w:p>
      <w:pPr>
        <w:snapToGrid w:val="0"/>
        <w:spacing w:line="360" w:lineRule="auto"/>
        <w:ind w:firstLine="480" w:firstLineChars="200"/>
        <w:rPr>
          <w:rFonts w:ascii="宋体" w:hAnsi="宋体" w:cs="宋体"/>
          <w:sz w:val="24"/>
        </w:rPr>
      </w:pPr>
      <w:r>
        <w:rPr>
          <w:rFonts w:hint="eastAsia" w:ascii="宋体" w:hAnsi="宋体" w:cs="宋体"/>
          <w:sz w:val="24"/>
        </w:rPr>
        <w:t>评标委员会对满足招标文件实质性要求的投标文件，按照评分标准对技术标和商务标进行打分，按得分由高到低确定中标候选人。</w:t>
      </w:r>
    </w:p>
    <w:p>
      <w:pPr>
        <w:snapToGrid w:val="0"/>
        <w:spacing w:line="360" w:lineRule="auto"/>
        <w:ind w:firstLine="480" w:firstLineChars="200"/>
        <w:rPr>
          <w:rFonts w:ascii="宋体" w:hAnsi="宋体" w:cs="宋体"/>
          <w:sz w:val="24"/>
        </w:rPr>
      </w:pPr>
      <w:r>
        <w:rPr>
          <w:rFonts w:hint="eastAsia" w:ascii="宋体" w:hAnsi="宋体" w:cs="宋体"/>
          <w:sz w:val="24"/>
        </w:rPr>
        <w:t>总分得分相等时，商务标得分高者优先中标；如商务标得分和技术标得分均相同，由招标人代表现场抽签确定中标候选人顺序。</w:t>
      </w:r>
    </w:p>
    <w:p>
      <w:pPr>
        <w:snapToGrid w:val="0"/>
        <w:spacing w:line="360" w:lineRule="auto"/>
        <w:ind w:firstLine="480" w:firstLineChars="200"/>
        <w:rPr>
          <w:rFonts w:ascii="宋体" w:hAnsi="宋体" w:cs="宋体"/>
          <w:sz w:val="24"/>
        </w:rPr>
      </w:pPr>
      <w:r>
        <w:rPr>
          <w:rFonts w:hint="eastAsia" w:ascii="宋体" w:hAnsi="宋体" w:cs="宋体"/>
          <w:sz w:val="24"/>
        </w:rPr>
        <w:t>本项目第一中标候选人原则上为中标供应商。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供应商，不再重新招标。</w:t>
      </w:r>
    </w:p>
    <w:p>
      <w:pPr>
        <w:snapToGrid w:val="0"/>
        <w:spacing w:line="360" w:lineRule="auto"/>
        <w:ind w:firstLine="480" w:firstLineChars="200"/>
        <w:rPr>
          <w:rFonts w:ascii="宋体" w:hAnsi="宋体" w:cs="宋体"/>
          <w:sz w:val="24"/>
        </w:rPr>
      </w:pPr>
      <w:r>
        <w:rPr>
          <w:rFonts w:hint="eastAsia" w:ascii="宋体" w:hAnsi="宋体" w:cs="宋体"/>
          <w:sz w:val="24"/>
        </w:rPr>
        <w:t>评标过程如遇特殊情况，评标委员会具有最终解释权。</w:t>
      </w:r>
    </w:p>
    <w:p>
      <w:pPr>
        <w:snapToGrid w:val="0"/>
        <w:spacing w:line="360" w:lineRule="auto"/>
        <w:ind w:firstLine="482" w:firstLineChars="200"/>
        <w:outlineLvl w:val="1"/>
        <w:rPr>
          <w:rFonts w:ascii="宋体" w:hAnsi="宋体" w:cs="仿宋_GB2312"/>
          <w:b/>
          <w:sz w:val="24"/>
        </w:rPr>
      </w:pPr>
      <w:r>
        <w:rPr>
          <w:rFonts w:hint="eastAsia" w:ascii="宋体" w:hAnsi="宋体" w:cs="仿宋_GB2312"/>
          <w:b/>
          <w:sz w:val="24"/>
        </w:rPr>
        <w:t>十、出现下列情形之一的，作无效投标处理</w:t>
      </w:r>
    </w:p>
    <w:p>
      <w:pPr>
        <w:snapToGrid w:val="0"/>
        <w:spacing w:line="360" w:lineRule="auto"/>
        <w:ind w:firstLine="480" w:firstLineChars="200"/>
        <w:rPr>
          <w:rFonts w:ascii="宋体" w:hAnsi="宋体" w:cs="仿宋_GB2312"/>
          <w:sz w:val="24"/>
        </w:rPr>
      </w:pPr>
      <w:r>
        <w:rPr>
          <w:rFonts w:hint="eastAsia" w:ascii="宋体" w:hAnsi="宋体" w:cs="仿宋_GB2312"/>
          <w:sz w:val="24"/>
        </w:rPr>
        <w:t>1.未按规定时间、数额、规定形式交纳投标保证金的；</w:t>
      </w:r>
      <w:r>
        <w:rPr>
          <w:rFonts w:hint="eastAsia" w:ascii="宋体" w:hAnsi="宋体" w:cs="宋体"/>
          <w:sz w:val="24"/>
        </w:rPr>
        <w:t xml:space="preserve"> </w:t>
      </w:r>
    </w:p>
    <w:p>
      <w:pPr>
        <w:snapToGrid w:val="0"/>
        <w:spacing w:line="360" w:lineRule="auto"/>
        <w:ind w:firstLine="480" w:firstLineChars="200"/>
        <w:rPr>
          <w:rFonts w:ascii="宋体" w:hAnsi="宋体" w:cs="仿宋_GB2312"/>
          <w:sz w:val="24"/>
        </w:rPr>
      </w:pPr>
      <w:r>
        <w:rPr>
          <w:rFonts w:hint="eastAsia" w:ascii="宋体" w:hAnsi="宋体" w:cs="仿宋_GB2312"/>
          <w:sz w:val="24"/>
        </w:rPr>
        <w:t>2.投标投标文件未按规定要求装订、密封、签署、盖章的；</w:t>
      </w:r>
    </w:p>
    <w:p>
      <w:pPr>
        <w:snapToGrid w:val="0"/>
        <w:spacing w:line="360" w:lineRule="auto"/>
        <w:ind w:firstLine="480" w:firstLineChars="200"/>
        <w:rPr>
          <w:rFonts w:ascii="宋体" w:hAnsi="宋体" w:cs="仿宋_GB2312"/>
          <w:sz w:val="24"/>
        </w:rPr>
      </w:pPr>
      <w:r>
        <w:rPr>
          <w:rFonts w:hint="eastAsia" w:ascii="宋体" w:hAnsi="宋体" w:cs="仿宋_GB2312"/>
          <w:sz w:val="24"/>
        </w:rPr>
        <w:t xml:space="preserve">3.投标投标文件资格后审材料、技术标部分出现报价的内容； </w:t>
      </w:r>
    </w:p>
    <w:p>
      <w:pPr>
        <w:snapToGrid w:val="0"/>
        <w:spacing w:line="360" w:lineRule="auto"/>
        <w:ind w:firstLine="480" w:firstLineChars="200"/>
        <w:rPr>
          <w:rFonts w:ascii="宋体" w:hAnsi="宋体" w:cs="仿宋_GB2312"/>
          <w:sz w:val="24"/>
        </w:rPr>
      </w:pPr>
      <w:r>
        <w:rPr>
          <w:rFonts w:hint="eastAsia" w:ascii="宋体" w:hAnsi="宋体" w:cs="仿宋_GB2312"/>
          <w:sz w:val="24"/>
        </w:rPr>
        <w:t>4.不具备招标文件规定的资格要求的；</w:t>
      </w:r>
    </w:p>
    <w:p>
      <w:pPr>
        <w:snapToGrid w:val="0"/>
        <w:spacing w:line="360" w:lineRule="auto"/>
        <w:ind w:firstLine="480" w:firstLineChars="200"/>
        <w:rPr>
          <w:rFonts w:ascii="宋体" w:hAnsi="宋体" w:cs="仿宋_GB2312"/>
          <w:sz w:val="24"/>
        </w:rPr>
      </w:pPr>
      <w:r>
        <w:rPr>
          <w:rFonts w:hint="eastAsia" w:ascii="宋体" w:hAnsi="宋体" w:cs="仿宋_GB2312"/>
          <w:sz w:val="24"/>
        </w:rPr>
        <w:t>5.投标报价低于0.05%或者高于0.15%；</w:t>
      </w:r>
    </w:p>
    <w:p>
      <w:pPr>
        <w:snapToGrid w:val="0"/>
        <w:spacing w:line="360" w:lineRule="auto"/>
        <w:ind w:firstLine="480" w:firstLineChars="200"/>
        <w:rPr>
          <w:rFonts w:ascii="宋体" w:hAnsi="宋体" w:cs="仿宋_GB2312"/>
          <w:sz w:val="24"/>
        </w:rPr>
      </w:pPr>
      <w:r>
        <w:rPr>
          <w:rFonts w:hint="eastAsia" w:ascii="宋体" w:hAnsi="宋体" w:cs="仿宋_GB2312"/>
          <w:sz w:val="24"/>
        </w:rPr>
        <w:t>6.投标报价小数点后未保留两位的；</w:t>
      </w:r>
    </w:p>
    <w:p>
      <w:pPr>
        <w:snapToGrid w:val="0"/>
        <w:spacing w:line="360" w:lineRule="auto"/>
        <w:ind w:firstLine="480" w:firstLineChars="200"/>
        <w:rPr>
          <w:rFonts w:ascii="宋体" w:hAnsi="宋体" w:cs="仿宋_GB2312"/>
          <w:sz w:val="24"/>
        </w:rPr>
      </w:pPr>
      <w:r>
        <w:rPr>
          <w:rFonts w:hint="eastAsia" w:ascii="宋体" w:hAnsi="宋体" w:cs="仿宋_GB2312"/>
          <w:sz w:val="24"/>
        </w:rPr>
        <w:t>7.不符合法律、法规和招标文件中规定的其他实质性要求的；</w:t>
      </w:r>
    </w:p>
    <w:p>
      <w:pPr>
        <w:snapToGrid w:val="0"/>
        <w:spacing w:line="360" w:lineRule="auto"/>
        <w:ind w:firstLine="480" w:firstLineChars="200"/>
        <w:rPr>
          <w:rFonts w:ascii="宋体" w:hAnsi="宋体" w:cs="仿宋_GB2312"/>
          <w:sz w:val="24"/>
        </w:rPr>
      </w:pPr>
      <w:r>
        <w:rPr>
          <w:rFonts w:hint="eastAsia" w:ascii="宋体" w:hAnsi="宋体" w:cs="仿宋_GB2312"/>
          <w:sz w:val="24"/>
        </w:rPr>
        <w:t>8.评标小组依据法律法规可以认定为无效投标的其他情况。</w:t>
      </w:r>
    </w:p>
    <w:p>
      <w:pPr>
        <w:snapToGrid w:val="0"/>
        <w:spacing w:line="360" w:lineRule="auto"/>
        <w:ind w:firstLine="482" w:firstLineChars="200"/>
        <w:outlineLvl w:val="1"/>
        <w:rPr>
          <w:rFonts w:ascii="宋体" w:hAnsi="宋体" w:cs="宋体"/>
          <w:sz w:val="24"/>
        </w:rPr>
      </w:pPr>
      <w:r>
        <w:rPr>
          <w:rFonts w:hint="eastAsia" w:ascii="宋体" w:hAnsi="宋体" w:cs="宋体"/>
          <w:b/>
          <w:sz w:val="24"/>
        </w:rPr>
        <w:t>十一、有下列情形之一的，视为投标供应商串通投标，其投标无效</w:t>
      </w:r>
    </w:p>
    <w:p>
      <w:pPr>
        <w:snapToGrid w:val="0"/>
        <w:spacing w:line="360" w:lineRule="auto"/>
        <w:ind w:firstLine="480" w:firstLineChars="200"/>
        <w:rPr>
          <w:rFonts w:ascii="宋体" w:hAnsi="宋体" w:cs="仿宋_GB2312"/>
          <w:sz w:val="24"/>
        </w:rPr>
      </w:pPr>
      <w:r>
        <w:rPr>
          <w:rFonts w:hint="eastAsia" w:ascii="宋体" w:hAnsi="宋体" w:cs="宋体"/>
          <w:sz w:val="24"/>
        </w:rPr>
        <w:t>1</w:t>
      </w:r>
      <w:r>
        <w:rPr>
          <w:rFonts w:hint="eastAsia" w:ascii="宋体" w:hAnsi="宋体" w:cs="仿宋_GB2312"/>
          <w:sz w:val="24"/>
        </w:rPr>
        <w:t>.不同投标供应商的投标文件由同一单位或者个人编制；</w:t>
      </w:r>
    </w:p>
    <w:p>
      <w:pPr>
        <w:snapToGrid w:val="0"/>
        <w:spacing w:line="360" w:lineRule="auto"/>
        <w:ind w:firstLine="480" w:firstLineChars="200"/>
        <w:rPr>
          <w:rFonts w:ascii="宋体" w:hAnsi="宋体" w:cs="仿宋_GB2312"/>
          <w:sz w:val="24"/>
        </w:rPr>
      </w:pPr>
      <w:r>
        <w:rPr>
          <w:rFonts w:hint="eastAsia" w:ascii="宋体" w:hAnsi="宋体" w:cs="仿宋_GB2312"/>
          <w:sz w:val="24"/>
        </w:rPr>
        <w:t>2.不同投标供应商委托同一单位或者个人办理投标事宜；</w:t>
      </w:r>
    </w:p>
    <w:p>
      <w:pPr>
        <w:snapToGrid w:val="0"/>
        <w:spacing w:line="360" w:lineRule="auto"/>
        <w:ind w:firstLine="480" w:firstLineChars="200"/>
        <w:rPr>
          <w:rFonts w:ascii="宋体" w:hAnsi="宋体" w:cs="仿宋_GB2312"/>
          <w:sz w:val="24"/>
        </w:rPr>
      </w:pPr>
      <w:r>
        <w:rPr>
          <w:rFonts w:hint="eastAsia" w:ascii="宋体" w:hAnsi="宋体" w:cs="仿宋_GB2312"/>
          <w:sz w:val="24"/>
        </w:rPr>
        <w:t>3.不同投标供应商的投标文件载明的项目管理成员或者联系人员为同一人；</w:t>
      </w:r>
    </w:p>
    <w:p>
      <w:pPr>
        <w:snapToGrid w:val="0"/>
        <w:spacing w:line="360" w:lineRule="auto"/>
        <w:ind w:firstLine="480" w:firstLineChars="200"/>
        <w:rPr>
          <w:rFonts w:ascii="宋体" w:hAnsi="宋体" w:cs="仿宋_GB2312"/>
          <w:sz w:val="24"/>
        </w:rPr>
      </w:pPr>
      <w:r>
        <w:rPr>
          <w:rFonts w:hint="eastAsia" w:ascii="宋体" w:hAnsi="宋体" w:cs="仿宋_GB2312"/>
          <w:sz w:val="24"/>
        </w:rPr>
        <w:t>4.不同投标供应商的投标文件异常一致或者投标报价呈规律性差异；</w:t>
      </w:r>
    </w:p>
    <w:p>
      <w:pPr>
        <w:snapToGrid w:val="0"/>
        <w:spacing w:line="360" w:lineRule="auto"/>
        <w:ind w:firstLine="480" w:firstLineChars="200"/>
        <w:rPr>
          <w:rFonts w:ascii="宋体" w:hAnsi="宋体" w:cs="仿宋_GB2312"/>
          <w:sz w:val="24"/>
        </w:rPr>
      </w:pPr>
      <w:r>
        <w:rPr>
          <w:rFonts w:hint="eastAsia" w:ascii="宋体" w:hAnsi="宋体" w:cs="仿宋_GB2312"/>
          <w:sz w:val="24"/>
        </w:rPr>
        <w:t>5.不同投标供应商的投标文件相互混装；</w:t>
      </w:r>
    </w:p>
    <w:p>
      <w:pPr>
        <w:snapToGrid w:val="0"/>
        <w:spacing w:line="360" w:lineRule="auto"/>
        <w:ind w:firstLine="482" w:firstLineChars="200"/>
        <w:outlineLvl w:val="1"/>
        <w:rPr>
          <w:rFonts w:ascii="宋体" w:hAnsi="宋体" w:cs="宋体"/>
          <w:sz w:val="24"/>
        </w:rPr>
      </w:pPr>
      <w:r>
        <w:rPr>
          <w:rFonts w:hint="eastAsia" w:ascii="宋体" w:hAnsi="宋体" w:cs="宋体"/>
          <w:b/>
          <w:sz w:val="24"/>
        </w:rPr>
        <w:t>十二、变更为其他方式采购的情形处理</w:t>
      </w:r>
    </w:p>
    <w:p>
      <w:pPr>
        <w:snapToGrid w:val="0"/>
        <w:spacing w:line="360" w:lineRule="auto"/>
        <w:ind w:firstLine="480" w:firstLineChars="200"/>
        <w:rPr>
          <w:rFonts w:ascii="宋体" w:hAnsi="宋体" w:cs="仿宋_GB2312"/>
          <w:sz w:val="24"/>
        </w:rPr>
      </w:pPr>
      <w:r>
        <w:rPr>
          <w:rFonts w:hint="eastAsia" w:ascii="宋体" w:hAnsi="宋体" w:cs="仿宋_GB2312"/>
          <w:sz w:val="24"/>
        </w:rPr>
        <w:t>投标截止后投标供应商不足</w:t>
      </w:r>
      <w:r>
        <w:rPr>
          <w:rFonts w:ascii="宋体" w:hAnsi="宋体" w:cs="仿宋_GB2312"/>
          <w:sz w:val="24"/>
        </w:rPr>
        <w:t>3</w:t>
      </w:r>
      <w:r>
        <w:rPr>
          <w:rFonts w:hint="eastAsia" w:ascii="宋体" w:hAnsi="宋体" w:cs="仿宋_GB2312"/>
          <w:sz w:val="24"/>
        </w:rPr>
        <w:t>家或者通过资格审查或符合性审查的投标供应商不足</w:t>
      </w:r>
      <w:r>
        <w:rPr>
          <w:rFonts w:ascii="宋体" w:hAnsi="宋体" w:cs="仿宋_GB2312"/>
          <w:sz w:val="24"/>
        </w:rPr>
        <w:t>3</w:t>
      </w:r>
      <w:r>
        <w:rPr>
          <w:rFonts w:hint="eastAsia" w:ascii="宋体" w:hAnsi="宋体" w:cs="仿宋_GB2312"/>
          <w:sz w:val="24"/>
        </w:rPr>
        <w:t>家的，除采购任务取消情形外，按照以下方式处理：</w:t>
      </w:r>
    </w:p>
    <w:p>
      <w:pPr>
        <w:snapToGrid w:val="0"/>
        <w:spacing w:line="360" w:lineRule="auto"/>
        <w:ind w:firstLine="480" w:firstLineChars="200"/>
        <w:rPr>
          <w:rFonts w:ascii="宋体" w:hAnsi="宋体" w:cs="仿宋_GB2312"/>
          <w:sz w:val="24"/>
        </w:rPr>
      </w:pPr>
      <w:r>
        <w:rPr>
          <w:rFonts w:hint="eastAsia" w:ascii="宋体" w:hAnsi="宋体" w:cs="仿宋_GB2312"/>
          <w:sz w:val="24"/>
        </w:rPr>
        <w:t>1.招标文件存在不合理条款或者招标程序不符合规定的，采购人改正后依法重新招标；</w:t>
      </w:r>
    </w:p>
    <w:p>
      <w:pPr>
        <w:snapToGrid w:val="0"/>
        <w:spacing w:line="360" w:lineRule="auto"/>
        <w:ind w:firstLine="480" w:firstLineChars="200"/>
        <w:rPr>
          <w:rFonts w:ascii="宋体" w:hAnsi="宋体" w:cs="仿宋_GB2312"/>
          <w:sz w:val="24"/>
        </w:rPr>
      </w:pPr>
      <w:r>
        <w:rPr>
          <w:rFonts w:hint="eastAsia" w:ascii="宋体" w:hAnsi="宋体" w:cs="仿宋_GB2312"/>
          <w:sz w:val="24"/>
        </w:rPr>
        <w:t>2.招标文件没有不合理条款、招标程序符合规定，需要采用其他采购方式采购的，采购人应当依法报相关部门批准。</w:t>
      </w:r>
    </w:p>
    <w:p>
      <w:pPr>
        <w:snapToGrid w:val="0"/>
        <w:spacing w:line="360" w:lineRule="auto"/>
        <w:ind w:firstLine="480" w:firstLineChars="200"/>
        <w:rPr>
          <w:rFonts w:ascii="宋体" w:hAnsi="宋体" w:cs="仿宋_GB2312"/>
          <w:sz w:val="24"/>
        </w:rPr>
      </w:pPr>
      <w:r>
        <w:rPr>
          <w:rFonts w:hint="eastAsia" w:ascii="宋体" w:hAnsi="宋体" w:cs="仿宋_GB2312"/>
          <w:sz w:val="24"/>
        </w:rPr>
        <w:t>3.经批准采用非公开招标的货物、服务，可以采用竞争性招标、单一来源采购方式采购，采购货物的，还可以采用询价采购方式。</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十三、出现下列情形之一的，作废标处理：</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1.出现影响采购公正的违法违规行为的；</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2.所有投标供应商报价超出采购预算价的；</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3.因重大变故，采购任务被取消的；</w:t>
      </w:r>
    </w:p>
    <w:p>
      <w:pPr>
        <w:spacing w:line="360" w:lineRule="auto"/>
        <w:ind w:firstLine="480" w:firstLineChars="200"/>
        <w:rPr>
          <w:rFonts w:ascii="宋体" w:hAnsi="宋体" w:cs="仿宋_GB2312"/>
          <w:sz w:val="24"/>
          <w:szCs w:val="28"/>
        </w:rPr>
      </w:pPr>
      <w:r>
        <w:rPr>
          <w:rFonts w:hint="eastAsia" w:ascii="宋体" w:hAnsi="宋体" w:cs="仿宋_GB2312"/>
          <w:sz w:val="24"/>
          <w:szCs w:val="28"/>
        </w:rPr>
        <w:t>4.评标委员会依据法律法规可以认定为废标的其他情况。</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十四、 中标通知</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1.开标结束后，采购人自中标供应商确定之日起3个工作日内在指定媒体上公告中标结果。</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2.中标公告期限为1个工作日，期限结束后向中标供应商发出《中标通知书》。</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3.《中标通知书》一经发出，即具有法律效力。采购人、中标供应商依法承担法律责任。</w:t>
      </w:r>
    </w:p>
    <w:p>
      <w:pPr>
        <w:pStyle w:val="2"/>
      </w:pPr>
    </w:p>
    <w:bookmarkEnd w:id="6"/>
    <w:p>
      <w:pPr>
        <w:pStyle w:val="13"/>
        <w:spacing w:beforeLines="0" w:afterLines="0" w:line="360" w:lineRule="auto"/>
        <w:rPr>
          <w:rFonts w:ascii="宋体" w:eastAsia="宋体"/>
          <w:sz w:val="28"/>
          <w:szCs w:val="28"/>
        </w:rPr>
      </w:pPr>
      <w:bookmarkStart w:id="7" w:name="_Toc450137525"/>
      <w:r>
        <w:rPr>
          <w:rFonts w:ascii="宋体" w:eastAsia="宋体"/>
          <w:sz w:val="28"/>
          <w:szCs w:val="28"/>
        </w:rPr>
        <w:br w:type="page"/>
      </w:r>
      <w:r>
        <w:rPr>
          <w:rFonts w:hint="eastAsia" w:ascii="宋体" w:hAnsi="Times New Roman" w:eastAsia="宋体" w:cs="Times New Roman"/>
          <w:bCs w:val="0"/>
          <w:kern w:val="2"/>
          <w:sz w:val="32"/>
          <w:szCs w:val="32"/>
        </w:rPr>
        <w:t>第五章 质疑与投诉</w:t>
      </w:r>
      <w:bookmarkEnd w:id="7"/>
    </w:p>
    <w:p>
      <w:pPr>
        <w:adjustRightInd w:val="0"/>
        <w:snapToGrid w:val="0"/>
        <w:spacing w:line="360" w:lineRule="auto"/>
        <w:ind w:firstLine="560"/>
        <w:rPr>
          <w:rFonts w:ascii="宋体" w:hAnsi="宋体" w:cs="仿宋_GB2312"/>
          <w:sz w:val="24"/>
        </w:rPr>
      </w:pPr>
      <w:r>
        <w:rPr>
          <w:rFonts w:hint="eastAsia" w:ascii="宋体" w:hAnsi="宋体" w:cs="仿宋_GB2312"/>
          <w:sz w:val="24"/>
        </w:rPr>
        <w:t>一、质疑的提出</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1.质疑人必须是直接参加本次投标活动的当事人。</w:t>
      </w:r>
    </w:p>
    <w:p>
      <w:pPr>
        <w:adjustRightInd w:val="0"/>
        <w:snapToGrid w:val="0"/>
        <w:spacing w:line="360" w:lineRule="auto"/>
        <w:ind w:firstLine="560"/>
        <w:rPr>
          <w:rFonts w:ascii="宋体" w:hAnsi="宋体" w:cs="仿宋_GB2312"/>
          <w:sz w:val="24"/>
        </w:rPr>
      </w:pPr>
      <w:r>
        <w:rPr>
          <w:rFonts w:hint="eastAsia" w:ascii="宋体" w:hAnsi="宋体" w:cs="仿宋_GB2312"/>
          <w:sz w:val="24"/>
        </w:rPr>
        <w:t>2.下载招标文件的投标供应商应根据第二章“投标供应商须知”中第一条第4款的约定提出；投标文件接收截止后，投标供应商未进行投标登记的，不能就投标文件接收截止后的招投标过程、中标结果提出质疑；在投标过程中，凡主持人或评标小组明确提出须由投标供应商确认的事项，投标供应商当场无异议的，事后不得提出质疑。</w:t>
      </w:r>
    </w:p>
    <w:p>
      <w:pPr>
        <w:adjustRightInd w:val="0"/>
        <w:snapToGrid w:val="0"/>
        <w:spacing w:line="360" w:lineRule="auto"/>
        <w:ind w:firstLine="560"/>
        <w:rPr>
          <w:rFonts w:ascii="宋体" w:hAnsi="宋体" w:cs="仿宋_GB2312"/>
          <w:sz w:val="24"/>
        </w:rPr>
      </w:pPr>
      <w:r>
        <w:rPr>
          <w:rFonts w:hint="eastAsia" w:ascii="宋体" w:hAnsi="宋体" w:cs="仿宋_GB2312"/>
          <w:sz w:val="24"/>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adjustRightInd w:val="0"/>
        <w:snapToGrid w:val="0"/>
        <w:spacing w:line="360" w:lineRule="auto"/>
        <w:ind w:firstLine="560"/>
        <w:rPr>
          <w:rFonts w:ascii="宋体" w:hAnsi="宋体" w:cs="仿宋_GB2312"/>
          <w:sz w:val="24"/>
        </w:rPr>
      </w:pPr>
      <w:r>
        <w:rPr>
          <w:rFonts w:hint="eastAsia" w:ascii="宋体" w:hAnsi="宋体" w:cs="仿宋_GB2312"/>
          <w:sz w:val="24"/>
        </w:rPr>
        <w:t>4.对本次招标有质疑的，实行实名制，不得进行虚假、恶意质疑。质疑人应在质疑有效期内以书面形式提出《质疑函》（请在崇川区财政局网站下载中心自行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360" w:lineRule="auto"/>
        <w:ind w:firstLine="560"/>
        <w:rPr>
          <w:rFonts w:ascii="宋体" w:hAnsi="宋体" w:cs="仿宋_GB2312"/>
          <w:sz w:val="24"/>
        </w:rPr>
      </w:pPr>
      <w:r>
        <w:rPr>
          <w:rFonts w:hint="eastAsia" w:ascii="宋体" w:hAnsi="宋体" w:cs="仿宋_GB2312"/>
          <w:sz w:val="24"/>
        </w:rPr>
        <w:t>对不能提供相关佐证材料的、涉及商业秘密的、非书面形式的、非送达的、匿名的《质疑函》将不予受理。</w:t>
      </w:r>
    </w:p>
    <w:p>
      <w:pPr>
        <w:adjustRightInd w:val="0"/>
        <w:snapToGrid w:val="0"/>
        <w:spacing w:line="360" w:lineRule="auto"/>
        <w:ind w:firstLine="560"/>
        <w:rPr>
          <w:rFonts w:ascii="宋体" w:hAnsi="宋体" w:cs="仿宋_GB2312"/>
          <w:sz w:val="24"/>
        </w:rPr>
      </w:pPr>
      <w:r>
        <w:rPr>
          <w:rFonts w:hint="eastAsia" w:ascii="宋体" w:hAnsi="宋体" w:cs="仿宋_GB2312"/>
          <w:sz w:val="24"/>
        </w:rPr>
        <w:t>相关佐证材料要具备客观性、关联性、合法性，无法查实的（如宣传册、媒体报道、猜测、推理等）不能作为佐证材料。</w:t>
      </w:r>
    </w:p>
    <w:p>
      <w:pPr>
        <w:adjustRightInd w:val="0"/>
        <w:snapToGrid w:val="0"/>
        <w:spacing w:line="360" w:lineRule="auto"/>
        <w:ind w:firstLine="560"/>
        <w:rPr>
          <w:rFonts w:ascii="宋体" w:hAnsi="宋体" w:cs="仿宋_GB2312"/>
          <w:sz w:val="24"/>
        </w:rPr>
      </w:pPr>
      <w:r>
        <w:rPr>
          <w:rFonts w:hint="eastAsia" w:ascii="宋体" w:hAnsi="宋体" w:cs="仿宋_GB2312"/>
          <w:sz w:val="24"/>
        </w:rPr>
        <w:t>采购人不负责搜集相关佐证材料等工作。</w:t>
      </w:r>
    </w:p>
    <w:p>
      <w:pPr>
        <w:adjustRightInd w:val="0"/>
        <w:snapToGrid w:val="0"/>
        <w:spacing w:line="360" w:lineRule="auto"/>
        <w:ind w:firstLine="560"/>
        <w:rPr>
          <w:rFonts w:ascii="宋体" w:hAnsi="宋体" w:cs="仿宋_GB2312"/>
          <w:sz w:val="24"/>
        </w:rPr>
      </w:pPr>
      <w:r>
        <w:rPr>
          <w:rFonts w:hint="eastAsia" w:ascii="宋体" w:hAnsi="宋体" w:cs="仿宋_GB2312"/>
          <w:sz w:val="24"/>
        </w:rPr>
        <w:t>二、《质疑函》的受理和回复</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1.《质疑函》须由质疑人的法定代表人或参加本次投标授权人送达采购人。</w:t>
      </w:r>
    </w:p>
    <w:p>
      <w:pPr>
        <w:adjustRightInd w:val="0"/>
        <w:snapToGrid w:val="0"/>
        <w:spacing w:line="360" w:lineRule="auto"/>
        <w:ind w:firstLine="560"/>
        <w:rPr>
          <w:rFonts w:ascii="宋体" w:hAnsi="宋体" w:cs="仿宋_GB2312"/>
          <w:sz w:val="24"/>
        </w:rPr>
      </w:pPr>
      <w:r>
        <w:rPr>
          <w:rFonts w:hint="eastAsia" w:ascii="宋体" w:hAnsi="宋体" w:cs="仿宋_GB2312"/>
          <w:sz w:val="24"/>
        </w:rPr>
        <w:t>2.对符合提出质疑要求的，采购人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360" w:lineRule="auto"/>
        <w:ind w:firstLine="560"/>
        <w:rPr>
          <w:rFonts w:ascii="宋体" w:hAnsi="宋体" w:cs="仿宋_GB2312"/>
          <w:sz w:val="24"/>
        </w:rPr>
      </w:pPr>
      <w:r>
        <w:rPr>
          <w:rFonts w:hint="eastAsia" w:ascii="宋体" w:hAnsi="宋体" w:cs="仿宋_GB2312"/>
          <w:sz w:val="24"/>
        </w:rPr>
        <w:t>3.对不符合提出质疑要求的，出具《质疑退回通知书》并提出相关补充材料要求，质疑人未在规定的时间内提供补充佐证材料的，视同放弃质疑。</w:t>
      </w:r>
    </w:p>
    <w:p>
      <w:pPr>
        <w:adjustRightInd w:val="0"/>
        <w:snapToGrid w:val="0"/>
        <w:spacing w:line="360" w:lineRule="auto"/>
        <w:ind w:firstLine="560"/>
        <w:rPr>
          <w:rFonts w:ascii="宋体" w:hAnsi="宋体" w:cs="仿宋_GB2312"/>
          <w:sz w:val="24"/>
        </w:rPr>
      </w:pPr>
      <w:r>
        <w:rPr>
          <w:rFonts w:hint="eastAsia" w:ascii="宋体" w:hAnsi="宋体" w:cs="仿宋_GB2312"/>
          <w:sz w:val="24"/>
        </w:rPr>
        <w:t>4.采购人负责将质疑人提出的质疑相关材料提供给相关专家或评标小组审核，并将审核意见回复质疑人。</w:t>
      </w:r>
    </w:p>
    <w:p>
      <w:pPr>
        <w:adjustRightInd w:val="0"/>
        <w:snapToGrid w:val="0"/>
        <w:spacing w:line="360" w:lineRule="auto"/>
        <w:ind w:firstLine="560"/>
        <w:rPr>
          <w:rFonts w:ascii="宋体" w:hAnsi="宋体" w:cs="仿宋_GB2312"/>
          <w:sz w:val="24"/>
        </w:rPr>
      </w:pPr>
      <w:r>
        <w:rPr>
          <w:rFonts w:hint="eastAsia" w:ascii="宋体" w:hAnsi="宋体" w:cs="仿宋_GB2312"/>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360" w:lineRule="auto"/>
        <w:ind w:firstLine="560"/>
        <w:rPr>
          <w:rFonts w:ascii="宋体" w:hAnsi="宋体" w:cs="仿宋_GB2312"/>
          <w:sz w:val="24"/>
        </w:rPr>
      </w:pPr>
      <w:r>
        <w:rPr>
          <w:rFonts w:hint="eastAsia" w:ascii="宋体" w:hAnsi="宋体" w:cs="仿宋_GB2312"/>
          <w:sz w:val="24"/>
        </w:rPr>
        <w:t>5.因质疑情况复杂，组织论证或审查时间较长的，采购人以书面形式通知质疑人，可适当延长质疑回复处理时间。</w:t>
      </w:r>
    </w:p>
    <w:p>
      <w:pPr>
        <w:adjustRightInd w:val="0"/>
        <w:snapToGrid w:val="0"/>
        <w:spacing w:line="360" w:lineRule="auto"/>
        <w:ind w:firstLine="560"/>
        <w:rPr>
          <w:rFonts w:ascii="宋体" w:hAnsi="宋体" w:cs="仿宋_GB2312"/>
          <w:sz w:val="24"/>
        </w:rPr>
      </w:pPr>
      <w:r>
        <w:rPr>
          <w:rFonts w:hint="eastAsia" w:ascii="宋体" w:hAnsi="宋体" w:cs="仿宋_GB2312"/>
          <w:sz w:val="24"/>
        </w:rPr>
        <w:t>三、质疑处理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1.质疑成立的处理。采购人终止采购，并建议有关部门给相关当事人予以处理。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2.质疑不成立的处理。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1）质疑人书面《申请撤回质疑函》的，不作违约处理。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2）质疑人在规定的时间内不配合进行质疑调查处理的，按自动撤回《质疑函》处理。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3）质疑人不按《质疑函》格式就提出质疑的，作违约处理。同时，视情列入不良投标供应商名单。</w:t>
      </w:r>
    </w:p>
    <w:p>
      <w:pPr>
        <w:adjustRightInd w:val="0"/>
        <w:snapToGrid w:val="0"/>
        <w:spacing w:line="360" w:lineRule="auto"/>
        <w:ind w:firstLine="560"/>
        <w:rPr>
          <w:rFonts w:ascii="宋体" w:hAnsi="宋体" w:cs="仿宋_GB2312"/>
          <w:sz w:val="24"/>
        </w:rPr>
      </w:pPr>
      <w:r>
        <w:rPr>
          <w:rFonts w:hint="eastAsia" w:ascii="宋体" w:hAnsi="宋体" w:cs="仿宋_GB2312"/>
          <w:sz w:val="24"/>
        </w:rPr>
        <w:t>4）质疑人虽提供了相关佐证材料，但不能证明其质疑成立的，采购人请质疑人补充相关佐证材料，仍不能证明其质疑成立的，作违约处理。并将其列入不良投标供应商名单。</w:t>
      </w:r>
    </w:p>
    <w:p>
      <w:pPr>
        <w:adjustRightInd w:val="0"/>
        <w:snapToGrid w:val="0"/>
        <w:spacing w:line="360" w:lineRule="auto"/>
        <w:ind w:firstLine="560"/>
        <w:rPr>
          <w:rFonts w:ascii="宋体" w:hAnsi="宋体" w:cs="仿宋_GB2312"/>
          <w:sz w:val="24"/>
        </w:rPr>
      </w:pPr>
      <w:r>
        <w:rPr>
          <w:rFonts w:hint="eastAsia" w:ascii="宋体" w:hAnsi="宋体" w:cs="仿宋_GB2312"/>
          <w:sz w:val="24"/>
        </w:rPr>
        <w:t>5）质疑人不能提供相关佐证材料的，采购人已指出，质疑人仍然坚持提出质疑的，作违约处理。同时，列入不良投标供应商名单。</w:t>
      </w:r>
    </w:p>
    <w:p>
      <w:pPr>
        <w:adjustRightInd w:val="0"/>
        <w:snapToGrid w:val="0"/>
        <w:spacing w:line="360" w:lineRule="auto"/>
        <w:ind w:firstLine="560"/>
        <w:rPr>
          <w:rFonts w:ascii="宋体" w:hAnsi="宋体" w:cs="仿宋_GB2312"/>
          <w:sz w:val="24"/>
        </w:rPr>
      </w:pPr>
      <w:r>
        <w:rPr>
          <w:rFonts w:hint="eastAsia" w:ascii="宋体" w:hAnsi="宋体" w:cs="仿宋_GB2312"/>
          <w:sz w:val="24"/>
        </w:rPr>
        <w:t>6）对明显有违事实的、经相关专家或评标小组认定无依据的、经其他投标供应商举证无依据的质疑，作违约处理，列入不良投标供应商名单；同时，对其中每一项不成立的质疑给予质疑人1年内禁入采购人及其母公司采购活动的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7）质疑人承担使用虚假材料或恶意方式质疑的法律责任。</w:t>
      </w:r>
    </w:p>
    <w:p>
      <w:pPr>
        <w:adjustRightInd w:val="0"/>
        <w:snapToGrid w:val="0"/>
        <w:spacing w:line="360" w:lineRule="auto"/>
        <w:ind w:firstLine="560"/>
        <w:rPr>
          <w:rFonts w:ascii="宋体" w:hAnsi="宋体" w:cs="仿宋_GB2312"/>
          <w:sz w:val="24"/>
        </w:rPr>
      </w:pPr>
      <w:r>
        <w:rPr>
          <w:rFonts w:hint="eastAsia" w:ascii="宋体" w:hAnsi="宋体" w:cs="仿宋_GB2312"/>
          <w:sz w:val="24"/>
        </w:rPr>
        <w:t>四、无佐证材料的举报作违约处理。投标供应商不得进行不提供相关佐证材料（含无法查实的如宣传册、媒体报道、猜测、推理等）向有关部门的举报，否则作违约处理。同时对其在1至3年内禁入由采购人及其母公司组织的采购活动的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五、投诉不成立的作违约处理。投标供应商进行质疑后，采购人回复质疑不成立，投标供应商仍进行投诉的，并最终投诉不成立的，作违约处理。采购人有权对其在1至3年内禁入由采购人及其母公司组织的采购活动的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六、《质疑函》、《质疑回复函》，质疑、举报、投诉不成立的等相关情况，视情在市、省、国家级等相关媒体予以披露。并建议相关采购机构对该投标供应商同步实施1至3年内禁入。</w:t>
      </w:r>
    </w:p>
    <w:p>
      <w:pPr>
        <w:adjustRightInd w:val="0"/>
        <w:snapToGrid w:val="0"/>
        <w:spacing w:line="360" w:lineRule="auto"/>
        <w:ind w:firstLine="560"/>
        <w:rPr>
          <w:rFonts w:ascii="宋体" w:hAnsi="宋体" w:cs="仿宋_GB2312"/>
          <w:sz w:val="24"/>
        </w:rPr>
      </w:pPr>
      <w:r>
        <w:rPr>
          <w:rFonts w:hint="eastAsia" w:ascii="宋体" w:hAnsi="宋体" w:cs="仿宋_GB2312"/>
          <w:sz w:val="24"/>
        </w:rPr>
        <w:t>七、质疑供应商对采购人的答复不满意或者采购人未在规定的时间内作出答复的，可以在答复期满后15个工作日内向崇川区监督管理部门投诉。</w:t>
      </w:r>
    </w:p>
    <w:p>
      <w:pPr>
        <w:pStyle w:val="13"/>
        <w:spacing w:beforeLines="0" w:afterLines="0" w:line="360" w:lineRule="auto"/>
        <w:rPr>
          <w:rFonts w:ascii="宋体" w:hAnsi="Times New Roman" w:eastAsia="宋体" w:cs="Times New Roman"/>
          <w:bCs w:val="0"/>
          <w:kern w:val="2"/>
          <w:sz w:val="32"/>
          <w:szCs w:val="32"/>
        </w:rPr>
      </w:pPr>
      <w:bookmarkStart w:id="8" w:name="_Toc450137526"/>
      <w:r>
        <w:rPr>
          <w:rFonts w:hint="eastAsia" w:ascii="宋体" w:hAnsi="Times New Roman" w:eastAsia="宋体" w:cs="Times New Roman"/>
          <w:bCs w:val="0"/>
          <w:kern w:val="2"/>
          <w:sz w:val="32"/>
          <w:szCs w:val="32"/>
        </w:rPr>
        <w:t>第六章 投标文件组成</w:t>
      </w:r>
      <w:bookmarkEnd w:id="8"/>
      <w:r>
        <w:rPr>
          <w:rFonts w:hint="eastAsia" w:ascii="宋体" w:hAnsi="Times New Roman" w:eastAsia="宋体" w:cs="Times New Roman"/>
          <w:bCs w:val="0"/>
          <w:kern w:val="2"/>
          <w:sz w:val="32"/>
          <w:szCs w:val="32"/>
        </w:rPr>
        <w:t>及格式</w:t>
      </w:r>
    </w:p>
    <w:p>
      <w:pPr>
        <w:adjustRightInd w:val="0"/>
        <w:snapToGrid w:val="0"/>
        <w:spacing w:line="360" w:lineRule="auto"/>
        <w:ind w:firstLine="562"/>
        <w:jc w:val="left"/>
        <w:rPr>
          <w:rFonts w:ascii="宋体" w:hAnsi="宋体" w:cs="仿宋_GB2312"/>
          <w:sz w:val="24"/>
        </w:rPr>
      </w:pPr>
      <w:r>
        <w:rPr>
          <w:rFonts w:hint="eastAsia" w:ascii="宋体" w:hAnsi="宋体" w:cs="宋体"/>
          <w:b/>
          <w:sz w:val="24"/>
        </w:rPr>
        <w:t>投标文件由资格审查文件、技术标、商务标三部分组成。本次招标采用资格后审方式，</w:t>
      </w:r>
      <w:r>
        <w:rPr>
          <w:rFonts w:hint="eastAsia" w:ascii="宋体" w:hAnsi="宋体" w:cs="仿宋_GB2312"/>
          <w:b/>
          <w:sz w:val="24"/>
        </w:rPr>
        <w:t>本项目资格审查文件、技术标、商务标、请分别装订、分别单独密封后一起递交。</w:t>
      </w:r>
    </w:p>
    <w:p>
      <w:pPr>
        <w:snapToGrid w:val="0"/>
        <w:spacing w:line="360" w:lineRule="auto"/>
        <w:rPr>
          <w:rFonts w:ascii="宋体" w:hAnsi="宋体" w:cs="宋体"/>
          <w:b/>
          <w:sz w:val="24"/>
        </w:rPr>
      </w:pPr>
      <w:r>
        <w:rPr>
          <w:rFonts w:hint="eastAsia" w:ascii="宋体" w:hAnsi="宋体" w:cs="宋体"/>
          <w:b/>
          <w:sz w:val="24"/>
        </w:rPr>
        <w:t>一、资格审查文件（单独装订密封）</w:t>
      </w:r>
    </w:p>
    <w:p>
      <w:pPr>
        <w:snapToGrid w:val="0"/>
        <w:spacing w:line="360" w:lineRule="auto"/>
        <w:ind w:firstLine="480" w:firstLineChars="200"/>
        <w:rPr>
          <w:rFonts w:ascii="宋体" w:hAnsi="宋体" w:cs="宋体"/>
          <w:b/>
          <w:sz w:val="24"/>
        </w:rPr>
      </w:pPr>
      <w:r>
        <w:rPr>
          <w:rFonts w:hint="eastAsia" w:ascii="宋体" w:hAnsi="宋体" w:cs="宋体"/>
          <w:bCs/>
          <w:sz w:val="24"/>
        </w:rPr>
        <w:t>1.投标供应商的企业法人营业执照（副本）复印件；或者是三证合一的营业执照（</w:t>
      </w:r>
      <w:r>
        <w:rPr>
          <w:rFonts w:hint="eastAsia" w:ascii="宋体" w:hAnsi="宋体" w:cs="宋体"/>
          <w:b/>
          <w:sz w:val="24"/>
        </w:rPr>
        <w:t>副本）复印件</w:t>
      </w:r>
      <w:r>
        <w:rPr>
          <w:rFonts w:hint="eastAsia" w:ascii="宋体" w:hAnsi="宋体" w:cs="宋体"/>
          <w:bCs/>
          <w:sz w:val="24"/>
        </w:rPr>
        <w:t>。</w:t>
      </w:r>
    </w:p>
    <w:p>
      <w:pPr>
        <w:snapToGrid w:val="0"/>
        <w:spacing w:line="360" w:lineRule="auto"/>
        <w:ind w:firstLine="480" w:firstLineChars="200"/>
        <w:rPr>
          <w:rFonts w:ascii="宋体" w:hAnsi="宋体" w:cs="宋体"/>
          <w:b/>
          <w:sz w:val="24"/>
        </w:rPr>
      </w:pPr>
      <w:r>
        <w:rPr>
          <w:rFonts w:hint="eastAsia" w:ascii="宋体" w:hAnsi="宋体" w:cs="宋体"/>
          <w:bCs/>
          <w:sz w:val="24"/>
        </w:rPr>
        <w:t>2.</w:t>
      </w:r>
      <w:r>
        <w:rPr>
          <w:rFonts w:hint="eastAsia" w:ascii="宋体" w:hAnsi="宋体" w:cs="宋体"/>
          <w:kern w:val="0"/>
          <w:sz w:val="24"/>
        </w:rPr>
        <w:t>投标供应商</w:t>
      </w:r>
      <w:r>
        <w:rPr>
          <w:rFonts w:hint="eastAsia" w:ascii="宋体" w:hAnsi="宋体" w:cs="宋体"/>
          <w:b/>
          <w:bCs/>
          <w:sz w:val="24"/>
        </w:rPr>
        <w:t>的中国证监会批准核发的经营证券期货业务许可证复印件。</w:t>
      </w:r>
    </w:p>
    <w:p>
      <w:pPr>
        <w:snapToGrid w:val="0"/>
        <w:spacing w:line="360" w:lineRule="auto"/>
        <w:ind w:firstLine="480" w:firstLineChars="200"/>
        <w:rPr>
          <w:rFonts w:ascii="宋体" w:hAnsi="宋体" w:cs="宋体"/>
          <w:b/>
          <w:sz w:val="24"/>
        </w:rPr>
      </w:pPr>
      <w:r>
        <w:rPr>
          <w:rFonts w:hint="eastAsia" w:ascii="宋体" w:hAnsi="宋体" w:cs="宋体"/>
          <w:bCs/>
          <w:sz w:val="24"/>
        </w:rPr>
        <w:t xml:space="preserve">3.法定代表人参加投标的，必须提供法定代表人身份证明（格式参见第六章）及法定代表人本人身份证复印件（须加盖单位公章）；非法定代表人参加投标的，必须提供法定代表人签字或印章的授权委托书及被授权人本人身份证复印件（须加盖单位公章）（格式参见第六章）。被授权人为投标供应商正式人员证明材料（提供①与投标供应商签订的有效劳动合同复印件；②社保机构出具并盖章的投标供应商在公告发布之日起前连续6个月为其缴纳养老保险缴费清单复印件）。  </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4.拟派项目负责人为投标供应商正式人员证明材料（提供①与投标供应商签订的有效劳动合同复印件；②</w:t>
      </w:r>
      <w:r>
        <w:rPr>
          <w:rFonts w:hint="eastAsia" w:ascii="宋体" w:hAnsi="宋体" w:cs="宋体"/>
          <w:sz w:val="24"/>
        </w:rPr>
        <w:t>社保机构出具并盖章的投标供应商在202</w:t>
      </w:r>
      <w:r>
        <w:rPr>
          <w:rFonts w:ascii="宋体" w:hAnsi="宋体" w:cs="宋体"/>
          <w:sz w:val="24"/>
        </w:rPr>
        <w:t>2</w:t>
      </w:r>
      <w:r>
        <w:rPr>
          <w:rFonts w:hint="eastAsia" w:ascii="宋体" w:hAnsi="宋体" w:cs="宋体"/>
          <w:sz w:val="24"/>
        </w:rPr>
        <w:t>年</w:t>
      </w:r>
      <w:r>
        <w:rPr>
          <w:rFonts w:ascii="宋体" w:hAnsi="宋体" w:cs="宋体"/>
          <w:sz w:val="24"/>
        </w:rPr>
        <w:t>7</w:t>
      </w:r>
      <w:r>
        <w:rPr>
          <w:rFonts w:hint="eastAsia" w:ascii="宋体" w:hAnsi="宋体" w:cs="宋体"/>
          <w:sz w:val="24"/>
        </w:rPr>
        <w:t>月-2022年</w:t>
      </w:r>
      <w:r>
        <w:rPr>
          <w:rFonts w:ascii="宋体" w:hAnsi="宋体" w:cs="宋体"/>
          <w:sz w:val="24"/>
        </w:rPr>
        <w:t>12</w:t>
      </w:r>
      <w:r>
        <w:rPr>
          <w:rFonts w:hint="eastAsia" w:ascii="宋体" w:hAnsi="宋体" w:cs="宋体"/>
          <w:sz w:val="24"/>
        </w:rPr>
        <w:t>月连续</w:t>
      </w:r>
      <w:r>
        <w:rPr>
          <w:rFonts w:ascii="宋体" w:hAnsi="宋体" w:cs="宋体"/>
          <w:sz w:val="24"/>
        </w:rPr>
        <w:t>6</w:t>
      </w:r>
      <w:r>
        <w:rPr>
          <w:rFonts w:hint="eastAsia" w:ascii="宋体" w:hAnsi="宋体" w:cs="宋体"/>
          <w:sz w:val="24"/>
        </w:rPr>
        <w:t>个月为其缴纳养老保险缴费清单复印件</w:t>
      </w:r>
      <w:r>
        <w:rPr>
          <w:rFonts w:hint="eastAsia" w:ascii="宋体" w:hAnsi="宋体" w:cs="宋体"/>
          <w:bCs/>
          <w:sz w:val="24"/>
        </w:rPr>
        <w:t>）。</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5.投标供应商须提供参与本次项目采购活动前三年内，在经营活动中没有重大违法记录的书面《无重大违法记录声明函》（格式参见第六章 ）。</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6.关于资格文件的声明函（格式参见第六章 ）。</w:t>
      </w:r>
    </w:p>
    <w:p>
      <w:pPr>
        <w:pStyle w:val="2"/>
        <w:spacing w:line="360" w:lineRule="auto"/>
        <w:ind w:firstLine="482" w:firstLineChars="200"/>
        <w:rPr>
          <w:rFonts w:ascii="宋体" w:hAnsi="宋体" w:cs="宋体"/>
          <w:b/>
        </w:rPr>
      </w:pPr>
      <w:r>
        <w:rPr>
          <w:rFonts w:hint="eastAsia" w:ascii="宋体" w:hAnsi="宋体" w:cs="宋体"/>
          <w:b/>
        </w:rPr>
        <w:t>特别提醒：</w:t>
      </w:r>
      <w:r>
        <w:rPr>
          <w:rFonts w:hint="eastAsia" w:ascii="宋体" w:hAnsi="宋体" w:cs="宋体"/>
          <w:b/>
          <w:bCs/>
        </w:rPr>
        <w:t>以上材料如为复印件均需加盖投标供应商公章</w:t>
      </w:r>
      <w:r>
        <w:rPr>
          <w:rFonts w:hint="eastAsia" w:ascii="宋体" w:hAnsi="宋体" w:cs="宋体"/>
          <w:b/>
        </w:rPr>
        <w:t>。</w:t>
      </w:r>
    </w:p>
    <w:p>
      <w:pPr>
        <w:snapToGrid w:val="0"/>
        <w:spacing w:line="360" w:lineRule="auto"/>
        <w:ind w:left="-720" w:leftChars="-343" w:firstLine="590" w:firstLineChars="245"/>
        <w:rPr>
          <w:rFonts w:ascii="宋体" w:hAnsi="宋体" w:cs="宋体"/>
          <w:b/>
          <w:kern w:val="0"/>
          <w:sz w:val="24"/>
        </w:rPr>
      </w:pPr>
      <w:r>
        <w:rPr>
          <w:rFonts w:hint="eastAsia" w:ascii="宋体" w:hAnsi="宋体" w:cs="宋体"/>
          <w:b/>
          <w:kern w:val="0"/>
          <w:sz w:val="24"/>
        </w:rPr>
        <w:t>二、技术标</w:t>
      </w:r>
      <w:r>
        <w:rPr>
          <w:rFonts w:hint="eastAsia" w:ascii="宋体" w:hAnsi="宋体" w:cs="宋体"/>
          <w:b/>
          <w:sz w:val="24"/>
        </w:rPr>
        <w:t xml:space="preserve">（单独装订密封）  </w:t>
      </w:r>
    </w:p>
    <w:p>
      <w:pPr>
        <w:tabs>
          <w:tab w:val="left" w:pos="3375"/>
        </w:tabs>
        <w:adjustRightInd w:val="0"/>
        <w:snapToGrid w:val="0"/>
        <w:spacing w:line="360" w:lineRule="auto"/>
        <w:ind w:firstLine="480" w:firstLineChars="200"/>
        <w:rPr>
          <w:rFonts w:ascii="宋体" w:hAnsi="宋体" w:cs="宋体"/>
          <w:sz w:val="24"/>
        </w:rPr>
      </w:pPr>
      <w:r>
        <w:rPr>
          <w:rFonts w:hint="eastAsia" w:ascii="宋体" w:hAnsi="宋体" w:cs="宋体"/>
          <w:sz w:val="24"/>
        </w:rPr>
        <w:t>1.投标响应函（格式参见第六章）。</w:t>
      </w:r>
    </w:p>
    <w:p>
      <w:pPr>
        <w:tabs>
          <w:tab w:val="left" w:pos="3375"/>
        </w:tabs>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仿宋_GB2312"/>
          <w:sz w:val="24"/>
        </w:rPr>
        <w:t xml:space="preserve"> 投标供应商</w:t>
      </w:r>
      <w:r>
        <w:rPr>
          <w:rFonts w:hint="eastAsia" w:ascii="宋体" w:hAnsi="宋体" w:cs="宋体"/>
          <w:sz w:val="24"/>
        </w:rPr>
        <w:t>一般情况表（格式参见第六章）。</w:t>
      </w:r>
    </w:p>
    <w:p>
      <w:pPr>
        <w:tabs>
          <w:tab w:val="left" w:pos="3375"/>
        </w:tabs>
        <w:adjustRightInd w:val="0"/>
        <w:snapToGrid w:val="0"/>
        <w:spacing w:line="360" w:lineRule="auto"/>
        <w:ind w:firstLine="480" w:firstLineChars="200"/>
        <w:rPr>
          <w:rFonts w:ascii="宋体" w:hAnsi="宋体" w:cs="宋体"/>
          <w:sz w:val="24"/>
        </w:rPr>
      </w:pPr>
      <w:r>
        <w:rPr>
          <w:rFonts w:hint="eastAsia" w:ascii="宋体" w:hAnsi="宋体" w:cs="宋体"/>
          <w:sz w:val="24"/>
        </w:rPr>
        <w:t>3.技术投标文件（</w:t>
      </w:r>
      <w:r>
        <w:rPr>
          <w:rFonts w:hint="eastAsia" w:ascii="宋体" w:hAnsi="宋体" w:cs="宋体"/>
          <w:bCs/>
          <w:sz w:val="24"/>
        </w:rPr>
        <w:t>业绩明细表格式</w:t>
      </w:r>
      <w:r>
        <w:rPr>
          <w:rFonts w:hint="eastAsia" w:ascii="宋体" w:hAnsi="宋体" w:cs="宋体"/>
          <w:sz w:val="24"/>
        </w:rPr>
        <w:t>参见第六章，其它格式自定，投标供应商认真阅读仔细研究招标文件第三章项目需求中的内容，在理解的基础上进行投标技术文件的编写）。</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4.评标办法中涉及的所需提供的全部资料 。</w:t>
      </w:r>
    </w:p>
    <w:p>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5.评标办法中未涉及但投标供应商认为需要提交的其他资料。</w:t>
      </w:r>
    </w:p>
    <w:p>
      <w:pPr>
        <w:snapToGrid w:val="0"/>
        <w:spacing w:line="360" w:lineRule="auto"/>
        <w:ind w:firstLine="480" w:firstLineChars="200"/>
        <w:rPr>
          <w:rFonts w:ascii="宋体" w:hAnsi="宋体" w:cs="宋体"/>
          <w:sz w:val="24"/>
        </w:rPr>
      </w:pPr>
      <w:r>
        <w:rPr>
          <w:rFonts w:hint="eastAsia" w:ascii="宋体" w:hAnsi="宋体" w:cs="宋体"/>
          <w:sz w:val="24"/>
        </w:rPr>
        <w:t>注：为方便评委评审，请投标供应商按评标办法中所涉及的内容顺序进行编制，可以补充相关材料 。</w:t>
      </w:r>
    </w:p>
    <w:p>
      <w:pPr>
        <w:adjustRightInd w:val="0"/>
        <w:snapToGrid w:val="0"/>
        <w:spacing w:line="360" w:lineRule="auto"/>
        <w:ind w:firstLine="482" w:firstLineChars="200"/>
        <w:jc w:val="left"/>
        <w:rPr>
          <w:rFonts w:ascii="宋体" w:hAnsi="宋体" w:cs="宋体"/>
          <w:b/>
          <w:bCs/>
          <w:sz w:val="24"/>
        </w:rPr>
      </w:pPr>
      <w:r>
        <w:rPr>
          <w:rFonts w:hint="eastAsia" w:ascii="宋体" w:hAnsi="宋体" w:cs="宋体"/>
          <w:b/>
          <w:sz w:val="24"/>
        </w:rPr>
        <w:t>特别提醒：“资格审查文件”、“技术标”所须提供的材料（须加盖投标供应商公章）按招标文件要求装订，密封，递交。</w:t>
      </w:r>
      <w:r>
        <w:rPr>
          <w:rFonts w:hint="eastAsia" w:ascii="宋体" w:hAnsi="宋体" w:cs="宋体"/>
          <w:b/>
          <w:bCs/>
          <w:sz w:val="24"/>
        </w:rPr>
        <w:t>“资格审查文件、“技术标”涉及的相关原件请带至开标现场备查。未携带原件或因携带原件不全所引起的后果由投标供应商自行承担。</w:t>
      </w:r>
    </w:p>
    <w:p>
      <w:pPr>
        <w:snapToGrid w:val="0"/>
        <w:spacing w:line="360" w:lineRule="auto"/>
        <w:rPr>
          <w:rFonts w:ascii="宋体" w:hAnsi="宋体" w:cs="宋体"/>
          <w:b/>
          <w:sz w:val="24"/>
        </w:rPr>
      </w:pPr>
      <w:r>
        <w:rPr>
          <w:rFonts w:hint="eastAsia" w:ascii="宋体" w:hAnsi="宋体" w:cs="宋体"/>
          <w:b/>
          <w:sz w:val="24"/>
        </w:rPr>
        <w:t>三、商务标（单独装订密封，不得出现在资格后审材料和技术标中）</w:t>
      </w:r>
    </w:p>
    <w:p>
      <w:pPr>
        <w:tabs>
          <w:tab w:val="left" w:pos="3375"/>
        </w:tabs>
        <w:adjustRightInd w:val="0"/>
        <w:snapToGrid w:val="0"/>
        <w:spacing w:line="360" w:lineRule="auto"/>
        <w:ind w:firstLine="480" w:firstLineChars="200"/>
        <w:rPr>
          <w:rFonts w:ascii="宋体" w:hAnsi="宋体" w:cs="宋体"/>
          <w:sz w:val="24"/>
        </w:rPr>
      </w:pPr>
      <w:r>
        <w:rPr>
          <w:rFonts w:hint="eastAsia" w:ascii="宋体" w:hAnsi="宋体" w:cs="宋体"/>
          <w:sz w:val="24"/>
        </w:rPr>
        <w:t>投标报价表。（格式参见第六章）</w:t>
      </w:r>
    </w:p>
    <w:p>
      <w:pPr>
        <w:autoSpaceDE w:val="0"/>
        <w:autoSpaceDN w:val="0"/>
        <w:adjustRightInd w:val="0"/>
        <w:spacing w:line="360" w:lineRule="auto"/>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相关附件：</w:t>
      </w:r>
    </w:p>
    <w:p>
      <w:pPr>
        <w:adjustRightInd w:val="0"/>
        <w:snapToGrid w:val="0"/>
        <w:spacing w:line="360" w:lineRule="auto"/>
        <w:ind w:firstLine="1254" w:firstLineChars="446"/>
        <w:outlineLvl w:val="1"/>
        <w:rPr>
          <w:rFonts w:ascii="仿宋" w:hAnsi="仿宋" w:eastAsia="仿宋"/>
          <w:b/>
          <w:bCs/>
          <w:sz w:val="28"/>
          <w:szCs w:val="28"/>
        </w:rPr>
      </w:pPr>
      <w:r>
        <w:rPr>
          <w:rFonts w:ascii="仿宋" w:hAnsi="仿宋" w:eastAsia="仿宋"/>
          <w:b/>
          <w:bCs/>
          <w:sz w:val="28"/>
          <w:szCs w:val="28"/>
        </w:rPr>
        <w:t>A</w:t>
      </w:r>
      <w:r>
        <w:rPr>
          <w:rFonts w:hint="eastAsia" w:ascii="仿宋" w:hAnsi="仿宋" w:eastAsia="仿宋" w:cs="仿宋_GB2312"/>
          <w:b/>
          <w:bCs/>
          <w:sz w:val="28"/>
          <w:szCs w:val="28"/>
        </w:rPr>
        <w:t>资格审查文件相关的格式文件及表格（单独密封）</w:t>
      </w:r>
    </w:p>
    <w:p>
      <w:pPr>
        <w:snapToGrid w:val="0"/>
        <w:spacing w:line="360" w:lineRule="auto"/>
        <w:ind w:firstLine="562"/>
        <w:jc w:val="center"/>
        <w:rPr>
          <w:rFonts w:ascii="仿宋" w:hAnsi="仿宋" w:eastAsia="仿宋"/>
          <w:b/>
          <w:bCs/>
          <w:sz w:val="28"/>
          <w:szCs w:val="28"/>
        </w:rPr>
      </w:pPr>
    </w:p>
    <w:p>
      <w:pPr>
        <w:snapToGrid w:val="0"/>
        <w:spacing w:line="360" w:lineRule="auto"/>
        <w:ind w:firstLine="562"/>
        <w:jc w:val="center"/>
        <w:outlineLvl w:val="4"/>
        <w:rPr>
          <w:rFonts w:ascii="宋体" w:hAnsi="宋体"/>
          <w:b/>
          <w:bCs/>
          <w:sz w:val="24"/>
        </w:rPr>
      </w:pPr>
      <w:r>
        <w:rPr>
          <w:rFonts w:ascii="宋体" w:hAnsi="宋体"/>
          <w:b/>
          <w:bCs/>
          <w:sz w:val="24"/>
        </w:rPr>
        <w:t>1</w:t>
      </w:r>
      <w:r>
        <w:rPr>
          <w:rFonts w:hint="eastAsia" w:ascii="宋体" w:hAnsi="宋体" w:cs="仿宋_GB2312"/>
          <w:b/>
          <w:bCs/>
          <w:sz w:val="24"/>
        </w:rPr>
        <w:t>.法定代表人身份证明</w:t>
      </w:r>
    </w:p>
    <w:p>
      <w:pPr>
        <w:snapToGrid w:val="0"/>
        <w:spacing w:line="360" w:lineRule="auto"/>
        <w:ind w:firstLine="560"/>
        <w:jc w:val="center"/>
        <w:rPr>
          <w:rFonts w:ascii="宋体" w:hAnsi="宋体"/>
          <w:sz w:val="24"/>
          <w:u w:val="single"/>
        </w:rPr>
      </w:pPr>
      <w:r>
        <w:rPr>
          <w:rFonts w:hint="eastAsia" w:ascii="宋体" w:hAnsi="宋体" w:cs="仿宋_GB2312"/>
          <w:sz w:val="24"/>
          <w:u w:val="single"/>
        </w:rPr>
        <w:t>（法定代表人参加投标时，须出示此证明）</w:t>
      </w:r>
    </w:p>
    <w:p>
      <w:pPr>
        <w:snapToGrid w:val="0"/>
        <w:spacing w:line="360" w:lineRule="auto"/>
        <w:ind w:firstLine="560"/>
        <w:jc w:val="center"/>
        <w:rPr>
          <w:rFonts w:ascii="宋体" w:hAnsi="宋体"/>
          <w:sz w:val="24"/>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napToGrid w:val="0"/>
        <w:spacing w:line="360" w:lineRule="auto"/>
        <w:ind w:firstLine="560"/>
        <w:rPr>
          <w:rFonts w:ascii="宋体" w:hAnsi="宋体"/>
          <w:sz w:val="24"/>
        </w:rPr>
      </w:pPr>
      <w:r>
        <w:rPr>
          <w:rFonts w:hint="eastAsia" w:ascii="宋体" w:hAnsi="宋体" w:cs="仿宋_GB2312"/>
          <w:sz w:val="24"/>
        </w:rPr>
        <w:t>我公司法定代表人</w:t>
      </w:r>
      <w:r>
        <w:rPr>
          <w:rFonts w:ascii="宋体" w:hAnsi="宋体" w:cs="仿宋_GB2312"/>
          <w:sz w:val="24"/>
          <w:u w:val="single"/>
        </w:rPr>
        <w:t xml:space="preserve">     </w:t>
      </w:r>
      <w:r>
        <w:rPr>
          <w:rFonts w:hint="eastAsia" w:ascii="宋体" w:hAnsi="宋体" w:cs="仿宋_GB2312"/>
          <w:sz w:val="24"/>
          <w:u w:val="single"/>
        </w:rPr>
        <w:t>　　　</w:t>
      </w:r>
      <w:r>
        <w:rPr>
          <w:rFonts w:ascii="宋体" w:hAnsi="宋体" w:cs="仿宋_GB2312"/>
          <w:sz w:val="24"/>
          <w:u w:val="single"/>
        </w:rPr>
        <w:t xml:space="preserve">   </w:t>
      </w:r>
      <w:r>
        <w:rPr>
          <w:rFonts w:hint="eastAsia" w:ascii="宋体" w:hAnsi="宋体" w:cs="仿宋_GB2312"/>
          <w:sz w:val="24"/>
        </w:rPr>
        <w:t>参加贵单位组织的</w:t>
      </w:r>
      <w:r>
        <w:rPr>
          <w:rFonts w:ascii="宋体" w:hAnsi="宋体" w:cs="仿宋_GB2312"/>
          <w:sz w:val="24"/>
          <w:u w:val="single"/>
        </w:rPr>
        <w:t xml:space="preserve">        </w:t>
      </w:r>
      <w:r>
        <w:rPr>
          <w:rFonts w:hint="eastAsia" w:ascii="宋体" w:hAnsi="宋体" w:cs="仿宋_GB2312"/>
          <w:sz w:val="24"/>
        </w:rPr>
        <w:t>（招标项目名称及项目编号</w:t>
      </w:r>
      <w:r>
        <w:rPr>
          <w:rFonts w:ascii="宋体" w:hAnsi="宋体" w:cs="仿宋_GB2312"/>
          <w:sz w:val="24"/>
        </w:rPr>
        <w:t>)</w:t>
      </w:r>
      <w:r>
        <w:rPr>
          <w:rFonts w:hint="eastAsia" w:ascii="宋体" w:hAnsi="宋体" w:cs="仿宋_GB2312"/>
          <w:sz w:val="24"/>
        </w:rPr>
        <w:t>的项目投标活动，全权代表我公司处理投标的有关事宜。</w:t>
      </w:r>
    </w:p>
    <w:p>
      <w:pPr>
        <w:snapToGrid w:val="0"/>
        <w:spacing w:line="360" w:lineRule="auto"/>
        <w:ind w:firstLine="560"/>
        <w:rPr>
          <w:rFonts w:ascii="宋体" w:hAnsi="宋体"/>
          <w:sz w:val="24"/>
        </w:rPr>
      </w:pPr>
    </w:p>
    <w:p>
      <w:pPr>
        <w:snapToGrid w:val="0"/>
        <w:spacing w:line="360" w:lineRule="auto"/>
        <w:ind w:firstLine="484" w:firstLineChars="202"/>
        <w:rPr>
          <w:rFonts w:ascii="宋体" w:hAnsi="宋体"/>
          <w:sz w:val="24"/>
        </w:rPr>
      </w:pPr>
      <w:r>
        <w:rPr>
          <w:rFonts w:hint="eastAsia" w:ascii="宋体" w:hAnsi="宋体" w:cs="仿宋_GB2312"/>
          <w:sz w:val="24"/>
        </w:rPr>
        <w:t>附：法定代表人情况：</w:t>
      </w:r>
    </w:p>
    <w:p>
      <w:pPr>
        <w:snapToGrid w:val="0"/>
        <w:spacing w:line="360" w:lineRule="auto"/>
        <w:ind w:firstLine="484" w:firstLineChars="202"/>
        <w:rPr>
          <w:rFonts w:ascii="宋体" w:hAnsi="宋体" w:cs="仿宋_GB2312"/>
          <w:sz w:val="24"/>
          <w:u w:val="single"/>
        </w:rPr>
      </w:pPr>
      <w:r>
        <w:rPr>
          <w:rFonts w:hint="eastAsia" w:ascii="宋体" w:hAnsi="宋体" w:cs="仿宋_GB2312"/>
          <w:sz w:val="24"/>
        </w:rPr>
        <w:t>姓名：</w:t>
      </w:r>
      <w:r>
        <w:rPr>
          <w:rFonts w:ascii="宋体" w:hAnsi="宋体" w:cs="仿宋_GB2312"/>
          <w:sz w:val="24"/>
          <w:u w:val="single"/>
        </w:rPr>
        <w:t xml:space="preserve">         </w:t>
      </w:r>
      <w:r>
        <w:rPr>
          <w:rFonts w:hint="eastAsia" w:ascii="宋体" w:hAnsi="宋体" w:cs="仿宋_GB2312"/>
          <w:sz w:val="24"/>
        </w:rPr>
        <w:t>性别：</w:t>
      </w:r>
      <w:r>
        <w:rPr>
          <w:rFonts w:ascii="宋体" w:hAnsi="宋体" w:cs="仿宋_GB2312"/>
          <w:sz w:val="24"/>
          <w:u w:val="single"/>
        </w:rPr>
        <w:t xml:space="preserve">    </w:t>
      </w:r>
      <w:r>
        <w:rPr>
          <w:rFonts w:hint="eastAsia" w:ascii="宋体" w:hAnsi="宋体" w:cs="仿宋_GB2312"/>
          <w:sz w:val="24"/>
        </w:rPr>
        <w:t>年龄：</w:t>
      </w:r>
      <w:r>
        <w:rPr>
          <w:rFonts w:ascii="宋体" w:hAnsi="宋体" w:cs="仿宋_GB2312"/>
          <w:sz w:val="24"/>
          <w:u w:val="single"/>
        </w:rPr>
        <w:t xml:space="preserve">      </w:t>
      </w:r>
      <w:r>
        <w:rPr>
          <w:rFonts w:hint="eastAsia" w:ascii="宋体" w:hAnsi="宋体" w:cs="仿宋_GB2312"/>
          <w:sz w:val="24"/>
        </w:rPr>
        <w:t>职务：</w:t>
      </w:r>
      <w:r>
        <w:rPr>
          <w:rFonts w:ascii="宋体" w:hAnsi="宋体" w:cs="仿宋_GB2312"/>
          <w:sz w:val="24"/>
          <w:u w:val="single"/>
        </w:rPr>
        <w:t xml:space="preserve">          </w:t>
      </w:r>
    </w:p>
    <w:p>
      <w:pPr>
        <w:snapToGrid w:val="0"/>
        <w:spacing w:line="360" w:lineRule="auto"/>
        <w:ind w:firstLine="484" w:firstLineChars="202"/>
        <w:rPr>
          <w:rFonts w:ascii="宋体" w:hAnsi="宋体"/>
          <w:sz w:val="24"/>
        </w:rPr>
      </w:pPr>
      <w:r>
        <w:rPr>
          <w:rFonts w:hint="eastAsia" w:ascii="宋体" w:hAnsi="宋体" w:cs="仿宋_GB2312"/>
          <w:sz w:val="24"/>
        </w:rPr>
        <w:t>身份证号码：</w:t>
      </w:r>
      <w:r>
        <w:rPr>
          <w:rFonts w:ascii="宋体" w:hAnsi="宋体" w:cs="仿宋_GB2312"/>
          <w:sz w:val="24"/>
          <w:u w:val="single"/>
        </w:rPr>
        <w:t xml:space="preserve">                                         </w:t>
      </w:r>
    </w:p>
    <w:p>
      <w:pPr>
        <w:snapToGrid w:val="0"/>
        <w:spacing w:line="360" w:lineRule="auto"/>
        <w:ind w:firstLine="484" w:firstLineChars="202"/>
        <w:rPr>
          <w:rFonts w:ascii="宋体" w:hAnsi="宋体"/>
          <w:sz w:val="24"/>
        </w:rPr>
      </w:pPr>
      <w:r>
        <w:rPr>
          <w:rFonts w:hint="eastAsia" w:ascii="宋体" w:hAnsi="宋体" w:cs="仿宋_GB2312"/>
          <w:sz w:val="24"/>
        </w:rPr>
        <w:t>手机：</w:t>
      </w:r>
      <w:r>
        <w:rPr>
          <w:rFonts w:ascii="宋体" w:hAnsi="宋体" w:cs="仿宋_GB2312"/>
          <w:sz w:val="24"/>
          <w:u w:val="single"/>
        </w:rPr>
        <w:t xml:space="preserve">                  </w:t>
      </w:r>
      <w:r>
        <w:rPr>
          <w:rFonts w:hint="eastAsia" w:ascii="宋体" w:hAnsi="宋体" w:cs="仿宋_GB2312"/>
          <w:sz w:val="24"/>
        </w:rPr>
        <w:t>传真：</w:t>
      </w:r>
      <w:r>
        <w:rPr>
          <w:rFonts w:ascii="宋体" w:hAnsi="宋体" w:cs="仿宋_GB2312"/>
          <w:sz w:val="24"/>
          <w:u w:val="single"/>
        </w:rPr>
        <w:t xml:space="preserve">                       </w:t>
      </w:r>
    </w:p>
    <w:p>
      <w:pPr>
        <w:snapToGrid w:val="0"/>
        <w:spacing w:line="360" w:lineRule="auto"/>
        <w:ind w:firstLine="560"/>
        <w:rPr>
          <w:rFonts w:ascii="宋体" w:hAnsi="宋体" w:cs="仿宋"/>
          <w:sz w:val="24"/>
        </w:rPr>
      </w:pPr>
      <w:r>
        <w:rPr>
          <w:rFonts w:hint="eastAsia" w:ascii="宋体" w:hAnsi="宋体" w:cs="宋体"/>
          <w:sz w:val="24"/>
        </w:rPr>
        <w:t> </w:t>
      </w:r>
    </w:p>
    <w:p>
      <w:pPr>
        <w:snapToGrid w:val="0"/>
        <w:spacing w:line="360" w:lineRule="auto"/>
        <w:ind w:firstLine="560"/>
        <w:rPr>
          <w:rFonts w:ascii="宋体" w:hAnsi="宋体"/>
          <w:sz w:val="24"/>
        </w:rPr>
      </w:pPr>
    </w:p>
    <w:p>
      <w:pPr>
        <w:snapToGrid w:val="0"/>
        <w:spacing w:line="360" w:lineRule="auto"/>
        <w:ind w:firstLine="560"/>
        <w:rPr>
          <w:rFonts w:ascii="宋体" w:hAnsi="宋体"/>
          <w:sz w:val="24"/>
        </w:rPr>
      </w:pPr>
      <w:r>
        <w:rPr>
          <w:rFonts w:hint="eastAsia" w:ascii="宋体" w:hAnsi="宋体" w:cs="仿宋_GB2312"/>
          <w:sz w:val="24"/>
        </w:rPr>
        <w:t>单位名称（公章）</w:t>
      </w:r>
      <w:r>
        <w:rPr>
          <w:rFonts w:ascii="宋体" w:hAnsi="宋体" w:cs="仿宋_GB2312"/>
          <w:sz w:val="24"/>
        </w:rPr>
        <w:t xml:space="preserve">                   </w:t>
      </w:r>
      <w:r>
        <w:rPr>
          <w:rFonts w:hint="eastAsia" w:ascii="宋体" w:hAnsi="宋体" w:cs="仿宋_GB2312"/>
          <w:sz w:val="24"/>
        </w:rPr>
        <w:t>法定代表人（签字或盖章）</w:t>
      </w:r>
    </w:p>
    <w:p>
      <w:pPr>
        <w:snapToGrid w:val="0"/>
        <w:spacing w:line="360" w:lineRule="auto"/>
        <w:ind w:firstLine="1200" w:firstLineChars="500"/>
        <w:rPr>
          <w:rFonts w:ascii="宋体" w:hAnsi="宋体" w:cs="仿宋_GB2312"/>
          <w:sz w:val="24"/>
        </w:rPr>
      </w:pP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p>
    <w:p>
      <w:pPr>
        <w:snapToGrid w:val="0"/>
        <w:spacing w:line="360" w:lineRule="auto"/>
        <w:ind w:firstLine="560"/>
        <w:rPr>
          <w:rFonts w:ascii="宋体" w:hAnsi="宋体"/>
          <w:sz w:val="24"/>
        </w:rPr>
      </w:pPr>
    </w:p>
    <w:p>
      <w:pPr>
        <w:snapToGrid w:val="0"/>
        <w:spacing w:line="360" w:lineRule="auto"/>
        <w:ind w:firstLine="560"/>
        <w:jc w:val="center"/>
        <w:rPr>
          <w:rFonts w:ascii="宋体" w:hAnsi="宋体"/>
          <w:sz w:val="24"/>
        </w:rPr>
      </w:pPr>
      <w:r>
        <w:rPr>
          <w:rFonts w:hint="eastAsia" w:ascii="宋体" w:hAnsi="宋体" w:cs="仿宋_GB2312"/>
          <w:sz w:val="24"/>
        </w:rPr>
        <w:t>法定代表人身份证复印件（正反面）</w:t>
      </w:r>
    </w:p>
    <w:p>
      <w:pPr>
        <w:snapToGrid w:val="0"/>
        <w:spacing w:line="360" w:lineRule="auto"/>
        <w:ind w:firstLine="560"/>
        <w:rPr>
          <w:rFonts w:ascii="宋体" w:hAnsi="宋体"/>
          <w:sz w:val="24"/>
        </w:rPr>
      </w:pPr>
    </w:p>
    <w:p>
      <w:pPr>
        <w:snapToGrid w:val="0"/>
        <w:spacing w:line="360" w:lineRule="auto"/>
        <w:ind w:firstLine="560"/>
        <w:rPr>
          <w:rFonts w:ascii="宋体" w:hAnsi="宋体"/>
          <w:sz w:val="24"/>
        </w:rPr>
      </w:pPr>
    </w:p>
    <w:p>
      <w:pPr>
        <w:snapToGrid w:val="0"/>
        <w:spacing w:line="360" w:lineRule="auto"/>
        <w:ind w:firstLine="560"/>
        <w:jc w:val="center"/>
        <w:rPr>
          <w:rFonts w:ascii="宋体" w:hAnsi="宋体"/>
          <w:sz w:val="24"/>
        </w:rPr>
      </w:pPr>
      <w:r>
        <w:rPr>
          <w:rFonts w:hint="eastAsia" w:ascii="宋体" w:hAnsi="宋体" w:cs="仿宋_GB2312"/>
          <w:sz w:val="24"/>
        </w:rPr>
        <w:t>（粘贴此处）</w:t>
      </w:r>
    </w:p>
    <w:p>
      <w:pPr>
        <w:snapToGrid w:val="0"/>
        <w:spacing w:line="360" w:lineRule="auto"/>
        <w:ind w:firstLine="562"/>
        <w:rPr>
          <w:rFonts w:ascii="宋体" w:hAnsi="宋体"/>
          <w:b/>
          <w:bCs/>
          <w:sz w:val="24"/>
        </w:rPr>
      </w:pPr>
    </w:p>
    <w:p>
      <w:pPr>
        <w:snapToGrid w:val="0"/>
        <w:spacing w:line="360" w:lineRule="auto"/>
        <w:ind w:firstLine="562"/>
        <w:rPr>
          <w:rFonts w:ascii="宋体" w:hAnsi="宋体"/>
          <w:sz w:val="24"/>
        </w:rPr>
      </w:pPr>
      <w:r>
        <w:rPr>
          <w:rFonts w:hint="eastAsia" w:ascii="宋体" w:hAnsi="宋体" w:cs="仿宋_GB2312"/>
          <w:b/>
          <w:bCs/>
          <w:sz w:val="24"/>
        </w:rPr>
        <w:t>注</w:t>
      </w:r>
      <w:r>
        <w:rPr>
          <w:rFonts w:ascii="宋体" w:hAnsi="宋体" w:cs="仿宋_GB2312"/>
          <w:b/>
          <w:bCs/>
          <w:sz w:val="24"/>
        </w:rPr>
        <w:t>:</w:t>
      </w:r>
      <w:r>
        <w:rPr>
          <w:rFonts w:hint="eastAsia" w:ascii="宋体" w:hAnsi="宋体" w:cs="仿宋_GB2312"/>
          <w:sz w:val="24"/>
        </w:rPr>
        <w:t>如为法定代表人参加投标时，须将身份证原件带至开标现场备查。</w:t>
      </w:r>
    </w:p>
    <w:p>
      <w:pPr>
        <w:snapToGrid w:val="0"/>
        <w:spacing w:line="360" w:lineRule="auto"/>
        <w:ind w:firstLine="562"/>
        <w:jc w:val="center"/>
        <w:outlineLvl w:val="4"/>
        <w:rPr>
          <w:rFonts w:ascii="宋体" w:hAnsi="宋体"/>
          <w:b/>
          <w:bCs/>
          <w:sz w:val="24"/>
        </w:rPr>
      </w:pPr>
      <w:r>
        <w:rPr>
          <w:rFonts w:ascii="宋体" w:hAnsi="宋体"/>
          <w:b/>
          <w:bCs/>
          <w:sz w:val="24"/>
        </w:rPr>
        <w:br w:type="page"/>
      </w:r>
      <w:r>
        <w:rPr>
          <w:rFonts w:ascii="宋体" w:hAnsi="宋体"/>
          <w:b/>
          <w:bCs/>
          <w:sz w:val="24"/>
        </w:rPr>
        <w:t>2</w:t>
      </w:r>
      <w:r>
        <w:rPr>
          <w:rFonts w:hint="eastAsia" w:ascii="宋体" w:hAnsi="宋体" w:cs="仿宋_GB2312"/>
          <w:b/>
          <w:bCs/>
          <w:sz w:val="24"/>
        </w:rPr>
        <w:t>.授权委托书</w:t>
      </w:r>
    </w:p>
    <w:p>
      <w:pPr>
        <w:snapToGrid w:val="0"/>
        <w:spacing w:line="360" w:lineRule="auto"/>
        <w:ind w:firstLine="560"/>
        <w:jc w:val="center"/>
        <w:rPr>
          <w:rFonts w:ascii="宋体" w:hAnsi="宋体"/>
          <w:sz w:val="24"/>
          <w:u w:val="single"/>
        </w:rPr>
      </w:pPr>
      <w:r>
        <w:rPr>
          <w:rFonts w:hint="eastAsia" w:ascii="宋体" w:hAnsi="宋体" w:cs="仿宋_GB2312"/>
          <w:sz w:val="24"/>
          <w:u w:val="single"/>
        </w:rPr>
        <w:t>（被授权人参加投标时，须出示此证明）</w:t>
      </w:r>
    </w:p>
    <w:p>
      <w:pPr>
        <w:spacing w:line="360" w:lineRule="auto"/>
        <w:rPr>
          <w:rFonts w:ascii="宋体" w:hAnsi="宋体" w:cs="宋体"/>
          <w:b/>
          <w:w w:val="85"/>
          <w:sz w:val="24"/>
          <w:u w:val="single"/>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napToGrid w:val="0"/>
        <w:spacing w:line="360" w:lineRule="auto"/>
        <w:ind w:left="1" w:firstLine="560"/>
        <w:rPr>
          <w:rFonts w:ascii="宋体" w:hAnsi="宋体"/>
          <w:sz w:val="24"/>
        </w:rPr>
      </w:pPr>
      <w:r>
        <w:rPr>
          <w:rFonts w:hint="eastAsia" w:ascii="宋体" w:hAnsi="宋体" w:cs="仿宋_GB2312"/>
          <w:sz w:val="24"/>
        </w:rPr>
        <w:t>兹授权</w:t>
      </w:r>
      <w:r>
        <w:rPr>
          <w:rFonts w:ascii="宋体" w:hAnsi="宋体" w:cs="仿宋_GB2312"/>
          <w:sz w:val="24"/>
          <w:u w:val="single"/>
        </w:rPr>
        <w:t xml:space="preserve">         </w:t>
      </w:r>
      <w:r>
        <w:rPr>
          <w:rFonts w:hint="eastAsia" w:ascii="宋体" w:hAnsi="宋体" w:cs="仿宋_GB2312"/>
          <w:sz w:val="24"/>
          <w:u w:val="single"/>
        </w:rPr>
        <w:t>（</w:t>
      </w:r>
      <w:r>
        <w:rPr>
          <w:rFonts w:hint="eastAsia" w:ascii="宋体" w:hAnsi="宋体" w:cs="仿宋_GB2312"/>
          <w:sz w:val="24"/>
        </w:rPr>
        <w:t>被授权人的姓名）代表我公司参加</w:t>
      </w:r>
      <w:r>
        <w:rPr>
          <w:rFonts w:ascii="宋体" w:hAnsi="宋体" w:cs="仿宋_GB2312"/>
          <w:sz w:val="24"/>
          <w:u w:val="single"/>
        </w:rPr>
        <w:t xml:space="preserve">        </w:t>
      </w:r>
      <w:r>
        <w:rPr>
          <w:rFonts w:hint="eastAsia" w:ascii="宋体" w:hAnsi="宋体" w:cs="仿宋_GB2312"/>
          <w:sz w:val="24"/>
        </w:rPr>
        <w:t>（招标项目名称及项目编号</w:t>
      </w:r>
      <w:r>
        <w:rPr>
          <w:rFonts w:ascii="宋体" w:hAnsi="宋体" w:cs="仿宋_GB2312"/>
          <w:sz w:val="24"/>
        </w:rPr>
        <w:t>)</w:t>
      </w:r>
      <w:r>
        <w:rPr>
          <w:rFonts w:hint="eastAsia" w:ascii="宋体" w:hAnsi="宋体" w:cs="仿宋_GB2312"/>
          <w:sz w:val="24"/>
        </w:rPr>
        <w:t>项目的投标活动，全权处理一切与该项目投标有关的事务。其在办理上述事宜过程中所签署的所有文件我公司均予以承认。</w:t>
      </w:r>
    </w:p>
    <w:p>
      <w:pPr>
        <w:snapToGrid w:val="0"/>
        <w:spacing w:line="360" w:lineRule="auto"/>
        <w:ind w:left="1" w:firstLine="560"/>
        <w:rPr>
          <w:rFonts w:ascii="宋体" w:hAnsi="宋体"/>
          <w:sz w:val="24"/>
        </w:rPr>
      </w:pPr>
      <w:r>
        <w:rPr>
          <w:rFonts w:hint="eastAsia" w:ascii="宋体" w:hAnsi="宋体" w:cs="仿宋_GB2312"/>
          <w:sz w:val="24"/>
        </w:rPr>
        <w:t>被授权人无转委托权。特此委托。</w:t>
      </w:r>
    </w:p>
    <w:p>
      <w:pPr>
        <w:snapToGrid w:val="0"/>
        <w:spacing w:line="360" w:lineRule="auto"/>
        <w:ind w:firstLine="560"/>
        <w:rPr>
          <w:rFonts w:ascii="宋体" w:hAnsi="宋体"/>
          <w:sz w:val="24"/>
        </w:rPr>
      </w:pPr>
    </w:p>
    <w:p>
      <w:pPr>
        <w:snapToGrid w:val="0"/>
        <w:spacing w:line="360" w:lineRule="auto"/>
        <w:ind w:firstLine="560"/>
        <w:rPr>
          <w:rFonts w:ascii="宋体" w:hAnsi="宋体"/>
          <w:sz w:val="24"/>
        </w:rPr>
      </w:pPr>
      <w:r>
        <w:rPr>
          <w:rFonts w:hint="eastAsia" w:ascii="宋体" w:hAnsi="宋体" w:cs="仿宋_GB2312"/>
          <w:sz w:val="24"/>
        </w:rPr>
        <w:t>附：被授权人情况：</w:t>
      </w:r>
    </w:p>
    <w:p>
      <w:pPr>
        <w:snapToGrid w:val="0"/>
        <w:spacing w:line="360" w:lineRule="auto"/>
        <w:ind w:firstLine="560"/>
        <w:rPr>
          <w:rFonts w:ascii="宋体" w:hAnsi="宋体" w:cs="仿宋_GB2312"/>
          <w:sz w:val="24"/>
          <w:u w:val="single"/>
        </w:rPr>
      </w:pPr>
      <w:r>
        <w:rPr>
          <w:rFonts w:hint="eastAsia" w:ascii="宋体" w:hAnsi="宋体" w:cs="仿宋_GB2312"/>
          <w:sz w:val="24"/>
        </w:rPr>
        <w:t>姓名：</w:t>
      </w:r>
      <w:r>
        <w:rPr>
          <w:rFonts w:ascii="宋体" w:hAnsi="宋体" w:cs="仿宋_GB2312"/>
          <w:sz w:val="24"/>
          <w:u w:val="single"/>
        </w:rPr>
        <w:t xml:space="preserve">         </w:t>
      </w:r>
      <w:r>
        <w:rPr>
          <w:rFonts w:hint="eastAsia" w:ascii="宋体" w:hAnsi="宋体" w:cs="仿宋_GB2312"/>
          <w:sz w:val="24"/>
        </w:rPr>
        <w:t>性别：</w:t>
      </w:r>
      <w:r>
        <w:rPr>
          <w:rFonts w:ascii="宋体" w:hAnsi="宋体" w:cs="仿宋_GB2312"/>
          <w:sz w:val="24"/>
          <w:u w:val="single"/>
        </w:rPr>
        <w:t xml:space="preserve">    </w:t>
      </w:r>
      <w:r>
        <w:rPr>
          <w:rFonts w:hint="eastAsia" w:ascii="宋体" w:hAnsi="宋体" w:cs="仿宋_GB2312"/>
          <w:sz w:val="24"/>
        </w:rPr>
        <w:t>年龄：</w:t>
      </w:r>
      <w:r>
        <w:rPr>
          <w:rFonts w:ascii="宋体" w:hAnsi="宋体" w:cs="仿宋_GB2312"/>
          <w:sz w:val="24"/>
          <w:u w:val="single"/>
        </w:rPr>
        <w:t xml:space="preserve">      </w:t>
      </w:r>
      <w:r>
        <w:rPr>
          <w:rFonts w:hint="eastAsia" w:ascii="宋体" w:hAnsi="宋体" w:cs="仿宋_GB2312"/>
          <w:sz w:val="24"/>
        </w:rPr>
        <w:t>职务：</w:t>
      </w:r>
      <w:r>
        <w:rPr>
          <w:rFonts w:ascii="宋体" w:hAnsi="宋体" w:cs="仿宋_GB2312"/>
          <w:sz w:val="24"/>
          <w:u w:val="single"/>
        </w:rPr>
        <w:t xml:space="preserve">          </w:t>
      </w:r>
    </w:p>
    <w:p>
      <w:pPr>
        <w:snapToGrid w:val="0"/>
        <w:spacing w:line="360" w:lineRule="auto"/>
        <w:ind w:firstLine="560"/>
        <w:rPr>
          <w:rFonts w:ascii="宋体" w:hAnsi="宋体"/>
          <w:sz w:val="24"/>
        </w:rPr>
      </w:pPr>
      <w:r>
        <w:rPr>
          <w:rFonts w:hint="eastAsia" w:ascii="宋体" w:hAnsi="宋体" w:cs="仿宋_GB2312"/>
          <w:sz w:val="24"/>
        </w:rPr>
        <w:t>身份证号码：</w:t>
      </w:r>
      <w:r>
        <w:rPr>
          <w:rFonts w:ascii="宋体" w:hAnsi="宋体" w:cs="仿宋_GB2312"/>
          <w:sz w:val="24"/>
          <w:u w:val="single"/>
        </w:rPr>
        <w:t xml:space="preserve">                                         </w:t>
      </w:r>
    </w:p>
    <w:p>
      <w:pPr>
        <w:snapToGrid w:val="0"/>
        <w:spacing w:line="360" w:lineRule="auto"/>
        <w:ind w:firstLine="560"/>
        <w:rPr>
          <w:rFonts w:ascii="宋体" w:hAnsi="宋体"/>
          <w:sz w:val="24"/>
        </w:rPr>
      </w:pPr>
      <w:r>
        <w:rPr>
          <w:rFonts w:hint="eastAsia" w:ascii="宋体" w:hAnsi="宋体" w:cs="仿宋_GB2312"/>
          <w:sz w:val="24"/>
        </w:rPr>
        <w:t>手机：</w:t>
      </w:r>
      <w:r>
        <w:rPr>
          <w:rFonts w:ascii="宋体" w:hAnsi="宋体" w:cs="仿宋_GB2312"/>
          <w:sz w:val="24"/>
          <w:u w:val="single"/>
        </w:rPr>
        <w:t xml:space="preserve">                 </w:t>
      </w:r>
      <w:r>
        <w:rPr>
          <w:rFonts w:hint="eastAsia" w:ascii="宋体" w:hAnsi="宋体" w:cs="仿宋_GB2312"/>
          <w:sz w:val="24"/>
        </w:rPr>
        <w:t>传真：</w:t>
      </w:r>
      <w:r>
        <w:rPr>
          <w:rFonts w:ascii="宋体" w:hAnsi="宋体" w:cs="仿宋_GB2312"/>
          <w:sz w:val="24"/>
          <w:u w:val="single"/>
        </w:rPr>
        <w:t xml:space="preserve">                        </w:t>
      </w:r>
    </w:p>
    <w:p>
      <w:pPr>
        <w:snapToGrid w:val="0"/>
        <w:spacing w:line="360" w:lineRule="auto"/>
        <w:ind w:firstLine="560"/>
        <w:rPr>
          <w:rFonts w:ascii="宋体" w:hAnsi="宋体" w:cs="仿宋"/>
          <w:sz w:val="24"/>
        </w:rPr>
      </w:pPr>
      <w:r>
        <w:rPr>
          <w:rFonts w:hint="eastAsia" w:ascii="宋体" w:hAnsi="宋体" w:cs="宋体"/>
          <w:sz w:val="24"/>
        </w:rPr>
        <w:t> </w:t>
      </w:r>
    </w:p>
    <w:p>
      <w:pPr>
        <w:snapToGrid w:val="0"/>
        <w:spacing w:line="360" w:lineRule="auto"/>
        <w:ind w:firstLine="560"/>
        <w:rPr>
          <w:rFonts w:ascii="宋体" w:hAnsi="宋体"/>
          <w:sz w:val="24"/>
        </w:rPr>
      </w:pPr>
      <w:r>
        <w:rPr>
          <w:rFonts w:hint="eastAsia" w:ascii="宋体" w:hAnsi="宋体" w:cs="仿宋_GB2312"/>
          <w:sz w:val="24"/>
        </w:rPr>
        <w:t>单位名称（公章）</w:t>
      </w:r>
      <w:r>
        <w:rPr>
          <w:rFonts w:ascii="宋体" w:hAnsi="宋体" w:cs="仿宋_GB2312"/>
          <w:sz w:val="24"/>
        </w:rPr>
        <w:t xml:space="preserve">                      </w:t>
      </w:r>
      <w:r>
        <w:rPr>
          <w:rFonts w:hint="eastAsia" w:ascii="宋体" w:hAnsi="宋体" w:cs="仿宋_GB2312"/>
          <w:sz w:val="24"/>
        </w:rPr>
        <w:t>法定代表人（签字或盖章）</w:t>
      </w:r>
    </w:p>
    <w:p>
      <w:pPr>
        <w:snapToGrid w:val="0"/>
        <w:spacing w:line="360" w:lineRule="auto"/>
        <w:ind w:firstLine="1200" w:firstLineChars="500"/>
        <w:rPr>
          <w:rFonts w:ascii="宋体" w:hAnsi="宋体"/>
          <w:sz w:val="24"/>
        </w:rPr>
      </w:pP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p>
    <w:p>
      <w:pPr>
        <w:adjustRightInd w:val="0"/>
        <w:snapToGrid w:val="0"/>
        <w:spacing w:line="360" w:lineRule="auto"/>
        <w:rPr>
          <w:rFonts w:ascii="宋体" w:hAnsi="宋体"/>
          <w:sz w:val="24"/>
        </w:rPr>
      </w:pPr>
    </w:p>
    <w:p>
      <w:pPr>
        <w:adjustRightInd w:val="0"/>
        <w:snapToGrid w:val="0"/>
        <w:spacing w:line="360" w:lineRule="auto"/>
        <w:ind w:firstLine="560"/>
        <w:jc w:val="center"/>
        <w:rPr>
          <w:rFonts w:ascii="宋体" w:hAnsi="宋体"/>
          <w:sz w:val="24"/>
        </w:rPr>
      </w:pPr>
      <w:r>
        <w:rPr>
          <w:rFonts w:hint="eastAsia" w:ascii="宋体" w:hAnsi="宋体" w:cs="仿宋_GB2312"/>
          <w:sz w:val="24"/>
        </w:rPr>
        <w:t>被授权人身份证复印件（正反面）</w:t>
      </w:r>
    </w:p>
    <w:p>
      <w:pPr>
        <w:adjustRightInd w:val="0"/>
        <w:snapToGrid w:val="0"/>
        <w:spacing w:line="360" w:lineRule="auto"/>
        <w:ind w:firstLine="560"/>
        <w:jc w:val="center"/>
        <w:rPr>
          <w:rFonts w:ascii="宋体" w:hAnsi="宋体"/>
          <w:sz w:val="24"/>
        </w:rPr>
      </w:pPr>
    </w:p>
    <w:p>
      <w:pPr>
        <w:adjustRightInd w:val="0"/>
        <w:snapToGrid w:val="0"/>
        <w:spacing w:line="360" w:lineRule="auto"/>
        <w:ind w:firstLine="560"/>
        <w:jc w:val="center"/>
      </w:pPr>
      <w:r>
        <w:rPr>
          <w:rFonts w:hint="eastAsia" w:ascii="宋体" w:hAnsi="宋体" w:cs="仿宋_GB2312"/>
          <w:sz w:val="24"/>
        </w:rPr>
        <w:t>（粘贴此处）</w:t>
      </w:r>
    </w:p>
    <w:p>
      <w:pPr>
        <w:pStyle w:val="2"/>
      </w:pPr>
    </w:p>
    <w:p>
      <w:pPr>
        <w:snapToGrid w:val="0"/>
        <w:spacing w:line="360" w:lineRule="auto"/>
        <w:ind w:firstLine="560"/>
        <w:jc w:val="center"/>
        <w:rPr>
          <w:rFonts w:ascii="宋体" w:hAnsi="宋体"/>
          <w:sz w:val="24"/>
        </w:rPr>
      </w:pPr>
      <w:r>
        <w:rPr>
          <w:rFonts w:hint="eastAsia" w:ascii="宋体" w:hAnsi="宋体" w:cs="仿宋_GB2312"/>
          <w:sz w:val="24"/>
        </w:rPr>
        <w:t>法定代表人身份证复印件（正反面）</w:t>
      </w:r>
    </w:p>
    <w:p>
      <w:pPr>
        <w:pStyle w:val="2"/>
      </w:pPr>
    </w:p>
    <w:p>
      <w:pPr>
        <w:adjustRightInd w:val="0"/>
        <w:snapToGrid w:val="0"/>
        <w:spacing w:line="360" w:lineRule="auto"/>
        <w:ind w:firstLine="560"/>
        <w:jc w:val="center"/>
      </w:pPr>
      <w:r>
        <w:rPr>
          <w:rFonts w:hint="eastAsia" w:ascii="宋体" w:hAnsi="宋体" w:cs="仿宋_GB2312"/>
          <w:sz w:val="24"/>
        </w:rPr>
        <w:t>（粘贴此处）</w:t>
      </w:r>
    </w:p>
    <w:p>
      <w:pPr>
        <w:snapToGrid w:val="0"/>
        <w:spacing w:line="360" w:lineRule="auto"/>
        <w:ind w:firstLine="562"/>
        <w:rPr>
          <w:rFonts w:ascii="宋体" w:hAnsi="宋体" w:cs="仿宋_GB2312"/>
          <w:b/>
          <w:bCs/>
          <w:sz w:val="24"/>
        </w:rPr>
      </w:pPr>
    </w:p>
    <w:p>
      <w:pPr>
        <w:snapToGrid w:val="0"/>
        <w:spacing w:line="360" w:lineRule="auto"/>
        <w:ind w:firstLine="562"/>
        <w:rPr>
          <w:rFonts w:ascii="宋体" w:hAnsi="宋体" w:cs="仿宋_GB2312"/>
          <w:sz w:val="24"/>
        </w:rPr>
      </w:pPr>
      <w:r>
        <w:rPr>
          <w:rFonts w:hint="eastAsia" w:ascii="宋体" w:hAnsi="宋体" w:cs="仿宋_GB2312"/>
          <w:b/>
          <w:bCs/>
          <w:sz w:val="24"/>
        </w:rPr>
        <w:t>注</w:t>
      </w:r>
      <w:r>
        <w:rPr>
          <w:rFonts w:ascii="宋体" w:hAnsi="宋体" w:cs="仿宋_GB2312"/>
          <w:b/>
          <w:bCs/>
          <w:sz w:val="24"/>
        </w:rPr>
        <w:t>:</w:t>
      </w:r>
      <w:r>
        <w:rPr>
          <w:rFonts w:hint="eastAsia" w:ascii="宋体" w:hAnsi="宋体" w:cs="仿宋_GB2312"/>
          <w:sz w:val="24"/>
        </w:rPr>
        <w:t>如为被授权人参加投标时，须将身份证原件带至开标现场备查。</w:t>
      </w:r>
    </w:p>
    <w:p>
      <w:pPr>
        <w:snapToGrid w:val="0"/>
        <w:spacing w:line="360" w:lineRule="auto"/>
        <w:ind w:firstLine="562"/>
        <w:jc w:val="center"/>
        <w:outlineLvl w:val="4"/>
        <w:rPr>
          <w:rFonts w:ascii="宋体" w:hAnsi="宋体"/>
          <w:b/>
          <w:bCs/>
          <w:sz w:val="24"/>
        </w:rPr>
      </w:pPr>
      <w:r>
        <w:rPr>
          <w:rFonts w:ascii="宋体" w:hAnsi="宋体"/>
          <w:b/>
          <w:bCs/>
          <w:sz w:val="24"/>
        </w:rPr>
        <w:br w:type="page"/>
      </w:r>
      <w:r>
        <w:rPr>
          <w:rFonts w:hint="eastAsia" w:ascii="宋体" w:hAnsi="宋体"/>
          <w:b/>
          <w:bCs/>
          <w:sz w:val="24"/>
        </w:rPr>
        <w:t>3.无重大违法记录声明</w:t>
      </w:r>
    </w:p>
    <w:p>
      <w:pPr>
        <w:snapToGrid w:val="0"/>
        <w:spacing w:line="360" w:lineRule="auto"/>
        <w:rPr>
          <w:rFonts w:ascii="宋体" w:hAnsi="宋体" w:cs="宋体"/>
          <w:sz w:val="24"/>
          <w:u w:val="single"/>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    我单位</w:t>
      </w:r>
      <w:r>
        <w:rPr>
          <w:rFonts w:hint="eastAsia" w:ascii="宋体" w:hAnsi="宋体" w:cs="宋体"/>
          <w:sz w:val="24"/>
          <w:u w:val="single"/>
        </w:rPr>
        <w:t xml:space="preserve">               </w:t>
      </w:r>
      <w:r>
        <w:rPr>
          <w:rFonts w:hint="eastAsia" w:ascii="宋体" w:hAnsi="宋体" w:cs="宋体"/>
          <w:sz w:val="24"/>
        </w:rPr>
        <w:t>（</w:t>
      </w:r>
      <w:r>
        <w:rPr>
          <w:rFonts w:hint="eastAsia" w:ascii="宋体" w:hAnsi="宋体" w:cs="仿宋_GB2312"/>
          <w:sz w:val="24"/>
        </w:rPr>
        <w:t>投标供应商</w:t>
      </w:r>
      <w:r>
        <w:rPr>
          <w:rFonts w:hint="eastAsia" w:ascii="宋体" w:hAnsi="宋体" w:cs="宋体"/>
          <w:sz w:val="24"/>
        </w:rPr>
        <w:t>名称）郑重声明：</w:t>
      </w:r>
    </w:p>
    <w:p>
      <w:pPr>
        <w:spacing w:line="360" w:lineRule="auto"/>
        <w:rPr>
          <w:rFonts w:ascii="宋体" w:hAnsi="宋体" w:cs="宋体"/>
          <w:sz w:val="24"/>
        </w:rPr>
      </w:pPr>
      <w:r>
        <w:rPr>
          <w:rFonts w:hint="eastAsia" w:ascii="宋体" w:hAnsi="宋体" w:cs="宋体"/>
          <w:sz w:val="24"/>
        </w:rPr>
        <w:t xml:space="preserve">    参加采购活动前3年内在经营活动中</w:t>
      </w:r>
      <w:r>
        <w:rPr>
          <w:rFonts w:hint="eastAsia" w:ascii="宋体" w:hAnsi="宋体" w:cs="宋体"/>
          <w:sz w:val="24"/>
          <w:u w:val="single"/>
        </w:rPr>
        <w:t xml:space="preserve">        </w:t>
      </w:r>
      <w:r>
        <w:rPr>
          <w:rFonts w:hint="eastAsia" w:ascii="宋体" w:hAnsi="宋体" w:cs="宋体"/>
          <w:sz w:val="24"/>
        </w:rPr>
        <w:t>（在下划线上如实填写：有或没有）重大违法记录。</w:t>
      </w:r>
    </w:p>
    <w:p>
      <w:pPr>
        <w:spacing w:line="360" w:lineRule="auto"/>
        <w:ind w:firstLine="480"/>
        <w:rPr>
          <w:rFonts w:ascii="宋体" w:hAnsi="宋体" w:cs="宋体"/>
          <w:sz w:val="24"/>
        </w:rPr>
      </w:pPr>
      <w:r>
        <w:rPr>
          <w:rFonts w:hint="eastAsia" w:ascii="宋体" w:hAnsi="宋体" w:cs="宋体"/>
          <w:sz w:val="24"/>
        </w:rPr>
        <w:t>（说明：重大违法记录，是指</w:t>
      </w:r>
      <w:r>
        <w:rPr>
          <w:rFonts w:hint="eastAsia" w:ascii="宋体" w:hAnsi="宋体" w:cs="仿宋_GB2312"/>
          <w:sz w:val="24"/>
        </w:rPr>
        <w:t>投标供应商</w:t>
      </w:r>
      <w:r>
        <w:rPr>
          <w:rFonts w:hint="eastAsia" w:ascii="宋体" w:hAnsi="宋体" w:cs="宋体"/>
          <w:sz w:val="24"/>
        </w:rPr>
        <w:t>因违法经营受到刑事处罚或者责令停产停业、吊销许可证或者执照、较大数额罚款等行政处罚。）</w:t>
      </w:r>
    </w:p>
    <w:p>
      <w:pPr>
        <w:spacing w:line="360" w:lineRule="auto"/>
        <w:ind w:firstLine="48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声明人：（公章）</w:t>
      </w:r>
    </w:p>
    <w:p>
      <w:pPr>
        <w:spacing w:line="360" w:lineRule="auto"/>
        <w:jc w:val="center"/>
        <w:rPr>
          <w:rFonts w:ascii="宋体" w:hAnsi="宋体" w:cs="宋体"/>
          <w:sz w:val="24"/>
        </w:rPr>
      </w:pPr>
      <w:r>
        <w:rPr>
          <w:rFonts w:hint="eastAsia" w:ascii="宋体" w:hAnsi="宋体" w:cs="宋体"/>
          <w:sz w:val="24"/>
        </w:rPr>
        <w:t xml:space="preserve">                                                  年     月    日</w:t>
      </w:r>
    </w:p>
    <w:p>
      <w:pPr>
        <w:snapToGrid w:val="0"/>
        <w:spacing w:line="360" w:lineRule="auto"/>
        <w:ind w:firstLine="562"/>
        <w:jc w:val="center"/>
        <w:outlineLvl w:val="4"/>
        <w:rPr>
          <w:rFonts w:ascii="宋体" w:hAnsi="宋体"/>
          <w:b/>
          <w:bCs/>
          <w:sz w:val="24"/>
        </w:rPr>
      </w:pPr>
      <w:bookmarkStart w:id="9" w:name="_GoBack"/>
      <w:bookmarkEnd w:id="9"/>
    </w:p>
    <w:p>
      <w:pPr>
        <w:pStyle w:val="2"/>
        <w:spacing w:line="360" w:lineRule="auto"/>
      </w:pPr>
    </w:p>
    <w:p>
      <w:pPr>
        <w:snapToGrid w:val="0"/>
        <w:spacing w:line="360" w:lineRule="auto"/>
        <w:ind w:firstLine="562"/>
        <w:jc w:val="center"/>
        <w:outlineLvl w:val="4"/>
        <w:rPr>
          <w:rFonts w:ascii="宋体" w:hAnsi="宋体"/>
          <w:b/>
          <w:bCs/>
          <w:sz w:val="24"/>
        </w:rPr>
      </w:pPr>
      <w:r>
        <w:rPr>
          <w:rFonts w:ascii="宋体" w:hAnsi="宋体"/>
          <w:b/>
          <w:bCs/>
          <w:sz w:val="24"/>
        </w:rPr>
        <w:br w:type="page"/>
      </w:r>
      <w:r>
        <w:rPr>
          <w:rFonts w:hint="eastAsia" w:ascii="宋体" w:hAnsi="宋体"/>
          <w:b/>
          <w:bCs/>
          <w:sz w:val="24"/>
        </w:rPr>
        <w:t>4</w:t>
      </w:r>
      <w:r>
        <w:rPr>
          <w:rFonts w:hint="eastAsia" w:ascii="宋体" w:hAnsi="宋体" w:cs="仿宋_GB2312"/>
          <w:b/>
          <w:bCs/>
          <w:sz w:val="24"/>
        </w:rPr>
        <w:t>.关于资格文件的声明函</w:t>
      </w:r>
    </w:p>
    <w:p>
      <w:pPr>
        <w:pStyle w:val="4"/>
        <w:overflowPunct w:val="0"/>
        <w:spacing w:line="360" w:lineRule="auto"/>
        <w:ind w:firstLine="480"/>
        <w:jc w:val="center"/>
        <w:rPr>
          <w:rFonts w:ascii="宋体" w:hAnsi="宋体"/>
          <w:sz w:val="24"/>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pStyle w:val="4"/>
        <w:overflowPunct w:val="0"/>
        <w:spacing w:line="360" w:lineRule="auto"/>
        <w:ind w:firstLine="480"/>
        <w:rPr>
          <w:rFonts w:ascii="宋体" w:hAnsi="宋体"/>
          <w:sz w:val="24"/>
        </w:rPr>
      </w:pPr>
      <w:r>
        <w:rPr>
          <w:rFonts w:hint="eastAsia" w:ascii="宋体" w:hAnsi="宋体" w:cs="仿宋_GB2312"/>
          <w:sz w:val="24"/>
        </w:rPr>
        <w:t>本公司愿就由贵单位组织实施的</w:t>
      </w:r>
      <w:r>
        <w:rPr>
          <w:rFonts w:ascii="宋体" w:hAnsi="宋体" w:cs="仿宋_GB2312"/>
          <w:sz w:val="24"/>
          <w:u w:val="single"/>
        </w:rPr>
        <w:t xml:space="preserve">            </w:t>
      </w:r>
      <w:r>
        <w:rPr>
          <w:rFonts w:hint="eastAsia" w:ascii="宋体" w:hAnsi="宋体" w:cs="仿宋_GB2312"/>
          <w:sz w:val="24"/>
        </w:rPr>
        <w:t>（招标项目名称及项目编号</w:t>
      </w:r>
      <w:r>
        <w:rPr>
          <w:rFonts w:ascii="宋体" w:hAnsi="宋体" w:cs="仿宋_GB2312"/>
          <w:sz w:val="24"/>
        </w:rPr>
        <w:t>)</w:t>
      </w:r>
      <w:r>
        <w:rPr>
          <w:rFonts w:hint="eastAsia" w:ascii="宋体" w:hAnsi="宋体" w:cs="仿宋_GB2312"/>
          <w:sz w:val="24"/>
        </w:rPr>
        <w:t>招标活动进行投标。本公司所提交的投标文件中所有关于投标资格的文件、证明和陈述均是真实的、准确的。若与真实情况不符，本公司愿意承担由此而产生的一切后果。</w:t>
      </w:r>
    </w:p>
    <w:p>
      <w:pPr>
        <w:pStyle w:val="4"/>
        <w:overflowPunct w:val="0"/>
        <w:spacing w:line="360" w:lineRule="auto"/>
        <w:ind w:firstLine="480"/>
        <w:rPr>
          <w:rFonts w:ascii="宋体" w:hAnsi="宋体"/>
          <w:sz w:val="24"/>
        </w:rPr>
      </w:pPr>
    </w:p>
    <w:p>
      <w:pPr>
        <w:pStyle w:val="4"/>
        <w:overflowPunct w:val="0"/>
        <w:spacing w:line="360" w:lineRule="auto"/>
        <w:ind w:firstLine="480"/>
        <w:rPr>
          <w:rFonts w:ascii="宋体" w:hAnsi="宋体"/>
          <w:sz w:val="24"/>
        </w:rPr>
      </w:pPr>
    </w:p>
    <w:p>
      <w:pPr>
        <w:pStyle w:val="4"/>
        <w:overflowPunct w:val="0"/>
        <w:spacing w:line="360" w:lineRule="auto"/>
        <w:ind w:firstLine="480"/>
        <w:rPr>
          <w:rFonts w:ascii="宋体" w:hAnsi="宋体"/>
          <w:sz w:val="24"/>
        </w:rPr>
      </w:pPr>
    </w:p>
    <w:p>
      <w:pPr>
        <w:pStyle w:val="4"/>
        <w:overflowPunct w:val="0"/>
        <w:spacing w:line="360" w:lineRule="auto"/>
        <w:ind w:firstLine="480"/>
        <w:rPr>
          <w:rFonts w:ascii="宋体" w:hAnsi="宋体" w:cs="仿宋_GB2312"/>
          <w:sz w:val="24"/>
        </w:rPr>
      </w:pPr>
      <w:r>
        <w:rPr>
          <w:rFonts w:hint="eastAsia" w:ascii="宋体" w:hAnsi="宋体" w:cs="仿宋_GB2312"/>
          <w:sz w:val="24"/>
        </w:rPr>
        <w:t>投标供应商：                    （加盖公章）</w:t>
      </w:r>
    </w:p>
    <w:p>
      <w:pPr>
        <w:pStyle w:val="4"/>
        <w:overflowPunct w:val="0"/>
        <w:spacing w:line="360" w:lineRule="auto"/>
        <w:ind w:firstLine="480"/>
        <w:rPr>
          <w:rFonts w:ascii="宋体" w:hAnsi="宋体" w:cs="仿宋_GB2312"/>
          <w:sz w:val="24"/>
        </w:rPr>
      </w:pPr>
      <w:r>
        <w:rPr>
          <w:rFonts w:hint="eastAsia" w:ascii="宋体" w:hAnsi="宋体" w:cs="仿宋_GB2312"/>
          <w:sz w:val="24"/>
        </w:rPr>
        <w:t>法定代表人或被授权人：      （签字或盖章）</w:t>
      </w:r>
    </w:p>
    <w:p>
      <w:pPr>
        <w:snapToGrid w:val="0"/>
        <w:spacing w:line="360" w:lineRule="auto"/>
        <w:jc w:val="center"/>
        <w:outlineLvl w:val="3"/>
        <w:rPr>
          <w:rFonts w:ascii="宋体" w:hAnsi="宋体" w:cs="仿宋_GB2312"/>
          <w:sz w:val="24"/>
        </w:rPr>
      </w:pPr>
      <w:r>
        <w:rPr>
          <w:rFonts w:hint="eastAsia" w:ascii="宋体" w:hAnsi="宋体" w:cs="仿宋_GB2312"/>
          <w:sz w:val="24"/>
        </w:rPr>
        <w:t xml:space="preserve">            日   期：       年</w:t>
      </w:r>
      <w:r>
        <w:rPr>
          <w:rFonts w:ascii="宋体" w:hAnsi="宋体"/>
          <w:sz w:val="24"/>
        </w:rPr>
        <w:tab/>
      </w:r>
      <w:r>
        <w:rPr>
          <w:rFonts w:ascii="宋体" w:hAnsi="宋体" w:cs="仿宋_GB2312"/>
          <w:sz w:val="24"/>
        </w:rPr>
        <w:t xml:space="preserve"> </w:t>
      </w:r>
      <w:r>
        <w:rPr>
          <w:rFonts w:hint="eastAsia" w:ascii="宋体" w:hAnsi="宋体" w:cs="仿宋_GB2312"/>
          <w:sz w:val="24"/>
        </w:rPr>
        <w:t xml:space="preserve">   月</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ab/>
      </w:r>
      <w:r>
        <w:rPr>
          <w:rFonts w:hint="eastAsia" w:ascii="宋体" w:hAnsi="宋体" w:cs="仿宋_GB2312"/>
          <w:sz w:val="24"/>
        </w:rPr>
        <w:t>日</w:t>
      </w: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pStyle w:val="2"/>
        <w:rPr>
          <w:rFonts w:ascii="宋体" w:hAnsi="宋体" w:cs="仿宋_GB2312"/>
        </w:rPr>
      </w:pPr>
    </w:p>
    <w:p>
      <w:pPr>
        <w:rPr>
          <w:rFonts w:ascii="宋体" w:hAnsi="宋体" w:cs="仿宋_GB2312"/>
          <w:sz w:val="24"/>
        </w:rPr>
      </w:pPr>
    </w:p>
    <w:p>
      <w:pPr>
        <w:pStyle w:val="2"/>
      </w:pPr>
    </w:p>
    <w:p>
      <w:pPr>
        <w:snapToGrid w:val="0"/>
        <w:spacing w:line="360" w:lineRule="auto"/>
        <w:jc w:val="center"/>
        <w:outlineLvl w:val="3"/>
        <w:rPr>
          <w:rFonts w:ascii="宋体" w:hAnsi="宋体" w:cs="仿宋_GB2312"/>
          <w:sz w:val="24"/>
        </w:rPr>
      </w:pPr>
    </w:p>
    <w:p>
      <w:pPr>
        <w:snapToGrid w:val="0"/>
        <w:spacing w:line="360" w:lineRule="auto"/>
        <w:outlineLvl w:val="2"/>
        <w:rPr>
          <w:rFonts w:ascii="仿宋" w:hAnsi="仿宋" w:eastAsia="仿宋" w:cs="仿宋_GB2312"/>
          <w:b/>
          <w:bCs/>
          <w:sz w:val="28"/>
          <w:szCs w:val="28"/>
        </w:rPr>
      </w:pPr>
      <w:r>
        <w:rPr>
          <w:rFonts w:ascii="仿宋" w:hAnsi="仿宋" w:eastAsia="仿宋" w:cs="仿宋_GB2312"/>
          <w:b/>
          <w:bCs/>
          <w:sz w:val="28"/>
          <w:szCs w:val="28"/>
        </w:rPr>
        <w:t>B</w:t>
      </w:r>
      <w:r>
        <w:rPr>
          <w:rFonts w:hint="eastAsia" w:ascii="仿宋" w:hAnsi="仿宋" w:eastAsia="仿宋" w:cs="仿宋_GB2312"/>
          <w:b/>
          <w:bCs/>
          <w:sz w:val="28"/>
          <w:szCs w:val="28"/>
        </w:rPr>
        <w:t>技术标（单独密封）</w:t>
      </w:r>
    </w:p>
    <w:p>
      <w:pPr>
        <w:autoSpaceDE w:val="0"/>
        <w:autoSpaceDN w:val="0"/>
        <w:adjustRightInd w:val="0"/>
        <w:spacing w:line="360" w:lineRule="auto"/>
        <w:rPr>
          <w:rFonts w:ascii="宋体" w:hAnsi="宋体" w:cs="宋体"/>
          <w:sz w:val="28"/>
          <w:szCs w:val="28"/>
        </w:rPr>
      </w:pPr>
    </w:p>
    <w:p>
      <w:pPr>
        <w:spacing w:line="360" w:lineRule="auto"/>
        <w:jc w:val="center"/>
        <w:rPr>
          <w:rFonts w:ascii="宋体" w:hAnsi="宋体" w:cs="宋体"/>
          <w:b/>
          <w:bCs/>
          <w:sz w:val="24"/>
        </w:rPr>
      </w:pPr>
      <w:r>
        <w:rPr>
          <w:rFonts w:hint="eastAsia" w:ascii="宋体" w:hAnsi="宋体" w:cs="宋体"/>
          <w:b/>
          <w:bCs/>
          <w:sz w:val="24"/>
        </w:rPr>
        <w:t>1.投标响应函</w:t>
      </w: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依据贵单位</w:t>
      </w:r>
      <w:r>
        <w:rPr>
          <w:rFonts w:hint="eastAsia" w:ascii="宋体" w:hAnsi="宋体" w:cs="宋体"/>
          <w:sz w:val="24"/>
          <w:u w:val="single"/>
        </w:rPr>
        <w:t xml:space="preserve">               </w:t>
      </w:r>
      <w:r>
        <w:rPr>
          <w:rFonts w:hint="eastAsia" w:ascii="宋体" w:hAnsi="宋体" w:cs="宋体"/>
          <w:sz w:val="24"/>
        </w:rPr>
        <w:t>（采购项目名称及项目编号)项目公开招标采购的邀请，我方授权</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（职务）为全权代表参加该项目的投标，全权处理本次投标的有关事宜。同时，我公司声明如下：</w:t>
      </w:r>
    </w:p>
    <w:p>
      <w:pPr>
        <w:spacing w:line="360" w:lineRule="auto"/>
        <w:ind w:firstLine="480" w:firstLineChars="200"/>
        <w:rPr>
          <w:rFonts w:ascii="宋体" w:hAnsi="宋体" w:cs="宋体"/>
          <w:sz w:val="24"/>
        </w:rPr>
      </w:pPr>
      <w:r>
        <w:rPr>
          <w:rFonts w:hint="eastAsia" w:ascii="宋体" w:hAnsi="宋体" w:cs="宋体"/>
          <w:sz w:val="24"/>
        </w:rPr>
        <w:t>1.同意并接受招标文件的各项要求，遵守招标文件中的各项规定，按招标文件的要求提供报价。</w:t>
      </w:r>
    </w:p>
    <w:p>
      <w:pPr>
        <w:spacing w:line="360" w:lineRule="auto"/>
        <w:ind w:firstLine="480" w:firstLineChars="200"/>
        <w:rPr>
          <w:rFonts w:ascii="宋体" w:hAnsi="宋体" w:cs="宋体"/>
          <w:sz w:val="24"/>
        </w:rPr>
      </w:pPr>
      <w:r>
        <w:rPr>
          <w:rFonts w:hint="eastAsia" w:ascii="宋体" w:hAnsi="宋体" w:cs="宋体"/>
          <w:sz w:val="24"/>
        </w:rPr>
        <w:t>2.我公司已经详细阅读了全部招标文件及其附件，我方已完全清晰理解招标文件的要求，不存在任何含糊不清和误解之处，同意放弃对这些文件所提出的异议和质疑的权利。</w:t>
      </w:r>
    </w:p>
    <w:p>
      <w:pPr>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pacing w:line="360" w:lineRule="auto"/>
        <w:ind w:firstLine="480" w:firstLineChars="200"/>
        <w:rPr>
          <w:rFonts w:ascii="宋体" w:hAnsi="宋体" w:cs="宋体"/>
          <w:sz w:val="24"/>
        </w:rPr>
      </w:pPr>
      <w:r>
        <w:rPr>
          <w:rFonts w:hint="eastAsia" w:ascii="宋体" w:hAnsi="宋体" w:cs="宋体"/>
          <w:sz w:val="24"/>
        </w:rPr>
        <w:t>4.我公司承诺在本次招标响应中提供的一切文件，无论是原件还是复印件均真实有效，绝无任何虚假、伪造和夸大的成份。否则，愿承担相应的后果和法律责任。</w:t>
      </w:r>
    </w:p>
    <w:p>
      <w:pPr>
        <w:spacing w:line="360" w:lineRule="auto"/>
        <w:ind w:firstLine="480" w:firstLineChars="200"/>
        <w:rPr>
          <w:rFonts w:ascii="宋体" w:hAnsi="宋体" w:cs="宋体"/>
          <w:sz w:val="24"/>
        </w:rPr>
      </w:pPr>
      <w:r>
        <w:rPr>
          <w:rFonts w:hint="eastAsia" w:ascii="宋体" w:hAnsi="宋体" w:cs="宋体"/>
          <w:sz w:val="24"/>
        </w:rPr>
        <w:t>5.我公司尊重评标小组所作的评定结果，同时清楚理解到报价最低并非意味着必定获得中标资格。</w:t>
      </w:r>
    </w:p>
    <w:p>
      <w:pPr>
        <w:spacing w:line="360" w:lineRule="auto"/>
        <w:ind w:firstLine="480" w:firstLineChars="200"/>
        <w:rPr>
          <w:rFonts w:ascii="宋体" w:hAnsi="宋体" w:cs="宋体"/>
          <w:sz w:val="24"/>
        </w:rPr>
      </w:pPr>
      <w:r>
        <w:rPr>
          <w:rFonts w:hint="eastAsia" w:ascii="宋体" w:hAnsi="宋体" w:cs="宋体"/>
          <w:sz w:val="24"/>
        </w:rPr>
        <w:t>6.一旦我方中标,我方将根据招标文件的要求和投标投标文件的承诺签订合同，严格履行合同的责任和义务,并保证在招标文件规定的时间完成项目，交付采购人验收、使用。</w:t>
      </w:r>
    </w:p>
    <w:p>
      <w:pPr>
        <w:spacing w:line="360" w:lineRule="auto"/>
        <w:ind w:firstLine="1560" w:firstLineChars="650"/>
        <w:jc w:val="right"/>
        <w:rPr>
          <w:rFonts w:ascii="宋体" w:hAnsi="宋体" w:cs="宋体"/>
          <w:sz w:val="24"/>
        </w:rPr>
      </w:pPr>
    </w:p>
    <w:p>
      <w:pPr>
        <w:spacing w:line="360" w:lineRule="auto"/>
        <w:ind w:firstLine="1560" w:firstLineChars="650"/>
        <w:jc w:val="right"/>
        <w:rPr>
          <w:rFonts w:ascii="宋体" w:hAnsi="宋体" w:cs="宋体"/>
          <w:sz w:val="24"/>
        </w:rPr>
      </w:pPr>
    </w:p>
    <w:p>
      <w:pPr>
        <w:spacing w:line="360" w:lineRule="auto"/>
        <w:ind w:firstLine="1560" w:firstLineChars="650"/>
        <w:jc w:val="right"/>
        <w:rPr>
          <w:rFonts w:ascii="宋体" w:hAnsi="宋体" w:cs="宋体"/>
          <w:sz w:val="24"/>
        </w:rPr>
      </w:pPr>
      <w:r>
        <w:rPr>
          <w:rFonts w:hint="eastAsia" w:ascii="宋体" w:hAnsi="宋体" w:cs="宋体"/>
          <w:sz w:val="24"/>
        </w:rPr>
        <w:t>投标供应商：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1560" w:firstLineChars="65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4320" w:firstLineChars="1800"/>
        <w:jc w:val="right"/>
        <w:rPr>
          <w:rFonts w:ascii="宋体" w:hAnsi="宋体" w:cs="宋体"/>
          <w:sz w:val="24"/>
        </w:rPr>
        <w:sectPr>
          <w:footerReference r:id="rId5" w:type="first"/>
          <w:headerReference r:id="rId3" w:type="default"/>
          <w:footerReference r:id="rId4" w:type="default"/>
          <w:pgSz w:w="11906" w:h="16838"/>
          <w:pgMar w:top="1440" w:right="1080" w:bottom="1440" w:left="1080" w:header="851" w:footer="992" w:gutter="0"/>
          <w:cols w:space="425" w:num="1"/>
          <w:titlePg/>
          <w:docGrid w:linePitch="312" w:charSpace="0"/>
        </w:sectPr>
      </w:pPr>
      <w:r>
        <w:rPr>
          <w:rFonts w:hint="eastAsia" w:ascii="宋体" w:hAnsi="宋体" w:cs="宋体"/>
          <w:sz w:val="24"/>
        </w:rPr>
        <w:t>年  月  日</w:t>
      </w:r>
    </w:p>
    <w:p>
      <w:pPr>
        <w:spacing w:line="360" w:lineRule="auto"/>
        <w:rPr>
          <w:rFonts w:hAnsi="宋体" w:cs="宋体"/>
          <w:b/>
          <w:sz w:val="24"/>
        </w:rPr>
      </w:pPr>
    </w:p>
    <w:p>
      <w:pPr>
        <w:spacing w:line="360" w:lineRule="auto"/>
        <w:jc w:val="center"/>
        <w:rPr>
          <w:rFonts w:hAnsi="宋体" w:cs="宋体"/>
          <w:b/>
          <w:sz w:val="24"/>
        </w:rPr>
      </w:pPr>
    </w:p>
    <w:p>
      <w:pPr>
        <w:jc w:val="center"/>
        <w:rPr>
          <w:rFonts w:hAnsi="宋体" w:cs="宋体"/>
          <w:b/>
          <w:sz w:val="24"/>
        </w:rPr>
      </w:pPr>
      <w:r>
        <w:rPr>
          <w:rFonts w:hint="eastAsia" w:hAnsi="宋体" w:cs="宋体"/>
          <w:b/>
          <w:sz w:val="24"/>
        </w:rPr>
        <w:t>2.业绩明细表</w:t>
      </w:r>
    </w:p>
    <w:tbl>
      <w:tblPr>
        <w:tblStyle w:val="9"/>
        <w:tblW w:w="14589" w:type="dxa"/>
        <w:jc w:val="center"/>
        <w:tblLayout w:type="fixed"/>
        <w:tblCellMar>
          <w:top w:w="0" w:type="dxa"/>
          <w:left w:w="108" w:type="dxa"/>
          <w:bottom w:w="0" w:type="dxa"/>
          <w:right w:w="108" w:type="dxa"/>
        </w:tblCellMar>
      </w:tblPr>
      <w:tblGrid>
        <w:gridCol w:w="641"/>
        <w:gridCol w:w="988"/>
        <w:gridCol w:w="1134"/>
        <w:gridCol w:w="850"/>
        <w:gridCol w:w="992"/>
        <w:gridCol w:w="1134"/>
        <w:gridCol w:w="1134"/>
        <w:gridCol w:w="993"/>
        <w:gridCol w:w="708"/>
        <w:gridCol w:w="851"/>
        <w:gridCol w:w="992"/>
        <w:gridCol w:w="3096"/>
        <w:gridCol w:w="1076"/>
      </w:tblGrid>
      <w:tr>
        <w:tblPrEx>
          <w:tblCellMar>
            <w:top w:w="0" w:type="dxa"/>
            <w:left w:w="108" w:type="dxa"/>
            <w:bottom w:w="0" w:type="dxa"/>
            <w:right w:w="108" w:type="dxa"/>
          </w:tblCellMar>
        </w:tblPrEx>
        <w:trPr>
          <w:trHeight w:val="110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序号</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发行人全称</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发行起始日</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规模（亿元）</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期限（年）</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票面利率（%）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发行时主体评级</w:t>
            </w:r>
          </w:p>
        </w:tc>
        <w:tc>
          <w:tcPr>
            <w:tcW w:w="9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担保方评级（如有）</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是否私募债</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是否独家主承销</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注册地所在省份</w:t>
            </w: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实际控制人名称（需为政府部门，以持股比例最高作为判断依据）</w:t>
            </w:r>
          </w:p>
        </w:tc>
        <w:tc>
          <w:tcPr>
            <w:tcW w:w="10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实际控制人合计持股比例</w:t>
            </w:r>
          </w:p>
        </w:tc>
      </w:tr>
      <w:tr>
        <w:tblPrEx>
          <w:tblCellMar>
            <w:top w:w="0" w:type="dxa"/>
            <w:left w:w="108" w:type="dxa"/>
            <w:bottom w:w="0" w:type="dxa"/>
            <w:right w:w="108" w:type="dxa"/>
          </w:tblCellMar>
        </w:tblPrEx>
        <w:trPr>
          <w:trHeight w:val="633"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1</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0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r>
      <w:tr>
        <w:tblPrEx>
          <w:tblCellMar>
            <w:top w:w="0" w:type="dxa"/>
            <w:left w:w="108" w:type="dxa"/>
            <w:bottom w:w="0" w:type="dxa"/>
            <w:right w:w="108" w:type="dxa"/>
          </w:tblCellMar>
        </w:tblPrEx>
        <w:trPr>
          <w:trHeight w:val="5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2</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0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r>
      <w:tr>
        <w:tblPrEx>
          <w:tblCellMar>
            <w:top w:w="0" w:type="dxa"/>
            <w:left w:w="108" w:type="dxa"/>
            <w:bottom w:w="0" w:type="dxa"/>
            <w:right w:w="108" w:type="dxa"/>
          </w:tblCellMar>
        </w:tblPrEx>
        <w:trPr>
          <w:trHeight w:val="551"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3</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0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r>
      <w:tr>
        <w:tblPrEx>
          <w:tblCellMar>
            <w:top w:w="0" w:type="dxa"/>
            <w:left w:w="108" w:type="dxa"/>
            <w:bottom w:w="0" w:type="dxa"/>
            <w:right w:w="108" w:type="dxa"/>
          </w:tblCellMar>
        </w:tblPrEx>
        <w:trPr>
          <w:trHeight w:val="57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r>
              <w:rPr>
                <w:rFonts w:hint="eastAsia" w:cs="宋体"/>
                <w:b/>
                <w:bCs/>
                <w:color w:val="000000"/>
                <w:kern w:val="0"/>
                <w:sz w:val="22"/>
              </w:rPr>
              <w:t>4</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0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r>
      <w:tr>
        <w:tblPrEx>
          <w:tblCellMar>
            <w:top w:w="0" w:type="dxa"/>
            <w:left w:w="108" w:type="dxa"/>
            <w:bottom w:w="0" w:type="dxa"/>
            <w:right w:w="108" w:type="dxa"/>
          </w:tblCellMar>
        </w:tblPrEx>
        <w:trPr>
          <w:trHeight w:val="412" w:hRule="atLeast"/>
          <w:jc w:val="center"/>
        </w:trPr>
        <w:tc>
          <w:tcPr>
            <w:tcW w:w="64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b/>
                <w:bCs/>
                <w:color w:val="000000"/>
                <w:kern w:val="0"/>
                <w:sz w:val="22"/>
              </w:rPr>
            </w:pPr>
            <w:r>
              <w:rPr>
                <w:rFonts w:cs="宋体"/>
                <w:b/>
                <w:bCs/>
                <w:color w:val="000000"/>
                <w:kern w:val="0"/>
                <w:sz w:val="22"/>
              </w:rPr>
              <w:t>…</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30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c>
          <w:tcPr>
            <w:tcW w:w="10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b/>
                <w:bCs/>
                <w:color w:val="000000"/>
                <w:kern w:val="0"/>
                <w:sz w:val="22"/>
              </w:rPr>
            </w:pPr>
          </w:p>
        </w:tc>
      </w:tr>
    </w:tbl>
    <w:p>
      <w:pPr>
        <w:spacing w:line="360" w:lineRule="auto"/>
        <w:rPr>
          <w:rFonts w:hAnsi="宋体" w:cs="宋体"/>
          <w:sz w:val="24"/>
          <w:u w:val="single"/>
        </w:rPr>
      </w:pPr>
    </w:p>
    <w:p>
      <w:pPr>
        <w:snapToGrid w:val="0"/>
        <w:spacing w:line="360" w:lineRule="auto"/>
        <w:outlineLvl w:val="2"/>
        <w:rPr>
          <w:rFonts w:ascii="仿宋" w:hAnsi="仿宋" w:eastAsia="仿宋" w:cs="仿宋_GB2312"/>
          <w:b/>
          <w:bCs/>
          <w:sz w:val="28"/>
          <w:szCs w:val="28"/>
        </w:rPr>
      </w:pPr>
    </w:p>
    <w:p>
      <w:pPr>
        <w:snapToGrid w:val="0"/>
        <w:spacing w:line="360" w:lineRule="auto"/>
        <w:ind w:firstLine="3092" w:firstLineChars="1100"/>
        <w:outlineLvl w:val="2"/>
        <w:rPr>
          <w:rFonts w:ascii="仿宋" w:hAnsi="仿宋" w:eastAsia="仿宋" w:cs="仿宋_GB2312"/>
          <w:b/>
          <w:bCs/>
          <w:sz w:val="28"/>
          <w:szCs w:val="28"/>
        </w:rPr>
        <w:sectPr>
          <w:pgSz w:w="16838" w:h="11906" w:orient="landscape"/>
          <w:pgMar w:top="1080" w:right="1440" w:bottom="1080" w:left="1440" w:header="851" w:footer="992" w:gutter="0"/>
          <w:cols w:space="720" w:num="1"/>
          <w:titlePg/>
          <w:docGrid w:linePitch="312" w:charSpace="0"/>
        </w:sectPr>
      </w:pPr>
    </w:p>
    <w:p>
      <w:pPr>
        <w:snapToGrid w:val="0"/>
        <w:spacing w:line="360" w:lineRule="auto"/>
        <w:jc w:val="left"/>
        <w:outlineLvl w:val="2"/>
        <w:rPr>
          <w:rFonts w:ascii="仿宋" w:hAnsi="仿宋" w:eastAsia="仿宋" w:cs="仿宋_GB2312"/>
          <w:b/>
          <w:bCs/>
          <w:sz w:val="28"/>
          <w:szCs w:val="28"/>
        </w:rPr>
      </w:pPr>
      <w:r>
        <w:rPr>
          <w:rFonts w:hint="eastAsia" w:ascii="仿宋" w:hAnsi="仿宋" w:eastAsia="仿宋" w:cs="仿宋_GB2312"/>
          <w:b/>
          <w:bCs/>
          <w:sz w:val="28"/>
          <w:szCs w:val="28"/>
        </w:rPr>
        <w:t>C商务标（单独密封）</w:t>
      </w:r>
    </w:p>
    <w:p>
      <w:pPr>
        <w:spacing w:line="360" w:lineRule="auto"/>
        <w:ind w:firstLine="3602" w:firstLineChars="1196"/>
        <w:rPr>
          <w:rFonts w:ascii="宋体" w:hAnsi="宋体" w:cs="宋体"/>
          <w:b/>
          <w:bCs/>
          <w:sz w:val="30"/>
          <w:szCs w:val="30"/>
        </w:rPr>
      </w:pPr>
      <w:r>
        <w:rPr>
          <w:rFonts w:hint="eastAsia" w:ascii="宋体" w:hAnsi="宋体" w:cs="宋体"/>
          <w:b/>
          <w:bCs/>
          <w:sz w:val="30"/>
          <w:szCs w:val="30"/>
        </w:rPr>
        <w:t>投标报价表</w:t>
      </w: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r>
        <w:rPr>
          <w:rFonts w:hAnsi="宋体" w:cs="宋体"/>
          <w:sz w:val="24"/>
        </w:rPr>
        <w:t xml:space="preserve"> </w:t>
      </w:r>
    </w:p>
    <w:p>
      <w:pPr>
        <w:spacing w:line="360" w:lineRule="auto"/>
        <w:jc w:val="left"/>
        <w:rPr>
          <w:rFonts w:ascii="宋体" w:hAnsi="宋体" w:cs="宋体"/>
          <w:sz w:val="24"/>
        </w:rPr>
      </w:pPr>
      <w:r>
        <w:rPr>
          <w:rFonts w:hint="eastAsia" w:ascii="宋体" w:hAnsi="宋体"/>
          <w:sz w:val="24"/>
        </w:rPr>
        <w:t xml:space="preserve">     1.我方已仔细研究了</w:t>
      </w:r>
      <w:r>
        <w:rPr>
          <w:rFonts w:hint="eastAsia" w:ascii="宋体" w:hAnsi="宋体"/>
          <w:sz w:val="24"/>
          <w:u w:val="single"/>
        </w:rPr>
        <w:t xml:space="preserve">           </w:t>
      </w:r>
      <w:r>
        <w:rPr>
          <w:rFonts w:hint="eastAsia" w:ascii="宋体" w:hAnsi="宋体" w:cs="宋体"/>
          <w:sz w:val="24"/>
        </w:rPr>
        <w:t>（采购项目名称及项目编号)</w:t>
      </w:r>
      <w:r>
        <w:rPr>
          <w:rFonts w:hint="eastAsia" w:ascii="宋体" w:hAnsi="宋体"/>
          <w:sz w:val="24"/>
        </w:rPr>
        <w:t xml:space="preserve"> 的招标</w:t>
      </w:r>
      <w:r>
        <w:rPr>
          <w:rFonts w:hint="eastAsia" w:ascii="宋体" w:hAnsi="宋体" w:cs="宋体"/>
          <w:kern w:val="0"/>
          <w:sz w:val="24"/>
        </w:rPr>
        <w:t>文件</w:t>
      </w:r>
      <w:r>
        <w:rPr>
          <w:rFonts w:hint="eastAsia" w:ascii="宋体" w:hAnsi="宋体"/>
          <w:sz w:val="24"/>
        </w:rPr>
        <w:t>的全部内容，愿意就该项目给出如下报价：</w:t>
      </w:r>
      <w:r>
        <w:rPr>
          <w:rFonts w:hint="eastAsia"/>
          <w:sz w:val="24"/>
        </w:rPr>
        <w:t>拟发行债券总额的</w:t>
      </w:r>
      <w:r>
        <w:rPr>
          <w:rFonts w:hint="eastAsia" w:ascii="宋体" w:hAnsi="宋体" w:cs="宋体"/>
          <w:sz w:val="24"/>
          <w:u w:val="single"/>
        </w:rPr>
        <w:t xml:space="preserve">（小写）     </w:t>
      </w:r>
      <w:r>
        <w:rPr>
          <w:rFonts w:hint="eastAsia" w:ascii="宋体" w:hAnsi="宋体" w:cs="宋体"/>
          <w:sz w:val="24"/>
        </w:rPr>
        <w:t>%/年（小数点后保留两位）</w:t>
      </w:r>
    </w:p>
    <w:p>
      <w:pPr>
        <w:spacing w:line="360" w:lineRule="auto"/>
        <w:ind w:firstLine="600" w:firstLineChars="250"/>
        <w:jc w:val="left"/>
        <w:rPr>
          <w:rFonts w:ascii="宋体" w:hAnsi="宋体"/>
          <w:sz w:val="24"/>
        </w:rPr>
      </w:pPr>
      <w:r>
        <w:rPr>
          <w:rFonts w:hint="eastAsia" w:ascii="宋体" w:hAnsi="宋体"/>
          <w:sz w:val="24"/>
        </w:rPr>
        <w:t>2.我方承诺在服务期限内，按招标</w:t>
      </w:r>
      <w:r>
        <w:rPr>
          <w:rFonts w:hint="eastAsia" w:ascii="宋体" w:hAnsi="宋体" w:cs="宋体"/>
          <w:sz w:val="24"/>
        </w:rPr>
        <w:t>文件的规定履行合同责任和义务</w:t>
      </w:r>
      <w:r>
        <w:rPr>
          <w:rFonts w:hint="eastAsia" w:ascii="宋体" w:hAnsi="宋体"/>
          <w:sz w:val="24"/>
        </w:rPr>
        <w:t>，实现服务目标。</w:t>
      </w:r>
    </w:p>
    <w:p>
      <w:pPr>
        <w:spacing w:line="360" w:lineRule="auto"/>
        <w:ind w:firstLine="600" w:firstLineChars="250"/>
        <w:rPr>
          <w:rFonts w:ascii="宋体" w:hAnsi="宋体"/>
          <w:sz w:val="24"/>
        </w:rPr>
      </w:pPr>
      <w:r>
        <w:rPr>
          <w:rFonts w:hint="eastAsia" w:ascii="宋体" w:hAnsi="宋体"/>
          <w:sz w:val="24"/>
        </w:rPr>
        <w:t>3.我方承诺在招标文件规定的投标有效期内不修改、撤销投标文件。</w:t>
      </w:r>
    </w:p>
    <w:p>
      <w:pPr>
        <w:spacing w:line="360" w:lineRule="auto"/>
        <w:ind w:firstLine="600" w:firstLineChars="250"/>
        <w:rPr>
          <w:rFonts w:ascii="宋体" w:hAnsi="宋体"/>
          <w:sz w:val="24"/>
        </w:rPr>
      </w:pPr>
      <w:r>
        <w:rPr>
          <w:rFonts w:hint="eastAsia" w:ascii="宋体" w:hAnsi="宋体"/>
          <w:sz w:val="24"/>
        </w:rPr>
        <w:t>4.我方中标：</w:t>
      </w:r>
    </w:p>
    <w:p>
      <w:pPr>
        <w:spacing w:line="360" w:lineRule="auto"/>
        <w:ind w:firstLine="360" w:firstLineChars="150"/>
        <w:rPr>
          <w:rFonts w:ascii="宋体" w:hAnsi="宋体"/>
          <w:sz w:val="24"/>
        </w:rPr>
      </w:pPr>
      <w:r>
        <w:rPr>
          <w:rFonts w:hint="eastAsia" w:ascii="宋体" w:hAnsi="宋体"/>
          <w:sz w:val="24"/>
        </w:rPr>
        <w:t>（1）我方承诺在收到中标通知书后，在中标通知书规定的期限内与你方签订合同。</w:t>
      </w:r>
    </w:p>
    <w:p>
      <w:pPr>
        <w:spacing w:line="360" w:lineRule="auto"/>
        <w:ind w:firstLine="360" w:firstLineChars="150"/>
        <w:rPr>
          <w:rFonts w:ascii="宋体" w:hAnsi="宋体"/>
          <w:sz w:val="24"/>
        </w:rPr>
      </w:pPr>
      <w:r>
        <w:rPr>
          <w:rFonts w:hint="eastAsia" w:ascii="宋体" w:hAnsi="宋体"/>
          <w:sz w:val="24"/>
        </w:rPr>
        <w:t>（2）我方将严格履行本投标文件中的全部承诺和责任，并遵守招标文件中对投标供应商的所有规定。</w:t>
      </w:r>
    </w:p>
    <w:p>
      <w:pPr>
        <w:spacing w:line="360" w:lineRule="auto"/>
        <w:ind w:firstLine="600" w:firstLineChars="250"/>
        <w:rPr>
          <w:rFonts w:ascii="宋体" w:hAnsi="宋体"/>
          <w:sz w:val="24"/>
        </w:rPr>
      </w:pPr>
      <w:r>
        <w:rPr>
          <w:rFonts w:hint="eastAsia" w:ascii="宋体" w:hAnsi="宋体"/>
          <w:sz w:val="24"/>
        </w:rPr>
        <w:t xml:space="preserve">5.我方在此声明，所递交的投标文件及有关资料内容完整、真实和准确。  </w:t>
      </w:r>
    </w:p>
    <w:p>
      <w:pPr>
        <w:pStyle w:val="14"/>
        <w:tabs>
          <w:tab w:val="left" w:pos="5665"/>
          <w:tab w:val="right" w:pos="8360"/>
        </w:tabs>
        <w:spacing w:line="360" w:lineRule="auto"/>
        <w:ind w:right="42" w:firstLine="1560" w:firstLineChars="650"/>
        <w:rPr>
          <w:rFonts w:hAnsi="宋体" w:cs="宋体"/>
          <w:sz w:val="24"/>
        </w:rPr>
      </w:pPr>
    </w:p>
    <w:p>
      <w:pPr>
        <w:pStyle w:val="14"/>
        <w:tabs>
          <w:tab w:val="left" w:pos="5665"/>
          <w:tab w:val="right" w:pos="8360"/>
        </w:tabs>
        <w:spacing w:line="360" w:lineRule="auto"/>
        <w:ind w:right="42" w:firstLine="1560" w:firstLineChars="650"/>
        <w:rPr>
          <w:rFonts w:hAnsi="宋体" w:cs="宋体"/>
          <w:sz w:val="24"/>
        </w:rPr>
      </w:pPr>
    </w:p>
    <w:p>
      <w:pPr>
        <w:pStyle w:val="14"/>
        <w:tabs>
          <w:tab w:val="left" w:pos="5665"/>
          <w:tab w:val="right" w:pos="8360"/>
        </w:tabs>
        <w:spacing w:line="360" w:lineRule="auto"/>
        <w:ind w:right="42"/>
        <w:jc w:val="left"/>
        <w:rPr>
          <w:rFonts w:hAnsi="宋体" w:cs="宋体"/>
          <w:sz w:val="24"/>
          <w:u w:val="single"/>
        </w:rPr>
      </w:pPr>
      <w:r>
        <w:rPr>
          <w:rFonts w:hint="eastAsia" w:hAnsi="宋体" w:cs="宋体"/>
          <w:sz w:val="24"/>
        </w:rPr>
        <w:t>投标供应商（公章)：</w:t>
      </w:r>
      <w:r>
        <w:rPr>
          <w:rFonts w:hint="eastAsia" w:hAnsi="宋体" w:cs="宋体"/>
          <w:sz w:val="24"/>
          <w:u w:val="single"/>
        </w:rPr>
        <w:t xml:space="preserve">                                  </w:t>
      </w:r>
    </w:p>
    <w:p>
      <w:pPr>
        <w:pStyle w:val="14"/>
        <w:tabs>
          <w:tab w:val="left" w:pos="5665"/>
          <w:tab w:val="right" w:pos="8360"/>
        </w:tabs>
        <w:spacing w:line="360" w:lineRule="auto"/>
        <w:ind w:right="42"/>
        <w:rPr>
          <w:rFonts w:hAnsi="宋体" w:cs="宋体"/>
          <w:sz w:val="24"/>
          <w:u w:val="single"/>
        </w:rPr>
      </w:pPr>
    </w:p>
    <w:p>
      <w:pPr>
        <w:pStyle w:val="14"/>
        <w:tabs>
          <w:tab w:val="left" w:pos="5665"/>
          <w:tab w:val="right" w:pos="8360"/>
        </w:tabs>
        <w:spacing w:line="360" w:lineRule="auto"/>
        <w:ind w:right="42"/>
        <w:rPr>
          <w:rFonts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w:t>
      </w:r>
    </w:p>
    <w:p>
      <w:pPr>
        <w:pStyle w:val="14"/>
        <w:tabs>
          <w:tab w:val="left" w:pos="5665"/>
          <w:tab w:val="right" w:pos="8360"/>
        </w:tabs>
        <w:spacing w:line="360" w:lineRule="auto"/>
        <w:ind w:right="42"/>
        <w:rPr>
          <w:rFonts w:hAnsi="宋体" w:cs="宋体"/>
          <w:sz w:val="24"/>
        </w:rPr>
      </w:pPr>
    </w:p>
    <w:p>
      <w:pPr>
        <w:spacing w:line="360" w:lineRule="auto"/>
        <w:jc w:val="center"/>
        <w:rPr>
          <w:rFonts w:hAnsi="宋体" w:cs="宋体"/>
          <w:sz w:val="24"/>
          <w:u w:val="single"/>
        </w:rPr>
      </w:pPr>
      <w:r>
        <w:rPr>
          <w:rFonts w:hint="eastAsia" w:hAnsi="宋体" w:cs="宋体"/>
          <w:sz w:val="24"/>
        </w:rPr>
        <w:t>年   月   日</w:t>
      </w:r>
    </w:p>
    <w:p>
      <w:pPr>
        <w:spacing w:line="360" w:lineRule="auto"/>
        <w:jc w:val="center"/>
        <w:rPr>
          <w:rFonts w:hAnsi="宋体" w:cs="宋体"/>
          <w:sz w:val="24"/>
          <w:u w:val="single"/>
        </w:rPr>
      </w:pPr>
    </w:p>
    <w:p>
      <w:pPr>
        <w:spacing w:line="360" w:lineRule="auto"/>
        <w:jc w:val="center"/>
        <w:rPr>
          <w:rFonts w:hAnsi="宋体" w:cs="宋体"/>
          <w:sz w:val="24"/>
          <w:u w:val="single"/>
        </w:rPr>
      </w:pPr>
    </w:p>
    <w:p>
      <w:pPr>
        <w:spacing w:line="360" w:lineRule="auto"/>
        <w:rPr>
          <w:rFonts w:ascii="宋体" w:hAnsi="宋体" w:cs="宋体"/>
          <w:sz w:val="28"/>
          <w:szCs w:val="28"/>
        </w:rPr>
      </w:pPr>
    </w:p>
    <w:p>
      <w:pPr>
        <w:spacing w:line="360" w:lineRule="auto"/>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eastAsia="楷体_GB2312"/>
        <w:sz w:val="21"/>
        <w:szCs w:val="21"/>
      </w:rPr>
    </w:pPr>
    <w:r>
      <w:rPr>
        <w:sz w:val="21"/>
      </w:rP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 o:spid="_x0000_s1027"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BPrJqWPAQAAHgMAAA4AAAAAAAAAAAAAAAAA&#10;LgIAAGRycy9lMm9Eb2MueG1sUEsBAi0AFAAGAAgAAAAhAAiJARHXAAAAAwEAAA8AAAAAAAAAAAAA&#10;AAAA6QMAAGRycy9kb3ducmV2LnhtbFBLBQYAAAAABAAEAPMAAADtB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B32FC"/>
    <w:multiLevelType w:val="singleLevel"/>
    <w:tmpl w:val="912B32FC"/>
    <w:lvl w:ilvl="0" w:tentative="0">
      <w:start w:val="4"/>
      <w:numFmt w:val="decimal"/>
      <w:lvlText w:val="%1."/>
      <w:lvlJc w:val="left"/>
      <w:pPr>
        <w:tabs>
          <w:tab w:val="left" w:pos="312"/>
        </w:tabs>
        <w:ind w:left="480" w:firstLine="0"/>
      </w:pPr>
    </w:lvl>
  </w:abstractNum>
  <w:abstractNum w:abstractNumId="1">
    <w:nsid w:val="E8E4614E"/>
    <w:multiLevelType w:val="singleLevel"/>
    <w:tmpl w:val="E8E4614E"/>
    <w:lvl w:ilvl="0" w:tentative="0">
      <w:start w:val="9"/>
      <w:numFmt w:val="chineseCounting"/>
      <w:suff w:val="nothing"/>
      <w:lvlText w:val="%1、"/>
      <w:lvlJc w:val="left"/>
      <w:rPr>
        <w:rFonts w:hint="eastAsia"/>
      </w:rPr>
    </w:lvl>
  </w:abstractNum>
  <w:abstractNum w:abstractNumId="2">
    <w:nsid w:val="5ABE0668"/>
    <w:multiLevelType w:val="singleLevel"/>
    <w:tmpl w:val="5ABE0668"/>
    <w:lvl w:ilvl="0" w:tentative="0">
      <w:start w:val="1"/>
      <w:numFmt w:val="chineseCounting"/>
      <w:suff w:val="nothing"/>
      <w:lvlText w:val="%1、"/>
      <w:lvlJc w:val="left"/>
      <w:pPr>
        <w:ind w:left="-62"/>
      </w:pPr>
    </w:lvl>
  </w:abstractNum>
  <w:abstractNum w:abstractNumId="3">
    <w:nsid w:val="5CF2E9AC"/>
    <w:multiLevelType w:val="singleLevel"/>
    <w:tmpl w:val="5CF2E9A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5Nzg4YWQyYjUwMDJmYzA1Mjg2NDJmMzFiN2QzODQifQ=="/>
  </w:docVars>
  <w:rsids>
    <w:rsidRoot w:val="1E582C20"/>
    <w:rsid w:val="000104D4"/>
    <w:rsid w:val="00037F02"/>
    <w:rsid w:val="000B36E4"/>
    <w:rsid w:val="000D7AE0"/>
    <w:rsid w:val="000E4E18"/>
    <w:rsid w:val="0012265A"/>
    <w:rsid w:val="00134A77"/>
    <w:rsid w:val="00196AD3"/>
    <w:rsid w:val="001C7DEA"/>
    <w:rsid w:val="0020460A"/>
    <w:rsid w:val="00243BD6"/>
    <w:rsid w:val="00260EC8"/>
    <w:rsid w:val="00294A10"/>
    <w:rsid w:val="0029758A"/>
    <w:rsid w:val="002A0519"/>
    <w:rsid w:val="00303E3E"/>
    <w:rsid w:val="003378A4"/>
    <w:rsid w:val="0037232A"/>
    <w:rsid w:val="003D7B63"/>
    <w:rsid w:val="004A6D3F"/>
    <w:rsid w:val="00506C7D"/>
    <w:rsid w:val="00522933"/>
    <w:rsid w:val="00556BEA"/>
    <w:rsid w:val="006605B5"/>
    <w:rsid w:val="006860A0"/>
    <w:rsid w:val="006B23CC"/>
    <w:rsid w:val="006C33E6"/>
    <w:rsid w:val="00707EEE"/>
    <w:rsid w:val="00714E2D"/>
    <w:rsid w:val="007B23FD"/>
    <w:rsid w:val="007E09CE"/>
    <w:rsid w:val="00801C60"/>
    <w:rsid w:val="008845E9"/>
    <w:rsid w:val="008B7C83"/>
    <w:rsid w:val="008C048E"/>
    <w:rsid w:val="008E3D80"/>
    <w:rsid w:val="008F6C60"/>
    <w:rsid w:val="0092744C"/>
    <w:rsid w:val="009478FC"/>
    <w:rsid w:val="00951C5A"/>
    <w:rsid w:val="009721A6"/>
    <w:rsid w:val="0097661C"/>
    <w:rsid w:val="00A20B5B"/>
    <w:rsid w:val="00A25C90"/>
    <w:rsid w:val="00A27262"/>
    <w:rsid w:val="00A44ADE"/>
    <w:rsid w:val="00A571E6"/>
    <w:rsid w:val="00A86EF5"/>
    <w:rsid w:val="00AB649D"/>
    <w:rsid w:val="00AD204D"/>
    <w:rsid w:val="00AD767B"/>
    <w:rsid w:val="00B90080"/>
    <w:rsid w:val="00BB44CC"/>
    <w:rsid w:val="00C62DFB"/>
    <w:rsid w:val="00CA3350"/>
    <w:rsid w:val="00CA5D3C"/>
    <w:rsid w:val="00CB1EF4"/>
    <w:rsid w:val="00D10EBF"/>
    <w:rsid w:val="00D20833"/>
    <w:rsid w:val="00D26643"/>
    <w:rsid w:val="00D55E24"/>
    <w:rsid w:val="00D754D8"/>
    <w:rsid w:val="00D932C0"/>
    <w:rsid w:val="00DA335C"/>
    <w:rsid w:val="00DC10C6"/>
    <w:rsid w:val="00DD33D9"/>
    <w:rsid w:val="00DE2F8C"/>
    <w:rsid w:val="00E233F0"/>
    <w:rsid w:val="00E50D64"/>
    <w:rsid w:val="00E735B7"/>
    <w:rsid w:val="00E740D7"/>
    <w:rsid w:val="00ED53CC"/>
    <w:rsid w:val="00ED7C6B"/>
    <w:rsid w:val="00EE043D"/>
    <w:rsid w:val="00EF3C1B"/>
    <w:rsid w:val="00F31A4A"/>
    <w:rsid w:val="00F535BE"/>
    <w:rsid w:val="00FA5B14"/>
    <w:rsid w:val="00FB595A"/>
    <w:rsid w:val="00FC27D1"/>
    <w:rsid w:val="00FC7946"/>
    <w:rsid w:val="00FF513E"/>
    <w:rsid w:val="00FF6509"/>
    <w:rsid w:val="012B653C"/>
    <w:rsid w:val="02C10335"/>
    <w:rsid w:val="02F70D3E"/>
    <w:rsid w:val="031540B9"/>
    <w:rsid w:val="03701308"/>
    <w:rsid w:val="038502CA"/>
    <w:rsid w:val="03A2755F"/>
    <w:rsid w:val="044034C9"/>
    <w:rsid w:val="045773EF"/>
    <w:rsid w:val="04C55621"/>
    <w:rsid w:val="0519283C"/>
    <w:rsid w:val="05526423"/>
    <w:rsid w:val="056A6CA8"/>
    <w:rsid w:val="05A879D0"/>
    <w:rsid w:val="05E3779C"/>
    <w:rsid w:val="067C5736"/>
    <w:rsid w:val="072E2CDD"/>
    <w:rsid w:val="07334119"/>
    <w:rsid w:val="081C1BE6"/>
    <w:rsid w:val="082A4A87"/>
    <w:rsid w:val="08396E12"/>
    <w:rsid w:val="0844216B"/>
    <w:rsid w:val="084706EB"/>
    <w:rsid w:val="0878297D"/>
    <w:rsid w:val="08FE7D79"/>
    <w:rsid w:val="0922392E"/>
    <w:rsid w:val="09BC1495"/>
    <w:rsid w:val="0A01078A"/>
    <w:rsid w:val="0A297052"/>
    <w:rsid w:val="0A531525"/>
    <w:rsid w:val="0A6073B5"/>
    <w:rsid w:val="0A8362AE"/>
    <w:rsid w:val="0AD127A9"/>
    <w:rsid w:val="0B4C5660"/>
    <w:rsid w:val="0BBD43E7"/>
    <w:rsid w:val="0C2217F6"/>
    <w:rsid w:val="0C350254"/>
    <w:rsid w:val="0C4E346B"/>
    <w:rsid w:val="0C966B57"/>
    <w:rsid w:val="0CBD0631"/>
    <w:rsid w:val="0E663939"/>
    <w:rsid w:val="0E873720"/>
    <w:rsid w:val="0F564ACF"/>
    <w:rsid w:val="0F9F166B"/>
    <w:rsid w:val="10412941"/>
    <w:rsid w:val="105B4A06"/>
    <w:rsid w:val="112370C5"/>
    <w:rsid w:val="11727C68"/>
    <w:rsid w:val="13C87EAB"/>
    <w:rsid w:val="13C94031"/>
    <w:rsid w:val="14056C4F"/>
    <w:rsid w:val="14225262"/>
    <w:rsid w:val="14316C18"/>
    <w:rsid w:val="14D11E78"/>
    <w:rsid w:val="154B04BB"/>
    <w:rsid w:val="171963C7"/>
    <w:rsid w:val="17F632AA"/>
    <w:rsid w:val="18757C97"/>
    <w:rsid w:val="18B735D1"/>
    <w:rsid w:val="18D424E3"/>
    <w:rsid w:val="18DE4063"/>
    <w:rsid w:val="1911299E"/>
    <w:rsid w:val="19731340"/>
    <w:rsid w:val="19A11034"/>
    <w:rsid w:val="1A8F5627"/>
    <w:rsid w:val="1A905A31"/>
    <w:rsid w:val="1C52202B"/>
    <w:rsid w:val="1C756F33"/>
    <w:rsid w:val="1CD65B6F"/>
    <w:rsid w:val="1D220455"/>
    <w:rsid w:val="1E582C20"/>
    <w:rsid w:val="1E690DE0"/>
    <w:rsid w:val="1EF90185"/>
    <w:rsid w:val="200C46D4"/>
    <w:rsid w:val="20A754AC"/>
    <w:rsid w:val="21A2386D"/>
    <w:rsid w:val="220A180B"/>
    <w:rsid w:val="225B5A82"/>
    <w:rsid w:val="22994247"/>
    <w:rsid w:val="234B55C3"/>
    <w:rsid w:val="243C1005"/>
    <w:rsid w:val="24A847E8"/>
    <w:rsid w:val="258656FC"/>
    <w:rsid w:val="25AA2D5B"/>
    <w:rsid w:val="26465866"/>
    <w:rsid w:val="26E74799"/>
    <w:rsid w:val="27726555"/>
    <w:rsid w:val="27FC7465"/>
    <w:rsid w:val="28443227"/>
    <w:rsid w:val="2A491EB3"/>
    <w:rsid w:val="2A88659C"/>
    <w:rsid w:val="2A9856A8"/>
    <w:rsid w:val="2AAB4CF6"/>
    <w:rsid w:val="2AE52219"/>
    <w:rsid w:val="2B614F3A"/>
    <w:rsid w:val="2B6B0854"/>
    <w:rsid w:val="2BE104CA"/>
    <w:rsid w:val="2CF72724"/>
    <w:rsid w:val="2E6E02D1"/>
    <w:rsid w:val="30083F5B"/>
    <w:rsid w:val="30272830"/>
    <w:rsid w:val="30314CE2"/>
    <w:rsid w:val="30BD1E3D"/>
    <w:rsid w:val="30C96FC7"/>
    <w:rsid w:val="31BC2587"/>
    <w:rsid w:val="31F13305"/>
    <w:rsid w:val="32043ED4"/>
    <w:rsid w:val="32265FF1"/>
    <w:rsid w:val="32AB6330"/>
    <w:rsid w:val="33B85E34"/>
    <w:rsid w:val="33E800AC"/>
    <w:rsid w:val="34042EEC"/>
    <w:rsid w:val="341C1E6D"/>
    <w:rsid w:val="34864ACD"/>
    <w:rsid w:val="349E534E"/>
    <w:rsid w:val="35121F24"/>
    <w:rsid w:val="364B1B24"/>
    <w:rsid w:val="36635833"/>
    <w:rsid w:val="36720AAC"/>
    <w:rsid w:val="37DE7EA0"/>
    <w:rsid w:val="390160FF"/>
    <w:rsid w:val="39195A0F"/>
    <w:rsid w:val="39C66799"/>
    <w:rsid w:val="3A1B0AA7"/>
    <w:rsid w:val="3A543552"/>
    <w:rsid w:val="3B592863"/>
    <w:rsid w:val="3CCF36A7"/>
    <w:rsid w:val="3D6C5B79"/>
    <w:rsid w:val="3D6E099F"/>
    <w:rsid w:val="3EFF442A"/>
    <w:rsid w:val="3F35294C"/>
    <w:rsid w:val="3F585E3D"/>
    <w:rsid w:val="3F7F39AC"/>
    <w:rsid w:val="3FA4757D"/>
    <w:rsid w:val="3FBA0B4E"/>
    <w:rsid w:val="40C22BA1"/>
    <w:rsid w:val="41EB473F"/>
    <w:rsid w:val="42117F6F"/>
    <w:rsid w:val="42832AC9"/>
    <w:rsid w:val="42C61D0A"/>
    <w:rsid w:val="42D332BC"/>
    <w:rsid w:val="43065E58"/>
    <w:rsid w:val="43436E1C"/>
    <w:rsid w:val="436A63E7"/>
    <w:rsid w:val="438824C4"/>
    <w:rsid w:val="43D456DE"/>
    <w:rsid w:val="446D7311"/>
    <w:rsid w:val="45D70AAB"/>
    <w:rsid w:val="46745413"/>
    <w:rsid w:val="469555E9"/>
    <w:rsid w:val="46BE2184"/>
    <w:rsid w:val="47016C57"/>
    <w:rsid w:val="4762680F"/>
    <w:rsid w:val="478932C5"/>
    <w:rsid w:val="47893435"/>
    <w:rsid w:val="47FA092A"/>
    <w:rsid w:val="48143A4B"/>
    <w:rsid w:val="486A066A"/>
    <w:rsid w:val="486F0392"/>
    <w:rsid w:val="48B01618"/>
    <w:rsid w:val="49C143DD"/>
    <w:rsid w:val="4A9F4FAB"/>
    <w:rsid w:val="4AF87F0C"/>
    <w:rsid w:val="4BC52C30"/>
    <w:rsid w:val="4BEA5800"/>
    <w:rsid w:val="4C6256B8"/>
    <w:rsid w:val="4D2105CD"/>
    <w:rsid w:val="4E75016C"/>
    <w:rsid w:val="4EFB4007"/>
    <w:rsid w:val="4F5134C7"/>
    <w:rsid w:val="4F7541E5"/>
    <w:rsid w:val="4F892ABD"/>
    <w:rsid w:val="4FC10537"/>
    <w:rsid w:val="508209C4"/>
    <w:rsid w:val="508C0900"/>
    <w:rsid w:val="50A46453"/>
    <w:rsid w:val="50C468C5"/>
    <w:rsid w:val="50CD7D8C"/>
    <w:rsid w:val="51DA7EEE"/>
    <w:rsid w:val="52CE0D48"/>
    <w:rsid w:val="53D158FF"/>
    <w:rsid w:val="540A7BD9"/>
    <w:rsid w:val="548D0886"/>
    <w:rsid w:val="54D201F8"/>
    <w:rsid w:val="54EF6494"/>
    <w:rsid w:val="561B7818"/>
    <w:rsid w:val="565635AF"/>
    <w:rsid w:val="56863769"/>
    <w:rsid w:val="56A02AE1"/>
    <w:rsid w:val="56F62932"/>
    <w:rsid w:val="56FA6B04"/>
    <w:rsid w:val="57E42A45"/>
    <w:rsid w:val="58702223"/>
    <w:rsid w:val="59282B75"/>
    <w:rsid w:val="598E3B79"/>
    <w:rsid w:val="599E05BB"/>
    <w:rsid w:val="59E76695"/>
    <w:rsid w:val="5A9E3B0A"/>
    <w:rsid w:val="5D1B3EA9"/>
    <w:rsid w:val="5DA4444F"/>
    <w:rsid w:val="5E566BF8"/>
    <w:rsid w:val="5EA93E10"/>
    <w:rsid w:val="5EBE785D"/>
    <w:rsid w:val="5F172604"/>
    <w:rsid w:val="5FB35E87"/>
    <w:rsid w:val="602D00FF"/>
    <w:rsid w:val="609957CB"/>
    <w:rsid w:val="60AE6EF7"/>
    <w:rsid w:val="615B668A"/>
    <w:rsid w:val="618818AA"/>
    <w:rsid w:val="61A25FB1"/>
    <w:rsid w:val="627A1D46"/>
    <w:rsid w:val="629767E0"/>
    <w:rsid w:val="629E34D4"/>
    <w:rsid w:val="62BF7C02"/>
    <w:rsid w:val="6397692D"/>
    <w:rsid w:val="63C57C5A"/>
    <w:rsid w:val="63ED4013"/>
    <w:rsid w:val="64745F1E"/>
    <w:rsid w:val="64C94FD5"/>
    <w:rsid w:val="650B17A5"/>
    <w:rsid w:val="652844B7"/>
    <w:rsid w:val="653935A7"/>
    <w:rsid w:val="656E2933"/>
    <w:rsid w:val="65F617C4"/>
    <w:rsid w:val="66AF3032"/>
    <w:rsid w:val="66BF2CEE"/>
    <w:rsid w:val="675F2678"/>
    <w:rsid w:val="68F135AC"/>
    <w:rsid w:val="69E425B4"/>
    <w:rsid w:val="6A1B50E7"/>
    <w:rsid w:val="6A545FED"/>
    <w:rsid w:val="6A680209"/>
    <w:rsid w:val="6A782B42"/>
    <w:rsid w:val="6A963767"/>
    <w:rsid w:val="6A995943"/>
    <w:rsid w:val="6B1C2B94"/>
    <w:rsid w:val="6B52529E"/>
    <w:rsid w:val="6B9320D0"/>
    <w:rsid w:val="6C206B4D"/>
    <w:rsid w:val="6C3350E8"/>
    <w:rsid w:val="6C45058C"/>
    <w:rsid w:val="6C512A88"/>
    <w:rsid w:val="6D0833BC"/>
    <w:rsid w:val="6D902CC0"/>
    <w:rsid w:val="6DC57F2D"/>
    <w:rsid w:val="6DCF760B"/>
    <w:rsid w:val="6E160E75"/>
    <w:rsid w:val="6E2B1DEF"/>
    <w:rsid w:val="6E414204"/>
    <w:rsid w:val="6E5C1F85"/>
    <w:rsid w:val="6E64514D"/>
    <w:rsid w:val="6E977C08"/>
    <w:rsid w:val="6EA041C0"/>
    <w:rsid w:val="70A003E0"/>
    <w:rsid w:val="70F333A2"/>
    <w:rsid w:val="71283691"/>
    <w:rsid w:val="71575419"/>
    <w:rsid w:val="71582BC5"/>
    <w:rsid w:val="72176CAE"/>
    <w:rsid w:val="722B516D"/>
    <w:rsid w:val="72315013"/>
    <w:rsid w:val="72772E2C"/>
    <w:rsid w:val="72871BE6"/>
    <w:rsid w:val="72A222F6"/>
    <w:rsid w:val="72E662A4"/>
    <w:rsid w:val="73266D33"/>
    <w:rsid w:val="735414E8"/>
    <w:rsid w:val="73DB0AB8"/>
    <w:rsid w:val="7476797B"/>
    <w:rsid w:val="74E61927"/>
    <w:rsid w:val="74EC7E11"/>
    <w:rsid w:val="7563713C"/>
    <w:rsid w:val="75F318C8"/>
    <w:rsid w:val="76366ED7"/>
    <w:rsid w:val="770341C3"/>
    <w:rsid w:val="779D6D65"/>
    <w:rsid w:val="77FB6FEB"/>
    <w:rsid w:val="780841C7"/>
    <w:rsid w:val="785538AB"/>
    <w:rsid w:val="78796CA8"/>
    <w:rsid w:val="78DE3A1A"/>
    <w:rsid w:val="78E3058F"/>
    <w:rsid w:val="79121A2F"/>
    <w:rsid w:val="79592037"/>
    <w:rsid w:val="7A4867FC"/>
    <w:rsid w:val="7A515692"/>
    <w:rsid w:val="7A5A537D"/>
    <w:rsid w:val="7C325F94"/>
    <w:rsid w:val="7CF576F0"/>
    <w:rsid w:val="7D1C2688"/>
    <w:rsid w:val="7D8B0E1F"/>
    <w:rsid w:val="7DBA05C7"/>
    <w:rsid w:val="7DED5FE8"/>
    <w:rsid w:val="7E183234"/>
    <w:rsid w:val="7E694509"/>
    <w:rsid w:val="7EAE7892"/>
    <w:rsid w:val="7EF339F1"/>
    <w:rsid w:val="7F7F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480" w:lineRule="auto"/>
    </w:pPr>
    <w:rPr>
      <w:sz w:val="24"/>
    </w:rPr>
  </w:style>
  <w:style w:type="paragraph" w:styleId="4">
    <w:name w:val="Normal Indent"/>
    <w:basedOn w:val="1"/>
    <w:unhideWhenUsed/>
    <w:qFormat/>
    <w:uiPriority w:val="0"/>
    <w:pPr>
      <w:ind w:firstLine="420" w:firstLineChars="200"/>
    </w:pPr>
    <w:rPr>
      <w:kern w:val="0"/>
      <w:sz w:val="20"/>
    </w:rPr>
  </w:style>
  <w:style w:type="paragraph" w:styleId="5">
    <w:name w:val="Body Text Indent"/>
    <w:basedOn w:val="1"/>
    <w:unhideWhenUsed/>
    <w:qFormat/>
    <w:uiPriority w:val="0"/>
    <w:pPr>
      <w:spacing w:after="120"/>
      <w:ind w:left="420" w:leftChars="200"/>
    </w:pPr>
    <w:rPr>
      <w:kern w:val="0"/>
      <w:sz w:val="20"/>
    </w:rPr>
  </w:style>
  <w:style w:type="paragraph" w:styleId="6">
    <w:name w:val="Plain Text"/>
    <w:basedOn w:val="1"/>
    <w:qFormat/>
    <w:uiPriority w:val="99"/>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page number"/>
    <w:basedOn w:val="10"/>
    <w:unhideWhenUsed/>
    <w:qFormat/>
    <w:uiPriority w:val="0"/>
  </w:style>
  <w:style w:type="character" w:styleId="12">
    <w:name w:val="Hyperlink"/>
    <w:unhideWhenUsed/>
    <w:qFormat/>
    <w:uiPriority w:val="0"/>
    <w:rPr>
      <w:color w:val="0000FF"/>
      <w:u w:val="single"/>
    </w:rPr>
  </w:style>
  <w:style w:type="paragraph" w:customStyle="1" w:styleId="13">
    <w:name w:val="样式 标题 1 + 宋体 段前: 0 磅 段后: 0 磅 行距: 单倍行距"/>
    <w:basedOn w:val="3"/>
    <w:qFormat/>
    <w:uiPriority w:val="0"/>
    <w:pPr>
      <w:spacing w:beforeLines="100" w:afterLines="100" w:line="240" w:lineRule="auto"/>
      <w:jc w:val="center"/>
    </w:pPr>
    <w:rPr>
      <w:rFonts w:ascii="仿宋_GB2312" w:hAnsi="宋体" w:eastAsia="仿宋_GB2312" w:cs="宋体"/>
      <w:szCs w:val="20"/>
    </w:rPr>
  </w:style>
  <w:style w:type="paragraph" w:customStyle="1" w:styleId="14">
    <w:name w:val="纯文本2"/>
    <w:basedOn w:val="1"/>
    <w:qFormat/>
    <w:uiPriority w:val="0"/>
    <w:rPr>
      <w:rFonts w:ascii="宋体" w:hAnsi="Courier New"/>
      <w:sz w:val="2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17189</Words>
  <Characters>17800</Characters>
  <Lines>138</Lines>
  <Paragraphs>39</Paragraphs>
  <TotalTime>7</TotalTime>
  <ScaleCrop>false</ScaleCrop>
  <LinksUpToDate>false</LinksUpToDate>
  <CharactersWithSpaces>18706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2023-02-16T02:48:00Z</dcterms:created>
  <dc:creator>WPS_1528160213</dc:creator>
  <cp:lastModifiedBy>Administrator</cp:lastModifiedBy>
  <cp:lastPrinted>2023-02-06T01:49:00Z</cp:lastPrinted>
  <dcterms:modified xsi:type="dcterms:W3CDTF">2023-02-16T07:58:00Z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85A485FA57CE4BA4A62AE08B37EB2C69</vt:lpwstr>
  </property>
</Properties>
</file>