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lang w:eastAsia="zh-CN"/>
        </w:rPr>
        <w:t>崇川区水利设施维护管养工程</w:t>
      </w:r>
    </w:p>
    <w:p>
      <w:pPr>
        <w:spacing w:line="360" w:lineRule="auto"/>
        <w:jc w:val="center"/>
        <w:rPr>
          <w:rFonts w:ascii="宋体" w:hAnsi="宋体" w:cs="宋体"/>
          <w:b/>
          <w:bCs/>
          <w:color w:val="auto"/>
          <w:sz w:val="52"/>
          <w:szCs w:val="52"/>
          <w:highlight w:val="none"/>
        </w:rPr>
      </w:pPr>
    </w:p>
    <w:p>
      <w:pPr>
        <w:spacing w:line="360" w:lineRule="auto"/>
        <w:jc w:val="center"/>
        <w:rPr>
          <w:rFonts w:ascii="宋体" w:hAnsi="宋体" w:cs="宋体"/>
          <w:b/>
          <w:bCs/>
          <w:color w:val="auto"/>
          <w:sz w:val="52"/>
          <w:szCs w:val="52"/>
          <w:highlight w:val="none"/>
          <w:u w:val="single"/>
        </w:rPr>
      </w:pPr>
      <w:r>
        <w:rPr>
          <w:rFonts w:hint="eastAsia" w:ascii="宋体" w:hAnsi="宋体" w:cs="宋体"/>
          <w:b/>
          <w:bCs/>
          <w:color w:val="auto"/>
          <w:sz w:val="52"/>
          <w:szCs w:val="52"/>
          <w:highlight w:val="none"/>
        </w:rPr>
        <w:t>招标文件</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（工程量清单计价）</w:t>
      </w: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ZRNT20240184</w:t>
      </w: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jc w:val="center"/>
        <w:rPr>
          <w:rFonts w:ascii="宋体" w:hAnsi="宋体" w:cs="宋体"/>
          <w:color w:val="auto"/>
          <w:sz w:val="25"/>
          <w:highlight w:val="none"/>
        </w:rPr>
      </w:pPr>
    </w:p>
    <w:p>
      <w:pPr>
        <w:spacing w:line="360" w:lineRule="auto"/>
        <w:ind w:firstLine="790" w:firstLineChars="246"/>
        <w:jc w:val="center"/>
        <w:rPr>
          <w:rFonts w:ascii="宋体" w:hAnsi="宋体" w:cs="宋体"/>
          <w:b/>
          <w:bCs/>
          <w:color w:val="auto"/>
          <w:sz w:val="32"/>
          <w:szCs w:val="32"/>
          <w:highlight w:val="none"/>
        </w:rPr>
      </w:pPr>
    </w:p>
    <w:p>
      <w:pPr>
        <w:spacing w:line="360" w:lineRule="auto"/>
        <w:ind w:firstLine="790" w:firstLineChars="246"/>
        <w:jc w:val="center"/>
        <w:rPr>
          <w:rFonts w:ascii="宋体" w:hAnsi="宋体" w:cs="宋体"/>
          <w:b/>
          <w:bCs/>
          <w:color w:val="auto"/>
          <w:sz w:val="32"/>
          <w:szCs w:val="32"/>
          <w:highlight w:val="none"/>
        </w:rPr>
      </w:pPr>
    </w:p>
    <w:p>
      <w:pPr>
        <w:spacing w:line="360" w:lineRule="auto"/>
        <w:rPr>
          <w:rFonts w:ascii="宋体" w:hAnsi="宋体" w:cs="宋体"/>
          <w:b/>
          <w:bCs/>
          <w:color w:val="auto"/>
          <w:sz w:val="32"/>
          <w:szCs w:val="32"/>
          <w:highlight w:val="none"/>
        </w:rPr>
      </w:pPr>
    </w:p>
    <w:p>
      <w:pPr>
        <w:spacing w:line="360" w:lineRule="auto"/>
        <w:ind w:firstLine="790" w:firstLineChars="246"/>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单  位：</w:t>
      </w:r>
      <w:r>
        <w:rPr>
          <w:rFonts w:hint="eastAsia" w:ascii="宋体" w:hAnsi="宋体" w:cs="宋体"/>
          <w:b/>
          <w:bCs/>
          <w:color w:val="auto"/>
          <w:sz w:val="32"/>
          <w:szCs w:val="32"/>
          <w:highlight w:val="none"/>
          <w:lang w:eastAsia="zh-CN"/>
        </w:rPr>
        <w:t> 南通市崇川区农业农村和水利局</w:t>
      </w:r>
    </w:p>
    <w:p>
      <w:pPr>
        <w:pStyle w:val="30"/>
        <w:spacing w:line="360" w:lineRule="auto"/>
        <w:ind w:left="0" w:leftChars="0"/>
        <w:jc w:val="center"/>
        <w:rPr>
          <w:rFonts w:ascii="宋体" w:hAnsi="宋体" w:eastAsia="宋体" w:cs="宋体"/>
          <w:b/>
          <w:bCs/>
          <w:color w:val="auto"/>
          <w:sz w:val="44"/>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月</w:t>
      </w:r>
    </w:p>
    <w:p>
      <w:pPr>
        <w:pStyle w:val="3"/>
        <w:spacing w:before="0" w:after="0" w:line="360" w:lineRule="auto"/>
        <w:jc w:val="center"/>
        <w:rPr>
          <w:rFonts w:ascii="宋体" w:hAnsi="宋体" w:cs="宋体"/>
          <w:color w:val="auto"/>
          <w:sz w:val="36"/>
          <w:highlight w:val="none"/>
        </w:rPr>
      </w:pPr>
      <w:r>
        <w:rPr>
          <w:rFonts w:hint="eastAsia" w:ascii="宋体" w:hAnsi="宋体" w:cs="宋体"/>
          <w:color w:val="auto"/>
          <w:sz w:val="36"/>
          <w:highlight w:val="none"/>
        </w:rPr>
        <w:br w:type="page"/>
      </w:r>
      <w:bookmarkStart w:id="0" w:name="_Toc380680178"/>
      <w:bookmarkStart w:id="1" w:name="_Toc380680818"/>
      <w:bookmarkStart w:id="2" w:name="_Toc465181334"/>
      <w:bookmarkStart w:id="3" w:name="_Toc380681011"/>
      <w:bookmarkStart w:id="4" w:name="_Toc380681230"/>
      <w:r>
        <w:rPr>
          <w:rFonts w:hint="eastAsia" w:ascii="宋体" w:hAnsi="宋体" w:cs="宋体"/>
          <w:color w:val="auto"/>
          <w:sz w:val="36"/>
          <w:highlight w:val="none"/>
        </w:rPr>
        <w:t>第一章投标人须知及投标人须知前附表</w:t>
      </w:r>
      <w:bookmarkEnd w:id="0"/>
      <w:bookmarkEnd w:id="1"/>
      <w:bookmarkEnd w:id="2"/>
      <w:bookmarkEnd w:id="3"/>
      <w:bookmarkEnd w:id="4"/>
    </w:p>
    <w:p>
      <w:pPr>
        <w:pStyle w:val="2"/>
        <w:spacing w:line="360" w:lineRule="auto"/>
        <w:jc w:val="center"/>
        <w:rPr>
          <w:rFonts w:ascii="宋体" w:hAnsi="宋体" w:eastAsia="宋体" w:cs="宋体"/>
          <w:color w:val="auto"/>
          <w:sz w:val="25"/>
          <w:highlight w:val="none"/>
        </w:rPr>
      </w:pPr>
      <w:bookmarkStart w:id="5" w:name="_Toc380680179"/>
      <w:bookmarkStart w:id="6" w:name="_Toc380680819"/>
      <w:bookmarkStart w:id="7" w:name="_Toc380681231"/>
      <w:bookmarkStart w:id="8" w:name="_Toc380681012"/>
      <w:r>
        <w:rPr>
          <w:rFonts w:hint="eastAsia" w:ascii="宋体" w:hAnsi="宋体" w:eastAsia="宋体" w:cs="宋体"/>
          <w:color w:val="auto"/>
          <w:sz w:val="30"/>
          <w:highlight w:val="none"/>
        </w:rPr>
        <w:t>一、投标人须知前附表</w:t>
      </w:r>
      <w:bookmarkEnd w:id="5"/>
      <w:bookmarkEnd w:id="6"/>
      <w:bookmarkEnd w:id="7"/>
      <w:bookmarkEnd w:id="8"/>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hanging="27" w:hangingChars="11"/>
              <w:jc w:val="center"/>
              <w:textAlignment w:val="auto"/>
              <w:rPr>
                <w:rFonts w:ascii="宋体" w:hAnsi="宋体" w:cs="宋体"/>
                <w:b/>
                <w:color w:val="auto"/>
                <w:sz w:val="24"/>
                <w:highlight w:val="none"/>
              </w:rPr>
            </w:pPr>
            <w:r>
              <w:rPr>
                <w:rFonts w:hint="eastAsia" w:ascii="宋体" w:hAnsi="宋体" w:cs="宋体"/>
                <w:b/>
                <w:color w:val="auto"/>
                <w:sz w:val="24"/>
                <w:highlight w:val="none"/>
              </w:rPr>
              <w:t>项号</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内容</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工程名称</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崇川区水利设施维护管养工程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建设地点</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FF0000"/>
                <w:sz w:val="24"/>
                <w:highlight w:val="none"/>
                <w:lang w:eastAsia="zh-CN"/>
              </w:rPr>
              <w:t> </w:t>
            </w:r>
            <w:r>
              <w:rPr>
                <w:rFonts w:hint="eastAsia" w:ascii="宋体" w:hAnsi="宋体" w:cs="宋体"/>
                <w:color w:val="auto"/>
                <w:sz w:val="24"/>
                <w:highlight w:val="none"/>
                <w:lang w:eastAsia="zh-CN"/>
              </w:rPr>
              <w:t>南通市崇川区</w:t>
            </w:r>
            <w:r>
              <w:rPr>
                <w:rFonts w:hint="eastAsia" w:ascii="宋体" w:hAnsi="宋体" w:cs="宋体"/>
                <w:color w:val="auto"/>
                <w:sz w:val="24"/>
                <w:highlight w:val="none"/>
                <w:lang w:val="en-US" w:eastAsia="zh-CN"/>
              </w:rPr>
              <w:t>范围</w:t>
            </w:r>
            <w:r>
              <w:rPr>
                <w:rFonts w:hint="eastAsia" w:ascii="宋体" w:hAnsi="宋体" w:cs="宋体"/>
                <w:color w:val="auto"/>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建设规模</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约44万元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承包方式</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质量标准</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工期要求</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u w:val="single"/>
              </w:rPr>
            </w:pPr>
            <w:r>
              <w:rPr>
                <w:rFonts w:hint="eastAsia" w:ascii="宋体" w:hAnsi="宋体" w:cs="宋体"/>
                <w:color w:val="auto"/>
                <w:sz w:val="24"/>
                <w:highlight w:val="none"/>
              </w:rPr>
              <w:t>计划开工时间：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p>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u w:val="single"/>
              </w:rPr>
            </w:pPr>
            <w:r>
              <w:rPr>
                <w:rFonts w:hint="eastAsia" w:ascii="宋体" w:hAnsi="宋体" w:cs="宋体"/>
                <w:color w:val="auto"/>
                <w:sz w:val="24"/>
                <w:highlight w:val="none"/>
              </w:rPr>
              <w:t>计划竣工时间：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p>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工期：</w:t>
            </w:r>
            <w:r>
              <w:rPr>
                <w:rFonts w:hint="eastAsia" w:ascii="宋体" w:hAnsi="宋体" w:cs="宋体"/>
                <w:b/>
                <w:bCs/>
                <w:color w:val="auto"/>
                <w:sz w:val="24"/>
                <w:highlight w:val="none"/>
                <w:u w:val="single"/>
                <w:lang w:val="en-US" w:eastAsia="zh-CN"/>
              </w:rPr>
              <w:t>5</w:t>
            </w:r>
            <w:r>
              <w:rPr>
                <w:rFonts w:hint="eastAsia" w:cs="宋体"/>
                <w:b/>
                <w:bCs/>
                <w:color w:val="auto"/>
                <w:sz w:val="24"/>
                <w:highlight w:val="none"/>
                <w:u w:val="single"/>
                <w:lang w:val="en-US" w:eastAsia="zh-CN"/>
              </w:rPr>
              <w:t>0日历天（施工开始时间以招标人通知为准，总天数不变，具体实施时间根据招标人情况适当调整）</w:t>
            </w:r>
            <w:r>
              <w:rPr>
                <w:rFonts w:hint="eastAsia" w:ascii="宋体" w:hAnsi="宋体" w:cs="宋体"/>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资金来源</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kern w:val="0"/>
                <w:sz w:val="24"/>
                <w:highlight w:val="none"/>
              </w:rPr>
            </w:pPr>
            <w:r>
              <w:rPr>
                <w:rFonts w:hint="eastAsia" w:ascii="宋体" w:hAnsi="宋体" w:cs="宋体"/>
                <w:color w:val="auto"/>
                <w:kern w:val="0"/>
                <w:sz w:val="24"/>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招标范围</w:t>
            </w:r>
          </w:p>
        </w:tc>
        <w:tc>
          <w:tcPr>
            <w:tcW w:w="581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kern w:val="0"/>
                <w:sz w:val="24"/>
                <w:highlight w:val="none"/>
              </w:rPr>
            </w:pPr>
            <w:r>
              <w:rPr>
                <w:rFonts w:hint="eastAsia" w:ascii="宋体" w:hAnsi="宋体" w:cs="宋体"/>
                <w:color w:val="auto"/>
                <w:sz w:val="24"/>
                <w:highlight w:val="none"/>
                <w:lang w:eastAsia="zh-CN"/>
              </w:rPr>
              <w:t>崇川区水利设施维护管养工程</w:t>
            </w: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图纸</w:t>
            </w:r>
            <w:r>
              <w:rPr>
                <w:rFonts w:hint="eastAsia" w:ascii="宋体" w:hAnsi="宋体" w:cs="宋体"/>
                <w:color w:val="auto"/>
                <w:kern w:val="0"/>
                <w:sz w:val="24"/>
                <w:highlight w:val="none"/>
                <w:lang w:eastAsia="zh-CN"/>
              </w:rPr>
              <w:t>及</w:t>
            </w:r>
            <w:r>
              <w:rPr>
                <w:rFonts w:hint="eastAsia" w:ascii="宋体" w:hAnsi="宋体" w:cs="宋体"/>
                <w:color w:val="auto"/>
                <w:kern w:val="0"/>
                <w:sz w:val="24"/>
                <w:highlight w:val="none"/>
              </w:rPr>
              <w:t>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工程报价方式</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固定单价报价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45 </w:t>
            </w:r>
            <w:r>
              <w:rPr>
                <w:rFonts w:hint="eastAsia" w:ascii="宋体" w:hAnsi="宋体" w:cs="宋体"/>
                <w:color w:val="auto"/>
                <w:sz w:val="24"/>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投标保证金额</w:t>
            </w:r>
          </w:p>
        </w:tc>
        <w:tc>
          <w:tcPr>
            <w:tcW w:w="581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本项目不收取投标保证金</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6.2</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提交疑问材料</w:t>
            </w:r>
          </w:p>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sz w:val="24"/>
                <w:highlight w:val="none"/>
              </w:rPr>
              <w:t>时间及方式</w:t>
            </w:r>
          </w:p>
        </w:tc>
        <w:tc>
          <w:tcPr>
            <w:tcW w:w="581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如有疑问需要招标人澄清应在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4</w:t>
            </w:r>
            <w:r>
              <w:rPr>
                <w:color w:val="auto"/>
                <w:highlight w:val="none"/>
              </w:rPr>
              <w:fldChar w:fldCharType="begin"/>
            </w:r>
            <w:r>
              <w:rPr>
                <w:color w:val="auto"/>
                <w:highlight w:val="none"/>
              </w:rPr>
              <w:instrText xml:space="preserve"> HYPERLINK "mailto:日17时前以电子文件形式（不具单位名称、不加盖单位公章）发送至指定邮箱（jszrntzb@163.com）向招标人提出，招标人予以解答，解答的内容南通市公共资源交易网发布" </w:instrText>
            </w:r>
            <w:r>
              <w:rPr>
                <w:color w:val="auto"/>
                <w:highlight w:val="none"/>
              </w:rPr>
              <w:fldChar w:fldCharType="separate"/>
            </w:r>
            <w:r>
              <w:rPr>
                <w:rFonts w:hint="eastAsia" w:ascii="宋体" w:hAnsi="宋体" w:cs="宋体"/>
                <w:color w:val="auto"/>
                <w:sz w:val="24"/>
                <w:highlight w:val="none"/>
                <w:u w:val="single"/>
              </w:rPr>
              <w:t>日17时</w:t>
            </w:r>
            <w:r>
              <w:rPr>
                <w:rFonts w:hint="eastAsia" w:ascii="宋体" w:hAnsi="宋体" w:cs="宋体"/>
                <w:color w:val="auto"/>
                <w:sz w:val="24"/>
                <w:highlight w:val="none"/>
              </w:rPr>
              <w:t>前以电子文件形式（不具单位名称、不加盖单位公章）发送至指定邮箱（jszrntzb@163.com）向招标人提出，招标人予以解答，解答的内容</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发布</w:t>
            </w:r>
            <w:r>
              <w:rPr>
                <w:rFonts w:hint="eastAsia" w:ascii="宋体" w:hAnsi="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13.1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踏勘现场答疑时间</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投标人自行踏勘现场</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答疑提交截止时间：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日17时前。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18.2</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招标控制价编制依据</w:t>
            </w:r>
          </w:p>
        </w:tc>
        <w:tc>
          <w:tcPr>
            <w:tcW w:w="581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kern w:val="0"/>
                <w:sz w:val="24"/>
                <w:highlight w:val="none"/>
              </w:rPr>
            </w:pPr>
            <w:r>
              <w:rPr>
                <w:rFonts w:hint="eastAsia" w:ascii="宋体" w:hAnsi="宋体" w:cs="宋体"/>
                <w:color w:val="auto"/>
                <w:sz w:val="24"/>
                <w:highlight w:val="none"/>
              </w:rPr>
              <w:t>招标控制价编制执行：</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本项目图纸及工程量清单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《建设工程工程量清单计价规范》(GB 50500-2013)、《水利工程工程量清单计价规范》 GB 50501-2007)；</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《市政工程工程量计算规范》（GB50857-2013）、《江苏省水利工程招标投标文件工程量清单格式》（苏水基[2011]21号）；</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《江苏省市政工程计价表》（2014）、《江苏省建设工程费用定额》（2014年）《江苏省水利工程预算定额》2010年版、＜苏水基（2015）32号文＞；</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《江苏省水利工程设计概（估）算编制规定》2017年版；</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基[2016]26号文， “营改增”一般计税</w:t>
            </w:r>
          </w:p>
          <w:p>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.江苏省南通市与本工程造价相关的补充定额、计价文件等。</w:t>
            </w:r>
          </w:p>
          <w:p>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18.3</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工程量清单</w:t>
            </w:r>
          </w:p>
          <w:p>
            <w:pPr>
              <w:keepNext w:val="0"/>
              <w:keepLines w:val="0"/>
              <w:pageBreakBefore w:val="0"/>
              <w:widowControl w:val="0"/>
              <w:kinsoku/>
              <w:wordWrap/>
              <w:overflowPunct/>
              <w:topLinePunct w:val="0"/>
              <w:autoSpaceDE/>
              <w:autoSpaceDN/>
              <w:bidi w:val="0"/>
              <w:spacing w:line="460" w:lineRule="exact"/>
              <w:ind w:left="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说明</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18.4</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招标控制价</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b/>
                <w:bCs/>
                <w:color w:val="auto"/>
                <w:sz w:val="24"/>
                <w:highlight w:val="none"/>
              </w:rPr>
              <w:t>本工程招标控制价：</w:t>
            </w:r>
            <w:r>
              <w:rPr>
                <w:rFonts w:hint="eastAsia" w:ascii="宋体" w:hAnsi="宋体" w:cs="宋体"/>
                <w:b/>
                <w:bCs/>
                <w:color w:val="auto"/>
                <w:sz w:val="24"/>
                <w:highlight w:val="none"/>
                <w:u w:val="single"/>
                <w:lang w:val="en-US" w:eastAsia="zh-CN"/>
              </w:rPr>
              <w:t>437746.76</w:t>
            </w:r>
            <w:r>
              <w:rPr>
                <w:rFonts w:hint="eastAsia" w:ascii="宋体" w:hAnsi="宋体" w:cs="宋体"/>
                <w:b/>
                <w:bCs/>
                <w:color w:val="auto"/>
                <w:sz w:val="24"/>
                <w:highlight w:val="none"/>
                <w:u w:val="single"/>
              </w:rPr>
              <w:t>元，投标报价高于招标控制价的作废标处理。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17</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20.1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w:t>
            </w:r>
          </w:p>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文件份数</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须提供一份正本，一份副本，同时需提供一份电子响应文件。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投标文件递交地点及截止时间</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收件人：江苏中润工程建设咨询有限公司</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rPr>
            </w:pPr>
            <w:r>
              <w:rPr>
                <w:rFonts w:hint="eastAsia" w:ascii="宋体" w:hAnsi="宋体" w:cs="宋体"/>
                <w:color w:val="auto"/>
                <w:sz w:val="24"/>
                <w:highlight w:val="none"/>
              </w:rPr>
              <w:t>截止时间：</w:t>
            </w:r>
            <w:r>
              <w:rPr>
                <w:rFonts w:hint="eastAsia" w:ascii="宋体" w:hAnsi="宋体" w:cs="宋体"/>
                <w:b/>
                <w:bCs/>
                <w:color w:val="auto"/>
                <w:sz w:val="24"/>
                <w:highlight w:val="none"/>
                <w:u w:val="single"/>
              </w:rPr>
              <w:t>2024年</w:t>
            </w:r>
            <w:r>
              <w:rPr>
                <w:rFonts w:hint="eastAsia" w:ascii="宋体" w:hAnsi="宋体" w:cs="宋体"/>
                <w:b/>
                <w:bCs/>
                <w:color w:val="auto"/>
                <w:sz w:val="24"/>
                <w:highlight w:val="none"/>
                <w:u w:val="single"/>
                <w:lang w:val="en-US" w:eastAsia="zh-CN"/>
              </w:rPr>
              <w:t>07</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 xml:space="preserve"> 11</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递交方式：</w:t>
            </w:r>
            <w:r>
              <w:rPr>
                <w:rFonts w:hint="eastAsia" w:ascii="宋体" w:hAnsi="宋体" w:cs="宋体"/>
                <w:b/>
                <w:bCs/>
                <w:color w:val="auto"/>
                <w:sz w:val="24"/>
                <w:highlight w:val="none"/>
                <w:u w:val="single"/>
              </w:rPr>
              <w:t>邮寄或直接送达</w:t>
            </w:r>
          </w:p>
          <w:p>
            <w:pPr>
              <w:keepNext w:val="0"/>
              <w:keepLines w:val="0"/>
              <w:pageBreakBefore w:val="0"/>
              <w:widowControl w:val="0"/>
              <w:kinsoku/>
              <w:wordWrap/>
              <w:overflowPunct/>
              <w:topLinePunct w:val="0"/>
              <w:autoSpaceDE/>
              <w:autoSpaceDN/>
              <w:bidi w:val="0"/>
              <w:spacing w:line="460" w:lineRule="exact"/>
              <w:ind w:left="0"/>
              <w:jc w:val="left"/>
              <w:textAlignment w:val="auto"/>
              <w:rPr>
                <w:color w:val="auto"/>
                <w:highlight w:val="none"/>
              </w:rPr>
            </w:pPr>
            <w:r>
              <w:rPr>
                <w:rFonts w:hint="eastAsia" w:ascii="宋体" w:hAnsi="宋体" w:cs="宋体"/>
                <w:color w:val="auto"/>
                <w:sz w:val="24"/>
                <w:highlight w:val="none"/>
              </w:rPr>
              <w:t>递交地点：</w:t>
            </w:r>
            <w:r>
              <w:rPr>
                <w:rFonts w:hint="eastAsia" w:ascii="宋体" w:hAnsi="宋体" w:cs="宋体"/>
                <w:b/>
                <w:bCs/>
                <w:color w:val="auto"/>
                <w:sz w:val="24"/>
                <w:highlight w:val="none"/>
                <w:u w:val="single"/>
              </w:rPr>
              <w:t>崇川区崇川路58号，南通产业技术研究院有限公司九号楼1004，如有变动另行通知。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24</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开标（本项目为不见面开标）</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b/>
                <w:bCs/>
                <w:color w:val="auto"/>
                <w:sz w:val="24"/>
                <w:highlight w:val="none"/>
                <w:u w:val="single"/>
                <w:lang w:eastAsia="zh-CN"/>
              </w:rPr>
            </w:pPr>
            <w:r>
              <w:rPr>
                <w:rFonts w:hint="eastAsia" w:ascii="宋体" w:hAnsi="宋体" w:cs="宋体"/>
                <w:color w:val="auto"/>
                <w:sz w:val="24"/>
                <w:highlight w:val="none"/>
              </w:rPr>
              <w:t>开标时间：</w:t>
            </w:r>
            <w:r>
              <w:rPr>
                <w:rFonts w:hint="eastAsia" w:ascii="宋体" w:hAnsi="宋体" w:cs="宋体"/>
                <w:b/>
                <w:bCs/>
                <w:color w:val="auto"/>
                <w:sz w:val="24"/>
                <w:highlight w:val="none"/>
                <w:u w:val="single"/>
              </w:rPr>
              <w:t>2024年</w:t>
            </w:r>
            <w:r>
              <w:rPr>
                <w:rFonts w:hint="eastAsia" w:ascii="宋体" w:hAnsi="宋体" w:cs="宋体"/>
                <w:b/>
                <w:bCs/>
                <w:color w:val="auto"/>
                <w:sz w:val="24"/>
                <w:highlight w:val="none"/>
                <w:u w:val="single"/>
                <w:lang w:val="en-US" w:eastAsia="zh-CN"/>
              </w:rPr>
              <w:t>07月 11</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r>
              <w:rPr>
                <w:rFonts w:hint="eastAsia" w:ascii="宋体" w:hAnsi="宋体" w:cs="宋体"/>
                <w:b/>
                <w:bCs/>
                <w:color w:val="auto"/>
                <w:sz w:val="24"/>
                <w:highlight w:val="none"/>
                <w:u w:val="single"/>
                <w:lang w:eastAsia="zh-CN"/>
              </w:rPr>
              <w:t>。</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u w:val="single"/>
              </w:rPr>
            </w:pPr>
            <w:r>
              <w:rPr>
                <w:rFonts w:hint="eastAsia" w:ascii="宋体" w:hAnsi="宋体" w:cs="宋体"/>
                <w:color w:val="auto"/>
                <w:sz w:val="24"/>
                <w:highlight w:val="none"/>
              </w:rPr>
              <w:t>开标方式：</w:t>
            </w:r>
            <w:r>
              <w:rPr>
                <w:rFonts w:hint="eastAsia" w:ascii="宋体" w:hAnsi="宋体" w:cs="宋体"/>
                <w:b/>
                <w:bCs/>
                <w:color w:val="auto"/>
                <w:sz w:val="24"/>
                <w:highlight w:val="none"/>
                <w:u w:val="single"/>
              </w:rPr>
              <w:t>本项目为不见面开标</w:t>
            </w:r>
          </w:p>
          <w:p>
            <w:pPr>
              <w:keepNext w:val="0"/>
              <w:keepLines w:val="0"/>
              <w:pageBreakBefore w:val="0"/>
              <w:widowControl w:val="0"/>
              <w:kinsoku/>
              <w:wordWrap/>
              <w:overflowPunct/>
              <w:topLinePunct w:val="0"/>
              <w:autoSpaceDE/>
              <w:autoSpaceDN/>
              <w:bidi w:val="0"/>
              <w:spacing w:line="460" w:lineRule="exact"/>
              <w:ind w:left="0"/>
              <w:jc w:val="left"/>
              <w:textAlignment w:val="auto"/>
              <w:rPr>
                <w:color w:val="auto"/>
                <w:highlight w:val="none"/>
              </w:rPr>
            </w:pPr>
            <w:r>
              <w:rPr>
                <w:rFonts w:hint="eastAsia" w:ascii="宋体" w:hAnsi="宋体" w:cs="宋体"/>
                <w:b/>
                <w:bCs/>
                <w:color w:val="auto"/>
                <w:sz w:val="24"/>
                <w:highlight w:val="none"/>
              </w:rPr>
              <w:t>★如为送达投标文件，投标人代表在送达投标文件并签到后离开开标现场，但必须保持通讯畅通，如因投标代表通讯不畅导致无法及时沟通，责任由投标人自行承担。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20</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25</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评标委员会</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snapToGrid w:val="0"/>
                <w:color w:val="auto"/>
                <w:kern w:val="0"/>
                <w:sz w:val="24"/>
                <w:highlight w:val="none"/>
              </w:rPr>
              <w:t>评标委员会由</w:t>
            </w:r>
            <w:r>
              <w:rPr>
                <w:rFonts w:hint="eastAsia" w:ascii="宋体" w:hAnsi="宋体" w:cs="宋体"/>
                <w:snapToGrid w:val="0"/>
                <w:color w:val="auto"/>
                <w:kern w:val="0"/>
                <w:sz w:val="24"/>
                <w:highlight w:val="none"/>
                <w:u w:val="single"/>
              </w:rPr>
              <w:t>3</w:t>
            </w:r>
            <w:r>
              <w:rPr>
                <w:rFonts w:hint="eastAsia" w:ascii="宋体" w:hAnsi="宋体" w:cs="宋体"/>
                <w:snapToGrid w:val="0"/>
                <w:color w:val="auto"/>
                <w:kern w:val="0"/>
                <w:sz w:val="24"/>
                <w:highlight w:val="none"/>
              </w:rPr>
              <w:t>人及以上单数构成，由招标人依法组建。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992"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35</w:t>
            </w:r>
          </w:p>
        </w:tc>
        <w:tc>
          <w:tcPr>
            <w:tcW w:w="1843" w:type="dxa"/>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履约担保金额</w:t>
            </w:r>
          </w:p>
        </w:tc>
        <w:tc>
          <w:tcPr>
            <w:tcW w:w="5812" w:type="dxa"/>
            <w:vAlign w:val="center"/>
          </w:tcPr>
          <w:p>
            <w:pPr>
              <w:keepNext w:val="0"/>
              <w:keepLines w:val="0"/>
              <w:pageBreakBefore w:val="0"/>
              <w:widowControl w:val="0"/>
              <w:kinsoku/>
              <w:wordWrap/>
              <w:overflowPunct/>
              <w:topLinePunct w:val="0"/>
              <w:autoSpaceDE/>
              <w:autoSpaceDN/>
              <w:bidi w:val="0"/>
              <w:spacing w:line="460" w:lineRule="exact"/>
              <w:ind w:left="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w:t>
            </w:r>
            <w:r>
              <w:rPr>
                <w:rFonts w:hint="eastAsia" w:ascii="宋体" w:hAnsi="宋体" w:eastAsia="宋体" w:cs="宋体"/>
                <w:color w:val="auto"/>
                <w:sz w:val="24"/>
                <w:highlight w:val="none"/>
                <w:lang w:val="en-US" w:eastAsia="zh-CN"/>
              </w:rPr>
              <w:t>同价的5%，中标后签订合同合同前中标人汇入招标人指定账户（应当以数字人民币、支票、汇票或者金融机构、担保机构出具的保函等非现金形式提交）。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22</w:t>
            </w:r>
          </w:p>
        </w:tc>
        <w:tc>
          <w:tcPr>
            <w:tcW w:w="2835"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名  </w:t>
            </w:r>
            <w:r>
              <w:rPr>
                <w:rFonts w:hint="eastAsia" w:ascii="宋体" w:hAnsi="宋体" w:eastAsia="宋体" w:cs="宋体"/>
                <w:color w:val="auto"/>
                <w:sz w:val="24"/>
                <w:highlight w:val="none"/>
                <w:lang w:eastAsia="zh-CN"/>
              </w:rPr>
              <w:t>称： 南通市崇川区农业农村和水利局</w:t>
            </w:r>
          </w:p>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联系人：</w:t>
            </w:r>
            <w:r>
              <w:rPr>
                <w:rFonts w:hint="eastAsia" w:ascii="宋体" w:hAnsi="宋体" w:eastAsia="宋体" w:cs="宋体"/>
                <w:color w:val="auto"/>
                <w:sz w:val="24"/>
                <w:highlight w:val="none"/>
                <w:lang w:val="en-US" w:eastAsia="zh-CN"/>
              </w:rPr>
              <w:t>徐女士</w:t>
            </w:r>
          </w:p>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eastAsia="宋体" w:cs="宋体"/>
                <w:color w:val="auto"/>
                <w:sz w:val="24"/>
                <w:highlight w:val="none"/>
                <w:lang w:eastAsia="zh-CN"/>
              </w:rPr>
              <w:t>联系电话：</w:t>
            </w:r>
            <w:r>
              <w:rPr>
                <w:rFonts w:hint="eastAsia" w:ascii="宋体" w:hAnsi="宋体" w:eastAsia="宋体" w:cs="宋体"/>
                <w:color w:val="auto"/>
                <w:sz w:val="24"/>
                <w:highlight w:val="none"/>
                <w:lang w:val="en-US" w:eastAsia="zh-CN"/>
              </w:rPr>
              <w:t>0513-85609777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23</w:t>
            </w:r>
          </w:p>
        </w:tc>
        <w:tc>
          <w:tcPr>
            <w:tcW w:w="283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单位名称：江苏中润工程建设咨询有限公司</w:t>
            </w:r>
          </w:p>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联 系 人：王  工</w:t>
            </w:r>
          </w:p>
          <w:p>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楷体"/>
                <w:color w:val="auto"/>
                <w:sz w:val="24"/>
                <w:highlight w:val="none"/>
              </w:rPr>
              <w:t>0513-55887688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bookmarkStart w:id="9" w:name="_Toc380680180"/>
            <w:bookmarkStart w:id="10" w:name="_Toc380681013"/>
            <w:bookmarkStart w:id="11" w:name="_Toc380681232"/>
            <w:bookmarkStart w:id="12" w:name="_Toc380680820"/>
            <w:r>
              <w:rPr>
                <w:rFonts w:hint="eastAsia" w:ascii="宋体" w:hAnsi="宋体" w:cs="宋体"/>
                <w:color w:val="auto"/>
                <w:sz w:val="24"/>
                <w:highlight w:val="none"/>
              </w:rPr>
              <w:t>24</w:t>
            </w:r>
          </w:p>
        </w:tc>
        <w:tc>
          <w:tcPr>
            <w:tcW w:w="2835"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不见面开标说明</w:t>
            </w:r>
          </w:p>
        </w:tc>
        <w:tc>
          <w:tcPr>
            <w:tcW w:w="5812"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本项目为不见面评审，投标人代表无需到达开标现场，但应确保投标文件在提交投标文件截止时间前送达或邮寄到达代理机构处（邮寄地址：崇川区崇川路58号，南通产业技术研究院有限公司九号楼1004，联系人： 朱工18344703186）。本项目投标文件资格审查密封袋上须注明响应单位授权委托人的联系方式和QQ号，并保证项目评审期间通讯畅通。</w:t>
            </w:r>
          </w:p>
          <w:p>
            <w:pPr>
              <w:pStyle w:val="49"/>
              <w:spacing w:before="0" w:beforeAutospacing="0" w:after="0" w:afterAutospacing="0" w:line="420" w:lineRule="exact"/>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现场由代理机构主持，招标人组织的评标委员会负责投标文件的评审。为确保本项目开标能够顺利进行，各投标人的授权委托人在开始前半个小时以“单位名称（简写）+授权委托人姓名（实名）”的格式申请加入腾讯会议号：</w:t>
            </w:r>
            <w:r>
              <w:rPr>
                <w:rFonts w:hint="eastAsia" w:cs="宋体"/>
                <w:color w:val="auto"/>
                <w:kern w:val="0"/>
                <w:sz w:val="24"/>
                <w:szCs w:val="24"/>
                <w:highlight w:val="none"/>
                <w:lang w:val="en-US" w:eastAsia="zh-CN" w:bidi="ar-SA"/>
              </w:rPr>
              <w:t xml:space="preserve">679-731-169 </w:t>
            </w:r>
            <w:r>
              <w:rPr>
                <w:rFonts w:hint="eastAsia" w:ascii="宋体" w:hAnsi="宋体" w:eastAsia="宋体" w:cs="宋体"/>
                <w:color w:val="auto"/>
                <w:kern w:val="0"/>
                <w:sz w:val="24"/>
                <w:szCs w:val="24"/>
                <w:highlight w:val="none"/>
                <w:lang w:val="en-US" w:eastAsia="zh-CN" w:bidi="ar-SA"/>
              </w:rPr>
              <w:t>。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*投标文件密封袋封面处写明委托人姓名及联系电话，开标期间必须保持通讯畅通，如因投标代表通讯不畅导致无法及时沟通，责任由投标人自行承担。</w:t>
            </w:r>
          </w:p>
        </w:tc>
      </w:tr>
    </w:tbl>
    <w:p>
      <w:pPr>
        <w:rPr>
          <w:rFonts w:ascii="宋体" w:hAnsi="宋体" w:cs="宋体"/>
          <w:color w:val="auto"/>
          <w:sz w:val="30"/>
          <w:highlight w:val="none"/>
        </w:rPr>
      </w:pPr>
      <w:r>
        <w:rPr>
          <w:rFonts w:hint="eastAsia" w:ascii="宋体" w:hAnsi="宋体" w:cs="宋体"/>
          <w:color w:val="auto"/>
          <w:sz w:val="30"/>
          <w:highlight w:val="none"/>
        </w:rPr>
        <w:br w:type="page"/>
      </w:r>
    </w:p>
    <w:p>
      <w:pPr>
        <w:pStyle w:val="2"/>
        <w:jc w:val="center"/>
        <w:rPr>
          <w:rFonts w:ascii="宋体" w:hAnsi="宋体" w:eastAsia="宋体" w:cs="宋体"/>
          <w:color w:val="auto"/>
          <w:sz w:val="30"/>
          <w:highlight w:val="none"/>
        </w:rPr>
      </w:pPr>
      <w:r>
        <w:rPr>
          <w:rFonts w:hint="eastAsia" w:ascii="宋体" w:hAnsi="宋体" w:eastAsia="宋体" w:cs="宋体"/>
          <w:color w:val="auto"/>
          <w:sz w:val="30"/>
          <w:highlight w:val="none"/>
        </w:rPr>
        <w:t>二、投标须知</w:t>
      </w:r>
      <w:bookmarkEnd w:id="9"/>
      <w:bookmarkEnd w:id="10"/>
      <w:bookmarkEnd w:id="11"/>
      <w:bookmarkEnd w:id="12"/>
    </w:p>
    <w:p>
      <w:pPr>
        <w:pStyle w:val="2"/>
        <w:jc w:val="center"/>
        <w:rPr>
          <w:rFonts w:ascii="宋体" w:hAnsi="宋体" w:eastAsia="宋体" w:cs="宋体"/>
          <w:color w:val="auto"/>
          <w:sz w:val="24"/>
          <w:szCs w:val="24"/>
          <w:highlight w:val="none"/>
        </w:rPr>
      </w:pPr>
      <w:bookmarkStart w:id="13" w:name="_Toc380681014"/>
      <w:bookmarkStart w:id="14" w:name="_Toc380680181"/>
      <w:bookmarkStart w:id="15" w:name="_Toc286661158"/>
      <w:bookmarkStart w:id="16" w:name="_Toc380681233"/>
      <w:bookmarkStart w:id="17" w:name="_Toc380680821"/>
      <w:r>
        <w:rPr>
          <w:rFonts w:hint="eastAsia" w:ascii="宋体" w:hAnsi="宋体" w:eastAsia="宋体" w:cs="宋体"/>
          <w:color w:val="auto"/>
          <w:sz w:val="24"/>
          <w:szCs w:val="24"/>
          <w:highlight w:val="none"/>
        </w:rPr>
        <w:t>（一）总则</w:t>
      </w:r>
      <w:bookmarkEnd w:id="13"/>
      <w:bookmarkEnd w:id="14"/>
      <w:bookmarkEnd w:id="15"/>
      <w:bookmarkEnd w:id="16"/>
      <w:bookmarkEnd w:id="17"/>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1.工程概况</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1.1本招标工程项目说明详见本须知前附表第1项～第7项。</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1.2招标范围：见本须知前附表第8项。</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1.3现场条件：</w:t>
      </w:r>
    </w:p>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    (1)施工现场拆迁及平整情况：</w:t>
      </w:r>
      <w:r>
        <w:rPr>
          <w:rFonts w:hint="eastAsia" w:ascii="宋体" w:hAnsi="宋体" w:cs="宋体"/>
          <w:bCs/>
          <w:snapToGrid w:val="0"/>
          <w:color w:val="auto"/>
          <w:kern w:val="0"/>
          <w:sz w:val="24"/>
          <w:highlight w:val="none"/>
          <w:u w:val="single"/>
        </w:rPr>
        <w:t>具备施工条件。</w:t>
      </w:r>
    </w:p>
    <w:p>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(2)施工用水、电：</w:t>
      </w:r>
      <w:r>
        <w:rPr>
          <w:rFonts w:hint="eastAsia" w:ascii="宋体" w:hAnsi="宋体" w:cs="宋体"/>
          <w:bCs/>
          <w:snapToGrid w:val="0"/>
          <w:color w:val="auto"/>
          <w:kern w:val="0"/>
          <w:sz w:val="24"/>
          <w:highlight w:val="none"/>
          <w:u w:val="single"/>
        </w:rPr>
        <w:t>施工用水、用电由承包人自行考虑，费用计入报价。</w:t>
      </w:r>
    </w:p>
    <w:p>
      <w:pPr>
        <w:spacing w:line="420" w:lineRule="exact"/>
        <w:ind w:firstLine="480"/>
        <w:rPr>
          <w:rFonts w:ascii="宋体" w:hAnsi="宋体" w:cs="宋体"/>
          <w:snapToGrid w:val="0"/>
          <w:color w:val="auto"/>
          <w:kern w:val="0"/>
          <w:sz w:val="24"/>
          <w:highlight w:val="none"/>
          <w:u w:val="single"/>
        </w:rPr>
      </w:pPr>
      <w:r>
        <w:rPr>
          <w:rFonts w:hint="eastAsia" w:ascii="宋体" w:hAnsi="宋体" w:cs="宋体"/>
          <w:color w:val="auto"/>
          <w:sz w:val="24"/>
          <w:highlight w:val="none"/>
        </w:rPr>
        <w:t>(3)场内外道路：</w:t>
      </w:r>
      <w:r>
        <w:rPr>
          <w:rFonts w:hint="eastAsia" w:ascii="宋体" w:hAnsi="宋体" w:cs="宋体"/>
          <w:snapToGrid w:val="0"/>
          <w:color w:val="auto"/>
          <w:kern w:val="0"/>
          <w:sz w:val="24"/>
          <w:highlight w:val="none"/>
          <w:u w:val="single"/>
        </w:rPr>
        <w:t>场内、外道路已通。施工便道由投标人自行考虑，并列入投标报价，工程结算时不作调整。</w:t>
      </w:r>
    </w:p>
    <w:p>
      <w:pPr>
        <w:spacing w:line="420" w:lineRule="exact"/>
        <w:ind w:firstLine="480" w:firstLineChars="200"/>
        <w:rPr>
          <w:rFonts w:ascii="宋体" w:hAnsi="宋体" w:cs="宋体"/>
          <w:bCs/>
          <w:color w:val="auto"/>
          <w:sz w:val="25"/>
          <w:szCs w:val="25"/>
          <w:highlight w:val="none"/>
        </w:rPr>
      </w:pPr>
      <w:r>
        <w:rPr>
          <w:rFonts w:hint="eastAsia" w:ascii="宋体" w:hAnsi="宋体" w:cs="宋体"/>
          <w:color w:val="auto"/>
          <w:sz w:val="24"/>
          <w:highlight w:val="none"/>
        </w:rPr>
        <w:t>(4)其他：</w:t>
      </w:r>
      <w:r>
        <w:rPr>
          <w:rFonts w:hint="eastAsia" w:ascii="宋体" w:hAnsi="宋体" w:cs="宋体"/>
          <w:bCs/>
          <w:color w:val="auto"/>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color w:val="auto"/>
          <w:sz w:val="25"/>
          <w:szCs w:val="25"/>
          <w:highlight w:val="none"/>
        </w:rPr>
        <w:t>。</w:t>
      </w:r>
    </w:p>
    <w:p>
      <w:pPr>
        <w:spacing w:line="420" w:lineRule="exact"/>
        <w:ind w:firstLine="456" w:firstLineChars="200"/>
        <w:rPr>
          <w:rFonts w:ascii="宋体" w:hAnsi="宋体" w:cs="宋体"/>
          <w:bCs/>
          <w:color w:val="auto"/>
          <w:spacing w:val="-6"/>
          <w:sz w:val="24"/>
          <w:highlight w:val="none"/>
          <w:u w:val="single"/>
        </w:rPr>
      </w:pPr>
      <w:r>
        <w:rPr>
          <w:rFonts w:hint="eastAsia" w:ascii="宋体" w:hAnsi="宋体" w:cs="宋体"/>
          <w:bCs/>
          <w:color w:val="auto"/>
          <w:spacing w:val="-6"/>
          <w:sz w:val="24"/>
          <w:highlight w:val="none"/>
          <w:u w:val="single"/>
        </w:rPr>
        <w:t>（5）投标人应充分考虑所投项目及设备、备品、备件和税费及包装、运至最终目的地的运输、保险、保管、现场安装、吊装、制作安装调试、水电费、总包配合、通过竣工验收并交付</w:t>
      </w:r>
      <w:r>
        <w:rPr>
          <w:rFonts w:hint="eastAsia" w:ascii="宋体" w:hAnsi="宋体" w:cs="宋体"/>
          <w:bCs/>
          <w:color w:val="auto"/>
          <w:spacing w:val="-6"/>
          <w:sz w:val="24"/>
          <w:highlight w:val="none"/>
          <w:u w:val="single"/>
          <w:lang w:eastAsia="zh-CN"/>
        </w:rPr>
        <w:t>招标人</w:t>
      </w:r>
      <w:r>
        <w:rPr>
          <w:rFonts w:hint="eastAsia" w:ascii="宋体" w:hAnsi="宋体" w:cs="宋体"/>
          <w:bCs/>
          <w:color w:val="auto"/>
          <w:spacing w:val="-6"/>
          <w:sz w:val="24"/>
          <w:highlight w:val="none"/>
          <w:u w:val="single"/>
        </w:rPr>
        <w:t>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color w:val="auto"/>
          <w:kern w:val="0"/>
          <w:sz w:val="24"/>
          <w:highlight w:val="none"/>
          <w:u w:val="single"/>
        </w:rPr>
      </w:pPr>
      <w:r>
        <w:rPr>
          <w:rFonts w:hint="eastAsia" w:ascii="宋体" w:hAnsi="宋体" w:cs="宋体"/>
          <w:color w:val="auto"/>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color w:val="auto"/>
          <w:sz w:val="24"/>
          <w:highlight w:val="none"/>
          <w:u w:val="single"/>
        </w:rPr>
        <w:t>前</w:t>
      </w:r>
      <w:r>
        <w:rPr>
          <w:rFonts w:hint="eastAsia" w:ascii="宋体" w:hAnsi="宋体" w:cs="宋体"/>
          <w:color w:val="auto"/>
          <w:sz w:val="24"/>
          <w:highlight w:val="none"/>
          <w:u w:val="single"/>
        </w:rPr>
        <w:t>提出，否则视同认可。一旦中标不得对现场条件提出额外要求，且不得要求增加费用。</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1.4承包方式说明：</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工程发包范围内的包工、包料（发包人供应或发包人另行发包的除外）、包质量、包工期、包安全、包文明、包成品养护、包风险等。</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1.5按照《中华人民共和国招标投标法》、《工程建设项目施工招标投标办法》及相关规定，上述工程已符合招标条件，现采用</w:t>
      </w:r>
      <w:r>
        <w:rPr>
          <w:rFonts w:hint="eastAsia" w:ascii="宋体" w:hAnsi="宋体" w:cs="宋体"/>
          <w:b/>
          <w:color w:val="auto"/>
          <w:sz w:val="24"/>
          <w:highlight w:val="none"/>
          <w:u w:val="single"/>
        </w:rPr>
        <w:t>工程招标、资格后审</w:t>
      </w:r>
      <w:r>
        <w:rPr>
          <w:rFonts w:hint="eastAsia" w:ascii="宋体" w:hAnsi="宋体" w:cs="宋体"/>
          <w:color w:val="auto"/>
          <w:sz w:val="24"/>
          <w:highlight w:val="none"/>
        </w:rPr>
        <w:t>招标方式，择优选定施工单位。</w:t>
      </w:r>
    </w:p>
    <w:p>
      <w:pPr>
        <w:autoSpaceDE w:val="0"/>
        <w:autoSpaceDN w:val="0"/>
        <w:adjustRightInd w:val="0"/>
        <w:spacing w:line="420" w:lineRule="exact"/>
        <w:ind w:left="500"/>
        <w:jc w:val="left"/>
        <w:rPr>
          <w:rFonts w:ascii="宋体" w:hAnsi="宋体" w:cs="宋体"/>
          <w:b/>
          <w:color w:val="auto"/>
          <w:kern w:val="0"/>
          <w:sz w:val="24"/>
          <w:highlight w:val="none"/>
        </w:rPr>
      </w:pPr>
      <w:bookmarkStart w:id="18" w:name="_Toc286661161"/>
      <w:r>
        <w:rPr>
          <w:rFonts w:hint="eastAsia" w:ascii="宋体" w:hAnsi="宋体" w:cs="宋体"/>
          <w:b/>
          <w:color w:val="auto"/>
          <w:kern w:val="0"/>
          <w:sz w:val="24"/>
          <w:highlight w:val="none"/>
        </w:rPr>
        <w:t>2.投标人资格要求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2.1投标人应具备承担本工程施工的资质条件、能力和信誉：</w:t>
      </w:r>
    </w:p>
    <w:p>
      <w:pPr>
        <w:spacing w:line="360" w:lineRule="auto"/>
        <w:ind w:firstLine="480" w:firstLineChars="200"/>
        <w:rPr>
          <w:rFonts w:ascii="宋体" w:hAnsi="宋体" w:cs="宋体"/>
          <w:b/>
          <w:bCs/>
          <w:color w:val="auto"/>
          <w:kern w:val="0"/>
          <w:sz w:val="24"/>
          <w:highlight w:val="none"/>
          <w:u w:val="single"/>
        </w:rPr>
      </w:pPr>
      <w:r>
        <w:rPr>
          <w:rFonts w:hint="eastAsia" w:ascii="宋体" w:hAnsi="宋体" w:cs="宋体"/>
          <w:snapToGrid w:val="0"/>
          <w:color w:val="auto"/>
          <w:kern w:val="0"/>
          <w:sz w:val="24"/>
          <w:highlight w:val="none"/>
        </w:rPr>
        <w:t>（1）企业资质条件：</w:t>
      </w:r>
      <w:r>
        <w:rPr>
          <w:rFonts w:hint="eastAsia" w:ascii="宋体" w:hAnsi="宋体" w:cs="宋体"/>
          <w:color w:val="auto"/>
          <w:sz w:val="24"/>
          <w:highlight w:val="none"/>
        </w:rPr>
        <w:t>具有独立法人资格</w:t>
      </w:r>
      <w:bookmarkStart w:id="19" w:name="_Hlk69811451"/>
      <w:r>
        <w:rPr>
          <w:rFonts w:hint="eastAsia" w:ascii="宋体" w:hAnsi="宋体" w:cs="宋体"/>
          <w:color w:val="auto"/>
          <w:sz w:val="24"/>
          <w:highlight w:val="none"/>
          <w:lang w:eastAsia="zh-CN"/>
        </w:rPr>
        <w:t>和</w:t>
      </w:r>
      <w:r>
        <w:rPr>
          <w:rFonts w:hint="eastAsia" w:ascii="宋体" w:hAnsi="宋体" w:cs="宋体"/>
          <w:b/>
          <w:bCs/>
          <w:color w:val="auto"/>
          <w:kern w:val="0"/>
          <w:sz w:val="24"/>
          <w:highlight w:val="none"/>
          <w:u w:val="single"/>
        </w:rPr>
        <w:t>水利水电工程施工总承包叁级及以上资质或市政公用工程施工总承包叁级及以上资质（须在有效期内），且具备企业安全生产施工许可证；</w:t>
      </w:r>
      <w:bookmarkEnd w:id="19"/>
    </w:p>
    <w:p>
      <w:pPr>
        <w:spacing w:line="360" w:lineRule="auto"/>
        <w:ind w:firstLine="480" w:firstLineChars="200"/>
        <w:rPr>
          <w:rFonts w:ascii="宋体" w:hAnsi="宋体" w:cs="宋体"/>
          <w:b/>
          <w:color w:val="auto"/>
          <w:kern w:val="0"/>
          <w:sz w:val="24"/>
          <w:highlight w:val="none"/>
          <w:u w:val="single"/>
        </w:rPr>
      </w:pPr>
      <w:r>
        <w:rPr>
          <w:rFonts w:hint="eastAsia" w:ascii="宋体" w:hAnsi="宋体" w:cs="宋体"/>
          <w:color w:val="auto"/>
          <w:kern w:val="0"/>
          <w:sz w:val="24"/>
          <w:highlight w:val="none"/>
        </w:rPr>
        <w:t>（2）项目经理（项目负责人）资格：</w:t>
      </w:r>
      <w:r>
        <w:rPr>
          <w:rFonts w:hint="eastAsia" w:ascii="宋体" w:hAnsi="宋体" w:cs="宋体"/>
          <w:b/>
          <w:color w:val="auto"/>
          <w:kern w:val="0"/>
          <w:sz w:val="24"/>
          <w:highlight w:val="none"/>
          <w:u w:val="single"/>
        </w:rPr>
        <w:t>水利水电工程专业二级及以上或市政公用工程专业二级及以上注册建造师（须在有效期内），并具备安全考核合格证书(B证)</w:t>
      </w:r>
      <w:r>
        <w:rPr>
          <w:rFonts w:hint="eastAsia" w:ascii="宋体" w:hAnsi="宋体" w:cs="宋体"/>
          <w:b/>
          <w:color w:val="auto"/>
          <w:kern w:val="0"/>
          <w:sz w:val="24"/>
          <w:highlight w:val="none"/>
          <w:u w:val="single"/>
          <w:lang w:eastAsia="zh-CN"/>
        </w:rPr>
        <w:t>，均</w:t>
      </w:r>
      <w:r>
        <w:rPr>
          <w:rFonts w:hint="eastAsia" w:ascii="宋体" w:hAnsi="宋体" w:cs="宋体"/>
          <w:b/>
          <w:bCs/>
          <w:color w:val="auto"/>
          <w:kern w:val="0"/>
          <w:sz w:val="24"/>
          <w:highlight w:val="none"/>
          <w:u w:val="single"/>
        </w:rPr>
        <w:t>须在有效期内</w:t>
      </w:r>
      <w:r>
        <w:rPr>
          <w:rFonts w:hint="eastAsia" w:ascii="宋体" w:hAnsi="宋体" w:cs="宋体"/>
          <w:b/>
          <w:bCs/>
          <w:color w:val="auto"/>
          <w:kern w:val="0"/>
          <w:sz w:val="24"/>
          <w:highlight w:val="none"/>
          <w:u w:val="single"/>
          <w:lang w:eastAsia="zh-CN"/>
        </w:rPr>
        <w:t>。</w:t>
      </w:r>
      <w:r>
        <w:rPr>
          <w:rFonts w:hint="eastAsia" w:ascii="宋体" w:hAnsi="宋体" w:cs="宋体"/>
          <w:b/>
          <w:color w:val="auto"/>
          <w:kern w:val="0"/>
          <w:sz w:val="24"/>
          <w:highlight w:val="none"/>
          <w:u w:val="single"/>
        </w:rPr>
        <w:t>拟派项目负责人为投标企业正式人员，且项目负责人不得为企业法定代表人或企业董事长或总经理。</w:t>
      </w:r>
    </w:p>
    <w:p>
      <w:pPr>
        <w:spacing w:line="360" w:lineRule="auto"/>
        <w:ind w:firstLine="482" w:firstLineChars="200"/>
        <w:rPr>
          <w:rFonts w:ascii="宋体" w:hAnsi="宋体" w:cs="宋体"/>
          <w:b/>
          <w:color w:val="auto"/>
          <w:kern w:val="0"/>
          <w:sz w:val="24"/>
          <w:highlight w:val="none"/>
          <w:u w:val="single"/>
        </w:rPr>
      </w:pPr>
      <w:r>
        <w:rPr>
          <w:rFonts w:hint="eastAsia" w:ascii="宋体" w:hAnsi="宋体" w:cs="宋体"/>
          <w:b/>
          <w:color w:val="auto"/>
          <w:kern w:val="0"/>
          <w:sz w:val="24"/>
          <w:highlight w:val="none"/>
          <w:u w:val="single"/>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p>
      <w:pPr>
        <w:pStyle w:val="19"/>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bCs/>
          <w:color w:val="auto"/>
          <w:sz w:val="24"/>
          <w:highlight w:val="none"/>
        </w:rPr>
        <w:t>拟派项目负责人必须为投标企业正式人员，不得同时在两个或者两个以上单位受聘或者执业</w:t>
      </w:r>
      <w:r>
        <w:rPr>
          <w:rFonts w:hint="eastAsia" w:ascii="宋体" w:hAnsi="宋体" w:eastAsia="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b/>
          <w:color w:val="auto"/>
          <w:sz w:val="24"/>
          <w:highlight w:val="none"/>
        </w:rPr>
        <w:t>本工程不接受联合体方式的投标</w:t>
      </w:r>
      <w:r>
        <w:rPr>
          <w:rFonts w:hint="eastAsia" w:ascii="宋体" w:hAnsi="宋体" w:cs="宋体"/>
          <w:color w:val="auto"/>
          <w:sz w:val="24"/>
          <w:highlight w:val="none"/>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b/>
          <w:color w:val="auto"/>
          <w:sz w:val="24"/>
          <w:highlight w:val="none"/>
        </w:rPr>
        <w:t>未尽之处具体详见第二章“评标办法”中的“资格审查标准汇总表”。</w:t>
      </w:r>
    </w:p>
    <w:p>
      <w:pPr>
        <w:pStyle w:val="19"/>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3.投标人不得存在下列情形之一：</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①为招标人不具有独立法人资格的附属机构（单位）；</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②为本招标项目的监理人、代建人、项目管理人，以及为本招标项目提供招标代理、设计服务的；</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③与本招标项目的监理人、代建人、招标代理机构同为一个法定代表人的，或者相互控股、参股的；</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④与招标人存在利害关系可能影响招标公正性的；</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⑤单位负责人为同一人或者存在控股、管理关系的不同单位；</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⑥处于被责令停业、财产被接管、冻结和破产状态，以及投标资格被取消或者被暂停且在暂停期内；</w:t>
      </w:r>
    </w:p>
    <w:p>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⑦因拖欠工人工资或者因发生质量安全事故被有关部门限制在招标项目所在地承接工程的；</w:t>
      </w:r>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4.投标费用</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4.1供应商承担参与投标可能发生的全部费用，代理机构在任何情况下均无义务和责任承担这些费用。</w:t>
      </w:r>
    </w:p>
    <w:p>
      <w:pPr>
        <w:pStyle w:val="19"/>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4.2本项目招标代理费按照发改价格[2011]534号文标准计收；标底编制费按照【2014】383号文标准计收，不足2000元的按2000元收取。代理费及编标费由中标人支付给代理机构，报价时需综合考虑（不单列）</w:t>
      </w:r>
      <w:r>
        <w:rPr>
          <w:rFonts w:hint="eastAsia" w:ascii="宋体" w:hAnsi="宋体" w:eastAsia="宋体" w:cs="宋体"/>
          <w:color w:val="auto"/>
          <w:sz w:val="24"/>
          <w:highlight w:val="none"/>
        </w:rPr>
        <w:t>。</w:t>
      </w:r>
    </w:p>
    <w:p>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代理费</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标底编制费</w:t>
      </w:r>
      <w:r>
        <w:rPr>
          <w:rFonts w:hint="eastAsia" w:ascii="宋体" w:hAnsi="宋体" w:cs="宋体"/>
          <w:b/>
          <w:color w:val="auto"/>
          <w:kern w:val="0"/>
          <w:sz w:val="24"/>
          <w:highlight w:val="none"/>
        </w:rPr>
        <w:t>等费用定标后由中标候选人支付给代理机构。因中标人原因导致中标结果变更或取消中标资格等，不予退还。</w:t>
      </w:r>
    </w:p>
    <w:p>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5.踏勘现场</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5.1经招标人允许，投标人可为踏勘目的进入招标人的项目现场，但投标人不得因此使招标人承担有关的责任和蒙受损失，投标人应承担踏勘现场的责任和风险。</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5.2投标人自行对工程现场及周围环境进行踏勘，以便投标人获取有关编制投标文件和签署合同所涉及的现场资料。投标人承担踏勘现场发生的一切费用。</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5.3招标人向投标人提供的有关现场的数据和资料，是招标人现有的能被投标人利用的资料，招标人对投标人作出的任何推论、理解和结论均不负责任。</w:t>
      </w:r>
    </w:p>
    <w:p>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5.4投标人应充分考虑标书制作过程中的数据变化因素，检查确认标书内容的正确完整和对招标文件的响应程度。</w:t>
      </w:r>
    </w:p>
    <w:p>
      <w:pPr>
        <w:pStyle w:val="49"/>
        <w:spacing w:before="0" w:beforeAutospacing="0" w:after="0" w:afterAutospacing="0" w:line="42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5.5凡有意参与投标的需自行考察施工现场情况，踏勘现场时间为</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年</w:t>
      </w:r>
      <w:r>
        <w:rPr>
          <w:rFonts w:hint="eastAsia" w:cs="宋体"/>
          <w:b/>
          <w:bCs/>
          <w:color w:val="auto"/>
          <w:kern w:val="0"/>
          <w:sz w:val="24"/>
          <w:highlight w:val="none"/>
          <w:lang w:val="en-US" w:eastAsia="zh-CN"/>
        </w:rPr>
        <w:t>6</w:t>
      </w:r>
      <w:r>
        <w:rPr>
          <w:rFonts w:hint="eastAsia" w:ascii="宋体" w:hAnsi="宋体" w:cs="宋体"/>
          <w:b/>
          <w:bCs/>
          <w:color w:val="auto"/>
          <w:kern w:val="0"/>
          <w:sz w:val="24"/>
          <w:highlight w:val="none"/>
        </w:rPr>
        <w:t>月</w:t>
      </w:r>
      <w:r>
        <w:rPr>
          <w:rFonts w:hint="eastAsia" w:cs="宋体"/>
          <w:b/>
          <w:bCs/>
          <w:color w:val="auto"/>
          <w:kern w:val="0"/>
          <w:sz w:val="24"/>
          <w:highlight w:val="none"/>
          <w:lang w:val="en-US" w:eastAsia="zh-CN"/>
        </w:rPr>
        <w:t xml:space="preserve"> 27 </w:t>
      </w:r>
      <w:r>
        <w:rPr>
          <w:rFonts w:hint="eastAsia" w:ascii="宋体" w:hAnsi="宋体" w:cs="宋体"/>
          <w:b/>
          <w:bCs/>
          <w:color w:val="auto"/>
          <w:kern w:val="0"/>
          <w:sz w:val="24"/>
          <w:highlight w:val="none"/>
        </w:rPr>
        <w:t>日至202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年</w:t>
      </w:r>
      <w:r>
        <w:rPr>
          <w:rFonts w:hint="eastAsia" w:cs="宋体"/>
          <w:b/>
          <w:bCs/>
          <w:color w:val="auto"/>
          <w:kern w:val="0"/>
          <w:sz w:val="24"/>
          <w:highlight w:val="none"/>
          <w:lang w:val="en-US" w:eastAsia="zh-CN"/>
        </w:rPr>
        <w:t>7</w:t>
      </w:r>
      <w:r>
        <w:rPr>
          <w:rFonts w:hint="eastAsia" w:ascii="宋体" w:hAnsi="宋体" w:cs="宋体"/>
          <w:b/>
          <w:bCs/>
          <w:color w:val="auto"/>
          <w:kern w:val="0"/>
          <w:sz w:val="24"/>
          <w:highlight w:val="none"/>
        </w:rPr>
        <w:t>月</w:t>
      </w:r>
      <w:r>
        <w:rPr>
          <w:rFonts w:hint="eastAsia" w:cs="宋体"/>
          <w:b/>
          <w:bCs/>
          <w:color w:val="auto"/>
          <w:kern w:val="0"/>
          <w:sz w:val="24"/>
          <w:highlight w:val="none"/>
          <w:lang w:val="en-US" w:eastAsia="zh-CN"/>
        </w:rPr>
        <w:t xml:space="preserve"> 4 </w:t>
      </w:r>
      <w:r>
        <w:rPr>
          <w:rFonts w:hint="eastAsia" w:ascii="宋体" w:hAnsi="宋体" w:cs="宋体"/>
          <w:b/>
          <w:bCs/>
          <w:color w:val="auto"/>
          <w:kern w:val="0"/>
          <w:sz w:val="24"/>
          <w:highlight w:val="none"/>
        </w:rPr>
        <w:t>日（节假日除外）</w:t>
      </w:r>
      <w:r>
        <w:rPr>
          <w:rFonts w:hint="eastAsia" w:ascii="宋体" w:hAnsi="宋体" w:cs="宋体"/>
          <w:color w:val="auto"/>
          <w:kern w:val="0"/>
          <w:sz w:val="24"/>
          <w:highlight w:val="none"/>
        </w:rPr>
        <w:t>，上午9:00~11:00，下午14:00~17:00。</w:t>
      </w:r>
      <w:r>
        <w:rPr>
          <w:rFonts w:hint="eastAsia" w:ascii="宋体" w:hAnsi="宋体" w:eastAsia="宋体" w:cs="宋体"/>
          <w:color w:val="auto"/>
          <w:kern w:val="0"/>
          <w:sz w:val="24"/>
          <w:highlight w:val="none"/>
        </w:rPr>
        <w:t>踏勘现场负责人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徐女士</w:t>
      </w:r>
      <w:r>
        <w:rPr>
          <w:rFonts w:hint="eastAsia" w:ascii="宋体" w:hAnsi="宋体" w:eastAsia="宋体" w:cs="宋体"/>
          <w:color w:val="auto"/>
          <w:kern w:val="0"/>
          <w:sz w:val="24"/>
          <w:highlight w:val="none"/>
          <w:lang w:eastAsia="zh-CN"/>
        </w:rPr>
        <w:t>，联系电话：</w:t>
      </w:r>
      <w:r>
        <w:rPr>
          <w:rFonts w:hint="eastAsia" w:ascii="宋体" w:hAnsi="宋体" w:eastAsia="宋体" w:cs="宋体"/>
          <w:color w:val="auto"/>
          <w:kern w:val="0"/>
          <w:sz w:val="24"/>
          <w:highlight w:val="none"/>
          <w:lang w:val="en-US" w:eastAsia="zh-CN"/>
        </w:rPr>
        <w:t>0513-85609777、0513-85529511</w:t>
      </w:r>
      <w:r>
        <w:rPr>
          <w:rFonts w:hint="eastAsia" w:ascii="宋体" w:hAnsi="宋体" w:eastAsia="宋体" w:cs="宋体"/>
          <w:color w:val="auto"/>
          <w:kern w:val="0"/>
          <w:sz w:val="24"/>
          <w:highlight w:val="none"/>
        </w:rPr>
        <w:t>。踏</w:t>
      </w:r>
      <w:r>
        <w:rPr>
          <w:rFonts w:hint="eastAsia" w:ascii="宋体" w:hAnsi="宋体" w:cs="宋体"/>
          <w:color w:val="auto"/>
          <w:kern w:val="0"/>
          <w:sz w:val="24"/>
          <w:highlight w:val="none"/>
        </w:rPr>
        <w:t>勘现场时必须对施工现场情况和影响施工的因素进行周密的勘察和研究。</w:t>
      </w:r>
    </w:p>
    <w:p>
      <w:pPr>
        <w:pStyle w:val="53"/>
        <w:spacing w:before="20"/>
        <w:ind w:firstLine="480"/>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5.6投标自行勘察现场，依据现场实际情况报价。投标人应认真踏勘施工现场，复核施工工程量，且应自行考虑因各种困难因素（包括成品保护、防盗等）所发生的一切费用，须在投标报价中予以体现，以后不得以此为由提出额外增加费用的要求。</w:t>
      </w:r>
    </w:p>
    <w:p>
      <w:pPr>
        <w:pStyle w:val="53"/>
        <w:spacing w:before="20"/>
        <w:ind w:firstLine="480"/>
        <w:rPr>
          <w:rFonts w:cs="宋体"/>
          <w:color w:val="auto"/>
          <w:kern w:val="0"/>
          <w:sz w:val="24"/>
          <w:highlight w:val="none"/>
        </w:rPr>
      </w:pPr>
      <w:r>
        <w:rPr>
          <w:rFonts w:hint="eastAsia" w:cs="宋体"/>
          <w:color w:val="auto"/>
          <w:kern w:val="0"/>
          <w:sz w:val="24"/>
          <w:highlight w:val="none"/>
        </w:rPr>
        <w:t>5.</w:t>
      </w:r>
      <w:r>
        <w:rPr>
          <w:rFonts w:hint="eastAsia" w:cs="宋体"/>
          <w:color w:val="auto"/>
          <w:kern w:val="0"/>
          <w:sz w:val="24"/>
          <w:highlight w:val="none"/>
          <w:lang w:val="en-US" w:eastAsia="zh-CN"/>
        </w:rPr>
        <w:t>7</w:t>
      </w:r>
      <w:r>
        <w:rPr>
          <w:rFonts w:hint="eastAsia" w:cs="宋体"/>
          <w:color w:val="auto"/>
          <w:kern w:val="0"/>
          <w:sz w:val="24"/>
          <w:highlight w:val="none"/>
        </w:rPr>
        <w:t>投标人如有疑问需要澄清，应于</w:t>
      </w:r>
      <w:r>
        <w:rPr>
          <w:rFonts w:hint="eastAsia" w:cs="宋体"/>
          <w:b/>
          <w:bCs/>
          <w:color w:val="auto"/>
          <w:kern w:val="0"/>
          <w:sz w:val="24"/>
          <w:highlight w:val="none"/>
        </w:rPr>
        <w:t>202</w:t>
      </w:r>
      <w:r>
        <w:rPr>
          <w:rFonts w:hint="eastAsia" w:cs="宋体"/>
          <w:b/>
          <w:bCs/>
          <w:color w:val="auto"/>
          <w:kern w:val="0"/>
          <w:sz w:val="24"/>
          <w:highlight w:val="none"/>
          <w:lang w:val="en-US" w:eastAsia="zh-CN"/>
        </w:rPr>
        <w:t>4</w:t>
      </w:r>
      <w:r>
        <w:rPr>
          <w:rFonts w:hint="eastAsia" w:cs="宋体"/>
          <w:b/>
          <w:bCs/>
          <w:color w:val="auto"/>
          <w:kern w:val="0"/>
          <w:sz w:val="24"/>
          <w:highlight w:val="none"/>
        </w:rPr>
        <w:t>年</w:t>
      </w:r>
      <w:r>
        <w:rPr>
          <w:rFonts w:hint="eastAsia" w:cs="宋体"/>
          <w:b/>
          <w:bCs/>
          <w:color w:val="auto"/>
          <w:kern w:val="0"/>
          <w:sz w:val="24"/>
          <w:highlight w:val="none"/>
          <w:lang w:val="en-US" w:eastAsia="zh-CN"/>
        </w:rPr>
        <w:t>7</w:t>
      </w:r>
      <w:r>
        <w:rPr>
          <w:rFonts w:hint="eastAsia" w:cs="宋体"/>
          <w:b/>
          <w:bCs/>
          <w:color w:val="auto"/>
          <w:kern w:val="0"/>
          <w:sz w:val="24"/>
          <w:highlight w:val="none"/>
        </w:rPr>
        <w:t>月</w:t>
      </w:r>
      <w:r>
        <w:rPr>
          <w:rFonts w:hint="eastAsia" w:cs="宋体"/>
          <w:b/>
          <w:bCs/>
          <w:color w:val="auto"/>
          <w:kern w:val="0"/>
          <w:sz w:val="24"/>
          <w:highlight w:val="none"/>
          <w:lang w:val="en-US" w:eastAsia="zh-CN"/>
        </w:rPr>
        <w:t xml:space="preserve"> 4 </w:t>
      </w:r>
      <w:r>
        <w:rPr>
          <w:rFonts w:hint="eastAsia" w:cs="宋体"/>
          <w:b/>
          <w:bCs/>
          <w:color w:val="auto"/>
          <w:kern w:val="0"/>
          <w:sz w:val="24"/>
          <w:highlight w:val="none"/>
        </w:rPr>
        <w:t>日17点</w:t>
      </w:r>
      <w:r>
        <w:rPr>
          <w:rFonts w:hint="eastAsia" w:cs="宋体"/>
          <w:color w:val="auto"/>
          <w:kern w:val="0"/>
          <w:sz w:val="24"/>
          <w:highlight w:val="none"/>
        </w:rPr>
        <w:t>前向招标人提出，在此时间之后的任何疑问招标人将拒绝回答。</w:t>
      </w:r>
    </w:p>
    <w:p>
      <w:pPr>
        <w:autoSpaceDE w:val="0"/>
        <w:autoSpaceDN w:val="0"/>
        <w:adjustRightInd w:val="0"/>
        <w:spacing w:line="420" w:lineRule="exact"/>
        <w:ind w:left="500"/>
        <w:jc w:val="left"/>
        <w:rPr>
          <w:rFonts w:ascii="宋体" w:hAnsi="宋体" w:cs="宋体"/>
          <w:b/>
          <w:color w:val="auto"/>
          <w:kern w:val="0"/>
          <w:sz w:val="24"/>
          <w:highlight w:val="none"/>
        </w:rPr>
      </w:pPr>
      <w:bookmarkStart w:id="20" w:name="_Toc380681234"/>
      <w:bookmarkStart w:id="21" w:name="_Toc380681015"/>
      <w:bookmarkStart w:id="22" w:name="_Toc380680822"/>
      <w:r>
        <w:rPr>
          <w:rFonts w:hint="eastAsia" w:ascii="宋体" w:hAnsi="宋体" w:cs="宋体"/>
          <w:b/>
          <w:color w:val="auto"/>
          <w:kern w:val="0"/>
          <w:sz w:val="24"/>
          <w:highlight w:val="none"/>
        </w:rPr>
        <w:t>（二）招标文件</w:t>
      </w:r>
      <w:bookmarkEnd w:id="20"/>
      <w:bookmarkEnd w:id="21"/>
      <w:bookmarkEnd w:id="22"/>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5.招标文件的组成</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5.1.招标文件包括下列内容：</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第一章：投标须知</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第二章：评标办法</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第三章：合同条款</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第四章：工程建设标准</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第五章：图纸、技术资料及附件</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第六章：投标文件格式</w:t>
      </w:r>
    </w:p>
    <w:p>
      <w:pPr>
        <w:spacing w:line="42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第七章：</w:t>
      </w:r>
      <w:r>
        <w:rPr>
          <w:rFonts w:hint="eastAsia" w:ascii="宋体" w:hAnsi="宋体" w:cs="宋体"/>
          <w:color w:val="auto"/>
          <w:sz w:val="24"/>
          <w:highlight w:val="none"/>
          <w:lang w:eastAsia="zh-CN"/>
        </w:rPr>
        <w:t>资格审查文件</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第八章：工程量清单</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5.2根据本章第6、7款对招标文件所作的澄清、修改，构成招标文件的组成部分。投标人在投标截止时间前，应通过将在“</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"下</w:t>
      </w:r>
      <w:r>
        <w:rPr>
          <w:rFonts w:hint="eastAsia" w:ascii="宋体" w:hAnsi="宋体" w:cs="宋体"/>
          <w:color w:val="auto"/>
          <w:sz w:val="23"/>
          <w:szCs w:val="23"/>
          <w:highlight w:val="none"/>
        </w:rPr>
        <w:t>载。</w:t>
      </w:r>
      <w:r>
        <w:rPr>
          <w:rFonts w:hint="eastAsia" w:ascii="宋体" w:hAnsi="宋体" w:cs="宋体"/>
          <w:color w:val="auto"/>
          <w:sz w:val="24"/>
          <w:highlight w:val="none"/>
        </w:rPr>
        <w:t>随时查阅有关该工程招标项目的澄清、招标文件的修改(招标答疑、补遗文件)、招标控制价公示等内容。</w:t>
      </w:r>
      <w:r>
        <w:rPr>
          <w:rFonts w:hint="eastAsia" w:ascii="宋体" w:hAnsi="宋体" w:cs="宋体"/>
          <w:b/>
          <w:color w:val="auto"/>
          <w:sz w:val="24"/>
          <w:highlight w:val="none"/>
        </w:rPr>
        <w:t>投标人查阅如有遗漏，其风险应由投标人自行承担。</w:t>
      </w:r>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6.招标文件的澄清</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6.1投标人从将在“</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”下</w:t>
      </w:r>
      <w:r>
        <w:rPr>
          <w:rFonts w:hint="eastAsia" w:ascii="宋体" w:hAnsi="宋体" w:cs="宋体"/>
          <w:color w:val="auto"/>
          <w:sz w:val="23"/>
          <w:szCs w:val="23"/>
          <w:highlight w:val="none"/>
        </w:rPr>
        <w:t>载</w:t>
      </w:r>
      <w:r>
        <w:rPr>
          <w:rFonts w:hint="eastAsia" w:ascii="宋体" w:hAnsi="宋体" w:cs="宋体"/>
          <w:color w:val="auto"/>
          <w:sz w:val="24"/>
          <w:highlight w:val="none"/>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6.2招标人不组织集中答疑，投标人如对招标公告、招标文件、工程量清单、图纸、标底、招标控制价等文件存在前后矛盾，部分条款说明不清、存在歧义、违反相关法律法规，存在限制性条款等有疑问的应在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u w:val="single"/>
        </w:rPr>
        <w:t>日17时前</w:t>
      </w:r>
      <w:r>
        <w:rPr>
          <w:rFonts w:hint="eastAsia" w:ascii="宋体" w:hAnsi="宋体" w:cs="宋体"/>
          <w:color w:val="auto"/>
          <w:sz w:val="24"/>
          <w:highlight w:val="none"/>
        </w:rPr>
        <w:t>向招标人提出澄清要求，</w:t>
      </w:r>
      <w:r>
        <w:rPr>
          <w:color w:val="auto"/>
          <w:highlight w:val="none"/>
        </w:rPr>
        <w:fldChar w:fldCharType="begin"/>
      </w:r>
      <w:r>
        <w:rPr>
          <w:color w:val="auto"/>
          <w:highlight w:val="none"/>
        </w:rPr>
        <w:instrText xml:space="preserve"> HYPERLINK "mailto:以电子文件形式发送至550362779@qq.com" </w:instrText>
      </w:r>
      <w:r>
        <w:rPr>
          <w:color w:val="auto"/>
          <w:highlight w:val="none"/>
        </w:rPr>
        <w:fldChar w:fldCharType="separate"/>
      </w:r>
      <w:r>
        <w:rPr>
          <w:rFonts w:hint="eastAsia" w:ascii="宋体" w:hAnsi="宋体" w:cs="宋体"/>
          <w:color w:val="auto"/>
          <w:sz w:val="24"/>
          <w:highlight w:val="none"/>
        </w:rPr>
        <w:t>以电子文件形式发送至</w:t>
      </w:r>
      <w:r>
        <w:rPr>
          <w:rFonts w:hint="eastAsia" w:ascii="宋体" w:hAnsi="宋体" w:cs="宋体"/>
          <w:color w:val="auto"/>
          <w:sz w:val="24"/>
          <w:highlight w:val="none"/>
        </w:rPr>
        <w:fldChar w:fldCharType="end"/>
      </w:r>
      <w:r>
        <w:rPr>
          <w:rFonts w:hint="eastAsia" w:ascii="宋体" w:hAnsi="宋体" w:cs="宋体"/>
          <w:color w:val="auto"/>
          <w:sz w:val="24"/>
          <w:highlight w:val="none"/>
        </w:rPr>
        <w:t>指定邮箱：</w:t>
      </w:r>
      <w:r>
        <w:rPr>
          <w:color w:val="auto"/>
          <w:highlight w:val="none"/>
        </w:rPr>
        <w:fldChar w:fldCharType="begin"/>
      </w:r>
      <w:r>
        <w:rPr>
          <w:color w:val="auto"/>
          <w:highlight w:val="none"/>
        </w:rPr>
        <w:instrText xml:space="preserve"> HYPERLINK "mailto:757309812@qq.com（不具单位名称，不加盖单位公章）。招标人在收到疑问材料后2日内予以解答，并于2021年" </w:instrText>
      </w:r>
      <w:r>
        <w:rPr>
          <w:color w:val="auto"/>
          <w:highlight w:val="none"/>
        </w:rPr>
        <w:fldChar w:fldCharType="separate"/>
      </w:r>
      <w:r>
        <w:rPr>
          <w:rFonts w:hint="eastAsia" w:ascii="宋体" w:hAnsi="宋体" w:cs="宋体"/>
          <w:color w:val="auto"/>
          <w:sz w:val="24"/>
          <w:highlight w:val="none"/>
          <w:u w:val="single"/>
        </w:rPr>
        <w:t>jszrntzb@163.com（不具单位名称，不加盖单位公章）。招标人在收到疑问材料后</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日内予以解答，并于202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5 </w:t>
      </w:r>
      <w:r>
        <w:rPr>
          <w:rFonts w:hint="eastAsia" w:ascii="宋体" w:hAnsi="宋体" w:cs="宋体"/>
          <w:color w:val="auto"/>
          <w:sz w:val="24"/>
          <w:highlight w:val="none"/>
          <w:u w:val="single"/>
        </w:rPr>
        <w:t>日17时前</w:t>
      </w:r>
      <w:r>
        <w:rPr>
          <w:rFonts w:hint="eastAsia" w:ascii="宋体" w:hAnsi="宋体" w:cs="宋体"/>
          <w:color w:val="auto"/>
          <w:sz w:val="24"/>
          <w:highlight w:val="none"/>
        </w:rPr>
        <w:t>将解答内容（若有）以电子文档上传至将在“</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”请各潜在投标人在将自行下载。</w:t>
      </w:r>
    </w:p>
    <w:p>
      <w:pPr>
        <w:spacing w:line="420" w:lineRule="exact"/>
        <w:ind w:firstLine="480"/>
        <w:rPr>
          <w:rFonts w:ascii="宋体" w:hAnsi="宋体" w:cs="宋体"/>
          <w:b/>
          <w:color w:val="auto"/>
          <w:sz w:val="24"/>
          <w:highlight w:val="none"/>
        </w:rPr>
      </w:pPr>
      <w:r>
        <w:rPr>
          <w:rFonts w:hint="eastAsia" w:ascii="宋体" w:hAnsi="宋体" w:cs="宋体"/>
          <w:b/>
          <w:color w:val="auto"/>
          <w:sz w:val="24"/>
          <w:highlight w:val="none"/>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6.3招标文件的澄清答疑将在投标人须知前附表规定的时间前，在“</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投标人对招标人提供的招标文件所做出的推论、解释和结论，招标人概不负责。投标人由于对招标文件的任何推论和误解均由投标人自负。</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在投标截止时间3天前，招标人可以修改招标文件，以电子文档形式在将在“</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”下载发布。如果修改招标文件的时间距投标截止时间不足3天，相应延长投标截止时间。</w:t>
      </w:r>
    </w:p>
    <w:p>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7.招标文件的修改</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7.1招标文件发布后，在投标截止期前，确需对招标文件进行修改的，招标人以招标文件澄清、答疑方式，经将在“</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”向所有投标人公示，并报招投标监管部门备案。</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7.3本工程采用电子答疑，招标人对招标文件的所作澄清、答疑、修改均以将在“</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”下载上公布的内容为准。招标文件的答疑内容前后期相互矛盾时，以公示时间在后的文件为准。投标人应在投标截止时间前随时查看将在“</w:t>
      </w:r>
      <w:r>
        <w:rPr>
          <w:rFonts w:hint="eastAsia" w:ascii="宋体" w:hAnsi="宋体" w:cs="宋体"/>
          <w:color w:val="auto"/>
          <w:sz w:val="24"/>
          <w:highlight w:val="none"/>
          <w:lang w:eastAsia="zh-CN"/>
        </w:rPr>
        <w:t>南通市崇川区人民政府网公示公告栏</w:t>
      </w:r>
      <w:r>
        <w:rPr>
          <w:rFonts w:hint="eastAsia" w:ascii="宋体" w:hAnsi="宋体" w:cs="宋体"/>
          <w:color w:val="auto"/>
          <w:sz w:val="24"/>
          <w:highlight w:val="none"/>
        </w:rPr>
        <w:t>”中有关该工程招标文件的答疑内容。投标人因自身原因未能及时掌握上述网上公示信息，由此造成投标损失自负。</w:t>
      </w:r>
    </w:p>
    <w:p>
      <w:pPr>
        <w:pStyle w:val="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 xml:space="preserve">8. </w:t>
      </w:r>
      <w:r>
        <w:rPr>
          <w:rFonts w:hint="eastAsia" w:ascii="宋体" w:hAnsi="宋体" w:cs="宋体"/>
          <w:color w:val="auto"/>
          <w:sz w:val="24"/>
          <w:highlight w:val="none"/>
        </w:rPr>
        <w:t>投标人应认真阅读招标文件所有内容，未按招标文件要求编制的投标文件将被拒绝或者作为废标处理。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 xml:space="preserve">9. </w:t>
      </w:r>
      <w:r>
        <w:rPr>
          <w:rFonts w:hint="eastAsia" w:ascii="宋体" w:hAnsi="宋体" w:cs="宋体"/>
          <w:color w:val="auto"/>
          <w:sz w:val="24"/>
          <w:highlight w:val="none"/>
        </w:rPr>
        <w:t>本工程投标文件由</w:t>
      </w:r>
      <w:r>
        <w:rPr>
          <w:rFonts w:hint="eastAsia" w:ascii="宋体" w:hAnsi="宋体" w:cs="宋体"/>
          <w:b/>
          <w:color w:val="auto"/>
          <w:sz w:val="24"/>
          <w:highlight w:val="none"/>
          <w:u w:val="single"/>
          <w:lang w:eastAsia="zh-CN"/>
        </w:rPr>
        <w:t>资格审查文件</w:t>
      </w:r>
      <w:r>
        <w:rPr>
          <w:rFonts w:hint="eastAsia" w:ascii="宋体" w:hAnsi="宋体" w:cs="宋体"/>
          <w:b/>
          <w:color w:val="auto"/>
          <w:sz w:val="24"/>
          <w:highlight w:val="none"/>
          <w:u w:val="single"/>
        </w:rPr>
        <w:t>、商务标、电子响应文件</w:t>
      </w:r>
      <w:r>
        <w:rPr>
          <w:rFonts w:hint="eastAsia" w:ascii="宋体" w:hAnsi="宋体" w:cs="宋体"/>
          <w:color w:val="auto"/>
          <w:sz w:val="24"/>
          <w:highlight w:val="none"/>
        </w:rPr>
        <w:t>三部分组成，单独密封并牢固装订：</w:t>
      </w:r>
    </w:p>
    <w:p>
      <w:pPr>
        <w:pStyle w:val="19"/>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9.1</w:t>
      </w:r>
      <w:r>
        <w:rPr>
          <w:rFonts w:hint="eastAsia" w:ascii="宋体" w:hAnsi="宋体" w:eastAsia="宋体" w:cs="宋体"/>
          <w:color w:val="auto"/>
          <w:sz w:val="24"/>
          <w:highlight w:val="none"/>
          <w:lang w:eastAsia="zh-CN"/>
        </w:rPr>
        <w:t>资格审查文件</w:t>
      </w:r>
      <w:r>
        <w:rPr>
          <w:rFonts w:hint="eastAsia" w:ascii="宋体" w:hAnsi="宋体" w:eastAsia="宋体" w:cs="宋体"/>
          <w:color w:val="auto"/>
          <w:sz w:val="24"/>
          <w:highlight w:val="none"/>
        </w:rPr>
        <w:t>（不能出现报价，1正1副，单独密封并牢固装订）：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(1)有效的企业法人营业执照（副本）复印件；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(2)企业资质证书（副本）复印件；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(3)企业安全生产许可证（副本）复印件；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(4)拟派项目负责人的建造师资格证书复印件；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(5)拟派项目负责人安全生产考核合格证（B证）复印件；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(6)拟派项目负责人为投标企业正式人员证明材料复印件；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（投标企业必须提供：投标企业与项目经理双方签订的有效劳动合同书）；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(7)诚信承诺书；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（8）资格审查文件表格</w:t>
      </w:r>
      <w:r>
        <w:rPr>
          <w:rFonts w:hint="eastAsia" w:ascii="宋体" w:hAnsi="宋体" w:cs="宋体"/>
          <w:b/>
          <w:color w:val="auto"/>
          <w:sz w:val="24"/>
          <w:highlight w:val="none"/>
        </w:rPr>
        <w:t>（格式详见招标文件第七章的）</w:t>
      </w:r>
      <w:r>
        <w:rPr>
          <w:rFonts w:hint="eastAsia" w:ascii="宋体" w:hAnsi="宋体" w:cs="宋体"/>
          <w:color w:val="auto"/>
          <w:sz w:val="24"/>
          <w:highlight w:val="none"/>
        </w:rPr>
        <w:t>。</w:t>
      </w:r>
    </w:p>
    <w:p>
      <w:pPr>
        <w:spacing w:line="360" w:lineRule="auto"/>
        <w:ind w:firstLine="602" w:firstLineChars="250"/>
        <w:rPr>
          <w:rFonts w:ascii="宋体" w:hAnsi="宋体" w:cs="宋体"/>
          <w:color w:val="auto"/>
          <w:sz w:val="24"/>
          <w:highlight w:val="none"/>
        </w:rPr>
      </w:pPr>
      <w:r>
        <w:rPr>
          <w:rFonts w:hint="eastAsia" w:ascii="宋体" w:hAnsi="宋体" w:cs="宋体"/>
          <w:b/>
          <w:color w:val="auto"/>
          <w:sz w:val="24"/>
          <w:highlight w:val="none"/>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ascii="宋体" w:hAnsi="宋体" w:cs="宋体"/>
          <w:color w:val="auto"/>
          <w:sz w:val="24"/>
          <w:highlight w:val="none"/>
        </w:rPr>
      </w:pPr>
      <w:r>
        <w:rPr>
          <w:rFonts w:hint="eastAsia" w:ascii="宋体" w:hAnsi="宋体" w:cs="宋体"/>
          <w:b/>
          <w:color w:val="auto"/>
          <w:sz w:val="24"/>
          <w:highlight w:val="none"/>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9.2商务标（1正1副（单独密封并牢固装订），不得出现在</w:t>
      </w:r>
      <w:r>
        <w:rPr>
          <w:rFonts w:hint="eastAsia" w:ascii="宋体" w:hAnsi="宋体" w:cs="宋体"/>
          <w:color w:val="auto"/>
          <w:sz w:val="24"/>
          <w:highlight w:val="none"/>
          <w:lang w:eastAsia="zh-CN"/>
        </w:rPr>
        <w:t>资格审查文件</w:t>
      </w:r>
      <w:r>
        <w:rPr>
          <w:rFonts w:hint="eastAsia" w:ascii="宋体" w:hAnsi="宋体" w:cs="宋体"/>
          <w:color w:val="auto"/>
          <w:sz w:val="24"/>
          <w:highlight w:val="none"/>
        </w:rPr>
        <w:t>中，单独密封并牢固装订）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（2）已标价的工程量清单：投标总价、总说明、工程项目总价汇总表、工程项目总价表、建筑工程分类分项工程量清单计价表</w:t>
      </w:r>
      <w:r>
        <w:rPr>
          <w:rFonts w:hint="eastAsia" w:ascii="宋体" w:hAnsi="宋体" w:cs="宋体"/>
          <w:color w:val="auto"/>
          <w:sz w:val="24"/>
          <w:highlight w:val="none"/>
          <w:lang w:eastAsia="zh-CN"/>
        </w:rPr>
        <w:t>、设备采购和安装工程分类分项工程量清单计价表、措施项目清单计价表、其他项目清单计价表</w:t>
      </w:r>
      <w:r>
        <w:rPr>
          <w:rFonts w:hint="eastAsia" w:ascii="宋体" w:hAnsi="宋体" w:cs="宋体"/>
          <w:color w:val="auto"/>
          <w:sz w:val="24"/>
          <w:highlight w:val="none"/>
        </w:rPr>
        <w:t>等；</w:t>
      </w:r>
    </w:p>
    <w:p>
      <w:pPr>
        <w:spacing w:line="360" w:lineRule="auto"/>
        <w:ind w:left="-315" w:leftChars="-150" w:firstLine="792" w:firstLineChars="33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）计划投入的主要施工机械设备表、主要施工管理人员表；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（1）为方便评委评审，请投标人按评标办法中所涉及的事项顺序进行编制，可以补充相关材料。</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（2）评标办法中未涉及的事项，投标人认为需要提交的其他资料。</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9.3电子响应文件（一份）</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电子响应文件的内容为“</w:t>
      </w:r>
      <w:r>
        <w:rPr>
          <w:rFonts w:hint="eastAsia" w:ascii="宋体" w:hAnsi="宋体" w:cs="宋体"/>
          <w:b/>
          <w:bCs/>
          <w:color w:val="auto"/>
          <w:sz w:val="24"/>
          <w:highlight w:val="none"/>
          <w:lang w:eastAsia="zh-CN"/>
        </w:rPr>
        <w:t>资格审查文件</w:t>
      </w:r>
      <w:r>
        <w:rPr>
          <w:rFonts w:hint="eastAsia" w:ascii="宋体" w:hAnsi="宋体" w:cs="宋体"/>
          <w:b/>
          <w:bCs/>
          <w:color w:val="auto"/>
          <w:sz w:val="24"/>
          <w:highlight w:val="none"/>
        </w:rPr>
        <w:t>、商务标”的打印盖章（或电子签章）后的响应文件的扫描件（</w:t>
      </w:r>
      <w:r>
        <w:rPr>
          <w:rFonts w:hint="eastAsia" w:ascii="宋体" w:hAnsi="宋体" w:cs="宋体"/>
          <w:b/>
          <w:bCs/>
          <w:color w:val="auto"/>
          <w:sz w:val="24"/>
          <w:highlight w:val="none"/>
          <w:lang w:eastAsia="zh-CN"/>
        </w:rPr>
        <w:t>资格审查文件</w:t>
      </w:r>
      <w:r>
        <w:rPr>
          <w:rFonts w:hint="eastAsia" w:ascii="宋体" w:hAnsi="宋体" w:cs="宋体"/>
          <w:b/>
          <w:bCs/>
          <w:color w:val="auto"/>
          <w:sz w:val="24"/>
          <w:highlight w:val="none"/>
        </w:rPr>
        <w:t>、商务标需分别逐页连续扫描为两个独立的PDF文件）。</w:t>
      </w:r>
    </w:p>
    <w:p>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以上证明材料、商务标复印件需加盖投标人公章，资格审查和商务标涉及的相关原件无需带至开标现场，但中标人应做好原件核查准备。</w:t>
      </w:r>
    </w:p>
    <w:p>
      <w:pPr>
        <w:spacing w:line="420" w:lineRule="exact"/>
        <w:ind w:firstLine="480"/>
        <w:rPr>
          <w:rFonts w:ascii="宋体" w:hAnsi="宋体" w:cs="宋体"/>
          <w:b/>
          <w:bCs/>
          <w:color w:val="auto"/>
          <w:sz w:val="24"/>
          <w:highlight w:val="none"/>
        </w:rPr>
      </w:pPr>
      <w:r>
        <w:rPr>
          <w:rFonts w:hint="eastAsia" w:ascii="宋体" w:hAnsi="宋体" w:cs="宋体"/>
          <w:b/>
          <w:bCs/>
          <w:color w:val="auto"/>
          <w:sz w:val="24"/>
          <w:highlight w:val="none"/>
        </w:rPr>
        <w:t>▲本项目要求提供电子响应文件一份，电子响应文件的内容为资格审查文件、商务标打印盖章（或电子签章）后的响应文件的扫描件（资格审查文件、商务标需分别逐页连续扫描为两个独立的PDF文件），可以采取U盘、电子光盘两种方式中任意一种方式提交，需单独密封提交。</w:t>
      </w:r>
    </w:p>
    <w:p>
      <w:pPr>
        <w:spacing w:line="420" w:lineRule="exact"/>
        <w:ind w:firstLine="480"/>
        <w:rPr>
          <w:rFonts w:ascii="宋体" w:hAnsi="宋体" w:cs="宋体"/>
          <w:color w:val="auto"/>
          <w:sz w:val="24"/>
          <w:highlight w:val="none"/>
        </w:rPr>
      </w:pPr>
      <w:r>
        <w:rPr>
          <w:rFonts w:hint="eastAsia" w:ascii="宋体" w:hAnsi="宋体" w:cs="宋体"/>
          <w:b/>
          <w:color w:val="auto"/>
          <w:kern w:val="0"/>
          <w:sz w:val="24"/>
          <w:highlight w:val="none"/>
        </w:rPr>
        <w:t>10.</w:t>
      </w:r>
      <w:r>
        <w:rPr>
          <w:rFonts w:hint="eastAsia" w:ascii="宋体" w:hAnsi="宋体" w:cs="宋体"/>
          <w:color w:val="auto"/>
          <w:sz w:val="24"/>
          <w:highlight w:val="none"/>
        </w:rPr>
        <w:t>招标文件提供的文件格式(第六章)投标人必须使用。但表式可以按同样格式进行扩展。</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11.投标保证金（本项目不收取。招标文件涉及保证金内容，均按不收取处理）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12.投标保证金退还(本项目不涉及）。</w:t>
      </w:r>
    </w:p>
    <w:p>
      <w:pPr>
        <w:pStyle w:val="81"/>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（四）投标报价</w:t>
      </w:r>
      <w:bookmarkEnd w:id="18"/>
    </w:p>
    <w:p>
      <w:pPr>
        <w:spacing w:line="420" w:lineRule="exact"/>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13.</w:t>
      </w:r>
      <w:r>
        <w:rPr>
          <w:rFonts w:hint="eastAsia" w:ascii="宋体" w:hAnsi="宋体" w:cs="宋体"/>
          <w:color w:val="auto"/>
          <w:spacing w:val="-2"/>
          <w:sz w:val="24"/>
          <w:highlight w:val="none"/>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14.投标报价方式：</w:t>
      </w:r>
    </w:p>
    <w:p>
      <w:pPr>
        <w:spacing w:line="48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14.1本工程项目采用</w:t>
      </w:r>
      <w:r>
        <w:rPr>
          <w:rFonts w:hint="eastAsia" w:ascii="宋体" w:hAnsi="宋体" w:cs="宋体"/>
          <w:b/>
          <w:color w:val="auto"/>
          <w:sz w:val="24"/>
          <w:highlight w:val="none"/>
          <w:u w:val="single"/>
        </w:rPr>
        <w:t>固定单价报价</w:t>
      </w:r>
      <w:r>
        <w:rPr>
          <w:rFonts w:hint="eastAsia" w:ascii="宋体" w:hAnsi="宋体" w:cs="宋体"/>
          <w:color w:val="auto"/>
          <w:sz w:val="24"/>
          <w:highlight w:val="none"/>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14.2除下列条款中风险范围的内容可调整外，其余不可调整。</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（1）工程量；</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（2）设计变更引起的工程量变化或直接造成的费用增加；</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（3）发包人要求的承包范围以外的附加工程量；</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（4）暂列金额及暂估价；</w:t>
      </w:r>
    </w:p>
    <w:p>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（5）发包人确认的其它费用。</w:t>
      </w:r>
    </w:p>
    <w:p>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14.3工程价款调整</w:t>
      </w:r>
    </w:p>
    <w:p>
      <w:pPr>
        <w:spacing w:line="420" w:lineRule="exact"/>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详见招标文件第三章合同条款专用合同条款第12条。</w:t>
      </w:r>
    </w:p>
    <w:p>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15.投标报价的计价方法</w:t>
      </w:r>
    </w:p>
    <w:p>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按照</w:t>
      </w:r>
      <w:r>
        <w:rPr>
          <w:rFonts w:hint="eastAsia" w:ascii="宋体" w:hAnsi="宋体" w:cs="宋体"/>
          <w:color w:val="auto"/>
          <w:sz w:val="24"/>
          <w:highlight w:val="none"/>
        </w:rPr>
        <w:t>《建设工程工程量清单计价规范》(GB 50500-2013)、《水利工程工程量清单计价规范》 GB 50501-2007)；《市政工程工程量计算规范》（GB50857-2013）、《江苏省水利工程招标投标文件工程量清单格式》（苏水基[2011]21号）；《江苏省市政工程计价表》（2014）、《江苏省建设工程费用定额》（2014年）《江苏省水利工程预算定额》2010年版、＜苏水基（2015）32号文＞；《江苏省水利工程设计概（估）算编制规定》2017年版；基[2016]26号文， “营改增”一般计税。由招标人(发包人)提供工程量数量，投标人(承包人)自主报价确定工程造价的计价方式。</w:t>
      </w:r>
    </w:p>
    <w:p>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16．招标控制价</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16.1本工程全部使用国有资金，实行工程量清单招标，招标人委托编制招标控制价。投标人的投标报价高于招标控制价的，招标人将作废标处理。</w:t>
      </w:r>
    </w:p>
    <w:p>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16.2招标控制价编制依据：</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16.2.1本工程</w:t>
      </w:r>
      <w:r>
        <w:rPr>
          <w:rFonts w:hint="eastAsia" w:ascii="宋体" w:hAnsi="宋体" w:cs="宋体"/>
          <w:color w:val="auto"/>
          <w:sz w:val="24"/>
          <w:highlight w:val="none"/>
          <w:lang w:eastAsia="zh-CN"/>
        </w:rPr>
        <w:t>图纸及</w:t>
      </w:r>
      <w:r>
        <w:rPr>
          <w:rFonts w:hint="eastAsia" w:ascii="宋体" w:hAnsi="宋体" w:cs="宋体"/>
          <w:color w:val="auto"/>
          <w:sz w:val="24"/>
          <w:highlight w:val="none"/>
        </w:rPr>
        <w:t>工程量清单。</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16.2.2 《建设工程工程量清单计价规范》(GB 50500-2013)、《水利工程工程量清单计价规范》 GB 50501-2007)；《市政工程工程量计算规范》（GB50857-2013）、《江苏省水利工程招标投标文件工程量清单格式》（苏水基[2011]21号）；《江苏省市政工程计价表》（2014）、《江苏省建设工程费用定额》（2014年）《江苏省水利工程预算定额》2010年版、＜苏水基（2015）32号文＞；《江苏省水利工程设计概（估）算编制规定》2017年版；基[2016]26号文， “营改增”一般计税。</w:t>
      </w:r>
    </w:p>
    <w:p>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本工程采用一般计税方法，具体基[2016]26号文， “营改增”一般计税。</w:t>
      </w:r>
    </w:p>
    <w:p>
      <w:pPr>
        <w:widowControl/>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16.3 </w:t>
      </w:r>
      <w:r>
        <w:rPr>
          <w:rFonts w:hint="eastAsia" w:ascii="宋体" w:hAnsi="宋体" w:eastAsia="宋体" w:cs="宋体"/>
          <w:color w:val="auto"/>
          <w:sz w:val="24"/>
          <w:highlight w:val="none"/>
          <w:lang w:eastAsia="zh-CN"/>
        </w:rPr>
        <w:t>工程量清单说明</w:t>
      </w:r>
    </w:p>
    <w:p>
      <w:pPr>
        <w:widowControl/>
        <w:snapToGrid w:val="0"/>
        <w:spacing w:line="48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16.3.1工程量清单应与招标文件中的招投标须知、通用合同条款、专用合同条款、技术标准和要求（合同技术条款）、图纸等一起阅读和理解。</w:t>
      </w:r>
    </w:p>
    <w:p>
      <w:pPr>
        <w:widowControl/>
        <w:snapToGrid w:val="0"/>
        <w:spacing w:line="48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16.3.2工程量清单仅是投标人投标报价的共同基础、除另有约定外，工程量清单中的工程量是根据招标设计图纸并计算的用于投标报价的估算工程量，不作为最终结算工程量。分类分项工程（工程量清单中）最终结算工程量是承包人实际完成并符合施工图设计及规范要求和监理、业主认可的合格有效工程量。</w:t>
      </w:r>
    </w:p>
    <w:p>
      <w:pPr>
        <w:widowControl/>
        <w:snapToGrid w:val="0"/>
        <w:spacing w:line="48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16.3.3工程量清单中各分类分项的工作内容和要求应符合技术标准和要求（合同技术条款）以及施工图设计及规范要求。</w:t>
      </w:r>
    </w:p>
    <w:p>
      <w:pPr>
        <w:widowControl/>
        <w:snapToGrid w:val="0"/>
        <w:spacing w:line="48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16.3.4工程量清单中的综合单价为包含人、材、机等所有工程直接费及其相应的所有间接费、措施费、利润及税金等的一切费用的综合（完成本项目的一切费用）。</w:t>
      </w:r>
    </w:p>
    <w:p>
      <w:pPr>
        <w:widowControl/>
        <w:snapToGrid w:val="0"/>
        <w:spacing w:line="48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16.3.5工程款的支付遵循合同条款的约定</w:t>
      </w:r>
    </w:p>
    <w:p>
      <w:pPr>
        <w:widowControl/>
        <w:snapToGrid w:val="0"/>
        <w:spacing w:line="48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16.3.6投标人应依据设计图施工范围自行踏勘现场确定涉及工程量包干清单的施工内容及实际工程量，投标人需按设计图要求完成，实际工程量超出设计图纸的工程量结算时不另增。</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17.投标报价编制要求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投标报价编制要求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pPr>
        <w:adjustRightInd w:val="0"/>
        <w:snapToGrid w:val="0"/>
        <w:spacing w:line="360" w:lineRule="auto"/>
        <w:ind w:left="105" w:leftChars="50" w:firstLine="360" w:firstLineChars="150"/>
        <w:rPr>
          <w:rFonts w:ascii="宋体" w:hAnsi="宋体" w:cs="宋体"/>
          <w:color w:val="auto"/>
          <w:sz w:val="24"/>
          <w:highlight w:val="none"/>
        </w:rPr>
      </w:pPr>
      <w:r>
        <w:rPr>
          <w:rFonts w:hint="eastAsia" w:ascii="宋体" w:hAnsi="宋体" w:cs="宋体"/>
          <w:color w:val="auto"/>
          <w:sz w:val="24"/>
          <w:highlight w:val="none"/>
        </w:rPr>
        <w:t>17.2投标人应按照《建设工程工程量清单计价规范》(GB 50500-2013)、《水利工程工程量清单计价规范》 GB 50501-2007)；《市政工程工程量计算规范》（GB50857-2013）、《江苏省水利工程招标投标文件工程量清单格式》（苏水基[2011]21号）；《江苏省市政工程计价表》（2014）、《江苏省建设工程费用定额》（2014年）《江苏省水利工程预算定额》2010年版、＜苏水基（2015）32号文＞；《江苏省水利工程设计概（估）算编制规定》2017年版；基[2016]26号文， “营改增”一般计税。</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17.6中标单位必须保护现有房屋、道路、结构物等成品，如有损坏，应按照不低于原设计标准恢复，费用列入报价。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17.11投标人工地踏勘应充分了解工地位置情况，道路、储存空间、装卸限制及任何其它足以影响报价的情况，任何忽视或误解工地情况而导致的索赔及工期延长申请将不被批准。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17.12中标单位不得拒绝完成建设单位在施工地点范围内变更或要求增加和减少的工程内容。</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17.13报价书中的工程数量乘以综合单价必须等于合价。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17.14投标单位应自行根据现场实际情况，垃圾清运出</w:t>
      </w:r>
      <w:r>
        <w:rPr>
          <w:rFonts w:hint="eastAsia" w:ascii="宋体" w:hAnsi="宋体" w:cs="宋体"/>
          <w:b/>
          <w:color w:val="auto"/>
          <w:sz w:val="24"/>
          <w:highlight w:val="none"/>
          <w:lang w:eastAsia="zh-CN"/>
        </w:rPr>
        <w:t>招标人</w:t>
      </w:r>
      <w:r>
        <w:rPr>
          <w:rFonts w:hint="eastAsia" w:ascii="宋体" w:hAnsi="宋体" w:cs="宋体"/>
          <w:b/>
          <w:color w:val="auto"/>
          <w:sz w:val="24"/>
          <w:highlight w:val="none"/>
        </w:rPr>
        <w:t>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17.15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pPr>
        <w:spacing w:line="360" w:lineRule="auto"/>
        <w:ind w:firstLine="241" w:firstLineChars="100"/>
        <w:rPr>
          <w:rFonts w:hint="eastAsia" w:ascii="Times New Roman" w:hAnsi="宋体" w:eastAsia="宋体" w:cs="Times New Roman"/>
          <w:b/>
          <w:bCs/>
          <w:color w:val="auto"/>
          <w:sz w:val="24"/>
          <w:highlight w:val="none"/>
        </w:rPr>
      </w:pPr>
      <w:r>
        <w:rPr>
          <w:rFonts w:hint="eastAsia" w:ascii="Times New Roman" w:hAnsi="宋体" w:eastAsia="宋体" w:cs="Times New Roman"/>
          <w:b/>
          <w:bCs/>
          <w:color w:val="auto"/>
          <w:sz w:val="24"/>
          <w:highlight w:val="none"/>
          <w:lang w:val="en-US" w:eastAsia="zh-CN"/>
        </w:rPr>
        <w:t>17.</w:t>
      </w:r>
      <w:r>
        <w:rPr>
          <w:rFonts w:hint="eastAsia" w:hAnsi="宋体" w:cs="Times New Roman"/>
          <w:b/>
          <w:bCs/>
          <w:color w:val="auto"/>
          <w:sz w:val="24"/>
          <w:highlight w:val="none"/>
          <w:lang w:val="en-US" w:eastAsia="zh-CN"/>
        </w:rPr>
        <w:t>16</w:t>
      </w:r>
      <w:r>
        <w:rPr>
          <w:rFonts w:hint="eastAsia" w:ascii="Times New Roman" w:hAnsi="宋体" w:eastAsia="宋体" w:cs="Times New Roman"/>
          <w:b/>
          <w:bCs/>
          <w:color w:val="auto"/>
          <w:sz w:val="24"/>
          <w:highlight w:val="none"/>
        </w:rPr>
        <w:t>中标后必须按招标文件(含工程量清单)规定的材料</w:t>
      </w:r>
      <w:r>
        <w:rPr>
          <w:rFonts w:hint="eastAsia" w:hAnsi="宋体" w:cs="Times New Roman"/>
          <w:b/>
          <w:bCs/>
          <w:color w:val="auto"/>
          <w:sz w:val="24"/>
          <w:highlight w:val="none"/>
          <w:lang w:eastAsia="zh-CN"/>
        </w:rPr>
        <w:t>、</w:t>
      </w:r>
      <w:r>
        <w:rPr>
          <w:rFonts w:hint="eastAsia" w:hAnsi="宋体" w:cs="Times New Roman"/>
          <w:b/>
          <w:bCs/>
          <w:color w:val="auto"/>
          <w:sz w:val="24"/>
          <w:highlight w:val="none"/>
          <w:lang w:val="en-US" w:eastAsia="zh-CN"/>
        </w:rPr>
        <w:t>样式等</w:t>
      </w:r>
      <w:r>
        <w:rPr>
          <w:rFonts w:hint="eastAsia" w:ascii="Times New Roman" w:hAnsi="宋体" w:eastAsia="宋体" w:cs="Times New Roman"/>
          <w:b/>
          <w:bCs/>
          <w:color w:val="auto"/>
          <w:sz w:val="24"/>
          <w:highlight w:val="none"/>
        </w:rPr>
        <w:t>报招标人</w:t>
      </w:r>
      <w:r>
        <w:rPr>
          <w:rFonts w:hint="eastAsia" w:hAnsi="宋体" w:cs="Times New Roman"/>
          <w:b/>
          <w:bCs/>
          <w:color w:val="auto"/>
          <w:sz w:val="24"/>
          <w:highlight w:val="none"/>
          <w:lang w:val="en-US" w:eastAsia="zh-CN"/>
        </w:rPr>
        <w:t>或招标人指定代表</w:t>
      </w:r>
      <w:r>
        <w:rPr>
          <w:rFonts w:hint="eastAsia" w:ascii="Times New Roman" w:hAnsi="宋体" w:eastAsia="宋体" w:cs="Times New Roman"/>
          <w:b/>
          <w:bCs/>
          <w:color w:val="auto"/>
          <w:sz w:val="24"/>
          <w:highlight w:val="none"/>
        </w:rPr>
        <w:t>确认后进行采购，报招标人</w:t>
      </w:r>
      <w:r>
        <w:rPr>
          <w:rFonts w:hint="eastAsia" w:hAnsi="宋体" w:cs="Times New Roman"/>
          <w:b/>
          <w:bCs/>
          <w:color w:val="auto"/>
          <w:sz w:val="24"/>
          <w:highlight w:val="none"/>
          <w:lang w:val="en-US" w:eastAsia="zh-CN"/>
        </w:rPr>
        <w:t>或招标人指定代表</w:t>
      </w:r>
      <w:r>
        <w:rPr>
          <w:rFonts w:hint="eastAsia" w:ascii="Times New Roman" w:hAnsi="宋体" w:eastAsia="宋体" w:cs="Times New Roman"/>
          <w:b/>
          <w:bCs/>
          <w:color w:val="auto"/>
          <w:sz w:val="24"/>
          <w:highlight w:val="none"/>
        </w:rPr>
        <w:t>确认后方可进场。</w:t>
      </w:r>
    </w:p>
    <w:p>
      <w:pPr>
        <w:spacing w:line="360" w:lineRule="auto"/>
        <w:ind w:firstLine="241" w:firstLineChars="100"/>
        <w:rPr>
          <w:rFonts w:hint="eastAsia" w:ascii="Times New Roman" w:hAnsi="宋体" w:eastAsia="宋体" w:cs="Times New Roman"/>
          <w:b/>
          <w:bCs/>
          <w:color w:val="auto"/>
          <w:sz w:val="24"/>
          <w:highlight w:val="none"/>
        </w:rPr>
      </w:pPr>
      <w:r>
        <w:rPr>
          <w:rFonts w:hint="eastAsia" w:ascii="Times New Roman" w:hAnsi="宋体" w:eastAsia="宋体" w:cs="Times New Roman"/>
          <w:b/>
          <w:bCs/>
          <w:color w:val="auto"/>
          <w:sz w:val="24"/>
          <w:highlight w:val="none"/>
          <w:lang w:val="en-US" w:eastAsia="zh-CN"/>
        </w:rPr>
        <w:t>17.</w:t>
      </w:r>
      <w:r>
        <w:rPr>
          <w:rFonts w:hint="eastAsia" w:hAnsi="宋体" w:cs="Times New Roman"/>
          <w:b/>
          <w:bCs/>
          <w:color w:val="auto"/>
          <w:sz w:val="24"/>
          <w:highlight w:val="none"/>
          <w:lang w:val="en-US" w:eastAsia="zh-CN"/>
        </w:rPr>
        <w:t>17</w:t>
      </w:r>
      <w:r>
        <w:rPr>
          <w:rFonts w:hint="eastAsia" w:ascii="Times New Roman" w:hAnsi="宋体" w:eastAsia="宋体" w:cs="Times New Roman"/>
          <w:b/>
          <w:bCs/>
          <w:color w:val="auto"/>
          <w:sz w:val="24"/>
          <w:highlight w:val="none"/>
        </w:rPr>
        <w:t>本工程所有材料全部由投标人负责采购，必须由专业厂家制作（投标人充分考虑市场价格风险，一旦中标，材料价格不作调整），由投标人和材料供应商签订供货合同，并承担全部责任。采购的材料品牌、品名、型号、规格、材质等必须是经过封样招标人认可的材料，如按规定需送检的，及时做好必要材料的送检、复试，合格后方可使用（所有材料检测费需包含在报价当中，中标后不得提出额外检测费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施工期间和竣工移交时的保洁工作及费用，投标人在报价时须综合考虑在投标报价中，结算时不做调整。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承包人在开工前将施工方案和</w:t>
      </w:r>
      <w:r>
        <w:rPr>
          <w:rFonts w:hint="eastAsia" w:ascii="宋体" w:hAnsi="宋体" w:cs="宋体"/>
          <w:b/>
          <w:color w:val="auto"/>
          <w:sz w:val="24"/>
          <w:highlight w:val="none"/>
          <w:lang w:val="en-US" w:eastAsia="zh-CN"/>
        </w:rPr>
        <w:t>招标人</w:t>
      </w:r>
      <w:r>
        <w:rPr>
          <w:rFonts w:hint="eastAsia" w:ascii="宋体" w:hAnsi="宋体" w:cs="宋体"/>
          <w:b/>
          <w:color w:val="auto"/>
          <w:sz w:val="24"/>
          <w:highlight w:val="none"/>
        </w:rPr>
        <w:t>确定后，方可施工。</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w:t>
      </w:r>
      <w:r>
        <w:rPr>
          <w:rFonts w:hint="eastAsia" w:ascii="宋体" w:hAnsi="宋体" w:cs="宋体"/>
          <w:b/>
          <w:color w:val="auto"/>
          <w:sz w:val="24"/>
          <w:highlight w:val="none"/>
          <w:lang w:val="en-US" w:eastAsia="zh-CN"/>
        </w:rPr>
        <w:t>21</w:t>
      </w:r>
      <w:r>
        <w:rPr>
          <w:rFonts w:hint="eastAsia" w:ascii="宋体" w:hAnsi="宋体" w:cs="宋体"/>
          <w:b/>
          <w:color w:val="auto"/>
          <w:sz w:val="24"/>
          <w:highlight w:val="none"/>
        </w:rPr>
        <w:t>其他未尽事宜在书面答疑中明确。</w:t>
      </w:r>
    </w:p>
    <w:p>
      <w:pPr>
        <w:pStyle w:val="81"/>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(五) 投标文件的密封和递交</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18</w:t>
      </w:r>
      <w:r>
        <w:rPr>
          <w:rFonts w:hint="eastAsia" w:ascii="宋体" w:hAnsi="宋体" w:cs="宋体"/>
          <w:b/>
          <w:color w:val="auto"/>
          <w:sz w:val="24"/>
          <w:highlight w:val="none"/>
        </w:rPr>
        <w:t>.投标文件的密封与标志</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18</w:t>
      </w:r>
      <w:r>
        <w:rPr>
          <w:rFonts w:hint="eastAsia" w:ascii="宋体" w:hAnsi="宋体" w:cs="宋体"/>
          <w:color w:val="auto"/>
          <w:sz w:val="24"/>
          <w:highlight w:val="none"/>
        </w:rPr>
        <w:t>.1 本工程投标文件由</w:t>
      </w:r>
      <w:r>
        <w:rPr>
          <w:rFonts w:hint="eastAsia" w:ascii="宋体" w:hAnsi="宋体" w:cs="宋体"/>
          <w:b/>
          <w:color w:val="auto"/>
          <w:sz w:val="24"/>
          <w:highlight w:val="none"/>
          <w:u w:val="single"/>
          <w:lang w:eastAsia="zh-CN"/>
        </w:rPr>
        <w:t>资格审查文件</w:t>
      </w:r>
      <w:r>
        <w:rPr>
          <w:rFonts w:hint="eastAsia" w:ascii="宋体" w:hAnsi="宋体" w:cs="宋体"/>
          <w:b/>
          <w:color w:val="auto"/>
          <w:sz w:val="24"/>
          <w:highlight w:val="none"/>
          <w:u w:val="single"/>
        </w:rPr>
        <w:t>、商务标、电子响应文件</w:t>
      </w:r>
      <w:r>
        <w:rPr>
          <w:rFonts w:hint="eastAsia" w:ascii="宋体" w:hAnsi="宋体" w:cs="宋体"/>
          <w:color w:val="auto"/>
          <w:sz w:val="24"/>
          <w:highlight w:val="none"/>
        </w:rPr>
        <w:t>三部分组成。</w:t>
      </w:r>
    </w:p>
    <w:p>
      <w:pPr>
        <w:spacing w:line="360" w:lineRule="auto"/>
        <w:ind w:firstLine="482" w:firstLineChars="200"/>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lang w:eastAsia="zh-CN"/>
        </w:rPr>
        <w:t>资格审查文件</w:t>
      </w:r>
      <w:r>
        <w:rPr>
          <w:rFonts w:hint="eastAsia" w:ascii="宋体" w:hAnsi="宋体" w:cs="宋体"/>
          <w:b/>
          <w:snapToGrid w:val="0"/>
          <w:color w:val="auto"/>
          <w:kern w:val="0"/>
          <w:sz w:val="24"/>
          <w:highlight w:val="none"/>
        </w:rPr>
        <w:t>、商务标、电子响应文件，必须分袋密封，并在封袋上加盖投标人单位公章和单位法定代表人章，另须在封袋上标明“</w:t>
      </w:r>
      <w:r>
        <w:rPr>
          <w:rFonts w:hint="eastAsia" w:ascii="宋体" w:hAnsi="宋体" w:cs="宋体"/>
          <w:b/>
          <w:snapToGrid w:val="0"/>
          <w:color w:val="auto"/>
          <w:kern w:val="0"/>
          <w:sz w:val="24"/>
          <w:highlight w:val="none"/>
          <w:lang w:eastAsia="zh-CN"/>
        </w:rPr>
        <w:t>资格审查文件</w:t>
      </w:r>
      <w:r>
        <w:rPr>
          <w:rFonts w:hint="eastAsia" w:ascii="宋体" w:hAnsi="宋体" w:cs="宋体"/>
          <w:b/>
          <w:snapToGrid w:val="0"/>
          <w:color w:val="auto"/>
          <w:kern w:val="0"/>
          <w:sz w:val="24"/>
          <w:highlight w:val="none"/>
        </w:rPr>
        <w:t>” 、“商务标”及“电子响应文件”，同时还要写明工程名称、委托人姓名及联系电话。</w:t>
      </w:r>
    </w:p>
    <w:p>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lang w:val="en-US" w:eastAsia="zh-CN"/>
        </w:rPr>
        <w:t>18</w:t>
      </w:r>
      <w:r>
        <w:rPr>
          <w:rFonts w:hint="eastAsia" w:ascii="宋体" w:hAnsi="宋体" w:cs="宋体"/>
          <w:b/>
          <w:snapToGrid w:val="0"/>
          <w:color w:val="auto"/>
          <w:kern w:val="0"/>
          <w:sz w:val="24"/>
          <w:highlight w:val="none"/>
        </w:rPr>
        <w:t>.2 所有投标文件的密封袋上均应加盖投标人公章</w:t>
      </w:r>
      <w:r>
        <w:rPr>
          <w:rFonts w:hint="eastAsia" w:ascii="宋体" w:hAnsi="宋体" w:cs="宋体"/>
          <w:b/>
          <w:bCs/>
          <w:snapToGrid w:val="0"/>
          <w:color w:val="auto"/>
          <w:kern w:val="0"/>
          <w:sz w:val="24"/>
          <w:highlight w:val="none"/>
        </w:rPr>
        <w:t>和法定代表人印章</w:t>
      </w:r>
      <w:r>
        <w:rPr>
          <w:rFonts w:hint="eastAsia" w:ascii="宋体" w:hAnsi="宋体" w:cs="宋体"/>
          <w:b/>
          <w:snapToGrid w:val="0"/>
          <w:color w:val="auto"/>
          <w:kern w:val="0"/>
          <w:sz w:val="24"/>
          <w:highlight w:val="none"/>
        </w:rPr>
        <w:t>。</w:t>
      </w:r>
      <w:r>
        <w:rPr>
          <w:rFonts w:hint="eastAsia" w:ascii="宋体" w:hAnsi="宋体" w:cs="宋体"/>
          <w:snapToGrid w:val="0"/>
          <w:color w:val="auto"/>
          <w:kern w:val="0"/>
          <w:sz w:val="24"/>
          <w:highlight w:val="none"/>
        </w:rPr>
        <w:t>投标人未按上述规定提交投标文件，其投标文件将被拒绝，并退还给投标人。</w:t>
      </w:r>
      <w:r>
        <w:rPr>
          <w:rFonts w:hint="eastAsia" w:ascii="宋体" w:hAnsi="宋体" w:cs="宋体"/>
          <w:snapToGrid w:val="0"/>
          <w:color w:val="auto"/>
          <w:kern w:val="0"/>
          <w:sz w:val="24"/>
          <w:highlight w:val="none"/>
        </w:rPr>
        <w:tab/>
      </w:r>
    </w:p>
    <w:p>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lang w:val="en-US" w:eastAsia="zh-CN"/>
        </w:rPr>
        <w:t>18</w:t>
      </w:r>
      <w:r>
        <w:rPr>
          <w:rFonts w:hint="eastAsia" w:ascii="宋体" w:hAnsi="宋体" w:cs="宋体"/>
          <w:snapToGrid w:val="0"/>
          <w:color w:val="auto"/>
          <w:kern w:val="0"/>
          <w:sz w:val="24"/>
          <w:highlight w:val="none"/>
        </w:rPr>
        <w:t>.3投标文件正、副本不一致时，以正本为准。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.投标文件的递交</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.1投标人应在投标人须知前附表</w:t>
      </w:r>
      <w:r>
        <w:rPr>
          <w:rFonts w:hint="eastAsia" w:ascii="宋体" w:hAnsi="宋体" w:cs="宋体"/>
          <w:color w:val="auto"/>
          <w:sz w:val="24"/>
          <w:highlight w:val="none"/>
          <w:u w:val="single"/>
        </w:rPr>
        <w:t>第18条</w:t>
      </w:r>
      <w:r>
        <w:rPr>
          <w:rFonts w:hint="eastAsia" w:ascii="宋体" w:hAnsi="宋体" w:cs="宋体"/>
          <w:color w:val="auto"/>
          <w:sz w:val="24"/>
          <w:highlight w:val="none"/>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.2逾期送达的或者未送达指定地点的投标文件，招标人不予受理。</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.投标文件的修改与撤回</w:t>
      </w:r>
    </w:p>
    <w:p>
      <w:pPr>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2"/>
        <w:jc w:val="center"/>
        <w:rPr>
          <w:rFonts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(六) 开标、评标和定标</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color w:val="auto"/>
          <w:sz w:val="24"/>
          <w:highlight w:val="none"/>
        </w:rPr>
        <w:t>本工程评标、定标办法采用下列</w:t>
      </w:r>
      <w:r>
        <w:rPr>
          <w:rFonts w:hint="eastAsia" w:ascii="宋体" w:hAnsi="宋体" w:cs="宋体"/>
          <w:b/>
          <w:color w:val="auto"/>
          <w:sz w:val="24"/>
          <w:highlight w:val="none"/>
          <w:u w:val="single"/>
        </w:rPr>
        <w:t xml:space="preserve">  22.1 </w:t>
      </w:r>
      <w:r>
        <w:rPr>
          <w:rFonts w:hint="eastAsia" w:ascii="宋体" w:hAnsi="宋体" w:cs="宋体"/>
          <w:color w:val="auto"/>
          <w:sz w:val="24"/>
          <w:highlight w:val="none"/>
        </w:rPr>
        <w:t>种方式</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.1价格单因素评标办法</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.2含施工组织设计的价格单因素评标方法</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.3综合评估法</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w:t>
      </w:r>
      <w:r>
        <w:rPr>
          <w:rFonts w:hint="eastAsia" w:ascii="宋体" w:hAnsi="宋体" w:cs="宋体"/>
          <w:color w:val="auto"/>
          <w:sz w:val="24"/>
          <w:highlight w:val="none"/>
        </w:rPr>
        <w:t>招标人按本须知前附表</w:t>
      </w:r>
      <w:r>
        <w:rPr>
          <w:rFonts w:hint="eastAsia" w:ascii="宋体" w:hAnsi="宋体" w:cs="宋体"/>
          <w:color w:val="auto"/>
          <w:sz w:val="24"/>
          <w:highlight w:val="none"/>
          <w:u w:val="single"/>
        </w:rPr>
        <w:t>第19项</w:t>
      </w:r>
      <w:r>
        <w:rPr>
          <w:rFonts w:hint="eastAsia" w:ascii="宋体" w:hAnsi="宋体" w:cs="宋体"/>
          <w:color w:val="auto"/>
          <w:sz w:val="24"/>
          <w:highlight w:val="none"/>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w:t>
      </w:r>
      <w:r>
        <w:rPr>
          <w:rFonts w:hint="eastAsia" w:ascii="宋体" w:hAnsi="宋体" w:cs="宋体"/>
          <w:color w:val="auto"/>
          <w:sz w:val="24"/>
          <w:highlight w:val="none"/>
        </w:rPr>
        <w:t>评标委员会应当审查每一投标文件是否对招标文件提出的所有实质性要求和条件作出响应。</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w:t>
      </w:r>
      <w:r>
        <w:rPr>
          <w:rFonts w:hint="eastAsia" w:ascii="宋体" w:hAnsi="宋体" w:cs="宋体"/>
          <w:b/>
          <w:color w:val="auto"/>
          <w:kern w:val="0"/>
          <w:sz w:val="24"/>
          <w:highlight w:val="none"/>
        </w:rPr>
        <w:t>凡</w:t>
      </w:r>
      <w:r>
        <w:rPr>
          <w:rFonts w:hint="eastAsia" w:ascii="宋体" w:hAnsi="宋体" w:cs="宋体"/>
          <w:b/>
          <w:color w:val="auto"/>
          <w:sz w:val="24"/>
          <w:highlight w:val="none"/>
        </w:rPr>
        <w:t>投标文件有下列情况之一的，属于重大偏差，视同未能对招标文件作出实质性响应，按废标处理。</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.1投标文件中的投标函未加盖投标人的公章；</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.2投标文件中的投标函未加盖企业法定代表人（或委托代理人）印章（或签字）的；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.3如投标函加盖企业委托代理人印章（或签字）的，委托代理人没有合法、有效的委托书（原件）的；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.4投标人资格条件不符合国家有关规定或招标文件要求的；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.5投标人名称或组织结构与资格预审时不一致的；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.6除在投标截止时间前经招标人书面同意外，项目负责人与资格预审时不一致的；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.7组成联合体投标未提供联合体各方共同投标协议的（本工程不接受联合体）；</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.8在同一招标项目中，联合体成员以自己名义单独投标或者参加其他联合体投标的；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.9联合体成员与资格预审确定的结果不一致的；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.10投标报价低于成本或者高于招标文件设定的招标控制价的；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.11同一投标人提交两个及以上不同的投标文件或者投标报价，但招标文件要求提交备选投标的除外；</w:t>
      </w:r>
    </w:p>
    <w:p>
      <w:pPr>
        <w:spacing w:line="360" w:lineRule="auto"/>
        <w:ind w:firstLine="480"/>
        <w:rPr>
          <w:rFonts w:ascii="宋体" w:hAnsi="宋体" w:cs="宋体"/>
          <w:b/>
          <w:bCs/>
          <w:color w:val="auto"/>
          <w:sz w:val="28"/>
          <w:szCs w:val="28"/>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.14</w:t>
      </w:r>
      <w:r>
        <w:rPr>
          <w:rFonts w:hint="eastAsia" w:ascii="宋体" w:hAnsi="宋体" w:cs="宋体"/>
          <w:b/>
          <w:bCs/>
          <w:color w:val="auto"/>
          <w:sz w:val="24"/>
          <w:highlight w:val="none"/>
          <w:lang w:val="en-US" w:eastAsia="zh-CN"/>
        </w:rPr>
        <w:t>修改工程量清单的名称或数量的</w:t>
      </w:r>
      <w:r>
        <w:rPr>
          <w:rFonts w:hint="eastAsia" w:ascii="宋体" w:hAnsi="宋体" w:cs="宋体"/>
          <w:b/>
          <w:bCs/>
          <w:color w:val="auto"/>
          <w:sz w:val="24"/>
          <w:highlight w:val="none"/>
        </w:rPr>
        <w:t>；</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15评标委员会认为的、其他不符合法律法规和招标文件规定要求的；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.16投标文件载明的招标项目完成期限超过招标文件规定的期限的；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.17明显不符合技术规范、技术标准的要求的；未按招标文件要求进行计价报价的；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.18投标文件载明的货物包装方式、检验标准和方法等不符合招标文件的要求的；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.19投标文件提出了不能满足招标文件要求或招标人不能接受的工程验收、计量、价款结算和支付办法的；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.20不同投标人的投标文件以及投标文件制作过程出现了评标委员会认为不应当雷同的情况的；</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 xml:space="preserve">.21以他人的名义投标、串通投标、以行贿手段谋取中标或者以其他弄虚作假方式投标的；    </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.22不符合招标文件有关暗标的要求。</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cs="宋体"/>
          <w:color w:val="auto"/>
          <w:sz w:val="24"/>
          <w:highlight w:val="none"/>
        </w:rPr>
        <w:t>评标、定标工作在监督</w:t>
      </w:r>
      <w:r>
        <w:rPr>
          <w:rFonts w:hint="eastAsia" w:ascii="宋体" w:hAnsi="宋体" w:cs="宋体"/>
          <w:color w:val="auto"/>
          <w:sz w:val="24"/>
          <w:highlight w:val="none"/>
          <w:lang w:eastAsia="zh-CN"/>
        </w:rPr>
        <w:t>人员监督</w:t>
      </w:r>
      <w:r>
        <w:rPr>
          <w:rFonts w:hint="eastAsia" w:ascii="宋体" w:hAnsi="宋体" w:cs="宋体"/>
          <w:color w:val="auto"/>
          <w:sz w:val="24"/>
          <w:highlight w:val="none"/>
        </w:rPr>
        <w:t>下由招标人或代理机构组织进行。</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color w:val="auto"/>
          <w:sz w:val="24"/>
          <w:highlight w:val="none"/>
        </w:rPr>
        <w:t>投标文件的澄清</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ascii="宋体" w:hAnsi="宋体" w:cs="宋体"/>
          <w:color w:val="auto"/>
          <w:sz w:val="24"/>
          <w:highlight w:val="none"/>
        </w:rPr>
      </w:pPr>
      <w:r>
        <w:rPr>
          <w:rFonts w:hint="eastAsia" w:ascii="宋体" w:hAnsi="宋体" w:cs="宋体"/>
          <w:color w:val="auto"/>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color w:val="auto"/>
          <w:sz w:val="24"/>
          <w:highlight w:val="none"/>
        </w:rPr>
        <w:t>。</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28.</w:t>
      </w:r>
      <w:r>
        <w:rPr>
          <w:rFonts w:hint="eastAsia" w:ascii="宋体" w:hAnsi="宋体" w:cs="宋体"/>
          <w:color w:val="auto"/>
          <w:sz w:val="24"/>
          <w:highlight w:val="none"/>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29.</w:t>
      </w:r>
      <w:r>
        <w:rPr>
          <w:rFonts w:hint="eastAsia" w:ascii="宋体" w:hAnsi="宋体" w:cs="宋体"/>
          <w:color w:val="auto"/>
          <w:sz w:val="24"/>
          <w:highlight w:val="none"/>
        </w:rPr>
        <w:t>投标报价可以四舍五入到“元”。</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30.</w:t>
      </w:r>
      <w:r>
        <w:rPr>
          <w:rFonts w:hint="eastAsia" w:ascii="宋体" w:hAnsi="宋体" w:cs="宋体"/>
          <w:color w:val="auto"/>
          <w:sz w:val="24"/>
          <w:highlight w:val="none"/>
        </w:rPr>
        <w:t>在投标文件的审查、澄清、评价和比较以及授予合同的过程中，投标人对招标人和评标组织成员施加影响的任何行为，都将导致取消其中标资格。</w:t>
      </w:r>
    </w:p>
    <w:p>
      <w:pPr>
        <w:widowControl/>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31.</w:t>
      </w:r>
      <w:r>
        <w:rPr>
          <w:rFonts w:hint="eastAsia" w:ascii="宋体" w:hAnsi="宋体" w:cs="宋体"/>
          <w:color w:val="auto"/>
          <w:spacing w:val="-2"/>
          <w:sz w:val="24"/>
          <w:highlight w:val="none"/>
        </w:rPr>
        <w:t>评标委员会在评标工作完成后，将在评标报告之外按照统一格式公布评标结果公开的内容，在中标结果公示的同时一并在“</w:t>
      </w:r>
      <w:r>
        <w:rPr>
          <w:rFonts w:hint="eastAsia" w:ascii="宋体" w:hAnsi="宋体" w:cs="宋体"/>
          <w:color w:val="auto"/>
          <w:spacing w:val="-2"/>
          <w:sz w:val="24"/>
          <w:highlight w:val="none"/>
          <w:lang w:eastAsia="zh-CN"/>
        </w:rPr>
        <w:t>南通市崇川区人民政府网公示公告栏</w:t>
      </w:r>
      <w:r>
        <w:rPr>
          <w:rFonts w:hint="eastAsia" w:ascii="宋体" w:hAnsi="宋体" w:cs="宋体"/>
          <w:color w:val="auto"/>
          <w:spacing w:val="-2"/>
          <w:sz w:val="24"/>
          <w:highlight w:val="none"/>
        </w:rPr>
        <w:t>”中标公示栏公示，公布的时间为三日</w:t>
      </w:r>
      <w:r>
        <w:rPr>
          <w:rFonts w:hint="eastAsia" w:ascii="宋体" w:hAnsi="宋体" w:cs="宋体"/>
          <w:color w:val="auto"/>
          <w:sz w:val="24"/>
          <w:highlight w:val="none"/>
        </w:rPr>
        <w:t>。</w:t>
      </w:r>
    </w:p>
    <w:p>
      <w:pPr>
        <w:pStyle w:val="2"/>
        <w:jc w:val="center"/>
        <w:rPr>
          <w:rFonts w:ascii="宋体" w:hAnsi="宋体" w:eastAsia="宋体" w:cs="宋体"/>
          <w:color w:val="auto"/>
          <w:sz w:val="30"/>
          <w:highlight w:val="none"/>
        </w:rPr>
      </w:pPr>
      <w:r>
        <w:rPr>
          <w:rFonts w:hint="eastAsia" w:ascii="宋体" w:hAnsi="宋体" w:eastAsia="宋体" w:cs="宋体"/>
          <w:color w:val="auto"/>
          <w:sz w:val="30"/>
          <w:highlight w:val="none"/>
        </w:rPr>
        <w:t>（七）授予合同</w:t>
      </w:r>
    </w:p>
    <w:p>
      <w:pPr>
        <w:spacing w:line="480" w:lineRule="exact"/>
        <w:ind w:firstLine="474" w:firstLineChars="200"/>
        <w:rPr>
          <w:rFonts w:ascii="宋体" w:hAnsi="宋体" w:cs="宋体"/>
          <w:b/>
          <w:color w:val="auto"/>
          <w:spacing w:val="-2"/>
          <w:sz w:val="24"/>
          <w:highlight w:val="none"/>
        </w:rPr>
      </w:pPr>
      <w:bookmarkStart w:id="23" w:name="_Toc404159959"/>
      <w:bookmarkStart w:id="24" w:name="_Toc465181335"/>
      <w:r>
        <w:rPr>
          <w:rFonts w:hint="eastAsia" w:ascii="宋体" w:hAnsi="宋体" w:cs="宋体"/>
          <w:b/>
          <w:color w:val="auto"/>
          <w:spacing w:val="-2"/>
          <w:sz w:val="24"/>
          <w:highlight w:val="none"/>
        </w:rPr>
        <w:t>32.</w:t>
      </w:r>
      <w:r>
        <w:rPr>
          <w:rFonts w:hint="eastAsia" w:ascii="宋体" w:hAnsi="宋体" w:cs="宋体"/>
          <w:b/>
          <w:color w:val="auto"/>
          <w:sz w:val="24"/>
          <w:highlight w:val="none"/>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pPr>
        <w:spacing w:line="480" w:lineRule="exact"/>
        <w:ind w:firstLine="474" w:firstLineChars="200"/>
        <w:rPr>
          <w:rFonts w:ascii="宋体" w:hAnsi="宋体" w:cs="宋体"/>
          <w:color w:val="auto"/>
          <w:sz w:val="24"/>
          <w:highlight w:val="none"/>
        </w:rPr>
      </w:pPr>
      <w:r>
        <w:rPr>
          <w:rFonts w:hint="eastAsia" w:ascii="宋体" w:hAnsi="宋体" w:cs="宋体"/>
          <w:b/>
          <w:color w:val="auto"/>
          <w:spacing w:val="-2"/>
          <w:sz w:val="24"/>
          <w:highlight w:val="none"/>
        </w:rPr>
        <w:t>33.招</w:t>
      </w:r>
      <w:r>
        <w:rPr>
          <w:rFonts w:hint="eastAsia" w:ascii="宋体" w:hAnsi="宋体" w:cs="宋体"/>
          <w:b/>
          <w:color w:val="auto"/>
          <w:spacing w:val="-6"/>
          <w:sz w:val="24"/>
          <w:highlight w:val="none"/>
        </w:rPr>
        <w:t>标人和中标人应当自中标通知书发出之日起30日内</w:t>
      </w:r>
      <w:r>
        <w:rPr>
          <w:rFonts w:hint="eastAsia" w:ascii="宋体" w:hAnsi="宋体" w:cs="宋体"/>
          <w:color w:val="auto"/>
          <w:spacing w:val="-6"/>
          <w:sz w:val="24"/>
          <w:highlight w:val="none"/>
        </w:rPr>
        <w:t>，按照本招标文件和中标人的投标文件订立书面合同。招标人和中标人不得再订立背离合同实质性内容的其他协议</w:t>
      </w:r>
      <w:r>
        <w:rPr>
          <w:rFonts w:hint="eastAsia" w:ascii="宋体" w:hAnsi="宋体" w:cs="宋体"/>
          <w:color w:val="auto"/>
          <w:sz w:val="24"/>
          <w:highlight w:val="none"/>
        </w:rPr>
        <w:t>。</w:t>
      </w:r>
    </w:p>
    <w:p>
      <w:pPr>
        <w:spacing w:line="480" w:lineRule="exact"/>
        <w:ind w:firstLine="482"/>
        <w:rPr>
          <w:rFonts w:ascii="宋体" w:hAnsi="宋体" w:cs="宋体"/>
          <w:color w:val="auto"/>
          <w:sz w:val="24"/>
          <w:highlight w:val="none"/>
        </w:rPr>
      </w:pPr>
      <w:r>
        <w:rPr>
          <w:rFonts w:hint="eastAsia" w:ascii="宋体" w:hAnsi="宋体" w:cs="宋体"/>
          <w:b/>
          <w:color w:val="auto"/>
          <w:sz w:val="24"/>
          <w:highlight w:val="none"/>
        </w:rPr>
        <w:t>34.</w:t>
      </w:r>
      <w:r>
        <w:rPr>
          <w:rFonts w:hint="eastAsia" w:ascii="宋体" w:hAnsi="宋体" w:cs="宋体"/>
          <w:color w:val="auto"/>
          <w:sz w:val="24"/>
          <w:highlight w:val="none"/>
        </w:rPr>
        <w:t>若中标人不能按本须知第33条款的规定执行，</w:t>
      </w:r>
      <w:r>
        <w:rPr>
          <w:rFonts w:hint="eastAsia" w:ascii="宋体" w:hAnsi="宋体" w:cs="宋体"/>
          <w:b/>
          <w:color w:val="auto"/>
          <w:sz w:val="24"/>
          <w:highlight w:val="none"/>
        </w:rPr>
        <w:t>招标人将有充分的理由认为中标人放弃中标项目及签订合同的权利，并对其采取包含但不限于列入采购失信人黑名单等措施，</w:t>
      </w:r>
      <w:r>
        <w:rPr>
          <w:rFonts w:hint="eastAsia" w:ascii="宋体" w:hAnsi="宋体" w:cs="宋体"/>
          <w:color w:val="auto"/>
          <w:sz w:val="24"/>
          <w:highlight w:val="none"/>
        </w:rPr>
        <w:t>中标人的行为给招标人造成损应当对其造成损失部分予以赔偿。</w:t>
      </w:r>
    </w:p>
    <w:p>
      <w:pPr>
        <w:spacing w:line="480" w:lineRule="exact"/>
        <w:ind w:firstLine="482"/>
        <w:rPr>
          <w:rFonts w:ascii="宋体" w:hAnsi="宋体" w:cs="宋体"/>
          <w:b/>
          <w:color w:val="auto"/>
          <w:sz w:val="36"/>
          <w:szCs w:val="36"/>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cs="宋体"/>
          <w:color w:val="auto"/>
          <w:sz w:val="24"/>
          <w:highlight w:val="none"/>
        </w:rPr>
        <w:t>中标人在中标后或施工期间不得随意变更中标项目负责人。如果出现特殊情况，确需更换的，应当经招标人同意。</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第二章评标办法</w:t>
      </w:r>
      <w:bookmarkEnd w:id="23"/>
      <w:bookmarkEnd w:id="24"/>
    </w:p>
    <w:p>
      <w:pPr>
        <w:spacing w:line="360" w:lineRule="auto"/>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一、本工程采用价格单因素评标办法，且采用资格后审，具体资格审查及评标细则如下：</w:t>
      </w:r>
    </w:p>
    <w:p>
      <w:pPr>
        <w:spacing w:line="360" w:lineRule="auto"/>
        <w:ind w:firstLine="482"/>
        <w:rPr>
          <w:rFonts w:ascii="宋体" w:hAnsi="宋体" w:cs="宋体"/>
          <w:color w:val="auto"/>
          <w:highlight w:val="none"/>
        </w:rPr>
      </w:pPr>
      <w:r>
        <w:rPr>
          <w:rFonts w:hint="eastAsia" w:ascii="宋体" w:hAnsi="宋体" w:cs="宋体"/>
          <w:color w:val="auto"/>
          <w:kern w:val="0"/>
          <w:sz w:val="24"/>
          <w:highlight w:val="none"/>
        </w:rPr>
        <w:t>（一）评标程序</w:t>
      </w:r>
    </w:p>
    <w:p>
      <w:pPr>
        <w:spacing w:line="360" w:lineRule="auto"/>
        <w:ind w:firstLine="482"/>
        <w:rPr>
          <w:rFonts w:ascii="宋体" w:hAnsi="宋体"/>
          <w:color w:val="auto"/>
          <w:kern w:val="0"/>
          <w:sz w:val="24"/>
          <w:highlight w:val="none"/>
        </w:rPr>
      </w:pPr>
      <w:r>
        <w:rPr>
          <w:rFonts w:hint="eastAsia" w:ascii="宋体" w:hAnsi="宋体" w:cs="宋体"/>
          <w:color w:val="auto"/>
          <w:kern w:val="0"/>
          <w:sz w:val="24"/>
          <w:highlight w:val="none"/>
        </w:rPr>
        <w:t>评标入围→资格符合性评审→价格标开标→确定中标候选人。</w:t>
      </w:r>
    </w:p>
    <w:p>
      <w:pPr>
        <w:adjustRightInd w:val="0"/>
        <w:snapToGrid w:val="0"/>
        <w:spacing w:line="440" w:lineRule="exact"/>
        <w:ind w:firstLine="482"/>
        <w:rPr>
          <w:rFonts w:ascii="宋体" w:hAnsi="宋体" w:cs="宋体"/>
          <w:b/>
          <w:bCs/>
          <w:color w:val="auto"/>
          <w:kern w:val="0"/>
          <w:sz w:val="24"/>
          <w:highlight w:val="none"/>
        </w:rPr>
      </w:pPr>
      <w:r>
        <w:rPr>
          <w:rFonts w:hint="eastAsia" w:ascii="宋体" w:hAnsi="宋体" w:cs="宋体"/>
          <w:color w:val="auto"/>
          <w:kern w:val="0"/>
          <w:sz w:val="24"/>
          <w:highlight w:val="none"/>
        </w:rPr>
        <w:t>（二）评审标准</w:t>
      </w:r>
    </w:p>
    <w:p>
      <w:pPr>
        <w:adjustRightInd w:val="0"/>
        <w:snapToGrid w:val="0"/>
        <w:spacing w:line="440" w:lineRule="exact"/>
        <w:ind w:firstLine="482"/>
        <w:rPr>
          <w:rFonts w:ascii="宋体" w:hAnsi="宋体" w:cs="宋体"/>
          <w:b/>
          <w:bCs/>
          <w:color w:val="auto"/>
          <w:kern w:val="0"/>
          <w:sz w:val="24"/>
          <w:highlight w:val="none"/>
        </w:rPr>
      </w:pPr>
      <w:r>
        <w:rPr>
          <w:rFonts w:hint="eastAsia" w:ascii="宋体" w:hAnsi="宋体" w:cs="宋体"/>
          <w:color w:val="auto"/>
          <w:kern w:val="0"/>
          <w:sz w:val="24"/>
          <w:highlight w:val="none"/>
        </w:rPr>
        <w:t>评标委员会将按评标入围评审标准、资格评审标准的合格条件，对各投标人递交的资格审查书面资料进行评审，并公布资格审查合格者名单。</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1.资格符合性评审</w:t>
      </w:r>
    </w:p>
    <w:p>
      <w:pPr>
        <w:widowControl/>
        <w:spacing w:line="360" w:lineRule="auto"/>
        <w:ind w:firstLine="482" w:firstLineChars="200"/>
        <w:jc w:val="center"/>
        <w:rPr>
          <w:rFonts w:ascii="宋体" w:hAnsi="宋体" w:cs="宋体"/>
          <w:color w:val="auto"/>
          <w:kern w:val="0"/>
          <w:sz w:val="24"/>
          <w:highlight w:val="none"/>
        </w:rPr>
      </w:pPr>
      <w:r>
        <w:rPr>
          <w:rFonts w:hint="eastAsia" w:ascii="宋体" w:hAnsi="宋体" w:cs="宋体"/>
          <w:b/>
          <w:color w:val="auto"/>
          <w:sz w:val="24"/>
          <w:highlight w:val="none"/>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pPr>
              <w:widowControl/>
              <w:jc w:val="center"/>
              <w:rPr>
                <w:rFonts w:ascii="宋体" w:hAnsi="宋体" w:cs="宋体"/>
                <w:b/>
                <w:color w:val="auto"/>
                <w:kern w:val="0"/>
                <w:sz w:val="18"/>
                <w:szCs w:val="18"/>
                <w:highlight w:val="none"/>
              </w:rPr>
            </w:pPr>
            <w:bookmarkStart w:id="25" w:name="OLE_LINK2"/>
            <w:r>
              <w:rPr>
                <w:rFonts w:hint="eastAsia" w:ascii="宋体" w:hAnsi="宋体" w:cs="宋体"/>
                <w:b/>
                <w:color w:val="auto"/>
                <w:kern w:val="0"/>
                <w:sz w:val="18"/>
                <w:szCs w:val="18"/>
                <w:highlight w:val="none"/>
              </w:rPr>
              <w:t>序号</w:t>
            </w:r>
          </w:p>
        </w:tc>
        <w:tc>
          <w:tcPr>
            <w:tcW w:w="1918" w:type="dxa"/>
            <w:tcBorders>
              <w:tl2br w:val="nil"/>
              <w:tr2bl w:val="nil"/>
            </w:tcBorders>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项目内容</w:t>
            </w:r>
          </w:p>
        </w:tc>
        <w:tc>
          <w:tcPr>
            <w:tcW w:w="3510" w:type="dxa"/>
            <w:tcBorders>
              <w:tl2br w:val="nil"/>
              <w:tr2bl w:val="nil"/>
            </w:tcBorders>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合格条件</w:t>
            </w:r>
          </w:p>
        </w:tc>
        <w:tc>
          <w:tcPr>
            <w:tcW w:w="3589" w:type="dxa"/>
            <w:tcBorders>
              <w:tl2br w:val="nil"/>
              <w:tr2bl w:val="nil"/>
            </w:tcBorders>
            <w:vAlign w:val="center"/>
          </w:tcPr>
          <w:p>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具有独立订立合同的能力</w:t>
            </w:r>
          </w:p>
        </w:tc>
        <w:tc>
          <w:tcPr>
            <w:tcW w:w="3510"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有效的行政管理部门颁发的法人营业执照</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企业资质类别等级</w:t>
            </w:r>
          </w:p>
        </w:tc>
        <w:tc>
          <w:tcPr>
            <w:tcW w:w="3510" w:type="dxa"/>
            <w:tcBorders>
              <w:tl2br w:val="nil"/>
              <w:tr2bl w:val="nil"/>
            </w:tcBorders>
            <w:vAlign w:val="center"/>
          </w:tcPr>
          <w:p>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lang w:eastAsia="zh-CN"/>
              </w:rPr>
              <w:t>水利水电工程施工总承包叁级及以上资质或市政公用工程施工总承包叁级及以上资质（须在有效期内）</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企业安全生产许可证</w:t>
            </w:r>
          </w:p>
        </w:tc>
        <w:tc>
          <w:tcPr>
            <w:tcW w:w="3510"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企业具备安全产生条件，并取得安全生产许可证。</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拟派项目负责人（项目经理）资质等级</w:t>
            </w:r>
          </w:p>
        </w:tc>
        <w:tc>
          <w:tcPr>
            <w:tcW w:w="3510" w:type="dxa"/>
            <w:tcBorders>
              <w:tl2br w:val="nil"/>
              <w:tr2bl w:val="nil"/>
            </w:tcBorders>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水利水电工程专业二级及以上或市政公用工程专业二级及以上注册建造师</w:t>
            </w:r>
            <w:r>
              <w:rPr>
                <w:rFonts w:hint="eastAsia" w:ascii="宋体" w:hAnsi="宋体" w:cs="宋体"/>
                <w:color w:val="auto"/>
                <w:kern w:val="0"/>
                <w:sz w:val="24"/>
                <w:highlight w:val="none"/>
                <w:lang w:eastAsia="zh-CN"/>
              </w:rPr>
              <w:t>（须在有效期内），拟派项目负责人为投标企业正式人员，且项目负责人不得为企业法定代表人或企业董事长或总经理。</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①中华人民共和国建造师注册证书(注册在投标人单位)；</w:t>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②凡建造师注册证书未发放到位的，可由省辖市建设（建筑）行政主管部门出具注册建造师执业证明</w:t>
            </w:r>
          </w:p>
          <w:p>
            <w:pPr>
              <w:widowControl/>
              <w:jc w:val="left"/>
              <w:rPr>
                <w:color w:val="auto"/>
                <w:highlight w:val="none"/>
              </w:rPr>
            </w:pP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3 \* GB3 \* MERGEFORMAT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③</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8"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拟派项目负责人（项目经理）安全生产考核</w:t>
            </w:r>
          </w:p>
        </w:tc>
        <w:tc>
          <w:tcPr>
            <w:tcW w:w="3510"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拟派项目负责人具有有效的施工项目负责人安全生产考核合格证书（B类）</w:t>
            </w:r>
          </w:p>
        </w:tc>
        <w:tc>
          <w:tcPr>
            <w:tcW w:w="3589" w:type="dxa"/>
            <w:tcBorders>
              <w:tl2br w:val="nil"/>
              <w:tr2bl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918" w:type="dxa"/>
            <w:tcBorders>
              <w:tl2br w:val="nil"/>
              <w:tr2bl w:val="nil"/>
            </w:tcBorders>
            <w:vAlign w:val="center"/>
          </w:tcPr>
          <w:p>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拟派项目负责人（项目经理）为投标企业正式人员</w:t>
            </w:r>
          </w:p>
        </w:tc>
        <w:tc>
          <w:tcPr>
            <w:tcW w:w="3510" w:type="dxa"/>
            <w:tcBorders>
              <w:tl2br w:val="nil"/>
              <w:tr2bl w:val="nil"/>
            </w:tcBorders>
            <w:vAlign w:val="center"/>
          </w:tcPr>
          <w:p>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sz w:val="24"/>
                <w:highlight w:val="none"/>
              </w:rPr>
              <w:t>拟派项目负责人为投标企业正式人员</w:t>
            </w:r>
          </w:p>
        </w:tc>
        <w:tc>
          <w:tcPr>
            <w:tcW w:w="3589" w:type="dxa"/>
            <w:tcBorders>
              <w:tl2br w:val="nil"/>
              <w:tr2bl w:val="nil"/>
            </w:tcBorders>
            <w:vAlign w:val="center"/>
          </w:tcPr>
          <w:p>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有效的劳动合同书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9017" w:type="dxa"/>
            <w:gridSpan w:val="3"/>
            <w:tcBorders>
              <w:tl2br w:val="nil"/>
              <w:tr2bl w:val="nil"/>
            </w:tcBorders>
            <w:vAlign w:val="center"/>
          </w:tcPr>
          <w:p>
            <w:pPr>
              <w:rPr>
                <w:rFonts w:ascii="宋体" w:hAnsi="宋体" w:cs="宋体"/>
                <w:color w:val="auto"/>
                <w:kern w:val="0"/>
                <w:sz w:val="24"/>
                <w:highlight w:val="none"/>
              </w:rPr>
            </w:pPr>
            <w:r>
              <w:rPr>
                <w:rFonts w:hint="eastAsia" w:ascii="宋体" w:hAnsi="宋体" w:cs="宋体"/>
                <w:b/>
                <w:bCs/>
                <w:color w:val="auto"/>
                <w:kern w:val="0"/>
                <w:sz w:val="24"/>
                <w:highlight w:val="none"/>
              </w:rPr>
              <w:t>资格审查文件表格（投标时需提供：1.法定代表人身份证明 2.授权委托书3.诚信承诺书）</w:t>
            </w:r>
            <w:r>
              <w:rPr>
                <w:rFonts w:hint="eastAsia" w:ascii="宋体" w:hAnsi="宋体" w:cs="宋体"/>
                <w:b/>
                <w:color w:val="auto"/>
                <w:kern w:val="0"/>
                <w:sz w:val="24"/>
                <w:highlight w:val="none"/>
              </w:rPr>
              <w:t>（格式详见招标文件第七章）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pPr>
              <w:widowControl/>
              <w:jc w:val="center"/>
              <w:rPr>
                <w:rFonts w:ascii="宋体" w:hAnsi="宋体" w:cs="宋体"/>
                <w:color w:val="auto"/>
                <w:kern w:val="0"/>
                <w:sz w:val="24"/>
                <w:highlight w:val="none"/>
              </w:rPr>
            </w:pPr>
          </w:p>
        </w:tc>
        <w:tc>
          <w:tcPr>
            <w:tcW w:w="9017" w:type="dxa"/>
            <w:gridSpan w:val="3"/>
            <w:tcBorders>
              <w:tl2br w:val="nil"/>
              <w:tr2bl w:val="nil"/>
            </w:tcBorders>
            <w:vAlign w:val="center"/>
          </w:tcPr>
          <w:p>
            <w:pPr>
              <w:widowControl/>
              <w:adjustRightInd w:val="0"/>
              <w:snapToGrid w:val="0"/>
              <w:jc w:val="left"/>
              <w:rPr>
                <w:color w:val="auto"/>
                <w:highlight w:val="none"/>
              </w:rPr>
            </w:pPr>
            <w:r>
              <w:rPr>
                <w:rFonts w:hint="eastAsia"/>
                <w:color w:val="auto"/>
                <w:highlight w:val="none"/>
              </w:rPr>
              <w:t>注：</w:t>
            </w:r>
          </w:p>
          <w:p>
            <w:pPr>
              <w:widowControl/>
              <w:adjustRightInd w:val="0"/>
              <w:snapToGrid w:val="0"/>
              <w:jc w:val="left"/>
              <w:rPr>
                <w:color w:val="auto"/>
                <w:highlight w:val="none"/>
              </w:rPr>
            </w:pPr>
            <w:r>
              <w:rPr>
                <w:rFonts w:hint="eastAsia"/>
                <w:color w:val="auto"/>
                <w:highlight w:val="none"/>
              </w:rPr>
              <w:t>1.资格审查阶段，评标委员会根据资格审查标准、资格审查条件、“资格审查资料包”中的资料进行资格评审，请投标人按照本招标文件要求准确提供全部资料，否则做废标处理。</w:t>
            </w:r>
          </w:p>
          <w:p>
            <w:pPr>
              <w:widowControl/>
              <w:adjustRightInd w:val="0"/>
              <w:snapToGrid w:val="0"/>
              <w:jc w:val="left"/>
              <w:rPr>
                <w:color w:val="auto"/>
                <w:highlight w:val="none"/>
              </w:rPr>
            </w:pPr>
            <w:r>
              <w:rPr>
                <w:rFonts w:hint="eastAsia"/>
                <w:color w:val="auto"/>
                <w:highlight w:val="none"/>
              </w:rPr>
              <w:t>2.以上复印件须加盖投标单位公章，并在封袋上加盖投标人单位公章和法定代表人印章。</w:t>
            </w:r>
          </w:p>
        </w:tc>
      </w:tr>
      <w:bookmarkEnd w:id="25"/>
    </w:tbl>
    <w:p>
      <w:pPr>
        <w:spacing w:line="420" w:lineRule="exact"/>
        <w:ind w:firstLine="480" w:firstLineChars="200"/>
        <w:rPr>
          <w:rFonts w:ascii="宋体" w:hAnsi="宋体" w:cs="宋体"/>
          <w:color w:val="auto"/>
          <w:sz w:val="24"/>
          <w:highlight w:val="none"/>
        </w:rPr>
      </w:pPr>
      <w:bookmarkStart w:id="26" w:name="_Toc404159960"/>
      <w:r>
        <w:rPr>
          <w:rFonts w:hint="eastAsia" w:ascii="宋体" w:hAnsi="宋体" w:cs="宋体"/>
          <w:color w:val="auto"/>
          <w:sz w:val="24"/>
          <w:highlight w:val="none"/>
        </w:rPr>
        <w:t>（3）本次资格审查采用合格制，各投标人只有满足资格审查必要合格条件后，方可参与商务标的评审。</w:t>
      </w:r>
    </w:p>
    <w:p>
      <w:pPr>
        <w:spacing w:line="360" w:lineRule="auto"/>
        <w:ind w:firstLine="480" w:firstLineChars="200"/>
        <w:rPr>
          <w:rFonts w:ascii="宋体" w:hAnsi="宋体" w:cs="宋体"/>
          <w:color w:val="auto"/>
          <w:sz w:val="24"/>
          <w:highlight w:val="none"/>
        </w:rPr>
      </w:pPr>
      <w:bookmarkStart w:id="27" w:name="_Toc465181336"/>
      <w:r>
        <w:rPr>
          <w:rFonts w:hint="eastAsia" w:ascii="宋体" w:hAnsi="宋体" w:cs="宋体"/>
          <w:color w:val="auto"/>
          <w:sz w:val="24"/>
          <w:highlight w:val="none"/>
        </w:rPr>
        <w:t>2.商务标评审</w:t>
      </w:r>
    </w:p>
    <w:p>
      <w:pPr>
        <w:autoSpaceDE w:val="0"/>
        <w:autoSpaceDN w:val="0"/>
        <w:adjustRightInd w:val="0"/>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1)只有通过资格审查的投标人，才能参加商务标的评标。</w:t>
      </w:r>
    </w:p>
    <w:p>
      <w:pPr>
        <w:autoSpaceDE w:val="0"/>
        <w:autoSpaceDN w:val="0"/>
        <w:adjustRightInd w:val="0"/>
        <w:snapToGrid w:val="0"/>
        <w:spacing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u w:val="single"/>
        </w:rPr>
        <w:t>本工程招标控制价：</w:t>
      </w:r>
      <w:r>
        <w:rPr>
          <w:rFonts w:hint="eastAsia" w:ascii="宋体" w:hAnsi="宋体" w:cs="宋体"/>
          <w:b/>
          <w:color w:val="auto"/>
          <w:sz w:val="24"/>
          <w:highlight w:val="none"/>
          <w:u w:val="single"/>
          <w:lang w:val="en-US" w:eastAsia="zh-CN"/>
        </w:rPr>
        <w:t>437746.76元</w:t>
      </w:r>
      <w:r>
        <w:rPr>
          <w:rFonts w:hint="eastAsia" w:ascii="宋体" w:hAnsi="宋体" w:cs="宋体"/>
          <w:b/>
          <w:color w:val="auto"/>
          <w:sz w:val="24"/>
          <w:highlight w:val="none"/>
          <w:u w:val="single"/>
        </w:rPr>
        <w:t>，投标报价高于招标控制价的作废标处理。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商务标评审共设两种方法，</w:t>
      </w:r>
      <w:r>
        <w:rPr>
          <w:rFonts w:hint="eastAsia" w:ascii="宋体" w:hAnsi="宋体" w:cs="宋体"/>
          <w:color w:val="auto"/>
          <w:sz w:val="24"/>
          <w:highlight w:val="none"/>
        </w:rPr>
        <w:t>由招标人代表在开标时现场抽取确定，相关系数由投标人代表现场抽取确定后进入评标程序。</w:t>
      </w:r>
    </w:p>
    <w:p>
      <w:pPr>
        <w:widowControl/>
        <w:spacing w:line="360" w:lineRule="auto"/>
        <w:ind w:firstLine="477" w:firstLineChars="199"/>
        <w:rPr>
          <w:rFonts w:hint="eastAsia" w:ascii="宋体" w:hAnsi="宋体" w:eastAsia="宋体" w:cs="宋体"/>
          <w:b/>
          <w:bCs/>
          <w:color w:val="auto"/>
          <w:sz w:val="24"/>
          <w:highlight w:val="none"/>
          <w:lang w:val="en-US" w:eastAsia="zh-CN"/>
        </w:rPr>
      </w:pPr>
      <w:r>
        <w:rPr>
          <w:rFonts w:hint="eastAsia" w:ascii="宋体" w:hAnsi="宋体"/>
          <w:color w:val="auto"/>
          <w:kern w:val="0"/>
          <w:sz w:val="24"/>
          <w:highlight w:val="none"/>
          <w:lang w:val="en-US" w:eastAsia="zh-CN"/>
        </w:rPr>
        <w:t>3.</w:t>
      </w:r>
      <w:r>
        <w:rPr>
          <w:rFonts w:hint="eastAsia" w:ascii="宋体" w:hAnsi="宋体" w:cs="宋体"/>
          <w:b/>
          <w:bCs/>
          <w:color w:val="auto"/>
          <w:sz w:val="24"/>
          <w:highlight w:val="none"/>
        </w:rPr>
        <w:t>商务标评审</w:t>
      </w:r>
      <w:r>
        <w:rPr>
          <w:rFonts w:hint="eastAsia" w:ascii="宋体" w:hAnsi="宋体" w:cs="宋体"/>
          <w:b/>
          <w:bCs/>
          <w:color w:val="auto"/>
          <w:sz w:val="24"/>
          <w:highlight w:val="none"/>
          <w:lang w:val="en-US" w:eastAsia="zh-CN"/>
        </w:rPr>
        <w:t>设置</w:t>
      </w:r>
    </w:p>
    <w:p>
      <w:pPr>
        <w:widowControl/>
        <w:spacing w:line="360" w:lineRule="auto"/>
        <w:ind w:firstLine="479" w:firstLineChars="199"/>
        <w:rPr>
          <w:rFonts w:ascii="宋体" w:hAnsi="宋体" w:cs="宋体"/>
          <w:b/>
          <w:bCs/>
          <w:color w:val="auto"/>
          <w:sz w:val="24"/>
          <w:highlight w:val="none"/>
        </w:rPr>
      </w:pPr>
      <w:r>
        <w:rPr>
          <w:rFonts w:hint="eastAsia" w:ascii="宋体" w:hAnsi="宋体" w:cs="宋体"/>
          <w:b/>
          <w:bCs/>
          <w:color w:val="auto"/>
          <w:sz w:val="24"/>
          <w:highlight w:val="none"/>
        </w:rPr>
        <w:t>本工程商务标评审设置评标办法一、二，由招标人代表在开标时随机抽取一种方法作为商务标的评审标准。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方法一:</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确定有效报价：投标报价低于或等于招标控制价的各投标人的投标报价为有效报价；高于招标控制价的，作废标处理。</w:t>
      </w:r>
      <w:r>
        <w:rPr>
          <w:rFonts w:hint="eastAsia" w:ascii="宋体" w:hAnsi="宋体"/>
          <w:color w:val="auto"/>
          <w:kern w:val="0"/>
          <w:sz w:val="24"/>
          <w:highlight w:val="none"/>
        </w:rPr>
        <w:t>废标、无效报价不参与评标基准价的计算。</w:t>
      </w:r>
    </w:p>
    <w:p>
      <w:pPr>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rPr>
        <w:t>（2）评标基准价的确定:</w:t>
      </w:r>
    </w:p>
    <w:p>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＜4</w:t>
      </w:r>
      <w:r>
        <w:rPr>
          <w:rFonts w:ascii="宋体" w:hAnsi="宋体" w:cs="宋体"/>
          <w:color w:val="auto"/>
          <w:kern w:val="0"/>
          <w:sz w:val="24"/>
          <w:highlight w:val="none"/>
        </w:rPr>
        <w:t>家</w:t>
      </w:r>
      <w:r>
        <w:rPr>
          <w:rFonts w:hint="eastAsia" w:ascii="宋体" w:hAnsi="宋体" w:cs="宋体"/>
          <w:color w:val="auto"/>
          <w:kern w:val="0"/>
          <w:sz w:val="24"/>
          <w:highlight w:val="none"/>
        </w:rPr>
        <w:t>时，则</w:t>
      </w:r>
      <w:r>
        <w:rPr>
          <w:rFonts w:hint="eastAsia" w:ascii="宋体" w:hAnsi="宋体"/>
          <w:color w:val="auto"/>
          <w:kern w:val="0"/>
          <w:sz w:val="24"/>
          <w:highlight w:val="none"/>
        </w:rPr>
        <w:t>所有</w:t>
      </w:r>
      <w:r>
        <w:rPr>
          <w:rFonts w:ascii="宋体" w:hAnsi="宋体"/>
          <w:color w:val="auto"/>
          <w:kern w:val="0"/>
          <w:sz w:val="24"/>
          <w:highlight w:val="none"/>
        </w:rPr>
        <w:t>有效投标文件的</w:t>
      </w:r>
      <w:r>
        <w:rPr>
          <w:rFonts w:hint="eastAsia" w:ascii="宋体" w:hAnsi="宋体" w:cs="宋体"/>
          <w:color w:val="auto"/>
          <w:kern w:val="0"/>
          <w:sz w:val="24"/>
          <w:highlight w:val="none"/>
        </w:rPr>
        <w:t>次低报价作</w:t>
      </w:r>
      <w:r>
        <w:rPr>
          <w:rFonts w:ascii="宋体" w:hAnsi="宋体" w:cs="宋体"/>
          <w:color w:val="auto"/>
          <w:kern w:val="0"/>
          <w:sz w:val="24"/>
          <w:highlight w:val="none"/>
        </w:rPr>
        <w:t>为A</w:t>
      </w:r>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若4≤有效投标文件≤6家时，</w:t>
      </w:r>
      <w:r>
        <w:rPr>
          <w:rFonts w:ascii="宋体" w:hAnsi="宋体" w:cs="宋体"/>
          <w:color w:val="auto"/>
          <w:kern w:val="0"/>
          <w:sz w:val="24"/>
          <w:highlight w:val="none"/>
        </w:rPr>
        <w:t>去掉</w:t>
      </w:r>
      <w:r>
        <w:rPr>
          <w:rFonts w:hint="eastAsia" w:ascii="宋体" w:hAnsi="宋体" w:cs="宋体"/>
          <w:color w:val="auto"/>
          <w:kern w:val="0"/>
          <w:sz w:val="24"/>
          <w:highlight w:val="none"/>
        </w:rPr>
        <w:t>评标价中</w:t>
      </w:r>
      <w:r>
        <w:rPr>
          <w:rFonts w:ascii="宋体" w:hAnsi="宋体" w:cs="宋体"/>
          <w:color w:val="auto"/>
          <w:kern w:val="0"/>
          <w:sz w:val="24"/>
          <w:highlight w:val="none"/>
        </w:rPr>
        <w:t>的最高</w:t>
      </w:r>
      <w:r>
        <w:rPr>
          <w:rFonts w:hint="eastAsia" w:ascii="宋体" w:hAnsi="宋体" w:cs="宋体"/>
          <w:color w:val="auto"/>
          <w:kern w:val="0"/>
          <w:sz w:val="24"/>
          <w:highlight w:val="none"/>
        </w:rPr>
        <w:t>报</w:t>
      </w:r>
      <w:r>
        <w:rPr>
          <w:rFonts w:ascii="宋体" w:hAnsi="宋体" w:cs="宋体"/>
          <w:color w:val="auto"/>
          <w:kern w:val="0"/>
          <w:sz w:val="24"/>
          <w:highlight w:val="none"/>
        </w:rPr>
        <w:t>价</w:t>
      </w:r>
      <w:r>
        <w:rPr>
          <w:rFonts w:hint="eastAsia" w:ascii="宋体" w:hAnsi="宋体" w:cs="宋体"/>
          <w:color w:val="auto"/>
          <w:kern w:val="0"/>
          <w:sz w:val="24"/>
          <w:highlight w:val="none"/>
        </w:rPr>
        <w:t>（最高报价相同的均剔除）</w:t>
      </w:r>
      <w:r>
        <w:rPr>
          <w:rFonts w:ascii="宋体" w:hAnsi="宋体" w:cs="宋体"/>
          <w:color w:val="auto"/>
          <w:kern w:val="0"/>
          <w:sz w:val="24"/>
          <w:highlight w:val="none"/>
        </w:rPr>
        <w:t>后取算术平均值为A</w:t>
      </w:r>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7</w:t>
      </w:r>
      <w:r>
        <w:rPr>
          <w:rFonts w:ascii="宋体" w:hAnsi="宋体" w:cs="宋体"/>
          <w:color w:val="auto"/>
          <w:kern w:val="0"/>
          <w:sz w:val="24"/>
          <w:highlight w:val="none"/>
        </w:rPr>
        <w:t>家，去掉</w:t>
      </w:r>
      <w:r>
        <w:rPr>
          <w:rFonts w:hint="eastAsia" w:ascii="宋体" w:hAnsi="宋体" w:cs="宋体"/>
          <w:color w:val="auto"/>
          <w:kern w:val="0"/>
          <w:sz w:val="24"/>
          <w:highlight w:val="none"/>
        </w:rPr>
        <w:t>评标价中的最高和最低20%（四舍五入取整，末位投标报价相同的均保留）</w:t>
      </w:r>
      <w:r>
        <w:rPr>
          <w:rFonts w:ascii="宋体" w:hAnsi="宋体" w:cs="宋体"/>
          <w:color w:val="auto"/>
          <w:kern w:val="0"/>
          <w:sz w:val="24"/>
          <w:highlight w:val="none"/>
        </w:rPr>
        <w:t>后取算术平均值为 A。</w:t>
      </w:r>
    </w:p>
    <w:p>
      <w:pPr>
        <w:autoSpaceDE w:val="0"/>
        <w:autoSpaceDN w:val="0"/>
        <w:adjustRightInd w:val="0"/>
        <w:snapToGrid w:val="0"/>
        <w:spacing w:line="360" w:lineRule="auto"/>
        <w:ind w:firstLine="480" w:firstLineChars="200"/>
        <w:rPr>
          <w:rFonts w:ascii="宋体" w:hAnsi="宋体"/>
          <w:color w:val="auto"/>
          <w:kern w:val="0"/>
          <w:sz w:val="24"/>
          <w:highlight w:val="none"/>
          <w:u w:val="single"/>
        </w:rPr>
      </w:pPr>
      <w:r>
        <w:rPr>
          <w:rFonts w:hint="eastAsia" w:ascii="宋体" w:hAnsi="宋体" w:cs="宋体"/>
          <w:color w:val="auto"/>
          <w:kern w:val="0"/>
          <w:sz w:val="24"/>
          <w:highlight w:val="none"/>
          <w:u w:val="single"/>
        </w:rPr>
        <w:t>评标基准价 =A×K，A值</w:t>
      </w:r>
      <w:r>
        <w:rPr>
          <w:rFonts w:hint="eastAsia" w:ascii="宋体" w:hAnsi="宋体"/>
          <w:color w:val="auto"/>
          <w:kern w:val="0"/>
          <w:sz w:val="24"/>
          <w:highlight w:val="none"/>
          <w:u w:val="single"/>
        </w:rPr>
        <w:t>是有效投标文件的评标价的算术平均值，评标价是指经澄清、补正和修正算术计算错误的投标报价。K值在开标时由投标人推选的代表随机抽取确定，K 值的取值范围为95%、96%、97%、98%。</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评标基准价只计算一次，一经确定，不因招标当事人质疑、投诉、复议以及其他任何情形而改变，但评标过程中的计算错误可作调整。</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（3）计算得分</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①投标人的投标报价与评标基准价相等的得100分；</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②投标人的投标报价与评标基准价相比，每上浮1%扣0.9分，每下浮1%扣0.6分（不足1%时采用插入法），得分</w:t>
      </w:r>
      <w:r>
        <w:rPr>
          <w:rFonts w:hint="eastAsia" w:ascii="宋体" w:hAnsi="宋体" w:cs="宋体"/>
          <w:color w:val="auto"/>
          <w:kern w:val="0"/>
          <w:sz w:val="24"/>
          <w:highlight w:val="none"/>
        </w:rPr>
        <w:t>四舍五入取整</w:t>
      </w:r>
      <w:r>
        <w:rPr>
          <w:rFonts w:hint="eastAsia" w:ascii="宋体" w:hAnsi="宋体"/>
          <w:color w:val="auto"/>
          <w:kern w:val="0"/>
          <w:sz w:val="24"/>
          <w:highlight w:val="none"/>
        </w:rPr>
        <w:t>保留小数点后两位。</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方法二：</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 xml:space="preserve">确定有效报价：投标报价低于或等于招标控制价的各投标人的投标报价为有效报价；高于招标控制价的，作废标处理。 </w:t>
      </w:r>
      <w:r>
        <w:rPr>
          <w:rFonts w:hint="eastAsia" w:ascii="宋体" w:hAnsi="宋体"/>
          <w:color w:val="auto"/>
          <w:kern w:val="0"/>
          <w:sz w:val="24"/>
          <w:highlight w:val="none"/>
        </w:rPr>
        <w:t>废标、无效报价不参与评标基准价的计算。</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（2）评标基准价的确定:</w:t>
      </w:r>
    </w:p>
    <w:p>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＜4</w:t>
      </w:r>
      <w:r>
        <w:rPr>
          <w:rFonts w:ascii="宋体" w:hAnsi="宋体" w:cs="宋体"/>
          <w:color w:val="auto"/>
          <w:kern w:val="0"/>
          <w:sz w:val="24"/>
          <w:highlight w:val="none"/>
        </w:rPr>
        <w:t xml:space="preserve"> 家</w:t>
      </w:r>
      <w:r>
        <w:rPr>
          <w:rFonts w:hint="eastAsia" w:ascii="宋体" w:hAnsi="宋体" w:cs="宋体"/>
          <w:color w:val="auto"/>
          <w:kern w:val="0"/>
          <w:sz w:val="24"/>
          <w:highlight w:val="none"/>
        </w:rPr>
        <w:t>时，则</w:t>
      </w:r>
      <w:r>
        <w:rPr>
          <w:rFonts w:hint="eastAsia" w:ascii="宋体" w:hAnsi="宋体"/>
          <w:color w:val="auto"/>
          <w:kern w:val="0"/>
          <w:sz w:val="24"/>
          <w:highlight w:val="none"/>
        </w:rPr>
        <w:t>所有</w:t>
      </w:r>
      <w:r>
        <w:rPr>
          <w:rFonts w:ascii="宋体" w:hAnsi="宋体"/>
          <w:color w:val="auto"/>
          <w:kern w:val="0"/>
          <w:sz w:val="24"/>
          <w:highlight w:val="none"/>
        </w:rPr>
        <w:t>有效投标文件的</w:t>
      </w:r>
      <w:r>
        <w:rPr>
          <w:rFonts w:hint="eastAsia" w:ascii="宋体" w:hAnsi="宋体" w:cs="宋体"/>
          <w:color w:val="auto"/>
          <w:kern w:val="0"/>
          <w:sz w:val="24"/>
          <w:highlight w:val="none"/>
        </w:rPr>
        <w:t>次低报价作</w:t>
      </w:r>
      <w:r>
        <w:rPr>
          <w:rFonts w:ascii="宋体" w:hAnsi="宋体" w:cs="宋体"/>
          <w:color w:val="auto"/>
          <w:kern w:val="0"/>
          <w:sz w:val="24"/>
          <w:highlight w:val="none"/>
        </w:rPr>
        <w:t>为A</w:t>
      </w:r>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若4≤有效投标文件≤6家时，</w:t>
      </w:r>
      <w:r>
        <w:rPr>
          <w:rFonts w:ascii="宋体" w:hAnsi="宋体" w:cs="宋体"/>
          <w:color w:val="auto"/>
          <w:kern w:val="0"/>
          <w:sz w:val="24"/>
          <w:highlight w:val="none"/>
        </w:rPr>
        <w:t>去掉</w:t>
      </w:r>
      <w:r>
        <w:rPr>
          <w:rFonts w:hint="eastAsia" w:ascii="宋体" w:hAnsi="宋体" w:cs="宋体"/>
          <w:color w:val="auto"/>
          <w:kern w:val="0"/>
          <w:sz w:val="24"/>
          <w:highlight w:val="none"/>
        </w:rPr>
        <w:t>评标价中</w:t>
      </w:r>
      <w:r>
        <w:rPr>
          <w:rFonts w:ascii="宋体" w:hAnsi="宋体" w:cs="宋体"/>
          <w:color w:val="auto"/>
          <w:kern w:val="0"/>
          <w:sz w:val="24"/>
          <w:highlight w:val="none"/>
        </w:rPr>
        <w:t>的最高</w:t>
      </w:r>
      <w:r>
        <w:rPr>
          <w:rFonts w:hint="eastAsia" w:ascii="宋体" w:hAnsi="宋体" w:cs="宋体"/>
          <w:color w:val="auto"/>
          <w:kern w:val="0"/>
          <w:sz w:val="24"/>
          <w:highlight w:val="none"/>
        </w:rPr>
        <w:t>报</w:t>
      </w:r>
      <w:r>
        <w:rPr>
          <w:rFonts w:ascii="宋体" w:hAnsi="宋体" w:cs="宋体"/>
          <w:color w:val="auto"/>
          <w:kern w:val="0"/>
          <w:sz w:val="24"/>
          <w:highlight w:val="none"/>
        </w:rPr>
        <w:t>价</w:t>
      </w:r>
      <w:r>
        <w:rPr>
          <w:rFonts w:hint="eastAsia" w:ascii="宋体" w:hAnsi="宋体" w:cs="宋体"/>
          <w:color w:val="auto"/>
          <w:kern w:val="0"/>
          <w:sz w:val="24"/>
          <w:highlight w:val="none"/>
        </w:rPr>
        <w:t>（最高报价相同的均剔除）</w:t>
      </w:r>
      <w:r>
        <w:rPr>
          <w:rFonts w:ascii="宋体" w:hAnsi="宋体" w:cs="宋体"/>
          <w:color w:val="auto"/>
          <w:kern w:val="0"/>
          <w:sz w:val="24"/>
          <w:highlight w:val="none"/>
        </w:rPr>
        <w:t>后取算术平均值为A</w:t>
      </w:r>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7</w:t>
      </w:r>
      <w:r>
        <w:rPr>
          <w:rFonts w:ascii="宋体" w:hAnsi="宋体" w:cs="宋体"/>
          <w:color w:val="auto"/>
          <w:kern w:val="0"/>
          <w:sz w:val="24"/>
          <w:highlight w:val="none"/>
        </w:rPr>
        <w:t>家，去掉</w:t>
      </w:r>
      <w:r>
        <w:rPr>
          <w:rFonts w:hint="eastAsia" w:ascii="宋体" w:hAnsi="宋体" w:cs="宋体"/>
          <w:color w:val="auto"/>
          <w:kern w:val="0"/>
          <w:sz w:val="24"/>
          <w:highlight w:val="none"/>
        </w:rPr>
        <w:t>评标价中的最高和最低20%（四舍五入取整，末位投标报价相同的均保留）</w:t>
      </w:r>
      <w:r>
        <w:rPr>
          <w:rFonts w:ascii="宋体" w:hAnsi="宋体" w:cs="宋体"/>
          <w:color w:val="auto"/>
          <w:kern w:val="0"/>
          <w:sz w:val="24"/>
          <w:highlight w:val="none"/>
        </w:rPr>
        <w:t>后取算术平均值为 A。</w:t>
      </w:r>
    </w:p>
    <w:p>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u w:val="single"/>
        </w:rPr>
        <w:t>则评标基准价=A×K1×Q1＋B×K2×Q2， A值是有效投标文件的评标价的算术平均值，评标价是指经澄清、补正和修正算术计算错误的投标报价。</w:t>
      </w:r>
    </w:p>
    <w:p>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u w:val="single"/>
        </w:rPr>
        <w:t>Q2=1-Q1, Q1的取值范围为65%、70%、75%、80%、85%；K1 的取值范围为95%、96%、97%、98%；B为招标控制价；K2为90%。Q1、K1值在开标时由由投标人推选的代表随机抽取确定。</w:t>
      </w:r>
    </w:p>
    <w:p>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评标基准价只计算一次，一经确定，不因招标当事人质疑、投诉、复议以及其他任何情形而改变，但评标过程中的计算错误可作调整。</w:t>
      </w:r>
    </w:p>
    <w:p>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（3）计算得分</w:t>
      </w:r>
    </w:p>
    <w:p>
      <w:pPr>
        <w:numPr>
          <w:ilvl w:val="0"/>
          <w:numId w:val="1"/>
        </w:numPr>
        <w:spacing w:line="360" w:lineRule="auto"/>
        <w:rPr>
          <w:rFonts w:ascii="宋体" w:hAnsi="宋体"/>
          <w:color w:val="auto"/>
          <w:kern w:val="0"/>
          <w:sz w:val="24"/>
          <w:highlight w:val="none"/>
          <w:u w:val="single"/>
        </w:rPr>
      </w:pPr>
      <w:r>
        <w:rPr>
          <w:rFonts w:hint="eastAsia" w:ascii="宋体" w:hAnsi="宋体"/>
          <w:color w:val="auto"/>
          <w:kern w:val="0"/>
          <w:sz w:val="24"/>
          <w:highlight w:val="none"/>
        </w:rPr>
        <w:t>投标人的投标报价与评标基准价相等的得100分；</w:t>
      </w:r>
    </w:p>
    <w:p>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②投标人的投标报价与评标基准价相比，每上浮1%扣0.9分，每下浮1%扣0.6分（不足1%时采用插入法），得分</w:t>
      </w:r>
      <w:r>
        <w:rPr>
          <w:rFonts w:hint="eastAsia" w:ascii="宋体" w:hAnsi="宋体" w:cs="宋体"/>
          <w:color w:val="auto"/>
          <w:kern w:val="0"/>
          <w:sz w:val="24"/>
          <w:highlight w:val="none"/>
        </w:rPr>
        <w:t>四舍五入取整</w:t>
      </w:r>
      <w:r>
        <w:rPr>
          <w:rFonts w:hint="eastAsia" w:ascii="宋体" w:hAnsi="宋体"/>
          <w:color w:val="auto"/>
          <w:kern w:val="0"/>
          <w:sz w:val="24"/>
          <w:highlight w:val="none"/>
        </w:rPr>
        <w:t>保留小数点后两位。</w:t>
      </w:r>
    </w:p>
    <w:p>
      <w:pPr>
        <w:autoSpaceDE w:val="0"/>
        <w:autoSpaceDN w:val="0"/>
        <w:adjustRightInd w:val="0"/>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 xml:space="preserve"> 注：评标委员会在评标报告签字后，评标基准价不因招投标当事人质疑、投诉、复议以及其他任何情形而改变，但评标过程中的计算错误可作调整。</w:t>
      </w:r>
    </w:p>
    <w:p>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确定中标人</w:t>
      </w:r>
    </w:p>
    <w:p>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本工程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2" w:firstLineChars="196"/>
        <w:rPr>
          <w:rFonts w:ascii="宋体" w:hAnsi="宋体" w:cs="宋体"/>
          <w:color w:val="auto"/>
          <w:sz w:val="24"/>
          <w:highlight w:val="none"/>
        </w:rPr>
      </w:pPr>
      <w:r>
        <w:rPr>
          <w:rFonts w:hint="eastAsia" w:ascii="宋体" w:hAnsi="宋体" w:cs="宋体"/>
          <w:b/>
          <w:bCs/>
          <w:color w:val="auto"/>
          <w:sz w:val="24"/>
          <w:highlight w:val="none"/>
        </w:rPr>
        <w:t xml:space="preserve">  评标过程中出现本评标办法未尽事宜，由评标委员会根据有关法律、法规讨论决定。</w:t>
      </w:r>
      <w:r>
        <w:rPr>
          <w:rFonts w:hint="eastAsia" w:ascii="宋体" w:hAnsi="宋体" w:cs="宋体"/>
          <w:b/>
          <w:bCs/>
          <w:color w:val="auto"/>
          <w:sz w:val="24"/>
          <w:highlight w:val="none"/>
        </w:rPr>
        <w:br w:type="page"/>
      </w:r>
      <w:bookmarkEnd w:id="26"/>
      <w:bookmarkEnd w:id="27"/>
    </w:p>
    <w:p>
      <w:pPr>
        <w:pStyle w:val="3"/>
        <w:jc w:val="center"/>
        <w:rPr>
          <w:rFonts w:ascii="宋体" w:hAnsi="宋体" w:cs="宋体"/>
          <w:color w:val="auto"/>
          <w:sz w:val="36"/>
          <w:highlight w:val="none"/>
        </w:rPr>
      </w:pPr>
      <w:r>
        <w:rPr>
          <w:rFonts w:hint="eastAsia" w:ascii="宋体" w:hAnsi="宋体" w:cs="宋体"/>
          <w:color w:val="auto"/>
          <w:sz w:val="36"/>
          <w:highlight w:val="none"/>
        </w:rPr>
        <w:t>第三章  合同条款及格式</w:t>
      </w: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color w:val="auto"/>
          <w:sz w:val="72"/>
          <w:szCs w:val="52"/>
          <w:highlight w:val="none"/>
        </w:rPr>
      </w:pPr>
      <w:r>
        <w:rPr>
          <w:rFonts w:hint="eastAsia" w:ascii="宋体" w:hAnsi="宋体" w:cs="宋体"/>
          <w:color w:val="auto"/>
          <w:sz w:val="72"/>
          <w:szCs w:val="52"/>
          <w:highlight w:val="none"/>
        </w:rPr>
        <w:t>建设工程施工合同</w:t>
      </w: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rPr>
        <w:t>(示范文本)</w:t>
      </w:r>
    </w:p>
    <w:p>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(GF—2017—0201)</w:t>
      </w: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spacing w:line="360" w:lineRule="auto"/>
        <w:ind w:firstLine="880" w:firstLineChars="200"/>
        <w:jc w:val="center"/>
        <w:rPr>
          <w:rFonts w:ascii="宋体" w:hAnsi="宋体" w:cs="宋体"/>
          <w:color w:val="auto"/>
          <w:kern w:val="44"/>
          <w:sz w:val="44"/>
          <w:szCs w:val="44"/>
          <w:highlight w:val="none"/>
        </w:rPr>
      </w:pPr>
    </w:p>
    <w:p>
      <w:pPr>
        <w:pStyle w:val="80"/>
        <w:rPr>
          <w:rFonts w:ascii="宋体" w:hAnsi="宋体" w:cs="宋体"/>
          <w:color w:val="auto"/>
          <w:kern w:val="44"/>
          <w:sz w:val="44"/>
          <w:szCs w:val="44"/>
          <w:highlight w:val="none"/>
        </w:rPr>
      </w:pPr>
    </w:p>
    <w:p>
      <w:pPr>
        <w:pStyle w:val="80"/>
        <w:rPr>
          <w:rFonts w:ascii="宋体" w:hAnsi="宋体" w:cs="宋体"/>
          <w:color w:val="auto"/>
          <w:kern w:val="44"/>
          <w:sz w:val="44"/>
          <w:szCs w:val="44"/>
          <w:highlight w:val="none"/>
        </w:rPr>
      </w:pPr>
    </w:p>
    <w:p>
      <w:pPr>
        <w:spacing w:line="360" w:lineRule="auto"/>
        <w:rPr>
          <w:rFonts w:ascii="宋体" w:hAnsi="宋体" w:cs="宋体"/>
          <w:color w:val="auto"/>
          <w:kern w:val="44"/>
          <w:sz w:val="44"/>
          <w:szCs w:val="44"/>
          <w:highlight w:val="none"/>
        </w:rPr>
      </w:pPr>
    </w:p>
    <w:p>
      <w:pPr>
        <w:keepNext/>
        <w:keepLines/>
        <w:spacing w:line="440" w:lineRule="exact"/>
        <w:jc w:val="center"/>
        <w:outlineLvl w:val="2"/>
        <w:rPr>
          <w:rFonts w:ascii="宋体" w:hAnsi="宋体" w:cs="宋体"/>
          <w:bCs/>
          <w:color w:val="auto"/>
          <w:sz w:val="30"/>
          <w:szCs w:val="30"/>
          <w:highlight w:val="none"/>
        </w:rPr>
      </w:pPr>
      <w:r>
        <w:rPr>
          <w:rFonts w:hint="eastAsia" w:ascii="宋体" w:hAnsi="宋体" w:cs="宋体"/>
          <w:b/>
          <w:bCs/>
          <w:color w:val="auto"/>
          <w:sz w:val="30"/>
          <w:szCs w:val="30"/>
          <w:highlight w:val="none"/>
        </w:rPr>
        <w:t>第一部分 合同协议书</w:t>
      </w:r>
    </w:p>
    <w:p>
      <w:pPr>
        <w:spacing w:line="440" w:lineRule="exac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发包人（全称）：</w:t>
      </w:r>
      <w:r>
        <w:rPr>
          <w:rFonts w:hint="eastAsia" w:ascii="宋体" w:hAnsi="宋体" w:cs="宋体"/>
          <w:b/>
          <w:color w:val="auto"/>
          <w:sz w:val="24"/>
          <w:highlight w:val="none"/>
          <w:lang w:eastAsia="zh-CN"/>
        </w:rPr>
        <w:t> 南通市崇川区农业农村和水利局</w:t>
      </w:r>
    </w:p>
    <w:p>
      <w:pPr>
        <w:spacing w:line="440" w:lineRule="exact"/>
        <w:rPr>
          <w:rFonts w:ascii="宋体" w:hAnsi="宋体" w:cs="宋体"/>
          <w:b/>
          <w:color w:val="auto"/>
          <w:sz w:val="24"/>
          <w:highlight w:val="none"/>
          <w:u w:val="single"/>
        </w:rPr>
      </w:pPr>
      <w:r>
        <w:rPr>
          <w:rFonts w:hint="eastAsia" w:ascii="宋体" w:hAnsi="宋体" w:cs="宋体"/>
          <w:b/>
          <w:color w:val="auto"/>
          <w:sz w:val="24"/>
          <w:highlight w:val="none"/>
        </w:rPr>
        <w:t>承包人（全称）：</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根据《中华人民共和国民法典》、《中华人民共和国建筑法》及有关法律规定，遵循平等、自愿、公平和诚实信用的原则，双方就施工及有关事项协商一致，共同达成如下协议：  </w:t>
      </w:r>
    </w:p>
    <w:p>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一、工程概况</w:t>
      </w:r>
    </w:p>
    <w:p>
      <w:pPr>
        <w:spacing w:line="440" w:lineRule="exact"/>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lang w:eastAsia="zh-CN"/>
        </w:rPr>
        <w:t>崇川区水利设施维护管养工程</w:t>
      </w:r>
      <w:r>
        <w:rPr>
          <w:rFonts w:hint="eastAsia" w:ascii="宋体" w:hAnsi="宋体" w:cs="宋体"/>
          <w:color w:val="auto"/>
          <w:szCs w:val="21"/>
          <w:highlight w:val="none"/>
        </w:rPr>
        <w:t>。</w:t>
      </w:r>
    </w:p>
    <w:p>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color w:val="auto"/>
          <w:szCs w:val="21"/>
          <w:highlight w:val="none"/>
          <w:lang w:eastAsia="zh-CN"/>
        </w:rPr>
        <w:t> 南通市崇川区</w:t>
      </w:r>
      <w:r>
        <w:rPr>
          <w:rFonts w:hint="eastAsia" w:ascii="宋体" w:hAnsi="宋体" w:cs="宋体"/>
          <w:color w:val="auto"/>
          <w:szCs w:val="21"/>
          <w:highlight w:val="none"/>
          <w:lang w:val="en-US" w:eastAsia="zh-CN"/>
        </w:rPr>
        <w:t>范围</w:t>
      </w:r>
      <w:r>
        <w:rPr>
          <w:rFonts w:hint="eastAsia" w:ascii="宋体" w:hAnsi="宋体" w:cs="宋体"/>
          <w:color w:val="auto"/>
          <w:szCs w:val="21"/>
          <w:highlight w:val="none"/>
        </w:rPr>
        <w:t>内。</w:t>
      </w:r>
    </w:p>
    <w:p>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  。</w:t>
      </w:r>
    </w:p>
    <w:p>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b/>
          <w:bCs/>
          <w:color w:val="auto"/>
          <w:szCs w:val="21"/>
          <w:highlight w:val="none"/>
          <w:u w:val="single"/>
        </w:rPr>
        <w:t>财政资金</w:t>
      </w:r>
      <w:r>
        <w:rPr>
          <w:rFonts w:hint="eastAsia" w:ascii="宋体" w:hAnsi="宋体" w:cs="宋体"/>
          <w:bCs/>
          <w:color w:val="auto"/>
          <w:szCs w:val="21"/>
          <w:highlight w:val="none"/>
        </w:rPr>
        <w:t>。</w:t>
      </w:r>
    </w:p>
    <w:p>
      <w:pPr>
        <w:spacing w:line="440" w:lineRule="exact"/>
        <w:ind w:firstLine="480"/>
        <w:rPr>
          <w:rFonts w:ascii="宋体" w:hAnsi="宋体" w:cs="宋体"/>
          <w:b/>
          <w:bCs/>
          <w:color w:val="auto"/>
          <w:szCs w:val="21"/>
          <w:highlight w:val="none"/>
        </w:rPr>
      </w:pPr>
      <w:r>
        <w:rPr>
          <w:rFonts w:hint="eastAsia" w:ascii="宋体" w:hAnsi="宋体" w:cs="宋体"/>
          <w:bCs/>
          <w:color w:val="auto"/>
          <w:szCs w:val="21"/>
          <w:highlight w:val="none"/>
        </w:rPr>
        <w:t>5.工程内容：</w:t>
      </w:r>
      <w:r>
        <w:rPr>
          <w:rFonts w:hint="eastAsia" w:ascii="宋体" w:hAnsi="宋体" w:cs="宋体"/>
          <w:b/>
          <w:bCs/>
          <w:color w:val="auto"/>
          <w:szCs w:val="21"/>
          <w:highlight w:val="none"/>
          <w:u w:val="single"/>
        </w:rPr>
        <w:t xml:space="preserve">                              。</w:t>
      </w:r>
    </w:p>
    <w:p>
      <w:pPr>
        <w:spacing w:line="440" w:lineRule="exact"/>
        <w:ind w:firstLine="480"/>
        <w:rPr>
          <w:rFonts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6.工程承包范围：</w:t>
      </w:r>
      <w:r>
        <w:rPr>
          <w:rFonts w:hint="eastAsia" w:ascii="宋体" w:hAnsi="宋体" w:cs="宋体"/>
          <w:b/>
          <w:bCs/>
          <w:color w:val="auto"/>
          <w:szCs w:val="21"/>
          <w:highlight w:val="none"/>
          <w:u w:val="single"/>
        </w:rPr>
        <w:t xml:space="preserve">包工包料 </w:t>
      </w:r>
      <w:r>
        <w:rPr>
          <w:rFonts w:hint="eastAsia" w:ascii="宋体" w:hAnsi="宋体" w:cs="宋体"/>
          <w:b/>
          <w:bCs/>
          <w:color w:val="auto"/>
          <w:szCs w:val="21"/>
          <w:highlight w:val="none"/>
        </w:rPr>
        <w:t>。</w:t>
      </w:r>
    </w:p>
    <w:p>
      <w:pPr>
        <w:keepNext/>
        <w:spacing w:line="440" w:lineRule="exact"/>
        <w:ind w:firstLine="525" w:firstLineChars="250"/>
        <w:outlineLvl w:val="3"/>
        <w:rPr>
          <w:rFonts w:ascii="宋体" w:hAnsi="宋体" w:cs="宋体"/>
          <w:bCs/>
          <w:color w:val="auto"/>
          <w:szCs w:val="21"/>
          <w:highlight w:val="none"/>
        </w:rPr>
      </w:pPr>
      <w:r>
        <w:rPr>
          <w:rFonts w:hint="eastAsia" w:ascii="宋体" w:hAnsi="宋体" w:cs="宋体"/>
          <w:bCs/>
          <w:color w:val="auto"/>
          <w:szCs w:val="21"/>
          <w:highlight w:val="none"/>
        </w:rPr>
        <w:t>二、合同工期</w:t>
      </w:r>
    </w:p>
    <w:p>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年月日。</w:t>
      </w:r>
    </w:p>
    <w:p>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2024</w:t>
      </w:r>
      <w:r>
        <w:rPr>
          <w:rFonts w:hint="eastAsia" w:ascii="宋体" w:hAnsi="宋体" w:cs="宋体"/>
          <w:color w:val="auto"/>
          <w:szCs w:val="21"/>
          <w:highlight w:val="none"/>
        </w:rPr>
        <w:t>年月日。</w:t>
      </w:r>
    </w:p>
    <w:p>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工期总天数：</w:t>
      </w:r>
      <w:r>
        <w:rPr>
          <w:rFonts w:hint="eastAsia" w:ascii="宋体" w:hAnsi="宋体" w:cs="宋体"/>
          <w:color w:val="auto"/>
          <w:szCs w:val="21"/>
          <w:highlight w:val="none"/>
          <w:u w:val="single"/>
          <w:lang w:val="en-US" w:eastAsia="zh-CN"/>
        </w:rPr>
        <w:t>50日历天（施工开始时间以招标人通知为准，总天数不变，具体实施时间根据招标人情况适当调整）</w:t>
      </w:r>
      <w:r>
        <w:rPr>
          <w:rFonts w:hint="eastAsia" w:ascii="宋体" w:hAnsi="宋体" w:cs="宋体"/>
          <w:color w:val="auto"/>
          <w:szCs w:val="21"/>
          <w:highlight w:val="none"/>
          <w:u w:val="single"/>
        </w:rPr>
        <w:t>。</w:t>
      </w:r>
    </w:p>
    <w:p>
      <w:pPr>
        <w:keepNext/>
        <w:spacing w:line="440" w:lineRule="exact"/>
        <w:ind w:firstLine="525" w:firstLineChars="250"/>
        <w:outlineLvl w:val="3"/>
        <w:rPr>
          <w:rFonts w:ascii="宋体" w:hAnsi="宋体" w:cs="宋体"/>
          <w:b/>
          <w:color w:val="auto"/>
          <w:szCs w:val="21"/>
          <w:highlight w:val="none"/>
        </w:rPr>
      </w:pPr>
      <w:r>
        <w:rPr>
          <w:rFonts w:hint="eastAsia" w:ascii="宋体" w:hAnsi="宋体" w:cs="宋体"/>
          <w:bCs/>
          <w:color w:val="auto"/>
          <w:szCs w:val="21"/>
          <w:highlight w:val="none"/>
        </w:rPr>
        <w:t>三、质量标准</w:t>
      </w:r>
    </w:p>
    <w:p>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工程质量符合标准。</w:t>
      </w:r>
    </w:p>
    <w:p>
      <w:pPr>
        <w:keepNext/>
        <w:spacing w:line="440" w:lineRule="exact"/>
        <w:ind w:firstLine="525" w:firstLineChars="250"/>
        <w:outlineLvl w:val="3"/>
        <w:rPr>
          <w:rFonts w:ascii="宋体" w:hAnsi="宋体" w:cs="宋体"/>
          <w:b/>
          <w:color w:val="auto"/>
          <w:szCs w:val="21"/>
          <w:highlight w:val="none"/>
        </w:rPr>
      </w:pPr>
      <w:r>
        <w:rPr>
          <w:rFonts w:hint="eastAsia" w:ascii="宋体" w:hAnsi="宋体" w:cs="宋体"/>
          <w:bCs/>
          <w:color w:val="auto"/>
          <w:szCs w:val="21"/>
          <w:highlight w:val="none"/>
        </w:rPr>
        <w:t>四、签约合同价与合同价格形式</w:t>
      </w:r>
      <w:r>
        <w:rPr>
          <w:rFonts w:hint="eastAsia" w:ascii="宋体" w:hAnsi="宋体" w:cs="宋体"/>
          <w:bCs/>
          <w:color w:val="auto"/>
          <w:szCs w:val="21"/>
          <w:highlight w:val="none"/>
        </w:rPr>
        <w:tab/>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人民币（大写）(¥元)；</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b/>
          <w:color w:val="auto"/>
          <w:szCs w:val="21"/>
          <w:highlight w:val="none"/>
          <w:u w:val="single"/>
        </w:rPr>
        <w:t>固定单价合同</w:t>
      </w:r>
      <w:r>
        <w:rPr>
          <w:rFonts w:hint="eastAsia" w:ascii="宋体" w:hAnsi="宋体" w:cs="宋体"/>
          <w:color w:val="auto"/>
          <w:szCs w:val="21"/>
          <w:highlight w:val="none"/>
        </w:rPr>
        <w:t>。</w:t>
      </w:r>
    </w:p>
    <w:p>
      <w:pPr>
        <w:keepNext/>
        <w:keepLines/>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五、项目经理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六、合同文件构成</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（1）本合同协议书及承诺书；</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（2）中标通知书；</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（3）投标函及其附录；</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（4）本合同专用条款；</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（5）本合同通用条款；</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（6）标准、规范及有关技术资料；</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（7）图纸；</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（8）已标价工程量清单或预算书；</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（9）招标文件及其附件；</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（10）工程报价单或预算书。</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ind w:firstLine="420" w:firstLineChars="200"/>
        <w:outlineLvl w:val="3"/>
        <w:rPr>
          <w:rFonts w:ascii="宋体" w:hAnsi="宋体" w:cs="宋体"/>
          <w:color w:val="auto"/>
          <w:szCs w:val="21"/>
          <w:highlight w:val="none"/>
        </w:rPr>
      </w:pPr>
      <w:r>
        <w:rPr>
          <w:rFonts w:hint="eastAsia" w:ascii="宋体" w:hAnsi="宋体" w:cs="宋体"/>
          <w:bCs/>
          <w:color w:val="auto"/>
          <w:szCs w:val="21"/>
          <w:highlight w:val="none"/>
        </w:rPr>
        <w:t>七、承诺</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pPr>
        <w:spacing w:line="440" w:lineRule="exact"/>
        <w:rPr>
          <w:rFonts w:ascii="宋体" w:hAnsi="宋体" w:cs="宋体"/>
          <w:bCs/>
          <w:color w:val="auto"/>
          <w:szCs w:val="21"/>
          <w:highlight w:val="none"/>
        </w:rPr>
      </w:pPr>
      <w:r>
        <w:rPr>
          <w:rFonts w:hint="eastAsia" w:ascii="宋体" w:hAnsi="宋体" w:cs="宋体"/>
          <w:b/>
          <w:color w:val="auto"/>
          <w:szCs w:val="21"/>
          <w:highlight w:val="none"/>
        </w:rPr>
        <w:t xml:space="preserve">    八、词语含义</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九、签订时间</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本合同于年月日签订。</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十、签订地点</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本合同在签订。</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十一、补充协议</w:t>
      </w:r>
    </w:p>
    <w:p>
      <w:pPr>
        <w:spacing w:line="440" w:lineRule="exact"/>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十二、合同生效</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
          <w:bCs/>
          <w:color w:val="auto"/>
          <w:szCs w:val="21"/>
          <w:highlight w:val="none"/>
          <w:u w:val="single"/>
        </w:rPr>
        <w:t xml:space="preserve"> 双方签字盖章后</w:t>
      </w:r>
      <w:r>
        <w:rPr>
          <w:rFonts w:hint="eastAsia" w:ascii="宋体" w:hAnsi="宋体" w:cs="宋体"/>
          <w:bCs/>
          <w:color w:val="auto"/>
          <w:szCs w:val="21"/>
          <w:highlight w:val="none"/>
        </w:rPr>
        <w:t>生效。</w:t>
      </w:r>
    </w:p>
    <w:p>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十三、合同份数</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本合同壹式</w:t>
      </w:r>
      <w:r>
        <w:rPr>
          <w:rFonts w:hint="eastAsia" w:ascii="宋体" w:hAnsi="宋体" w:cs="宋体"/>
          <w:bCs/>
          <w:color w:val="auto"/>
          <w:szCs w:val="21"/>
          <w:highlight w:val="none"/>
          <w:u w:val="single"/>
        </w:rPr>
        <w:t>陆</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叁</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叁</w:t>
      </w:r>
      <w:r>
        <w:rPr>
          <w:rFonts w:hint="eastAsia" w:ascii="宋体" w:hAnsi="宋体" w:cs="宋体"/>
          <w:bCs/>
          <w:color w:val="auto"/>
          <w:szCs w:val="21"/>
          <w:highlight w:val="none"/>
        </w:rPr>
        <w:t>份。</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发包人：  (公章)                 承包人：  (公章)</w:t>
      </w:r>
    </w:p>
    <w:p>
      <w:pPr>
        <w:spacing w:line="440" w:lineRule="exact"/>
        <w:rPr>
          <w:rFonts w:ascii="宋体" w:hAnsi="宋体" w:cs="宋体"/>
          <w:color w:val="auto"/>
          <w:szCs w:val="21"/>
          <w:highlight w:val="none"/>
          <w:u w:val="singl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（签字）                        （签字）</w:t>
      </w:r>
    </w:p>
    <w:p>
      <w:pPr>
        <w:tabs>
          <w:tab w:val="left" w:pos="4410"/>
        </w:tabs>
        <w:spacing w:line="440" w:lineRule="exact"/>
        <w:rPr>
          <w:rFonts w:ascii="宋体" w:hAnsi="宋体" w:cs="宋体"/>
          <w:color w:val="auto"/>
          <w:szCs w:val="21"/>
          <w:highlight w:val="none"/>
        </w:rPr>
      </w:pPr>
    </w:p>
    <w:p>
      <w:pPr>
        <w:tabs>
          <w:tab w:val="left" w:pos="4410"/>
        </w:tabs>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组织机构代码：                      组织机构代码：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  址：                           地  址：</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邮政编码：                        邮政编码：</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委托代理人：                      委托代理人：</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电  话：                          电  话：</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传  真：                         传  真：</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电子信箱：                       电子信箱：</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440" w:lineRule="exact"/>
        <w:rPr>
          <w:rFonts w:ascii="宋体" w:hAnsi="宋体" w:cs="宋体"/>
          <w:color w:val="auto"/>
          <w:sz w:val="24"/>
          <w:highlight w:val="none"/>
        </w:rPr>
      </w:pPr>
      <w:r>
        <w:rPr>
          <w:rFonts w:hint="eastAsia" w:ascii="宋体" w:hAnsi="宋体" w:cs="宋体"/>
          <w:color w:val="auto"/>
          <w:szCs w:val="21"/>
          <w:highlight w:val="none"/>
        </w:rPr>
        <w:t>账  号：                          账  号：</w:t>
      </w: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keepNext/>
        <w:keepLines/>
        <w:spacing w:line="440" w:lineRule="exact"/>
        <w:jc w:val="center"/>
        <w:outlineLvl w:val="2"/>
        <w:rPr>
          <w:rFonts w:ascii="宋体" w:hAnsi="宋体" w:cs="宋体"/>
          <w:b/>
          <w:bCs/>
          <w:color w:val="auto"/>
          <w:sz w:val="24"/>
          <w:highlight w:val="none"/>
        </w:rPr>
      </w:pP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keepNext/>
        <w:keepLines/>
        <w:spacing w:line="440" w:lineRule="exact"/>
        <w:jc w:val="center"/>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第二部分  通用合同条款</w:t>
      </w:r>
    </w:p>
    <w:p>
      <w:pPr>
        <w:autoSpaceDE w:val="0"/>
        <w:autoSpaceDN w:val="0"/>
        <w:adjustRightIn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此部分采用《建设工程施工合同》范本（GF-2017-0201）中《第二部分 通用条款》</w:t>
      </w:r>
    </w:p>
    <w:p>
      <w:pPr>
        <w:keepNext/>
        <w:keepLines/>
        <w:spacing w:line="440" w:lineRule="exact"/>
        <w:jc w:val="center"/>
        <w:outlineLvl w:val="2"/>
        <w:rPr>
          <w:rFonts w:ascii="宋体" w:hAnsi="宋体" w:cs="宋体"/>
          <w:b/>
          <w:bCs/>
          <w:color w:val="auto"/>
          <w:sz w:val="30"/>
          <w:szCs w:val="30"/>
          <w:highlight w:val="none"/>
        </w:rPr>
      </w:pPr>
      <w:r>
        <w:rPr>
          <w:rFonts w:hint="eastAsia" w:ascii="宋体" w:hAnsi="宋体" w:cs="宋体"/>
          <w:b/>
          <w:bCs/>
          <w:color w:val="auto"/>
          <w:sz w:val="24"/>
          <w:highlight w:val="none"/>
        </w:rPr>
        <w:br w:type="page"/>
      </w:r>
    </w:p>
    <w:p>
      <w:pPr>
        <w:keepNext/>
        <w:keepLines/>
        <w:spacing w:line="360" w:lineRule="auto"/>
        <w:jc w:val="center"/>
        <w:outlineLvl w:val="2"/>
        <w:rPr>
          <w:rFonts w:ascii="宋体" w:hAnsi="宋体" w:cs="宋体"/>
          <w:b/>
          <w:bCs/>
          <w:color w:val="auto"/>
          <w:sz w:val="32"/>
          <w:szCs w:val="44"/>
          <w:highlight w:val="none"/>
        </w:rPr>
      </w:pPr>
      <w:r>
        <w:rPr>
          <w:rFonts w:hint="eastAsia" w:ascii="宋体" w:hAnsi="宋体" w:cs="宋体"/>
          <w:b/>
          <w:bCs/>
          <w:color w:val="auto"/>
          <w:sz w:val="32"/>
          <w:szCs w:val="44"/>
          <w:highlight w:val="none"/>
        </w:rPr>
        <w:t>第三部分 专用合同条款</w:t>
      </w:r>
    </w:p>
    <w:p>
      <w:pPr>
        <w:autoSpaceDE w:val="0"/>
        <w:autoSpaceDN w:val="0"/>
        <w:adjustRightInd w:val="0"/>
        <w:snapToGrid w:val="0"/>
        <w:spacing w:line="360" w:lineRule="auto"/>
        <w:rPr>
          <w:rFonts w:ascii="宋体" w:hAnsi="宋体" w:cs="宋体"/>
          <w:color w:val="auto"/>
          <w:highlight w:val="none"/>
        </w:rPr>
      </w:pPr>
    </w:p>
    <w:p>
      <w:pPr>
        <w:keepNext/>
        <w:keepLine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 一般约定</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词语定义</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1.1.1合同</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1.1.1.1其他合同文件包括：</w:t>
      </w:r>
      <w:r>
        <w:rPr>
          <w:rFonts w:hint="eastAsia" w:ascii="宋体" w:hAnsi="宋体" w:cs="宋体"/>
          <w:b/>
          <w:bCs/>
          <w:color w:val="auto"/>
          <w:kern w:val="0"/>
          <w:szCs w:val="21"/>
          <w:highlight w:val="none"/>
          <w:u w:val="single"/>
          <w:lang w:val="zh-CN"/>
        </w:rPr>
        <w:t xml:space="preserve">招标文件及其附件 </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工程和设备</w:t>
      </w:r>
    </w:p>
    <w:p>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zh-CN"/>
        </w:rPr>
        <w:t xml:space="preserve"> 作为施工现场组成部分的其他场所包括：</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2.2</w:t>
      </w:r>
      <w:r>
        <w:rPr>
          <w:rFonts w:hint="eastAsia" w:ascii="宋体" w:hAnsi="宋体" w:cs="宋体"/>
          <w:color w:val="auto"/>
          <w:kern w:val="0"/>
          <w:szCs w:val="21"/>
          <w:highlight w:val="none"/>
          <w:lang w:val="zh-CN"/>
        </w:rPr>
        <w:t xml:space="preserve"> 永久占地包括：。</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2.3</w:t>
      </w:r>
      <w:r>
        <w:rPr>
          <w:rFonts w:hint="eastAsia" w:ascii="宋体" w:hAnsi="宋体" w:cs="宋体"/>
          <w:color w:val="auto"/>
          <w:kern w:val="0"/>
          <w:szCs w:val="21"/>
          <w:highlight w:val="none"/>
          <w:lang w:val="zh-CN"/>
        </w:rPr>
        <w:t xml:space="preserve"> 临时占地包括：。</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1.3法律 </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适用于合同的其他规范性文件：</w:t>
      </w:r>
      <w:r>
        <w:rPr>
          <w:rFonts w:hint="eastAsia" w:ascii="宋体" w:hAnsi="宋体" w:cs="宋体"/>
          <w:b/>
          <w:bCs/>
          <w:color w:val="auto"/>
          <w:kern w:val="0"/>
          <w:szCs w:val="21"/>
          <w:highlight w:val="none"/>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中华人民共和国环境噪声污染防治法》等。</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标准和规范</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1.4.1适用于工程的标准规范包括：</w:t>
      </w:r>
      <w:r>
        <w:rPr>
          <w:rFonts w:hint="eastAsia" w:ascii="宋体" w:hAnsi="宋体" w:cs="宋体"/>
          <w:b/>
          <w:bCs/>
          <w:color w:val="auto"/>
          <w:kern w:val="0"/>
          <w:szCs w:val="21"/>
          <w:highlight w:val="none"/>
          <w:u w:val="single"/>
        </w:rPr>
        <w:t>中华人民共和国颁发的有关标准、规范及省、市有关规定</w:t>
      </w:r>
      <w:r>
        <w:rPr>
          <w:rFonts w:hint="eastAsia" w:ascii="宋体" w:hAnsi="宋体" w:cs="宋体"/>
          <w:b/>
          <w:bCs/>
          <w:color w:val="auto"/>
          <w:kern w:val="0"/>
          <w:szCs w:val="21"/>
          <w:highlight w:val="none"/>
          <w:u w:val="single"/>
          <w:lang w:val="zh-CN"/>
        </w:rPr>
        <w:t>。当标准互相矛盾时，以最新和最严格的为准。发包人不提供标准和规范，由承包人自备。</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1.4.2 发包人提供国外标准、规范的名称：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发包人提供国外标准、规范的份数：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发包人提供国外标准、规范的名称：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1.4.3发包人对工程的技术标准和功能要求的特殊要求：</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合同文件的优先顺序</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合同文件组成及优先顺序为：</w:t>
      </w:r>
      <w:r>
        <w:rPr>
          <w:rFonts w:hint="eastAsia" w:ascii="宋体" w:hAnsi="宋体" w:cs="宋体"/>
          <w:b/>
          <w:bCs/>
          <w:color w:val="auto"/>
          <w:kern w:val="0"/>
          <w:szCs w:val="21"/>
          <w:highlight w:val="none"/>
          <w:u w:val="single"/>
          <w:lang w:val="zh-CN"/>
        </w:rPr>
        <w:t>（</w:t>
      </w:r>
      <w:r>
        <w:rPr>
          <w:rFonts w:hint="eastAsia" w:ascii="宋体" w:hAnsi="宋体" w:cs="宋体"/>
          <w:b/>
          <w:bCs/>
          <w:color w:val="auto"/>
          <w:kern w:val="0"/>
          <w:szCs w:val="21"/>
          <w:highlight w:val="none"/>
          <w:u w:val="single"/>
        </w:rPr>
        <w:t>1</w:t>
      </w:r>
      <w:r>
        <w:rPr>
          <w:rFonts w:hint="eastAsia" w:ascii="宋体" w:hAnsi="宋体" w:cs="宋体"/>
          <w:b/>
          <w:bCs/>
          <w:color w:val="auto"/>
          <w:kern w:val="0"/>
          <w:szCs w:val="21"/>
          <w:highlight w:val="none"/>
          <w:u w:val="single"/>
          <w:lang w:val="zh-CN"/>
        </w:rPr>
        <w:t>）本合同协议书及承诺书；（</w:t>
      </w:r>
      <w:r>
        <w:rPr>
          <w:rFonts w:hint="eastAsia" w:ascii="宋体" w:hAnsi="宋体" w:cs="宋体"/>
          <w:b/>
          <w:bCs/>
          <w:color w:val="auto"/>
          <w:kern w:val="0"/>
          <w:szCs w:val="21"/>
          <w:highlight w:val="none"/>
          <w:u w:val="single"/>
        </w:rPr>
        <w:t>2</w:t>
      </w:r>
      <w:r>
        <w:rPr>
          <w:rFonts w:hint="eastAsia" w:ascii="宋体" w:hAnsi="宋体" w:cs="宋体"/>
          <w:b/>
          <w:bCs/>
          <w:color w:val="auto"/>
          <w:kern w:val="0"/>
          <w:szCs w:val="21"/>
          <w:highlight w:val="none"/>
          <w:u w:val="single"/>
          <w:lang w:val="zh-CN"/>
        </w:rPr>
        <w:t>）中标通知书；（</w:t>
      </w:r>
      <w:r>
        <w:rPr>
          <w:rFonts w:hint="eastAsia" w:ascii="宋体" w:hAnsi="宋体" w:cs="宋体"/>
          <w:b/>
          <w:bCs/>
          <w:color w:val="auto"/>
          <w:kern w:val="0"/>
          <w:szCs w:val="21"/>
          <w:highlight w:val="none"/>
          <w:u w:val="single"/>
        </w:rPr>
        <w:t>3</w:t>
      </w:r>
      <w:r>
        <w:rPr>
          <w:rFonts w:hint="eastAsia" w:ascii="宋体" w:hAnsi="宋体" w:cs="宋体"/>
          <w:b/>
          <w:bCs/>
          <w:color w:val="auto"/>
          <w:kern w:val="0"/>
          <w:szCs w:val="21"/>
          <w:highlight w:val="none"/>
          <w:u w:val="single"/>
          <w:lang w:val="zh-CN"/>
        </w:rPr>
        <w:t>）投标函及其附录；（</w:t>
      </w:r>
      <w:r>
        <w:rPr>
          <w:rFonts w:hint="eastAsia" w:ascii="宋体" w:hAnsi="宋体" w:cs="宋体"/>
          <w:b/>
          <w:bCs/>
          <w:color w:val="auto"/>
          <w:kern w:val="0"/>
          <w:szCs w:val="21"/>
          <w:highlight w:val="none"/>
          <w:u w:val="single"/>
        </w:rPr>
        <w:t>4</w:t>
      </w:r>
      <w:r>
        <w:rPr>
          <w:rFonts w:hint="eastAsia" w:ascii="宋体" w:hAnsi="宋体" w:cs="宋体"/>
          <w:b/>
          <w:bCs/>
          <w:color w:val="auto"/>
          <w:kern w:val="0"/>
          <w:szCs w:val="21"/>
          <w:highlight w:val="none"/>
          <w:u w:val="single"/>
          <w:lang w:val="zh-CN"/>
        </w:rPr>
        <w:t>）本合同专用条款；（</w:t>
      </w:r>
      <w:r>
        <w:rPr>
          <w:rFonts w:hint="eastAsia" w:ascii="宋体" w:hAnsi="宋体" w:cs="宋体"/>
          <w:b/>
          <w:bCs/>
          <w:color w:val="auto"/>
          <w:kern w:val="0"/>
          <w:szCs w:val="21"/>
          <w:highlight w:val="none"/>
          <w:u w:val="single"/>
        </w:rPr>
        <w:t>5</w:t>
      </w:r>
      <w:r>
        <w:rPr>
          <w:rFonts w:hint="eastAsia" w:ascii="宋体" w:hAnsi="宋体" w:cs="宋体"/>
          <w:b/>
          <w:bCs/>
          <w:color w:val="auto"/>
          <w:kern w:val="0"/>
          <w:szCs w:val="21"/>
          <w:highlight w:val="none"/>
          <w:u w:val="single"/>
          <w:lang w:val="zh-CN"/>
        </w:rPr>
        <w:t>）本合同通用条款；（</w:t>
      </w:r>
      <w:r>
        <w:rPr>
          <w:rFonts w:hint="eastAsia" w:ascii="宋体" w:hAnsi="宋体" w:cs="宋体"/>
          <w:b/>
          <w:bCs/>
          <w:color w:val="auto"/>
          <w:kern w:val="0"/>
          <w:szCs w:val="21"/>
          <w:highlight w:val="none"/>
          <w:u w:val="single"/>
        </w:rPr>
        <w:t>6</w:t>
      </w:r>
      <w:r>
        <w:rPr>
          <w:rFonts w:hint="eastAsia" w:ascii="宋体" w:hAnsi="宋体" w:cs="宋体"/>
          <w:b/>
          <w:bCs/>
          <w:color w:val="auto"/>
          <w:kern w:val="0"/>
          <w:szCs w:val="21"/>
          <w:highlight w:val="none"/>
          <w:u w:val="single"/>
          <w:lang w:val="zh-CN"/>
        </w:rPr>
        <w:t>）标准、规范及有关技术资料；（</w:t>
      </w:r>
      <w:r>
        <w:rPr>
          <w:rFonts w:hint="eastAsia" w:ascii="宋体" w:hAnsi="宋体" w:cs="宋体"/>
          <w:b/>
          <w:bCs/>
          <w:color w:val="auto"/>
          <w:kern w:val="0"/>
          <w:szCs w:val="21"/>
          <w:highlight w:val="none"/>
          <w:u w:val="single"/>
        </w:rPr>
        <w:t>7</w:t>
      </w:r>
      <w:r>
        <w:rPr>
          <w:rFonts w:hint="eastAsia" w:ascii="宋体" w:hAnsi="宋体" w:cs="宋体"/>
          <w:b/>
          <w:bCs/>
          <w:color w:val="auto"/>
          <w:kern w:val="0"/>
          <w:szCs w:val="21"/>
          <w:highlight w:val="none"/>
          <w:u w:val="single"/>
          <w:lang w:val="zh-CN"/>
        </w:rPr>
        <w:t>）图纸；（</w:t>
      </w:r>
      <w:r>
        <w:rPr>
          <w:rFonts w:hint="eastAsia" w:ascii="宋体" w:hAnsi="宋体" w:cs="宋体"/>
          <w:b/>
          <w:bCs/>
          <w:color w:val="auto"/>
          <w:kern w:val="0"/>
          <w:szCs w:val="21"/>
          <w:highlight w:val="none"/>
          <w:u w:val="single"/>
        </w:rPr>
        <w:t>8</w:t>
      </w:r>
      <w:r>
        <w:rPr>
          <w:rFonts w:hint="eastAsia" w:ascii="宋体" w:hAnsi="宋体" w:cs="宋体"/>
          <w:b/>
          <w:bCs/>
          <w:color w:val="auto"/>
          <w:kern w:val="0"/>
          <w:szCs w:val="21"/>
          <w:highlight w:val="none"/>
          <w:u w:val="single"/>
          <w:lang w:val="zh-CN"/>
        </w:rPr>
        <w:t>）已标价工程量清单或预算书；（</w:t>
      </w:r>
      <w:r>
        <w:rPr>
          <w:rFonts w:hint="eastAsia" w:ascii="宋体" w:hAnsi="宋体" w:cs="宋体"/>
          <w:b/>
          <w:bCs/>
          <w:color w:val="auto"/>
          <w:kern w:val="0"/>
          <w:szCs w:val="21"/>
          <w:highlight w:val="none"/>
          <w:u w:val="single"/>
        </w:rPr>
        <w:t>9</w:t>
      </w:r>
      <w:r>
        <w:rPr>
          <w:rFonts w:hint="eastAsia" w:ascii="宋体" w:hAnsi="宋体" w:cs="宋体"/>
          <w:b/>
          <w:bCs/>
          <w:color w:val="auto"/>
          <w:kern w:val="0"/>
          <w:szCs w:val="21"/>
          <w:highlight w:val="none"/>
          <w:u w:val="single"/>
          <w:lang w:val="zh-CN"/>
        </w:rPr>
        <w:t>）招标文件及其附件；（</w:t>
      </w:r>
      <w:r>
        <w:rPr>
          <w:rFonts w:hint="eastAsia" w:ascii="宋体" w:hAnsi="宋体" w:cs="宋体"/>
          <w:b/>
          <w:bCs/>
          <w:color w:val="auto"/>
          <w:kern w:val="0"/>
          <w:szCs w:val="21"/>
          <w:highlight w:val="none"/>
          <w:u w:val="single"/>
        </w:rPr>
        <w:t>10</w:t>
      </w:r>
      <w:r>
        <w:rPr>
          <w:rFonts w:hint="eastAsia" w:ascii="宋体" w:hAnsi="宋体" w:cs="宋体"/>
          <w:b/>
          <w:bCs/>
          <w:color w:val="auto"/>
          <w:kern w:val="0"/>
          <w:szCs w:val="21"/>
          <w:highlight w:val="none"/>
          <w:u w:val="single"/>
          <w:lang w:val="zh-CN"/>
        </w:rPr>
        <w:t>）工程报价单或预算书。</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图纸和承包人文件</w:t>
      </w:r>
      <w:r>
        <w:rPr>
          <w:rFonts w:hint="eastAsia" w:ascii="宋体" w:hAnsi="宋体" w:cs="宋体"/>
          <w:color w:val="auto"/>
          <w:kern w:val="0"/>
          <w:szCs w:val="21"/>
          <w:highlight w:val="none"/>
          <w:lang w:val="zh-CN"/>
        </w:rPr>
        <w:tab/>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1.6.1 图纸的提供</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发包人向承包人提</w:t>
      </w:r>
      <w:r>
        <w:rPr>
          <w:rFonts w:hint="eastAsia" w:ascii="宋体" w:hAnsi="宋体" w:cs="宋体"/>
          <w:color w:val="auto"/>
          <w:szCs w:val="21"/>
          <w:highlight w:val="none"/>
        </w:rPr>
        <w:t>供图纸的期限：</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发包人向承包人提供图纸的数量：</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发</w:t>
      </w:r>
      <w:r>
        <w:rPr>
          <w:rFonts w:hint="eastAsia" w:ascii="宋体" w:hAnsi="宋体" w:cs="宋体"/>
          <w:color w:val="auto"/>
          <w:szCs w:val="21"/>
          <w:highlight w:val="none"/>
        </w:rPr>
        <w:t>包人向承包人提供图纸的内容：</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1.6.4 承包人文件</w:t>
      </w:r>
    </w:p>
    <w:p>
      <w:pPr>
        <w:autoSpaceDE w:val="0"/>
        <w:autoSpaceDN w:val="0"/>
        <w:adjustRightInd w:val="0"/>
        <w:spacing w:line="360" w:lineRule="auto"/>
        <w:ind w:firstLine="420" w:firstLineChars="200"/>
        <w:rPr>
          <w:rFonts w:ascii="宋体" w:hAnsi="宋体" w:cs="宋体"/>
          <w:b/>
          <w:color w:val="auto"/>
          <w:spacing w:val="-2"/>
          <w:szCs w:val="21"/>
          <w:highlight w:val="none"/>
          <w:u w:val="single"/>
          <w:lang w:val="zh-CN"/>
        </w:rPr>
      </w:pPr>
      <w:r>
        <w:rPr>
          <w:rFonts w:hint="eastAsia" w:ascii="宋体" w:hAnsi="宋体" w:cs="宋体"/>
          <w:color w:val="auto"/>
          <w:kern w:val="0"/>
          <w:szCs w:val="21"/>
          <w:highlight w:val="none"/>
          <w:lang w:val="zh-CN"/>
        </w:rPr>
        <w:t>需要由承包人提供</w:t>
      </w:r>
      <w:r>
        <w:rPr>
          <w:rFonts w:hint="eastAsia" w:ascii="宋体" w:hAnsi="宋体" w:cs="宋体"/>
          <w:color w:val="auto"/>
          <w:szCs w:val="21"/>
          <w:highlight w:val="none"/>
        </w:rPr>
        <w:t>的文件，包括：</w:t>
      </w:r>
      <w:r>
        <w:rPr>
          <w:rFonts w:hint="eastAsia" w:ascii="宋体" w:hAnsi="宋体" w:cs="宋体"/>
          <w:b/>
          <w:color w:val="auto"/>
          <w:spacing w:val="-2"/>
          <w:szCs w:val="21"/>
          <w:highlight w:val="none"/>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w:t>
      </w:r>
      <w:r>
        <w:rPr>
          <w:rFonts w:hint="eastAsia" w:ascii="宋体" w:hAnsi="宋体" w:cs="宋体"/>
          <w:color w:val="auto"/>
          <w:szCs w:val="21"/>
          <w:highlight w:val="none"/>
        </w:rPr>
        <w:t>供的文件的数量为：</w:t>
      </w:r>
      <w:r>
        <w:rPr>
          <w:rFonts w:hint="eastAsia" w:ascii="宋体" w:hAnsi="宋体" w:cs="宋体"/>
          <w:b/>
          <w:color w:val="auto"/>
          <w:spacing w:val="-2"/>
          <w:szCs w:val="21"/>
          <w:highlight w:val="none"/>
          <w:u w:val="single"/>
        </w:rPr>
        <w:t>施工组织设计、总进度计划叁套，其余按发包人要求；</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承包人</w:t>
      </w:r>
      <w:r>
        <w:rPr>
          <w:rFonts w:hint="eastAsia" w:ascii="宋体" w:hAnsi="宋体" w:cs="宋体"/>
          <w:color w:val="auto"/>
          <w:szCs w:val="21"/>
          <w:highlight w:val="none"/>
        </w:rPr>
        <w:t>提供的文件的形式为：</w:t>
      </w:r>
      <w:r>
        <w:rPr>
          <w:rFonts w:hint="eastAsia" w:ascii="宋体" w:hAnsi="宋体" w:cs="宋体"/>
          <w:b/>
          <w:color w:val="auto"/>
          <w:szCs w:val="21"/>
          <w:highlight w:val="none"/>
          <w:u w:val="single"/>
        </w:rPr>
        <w:t>书面形式</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color w:val="auto"/>
          <w:szCs w:val="21"/>
          <w:highlight w:val="none"/>
          <w:u w:val="single"/>
        </w:rPr>
        <w:t xml:space="preserve">收到文件后7天内  </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1.6.5 现场图纸准备</w:t>
      </w:r>
    </w:p>
    <w:p>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关于现场图纸准备的约定：</w:t>
      </w:r>
      <w:r>
        <w:rPr>
          <w:rFonts w:hint="eastAsia" w:ascii="宋体" w:hAnsi="宋体" w:cs="宋体"/>
          <w:b/>
          <w:color w:val="auto"/>
          <w:szCs w:val="21"/>
          <w:highlight w:val="none"/>
          <w:u w:val="single"/>
        </w:rPr>
        <w:t>施工现场保留一套完整图纸供发包人及有关人员使用。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1.7 联络</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1.7.1发包人和承包人应当在</w:t>
      </w:r>
      <w:r>
        <w:rPr>
          <w:rFonts w:hint="eastAsia" w:ascii="宋体" w:hAnsi="宋体" w:cs="宋体"/>
          <w:b/>
          <w:bCs/>
          <w:color w:val="auto"/>
          <w:kern w:val="0"/>
          <w:szCs w:val="21"/>
          <w:highlight w:val="none"/>
          <w:u w:val="single"/>
        </w:rPr>
        <w:t xml:space="preserve"> 3 </w:t>
      </w:r>
      <w:r>
        <w:rPr>
          <w:rFonts w:hint="eastAsia" w:ascii="宋体" w:hAnsi="宋体" w:cs="宋体"/>
          <w:color w:val="auto"/>
          <w:kern w:val="0"/>
          <w:szCs w:val="21"/>
          <w:highlight w:val="none"/>
          <w:lang w:val="zh-CN"/>
        </w:rPr>
        <w:t>天内将与合同有关的通知、批准、证明、证书、指示、指令、要求、请求、同意、意见、确定和决定等书面函件送达对方当事人。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b/>
          <w:bCs/>
          <w:color w:val="auto"/>
          <w:kern w:val="0"/>
          <w:szCs w:val="21"/>
          <w:highlight w:val="none"/>
          <w:u w:val="single"/>
          <w:lang w:val="zh-CN"/>
        </w:rPr>
        <w:t xml:space="preserve"> 工地现场 </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b/>
          <w:bCs/>
          <w:color w:val="auto"/>
          <w:kern w:val="0"/>
          <w:szCs w:val="21"/>
          <w:highlight w:val="none"/>
          <w:u w:val="single"/>
          <w:lang w:val="zh-CN"/>
        </w:rPr>
        <w:t>工地现场</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 交通运输</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1.10.1 出入现场的权利</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关于出入现场的权利的约定：</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1.10.3 场内交通</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关于场外交通和场内交通的边界的约定：</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关于发包人向承包人免费提供满足工程施工需要的场内道路和交通设施的约定：</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 xml:space="preserve">。  </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1.10.4超大件和超重件的运输</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运输超大件或超重件所需的道路和桥梁临时加固改造费用和其他有关费用由</w:t>
      </w:r>
      <w:r>
        <w:rPr>
          <w:rFonts w:hint="eastAsia" w:ascii="宋体" w:hAnsi="宋体" w:cs="宋体"/>
          <w:b/>
          <w:bCs/>
          <w:color w:val="auto"/>
          <w:kern w:val="0"/>
          <w:szCs w:val="21"/>
          <w:highlight w:val="none"/>
          <w:u w:val="single"/>
          <w:lang w:val="zh-CN"/>
        </w:rPr>
        <w:t>承包人</w:t>
      </w:r>
      <w:r>
        <w:rPr>
          <w:rFonts w:hint="eastAsia" w:ascii="宋体" w:hAnsi="宋体" w:cs="宋体"/>
          <w:color w:val="auto"/>
          <w:kern w:val="0"/>
          <w:szCs w:val="21"/>
          <w:highlight w:val="none"/>
          <w:lang w:val="zh-CN"/>
        </w:rPr>
        <w:t>承担。</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 知识产权</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kern w:val="0"/>
          <w:szCs w:val="21"/>
          <w:highlight w:val="none"/>
          <w:u w:val="single"/>
          <w:lang w:val="zh-CN"/>
        </w:rPr>
        <w:t>著作权属发包人。承包人未经发包人同意不得将本工程图纸转给第三人，不得进行复制，不得向承包人以外的人泄露有关图纸内容。</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关于发包人提供的上述文件的使用限制的要求：</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1.11.2 关于承包人为实施工程所编制文件的著作权的归属：</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关于承包人提供的上述文件的使用限制的要求：</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1.11.4 承包人在施工过程中所采用的专利、专有技术、技术秘密的使用费的承担方式：</w:t>
      </w:r>
      <w:r>
        <w:rPr>
          <w:rFonts w:hint="eastAsia" w:ascii="宋体" w:hAnsi="宋体" w:cs="宋体"/>
          <w:b/>
          <w:bCs/>
          <w:color w:val="auto"/>
          <w:kern w:val="0"/>
          <w:szCs w:val="21"/>
          <w:highlight w:val="none"/>
          <w:u w:val="single"/>
          <w:lang w:val="zh-CN"/>
        </w:rPr>
        <w:t>已含在合同价中。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spacing w:line="440" w:lineRule="exact"/>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出现工程量清单错误时，是否调整合同价格：</w:t>
      </w:r>
      <w:r>
        <w:rPr>
          <w:rFonts w:hint="eastAsia" w:ascii="宋体" w:hAnsi="宋体" w:cs="宋体"/>
          <w:b/>
          <w:color w:val="auto"/>
          <w:szCs w:val="21"/>
          <w:highlight w:val="none"/>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①因非承包人原因引起分部分项工程量增减，当工程量清单项目工程量的变化幅度在±15%以内的，结算单价按投标单价；</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③招标工程量清单有错误时，结算单价按上述第2条执行。</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4 \* GB3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④</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⑤招标人提供的工程量清单漏项或缺项，综合单价结算方式：</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合同中已有适用于变更工程的价格，按合同已有的价格变更合同价款；</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合同中只有类似于变更工程的价格，可以参照类似价格变更合同价款；</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合同中没有适用或类似于变更的价格，按下述方法调整：由承包人按招标控制价计量规则和计价办法、工程造价管理机构发布的信息价格和承包人报价浮动率提出，报发包人确认后调整。</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6 \* GB3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⑥</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因承包人原因引起的工程重大变更或分部分项工程量增加，量价一律不调整，由承包人自行承担。</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承包人报价浮动率按下列公式计算：</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承包人报价浮动率L=（1-中标价/招标控制价）*100%。</w:t>
      </w:r>
    </w:p>
    <w:p>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上述合同价款调整方法：所有涉及价款调整的项目，均须由承包人提出调整方案及明细报发包人审核通过后方可计入造价，如发包人审核不通过的不得作为结算依据，承包人不得有任何异议。</w:t>
      </w:r>
    </w:p>
    <w:p>
      <w:pPr>
        <w:autoSpaceDE w:val="0"/>
        <w:autoSpaceDN w:val="0"/>
        <w:adjustRightIn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lang w:val="zh-CN"/>
        </w:rPr>
        <w:t>2. 发包人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发包人代表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发包人代表：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姓    名：；</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身份证号：；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职    务：；</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联系电话：；</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电子信箱：；</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通信地址：。</w:t>
      </w:r>
    </w:p>
    <w:p>
      <w:pPr>
        <w:autoSpaceDE w:val="0"/>
        <w:autoSpaceDN w:val="0"/>
        <w:adjustRightInd w:val="0"/>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kern w:val="0"/>
          <w:szCs w:val="21"/>
          <w:highlight w:val="none"/>
          <w:lang w:val="zh-CN"/>
        </w:rPr>
        <w:t>发包人对发包人代表的授权范围如下：</w:t>
      </w:r>
      <w:r>
        <w:rPr>
          <w:rFonts w:hint="eastAsia" w:ascii="宋体" w:hAnsi="宋体" w:cs="宋体"/>
          <w:b/>
          <w:bCs/>
          <w:color w:val="auto"/>
          <w:kern w:val="0"/>
          <w:szCs w:val="21"/>
          <w:highlight w:val="none"/>
          <w:u w:val="single"/>
          <w:lang w:val="zh-CN"/>
        </w:rPr>
        <w:t>代表发包方行使发包方的权力和监理人（如有）需要取得发包人批准的权力。</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施工现场、施工条件和基础资料的提供</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2.4.1 提供施工现场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关于发包人移交施工现场的期限要求：</w:t>
      </w:r>
      <w:r>
        <w:rPr>
          <w:rFonts w:hint="eastAsia" w:ascii="宋体" w:hAnsi="宋体" w:cs="宋体"/>
          <w:b/>
          <w:bCs/>
          <w:color w:val="auto"/>
          <w:kern w:val="0"/>
          <w:szCs w:val="21"/>
          <w:highlight w:val="none"/>
          <w:u w:val="single"/>
          <w:lang w:val="zh-CN"/>
        </w:rPr>
        <w:t>以施工现场的现状为准</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2.4.2 提供施工条件</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关于发包人应负责提供施工所需要的条件，包括：</w:t>
      </w:r>
      <w:r>
        <w:rPr>
          <w:rFonts w:hint="eastAsia" w:ascii="宋体" w:hAnsi="宋体" w:cs="宋体"/>
          <w:b/>
          <w:bCs/>
          <w:color w:val="auto"/>
          <w:kern w:val="0"/>
          <w:szCs w:val="21"/>
          <w:highlight w:val="none"/>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资金来源证明及支付担保</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发包人提供资金来源证明的期限要求：</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发包人是否提供支付担保：</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发包人提供支付担保的形式：</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pPr>
        <w:keepNext/>
        <w:keepLine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 承包人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承包人的一般义务</w:t>
      </w:r>
    </w:p>
    <w:p>
      <w:pPr>
        <w:tabs>
          <w:tab w:val="left" w:pos="1125"/>
        </w:tabs>
        <w:overflowPunct w:val="0"/>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（5）承包人提交的竣工资料的内容：</w:t>
      </w:r>
      <w:r>
        <w:rPr>
          <w:rFonts w:hint="eastAsia" w:ascii="宋体" w:hAnsi="宋体" w:cs="宋体"/>
          <w:b/>
          <w:bCs/>
          <w:color w:val="auto"/>
          <w:kern w:val="0"/>
          <w:szCs w:val="21"/>
          <w:highlight w:val="none"/>
          <w:u w:val="single"/>
          <w:lang w:val="zh-CN"/>
        </w:rPr>
        <w:t>承包人提供的完整</w:t>
      </w:r>
      <w:r>
        <w:rPr>
          <w:rFonts w:hint="eastAsia" w:ascii="宋体" w:hAnsi="宋体" w:cs="宋体"/>
          <w:b/>
          <w:bCs/>
          <w:color w:val="auto"/>
          <w:kern w:val="0"/>
          <w:szCs w:val="21"/>
          <w:highlight w:val="none"/>
          <w:u w:val="single"/>
          <w:lang w:val="zh-CN" w:eastAsia="zh-TW"/>
        </w:rPr>
        <w:t>的竣工图</w:t>
      </w:r>
      <w:r>
        <w:rPr>
          <w:rFonts w:hint="eastAsia" w:ascii="宋体" w:hAnsi="宋体" w:cs="宋体"/>
          <w:b/>
          <w:bCs/>
          <w:color w:val="auto"/>
          <w:kern w:val="0"/>
          <w:szCs w:val="21"/>
          <w:highlight w:val="none"/>
          <w:u w:val="single"/>
          <w:lang w:val="zh-CN"/>
        </w:rPr>
        <w:t>、竣工备案资料、</w:t>
      </w:r>
      <w:r>
        <w:rPr>
          <w:rFonts w:hint="eastAsia" w:ascii="宋体" w:hAnsi="宋体" w:cs="宋体"/>
          <w:b/>
          <w:bCs/>
          <w:color w:val="auto"/>
          <w:kern w:val="0"/>
          <w:szCs w:val="21"/>
          <w:highlight w:val="none"/>
          <w:u w:val="single"/>
          <w:lang w:val="zh-CN" w:eastAsia="zh-TW"/>
        </w:rPr>
        <w:t>竣工结算及其他资料。</w:t>
      </w:r>
      <w:r>
        <w:rPr>
          <w:rFonts w:hint="eastAsia" w:ascii="宋体" w:hAnsi="宋体" w:cs="宋体"/>
          <w:b/>
          <w:bCs/>
          <w:color w:val="auto"/>
          <w:kern w:val="0"/>
          <w:szCs w:val="21"/>
          <w:highlight w:val="none"/>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承包人需要提交的竣工资料套数：</w:t>
      </w:r>
      <w:r>
        <w:rPr>
          <w:rFonts w:hint="eastAsia" w:ascii="宋体" w:hAnsi="宋体" w:cs="宋体"/>
          <w:b/>
          <w:bCs/>
          <w:color w:val="auto"/>
          <w:kern w:val="0"/>
          <w:szCs w:val="21"/>
          <w:highlight w:val="none"/>
          <w:u w:val="single"/>
          <w:lang w:val="zh-CN"/>
        </w:rPr>
        <w:t>肆套</w:t>
      </w:r>
      <w:r>
        <w:rPr>
          <w:rFonts w:hint="eastAsia" w:ascii="宋体" w:hAnsi="宋体" w:cs="宋体"/>
          <w:color w:val="auto"/>
          <w:kern w:val="0"/>
          <w:szCs w:val="21"/>
          <w:highlight w:val="none"/>
          <w:lang w:val="zh-CN"/>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承包人提交的竣工资料的费用承担：</w:t>
      </w:r>
      <w:r>
        <w:rPr>
          <w:rFonts w:hint="eastAsia" w:ascii="宋体" w:hAnsi="宋体" w:cs="宋体"/>
          <w:b/>
          <w:bCs/>
          <w:color w:val="auto"/>
          <w:kern w:val="0"/>
          <w:szCs w:val="21"/>
          <w:highlight w:val="none"/>
          <w:u w:val="single"/>
          <w:lang w:val="zh-CN"/>
        </w:rPr>
        <w:t>由承包人承担</w:t>
      </w:r>
      <w:r>
        <w:rPr>
          <w:rFonts w:hint="eastAsia" w:ascii="宋体" w:hAnsi="宋体" w:cs="宋体"/>
          <w:color w:val="auto"/>
          <w:kern w:val="0"/>
          <w:szCs w:val="21"/>
          <w:highlight w:val="none"/>
          <w:lang w:val="zh-CN"/>
        </w:rPr>
        <w:t>。</w:t>
      </w:r>
    </w:p>
    <w:p>
      <w:pPr>
        <w:tabs>
          <w:tab w:val="left" w:pos="1126"/>
        </w:tabs>
        <w:overflowPunct w:val="0"/>
        <w:autoSpaceDE w:val="0"/>
        <w:autoSpaceDN w:val="0"/>
        <w:adjustRightIn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lang w:val="zh-CN"/>
        </w:rPr>
        <w:t>承包人提交的竣工资料移交时间：</w:t>
      </w:r>
      <w:r>
        <w:rPr>
          <w:rFonts w:hint="eastAsia" w:ascii="宋体" w:hAnsi="宋体" w:cs="宋体"/>
          <w:b/>
          <w:color w:val="auto"/>
          <w:kern w:val="0"/>
          <w:szCs w:val="21"/>
          <w:highlight w:val="none"/>
          <w:u w:val="single"/>
        </w:rPr>
        <w:t xml:space="preserve">工程竣工验收合格之日算起28天内  </w:t>
      </w:r>
      <w:r>
        <w:rPr>
          <w:rFonts w:hint="eastAsia" w:ascii="宋体" w:hAnsi="宋体" w:cs="宋体"/>
          <w:b/>
          <w:color w:val="auto"/>
          <w:kern w:val="0"/>
          <w:szCs w:val="21"/>
          <w:highlight w:val="none"/>
        </w:rPr>
        <w:t xml:space="preserve">。 </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承包人提交的竣工资料形式要求：</w:t>
      </w:r>
      <w:r>
        <w:rPr>
          <w:rFonts w:hint="eastAsia" w:ascii="宋体" w:hAnsi="宋体" w:cs="宋体"/>
          <w:b/>
          <w:bCs/>
          <w:color w:val="auto"/>
          <w:kern w:val="0"/>
          <w:szCs w:val="21"/>
          <w:highlight w:val="none"/>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（6）承包人应履行的其他义务：</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B. 施工过程中，须配合发包人的其他专业施工需要，积极进行现场调整，按发包人要求提供工作面和作业时间，配合其他专业施工。</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C. 在施工合同范围内，为完成施工合同内容所采取的任何措施均由承包人承担。</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D．临时停水、停电、二次搬运、成品保护等所需措施的一切费用和工期承包从已充分考虑，并已考虑了各种可能因素影响施工所增加的费用，因此，发生上述情况，发包人不另行增加费用。</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项目经理</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3.2.1 项目经理：</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姓    名：；</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身份证号：；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建造师执业资格等级：；</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建造师注册证书号：；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建造师执业印章号：；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安全生产考核合格证书号：；</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联系电话：；</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电子信箱：；</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通信地址：；</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承包人对项目经理的授权范围如下：</w:t>
      </w:r>
      <w:r>
        <w:rPr>
          <w:rFonts w:hint="eastAsia" w:ascii="宋体" w:hAnsi="宋体" w:cs="宋体"/>
          <w:b/>
          <w:bCs/>
          <w:color w:val="auto"/>
          <w:kern w:val="0"/>
          <w:szCs w:val="21"/>
          <w:highlight w:val="none"/>
          <w:u w:val="single"/>
          <w:lang w:val="zh-CN"/>
        </w:rPr>
        <w:t>负责现场工程管理、协调关系、听从发包人的指挥。</w:t>
      </w:r>
    </w:p>
    <w:p>
      <w:pPr>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关于项目经理每月在施工现场的时间要求：</w:t>
      </w:r>
      <w:r>
        <w:rPr>
          <w:rFonts w:hint="eastAsia" w:ascii="宋体" w:hAnsi="宋体" w:cs="宋体"/>
          <w:b/>
          <w:bCs/>
          <w:color w:val="auto"/>
          <w:kern w:val="0"/>
          <w:szCs w:val="21"/>
          <w:highlight w:val="none"/>
          <w:u w:val="single"/>
          <w:lang w:val="zh-CN"/>
        </w:rPr>
        <w:t>从工程开工（以开工令为准）起，项目负责人保证每周有6天以上出勤，并且每天在施工现场工作不少于8小时，离开施工现场必须向发包人请假。</w:t>
      </w:r>
    </w:p>
    <w:p>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承包人未提交劳动合同，以及没有为项目经理缴纳社会保险证明的违约责任：</w:t>
      </w:r>
      <w:r>
        <w:rPr>
          <w:rFonts w:hint="eastAsia" w:ascii="宋体" w:hAnsi="宋体" w:cs="宋体"/>
          <w:b/>
          <w:bCs/>
          <w:color w:val="auto"/>
          <w:kern w:val="0"/>
          <w:szCs w:val="21"/>
          <w:highlight w:val="none"/>
          <w:u w:val="single"/>
          <w:lang w:val="zh-CN"/>
        </w:rPr>
        <w:t xml:space="preserve"> 除须补交资料及补齐手续外，另收取500元违约金。</w:t>
      </w:r>
    </w:p>
    <w:p>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3.2.3 承包人擅自更换项目经理的违约责任：</w:t>
      </w:r>
      <w:r>
        <w:rPr>
          <w:rFonts w:hint="eastAsia" w:ascii="宋体" w:hAnsi="宋体" w:cs="宋体"/>
          <w:b/>
          <w:bCs/>
          <w:color w:val="auto"/>
          <w:szCs w:val="21"/>
          <w:highlight w:val="none"/>
          <w:u w:val="single"/>
        </w:rPr>
        <w:t>承包人必须指派投标书中承诺的项目负责人到施工现场负责施工管理，不得更换。</w:t>
      </w:r>
    </w:p>
    <w:p>
      <w:pPr>
        <w:autoSpaceDE w:val="0"/>
        <w:autoSpaceDN w:val="0"/>
        <w:adjustRightInd w:val="0"/>
        <w:spacing w:line="360" w:lineRule="auto"/>
        <w:ind w:firstLine="420" w:firstLineChars="200"/>
        <w:rPr>
          <w:rFonts w:ascii="宋体" w:hAnsi="宋体" w:cs="宋体"/>
          <w:b/>
          <w:color w:val="auto"/>
          <w:sz w:val="24"/>
          <w:highlight w:val="none"/>
          <w:u w:val="single"/>
        </w:rPr>
      </w:pPr>
      <w:r>
        <w:rPr>
          <w:rFonts w:hint="eastAsia" w:ascii="宋体" w:hAnsi="宋体" w:cs="宋体"/>
          <w:color w:val="auto"/>
          <w:kern w:val="0"/>
          <w:szCs w:val="21"/>
          <w:highlight w:val="none"/>
          <w:lang w:val="zh-CN"/>
        </w:rPr>
        <w:t>3.2.4 承包人无正当理由拒绝更换项目经理的违约责任：</w:t>
      </w:r>
      <w:r>
        <w:rPr>
          <w:rFonts w:hint="eastAsia" w:ascii="宋体" w:hAnsi="宋体" w:cs="宋体"/>
          <w:b/>
          <w:bCs/>
          <w:color w:val="auto"/>
          <w:kern w:val="0"/>
          <w:szCs w:val="21"/>
          <w:highlight w:val="none"/>
          <w:u w:val="single"/>
          <w:lang w:val="zh-CN"/>
        </w:rPr>
        <w:t>投标书中承诺的项目负责人经发包人考核不合格者，承包人必须在一周内无条件更换；同时发包人有权对拟更换的项目经理进行适岗考察，通过适岗考察后方可更换。</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color w:val="auto"/>
          <w:szCs w:val="21"/>
          <w:highlight w:val="none"/>
          <w:u w:val="single"/>
        </w:rPr>
        <w:t>开工前3天</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3.3.2 承包人无正当理由拒绝撤换主要施工管理人员的违约责任：</w:t>
      </w:r>
      <w:r>
        <w:rPr>
          <w:rFonts w:hint="eastAsia" w:ascii="宋体" w:hAnsi="宋体" w:cs="宋体"/>
          <w:b/>
          <w:bCs/>
          <w:color w:val="auto"/>
          <w:kern w:val="0"/>
          <w:szCs w:val="21"/>
          <w:highlight w:val="none"/>
          <w:u w:val="single"/>
          <w:lang w:val="zh-CN"/>
        </w:rPr>
        <w:t>承包人常驻项目部组成人员经发包人考核不合格者，承包人必须在一周内无条件更换。</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3.3.3 承包人主要施工管理人员离开施工现场的批准要求： </w:t>
      </w:r>
      <w:r>
        <w:rPr>
          <w:rFonts w:hint="eastAsia" w:ascii="宋体" w:hAnsi="宋体" w:cs="宋体"/>
          <w:b/>
          <w:color w:val="auto"/>
          <w:szCs w:val="21"/>
          <w:highlight w:val="none"/>
          <w:u w:val="single"/>
        </w:rPr>
        <w:t>发包人书面认可后方可离开</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 xml:space="preserve"> 分包</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zh-CN"/>
        </w:rPr>
        <w:t xml:space="preserve"> 工程照管与成品、半成品保护</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lang w:val="zh-CN"/>
        </w:rPr>
        <w:t>承包人负责照管工程及工程相关的材料、工程设备的起始时间：</w:t>
      </w:r>
      <w:r>
        <w:rPr>
          <w:rFonts w:hint="eastAsia" w:ascii="宋体" w:hAnsi="宋体" w:cs="宋体"/>
          <w:b/>
          <w:color w:val="auto"/>
          <w:szCs w:val="21"/>
          <w:highlight w:val="none"/>
          <w:u w:val="single"/>
        </w:rPr>
        <w:t>设备、人员进场至验收交付使用前由承包人负责保修，无其它特殊要求的，费用由承包人承担</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3.</w:t>
      </w:r>
      <w:r>
        <w:rPr>
          <w:rFonts w:hint="eastAsia" w:ascii="宋体" w:hAnsi="宋体" w:cs="宋体"/>
          <w:color w:val="auto"/>
          <w:kern w:val="0"/>
          <w:szCs w:val="21"/>
        </w:rPr>
        <w:t>6</w:t>
      </w:r>
      <w:r>
        <w:rPr>
          <w:rFonts w:hint="eastAsia" w:ascii="宋体" w:hAnsi="宋体" w:cs="宋体"/>
          <w:color w:val="auto"/>
          <w:kern w:val="0"/>
          <w:szCs w:val="21"/>
          <w:lang w:val="zh-CN"/>
        </w:rPr>
        <w:t xml:space="preserve"> 履约担保</w:t>
      </w:r>
    </w:p>
    <w:p>
      <w:pPr>
        <w:autoSpaceDE w:val="0"/>
        <w:autoSpaceDN w:val="0"/>
        <w:adjustRightInd w:val="0"/>
        <w:spacing w:line="360" w:lineRule="auto"/>
        <w:ind w:firstLine="420" w:firstLineChars="200"/>
        <w:rPr>
          <w:rFonts w:ascii="宋体" w:hAnsi="宋体" w:cs="宋体"/>
          <w:b/>
          <w:bCs/>
          <w:color w:val="auto"/>
          <w:kern w:val="0"/>
          <w:szCs w:val="21"/>
          <w:u w:val="single"/>
          <w:lang w:val="zh-CN"/>
        </w:rPr>
      </w:pPr>
      <w:r>
        <w:rPr>
          <w:rFonts w:hint="eastAsia" w:ascii="宋体" w:hAnsi="宋体" w:cs="宋体"/>
          <w:color w:val="auto"/>
          <w:kern w:val="0"/>
          <w:szCs w:val="21"/>
          <w:lang w:val="zh-CN"/>
        </w:rPr>
        <w:t>承包人是否提供履约担保：</w:t>
      </w:r>
      <w:r>
        <w:rPr>
          <w:rFonts w:hint="eastAsia" w:ascii="宋体" w:hAnsi="宋体" w:cs="宋体"/>
          <w:b/>
          <w:bCs/>
          <w:color w:val="auto"/>
          <w:kern w:val="0"/>
          <w:szCs w:val="21"/>
          <w:u w:val="single"/>
          <w:lang w:val="zh-CN"/>
        </w:rPr>
        <w:t xml:space="preserve">  提供  。</w:t>
      </w:r>
    </w:p>
    <w:p>
      <w:pPr>
        <w:autoSpaceDE w:val="0"/>
        <w:autoSpaceDN w:val="0"/>
        <w:adjustRightInd w:val="0"/>
        <w:spacing w:line="360" w:lineRule="auto"/>
        <w:ind w:firstLine="420" w:firstLineChars="200"/>
        <w:rPr>
          <w:rFonts w:ascii="宋体" w:hAnsi="宋体" w:cs="宋体"/>
          <w:b/>
          <w:bCs/>
          <w:color w:val="auto"/>
          <w:szCs w:val="21"/>
          <w:u w:val="single"/>
        </w:rPr>
      </w:pPr>
      <w:r>
        <w:rPr>
          <w:rFonts w:hint="eastAsia" w:ascii="宋体" w:hAnsi="宋体" w:cs="宋体"/>
          <w:color w:val="auto"/>
          <w:kern w:val="0"/>
          <w:szCs w:val="21"/>
          <w:lang w:val="zh-CN"/>
        </w:rPr>
        <w:t>承包人提供履约担保的形式、金额及期限：</w:t>
      </w:r>
      <w:r>
        <w:rPr>
          <w:rFonts w:hint="eastAsia" w:ascii="宋体" w:hAnsi="宋体" w:cs="宋体"/>
          <w:b/>
          <w:bCs/>
          <w:color w:val="auto"/>
          <w:szCs w:val="21"/>
          <w:u w:val="single"/>
        </w:rPr>
        <w:t>金额为合同价的5%，其中：工期占履约保证金额的30%；质量占履约保证金额的40%；安全文明施工占履约保证金额的10%；竣工资料占履约保证金额的5%；项目部人员到岗占履约保证金额的10%；廉政保证金占履约保证金额的5%。</w:t>
      </w:r>
    </w:p>
    <w:p>
      <w:pPr>
        <w:autoSpaceDE w:val="0"/>
        <w:autoSpaceDN w:val="0"/>
        <w:adjustRightInd w:val="0"/>
        <w:spacing w:line="360" w:lineRule="auto"/>
        <w:ind w:firstLine="422" w:firstLineChars="200"/>
        <w:rPr>
          <w:rFonts w:ascii="宋体" w:hAnsi="宋体" w:cs="宋体"/>
          <w:b/>
          <w:bCs/>
          <w:color w:val="auto"/>
          <w:szCs w:val="21"/>
          <w:u w:val="single"/>
        </w:rPr>
      </w:pPr>
      <w:r>
        <w:rPr>
          <w:rFonts w:hint="eastAsia" w:ascii="宋体" w:hAnsi="宋体" w:cs="宋体"/>
          <w:b/>
          <w:bCs/>
          <w:color w:val="auto"/>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pPr>
        <w:autoSpaceDE w:val="0"/>
        <w:autoSpaceDN w:val="0"/>
        <w:adjustRightInd w:val="0"/>
        <w:spacing w:line="360" w:lineRule="auto"/>
        <w:ind w:firstLine="422" w:firstLineChars="200"/>
        <w:rPr>
          <w:rFonts w:ascii="宋体" w:hAnsi="宋体" w:cs="宋体"/>
          <w:b/>
          <w:bCs/>
          <w:color w:val="auto"/>
          <w:szCs w:val="21"/>
          <w:u w:val="single"/>
        </w:rPr>
      </w:pPr>
      <w:r>
        <w:rPr>
          <w:rFonts w:hint="eastAsia" w:ascii="宋体" w:hAnsi="宋体" w:cs="宋体"/>
          <w:b/>
          <w:bCs/>
          <w:color w:val="auto"/>
          <w:szCs w:val="21"/>
          <w:u w:val="single"/>
        </w:rPr>
        <w:t>3.6.2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2" w:firstLineChars="200"/>
        <w:rPr>
          <w:rFonts w:ascii="宋体" w:hAnsi="宋体" w:cs="宋体"/>
          <w:b/>
          <w:bCs/>
          <w:color w:val="auto"/>
          <w:szCs w:val="21"/>
          <w:u w:val="single"/>
        </w:rPr>
      </w:pPr>
      <w:r>
        <w:rPr>
          <w:rFonts w:hint="eastAsia" w:ascii="宋体" w:hAnsi="宋体" w:cs="宋体"/>
          <w:b/>
          <w:bCs/>
          <w:color w:val="auto"/>
          <w:szCs w:val="21"/>
          <w:u w:val="single"/>
        </w:rPr>
        <w:t xml:space="preserve">3.6.3关于质量保证金的补充约定： </w:t>
      </w:r>
    </w:p>
    <w:p>
      <w:pPr>
        <w:autoSpaceDE w:val="0"/>
        <w:autoSpaceDN w:val="0"/>
        <w:adjustRightInd w:val="0"/>
        <w:spacing w:line="360" w:lineRule="auto"/>
        <w:ind w:firstLine="422" w:firstLineChars="200"/>
        <w:rPr>
          <w:rFonts w:ascii="宋体" w:hAnsi="宋体" w:cs="宋体"/>
          <w:b/>
          <w:bCs/>
          <w:color w:val="auto"/>
          <w:szCs w:val="21"/>
          <w:u w:val="single"/>
        </w:rPr>
      </w:pPr>
      <w:r>
        <w:rPr>
          <w:rFonts w:hint="eastAsia" w:ascii="宋体" w:hAnsi="宋体" w:cs="宋体"/>
          <w:b/>
          <w:bCs/>
          <w:color w:val="auto"/>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pPr>
        <w:autoSpaceDE w:val="0"/>
        <w:autoSpaceDN w:val="0"/>
        <w:adjustRightInd w:val="0"/>
        <w:spacing w:line="360" w:lineRule="auto"/>
        <w:ind w:firstLine="422" w:firstLineChars="200"/>
        <w:rPr>
          <w:rFonts w:ascii="宋体" w:hAnsi="宋体" w:cs="宋体"/>
          <w:b/>
          <w:bCs/>
          <w:color w:val="auto"/>
          <w:szCs w:val="21"/>
          <w:u w:val="single"/>
          <w:lang w:val="zh-CN"/>
        </w:rPr>
      </w:pPr>
      <w:r>
        <w:rPr>
          <w:rFonts w:hint="eastAsia" w:ascii="宋体" w:hAnsi="宋体" w:cs="宋体"/>
          <w:b/>
          <w:bCs/>
          <w:color w:val="auto"/>
          <w:szCs w:val="21"/>
          <w:u w:val="single"/>
        </w:rPr>
        <w:t>b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 监理人</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 工程质量</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5.1 质量要求</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5.1.1</w:t>
      </w:r>
      <w:r>
        <w:rPr>
          <w:rFonts w:hint="eastAsia" w:ascii="宋体" w:hAnsi="宋体" w:cs="宋体"/>
          <w:b/>
          <w:color w:val="auto"/>
          <w:szCs w:val="21"/>
          <w:highlight w:val="none"/>
          <w:u w:val="single"/>
          <w:lang w:val="zh-CN"/>
        </w:rPr>
        <w:t>工程质量必须达到国家施工质量验收规范合格标准。</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对造成质量未达到约定标准双方都有过错的，按各自责任大小承担损失。具体由双方友好协商，协商不成提交建设行政主管部门进行调解或向南通仲裁委提出仲裁。</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双方对质量评定意见不一致时，由南通市质监站进行质量评定。</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5.2 隐蔽工程检查</w:t>
      </w:r>
    </w:p>
    <w:p>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承包人提前通</w:t>
      </w:r>
      <w:r>
        <w:rPr>
          <w:rFonts w:hint="eastAsia" w:ascii="宋体" w:hAnsi="宋体" w:cs="宋体"/>
          <w:color w:val="auto"/>
          <w:szCs w:val="21"/>
          <w:highlight w:val="none"/>
        </w:rPr>
        <w:t>知建设单位隐蔽工程检查的期限的约定：</w:t>
      </w:r>
      <w:r>
        <w:rPr>
          <w:rFonts w:hint="eastAsia" w:ascii="宋体" w:hAnsi="宋体" w:cs="宋体"/>
          <w:b/>
          <w:color w:val="auto"/>
          <w:szCs w:val="21"/>
          <w:highlight w:val="none"/>
          <w:u w:val="single"/>
        </w:rPr>
        <w:t>按规定进行验收。共同检查前48小时书面通知建设单位。</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建设单位</w:t>
      </w:r>
      <w:r>
        <w:rPr>
          <w:rFonts w:hint="eastAsia" w:ascii="宋体" w:hAnsi="宋体" w:cs="宋体"/>
          <w:color w:val="auto"/>
          <w:szCs w:val="21"/>
          <w:highlight w:val="none"/>
        </w:rPr>
        <w:t>不能按时进行检查时，应提前</w:t>
      </w:r>
      <w:r>
        <w:rPr>
          <w:rFonts w:hint="eastAsia" w:ascii="宋体" w:hAnsi="宋体" w:cs="宋体"/>
          <w:color w:val="auto"/>
          <w:szCs w:val="21"/>
          <w:highlight w:val="none"/>
          <w:u w:val="single"/>
        </w:rPr>
        <w:t>24</w:t>
      </w:r>
      <w:r>
        <w:rPr>
          <w:rFonts w:hint="eastAsia" w:ascii="宋体" w:hAnsi="宋体" w:cs="宋体"/>
          <w:color w:val="auto"/>
          <w:szCs w:val="21"/>
          <w:highlight w:val="none"/>
        </w:rPr>
        <w:t>小时提交书面延期要求。</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w:t>
      </w:r>
      <w:r>
        <w:rPr>
          <w:rFonts w:hint="eastAsia" w:ascii="宋体" w:hAnsi="宋体" w:cs="宋体"/>
          <w:color w:val="auto"/>
          <w:szCs w:val="21"/>
          <w:highlight w:val="none"/>
        </w:rPr>
        <w:t>于延期最长不得超过：</w:t>
      </w:r>
      <w:r>
        <w:rPr>
          <w:rFonts w:hint="eastAsia" w:ascii="宋体" w:hAnsi="宋体" w:cs="宋体"/>
          <w:color w:val="auto"/>
          <w:szCs w:val="21"/>
          <w:highlight w:val="none"/>
          <w:u w:val="single"/>
        </w:rPr>
        <w:t>48</w:t>
      </w:r>
      <w:r>
        <w:rPr>
          <w:rFonts w:hint="eastAsia" w:ascii="宋体" w:hAnsi="宋体" w:cs="宋体"/>
          <w:color w:val="auto"/>
          <w:szCs w:val="21"/>
          <w:highlight w:val="none"/>
        </w:rPr>
        <w:t>小时。</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 安全文明施工与环境保护</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6.1安全文明施工</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6.1.1 项目安全</w:t>
      </w:r>
      <w:r>
        <w:rPr>
          <w:rFonts w:hint="eastAsia" w:ascii="宋体" w:hAnsi="宋体" w:cs="宋体"/>
          <w:color w:val="auto"/>
          <w:kern w:val="0"/>
          <w:szCs w:val="21"/>
          <w:highlight w:val="none"/>
          <w:lang w:val="zh-CN"/>
        </w:rPr>
        <w:t>生产的达标目标及相应事项的约定</w:t>
      </w:r>
      <w:r>
        <w:rPr>
          <w:rFonts w:hint="eastAsia" w:ascii="宋体" w:hAnsi="宋体" w:cs="宋体"/>
          <w:color w:val="auto"/>
          <w:szCs w:val="21"/>
          <w:highlight w:val="none"/>
          <w:lang w:val="zh-CN"/>
        </w:rPr>
        <w:t>：</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1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⑴</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2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⑵</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3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⑶</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A．工程施工前，承包人应根据法律、法规、规范、标准等要求，制定安全施工标准及要求，负责向施工作业班组、作业人员作出详细的说明，并由双方签字确认。</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B．工程施工前，承包人使用的安全防护用具、机械设备、施工机具及配件，应当具有生产（制造）许可证、产品合格证，并在进入施工现场前进行查验，经签字确认后方可使用。</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C．特种作业人员，必须按照国家有关规定经过专门的安全作业培训，并取得特种作业操作资格证书后，方可上岗作业。</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4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⑷</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5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⑸</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凡在施工期间，由于承包人原因造成的事故，除根据事故的严重程度或等级扣除安全文明施工保证金外，还需承担全部责任及由此引起的一切费用，发包人不承担任何责任。</w:t>
      </w:r>
    </w:p>
    <w:p>
      <w:pPr>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 xml:space="preserve"> 关于治安保卫</w:t>
      </w:r>
      <w:r>
        <w:rPr>
          <w:rFonts w:hint="eastAsia" w:ascii="宋体" w:hAnsi="宋体" w:cs="宋体"/>
          <w:color w:val="auto"/>
          <w:szCs w:val="21"/>
          <w:highlight w:val="none"/>
        </w:rPr>
        <w:t>的特别约定：</w:t>
      </w:r>
      <w:r>
        <w:rPr>
          <w:rFonts w:hint="eastAsia" w:ascii="宋体" w:hAnsi="宋体" w:cs="宋体"/>
          <w:b/>
          <w:color w:val="auto"/>
          <w:szCs w:val="21"/>
          <w:highlight w:val="none"/>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color w:val="auto"/>
          <w:szCs w:val="21"/>
          <w:highlight w:val="none"/>
          <w:u w:val="single"/>
          <w:lang w:eastAsia="zh-TW"/>
        </w:rPr>
        <w:t>。</w:t>
      </w:r>
      <w:r>
        <w:rPr>
          <w:rFonts w:hint="eastAsia" w:ascii="宋体" w:hAnsi="宋体" w:cs="宋体"/>
          <w:b/>
          <w:color w:val="auto"/>
          <w:szCs w:val="21"/>
          <w:highlight w:val="none"/>
          <w:u w:val="single"/>
        </w:rPr>
        <w:t>对需要保护的产品和材料须保护期内发生损坏由承包人无条件、自费、限期予以修补。竣工合格交付后由发包人负责保护，如发包人有特殊要求的可另行补充协议加以约定。</w:t>
      </w:r>
    </w:p>
    <w:p>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关于编</w:t>
      </w:r>
      <w:r>
        <w:rPr>
          <w:rFonts w:hint="eastAsia" w:ascii="宋体" w:hAnsi="宋体" w:cs="宋体"/>
          <w:color w:val="auto"/>
          <w:szCs w:val="21"/>
          <w:highlight w:val="none"/>
        </w:rPr>
        <w:t>制施工场地治安管理计划的约定：</w:t>
      </w:r>
      <w:r>
        <w:rPr>
          <w:rFonts w:hint="eastAsia" w:ascii="宋体" w:hAnsi="宋体" w:cs="宋体"/>
          <w:b/>
          <w:color w:val="auto"/>
          <w:szCs w:val="21"/>
          <w:highlight w:val="none"/>
          <w:u w:val="single"/>
        </w:rPr>
        <w:t>开工前三天提供施工场地治安管理计划，需得到发包人的认可。</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 xml:space="preserve"> 文明施工</w:t>
      </w:r>
    </w:p>
    <w:p>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合同当</w:t>
      </w:r>
      <w:r>
        <w:rPr>
          <w:rFonts w:hint="eastAsia" w:ascii="宋体" w:hAnsi="宋体" w:cs="宋体"/>
          <w:color w:val="auto"/>
          <w:szCs w:val="21"/>
          <w:highlight w:val="none"/>
        </w:rPr>
        <w:t>事人对文明施工的要求：</w:t>
      </w:r>
      <w:r>
        <w:rPr>
          <w:rFonts w:hint="eastAsia" w:ascii="宋体" w:hAnsi="宋体" w:cs="宋体"/>
          <w:b/>
          <w:color w:val="auto"/>
          <w:szCs w:val="21"/>
          <w:highlight w:val="none"/>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w:t>
      </w:r>
    </w:p>
    <w:p>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 xml:space="preserve"> 关</w:t>
      </w:r>
      <w:r>
        <w:rPr>
          <w:rFonts w:hint="eastAsia" w:ascii="宋体" w:hAnsi="宋体" w:cs="宋体"/>
          <w:color w:val="auto"/>
          <w:szCs w:val="21"/>
          <w:highlight w:val="none"/>
        </w:rPr>
        <w:t>于安全文明施工费支付比例和支付期限的约定：</w:t>
      </w:r>
      <w:r>
        <w:rPr>
          <w:rFonts w:hint="eastAsia" w:ascii="宋体" w:hAnsi="宋体" w:cs="宋体"/>
          <w:b/>
          <w:color w:val="auto"/>
          <w:szCs w:val="21"/>
          <w:highlight w:val="none"/>
          <w:u w:val="single"/>
        </w:rPr>
        <w:t>已包含在合同价中，含在合同款中支付，其余按通用条款。</w:t>
      </w:r>
    </w:p>
    <w:p>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zh-CN"/>
        </w:rPr>
        <w:t>安全生产责任</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承包人应严格按《建设工程安全生产管理条例》等法律、法规采取安全措施、组织施工，承包人须对本合同范围内所有施工范围和施工人员负全部安全施工责任。</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spacing w:line="360" w:lineRule="auto"/>
        <w:ind w:firstLine="420" w:firstLineChars="200"/>
        <w:rPr>
          <w:rFonts w:ascii="宋体" w:hAnsi="宋体" w:cs="宋体"/>
          <w:color w:val="auto"/>
          <w:szCs w:val="21"/>
          <w:highlight w:val="none"/>
        </w:rPr>
      </w:pPr>
      <w:bookmarkStart w:id="28" w:name="_Toc351203639"/>
      <w:r>
        <w:rPr>
          <w:rFonts w:hint="eastAsia" w:ascii="宋体" w:hAnsi="宋体" w:cs="宋体"/>
          <w:color w:val="auto"/>
          <w:szCs w:val="21"/>
          <w:highlight w:val="none"/>
        </w:rPr>
        <w:t>7．工期和进度</w:t>
      </w:r>
      <w:bookmarkEnd w:id="2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29" w:name="_Toc312678005"/>
      <w:bookmarkStart w:id="30" w:name="_Toc297123514"/>
      <w:bookmarkStart w:id="31" w:name="_Toc312677479"/>
      <w:bookmarkStart w:id="32" w:name="_Toc297216173"/>
      <w:bookmarkStart w:id="33" w:name="_Toc304295541"/>
      <w:bookmarkStart w:id="34" w:name="_Toc300934966"/>
      <w:bookmarkStart w:id="35" w:name="_Toc303539123"/>
      <w:r>
        <w:rPr>
          <w:rFonts w:hint="eastAsia" w:ascii="宋体" w:hAnsi="宋体" w:cs="宋体"/>
          <w:color w:val="auto"/>
          <w:szCs w:val="21"/>
          <w:highlight w:val="none"/>
        </w:rPr>
        <w:t>.1 施工进度计划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施工进度计划的修订</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发包人在收到修订的施工进度计划后确认或提出修改意见的期限：</w:t>
      </w:r>
      <w:r>
        <w:rPr>
          <w:rFonts w:hint="eastAsia" w:ascii="宋体" w:hAnsi="宋体" w:cs="宋体"/>
          <w:b/>
          <w:color w:val="auto"/>
          <w:szCs w:val="21"/>
          <w:highlight w:val="none"/>
          <w:u w:val="single"/>
        </w:rPr>
        <w:t>收到后7日内予以确认或提出修改意见，逾期视为已确认。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开工准备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b/>
          <w:color w:val="auto"/>
          <w:szCs w:val="21"/>
          <w:highlight w:val="none"/>
          <w:u w:val="single"/>
        </w:rPr>
        <w:t>合同签订后3天内</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b/>
          <w:color w:val="auto"/>
          <w:szCs w:val="21"/>
          <w:highlight w:val="none"/>
          <w:u w:val="single"/>
        </w:rPr>
        <w:t>开工前</w:t>
      </w:r>
      <w:r>
        <w:rPr>
          <w:rFonts w:hint="eastAsia" w:ascii="宋体" w:hAnsi="宋体" w:cs="宋体"/>
          <w:b/>
          <w:snapToGrid w:val="0"/>
          <w:color w:val="auto"/>
          <w:kern w:val="0"/>
          <w:szCs w:val="21"/>
          <w:highlight w:val="none"/>
          <w:u w:val="single"/>
        </w:rPr>
        <w:t>发包人提供</w:t>
      </w:r>
      <w:r>
        <w:rPr>
          <w:rFonts w:hint="eastAsia" w:ascii="宋体" w:hAnsi="宋体" w:cs="宋体"/>
          <w:b/>
          <w:bCs/>
          <w:snapToGrid w:val="0"/>
          <w:color w:val="auto"/>
          <w:kern w:val="0"/>
          <w:szCs w:val="21"/>
          <w:highlight w:val="none"/>
          <w:u w:val="single"/>
        </w:rPr>
        <w:t>施工用水源及电源，水、电费用由中标人承担</w:t>
      </w:r>
      <w:r>
        <w:rPr>
          <w:rFonts w:hint="eastAsia" w:ascii="宋体" w:hAnsi="宋体" w:cs="宋体"/>
          <w:b/>
          <w:bCs/>
          <w:color w:val="auto"/>
          <w:kern w:val="0"/>
          <w:szCs w:val="21"/>
          <w:highlight w:val="none"/>
          <w:u w:val="singl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b/>
          <w:bCs/>
          <w:color w:val="auto"/>
          <w:kern w:val="0"/>
          <w:szCs w:val="21"/>
          <w:highlight w:val="none"/>
          <w:u w:val="single"/>
        </w:rPr>
        <w:t>遵守政府有关主管部门对施工场地交通、施工噪音、环境保护和安全生产等的管理规定，按规定办理有关手续，并以书面形式通知发包人。</w:t>
      </w:r>
    </w:p>
    <w:bookmarkEnd w:id="29"/>
    <w:bookmarkEnd w:id="30"/>
    <w:bookmarkEnd w:id="31"/>
    <w:bookmarkEnd w:id="32"/>
    <w:bookmarkEnd w:id="33"/>
    <w:bookmarkEnd w:id="34"/>
    <w:bookmarkEnd w:id="35"/>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36" w:name="_Toc300934968"/>
      <w:bookmarkStart w:id="37" w:name="_Toc297216175"/>
      <w:bookmarkStart w:id="38" w:name="_Toc297123516"/>
      <w:bookmarkStart w:id="39" w:name="_Toc312677484"/>
      <w:bookmarkStart w:id="40" w:name="_Toc304295546"/>
      <w:bookmarkStart w:id="41" w:name="_Toc303539125"/>
      <w:bookmarkStart w:id="42" w:name="_Toc312678010"/>
      <w:r>
        <w:rPr>
          <w:rFonts w:hint="eastAsia" w:ascii="宋体" w:hAnsi="宋体" w:cs="宋体"/>
          <w:color w:val="auto"/>
          <w:szCs w:val="21"/>
          <w:highlight w:val="none"/>
        </w:rPr>
        <w:t>.3 工期延误</w:t>
      </w:r>
    </w:p>
    <w:bookmarkEnd w:id="36"/>
    <w:bookmarkEnd w:id="37"/>
    <w:bookmarkEnd w:id="38"/>
    <w:bookmarkEnd w:id="39"/>
    <w:bookmarkEnd w:id="40"/>
    <w:bookmarkEnd w:id="41"/>
    <w:bookmarkEnd w:id="42"/>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7.3.1 因发包人原因导致工期延误的情形：</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A.因发包人未在开工前提供施工场地；</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B.因发包人原因造成工程延期开工、停建、缓建、暂停施工（不含勒令停工）；</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C.因发包人原因提出的单次设计变更导致工程量增加超过合同总价的8%以上的；</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D.由市级以上有关部门正式发布和认定的自然灾害。</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7.3.2 因承包人原因导致工期延误</w:t>
      </w:r>
    </w:p>
    <w:p>
      <w:pPr>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szCs w:val="21"/>
          <w:highlight w:val="none"/>
        </w:rPr>
        <w:t>因承包人原因造成工期延误，逾期竣工违约金的计算方法为：</w:t>
      </w:r>
      <w:r>
        <w:rPr>
          <w:rFonts w:hint="eastAsia" w:ascii="宋体" w:hAnsi="宋体" w:cs="宋体"/>
          <w:b/>
          <w:bCs/>
          <w:color w:val="auto"/>
          <w:kern w:val="0"/>
          <w:szCs w:val="21"/>
          <w:highlight w:val="none"/>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不利物质条件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不利物质条件的其他情形和有关约定：</w:t>
      </w:r>
      <w:r>
        <w:rPr>
          <w:rFonts w:hint="eastAsia" w:ascii="宋体" w:hAnsi="宋体" w:cs="宋体"/>
          <w:b/>
          <w:color w:val="auto"/>
          <w:szCs w:val="21"/>
          <w:highlight w:val="none"/>
          <w:u w:val="single"/>
        </w:rPr>
        <w:t>按通用条款。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 异常恶劣的气候条件</w:t>
      </w:r>
    </w:p>
    <w:p>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pPr>
        <w:spacing w:line="360" w:lineRule="auto"/>
        <w:ind w:firstLine="422" w:firstLineChars="200"/>
        <w:rPr>
          <w:rFonts w:ascii="宋体" w:hAnsi="宋体" w:cs="宋体"/>
          <w:b/>
          <w:color w:val="auto"/>
          <w:szCs w:val="21"/>
          <w:highlight w:val="none"/>
        </w:rPr>
      </w:pPr>
      <w:bookmarkStart w:id="43" w:name="_Toc351203640"/>
      <w:r>
        <w:rPr>
          <w:rFonts w:hint="eastAsia" w:ascii="宋体" w:hAnsi="宋体" w:cs="宋体"/>
          <w:b/>
          <w:color w:val="auto"/>
          <w:szCs w:val="21"/>
          <w:highlight w:val="none"/>
        </w:rPr>
        <w:t>8. 材料与设备</w:t>
      </w:r>
      <w:bookmarkEnd w:id="43"/>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8</w:t>
      </w:r>
      <w:bookmarkStart w:id="44" w:name="_Toc292559877"/>
      <w:bookmarkStart w:id="45" w:name="_Toc303539136"/>
      <w:bookmarkStart w:id="46" w:name="_Toc280868654"/>
      <w:bookmarkStart w:id="47" w:name="_Toc297120467"/>
      <w:bookmarkStart w:id="48" w:name="_Toc297048353"/>
      <w:bookmarkStart w:id="49" w:name="_Toc297216186"/>
      <w:bookmarkStart w:id="50" w:name="_Toc296944506"/>
      <w:bookmarkStart w:id="51" w:name="_Toc296890995"/>
      <w:bookmarkStart w:id="52" w:name="_Toc297123527"/>
      <w:bookmarkStart w:id="53" w:name="_Toc296503167"/>
      <w:bookmarkStart w:id="54" w:name="_Toc296347166"/>
      <w:bookmarkStart w:id="55" w:name="_Toc292559372"/>
      <w:bookmarkStart w:id="56" w:name="_Toc296346668"/>
      <w:bookmarkStart w:id="57" w:name="_Toc312678019"/>
      <w:bookmarkStart w:id="58" w:name="_Toc312677493"/>
      <w:bookmarkStart w:id="59" w:name="_Toc300934979"/>
      <w:bookmarkStart w:id="60" w:name="_Toc304295556"/>
      <w:bookmarkStart w:id="61" w:name="_Toc296891207"/>
      <w:r>
        <w:rPr>
          <w:rFonts w:hint="eastAsia" w:ascii="宋体" w:hAnsi="宋体" w:cs="宋体"/>
          <w:color w:val="auto"/>
          <w:szCs w:val="21"/>
          <w:highlight w:val="none"/>
        </w:rPr>
        <w:t>. 1发包人供应的材料与工程设备的保管与使用:</w:t>
      </w:r>
      <w:r>
        <w:rPr>
          <w:rFonts w:hint="eastAsia" w:ascii="宋体" w:hAnsi="宋体" w:cs="宋体"/>
          <w:b/>
          <w:color w:val="auto"/>
          <w:szCs w:val="21"/>
          <w:highlight w:val="none"/>
          <w:u w:val="single"/>
        </w:rPr>
        <w:t xml:space="preserve"> 发包人不供应材料。</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发包人供应材料设备的结算方法：</w:t>
      </w:r>
      <w:r>
        <w:rPr>
          <w:rFonts w:hint="eastAsia" w:ascii="宋体" w:hAnsi="宋体" w:cs="宋体"/>
          <w:b/>
          <w:color w:val="auto"/>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 样品</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8.2.1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b/>
          <w:bCs/>
          <w:color w:val="auto"/>
          <w:szCs w:val="21"/>
          <w:highlight w:val="none"/>
          <w:u w:val="single"/>
        </w:rPr>
        <w:t>按管理部门要求和发包人需求确定</w:t>
      </w:r>
      <w:r>
        <w:rPr>
          <w:rFonts w:hint="eastAsia" w:ascii="宋体" w:hAnsi="宋体" w:cs="宋体"/>
          <w:b/>
          <w:color w:val="auto"/>
          <w:szCs w:val="21"/>
          <w:highlight w:val="none"/>
          <w:u w:val="single"/>
        </w:rPr>
        <w:t>。</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1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⑴</w:t>
      </w:r>
      <w:r>
        <w:rPr>
          <w:rFonts w:hint="eastAsia" w:ascii="宋体" w:hAnsi="宋体" w:cs="宋体"/>
          <w:b/>
          <w:color w:val="auto"/>
          <w:kern w:val="0"/>
          <w:szCs w:val="21"/>
          <w:highlight w:val="none"/>
          <w:u w:val="single"/>
        </w:rPr>
        <w:fldChar w:fldCharType="end"/>
      </w:r>
      <w:r>
        <w:rPr>
          <w:rFonts w:hint="eastAsia" w:ascii="宋体" w:hAnsi="宋体" w:cs="宋体"/>
          <w:b/>
          <w:color w:val="auto"/>
          <w:kern w:val="0"/>
          <w:szCs w:val="21"/>
          <w:highlight w:val="none"/>
          <w:u w:val="single"/>
        </w:rPr>
        <w:t xml:space="preserve"> 凡是工程量清单中暂定单价的材料设备，承包人在采购前须将材料设备的品种、规格、颜色、质量、价格、样品报送相关单位；</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2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⑵</w:t>
      </w:r>
      <w:r>
        <w:rPr>
          <w:rFonts w:hint="eastAsia" w:ascii="宋体" w:hAnsi="宋体" w:cs="宋体"/>
          <w:b/>
          <w:color w:val="auto"/>
          <w:kern w:val="0"/>
          <w:szCs w:val="21"/>
          <w:highlight w:val="none"/>
          <w:u w:val="single"/>
        </w:rPr>
        <w:fldChar w:fldCharType="end"/>
      </w:r>
      <w:r>
        <w:rPr>
          <w:rFonts w:hint="eastAsia" w:ascii="宋体" w:hAnsi="宋体" w:cs="宋体"/>
          <w:b/>
          <w:color w:val="auto"/>
          <w:szCs w:val="21"/>
          <w:highlight w:val="none"/>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3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⑶</w:t>
      </w:r>
      <w:r>
        <w:rPr>
          <w:rFonts w:hint="eastAsia" w:ascii="宋体" w:hAnsi="宋体" w:cs="宋体"/>
          <w:b/>
          <w:color w:val="auto"/>
          <w:szCs w:val="21"/>
          <w:highlight w:val="none"/>
          <w:u w:val="single"/>
        </w:rPr>
        <w:fldChar w:fldCharType="end"/>
      </w:r>
      <w:r>
        <w:rPr>
          <w:rFonts w:hint="eastAsia" w:ascii="宋体" w:hAnsi="宋体" w:cs="宋体"/>
          <w:b/>
          <w:color w:val="auto"/>
          <w:kern w:val="0"/>
          <w:szCs w:val="21"/>
          <w:highlight w:val="none"/>
          <w:u w:val="single"/>
        </w:rPr>
        <w:t>发包人对上述材料及用于本工程的所有材料有质量认定权（如发包人对承包人采购的材料认定为不合格的，承包人必须重新采购，直到合格为止），</w:t>
      </w:r>
      <w:r>
        <w:rPr>
          <w:rFonts w:hint="eastAsia" w:ascii="宋体" w:hAnsi="宋体" w:cs="宋体"/>
          <w:b/>
          <w:color w:val="auto"/>
          <w:szCs w:val="21"/>
          <w:highlight w:val="none"/>
          <w:u w:val="single"/>
        </w:rPr>
        <w:t>经发包人书面确认后，方可采购，</w:t>
      </w:r>
      <w:r>
        <w:rPr>
          <w:rFonts w:hint="eastAsia" w:ascii="宋体" w:hAnsi="宋体" w:cs="宋体"/>
          <w:b/>
          <w:color w:val="auto"/>
          <w:kern w:val="0"/>
          <w:szCs w:val="21"/>
          <w:highlight w:val="none"/>
          <w:u w:val="single"/>
        </w:rPr>
        <w:t>涉及到的价格不再调整。</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4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⑷</w:t>
      </w:r>
      <w:r>
        <w:rPr>
          <w:rFonts w:hint="eastAsia" w:ascii="宋体" w:hAnsi="宋体" w:cs="宋体"/>
          <w:b/>
          <w:color w:val="auto"/>
          <w:kern w:val="0"/>
          <w:szCs w:val="21"/>
          <w:highlight w:val="none"/>
          <w:u w:val="single"/>
        </w:rPr>
        <w:fldChar w:fldCharType="end"/>
      </w:r>
      <w:r>
        <w:rPr>
          <w:rFonts w:hint="eastAsia" w:ascii="宋体" w:hAnsi="宋体" w:cs="宋体"/>
          <w:b/>
          <w:color w:val="auto"/>
          <w:szCs w:val="21"/>
          <w:highlight w:val="none"/>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color w:val="auto"/>
          <w:szCs w:val="21"/>
          <w:highlight w:val="none"/>
          <w:u w:val="single"/>
        </w:rPr>
        <w:t>根据需要可在事前、事中、事后进行抽检，不论在哪个阶段查出问题，所造成的损失均由承包人负责。</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5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⑸</w:t>
      </w:r>
      <w:r>
        <w:rPr>
          <w:rFonts w:hint="eastAsia" w:ascii="宋体" w:hAnsi="宋体" w:cs="宋体"/>
          <w:b/>
          <w:color w:val="auto"/>
          <w:szCs w:val="21"/>
          <w:highlight w:val="none"/>
          <w:u w:val="single"/>
        </w:rPr>
        <w:fldChar w:fldCharType="end"/>
      </w:r>
      <w:r>
        <w:rPr>
          <w:rFonts w:hint="eastAsia" w:ascii="宋体" w:hAnsi="宋体" w:cs="宋体"/>
          <w:b/>
          <w:color w:val="auto"/>
          <w:kern w:val="0"/>
          <w:szCs w:val="21"/>
          <w:highlight w:val="none"/>
          <w:u w:val="single"/>
        </w:rPr>
        <w:t>主要材料设备进场时要有质保书或出厂合格证，并已进行有关必要的检验或试验；主要材料设备进场后须通知发包人验收并经书面确认后方可使用。</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6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⑹</w:t>
      </w:r>
      <w:r>
        <w:rPr>
          <w:rFonts w:hint="eastAsia" w:ascii="宋体" w:hAnsi="宋体" w:cs="宋体"/>
          <w:b/>
          <w:color w:val="auto"/>
          <w:kern w:val="0"/>
          <w:szCs w:val="21"/>
          <w:highlight w:val="none"/>
          <w:u w:val="single"/>
        </w:rPr>
        <w:fldChar w:fldCharType="end"/>
      </w:r>
      <w:r>
        <w:rPr>
          <w:rFonts w:hint="eastAsia" w:ascii="宋体" w:hAnsi="宋体" w:cs="宋体"/>
          <w:b/>
          <w:color w:val="auto"/>
          <w:kern w:val="0"/>
          <w:szCs w:val="21"/>
          <w:highlight w:val="none"/>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若承包人不按上述有关条款采购材料，则由此引起的一切责任与后果均由承包人承担。</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（7） 须发包人认质认价的材料，由承包人提前25天以上向发包人提出。</w:t>
      </w:r>
    </w:p>
    <w:p>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8.3施工设备和临时设施</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 承包人提供的施工设备和临时设施</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关于修建临时设施费用承担的约定：</w:t>
      </w:r>
      <w:r>
        <w:rPr>
          <w:rFonts w:hint="eastAsia" w:ascii="宋体" w:hAnsi="宋体" w:cs="宋体"/>
          <w:b/>
          <w:color w:val="auto"/>
          <w:szCs w:val="21"/>
          <w:highlight w:val="none"/>
          <w:u w:val="single"/>
        </w:rPr>
        <w:t>与承包人有关的由承包人自行承担。</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 试验与检验</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bookmarkStart w:id="62" w:name="_Toc297216193"/>
      <w:bookmarkStart w:id="63" w:name="_Toc303539140"/>
      <w:bookmarkStart w:id="64" w:name="_Toc300934983"/>
      <w:bookmarkStart w:id="65" w:name="_Toc312677496"/>
      <w:bookmarkStart w:id="66" w:name="_Toc297123534"/>
      <w:bookmarkStart w:id="67" w:name="_Toc312678022"/>
      <w:bookmarkStart w:id="68" w:name="_Toc304295560"/>
      <w:r>
        <w:rPr>
          <w:rFonts w:hint="eastAsia" w:ascii="宋体" w:hAnsi="宋体" w:cs="宋体"/>
          <w:color w:val="auto"/>
          <w:kern w:val="0"/>
          <w:szCs w:val="21"/>
          <w:highlight w:val="none"/>
          <w:lang w:val="zh-CN"/>
        </w:rPr>
        <w:t>.1试验设备与试验人员</w:t>
      </w:r>
    </w:p>
    <w:bookmarkEnd w:id="62"/>
    <w:bookmarkEnd w:id="63"/>
    <w:bookmarkEnd w:id="64"/>
    <w:bookmarkEnd w:id="65"/>
    <w:bookmarkEnd w:id="66"/>
    <w:bookmarkEnd w:id="67"/>
    <w:bookmarkEnd w:id="68"/>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bookmarkStart w:id="69" w:name="_Toc312677497"/>
      <w:bookmarkStart w:id="70" w:name="_Toc303539141"/>
      <w:bookmarkStart w:id="71" w:name="_Toc300934984"/>
      <w:bookmarkStart w:id="72" w:name="_Toc297216194"/>
      <w:bookmarkStart w:id="73" w:name="_Toc304295561"/>
      <w:bookmarkStart w:id="74" w:name="_Toc312678023"/>
      <w:bookmarkStart w:id="75" w:name="_Toc297123535"/>
      <w:r>
        <w:rPr>
          <w:rFonts w:hint="eastAsia" w:ascii="宋体" w:hAnsi="宋体" w:cs="宋体"/>
          <w:color w:val="auto"/>
          <w:kern w:val="0"/>
          <w:szCs w:val="21"/>
          <w:highlight w:val="none"/>
          <w:lang w:val="zh-CN"/>
        </w:rPr>
        <w:t>.1.2 试验设备</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w:t>
      </w:r>
      <w:r>
        <w:rPr>
          <w:rFonts w:hint="eastAsia" w:ascii="宋体" w:hAnsi="宋体" w:cs="宋体"/>
          <w:color w:val="auto"/>
          <w:szCs w:val="21"/>
          <w:highlight w:val="none"/>
        </w:rPr>
        <w:t>场需要配置的试验场所：</w:t>
      </w:r>
      <w:bookmarkEnd w:id="69"/>
      <w:bookmarkEnd w:id="70"/>
      <w:bookmarkEnd w:id="71"/>
      <w:bookmarkEnd w:id="72"/>
      <w:bookmarkEnd w:id="73"/>
      <w:bookmarkEnd w:id="74"/>
      <w:bookmarkEnd w:id="75"/>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施工现场</w:t>
      </w:r>
      <w:r>
        <w:rPr>
          <w:rFonts w:hint="eastAsia" w:ascii="宋体" w:hAnsi="宋体" w:cs="宋体"/>
          <w:color w:val="auto"/>
          <w:szCs w:val="21"/>
          <w:highlight w:val="none"/>
        </w:rPr>
        <w:t>需要配备的试验设备：</w:t>
      </w:r>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施工现场需要具</w:t>
      </w:r>
      <w:r>
        <w:rPr>
          <w:rFonts w:hint="eastAsia" w:ascii="宋体" w:hAnsi="宋体" w:cs="宋体"/>
          <w:color w:val="auto"/>
          <w:szCs w:val="21"/>
          <w:highlight w:val="none"/>
        </w:rPr>
        <w:t>备的其他试验条件：</w:t>
      </w:r>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lang w:val="zh-CN"/>
        </w:rPr>
        <w:t xml:space="preserve">9.4 现场工艺试验 </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现场工艺试验</w:t>
      </w:r>
      <w:r>
        <w:rPr>
          <w:rFonts w:hint="eastAsia" w:ascii="宋体" w:hAnsi="宋体" w:cs="宋体"/>
          <w:color w:val="auto"/>
          <w:szCs w:val="21"/>
          <w:highlight w:val="none"/>
        </w:rPr>
        <w:t>的有关约定：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bookmarkStart w:id="76" w:name="_Toc351203642"/>
      <w:r>
        <w:rPr>
          <w:rFonts w:hint="eastAsia" w:ascii="宋体" w:hAnsi="宋体" w:cs="宋体"/>
          <w:b/>
          <w:color w:val="auto"/>
          <w:szCs w:val="21"/>
          <w:highlight w:val="none"/>
        </w:rPr>
        <w:t>1</w:t>
      </w:r>
      <w:bookmarkStart w:id="77" w:name="_Toc304295566"/>
      <w:bookmarkStart w:id="78" w:name="_Toc296346694"/>
      <w:bookmarkStart w:id="79" w:name="_Toc296944532"/>
      <w:bookmarkStart w:id="80" w:name="_Toc297048379"/>
      <w:bookmarkStart w:id="81" w:name="_Toc296347192"/>
      <w:bookmarkStart w:id="82" w:name="_Toc297120493"/>
      <w:bookmarkStart w:id="83" w:name="_Toc297123540"/>
      <w:bookmarkStart w:id="84" w:name="_Toc292559398"/>
      <w:bookmarkStart w:id="85" w:name="_Toc297216199"/>
      <w:bookmarkStart w:id="86" w:name="_Toc292559903"/>
      <w:bookmarkStart w:id="87" w:name="_Toc296891233"/>
      <w:bookmarkStart w:id="88" w:name="_Toc300934989"/>
      <w:bookmarkStart w:id="89" w:name="_Toc303539146"/>
      <w:bookmarkStart w:id="90" w:name="_Toc296891021"/>
      <w:bookmarkStart w:id="91" w:name="_Toc296503193"/>
      <w:bookmarkStart w:id="92" w:name="_Toc312677499"/>
      <w:bookmarkStart w:id="93" w:name="_Toc312678025"/>
      <w:bookmarkStart w:id="94" w:name="_Toc267251433"/>
      <w:bookmarkStart w:id="95" w:name="_Toc267251437"/>
      <w:bookmarkStart w:id="96" w:name="_Toc267251435"/>
      <w:bookmarkStart w:id="97" w:name="_Toc267251439"/>
      <w:bookmarkStart w:id="98" w:name="_Toc267251441"/>
      <w:bookmarkStart w:id="99" w:name="_Toc267251440"/>
      <w:r>
        <w:rPr>
          <w:rFonts w:hint="eastAsia" w:ascii="宋体" w:hAnsi="宋体" w:cs="宋体"/>
          <w:b/>
          <w:color w:val="auto"/>
          <w:szCs w:val="21"/>
          <w:highlight w:val="none"/>
        </w:rPr>
        <w:t>0. 变更</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bookmarkEnd w:id="92"/>
    <w:bookmarkEnd w:id="93"/>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100" w:name="_Toc297216200"/>
      <w:bookmarkStart w:id="101" w:name="_Toc296503194"/>
      <w:bookmarkStart w:id="102" w:name="_Toc292559399"/>
      <w:bookmarkStart w:id="103" w:name="_Toc296944533"/>
      <w:bookmarkStart w:id="104" w:name="_Toc304295567"/>
      <w:bookmarkStart w:id="105" w:name="_Toc297048380"/>
      <w:bookmarkStart w:id="106" w:name="_Toc296347193"/>
      <w:bookmarkStart w:id="107" w:name="_Toc297123541"/>
      <w:bookmarkStart w:id="108" w:name="_Toc297120494"/>
      <w:bookmarkStart w:id="109" w:name="_Toc296891234"/>
      <w:bookmarkStart w:id="110" w:name="_Toc300934990"/>
      <w:bookmarkStart w:id="111" w:name="_Toc296891022"/>
      <w:bookmarkStart w:id="112" w:name="_Toc296346695"/>
      <w:bookmarkStart w:id="113" w:name="_Toc312677500"/>
      <w:bookmarkStart w:id="114" w:name="_Toc292559904"/>
      <w:bookmarkStart w:id="115" w:name="_Toc303539147"/>
      <w:bookmarkStart w:id="116" w:name="_Toc312678026"/>
      <w:r>
        <w:rPr>
          <w:rFonts w:hint="eastAsia" w:ascii="宋体" w:hAnsi="宋体" w:cs="宋体"/>
          <w:color w:val="auto"/>
          <w:szCs w:val="21"/>
          <w:highlight w:val="none"/>
        </w:rPr>
        <w:t>0.1变更的范围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关于变更的范围约定：</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承包人不得随意更改设计，因承包人自身原因导致的工程变更，承包人无权要求追加合同价款。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10.2变更程序</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发包人要求变更的按下列方式处理：</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10.2.3承包人报送的变更签证费用计算书必须按照每份变更、签证通知单编制，发包人不接受承包人以汇总方式编制的多项变更、签证事项的计算书。</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10.2.4特急变更签证的实施以发包人工程部负责人或派驻的工程师签字为依据，承包人可事先就计价方式或价格与发包人协商一致。但实施后10日内，双方必须办理相关手续，方可作为结算依据；</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10.2.5关于临时用工的签证事项，双方应在签证通知单上协商确定以下问题：工作内容及工作量、工作时间、工作人数、取定的人工单价（是综合单价，已含管理费和利润）；</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10.2.8合同履约中，发包、承包双方填制的变更、签证通知单都应使用发包人统一发放的标准表格，否则发包人可以不予审核费用，承包人可以不予接受。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 变更估价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10.3.1 变更估价原则</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关于变更估价的约定：</w:t>
      </w:r>
      <w:r>
        <w:rPr>
          <w:rFonts w:hint="eastAsia" w:ascii="宋体" w:hAnsi="宋体" w:cs="宋体"/>
          <w:b/>
          <w:color w:val="auto"/>
          <w:szCs w:val="21"/>
          <w:highlight w:val="none"/>
          <w:u w:val="single"/>
        </w:rPr>
        <w:t xml:space="preserve"> 按招标文件第18.3条的约定调整。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Start w:id="117" w:name="_Toc296891237"/>
      <w:bookmarkStart w:id="118" w:name="_Toc300934993"/>
      <w:bookmarkStart w:id="119" w:name="_Toc303539150"/>
      <w:bookmarkStart w:id="120" w:name="_Toc292559402"/>
      <w:bookmarkStart w:id="121" w:name="_Toc297216203"/>
      <w:bookmarkStart w:id="122" w:name="_Toc296891025"/>
      <w:bookmarkStart w:id="123" w:name="_Toc296346698"/>
      <w:bookmarkStart w:id="124" w:name="_Toc297123544"/>
      <w:bookmarkStart w:id="125" w:name="_Toc296503197"/>
      <w:bookmarkStart w:id="126" w:name="_Toc297048383"/>
      <w:bookmarkStart w:id="127" w:name="_Toc296347196"/>
      <w:bookmarkStart w:id="128" w:name="_Toc292559907"/>
      <w:bookmarkStart w:id="129" w:name="_Toc296944536"/>
      <w:bookmarkStart w:id="130" w:name="_Toc297120497"/>
      <w:bookmarkStart w:id="131" w:name="_Toc312677503"/>
      <w:bookmarkStart w:id="132" w:name="_Toc312678029"/>
      <w:bookmarkStart w:id="133" w:name="_Toc304295570"/>
      <w:r>
        <w:rPr>
          <w:rFonts w:hint="eastAsia" w:ascii="宋体" w:hAnsi="宋体" w:cs="宋体"/>
          <w:color w:val="auto"/>
          <w:szCs w:val="21"/>
          <w:highlight w:val="none"/>
        </w:rPr>
        <w:t>0.4承</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Start w:id="134" w:name="_Toc296503203"/>
      <w:bookmarkStart w:id="135" w:name="_Toc303539151"/>
      <w:bookmarkStart w:id="136" w:name="_Toc300934994"/>
      <w:bookmarkStart w:id="137" w:name="_Toc297216204"/>
      <w:bookmarkStart w:id="138" w:name="_Toc296347202"/>
      <w:bookmarkStart w:id="139" w:name="_Toc292559408"/>
      <w:bookmarkStart w:id="140" w:name="_Toc297123545"/>
      <w:bookmarkStart w:id="141" w:name="_Toc296944542"/>
      <w:bookmarkStart w:id="142" w:name="_Toc297120503"/>
      <w:bookmarkStart w:id="143" w:name="_Toc296891031"/>
      <w:bookmarkStart w:id="144" w:name="_Toc297048389"/>
      <w:bookmarkStart w:id="145" w:name="_Toc296346704"/>
      <w:bookmarkStart w:id="146" w:name="_Toc296891243"/>
      <w:bookmarkStart w:id="147" w:name="_Toc292559913"/>
      <w:r>
        <w:rPr>
          <w:rFonts w:hint="eastAsia" w:ascii="宋体" w:hAnsi="宋体" w:cs="宋体"/>
          <w:color w:val="auto"/>
          <w:szCs w:val="21"/>
          <w:highlight w:val="none"/>
        </w:rPr>
        <w:t>包人的合理化建议</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7日内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w:t>
      </w:r>
      <w:bookmarkStart w:id="148" w:name="_Toc292559914"/>
      <w:bookmarkStart w:id="149" w:name="_Toc297048390"/>
      <w:bookmarkStart w:id="150" w:name="_Toc297120504"/>
      <w:bookmarkStart w:id="151" w:name="_Toc312677504"/>
      <w:bookmarkStart w:id="152" w:name="_Toc297216205"/>
      <w:bookmarkStart w:id="153" w:name="_Toc297123546"/>
      <w:bookmarkStart w:id="154" w:name="_Toc303539152"/>
      <w:bookmarkStart w:id="155" w:name="_Toc300934995"/>
      <w:bookmarkStart w:id="156" w:name="_Toc296503204"/>
      <w:bookmarkStart w:id="157" w:name="_Toc292559409"/>
      <w:bookmarkStart w:id="158" w:name="_Toc296347203"/>
      <w:bookmarkStart w:id="159" w:name="_Toc296891244"/>
      <w:bookmarkStart w:id="160" w:name="_Toc318581175"/>
      <w:bookmarkStart w:id="161" w:name="_Toc296891032"/>
      <w:bookmarkStart w:id="162" w:name="_Toc312678030"/>
      <w:bookmarkStart w:id="163" w:name="_Toc304295571"/>
      <w:bookmarkStart w:id="164" w:name="_Toc296346705"/>
      <w:bookmarkStart w:id="165" w:name="_Toc296944543"/>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另行约定  </w:t>
      </w:r>
      <w:r>
        <w:rPr>
          <w:rFonts w:hint="eastAsia" w:ascii="宋体" w:hAnsi="宋体" w:cs="宋体"/>
          <w:color w:val="auto"/>
          <w:szCs w:val="21"/>
          <w:highlight w:val="none"/>
        </w:rPr>
        <w:t>。</w:t>
      </w:r>
    </w:p>
    <w:bookmarkEnd w:id="94"/>
    <w:bookmarkEnd w:id="95"/>
    <w:bookmarkEnd w:id="96"/>
    <w:bookmarkEnd w:id="97"/>
    <w:bookmarkEnd w:id="98"/>
    <w:bookmarkEnd w:id="9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Pr>
        <w:keepNext/>
        <w:keepLines/>
        <w:adjustRightInd w:val="0"/>
        <w:snapToGrid w:val="0"/>
        <w:spacing w:line="440" w:lineRule="exact"/>
        <w:ind w:firstLine="442" w:firstLineChars="200"/>
        <w:outlineLvl w:val="3"/>
        <w:rPr>
          <w:rFonts w:ascii="宋体" w:hAnsi="宋体" w:cs="宋体"/>
          <w:b/>
          <w:color w:val="auto"/>
          <w:sz w:val="22"/>
          <w:szCs w:val="32"/>
          <w:highlight w:val="none"/>
        </w:rPr>
      </w:pPr>
      <w:bookmarkStart w:id="166" w:name="_Toc296944550"/>
      <w:bookmarkStart w:id="167" w:name="_Toc292559416"/>
      <w:bookmarkStart w:id="168" w:name="_Toc300935006"/>
      <w:bookmarkStart w:id="169" w:name="_Toc296347210"/>
      <w:bookmarkStart w:id="170" w:name="_Toc297216215"/>
      <w:bookmarkStart w:id="171" w:name="_Toc297048397"/>
      <w:bookmarkStart w:id="172" w:name="_Toc292559921"/>
      <w:bookmarkStart w:id="173" w:name="_Toc296891251"/>
      <w:bookmarkStart w:id="174" w:name="_Toc296346712"/>
      <w:bookmarkStart w:id="175" w:name="_Toc297120511"/>
      <w:bookmarkStart w:id="176" w:name="_Toc303539163"/>
      <w:bookmarkStart w:id="177" w:name="_Toc297123556"/>
      <w:bookmarkStart w:id="178" w:name="_Toc296891039"/>
      <w:bookmarkStart w:id="179" w:name="_Toc296503211"/>
      <w:r>
        <w:rPr>
          <w:rFonts w:hint="eastAsia" w:ascii="宋体" w:hAnsi="宋体" w:cs="宋体"/>
          <w:b/>
          <w:color w:val="auto"/>
          <w:sz w:val="22"/>
          <w:szCs w:val="32"/>
          <w:highlight w:val="none"/>
        </w:rPr>
        <w:t>11. 价格调整</w:t>
      </w:r>
    </w:p>
    <w:p>
      <w:pPr>
        <w:adjustRightInd w:val="0"/>
        <w:snapToGrid w:val="0"/>
        <w:spacing w:line="440" w:lineRule="exact"/>
        <w:ind w:firstLine="460" w:firstLineChars="200"/>
        <w:rPr>
          <w:rFonts w:ascii="宋体" w:hAnsi="宋体" w:cs="宋体"/>
          <w:color w:val="auto"/>
          <w:sz w:val="23"/>
          <w:szCs w:val="23"/>
          <w:highlight w:val="none"/>
        </w:rPr>
      </w:pPr>
      <w:bookmarkStart w:id="180" w:name="_Toc300935000"/>
      <w:bookmarkStart w:id="181" w:name="_Toc304295577"/>
      <w:bookmarkStart w:id="182" w:name="_Toc312678039"/>
      <w:bookmarkStart w:id="183" w:name="_Toc297120501"/>
      <w:bookmarkStart w:id="184" w:name="_Toc296891029"/>
      <w:bookmarkStart w:id="185" w:name="_Toc292559911"/>
      <w:bookmarkStart w:id="186" w:name="_Toc296346702"/>
      <w:bookmarkStart w:id="187" w:name="_Toc296503201"/>
      <w:bookmarkStart w:id="188" w:name="_Toc297123550"/>
      <w:bookmarkStart w:id="189" w:name="_Toc303539157"/>
      <w:bookmarkStart w:id="190" w:name="_Toc296944540"/>
      <w:bookmarkStart w:id="191" w:name="_Toc292559406"/>
      <w:bookmarkStart w:id="192" w:name="_Toc297216209"/>
      <w:bookmarkStart w:id="193" w:name="_Toc297048387"/>
      <w:bookmarkStart w:id="194" w:name="_Toc296347200"/>
      <w:bookmarkStart w:id="195" w:name="_Toc296891241"/>
      <w:r>
        <w:rPr>
          <w:rFonts w:hint="eastAsia" w:ascii="宋体" w:hAnsi="宋体" w:cs="宋体"/>
          <w:color w:val="auto"/>
          <w:sz w:val="23"/>
          <w:szCs w:val="23"/>
          <w:highlight w:val="none"/>
        </w:rPr>
        <w:t>11.1 市场价格波动引起的调整</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adjustRightInd w:val="0"/>
        <w:snapToGrid w:val="0"/>
        <w:spacing w:line="440" w:lineRule="exact"/>
        <w:ind w:firstLine="460" w:firstLineChars="200"/>
        <w:rPr>
          <w:rFonts w:ascii="宋体" w:hAnsi="宋体" w:cs="宋体"/>
          <w:b/>
          <w:color w:val="auto"/>
          <w:sz w:val="23"/>
          <w:szCs w:val="23"/>
          <w:highlight w:val="none"/>
          <w:u w:val="single"/>
        </w:rPr>
      </w:pPr>
      <w:r>
        <w:rPr>
          <w:rFonts w:hint="eastAsia" w:ascii="宋体" w:hAnsi="宋体" w:cs="宋体"/>
          <w:color w:val="auto"/>
          <w:sz w:val="23"/>
          <w:szCs w:val="23"/>
          <w:highlight w:val="none"/>
        </w:rPr>
        <w:t>市场价格波动是否调整合同价格的约定：</w:t>
      </w:r>
      <w:r>
        <w:rPr>
          <w:rFonts w:hint="eastAsia" w:ascii="宋体" w:hAnsi="宋体" w:cs="宋体"/>
          <w:b/>
          <w:color w:val="auto"/>
          <w:sz w:val="23"/>
          <w:szCs w:val="23"/>
          <w:highlight w:val="none"/>
          <w:u w:val="single"/>
        </w:rPr>
        <w:t xml:space="preserve">  否  </w:t>
      </w:r>
    </w:p>
    <w:p>
      <w:pPr>
        <w:spacing w:line="440" w:lineRule="exact"/>
        <w:ind w:firstLine="460" w:firstLineChars="200"/>
        <w:rPr>
          <w:rFonts w:ascii="宋体" w:hAnsi="宋体" w:cs="宋体"/>
          <w:bCs/>
          <w:color w:val="auto"/>
          <w:sz w:val="23"/>
          <w:szCs w:val="23"/>
          <w:highlight w:val="none"/>
        </w:rPr>
      </w:pPr>
      <w:r>
        <w:rPr>
          <w:rFonts w:hint="eastAsia" w:ascii="宋体" w:hAnsi="宋体" w:cs="宋体"/>
          <w:bCs/>
          <w:color w:val="auto"/>
          <w:sz w:val="23"/>
          <w:szCs w:val="23"/>
          <w:highlight w:val="none"/>
        </w:rPr>
        <w:t>本工程人工工资结算时不调整。</w:t>
      </w:r>
    </w:p>
    <w:p>
      <w:pPr>
        <w:keepNext/>
        <w:keepLines/>
        <w:adjustRightInd w:val="0"/>
        <w:snapToGrid w:val="0"/>
        <w:spacing w:line="440" w:lineRule="exact"/>
        <w:ind w:firstLine="442" w:firstLineChars="200"/>
        <w:outlineLvl w:val="3"/>
        <w:rPr>
          <w:rFonts w:ascii="宋体" w:hAnsi="宋体" w:cs="宋体"/>
          <w:b/>
          <w:color w:val="auto"/>
          <w:sz w:val="22"/>
          <w:szCs w:val="32"/>
          <w:highlight w:val="none"/>
        </w:rPr>
      </w:pPr>
      <w:bookmarkStart w:id="196" w:name="_Toc296347204"/>
      <w:bookmarkStart w:id="197" w:name="_Toc296891245"/>
      <w:bookmarkStart w:id="198" w:name="_Toc292559410"/>
      <w:bookmarkStart w:id="199" w:name="_Toc292559915"/>
      <w:bookmarkStart w:id="200" w:name="_Toc296346706"/>
      <w:bookmarkStart w:id="201" w:name="_Toc296503205"/>
      <w:bookmarkStart w:id="202" w:name="_Toc297048391"/>
      <w:bookmarkStart w:id="203" w:name="_Toc297120505"/>
      <w:bookmarkStart w:id="204" w:name="_Toc296944544"/>
      <w:bookmarkStart w:id="205" w:name="_Toc296891033"/>
      <w:bookmarkStart w:id="206" w:name="_Toc351203644"/>
      <w:bookmarkStart w:id="207" w:name="_Toc300935002"/>
      <w:bookmarkStart w:id="208" w:name="_Toc304295579"/>
      <w:bookmarkStart w:id="209" w:name="_Toc303539159"/>
      <w:bookmarkStart w:id="210" w:name="_Toc297123552"/>
      <w:bookmarkStart w:id="211" w:name="_Toc297216211"/>
      <w:bookmarkStart w:id="212" w:name="_Toc312678040"/>
      <w:r>
        <w:rPr>
          <w:rFonts w:hint="eastAsia" w:ascii="宋体" w:hAnsi="宋体" w:cs="宋体"/>
          <w:b/>
          <w:color w:val="auto"/>
          <w:sz w:val="22"/>
          <w:szCs w:val="32"/>
          <w:highlight w:val="none"/>
        </w:rPr>
        <w:t xml:space="preserve">12. </w:t>
      </w:r>
      <w:bookmarkEnd w:id="196"/>
      <w:bookmarkEnd w:id="197"/>
      <w:bookmarkEnd w:id="198"/>
      <w:bookmarkEnd w:id="199"/>
      <w:bookmarkEnd w:id="200"/>
      <w:bookmarkEnd w:id="201"/>
      <w:bookmarkEnd w:id="202"/>
      <w:bookmarkEnd w:id="203"/>
      <w:bookmarkEnd w:id="204"/>
      <w:bookmarkEnd w:id="205"/>
      <w:r>
        <w:rPr>
          <w:rFonts w:hint="eastAsia" w:ascii="宋体" w:hAnsi="宋体" w:cs="宋体"/>
          <w:b/>
          <w:color w:val="auto"/>
          <w:sz w:val="22"/>
          <w:szCs w:val="32"/>
          <w:highlight w:val="none"/>
        </w:rPr>
        <w:t>合同价格、计量与支付</w:t>
      </w:r>
      <w:bookmarkEnd w:id="206"/>
    </w:p>
    <w:bookmarkEnd w:id="207"/>
    <w:bookmarkEnd w:id="208"/>
    <w:bookmarkEnd w:id="209"/>
    <w:bookmarkEnd w:id="210"/>
    <w:bookmarkEnd w:id="211"/>
    <w:bookmarkEnd w:id="212"/>
    <w:p>
      <w:pPr>
        <w:adjustRightInd w:val="0"/>
        <w:snapToGrid w:val="0"/>
        <w:spacing w:line="440" w:lineRule="exact"/>
        <w:ind w:firstLine="460" w:firstLineChars="200"/>
        <w:rPr>
          <w:rFonts w:ascii="宋体" w:hAnsi="宋体" w:cs="宋体"/>
          <w:color w:val="auto"/>
          <w:sz w:val="23"/>
          <w:szCs w:val="23"/>
          <w:highlight w:val="none"/>
        </w:rPr>
      </w:pPr>
      <w:bookmarkStart w:id="213" w:name="_Toc292559916"/>
      <w:bookmarkStart w:id="214" w:name="_Toc292559411"/>
      <w:bookmarkStart w:id="215" w:name="_Toc267251461"/>
      <w:bookmarkStart w:id="216" w:name="_Toc296347205"/>
      <w:bookmarkStart w:id="217" w:name="_Toc296346707"/>
      <w:bookmarkStart w:id="218" w:name="_Toc297048392"/>
      <w:bookmarkStart w:id="219" w:name="_Toc296891246"/>
      <w:bookmarkStart w:id="220" w:name="_Toc296503206"/>
      <w:bookmarkStart w:id="221" w:name="_Toc296891034"/>
      <w:bookmarkStart w:id="222" w:name="_Toc297120506"/>
      <w:bookmarkStart w:id="223" w:name="_Toc296944545"/>
      <w:bookmarkStart w:id="224" w:name="_Toc300935003"/>
      <w:bookmarkStart w:id="225" w:name="_Toc312678041"/>
      <w:bookmarkStart w:id="226" w:name="_Toc304295580"/>
      <w:bookmarkStart w:id="227" w:name="_Toc297123553"/>
      <w:bookmarkStart w:id="228" w:name="_Toc297216212"/>
      <w:bookmarkStart w:id="229" w:name="_Toc303539160"/>
      <w:r>
        <w:rPr>
          <w:rFonts w:hint="eastAsia" w:ascii="宋体" w:hAnsi="宋体" w:cs="宋体"/>
          <w:color w:val="auto"/>
          <w:sz w:val="23"/>
          <w:szCs w:val="23"/>
          <w:highlight w:val="none"/>
        </w:rPr>
        <w:t>12.1 合</w:t>
      </w:r>
      <w:bookmarkEnd w:id="213"/>
      <w:bookmarkEnd w:id="214"/>
      <w:bookmarkEnd w:id="215"/>
      <w:r>
        <w:rPr>
          <w:rFonts w:hint="eastAsia" w:ascii="宋体" w:hAnsi="宋体" w:cs="宋体"/>
          <w:color w:val="auto"/>
          <w:sz w:val="23"/>
          <w:szCs w:val="23"/>
          <w:highlight w:val="none"/>
        </w:rPr>
        <w:t>同价</w:t>
      </w:r>
      <w:bookmarkEnd w:id="216"/>
      <w:bookmarkEnd w:id="217"/>
      <w:bookmarkEnd w:id="218"/>
      <w:bookmarkEnd w:id="219"/>
      <w:bookmarkEnd w:id="220"/>
      <w:bookmarkEnd w:id="221"/>
      <w:bookmarkEnd w:id="222"/>
      <w:bookmarkEnd w:id="223"/>
      <w:r>
        <w:rPr>
          <w:rFonts w:hint="eastAsia" w:ascii="宋体" w:hAnsi="宋体" w:cs="宋体"/>
          <w:color w:val="auto"/>
          <w:sz w:val="23"/>
          <w:szCs w:val="23"/>
          <w:highlight w:val="none"/>
        </w:rPr>
        <w:t>格形式</w:t>
      </w:r>
    </w:p>
    <w:bookmarkEnd w:id="224"/>
    <w:bookmarkEnd w:id="225"/>
    <w:bookmarkEnd w:id="226"/>
    <w:bookmarkEnd w:id="227"/>
    <w:bookmarkEnd w:id="228"/>
    <w:bookmarkEnd w:id="229"/>
    <w:p>
      <w:pPr>
        <w:adjustRightInd w:val="0"/>
        <w:snapToGrid w:val="0"/>
        <w:spacing w:line="440" w:lineRule="exact"/>
        <w:ind w:firstLine="460" w:firstLineChars="200"/>
        <w:jc w:val="left"/>
        <w:rPr>
          <w:rFonts w:ascii="宋体" w:hAnsi="宋体" w:cs="宋体"/>
          <w:color w:val="auto"/>
          <w:sz w:val="23"/>
          <w:szCs w:val="23"/>
          <w:highlight w:val="none"/>
        </w:rPr>
      </w:pPr>
      <w:r>
        <w:rPr>
          <w:rFonts w:hint="eastAsia" w:ascii="宋体" w:hAnsi="宋体" w:cs="宋体"/>
          <w:color w:val="auto"/>
          <w:sz w:val="23"/>
          <w:szCs w:val="23"/>
          <w:highlight w:val="none"/>
        </w:rPr>
        <w:t>1、单价合同。</w:t>
      </w:r>
    </w:p>
    <w:p>
      <w:pPr>
        <w:autoSpaceDE w:val="0"/>
        <w:autoSpaceDN w:val="0"/>
        <w:adjustRightInd w:val="0"/>
        <w:spacing w:line="440" w:lineRule="exact"/>
        <w:ind w:firstLine="460" w:firstLineChars="200"/>
        <w:rPr>
          <w:rFonts w:ascii="宋体" w:hAnsi="宋体" w:cs="宋体"/>
          <w:color w:val="auto"/>
          <w:szCs w:val="21"/>
          <w:highlight w:val="none"/>
        </w:rPr>
      </w:pPr>
      <w:r>
        <w:rPr>
          <w:rFonts w:hint="eastAsia" w:ascii="宋体" w:hAnsi="宋体" w:cs="宋体"/>
          <w:color w:val="auto"/>
          <w:sz w:val="23"/>
          <w:szCs w:val="23"/>
          <w:highlight w:val="none"/>
        </w:rPr>
        <w:t>综合单价包含的风险范围</w:t>
      </w:r>
      <w:r>
        <w:rPr>
          <w:rFonts w:hint="eastAsia" w:ascii="宋体" w:hAnsi="宋体" w:cs="宋体"/>
          <w:color w:val="auto"/>
          <w:szCs w:val="28"/>
          <w:highlight w:val="none"/>
        </w:rPr>
        <w:t>：</w:t>
      </w:r>
      <w:r>
        <w:rPr>
          <w:rFonts w:hint="eastAsia" w:ascii="宋体" w:hAnsi="宋体" w:cs="宋体"/>
          <w:b/>
          <w:color w:val="auto"/>
          <w:sz w:val="23"/>
          <w:szCs w:val="23"/>
          <w:highlight w:val="none"/>
          <w:u w:val="single"/>
        </w:rPr>
        <w:t>投标人在投标报价时须充分考虑到施工期间各类建材的市场风险、施工机械进（退）场费、甲供材料的保管费（如有）、甲方另行分包项目的总包管理费或配合费（如有）、工程实施范围内外可能出现的阻挠施工等各方面的风险因素，除规费、税金、安全文明施工措施费的政策性风险以外，其余结算时不作调整。人工工</w:t>
      </w:r>
      <w:r>
        <w:rPr>
          <w:rFonts w:hint="eastAsia" w:ascii="宋体" w:hAnsi="宋体" w:cs="宋体"/>
          <w:b/>
          <w:color w:val="auto"/>
          <w:sz w:val="23"/>
          <w:szCs w:val="23"/>
          <w:highlight w:val="none"/>
          <w:u w:val="single"/>
          <w:lang w:eastAsia="zh-CN"/>
        </w:rPr>
        <w:t>、</w:t>
      </w:r>
      <w:r>
        <w:rPr>
          <w:rFonts w:hint="eastAsia" w:ascii="宋体" w:hAnsi="宋体" w:cs="宋体"/>
          <w:b/>
          <w:color w:val="auto"/>
          <w:sz w:val="23"/>
          <w:szCs w:val="23"/>
          <w:highlight w:val="none"/>
          <w:u w:val="single"/>
        </w:rPr>
        <w:t>资调整执行《关于发布南通市建设工程人工工资指导价动态管理实施细则的通知》（通建价【2015】10号文）。工程量的风险由发包人承担，价的风险在约定风险范围内的，由承包人承担，风险范围以外的按合同约定。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计量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12.2.1 计量原则</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eastAsia="宋体" w:cs="宋体"/>
          <w:b/>
          <w:bCs/>
          <w:color w:val="auto"/>
          <w:kern w:val="0"/>
          <w:szCs w:val="21"/>
          <w:highlight w:val="none"/>
          <w:u w:val="single"/>
          <w:lang w:eastAsia="zh-CN"/>
        </w:rPr>
        <w:t>按照</w:t>
      </w:r>
      <w:r>
        <w:rPr>
          <w:rFonts w:hint="eastAsia" w:ascii="宋体" w:hAnsi="宋体" w:eastAsia="宋体" w:cs="宋体"/>
          <w:b/>
          <w:bCs/>
          <w:color w:val="auto"/>
          <w:kern w:val="0"/>
          <w:szCs w:val="21"/>
          <w:highlight w:val="none"/>
          <w:u w:val="single"/>
        </w:rPr>
        <w:t>《建设工程工程量清单计价规范》(GB 50500-2013)、《水利工程工程量清单计价规范》 GB 50501-2007)；《市政工程工程量计算规范》（GB50857-2013）、《江苏省水利工程招标投标文件工程量清单格式》（苏水基[2011]21号）；《江苏省市政工程计价表》（2014）、《江苏省建设工程费用定额》（2014年）《江苏省水利工程预算定额》2010年版、＜苏水基（2015）32号文＞；《江苏省水利工程设计概（估）算编制规定》2017年版；基[2016]26号文， “营改增”一般计税。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12.3工程合同款支付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12.3.1付款周期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关于付款周期的约定：</w:t>
      </w:r>
    </w:p>
    <w:p>
      <w:pPr>
        <w:spacing w:line="360" w:lineRule="auto"/>
        <w:ind w:firstLine="422" w:firstLineChars="200"/>
        <w:rPr>
          <w:rFonts w:hint="eastAsia" w:ascii="宋体" w:hAnsi="宋体" w:eastAsia="宋体" w:cs="宋体"/>
          <w:b/>
          <w:bCs/>
          <w:color w:val="auto"/>
          <w:szCs w:val="21"/>
          <w:highlight w:val="none"/>
          <w:u w:val="single"/>
          <w:lang w:eastAsia="zh-CN"/>
        </w:rPr>
      </w:pPr>
      <w:r>
        <w:rPr>
          <w:rFonts w:hint="eastAsia" w:ascii="宋体" w:hAnsi="宋体" w:cs="宋体"/>
          <w:b/>
          <w:bCs/>
          <w:color w:val="auto"/>
          <w:szCs w:val="21"/>
          <w:highlight w:val="none"/>
          <w:u w:val="single"/>
        </w:rPr>
        <w:t>工程</w:t>
      </w:r>
      <w:r>
        <w:rPr>
          <w:rFonts w:hint="eastAsia" w:ascii="宋体" w:hAnsi="宋体" w:cs="宋体"/>
          <w:b/>
          <w:bCs/>
          <w:color w:val="auto"/>
          <w:szCs w:val="21"/>
          <w:highlight w:val="none"/>
          <w:u w:val="single"/>
          <w:lang w:val="en-US" w:eastAsia="zh-CN"/>
        </w:rPr>
        <w:t>完工</w:t>
      </w:r>
      <w:r>
        <w:rPr>
          <w:rFonts w:hint="eastAsia" w:ascii="宋体" w:hAnsi="宋体" w:cs="宋体"/>
          <w:b/>
          <w:bCs/>
          <w:color w:val="auto"/>
          <w:szCs w:val="21"/>
          <w:highlight w:val="none"/>
          <w:u w:val="single"/>
        </w:rPr>
        <w:t>验收合格后支付合同价款的60%；待工程结算审计完成后，承包人应先将审定价的3%作为质保金付至发包人账户，发包人应付至审定价的100%；审定价3%的质保金由发包人在缺陷责任期（2年）届满后一次性无息付清。每次支付前，承包人均应出具项目所在地税务部门开具的相应金额的税务发票。</w:t>
      </w:r>
    </w:p>
    <w:p>
      <w:pPr>
        <w:spacing w:line="360" w:lineRule="auto"/>
        <w:ind w:firstLine="420" w:firstLineChars="200"/>
        <w:rPr>
          <w:rFonts w:hint="eastAsia" w:ascii="宋体" w:hAnsi="宋体" w:eastAsia="宋体" w:cs="宋体"/>
          <w:b/>
          <w:color w:val="auto"/>
          <w:szCs w:val="21"/>
          <w:highlight w:val="none"/>
          <w:u w:val="single"/>
          <w:lang w:val="en-US" w:eastAsia="zh-CN"/>
        </w:rPr>
      </w:pPr>
      <w:r>
        <w:rPr>
          <w:rFonts w:hint="eastAsia" w:ascii="宋体" w:hAnsi="宋体" w:cs="宋体"/>
          <w:color w:val="auto"/>
          <w:szCs w:val="21"/>
          <w:highlight w:val="none"/>
        </w:rPr>
        <w:t>其他：</w:t>
      </w:r>
      <w:r>
        <w:rPr>
          <w:rFonts w:hint="eastAsia" w:ascii="宋体" w:hAnsi="宋体" w:cs="宋体"/>
          <w:color w:val="auto"/>
          <w:szCs w:val="21"/>
          <w:highlight w:val="none"/>
          <w:u w:val="singl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12.3.2进度付款申请单的编制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b/>
          <w:bCs/>
          <w:color w:val="auto"/>
          <w:kern w:val="0"/>
          <w:szCs w:val="21"/>
          <w:highlight w:val="none"/>
          <w:u w:val="single"/>
        </w:rPr>
        <w:t>按通用条款执行。</w:t>
      </w:r>
      <w:r>
        <w:rPr>
          <w:rFonts w:hint="eastAsia" w:ascii="宋体" w:hAnsi="宋体" w:cs="宋体"/>
          <w:b/>
          <w:color w:val="auto"/>
          <w:kern w:val="0"/>
          <w:szCs w:val="21"/>
          <w:highlight w:val="none"/>
          <w:u w:val="single"/>
          <w:lang w:eastAsia="zh-TW"/>
        </w:rPr>
        <w:t>每次支付工程款前，承包人必须开具符合税务部门规定的正式发票。承包人未提供符合要求的发票的，发包人有权拒绝付款。</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Pr>
        <w:spacing w:line="360" w:lineRule="auto"/>
        <w:ind w:firstLine="422" w:firstLineChars="200"/>
        <w:rPr>
          <w:rFonts w:ascii="宋体" w:hAnsi="宋体" w:cs="宋体"/>
          <w:b/>
          <w:color w:val="auto"/>
          <w:szCs w:val="21"/>
          <w:highlight w:val="none"/>
        </w:rPr>
      </w:pPr>
      <w:bookmarkStart w:id="230" w:name="_Toc351203645"/>
      <w:bookmarkStart w:id="231" w:name="_Toc297216223"/>
      <w:bookmarkStart w:id="232" w:name="_Toc297120519"/>
      <w:bookmarkStart w:id="233" w:name="_Toc292559929"/>
      <w:bookmarkStart w:id="234" w:name="_Toc292559424"/>
      <w:bookmarkStart w:id="235" w:name="_Toc296347218"/>
      <w:bookmarkStart w:id="236" w:name="_Toc296944558"/>
      <w:bookmarkStart w:id="237" w:name="_Toc296891259"/>
      <w:bookmarkStart w:id="238" w:name="_Toc296891047"/>
      <w:bookmarkStart w:id="239" w:name="_Toc300935015"/>
      <w:bookmarkStart w:id="240" w:name="_Toc297123564"/>
      <w:bookmarkStart w:id="241" w:name="_Toc303539172"/>
      <w:bookmarkStart w:id="242" w:name="_Toc296503219"/>
      <w:bookmarkStart w:id="243" w:name="_Toc312678053"/>
      <w:bookmarkStart w:id="244" w:name="_Toc304295593"/>
      <w:bookmarkStart w:id="245" w:name="_Toc296346720"/>
      <w:bookmarkStart w:id="246" w:name="_Toc297048405"/>
      <w:r>
        <w:rPr>
          <w:rFonts w:hint="eastAsia" w:ascii="宋体" w:hAnsi="宋体" w:cs="宋体"/>
          <w:b/>
          <w:color w:val="auto"/>
          <w:szCs w:val="21"/>
          <w:highlight w:val="none"/>
        </w:rPr>
        <w:t>13.验收和工程试车</w:t>
      </w:r>
      <w:bookmarkEnd w:id="230"/>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13.1分部分项工程验收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发包人不能按时进行验收时，应提前</w:t>
      </w:r>
      <w:r>
        <w:rPr>
          <w:rFonts w:hint="eastAsia" w:ascii="宋体" w:hAnsi="宋体" w:cs="宋体"/>
          <w:b/>
          <w:color w:val="auto"/>
          <w:szCs w:val="21"/>
          <w:highlight w:val="none"/>
          <w:u w:val="single"/>
        </w:rPr>
        <w:t xml:space="preserve">  24  </w:t>
      </w:r>
      <w:r>
        <w:rPr>
          <w:rFonts w:hint="eastAsia" w:ascii="宋体" w:hAnsi="宋体" w:cs="宋体"/>
          <w:color w:val="auto"/>
          <w:szCs w:val="21"/>
          <w:highlight w:val="none"/>
        </w:rPr>
        <w:t>小时提交书面延期要求。</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color w:val="auto"/>
          <w:szCs w:val="21"/>
          <w:highlight w:val="none"/>
          <w:u w:val="single"/>
        </w:rPr>
        <w:t xml:space="preserve">   48  </w:t>
      </w:r>
      <w:r>
        <w:rPr>
          <w:rFonts w:hint="eastAsia" w:ascii="宋体" w:hAnsi="宋体" w:cs="宋体"/>
          <w:color w:val="auto"/>
          <w:szCs w:val="21"/>
          <w:highlight w:val="none"/>
        </w:rPr>
        <w:t>小时。</w:t>
      </w:r>
    </w:p>
    <w:p>
      <w:pPr>
        <w:spacing w:line="360" w:lineRule="auto"/>
        <w:ind w:firstLine="420" w:firstLineChars="200"/>
        <w:rPr>
          <w:rFonts w:ascii="宋体" w:hAnsi="宋体" w:cs="宋体"/>
          <w:color w:val="auto"/>
          <w:szCs w:val="21"/>
          <w:highlight w:val="none"/>
        </w:rPr>
      </w:pPr>
      <w:bookmarkStart w:id="247" w:name="_Toc300935016"/>
      <w:bookmarkStart w:id="248" w:name="_Toc296346724"/>
      <w:bookmarkStart w:id="249" w:name="_Toc297123565"/>
      <w:bookmarkStart w:id="250" w:name="_Toc296891051"/>
      <w:bookmarkStart w:id="251" w:name="_Toc296503223"/>
      <w:bookmarkStart w:id="252" w:name="_Toc296891263"/>
      <w:bookmarkStart w:id="253" w:name="_Toc304295596"/>
      <w:bookmarkStart w:id="254" w:name="_Toc303539173"/>
      <w:bookmarkStart w:id="255" w:name="_Toc292559933"/>
      <w:bookmarkStart w:id="256" w:name="_Toc312678056"/>
      <w:bookmarkStart w:id="257" w:name="_Toc296944562"/>
      <w:bookmarkStart w:id="258" w:name="_Toc297216224"/>
      <w:bookmarkStart w:id="259" w:name="_Toc297048409"/>
      <w:bookmarkStart w:id="260" w:name="_Toc292559428"/>
      <w:bookmarkStart w:id="261" w:name="_Toc296347222"/>
      <w:bookmarkStart w:id="262" w:name="_Toc297120523"/>
      <w:bookmarkStart w:id="263" w:name="_Toc267251475"/>
      <w:bookmarkStart w:id="264" w:name="_Toc267251476"/>
      <w:bookmarkStart w:id="265" w:name="_Toc267251473"/>
      <w:bookmarkStart w:id="266" w:name="_Toc267251470"/>
      <w:bookmarkStart w:id="267" w:name="_Toc267251472"/>
      <w:bookmarkStart w:id="268" w:name="_Toc267251474"/>
      <w:bookmarkStart w:id="269" w:name="_Toc267251471"/>
      <w:r>
        <w:rPr>
          <w:rFonts w:hint="eastAsia" w:ascii="宋体" w:hAnsi="宋体" w:cs="宋体"/>
          <w:color w:val="auto"/>
          <w:szCs w:val="21"/>
          <w:highlight w:val="none"/>
        </w:rPr>
        <w:t>13.2 竣工验收</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Pr>
        <w:spacing w:line="360" w:lineRule="auto"/>
        <w:ind w:firstLine="420" w:firstLineChars="200"/>
        <w:rPr>
          <w:rFonts w:ascii="宋体" w:hAnsi="宋体" w:cs="宋体"/>
          <w:color w:val="auto"/>
          <w:szCs w:val="21"/>
          <w:highlight w:val="none"/>
        </w:rPr>
      </w:pPr>
      <w:bookmarkStart w:id="270" w:name="_Toc280868704"/>
      <w:bookmarkStart w:id="271" w:name="_Toc280868705"/>
      <w:bookmarkStart w:id="272" w:name="_Toc280868706"/>
      <w:bookmarkStart w:id="273" w:name="_Toc280868707"/>
      <w:bookmarkStart w:id="274" w:name="_Toc280868708"/>
      <w:bookmarkStart w:id="275" w:name="_Toc280868709"/>
      <w:r>
        <w:rPr>
          <w:rFonts w:hint="eastAsia" w:ascii="宋体" w:hAnsi="宋体" w:cs="宋体"/>
          <w:color w:val="auto"/>
          <w:szCs w:val="21"/>
          <w:highlight w:val="none"/>
        </w:rPr>
        <w:t>13.2.1竣工验收程序</w:t>
      </w:r>
    </w:p>
    <w:bookmarkEnd w:id="270"/>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b/>
          <w:color w:val="auto"/>
          <w:szCs w:val="21"/>
          <w:highlight w:val="none"/>
          <w:u w:val="single"/>
        </w:rPr>
        <w:t>按通用条款执行</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b/>
          <w:color w:val="auto"/>
          <w:szCs w:val="21"/>
          <w:highlight w:val="none"/>
          <w:u w:val="single"/>
        </w:rPr>
        <w:t>/</w:t>
      </w:r>
      <w:r>
        <w:rPr>
          <w:rFonts w:hint="eastAsia" w:ascii="宋体" w:hAnsi="宋体" w:cs="宋体"/>
          <w:color w:val="auto"/>
          <w:szCs w:val="21"/>
          <w:highlight w:val="none"/>
        </w:rPr>
        <w:t>。</w:t>
      </w:r>
    </w:p>
    <w:bookmarkEnd w:id="271"/>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13.2.2移交、接收全部与部分工程</w:t>
      </w:r>
    </w:p>
    <w:bookmarkEnd w:id="272"/>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b/>
          <w:color w:val="auto"/>
          <w:szCs w:val="21"/>
          <w:highlight w:val="none"/>
          <w:u w:val="single"/>
        </w:rPr>
        <w:t>颁发工程接收证书后7天内</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rPr>
        <w:t>。</w:t>
      </w:r>
    </w:p>
    <w:bookmarkEnd w:id="273"/>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p>
    <w:bookmarkEnd w:id="274"/>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竣工退场</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rPr>
        <w:t>承包人完成竣工退场的期限：</w:t>
      </w:r>
      <w:r>
        <w:rPr>
          <w:rFonts w:hint="eastAsia" w:ascii="宋体" w:hAnsi="宋体" w:cs="宋体"/>
          <w:b/>
          <w:color w:val="auto"/>
          <w:szCs w:val="21"/>
          <w:highlight w:val="none"/>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pPr>
        <w:spacing w:line="360" w:lineRule="auto"/>
        <w:ind w:firstLine="422" w:firstLineChars="200"/>
        <w:rPr>
          <w:rFonts w:ascii="宋体" w:hAnsi="宋体" w:cs="宋体"/>
          <w:b/>
          <w:color w:val="auto"/>
          <w:szCs w:val="21"/>
          <w:highlight w:val="none"/>
        </w:rPr>
      </w:pPr>
      <w:bookmarkStart w:id="276" w:name="_Toc351203646"/>
      <w:r>
        <w:rPr>
          <w:rFonts w:hint="eastAsia" w:ascii="宋体" w:hAnsi="宋体" w:cs="宋体"/>
          <w:b/>
          <w:color w:val="auto"/>
          <w:szCs w:val="21"/>
          <w:highlight w:val="none"/>
        </w:rPr>
        <w:t>14. 竣工结算</w:t>
      </w:r>
      <w:bookmarkEnd w:id="27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竣工付款申请</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竣工结算审核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b/>
          <w:color w:val="auto"/>
          <w:szCs w:val="21"/>
          <w:highlight w:val="none"/>
          <w:u w:val="single"/>
        </w:rPr>
        <w:t xml:space="preserve">审计结束后30天内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b/>
          <w:color w:val="auto"/>
          <w:szCs w:val="21"/>
          <w:highlight w:val="none"/>
          <w:u w:val="single"/>
        </w:rPr>
        <w:t>发包人在签发竣工付款证书后30天内</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b/>
          <w:color w:val="auto"/>
          <w:szCs w:val="21"/>
          <w:highlight w:val="none"/>
          <w:u w:val="single"/>
        </w:rPr>
        <w:t>由双方协商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最终结清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14.3.1 最终结清申请单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b/>
          <w:color w:val="auto"/>
          <w:szCs w:val="21"/>
          <w:highlight w:val="none"/>
          <w:u w:val="single"/>
        </w:rPr>
        <w:t>按发包人最终要求</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b/>
          <w:color w:val="auto"/>
          <w:szCs w:val="21"/>
          <w:highlight w:val="none"/>
          <w:u w:val="single"/>
        </w:rPr>
        <w:t xml:space="preserve">按通用条款 </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14.3.2 最终结清证书和支付</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⑴</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发包人完成最终结清申请单的审批并颁发最终结清证书的期限：</w:t>
      </w:r>
      <w:r>
        <w:rPr>
          <w:rFonts w:hint="eastAsia" w:ascii="宋体" w:hAnsi="宋体" w:cs="宋体"/>
          <w:b/>
          <w:color w:val="auto"/>
          <w:szCs w:val="21"/>
          <w:highlight w:val="none"/>
          <w:u w:val="single"/>
        </w:rPr>
        <w:t xml:space="preserve"> 收到承包人提交的最终结清申请单后30天内。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⑵</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发包人完成支付的期限：</w:t>
      </w:r>
      <w:r>
        <w:rPr>
          <w:rFonts w:hint="eastAsia" w:ascii="宋体" w:hAnsi="宋体" w:cs="宋体"/>
          <w:b/>
          <w:color w:val="auto"/>
          <w:szCs w:val="21"/>
          <w:highlight w:val="none"/>
          <w:u w:val="single"/>
        </w:rPr>
        <w:t>颁发最终结清证书后30天内</w:t>
      </w:r>
      <w:r>
        <w:rPr>
          <w:rFonts w:hint="eastAsia" w:ascii="宋体" w:hAnsi="宋体" w:cs="宋体"/>
          <w:color w:val="auto"/>
          <w:szCs w:val="21"/>
          <w:highlight w:val="none"/>
        </w:rPr>
        <w:t>。</w:t>
      </w:r>
    </w:p>
    <w:bookmarkEnd w:id="263"/>
    <w:bookmarkEnd w:id="264"/>
    <w:bookmarkEnd w:id="265"/>
    <w:bookmarkEnd w:id="266"/>
    <w:bookmarkEnd w:id="267"/>
    <w:bookmarkEnd w:id="268"/>
    <w:bookmarkEnd w:id="269"/>
    <w:bookmarkEnd w:id="275"/>
    <w:p>
      <w:pPr>
        <w:spacing w:line="360" w:lineRule="auto"/>
        <w:ind w:firstLine="422" w:firstLineChars="200"/>
        <w:rPr>
          <w:rFonts w:ascii="宋体" w:hAnsi="宋体" w:cs="宋体"/>
          <w:b/>
          <w:color w:val="auto"/>
          <w:szCs w:val="21"/>
          <w:highlight w:val="none"/>
        </w:rPr>
      </w:pPr>
      <w:bookmarkStart w:id="277" w:name="_Toc351203647"/>
      <w:bookmarkStart w:id="278" w:name="_Toc267251483"/>
      <w:bookmarkStart w:id="279" w:name="_Toc267251484"/>
      <w:bookmarkStart w:id="280" w:name="_Toc267251485"/>
      <w:bookmarkStart w:id="281" w:name="_Toc267251482"/>
      <w:bookmarkStart w:id="282" w:name="_Toc267251490"/>
      <w:bookmarkStart w:id="283" w:name="_Toc267251486"/>
      <w:bookmarkStart w:id="284" w:name="_Toc267251489"/>
      <w:bookmarkStart w:id="285" w:name="_Toc267251488"/>
      <w:bookmarkStart w:id="286" w:name="_Toc267251501"/>
      <w:bookmarkStart w:id="287" w:name="_Toc267251492"/>
      <w:bookmarkStart w:id="288" w:name="_Toc267251502"/>
      <w:bookmarkStart w:id="289" w:name="_Toc267251494"/>
      <w:bookmarkStart w:id="290" w:name="_Toc267251493"/>
      <w:bookmarkStart w:id="291" w:name="_Toc267251499"/>
      <w:bookmarkStart w:id="292" w:name="_Toc267251503"/>
      <w:bookmarkStart w:id="293" w:name="_Toc267251496"/>
      <w:bookmarkStart w:id="294" w:name="_Toc267251495"/>
      <w:bookmarkStart w:id="295" w:name="_Toc267251498"/>
      <w:bookmarkStart w:id="296" w:name="_Toc267251497"/>
      <w:bookmarkStart w:id="297" w:name="_Toc267251491"/>
      <w:bookmarkStart w:id="298" w:name="_Toc267251504"/>
      <w:bookmarkStart w:id="299" w:name="_Toc267251506"/>
      <w:bookmarkStart w:id="300" w:name="_Toc267251507"/>
      <w:bookmarkStart w:id="301" w:name="_Toc267251508"/>
      <w:bookmarkStart w:id="302" w:name="_Toc267251509"/>
      <w:bookmarkStart w:id="303" w:name="_Toc267251513"/>
      <w:bookmarkStart w:id="304" w:name="_Toc267251510"/>
      <w:bookmarkStart w:id="305" w:name="_Toc267251515"/>
      <w:bookmarkStart w:id="306" w:name="_Toc267251514"/>
      <w:bookmarkStart w:id="307" w:name="_Toc267251511"/>
      <w:r>
        <w:rPr>
          <w:rFonts w:hint="eastAsia" w:ascii="宋体" w:hAnsi="宋体" w:cs="宋体"/>
          <w:b/>
          <w:color w:val="auto"/>
          <w:szCs w:val="21"/>
          <w:highlight w:val="none"/>
        </w:rPr>
        <w:t>15. 缺陷责任期与保修</w:t>
      </w:r>
      <w:bookmarkEnd w:id="27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15.1缺陷责任期</w:t>
      </w:r>
      <w:bookmarkEnd w:id="27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b/>
          <w:color w:val="auto"/>
          <w:szCs w:val="21"/>
          <w:highlight w:val="none"/>
          <w:u w:val="single"/>
          <w:lang w:val="en-US" w:eastAsia="zh-CN"/>
        </w:rPr>
        <w:t>2</w:t>
      </w:r>
      <w:r>
        <w:rPr>
          <w:rFonts w:hint="eastAsia" w:ascii="宋体" w:hAnsi="宋体" w:cs="宋体"/>
          <w:b/>
          <w:color w:val="auto"/>
          <w:szCs w:val="21"/>
          <w:highlight w:val="none"/>
          <w:u w:val="single"/>
        </w:rPr>
        <w:t xml:space="preserve">年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15.2质量保修金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关于是否扣留质量保修金的约定：</w:t>
      </w:r>
      <w:r>
        <w:rPr>
          <w:rFonts w:hint="eastAsia" w:ascii="宋体" w:hAnsi="宋体" w:cs="宋体"/>
          <w:b/>
          <w:color w:val="auto"/>
          <w:szCs w:val="21"/>
          <w:highlight w:val="none"/>
          <w:u w:val="single"/>
        </w:rPr>
        <w:t>扣留</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15.2.1 承包人提供质量保修金的方式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质量保修金采用以下第</w:t>
      </w:r>
      <w:r>
        <w:rPr>
          <w:rFonts w:hint="eastAsia" w:ascii="宋体" w:hAnsi="宋体" w:cs="宋体"/>
          <w:color w:val="auto"/>
          <w:kern w:val="0"/>
          <w:szCs w:val="21"/>
          <w:highlight w:val="none"/>
          <w:u w:val="single"/>
        </w:rPr>
        <w:t>⑵</w:t>
      </w:r>
      <w:r>
        <w:rPr>
          <w:rFonts w:hint="eastAsia" w:ascii="宋体" w:hAnsi="宋体" w:cs="宋体"/>
          <w:color w:val="auto"/>
          <w:szCs w:val="21"/>
          <w:highlight w:val="none"/>
        </w:rPr>
        <w:t>种方式：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⑴</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质量保修金保函，保证金额为：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⑵</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rPr>
        <w:t>审定价</w:t>
      </w:r>
      <w:r>
        <w:rPr>
          <w:rFonts w:hint="eastAsia" w:ascii="宋体" w:hAnsi="宋体" w:cs="宋体"/>
          <w:b/>
          <w:bCs/>
          <w:color w:val="auto"/>
          <w:kern w:val="0"/>
          <w:szCs w:val="21"/>
          <w:highlight w:val="none"/>
          <w:u w:val="single"/>
          <w:lang w:val="en-US" w:eastAsia="zh-CN"/>
        </w:rPr>
        <w:t>3</w:t>
      </w:r>
      <w:r>
        <w:rPr>
          <w:rFonts w:hint="eastAsia" w:ascii="宋体" w:hAnsi="宋体" w:cs="宋体"/>
          <w:b/>
          <w:bCs/>
          <w:color w:val="auto"/>
          <w:kern w:val="0"/>
          <w:szCs w:val="21"/>
          <w:highlight w:val="none"/>
          <w:u w:val="single"/>
        </w:rPr>
        <w:t>%</w:t>
      </w:r>
      <w:r>
        <w:rPr>
          <w:rFonts w:hint="eastAsia" w:ascii="宋体" w:hAnsi="宋体" w:cs="宋体"/>
          <w:color w:val="auto"/>
          <w:szCs w:val="21"/>
          <w:highlight w:val="none"/>
        </w:rPr>
        <w:t>的工程款</w:t>
      </w:r>
      <w:r>
        <w:rPr>
          <w:rFonts w:hint="eastAsia" w:ascii="宋体" w:hAnsi="宋体" w:cs="宋体"/>
          <w:color w:val="auto"/>
          <w:kern w:val="0"/>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3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⑶</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其他方式:</w:t>
      </w:r>
      <w:r>
        <w:rPr>
          <w:rFonts w:hint="eastAsia" w:ascii="宋体" w:hAnsi="宋体" w:cs="宋体"/>
          <w:b/>
          <w:bCs/>
          <w:color w:val="auto"/>
          <w:szCs w:val="21"/>
          <w:highlight w:val="none"/>
          <w:u w:val="single"/>
        </w:rPr>
        <w:t>/</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15.2.2质量保修金的扣留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w:t>
      </w:r>
      <w:r>
        <w:rPr>
          <w:rFonts w:hint="eastAsia" w:ascii="宋体" w:hAnsi="宋体" w:cs="宋体"/>
          <w:color w:val="auto"/>
          <w:szCs w:val="21"/>
          <w:highlight w:val="none"/>
        </w:rPr>
        <w:t>种方式：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⑴</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在支付工程合同款时逐次扣留，在此情形下，质量保修金的计算基数不包括预付款的支付、扣回以及价格调整的金额；</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⑵</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工程竣工结算时一次性扣留质量保</w:t>
      </w:r>
      <w:r>
        <w:rPr>
          <w:rFonts w:hint="eastAsia" w:ascii="宋体" w:hAnsi="宋体" w:cs="宋体"/>
          <w:color w:val="auto"/>
          <w:szCs w:val="21"/>
          <w:highlight w:val="none"/>
        </w:rPr>
        <w:t>修</w:t>
      </w:r>
      <w:r>
        <w:rPr>
          <w:rFonts w:hint="eastAsia" w:ascii="宋体" w:hAnsi="宋体" w:cs="宋体"/>
          <w:color w:val="auto"/>
          <w:kern w:val="0"/>
          <w:szCs w:val="21"/>
          <w:highlight w:val="none"/>
        </w:rPr>
        <w:t>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3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⑶</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其他扣留方式:</w:t>
      </w:r>
      <w:r>
        <w:rPr>
          <w:rFonts w:hint="eastAsia" w:ascii="宋体" w:hAnsi="宋体" w:cs="宋体"/>
          <w:b/>
          <w:bCs/>
          <w:color w:val="auto"/>
          <w:kern w:val="0"/>
          <w:szCs w:val="21"/>
          <w:highlight w:val="none"/>
          <w:u w:val="single"/>
        </w:rPr>
        <w:t>审定价</w:t>
      </w:r>
      <w:r>
        <w:rPr>
          <w:rFonts w:hint="eastAsia" w:ascii="宋体" w:hAnsi="宋体" w:cs="宋体"/>
          <w:b/>
          <w:bCs/>
          <w:color w:val="auto"/>
          <w:kern w:val="0"/>
          <w:szCs w:val="21"/>
          <w:highlight w:val="none"/>
          <w:u w:val="single"/>
          <w:lang w:val="en-US" w:eastAsia="zh-CN"/>
        </w:rPr>
        <w:t>3</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rPr>
        <w:t>。</w:t>
      </w:r>
    </w:p>
    <w:bookmarkEnd w:id="279"/>
    <w:bookmarkEnd w:id="280"/>
    <w:bookmarkEnd w:id="281"/>
    <w:bookmarkEnd w:id="282"/>
    <w:bookmarkEnd w:id="283"/>
    <w:bookmarkEnd w:id="284"/>
    <w:bookmarkEnd w:id="285"/>
    <w:p>
      <w:pPr>
        <w:spacing w:line="360" w:lineRule="auto"/>
        <w:ind w:firstLine="420" w:firstLineChars="200"/>
        <w:rPr>
          <w:rFonts w:ascii="宋体" w:hAnsi="宋体" w:cs="宋体"/>
          <w:color w:val="auto"/>
          <w:szCs w:val="21"/>
          <w:highlight w:val="none"/>
        </w:rPr>
      </w:pPr>
      <w:bookmarkStart w:id="308" w:name="_Toc280868717"/>
      <w:bookmarkStart w:id="309" w:name="_Toc280868718"/>
      <w:r>
        <w:rPr>
          <w:rFonts w:hint="eastAsia" w:ascii="宋体" w:hAnsi="宋体" w:cs="宋体"/>
          <w:color w:val="auto"/>
          <w:szCs w:val="21"/>
          <w:highlight w:val="none"/>
        </w:rPr>
        <w:t>16.1 承包人违约</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16.1.1 承包人违约的情形</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（1）若承包人未按期开工，则发包人按延期1000元/天向承包人收取违约金。</w:t>
      </w:r>
    </w:p>
    <w:p>
      <w:pPr>
        <w:autoSpaceDE w:val="0"/>
        <w:autoSpaceDN w:val="0"/>
        <w:adjustRightInd w:val="0"/>
        <w:spacing w:line="360" w:lineRule="auto"/>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u w:val="single"/>
        </w:rPr>
        <w:t>（2）施工单位出现严重安全、质量事故，或在建设单位规定的整改期限内达不到整改要求或明显无法按期完工的，发包人有权解除合同并要求施工单位退场，并按验收合格的工程量的50%款项结算。</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（3）承包人必须服从发包人的管理监督，施工中发生的质量问题必须及时整改，因承包人原因被责令停工和返工，所造成的责任与损失均由承包人负责 。</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（4）若承包人在施工过程中出现严重质量问题，则根据质量问题的严重程度发包人按每起500元向承包人收取违约金。若存在严重缺陷，则发包人有权终止合同，勒令退场，并罚没全额工程质量保证金。</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（5）承包人的施工质量不符合要求时，承包人若无正当理由拒不整改的，发包人根据严重程度有权对承包人收取1000元的违约金。</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（6）承包人必须确保在施工期间派驻指定管理人员进行现场指导管理</w:t>
      </w:r>
      <w:r>
        <w:rPr>
          <w:rFonts w:hint="eastAsia" w:ascii="宋体" w:hAnsi="宋体" w:cs="宋体"/>
          <w:b/>
          <w:color w:val="auto"/>
          <w:kern w:val="0"/>
          <w:szCs w:val="21"/>
          <w:highlight w:val="none"/>
          <w:u w:val="single"/>
        </w:rPr>
        <w:t>。</w:t>
      </w:r>
    </w:p>
    <w:p>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（7）承包人在工程施工期间必须抓好安全生产工作，如在施工期间发生安全事故，由此所造成的损失由承包人承担。</w:t>
      </w:r>
    </w:p>
    <w:bookmarkEnd w:id="286"/>
    <w:bookmarkEnd w:id="287"/>
    <w:bookmarkEnd w:id="288"/>
    <w:bookmarkEnd w:id="289"/>
    <w:bookmarkEnd w:id="290"/>
    <w:bookmarkEnd w:id="291"/>
    <w:bookmarkEnd w:id="292"/>
    <w:bookmarkEnd w:id="293"/>
    <w:bookmarkEnd w:id="294"/>
    <w:bookmarkEnd w:id="295"/>
    <w:bookmarkEnd w:id="296"/>
    <w:bookmarkEnd w:id="297"/>
    <w:bookmarkEnd w:id="308"/>
    <w:bookmarkEnd w:id="309"/>
    <w:p>
      <w:pPr>
        <w:spacing w:line="360" w:lineRule="auto"/>
        <w:ind w:firstLine="422" w:firstLineChars="200"/>
        <w:rPr>
          <w:rFonts w:ascii="宋体" w:hAnsi="宋体" w:cs="宋体"/>
          <w:b/>
          <w:color w:val="auto"/>
          <w:szCs w:val="21"/>
          <w:highlight w:val="none"/>
        </w:rPr>
      </w:pPr>
      <w:bookmarkStart w:id="310" w:name="_Toc351203651"/>
      <w:r>
        <w:rPr>
          <w:rFonts w:hint="eastAsia" w:ascii="宋体" w:hAnsi="宋体" w:cs="宋体"/>
          <w:b/>
          <w:color w:val="auto"/>
          <w:szCs w:val="21"/>
          <w:highlight w:val="none"/>
        </w:rPr>
        <w:t>17. 争议解决</w:t>
      </w:r>
      <w:bookmarkEnd w:id="310"/>
    </w:p>
    <w:bookmarkEnd w:id="298"/>
    <w:bookmarkEnd w:id="29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争</w:t>
      </w:r>
      <w:bookmarkEnd w:id="300"/>
      <w:r>
        <w:rPr>
          <w:rFonts w:hint="eastAsia" w:ascii="宋体" w:hAnsi="宋体" w:cs="宋体"/>
          <w:color w:val="auto"/>
          <w:szCs w:val="21"/>
          <w:highlight w:val="none"/>
        </w:rPr>
        <w:t>议评审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b/>
          <w:color w:val="auto"/>
          <w:szCs w:val="21"/>
          <w:highlight w:val="none"/>
          <w:u w:val="single"/>
        </w:rPr>
        <w:t>同意</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17.2仲裁或诉讼</w:t>
      </w:r>
      <w:bookmarkEnd w:id="30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种方式解决：</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（1）向</w:t>
      </w:r>
      <w:r>
        <w:rPr>
          <w:rFonts w:hint="eastAsia" w:ascii="宋体" w:hAnsi="宋体" w:cs="宋体"/>
          <w:b/>
          <w:color w:val="auto"/>
          <w:szCs w:val="21"/>
          <w:highlight w:val="none"/>
          <w:u w:val="single"/>
        </w:rPr>
        <w:t xml:space="preserve"> 南通 </w:t>
      </w:r>
      <w:r>
        <w:rPr>
          <w:rFonts w:hint="eastAsia" w:ascii="宋体" w:hAnsi="宋体" w:cs="宋体"/>
          <w:b/>
          <w:color w:val="auto"/>
          <w:szCs w:val="21"/>
          <w:highlight w:val="none"/>
        </w:rPr>
        <w:t>仲裁委员会申请仲裁；</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（2）向</w:t>
      </w:r>
      <w:r>
        <w:rPr>
          <w:rFonts w:hint="eastAsia" w:ascii="宋体" w:hAnsi="宋体" w:cs="宋体"/>
          <w:b/>
          <w:bCs/>
          <w:color w:val="auto"/>
          <w:kern w:val="0"/>
          <w:szCs w:val="21"/>
          <w:highlight w:val="none"/>
          <w:u w:val="single"/>
        </w:rPr>
        <w:t xml:space="preserve">/ </w:t>
      </w:r>
      <w:r>
        <w:rPr>
          <w:rFonts w:hint="eastAsia" w:ascii="宋体" w:hAnsi="宋体" w:cs="宋体"/>
          <w:b/>
          <w:color w:val="auto"/>
          <w:szCs w:val="21"/>
          <w:highlight w:val="none"/>
        </w:rPr>
        <w:t>人民法院起诉。</w:t>
      </w:r>
      <w:bookmarkEnd w:id="302"/>
      <w:bookmarkEnd w:id="303"/>
      <w:bookmarkEnd w:id="304"/>
      <w:bookmarkEnd w:id="305"/>
      <w:bookmarkEnd w:id="306"/>
      <w:bookmarkEnd w:id="30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17.3补充条款</w:t>
      </w:r>
    </w:p>
    <w:p>
      <w:pPr>
        <w:adjustRightInd w:val="0"/>
        <w:snapToGrid w:val="0"/>
        <w:spacing w:line="360" w:lineRule="auto"/>
        <w:ind w:firstLine="422" w:firstLineChars="200"/>
        <w:rPr>
          <w:rFonts w:ascii="宋体" w:hAnsi="宋体" w:cs="宋体"/>
          <w:b/>
          <w:color w:val="auto"/>
          <w:szCs w:val="21"/>
          <w:highlight w:val="none"/>
        </w:rPr>
      </w:pPr>
      <w:bookmarkStart w:id="311" w:name="_Toc351203652"/>
      <w:r>
        <w:rPr>
          <w:rFonts w:hint="eastAsia" w:ascii="宋体" w:hAnsi="宋体" w:cs="宋体"/>
          <w:b/>
          <w:bCs/>
          <w:color w:val="auto"/>
          <w:szCs w:val="21"/>
          <w:highlight w:val="none"/>
          <w:u w:val="single"/>
        </w:rPr>
        <w:t>17.3.1</w:t>
      </w:r>
      <w:r>
        <w:rPr>
          <w:rFonts w:hint="eastAsia" w:ascii="宋体" w:hAnsi="宋体" w:cs="宋体"/>
          <w:b/>
          <w:color w:val="auto"/>
          <w:szCs w:val="21"/>
          <w:highlight w:val="none"/>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color w:val="auto"/>
          <w:szCs w:val="21"/>
          <w:highlight w:val="none"/>
        </w:rPr>
        <w:t>。</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17.3.2</w:t>
      </w:r>
      <w:r>
        <w:rPr>
          <w:rFonts w:hint="eastAsia" w:ascii="宋体" w:hAnsi="宋体" w:cs="宋体"/>
          <w:b/>
          <w:color w:val="auto"/>
          <w:szCs w:val="21"/>
          <w:highlight w:val="none"/>
          <w:u w:val="single"/>
        </w:rPr>
        <w:t>本工程严禁使用不合格或不符合设计要求的材料，一经发现，限期退场，不按要求退场的，造成的损失由承包人负责。</w:t>
      </w:r>
      <w:r>
        <w:rPr>
          <w:rFonts w:hint="eastAsia" w:ascii="宋体" w:hAnsi="宋体" w:cs="宋体"/>
          <w:b/>
          <w:color w:val="auto"/>
          <w:kern w:val="0"/>
          <w:szCs w:val="21"/>
          <w:highlight w:val="none"/>
          <w:u w:val="single"/>
        </w:rPr>
        <w:t>使用不符合标准、规格、质量和品牌要求（包括建设单位供应材料由于承包人验收把关不严）的工程材料承包人无条件更换和返工，并按照不合格材料购进总额的30%向发包人支付违约金。</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w:t>
      </w:r>
      <w:r>
        <w:rPr>
          <w:rFonts w:hint="eastAsia" w:ascii="宋体" w:hAnsi="宋体" w:cs="宋体"/>
          <w:b/>
          <w:color w:val="auto"/>
          <w:szCs w:val="21"/>
          <w:highlight w:val="none"/>
          <w:u w:val="single"/>
        </w:rPr>
        <w:t xml:space="preserve">.3如购进的材料设备与提供的样品不一致时，由承包人无条件退货，造成的损失由承包人负责。 </w:t>
      </w:r>
    </w:p>
    <w:p>
      <w:pPr>
        <w:adjustRightInd w:val="0"/>
        <w:snapToGrid w:val="0"/>
        <w:spacing w:line="360" w:lineRule="auto"/>
        <w:ind w:firstLine="422" w:firstLineChars="200"/>
        <w:rPr>
          <w:rFonts w:ascii="宋体" w:hAnsi="宋体" w:cs="宋体"/>
          <w:b/>
          <w:bCs/>
          <w:color w:val="auto"/>
          <w:spacing w:val="-6"/>
          <w:szCs w:val="21"/>
          <w:highlight w:val="none"/>
          <w:u w:val="single"/>
        </w:rPr>
      </w:pPr>
      <w:r>
        <w:rPr>
          <w:rFonts w:hint="eastAsia" w:ascii="宋体" w:hAnsi="宋体" w:cs="宋体"/>
          <w:b/>
          <w:bCs/>
          <w:color w:val="auto"/>
          <w:szCs w:val="21"/>
          <w:highlight w:val="none"/>
          <w:u w:val="single"/>
        </w:rPr>
        <w:t>17.3</w:t>
      </w:r>
      <w:r>
        <w:rPr>
          <w:rFonts w:hint="eastAsia" w:ascii="宋体" w:hAnsi="宋体" w:cs="宋体"/>
          <w:b/>
          <w:bCs/>
          <w:color w:val="auto"/>
          <w:spacing w:val="-6"/>
          <w:szCs w:val="21"/>
          <w:highlight w:val="none"/>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17.3.5在履行合同过程中，承包人不得转包，应遵守国家或地方的法律、法规、法令，或任何对工程有管辖权的部门的规章，并按要求支付有关费用。一经发现，取消承包资格，已完成的工程量不予结算。</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17.3.6</w:t>
      </w:r>
      <w:r>
        <w:rPr>
          <w:rFonts w:hint="eastAsia" w:ascii="宋体" w:hAnsi="宋体" w:cs="宋体"/>
          <w:b/>
          <w:color w:val="auto"/>
          <w:szCs w:val="21"/>
          <w:highlight w:val="none"/>
          <w:u w:val="single"/>
        </w:rPr>
        <w:t>承包人在施工过程中必须文明、安全、规范施工，保持环境整洁，减少扰民影响，若有违章行为按规定处罚，一切责任自负。</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17.3.7施工过程中所需的垂直运输费由各投标人自行考虑，其费用列入投标报价，工程结算时不作调整。</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17.3.8发生下列情况，承包人不向发包人收取任何费用：</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①承包人为了加快工程进度和保证进度和保证工程正常进行，采取的各种措施；</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fldChar w:fldCharType="begin"/>
      </w:r>
      <w:r>
        <w:rPr>
          <w:rFonts w:hint="eastAsia" w:ascii="宋体" w:hAnsi="宋体" w:cs="宋体"/>
          <w:b/>
          <w:bCs/>
          <w:color w:val="auto"/>
          <w:szCs w:val="21"/>
          <w:highlight w:val="none"/>
          <w:u w:val="single"/>
        </w:rPr>
        <w:instrText xml:space="preserve"> = 2 \* GB3 </w:instrText>
      </w:r>
      <w:r>
        <w:rPr>
          <w:rFonts w:hint="eastAsia" w:ascii="宋体" w:hAnsi="宋体" w:cs="宋体"/>
          <w:b/>
          <w:bCs/>
          <w:color w:val="auto"/>
          <w:szCs w:val="21"/>
          <w:highlight w:val="none"/>
          <w:u w:val="single"/>
        </w:rPr>
        <w:fldChar w:fldCharType="separate"/>
      </w:r>
      <w:r>
        <w:rPr>
          <w:rFonts w:hint="eastAsia" w:ascii="宋体" w:hAnsi="宋体" w:cs="宋体"/>
          <w:b/>
          <w:bCs/>
          <w:color w:val="auto"/>
          <w:szCs w:val="21"/>
          <w:highlight w:val="none"/>
          <w:u w:val="single"/>
        </w:rPr>
        <w:t>②</w:t>
      </w:r>
      <w:r>
        <w:rPr>
          <w:rFonts w:hint="eastAsia" w:ascii="宋体" w:hAnsi="宋体" w:cs="宋体"/>
          <w:b/>
          <w:bCs/>
          <w:color w:val="auto"/>
          <w:szCs w:val="21"/>
          <w:highlight w:val="none"/>
          <w:u w:val="single"/>
        </w:rPr>
        <w:fldChar w:fldCharType="end"/>
      </w:r>
      <w:r>
        <w:rPr>
          <w:rFonts w:hint="eastAsia" w:ascii="宋体" w:hAnsi="宋体" w:cs="宋体"/>
          <w:b/>
          <w:bCs/>
          <w:color w:val="auto"/>
          <w:szCs w:val="21"/>
          <w:highlight w:val="none"/>
          <w:u w:val="single"/>
        </w:rPr>
        <w:t>施工期间清理所有建筑垃圾。</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17.3.10资料：分包单位提供完整技术竣工资料交承包人，纳入竣工资料管理。</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17.3.11工程结算约定：</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）工程结算约定：</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default" w:ascii="Calibri" w:hAnsi="Calibri" w:cs="Calibri"/>
          <w:b/>
          <w:bCs/>
          <w:color w:val="auto"/>
          <w:szCs w:val="21"/>
          <w:highlight w:val="none"/>
          <w:u w:val="single"/>
        </w:rPr>
        <w:t>①</w:t>
      </w:r>
      <w:r>
        <w:rPr>
          <w:rFonts w:hint="eastAsia" w:ascii="宋体" w:hAnsi="宋体" w:cs="宋体"/>
          <w:b/>
          <w:bCs/>
          <w:color w:val="auto"/>
          <w:szCs w:val="21"/>
          <w:highlight w:val="none"/>
          <w:u w:val="single"/>
        </w:rPr>
        <w:t>施工用水用电由承包人与发包人按定额用量结算。</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default" w:ascii="Calibri" w:hAnsi="Calibri" w:cs="Calibri"/>
          <w:b/>
          <w:bCs/>
          <w:color w:val="auto"/>
          <w:szCs w:val="21"/>
          <w:highlight w:val="none"/>
          <w:u w:val="single"/>
        </w:rPr>
        <w:t>②</w:t>
      </w:r>
      <w:r>
        <w:rPr>
          <w:rFonts w:hint="eastAsia" w:ascii="宋体" w:hAnsi="宋体" w:cs="宋体"/>
          <w:b/>
          <w:bCs/>
          <w:color w:val="auto"/>
          <w:szCs w:val="21"/>
          <w:highlight w:val="none"/>
          <w:u w:val="single"/>
        </w:rPr>
        <w:t>工程结算中发现承包人擅自改变了暂定价部分材料及项目数量及单价，则少计或漏计部分按</w:t>
      </w:r>
      <w:r>
        <w:rPr>
          <w:rFonts w:hint="eastAsia" w:ascii="宋体" w:hAnsi="宋体" w:cs="宋体"/>
          <w:b/>
          <w:bCs/>
          <w:color w:val="auto"/>
          <w:szCs w:val="21"/>
          <w:highlight w:val="none"/>
          <w:u w:val="single"/>
          <w:lang w:val="en-US" w:eastAsia="zh-CN"/>
        </w:rPr>
        <w:t>招标</w:t>
      </w:r>
      <w:r>
        <w:rPr>
          <w:rFonts w:hint="eastAsia" w:ascii="宋体" w:hAnsi="宋体" w:cs="宋体"/>
          <w:b/>
          <w:bCs/>
          <w:color w:val="auto"/>
          <w:szCs w:val="21"/>
          <w:highlight w:val="none"/>
          <w:u w:val="single"/>
        </w:rPr>
        <w:t>文件规定扣除，多计部分按承包人投标报价扣除。</w:t>
      </w:r>
    </w:p>
    <w:p>
      <w:pPr>
        <w:adjustRightInd w:val="0"/>
        <w:snapToGrid w:val="0"/>
        <w:spacing w:line="360" w:lineRule="auto"/>
        <w:ind w:firstLine="422" w:firstLineChars="200"/>
        <w:rPr>
          <w:rFonts w:hint="default" w:ascii="宋体" w:hAnsi="宋体" w:eastAsia="宋体" w:cs="宋体"/>
          <w:b/>
          <w:bCs/>
          <w:color w:val="auto"/>
          <w:szCs w:val="21"/>
          <w:highlight w:val="none"/>
          <w:u w:val="single"/>
          <w:lang w:val="en-US" w:eastAsia="zh-CN"/>
        </w:rPr>
      </w:pPr>
      <w:r>
        <w:rPr>
          <w:rFonts w:hint="default" w:ascii="Calibri" w:hAnsi="Calibri" w:cs="Calibri"/>
          <w:b/>
          <w:bCs/>
          <w:color w:val="auto"/>
          <w:szCs w:val="21"/>
          <w:highlight w:val="none"/>
          <w:u w:val="single"/>
        </w:rPr>
        <w:t>③</w:t>
      </w:r>
      <w:r>
        <w:rPr>
          <w:rFonts w:hint="eastAsia" w:ascii="宋体" w:hAnsi="宋体" w:cs="宋体"/>
          <w:b/>
          <w:bCs/>
          <w:color w:val="auto"/>
          <w:szCs w:val="21"/>
          <w:highlight w:val="none"/>
          <w:u w:val="single"/>
        </w:rPr>
        <w:t>工程最终结算价以第三方审计的最终审定价为准。发包人委托监理初审、第三方审计终审，承包人应如实报送工程竣工结算，如经审核后单项工程核减率在5%以上(含5%)</w:t>
      </w:r>
      <w:r>
        <w:rPr>
          <w:rFonts w:hint="eastAsia" w:ascii="宋体" w:hAnsi="宋体" w:cs="宋体"/>
          <w:b/>
          <w:bCs/>
          <w:color w:val="auto"/>
          <w:szCs w:val="21"/>
          <w:highlight w:val="none"/>
          <w:u w:val="single"/>
          <w:lang w:val="en-US" w:eastAsia="zh-CN"/>
        </w:rPr>
        <w:t>的，超出5%部分</w:t>
      </w:r>
      <w:r>
        <w:rPr>
          <w:rFonts w:hint="eastAsia" w:ascii="宋体" w:hAnsi="宋体" w:cs="宋体"/>
          <w:b/>
          <w:bCs/>
          <w:color w:val="auto"/>
          <w:szCs w:val="21"/>
          <w:highlight w:val="none"/>
          <w:u w:val="single"/>
        </w:rPr>
        <w:t>的审计费用由承包人承担</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付工程款前需向发包人递交已支付的审计费发票）；</w:t>
      </w:r>
      <w:r>
        <w:rPr>
          <w:rFonts w:hint="eastAsia" w:ascii="宋体" w:hAnsi="宋体" w:cs="宋体"/>
          <w:b/>
          <w:bCs/>
          <w:color w:val="auto"/>
          <w:szCs w:val="21"/>
          <w:highlight w:val="none"/>
          <w:u w:val="single"/>
        </w:rPr>
        <w:t>核减率在5%以下的审计费用由发包人承担。</w:t>
      </w:r>
      <w:r>
        <w:rPr>
          <w:rFonts w:hint="eastAsia" w:ascii="宋体" w:hAnsi="宋体" w:cs="宋体"/>
          <w:b/>
          <w:bCs/>
          <w:color w:val="auto"/>
          <w:szCs w:val="21"/>
          <w:highlight w:val="none"/>
          <w:u w:val="single"/>
          <w:lang w:val="en-US" w:eastAsia="zh-CN"/>
        </w:rPr>
        <w:t>核减率=（送审价-审定价）/送审价*100%</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在施工过程中的开槽、埋管、堵补费，吊顶、隔墙侧板的封堵压条用由承包人自行承担，该费用包含在总价中，工程结算时不作调整。为完成单项工程项目所采取的各项措施应已包含在综合单价中，结算不再调整。</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4）承包人现场勘查，拆除费用一次包定不再调整。投标单位应对现场情况自行勘查，投标时应考虑完成施工项目所产生的材料二次搬运费，且该部分费用包含在合同总价中不调整；路面标高达到甲方要求，回填找平费用含在合同总价中，结算时不予调整。   </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（5）为了不影响</w:t>
      </w:r>
      <w:r>
        <w:rPr>
          <w:rFonts w:hint="eastAsia" w:ascii="宋体" w:hAnsi="宋体" w:cs="宋体"/>
          <w:b/>
          <w:bCs/>
          <w:color w:val="auto"/>
          <w:szCs w:val="21"/>
          <w:highlight w:val="none"/>
          <w:u w:val="single"/>
          <w:lang w:eastAsia="zh-CN"/>
        </w:rPr>
        <w:t>招标人</w:t>
      </w:r>
      <w:r>
        <w:rPr>
          <w:rFonts w:hint="eastAsia" w:ascii="宋体" w:hAnsi="宋体" w:cs="宋体"/>
          <w:b/>
          <w:bCs/>
          <w:color w:val="auto"/>
          <w:szCs w:val="21"/>
          <w:highlight w:val="none"/>
          <w:u w:val="single"/>
        </w:rPr>
        <w:t>师生的正常教学、生活所采取的各项防护围挡等措施项目费由各投标单位结合实际情况自行考虑，并列入投标总价，该费用一次性包死，结算时一律不作调整。因施工场地狭小而发生的一切费用由各投标人自行考虑，所有费用包含在投标报价中，竣工结算时一律不作调整。</w:t>
      </w:r>
    </w:p>
    <w:p>
      <w:pPr>
        <w:adjustRightInd w:val="0"/>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（6）竣工交付发包人前，承包人对全部工程区做一次全面卫生保洁；</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）安全文明施工措施费，结算时按有关部门核定为准。</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）下列费用在竣工结算时不作任何调整：</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b因施工场地狭小而发生的一切费用。</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c本工程的水源、电源已接至本工程范围内，再接至施工场地相关事宜由承包人自行安排。</w:t>
      </w:r>
      <w:r>
        <w:rPr>
          <w:rFonts w:hint="eastAsia"/>
          <w:b/>
          <w:color w:val="auto"/>
          <w:szCs w:val="21"/>
          <w:highlight w:val="none"/>
          <w:u w:val="single"/>
        </w:rPr>
        <w:t>承包人已认真踏勘过施工现场，考虑因各种困难因素所发生的一切费用，并已包含在合同价中，承包人不得以此为由提出额外增加费用的要求。临时</w:t>
      </w:r>
      <w:r>
        <w:rPr>
          <w:b/>
          <w:color w:val="auto"/>
          <w:szCs w:val="21"/>
          <w:highlight w:val="none"/>
          <w:u w:val="single"/>
        </w:rPr>
        <w:t>供</w:t>
      </w:r>
      <w:r>
        <w:rPr>
          <w:rFonts w:hint="eastAsia"/>
          <w:b/>
          <w:color w:val="auto"/>
          <w:szCs w:val="21"/>
          <w:highlight w:val="none"/>
          <w:u w:val="single"/>
        </w:rPr>
        <w:t>水、</w:t>
      </w:r>
      <w:r>
        <w:rPr>
          <w:b/>
          <w:color w:val="auto"/>
          <w:szCs w:val="21"/>
          <w:highlight w:val="none"/>
          <w:u w:val="single"/>
        </w:rPr>
        <w:t>电接通费</w:t>
      </w:r>
      <w:r>
        <w:rPr>
          <w:rFonts w:hint="eastAsia"/>
          <w:b/>
          <w:color w:val="auto"/>
          <w:szCs w:val="21"/>
          <w:highlight w:val="none"/>
          <w:u w:val="single"/>
        </w:rPr>
        <w:t>由承包</w:t>
      </w:r>
      <w:r>
        <w:rPr>
          <w:b/>
          <w:color w:val="auto"/>
          <w:szCs w:val="21"/>
          <w:highlight w:val="none"/>
          <w:u w:val="single"/>
        </w:rPr>
        <w:t>人承担</w:t>
      </w:r>
      <w:r>
        <w:rPr>
          <w:rFonts w:hint="eastAsia"/>
          <w:b/>
          <w:color w:val="auto"/>
          <w:szCs w:val="21"/>
          <w:highlight w:val="none"/>
          <w:u w:val="single"/>
        </w:rPr>
        <w:t>。</w:t>
      </w:r>
      <w:r>
        <w:rPr>
          <w:b/>
          <w:color w:val="auto"/>
          <w:szCs w:val="21"/>
          <w:highlight w:val="none"/>
          <w:u w:val="single"/>
        </w:rPr>
        <w:t>水</w:t>
      </w:r>
      <w:r>
        <w:rPr>
          <w:rFonts w:hint="eastAsia"/>
          <w:b/>
          <w:color w:val="auto"/>
          <w:szCs w:val="21"/>
          <w:highlight w:val="none"/>
          <w:u w:val="single"/>
        </w:rPr>
        <w:t>、</w:t>
      </w:r>
      <w:r>
        <w:rPr>
          <w:b/>
          <w:color w:val="auto"/>
          <w:szCs w:val="21"/>
          <w:highlight w:val="none"/>
          <w:u w:val="single"/>
        </w:rPr>
        <w:t>电费</w:t>
      </w:r>
      <w:r>
        <w:rPr>
          <w:rFonts w:hint="eastAsia"/>
          <w:b/>
          <w:color w:val="auto"/>
          <w:szCs w:val="21"/>
          <w:highlight w:val="none"/>
          <w:u w:val="single"/>
        </w:rPr>
        <w:t>按</w:t>
      </w:r>
      <w:r>
        <w:rPr>
          <w:b/>
          <w:color w:val="auto"/>
          <w:szCs w:val="21"/>
          <w:highlight w:val="none"/>
          <w:u w:val="single"/>
        </w:rPr>
        <w:t>审定价</w:t>
      </w:r>
      <w:r>
        <w:rPr>
          <w:rFonts w:hint="eastAsia"/>
          <w:b/>
          <w:color w:val="auto"/>
          <w:szCs w:val="21"/>
          <w:highlight w:val="none"/>
          <w:u w:val="single"/>
        </w:rPr>
        <w:t>在</w:t>
      </w:r>
      <w:r>
        <w:rPr>
          <w:b/>
          <w:color w:val="auto"/>
          <w:szCs w:val="21"/>
          <w:highlight w:val="none"/>
          <w:u w:val="single"/>
        </w:rPr>
        <w:t>财务结算时扣除。</w:t>
      </w:r>
      <w:r>
        <w:rPr>
          <w:rFonts w:hint="eastAsia"/>
          <w:b/>
          <w:color w:val="auto"/>
          <w:szCs w:val="21"/>
          <w:highlight w:val="none"/>
          <w:u w:val="single"/>
        </w:rPr>
        <w:t>（如承包人与</w:t>
      </w:r>
      <w:r>
        <w:rPr>
          <w:rFonts w:hint="eastAsia"/>
          <w:b/>
          <w:color w:val="auto"/>
          <w:szCs w:val="21"/>
          <w:highlight w:val="none"/>
          <w:u w:val="single"/>
          <w:lang w:eastAsia="zh-CN"/>
        </w:rPr>
        <w:t>招标人</w:t>
      </w:r>
      <w:r>
        <w:rPr>
          <w:rFonts w:hint="eastAsia"/>
          <w:b/>
          <w:color w:val="auto"/>
          <w:szCs w:val="21"/>
          <w:highlight w:val="none"/>
          <w:u w:val="single"/>
        </w:rPr>
        <w:t>或现场管理单位自行结算，需提供书面证明材料，财务结算时不予扣除）。</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d承包人对工程周边的有关群众工作，工程实施范围内外的单位、个人和其他出现阻挠施工所发生的机械台班停置费、二次机械进退场费、人员窝工、处理周边群众纠纷等费用和损失。</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f承包人为了加快工程进度和保证工程正常进行，采取的与经审核通过的施工组织设计所述不同的其他各种措施费用。</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u w:val="single"/>
        </w:rPr>
        <w:t>17.3.12对已完成工程成品正式移交发包人前，由承包人负责保护，其费用由承包人承担。</w:t>
      </w:r>
    </w:p>
    <w:bookmarkEnd w:id="311"/>
    <w:p>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br w:type="page"/>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协议书附件：</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附件1：承包人承揽工程项目一览表</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专用合同条款附件：</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附件2：发包人供应材料设备一览表（略）</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附件3：工程质量保修书</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附件4：主要建设工程文件目录（略）</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附件5：承包人用于本工程施工的机械设备表</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附件6：承包人主要施工管理人员表</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附件7：暂估价一览表</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附件8：工程建设廉政责任书</w:t>
      </w:r>
    </w:p>
    <w:p>
      <w:pPr>
        <w:spacing w:line="460" w:lineRule="exact"/>
        <w:ind w:firstLine="480" w:firstLineChars="200"/>
        <w:jc w:val="left"/>
        <w:rPr>
          <w:rFonts w:ascii="宋体" w:hAnsi="宋体" w:cs="宋体"/>
          <w:color w:val="auto"/>
          <w:sz w:val="24"/>
          <w:highlight w:val="none"/>
        </w:rPr>
      </w:pPr>
    </w:p>
    <w:p>
      <w:pPr>
        <w:spacing w:line="460" w:lineRule="exact"/>
        <w:ind w:firstLine="480" w:firstLineChars="200"/>
        <w:jc w:val="left"/>
        <w:rPr>
          <w:rFonts w:ascii="宋体" w:hAnsi="宋体" w:cs="宋体"/>
          <w:color w:val="auto"/>
          <w:sz w:val="24"/>
          <w:highlight w:val="none"/>
        </w:rPr>
      </w:pPr>
    </w:p>
    <w:p>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附件1：</w:t>
      </w:r>
    </w:p>
    <w:p>
      <w:pPr>
        <w:spacing w:line="460" w:lineRule="exact"/>
        <w:jc w:val="center"/>
        <w:rPr>
          <w:rFonts w:ascii="宋体" w:hAnsi="宋体" w:cs="宋体"/>
          <w:color w:val="auto"/>
          <w:sz w:val="24"/>
          <w:highlight w:val="none"/>
        </w:rPr>
      </w:pPr>
      <w:r>
        <w:rPr>
          <w:rFonts w:hint="eastAsia" w:ascii="宋体" w:hAnsi="宋体" w:cs="宋体"/>
          <w:b/>
          <w:color w:val="auto"/>
          <w:sz w:val="28"/>
          <w:szCs w:val="28"/>
          <w:highlight w:val="none"/>
        </w:rPr>
        <w:t>承包人承揽工程项目一览表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单位工程名称</w:t>
            </w:r>
          </w:p>
        </w:tc>
        <w:tc>
          <w:tcPr>
            <w:tcW w:w="85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建设</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规模</w:t>
            </w:r>
          </w:p>
        </w:tc>
        <w:tc>
          <w:tcPr>
            <w:tcW w:w="100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建筑面积(㎡)</w:t>
            </w:r>
          </w:p>
        </w:tc>
        <w:tc>
          <w:tcPr>
            <w:tcW w:w="68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结构形式</w:t>
            </w:r>
          </w:p>
        </w:tc>
        <w:tc>
          <w:tcPr>
            <w:tcW w:w="851"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98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生产能力</w:t>
            </w:r>
          </w:p>
        </w:tc>
        <w:tc>
          <w:tcPr>
            <w:tcW w:w="99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设备安装内容</w:t>
            </w:r>
          </w:p>
        </w:tc>
        <w:tc>
          <w:tcPr>
            <w:tcW w:w="90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合同价（元）</w:t>
            </w:r>
          </w:p>
        </w:tc>
        <w:tc>
          <w:tcPr>
            <w:tcW w:w="851"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开工</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851"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竣工</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ascii="宋体" w:hAnsi="宋体" w:cs="宋体"/>
                <w:color w:val="auto"/>
                <w:szCs w:val="21"/>
                <w:highlight w:val="none"/>
              </w:rPr>
            </w:pPr>
          </w:p>
        </w:tc>
        <w:tc>
          <w:tcPr>
            <w:tcW w:w="850" w:type="dxa"/>
          </w:tcPr>
          <w:p>
            <w:pPr>
              <w:spacing w:line="460" w:lineRule="exact"/>
              <w:rPr>
                <w:rFonts w:ascii="宋体" w:hAnsi="宋体" w:cs="宋体"/>
                <w:color w:val="auto"/>
                <w:szCs w:val="21"/>
                <w:highlight w:val="none"/>
              </w:rPr>
            </w:pPr>
          </w:p>
        </w:tc>
        <w:tc>
          <w:tcPr>
            <w:tcW w:w="1005"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982" w:type="dxa"/>
          </w:tcPr>
          <w:p>
            <w:pPr>
              <w:spacing w:line="460" w:lineRule="exact"/>
              <w:rPr>
                <w:rFonts w:ascii="宋体" w:hAnsi="宋体" w:cs="宋体"/>
                <w:color w:val="auto"/>
                <w:szCs w:val="21"/>
                <w:highlight w:val="none"/>
              </w:rPr>
            </w:pPr>
          </w:p>
        </w:tc>
        <w:tc>
          <w:tcPr>
            <w:tcW w:w="995" w:type="dxa"/>
          </w:tcPr>
          <w:p>
            <w:pPr>
              <w:spacing w:line="460" w:lineRule="exact"/>
              <w:rPr>
                <w:rFonts w:ascii="宋体" w:hAnsi="宋体" w:cs="宋体"/>
                <w:color w:val="auto"/>
                <w:szCs w:val="21"/>
                <w:highlight w:val="none"/>
              </w:rPr>
            </w:pPr>
          </w:p>
        </w:tc>
        <w:tc>
          <w:tcPr>
            <w:tcW w:w="906"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c>
          <w:tcPr>
            <w:tcW w:w="851" w:type="dxa"/>
          </w:tcPr>
          <w:p>
            <w:pPr>
              <w:spacing w:line="460" w:lineRule="exact"/>
              <w:rPr>
                <w:rFonts w:ascii="宋体" w:hAnsi="宋体" w:cs="宋体"/>
                <w:color w:val="auto"/>
                <w:szCs w:val="21"/>
                <w:highlight w:val="none"/>
              </w:rPr>
            </w:pPr>
          </w:p>
        </w:tc>
      </w:tr>
    </w:tbl>
    <w:p>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附件2：</w:t>
      </w:r>
    </w:p>
    <w:p>
      <w:pPr>
        <w:spacing w:line="460" w:lineRule="exact"/>
        <w:jc w:val="center"/>
        <w:rPr>
          <w:rFonts w:ascii="宋体" w:hAnsi="宋体" w:cs="宋体"/>
          <w:color w:val="auto"/>
          <w:sz w:val="24"/>
          <w:highlight w:val="none"/>
        </w:rPr>
      </w:pPr>
      <w:r>
        <w:rPr>
          <w:rFonts w:hint="eastAsia" w:ascii="宋体" w:hAnsi="宋体" w:cs="宋体"/>
          <w:b/>
          <w:color w:val="auto"/>
          <w:sz w:val="28"/>
          <w:szCs w:val="28"/>
          <w:highlight w:val="none"/>
        </w:rPr>
        <w:t>发包人供应材料设备一览表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79"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材料、设备品种</w:t>
            </w:r>
          </w:p>
        </w:tc>
        <w:tc>
          <w:tcPr>
            <w:tcW w:w="983"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68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5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37"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单价</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99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质量等级</w:t>
            </w:r>
          </w:p>
        </w:tc>
        <w:tc>
          <w:tcPr>
            <w:tcW w:w="85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供应</w:t>
            </w:r>
          </w:p>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85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送达地点</w:t>
            </w:r>
          </w:p>
        </w:tc>
        <w:tc>
          <w:tcPr>
            <w:tcW w:w="852"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ascii="宋体" w:hAnsi="宋体" w:cs="宋体"/>
                <w:color w:val="auto"/>
                <w:szCs w:val="21"/>
                <w:highlight w:val="none"/>
              </w:rPr>
            </w:pPr>
          </w:p>
        </w:tc>
        <w:tc>
          <w:tcPr>
            <w:tcW w:w="1179" w:type="dxa"/>
          </w:tcPr>
          <w:p>
            <w:pPr>
              <w:spacing w:line="460" w:lineRule="exact"/>
              <w:rPr>
                <w:rFonts w:ascii="宋体" w:hAnsi="宋体" w:cs="宋体"/>
                <w:color w:val="auto"/>
                <w:szCs w:val="21"/>
                <w:highlight w:val="none"/>
              </w:rPr>
            </w:pPr>
          </w:p>
        </w:tc>
        <w:tc>
          <w:tcPr>
            <w:tcW w:w="983" w:type="dxa"/>
          </w:tcPr>
          <w:p>
            <w:pPr>
              <w:spacing w:line="460" w:lineRule="exact"/>
              <w:rPr>
                <w:rFonts w:ascii="宋体" w:hAnsi="宋体" w:cs="宋体"/>
                <w:color w:val="auto"/>
                <w:szCs w:val="21"/>
                <w:highlight w:val="none"/>
              </w:rPr>
            </w:pPr>
          </w:p>
        </w:tc>
        <w:tc>
          <w:tcPr>
            <w:tcW w:w="68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1037" w:type="dxa"/>
          </w:tcPr>
          <w:p>
            <w:pPr>
              <w:spacing w:line="460" w:lineRule="exact"/>
              <w:rPr>
                <w:rFonts w:ascii="宋体" w:hAnsi="宋体" w:cs="宋体"/>
                <w:color w:val="auto"/>
                <w:szCs w:val="21"/>
                <w:highlight w:val="none"/>
              </w:rPr>
            </w:pPr>
          </w:p>
        </w:tc>
        <w:tc>
          <w:tcPr>
            <w:tcW w:w="996"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c>
          <w:tcPr>
            <w:tcW w:w="852" w:type="dxa"/>
          </w:tcPr>
          <w:p>
            <w:pPr>
              <w:spacing w:line="460" w:lineRule="exact"/>
              <w:rPr>
                <w:rFonts w:ascii="宋体" w:hAnsi="宋体" w:cs="宋体"/>
                <w:color w:val="auto"/>
                <w:szCs w:val="21"/>
                <w:highlight w:val="none"/>
              </w:rPr>
            </w:pPr>
          </w:p>
        </w:tc>
      </w:tr>
    </w:tbl>
    <w:p>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附件3：</w:t>
      </w:r>
    </w:p>
    <w:p>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pPr>
        <w:spacing w:line="460" w:lineRule="exact"/>
        <w:ind w:firstLine="480" w:firstLineChars="200"/>
        <w:rPr>
          <w:rFonts w:ascii="宋体" w:hAnsi="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发包人：</w:t>
      </w:r>
      <w:r>
        <w:rPr>
          <w:rFonts w:hint="eastAsia" w:ascii="宋体" w:hAnsi="宋体" w:cs="宋体"/>
          <w:color w:val="auto"/>
          <w:sz w:val="24"/>
          <w:highlight w:val="none"/>
          <w:u w:val="single"/>
          <w:lang w:eastAsia="zh-CN"/>
        </w:rPr>
        <w:t> 南通市崇川区农业农村和水利局</w:t>
      </w:r>
    </w:p>
    <w:p>
      <w:pPr>
        <w:tabs>
          <w:tab w:val="left" w:pos="4176"/>
        </w:tabs>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w:t>
      </w:r>
      <w:r>
        <w:rPr>
          <w:rFonts w:hint="eastAsia" w:ascii="宋体" w:hAnsi="宋体" w:cs="宋体"/>
          <w:color w:val="auto"/>
          <w:sz w:val="24"/>
          <w:highlight w:val="none"/>
          <w:u w:val="single"/>
        </w:rPr>
        <w:tab/>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发包人和承包人根据《中华人民共和国建筑法》和《建设工程质量管理条例》，经协商一致就签订工程质量保修书。</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一、工程质量保修范围和内容</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承包人在质量保修期内，按照有关法律规定和合同约定，承担工程质量保修责任。</w:t>
      </w:r>
    </w:p>
    <w:p>
      <w:pPr>
        <w:autoSpaceDE w:val="0"/>
        <w:autoSpaceDN w:val="0"/>
        <w:adjustRightIn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highlight w:val="none"/>
          <w:u w:val="single"/>
        </w:rPr>
        <w:t>承包合同范围内在保修期内所发生的因建筑材料或施工质量引起的问题进行赔偿、维修。</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二、质量保修期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1．地基基础工程和主体结构工程为设计文件规定的工程合理使用年限；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2．屋面防水工程、有防水要求的卫生间、房间和外墙面的防渗为</w:t>
      </w:r>
      <w:r>
        <w:rPr>
          <w:rFonts w:hint="eastAsia" w:ascii="宋体" w:hAnsi="宋体" w:cs="宋体"/>
          <w:color w:val="auto"/>
          <w:sz w:val="24"/>
          <w:highlight w:val="none"/>
          <w:u w:val="single"/>
        </w:rPr>
        <w:t>5</w:t>
      </w:r>
      <w:r>
        <w:rPr>
          <w:rFonts w:hint="eastAsia" w:ascii="宋体" w:hAnsi="宋体" w:cs="宋体"/>
          <w:color w:val="auto"/>
          <w:sz w:val="24"/>
          <w:highlight w:val="none"/>
        </w:rPr>
        <w:t>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3．装修工程为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4．电气管线、给排水管道、设备安装工程为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5．供热与供冷系统为</w:t>
      </w:r>
      <w:r>
        <w:rPr>
          <w:rFonts w:hint="eastAsia" w:ascii="宋体" w:hAnsi="宋体" w:cs="宋体"/>
          <w:color w:val="auto"/>
          <w:sz w:val="24"/>
          <w:highlight w:val="none"/>
          <w:u w:val="single"/>
        </w:rPr>
        <w:t>2</w:t>
      </w:r>
      <w:r>
        <w:rPr>
          <w:rFonts w:hint="eastAsia" w:ascii="宋体" w:hAnsi="宋体" w:cs="宋体"/>
          <w:color w:val="auto"/>
          <w:sz w:val="24"/>
          <w:highlight w:val="none"/>
        </w:rPr>
        <w:t>个采暖期、供冷期；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6．住宅小区内的给排水设施、道路等配套工程为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7．其他项目保修期限约定如下：</w:t>
      </w:r>
      <w:r>
        <w:rPr>
          <w:rFonts w:hint="eastAsia" w:ascii="宋体" w:hAnsi="宋体" w:cs="宋体"/>
          <w:color w:val="auto"/>
          <w:sz w:val="24"/>
          <w:highlight w:val="none"/>
          <w:u w:val="single"/>
        </w:rPr>
        <w:t>本项目保修期为</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rPr>
        <w:t>。</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质量保修期自工程竣工验收合格之日起计算。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三、缺陷责任期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b/>
          <w:color w:val="auto"/>
          <w:sz w:val="24"/>
          <w:highlight w:val="none"/>
          <w:u w:val="single"/>
          <w:lang w:val="en-US" w:eastAsia="zh-CN"/>
        </w:rPr>
        <w:t>2</w:t>
      </w:r>
      <w:r>
        <w:rPr>
          <w:rFonts w:hint="eastAsia" w:ascii="宋体" w:hAnsi="宋体" w:cs="宋体"/>
          <w:color w:val="auto"/>
          <w:sz w:val="24"/>
          <w:highlight w:val="none"/>
          <w:lang w:eastAsia="zh-CN"/>
        </w:rPr>
        <w:t>年</w:t>
      </w:r>
      <w:r>
        <w:rPr>
          <w:rFonts w:hint="eastAsia" w:ascii="宋体" w:hAnsi="宋体" w:cs="宋体"/>
          <w:color w:val="auto"/>
          <w:sz w:val="24"/>
          <w:highlight w:val="none"/>
        </w:rPr>
        <w:t>，缺陷责任期自工程竣工验收合格之日起计算。单位工程先于全部工程进行验收，单位工程缺陷责任期自单位工程验收合格之日起算。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四、质量保修责任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4．在工程设计使用期内，承包人确保地基基础工程和主体结构的质量。因承包人原因致使工程在设计使用期内造成人身和财产损害的，承包人应承担损害赔偿责任。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5.质量保修完成后，由发包人组织验收。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五、保修费用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保修费用由造成质量缺陷的责任方承担，工程质量保修金为发包人指定的审计部门确认最终审定价的3%。</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、双方约定的其他工程质量保修事项：</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（1）工程保修期内，承包人委托一名代表专职处理本工程的维修工作。</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（2）本合同约定的质量保修金银行利率为0。</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（3）承包人实施工程质量保修须遵守有关规定。</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（4）因承包人未能及时履行保修责任引起发包人的一切损失，均由承包人承担，发生的保修费用由发包人从保修金中抵扣。不足部分，由承包人承担。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本工程质量保修书，由施工合同发包人、承包人三方在竣工验收前共同签署，作为施工合同附件，其有效期限至保修期满。</w:t>
      </w:r>
    </w:p>
    <w:p>
      <w:pPr>
        <w:autoSpaceDE w:val="0"/>
        <w:autoSpaceDN w:val="0"/>
        <w:adjustRightInd w:val="0"/>
        <w:spacing w:line="420" w:lineRule="exact"/>
        <w:jc w:val="left"/>
        <w:rPr>
          <w:rFonts w:ascii="宋体" w:hAnsi="宋体" w:cs="宋体"/>
          <w:color w:val="auto"/>
          <w:kern w:val="0"/>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发包人（公章）：                   承包人（公章）：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法定代表人（签字或盖章）：         法定代表人（签字或盖章）： </w:t>
      </w:r>
    </w:p>
    <w:p>
      <w:pPr>
        <w:spacing w:line="360" w:lineRule="auto"/>
        <w:ind w:firstLine="480" w:firstLineChars="200"/>
        <w:rPr>
          <w:rFonts w:ascii="宋体" w:hAnsi="宋体" w:cs="宋体"/>
          <w:color w:val="auto"/>
          <w:sz w:val="24"/>
          <w:highlight w:val="none"/>
        </w:rPr>
      </w:pPr>
    </w:p>
    <w:p>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 xml:space="preserve">                       年   月  日   </w:t>
      </w:r>
    </w:p>
    <w:p>
      <w:pPr>
        <w:spacing w:line="460" w:lineRule="exac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附件5：</w:t>
      </w:r>
    </w:p>
    <w:p>
      <w:pPr>
        <w:spacing w:before="156" w:beforeLines="50" w:after="156" w:afterLines="50"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18"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机械或设备名称</w:t>
            </w:r>
          </w:p>
        </w:tc>
        <w:tc>
          <w:tcPr>
            <w:tcW w:w="85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规格</w:t>
            </w:r>
          </w:p>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型号</w:t>
            </w:r>
          </w:p>
        </w:tc>
        <w:tc>
          <w:tcPr>
            <w:tcW w:w="1058"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数量</w:t>
            </w:r>
          </w:p>
        </w:tc>
        <w:tc>
          <w:tcPr>
            <w:tcW w:w="88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产地</w:t>
            </w:r>
          </w:p>
        </w:tc>
        <w:tc>
          <w:tcPr>
            <w:tcW w:w="102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制造</w:t>
            </w:r>
          </w:p>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年份</w:t>
            </w:r>
          </w:p>
        </w:tc>
        <w:tc>
          <w:tcPr>
            <w:tcW w:w="148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额定功率(kW)</w:t>
            </w:r>
          </w:p>
        </w:tc>
        <w:tc>
          <w:tcPr>
            <w:tcW w:w="1020"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生产</w:t>
            </w:r>
          </w:p>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能力</w:t>
            </w:r>
          </w:p>
        </w:tc>
        <w:tc>
          <w:tcPr>
            <w:tcW w:w="921" w:type="dxa"/>
            <w:tcBorders>
              <w:top w:val="single" w:color="auto" w:sz="12" w:space="0"/>
              <w:bottom w:val="double" w:color="auto" w:sz="6" w:space="0"/>
            </w:tcBorders>
            <w:vAlign w:val="center"/>
          </w:tcPr>
          <w:p>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418"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85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058"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88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02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48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1020" w:type="dxa"/>
            <w:tcBorders>
              <w:top w:val="double" w:color="auto" w:sz="6" w:space="0"/>
            </w:tcBorders>
            <w:vAlign w:val="center"/>
          </w:tcPr>
          <w:p>
            <w:pPr>
              <w:keepNext/>
              <w:spacing w:line="460" w:lineRule="exact"/>
              <w:ind w:right="63"/>
              <w:rPr>
                <w:rFonts w:ascii="宋体" w:hAnsi="宋体" w:cs="宋体"/>
                <w:color w:val="auto"/>
                <w:sz w:val="24"/>
                <w:highlight w:val="none"/>
              </w:rPr>
            </w:pPr>
          </w:p>
        </w:tc>
        <w:tc>
          <w:tcPr>
            <w:tcW w:w="921" w:type="dxa"/>
            <w:tcBorders>
              <w:top w:val="double" w:color="auto" w:sz="6" w:space="0"/>
            </w:tcBorders>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spacing w:line="460" w:lineRule="exact"/>
              <w:ind w:right="63"/>
              <w:rPr>
                <w:rFonts w:ascii="宋体" w:hAnsi="宋体" w:cs="宋体"/>
                <w:color w:val="auto"/>
                <w:sz w:val="24"/>
                <w:highlight w:val="none"/>
              </w:rPr>
            </w:pPr>
          </w:p>
        </w:tc>
        <w:tc>
          <w:tcPr>
            <w:tcW w:w="1418" w:type="dxa"/>
            <w:tcBorders>
              <w:top w:val="nil"/>
            </w:tcBorders>
            <w:vAlign w:val="center"/>
          </w:tcPr>
          <w:p>
            <w:pPr>
              <w:keepNext/>
              <w:spacing w:line="460" w:lineRule="exact"/>
              <w:ind w:right="63"/>
              <w:rPr>
                <w:rFonts w:ascii="宋体" w:hAnsi="宋体" w:cs="宋体"/>
                <w:color w:val="auto"/>
                <w:sz w:val="24"/>
                <w:highlight w:val="none"/>
              </w:rPr>
            </w:pPr>
          </w:p>
        </w:tc>
        <w:tc>
          <w:tcPr>
            <w:tcW w:w="850" w:type="dxa"/>
            <w:tcBorders>
              <w:top w:val="nil"/>
            </w:tcBorders>
            <w:vAlign w:val="center"/>
          </w:tcPr>
          <w:p>
            <w:pPr>
              <w:keepNext/>
              <w:spacing w:line="460" w:lineRule="exact"/>
              <w:ind w:right="63"/>
              <w:rPr>
                <w:rFonts w:ascii="宋体" w:hAnsi="宋体" w:cs="宋体"/>
                <w:color w:val="auto"/>
                <w:sz w:val="24"/>
                <w:highlight w:val="none"/>
              </w:rPr>
            </w:pPr>
          </w:p>
        </w:tc>
        <w:tc>
          <w:tcPr>
            <w:tcW w:w="1058" w:type="dxa"/>
            <w:tcBorders>
              <w:top w:val="nil"/>
            </w:tcBorders>
            <w:vAlign w:val="center"/>
          </w:tcPr>
          <w:p>
            <w:pPr>
              <w:keepNext/>
              <w:spacing w:line="460" w:lineRule="exact"/>
              <w:ind w:right="63"/>
              <w:rPr>
                <w:rFonts w:ascii="宋体" w:hAnsi="宋体" w:cs="宋体"/>
                <w:color w:val="auto"/>
                <w:sz w:val="24"/>
                <w:highlight w:val="none"/>
              </w:rPr>
            </w:pPr>
          </w:p>
        </w:tc>
        <w:tc>
          <w:tcPr>
            <w:tcW w:w="880" w:type="dxa"/>
            <w:tcBorders>
              <w:top w:val="nil"/>
            </w:tcBorders>
            <w:vAlign w:val="center"/>
          </w:tcPr>
          <w:p>
            <w:pPr>
              <w:keepNext/>
              <w:spacing w:line="460" w:lineRule="exact"/>
              <w:ind w:right="63"/>
              <w:rPr>
                <w:rFonts w:ascii="宋体" w:hAnsi="宋体" w:cs="宋体"/>
                <w:color w:val="auto"/>
                <w:sz w:val="24"/>
                <w:highlight w:val="none"/>
              </w:rPr>
            </w:pPr>
          </w:p>
        </w:tc>
        <w:tc>
          <w:tcPr>
            <w:tcW w:w="1020" w:type="dxa"/>
            <w:tcBorders>
              <w:top w:val="nil"/>
            </w:tcBorders>
            <w:vAlign w:val="center"/>
          </w:tcPr>
          <w:p>
            <w:pPr>
              <w:keepNext/>
              <w:spacing w:line="460" w:lineRule="exact"/>
              <w:ind w:right="63"/>
              <w:rPr>
                <w:rFonts w:ascii="宋体" w:hAnsi="宋体" w:cs="宋体"/>
                <w:color w:val="auto"/>
                <w:sz w:val="24"/>
                <w:highlight w:val="none"/>
              </w:rPr>
            </w:pPr>
          </w:p>
        </w:tc>
        <w:tc>
          <w:tcPr>
            <w:tcW w:w="1480" w:type="dxa"/>
            <w:tcBorders>
              <w:top w:val="nil"/>
            </w:tcBorders>
            <w:vAlign w:val="center"/>
          </w:tcPr>
          <w:p>
            <w:pPr>
              <w:keepNext/>
              <w:spacing w:line="460" w:lineRule="exact"/>
              <w:ind w:right="63"/>
              <w:rPr>
                <w:rFonts w:ascii="宋体" w:hAnsi="宋体" w:cs="宋体"/>
                <w:color w:val="auto"/>
                <w:sz w:val="24"/>
                <w:highlight w:val="none"/>
              </w:rPr>
            </w:pPr>
          </w:p>
        </w:tc>
        <w:tc>
          <w:tcPr>
            <w:tcW w:w="1020" w:type="dxa"/>
            <w:tcBorders>
              <w:top w:val="nil"/>
            </w:tcBorders>
            <w:vAlign w:val="center"/>
          </w:tcPr>
          <w:p>
            <w:pPr>
              <w:keepNext/>
              <w:spacing w:line="460" w:lineRule="exact"/>
              <w:ind w:right="63"/>
              <w:rPr>
                <w:rFonts w:ascii="宋体" w:hAnsi="宋体" w:cs="宋体"/>
                <w:color w:val="auto"/>
                <w:sz w:val="24"/>
                <w:highlight w:val="none"/>
              </w:rPr>
            </w:pPr>
          </w:p>
        </w:tc>
        <w:tc>
          <w:tcPr>
            <w:tcW w:w="921" w:type="dxa"/>
            <w:tcBorders>
              <w:top w:val="nil"/>
            </w:tcBorders>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ascii="宋体" w:hAnsi="宋体" w:cs="宋体"/>
                <w:color w:val="auto"/>
                <w:sz w:val="24"/>
                <w:highlight w:val="none"/>
              </w:rPr>
            </w:pPr>
          </w:p>
        </w:tc>
        <w:tc>
          <w:tcPr>
            <w:tcW w:w="1418" w:type="dxa"/>
            <w:vAlign w:val="center"/>
          </w:tcPr>
          <w:p>
            <w:pPr>
              <w:keepNext/>
              <w:spacing w:line="460" w:lineRule="exact"/>
              <w:ind w:right="63"/>
              <w:rPr>
                <w:rFonts w:ascii="宋体" w:hAnsi="宋体" w:cs="宋体"/>
                <w:color w:val="auto"/>
                <w:sz w:val="24"/>
                <w:highlight w:val="none"/>
              </w:rPr>
            </w:pPr>
          </w:p>
        </w:tc>
        <w:tc>
          <w:tcPr>
            <w:tcW w:w="850" w:type="dxa"/>
            <w:vAlign w:val="center"/>
          </w:tcPr>
          <w:p>
            <w:pPr>
              <w:keepNext/>
              <w:spacing w:line="460" w:lineRule="exact"/>
              <w:ind w:right="63"/>
              <w:rPr>
                <w:rFonts w:ascii="宋体" w:hAnsi="宋体" w:cs="宋体"/>
                <w:color w:val="auto"/>
                <w:sz w:val="24"/>
                <w:highlight w:val="none"/>
              </w:rPr>
            </w:pPr>
          </w:p>
        </w:tc>
        <w:tc>
          <w:tcPr>
            <w:tcW w:w="1058" w:type="dxa"/>
            <w:vAlign w:val="center"/>
          </w:tcPr>
          <w:p>
            <w:pPr>
              <w:keepNext/>
              <w:spacing w:line="460" w:lineRule="exact"/>
              <w:ind w:right="63"/>
              <w:rPr>
                <w:rFonts w:ascii="宋体" w:hAnsi="宋体" w:cs="宋体"/>
                <w:color w:val="auto"/>
                <w:sz w:val="24"/>
                <w:highlight w:val="none"/>
              </w:rPr>
            </w:pPr>
          </w:p>
        </w:tc>
        <w:tc>
          <w:tcPr>
            <w:tcW w:w="8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1480" w:type="dxa"/>
            <w:vAlign w:val="center"/>
          </w:tcPr>
          <w:p>
            <w:pPr>
              <w:keepNext/>
              <w:spacing w:line="460" w:lineRule="exact"/>
              <w:ind w:right="63"/>
              <w:rPr>
                <w:rFonts w:ascii="宋体" w:hAnsi="宋体" w:cs="宋体"/>
                <w:color w:val="auto"/>
                <w:sz w:val="24"/>
                <w:highlight w:val="none"/>
              </w:rPr>
            </w:pPr>
          </w:p>
        </w:tc>
        <w:tc>
          <w:tcPr>
            <w:tcW w:w="1020" w:type="dxa"/>
            <w:vAlign w:val="center"/>
          </w:tcPr>
          <w:p>
            <w:pPr>
              <w:keepNext/>
              <w:spacing w:line="460" w:lineRule="exact"/>
              <w:ind w:right="63"/>
              <w:rPr>
                <w:rFonts w:ascii="宋体" w:hAnsi="宋体" w:cs="宋体"/>
                <w:color w:val="auto"/>
                <w:sz w:val="24"/>
                <w:highlight w:val="none"/>
              </w:rPr>
            </w:pPr>
          </w:p>
        </w:tc>
        <w:tc>
          <w:tcPr>
            <w:tcW w:w="921" w:type="dxa"/>
            <w:vAlign w:val="center"/>
          </w:tcPr>
          <w:p>
            <w:pPr>
              <w:keepNext/>
              <w:spacing w:line="460" w:lineRule="exact"/>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ascii="宋体" w:hAnsi="宋体" w:cs="宋体"/>
                <w:color w:val="auto"/>
                <w:sz w:val="24"/>
                <w:highlight w:val="none"/>
              </w:rPr>
            </w:pPr>
          </w:p>
        </w:tc>
        <w:tc>
          <w:tcPr>
            <w:tcW w:w="1418" w:type="dxa"/>
          </w:tcPr>
          <w:p>
            <w:pPr>
              <w:spacing w:line="460" w:lineRule="exact"/>
              <w:rPr>
                <w:rFonts w:ascii="宋体" w:hAnsi="宋体" w:cs="宋体"/>
                <w:color w:val="auto"/>
                <w:sz w:val="24"/>
                <w:highlight w:val="none"/>
              </w:rPr>
            </w:pPr>
          </w:p>
        </w:tc>
        <w:tc>
          <w:tcPr>
            <w:tcW w:w="850" w:type="dxa"/>
          </w:tcPr>
          <w:p>
            <w:pPr>
              <w:spacing w:line="460" w:lineRule="exact"/>
              <w:rPr>
                <w:rFonts w:ascii="宋体" w:hAnsi="宋体" w:cs="宋体"/>
                <w:color w:val="auto"/>
                <w:sz w:val="24"/>
                <w:highlight w:val="none"/>
              </w:rPr>
            </w:pPr>
          </w:p>
        </w:tc>
        <w:tc>
          <w:tcPr>
            <w:tcW w:w="1058" w:type="dxa"/>
          </w:tcPr>
          <w:p>
            <w:pPr>
              <w:spacing w:line="460" w:lineRule="exact"/>
              <w:rPr>
                <w:rFonts w:ascii="宋体" w:hAnsi="宋体" w:cs="宋体"/>
                <w:color w:val="auto"/>
                <w:sz w:val="24"/>
                <w:highlight w:val="none"/>
              </w:rPr>
            </w:pPr>
          </w:p>
        </w:tc>
        <w:tc>
          <w:tcPr>
            <w:tcW w:w="8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1480" w:type="dxa"/>
          </w:tcPr>
          <w:p>
            <w:pPr>
              <w:spacing w:line="460" w:lineRule="exact"/>
              <w:rPr>
                <w:rFonts w:ascii="宋体" w:hAnsi="宋体" w:cs="宋体"/>
                <w:color w:val="auto"/>
                <w:sz w:val="24"/>
                <w:highlight w:val="none"/>
              </w:rPr>
            </w:pPr>
          </w:p>
        </w:tc>
        <w:tc>
          <w:tcPr>
            <w:tcW w:w="1020" w:type="dxa"/>
          </w:tcPr>
          <w:p>
            <w:pPr>
              <w:spacing w:line="460" w:lineRule="exact"/>
              <w:rPr>
                <w:rFonts w:ascii="宋体" w:hAnsi="宋体" w:cs="宋体"/>
                <w:color w:val="auto"/>
                <w:sz w:val="24"/>
                <w:highlight w:val="none"/>
              </w:rPr>
            </w:pPr>
          </w:p>
        </w:tc>
        <w:tc>
          <w:tcPr>
            <w:tcW w:w="921" w:type="dxa"/>
          </w:tcPr>
          <w:p>
            <w:pPr>
              <w:spacing w:line="460" w:lineRule="exact"/>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spacing w:line="460" w:lineRule="exact"/>
              <w:rPr>
                <w:rFonts w:ascii="宋体" w:hAnsi="宋体" w:cs="宋体"/>
                <w:color w:val="auto"/>
                <w:sz w:val="24"/>
                <w:highlight w:val="none"/>
              </w:rPr>
            </w:pPr>
          </w:p>
        </w:tc>
        <w:tc>
          <w:tcPr>
            <w:tcW w:w="1418" w:type="dxa"/>
            <w:tcBorders>
              <w:bottom w:val="single" w:color="auto" w:sz="12" w:space="0"/>
            </w:tcBorders>
          </w:tcPr>
          <w:p>
            <w:pPr>
              <w:spacing w:line="460" w:lineRule="exact"/>
              <w:rPr>
                <w:rFonts w:ascii="宋体" w:hAnsi="宋体" w:cs="宋体"/>
                <w:color w:val="auto"/>
                <w:sz w:val="24"/>
                <w:highlight w:val="none"/>
              </w:rPr>
            </w:pPr>
          </w:p>
        </w:tc>
        <w:tc>
          <w:tcPr>
            <w:tcW w:w="850" w:type="dxa"/>
            <w:tcBorders>
              <w:bottom w:val="single" w:color="auto" w:sz="12" w:space="0"/>
            </w:tcBorders>
          </w:tcPr>
          <w:p>
            <w:pPr>
              <w:spacing w:line="460" w:lineRule="exact"/>
              <w:rPr>
                <w:rFonts w:ascii="宋体" w:hAnsi="宋体" w:cs="宋体"/>
                <w:color w:val="auto"/>
                <w:sz w:val="24"/>
                <w:highlight w:val="none"/>
              </w:rPr>
            </w:pPr>
          </w:p>
        </w:tc>
        <w:tc>
          <w:tcPr>
            <w:tcW w:w="1058" w:type="dxa"/>
            <w:tcBorders>
              <w:bottom w:val="single" w:color="auto" w:sz="12" w:space="0"/>
            </w:tcBorders>
          </w:tcPr>
          <w:p>
            <w:pPr>
              <w:spacing w:line="460" w:lineRule="exact"/>
              <w:rPr>
                <w:rFonts w:ascii="宋体" w:hAnsi="宋体" w:cs="宋体"/>
                <w:color w:val="auto"/>
                <w:sz w:val="24"/>
                <w:highlight w:val="none"/>
              </w:rPr>
            </w:pPr>
          </w:p>
        </w:tc>
        <w:tc>
          <w:tcPr>
            <w:tcW w:w="880" w:type="dxa"/>
            <w:tcBorders>
              <w:bottom w:val="single" w:color="auto" w:sz="12" w:space="0"/>
            </w:tcBorders>
          </w:tcPr>
          <w:p>
            <w:pPr>
              <w:spacing w:line="460" w:lineRule="exact"/>
              <w:rPr>
                <w:rFonts w:ascii="宋体" w:hAnsi="宋体" w:cs="宋体"/>
                <w:color w:val="auto"/>
                <w:sz w:val="24"/>
                <w:highlight w:val="none"/>
              </w:rPr>
            </w:pPr>
          </w:p>
        </w:tc>
        <w:tc>
          <w:tcPr>
            <w:tcW w:w="1020" w:type="dxa"/>
            <w:tcBorders>
              <w:bottom w:val="single" w:color="auto" w:sz="12" w:space="0"/>
            </w:tcBorders>
          </w:tcPr>
          <w:p>
            <w:pPr>
              <w:spacing w:line="460" w:lineRule="exact"/>
              <w:rPr>
                <w:rFonts w:ascii="宋体" w:hAnsi="宋体" w:cs="宋体"/>
                <w:color w:val="auto"/>
                <w:sz w:val="24"/>
                <w:highlight w:val="none"/>
              </w:rPr>
            </w:pPr>
          </w:p>
        </w:tc>
        <w:tc>
          <w:tcPr>
            <w:tcW w:w="1480" w:type="dxa"/>
            <w:tcBorders>
              <w:bottom w:val="single" w:color="auto" w:sz="12" w:space="0"/>
            </w:tcBorders>
          </w:tcPr>
          <w:p>
            <w:pPr>
              <w:spacing w:line="460" w:lineRule="exact"/>
              <w:rPr>
                <w:rFonts w:ascii="宋体" w:hAnsi="宋体" w:cs="宋体"/>
                <w:color w:val="auto"/>
                <w:sz w:val="24"/>
                <w:highlight w:val="none"/>
              </w:rPr>
            </w:pPr>
          </w:p>
        </w:tc>
        <w:tc>
          <w:tcPr>
            <w:tcW w:w="1020" w:type="dxa"/>
            <w:tcBorders>
              <w:bottom w:val="single" w:color="auto" w:sz="12" w:space="0"/>
            </w:tcBorders>
          </w:tcPr>
          <w:p>
            <w:pPr>
              <w:spacing w:line="460" w:lineRule="exact"/>
              <w:rPr>
                <w:rFonts w:ascii="宋体" w:hAnsi="宋体" w:cs="宋体"/>
                <w:color w:val="auto"/>
                <w:sz w:val="24"/>
                <w:highlight w:val="none"/>
              </w:rPr>
            </w:pPr>
          </w:p>
        </w:tc>
        <w:tc>
          <w:tcPr>
            <w:tcW w:w="921" w:type="dxa"/>
            <w:tcBorders>
              <w:bottom w:val="single" w:color="auto" w:sz="12" w:space="0"/>
            </w:tcBorders>
          </w:tcPr>
          <w:p>
            <w:pPr>
              <w:spacing w:line="460" w:lineRule="exact"/>
              <w:rPr>
                <w:rFonts w:ascii="宋体" w:hAnsi="宋体" w:cs="宋体"/>
                <w:color w:val="auto"/>
                <w:sz w:val="24"/>
                <w:highlight w:val="none"/>
              </w:rPr>
            </w:pPr>
          </w:p>
        </w:tc>
      </w:tr>
    </w:tbl>
    <w:p>
      <w:pPr>
        <w:spacing w:line="460" w:lineRule="exact"/>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附件6：</w:t>
      </w:r>
    </w:p>
    <w:p>
      <w:pPr>
        <w:spacing w:before="156" w:beforeLines="50" w:after="156"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r>
              <w:rPr>
                <w:rFonts w:hint="eastAsia" w:ascii="宋体" w:hAnsi="宋体" w:cs="宋体"/>
                <w:color w:val="auto"/>
                <w:sz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nil"/>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r>
              <w:rPr>
                <w:rFonts w:hint="eastAsia" w:ascii="宋体" w:hAnsi="宋体" w:cs="宋体"/>
                <w:color w:val="auto"/>
                <w:sz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nil"/>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spacing w:line="360" w:lineRule="auto"/>
              <w:ind w:right="63"/>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right="-233" w:rightChars="-111"/>
        <w:jc w:val="left"/>
        <w:rPr>
          <w:rFonts w:ascii="宋体" w:hAnsi="宋体" w:cs="宋体"/>
          <w:b/>
          <w:color w:val="auto"/>
          <w:sz w:val="32"/>
          <w:szCs w:val="32"/>
          <w:highlight w:val="none"/>
        </w:rPr>
      </w:pPr>
      <w:r>
        <w:rPr>
          <w:rFonts w:hint="eastAsia" w:ascii="宋体" w:hAnsi="宋体" w:cs="宋体"/>
          <w:color w:val="auto"/>
          <w:sz w:val="24"/>
          <w:highlight w:val="none"/>
        </w:rPr>
        <w:t xml:space="preserve">附件7：                 </w:t>
      </w:r>
      <w:r>
        <w:rPr>
          <w:rFonts w:hint="eastAsia" w:ascii="宋体" w:hAnsi="宋体" w:cs="宋体"/>
          <w:b/>
          <w:color w:val="auto"/>
          <w:sz w:val="32"/>
          <w:szCs w:val="32"/>
          <w:highlight w:val="none"/>
        </w:rPr>
        <w:t>11-1：材料暂估价表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bl>
    <w:p>
      <w:pPr>
        <w:spacing w:before="156" w:beforeLines="50" w:after="156" w:afterLines="50" w:line="440" w:lineRule="exact"/>
        <w:rPr>
          <w:rFonts w:ascii="宋体" w:hAnsi="宋体" w:cs="宋体"/>
          <w:color w:val="auto"/>
          <w:sz w:val="30"/>
          <w:szCs w:val="30"/>
          <w:highlight w:val="none"/>
        </w:rPr>
      </w:pPr>
    </w:p>
    <w:p>
      <w:pPr>
        <w:spacing w:before="156" w:beforeLines="50" w:after="156" w:afterLines="50" w:line="360" w:lineRule="auto"/>
        <w:jc w:val="center"/>
        <w:rPr>
          <w:rFonts w:ascii="宋体" w:hAnsi="宋体" w:cs="宋体"/>
          <w:b/>
          <w:color w:val="auto"/>
          <w:sz w:val="32"/>
          <w:szCs w:val="32"/>
          <w:highlight w:val="none"/>
        </w:rPr>
      </w:pPr>
    </w:p>
    <w:p>
      <w:pPr>
        <w:spacing w:before="156" w:beforeLines="50" w:after="156"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11-2：工程设备暂估价表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bl>
    <w:p>
      <w:pPr>
        <w:spacing w:line="440" w:lineRule="exact"/>
        <w:rPr>
          <w:rFonts w:ascii="宋体" w:hAnsi="宋体" w:cs="宋体"/>
          <w:color w:val="auto"/>
          <w:sz w:val="30"/>
          <w:szCs w:val="30"/>
          <w:highlight w:val="none"/>
        </w:rPr>
      </w:pPr>
    </w:p>
    <w:p>
      <w:pPr>
        <w:spacing w:before="156" w:beforeLines="50" w:after="156" w:afterLines="50" w:line="440" w:lineRule="exact"/>
        <w:jc w:val="center"/>
        <w:rPr>
          <w:rFonts w:ascii="宋体" w:hAnsi="宋体" w:cs="宋体"/>
          <w:b/>
          <w:color w:val="auto"/>
          <w:sz w:val="32"/>
          <w:szCs w:val="32"/>
          <w:highlight w:val="none"/>
        </w:rPr>
      </w:pPr>
      <w:r>
        <w:rPr>
          <w:rFonts w:hint="eastAsia" w:ascii="宋体" w:hAnsi="宋体" w:cs="宋体"/>
          <w:color w:val="auto"/>
          <w:sz w:val="30"/>
          <w:szCs w:val="30"/>
          <w:highlight w:val="none"/>
        </w:rPr>
        <w:br w:type="page"/>
      </w:r>
      <w:r>
        <w:rPr>
          <w:rFonts w:hint="eastAsia" w:ascii="宋体" w:hAnsi="宋体" w:cs="宋体"/>
          <w:b/>
          <w:color w:val="auto"/>
          <w:sz w:val="32"/>
          <w:szCs w:val="32"/>
          <w:highlight w:val="none"/>
        </w:rPr>
        <w:t>11-3：专业工程暂估价表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pPr>
              <w:pStyle w:val="19"/>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9"/>
              <w:keepNext/>
              <w:spacing w:line="440" w:lineRule="exact"/>
              <w:ind w:left="63" w:right="63"/>
              <w:rPr>
                <w:rFonts w:ascii="宋体" w:hAnsi="宋体" w:eastAsia="宋体" w:cs="宋体"/>
                <w:color w:val="auto"/>
                <w:sz w:val="28"/>
                <w:szCs w:val="30"/>
                <w:highlight w:val="none"/>
              </w:rPr>
            </w:pPr>
          </w:p>
        </w:tc>
        <w:tc>
          <w:tcPr>
            <w:tcW w:w="1984" w:type="dxa"/>
          </w:tcPr>
          <w:p>
            <w:pPr>
              <w:pStyle w:val="19"/>
              <w:keepNext/>
              <w:spacing w:line="440" w:lineRule="exact"/>
              <w:ind w:left="63" w:right="63"/>
              <w:rPr>
                <w:rFonts w:ascii="宋体" w:hAnsi="宋体" w:eastAsia="宋体" w:cs="宋体"/>
                <w:color w:val="auto"/>
                <w:sz w:val="28"/>
                <w:szCs w:val="30"/>
                <w:highlight w:val="none"/>
              </w:rPr>
            </w:pPr>
          </w:p>
        </w:tc>
        <w:tc>
          <w:tcPr>
            <w:tcW w:w="851" w:type="dxa"/>
          </w:tcPr>
          <w:p>
            <w:pPr>
              <w:pStyle w:val="19"/>
              <w:keepNext/>
              <w:spacing w:line="440" w:lineRule="exact"/>
              <w:ind w:left="63" w:right="63"/>
              <w:rPr>
                <w:rFonts w:ascii="宋体" w:hAnsi="宋体" w:eastAsia="宋体" w:cs="宋体"/>
                <w:color w:val="auto"/>
                <w:sz w:val="28"/>
                <w:szCs w:val="30"/>
                <w:highlight w:val="none"/>
              </w:rPr>
            </w:pPr>
          </w:p>
        </w:tc>
        <w:tc>
          <w:tcPr>
            <w:tcW w:w="774" w:type="dxa"/>
          </w:tcPr>
          <w:p>
            <w:pPr>
              <w:pStyle w:val="19"/>
              <w:keepNext/>
              <w:spacing w:line="440" w:lineRule="exact"/>
              <w:ind w:left="63" w:right="63"/>
              <w:rPr>
                <w:rFonts w:ascii="宋体" w:hAnsi="宋体" w:eastAsia="宋体" w:cs="宋体"/>
                <w:color w:val="auto"/>
                <w:sz w:val="28"/>
                <w:szCs w:val="30"/>
                <w:highlight w:val="none"/>
              </w:rPr>
            </w:pPr>
          </w:p>
        </w:tc>
        <w:tc>
          <w:tcPr>
            <w:tcW w:w="1352" w:type="dxa"/>
          </w:tcPr>
          <w:p>
            <w:pPr>
              <w:pStyle w:val="19"/>
              <w:keepNext/>
              <w:spacing w:line="440" w:lineRule="exact"/>
              <w:ind w:left="63" w:right="63"/>
              <w:rPr>
                <w:rFonts w:ascii="宋体" w:hAnsi="宋体" w:eastAsia="宋体" w:cs="宋体"/>
                <w:color w:val="auto"/>
                <w:sz w:val="28"/>
                <w:szCs w:val="30"/>
                <w:highlight w:val="none"/>
              </w:rPr>
            </w:pPr>
          </w:p>
        </w:tc>
        <w:tc>
          <w:tcPr>
            <w:tcW w:w="1418" w:type="dxa"/>
          </w:tcPr>
          <w:p>
            <w:pPr>
              <w:pStyle w:val="19"/>
              <w:keepNext/>
              <w:spacing w:line="440" w:lineRule="exact"/>
              <w:ind w:left="63" w:right="63"/>
              <w:rPr>
                <w:rFonts w:ascii="宋体" w:hAnsi="宋体" w:eastAsia="宋体" w:cs="宋体"/>
                <w:color w:val="auto"/>
                <w:sz w:val="28"/>
                <w:szCs w:val="30"/>
                <w:highlight w:val="none"/>
              </w:rPr>
            </w:pPr>
          </w:p>
        </w:tc>
        <w:tc>
          <w:tcPr>
            <w:tcW w:w="1701" w:type="dxa"/>
          </w:tcPr>
          <w:p>
            <w:pPr>
              <w:pStyle w:val="19"/>
              <w:keepNext/>
              <w:spacing w:line="440" w:lineRule="exact"/>
              <w:ind w:left="63" w:right="63"/>
              <w:rPr>
                <w:rFonts w:ascii="宋体" w:hAnsi="宋体" w:eastAsia="宋体" w:cs="宋体"/>
                <w:color w:val="auto"/>
                <w:sz w:val="28"/>
                <w:szCs w:val="30"/>
                <w:highlight w:val="none"/>
              </w:rPr>
            </w:pPr>
          </w:p>
        </w:tc>
      </w:tr>
    </w:tbl>
    <w:p>
      <w:pPr>
        <w:spacing w:line="360" w:lineRule="auto"/>
        <w:rPr>
          <w:rFonts w:ascii="宋体" w:hAnsi="宋体" w:cs="宋体"/>
          <w:b/>
          <w:bCs/>
          <w:color w:val="auto"/>
          <w:sz w:val="36"/>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附件8：</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工程建设廉政承诺书</w:t>
      </w:r>
    </w:p>
    <w:p>
      <w:pPr>
        <w:spacing w:line="560" w:lineRule="exact"/>
        <w:ind w:left="1800" w:hanging="1800" w:hangingChars="750"/>
        <w:rPr>
          <w:rFonts w:hint="eastAsia" w:ascii="宋体" w:hAnsi="宋体" w:eastAsia="宋体" w:cs="宋体"/>
          <w:color w:val="auto"/>
          <w:sz w:val="24"/>
          <w:highlight w:val="none"/>
          <w:u w:val="single"/>
          <w:lang w:eastAsia="zh-CN"/>
        </w:rPr>
      </w:pPr>
      <w:bookmarkStart w:id="312" w:name="_Toc404159961"/>
      <w:r>
        <w:rPr>
          <w:rFonts w:hint="eastAsia" w:ascii="宋体" w:hAnsi="宋体" w:cs="宋体"/>
          <w:color w:val="auto"/>
          <w:sz w:val="24"/>
          <w:highlight w:val="none"/>
        </w:rPr>
        <w:t>甲方（甲方）：</w:t>
      </w:r>
      <w:r>
        <w:rPr>
          <w:rFonts w:hint="eastAsia" w:ascii="宋体" w:hAnsi="宋体" w:cs="宋体"/>
          <w:color w:val="auto"/>
          <w:sz w:val="24"/>
          <w:highlight w:val="none"/>
          <w:u w:val="single"/>
          <w:lang w:eastAsia="zh-CN"/>
        </w:rPr>
        <w:t> 南通市崇川区农业农村和水利局</w:t>
      </w:r>
    </w:p>
    <w:p>
      <w:pPr>
        <w:spacing w:line="560" w:lineRule="exact"/>
        <w:rPr>
          <w:rFonts w:ascii="宋体" w:hAnsi="宋体" w:cs="宋体"/>
          <w:color w:val="auto"/>
          <w:sz w:val="24"/>
          <w:highlight w:val="none"/>
          <w:u w:val="single"/>
        </w:rPr>
      </w:pPr>
      <w:r>
        <w:rPr>
          <w:rFonts w:hint="eastAsia" w:ascii="宋体" w:hAnsi="宋体" w:cs="宋体"/>
          <w:color w:val="auto"/>
          <w:sz w:val="24"/>
          <w:highlight w:val="none"/>
        </w:rPr>
        <w:t>承包方（乙方）：</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一、双方的责任</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1.1应严格遵守国家关于建设工程的有关法律、法规，相关政策，以及廉政建设的各项规定。</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1.2严格执行建设工程合同文件，自觉按合同办事。</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1.3各项活动必须坚持公开、公平、公正、诚信、透明的原则（除法律法规另有规定者外），不得为</w:t>
      </w:r>
      <w:bookmarkStart w:id="326" w:name="_GoBack"/>
      <w:bookmarkEnd w:id="326"/>
      <w:r>
        <w:rPr>
          <w:rFonts w:hint="eastAsia" w:ascii="宋体" w:hAnsi="宋体" w:cs="宋体"/>
          <w:color w:val="auto"/>
          <w:sz w:val="24"/>
          <w:highlight w:val="none"/>
        </w:rPr>
        <w:t>获取不正当的利益，损害国家、集体和对方利益，不得违反建设工程管理的规章制度。</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1.4发现对方在业务活动中有违规、违纪、违法行为的，应及时提醒对方，情节严重的，应向其上级主管部门或纪检监察、司法等有关机关举报。</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二、甲方责任</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甲方的领导和从事该建设工程项目的工作人员，在工程建设的事前、事中、事后应遵守以下规定：</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2.1不得向乙方和相关单位索要或接受回扣、礼金、有价证券、贵重物品和好处费、感谢费等。</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2.2不得在乙方和相关单位报销任何应由甲方或个人支付的费用。</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2.3不得要求、暗示或接受乙方和相关单位为个人装修住房、婚丧嫁娶、配偶子女的工作安排以及出国（境）、旅游等提供方便。</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2.4不得参加有可能影响公正执行公务的乙方和相关单位的宴请、健身、娱乐等活动。</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2.5不得向乙方和相关单位介绍或为配偶、子女、亲属参与同甲方工程建设管理合同有关的业务活动；不得以任何理由要求乙方和相关单位使用某种产品、材料和设备。</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三、乙方责任</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应与甲方保持正常的业务交往，按照有关法律法规和程序开展业务工作，严格执行工程建设的有关方针、政策，执行工程建设强制性标准，并遵守以下规定：</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3.1不得以任何理由向甲方及其工作人员索要、接受或赠送礼金、有价证券、贵重物品及回扣、好处费、感谢费等。</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3.2不得以任何理由为甲方和相关单位报销应由对方或个人支付的费用。</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3.3不得接受或暗示为甲方、相关单位或个人装修住房、婚丧嫁娶、配偶子女的工作安排以及出国（境）、旅游等提供方便。</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3.4不得以任何理由为甲方、相关单位或个人组织有可能影响公正执行公务的宴请、健身、娱乐等活动。</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四、违约责任</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4.1甲方工作人员有违反本责任书第一、二条责任行为的，依据有关法律、法规给予处理；涉嫌犯罪的，移交司法机关追究刑事责任；给乙方单位造成经济损失的，应予以赔偿。</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4.2乙方工作人员有违反本责任书第一、三条责任行为的，依据有关法律法规处理；涉嫌犯罪的，移交司法机关追究刑事责任；给甲方单位造成经济损失的，应予以赔偿。</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4.3本责任书作为建设工程合同的组成部分，与建设工程合同具有同等法律效力。经双方签署后立即生效。</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五、责任书有效期</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本责任书的有效期为双方签署之日起至该工程项目竣工验收合格时止。</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六、责任书份数</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本责任书一式二份，甲方乙方各执一份，具有同等效力。</w:t>
      </w:r>
    </w:p>
    <w:p>
      <w:pPr>
        <w:spacing w:line="360" w:lineRule="auto"/>
        <w:ind w:right="-233" w:rightChars="-111"/>
        <w:jc w:val="left"/>
        <w:rPr>
          <w:rFonts w:ascii="宋体" w:hAnsi="宋体" w:cs="宋体"/>
          <w:color w:val="auto"/>
          <w:sz w:val="24"/>
          <w:highlight w:val="none"/>
        </w:rPr>
      </w:pP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甲方：（公章）                                 乙方： （公章）</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法定地址：                                    法定地址：</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法定代表人或其                               法定代表人或其</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委托代理人：（签字）                          委托代理人： （签字）</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电话：                                        电话：</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传真：                                        传真：</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电子邮箱：                                    电子邮箱：</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帐号：                                        帐号：</w:t>
      </w:r>
    </w:p>
    <w:p>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邮政编码：                                    邮政编码：</w:t>
      </w:r>
    </w:p>
    <w:p>
      <w:pPr>
        <w:rPr>
          <w:color w:val="auto"/>
          <w:highlight w:val="none"/>
        </w:rPr>
      </w:pPr>
      <w:r>
        <w:rPr>
          <w:rFonts w:hint="eastAsia" w:ascii="宋体" w:hAnsi="宋体" w:cs="宋体"/>
          <w:color w:val="auto"/>
          <w:sz w:val="24"/>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第四章工程建设标准</w:t>
      </w:r>
      <w:bookmarkEnd w:id="312"/>
    </w:p>
    <w:p>
      <w:pPr>
        <w:spacing w:line="360" w:lineRule="auto"/>
        <w:jc w:val="center"/>
        <w:rPr>
          <w:rFonts w:ascii="宋体" w:hAnsi="宋体" w:cs="宋体"/>
          <w:b/>
          <w:color w:val="auto"/>
          <w:sz w:val="36"/>
          <w:szCs w:val="36"/>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一、工程采用的计价规范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《建设工程工程量清单计价规范》(GB 50500-2013)、《水利工程工程量清单计价规范》 GB 50501-2007)；</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《市政工程工程量计算规范》（GB50857-2013）、《江苏省水利工程招标投标文件工程量清单格式》（苏水基[2011]21号）；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《江苏省市政工程计价表》（2014）、《江苏省建设工程费用定额》（2014年）《江苏省水利工程预算定额》2010年版、＜苏水基（2015）32号文＞；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《江苏省水利工程设计概（估）算编制规定》2017年版；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基[2016]26号文， “营改增”一般计税</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二、本工程采用的技术规范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1.其它应执行的相关工程施工、检测、验收的相关规范。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三、本工程对施工工艺的特殊要求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1.施工期间注意周边环境，减少对周围居民、行人的影响（交通、灰尘、噪音等）。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2.工程主要部位和特殊要求由相关单位讨论后以书面开式通知施工单位实施。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3.其余见设计院设计说明。</w:t>
      </w:r>
    </w:p>
    <w:p>
      <w:pPr>
        <w:spacing w:line="360" w:lineRule="auto"/>
        <w:ind w:right="-233" w:rightChars="-111"/>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pPr>
        <w:pStyle w:val="15"/>
        <w:spacing w:line="420" w:lineRule="atLeast"/>
        <w:outlineLvl w:val="0"/>
        <w:rPr>
          <w:rFonts w:ascii="宋体" w:hAnsi="宋体" w:eastAsia="宋体" w:cs="宋体"/>
          <w:color w:val="auto"/>
          <w:sz w:val="32"/>
          <w:highlight w:val="none"/>
        </w:rPr>
      </w:pPr>
      <w:bookmarkStart w:id="313" w:name="_Toc286661174"/>
      <w:bookmarkStart w:id="314" w:name="_Toc465181337"/>
      <w:bookmarkStart w:id="315" w:name="_Toc404159962"/>
      <w:r>
        <w:rPr>
          <w:rFonts w:hint="eastAsia" w:ascii="宋体" w:hAnsi="宋体" w:eastAsia="宋体" w:cs="宋体"/>
          <w:color w:val="auto"/>
          <w:sz w:val="32"/>
          <w:highlight w:val="none"/>
        </w:rPr>
        <w:t>第五章图纸、技术资料及附件</w:t>
      </w:r>
      <w:bookmarkEnd w:id="313"/>
      <w:bookmarkEnd w:id="314"/>
    </w:p>
    <w:bookmarkEnd w:id="315"/>
    <w:p>
      <w:pPr>
        <w:spacing w:line="360" w:lineRule="auto"/>
        <w:rPr>
          <w:rFonts w:ascii="宋体" w:hAnsi="宋体" w:cs="宋体"/>
          <w:color w:val="auto"/>
          <w:sz w:val="25"/>
          <w:highlight w:val="none"/>
        </w:rPr>
      </w:pPr>
    </w:p>
    <w:p>
      <w:pPr>
        <w:jc w:val="center"/>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pStyle w:val="80"/>
        <w:rPr>
          <w:rFonts w:ascii="宋体" w:hAnsi="宋体" w:cs="宋体"/>
          <w:color w:val="auto"/>
          <w:highlight w:val="none"/>
        </w:rPr>
      </w:pPr>
    </w:p>
    <w:p>
      <w:pPr>
        <w:rPr>
          <w:rFonts w:ascii="宋体" w:hAnsi="宋体" w:cs="宋体"/>
          <w:color w:val="auto"/>
          <w:highlight w:val="none"/>
        </w:rPr>
      </w:pPr>
    </w:p>
    <w:p>
      <w:pPr>
        <w:pStyle w:val="3"/>
        <w:spacing w:after="0" w:line="360" w:lineRule="auto"/>
        <w:jc w:val="center"/>
        <w:rPr>
          <w:rFonts w:ascii="宋体" w:hAnsi="宋体" w:cs="宋体"/>
          <w:b w:val="0"/>
          <w:bCs w:val="0"/>
          <w:color w:val="auto"/>
          <w:sz w:val="32"/>
          <w:highlight w:val="none"/>
        </w:rPr>
      </w:pPr>
      <w:bookmarkStart w:id="316" w:name="_Toc404159963"/>
      <w:bookmarkStart w:id="317" w:name="_Toc286661175"/>
      <w:bookmarkStart w:id="318" w:name="_Toc465181338"/>
      <w:r>
        <w:rPr>
          <w:rFonts w:hint="eastAsia" w:ascii="宋体" w:hAnsi="宋体" w:cs="宋体"/>
          <w:b w:val="0"/>
          <w:bCs w:val="0"/>
          <w:color w:val="auto"/>
          <w:sz w:val="32"/>
          <w:highlight w:val="none"/>
        </w:rPr>
        <w:t>第六章投标文件格式</w:t>
      </w:r>
      <w:bookmarkEnd w:id="316"/>
      <w:bookmarkEnd w:id="317"/>
      <w:bookmarkEnd w:id="318"/>
    </w:p>
    <w:p>
      <w:pPr>
        <w:spacing w:line="500" w:lineRule="exact"/>
        <w:jc w:val="center"/>
        <w:rPr>
          <w:rFonts w:ascii="宋体" w:hAnsi="宋体" w:cs="宋体"/>
          <w:b/>
          <w:bCs/>
          <w:color w:val="auto"/>
          <w:sz w:val="32"/>
          <w:highlight w:val="none"/>
        </w:rPr>
      </w:pPr>
      <w:bookmarkStart w:id="319" w:name="_Toc286661178"/>
    </w:p>
    <w:p>
      <w:pPr>
        <w:spacing w:line="500" w:lineRule="exact"/>
        <w:jc w:val="center"/>
        <w:rPr>
          <w:rFonts w:ascii="宋体" w:hAnsi="宋体" w:cs="宋体"/>
          <w:b/>
          <w:bCs/>
          <w:color w:val="auto"/>
          <w:sz w:val="32"/>
          <w:highlight w:val="none"/>
        </w:rPr>
      </w:pPr>
      <w:r>
        <w:rPr>
          <w:rFonts w:hint="eastAsia" w:ascii="宋体" w:hAnsi="宋体" w:cs="宋体"/>
          <w:b/>
          <w:bCs/>
          <w:color w:val="auto"/>
          <w:sz w:val="32"/>
          <w:highlight w:val="none"/>
        </w:rPr>
        <w:t>（封面格式）</w:t>
      </w:r>
    </w:p>
    <w:p>
      <w:pPr>
        <w:pStyle w:val="19"/>
        <w:rPr>
          <w:rFonts w:ascii="宋体" w:hAnsi="宋体" w:eastAsia="宋体" w:cs="宋体"/>
          <w:color w:val="auto"/>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项目编号：</w:t>
      </w:r>
    </w:p>
    <w:p>
      <w:pPr>
        <w:pStyle w:val="12"/>
        <w:spacing w:line="360" w:lineRule="auto"/>
        <w:jc w:val="center"/>
        <w:rPr>
          <w:rFonts w:ascii="宋体" w:hAnsi="宋体" w:cs="宋体"/>
          <w:color w:val="auto"/>
          <w:sz w:val="30"/>
          <w:highlight w:val="none"/>
        </w:rPr>
      </w:pPr>
    </w:p>
    <w:p>
      <w:pPr>
        <w:pStyle w:val="12"/>
        <w:spacing w:line="360" w:lineRule="auto"/>
        <w:ind w:firstLine="0"/>
        <w:rPr>
          <w:rFonts w:ascii="宋体" w:hAnsi="宋体" w:cs="宋体"/>
          <w:color w:val="auto"/>
          <w:sz w:val="30"/>
          <w:highlight w:val="none"/>
        </w:rPr>
      </w:pPr>
    </w:p>
    <w:p>
      <w:pPr>
        <w:pStyle w:val="12"/>
        <w:spacing w:line="360" w:lineRule="auto"/>
        <w:jc w:val="center"/>
        <w:rPr>
          <w:rFonts w:ascii="宋体" w:hAnsi="宋体" w:cs="宋体"/>
          <w:b/>
          <w:bCs/>
          <w:color w:val="auto"/>
          <w:spacing w:val="60"/>
          <w:sz w:val="84"/>
          <w:szCs w:val="84"/>
          <w:highlight w:val="none"/>
        </w:rPr>
      </w:pPr>
      <w:r>
        <w:rPr>
          <w:rFonts w:hint="eastAsia" w:ascii="宋体" w:hAnsi="宋体" w:cs="宋体"/>
          <w:b/>
          <w:bCs/>
          <w:color w:val="auto"/>
          <w:spacing w:val="60"/>
          <w:sz w:val="84"/>
          <w:szCs w:val="84"/>
          <w:highlight w:val="none"/>
        </w:rPr>
        <w:t xml:space="preserve"> 投标书</w:t>
      </w:r>
    </w:p>
    <w:p>
      <w:pPr>
        <w:pStyle w:val="461"/>
        <w:snapToGrid w:val="0"/>
        <w:spacing w:before="0" w:beforeAutospacing="0" w:after="0" w:afterAutospacing="0" w:line="360" w:lineRule="auto"/>
        <w:jc w:val="center"/>
        <w:rPr>
          <w:rFonts w:hint="eastAsia" w:eastAsia="宋体"/>
          <w:snapToGrid w:val="0"/>
          <w:color w:val="auto"/>
          <w:sz w:val="28"/>
          <w:szCs w:val="28"/>
          <w:highlight w:val="none"/>
          <w:lang w:eastAsia="zh-CN"/>
        </w:rPr>
      </w:pPr>
      <w:r>
        <w:rPr>
          <w:rFonts w:hint="eastAsia"/>
          <w:snapToGrid w:val="0"/>
          <w:color w:val="auto"/>
          <w:sz w:val="28"/>
          <w:szCs w:val="28"/>
          <w:highlight w:val="none"/>
        </w:rPr>
        <w:t>对应填写：</w:t>
      </w:r>
      <w:r>
        <w:rPr>
          <w:rFonts w:hint="eastAsia"/>
          <w:snapToGrid w:val="0"/>
          <w:color w:val="auto"/>
          <w:sz w:val="28"/>
          <w:szCs w:val="28"/>
          <w:highlight w:val="none"/>
          <w:lang w:eastAsia="zh-CN"/>
        </w:rPr>
        <w:t>资格审查文件</w:t>
      </w:r>
    </w:p>
    <w:p>
      <w:pPr>
        <w:pStyle w:val="461"/>
        <w:snapToGrid w:val="0"/>
        <w:spacing w:before="0" w:beforeAutospacing="0" w:after="0" w:afterAutospacing="0" w:line="360" w:lineRule="auto"/>
        <w:ind w:firstLine="560" w:firstLineChars="200"/>
        <w:jc w:val="center"/>
        <w:rPr>
          <w:snapToGrid w:val="0"/>
          <w:color w:val="auto"/>
          <w:sz w:val="28"/>
          <w:szCs w:val="28"/>
          <w:highlight w:val="none"/>
        </w:rPr>
      </w:pPr>
      <w:r>
        <w:rPr>
          <w:rFonts w:hint="eastAsia"/>
          <w:snapToGrid w:val="0"/>
          <w:color w:val="auto"/>
          <w:sz w:val="28"/>
          <w:szCs w:val="28"/>
          <w:highlight w:val="none"/>
        </w:rPr>
        <w:t>商务标</w:t>
      </w:r>
    </w:p>
    <w:p>
      <w:pPr>
        <w:pStyle w:val="12"/>
        <w:spacing w:line="360" w:lineRule="auto"/>
        <w:jc w:val="center"/>
        <w:rPr>
          <w:rFonts w:ascii="宋体" w:hAnsi="宋体" w:cs="宋体"/>
          <w:color w:val="auto"/>
          <w:sz w:val="30"/>
          <w:highlight w:val="none"/>
        </w:rPr>
      </w:pPr>
    </w:p>
    <w:p>
      <w:pPr>
        <w:pStyle w:val="12"/>
        <w:spacing w:line="360" w:lineRule="auto"/>
        <w:jc w:val="center"/>
        <w:rPr>
          <w:rFonts w:ascii="宋体" w:hAnsi="宋体" w:cs="宋体"/>
          <w:color w:val="auto"/>
          <w:sz w:val="30"/>
          <w:highlight w:val="none"/>
        </w:rPr>
      </w:pPr>
    </w:p>
    <w:p>
      <w:pPr>
        <w:pStyle w:val="12"/>
        <w:spacing w:line="360" w:lineRule="auto"/>
        <w:jc w:val="center"/>
        <w:rPr>
          <w:rFonts w:ascii="宋体" w:hAnsi="宋体" w:cs="宋体"/>
          <w:color w:val="auto"/>
          <w:sz w:val="30"/>
          <w:highlight w:val="none"/>
        </w:rPr>
      </w:pPr>
    </w:p>
    <w:p>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投标人名称（盖章） ：</w:t>
      </w:r>
    </w:p>
    <w:p>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法定代表人或委托代理人（签字或盖章）：</w:t>
      </w:r>
    </w:p>
    <w:p>
      <w:pPr>
        <w:snapToGrid w:val="0"/>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日      期 ：</w:t>
      </w:r>
    </w:p>
    <w:p>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一、商务标相关格式</w:t>
      </w:r>
    </w:p>
    <w:p>
      <w:pPr>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30"/>
          <w:szCs w:val="30"/>
          <w:highlight w:val="none"/>
        </w:rPr>
        <w:t>一、投  标  函</w:t>
      </w:r>
    </w:p>
    <w:p>
      <w:pPr>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eastAsia="zh-CN"/>
        </w:rPr>
        <w:t> 南通市崇川区农业农村和水利局</w:t>
      </w:r>
      <w:r>
        <w:rPr>
          <w:rFonts w:hint="eastAsia" w:ascii="宋体" w:hAnsi="宋体" w:cs="宋体"/>
          <w:color w:val="auto"/>
          <w:sz w:val="28"/>
          <w:szCs w:val="28"/>
          <w:highlight w:val="none"/>
        </w:rPr>
        <w:t>：</w:t>
      </w:r>
    </w:p>
    <w:p>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(一)根据已收到的工程的招标文件，我单位将遵照《中华人民共和国招标投标法》等有关规定并根据工程招标文件的规定，经考察现场和研究招标文件后，愿以</w:t>
      </w:r>
      <w:r>
        <w:rPr>
          <w:rFonts w:hint="eastAsia" w:ascii="宋体" w:hAnsi="宋体" w:cs="宋体"/>
          <w:color w:val="auto"/>
          <w:sz w:val="28"/>
          <w:szCs w:val="28"/>
          <w:highlight w:val="none"/>
          <w:u w:val="single"/>
        </w:rPr>
        <w:t>人民币(大写)           ，小写¥            元</w:t>
      </w:r>
      <w:r>
        <w:rPr>
          <w:rFonts w:hint="eastAsia" w:ascii="宋体" w:hAnsi="宋体" w:cs="宋体"/>
          <w:color w:val="auto"/>
          <w:sz w:val="28"/>
          <w:szCs w:val="28"/>
          <w:highlight w:val="none"/>
        </w:rPr>
        <w:t>的总价，按招标文件的要求承包本次招标范围内的全部工程，项目经理为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(二)我单位保证在收到贵单位发出的书面开工令后立即开工，并在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天内竣工。</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(三)我单位保证本工程质量达到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(四)我单位金额为人民币元的投标保证金已按招标文件缴纳</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rPr>
        <w:t>。</w:t>
      </w:r>
    </w:p>
    <w:p>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(五)如果我方中标，我方将按照规定提交</w:t>
      </w:r>
      <w:r>
        <w:rPr>
          <w:rFonts w:hint="eastAsia" w:ascii="宋体" w:hAnsi="宋体" w:cs="宋体"/>
          <w:color w:val="auto"/>
          <w:sz w:val="28"/>
          <w:szCs w:val="28"/>
          <w:highlight w:val="none"/>
          <w:u w:val="single"/>
        </w:rPr>
        <w:t>合同价的    %</w:t>
      </w:r>
      <w:r>
        <w:rPr>
          <w:rFonts w:hint="eastAsia" w:ascii="宋体" w:hAnsi="宋体" w:cs="宋体"/>
          <w:color w:val="auto"/>
          <w:sz w:val="28"/>
          <w:szCs w:val="28"/>
          <w:highlight w:val="none"/>
        </w:rPr>
        <w:t>作为履约担保，承诺在施工过程中不转包，不分包。</w:t>
      </w:r>
    </w:p>
    <w:p>
      <w:pPr>
        <w:pStyle w:val="12"/>
        <w:adjustRightInd/>
        <w:snapToGrid w:val="0"/>
        <w:spacing w:line="360" w:lineRule="auto"/>
        <w:ind w:left="279" w:leftChars="133"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(六)贵单位的招标文件、中标通知书和本投标文件将构成约束我们双方的合同。</w:t>
      </w:r>
    </w:p>
    <w:p>
      <w:pPr>
        <w:snapToGrid w:val="0"/>
        <w:spacing w:line="360" w:lineRule="auto"/>
        <w:ind w:firstLine="560" w:firstLineChars="200"/>
        <w:rPr>
          <w:rFonts w:ascii="宋体" w:hAnsi="宋体" w:cs="宋体"/>
          <w:color w:val="auto"/>
          <w:sz w:val="28"/>
          <w:szCs w:val="28"/>
          <w:highlight w:val="none"/>
        </w:rPr>
      </w:pPr>
    </w:p>
    <w:p>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投标人（盖章）：</w:t>
      </w:r>
    </w:p>
    <w:p>
      <w:pPr>
        <w:tabs>
          <w:tab w:val="left" w:pos="4320"/>
        </w:tabs>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法定代表人（签字或盖章）：</w:t>
      </w:r>
    </w:p>
    <w:p>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pPr>
        <w:pStyle w:val="12"/>
        <w:spacing w:line="360" w:lineRule="auto"/>
        <w:ind w:firstLine="0"/>
        <w:rPr>
          <w:rFonts w:ascii="宋体" w:hAnsi="宋体" w:cs="宋体"/>
          <w:color w:val="auto"/>
          <w:sz w:val="28"/>
          <w:szCs w:val="28"/>
          <w:highlight w:val="none"/>
        </w:rPr>
      </w:pPr>
    </w:p>
    <w:p>
      <w:pPr>
        <w:pStyle w:val="12"/>
        <w:spacing w:line="360" w:lineRule="auto"/>
        <w:ind w:firstLine="0"/>
        <w:rPr>
          <w:rFonts w:ascii="宋体" w:hAnsi="宋体" w:cs="宋体"/>
          <w:color w:val="auto"/>
          <w:sz w:val="28"/>
          <w:szCs w:val="28"/>
          <w:highlight w:val="none"/>
        </w:rPr>
      </w:pPr>
    </w:p>
    <w:p>
      <w:pPr>
        <w:pStyle w:val="12"/>
        <w:spacing w:line="360" w:lineRule="auto"/>
        <w:ind w:firstLine="0"/>
        <w:rPr>
          <w:rFonts w:ascii="宋体" w:hAnsi="宋体" w:cs="宋体"/>
          <w:color w:val="auto"/>
          <w:sz w:val="28"/>
          <w:szCs w:val="28"/>
          <w:highlight w:val="none"/>
        </w:rPr>
        <w:sectPr>
          <w:headerReference r:id="rId3" w:type="default"/>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ascii="宋体" w:hAnsi="宋体" w:cs="宋体"/>
          <w:b/>
          <w:bCs/>
          <w:color w:val="auto"/>
          <w:sz w:val="30"/>
          <w:szCs w:val="30"/>
          <w:highlight w:val="none"/>
        </w:rPr>
      </w:pPr>
      <w:r>
        <w:rPr>
          <w:rFonts w:hint="eastAsia" w:ascii="宋体" w:hAnsi="宋体" w:cs="宋体"/>
          <w:b/>
          <w:bCs/>
          <w:color w:val="auto"/>
          <w:sz w:val="30"/>
          <w:szCs w:val="30"/>
          <w:highlight w:val="none"/>
        </w:rPr>
        <w:t>二、已标价的工程量清单</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560" w:firstLineChars="200"/>
        <w:rPr>
          <w:rFonts w:ascii="宋体" w:hAnsi="宋体" w:cs="宋体"/>
          <w:color w:val="auto"/>
          <w:sz w:val="28"/>
          <w:szCs w:val="28"/>
          <w:highlight w:val="none"/>
        </w:rPr>
      </w:pPr>
    </w:p>
    <w:p>
      <w:pPr>
        <w:pStyle w:val="12"/>
        <w:adjustRightInd/>
        <w:snapToGrid w:val="0"/>
        <w:spacing w:line="360" w:lineRule="auto"/>
        <w:ind w:firstLine="0"/>
        <w:rPr>
          <w:rFonts w:ascii="宋体" w:hAnsi="宋体" w:cs="宋体"/>
          <w:color w:val="auto"/>
          <w:sz w:val="28"/>
          <w:szCs w:val="28"/>
          <w:highlight w:val="none"/>
        </w:rPr>
      </w:pPr>
    </w:p>
    <w:p>
      <w:pPr>
        <w:pStyle w:val="12"/>
        <w:spacing w:line="30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pStyle w:val="12"/>
              <w:spacing w:line="360" w:lineRule="auto"/>
              <w:ind w:firstLine="0"/>
              <w:jc w:val="center"/>
              <w:rPr>
                <w:rFonts w:ascii="宋体" w:hAnsi="宋体" w:cs="宋体"/>
                <w:color w:val="auto"/>
                <w:position w:val="-32"/>
                <w:highlight w:val="none"/>
              </w:rPr>
            </w:pPr>
            <w:r>
              <w:rPr>
                <w:rFonts w:hint="eastAsia" w:ascii="宋体" w:hAnsi="宋体" w:cs="宋体"/>
                <w:color w:val="auto"/>
                <w:position w:val="-32"/>
                <w:highlight w:val="none"/>
              </w:rPr>
              <w:t>序号</w:t>
            </w:r>
          </w:p>
        </w:tc>
        <w:tc>
          <w:tcPr>
            <w:tcW w:w="1700" w:type="dxa"/>
          </w:tcPr>
          <w:p>
            <w:pPr>
              <w:pStyle w:val="12"/>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机械设备名称</w:t>
            </w:r>
          </w:p>
        </w:tc>
        <w:tc>
          <w:tcPr>
            <w:tcW w:w="7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型号规格</w:t>
            </w:r>
          </w:p>
        </w:tc>
        <w:tc>
          <w:tcPr>
            <w:tcW w:w="700" w:type="dxa"/>
          </w:tcPr>
          <w:p>
            <w:pPr>
              <w:pStyle w:val="12"/>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数量</w:t>
            </w:r>
          </w:p>
        </w:tc>
        <w:tc>
          <w:tcPr>
            <w:tcW w:w="9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国 别</w:t>
            </w:r>
          </w:p>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产 地</w:t>
            </w:r>
          </w:p>
        </w:tc>
        <w:tc>
          <w:tcPr>
            <w:tcW w:w="9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制 造</w:t>
            </w:r>
          </w:p>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年 份</w:t>
            </w:r>
          </w:p>
        </w:tc>
        <w:tc>
          <w:tcPr>
            <w:tcW w:w="11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额定功率(KW)</w:t>
            </w:r>
          </w:p>
        </w:tc>
        <w:tc>
          <w:tcPr>
            <w:tcW w:w="1100" w:type="dxa"/>
          </w:tcPr>
          <w:p>
            <w:pPr>
              <w:pStyle w:val="12"/>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生产能力(MH)</w:t>
            </w:r>
          </w:p>
        </w:tc>
        <w:tc>
          <w:tcPr>
            <w:tcW w:w="700" w:type="dxa"/>
          </w:tcPr>
          <w:p>
            <w:pPr>
              <w:pStyle w:val="12"/>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2"/>
              <w:spacing w:line="360" w:lineRule="auto"/>
              <w:ind w:left="1260" w:firstLine="0"/>
              <w:rPr>
                <w:rFonts w:ascii="宋体" w:hAnsi="宋体" w:cs="宋体"/>
                <w:color w:val="auto"/>
                <w:highlight w:val="none"/>
              </w:rPr>
            </w:pPr>
          </w:p>
        </w:tc>
        <w:tc>
          <w:tcPr>
            <w:tcW w:w="1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9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1100" w:type="dxa"/>
          </w:tcPr>
          <w:p>
            <w:pPr>
              <w:pStyle w:val="12"/>
              <w:spacing w:line="360" w:lineRule="auto"/>
              <w:ind w:left="1260" w:firstLine="0"/>
              <w:rPr>
                <w:rFonts w:ascii="宋体" w:hAnsi="宋体" w:cs="宋体"/>
                <w:color w:val="auto"/>
                <w:highlight w:val="none"/>
              </w:rPr>
            </w:pPr>
          </w:p>
        </w:tc>
        <w:tc>
          <w:tcPr>
            <w:tcW w:w="700" w:type="dxa"/>
          </w:tcPr>
          <w:p>
            <w:pPr>
              <w:pStyle w:val="12"/>
              <w:spacing w:line="360" w:lineRule="auto"/>
              <w:ind w:left="1260" w:firstLine="0"/>
              <w:rPr>
                <w:rFonts w:ascii="宋体" w:hAnsi="宋体" w:cs="宋体"/>
                <w:color w:val="auto"/>
                <w:highlight w:val="none"/>
              </w:rPr>
            </w:pPr>
          </w:p>
        </w:tc>
      </w:tr>
    </w:tbl>
    <w:p>
      <w:pPr>
        <w:pStyle w:val="4"/>
        <w:jc w:val="center"/>
        <w:rPr>
          <w:rFonts w:ascii="宋体" w:hAnsi="宋体" w:cs="宋体"/>
          <w:color w:val="auto"/>
          <w:sz w:val="24"/>
          <w:szCs w:val="24"/>
          <w:highlight w:val="none"/>
        </w:rPr>
      </w:pPr>
      <w:bookmarkStart w:id="320" w:name="_Toc20744274"/>
      <w:bookmarkStart w:id="321" w:name="_Toc20744811"/>
      <w:r>
        <w:rPr>
          <w:rFonts w:hint="eastAsia" w:ascii="宋体" w:hAnsi="宋体" w:cs="宋体"/>
          <w:color w:val="auto"/>
          <w:sz w:val="24"/>
          <w:szCs w:val="24"/>
          <w:highlight w:val="none"/>
        </w:rPr>
        <w:br w:type="page"/>
      </w:r>
      <w:r>
        <w:rPr>
          <w:rFonts w:hint="eastAsia" w:ascii="宋体" w:hAnsi="宋体" w:cs="宋体"/>
          <w:color w:val="auto"/>
          <w:sz w:val="30"/>
          <w:szCs w:val="30"/>
          <w:highlight w:val="none"/>
        </w:rPr>
        <w:t>四、主要施工管理人员表</w:t>
      </w:r>
      <w:bookmarkEnd w:id="320"/>
      <w:bookmarkEnd w:id="321"/>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机构</w:t>
            </w:r>
          </w:p>
        </w:tc>
        <w:tc>
          <w:tcPr>
            <w:tcW w:w="1632"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项目工程师</w:t>
            </w:r>
          </w:p>
        </w:tc>
        <w:tc>
          <w:tcPr>
            <w:tcW w:w="709"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姓名</w:t>
            </w:r>
          </w:p>
        </w:tc>
        <w:tc>
          <w:tcPr>
            <w:tcW w:w="851"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职务</w:t>
            </w:r>
          </w:p>
        </w:tc>
        <w:tc>
          <w:tcPr>
            <w:tcW w:w="850"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职称</w:t>
            </w:r>
          </w:p>
        </w:tc>
        <w:tc>
          <w:tcPr>
            <w:tcW w:w="3557"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总</w:t>
            </w: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部</w:t>
            </w:r>
          </w:p>
        </w:tc>
        <w:tc>
          <w:tcPr>
            <w:tcW w:w="1632"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项目主管</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技术负责人</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tcPr>
          <w:p>
            <w:pPr>
              <w:spacing w:line="360" w:lineRule="auto"/>
              <w:rPr>
                <w:rFonts w:ascii="宋体" w:hAnsi="宋体" w:cs="宋体"/>
                <w:color w:val="auto"/>
                <w:position w:val="-42"/>
                <w:sz w:val="24"/>
                <w:highlight w:val="none"/>
              </w:rPr>
            </w:pP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现</w:t>
            </w: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p>
          <w:p>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场</w:t>
            </w: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项目负责人</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项目技术负责人</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质量管理</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安全管理</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施工管理</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42"/>
                <w:sz w:val="24"/>
                <w:highlight w:val="none"/>
              </w:rPr>
            </w:pPr>
          </w:p>
        </w:tc>
        <w:tc>
          <w:tcPr>
            <w:tcW w:w="1632" w:type="dxa"/>
            <w:vAlign w:val="center"/>
          </w:tcPr>
          <w:p>
            <w:pPr>
              <w:jc w:val="center"/>
              <w:rPr>
                <w:rFonts w:ascii="宋体" w:hAnsi="宋体" w:cs="宋体"/>
                <w:color w:val="auto"/>
                <w:highlight w:val="none"/>
              </w:rPr>
            </w:pPr>
            <w:r>
              <w:rPr>
                <w:rFonts w:hint="eastAsia" w:ascii="宋体" w:hAnsi="宋体" w:cs="宋体"/>
                <w:color w:val="auto"/>
                <w:highlight w:val="none"/>
              </w:rPr>
              <w:t>计划管理</w:t>
            </w:r>
          </w:p>
        </w:tc>
        <w:tc>
          <w:tcPr>
            <w:tcW w:w="709" w:type="dxa"/>
          </w:tcPr>
          <w:p>
            <w:pPr>
              <w:spacing w:line="360" w:lineRule="auto"/>
              <w:rPr>
                <w:rFonts w:ascii="宋体" w:hAnsi="宋体" w:cs="宋体"/>
                <w:color w:val="auto"/>
                <w:position w:val="-42"/>
                <w:sz w:val="24"/>
                <w:highlight w:val="none"/>
              </w:rPr>
            </w:pPr>
          </w:p>
        </w:tc>
        <w:tc>
          <w:tcPr>
            <w:tcW w:w="851" w:type="dxa"/>
          </w:tcPr>
          <w:p>
            <w:pPr>
              <w:spacing w:line="360" w:lineRule="auto"/>
              <w:rPr>
                <w:rFonts w:ascii="宋体" w:hAnsi="宋体" w:cs="宋体"/>
                <w:color w:val="auto"/>
                <w:position w:val="-42"/>
                <w:sz w:val="24"/>
                <w:highlight w:val="none"/>
              </w:rPr>
            </w:pPr>
          </w:p>
        </w:tc>
        <w:tc>
          <w:tcPr>
            <w:tcW w:w="850" w:type="dxa"/>
          </w:tcPr>
          <w:p>
            <w:pPr>
              <w:spacing w:line="360" w:lineRule="auto"/>
              <w:rPr>
                <w:rFonts w:ascii="宋体" w:hAnsi="宋体" w:cs="宋体"/>
                <w:color w:val="auto"/>
                <w:position w:val="-42"/>
                <w:sz w:val="24"/>
                <w:highlight w:val="none"/>
              </w:rPr>
            </w:pPr>
          </w:p>
        </w:tc>
        <w:tc>
          <w:tcPr>
            <w:tcW w:w="3557" w:type="dxa"/>
          </w:tcPr>
          <w:p>
            <w:pPr>
              <w:spacing w:line="360" w:lineRule="auto"/>
              <w:rPr>
                <w:rFonts w:ascii="宋体" w:hAnsi="宋体" w:cs="宋体"/>
                <w:color w:val="auto"/>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30"/>
                <w:sz w:val="24"/>
                <w:highlight w:val="none"/>
              </w:rPr>
            </w:pPr>
          </w:p>
        </w:tc>
        <w:tc>
          <w:tcPr>
            <w:tcW w:w="1632" w:type="dxa"/>
            <w:vAlign w:val="center"/>
          </w:tcPr>
          <w:p>
            <w:pPr>
              <w:spacing w:line="360" w:lineRule="auto"/>
              <w:jc w:val="center"/>
              <w:rPr>
                <w:rFonts w:ascii="宋体" w:hAnsi="宋体" w:cs="宋体"/>
                <w:color w:val="auto"/>
                <w:position w:val="-30"/>
                <w:sz w:val="24"/>
                <w:highlight w:val="none"/>
              </w:rPr>
            </w:pPr>
            <w:r>
              <w:rPr>
                <w:rFonts w:hint="eastAsia" w:ascii="宋体" w:hAnsi="宋体" w:cs="宋体"/>
                <w:color w:val="auto"/>
                <w:highlight w:val="none"/>
              </w:rPr>
              <w:t>材料管理</w:t>
            </w:r>
          </w:p>
        </w:tc>
        <w:tc>
          <w:tcPr>
            <w:tcW w:w="709" w:type="dxa"/>
          </w:tcPr>
          <w:p>
            <w:pPr>
              <w:spacing w:line="360" w:lineRule="auto"/>
              <w:rPr>
                <w:rFonts w:ascii="宋体" w:hAnsi="宋体" w:cs="宋体"/>
                <w:color w:val="auto"/>
                <w:position w:val="-30"/>
                <w:sz w:val="24"/>
                <w:highlight w:val="none"/>
              </w:rPr>
            </w:pPr>
          </w:p>
        </w:tc>
        <w:tc>
          <w:tcPr>
            <w:tcW w:w="851" w:type="dxa"/>
          </w:tcPr>
          <w:p>
            <w:pPr>
              <w:spacing w:line="360" w:lineRule="auto"/>
              <w:rPr>
                <w:rFonts w:ascii="宋体" w:hAnsi="宋体" w:cs="宋体"/>
                <w:color w:val="auto"/>
                <w:position w:val="-30"/>
                <w:sz w:val="24"/>
                <w:highlight w:val="none"/>
              </w:rPr>
            </w:pPr>
          </w:p>
        </w:tc>
        <w:tc>
          <w:tcPr>
            <w:tcW w:w="850" w:type="dxa"/>
          </w:tcPr>
          <w:p>
            <w:pPr>
              <w:spacing w:line="360" w:lineRule="auto"/>
              <w:rPr>
                <w:rFonts w:ascii="宋体" w:hAnsi="宋体" w:cs="宋体"/>
                <w:color w:val="auto"/>
                <w:position w:val="-30"/>
                <w:sz w:val="24"/>
                <w:highlight w:val="none"/>
              </w:rPr>
            </w:pPr>
          </w:p>
        </w:tc>
        <w:tc>
          <w:tcPr>
            <w:tcW w:w="3557" w:type="dxa"/>
          </w:tcPr>
          <w:p>
            <w:pPr>
              <w:spacing w:line="360" w:lineRule="auto"/>
              <w:rPr>
                <w:rFonts w:ascii="宋体" w:hAnsi="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30"/>
                <w:sz w:val="24"/>
                <w:highlight w:val="none"/>
              </w:rPr>
            </w:pPr>
          </w:p>
        </w:tc>
        <w:tc>
          <w:tcPr>
            <w:tcW w:w="1632" w:type="dxa"/>
          </w:tcPr>
          <w:p>
            <w:pPr>
              <w:spacing w:line="360" w:lineRule="auto"/>
              <w:rPr>
                <w:rFonts w:ascii="宋体" w:hAnsi="宋体" w:cs="宋体"/>
                <w:color w:val="auto"/>
                <w:position w:val="-30"/>
                <w:sz w:val="24"/>
                <w:highlight w:val="none"/>
              </w:rPr>
            </w:pPr>
          </w:p>
        </w:tc>
        <w:tc>
          <w:tcPr>
            <w:tcW w:w="709" w:type="dxa"/>
          </w:tcPr>
          <w:p>
            <w:pPr>
              <w:spacing w:line="360" w:lineRule="auto"/>
              <w:rPr>
                <w:rFonts w:ascii="宋体" w:hAnsi="宋体" w:cs="宋体"/>
                <w:color w:val="auto"/>
                <w:position w:val="-30"/>
                <w:sz w:val="24"/>
                <w:highlight w:val="none"/>
              </w:rPr>
            </w:pPr>
          </w:p>
        </w:tc>
        <w:tc>
          <w:tcPr>
            <w:tcW w:w="851" w:type="dxa"/>
          </w:tcPr>
          <w:p>
            <w:pPr>
              <w:spacing w:line="360" w:lineRule="auto"/>
              <w:rPr>
                <w:rFonts w:ascii="宋体" w:hAnsi="宋体" w:cs="宋体"/>
                <w:color w:val="auto"/>
                <w:position w:val="-30"/>
                <w:sz w:val="24"/>
                <w:highlight w:val="none"/>
              </w:rPr>
            </w:pPr>
          </w:p>
        </w:tc>
        <w:tc>
          <w:tcPr>
            <w:tcW w:w="850" w:type="dxa"/>
          </w:tcPr>
          <w:p>
            <w:pPr>
              <w:spacing w:line="360" w:lineRule="auto"/>
              <w:rPr>
                <w:rFonts w:ascii="宋体" w:hAnsi="宋体" w:cs="宋体"/>
                <w:color w:val="auto"/>
                <w:position w:val="-30"/>
                <w:sz w:val="24"/>
                <w:highlight w:val="none"/>
              </w:rPr>
            </w:pPr>
          </w:p>
        </w:tc>
        <w:tc>
          <w:tcPr>
            <w:tcW w:w="3557" w:type="dxa"/>
          </w:tcPr>
          <w:p>
            <w:pPr>
              <w:spacing w:line="360" w:lineRule="auto"/>
              <w:rPr>
                <w:rFonts w:ascii="宋体" w:hAnsi="宋体" w:cs="宋体"/>
                <w:color w:val="auto"/>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s="宋体"/>
                <w:color w:val="auto"/>
                <w:position w:val="-30"/>
                <w:sz w:val="24"/>
                <w:highlight w:val="none"/>
              </w:rPr>
            </w:pPr>
          </w:p>
        </w:tc>
        <w:tc>
          <w:tcPr>
            <w:tcW w:w="1632" w:type="dxa"/>
          </w:tcPr>
          <w:p>
            <w:pPr>
              <w:spacing w:line="360" w:lineRule="auto"/>
              <w:rPr>
                <w:rFonts w:ascii="宋体" w:hAnsi="宋体" w:cs="宋体"/>
                <w:color w:val="auto"/>
                <w:position w:val="-30"/>
                <w:sz w:val="24"/>
                <w:highlight w:val="none"/>
              </w:rPr>
            </w:pPr>
          </w:p>
        </w:tc>
        <w:tc>
          <w:tcPr>
            <w:tcW w:w="709" w:type="dxa"/>
          </w:tcPr>
          <w:p>
            <w:pPr>
              <w:spacing w:line="360" w:lineRule="auto"/>
              <w:rPr>
                <w:rFonts w:ascii="宋体" w:hAnsi="宋体" w:cs="宋体"/>
                <w:color w:val="auto"/>
                <w:position w:val="-30"/>
                <w:sz w:val="24"/>
                <w:highlight w:val="none"/>
              </w:rPr>
            </w:pPr>
          </w:p>
        </w:tc>
        <w:tc>
          <w:tcPr>
            <w:tcW w:w="851" w:type="dxa"/>
          </w:tcPr>
          <w:p>
            <w:pPr>
              <w:spacing w:line="360" w:lineRule="auto"/>
              <w:rPr>
                <w:rFonts w:ascii="宋体" w:hAnsi="宋体" w:cs="宋体"/>
                <w:color w:val="auto"/>
                <w:position w:val="-30"/>
                <w:sz w:val="24"/>
                <w:highlight w:val="none"/>
              </w:rPr>
            </w:pPr>
          </w:p>
        </w:tc>
        <w:tc>
          <w:tcPr>
            <w:tcW w:w="850" w:type="dxa"/>
          </w:tcPr>
          <w:p>
            <w:pPr>
              <w:spacing w:line="360" w:lineRule="auto"/>
              <w:rPr>
                <w:rFonts w:ascii="宋体" w:hAnsi="宋体" w:cs="宋体"/>
                <w:color w:val="auto"/>
                <w:position w:val="-30"/>
                <w:sz w:val="24"/>
                <w:highlight w:val="none"/>
              </w:rPr>
            </w:pPr>
          </w:p>
        </w:tc>
        <w:tc>
          <w:tcPr>
            <w:tcW w:w="3557" w:type="dxa"/>
          </w:tcPr>
          <w:p>
            <w:pPr>
              <w:spacing w:line="360" w:lineRule="auto"/>
              <w:rPr>
                <w:rFonts w:ascii="宋体" w:hAnsi="宋体" w:cs="宋体"/>
                <w:color w:val="auto"/>
                <w:position w:val="-30"/>
                <w:sz w:val="24"/>
                <w:highlight w:val="none"/>
              </w:rPr>
            </w:pPr>
          </w:p>
        </w:tc>
      </w:tr>
    </w:tbl>
    <w:p>
      <w:pPr>
        <w:pStyle w:val="12"/>
        <w:adjustRightInd/>
        <w:snapToGrid w:val="0"/>
        <w:spacing w:line="360" w:lineRule="auto"/>
        <w:ind w:firstLine="560" w:firstLineChars="200"/>
        <w:rPr>
          <w:rFonts w:ascii="宋体" w:hAnsi="宋体" w:cs="宋体"/>
          <w:color w:val="auto"/>
          <w:sz w:val="28"/>
          <w:szCs w:val="28"/>
          <w:highlight w:val="none"/>
        </w:rPr>
      </w:pPr>
    </w:p>
    <w:p>
      <w:pPr>
        <w:spacing w:line="400" w:lineRule="exact"/>
        <w:jc w:val="center"/>
        <w:rPr>
          <w:rFonts w:ascii="宋体" w:hAnsi="宋体" w:cs="宋体"/>
          <w:b/>
          <w:bCs/>
          <w:color w:val="auto"/>
          <w:sz w:val="24"/>
          <w:highlight w:val="none"/>
        </w:rPr>
      </w:pPr>
    </w:p>
    <w:p>
      <w:pPr>
        <w:spacing w:line="400" w:lineRule="exact"/>
        <w:jc w:val="center"/>
        <w:rPr>
          <w:rFonts w:ascii="宋体" w:hAnsi="宋体" w:cs="宋体"/>
          <w:b/>
          <w:bCs/>
          <w:color w:val="auto"/>
          <w:sz w:val="24"/>
          <w:highlight w:val="none"/>
        </w:rPr>
      </w:pPr>
    </w:p>
    <w:p>
      <w:pPr>
        <w:spacing w:line="400" w:lineRule="exact"/>
        <w:jc w:val="center"/>
        <w:rPr>
          <w:rFonts w:ascii="宋体" w:hAnsi="宋体" w:cs="宋体"/>
          <w:b/>
          <w:bCs/>
          <w:color w:val="auto"/>
          <w:sz w:val="24"/>
          <w:highlight w:val="none"/>
        </w:rPr>
      </w:pPr>
    </w:p>
    <w:bookmarkEnd w:id="319"/>
    <w:p>
      <w:pPr>
        <w:pStyle w:val="81"/>
        <w:spacing w:line="420" w:lineRule="atLeast"/>
        <w:jc w:val="both"/>
        <w:rPr>
          <w:rFonts w:ascii="宋体" w:hAnsi="宋体" w:cs="宋体"/>
          <w:b/>
          <w:bCs/>
          <w:color w:val="auto"/>
          <w:sz w:val="44"/>
          <w:szCs w:val="32"/>
          <w:highlight w:val="none"/>
        </w:rPr>
      </w:pPr>
      <w:bookmarkStart w:id="322" w:name="_Toc404159964"/>
      <w:bookmarkStart w:id="323" w:name="_Toc465181339"/>
    </w:p>
    <w:p>
      <w:pPr>
        <w:pStyle w:val="81"/>
        <w:spacing w:line="420" w:lineRule="atLeast"/>
        <w:jc w:val="both"/>
        <w:rPr>
          <w:rFonts w:ascii="宋体" w:hAnsi="宋体" w:cs="宋体"/>
          <w:b/>
          <w:bCs/>
          <w:color w:val="auto"/>
          <w:sz w:val="44"/>
          <w:szCs w:val="32"/>
          <w:highlight w:val="none"/>
        </w:rPr>
      </w:pPr>
    </w:p>
    <w:p>
      <w:pPr>
        <w:pStyle w:val="81"/>
        <w:spacing w:line="420" w:lineRule="atLeast"/>
        <w:rPr>
          <w:rFonts w:hint="eastAsia" w:ascii="宋体" w:hAnsi="宋体" w:eastAsia="宋体" w:cs="宋体"/>
          <w:b/>
          <w:bCs/>
          <w:color w:val="auto"/>
          <w:sz w:val="44"/>
          <w:szCs w:val="32"/>
          <w:highlight w:val="none"/>
          <w:lang w:eastAsia="zh-CN"/>
        </w:rPr>
      </w:pPr>
      <w:r>
        <w:rPr>
          <w:rFonts w:hint="eastAsia" w:ascii="宋体" w:hAnsi="宋体" w:cs="宋体"/>
          <w:b/>
          <w:bCs/>
          <w:color w:val="auto"/>
          <w:sz w:val="44"/>
          <w:szCs w:val="32"/>
          <w:highlight w:val="none"/>
        </w:rPr>
        <w:t>第七章</w:t>
      </w:r>
      <w:bookmarkEnd w:id="322"/>
      <w:bookmarkEnd w:id="323"/>
      <w:r>
        <w:rPr>
          <w:rFonts w:hint="eastAsia" w:ascii="宋体" w:hAnsi="宋体" w:cs="宋体"/>
          <w:b/>
          <w:bCs/>
          <w:color w:val="auto"/>
          <w:sz w:val="44"/>
          <w:szCs w:val="32"/>
          <w:highlight w:val="none"/>
          <w:lang w:eastAsia="zh-CN"/>
        </w:rPr>
        <w:t>资格审查文件</w:t>
      </w:r>
    </w:p>
    <w:p>
      <w:pPr>
        <w:spacing w:line="360" w:lineRule="auto"/>
        <w:ind w:firstLine="480"/>
        <w:rPr>
          <w:rFonts w:ascii="宋体" w:hAnsi="宋体" w:cs="宋体"/>
          <w:color w:val="auto"/>
          <w:sz w:val="25"/>
          <w:highlight w:val="none"/>
        </w:rPr>
      </w:pPr>
    </w:p>
    <w:p>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一、资格证明材料：见本招标文件第一章9.1条。</w:t>
      </w:r>
    </w:p>
    <w:p>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二、资格审查材料封面及相关表格如下：</w:t>
      </w: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widowControl/>
        <w:spacing w:line="460" w:lineRule="exact"/>
        <w:ind w:firstLine="480" w:firstLineChars="200"/>
        <w:jc w:val="left"/>
        <w:rPr>
          <w:rFonts w:ascii="宋体" w:hAnsi="宋体" w:cs="宋体"/>
          <w:color w:val="auto"/>
          <w:kern w:val="0"/>
          <w:sz w:val="24"/>
          <w:highlight w:val="none"/>
        </w:rPr>
      </w:pPr>
    </w:p>
    <w:p>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一、资格审查文件相关格式</w:t>
      </w:r>
    </w:p>
    <w:p>
      <w:pPr>
        <w:pStyle w:val="12"/>
        <w:spacing w:line="360" w:lineRule="auto"/>
        <w:ind w:firstLine="0"/>
        <w:outlineLvl w:val="1"/>
        <w:rPr>
          <w:rFonts w:ascii="宋体" w:hAnsi="宋体" w:cs="宋体"/>
          <w:color w:val="auto"/>
          <w:sz w:val="28"/>
          <w:szCs w:val="28"/>
          <w:highlight w:val="none"/>
        </w:rPr>
      </w:pPr>
    </w:p>
    <w:p>
      <w:pPr>
        <w:tabs>
          <w:tab w:val="left" w:pos="900"/>
        </w:tabs>
        <w:snapToGrid w:val="0"/>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1.法定代表人身份证明</w:t>
      </w:r>
    </w:p>
    <w:p>
      <w:pPr>
        <w:spacing w:line="480" w:lineRule="exact"/>
        <w:ind w:firstLine="500" w:firstLineChars="200"/>
        <w:rPr>
          <w:rFonts w:ascii="宋体" w:hAnsi="宋体" w:cs="宋体"/>
          <w:color w:val="auto"/>
          <w:sz w:val="25"/>
          <w:highlight w:val="none"/>
        </w:rPr>
      </w:pP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单位名称：</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地    址：</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姓    名：</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性   别：</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  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职  务：</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联系方式：</w:t>
      </w: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系</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的法定代表人。为</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项目，签署上述招标申请文件、进行合同谈判、签署合同和处理与之有关的一切事务。</w:t>
      </w:r>
    </w:p>
    <w:p>
      <w:pPr>
        <w:spacing w:line="480" w:lineRule="exact"/>
        <w:ind w:firstLine="500" w:firstLineChars="200"/>
        <w:rPr>
          <w:rFonts w:ascii="宋体" w:hAnsi="宋体" w:cs="宋体"/>
          <w:color w:val="auto"/>
          <w:sz w:val="25"/>
          <w:highlight w:val="none"/>
        </w:rPr>
      </w:pP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特此证明</w:t>
      </w:r>
    </w:p>
    <w:p>
      <w:pPr>
        <w:spacing w:line="480" w:lineRule="exact"/>
        <w:ind w:firstLine="500" w:firstLineChars="200"/>
        <w:rPr>
          <w:rFonts w:ascii="宋体" w:hAnsi="宋体" w:cs="宋体"/>
          <w:color w:val="auto"/>
          <w:sz w:val="25"/>
          <w:highlight w:val="none"/>
        </w:rPr>
      </w:pPr>
    </w:p>
    <w:p>
      <w:pPr>
        <w:spacing w:line="480" w:lineRule="exact"/>
        <w:rPr>
          <w:rFonts w:ascii="宋体" w:hAnsi="宋体" w:cs="宋体"/>
          <w:color w:val="auto"/>
          <w:sz w:val="25"/>
          <w:highlight w:val="none"/>
        </w:rPr>
      </w:pP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申请人：</w:t>
      </w:r>
      <w:r>
        <w:rPr>
          <w:rFonts w:hint="eastAsia" w:ascii="宋体" w:hAnsi="宋体" w:cs="宋体"/>
          <w:color w:val="auto"/>
          <w:sz w:val="25"/>
          <w:highlight w:val="none"/>
          <w:u w:val="single"/>
        </w:rPr>
        <w:t>（盖章）</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pPr>
        <w:spacing w:line="480" w:lineRule="exact"/>
        <w:ind w:firstLine="500" w:firstLineChars="200"/>
        <w:rPr>
          <w:rFonts w:ascii="宋体" w:hAnsi="宋体" w:cs="宋体"/>
          <w:color w:val="auto"/>
          <w:sz w:val="25"/>
          <w:highlight w:val="none"/>
        </w:rPr>
      </w:pPr>
    </w:p>
    <w:p>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日    期：</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月</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日</w:t>
      </w:r>
    </w:p>
    <w:p>
      <w:pPr>
        <w:pStyle w:val="12"/>
        <w:spacing w:line="360" w:lineRule="auto"/>
        <w:ind w:firstLine="0"/>
        <w:jc w:val="right"/>
        <w:rPr>
          <w:rFonts w:ascii="宋体" w:hAnsi="宋体" w:cs="宋体"/>
          <w:color w:val="auto"/>
          <w:sz w:val="25"/>
          <w:highlight w:val="none"/>
        </w:rPr>
      </w:pPr>
    </w:p>
    <w:tbl>
      <w:tblPr>
        <w:tblStyle w:val="5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ascii="仿宋" w:hAnsi="仿宋" w:eastAsia="仿宋" w:cs="仿宋"/>
                <w:color w:val="auto"/>
                <w:highlight w:val="none"/>
              </w:rPr>
            </w:pPr>
          </w:p>
          <w:p>
            <w:pPr>
              <w:snapToGrid w:val="0"/>
              <w:spacing w:line="420" w:lineRule="exact"/>
              <w:jc w:val="center"/>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法定代表人身份证（正、反面）复印件</w:t>
            </w:r>
            <w:r>
              <w:rPr>
                <w:rFonts w:hint="eastAsia" w:ascii="仿宋" w:hAnsi="仿宋" w:eastAsia="仿宋" w:cs="仿宋"/>
                <w:b/>
                <w:bCs/>
                <w:color w:val="auto"/>
                <w:sz w:val="32"/>
                <w:szCs w:val="40"/>
                <w:highlight w:val="none"/>
              </w:rPr>
              <w:t>加盖公章</w:t>
            </w:r>
            <w:r>
              <w:rPr>
                <w:rFonts w:hint="eastAsia" w:ascii="仿宋" w:hAnsi="仿宋" w:eastAsia="仿宋" w:cs="仿宋"/>
                <w:b/>
                <w:bCs/>
                <w:color w:val="auto"/>
                <w:sz w:val="32"/>
                <w:szCs w:val="40"/>
                <w:highlight w:val="none"/>
                <w:u w:val="single"/>
              </w:rPr>
              <w:t>（</w:t>
            </w:r>
            <w:r>
              <w:rPr>
                <w:rFonts w:hint="eastAsia" w:ascii="仿宋" w:hAnsi="仿宋" w:eastAsia="仿宋" w:cs="仿宋"/>
                <w:b/>
                <w:bCs/>
                <w:color w:val="auto"/>
                <w:sz w:val="22"/>
                <w:szCs w:val="28"/>
                <w:highlight w:val="none"/>
                <w:u w:val="single"/>
              </w:rPr>
              <w:t>黏贴此处）</w:t>
            </w:r>
          </w:p>
          <w:p>
            <w:pPr>
              <w:snapToGrid w:val="0"/>
              <w:spacing w:line="420" w:lineRule="exact"/>
              <w:ind w:left="193"/>
              <w:jc w:val="left"/>
              <w:rPr>
                <w:rFonts w:ascii="仿宋" w:hAnsi="仿宋" w:eastAsia="仿宋" w:cs="仿宋"/>
                <w:b/>
                <w:bCs/>
                <w:color w:val="auto"/>
                <w:highlight w:val="none"/>
              </w:rPr>
            </w:pPr>
          </w:p>
          <w:p>
            <w:pPr>
              <w:snapToGrid w:val="0"/>
              <w:spacing w:line="420" w:lineRule="exact"/>
              <w:ind w:left="193"/>
              <w:jc w:val="left"/>
              <w:rPr>
                <w:rFonts w:ascii="仿宋" w:hAnsi="仿宋" w:eastAsia="仿宋" w:cs="仿宋"/>
                <w:b/>
                <w:bCs/>
                <w:color w:val="auto"/>
                <w:highlight w:val="none"/>
              </w:rPr>
            </w:pPr>
          </w:p>
          <w:p>
            <w:pPr>
              <w:snapToGrid w:val="0"/>
              <w:spacing w:line="420" w:lineRule="exact"/>
              <w:ind w:left="193"/>
              <w:jc w:val="left"/>
              <w:rPr>
                <w:rFonts w:ascii="仿宋" w:hAnsi="仿宋" w:eastAsia="仿宋" w:cs="仿宋"/>
                <w:b/>
                <w:bCs/>
                <w:color w:val="auto"/>
                <w:highlight w:val="none"/>
              </w:rPr>
            </w:pPr>
          </w:p>
          <w:p>
            <w:pPr>
              <w:snapToGrid w:val="0"/>
              <w:spacing w:line="420" w:lineRule="exact"/>
              <w:ind w:left="193" w:firstLine="424" w:firstLineChars="202"/>
              <w:jc w:val="left"/>
              <w:rPr>
                <w:rFonts w:ascii="仿宋" w:hAnsi="仿宋" w:eastAsia="仿宋" w:cs="仿宋"/>
                <w:color w:val="auto"/>
                <w:highlight w:val="none"/>
              </w:rPr>
            </w:pPr>
          </w:p>
        </w:tc>
      </w:tr>
    </w:tbl>
    <w:p>
      <w:pPr>
        <w:pStyle w:val="12"/>
        <w:spacing w:line="360" w:lineRule="auto"/>
        <w:ind w:firstLine="0"/>
        <w:rPr>
          <w:rFonts w:ascii="宋体" w:hAnsi="宋体" w:cs="宋体"/>
          <w:color w:val="auto"/>
          <w:sz w:val="25"/>
          <w:highlight w:val="none"/>
        </w:rPr>
      </w:pPr>
    </w:p>
    <w:p>
      <w:pPr>
        <w:pStyle w:val="12"/>
        <w:snapToGrid w:val="0"/>
        <w:spacing w:line="440" w:lineRule="exact"/>
        <w:ind w:firstLine="0"/>
        <w:jc w:val="center"/>
        <w:outlineLvl w:val="1"/>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sz w:val="28"/>
          <w:szCs w:val="28"/>
          <w:highlight w:val="none"/>
        </w:rPr>
        <w:t>2.授权委托书</w:t>
      </w:r>
    </w:p>
    <w:p>
      <w:pPr>
        <w:pStyle w:val="12"/>
        <w:snapToGrid w:val="0"/>
        <w:spacing w:line="440" w:lineRule="exact"/>
        <w:ind w:firstLine="480"/>
        <w:rPr>
          <w:rFonts w:ascii="宋体" w:hAnsi="宋体" w:cs="宋体"/>
          <w:color w:val="auto"/>
          <w:highlight w:val="none"/>
        </w:rPr>
      </w:pPr>
    </w:p>
    <w:p>
      <w:pPr>
        <w:spacing w:line="560" w:lineRule="exact"/>
        <w:rPr>
          <w:rFonts w:ascii="宋体" w:hAnsi="宋体" w:cs="宋体"/>
          <w:color w:val="auto"/>
          <w:sz w:val="25"/>
          <w:highlight w:val="none"/>
        </w:rPr>
      </w:pPr>
      <w:r>
        <w:rPr>
          <w:rFonts w:hint="eastAsia" w:ascii="宋体" w:hAnsi="宋体" w:cs="宋体"/>
          <w:color w:val="auto"/>
          <w:sz w:val="25"/>
          <w:highlight w:val="none"/>
        </w:rPr>
        <w:t>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本授权书宣告，在下面签字的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以法定代表人身份代表本单位授权：</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 xml:space="preserve">为本单位的合法授权代表，授权其在 </w:t>
      </w:r>
      <w:r>
        <w:rPr>
          <w:rFonts w:hint="eastAsia" w:ascii="宋体" w:hAnsi="宋体" w:cs="宋体"/>
          <w:color w:val="auto"/>
          <w:sz w:val="25"/>
          <w:szCs w:val="25"/>
          <w:highlight w:val="none"/>
          <w:u w:val="single"/>
        </w:rPr>
        <w:t xml:space="preserve">    项目</w:t>
      </w:r>
      <w:r>
        <w:rPr>
          <w:rFonts w:hint="eastAsia" w:ascii="宋体" w:hAnsi="宋体" w:cs="宋体"/>
          <w:color w:val="auto"/>
          <w:sz w:val="25"/>
          <w:highlight w:val="none"/>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本委托书限期自年月日起至年月日止。</w:t>
      </w:r>
    </w:p>
    <w:p>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授权代表无权转让委托权，特此委托。</w:t>
      </w:r>
    </w:p>
    <w:p>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投标人：(全称、盖章)</w:t>
      </w:r>
    </w:p>
    <w:p>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法定代表人姓名：</w:t>
      </w:r>
    </w:p>
    <w:p>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授权委托人：</w:t>
      </w:r>
    </w:p>
    <w:p>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联系方式：</w:t>
      </w:r>
    </w:p>
    <w:p>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日    期：</w:t>
      </w:r>
    </w:p>
    <w:p>
      <w:pPr>
        <w:pStyle w:val="12"/>
        <w:spacing w:line="360" w:lineRule="auto"/>
        <w:ind w:firstLine="0"/>
        <w:jc w:val="center"/>
        <w:rPr>
          <w:rFonts w:ascii="宋体" w:hAnsi="宋体" w:cs="宋体"/>
          <w:color w:val="auto"/>
          <w:highlight w:val="none"/>
        </w:rPr>
      </w:pPr>
    </w:p>
    <w:tbl>
      <w:tblPr>
        <w:tblStyle w:val="5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ascii="仿宋" w:hAnsi="仿宋" w:eastAsia="仿宋" w:cs="仿宋"/>
                <w:color w:val="auto"/>
                <w:highlight w:val="none"/>
              </w:rPr>
            </w:pPr>
          </w:p>
          <w:p>
            <w:pPr>
              <w:snapToGrid w:val="0"/>
              <w:spacing w:line="420" w:lineRule="exact"/>
              <w:jc w:val="center"/>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授权委托人身份证（正、反面）复印件</w:t>
            </w:r>
            <w:r>
              <w:rPr>
                <w:rFonts w:hint="eastAsia" w:ascii="仿宋" w:hAnsi="仿宋" w:eastAsia="仿宋" w:cs="仿宋"/>
                <w:b/>
                <w:bCs/>
                <w:color w:val="auto"/>
                <w:sz w:val="32"/>
                <w:szCs w:val="40"/>
                <w:highlight w:val="none"/>
              </w:rPr>
              <w:t>加盖公章</w:t>
            </w:r>
            <w:r>
              <w:rPr>
                <w:rFonts w:hint="eastAsia" w:ascii="仿宋" w:hAnsi="仿宋" w:eastAsia="仿宋" w:cs="仿宋"/>
                <w:b/>
                <w:bCs/>
                <w:color w:val="auto"/>
                <w:sz w:val="24"/>
                <w:szCs w:val="32"/>
                <w:highlight w:val="none"/>
              </w:rPr>
              <w:t>（黏贴此处）</w:t>
            </w:r>
          </w:p>
          <w:p>
            <w:pPr>
              <w:snapToGrid w:val="0"/>
              <w:spacing w:line="420" w:lineRule="exact"/>
              <w:jc w:val="center"/>
              <w:rPr>
                <w:rFonts w:ascii="仿宋" w:hAnsi="仿宋" w:eastAsia="仿宋" w:cs="仿宋"/>
                <w:b/>
                <w:bCs/>
                <w:color w:val="auto"/>
                <w:highlight w:val="none"/>
              </w:rPr>
            </w:pPr>
          </w:p>
          <w:p>
            <w:pPr>
              <w:snapToGrid w:val="0"/>
              <w:spacing w:line="420" w:lineRule="exact"/>
              <w:jc w:val="center"/>
              <w:rPr>
                <w:rFonts w:ascii="仿宋" w:hAnsi="仿宋" w:eastAsia="仿宋" w:cs="仿宋"/>
                <w:b/>
                <w:bCs/>
                <w:color w:val="auto"/>
                <w:highlight w:val="none"/>
              </w:rPr>
            </w:pPr>
          </w:p>
          <w:p>
            <w:pPr>
              <w:snapToGrid w:val="0"/>
              <w:spacing w:line="420" w:lineRule="exact"/>
              <w:jc w:val="center"/>
              <w:rPr>
                <w:rFonts w:ascii="仿宋" w:hAnsi="仿宋" w:eastAsia="仿宋" w:cs="仿宋"/>
                <w:color w:val="auto"/>
                <w:highlight w:val="none"/>
              </w:rPr>
            </w:pPr>
          </w:p>
          <w:p>
            <w:pPr>
              <w:snapToGrid w:val="0"/>
              <w:spacing w:line="420" w:lineRule="exact"/>
              <w:jc w:val="center"/>
              <w:rPr>
                <w:rFonts w:ascii="仿宋" w:hAnsi="仿宋" w:eastAsia="仿宋" w:cs="仿宋"/>
                <w:color w:val="auto"/>
                <w:highlight w:val="none"/>
              </w:rPr>
            </w:pPr>
          </w:p>
        </w:tc>
      </w:tr>
    </w:tbl>
    <w:p>
      <w:pPr>
        <w:pStyle w:val="12"/>
        <w:spacing w:line="360" w:lineRule="auto"/>
        <w:ind w:firstLine="0"/>
        <w:jc w:val="center"/>
        <w:rPr>
          <w:rFonts w:ascii="宋体" w:hAnsi="宋体" w:cs="宋体"/>
          <w:color w:val="auto"/>
          <w:highlight w:val="none"/>
        </w:rPr>
      </w:pPr>
    </w:p>
    <w:p>
      <w:pPr>
        <w:pStyle w:val="12"/>
        <w:spacing w:line="360" w:lineRule="auto"/>
        <w:ind w:firstLine="0"/>
        <w:jc w:val="center"/>
        <w:rPr>
          <w:rFonts w:ascii="宋体" w:hAnsi="宋体" w:cs="宋体"/>
          <w:color w:val="auto"/>
          <w:highlight w:val="none"/>
        </w:rPr>
      </w:pPr>
    </w:p>
    <w:p>
      <w:pPr>
        <w:pStyle w:val="12"/>
        <w:spacing w:line="360" w:lineRule="auto"/>
        <w:ind w:firstLine="0"/>
        <w:jc w:val="center"/>
        <w:rPr>
          <w:rFonts w:ascii="宋体" w:hAnsi="宋体" w:cs="宋体"/>
          <w:color w:val="auto"/>
          <w:highlight w:val="none"/>
        </w:rPr>
      </w:pPr>
    </w:p>
    <w:p>
      <w:pPr>
        <w:tabs>
          <w:tab w:val="left" w:pos="993"/>
        </w:tabs>
        <w:spacing w:line="360" w:lineRule="auto"/>
        <w:rPr>
          <w:rFonts w:ascii="宋体" w:hAnsi="宋体" w:cs="宋体"/>
          <w:color w:val="auto"/>
          <w:sz w:val="24"/>
          <w:highlight w:val="none"/>
        </w:rPr>
      </w:pPr>
    </w:p>
    <w:p>
      <w:pPr>
        <w:pStyle w:val="81"/>
        <w:snapToGrid w:val="0"/>
        <w:spacing w:after="0" w:line="420" w:lineRule="atLeast"/>
        <w:rPr>
          <w:rFonts w:ascii="宋体" w:hAnsi="宋体" w:cs="宋体"/>
          <w:color w:val="auto"/>
          <w:sz w:val="28"/>
          <w:highlight w:val="none"/>
        </w:rPr>
      </w:pPr>
    </w:p>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12"/>
        <w:snapToGrid w:val="0"/>
        <w:spacing w:line="440" w:lineRule="exact"/>
        <w:ind w:firstLine="0"/>
        <w:jc w:val="center"/>
        <w:outlineLvl w:val="1"/>
        <w:rPr>
          <w:rFonts w:ascii="仿宋" w:hAnsi="仿宋" w:eastAsia="仿宋" w:cs="仿宋"/>
          <w:b/>
          <w:color w:val="auto"/>
          <w:sz w:val="28"/>
          <w:szCs w:val="28"/>
          <w:highlight w:val="none"/>
        </w:rPr>
        <w:sectPr>
          <w:footerReference r:id="rId4" w:type="default"/>
          <w:pgSz w:w="11906" w:h="16838"/>
          <w:pgMar w:top="1440" w:right="1800" w:bottom="1440" w:left="1800" w:header="851" w:footer="992" w:gutter="0"/>
          <w:cols w:space="425" w:num="1"/>
          <w:docGrid w:type="lines" w:linePitch="312" w:charSpace="0"/>
        </w:sectPr>
      </w:pPr>
    </w:p>
    <w:p>
      <w:pPr>
        <w:pStyle w:val="12"/>
        <w:snapToGrid w:val="0"/>
        <w:spacing w:line="440" w:lineRule="exact"/>
        <w:ind w:firstLine="0"/>
        <w:jc w:val="center"/>
        <w:outlineLvl w:val="1"/>
        <w:rPr>
          <w:rFonts w:ascii="宋体" w:hAnsi="宋体" w:cs="宋体"/>
          <w:color w:val="auto"/>
          <w:sz w:val="32"/>
          <w:szCs w:val="32"/>
          <w:highlight w:val="none"/>
        </w:rPr>
      </w:pPr>
      <w:r>
        <w:rPr>
          <w:rFonts w:hint="eastAsia" w:ascii="仿宋" w:hAnsi="仿宋" w:eastAsia="仿宋" w:cs="仿宋"/>
          <w:b/>
          <w:color w:val="auto"/>
          <w:sz w:val="28"/>
          <w:szCs w:val="28"/>
          <w:highlight w:val="none"/>
        </w:rPr>
        <w:t>3.诚信承诺书</w:t>
      </w:r>
    </w:p>
    <w:p>
      <w:pPr>
        <w:widowControl/>
        <w:adjustRightInd w:val="0"/>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lang w:eastAsia="zh-CN"/>
        </w:rPr>
        <w:t> 南通市崇川区农业农村和水利局</w:t>
      </w:r>
      <w:r>
        <w:rPr>
          <w:rFonts w:hint="eastAsia" w:ascii="宋体" w:hAnsi="宋体" w:cs="宋体"/>
          <w:color w:val="auto"/>
          <w:sz w:val="24"/>
          <w:highlight w:val="none"/>
        </w:rPr>
        <w:t>：</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我方参加你方的（以下简称“本工程”）的投标，现我方法定代表人向你方慎重承诺：</w:t>
      </w:r>
    </w:p>
    <w:p>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rPr>
        <w:t>2.我方递交的投标文件中的所有资料都是真实可信的，没有弄虚作假。</w:t>
      </w:r>
    </w:p>
    <w:p>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.我方不组织、不参与串标围标，没有出借资质等违法违规行为。</w:t>
      </w:r>
    </w:p>
    <w:p>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我方承诺：违反上述任何一条承诺，自愿意接受当地建设行政主管部门作出的依法处罚，包括同意你方取消我方中标资格，将我方列入黑名单，并上报南通市建设主管部门。</w:t>
      </w:r>
    </w:p>
    <w:p>
      <w:pPr>
        <w:adjustRightInd w:val="0"/>
        <w:snapToGrid w:val="0"/>
        <w:spacing w:line="440" w:lineRule="exact"/>
        <w:ind w:firstLine="250" w:firstLineChars="98"/>
        <w:rPr>
          <w:rFonts w:ascii="宋体" w:hAnsi="宋体" w:cs="宋体"/>
          <w:color w:val="auto"/>
          <w:spacing w:val="8"/>
          <w:kern w:val="0"/>
          <w:sz w:val="24"/>
          <w:highlight w:val="none"/>
        </w:rPr>
      </w:pPr>
    </w:p>
    <w:p>
      <w:pPr>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投标申请人（盖章）：</w:t>
      </w:r>
    </w:p>
    <w:p>
      <w:pPr>
        <w:tabs>
          <w:tab w:val="left" w:pos="4320"/>
        </w:tabs>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法定代表人（签字或盖章）：</w:t>
      </w:r>
    </w:p>
    <w:p>
      <w:pPr>
        <w:adjustRightInd w:val="0"/>
        <w:snapToGrid w:val="0"/>
        <w:spacing w:line="440" w:lineRule="exact"/>
        <w:jc w:val="right"/>
        <w:rPr>
          <w:rFonts w:ascii="宋体" w:hAnsi="宋体" w:cs="宋体"/>
          <w:color w:val="auto"/>
          <w:sz w:val="24"/>
          <w:highlight w:val="none"/>
        </w:rPr>
      </w:pPr>
      <w:r>
        <w:rPr>
          <w:rFonts w:hint="eastAsia" w:ascii="宋体" w:hAnsi="宋体" w:cs="宋体"/>
          <w:color w:val="auto"/>
          <w:sz w:val="24"/>
          <w:highlight w:val="none"/>
        </w:rPr>
        <w:t>日期：年月日</w:t>
      </w:r>
    </w:p>
    <w:p>
      <w:pPr>
        <w:spacing w:line="360" w:lineRule="auto"/>
        <w:ind w:firstLine="250" w:firstLineChars="98"/>
        <w:rPr>
          <w:rFonts w:ascii="宋体" w:hAnsi="宋体" w:cs="宋体"/>
          <w:color w:val="auto"/>
          <w:spacing w:val="8"/>
          <w:kern w:val="0"/>
          <w:sz w:val="24"/>
          <w:highlight w:val="none"/>
        </w:rPr>
      </w:pPr>
    </w:p>
    <w:p>
      <w:pPr>
        <w:adjustRightInd w:val="0"/>
        <w:snapToGrid w:val="0"/>
        <w:spacing w:line="440" w:lineRule="exact"/>
        <w:rPr>
          <w:rFonts w:ascii="宋体" w:hAnsi="宋体" w:cs="宋体"/>
          <w:color w:val="auto"/>
          <w:kern w:val="0"/>
          <w:sz w:val="44"/>
          <w:szCs w:val="44"/>
          <w:highlight w:val="none"/>
        </w:rPr>
      </w:pPr>
      <w:bookmarkStart w:id="324" w:name="_Toc465181340"/>
      <w:bookmarkStart w:id="325" w:name="_Toc404159965"/>
    </w:p>
    <w:p>
      <w:pPr>
        <w:adjustRightInd w:val="0"/>
        <w:snapToGrid w:val="0"/>
        <w:spacing w:line="440" w:lineRule="exact"/>
        <w:jc w:val="center"/>
        <w:rPr>
          <w:rFonts w:ascii="宋体" w:hAnsi="宋体" w:cs="宋体"/>
          <w:color w:val="auto"/>
          <w:kern w:val="0"/>
          <w:sz w:val="44"/>
          <w:szCs w:val="44"/>
          <w:highlight w:val="none"/>
        </w:rPr>
      </w:pPr>
    </w:p>
    <w:p>
      <w:pPr>
        <w:adjustRightInd w:val="0"/>
        <w:snapToGrid w:val="0"/>
        <w:spacing w:line="440" w:lineRule="exact"/>
        <w:jc w:val="center"/>
        <w:rPr>
          <w:rFonts w:ascii="宋体" w:hAnsi="宋体" w:cs="宋体"/>
          <w:color w:val="auto"/>
          <w:kern w:val="0"/>
          <w:sz w:val="44"/>
          <w:szCs w:val="44"/>
          <w:highlight w:val="none"/>
        </w:rPr>
      </w:pPr>
    </w:p>
    <w:p>
      <w:pPr>
        <w:rPr>
          <w:rFonts w:ascii="宋体" w:hAnsi="宋体" w:cs="宋体"/>
          <w:color w:val="auto"/>
          <w:kern w:val="0"/>
          <w:sz w:val="44"/>
          <w:szCs w:val="44"/>
          <w:highlight w:val="none"/>
        </w:rPr>
      </w:pPr>
      <w:r>
        <w:rPr>
          <w:rFonts w:hint="eastAsia" w:ascii="宋体" w:hAnsi="宋体" w:cs="宋体"/>
          <w:color w:val="auto"/>
          <w:kern w:val="0"/>
          <w:sz w:val="44"/>
          <w:szCs w:val="44"/>
          <w:highlight w:val="none"/>
        </w:rPr>
        <w:br w:type="page"/>
      </w:r>
    </w:p>
    <w:p>
      <w:pPr>
        <w:adjustRightInd w:val="0"/>
        <w:snapToGrid w:val="0"/>
        <w:spacing w:line="440" w:lineRule="exact"/>
        <w:jc w:val="center"/>
        <w:rPr>
          <w:rFonts w:ascii="宋体" w:hAnsi="宋体" w:cs="宋体"/>
          <w:color w:val="auto"/>
          <w:sz w:val="44"/>
          <w:szCs w:val="44"/>
          <w:highlight w:val="none"/>
        </w:rPr>
      </w:pPr>
      <w:r>
        <w:rPr>
          <w:rFonts w:hint="eastAsia" w:ascii="宋体" w:hAnsi="宋体" w:cs="宋体"/>
          <w:color w:val="auto"/>
          <w:kern w:val="0"/>
          <w:sz w:val="44"/>
          <w:szCs w:val="44"/>
          <w:highlight w:val="none"/>
        </w:rPr>
        <w:t>第八章工程量清单</w:t>
      </w:r>
      <w:bookmarkEnd w:id="324"/>
      <w:bookmarkEnd w:id="325"/>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南通市崇川区人民政府网公示公告栏</w:t>
      </w:r>
      <w:r>
        <w:rPr>
          <w:rFonts w:hint="eastAsia" w:ascii="宋体" w:hAnsi="宋体" w:cs="宋体"/>
          <w:color w:val="auto"/>
          <w:highlight w:val="none"/>
        </w:rPr>
        <w:t>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9"/>
      </w:rPr>
    </w:pPr>
    <w:r>
      <w:fldChar w:fldCharType="begin"/>
    </w:r>
    <w:r>
      <w:rPr>
        <w:rStyle w:val="59"/>
      </w:rPr>
      <w:instrText xml:space="preserve">PAGE  </w:instrText>
    </w:r>
    <w:r>
      <w:fldChar w:fldCharType="separate"/>
    </w:r>
    <w:r>
      <w:rPr>
        <w:rStyle w:val="59"/>
      </w:rPr>
      <w:t>67</w: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4153"/>
      </w:tabs>
    </w:pPr>
    <w:r>
      <w:rPr>
        <w:rFonts w:hint="eastAsia"/>
      </w:rPr>
      <w:t>第</w:t>
    </w:r>
    <w:r>
      <w:t>5</w:t>
    </w:r>
    <w:r>
      <w:rPr>
        <w:rFonts w:hint="eastAsia"/>
      </w:rPr>
      <w:t>章工程量清单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065C1"/>
    <w:multiLevelType w:val="multilevel"/>
    <w:tmpl w:val="283065C1"/>
    <w:lvl w:ilvl="0" w:tentative="0">
      <w:start w:val="2"/>
      <w:numFmt w:val="decimalEnclosedCircle"/>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TQ3M2MyOTlmMGVhNjhkZmE5ZWE1NGZmOTI0MDMifQ=="/>
  </w:docVars>
  <w:rsids>
    <w:rsidRoot w:val="52F72180"/>
    <w:rsid w:val="00005508"/>
    <w:rsid w:val="000137E4"/>
    <w:rsid w:val="000304DE"/>
    <w:rsid w:val="00031285"/>
    <w:rsid w:val="00085226"/>
    <w:rsid w:val="000A2396"/>
    <w:rsid w:val="000A7A0B"/>
    <w:rsid w:val="000B25C8"/>
    <w:rsid w:val="000C379F"/>
    <w:rsid w:val="000D59DF"/>
    <w:rsid w:val="000F7197"/>
    <w:rsid w:val="00104010"/>
    <w:rsid w:val="0019021D"/>
    <w:rsid w:val="001A23B9"/>
    <w:rsid w:val="001A5653"/>
    <w:rsid w:val="001B1E77"/>
    <w:rsid w:val="001B6EDD"/>
    <w:rsid w:val="001D5DB4"/>
    <w:rsid w:val="001E7D83"/>
    <w:rsid w:val="001F1AA0"/>
    <w:rsid w:val="002410F1"/>
    <w:rsid w:val="0024422D"/>
    <w:rsid w:val="002C18B2"/>
    <w:rsid w:val="002C4EC2"/>
    <w:rsid w:val="002C51A8"/>
    <w:rsid w:val="002C720A"/>
    <w:rsid w:val="002C7D8C"/>
    <w:rsid w:val="002D3CEC"/>
    <w:rsid w:val="002E24A5"/>
    <w:rsid w:val="002E29F9"/>
    <w:rsid w:val="003039D2"/>
    <w:rsid w:val="00307022"/>
    <w:rsid w:val="00311798"/>
    <w:rsid w:val="00382671"/>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C29FE"/>
    <w:rsid w:val="006C6C8D"/>
    <w:rsid w:val="006D158B"/>
    <w:rsid w:val="006D414B"/>
    <w:rsid w:val="006E798D"/>
    <w:rsid w:val="00751B7F"/>
    <w:rsid w:val="00762F38"/>
    <w:rsid w:val="00786406"/>
    <w:rsid w:val="007E3205"/>
    <w:rsid w:val="007E5CD3"/>
    <w:rsid w:val="008008A3"/>
    <w:rsid w:val="00817094"/>
    <w:rsid w:val="008532F6"/>
    <w:rsid w:val="00863AF5"/>
    <w:rsid w:val="008839EF"/>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D7D68"/>
    <w:rsid w:val="00BE0094"/>
    <w:rsid w:val="00BE078B"/>
    <w:rsid w:val="00BF0D1E"/>
    <w:rsid w:val="00C4341C"/>
    <w:rsid w:val="00C66BFF"/>
    <w:rsid w:val="00C77CD4"/>
    <w:rsid w:val="00C86E76"/>
    <w:rsid w:val="00C93764"/>
    <w:rsid w:val="00C938FB"/>
    <w:rsid w:val="00C94A59"/>
    <w:rsid w:val="00CA0938"/>
    <w:rsid w:val="00CC798D"/>
    <w:rsid w:val="00CF59F8"/>
    <w:rsid w:val="00D42E60"/>
    <w:rsid w:val="00D83849"/>
    <w:rsid w:val="00DA342D"/>
    <w:rsid w:val="00DC28EF"/>
    <w:rsid w:val="00DD2669"/>
    <w:rsid w:val="00DF780B"/>
    <w:rsid w:val="00E107DE"/>
    <w:rsid w:val="00E66D96"/>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1F55661"/>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6C7B74"/>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C263F"/>
    <w:rsid w:val="09B63701"/>
    <w:rsid w:val="0A574756"/>
    <w:rsid w:val="0B19080B"/>
    <w:rsid w:val="0B756D1E"/>
    <w:rsid w:val="0B7959C4"/>
    <w:rsid w:val="0B870B9C"/>
    <w:rsid w:val="0BCE3DBB"/>
    <w:rsid w:val="0BE45A66"/>
    <w:rsid w:val="0BFB037D"/>
    <w:rsid w:val="0C06498C"/>
    <w:rsid w:val="0C357EB6"/>
    <w:rsid w:val="0C4B340B"/>
    <w:rsid w:val="0C7E6C27"/>
    <w:rsid w:val="0C9B69E4"/>
    <w:rsid w:val="0E0A7A22"/>
    <w:rsid w:val="0E4B13B1"/>
    <w:rsid w:val="0E9D75E1"/>
    <w:rsid w:val="0F657A50"/>
    <w:rsid w:val="0FDB4504"/>
    <w:rsid w:val="109C3648"/>
    <w:rsid w:val="10B4026F"/>
    <w:rsid w:val="10C22CE1"/>
    <w:rsid w:val="10CF4913"/>
    <w:rsid w:val="10D61142"/>
    <w:rsid w:val="10D95F27"/>
    <w:rsid w:val="11D93F8F"/>
    <w:rsid w:val="122356AC"/>
    <w:rsid w:val="128F4AEF"/>
    <w:rsid w:val="129275C7"/>
    <w:rsid w:val="12FD414F"/>
    <w:rsid w:val="13AD6C5E"/>
    <w:rsid w:val="13EC7D20"/>
    <w:rsid w:val="14007EF4"/>
    <w:rsid w:val="1407129F"/>
    <w:rsid w:val="15975949"/>
    <w:rsid w:val="15E03962"/>
    <w:rsid w:val="16427DA6"/>
    <w:rsid w:val="1694043E"/>
    <w:rsid w:val="169C75F8"/>
    <w:rsid w:val="16BB7B7E"/>
    <w:rsid w:val="16BE2541"/>
    <w:rsid w:val="16DD169B"/>
    <w:rsid w:val="16DF0D3A"/>
    <w:rsid w:val="16F741F0"/>
    <w:rsid w:val="17187845"/>
    <w:rsid w:val="17C6385E"/>
    <w:rsid w:val="17F17FFA"/>
    <w:rsid w:val="185A04B5"/>
    <w:rsid w:val="19121F1F"/>
    <w:rsid w:val="198750D7"/>
    <w:rsid w:val="19D06514"/>
    <w:rsid w:val="1A0E6F64"/>
    <w:rsid w:val="1A4C290F"/>
    <w:rsid w:val="1A617633"/>
    <w:rsid w:val="1A7E5552"/>
    <w:rsid w:val="1A8B7005"/>
    <w:rsid w:val="1A9E7AF2"/>
    <w:rsid w:val="1AB55BAE"/>
    <w:rsid w:val="1AE40497"/>
    <w:rsid w:val="1AFF6FE6"/>
    <w:rsid w:val="1B4072CF"/>
    <w:rsid w:val="1B515990"/>
    <w:rsid w:val="1B851185"/>
    <w:rsid w:val="1B865EA2"/>
    <w:rsid w:val="1BA44686"/>
    <w:rsid w:val="1BBA4792"/>
    <w:rsid w:val="1BD7304E"/>
    <w:rsid w:val="1BF7207B"/>
    <w:rsid w:val="1C3E37EF"/>
    <w:rsid w:val="1C566653"/>
    <w:rsid w:val="1C764317"/>
    <w:rsid w:val="1CE10F3A"/>
    <w:rsid w:val="1CF601E9"/>
    <w:rsid w:val="1D0176F0"/>
    <w:rsid w:val="1D30218A"/>
    <w:rsid w:val="1D303373"/>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1070A"/>
    <w:rsid w:val="200A199D"/>
    <w:rsid w:val="2035036D"/>
    <w:rsid w:val="20487479"/>
    <w:rsid w:val="20677A69"/>
    <w:rsid w:val="206A6AD6"/>
    <w:rsid w:val="20754BC4"/>
    <w:rsid w:val="20C55B80"/>
    <w:rsid w:val="21384AF9"/>
    <w:rsid w:val="21433F5C"/>
    <w:rsid w:val="21A66D68"/>
    <w:rsid w:val="22356182"/>
    <w:rsid w:val="22C205C9"/>
    <w:rsid w:val="22EA5BD8"/>
    <w:rsid w:val="23457D5C"/>
    <w:rsid w:val="237E21BF"/>
    <w:rsid w:val="23B05BD9"/>
    <w:rsid w:val="23F76998"/>
    <w:rsid w:val="241777A9"/>
    <w:rsid w:val="24227065"/>
    <w:rsid w:val="24360BF5"/>
    <w:rsid w:val="24443260"/>
    <w:rsid w:val="244A2F6C"/>
    <w:rsid w:val="2494616D"/>
    <w:rsid w:val="24B94303"/>
    <w:rsid w:val="25103C2A"/>
    <w:rsid w:val="252D2080"/>
    <w:rsid w:val="253B4663"/>
    <w:rsid w:val="25516645"/>
    <w:rsid w:val="25796D3B"/>
    <w:rsid w:val="25ED03AC"/>
    <w:rsid w:val="260B04D9"/>
    <w:rsid w:val="26603F1B"/>
    <w:rsid w:val="269523F6"/>
    <w:rsid w:val="273A2F36"/>
    <w:rsid w:val="273E7F57"/>
    <w:rsid w:val="279F6FB7"/>
    <w:rsid w:val="27B01160"/>
    <w:rsid w:val="27DF2845"/>
    <w:rsid w:val="28326879"/>
    <w:rsid w:val="28A76112"/>
    <w:rsid w:val="28BB57B8"/>
    <w:rsid w:val="2A0F0C91"/>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5E0057"/>
    <w:rsid w:val="317A6513"/>
    <w:rsid w:val="31AE1467"/>
    <w:rsid w:val="31E00A9E"/>
    <w:rsid w:val="31FB3AF8"/>
    <w:rsid w:val="32675C4F"/>
    <w:rsid w:val="32EC10B5"/>
    <w:rsid w:val="333A6892"/>
    <w:rsid w:val="3386578F"/>
    <w:rsid w:val="33F86541"/>
    <w:rsid w:val="345A0221"/>
    <w:rsid w:val="34927F26"/>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C0746"/>
    <w:rsid w:val="399260B1"/>
    <w:rsid w:val="399D0BA9"/>
    <w:rsid w:val="39D210D0"/>
    <w:rsid w:val="39F36AB0"/>
    <w:rsid w:val="3A22131F"/>
    <w:rsid w:val="3A3A5C00"/>
    <w:rsid w:val="3A651382"/>
    <w:rsid w:val="3AA47B56"/>
    <w:rsid w:val="3ADB5C14"/>
    <w:rsid w:val="3B57147E"/>
    <w:rsid w:val="3BF04197"/>
    <w:rsid w:val="3C494C91"/>
    <w:rsid w:val="3C816AD5"/>
    <w:rsid w:val="3C85123C"/>
    <w:rsid w:val="3D172AAF"/>
    <w:rsid w:val="3D1B0ACD"/>
    <w:rsid w:val="3D4346CC"/>
    <w:rsid w:val="3D53334C"/>
    <w:rsid w:val="3D842BF3"/>
    <w:rsid w:val="3DE96996"/>
    <w:rsid w:val="3DFD6ED4"/>
    <w:rsid w:val="3DFE2E5B"/>
    <w:rsid w:val="3E926D73"/>
    <w:rsid w:val="3E947456"/>
    <w:rsid w:val="3EA64DEB"/>
    <w:rsid w:val="3EFB7799"/>
    <w:rsid w:val="3F553B85"/>
    <w:rsid w:val="3F6128A4"/>
    <w:rsid w:val="3F6668EF"/>
    <w:rsid w:val="3F7C7073"/>
    <w:rsid w:val="3FB12023"/>
    <w:rsid w:val="3FD43F78"/>
    <w:rsid w:val="40792AF8"/>
    <w:rsid w:val="407A1133"/>
    <w:rsid w:val="411611C0"/>
    <w:rsid w:val="414E709D"/>
    <w:rsid w:val="415D3E87"/>
    <w:rsid w:val="41B8730F"/>
    <w:rsid w:val="41BD5D6E"/>
    <w:rsid w:val="41D55DCA"/>
    <w:rsid w:val="41DA54D8"/>
    <w:rsid w:val="424A69DB"/>
    <w:rsid w:val="425A3F23"/>
    <w:rsid w:val="42BC2F0F"/>
    <w:rsid w:val="42CE0C11"/>
    <w:rsid w:val="42CF21CF"/>
    <w:rsid w:val="42F02F19"/>
    <w:rsid w:val="439218EB"/>
    <w:rsid w:val="43EC1B77"/>
    <w:rsid w:val="44042F5B"/>
    <w:rsid w:val="44095964"/>
    <w:rsid w:val="446948F1"/>
    <w:rsid w:val="45967968"/>
    <w:rsid w:val="45AC0F39"/>
    <w:rsid w:val="45DD25A5"/>
    <w:rsid w:val="4614789E"/>
    <w:rsid w:val="463047B6"/>
    <w:rsid w:val="463B0D2E"/>
    <w:rsid w:val="46560772"/>
    <w:rsid w:val="469345CE"/>
    <w:rsid w:val="46B55163"/>
    <w:rsid w:val="46C60AC8"/>
    <w:rsid w:val="47876D4C"/>
    <w:rsid w:val="47C22C96"/>
    <w:rsid w:val="47C951F3"/>
    <w:rsid w:val="47F5056D"/>
    <w:rsid w:val="47F64889"/>
    <w:rsid w:val="4866783D"/>
    <w:rsid w:val="48B33EB3"/>
    <w:rsid w:val="48D2427E"/>
    <w:rsid w:val="490A54F9"/>
    <w:rsid w:val="4A8D493A"/>
    <w:rsid w:val="4A8E3303"/>
    <w:rsid w:val="4A9B5DA6"/>
    <w:rsid w:val="4AA06FF7"/>
    <w:rsid w:val="4AAE3170"/>
    <w:rsid w:val="4AD87C8C"/>
    <w:rsid w:val="4B061452"/>
    <w:rsid w:val="4B3C36D6"/>
    <w:rsid w:val="4B8A6E41"/>
    <w:rsid w:val="4B922D11"/>
    <w:rsid w:val="4C580249"/>
    <w:rsid w:val="4C837C16"/>
    <w:rsid w:val="4D0813B1"/>
    <w:rsid w:val="4D4545A1"/>
    <w:rsid w:val="4E704779"/>
    <w:rsid w:val="4E7D3059"/>
    <w:rsid w:val="4EFE6975"/>
    <w:rsid w:val="4F1D2266"/>
    <w:rsid w:val="5051325C"/>
    <w:rsid w:val="5074071D"/>
    <w:rsid w:val="508C6FAA"/>
    <w:rsid w:val="514559C8"/>
    <w:rsid w:val="51794FC6"/>
    <w:rsid w:val="51B85553"/>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3E4820"/>
    <w:rsid w:val="54564CE5"/>
    <w:rsid w:val="54F40207"/>
    <w:rsid w:val="554A6F5A"/>
    <w:rsid w:val="555B6E99"/>
    <w:rsid w:val="55697A26"/>
    <w:rsid w:val="557557C3"/>
    <w:rsid w:val="55A3245D"/>
    <w:rsid w:val="55B92F6C"/>
    <w:rsid w:val="55EE12EF"/>
    <w:rsid w:val="565344CE"/>
    <w:rsid w:val="566C0899"/>
    <w:rsid w:val="56A82775"/>
    <w:rsid w:val="56B23ED5"/>
    <w:rsid w:val="57BE5D49"/>
    <w:rsid w:val="57EC19AF"/>
    <w:rsid w:val="58036E1F"/>
    <w:rsid w:val="583019E9"/>
    <w:rsid w:val="583D2C87"/>
    <w:rsid w:val="58584C76"/>
    <w:rsid w:val="58FE5B81"/>
    <w:rsid w:val="59634351"/>
    <w:rsid w:val="59702E9D"/>
    <w:rsid w:val="598021CC"/>
    <w:rsid w:val="5A404FEC"/>
    <w:rsid w:val="5A4F6E11"/>
    <w:rsid w:val="5A6B79CC"/>
    <w:rsid w:val="5BFE7BBD"/>
    <w:rsid w:val="5C437A72"/>
    <w:rsid w:val="5D3E62AE"/>
    <w:rsid w:val="5D9E1657"/>
    <w:rsid w:val="5E0A32B4"/>
    <w:rsid w:val="5E3E26AF"/>
    <w:rsid w:val="5E45647E"/>
    <w:rsid w:val="5E5C73E8"/>
    <w:rsid w:val="5E897E68"/>
    <w:rsid w:val="5F467B47"/>
    <w:rsid w:val="5FB13C31"/>
    <w:rsid w:val="605865B8"/>
    <w:rsid w:val="60D82CE4"/>
    <w:rsid w:val="60DF620F"/>
    <w:rsid w:val="611C2FBF"/>
    <w:rsid w:val="618A0898"/>
    <w:rsid w:val="61993871"/>
    <w:rsid w:val="619B26A7"/>
    <w:rsid w:val="61F429C1"/>
    <w:rsid w:val="624668D5"/>
    <w:rsid w:val="624B7136"/>
    <w:rsid w:val="62522938"/>
    <w:rsid w:val="62FD1875"/>
    <w:rsid w:val="63B22B3D"/>
    <w:rsid w:val="63ED5954"/>
    <w:rsid w:val="640308ED"/>
    <w:rsid w:val="640E1B0F"/>
    <w:rsid w:val="64132657"/>
    <w:rsid w:val="64877904"/>
    <w:rsid w:val="64947A50"/>
    <w:rsid w:val="64DB5A06"/>
    <w:rsid w:val="65757F92"/>
    <w:rsid w:val="658713A2"/>
    <w:rsid w:val="65946B60"/>
    <w:rsid w:val="65BB22B9"/>
    <w:rsid w:val="65EF3D43"/>
    <w:rsid w:val="664A571D"/>
    <w:rsid w:val="667967BE"/>
    <w:rsid w:val="66962223"/>
    <w:rsid w:val="66B66FD3"/>
    <w:rsid w:val="66BA1604"/>
    <w:rsid w:val="66D76AB5"/>
    <w:rsid w:val="67690B3F"/>
    <w:rsid w:val="677D408C"/>
    <w:rsid w:val="6780462D"/>
    <w:rsid w:val="679A2E90"/>
    <w:rsid w:val="67C5041C"/>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AAA163C"/>
    <w:rsid w:val="6B2F7D93"/>
    <w:rsid w:val="6B673089"/>
    <w:rsid w:val="6B7B086E"/>
    <w:rsid w:val="6B945E48"/>
    <w:rsid w:val="6BB95AAA"/>
    <w:rsid w:val="6BC74F0A"/>
    <w:rsid w:val="6BD10A4D"/>
    <w:rsid w:val="6C136002"/>
    <w:rsid w:val="6C726518"/>
    <w:rsid w:val="6C9D6E4B"/>
    <w:rsid w:val="6CA17875"/>
    <w:rsid w:val="6D1938F9"/>
    <w:rsid w:val="6D204704"/>
    <w:rsid w:val="6D2967AF"/>
    <w:rsid w:val="6D3E0738"/>
    <w:rsid w:val="6D426B11"/>
    <w:rsid w:val="6D5371E7"/>
    <w:rsid w:val="6DB957D2"/>
    <w:rsid w:val="6E077632"/>
    <w:rsid w:val="6E5F673A"/>
    <w:rsid w:val="6EB503B0"/>
    <w:rsid w:val="6EE25A7E"/>
    <w:rsid w:val="6EE825E8"/>
    <w:rsid w:val="6F567302"/>
    <w:rsid w:val="6F673597"/>
    <w:rsid w:val="6F725463"/>
    <w:rsid w:val="6F8A251D"/>
    <w:rsid w:val="6FE86FB7"/>
    <w:rsid w:val="701D1F0A"/>
    <w:rsid w:val="70204806"/>
    <w:rsid w:val="702C3AF4"/>
    <w:rsid w:val="70485B31"/>
    <w:rsid w:val="704E3F70"/>
    <w:rsid w:val="705601E1"/>
    <w:rsid w:val="70ED6996"/>
    <w:rsid w:val="71257C6E"/>
    <w:rsid w:val="7162185A"/>
    <w:rsid w:val="71737661"/>
    <w:rsid w:val="719815BB"/>
    <w:rsid w:val="72501B91"/>
    <w:rsid w:val="7266154D"/>
    <w:rsid w:val="734001AF"/>
    <w:rsid w:val="73826FF5"/>
    <w:rsid w:val="739D6D1C"/>
    <w:rsid w:val="739E701F"/>
    <w:rsid w:val="73B10E49"/>
    <w:rsid w:val="73BE58EA"/>
    <w:rsid w:val="7434192E"/>
    <w:rsid w:val="745411EF"/>
    <w:rsid w:val="745A5CAD"/>
    <w:rsid w:val="74A9286A"/>
    <w:rsid w:val="74DB44AB"/>
    <w:rsid w:val="753F41B5"/>
    <w:rsid w:val="75DD3483"/>
    <w:rsid w:val="76631135"/>
    <w:rsid w:val="76D27A57"/>
    <w:rsid w:val="773D3BA2"/>
    <w:rsid w:val="774E3C7B"/>
    <w:rsid w:val="77521091"/>
    <w:rsid w:val="782D2B85"/>
    <w:rsid w:val="78A70B1E"/>
    <w:rsid w:val="79512FEE"/>
    <w:rsid w:val="79B75266"/>
    <w:rsid w:val="7A765096"/>
    <w:rsid w:val="7B4C0BE3"/>
    <w:rsid w:val="7B5916F7"/>
    <w:rsid w:val="7C560791"/>
    <w:rsid w:val="7CBA4EA6"/>
    <w:rsid w:val="7CD218F2"/>
    <w:rsid w:val="7CE02F33"/>
    <w:rsid w:val="7CF96B28"/>
    <w:rsid w:val="7D2D6265"/>
    <w:rsid w:val="7D3D301B"/>
    <w:rsid w:val="7D4E40A8"/>
    <w:rsid w:val="7D520349"/>
    <w:rsid w:val="7DF576EA"/>
    <w:rsid w:val="7DF633DC"/>
    <w:rsid w:val="7E7555F0"/>
    <w:rsid w:val="7E7841A6"/>
    <w:rsid w:val="7EF944E8"/>
    <w:rsid w:val="7F1E3F4E"/>
    <w:rsid w:val="7F250E39"/>
    <w:rsid w:val="7F2552DD"/>
    <w:rsid w:val="7F350449"/>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2"/>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93"/>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9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95"/>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87"/>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88"/>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8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90"/>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91"/>
    <w:autoRedefine/>
    <w:qFormat/>
    <w:uiPriority w:val="0"/>
    <w:pPr>
      <w:keepNext/>
      <w:keepLines/>
      <w:spacing w:before="240" w:after="64" w:line="317" w:lineRule="auto"/>
      <w:outlineLvl w:val="8"/>
    </w:pPr>
    <w:rPr>
      <w:rFonts w:ascii="Cambria" w:hAnsi="Cambria"/>
      <w:szCs w:val="21"/>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96"/>
    <w:autoRedefine/>
    <w:qFormat/>
    <w:uiPriority w:val="0"/>
    <w:pPr>
      <w:adjustRightInd w:val="0"/>
      <w:spacing w:line="360" w:lineRule="atLeast"/>
      <w:ind w:firstLine="482"/>
      <w:textAlignment w:val="baseline"/>
    </w:pPr>
    <w:rPr>
      <w:rFonts w:asciiTheme="minorHAnsi" w:hAnsiTheme="minorHAnsi" w:cstheme="minorBidi"/>
      <w:sz w:val="24"/>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97"/>
    <w:autoRedefine/>
    <w:qFormat/>
    <w:uiPriority w:val="0"/>
    <w:pPr>
      <w:shd w:val="clear" w:color="auto" w:fill="000080"/>
    </w:pPr>
    <w:rPr>
      <w:shd w:val="clear" w:color="auto" w:fill="000080"/>
    </w:rPr>
  </w:style>
  <w:style w:type="paragraph" w:styleId="15">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98"/>
    <w:autoRedefine/>
    <w:qFormat/>
    <w:uiPriority w:val="0"/>
    <w:pPr>
      <w:jc w:val="left"/>
    </w:pPr>
  </w:style>
  <w:style w:type="paragraph" w:styleId="17">
    <w:name w:val="Salutation"/>
    <w:basedOn w:val="1"/>
    <w:next w:val="1"/>
    <w:link w:val="99"/>
    <w:autoRedefine/>
    <w:qFormat/>
    <w:uiPriority w:val="0"/>
    <w:pPr>
      <w:widowControl/>
    </w:pPr>
    <w:rPr>
      <w:rFonts w:hAnsi="宋体"/>
      <w:kern w:val="0"/>
      <w:sz w:val="30"/>
      <w:szCs w:val="20"/>
    </w:rPr>
  </w:style>
  <w:style w:type="paragraph" w:styleId="18">
    <w:name w:val="Body Text 3"/>
    <w:basedOn w:val="1"/>
    <w:next w:val="1"/>
    <w:link w:val="100"/>
    <w:autoRedefine/>
    <w:qFormat/>
    <w:uiPriority w:val="0"/>
    <w:pPr>
      <w:spacing w:line="500" w:lineRule="exact"/>
    </w:pPr>
    <w:rPr>
      <w:rFonts w:hAnsi="宋体"/>
      <w:color w:val="000000"/>
      <w:kern w:val="0"/>
      <w:sz w:val="24"/>
      <w:szCs w:val="20"/>
    </w:rPr>
  </w:style>
  <w:style w:type="paragraph" w:styleId="19">
    <w:name w:val="Body Text"/>
    <w:basedOn w:val="1"/>
    <w:next w:val="20"/>
    <w:link w:val="118"/>
    <w:autoRedefine/>
    <w:qFormat/>
    <w:uiPriority w:val="0"/>
    <w:pPr>
      <w:spacing w:line="360" w:lineRule="auto"/>
    </w:pPr>
    <w:rPr>
      <w:rFonts w:eastAsia="仿宋_GB2312" w:asciiTheme="minorHAnsi" w:hAnsiTheme="minorHAnsi" w:cstheme="minorBidi"/>
      <w:sz w:val="23"/>
    </w:rPr>
  </w:style>
  <w:style w:type="paragraph" w:customStyle="1" w:styleId="20">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1">
    <w:name w:val="Body Text Indent"/>
    <w:basedOn w:val="1"/>
    <w:next w:val="22"/>
    <w:link w:val="102"/>
    <w:autoRedefine/>
    <w:qFormat/>
    <w:uiPriority w:val="0"/>
    <w:pPr>
      <w:spacing w:before="240" w:line="360" w:lineRule="auto"/>
      <w:ind w:firstLine="552" w:firstLineChars="263"/>
    </w:pPr>
    <w:rPr>
      <w:rFonts w:ascii="宋体" w:hAnsi="宋体"/>
      <w:szCs w:val="20"/>
    </w:rPr>
  </w:style>
  <w:style w:type="paragraph" w:styleId="22">
    <w:name w:val="envelope return"/>
    <w:basedOn w:val="1"/>
    <w:autoRedefine/>
    <w:unhideWhenUsed/>
    <w:qFormat/>
    <w:uiPriority w:val="99"/>
    <w:pPr>
      <w:snapToGrid w:val="0"/>
    </w:pPr>
    <w:rPr>
      <w:rFonts w:ascii="Arial" w:hAnsi="Arial"/>
    </w:rPr>
  </w:style>
  <w:style w:type="paragraph" w:styleId="23">
    <w:name w:val="Block Text"/>
    <w:basedOn w:val="1"/>
    <w:next w:val="19"/>
    <w:autoRedefine/>
    <w:qFormat/>
    <w:uiPriority w:val="0"/>
    <w:pPr>
      <w:spacing w:line="360" w:lineRule="auto"/>
      <w:ind w:right="210" w:firstLine="560"/>
    </w:pPr>
    <w:rPr>
      <w:rFonts w:ascii="宋体" w:hAnsi="宋体" w:cs="宋体"/>
      <w:color w:val="000000"/>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ind w:left="1680" w:leftChars="800"/>
    </w:pPr>
    <w:rPr>
      <w:rFonts w:ascii="Calibri" w:hAnsi="Calibri"/>
      <w:szCs w:val="22"/>
    </w:rPr>
  </w:style>
  <w:style w:type="paragraph" w:styleId="26">
    <w:name w:val="toc 3"/>
    <w:basedOn w:val="27"/>
    <w:next w:val="27"/>
    <w:autoRedefine/>
    <w:qFormat/>
    <w:uiPriority w:val="0"/>
    <w:pPr>
      <w:ind w:left="840" w:leftChars="400"/>
    </w:pPr>
  </w:style>
  <w:style w:type="paragraph" w:customStyle="1" w:styleId="2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28">
    <w:name w:val="Plain Text"/>
    <w:basedOn w:val="1"/>
    <w:link w:val="103"/>
    <w:autoRedefine/>
    <w:qFormat/>
    <w:uiPriority w:val="0"/>
    <w:rPr>
      <w:rFonts w:ascii="宋体" w:hAnsi="Courier New"/>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104"/>
    <w:autoRedefine/>
    <w:qFormat/>
    <w:uiPriority w:val="0"/>
    <w:pPr>
      <w:ind w:left="100" w:leftChars="2500"/>
    </w:pPr>
    <w:rPr>
      <w:rFonts w:asciiTheme="minorHAnsi" w:hAnsiTheme="minorHAnsi" w:eastAsiaTheme="minorEastAsia" w:cstheme="minorBidi"/>
    </w:rPr>
  </w:style>
  <w:style w:type="paragraph" w:styleId="31">
    <w:name w:val="Body Text Indent 2"/>
    <w:basedOn w:val="1"/>
    <w:link w:val="105"/>
    <w:autoRedefine/>
    <w:qFormat/>
    <w:uiPriority w:val="0"/>
    <w:pPr>
      <w:spacing w:after="120" w:line="480" w:lineRule="auto"/>
      <w:ind w:left="420" w:leftChars="200"/>
    </w:pPr>
  </w:style>
  <w:style w:type="paragraph" w:styleId="32">
    <w:name w:val="endnote text"/>
    <w:basedOn w:val="1"/>
    <w:link w:val="106"/>
    <w:autoRedefine/>
    <w:qFormat/>
    <w:uiPriority w:val="0"/>
    <w:pPr>
      <w:snapToGrid w:val="0"/>
      <w:jc w:val="left"/>
    </w:pPr>
  </w:style>
  <w:style w:type="paragraph" w:styleId="33">
    <w:name w:val="Balloon Text"/>
    <w:basedOn w:val="1"/>
    <w:link w:val="107"/>
    <w:autoRedefine/>
    <w:qFormat/>
    <w:uiPriority w:val="0"/>
    <w:rPr>
      <w:sz w:val="18"/>
      <w:szCs w:val="18"/>
    </w:rPr>
  </w:style>
  <w:style w:type="paragraph" w:styleId="34">
    <w:name w:val="footer"/>
    <w:basedOn w:val="1"/>
    <w:link w:val="109"/>
    <w:autoRedefine/>
    <w:unhideWhenUsed/>
    <w:qFormat/>
    <w:uiPriority w:val="0"/>
    <w:pPr>
      <w:tabs>
        <w:tab w:val="center" w:pos="4153"/>
        <w:tab w:val="right" w:pos="8306"/>
      </w:tabs>
      <w:snapToGrid w:val="0"/>
      <w:jc w:val="left"/>
    </w:pPr>
    <w:rPr>
      <w:sz w:val="18"/>
      <w:szCs w:val="18"/>
    </w:rPr>
  </w:style>
  <w:style w:type="paragraph" w:styleId="35">
    <w:name w:val="header"/>
    <w:basedOn w:val="1"/>
    <w:link w:val="85"/>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0"/>
    <w:pPr>
      <w:spacing w:before="60" w:line="400" w:lineRule="exact"/>
    </w:pPr>
    <w:rPr>
      <w:rFonts w:eastAsia="黑体"/>
    </w:rPr>
  </w:style>
  <w:style w:type="paragraph" w:styleId="37">
    <w:name w:val="toc 4"/>
    <w:basedOn w:val="1"/>
    <w:next w:val="1"/>
    <w:autoRedefine/>
    <w:qFormat/>
    <w:uiPriority w:val="0"/>
    <w:pPr>
      <w:ind w:left="1260" w:leftChars="600"/>
    </w:pPr>
    <w:rPr>
      <w:rFonts w:ascii="Calibri" w:hAnsi="Calibri"/>
      <w:szCs w:val="22"/>
    </w:rPr>
  </w:style>
  <w:style w:type="paragraph" w:styleId="38">
    <w:name w:val="Subtitle"/>
    <w:basedOn w:val="1"/>
    <w:next w:val="1"/>
    <w:link w:val="111"/>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next w:val="1"/>
    <w:autoRedefine/>
    <w:qFormat/>
    <w:uiPriority w:val="0"/>
    <w:pPr>
      <w:ind w:left="200" w:hanging="200"/>
    </w:pPr>
    <w:rPr>
      <w:rFonts w:hAnsi="宋体" w:cs="宋体"/>
      <w:kern w:val="0"/>
      <w:szCs w:val="20"/>
    </w:rPr>
  </w:style>
  <w:style w:type="paragraph" w:styleId="40">
    <w:name w:val="footnote text"/>
    <w:basedOn w:val="1"/>
    <w:link w:val="112"/>
    <w:autoRedefine/>
    <w:qFormat/>
    <w:uiPriority w:val="0"/>
    <w:pPr>
      <w:adjustRightInd w:val="0"/>
      <w:spacing w:line="312" w:lineRule="atLeast"/>
      <w:jc w:val="left"/>
      <w:textAlignment w:val="baseline"/>
    </w:pPr>
    <w:rPr>
      <w:kern w:val="0"/>
      <w:sz w:val="18"/>
      <w:szCs w:val="20"/>
    </w:rPr>
  </w:style>
  <w:style w:type="paragraph" w:styleId="41">
    <w:name w:val="toc 6"/>
    <w:basedOn w:val="1"/>
    <w:next w:val="1"/>
    <w:autoRedefine/>
    <w:qFormat/>
    <w:uiPriority w:val="0"/>
    <w:pPr>
      <w:ind w:left="2100" w:leftChars="1000"/>
    </w:pPr>
    <w:rPr>
      <w:rFonts w:ascii="Calibri" w:hAnsi="Calibri"/>
      <w:szCs w:val="22"/>
    </w:rPr>
  </w:style>
  <w:style w:type="paragraph" w:styleId="42">
    <w:name w:val="Body Text Indent 3"/>
    <w:basedOn w:val="1"/>
    <w:next w:val="15"/>
    <w:link w:val="113"/>
    <w:autoRedefine/>
    <w:qFormat/>
    <w:uiPriority w:val="0"/>
    <w:pPr>
      <w:spacing w:after="120"/>
      <w:ind w:left="420"/>
    </w:pPr>
    <w:rPr>
      <w:rFonts w:hAnsi="宋体"/>
      <w:kern w:val="0"/>
      <w:sz w:val="16"/>
      <w:szCs w:val="20"/>
    </w:rPr>
  </w:style>
  <w:style w:type="paragraph" w:styleId="43">
    <w:name w:val="toc 2"/>
    <w:basedOn w:val="1"/>
    <w:next w:val="1"/>
    <w:autoRedefine/>
    <w:qFormat/>
    <w:uiPriority w:val="0"/>
    <w:pPr>
      <w:ind w:left="420" w:leftChars="200"/>
    </w:pPr>
    <w:rPr>
      <w:rFonts w:ascii="Calibri" w:hAnsi="Calibri"/>
      <w:szCs w:val="22"/>
    </w:rPr>
  </w:style>
  <w:style w:type="paragraph" w:styleId="44">
    <w:name w:val="toc 9"/>
    <w:basedOn w:val="1"/>
    <w:next w:val="1"/>
    <w:autoRedefine/>
    <w:qFormat/>
    <w:uiPriority w:val="0"/>
    <w:pPr>
      <w:ind w:left="3360" w:leftChars="1600"/>
    </w:pPr>
    <w:rPr>
      <w:rFonts w:ascii="Calibri" w:hAnsi="Calibri"/>
      <w:szCs w:val="22"/>
    </w:rPr>
  </w:style>
  <w:style w:type="paragraph" w:styleId="45">
    <w:name w:val="Body Text 2"/>
    <w:basedOn w:val="1"/>
    <w:next w:val="46"/>
    <w:link w:val="114"/>
    <w:autoRedefine/>
    <w:qFormat/>
    <w:uiPriority w:val="0"/>
    <w:pPr>
      <w:spacing w:line="320" w:lineRule="exact"/>
      <w:ind w:right="-108"/>
      <w:jc w:val="center"/>
    </w:pPr>
    <w:rPr>
      <w:rFonts w:hAnsi="宋体"/>
      <w:kern w:val="0"/>
      <w:sz w:val="24"/>
      <w:szCs w:val="20"/>
    </w:rPr>
  </w:style>
  <w:style w:type="paragraph" w:customStyle="1" w:styleId="46">
    <w:name w:val="目录 61"/>
    <w:basedOn w:val="1"/>
    <w:next w:val="1"/>
    <w:autoRedefine/>
    <w:qFormat/>
    <w:uiPriority w:val="0"/>
    <w:pPr>
      <w:ind w:left="2100"/>
    </w:pPr>
    <w:rPr>
      <w:rFonts w:ascii="Calibri" w:hAnsi="宋体" w:cs="宋体"/>
      <w:kern w:val="0"/>
      <w:szCs w:val="20"/>
    </w:rPr>
  </w:style>
  <w:style w:type="paragraph" w:styleId="47">
    <w:name w:val="HTML Preformatted"/>
    <w:basedOn w:val="1"/>
    <w:next w:val="48"/>
    <w:link w:val="115"/>
    <w:autoRedefine/>
    <w:qFormat/>
    <w:uiPriority w:val="0"/>
    <w:pPr>
      <w:widowControl/>
    </w:pPr>
    <w:rPr>
      <w:rFonts w:ascii="Arial" w:hAnsi="宋体"/>
      <w:kern w:val="0"/>
      <w:sz w:val="24"/>
      <w:szCs w:val="20"/>
    </w:rPr>
  </w:style>
  <w:style w:type="paragraph" w:customStyle="1" w:styleId="48">
    <w:name w:val="目录 91"/>
    <w:basedOn w:val="1"/>
    <w:next w:val="1"/>
    <w:autoRedefine/>
    <w:qFormat/>
    <w:uiPriority w:val="0"/>
    <w:pPr>
      <w:ind w:left="3360"/>
    </w:pPr>
    <w:rPr>
      <w:rFonts w:ascii="Calibri" w:hAnsi="宋体" w:cs="宋体"/>
      <w:kern w:val="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0">
    <w:name w:val="Title"/>
    <w:basedOn w:val="1"/>
    <w:next w:val="1"/>
    <w:link w:val="116"/>
    <w:autoRedefine/>
    <w:qFormat/>
    <w:uiPriority w:val="0"/>
    <w:pPr>
      <w:spacing w:before="240" w:after="60"/>
      <w:jc w:val="center"/>
      <w:outlineLvl w:val="0"/>
    </w:pPr>
    <w:rPr>
      <w:rFonts w:ascii="Cambria" w:hAnsi="Cambria"/>
      <w:b/>
      <w:bCs/>
      <w:sz w:val="32"/>
      <w:szCs w:val="32"/>
    </w:rPr>
  </w:style>
  <w:style w:type="paragraph" w:styleId="51">
    <w:name w:val="annotation subject"/>
    <w:basedOn w:val="16"/>
    <w:next w:val="16"/>
    <w:link w:val="117"/>
    <w:autoRedefine/>
    <w:qFormat/>
    <w:uiPriority w:val="0"/>
    <w:rPr>
      <w:b/>
      <w:bCs/>
    </w:rPr>
  </w:style>
  <w:style w:type="paragraph" w:styleId="52">
    <w:name w:val="Body Text First Indent"/>
    <w:basedOn w:val="19"/>
    <w:next w:val="1"/>
    <w:link w:val="119"/>
    <w:autoRedefine/>
    <w:qFormat/>
    <w:uiPriority w:val="0"/>
    <w:pPr>
      <w:spacing w:after="120"/>
      <w:ind w:firstLine="420"/>
    </w:pPr>
    <w:rPr>
      <w:rFonts w:ascii="Times New Roman" w:hAnsi="宋体" w:eastAsia="宋体" w:cs="宋体"/>
      <w:sz w:val="21"/>
    </w:rPr>
  </w:style>
  <w:style w:type="paragraph" w:styleId="53">
    <w:name w:val="Body Text First Indent 2"/>
    <w:basedOn w:val="21"/>
    <w:next w:val="42"/>
    <w:autoRedefine/>
    <w:unhideWhenUsed/>
    <w:qFormat/>
    <w:uiPriority w:val="99"/>
    <w:pPr>
      <w:ind w:firstLine="200" w:firstLineChars="200"/>
    </w:pPr>
  </w:style>
  <w:style w:type="table" w:styleId="55">
    <w:name w:val="Table Grid"/>
    <w:basedOn w:val="5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autoRedefine/>
    <w:qFormat/>
    <w:uiPriority w:val="0"/>
    <w:rPr>
      <w:b/>
      <w:bCs/>
    </w:rPr>
  </w:style>
  <w:style w:type="character" w:styleId="58">
    <w:name w:val="endnote reference"/>
    <w:autoRedefine/>
    <w:qFormat/>
    <w:uiPriority w:val="0"/>
    <w:rPr>
      <w:vertAlign w:val="superscript"/>
    </w:rPr>
  </w:style>
  <w:style w:type="character" w:styleId="59">
    <w:name w:val="page number"/>
    <w:basedOn w:val="56"/>
    <w:autoRedefine/>
    <w:qFormat/>
    <w:uiPriority w:val="0"/>
  </w:style>
  <w:style w:type="character" w:styleId="60">
    <w:name w:val="FollowedHyperlink"/>
    <w:autoRedefine/>
    <w:qFormat/>
    <w:uiPriority w:val="0"/>
    <w:rPr>
      <w:color w:val="DD8905"/>
      <w:u w:val="none"/>
    </w:rPr>
  </w:style>
  <w:style w:type="character" w:styleId="61">
    <w:name w:val="Emphasis"/>
    <w:autoRedefine/>
    <w:qFormat/>
    <w:uiPriority w:val="0"/>
    <w:rPr>
      <w:i/>
      <w:iCs/>
    </w:rPr>
  </w:style>
  <w:style w:type="character" w:styleId="62">
    <w:name w:val="HTML Definition"/>
    <w:autoRedefine/>
    <w:qFormat/>
    <w:uiPriority w:val="0"/>
  </w:style>
  <w:style w:type="character" w:styleId="63">
    <w:name w:val="HTML Typewriter"/>
    <w:autoRedefine/>
    <w:qFormat/>
    <w:uiPriority w:val="0"/>
    <w:rPr>
      <w:rFonts w:ascii="monospace" w:hAnsi="monospace" w:eastAsia="monospace" w:cs="monospace"/>
      <w:sz w:val="20"/>
    </w:rPr>
  </w:style>
  <w:style w:type="character" w:styleId="64">
    <w:name w:val="HTML Acronym"/>
    <w:basedOn w:val="56"/>
    <w:autoRedefine/>
    <w:qFormat/>
    <w:uiPriority w:val="0"/>
  </w:style>
  <w:style w:type="character" w:styleId="65">
    <w:name w:val="HTML Variable"/>
    <w:autoRedefine/>
    <w:qFormat/>
    <w:uiPriority w:val="0"/>
  </w:style>
  <w:style w:type="character" w:styleId="66">
    <w:name w:val="Hyperlink"/>
    <w:autoRedefine/>
    <w:unhideWhenUsed/>
    <w:qFormat/>
    <w:uiPriority w:val="0"/>
    <w:rPr>
      <w:color w:val="0000FF"/>
      <w:u w:val="single"/>
    </w:rPr>
  </w:style>
  <w:style w:type="character" w:styleId="67">
    <w:name w:val="HTML Code"/>
    <w:autoRedefine/>
    <w:qFormat/>
    <w:uiPriority w:val="0"/>
    <w:rPr>
      <w:rFonts w:hint="default" w:ascii="monospace" w:hAnsi="monospace" w:eastAsia="monospace" w:cs="monospace"/>
      <w:sz w:val="20"/>
    </w:rPr>
  </w:style>
  <w:style w:type="character" w:styleId="68">
    <w:name w:val="annotation reference"/>
    <w:autoRedefine/>
    <w:qFormat/>
    <w:uiPriority w:val="0"/>
    <w:rPr>
      <w:sz w:val="21"/>
      <w:szCs w:val="21"/>
    </w:rPr>
  </w:style>
  <w:style w:type="character" w:styleId="69">
    <w:name w:val="HTML Cite"/>
    <w:autoRedefine/>
    <w:qFormat/>
    <w:uiPriority w:val="0"/>
  </w:style>
  <w:style w:type="character" w:styleId="70">
    <w:name w:val="HTML Keyboard"/>
    <w:autoRedefine/>
    <w:qFormat/>
    <w:uiPriority w:val="0"/>
    <w:rPr>
      <w:rFonts w:hint="default" w:ascii="monospace" w:hAnsi="monospace" w:eastAsia="monospace" w:cs="monospace"/>
      <w:sz w:val="20"/>
    </w:rPr>
  </w:style>
  <w:style w:type="character" w:styleId="71">
    <w:name w:val="HTML Sample"/>
    <w:autoRedefine/>
    <w:qFormat/>
    <w:uiPriority w:val="0"/>
    <w:rPr>
      <w:rFonts w:hint="default" w:ascii="monospace" w:hAnsi="monospace" w:eastAsia="monospace" w:cs="monospace"/>
    </w:rPr>
  </w:style>
  <w:style w:type="paragraph" w:customStyle="1" w:styleId="72">
    <w:name w:val="正文缩进1"/>
    <w:basedOn w:val="1"/>
    <w:next w:val="73"/>
    <w:autoRedefine/>
    <w:qFormat/>
    <w:uiPriority w:val="0"/>
    <w:pPr>
      <w:spacing w:line="312" w:lineRule="atLeast"/>
      <w:ind w:firstLine="420"/>
    </w:pPr>
    <w:rPr>
      <w:rFonts w:ascii="Plotter" w:hAnsi="宋体" w:cs="宋体"/>
      <w:kern w:val="0"/>
      <w:szCs w:val="20"/>
    </w:rPr>
  </w:style>
  <w:style w:type="paragraph" w:customStyle="1" w:styleId="73">
    <w:name w:val="List Paragraph1"/>
    <w:basedOn w:val="1"/>
    <w:next w:val="74"/>
    <w:autoRedefine/>
    <w:qFormat/>
    <w:uiPriority w:val="0"/>
    <w:pPr>
      <w:ind w:firstLine="420"/>
    </w:pPr>
    <w:rPr>
      <w:rFonts w:hAnsi="宋体" w:cs="宋体"/>
      <w:kern w:val="0"/>
      <w:szCs w:val="20"/>
    </w:rPr>
  </w:style>
  <w:style w:type="paragraph" w:customStyle="1" w:styleId="7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5">
    <w:name w:val="style4"/>
    <w:basedOn w:val="1"/>
    <w:next w:val="76"/>
    <w:autoRedefine/>
    <w:qFormat/>
    <w:uiPriority w:val="0"/>
    <w:pPr>
      <w:widowControl/>
      <w:spacing w:before="280" w:after="280"/>
    </w:pPr>
    <w:rPr>
      <w:rFonts w:ascii="宋体"/>
      <w:sz w:val="18"/>
    </w:rPr>
  </w:style>
  <w:style w:type="paragraph" w:customStyle="1" w:styleId="7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7">
    <w:name w:val="样式1"/>
    <w:basedOn w:val="1"/>
    <w:next w:val="5"/>
    <w:autoRedefine/>
    <w:qFormat/>
    <w:uiPriority w:val="0"/>
    <w:pPr>
      <w:spacing w:line="360" w:lineRule="auto"/>
      <w:ind w:firstLine="420" w:firstLineChars="200"/>
    </w:pPr>
    <w:rPr>
      <w:rFonts w:ascii="宋体" w:hAnsi="宋体"/>
      <w:szCs w:val="21"/>
    </w:rPr>
  </w:style>
  <w:style w:type="paragraph" w:customStyle="1" w:styleId="78">
    <w:name w:val="样式2"/>
    <w:basedOn w:val="2"/>
    <w:next w:val="1"/>
    <w:autoRedefine/>
    <w:qFormat/>
    <w:uiPriority w:val="0"/>
    <w:pPr>
      <w:keepNext w:val="0"/>
      <w:keepLines w:val="0"/>
      <w:spacing w:line="240" w:lineRule="auto"/>
      <w:jc w:val="center"/>
    </w:pPr>
    <w:rPr>
      <w:rFonts w:hAnsi="宋体" w:cs="宋体"/>
      <w:bCs w:val="0"/>
      <w:kern w:val="0"/>
      <w:sz w:val="36"/>
      <w:szCs w:val="20"/>
    </w:rPr>
  </w:style>
  <w:style w:type="paragraph" w:customStyle="1" w:styleId="79">
    <w:name w:val="1"/>
    <w:basedOn w:val="1"/>
    <w:next w:val="1"/>
    <w:autoRedefine/>
    <w:qFormat/>
    <w:uiPriority w:val="0"/>
  </w:style>
  <w:style w:type="paragraph" w:customStyle="1" w:styleId="8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flType"/>
    <w:basedOn w:val="1"/>
    <w:autoRedefine/>
    <w:qFormat/>
    <w:uiPriority w:val="0"/>
    <w:pPr>
      <w:adjustRightInd w:val="0"/>
      <w:spacing w:after="284" w:line="113" w:lineRule="atLeast"/>
      <w:jc w:val="center"/>
    </w:pPr>
    <w:rPr>
      <w:kern w:val="0"/>
      <w:sz w:val="24"/>
      <w:szCs w:val="20"/>
    </w:rPr>
  </w:style>
  <w:style w:type="paragraph" w:customStyle="1" w:styleId="82">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83">
    <w:name w:val="Table Paragraph"/>
    <w:basedOn w:val="1"/>
    <w:autoRedefine/>
    <w:qFormat/>
    <w:uiPriority w:val="0"/>
    <w:pPr>
      <w:jc w:val="left"/>
    </w:pPr>
    <w:rPr>
      <w:rFonts w:ascii="Calibri" w:hAnsi="Calibri" w:cs="Calibri"/>
      <w:kern w:val="0"/>
      <w:sz w:val="22"/>
      <w:szCs w:val="22"/>
      <w:lang w:eastAsia="en-US"/>
    </w:rPr>
  </w:style>
  <w:style w:type="paragraph" w:customStyle="1" w:styleId="84">
    <w:name w:val="Heading 41"/>
    <w:basedOn w:val="1"/>
    <w:autoRedefine/>
    <w:qFormat/>
    <w:uiPriority w:val="0"/>
    <w:pPr>
      <w:jc w:val="left"/>
      <w:outlineLvl w:val="4"/>
    </w:pPr>
    <w:rPr>
      <w:rFonts w:ascii="宋体" w:hAnsi="宋体" w:cs="宋体"/>
      <w:kern w:val="0"/>
      <w:sz w:val="32"/>
      <w:szCs w:val="32"/>
      <w:lang w:eastAsia="en-US"/>
    </w:rPr>
  </w:style>
  <w:style w:type="character" w:customStyle="1" w:styleId="85">
    <w:name w:val="页眉 字符"/>
    <w:basedOn w:val="56"/>
    <w:link w:val="35"/>
    <w:autoRedefine/>
    <w:qFormat/>
    <w:uiPriority w:val="0"/>
    <w:rPr>
      <w:kern w:val="2"/>
      <w:sz w:val="18"/>
      <w:szCs w:val="18"/>
    </w:rPr>
  </w:style>
  <w:style w:type="character" w:customStyle="1" w:styleId="86">
    <w:name w:val="未处理的提及1"/>
    <w:basedOn w:val="56"/>
    <w:autoRedefine/>
    <w:unhideWhenUsed/>
    <w:qFormat/>
    <w:uiPriority w:val="99"/>
    <w:rPr>
      <w:color w:val="605E5C"/>
      <w:shd w:val="clear" w:color="auto" w:fill="E1DFDD"/>
    </w:rPr>
  </w:style>
  <w:style w:type="character" w:customStyle="1" w:styleId="87">
    <w:name w:val="标题 5 字符"/>
    <w:basedOn w:val="56"/>
    <w:link w:val="6"/>
    <w:autoRedefine/>
    <w:qFormat/>
    <w:uiPriority w:val="0"/>
    <w:rPr>
      <w:b/>
      <w:bCs/>
      <w:kern w:val="2"/>
      <w:sz w:val="28"/>
      <w:szCs w:val="28"/>
    </w:rPr>
  </w:style>
  <w:style w:type="character" w:customStyle="1" w:styleId="88">
    <w:name w:val="标题 6 字符"/>
    <w:basedOn w:val="56"/>
    <w:link w:val="7"/>
    <w:autoRedefine/>
    <w:qFormat/>
    <w:uiPriority w:val="0"/>
    <w:rPr>
      <w:rFonts w:ascii="Cambria" w:hAnsi="Cambria"/>
      <w:b/>
      <w:bCs/>
      <w:kern w:val="2"/>
      <w:sz w:val="24"/>
      <w:szCs w:val="24"/>
    </w:rPr>
  </w:style>
  <w:style w:type="character" w:customStyle="1" w:styleId="89">
    <w:name w:val="标题 7 字符"/>
    <w:basedOn w:val="56"/>
    <w:link w:val="8"/>
    <w:autoRedefine/>
    <w:qFormat/>
    <w:uiPriority w:val="0"/>
    <w:rPr>
      <w:rFonts w:ascii="Calibri" w:hAnsi="Calibri"/>
      <w:b/>
      <w:bCs/>
      <w:kern w:val="2"/>
      <w:sz w:val="24"/>
      <w:szCs w:val="24"/>
    </w:rPr>
  </w:style>
  <w:style w:type="character" w:customStyle="1" w:styleId="90">
    <w:name w:val="标题 8 字符"/>
    <w:basedOn w:val="56"/>
    <w:link w:val="9"/>
    <w:autoRedefine/>
    <w:qFormat/>
    <w:uiPriority w:val="0"/>
    <w:rPr>
      <w:rFonts w:ascii="Cambria" w:hAnsi="Cambria"/>
      <w:kern w:val="2"/>
      <w:sz w:val="24"/>
      <w:szCs w:val="24"/>
    </w:rPr>
  </w:style>
  <w:style w:type="character" w:customStyle="1" w:styleId="91">
    <w:name w:val="标题 9 字符"/>
    <w:basedOn w:val="56"/>
    <w:link w:val="10"/>
    <w:autoRedefine/>
    <w:qFormat/>
    <w:uiPriority w:val="0"/>
    <w:rPr>
      <w:rFonts w:ascii="Cambria" w:hAnsi="Cambria"/>
      <w:kern w:val="2"/>
      <w:sz w:val="21"/>
      <w:szCs w:val="21"/>
    </w:rPr>
  </w:style>
  <w:style w:type="character" w:customStyle="1" w:styleId="92">
    <w:name w:val="标题 1 字符"/>
    <w:basedOn w:val="56"/>
    <w:link w:val="3"/>
    <w:autoRedefine/>
    <w:qFormat/>
    <w:uiPriority w:val="0"/>
    <w:rPr>
      <w:b/>
      <w:bCs/>
      <w:kern w:val="44"/>
      <w:sz w:val="44"/>
      <w:szCs w:val="44"/>
    </w:rPr>
  </w:style>
  <w:style w:type="character" w:customStyle="1" w:styleId="93">
    <w:name w:val="标题 2 字符"/>
    <w:basedOn w:val="56"/>
    <w:link w:val="2"/>
    <w:autoRedefine/>
    <w:qFormat/>
    <w:uiPriority w:val="0"/>
    <w:rPr>
      <w:rFonts w:ascii="Arial" w:hAnsi="Arial" w:eastAsia="黑体"/>
      <w:b/>
      <w:bCs/>
      <w:kern w:val="2"/>
      <w:sz w:val="32"/>
      <w:szCs w:val="32"/>
    </w:rPr>
  </w:style>
  <w:style w:type="character" w:customStyle="1" w:styleId="94">
    <w:name w:val="标题 3 字符"/>
    <w:basedOn w:val="56"/>
    <w:link w:val="4"/>
    <w:autoRedefine/>
    <w:qFormat/>
    <w:uiPriority w:val="0"/>
    <w:rPr>
      <w:b/>
      <w:bCs/>
      <w:kern w:val="2"/>
      <w:sz w:val="32"/>
      <w:szCs w:val="32"/>
    </w:rPr>
  </w:style>
  <w:style w:type="character" w:customStyle="1" w:styleId="95">
    <w:name w:val="标题 4 字符"/>
    <w:basedOn w:val="56"/>
    <w:link w:val="5"/>
    <w:autoRedefine/>
    <w:qFormat/>
    <w:uiPriority w:val="0"/>
    <w:rPr>
      <w:rFonts w:ascii="Arial" w:hAnsi="Arial" w:eastAsia="黑体"/>
      <w:b/>
      <w:bCs/>
      <w:kern w:val="2"/>
      <w:sz w:val="28"/>
      <w:szCs w:val="28"/>
    </w:rPr>
  </w:style>
  <w:style w:type="character" w:customStyle="1" w:styleId="96">
    <w:name w:val="正文缩进 字符"/>
    <w:link w:val="12"/>
    <w:autoRedefine/>
    <w:qFormat/>
    <w:uiPriority w:val="0"/>
    <w:rPr>
      <w:rFonts w:asciiTheme="minorHAnsi" w:hAnsiTheme="minorHAnsi" w:cstheme="minorBidi"/>
      <w:kern w:val="2"/>
      <w:sz w:val="24"/>
      <w:szCs w:val="24"/>
    </w:rPr>
  </w:style>
  <w:style w:type="character" w:customStyle="1" w:styleId="97">
    <w:name w:val="文档结构图 字符"/>
    <w:basedOn w:val="56"/>
    <w:link w:val="14"/>
    <w:autoRedefine/>
    <w:qFormat/>
    <w:uiPriority w:val="0"/>
    <w:rPr>
      <w:kern w:val="2"/>
      <w:sz w:val="21"/>
      <w:szCs w:val="24"/>
      <w:shd w:val="clear" w:color="auto" w:fill="000080"/>
    </w:rPr>
  </w:style>
  <w:style w:type="character" w:customStyle="1" w:styleId="98">
    <w:name w:val="批注文字 字符"/>
    <w:basedOn w:val="56"/>
    <w:link w:val="16"/>
    <w:autoRedefine/>
    <w:qFormat/>
    <w:uiPriority w:val="0"/>
    <w:rPr>
      <w:kern w:val="2"/>
      <w:sz w:val="21"/>
      <w:szCs w:val="24"/>
    </w:rPr>
  </w:style>
  <w:style w:type="character" w:customStyle="1" w:styleId="99">
    <w:name w:val="称呼 字符"/>
    <w:basedOn w:val="56"/>
    <w:link w:val="17"/>
    <w:autoRedefine/>
    <w:qFormat/>
    <w:uiPriority w:val="0"/>
    <w:rPr>
      <w:rFonts w:hAnsi="宋体"/>
      <w:sz w:val="30"/>
    </w:rPr>
  </w:style>
  <w:style w:type="character" w:customStyle="1" w:styleId="100">
    <w:name w:val="正文文本 3 字符"/>
    <w:basedOn w:val="56"/>
    <w:link w:val="18"/>
    <w:autoRedefine/>
    <w:qFormat/>
    <w:uiPriority w:val="0"/>
    <w:rPr>
      <w:rFonts w:hAnsi="宋体"/>
      <w:color w:val="000000"/>
      <w:sz w:val="24"/>
    </w:rPr>
  </w:style>
  <w:style w:type="character" w:customStyle="1" w:styleId="101">
    <w:name w:val="正文文本 字符"/>
    <w:basedOn w:val="56"/>
    <w:autoRedefine/>
    <w:qFormat/>
    <w:uiPriority w:val="0"/>
    <w:rPr>
      <w:kern w:val="2"/>
      <w:sz w:val="21"/>
      <w:szCs w:val="22"/>
    </w:rPr>
  </w:style>
  <w:style w:type="character" w:customStyle="1" w:styleId="102">
    <w:name w:val="正文文本缩进 字符"/>
    <w:basedOn w:val="56"/>
    <w:link w:val="21"/>
    <w:autoRedefine/>
    <w:qFormat/>
    <w:uiPriority w:val="0"/>
    <w:rPr>
      <w:rFonts w:ascii="宋体" w:hAnsi="宋体"/>
      <w:kern w:val="2"/>
      <w:sz w:val="21"/>
    </w:rPr>
  </w:style>
  <w:style w:type="character" w:customStyle="1" w:styleId="103">
    <w:name w:val="纯文本 字符"/>
    <w:basedOn w:val="56"/>
    <w:link w:val="28"/>
    <w:autoRedefine/>
    <w:qFormat/>
    <w:uiPriority w:val="0"/>
    <w:rPr>
      <w:rFonts w:ascii="宋体" w:hAnsi="Courier New"/>
      <w:kern w:val="2"/>
      <w:sz w:val="21"/>
      <w:szCs w:val="24"/>
    </w:rPr>
  </w:style>
  <w:style w:type="character" w:customStyle="1" w:styleId="104">
    <w:name w:val="日期 字符"/>
    <w:basedOn w:val="56"/>
    <w:link w:val="30"/>
    <w:autoRedefine/>
    <w:qFormat/>
    <w:uiPriority w:val="0"/>
    <w:rPr>
      <w:rFonts w:asciiTheme="minorHAnsi" w:hAnsiTheme="minorHAnsi" w:eastAsiaTheme="minorEastAsia" w:cstheme="minorBidi"/>
      <w:kern w:val="2"/>
      <w:sz w:val="21"/>
      <w:szCs w:val="24"/>
    </w:rPr>
  </w:style>
  <w:style w:type="character" w:customStyle="1" w:styleId="105">
    <w:name w:val="正文文本缩进 2 字符"/>
    <w:basedOn w:val="56"/>
    <w:link w:val="31"/>
    <w:autoRedefine/>
    <w:qFormat/>
    <w:uiPriority w:val="0"/>
    <w:rPr>
      <w:kern w:val="2"/>
      <w:sz w:val="21"/>
      <w:szCs w:val="24"/>
    </w:rPr>
  </w:style>
  <w:style w:type="character" w:customStyle="1" w:styleId="106">
    <w:name w:val="尾注文本 字符"/>
    <w:basedOn w:val="56"/>
    <w:link w:val="32"/>
    <w:autoRedefine/>
    <w:qFormat/>
    <w:uiPriority w:val="0"/>
    <w:rPr>
      <w:kern w:val="2"/>
      <w:sz w:val="21"/>
      <w:szCs w:val="24"/>
    </w:rPr>
  </w:style>
  <w:style w:type="character" w:customStyle="1" w:styleId="107">
    <w:name w:val="批注框文本 字符"/>
    <w:basedOn w:val="56"/>
    <w:link w:val="33"/>
    <w:autoRedefine/>
    <w:qFormat/>
    <w:uiPriority w:val="0"/>
    <w:rPr>
      <w:kern w:val="2"/>
      <w:sz w:val="18"/>
      <w:szCs w:val="18"/>
    </w:rPr>
  </w:style>
  <w:style w:type="character" w:customStyle="1" w:styleId="108">
    <w:name w:val="页脚 字符"/>
    <w:basedOn w:val="56"/>
    <w:autoRedefine/>
    <w:qFormat/>
    <w:uiPriority w:val="99"/>
    <w:rPr>
      <w:kern w:val="2"/>
      <w:sz w:val="18"/>
      <w:szCs w:val="18"/>
    </w:rPr>
  </w:style>
  <w:style w:type="character" w:customStyle="1" w:styleId="109">
    <w:name w:val="页脚 字符1"/>
    <w:link w:val="34"/>
    <w:autoRedefine/>
    <w:qFormat/>
    <w:uiPriority w:val="0"/>
    <w:rPr>
      <w:kern w:val="2"/>
      <w:sz w:val="18"/>
      <w:szCs w:val="18"/>
    </w:rPr>
  </w:style>
  <w:style w:type="character" w:customStyle="1" w:styleId="110">
    <w:name w:val="页眉 字符1"/>
    <w:autoRedefine/>
    <w:qFormat/>
    <w:uiPriority w:val="0"/>
    <w:rPr>
      <w:kern w:val="2"/>
      <w:sz w:val="18"/>
      <w:szCs w:val="18"/>
    </w:rPr>
  </w:style>
  <w:style w:type="character" w:customStyle="1" w:styleId="111">
    <w:name w:val="副标题 字符"/>
    <w:basedOn w:val="56"/>
    <w:link w:val="38"/>
    <w:autoRedefine/>
    <w:qFormat/>
    <w:uiPriority w:val="0"/>
    <w:rPr>
      <w:rFonts w:ascii="Cambria" w:hAnsi="Cambria"/>
      <w:b/>
      <w:bCs/>
      <w:kern w:val="28"/>
      <w:sz w:val="32"/>
      <w:szCs w:val="32"/>
    </w:rPr>
  </w:style>
  <w:style w:type="character" w:customStyle="1" w:styleId="112">
    <w:name w:val="脚注文本 字符"/>
    <w:basedOn w:val="56"/>
    <w:link w:val="40"/>
    <w:autoRedefine/>
    <w:qFormat/>
    <w:uiPriority w:val="0"/>
    <w:rPr>
      <w:sz w:val="18"/>
    </w:rPr>
  </w:style>
  <w:style w:type="character" w:customStyle="1" w:styleId="113">
    <w:name w:val="正文文本缩进 3 字符"/>
    <w:basedOn w:val="56"/>
    <w:link w:val="42"/>
    <w:autoRedefine/>
    <w:qFormat/>
    <w:uiPriority w:val="0"/>
    <w:rPr>
      <w:rFonts w:hAnsi="宋体"/>
      <w:sz w:val="16"/>
    </w:rPr>
  </w:style>
  <w:style w:type="character" w:customStyle="1" w:styleId="114">
    <w:name w:val="正文文本 2 字符"/>
    <w:basedOn w:val="56"/>
    <w:link w:val="45"/>
    <w:autoRedefine/>
    <w:qFormat/>
    <w:uiPriority w:val="0"/>
    <w:rPr>
      <w:rFonts w:hAnsi="宋体"/>
      <w:sz w:val="24"/>
    </w:rPr>
  </w:style>
  <w:style w:type="character" w:customStyle="1" w:styleId="115">
    <w:name w:val="HTML 预设格式 字符"/>
    <w:basedOn w:val="56"/>
    <w:link w:val="47"/>
    <w:autoRedefine/>
    <w:qFormat/>
    <w:uiPriority w:val="0"/>
    <w:rPr>
      <w:rFonts w:ascii="Arial" w:hAnsi="宋体"/>
      <w:sz w:val="24"/>
    </w:rPr>
  </w:style>
  <w:style w:type="character" w:customStyle="1" w:styleId="116">
    <w:name w:val="标题 字符"/>
    <w:basedOn w:val="56"/>
    <w:link w:val="50"/>
    <w:autoRedefine/>
    <w:qFormat/>
    <w:uiPriority w:val="0"/>
    <w:rPr>
      <w:rFonts w:ascii="Cambria" w:hAnsi="Cambria"/>
      <w:b/>
      <w:bCs/>
      <w:kern w:val="2"/>
      <w:sz w:val="32"/>
      <w:szCs w:val="32"/>
    </w:rPr>
  </w:style>
  <w:style w:type="character" w:customStyle="1" w:styleId="117">
    <w:name w:val="批注主题 字符"/>
    <w:basedOn w:val="98"/>
    <w:link w:val="51"/>
    <w:autoRedefine/>
    <w:qFormat/>
    <w:uiPriority w:val="0"/>
    <w:rPr>
      <w:b/>
      <w:bCs/>
      <w:kern w:val="2"/>
      <w:sz w:val="21"/>
      <w:szCs w:val="24"/>
    </w:rPr>
  </w:style>
  <w:style w:type="character" w:customStyle="1" w:styleId="118">
    <w:name w:val="正文文本 字符1"/>
    <w:basedOn w:val="56"/>
    <w:link w:val="19"/>
    <w:autoRedefine/>
    <w:qFormat/>
    <w:uiPriority w:val="0"/>
    <w:rPr>
      <w:rFonts w:eastAsia="仿宋_GB2312" w:asciiTheme="minorHAnsi" w:hAnsiTheme="minorHAnsi" w:cstheme="minorBidi"/>
      <w:kern w:val="2"/>
      <w:sz w:val="23"/>
      <w:szCs w:val="24"/>
    </w:rPr>
  </w:style>
  <w:style w:type="character" w:customStyle="1" w:styleId="119">
    <w:name w:val="正文首行缩进 字符"/>
    <w:basedOn w:val="118"/>
    <w:link w:val="52"/>
    <w:autoRedefine/>
    <w:qFormat/>
    <w:uiPriority w:val="0"/>
    <w:rPr>
      <w:rFonts w:hAnsi="宋体" w:eastAsia="仿宋_GB2312" w:cs="宋体" w:asciiTheme="minorHAnsi"/>
      <w:kern w:val="2"/>
      <w:sz w:val="21"/>
      <w:szCs w:val="24"/>
    </w:rPr>
  </w:style>
  <w:style w:type="character" w:customStyle="1" w:styleId="120">
    <w:name w:val="HTML 预设格式 Char"/>
    <w:autoRedefine/>
    <w:qFormat/>
    <w:uiPriority w:val="0"/>
    <w:rPr>
      <w:sz w:val="20"/>
    </w:rPr>
  </w:style>
  <w:style w:type="character" w:customStyle="1" w:styleId="121">
    <w:name w:val="Heading 1 Char"/>
    <w:autoRedefine/>
    <w:qFormat/>
    <w:uiPriority w:val="0"/>
    <w:rPr>
      <w:rFonts w:eastAsia="宋体"/>
      <w:b/>
      <w:bCs/>
      <w:kern w:val="44"/>
      <w:sz w:val="32"/>
      <w:szCs w:val="44"/>
      <w:lang w:val="en-US" w:eastAsia="zh-CN" w:bidi="ar-SA"/>
    </w:rPr>
  </w:style>
  <w:style w:type="character" w:customStyle="1" w:styleId="122">
    <w:name w:val="Char Char1"/>
    <w:autoRedefine/>
    <w:qFormat/>
    <w:uiPriority w:val="0"/>
    <w:rPr>
      <w:sz w:val="20"/>
    </w:rPr>
  </w:style>
  <w:style w:type="character" w:customStyle="1" w:styleId="123">
    <w:name w:val="样式10 Char"/>
    <w:autoRedefine/>
    <w:qFormat/>
    <w:uiPriority w:val="0"/>
    <w:rPr>
      <w:sz w:val="20"/>
    </w:rPr>
  </w:style>
  <w:style w:type="character" w:customStyle="1" w:styleId="124">
    <w:name w:val="正文文本 3 Char2"/>
    <w:autoRedefine/>
    <w:qFormat/>
    <w:uiPriority w:val="0"/>
    <w:rPr>
      <w:kern w:val="2"/>
      <w:sz w:val="16"/>
      <w:szCs w:val="16"/>
    </w:rPr>
  </w:style>
  <w:style w:type="character" w:customStyle="1" w:styleId="125">
    <w:name w:val="Footer Char"/>
    <w:autoRedefine/>
    <w:qFormat/>
    <w:uiPriority w:val="0"/>
    <w:rPr>
      <w:rFonts w:eastAsia="宋体"/>
      <w:kern w:val="2"/>
      <w:sz w:val="18"/>
      <w:szCs w:val="18"/>
      <w:lang w:val="en-US" w:eastAsia="zh-CN" w:bidi="ar-SA"/>
    </w:rPr>
  </w:style>
  <w:style w:type="character" w:customStyle="1" w:styleId="126">
    <w:name w:val="引用 字符"/>
    <w:link w:val="127"/>
    <w:autoRedefine/>
    <w:qFormat/>
    <w:uiPriority w:val="0"/>
    <w:rPr>
      <w:i/>
      <w:iCs/>
      <w:color w:val="000000"/>
    </w:rPr>
  </w:style>
  <w:style w:type="paragraph" w:styleId="127">
    <w:name w:val="Quote"/>
    <w:basedOn w:val="1"/>
    <w:next w:val="1"/>
    <w:link w:val="126"/>
    <w:autoRedefine/>
    <w:qFormat/>
    <w:uiPriority w:val="0"/>
    <w:rPr>
      <w:i/>
      <w:iCs/>
      <w:color w:val="000000"/>
      <w:kern w:val="0"/>
      <w:sz w:val="20"/>
      <w:szCs w:val="20"/>
    </w:rPr>
  </w:style>
  <w:style w:type="character" w:customStyle="1" w:styleId="128">
    <w:name w:val="引用 字符1"/>
    <w:basedOn w:val="56"/>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29">
    <w:name w:val="标题 Char2"/>
    <w:autoRedefine/>
    <w:qFormat/>
    <w:uiPriority w:val="0"/>
    <w:rPr>
      <w:rFonts w:ascii="Cambria" w:hAnsi="Cambria" w:eastAsia="宋体" w:cs="Times New Roman"/>
      <w:b/>
      <w:bCs/>
      <w:sz w:val="32"/>
      <w:szCs w:val="32"/>
    </w:rPr>
  </w:style>
  <w:style w:type="character" w:customStyle="1" w:styleId="130">
    <w:name w:val="Char Char10"/>
    <w:autoRedefine/>
    <w:qFormat/>
    <w:uiPriority w:val="0"/>
    <w:rPr>
      <w:sz w:val="20"/>
    </w:rPr>
  </w:style>
  <w:style w:type="character" w:customStyle="1" w:styleId="131">
    <w:name w:val="样式3 Char Char"/>
    <w:autoRedefine/>
    <w:qFormat/>
    <w:uiPriority w:val="0"/>
    <w:rPr>
      <w:b/>
      <w:sz w:val="20"/>
    </w:rPr>
  </w:style>
  <w:style w:type="character" w:customStyle="1" w:styleId="132">
    <w:name w:val="明显强调1"/>
    <w:autoRedefine/>
    <w:qFormat/>
    <w:uiPriority w:val="0"/>
    <w:rPr>
      <w:b/>
      <w:bCs/>
      <w:i/>
      <w:iCs/>
      <w:color w:val="4F81BD"/>
    </w:rPr>
  </w:style>
  <w:style w:type="character" w:customStyle="1" w:styleId="133">
    <w:name w:val="批注文字 Char Char"/>
    <w:autoRedefine/>
    <w:qFormat/>
    <w:uiPriority w:val="0"/>
    <w:rPr>
      <w:rFonts w:ascii="宋体" w:hAnsi="Times New Roman" w:eastAsia="宋体" w:cs="Times New Roman"/>
      <w:sz w:val="28"/>
      <w:szCs w:val="20"/>
    </w:rPr>
  </w:style>
  <w:style w:type="character" w:customStyle="1" w:styleId="134">
    <w:name w:val="副标题 Char1"/>
    <w:autoRedefine/>
    <w:qFormat/>
    <w:uiPriority w:val="0"/>
    <w:rPr>
      <w:rFonts w:hint="default" w:ascii="Cambria" w:hAnsi="Cambria" w:cs="Times New Roman"/>
      <w:b/>
      <w:bCs/>
      <w:kern w:val="28"/>
      <w:sz w:val="32"/>
      <w:szCs w:val="32"/>
    </w:rPr>
  </w:style>
  <w:style w:type="character" w:customStyle="1" w:styleId="135">
    <w:name w:val="样式14 Char"/>
    <w:autoRedefine/>
    <w:qFormat/>
    <w:uiPriority w:val="0"/>
    <w:rPr>
      <w:sz w:val="20"/>
    </w:rPr>
  </w:style>
  <w:style w:type="character" w:customStyle="1" w:styleId="136">
    <w:name w:val="Comment Subject Char"/>
    <w:autoRedefine/>
    <w:qFormat/>
    <w:uiPriority w:val="0"/>
    <w:rPr>
      <w:b/>
      <w:sz w:val="24"/>
      <w:lang w:bidi="ar-SA"/>
    </w:rPr>
  </w:style>
  <w:style w:type="character" w:customStyle="1" w:styleId="137">
    <w:name w:val="Comment Text Char"/>
    <w:autoRedefine/>
    <w:qFormat/>
    <w:uiPriority w:val="0"/>
    <w:rPr>
      <w:rFonts w:cs="Times New Roman"/>
      <w:sz w:val="24"/>
      <w:szCs w:val="24"/>
    </w:rPr>
  </w:style>
  <w:style w:type="character" w:customStyle="1" w:styleId="138">
    <w:name w:val="title2"/>
    <w:autoRedefine/>
    <w:qFormat/>
    <w:uiPriority w:val="0"/>
    <w:rPr>
      <w:b/>
      <w:color w:val="111111"/>
      <w:sz w:val="20"/>
      <w:u w:val="none"/>
    </w:rPr>
  </w:style>
  <w:style w:type="character" w:customStyle="1" w:styleId="139">
    <w:name w:val="日期 Char1"/>
    <w:autoRedefine/>
    <w:qFormat/>
    <w:uiPriority w:val="0"/>
    <w:rPr>
      <w:rFonts w:ascii="Times New Roman" w:hAnsi="Times New Roman" w:eastAsia="宋体" w:cs="Times New Roman"/>
      <w:szCs w:val="24"/>
    </w:rPr>
  </w:style>
  <w:style w:type="character" w:customStyle="1" w:styleId="140">
    <w:name w:val="超链接_0"/>
    <w:autoRedefine/>
    <w:qFormat/>
    <w:uiPriority w:val="99"/>
    <w:rPr>
      <w:rFonts w:ascii="Calibri" w:hAnsi="Calibri" w:cs="Times New Roman"/>
      <w:color w:val="0000FF"/>
      <w:u w:val="single"/>
    </w:rPr>
  </w:style>
  <w:style w:type="character" w:customStyle="1" w:styleId="141">
    <w:name w:val="样式3 Char Char Char Char"/>
    <w:autoRedefine/>
    <w:qFormat/>
    <w:uiPriority w:val="0"/>
    <w:rPr>
      <w:b/>
      <w:sz w:val="20"/>
    </w:rPr>
  </w:style>
  <w:style w:type="character" w:customStyle="1" w:styleId="142">
    <w:name w:val="newsbg1"/>
    <w:autoRedefine/>
    <w:qFormat/>
    <w:uiPriority w:val="0"/>
    <w:rPr>
      <w:sz w:val="20"/>
    </w:rPr>
  </w:style>
  <w:style w:type="character" w:customStyle="1" w:styleId="143">
    <w:name w:val="Char Char8"/>
    <w:autoRedefine/>
    <w:qFormat/>
    <w:uiPriority w:val="0"/>
    <w:rPr>
      <w:sz w:val="20"/>
    </w:rPr>
  </w:style>
  <w:style w:type="character" w:customStyle="1" w:styleId="144">
    <w:name w:val="Char Char Char Char Char Char"/>
    <w:autoRedefine/>
    <w:qFormat/>
    <w:uiPriority w:val="0"/>
    <w:rPr>
      <w:sz w:val="20"/>
    </w:rPr>
  </w:style>
  <w:style w:type="character" w:customStyle="1" w:styleId="145">
    <w:name w:val="正文文本 Char2"/>
    <w:autoRedefine/>
    <w:qFormat/>
    <w:uiPriority w:val="0"/>
    <w:rPr>
      <w:sz w:val="20"/>
    </w:rPr>
  </w:style>
  <w:style w:type="character" w:customStyle="1" w:styleId="146">
    <w:name w:val="明显引用 Char2"/>
    <w:link w:val="147"/>
    <w:autoRedefine/>
    <w:qFormat/>
    <w:uiPriority w:val="0"/>
    <w:rPr>
      <w:b/>
      <w:i/>
      <w:color w:val="4F81BD"/>
      <w:kern w:val="2"/>
      <w:sz w:val="22"/>
    </w:rPr>
  </w:style>
  <w:style w:type="paragraph" w:customStyle="1" w:styleId="147">
    <w:name w:val="明显引用2"/>
    <w:basedOn w:val="1"/>
    <w:next w:val="1"/>
    <w:link w:val="146"/>
    <w:autoRedefine/>
    <w:qFormat/>
    <w:uiPriority w:val="0"/>
    <w:pPr>
      <w:pBdr>
        <w:bottom w:val="single" w:color="4F81BD" w:sz="4" w:space="4"/>
      </w:pBdr>
      <w:spacing w:before="200" w:after="280"/>
      <w:ind w:left="936" w:right="936"/>
    </w:pPr>
    <w:rPr>
      <w:b/>
      <w:i/>
      <w:color w:val="4F81BD"/>
      <w:sz w:val="22"/>
      <w:szCs w:val="20"/>
    </w:rPr>
  </w:style>
  <w:style w:type="character" w:customStyle="1" w:styleId="148">
    <w:name w:val="Balloon Text Char"/>
    <w:autoRedefine/>
    <w:qFormat/>
    <w:uiPriority w:val="0"/>
    <w:rPr>
      <w:sz w:val="18"/>
      <w:lang w:bidi="ar-SA"/>
    </w:rPr>
  </w:style>
  <w:style w:type="character" w:customStyle="1" w:styleId="149">
    <w:name w:val="普通文字 Char"/>
    <w:autoRedefine/>
    <w:qFormat/>
    <w:uiPriority w:val="0"/>
    <w:rPr>
      <w:sz w:val="20"/>
    </w:rPr>
  </w:style>
  <w:style w:type="character" w:customStyle="1" w:styleId="150">
    <w:name w:val="仿宋，小四"/>
    <w:autoRedefine/>
    <w:qFormat/>
    <w:uiPriority w:val="0"/>
    <w:rPr>
      <w:sz w:val="20"/>
    </w:rPr>
  </w:style>
  <w:style w:type="character" w:customStyle="1" w:styleId="151">
    <w:name w:val="样式 Char"/>
    <w:link w:val="152"/>
    <w:autoRedefine/>
    <w:qFormat/>
    <w:locked/>
    <w:uiPriority w:val="0"/>
    <w:rPr>
      <w:rFonts w:ascii="宋体" w:hAnsi="宋体" w:cs="宋体"/>
      <w:sz w:val="24"/>
      <w:szCs w:val="24"/>
    </w:rPr>
  </w:style>
  <w:style w:type="paragraph" w:customStyle="1" w:styleId="152">
    <w:name w:val="样式"/>
    <w:link w:val="151"/>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3">
    <w:name w:val="style41"/>
    <w:autoRedefine/>
    <w:qFormat/>
    <w:uiPriority w:val="0"/>
    <w:rPr>
      <w:rFonts w:ascii="Verdana" w:hAnsi="Verdana"/>
      <w:color w:val="AA1515"/>
      <w:kern w:val="0"/>
      <w:sz w:val="20"/>
      <w:lang w:eastAsia="en-US"/>
    </w:rPr>
  </w:style>
  <w:style w:type="character" w:customStyle="1" w:styleId="154">
    <w:name w:val="明显引用 Char1"/>
    <w:autoRedefine/>
    <w:qFormat/>
    <w:uiPriority w:val="0"/>
    <w:rPr>
      <w:rFonts w:ascii="Times New Roman" w:hAnsi="Times New Roman" w:eastAsia="宋体" w:cs="Times New Roman"/>
      <w:b/>
      <w:bCs/>
      <w:i/>
      <w:iCs/>
      <w:color w:val="4F81BD"/>
      <w:szCs w:val="24"/>
    </w:rPr>
  </w:style>
  <w:style w:type="character" w:customStyle="1" w:styleId="155">
    <w:name w:val="样式12 Char"/>
    <w:autoRedefine/>
    <w:qFormat/>
    <w:uiPriority w:val="0"/>
    <w:rPr>
      <w:sz w:val="20"/>
    </w:rPr>
  </w:style>
  <w:style w:type="character" w:customStyle="1" w:styleId="156">
    <w:name w:val="引用 Char2"/>
    <w:link w:val="157"/>
    <w:autoRedefine/>
    <w:qFormat/>
    <w:uiPriority w:val="0"/>
    <w:rPr>
      <w:i/>
      <w:color w:val="000000"/>
      <w:kern w:val="2"/>
      <w:sz w:val="22"/>
    </w:rPr>
  </w:style>
  <w:style w:type="paragraph" w:customStyle="1" w:styleId="157">
    <w:name w:val="引用2"/>
    <w:basedOn w:val="1"/>
    <w:next w:val="1"/>
    <w:link w:val="156"/>
    <w:autoRedefine/>
    <w:qFormat/>
    <w:uiPriority w:val="0"/>
    <w:rPr>
      <w:i/>
      <w:color w:val="000000"/>
      <w:sz w:val="22"/>
      <w:szCs w:val="20"/>
    </w:rPr>
  </w:style>
  <w:style w:type="character" w:customStyle="1" w:styleId="158">
    <w:name w:val="样式 标题 3h3section:3Level 3 HeadH3level_3PIM 33rd level3H... Char Char"/>
    <w:autoRedefine/>
    <w:qFormat/>
    <w:uiPriority w:val="0"/>
    <w:rPr>
      <w:b/>
      <w:sz w:val="20"/>
    </w:rPr>
  </w:style>
  <w:style w:type="character" w:customStyle="1" w:styleId="159">
    <w:name w:val="Heading 3 Char"/>
    <w:autoRedefine/>
    <w:qFormat/>
    <w:uiPriority w:val="0"/>
    <w:rPr>
      <w:rFonts w:cs="Times New Roman"/>
      <w:b/>
      <w:bCs/>
      <w:kern w:val="2"/>
      <w:sz w:val="32"/>
      <w:szCs w:val="32"/>
    </w:rPr>
  </w:style>
  <w:style w:type="character" w:customStyle="1" w:styleId="160">
    <w:name w:val="Char Char24"/>
    <w:autoRedefine/>
    <w:qFormat/>
    <w:uiPriority w:val="0"/>
    <w:rPr>
      <w:rFonts w:eastAsia="宋体"/>
      <w:b/>
      <w:bCs/>
      <w:kern w:val="44"/>
      <w:sz w:val="32"/>
      <w:szCs w:val="44"/>
      <w:lang w:val="en-US" w:eastAsia="zh-CN" w:bidi="ar-SA"/>
    </w:rPr>
  </w:style>
  <w:style w:type="character" w:customStyle="1" w:styleId="161">
    <w:name w:val="Title Char"/>
    <w:autoRedefine/>
    <w:qFormat/>
    <w:uiPriority w:val="0"/>
    <w:rPr>
      <w:rFonts w:ascii="Cambria" w:hAnsi="Cambria"/>
      <w:b/>
      <w:sz w:val="32"/>
      <w:lang w:bidi="ar-SA"/>
    </w:rPr>
  </w:style>
  <w:style w:type="character" w:customStyle="1" w:styleId="162">
    <w:name w:val="textcontents"/>
    <w:autoRedefine/>
    <w:qFormat/>
    <w:uiPriority w:val="0"/>
    <w:rPr>
      <w:rFonts w:cs="Times New Roman"/>
    </w:rPr>
  </w:style>
  <w:style w:type="character" w:customStyle="1" w:styleId="163">
    <w:name w:val="正文文本 2 Char1"/>
    <w:autoRedefine/>
    <w:qFormat/>
    <w:uiPriority w:val="0"/>
    <w:rPr>
      <w:kern w:val="2"/>
      <w:sz w:val="21"/>
      <w:szCs w:val="24"/>
    </w:rPr>
  </w:style>
  <w:style w:type="character" w:customStyle="1" w:styleId="164">
    <w:name w:val="不明显参考1"/>
    <w:autoRedefine/>
    <w:qFormat/>
    <w:uiPriority w:val="0"/>
    <w:rPr>
      <w:smallCaps/>
      <w:color w:val="C0504D"/>
      <w:u w:val="single"/>
    </w:rPr>
  </w:style>
  <w:style w:type="character" w:customStyle="1" w:styleId="165">
    <w:name w:val="Char Char18"/>
    <w:autoRedefine/>
    <w:qFormat/>
    <w:uiPriority w:val="0"/>
    <w:rPr>
      <w:rFonts w:ascii="Times New Roman" w:hAnsi="Times New Roman" w:eastAsia="宋体" w:cs="Times New Roman"/>
      <w:b/>
      <w:bCs/>
      <w:sz w:val="28"/>
      <w:szCs w:val="28"/>
    </w:rPr>
  </w:style>
  <w:style w:type="character" w:customStyle="1" w:styleId="166">
    <w:name w:val="正文文本 3 Char1"/>
    <w:autoRedefine/>
    <w:qFormat/>
    <w:uiPriority w:val="0"/>
    <w:rPr>
      <w:kern w:val="2"/>
      <w:sz w:val="16"/>
      <w:szCs w:val="16"/>
    </w:rPr>
  </w:style>
  <w:style w:type="character" w:customStyle="1" w:styleId="167">
    <w:name w:val="标题 Char1"/>
    <w:autoRedefine/>
    <w:qFormat/>
    <w:uiPriority w:val="0"/>
    <w:rPr>
      <w:rFonts w:ascii="Cambria" w:hAnsi="Cambria" w:eastAsia="宋体" w:cs="Times New Roman"/>
      <w:b/>
      <w:bCs/>
      <w:sz w:val="32"/>
      <w:szCs w:val="32"/>
    </w:rPr>
  </w:style>
  <w:style w:type="character" w:customStyle="1" w:styleId="168">
    <w:name w:val="Header Char"/>
    <w:autoRedefine/>
    <w:qFormat/>
    <w:uiPriority w:val="0"/>
    <w:rPr>
      <w:rFonts w:eastAsia="宋体"/>
      <w:kern w:val="2"/>
      <w:sz w:val="18"/>
      <w:szCs w:val="18"/>
      <w:lang w:val="en-US" w:eastAsia="zh-CN" w:bidi="ar-SA"/>
    </w:rPr>
  </w:style>
  <w:style w:type="character" w:customStyle="1" w:styleId="169">
    <w:name w:val="样式13 Char"/>
    <w:autoRedefine/>
    <w:qFormat/>
    <w:uiPriority w:val="0"/>
    <w:rPr>
      <w:sz w:val="20"/>
    </w:rPr>
  </w:style>
  <w:style w:type="character" w:customStyle="1" w:styleId="170">
    <w:name w:val="样式9 Char"/>
    <w:autoRedefine/>
    <w:qFormat/>
    <w:uiPriority w:val="0"/>
    <w:rPr>
      <w:sz w:val="20"/>
    </w:rPr>
  </w:style>
  <w:style w:type="character" w:customStyle="1" w:styleId="171">
    <w:name w:val="Char Char6"/>
    <w:autoRedefine/>
    <w:qFormat/>
    <w:uiPriority w:val="0"/>
    <w:rPr>
      <w:rFonts w:eastAsia="宋体"/>
      <w:b/>
      <w:bCs/>
      <w:kern w:val="44"/>
      <w:sz w:val="32"/>
      <w:szCs w:val="44"/>
      <w:lang w:val="en-US" w:eastAsia="zh-CN" w:bidi="ar-SA"/>
    </w:rPr>
  </w:style>
  <w:style w:type="character" w:customStyle="1" w:styleId="172">
    <w:name w:val="批注文字 Char1"/>
    <w:autoRedefine/>
    <w:qFormat/>
    <w:uiPriority w:val="0"/>
    <w:rPr>
      <w:rFonts w:ascii="Times New Roman" w:hAnsi="Times New Roman" w:eastAsia="宋体" w:cs="Times New Roman"/>
      <w:szCs w:val="24"/>
    </w:rPr>
  </w:style>
  <w:style w:type="character" w:customStyle="1" w:styleId="173">
    <w:name w:val="标题 3 Char1"/>
    <w:autoRedefine/>
    <w:qFormat/>
    <w:uiPriority w:val="0"/>
    <w:rPr>
      <w:rFonts w:ascii="Calibri" w:hAnsi="Calibri" w:eastAsia="宋体" w:cs="Arial"/>
      <w:b/>
      <w:kern w:val="0"/>
      <w:sz w:val="32"/>
      <w:szCs w:val="20"/>
    </w:rPr>
  </w:style>
  <w:style w:type="character" w:customStyle="1" w:styleId="174">
    <w:name w:val="tt21"/>
    <w:autoRedefine/>
    <w:qFormat/>
    <w:uiPriority w:val="0"/>
    <w:rPr>
      <w:b/>
      <w:sz w:val="20"/>
    </w:rPr>
  </w:style>
  <w:style w:type="character" w:customStyle="1" w:styleId="175">
    <w:name w:val="Heading 4 Char"/>
    <w:autoRedefine/>
    <w:qFormat/>
    <w:uiPriority w:val="0"/>
    <w:rPr>
      <w:rFonts w:ascii="Arial" w:hAnsi="Arial" w:eastAsia="宋体"/>
      <w:b/>
      <w:bCs/>
      <w:kern w:val="2"/>
      <w:sz w:val="21"/>
      <w:szCs w:val="28"/>
      <w:lang w:val="en-US" w:eastAsia="zh-CN" w:bidi="ar-SA"/>
    </w:rPr>
  </w:style>
  <w:style w:type="character" w:customStyle="1" w:styleId="176">
    <w:name w:val="Char Char91"/>
    <w:autoRedefine/>
    <w:qFormat/>
    <w:uiPriority w:val="0"/>
    <w:rPr>
      <w:rFonts w:eastAsia="宋体"/>
      <w:b/>
      <w:bCs/>
      <w:kern w:val="44"/>
      <w:sz w:val="32"/>
      <w:szCs w:val="44"/>
      <w:lang w:val="en-US" w:eastAsia="zh-CN" w:bidi="ar-SA"/>
    </w:rPr>
  </w:style>
  <w:style w:type="character" w:customStyle="1" w:styleId="177">
    <w:name w:val="批注框文本 Char1"/>
    <w:autoRedefine/>
    <w:qFormat/>
    <w:uiPriority w:val="0"/>
    <w:rPr>
      <w:rFonts w:ascii="Times New Roman" w:hAnsi="Times New Roman" w:eastAsia="宋体" w:cs="Times New Roman"/>
      <w:sz w:val="18"/>
      <w:szCs w:val="18"/>
    </w:rPr>
  </w:style>
  <w:style w:type="character" w:customStyle="1" w:styleId="178">
    <w:name w:val="引用 Char1"/>
    <w:autoRedefine/>
    <w:qFormat/>
    <w:uiPriority w:val="0"/>
    <w:rPr>
      <w:rFonts w:ascii="Times New Roman" w:hAnsi="Times New Roman" w:eastAsia="宋体" w:cs="Times New Roman"/>
      <w:i/>
      <w:iCs/>
      <w:color w:val="000000"/>
      <w:szCs w:val="24"/>
    </w:rPr>
  </w:style>
  <w:style w:type="character" w:customStyle="1" w:styleId="179">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sz w:val="20"/>
    </w:rPr>
  </w:style>
  <w:style w:type="character" w:customStyle="1" w:styleId="180">
    <w:name w:val="Date Char"/>
    <w:autoRedefine/>
    <w:qFormat/>
    <w:uiPriority w:val="0"/>
    <w:rPr>
      <w:rFonts w:eastAsia="宋体"/>
      <w:kern w:val="2"/>
      <w:sz w:val="21"/>
      <w:szCs w:val="24"/>
      <w:lang w:val="en-US" w:eastAsia="zh-CN" w:bidi="ar-SA"/>
    </w:rPr>
  </w:style>
  <w:style w:type="character" w:customStyle="1" w:styleId="181">
    <w:name w:val="明显参考1"/>
    <w:autoRedefine/>
    <w:qFormat/>
    <w:uiPriority w:val="32"/>
    <w:rPr>
      <w:b/>
      <w:bCs/>
      <w:smallCaps/>
      <w:color w:val="C0504D"/>
      <w:spacing w:val="5"/>
      <w:u w:val="single"/>
    </w:rPr>
  </w:style>
  <w:style w:type="character" w:customStyle="1" w:styleId="182">
    <w:name w:val="Plain Text Char"/>
    <w:autoRedefine/>
    <w:qFormat/>
    <w:uiPriority w:val="0"/>
    <w:rPr>
      <w:rFonts w:ascii="宋体" w:hAnsi="Courier New" w:eastAsia="宋体"/>
      <w:sz w:val="24"/>
      <w:lang w:bidi="ar-SA"/>
    </w:rPr>
  </w:style>
  <w:style w:type="character" w:customStyle="1" w:styleId="183">
    <w:name w:val="Comment Text Char1"/>
    <w:autoRedefine/>
    <w:qFormat/>
    <w:uiPriority w:val="0"/>
    <w:rPr>
      <w:sz w:val="24"/>
      <w:lang w:bidi="ar-SA"/>
    </w:rPr>
  </w:style>
  <w:style w:type="character" w:customStyle="1" w:styleId="184">
    <w:name w:val="Char Char19"/>
    <w:autoRedefine/>
    <w:qFormat/>
    <w:uiPriority w:val="0"/>
    <w:rPr>
      <w:rFonts w:ascii="Arial" w:hAnsi="Arial" w:eastAsia="宋体" w:cs="Times New Roman"/>
      <w:b/>
      <w:bCs/>
      <w:szCs w:val="28"/>
    </w:rPr>
  </w:style>
  <w:style w:type="character" w:customStyle="1" w:styleId="185">
    <w:name w:val="Document Map Char"/>
    <w:autoRedefine/>
    <w:qFormat/>
    <w:uiPriority w:val="0"/>
    <w:rPr>
      <w:rFonts w:eastAsia="宋体"/>
      <w:kern w:val="2"/>
      <w:sz w:val="21"/>
      <w:szCs w:val="24"/>
      <w:lang w:val="en-US" w:eastAsia="zh-CN" w:bidi="ar-SA"/>
    </w:rPr>
  </w:style>
  <w:style w:type="character" w:customStyle="1" w:styleId="186">
    <w:name w:val="apple-converted-space"/>
    <w:autoRedefine/>
    <w:qFormat/>
    <w:uiPriority w:val="0"/>
    <w:rPr>
      <w:sz w:val="20"/>
    </w:rPr>
  </w:style>
  <w:style w:type="character" w:customStyle="1" w:styleId="187">
    <w:name w:val="正文文本 Char1"/>
    <w:autoRedefine/>
    <w:qFormat/>
    <w:uiPriority w:val="0"/>
    <w:rPr>
      <w:kern w:val="2"/>
      <w:sz w:val="21"/>
      <w:szCs w:val="22"/>
    </w:rPr>
  </w:style>
  <w:style w:type="character" w:customStyle="1" w:styleId="188">
    <w:name w:val="标题4 Char Char"/>
    <w:link w:val="189"/>
    <w:autoRedefine/>
    <w:qFormat/>
    <w:uiPriority w:val="0"/>
    <w:rPr>
      <w:rFonts w:ascii="Arial" w:hAnsi="Arial"/>
      <w:b/>
      <w:bCs/>
      <w:sz w:val="24"/>
      <w:szCs w:val="32"/>
    </w:rPr>
  </w:style>
  <w:style w:type="paragraph" w:customStyle="1" w:styleId="189">
    <w:name w:val="标题4"/>
    <w:basedOn w:val="2"/>
    <w:next w:val="24"/>
    <w:link w:val="188"/>
    <w:autoRedefine/>
    <w:qFormat/>
    <w:uiPriority w:val="0"/>
    <w:pPr>
      <w:spacing w:before="60" w:after="60" w:line="413" w:lineRule="auto"/>
    </w:pPr>
    <w:rPr>
      <w:rFonts w:eastAsia="宋体"/>
      <w:kern w:val="0"/>
      <w:sz w:val="24"/>
    </w:rPr>
  </w:style>
  <w:style w:type="character" w:customStyle="1" w:styleId="190">
    <w:name w:val="Variable"/>
    <w:autoRedefine/>
    <w:qFormat/>
    <w:uiPriority w:val="0"/>
    <w:rPr>
      <w:i/>
    </w:rPr>
  </w:style>
  <w:style w:type="character" w:customStyle="1" w:styleId="191">
    <w:name w:val="level1"/>
    <w:autoRedefine/>
    <w:qFormat/>
    <w:uiPriority w:val="0"/>
    <w:rPr>
      <w:sz w:val="20"/>
    </w:rPr>
  </w:style>
  <w:style w:type="character" w:customStyle="1" w:styleId="192">
    <w:name w:val="Char Char4"/>
    <w:autoRedefine/>
    <w:qFormat/>
    <w:uiPriority w:val="0"/>
    <w:rPr>
      <w:b/>
      <w:sz w:val="20"/>
    </w:rPr>
  </w:style>
  <w:style w:type="character" w:customStyle="1" w:styleId="193">
    <w:name w:val="Char Char5"/>
    <w:autoRedefine/>
    <w:qFormat/>
    <w:uiPriority w:val="0"/>
    <w:rPr>
      <w:sz w:val="20"/>
    </w:rPr>
  </w:style>
  <w:style w:type="character" w:customStyle="1" w:styleId="194">
    <w:name w:val="书籍标题1"/>
    <w:autoRedefine/>
    <w:qFormat/>
    <w:uiPriority w:val="0"/>
    <w:rPr>
      <w:b/>
      <w:bCs/>
      <w:smallCaps/>
      <w:spacing w:val="5"/>
    </w:rPr>
  </w:style>
  <w:style w:type="character" w:customStyle="1" w:styleId="195">
    <w:name w:val="标题4 Char1"/>
    <w:autoRedefine/>
    <w:qFormat/>
    <w:uiPriority w:val="0"/>
    <w:rPr>
      <w:rFonts w:eastAsia="宋体"/>
      <w:sz w:val="24"/>
      <w:szCs w:val="24"/>
      <w:lang w:val="en-US" w:eastAsia="zh-CN" w:bidi="ar-SA"/>
    </w:rPr>
  </w:style>
  <w:style w:type="character" w:customStyle="1" w:styleId="196">
    <w:name w:val="批注文字 Char"/>
    <w:autoRedefine/>
    <w:qFormat/>
    <w:uiPriority w:val="0"/>
    <w:rPr>
      <w:kern w:val="2"/>
      <w:sz w:val="21"/>
      <w:szCs w:val="24"/>
    </w:rPr>
  </w:style>
  <w:style w:type="character" w:customStyle="1" w:styleId="197">
    <w:name w:val="样式15 Char"/>
    <w:autoRedefine/>
    <w:qFormat/>
    <w:uiPriority w:val="0"/>
    <w:rPr>
      <w:sz w:val="20"/>
    </w:rPr>
  </w:style>
  <w:style w:type="character" w:customStyle="1" w:styleId="198">
    <w:name w:val="Char Char2"/>
    <w:autoRedefine/>
    <w:qFormat/>
    <w:uiPriority w:val="0"/>
    <w:rPr>
      <w:sz w:val="20"/>
    </w:rPr>
  </w:style>
  <w:style w:type="character" w:customStyle="1" w:styleId="199">
    <w:name w:val="H2 Char"/>
    <w:autoRedefine/>
    <w:qFormat/>
    <w:uiPriority w:val="0"/>
    <w:rPr>
      <w:b/>
      <w:sz w:val="20"/>
    </w:rPr>
  </w:style>
  <w:style w:type="character" w:customStyle="1" w:styleId="200">
    <w:name w:val="HTML 预设格式 Char2"/>
    <w:autoRedefine/>
    <w:qFormat/>
    <w:uiPriority w:val="0"/>
    <w:rPr>
      <w:rFonts w:ascii="Courier New" w:hAnsi="Courier New" w:cs="Courier New"/>
      <w:kern w:val="2"/>
    </w:rPr>
  </w:style>
  <w:style w:type="character" w:customStyle="1" w:styleId="201">
    <w:name w:val="Heading 2 Char"/>
    <w:autoRedefine/>
    <w:qFormat/>
    <w:uiPriority w:val="0"/>
    <w:rPr>
      <w:rFonts w:ascii="Arial" w:hAnsi="Arial" w:eastAsia="黑体"/>
      <w:b/>
      <w:bCs/>
      <w:kern w:val="2"/>
      <w:sz w:val="32"/>
      <w:szCs w:val="32"/>
      <w:lang w:val="en-US" w:eastAsia="zh-CN" w:bidi="ar-SA"/>
    </w:rPr>
  </w:style>
  <w:style w:type="character" w:customStyle="1" w:styleId="202">
    <w:name w:val="Char Char13"/>
    <w:autoRedefine/>
    <w:qFormat/>
    <w:uiPriority w:val="0"/>
    <w:rPr>
      <w:b/>
      <w:sz w:val="20"/>
    </w:rPr>
  </w:style>
  <w:style w:type="character" w:customStyle="1" w:styleId="203">
    <w:name w:val="Char Char7"/>
    <w:autoRedefine/>
    <w:qFormat/>
    <w:uiPriority w:val="0"/>
    <w:rPr>
      <w:sz w:val="20"/>
    </w:rPr>
  </w:style>
  <w:style w:type="character" w:customStyle="1" w:styleId="204">
    <w:name w:val="称呼 Char2"/>
    <w:autoRedefine/>
    <w:qFormat/>
    <w:uiPriority w:val="0"/>
    <w:rPr>
      <w:kern w:val="2"/>
      <w:sz w:val="21"/>
      <w:szCs w:val="24"/>
    </w:rPr>
  </w:style>
  <w:style w:type="character" w:customStyle="1" w:styleId="205">
    <w:name w:val="正文文本缩进 3 Char2"/>
    <w:autoRedefine/>
    <w:qFormat/>
    <w:uiPriority w:val="0"/>
    <w:rPr>
      <w:kern w:val="2"/>
      <w:sz w:val="16"/>
      <w:szCs w:val="16"/>
    </w:rPr>
  </w:style>
  <w:style w:type="character" w:customStyle="1" w:styleId="206">
    <w:name w:val="Char Char9"/>
    <w:autoRedefine/>
    <w:qFormat/>
    <w:uiPriority w:val="0"/>
    <w:rPr>
      <w:rFonts w:eastAsia="宋体"/>
      <w:b/>
      <w:bCs/>
      <w:kern w:val="44"/>
      <w:sz w:val="32"/>
      <w:szCs w:val="44"/>
      <w:lang w:val="en-US" w:eastAsia="zh-CN" w:bidi="ar-SA"/>
    </w:rPr>
  </w:style>
  <w:style w:type="character" w:customStyle="1" w:styleId="207">
    <w:name w:val="样式11 Char"/>
    <w:autoRedefine/>
    <w:qFormat/>
    <w:uiPriority w:val="0"/>
    <w:rPr>
      <w:sz w:val="20"/>
    </w:rPr>
  </w:style>
  <w:style w:type="character" w:customStyle="1" w:styleId="208">
    <w:name w:val="称呼 Char1"/>
    <w:autoRedefine/>
    <w:qFormat/>
    <w:uiPriority w:val="0"/>
    <w:rPr>
      <w:kern w:val="2"/>
      <w:sz w:val="21"/>
      <w:szCs w:val="24"/>
    </w:rPr>
  </w:style>
  <w:style w:type="character" w:customStyle="1" w:styleId="209">
    <w:name w:val="正文缩进 Char1"/>
    <w:autoRedefine/>
    <w:qFormat/>
    <w:uiPriority w:val="0"/>
    <w:rPr>
      <w:rFonts w:eastAsia="宋体"/>
      <w:sz w:val="24"/>
      <w:szCs w:val="24"/>
      <w:lang w:val="en-US" w:eastAsia="zh-CN" w:bidi="ar-SA"/>
    </w:rPr>
  </w:style>
  <w:style w:type="character" w:customStyle="1" w:styleId="210">
    <w:name w:val="Body Text Indent Char"/>
    <w:autoRedefine/>
    <w:qFormat/>
    <w:uiPriority w:val="0"/>
    <w:rPr>
      <w:rFonts w:ascii="宋体" w:hAnsi="宋体" w:eastAsia="宋体"/>
      <w:kern w:val="2"/>
      <w:sz w:val="21"/>
      <w:lang w:val="en-US" w:eastAsia="zh-CN" w:bidi="ar-SA"/>
    </w:rPr>
  </w:style>
  <w:style w:type="character" w:customStyle="1" w:styleId="211">
    <w:name w:val="标题5 Char Char"/>
    <w:link w:val="212"/>
    <w:autoRedefine/>
    <w:qFormat/>
    <w:uiPriority w:val="0"/>
    <w:rPr>
      <w:rFonts w:ascii="Arial" w:hAnsi="Arial"/>
      <w:b/>
      <w:bCs/>
      <w:sz w:val="24"/>
      <w:szCs w:val="32"/>
    </w:rPr>
  </w:style>
  <w:style w:type="paragraph" w:customStyle="1" w:styleId="212">
    <w:name w:val="标题5"/>
    <w:basedOn w:val="4"/>
    <w:link w:val="211"/>
    <w:autoRedefine/>
    <w:qFormat/>
    <w:uiPriority w:val="0"/>
    <w:pPr>
      <w:spacing w:line="413" w:lineRule="auto"/>
    </w:pPr>
    <w:rPr>
      <w:rFonts w:ascii="Arial" w:hAnsi="Arial"/>
      <w:kern w:val="0"/>
      <w:sz w:val="24"/>
    </w:rPr>
  </w:style>
  <w:style w:type="character" w:customStyle="1" w:styleId="213">
    <w:name w:val="H1 Char"/>
    <w:autoRedefine/>
    <w:qFormat/>
    <w:uiPriority w:val="0"/>
    <w:rPr>
      <w:b/>
      <w:sz w:val="20"/>
    </w:rPr>
  </w:style>
  <w:style w:type="character" w:customStyle="1" w:styleId="214">
    <w:name w:val="纯文本 Char1"/>
    <w:autoRedefine/>
    <w:qFormat/>
    <w:uiPriority w:val="0"/>
    <w:rPr>
      <w:rFonts w:ascii="宋体" w:hAnsi="Courier New" w:eastAsia="宋体" w:cs="Courier New"/>
      <w:szCs w:val="21"/>
    </w:rPr>
  </w:style>
  <w:style w:type="character" w:customStyle="1" w:styleId="215">
    <w:name w:val="正文首行缩进 Char"/>
    <w:autoRedefine/>
    <w:qFormat/>
    <w:uiPriority w:val="0"/>
    <w:rPr>
      <w:sz w:val="20"/>
    </w:rPr>
  </w:style>
  <w:style w:type="character" w:customStyle="1" w:styleId="216">
    <w:name w:val="正文文本 2 Char2"/>
    <w:autoRedefine/>
    <w:qFormat/>
    <w:uiPriority w:val="0"/>
    <w:rPr>
      <w:kern w:val="2"/>
      <w:sz w:val="21"/>
      <w:szCs w:val="24"/>
    </w:rPr>
  </w:style>
  <w:style w:type="character" w:customStyle="1" w:styleId="217">
    <w:name w:val="Footnote Text Char"/>
    <w:autoRedefine/>
    <w:qFormat/>
    <w:uiPriority w:val="0"/>
    <w:rPr>
      <w:rFonts w:eastAsia="宋体"/>
      <w:sz w:val="18"/>
      <w:lang w:val="en-US" w:eastAsia="zh-CN" w:bidi="ar-SA"/>
    </w:rPr>
  </w:style>
  <w:style w:type="character" w:customStyle="1" w:styleId="218">
    <w:name w:val="正文首行缩进 Char2"/>
    <w:autoRedefine/>
    <w:qFormat/>
    <w:uiPriority w:val="0"/>
    <w:rPr>
      <w:rFonts w:eastAsia="宋体"/>
      <w:kern w:val="2"/>
      <w:sz w:val="21"/>
      <w:szCs w:val="24"/>
      <w:lang w:val="en-US" w:eastAsia="zh-CN" w:bidi="ar-SA"/>
    </w:rPr>
  </w:style>
  <w:style w:type="character" w:customStyle="1" w:styleId="219">
    <w:name w:val="bigfont"/>
    <w:autoRedefine/>
    <w:qFormat/>
    <w:uiPriority w:val="0"/>
    <w:rPr>
      <w:sz w:val="20"/>
    </w:rPr>
  </w:style>
  <w:style w:type="character" w:customStyle="1" w:styleId="220">
    <w:name w:val="文档结构图 Char1"/>
    <w:autoRedefine/>
    <w:qFormat/>
    <w:uiPriority w:val="0"/>
    <w:rPr>
      <w:rFonts w:ascii="宋体" w:hAnsi="Times New Roman" w:eastAsia="宋体" w:cs="Times New Roman"/>
      <w:sz w:val="18"/>
      <w:szCs w:val="18"/>
    </w:rPr>
  </w:style>
  <w:style w:type="character" w:customStyle="1" w:styleId="221">
    <w:name w:val="Heading 3 Char1"/>
    <w:autoRedefine/>
    <w:qFormat/>
    <w:uiPriority w:val="0"/>
    <w:rPr>
      <w:rFonts w:eastAsia="宋体"/>
      <w:b/>
      <w:bCs/>
      <w:kern w:val="2"/>
      <w:sz w:val="24"/>
      <w:szCs w:val="32"/>
      <w:lang w:val="en-US" w:eastAsia="zh-CN" w:bidi="ar-SA"/>
    </w:rPr>
  </w:style>
  <w:style w:type="character" w:customStyle="1" w:styleId="222">
    <w:name w:val="Char Char21"/>
    <w:autoRedefine/>
    <w:qFormat/>
    <w:uiPriority w:val="0"/>
    <w:rPr>
      <w:rFonts w:ascii="Arial" w:hAnsi="Arial" w:eastAsia="黑体" w:cs="Times New Roman"/>
      <w:b/>
      <w:bCs/>
      <w:sz w:val="32"/>
      <w:szCs w:val="32"/>
    </w:rPr>
  </w:style>
  <w:style w:type="character" w:customStyle="1" w:styleId="223">
    <w:name w:val="Char Char14"/>
    <w:autoRedefine/>
    <w:qFormat/>
    <w:uiPriority w:val="0"/>
    <w:rPr>
      <w:sz w:val="20"/>
    </w:rPr>
  </w:style>
  <w:style w:type="character" w:customStyle="1" w:styleId="224">
    <w:name w:val="Char Char20"/>
    <w:autoRedefine/>
    <w:qFormat/>
    <w:uiPriority w:val="0"/>
    <w:rPr>
      <w:rFonts w:ascii="Times New Roman" w:hAnsi="Times New Roman" w:eastAsia="宋体" w:cs="Times New Roman"/>
      <w:b/>
      <w:bCs/>
      <w:sz w:val="24"/>
      <w:szCs w:val="32"/>
    </w:rPr>
  </w:style>
  <w:style w:type="character" w:customStyle="1" w:styleId="225">
    <w:name w:val="不明显强调1"/>
    <w:autoRedefine/>
    <w:qFormat/>
    <w:uiPriority w:val="0"/>
    <w:rPr>
      <w:i/>
      <w:iCs/>
      <w:color w:val="808080"/>
    </w:rPr>
  </w:style>
  <w:style w:type="character" w:customStyle="1" w:styleId="226">
    <w:name w:val="Char Char23"/>
    <w:autoRedefine/>
    <w:qFormat/>
    <w:uiPriority w:val="0"/>
    <w:rPr>
      <w:rFonts w:eastAsia="宋体"/>
      <w:b/>
      <w:bCs/>
      <w:kern w:val="44"/>
      <w:sz w:val="32"/>
      <w:szCs w:val="44"/>
      <w:lang w:val="en-US" w:eastAsia="zh-CN" w:bidi="ar-SA"/>
    </w:rPr>
  </w:style>
  <w:style w:type="character" w:customStyle="1" w:styleId="227">
    <w:name w:val="明显引用 字符"/>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9">
    <w:name w:val="明显引用 字符1"/>
    <w:basedOn w:val="56"/>
    <w:autoRedefine/>
    <w:qFormat/>
    <w:uiPriority w:val="30"/>
    <w:rPr>
      <w:i/>
      <w:iCs/>
      <w:color w:val="5B9BD5" w:themeColor="accent1"/>
      <w:kern w:val="2"/>
      <w:sz w:val="21"/>
      <w:szCs w:val="24"/>
      <w14:textFill>
        <w14:solidFill>
          <w14:schemeClr w14:val="accent1"/>
        </w14:solidFill>
      </w14:textFill>
    </w:rPr>
  </w:style>
  <w:style w:type="character" w:customStyle="1" w:styleId="230">
    <w:name w:val="正文首行缩进 Char3"/>
    <w:autoRedefine/>
    <w:qFormat/>
    <w:uiPriority w:val="0"/>
    <w:rPr>
      <w:rFonts w:eastAsia="宋体"/>
      <w:kern w:val="2"/>
      <w:sz w:val="21"/>
      <w:szCs w:val="24"/>
      <w:lang w:val="en-US" w:eastAsia="zh-CN" w:bidi="ar-SA"/>
    </w:rPr>
  </w:style>
  <w:style w:type="character" w:customStyle="1" w:styleId="231">
    <w:name w:val="Char Char22"/>
    <w:autoRedefine/>
    <w:qFormat/>
    <w:uiPriority w:val="0"/>
    <w:rPr>
      <w:rFonts w:ascii="Times New Roman" w:hAnsi="Times New Roman" w:eastAsia="宋体" w:cs="Times New Roman"/>
      <w:b/>
      <w:bCs/>
      <w:kern w:val="44"/>
      <w:sz w:val="32"/>
      <w:szCs w:val="44"/>
    </w:rPr>
  </w:style>
  <w:style w:type="character" w:customStyle="1" w:styleId="232">
    <w:name w:val="普通文字 Char2"/>
    <w:autoRedefine/>
    <w:semiHidden/>
    <w:qFormat/>
    <w:uiPriority w:val="0"/>
    <w:rPr>
      <w:sz w:val="20"/>
    </w:rPr>
  </w:style>
  <w:style w:type="character" w:customStyle="1" w:styleId="233">
    <w:name w:val="Char Char Char Char Char Char1"/>
    <w:autoRedefine/>
    <w:qFormat/>
    <w:uiPriority w:val="0"/>
    <w:rPr>
      <w:rFonts w:eastAsia="宋体"/>
      <w:kern w:val="2"/>
      <w:sz w:val="21"/>
      <w:szCs w:val="24"/>
      <w:lang w:val="en-US" w:eastAsia="zh-CN" w:bidi="ar-SA"/>
    </w:rPr>
  </w:style>
  <w:style w:type="character" w:customStyle="1" w:styleId="234">
    <w:name w:val="正文文本缩进 3 Char1"/>
    <w:autoRedefine/>
    <w:qFormat/>
    <w:uiPriority w:val="0"/>
    <w:rPr>
      <w:kern w:val="2"/>
      <w:sz w:val="16"/>
      <w:szCs w:val="16"/>
    </w:rPr>
  </w:style>
  <w:style w:type="character" w:customStyle="1" w:styleId="235">
    <w:name w:val="HTML 预设格式 Char3"/>
    <w:autoRedefine/>
    <w:qFormat/>
    <w:uiPriority w:val="0"/>
    <w:rPr>
      <w:rFonts w:ascii="Courier New" w:hAnsi="Courier New" w:cs="Courier New"/>
      <w:kern w:val="2"/>
    </w:rPr>
  </w:style>
  <w:style w:type="character" w:customStyle="1" w:styleId="236">
    <w:name w:val="批注主题 Char1"/>
    <w:autoRedefine/>
    <w:qFormat/>
    <w:uiPriority w:val="0"/>
    <w:rPr>
      <w:rFonts w:ascii="Times New Roman" w:hAnsi="Times New Roman" w:eastAsia="宋体" w:cs="Times New Roman"/>
      <w:b/>
      <w:bCs/>
      <w:szCs w:val="24"/>
    </w:rPr>
  </w:style>
  <w:style w:type="character" w:customStyle="1" w:styleId="237">
    <w:name w:val="Heading 5 Char"/>
    <w:autoRedefine/>
    <w:qFormat/>
    <w:uiPriority w:val="0"/>
    <w:rPr>
      <w:rFonts w:eastAsia="宋体"/>
      <w:b/>
      <w:bCs/>
      <w:kern w:val="2"/>
      <w:sz w:val="28"/>
      <w:szCs w:val="28"/>
      <w:lang w:val="en-US" w:eastAsia="zh-CN" w:bidi="ar-SA"/>
    </w:rPr>
  </w:style>
  <w:style w:type="character" w:customStyle="1" w:styleId="238">
    <w:name w:val="Char Char181"/>
    <w:autoRedefine/>
    <w:qFormat/>
    <w:uiPriority w:val="0"/>
    <w:rPr>
      <w:b/>
      <w:bCs/>
      <w:kern w:val="44"/>
      <w:sz w:val="44"/>
      <w:szCs w:val="44"/>
    </w:rPr>
  </w:style>
  <w:style w:type="character" w:customStyle="1" w:styleId="239">
    <w:name w:val="标题 1 Char1"/>
    <w:autoRedefine/>
    <w:qFormat/>
    <w:uiPriority w:val="0"/>
    <w:rPr>
      <w:rFonts w:ascii="Calibri" w:hAnsi="Calibri" w:eastAsia="宋体" w:cs="Arial"/>
      <w:b/>
      <w:kern w:val="44"/>
      <w:sz w:val="44"/>
      <w:szCs w:val="20"/>
    </w:rPr>
  </w:style>
  <w:style w:type="character" w:customStyle="1" w:styleId="240">
    <w:name w:val="样式 标题 3h3section:3Level 3 HeadH3level_3PIM 33rd level3H... Char"/>
    <w:autoRedefine/>
    <w:qFormat/>
    <w:uiPriority w:val="0"/>
    <w:rPr>
      <w:b/>
      <w:sz w:val="20"/>
    </w:rPr>
  </w:style>
  <w:style w:type="character" w:customStyle="1" w:styleId="241">
    <w:name w:val="Body Text Indent 2 Char"/>
    <w:autoRedefine/>
    <w:qFormat/>
    <w:uiPriority w:val="0"/>
    <w:rPr>
      <w:rFonts w:eastAsia="宋体"/>
      <w:kern w:val="2"/>
      <w:sz w:val="21"/>
      <w:szCs w:val="24"/>
      <w:lang w:val="en-US" w:eastAsia="zh-CN" w:bidi="ar-SA"/>
    </w:rPr>
  </w:style>
  <w:style w:type="character" w:customStyle="1" w:styleId="242">
    <w:name w:val="标题 2 Char1"/>
    <w:autoRedefine/>
    <w:qFormat/>
    <w:uiPriority w:val="0"/>
    <w:rPr>
      <w:rFonts w:ascii="Arial" w:hAnsi="Arial" w:eastAsia="黑体" w:cs="Calibri"/>
      <w:b/>
      <w:kern w:val="0"/>
      <w:sz w:val="32"/>
      <w:szCs w:val="20"/>
    </w:rPr>
  </w:style>
  <w:style w:type="character" w:customStyle="1" w:styleId="243">
    <w:name w:val="Char Char3"/>
    <w:autoRedefine/>
    <w:qFormat/>
    <w:uiPriority w:val="0"/>
    <w:rPr>
      <w:sz w:val="20"/>
    </w:rPr>
  </w:style>
  <w:style w:type="character" w:customStyle="1" w:styleId="244">
    <w:name w:val="样式 标题 1 + (中文) 黑体 小二 非加粗 Char"/>
    <w:link w:val="245"/>
    <w:autoRedefine/>
    <w:qFormat/>
    <w:uiPriority w:val="0"/>
    <w:rPr>
      <w:rFonts w:eastAsia="黑体"/>
      <w:kern w:val="44"/>
      <w:sz w:val="36"/>
      <w:szCs w:val="44"/>
    </w:rPr>
  </w:style>
  <w:style w:type="paragraph" w:customStyle="1" w:styleId="245">
    <w:name w:val="样式 标题 1 + (中文) 黑体 小二 非加粗"/>
    <w:basedOn w:val="3"/>
    <w:link w:val="244"/>
    <w:autoRedefine/>
    <w:qFormat/>
    <w:uiPriority w:val="0"/>
    <w:pPr>
      <w:spacing w:line="576" w:lineRule="auto"/>
      <w:jc w:val="center"/>
    </w:pPr>
    <w:rPr>
      <w:rFonts w:eastAsia="黑体"/>
      <w:b w:val="0"/>
      <w:bCs w:val="0"/>
      <w:sz w:val="36"/>
    </w:rPr>
  </w:style>
  <w:style w:type="paragraph" w:customStyle="1" w:styleId="246">
    <w:name w:val="正文1"/>
    <w:next w:val="247"/>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247">
    <w:name w:val="Char"/>
    <w:basedOn w:val="1"/>
    <w:autoRedefine/>
    <w:qFormat/>
    <w:uiPriority w:val="0"/>
    <w:pPr>
      <w:widowControl/>
      <w:spacing w:after="160" w:line="240" w:lineRule="exact"/>
      <w:jc w:val="left"/>
    </w:pPr>
  </w:style>
  <w:style w:type="paragraph" w:customStyle="1" w:styleId="248">
    <w:name w:val="样式 (中文) 黑体 小二 加粗 居中 行距: 1.5 倍行距"/>
    <w:basedOn w:val="3"/>
    <w:next w:val="249"/>
    <w:autoRedefine/>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9">
    <w:name w:val="样式6"/>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25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1">
    <w:name w:val="xl162"/>
    <w:basedOn w:val="1"/>
    <w:next w:val="1"/>
    <w:autoRedefine/>
    <w:qFormat/>
    <w:uiPriority w:val="0"/>
    <w:pPr>
      <w:widowControl/>
      <w:spacing w:before="280" w:after="280"/>
    </w:pPr>
    <w:rPr>
      <w:rFonts w:ascii="宋体" w:hAnsi="宋体" w:cs="宋体"/>
      <w:color w:val="000000"/>
      <w:kern w:val="0"/>
      <w:sz w:val="18"/>
      <w:szCs w:val="20"/>
    </w:rPr>
  </w:style>
  <w:style w:type="paragraph" w:customStyle="1" w:styleId="252">
    <w:name w:val="xl139"/>
    <w:basedOn w:val="1"/>
    <w:next w:val="253"/>
    <w:autoRedefine/>
    <w:qFormat/>
    <w:uiPriority w:val="0"/>
    <w:pPr>
      <w:widowControl/>
      <w:spacing w:before="280" w:after="280"/>
    </w:pPr>
    <w:rPr>
      <w:rFonts w:ascii="宋体" w:hAnsi="宋体" w:cs="宋体"/>
      <w:kern w:val="0"/>
      <w:sz w:val="20"/>
      <w:szCs w:val="20"/>
    </w:rPr>
  </w:style>
  <w:style w:type="paragraph" w:customStyle="1" w:styleId="253">
    <w:name w:val="xl134"/>
    <w:basedOn w:val="1"/>
    <w:next w:val="254"/>
    <w:autoRedefine/>
    <w:qFormat/>
    <w:uiPriority w:val="0"/>
    <w:pPr>
      <w:widowControl/>
      <w:spacing w:before="280" w:after="280"/>
      <w:jc w:val="center"/>
    </w:pPr>
    <w:rPr>
      <w:rFonts w:ascii="宋体" w:hAnsi="宋体" w:cs="宋体"/>
      <w:kern w:val="0"/>
      <w:sz w:val="20"/>
      <w:szCs w:val="20"/>
    </w:rPr>
  </w:style>
  <w:style w:type="paragraph" w:customStyle="1" w:styleId="254">
    <w:name w:val="xl164"/>
    <w:basedOn w:val="1"/>
    <w:next w:val="255"/>
    <w:autoRedefine/>
    <w:qFormat/>
    <w:uiPriority w:val="0"/>
    <w:pPr>
      <w:widowControl/>
      <w:spacing w:before="280" w:after="280"/>
      <w:jc w:val="center"/>
    </w:pPr>
    <w:rPr>
      <w:rFonts w:ascii="宋体" w:hAnsi="宋体" w:cs="宋体"/>
      <w:color w:val="000000"/>
      <w:kern w:val="0"/>
      <w:sz w:val="20"/>
      <w:szCs w:val="20"/>
    </w:rPr>
  </w:style>
  <w:style w:type="paragraph" w:customStyle="1" w:styleId="255">
    <w:name w:val="_Style 16"/>
    <w:basedOn w:val="1"/>
    <w:next w:val="256"/>
    <w:autoRedefine/>
    <w:qFormat/>
    <w:uiPriority w:val="0"/>
    <w:pPr>
      <w:widowControl/>
      <w:spacing w:line="400" w:lineRule="exact"/>
      <w:jc w:val="center"/>
    </w:pPr>
    <w:rPr>
      <w:rFonts w:hAnsi="宋体" w:cs="宋体"/>
      <w:kern w:val="0"/>
      <w:szCs w:val="20"/>
    </w:rPr>
  </w:style>
  <w:style w:type="paragraph" w:customStyle="1" w:styleId="256">
    <w:name w:val="xl142"/>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257">
    <w:name w:val="正文段"/>
    <w:basedOn w:val="1"/>
    <w:next w:val="258"/>
    <w:autoRedefine/>
    <w:qFormat/>
    <w:uiPriority w:val="0"/>
    <w:pPr>
      <w:spacing w:after="240" w:line="312" w:lineRule="atLeast"/>
      <w:ind w:firstLine="425"/>
    </w:pPr>
    <w:rPr>
      <w:rFonts w:hAnsi="宋体" w:cs="宋体"/>
      <w:kern w:val="0"/>
      <w:sz w:val="24"/>
      <w:szCs w:val="20"/>
    </w:rPr>
  </w:style>
  <w:style w:type="paragraph" w:customStyle="1" w:styleId="258">
    <w:name w:val="列出段落1"/>
    <w:basedOn w:val="1"/>
    <w:autoRedefine/>
    <w:qFormat/>
    <w:uiPriority w:val="0"/>
    <w:pPr>
      <w:ind w:firstLine="420" w:firstLineChars="200"/>
    </w:pPr>
    <w:rPr>
      <w:rFonts w:ascii="Calibri" w:hAnsi="Calibri"/>
      <w:szCs w:val="22"/>
    </w:rPr>
  </w:style>
  <w:style w:type="paragraph" w:customStyle="1" w:styleId="25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60">
    <w:name w:val="正文_1"/>
    <w:autoRedefine/>
    <w:qFormat/>
    <w:uiPriority w:val="0"/>
    <w:rPr>
      <w:rFonts w:ascii="Times New Roman" w:hAnsi="Times New Roman" w:eastAsia="宋体" w:cs="Times New Roman"/>
      <w:sz w:val="21"/>
      <w:szCs w:val="22"/>
      <w:lang w:val="en-US" w:eastAsia="zh-CN" w:bidi="ar-SA"/>
    </w:rPr>
  </w:style>
  <w:style w:type="paragraph" w:customStyle="1" w:styleId="261">
    <w:name w:val="xl154"/>
    <w:basedOn w:val="1"/>
    <w:next w:val="262"/>
    <w:autoRedefine/>
    <w:qFormat/>
    <w:uiPriority w:val="0"/>
    <w:pPr>
      <w:widowControl/>
      <w:shd w:val="clear" w:color="000000" w:fill="C0C0C0"/>
      <w:spacing w:before="280" w:after="280"/>
    </w:pPr>
    <w:rPr>
      <w:rFonts w:ascii="宋体" w:hAnsi="宋体" w:cs="宋体"/>
      <w:kern w:val="0"/>
      <w:sz w:val="20"/>
      <w:szCs w:val="20"/>
    </w:rPr>
  </w:style>
  <w:style w:type="paragraph" w:customStyle="1" w:styleId="262">
    <w:name w:val="样式3"/>
    <w:basedOn w:val="4"/>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263">
    <w:name w:val="样式10"/>
    <w:next w:val="264"/>
    <w:autoRedefine/>
    <w:qFormat/>
    <w:uiPriority w:val="0"/>
    <w:pPr>
      <w:widowControl w:val="0"/>
      <w:jc w:val="center"/>
    </w:pPr>
    <w:rPr>
      <w:rFonts w:ascii="Times New Roman" w:hAnsi="宋体" w:eastAsia="宋体" w:cs="宋体"/>
      <w:sz w:val="18"/>
      <w:lang w:val="en-US" w:eastAsia="zh-CN" w:bidi="ar-SA"/>
    </w:rPr>
  </w:style>
  <w:style w:type="paragraph" w:customStyle="1" w:styleId="264">
    <w:name w:val="Char Char Char Char Char Char Char Char Char Char"/>
    <w:basedOn w:val="1"/>
    <w:next w:val="24"/>
    <w:autoRedefine/>
    <w:qFormat/>
    <w:uiPriority w:val="0"/>
    <w:pPr>
      <w:widowControl/>
      <w:spacing w:line="400" w:lineRule="exact"/>
      <w:jc w:val="center"/>
    </w:pPr>
    <w:rPr>
      <w:rFonts w:ascii="Verdana" w:hAnsi="宋体" w:cs="宋体"/>
      <w:kern w:val="0"/>
      <w:szCs w:val="20"/>
    </w:rPr>
  </w:style>
  <w:style w:type="paragraph" w:customStyle="1" w:styleId="265">
    <w:name w:val="标题 4_0"/>
    <w:basedOn w:val="27"/>
    <w:next w:val="27"/>
    <w:autoRedefine/>
    <w:qFormat/>
    <w:uiPriority w:val="0"/>
    <w:pPr>
      <w:keepNext/>
      <w:keepLines/>
      <w:spacing w:before="280" w:after="290" w:line="372" w:lineRule="auto"/>
      <w:outlineLvl w:val="3"/>
    </w:pPr>
    <w:rPr>
      <w:rFonts w:ascii="Cambria" w:hAnsi="Cambria"/>
      <w:b/>
      <w:bCs/>
      <w:sz w:val="28"/>
      <w:szCs w:val="28"/>
    </w:rPr>
  </w:style>
  <w:style w:type="paragraph" w:customStyle="1" w:styleId="266">
    <w:name w:val="Char11"/>
    <w:basedOn w:val="1"/>
    <w:next w:val="267"/>
    <w:autoRedefine/>
    <w:qFormat/>
    <w:uiPriority w:val="0"/>
    <w:pPr>
      <w:widowControl/>
      <w:spacing w:line="400" w:lineRule="exact"/>
      <w:jc w:val="center"/>
    </w:pPr>
    <w:rPr>
      <w:rFonts w:hAnsi="宋体" w:cs="宋体"/>
      <w:kern w:val="0"/>
      <w:szCs w:val="20"/>
    </w:rPr>
  </w:style>
  <w:style w:type="paragraph" w:customStyle="1" w:styleId="267">
    <w:name w:val="TOC 51"/>
    <w:next w:val="1"/>
    <w:autoRedefine/>
    <w:qFormat/>
    <w:uiPriority w:val="0"/>
    <w:pPr>
      <w:wordWrap w:val="0"/>
      <w:ind w:left="1700"/>
      <w:jc w:val="both"/>
    </w:pPr>
    <w:rPr>
      <w:rFonts w:ascii="宋体" w:hAnsi="宋体" w:eastAsia="宋体" w:cs="宋体"/>
      <w:sz w:val="21"/>
      <w:lang w:val="en-US" w:eastAsia="zh-CN" w:bidi="ar-SA"/>
    </w:rPr>
  </w:style>
  <w:style w:type="paragraph" w:customStyle="1" w:styleId="268">
    <w:name w:val="Char Char11"/>
    <w:basedOn w:val="1"/>
    <w:autoRedefine/>
    <w:qFormat/>
    <w:uiPriority w:val="0"/>
  </w:style>
  <w:style w:type="paragraph" w:customStyle="1" w:styleId="269">
    <w:name w:val="xl165"/>
    <w:basedOn w:val="1"/>
    <w:next w:val="270"/>
    <w:autoRedefine/>
    <w:qFormat/>
    <w:uiPriority w:val="0"/>
    <w:pPr>
      <w:widowControl/>
      <w:spacing w:before="280" w:after="280"/>
    </w:pPr>
    <w:rPr>
      <w:rFonts w:ascii="宋体" w:hAnsi="宋体" w:cs="宋体"/>
      <w:kern w:val="0"/>
      <w:sz w:val="18"/>
      <w:szCs w:val="20"/>
    </w:rPr>
  </w:style>
  <w:style w:type="paragraph" w:customStyle="1" w:styleId="27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1"/>
      <w:szCs w:val="20"/>
    </w:rPr>
  </w:style>
  <w:style w:type="paragraph" w:customStyle="1" w:styleId="271">
    <w:name w:val="Char Char Char"/>
    <w:basedOn w:val="1"/>
    <w:next w:val="272"/>
    <w:autoRedefine/>
    <w:qFormat/>
    <w:uiPriority w:val="0"/>
    <w:pPr>
      <w:ind w:left="420" w:hanging="420"/>
    </w:pPr>
    <w:rPr>
      <w:rFonts w:ascii="Tahoma" w:hAnsi="宋体" w:cs="宋体"/>
      <w:kern w:val="0"/>
      <w:sz w:val="24"/>
      <w:szCs w:val="20"/>
    </w:rPr>
  </w:style>
  <w:style w:type="paragraph" w:customStyle="1" w:styleId="272">
    <w:name w:val="xl144"/>
    <w:basedOn w:val="1"/>
    <w:next w:val="273"/>
    <w:autoRedefine/>
    <w:qFormat/>
    <w:uiPriority w:val="0"/>
    <w:pPr>
      <w:widowControl/>
      <w:spacing w:before="280" w:after="280"/>
      <w:jc w:val="center"/>
    </w:pPr>
    <w:rPr>
      <w:rFonts w:ascii="宋体" w:hAnsi="宋体" w:cs="宋体"/>
      <w:kern w:val="0"/>
      <w:sz w:val="20"/>
      <w:szCs w:val="20"/>
    </w:rPr>
  </w:style>
  <w:style w:type="paragraph" w:customStyle="1" w:styleId="273">
    <w:name w:val="font11"/>
    <w:basedOn w:val="1"/>
    <w:next w:val="274"/>
    <w:autoRedefine/>
    <w:qFormat/>
    <w:uiPriority w:val="0"/>
    <w:pPr>
      <w:widowControl/>
      <w:spacing w:before="280" w:after="280"/>
    </w:pPr>
    <w:rPr>
      <w:rFonts w:ascii="宋体" w:hAnsi="宋体" w:cs="宋体"/>
      <w:kern w:val="0"/>
      <w:sz w:val="18"/>
      <w:szCs w:val="20"/>
    </w:rPr>
  </w:style>
  <w:style w:type="paragraph" w:customStyle="1" w:styleId="274">
    <w:name w:val="msoquote"/>
    <w:basedOn w:val="1"/>
    <w:next w:val="1"/>
    <w:autoRedefine/>
    <w:qFormat/>
    <w:uiPriority w:val="0"/>
    <w:rPr>
      <w:rFonts w:hAnsi="宋体" w:cs="宋体"/>
      <w:i/>
      <w:color w:val="000000"/>
      <w:kern w:val="0"/>
      <w:szCs w:val="20"/>
    </w:rPr>
  </w:style>
  <w:style w:type="paragraph" w:customStyle="1" w:styleId="275">
    <w:name w:val="xl132"/>
    <w:basedOn w:val="1"/>
    <w:next w:val="1"/>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6">
    <w:name w:val="列出段落2"/>
    <w:basedOn w:val="1"/>
    <w:autoRedefine/>
    <w:qFormat/>
    <w:uiPriority w:val="0"/>
    <w:pPr>
      <w:ind w:firstLine="420" w:firstLineChars="200"/>
    </w:pPr>
    <w:rPr>
      <w:rFonts w:ascii="Calibri" w:hAnsi="Calibri"/>
      <w:szCs w:val="20"/>
    </w:rPr>
  </w:style>
  <w:style w:type="paragraph" w:customStyle="1" w:styleId="277">
    <w:name w:val="Char Char Char1 Char2"/>
    <w:basedOn w:val="1"/>
    <w:autoRedefine/>
    <w:qFormat/>
    <w:uiPriority w:val="0"/>
    <w:rPr>
      <w:szCs w:val="20"/>
    </w:rPr>
  </w:style>
  <w:style w:type="paragraph" w:customStyle="1" w:styleId="278">
    <w:name w:val="样式 标题 1 + 居中"/>
    <w:basedOn w:val="3"/>
    <w:next w:val="30"/>
    <w:autoRedefine/>
    <w:qFormat/>
    <w:uiPriority w:val="0"/>
    <w:pPr>
      <w:keepNext w:val="0"/>
      <w:keepLines w:val="0"/>
      <w:spacing w:line="576" w:lineRule="auto"/>
      <w:jc w:val="center"/>
    </w:pPr>
    <w:rPr>
      <w:rFonts w:hAnsi="宋体" w:cs="宋体"/>
      <w:bCs w:val="0"/>
      <w:kern w:val="0"/>
      <w:sz w:val="32"/>
      <w:szCs w:val="20"/>
    </w:rPr>
  </w:style>
  <w:style w:type="paragraph" w:customStyle="1" w:styleId="279">
    <w:name w:val="Char Char Char Char Char Char Char Char Char Char Char Char Char Char Char"/>
    <w:basedOn w:val="1"/>
    <w:next w:val="280"/>
    <w:autoRedefine/>
    <w:qFormat/>
    <w:uiPriority w:val="0"/>
    <w:pPr>
      <w:widowControl/>
      <w:spacing w:line="400" w:lineRule="exact"/>
      <w:jc w:val="center"/>
    </w:pPr>
    <w:rPr>
      <w:rFonts w:ascii="Verdana" w:hAnsi="宋体" w:cs="宋体"/>
      <w:kern w:val="0"/>
      <w:szCs w:val="20"/>
    </w:rPr>
  </w:style>
  <w:style w:type="paragraph" w:customStyle="1" w:styleId="280">
    <w:name w:val="Char1"/>
    <w:basedOn w:val="1"/>
    <w:autoRedefine/>
    <w:qFormat/>
    <w:uiPriority w:val="0"/>
    <w:pPr>
      <w:widowControl/>
      <w:spacing w:after="160" w:line="240" w:lineRule="exact"/>
      <w:jc w:val="left"/>
    </w:pPr>
  </w:style>
  <w:style w:type="paragraph" w:customStyle="1" w:styleId="281">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2">
    <w:name w:val="font6"/>
    <w:basedOn w:val="1"/>
    <w:next w:val="283"/>
    <w:autoRedefine/>
    <w:qFormat/>
    <w:uiPriority w:val="0"/>
    <w:pPr>
      <w:widowControl/>
      <w:spacing w:before="280" w:after="280"/>
    </w:pPr>
    <w:rPr>
      <w:rFonts w:ascii="宋体" w:hAnsi="宋体" w:cs="宋体"/>
      <w:kern w:val="0"/>
      <w:sz w:val="20"/>
      <w:szCs w:val="20"/>
    </w:rPr>
  </w:style>
  <w:style w:type="paragraph" w:customStyle="1" w:styleId="283">
    <w:name w:val="reader-word-layer reader-word-s1-5"/>
    <w:basedOn w:val="1"/>
    <w:next w:val="16"/>
    <w:autoRedefine/>
    <w:qFormat/>
    <w:uiPriority w:val="0"/>
    <w:pPr>
      <w:widowControl/>
      <w:spacing w:before="280" w:after="280"/>
    </w:pPr>
    <w:rPr>
      <w:rFonts w:ascii="宋体" w:hAnsi="宋体" w:cs="宋体"/>
      <w:kern w:val="0"/>
      <w:sz w:val="24"/>
      <w:szCs w:val="20"/>
    </w:rPr>
  </w:style>
  <w:style w:type="paragraph" w:customStyle="1" w:styleId="284">
    <w:name w:val="xl138"/>
    <w:basedOn w:val="1"/>
    <w:next w:val="285"/>
    <w:autoRedefine/>
    <w:qFormat/>
    <w:uiPriority w:val="0"/>
    <w:pPr>
      <w:widowControl/>
      <w:spacing w:before="280" w:after="280"/>
      <w:jc w:val="center"/>
    </w:pPr>
    <w:rPr>
      <w:rFonts w:ascii="宋体" w:hAnsi="宋体" w:cs="宋体"/>
      <w:kern w:val="0"/>
      <w:sz w:val="24"/>
      <w:szCs w:val="20"/>
    </w:rPr>
  </w:style>
  <w:style w:type="paragraph" w:customStyle="1" w:styleId="285">
    <w:name w:val="Paragraph P1&amp;2"/>
    <w:basedOn w:val="1"/>
    <w:next w:val="286"/>
    <w:autoRedefine/>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6">
    <w:name w:val="xl169"/>
    <w:basedOn w:val="1"/>
    <w:next w:val="287"/>
    <w:autoRedefine/>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7">
    <w:name w:val="Char Char1 Char Char Char Char Char Char Char Char Char Char Char Char Char Char"/>
    <w:basedOn w:val="1"/>
    <w:next w:val="288"/>
    <w:autoRedefine/>
    <w:qFormat/>
    <w:uiPriority w:val="0"/>
    <w:pPr>
      <w:spacing w:after="160" w:line="240" w:lineRule="exact"/>
    </w:pPr>
    <w:rPr>
      <w:rFonts w:hAnsi="宋体" w:cs="宋体"/>
      <w:kern w:val="0"/>
      <w:szCs w:val="20"/>
    </w:rPr>
  </w:style>
  <w:style w:type="paragraph" w:customStyle="1" w:styleId="288">
    <w:name w:val="xl170"/>
    <w:basedOn w:val="1"/>
    <w:next w:val="289"/>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9">
    <w:name w:val="reader-word-layer reader-word-s1-9"/>
    <w:basedOn w:val="1"/>
    <w:next w:val="42"/>
    <w:autoRedefine/>
    <w:qFormat/>
    <w:uiPriority w:val="0"/>
    <w:pPr>
      <w:widowControl/>
      <w:spacing w:before="280" w:after="280"/>
    </w:pPr>
    <w:rPr>
      <w:rFonts w:ascii="宋体" w:hAnsi="宋体" w:cs="宋体"/>
      <w:kern w:val="0"/>
      <w:sz w:val="24"/>
      <w:szCs w:val="20"/>
    </w:rPr>
  </w:style>
  <w:style w:type="paragraph" w:customStyle="1" w:styleId="290">
    <w:name w:val="xl145"/>
    <w:basedOn w:val="1"/>
    <w:next w:val="291"/>
    <w:autoRedefine/>
    <w:qFormat/>
    <w:uiPriority w:val="0"/>
    <w:pPr>
      <w:widowControl/>
      <w:spacing w:before="280" w:after="280"/>
      <w:jc w:val="center"/>
    </w:pPr>
    <w:rPr>
      <w:rFonts w:ascii="宋体" w:hAnsi="宋体" w:cs="宋体"/>
      <w:color w:val="000000"/>
      <w:kern w:val="0"/>
      <w:sz w:val="20"/>
      <w:szCs w:val="20"/>
    </w:rPr>
  </w:style>
  <w:style w:type="paragraph" w:customStyle="1" w:styleId="291">
    <w:name w:val="Char Char Char Char Char Char Char Char Char Char Char Char Char Char Char Char Char Char Char"/>
    <w:basedOn w:val="1"/>
    <w:next w:val="1"/>
    <w:autoRedefine/>
    <w:qFormat/>
    <w:uiPriority w:val="0"/>
    <w:pPr>
      <w:widowControl/>
      <w:spacing w:line="400" w:lineRule="exact"/>
      <w:jc w:val="center"/>
    </w:pPr>
    <w:rPr>
      <w:rFonts w:ascii="Verdana" w:hAnsi="宋体" w:cs="宋体"/>
      <w:kern w:val="0"/>
      <w:szCs w:val="20"/>
    </w:rPr>
  </w:style>
  <w:style w:type="paragraph" w:customStyle="1" w:styleId="292">
    <w:name w:val="Address"/>
    <w:basedOn w:val="1"/>
    <w:next w:val="1"/>
    <w:autoRedefine/>
    <w:qFormat/>
    <w:uiPriority w:val="0"/>
    <w:pPr>
      <w:autoSpaceDE w:val="0"/>
      <w:autoSpaceDN w:val="0"/>
      <w:adjustRightInd w:val="0"/>
      <w:jc w:val="left"/>
    </w:pPr>
    <w:rPr>
      <w:rFonts w:ascii="@时尚中黑简体"/>
      <w:i/>
      <w:kern w:val="0"/>
      <w:sz w:val="24"/>
      <w:szCs w:val="20"/>
    </w:rPr>
  </w:style>
  <w:style w:type="paragraph" w:customStyle="1" w:styleId="293">
    <w:name w:val="列表1）"/>
    <w:next w:val="77"/>
    <w:autoRedefine/>
    <w:qFormat/>
    <w:uiPriority w:val="0"/>
    <w:pPr>
      <w:widowControl w:val="0"/>
      <w:spacing w:before="10"/>
      <w:jc w:val="both"/>
    </w:pPr>
    <w:rPr>
      <w:rFonts w:ascii="Verdana" w:hAnsi="宋体" w:eastAsia="宋体" w:cs="宋体"/>
      <w:sz w:val="21"/>
      <w:lang w:val="en-US" w:eastAsia="zh-CN" w:bidi="ar-SA"/>
    </w:rPr>
  </w:style>
  <w:style w:type="paragraph" w:customStyle="1" w:styleId="294">
    <w:name w:val="xl171"/>
    <w:basedOn w:val="1"/>
    <w:next w:val="295"/>
    <w:autoRedefine/>
    <w:qFormat/>
    <w:uiPriority w:val="0"/>
    <w:pPr>
      <w:widowControl/>
      <w:spacing w:before="280" w:after="280"/>
      <w:jc w:val="center"/>
    </w:pPr>
    <w:rPr>
      <w:rFonts w:ascii="华文中宋" w:hAnsi="宋体" w:eastAsia="华文中宋" w:cs="宋体"/>
      <w:kern w:val="0"/>
      <w:sz w:val="24"/>
      <w:szCs w:val="20"/>
    </w:rPr>
  </w:style>
  <w:style w:type="paragraph" w:customStyle="1" w:styleId="295">
    <w:name w:val="style1"/>
    <w:basedOn w:val="1"/>
    <w:next w:val="296"/>
    <w:autoRedefine/>
    <w:qFormat/>
    <w:uiPriority w:val="0"/>
    <w:pPr>
      <w:widowControl/>
      <w:spacing w:before="280" w:after="280"/>
    </w:pPr>
    <w:rPr>
      <w:rFonts w:ascii="宋体" w:hAnsi="宋体" w:cs="宋体"/>
      <w:kern w:val="0"/>
      <w:sz w:val="24"/>
      <w:szCs w:val="20"/>
    </w:rPr>
  </w:style>
  <w:style w:type="paragraph" w:customStyle="1" w:styleId="296">
    <w:name w:val="百姓X"/>
    <w:basedOn w:val="1"/>
    <w:next w:val="297"/>
    <w:autoRedefine/>
    <w:qFormat/>
    <w:uiPriority w:val="0"/>
    <w:pPr>
      <w:spacing w:before="120" w:after="120" w:line="360" w:lineRule="auto"/>
      <w:ind w:firstLine="540"/>
    </w:pPr>
    <w:rPr>
      <w:rFonts w:ascii="Arial Narrow" w:hAnsi="宋体" w:cs="宋体"/>
      <w:kern w:val="0"/>
      <w:sz w:val="24"/>
      <w:szCs w:val="20"/>
    </w:rPr>
  </w:style>
  <w:style w:type="paragraph" w:customStyle="1" w:styleId="297">
    <w:name w:val="TOC 91"/>
    <w:next w:val="1"/>
    <w:autoRedefine/>
    <w:qFormat/>
    <w:uiPriority w:val="0"/>
    <w:pPr>
      <w:wordWrap w:val="0"/>
      <w:ind w:left="3400"/>
      <w:jc w:val="both"/>
    </w:pPr>
    <w:rPr>
      <w:rFonts w:ascii="宋体" w:hAnsi="宋体" w:eastAsia="宋体" w:cs="宋体"/>
      <w:sz w:val="21"/>
      <w:lang w:val="en-US" w:eastAsia="zh-CN" w:bidi="ar-SA"/>
    </w:rPr>
  </w:style>
  <w:style w:type="paragraph" w:customStyle="1" w:styleId="298">
    <w:name w:val="Char Char2 Char Char Char Char1"/>
    <w:basedOn w:val="1"/>
    <w:autoRedefine/>
    <w:qFormat/>
    <w:uiPriority w:val="0"/>
    <w:rPr>
      <w:rFonts w:ascii="Tahoma" w:hAnsi="Tahoma"/>
      <w:sz w:val="24"/>
      <w:szCs w:val="20"/>
    </w:rPr>
  </w:style>
  <w:style w:type="paragraph" w:customStyle="1" w:styleId="299">
    <w:name w:val="标题 3_0"/>
    <w:basedOn w:val="27"/>
    <w:next w:val="27"/>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00">
    <w:name w:val="font10"/>
    <w:basedOn w:val="1"/>
    <w:next w:val="81"/>
    <w:autoRedefine/>
    <w:qFormat/>
    <w:uiPriority w:val="0"/>
    <w:pPr>
      <w:widowControl/>
      <w:spacing w:before="280" w:after="280"/>
    </w:pPr>
    <w:rPr>
      <w:rFonts w:ascii="宋体" w:hAnsi="宋体" w:cs="宋体"/>
      <w:kern w:val="0"/>
      <w:sz w:val="16"/>
      <w:szCs w:val="20"/>
    </w:rPr>
  </w:style>
  <w:style w:type="paragraph" w:customStyle="1" w:styleId="301">
    <w:name w:val="Char Char Char1 Char"/>
    <w:basedOn w:val="1"/>
    <w:next w:val="35"/>
    <w:autoRedefine/>
    <w:qFormat/>
    <w:uiPriority w:val="0"/>
    <w:rPr>
      <w:rFonts w:hAnsi="宋体" w:cs="宋体"/>
      <w:kern w:val="0"/>
      <w:szCs w:val="20"/>
    </w:rPr>
  </w:style>
  <w:style w:type="paragraph" w:customStyle="1" w:styleId="302">
    <w:name w:val="普通(网站)1"/>
    <w:basedOn w:val="1"/>
    <w:next w:val="1"/>
    <w:autoRedefine/>
    <w:qFormat/>
    <w:uiPriority w:val="0"/>
    <w:pPr>
      <w:widowControl/>
      <w:wordWrap w:val="0"/>
    </w:pPr>
    <w:rPr>
      <w:rFonts w:hAnsi="宋体" w:eastAsia="Times New Roman" w:cs="宋体"/>
      <w:kern w:val="0"/>
      <w:sz w:val="24"/>
      <w:szCs w:val="20"/>
    </w:rPr>
  </w:style>
  <w:style w:type="paragraph" w:customStyle="1" w:styleId="303">
    <w:name w:val="样式 首行缩进:  2 字符"/>
    <w:basedOn w:val="1"/>
    <w:next w:val="304"/>
    <w:autoRedefine/>
    <w:qFormat/>
    <w:uiPriority w:val="0"/>
    <w:pPr>
      <w:spacing w:line="360" w:lineRule="auto"/>
      <w:ind w:firstLine="480"/>
    </w:pPr>
    <w:rPr>
      <w:rFonts w:ascii="Arial" w:hAnsi="宋体" w:cs="宋体"/>
      <w:kern w:val="0"/>
      <w:sz w:val="24"/>
      <w:szCs w:val="20"/>
    </w:rPr>
  </w:style>
  <w:style w:type="paragraph" w:customStyle="1" w:styleId="304">
    <w:name w:val="paragraphindent"/>
    <w:basedOn w:val="1"/>
    <w:next w:val="305"/>
    <w:autoRedefine/>
    <w:qFormat/>
    <w:uiPriority w:val="0"/>
    <w:pPr>
      <w:widowControl/>
      <w:spacing w:before="280" w:after="280"/>
    </w:pPr>
    <w:rPr>
      <w:rFonts w:ascii="宋体" w:hAnsi="宋体" w:cs="宋体"/>
      <w:kern w:val="0"/>
      <w:sz w:val="24"/>
      <w:szCs w:val="20"/>
    </w:rPr>
  </w:style>
  <w:style w:type="paragraph" w:customStyle="1" w:styleId="305">
    <w:name w:val="列出段落11"/>
    <w:basedOn w:val="1"/>
    <w:next w:val="14"/>
    <w:autoRedefine/>
    <w:qFormat/>
    <w:uiPriority w:val="0"/>
    <w:pPr>
      <w:ind w:firstLine="420"/>
    </w:pPr>
    <w:rPr>
      <w:rFonts w:ascii="Calibri" w:hAnsi="宋体" w:cs="宋体"/>
      <w:kern w:val="0"/>
      <w:szCs w:val="20"/>
    </w:rPr>
  </w:style>
  <w:style w:type="paragraph" w:customStyle="1" w:styleId="306">
    <w:name w:val="Char Char1 Char Char Char1"/>
    <w:basedOn w:val="14"/>
    <w:autoRedefine/>
    <w:qFormat/>
    <w:uiPriority w:val="0"/>
    <w:rPr>
      <w:shd w:val="clear" w:color="auto" w:fill="auto"/>
    </w:rPr>
  </w:style>
  <w:style w:type="paragraph" w:customStyle="1" w:styleId="307">
    <w:name w:val="2-2ji"/>
    <w:basedOn w:val="2"/>
    <w:autoRedefine/>
    <w:qFormat/>
    <w:uiPriority w:val="0"/>
    <w:pPr>
      <w:spacing w:before="0" w:after="0" w:line="360" w:lineRule="auto"/>
      <w:jc w:val="center"/>
    </w:pPr>
    <w:rPr>
      <w:rFonts w:ascii="宋体" w:hAnsi="宋体" w:eastAsia="宋体"/>
      <w:sz w:val="36"/>
      <w:szCs w:val="24"/>
    </w:rPr>
  </w:style>
  <w:style w:type="paragraph" w:customStyle="1" w:styleId="308">
    <w:name w:val="xl159"/>
    <w:basedOn w:val="1"/>
    <w:next w:val="294"/>
    <w:autoRedefine/>
    <w:qFormat/>
    <w:uiPriority w:val="0"/>
    <w:pPr>
      <w:widowControl/>
      <w:spacing w:before="280" w:after="280"/>
    </w:pPr>
    <w:rPr>
      <w:rFonts w:ascii="宋体" w:hAnsi="宋体" w:cs="宋体"/>
      <w:b/>
      <w:kern w:val="0"/>
      <w:sz w:val="18"/>
      <w:szCs w:val="20"/>
    </w:rPr>
  </w:style>
  <w:style w:type="paragraph" w:customStyle="1" w:styleId="309">
    <w:name w:val="xl166"/>
    <w:basedOn w:val="1"/>
    <w:next w:val="1"/>
    <w:autoRedefine/>
    <w:qFormat/>
    <w:uiPriority w:val="0"/>
    <w:pPr>
      <w:widowControl/>
      <w:spacing w:before="280" w:after="280"/>
    </w:pPr>
    <w:rPr>
      <w:rFonts w:ascii="宋体" w:hAnsi="宋体" w:cs="宋体"/>
      <w:kern w:val="0"/>
      <w:sz w:val="24"/>
      <w:szCs w:val="20"/>
    </w:rPr>
  </w:style>
  <w:style w:type="paragraph" w:customStyle="1" w:styleId="310">
    <w:name w:val="xl153"/>
    <w:basedOn w:val="1"/>
    <w:next w:val="1"/>
    <w:autoRedefine/>
    <w:qFormat/>
    <w:uiPriority w:val="0"/>
    <w:pPr>
      <w:widowControl/>
      <w:shd w:val="clear" w:color="000000" w:fill="C0C0C0"/>
      <w:spacing w:before="280" w:after="280"/>
    </w:pPr>
    <w:rPr>
      <w:rFonts w:ascii="宋体" w:hAnsi="宋体" w:cs="宋体"/>
      <w:kern w:val="0"/>
      <w:sz w:val="20"/>
      <w:szCs w:val="20"/>
    </w:rPr>
  </w:style>
  <w:style w:type="paragraph" w:customStyle="1" w:styleId="311">
    <w:name w:val="Char2"/>
    <w:basedOn w:val="1"/>
    <w:autoRedefine/>
    <w:qFormat/>
    <w:uiPriority w:val="0"/>
    <w:pPr>
      <w:widowControl/>
      <w:spacing w:line="400" w:lineRule="exact"/>
      <w:jc w:val="center"/>
    </w:pPr>
  </w:style>
  <w:style w:type="paragraph" w:customStyle="1" w:styleId="312">
    <w:name w:val="_Style 10"/>
    <w:basedOn w:val="1"/>
    <w:next w:val="313"/>
    <w:autoRedefine/>
    <w:qFormat/>
    <w:uiPriority w:val="0"/>
    <w:pPr>
      <w:widowControl/>
      <w:spacing w:line="400" w:lineRule="exact"/>
      <w:jc w:val="center"/>
    </w:pPr>
    <w:rPr>
      <w:rFonts w:hAnsi="宋体" w:cs="宋体"/>
      <w:kern w:val="0"/>
      <w:szCs w:val="20"/>
    </w:rPr>
  </w:style>
  <w:style w:type="paragraph" w:customStyle="1" w:styleId="313">
    <w:name w:val="xl151"/>
    <w:basedOn w:val="1"/>
    <w:next w:val="314"/>
    <w:autoRedefine/>
    <w:qFormat/>
    <w:uiPriority w:val="0"/>
    <w:pPr>
      <w:widowControl/>
      <w:spacing w:before="280" w:after="280"/>
    </w:pPr>
    <w:rPr>
      <w:rFonts w:ascii="宋体" w:hAnsi="宋体" w:cs="宋体"/>
      <w:kern w:val="0"/>
      <w:sz w:val="24"/>
      <w:szCs w:val="20"/>
    </w:rPr>
  </w:style>
  <w:style w:type="paragraph" w:customStyle="1" w:styleId="314">
    <w:name w:val="p15"/>
    <w:basedOn w:val="1"/>
    <w:next w:val="315"/>
    <w:autoRedefine/>
    <w:qFormat/>
    <w:uiPriority w:val="0"/>
    <w:pPr>
      <w:widowControl/>
      <w:ind w:firstLine="420"/>
    </w:pPr>
    <w:rPr>
      <w:rFonts w:hAnsi="宋体" w:cs="宋体"/>
      <w:kern w:val="0"/>
      <w:szCs w:val="20"/>
    </w:rPr>
  </w:style>
  <w:style w:type="paragraph" w:customStyle="1" w:styleId="315">
    <w:name w:val="TOC Heading1"/>
    <w:next w:val="1"/>
    <w:autoRedefine/>
    <w:qFormat/>
    <w:uiPriority w:val="0"/>
    <w:pPr>
      <w:wordWrap w:val="0"/>
    </w:pPr>
    <w:rPr>
      <w:rFonts w:ascii="宋体" w:hAnsi="宋体" w:eastAsia="宋体" w:cs="宋体"/>
      <w:sz w:val="32"/>
      <w:lang w:val="en-US" w:eastAsia="zh-CN" w:bidi="ar-SA"/>
    </w:rPr>
  </w:style>
  <w:style w:type="paragraph" w:customStyle="1" w:styleId="316">
    <w:name w:val="xl130"/>
    <w:basedOn w:val="1"/>
    <w:next w:val="317"/>
    <w:autoRedefine/>
    <w:qFormat/>
    <w:uiPriority w:val="0"/>
    <w:pPr>
      <w:widowControl/>
      <w:spacing w:before="280" w:after="280"/>
    </w:pPr>
    <w:rPr>
      <w:rFonts w:ascii="宋体" w:hAnsi="宋体" w:cs="宋体"/>
      <w:kern w:val="0"/>
      <w:sz w:val="24"/>
      <w:szCs w:val="20"/>
    </w:rPr>
  </w:style>
  <w:style w:type="paragraph" w:customStyle="1" w:styleId="317">
    <w:name w:val="Char Char Char1 Char11"/>
    <w:basedOn w:val="1"/>
    <w:next w:val="318"/>
    <w:autoRedefine/>
    <w:qFormat/>
    <w:uiPriority w:val="0"/>
    <w:rPr>
      <w:rFonts w:hAnsi="宋体" w:cs="宋体"/>
      <w:kern w:val="0"/>
      <w:szCs w:val="20"/>
    </w:rPr>
  </w:style>
  <w:style w:type="paragraph" w:customStyle="1" w:styleId="318">
    <w:name w:val="prodsubtitle"/>
    <w:basedOn w:val="1"/>
    <w:next w:val="17"/>
    <w:autoRedefine/>
    <w:qFormat/>
    <w:uiPriority w:val="0"/>
    <w:pPr>
      <w:widowControl/>
    </w:pPr>
    <w:rPr>
      <w:rFonts w:ascii="宋体" w:hAnsi="宋体" w:cs="宋体"/>
      <w:kern w:val="0"/>
      <w:sz w:val="24"/>
      <w:szCs w:val="20"/>
    </w:rPr>
  </w:style>
  <w:style w:type="paragraph" w:customStyle="1" w:styleId="31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0">
    <w:name w:val="_Style 17"/>
    <w:basedOn w:val="1"/>
    <w:next w:val="275"/>
    <w:autoRedefine/>
    <w:qFormat/>
    <w:uiPriority w:val="0"/>
    <w:pPr>
      <w:widowControl/>
      <w:spacing w:line="400" w:lineRule="exact"/>
      <w:jc w:val="center"/>
    </w:pPr>
    <w:rPr>
      <w:rFonts w:hAnsi="宋体" w:cs="宋体"/>
      <w:kern w:val="0"/>
      <w:szCs w:val="20"/>
    </w:rPr>
  </w:style>
  <w:style w:type="paragraph" w:customStyle="1" w:styleId="321">
    <w:name w:val="Char Char Char 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322">
    <w:name w:val="pa-0"/>
    <w:basedOn w:val="1"/>
    <w:next w:val="323"/>
    <w:autoRedefine/>
    <w:qFormat/>
    <w:uiPriority w:val="0"/>
    <w:pPr>
      <w:widowControl/>
      <w:spacing w:line="240" w:lineRule="atLeast"/>
    </w:pPr>
    <w:rPr>
      <w:rFonts w:ascii="宋体" w:hAnsi="宋体" w:cs="宋体"/>
      <w:kern w:val="0"/>
      <w:sz w:val="24"/>
      <w:szCs w:val="20"/>
    </w:rPr>
  </w:style>
  <w:style w:type="paragraph" w:customStyle="1" w:styleId="323">
    <w:name w:val="标准正文"/>
    <w:basedOn w:val="1"/>
    <w:next w:val="324"/>
    <w:autoRedefine/>
    <w:qFormat/>
    <w:uiPriority w:val="0"/>
    <w:pPr>
      <w:spacing w:line="312" w:lineRule="auto"/>
      <w:ind w:firstLine="482"/>
    </w:pPr>
    <w:rPr>
      <w:rFonts w:hAnsi="宋体" w:cs="宋体"/>
      <w:kern w:val="0"/>
      <w:sz w:val="24"/>
      <w:szCs w:val="20"/>
    </w:rPr>
  </w:style>
  <w:style w:type="paragraph" w:customStyle="1" w:styleId="324">
    <w:name w:val="font5"/>
    <w:basedOn w:val="1"/>
    <w:next w:val="325"/>
    <w:autoRedefine/>
    <w:qFormat/>
    <w:uiPriority w:val="0"/>
    <w:pPr>
      <w:widowControl/>
      <w:spacing w:before="280" w:after="280"/>
    </w:pPr>
    <w:rPr>
      <w:rFonts w:ascii="宋体" w:hAnsi="宋体" w:cs="宋体"/>
      <w:kern w:val="0"/>
      <w:sz w:val="18"/>
      <w:szCs w:val="20"/>
    </w:rPr>
  </w:style>
  <w:style w:type="paragraph" w:customStyle="1" w:styleId="325">
    <w:name w:val="Char Char12"/>
    <w:basedOn w:val="1"/>
    <w:next w:val="326"/>
    <w:autoRedefine/>
    <w:qFormat/>
    <w:uiPriority w:val="0"/>
    <w:rPr>
      <w:rFonts w:hAnsi="宋体" w:cs="宋体"/>
      <w:kern w:val="0"/>
      <w:szCs w:val="20"/>
    </w:rPr>
  </w:style>
  <w:style w:type="paragraph" w:customStyle="1" w:styleId="326">
    <w:name w:val="xl149"/>
    <w:basedOn w:val="1"/>
    <w:next w:val="327"/>
    <w:autoRedefine/>
    <w:qFormat/>
    <w:uiPriority w:val="0"/>
    <w:pPr>
      <w:widowControl/>
      <w:spacing w:before="280" w:after="280"/>
    </w:pPr>
    <w:rPr>
      <w:rFonts w:ascii="宋体" w:hAnsi="宋体" w:cs="宋体"/>
      <w:kern w:val="0"/>
      <w:sz w:val="18"/>
      <w:szCs w:val="20"/>
    </w:rPr>
  </w:style>
  <w:style w:type="paragraph" w:customStyle="1" w:styleId="327">
    <w:name w:val="xl133"/>
    <w:basedOn w:val="1"/>
    <w:next w:val="328"/>
    <w:autoRedefine/>
    <w:qFormat/>
    <w:uiPriority w:val="0"/>
    <w:pPr>
      <w:widowControl/>
      <w:shd w:val="clear" w:color="000000" w:fill="C0C0C0"/>
      <w:spacing w:before="280" w:after="280"/>
    </w:pPr>
    <w:rPr>
      <w:rFonts w:ascii="宋体" w:hAnsi="宋体" w:cs="宋体"/>
      <w:kern w:val="0"/>
      <w:sz w:val="20"/>
      <w:szCs w:val="20"/>
    </w:rPr>
  </w:style>
  <w:style w:type="paragraph" w:customStyle="1" w:styleId="328">
    <w:name w:val="msointensequote"/>
    <w:basedOn w:val="1"/>
    <w:next w:val="1"/>
    <w:autoRedefine/>
    <w:qFormat/>
    <w:uiPriority w:val="0"/>
    <w:pPr>
      <w:spacing w:before="200" w:after="280"/>
      <w:ind w:left="936" w:right="936"/>
    </w:pPr>
    <w:rPr>
      <w:rFonts w:hAnsi="宋体" w:cs="宋体"/>
      <w:b/>
      <w:i/>
      <w:color w:val="4F81BD"/>
      <w:kern w:val="0"/>
      <w:szCs w:val="20"/>
    </w:rPr>
  </w:style>
  <w:style w:type="paragraph" w:customStyle="1" w:styleId="329">
    <w:name w:val="font13"/>
    <w:basedOn w:val="1"/>
    <w:next w:val="330"/>
    <w:autoRedefine/>
    <w:qFormat/>
    <w:uiPriority w:val="0"/>
    <w:pPr>
      <w:widowControl/>
      <w:spacing w:before="280" w:after="280"/>
    </w:pPr>
    <w:rPr>
      <w:rFonts w:ascii="宋体" w:hAnsi="宋体" w:cs="宋体"/>
      <w:kern w:val="0"/>
      <w:sz w:val="20"/>
      <w:szCs w:val="20"/>
    </w:rPr>
  </w:style>
  <w:style w:type="paragraph" w:customStyle="1" w:styleId="330">
    <w:name w:val="表格文字"/>
    <w:basedOn w:val="1"/>
    <w:next w:val="1"/>
    <w:autoRedefine/>
    <w:qFormat/>
    <w:uiPriority w:val="0"/>
    <w:pPr>
      <w:autoSpaceDE w:val="0"/>
      <w:autoSpaceDN w:val="0"/>
      <w:spacing w:before="6" w:after="6"/>
    </w:pPr>
    <w:rPr>
      <w:rFonts w:ascii="宋体" w:hAnsi="宋体" w:cs="宋体"/>
      <w:kern w:val="0"/>
      <w:sz w:val="20"/>
      <w:szCs w:val="20"/>
    </w:rPr>
  </w:style>
  <w:style w:type="paragraph" w:customStyle="1" w:styleId="331">
    <w:name w:val="Char Char2 Char Char Char Char2"/>
    <w:basedOn w:val="1"/>
    <w:autoRedefine/>
    <w:qFormat/>
    <w:uiPriority w:val="0"/>
    <w:rPr>
      <w:rFonts w:ascii="Tahoma" w:hAnsi="Tahoma"/>
      <w:sz w:val="24"/>
      <w:szCs w:val="20"/>
    </w:rPr>
  </w:style>
  <w:style w:type="paragraph" w:customStyle="1" w:styleId="332">
    <w:name w:val="目录 21"/>
    <w:basedOn w:val="1"/>
    <w:next w:val="1"/>
    <w:autoRedefine/>
    <w:qFormat/>
    <w:uiPriority w:val="0"/>
    <w:pPr>
      <w:ind w:left="420"/>
    </w:pPr>
    <w:rPr>
      <w:rFonts w:hAnsi="宋体" w:cs="宋体"/>
      <w:kern w:val="0"/>
      <w:szCs w:val="20"/>
    </w:rPr>
  </w:style>
  <w:style w:type="paragraph" w:customStyle="1" w:styleId="333">
    <w:name w:val="31a（正文）章标题"/>
    <w:next w:val="334"/>
    <w:autoRedefine/>
    <w:qFormat/>
    <w:uiPriority w:val="0"/>
    <w:pPr>
      <w:ind w:firstLine="315"/>
      <w:jc w:val="both"/>
      <w:outlineLvl w:val="0"/>
    </w:pPr>
    <w:rPr>
      <w:rFonts w:ascii="楷体_GB2312" w:hAnsi="宋体" w:eastAsia="宋体" w:cs="宋体"/>
      <w:sz w:val="21"/>
      <w:lang w:val="en-US" w:eastAsia="zh-CN" w:bidi="ar-SA"/>
    </w:rPr>
  </w:style>
  <w:style w:type="paragraph" w:customStyle="1" w:styleId="334">
    <w:name w:val="xl167"/>
    <w:basedOn w:val="1"/>
    <w:next w:val="335"/>
    <w:autoRedefine/>
    <w:qFormat/>
    <w:uiPriority w:val="0"/>
    <w:pPr>
      <w:widowControl/>
      <w:spacing w:before="280" w:after="280"/>
    </w:pPr>
    <w:rPr>
      <w:rFonts w:ascii="宋体" w:hAnsi="宋体" w:cs="宋体"/>
      <w:kern w:val="0"/>
      <w:sz w:val="20"/>
      <w:szCs w:val="20"/>
    </w:rPr>
  </w:style>
  <w:style w:type="paragraph" w:customStyle="1" w:styleId="335">
    <w:name w:val="标书正文格式"/>
    <w:next w:val="336"/>
    <w:autoRedefine/>
    <w:qFormat/>
    <w:uiPriority w:val="0"/>
    <w:pPr>
      <w:spacing w:line="360" w:lineRule="auto"/>
      <w:ind w:firstLine="200"/>
    </w:pPr>
    <w:rPr>
      <w:rFonts w:ascii="宋体" w:hAnsi="宋体" w:eastAsia="楷体_GB2312" w:cs="宋体"/>
      <w:sz w:val="24"/>
      <w:lang w:val="en-US" w:eastAsia="zh-CN" w:bidi="ar-SA"/>
    </w:rPr>
  </w:style>
  <w:style w:type="paragraph" w:customStyle="1" w:styleId="336">
    <w:name w:val="xl160"/>
    <w:basedOn w:val="1"/>
    <w:next w:val="337"/>
    <w:autoRedefine/>
    <w:qFormat/>
    <w:uiPriority w:val="0"/>
    <w:pPr>
      <w:widowControl/>
      <w:shd w:val="clear" w:color="000000" w:fill="C0C0C0"/>
      <w:spacing w:before="280" w:after="280"/>
    </w:pPr>
    <w:rPr>
      <w:rFonts w:ascii="宋体" w:hAnsi="宋体" w:cs="宋体"/>
      <w:kern w:val="0"/>
      <w:sz w:val="20"/>
      <w:szCs w:val="20"/>
    </w:rPr>
  </w:style>
  <w:style w:type="paragraph" w:customStyle="1" w:styleId="337">
    <w:name w:val="Char Char Char Char Char Char Char Char Char Char11"/>
    <w:basedOn w:val="1"/>
    <w:next w:val="338"/>
    <w:autoRedefine/>
    <w:qFormat/>
    <w:uiPriority w:val="0"/>
    <w:pPr>
      <w:widowControl/>
      <w:spacing w:line="400" w:lineRule="exact"/>
      <w:jc w:val="center"/>
    </w:pPr>
    <w:rPr>
      <w:rFonts w:ascii="Verdana" w:hAnsi="宋体" w:cs="宋体"/>
      <w:kern w:val="0"/>
      <w:szCs w:val="20"/>
    </w:rPr>
  </w:style>
  <w:style w:type="paragraph" w:customStyle="1" w:styleId="338">
    <w:name w:val="样式 (中文) 黑体 四号 居中 行距: 1.5 倍行距"/>
    <w:basedOn w:val="4"/>
    <w:next w:val="339"/>
    <w:autoRedefine/>
    <w:qFormat/>
    <w:uiPriority w:val="0"/>
    <w:pPr>
      <w:keepNext w:val="0"/>
      <w:keepLines w:val="0"/>
      <w:spacing w:line="240" w:lineRule="auto"/>
      <w:jc w:val="center"/>
    </w:pPr>
    <w:rPr>
      <w:rFonts w:hAnsi="宋体" w:eastAsia="黑体" w:cs="宋体"/>
      <w:bCs w:val="0"/>
      <w:kern w:val="0"/>
      <w:sz w:val="28"/>
      <w:szCs w:val="20"/>
    </w:rPr>
  </w:style>
  <w:style w:type="paragraph" w:customStyle="1" w:styleId="339">
    <w:name w:val="TOC 31"/>
    <w:next w:val="1"/>
    <w:autoRedefine/>
    <w:qFormat/>
    <w:uiPriority w:val="0"/>
    <w:pPr>
      <w:wordWrap w:val="0"/>
      <w:ind w:left="850"/>
      <w:jc w:val="both"/>
    </w:pPr>
    <w:rPr>
      <w:rFonts w:ascii="宋体" w:hAnsi="宋体" w:eastAsia="宋体" w:cs="宋体"/>
      <w:sz w:val="21"/>
      <w:lang w:val="en-US" w:eastAsia="zh-CN" w:bidi="ar-SA"/>
    </w:rPr>
  </w:style>
  <w:style w:type="paragraph" w:styleId="34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Char Char Char1 Char Char Char Char Char Char Char"/>
    <w:basedOn w:val="1"/>
    <w:next w:val="36"/>
    <w:autoRedefine/>
    <w:qFormat/>
    <w:uiPriority w:val="0"/>
    <w:rPr>
      <w:rFonts w:ascii="Tahoma" w:hAnsi="宋体" w:cs="宋体"/>
      <w:kern w:val="0"/>
      <w:sz w:val="24"/>
      <w:szCs w:val="20"/>
    </w:rPr>
  </w:style>
  <w:style w:type="paragraph" w:customStyle="1" w:styleId="342">
    <w:name w:val="样式 宋体 首行缩进:  2 字符 段前: 7.8 磅 段后: 7.8 磅"/>
    <w:basedOn w:val="1"/>
    <w:next w:val="343"/>
    <w:autoRedefine/>
    <w:qFormat/>
    <w:uiPriority w:val="0"/>
    <w:pPr>
      <w:spacing w:before="156" w:after="156" w:line="360" w:lineRule="auto"/>
      <w:ind w:firstLine="200"/>
    </w:pPr>
    <w:rPr>
      <w:rFonts w:ascii="宋体" w:hAnsi="宋体" w:cs="宋体"/>
      <w:kern w:val="0"/>
      <w:szCs w:val="20"/>
    </w:rPr>
  </w:style>
  <w:style w:type="paragraph" w:customStyle="1" w:styleId="343">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44">
    <w:name w:val="副标题1"/>
    <w:basedOn w:val="1"/>
    <w:next w:val="1"/>
    <w:autoRedefine/>
    <w:qFormat/>
    <w:uiPriority w:val="0"/>
    <w:pPr>
      <w:spacing w:before="120" w:after="120"/>
    </w:pPr>
    <w:rPr>
      <w:rFonts w:ascii="Arial" w:hAnsi="宋体" w:cs="宋体"/>
      <w:b/>
      <w:color w:val="000000"/>
      <w:kern w:val="0"/>
      <w:sz w:val="20"/>
      <w:szCs w:val="20"/>
    </w:rPr>
  </w:style>
  <w:style w:type="paragraph" w:customStyle="1" w:styleId="345">
    <w:name w:val="reader-word-layer reader-word-s1-10"/>
    <w:basedOn w:val="1"/>
    <w:next w:val="346"/>
    <w:autoRedefine/>
    <w:qFormat/>
    <w:uiPriority w:val="0"/>
    <w:pPr>
      <w:widowControl/>
      <w:spacing w:before="280" w:after="280"/>
    </w:pPr>
    <w:rPr>
      <w:rFonts w:ascii="宋体" w:hAnsi="宋体" w:cs="宋体"/>
      <w:kern w:val="0"/>
      <w:sz w:val="24"/>
      <w:szCs w:val="20"/>
    </w:rPr>
  </w:style>
  <w:style w:type="paragraph" w:customStyle="1" w:styleId="346">
    <w:name w:val="目录 41"/>
    <w:basedOn w:val="1"/>
    <w:next w:val="1"/>
    <w:autoRedefine/>
    <w:qFormat/>
    <w:uiPriority w:val="0"/>
    <w:pPr>
      <w:ind w:left="630"/>
    </w:pPr>
    <w:rPr>
      <w:rFonts w:ascii="Calibri" w:hAnsi="宋体" w:cs="宋体"/>
      <w:kern w:val="0"/>
      <w:szCs w:val="20"/>
    </w:rPr>
  </w:style>
  <w:style w:type="paragraph" w:customStyle="1" w:styleId="347">
    <w:name w:val="Char Char2 Char Char Char Char"/>
    <w:basedOn w:val="1"/>
    <w:next w:val="348"/>
    <w:autoRedefine/>
    <w:qFormat/>
    <w:uiPriority w:val="0"/>
    <w:rPr>
      <w:rFonts w:ascii="Tahoma" w:hAnsi="宋体" w:cs="宋体"/>
      <w:kern w:val="0"/>
      <w:sz w:val="24"/>
      <w:szCs w:val="20"/>
    </w:rPr>
  </w:style>
  <w:style w:type="paragraph" w:customStyle="1" w:styleId="348">
    <w:name w:val="样式 (中文) 黑体 小二 行距: 1.5 倍行距"/>
    <w:basedOn w:val="1"/>
    <w:next w:val="332"/>
    <w:autoRedefine/>
    <w:qFormat/>
    <w:uiPriority w:val="0"/>
    <w:pPr>
      <w:spacing w:line="360" w:lineRule="auto"/>
    </w:pPr>
    <w:rPr>
      <w:rFonts w:hAnsi="宋体" w:eastAsia="黑体" w:cs="宋体"/>
      <w:kern w:val="0"/>
      <w:sz w:val="36"/>
      <w:szCs w:val="20"/>
    </w:rPr>
  </w:style>
  <w:style w:type="paragraph" w:customStyle="1" w:styleId="349">
    <w:name w:val="正文缩进_0"/>
    <w:basedOn w:val="260"/>
    <w:autoRedefine/>
    <w:qFormat/>
    <w:uiPriority w:val="0"/>
    <w:pPr>
      <w:widowControl w:val="0"/>
      <w:ind w:firstLine="420"/>
      <w:jc w:val="both"/>
    </w:pPr>
    <w:rPr>
      <w:kern w:val="2"/>
      <w:u w:val="single"/>
    </w:rPr>
  </w:style>
  <w:style w:type="paragraph" w:customStyle="1" w:styleId="350">
    <w:name w:val="文字"/>
    <w:basedOn w:val="1"/>
    <w:next w:val="351"/>
    <w:autoRedefine/>
    <w:qFormat/>
    <w:uiPriority w:val="0"/>
    <w:pPr>
      <w:spacing w:line="312" w:lineRule="auto"/>
      <w:ind w:right="-210" w:firstLine="556"/>
    </w:pPr>
    <w:rPr>
      <w:rFonts w:ascii="楷体_GB2312" w:hAnsi="宋体" w:eastAsia="楷体_GB2312" w:cs="宋体"/>
      <w:kern w:val="0"/>
      <w:sz w:val="28"/>
      <w:szCs w:val="20"/>
    </w:rPr>
  </w:style>
  <w:style w:type="paragraph" w:customStyle="1" w:styleId="351">
    <w:name w:val="xl150"/>
    <w:basedOn w:val="1"/>
    <w:next w:val="257"/>
    <w:autoRedefine/>
    <w:qFormat/>
    <w:uiPriority w:val="0"/>
    <w:pPr>
      <w:widowControl/>
      <w:spacing w:before="280" w:after="280"/>
    </w:pPr>
    <w:rPr>
      <w:rFonts w:ascii="宋体" w:hAnsi="宋体" w:cs="宋体"/>
      <w:kern w:val="0"/>
      <w:sz w:val="18"/>
      <w:szCs w:val="20"/>
    </w:rPr>
  </w:style>
  <w:style w:type="paragraph" w:customStyle="1" w:styleId="352">
    <w:name w:val="Char Char1 Char Char Char"/>
    <w:next w:val="19"/>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3">
    <w:name w:val="font8"/>
    <w:basedOn w:val="1"/>
    <w:next w:val="354"/>
    <w:autoRedefine/>
    <w:qFormat/>
    <w:uiPriority w:val="0"/>
    <w:pPr>
      <w:widowControl/>
      <w:spacing w:before="280" w:after="280"/>
    </w:pPr>
    <w:rPr>
      <w:rFonts w:ascii="Arial" w:hAnsi="宋体" w:cs="宋体"/>
      <w:kern w:val="0"/>
      <w:sz w:val="16"/>
      <w:szCs w:val="20"/>
    </w:rPr>
  </w:style>
  <w:style w:type="paragraph" w:customStyle="1" w:styleId="354">
    <w:name w:val="目录 71"/>
    <w:basedOn w:val="1"/>
    <w:next w:val="1"/>
    <w:autoRedefine/>
    <w:qFormat/>
    <w:uiPriority w:val="0"/>
    <w:pPr>
      <w:ind w:left="2520"/>
    </w:pPr>
    <w:rPr>
      <w:rFonts w:ascii="Calibri" w:hAnsi="宋体" w:cs="宋体"/>
      <w:kern w:val="0"/>
      <w:szCs w:val="20"/>
    </w:rPr>
  </w:style>
  <w:style w:type="paragraph" w:customStyle="1" w:styleId="355">
    <w:name w:val="reader-word-layer reader-word-s1-11"/>
    <w:basedOn w:val="1"/>
    <w:next w:val="356"/>
    <w:autoRedefine/>
    <w:qFormat/>
    <w:uiPriority w:val="0"/>
    <w:pPr>
      <w:widowControl/>
      <w:spacing w:before="280" w:after="280"/>
    </w:pPr>
    <w:rPr>
      <w:rFonts w:ascii="宋体" w:hAnsi="宋体" w:cs="宋体"/>
      <w:kern w:val="0"/>
      <w:sz w:val="24"/>
      <w:szCs w:val="20"/>
    </w:rPr>
  </w:style>
  <w:style w:type="paragraph" w:customStyle="1" w:styleId="356">
    <w:name w:val="TOC 21"/>
    <w:next w:val="1"/>
    <w:autoRedefine/>
    <w:qFormat/>
    <w:uiPriority w:val="0"/>
    <w:pPr>
      <w:wordWrap w:val="0"/>
      <w:ind w:left="425"/>
      <w:jc w:val="both"/>
    </w:pPr>
    <w:rPr>
      <w:rFonts w:ascii="宋体" w:hAnsi="宋体" w:eastAsia="宋体" w:cs="宋体"/>
      <w:sz w:val="21"/>
      <w:lang w:val="en-US" w:eastAsia="zh-CN" w:bidi="ar-SA"/>
    </w:rPr>
  </w:style>
  <w:style w:type="paragraph" w:customStyle="1" w:styleId="357">
    <w:name w:val="Char Char Char Char Char 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8">
    <w:name w:val="xl157"/>
    <w:basedOn w:val="1"/>
    <w:next w:val="1"/>
    <w:autoRedefine/>
    <w:qFormat/>
    <w:uiPriority w:val="0"/>
    <w:pPr>
      <w:widowControl/>
      <w:spacing w:before="280" w:after="280"/>
    </w:pPr>
    <w:rPr>
      <w:rFonts w:ascii="宋体" w:hAnsi="宋体" w:cs="宋体"/>
      <w:b/>
      <w:kern w:val="0"/>
      <w:sz w:val="18"/>
      <w:szCs w:val="20"/>
    </w:rPr>
  </w:style>
  <w:style w:type="paragraph" w:customStyle="1" w:styleId="359">
    <w:name w:val="样式14"/>
    <w:next w:val="360"/>
    <w:autoRedefine/>
    <w:qFormat/>
    <w:uiPriority w:val="0"/>
    <w:pPr>
      <w:widowControl w:val="0"/>
      <w:jc w:val="center"/>
    </w:pPr>
    <w:rPr>
      <w:rFonts w:ascii="Times New Roman" w:hAnsi="宋体" w:eastAsia="宋体" w:cs="宋体"/>
      <w:sz w:val="18"/>
      <w:lang w:val="en-US" w:eastAsia="zh-CN" w:bidi="ar-SA"/>
    </w:rPr>
  </w:style>
  <w:style w:type="paragraph" w:customStyle="1" w:styleId="360">
    <w:name w:val="Char Char2 Char Char Char Char3"/>
    <w:basedOn w:val="1"/>
    <w:next w:val="269"/>
    <w:autoRedefine/>
    <w:qFormat/>
    <w:uiPriority w:val="0"/>
    <w:rPr>
      <w:rFonts w:ascii="Tahoma" w:hAnsi="宋体" w:cs="宋体"/>
      <w:kern w:val="0"/>
      <w:sz w:val="24"/>
      <w:szCs w:val="20"/>
    </w:rPr>
  </w:style>
  <w:style w:type="paragraph" w:customStyle="1" w:styleId="361">
    <w:name w:val="Char Char Char Char Char Char Char1"/>
    <w:basedOn w:val="1"/>
    <w:next w:val="362"/>
    <w:autoRedefine/>
    <w:qFormat/>
    <w:uiPriority w:val="0"/>
    <w:pPr>
      <w:widowControl/>
      <w:spacing w:line="400" w:lineRule="exact"/>
      <w:jc w:val="center"/>
    </w:pPr>
    <w:rPr>
      <w:rFonts w:ascii="Verdana" w:hAnsi="宋体" w:cs="宋体"/>
      <w:kern w:val="0"/>
      <w:szCs w:val="20"/>
    </w:rPr>
  </w:style>
  <w:style w:type="paragraph" w:customStyle="1" w:styleId="362">
    <w:name w:val="xl147"/>
    <w:basedOn w:val="1"/>
    <w:next w:val="363"/>
    <w:autoRedefine/>
    <w:qFormat/>
    <w:uiPriority w:val="0"/>
    <w:pPr>
      <w:widowControl/>
      <w:spacing w:before="280" w:after="280"/>
    </w:pPr>
    <w:rPr>
      <w:rFonts w:ascii="宋体" w:hAnsi="宋体" w:cs="宋体"/>
      <w:kern w:val="0"/>
      <w:sz w:val="20"/>
      <w:szCs w:val="20"/>
    </w:rPr>
  </w:style>
  <w:style w:type="paragraph" w:customStyle="1" w:styleId="363">
    <w:name w:val="xl163"/>
    <w:basedOn w:val="1"/>
    <w:next w:val="292"/>
    <w:autoRedefine/>
    <w:qFormat/>
    <w:uiPriority w:val="0"/>
    <w:pPr>
      <w:widowControl/>
      <w:spacing w:before="280" w:after="280"/>
    </w:pPr>
    <w:rPr>
      <w:rFonts w:ascii="宋体" w:hAnsi="宋体" w:cs="宋体"/>
      <w:color w:val="000000"/>
      <w:kern w:val="0"/>
      <w:sz w:val="18"/>
      <w:szCs w:val="20"/>
    </w:rPr>
  </w:style>
  <w:style w:type="paragraph" w:customStyle="1" w:styleId="364">
    <w:name w:val="_Style 7"/>
    <w:basedOn w:val="1"/>
    <w:next w:val="1"/>
    <w:autoRedefine/>
    <w:qFormat/>
    <w:uiPriority w:val="0"/>
    <w:pPr>
      <w:widowControl/>
      <w:spacing w:after="160" w:line="240" w:lineRule="exact"/>
    </w:pPr>
    <w:rPr>
      <w:rFonts w:hAnsi="宋体" w:cs="宋体"/>
      <w:kern w:val="0"/>
      <w:szCs w:val="20"/>
    </w:rPr>
  </w:style>
  <w:style w:type="paragraph" w:customStyle="1" w:styleId="365">
    <w:name w:val="样式13"/>
    <w:next w:val="366"/>
    <w:autoRedefine/>
    <w:qFormat/>
    <w:uiPriority w:val="0"/>
    <w:pPr>
      <w:widowControl w:val="0"/>
      <w:jc w:val="center"/>
    </w:pPr>
    <w:rPr>
      <w:rFonts w:ascii="Times New Roman" w:hAnsi="宋体" w:eastAsia="宋体" w:cs="宋体"/>
      <w:sz w:val="18"/>
      <w:lang w:val="en-US" w:eastAsia="zh-CN" w:bidi="ar-SA"/>
    </w:rPr>
  </w:style>
  <w:style w:type="paragraph" w:customStyle="1" w:styleId="366">
    <w:name w:val="样式 (中文) 黑体 小二 居中 行距: 1.5 倍行距"/>
    <w:basedOn w:val="1"/>
    <w:next w:val="1"/>
    <w:autoRedefine/>
    <w:qFormat/>
    <w:uiPriority w:val="0"/>
    <w:pPr>
      <w:jc w:val="center"/>
    </w:pPr>
    <w:rPr>
      <w:rFonts w:hAnsi="宋体" w:eastAsia="黑体" w:cs="宋体"/>
      <w:kern w:val="0"/>
      <w:sz w:val="36"/>
      <w:szCs w:val="20"/>
    </w:rPr>
  </w:style>
  <w:style w:type="paragraph" w:customStyle="1" w:styleId="367">
    <w:name w:val="xl152"/>
    <w:basedOn w:val="1"/>
    <w:next w:val="355"/>
    <w:autoRedefine/>
    <w:qFormat/>
    <w:uiPriority w:val="0"/>
    <w:pPr>
      <w:widowControl/>
      <w:spacing w:before="280" w:after="280"/>
    </w:pPr>
    <w:rPr>
      <w:rFonts w:ascii="宋体" w:hAnsi="宋体" w:cs="宋体"/>
      <w:b/>
      <w:kern w:val="0"/>
      <w:sz w:val="18"/>
      <w:szCs w:val="20"/>
    </w:rPr>
  </w:style>
  <w:style w:type="paragraph" w:customStyle="1" w:styleId="368">
    <w:name w:val="Char Char Char Char Char Char Char Char Char Char Char Char Char2"/>
    <w:basedOn w:val="1"/>
    <w:autoRedefine/>
    <w:qFormat/>
    <w:uiPriority w:val="0"/>
    <w:pPr>
      <w:tabs>
        <w:tab w:val="left" w:pos="420"/>
      </w:tabs>
      <w:ind w:left="420" w:hanging="420"/>
    </w:pPr>
    <w:rPr>
      <w:rFonts w:ascii="Tahoma" w:hAnsi="Tahoma"/>
      <w:sz w:val="24"/>
      <w:szCs w:val="20"/>
    </w:rPr>
  </w:style>
  <w:style w:type="paragraph" w:customStyle="1" w:styleId="369">
    <w:name w:val="Char Char Char Char Char Char Char121"/>
    <w:basedOn w:val="1"/>
    <w:next w:val="347"/>
    <w:autoRedefine/>
    <w:qFormat/>
    <w:uiPriority w:val="0"/>
    <w:pPr>
      <w:widowControl/>
      <w:spacing w:line="400" w:lineRule="exact"/>
      <w:jc w:val="center"/>
    </w:pPr>
    <w:rPr>
      <w:rFonts w:ascii="Verdana" w:hAnsi="宋体" w:cs="宋体"/>
      <w:kern w:val="0"/>
      <w:szCs w:val="20"/>
    </w:rPr>
  </w:style>
  <w:style w:type="paragraph" w:customStyle="1" w:styleId="370">
    <w:name w:val="Char Char Char Char Char Char Char Char Char Char Char Char Char1"/>
    <w:basedOn w:val="1"/>
    <w:autoRedefine/>
    <w:qFormat/>
    <w:uiPriority w:val="0"/>
    <w:pPr>
      <w:tabs>
        <w:tab w:val="left" w:pos="420"/>
      </w:tabs>
      <w:ind w:left="420" w:hanging="420"/>
    </w:pPr>
    <w:rPr>
      <w:rFonts w:ascii="Tahoma" w:hAnsi="Tahoma"/>
      <w:sz w:val="24"/>
      <w:szCs w:val="20"/>
    </w:rPr>
  </w:style>
  <w:style w:type="paragraph" w:customStyle="1" w:styleId="371">
    <w:name w:val="font9"/>
    <w:basedOn w:val="1"/>
    <w:next w:val="279"/>
    <w:autoRedefine/>
    <w:qFormat/>
    <w:uiPriority w:val="0"/>
    <w:pPr>
      <w:widowControl/>
      <w:spacing w:before="280" w:after="280"/>
    </w:pPr>
    <w:rPr>
      <w:rFonts w:ascii="宋体" w:hAnsi="宋体" w:cs="宋体"/>
      <w:kern w:val="0"/>
      <w:sz w:val="18"/>
      <w:szCs w:val="20"/>
    </w:rPr>
  </w:style>
  <w:style w:type="paragraph" w:customStyle="1" w:styleId="372">
    <w:name w:val="样式 (中文) 黑体 小三 黑色"/>
    <w:basedOn w:val="2"/>
    <w:next w:val="369"/>
    <w:autoRedefine/>
    <w:qFormat/>
    <w:uiPriority w:val="0"/>
    <w:pPr>
      <w:keepNext w:val="0"/>
      <w:keepLines w:val="0"/>
      <w:spacing w:line="240" w:lineRule="auto"/>
      <w:jc w:val="center"/>
    </w:pPr>
    <w:rPr>
      <w:rFonts w:hAnsi="宋体" w:cs="宋体"/>
      <w:bCs w:val="0"/>
      <w:color w:val="000000"/>
      <w:kern w:val="0"/>
      <w:sz w:val="30"/>
      <w:szCs w:val="20"/>
    </w:rPr>
  </w:style>
  <w:style w:type="paragraph" w:customStyle="1" w:styleId="373">
    <w:name w:val="样式12"/>
    <w:next w:val="374"/>
    <w:autoRedefine/>
    <w:qFormat/>
    <w:uiPriority w:val="0"/>
    <w:pPr>
      <w:widowControl w:val="0"/>
      <w:jc w:val="center"/>
    </w:pPr>
    <w:rPr>
      <w:rFonts w:ascii="Times New Roman" w:hAnsi="宋体" w:eastAsia="宋体" w:cs="宋体"/>
      <w:sz w:val="18"/>
      <w:lang w:val="en-US" w:eastAsia="zh-CN" w:bidi="ar-SA"/>
    </w:rPr>
  </w:style>
  <w:style w:type="paragraph" w:customStyle="1" w:styleId="374">
    <w:name w:val="Char Char1 Char Char Char21"/>
    <w:next w:val="84"/>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5">
    <w:name w:val="标题 1_0"/>
    <w:basedOn w:val="27"/>
    <w:next w:val="27"/>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6">
    <w:name w:val="目录 81"/>
    <w:basedOn w:val="1"/>
    <w:next w:val="1"/>
    <w:autoRedefine/>
    <w:qFormat/>
    <w:uiPriority w:val="0"/>
    <w:pPr>
      <w:ind w:left="2940"/>
    </w:pPr>
    <w:rPr>
      <w:rFonts w:ascii="Calibri" w:hAnsi="宋体" w:cs="宋体"/>
      <w:kern w:val="0"/>
      <w:szCs w:val="20"/>
    </w:rPr>
  </w:style>
  <w:style w:type="paragraph" w:customStyle="1" w:styleId="377">
    <w:name w:val="样式 标题 2 + (西文) 宋体 居中"/>
    <w:basedOn w:val="2"/>
    <w:next w:val="378"/>
    <w:autoRedefine/>
    <w:qFormat/>
    <w:uiPriority w:val="0"/>
    <w:pPr>
      <w:keepNext w:val="0"/>
      <w:keepLines w:val="0"/>
      <w:spacing w:line="416" w:lineRule="auto"/>
      <w:jc w:val="center"/>
    </w:pPr>
    <w:rPr>
      <w:rFonts w:ascii="宋体" w:hAnsi="宋体" w:cs="宋体"/>
      <w:bCs w:val="0"/>
      <w:kern w:val="0"/>
      <w:szCs w:val="20"/>
    </w:rPr>
  </w:style>
  <w:style w:type="paragraph" w:customStyle="1" w:styleId="378">
    <w:name w:val="xl135"/>
    <w:basedOn w:val="1"/>
    <w:next w:val="252"/>
    <w:autoRedefine/>
    <w:qFormat/>
    <w:uiPriority w:val="0"/>
    <w:pPr>
      <w:widowControl/>
      <w:spacing w:before="280" w:after="280"/>
    </w:pPr>
    <w:rPr>
      <w:rFonts w:ascii="宋体" w:hAnsi="宋体" w:cs="宋体"/>
      <w:kern w:val="0"/>
      <w:sz w:val="18"/>
      <w:szCs w:val="20"/>
    </w:rPr>
  </w:style>
  <w:style w:type="paragraph" w:customStyle="1" w:styleId="379">
    <w:name w:val="xl131"/>
    <w:basedOn w:val="1"/>
    <w:next w:val="380"/>
    <w:autoRedefine/>
    <w:qFormat/>
    <w:uiPriority w:val="0"/>
    <w:pPr>
      <w:widowControl/>
      <w:spacing w:before="280" w:after="280"/>
    </w:pPr>
    <w:rPr>
      <w:rFonts w:ascii="宋体" w:hAnsi="宋体" w:cs="宋体"/>
      <w:kern w:val="0"/>
      <w:sz w:val="24"/>
      <w:szCs w:val="20"/>
    </w:rPr>
  </w:style>
  <w:style w:type="paragraph" w:customStyle="1" w:styleId="380">
    <w:name w:val="样式7"/>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381">
    <w:name w:val="五号正文（标准）"/>
    <w:basedOn w:val="1"/>
    <w:next w:val="352"/>
    <w:autoRedefine/>
    <w:qFormat/>
    <w:uiPriority w:val="0"/>
    <w:pPr>
      <w:spacing w:line="360" w:lineRule="auto"/>
      <w:ind w:firstLine="600"/>
    </w:pPr>
    <w:rPr>
      <w:rFonts w:ascii="仿宋_GB2312" w:hAnsi="宋体" w:eastAsia="仿宋_GB2312" w:cs="宋体"/>
      <w:b/>
      <w:kern w:val="0"/>
      <w:sz w:val="30"/>
      <w:szCs w:val="20"/>
    </w:rPr>
  </w:style>
  <w:style w:type="paragraph" w:customStyle="1" w:styleId="382">
    <w:name w:val="xl136"/>
    <w:basedOn w:val="1"/>
    <w:next w:val="383"/>
    <w:autoRedefine/>
    <w:qFormat/>
    <w:uiPriority w:val="0"/>
    <w:pPr>
      <w:widowControl/>
      <w:spacing w:before="280" w:after="280"/>
      <w:jc w:val="center"/>
    </w:pPr>
    <w:rPr>
      <w:rFonts w:ascii="宋体" w:hAnsi="宋体" w:cs="宋体"/>
      <w:kern w:val="0"/>
      <w:sz w:val="20"/>
      <w:szCs w:val="20"/>
    </w:rPr>
  </w:style>
  <w:style w:type="paragraph" w:customStyle="1" w:styleId="383">
    <w:name w:val="xl156"/>
    <w:basedOn w:val="1"/>
    <w:next w:val="384"/>
    <w:autoRedefine/>
    <w:qFormat/>
    <w:uiPriority w:val="0"/>
    <w:pPr>
      <w:widowControl/>
      <w:shd w:val="clear" w:color="000000" w:fill="C0C0C0"/>
      <w:spacing w:before="280" w:after="280"/>
    </w:pPr>
    <w:rPr>
      <w:rFonts w:ascii="宋体" w:hAnsi="宋体" w:cs="宋体"/>
      <w:kern w:val="0"/>
      <w:sz w:val="20"/>
      <w:szCs w:val="20"/>
    </w:rPr>
  </w:style>
  <w:style w:type="paragraph" w:customStyle="1" w:styleId="384">
    <w:name w:val="Char Char Char Char Char Char Char Char Char Char Char Char Char Char Char Char Char Char Char1"/>
    <w:basedOn w:val="1"/>
    <w:next w:val="342"/>
    <w:autoRedefine/>
    <w:qFormat/>
    <w:uiPriority w:val="0"/>
    <w:pPr>
      <w:widowControl/>
      <w:spacing w:line="400" w:lineRule="exact"/>
      <w:jc w:val="center"/>
    </w:pPr>
    <w:rPr>
      <w:rFonts w:ascii="Verdana" w:hAnsi="宋体" w:cs="宋体"/>
      <w:kern w:val="0"/>
      <w:szCs w:val="20"/>
    </w:rPr>
  </w:style>
  <w:style w:type="paragraph" w:customStyle="1" w:styleId="385">
    <w:name w:val="样式 标题 3h3section:3Level 3 HeadH3level_3PIM 33rd level3H..."/>
    <w:basedOn w:val="4"/>
    <w:next w:val="361"/>
    <w:autoRedefine/>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6">
    <w:name w:val="xl140"/>
    <w:basedOn w:val="1"/>
    <w:next w:val="387"/>
    <w:autoRedefine/>
    <w:qFormat/>
    <w:uiPriority w:val="0"/>
    <w:pPr>
      <w:widowControl/>
      <w:spacing w:before="280" w:after="280"/>
    </w:pPr>
    <w:rPr>
      <w:rFonts w:ascii="宋体" w:hAnsi="宋体" w:cs="宋体"/>
      <w:kern w:val="0"/>
      <w:sz w:val="18"/>
      <w:szCs w:val="20"/>
    </w:rPr>
  </w:style>
  <w:style w:type="paragraph" w:customStyle="1" w:styleId="387">
    <w:name w:val="xl143"/>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388">
    <w:name w:val="TOC 标题_0"/>
    <w:basedOn w:val="375"/>
    <w:next w:val="27"/>
    <w:autoRedefine/>
    <w:qFormat/>
    <w:uiPriority w:val="0"/>
    <w:pPr>
      <w:outlineLvl w:val="9"/>
    </w:pPr>
    <w:rPr>
      <w:rFonts w:ascii="Calibri" w:hAnsi="Calibri"/>
    </w:rPr>
  </w:style>
  <w:style w:type="paragraph" w:customStyle="1" w:styleId="389">
    <w:name w:val="Char Char Char Char Char Char Char Char Char Char Char Char Char Char Char21"/>
    <w:basedOn w:val="1"/>
    <w:next w:val="329"/>
    <w:autoRedefine/>
    <w:qFormat/>
    <w:uiPriority w:val="0"/>
    <w:pPr>
      <w:widowControl/>
      <w:spacing w:line="400" w:lineRule="exact"/>
      <w:jc w:val="center"/>
    </w:pPr>
    <w:rPr>
      <w:rFonts w:ascii="Verdana" w:hAnsi="宋体" w:cs="宋体"/>
      <w:kern w:val="0"/>
      <w:szCs w:val="20"/>
    </w:rPr>
  </w:style>
  <w:style w:type="paragraph" w:customStyle="1" w:styleId="390">
    <w:name w:val="德吉标题二"/>
    <w:basedOn w:val="2"/>
    <w:next w:val="18"/>
    <w:autoRedefine/>
    <w:qFormat/>
    <w:uiPriority w:val="0"/>
    <w:pPr>
      <w:keepNext w:val="0"/>
      <w:keepLines w:val="0"/>
      <w:spacing w:line="416" w:lineRule="auto"/>
    </w:pPr>
    <w:rPr>
      <w:rFonts w:ascii="仿宋_GB2312" w:hAnsi="宋体" w:eastAsia="仿宋_GB2312" w:cs="宋体"/>
      <w:bCs w:val="0"/>
      <w:kern w:val="0"/>
      <w:szCs w:val="20"/>
    </w:rPr>
  </w:style>
  <w:style w:type="paragraph" w:customStyle="1" w:styleId="391">
    <w:name w:val="xl155"/>
    <w:basedOn w:val="1"/>
    <w:next w:val="385"/>
    <w:autoRedefine/>
    <w:qFormat/>
    <w:uiPriority w:val="0"/>
    <w:pPr>
      <w:widowControl/>
      <w:shd w:val="clear" w:color="000000" w:fill="C0C0C0"/>
      <w:spacing w:before="280" w:after="280"/>
    </w:pPr>
    <w:rPr>
      <w:rFonts w:ascii="宋体" w:hAnsi="宋体" w:cs="宋体"/>
      <w:kern w:val="0"/>
      <w:sz w:val="20"/>
      <w:szCs w:val="20"/>
    </w:rPr>
  </w:style>
  <w:style w:type="paragraph" w:customStyle="1" w:styleId="392">
    <w:name w:val="样式3 Char"/>
    <w:basedOn w:val="4"/>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393">
    <w:name w:val="样式9"/>
    <w:next w:val="394"/>
    <w:autoRedefine/>
    <w:qFormat/>
    <w:uiPriority w:val="0"/>
    <w:pPr>
      <w:widowControl w:val="0"/>
      <w:jc w:val="center"/>
    </w:pPr>
    <w:rPr>
      <w:rFonts w:ascii="Times New Roman" w:hAnsi="宋体" w:eastAsia="宋体" w:cs="宋体"/>
      <w:sz w:val="18"/>
      <w:lang w:val="en-US" w:eastAsia="zh-CN" w:bidi="ar-SA"/>
    </w:rPr>
  </w:style>
  <w:style w:type="paragraph" w:customStyle="1" w:styleId="394">
    <w:name w:val="xl148"/>
    <w:basedOn w:val="1"/>
    <w:next w:val="341"/>
    <w:autoRedefine/>
    <w:qFormat/>
    <w:uiPriority w:val="0"/>
    <w:pPr>
      <w:widowControl/>
      <w:spacing w:before="280" w:after="280"/>
    </w:pPr>
    <w:rPr>
      <w:rFonts w:ascii="宋体" w:hAnsi="宋体" w:cs="宋体"/>
      <w:kern w:val="0"/>
      <w:sz w:val="20"/>
      <w:szCs w:val="20"/>
    </w:rPr>
  </w:style>
  <w:style w:type="paragraph" w:customStyle="1" w:styleId="395">
    <w:name w:val="Char Char Char Char Char Char Char"/>
    <w:basedOn w:val="1"/>
    <w:autoRedefine/>
    <w:qFormat/>
    <w:uiPriority w:val="0"/>
    <w:pPr>
      <w:widowControl/>
      <w:spacing w:after="160" w:line="240" w:lineRule="exact"/>
      <w:jc w:val="left"/>
    </w:pPr>
  </w:style>
  <w:style w:type="paragraph" w:customStyle="1" w:styleId="396">
    <w:name w:val="Char Char Char1 Char Char Char Char Char Char Char1"/>
    <w:basedOn w:val="1"/>
    <w:next w:val="397"/>
    <w:autoRedefine/>
    <w:qFormat/>
    <w:uiPriority w:val="0"/>
    <w:rPr>
      <w:rFonts w:ascii="Tahoma" w:hAnsi="宋体" w:cs="宋体"/>
      <w:kern w:val="0"/>
      <w:sz w:val="24"/>
      <w:szCs w:val="20"/>
    </w:rPr>
  </w:style>
  <w:style w:type="paragraph" w:customStyle="1" w:styleId="397">
    <w:name w:val="目录 31"/>
    <w:basedOn w:val="1"/>
    <w:next w:val="1"/>
    <w:autoRedefine/>
    <w:qFormat/>
    <w:uiPriority w:val="0"/>
    <w:pPr>
      <w:ind w:left="840"/>
    </w:pPr>
    <w:rPr>
      <w:rFonts w:hAnsi="宋体" w:eastAsia="仿宋_GB2312" w:cs="宋体"/>
      <w:kern w:val="0"/>
      <w:sz w:val="28"/>
      <w:szCs w:val="20"/>
    </w:rPr>
  </w:style>
  <w:style w:type="paragraph" w:customStyle="1" w:styleId="398">
    <w:name w:val="副标题11"/>
    <w:basedOn w:val="1"/>
    <w:next w:val="1"/>
    <w:autoRedefine/>
    <w:qFormat/>
    <w:uiPriority w:val="0"/>
    <w:pPr>
      <w:spacing w:before="120" w:after="120"/>
    </w:pPr>
    <w:rPr>
      <w:rFonts w:ascii="Arial" w:hAnsi="宋体" w:cs="宋体"/>
      <w:b/>
      <w:color w:val="000000"/>
      <w:kern w:val="0"/>
      <w:sz w:val="20"/>
      <w:szCs w:val="20"/>
    </w:rPr>
  </w:style>
  <w:style w:type="paragraph" w:customStyle="1" w:styleId="399">
    <w:name w:val="xl146"/>
    <w:basedOn w:val="1"/>
    <w:next w:val="78"/>
    <w:autoRedefine/>
    <w:qFormat/>
    <w:uiPriority w:val="0"/>
    <w:pPr>
      <w:widowControl/>
      <w:spacing w:before="280" w:after="280"/>
    </w:pPr>
    <w:rPr>
      <w:rFonts w:ascii="宋体" w:hAnsi="宋体" w:cs="宋体"/>
      <w:kern w:val="0"/>
      <w:sz w:val="24"/>
      <w:szCs w:val="20"/>
    </w:rPr>
  </w:style>
  <w:style w:type="paragraph" w:customStyle="1" w:styleId="400">
    <w:name w:val="xl161"/>
    <w:basedOn w:val="1"/>
    <w:next w:val="303"/>
    <w:autoRedefine/>
    <w:qFormat/>
    <w:uiPriority w:val="0"/>
    <w:pPr>
      <w:widowControl/>
      <w:spacing w:before="280" w:after="280"/>
      <w:jc w:val="center"/>
    </w:pPr>
    <w:rPr>
      <w:rFonts w:ascii="宋体" w:hAnsi="宋体" w:cs="宋体"/>
      <w:color w:val="000000"/>
      <w:kern w:val="0"/>
      <w:sz w:val="20"/>
      <w:szCs w:val="20"/>
    </w:rPr>
  </w:style>
  <w:style w:type="paragraph" w:customStyle="1" w:styleId="401">
    <w:name w:val="Char Char"/>
    <w:basedOn w:val="1"/>
    <w:next w:val="1"/>
    <w:autoRedefine/>
    <w:qFormat/>
    <w:uiPriority w:val="0"/>
    <w:pPr>
      <w:widowControl/>
      <w:spacing w:after="160" w:line="240" w:lineRule="exact"/>
    </w:pPr>
    <w:rPr>
      <w:rFonts w:hAnsi="宋体" w:cs="宋体"/>
      <w:kern w:val="0"/>
      <w:szCs w:val="20"/>
    </w:rPr>
  </w:style>
  <w:style w:type="paragraph" w:customStyle="1" w:styleId="402">
    <w:name w:val="xl141"/>
    <w:basedOn w:val="1"/>
    <w:next w:val="391"/>
    <w:autoRedefine/>
    <w:qFormat/>
    <w:uiPriority w:val="0"/>
    <w:pPr>
      <w:widowControl/>
      <w:spacing w:before="280" w:after="280"/>
    </w:pPr>
    <w:rPr>
      <w:rFonts w:ascii="宋体" w:hAnsi="宋体" w:cs="宋体"/>
      <w:b/>
      <w:kern w:val="0"/>
      <w:sz w:val="18"/>
      <w:szCs w:val="20"/>
    </w:rPr>
  </w:style>
  <w:style w:type="paragraph" w:customStyle="1" w:styleId="403">
    <w:name w:val="华文细黑1"/>
    <w:basedOn w:val="1"/>
    <w:next w:val="404"/>
    <w:autoRedefine/>
    <w:qFormat/>
    <w:uiPriority w:val="0"/>
    <w:pPr>
      <w:widowControl/>
      <w:spacing w:line="300" w:lineRule="auto"/>
      <w:ind w:firstLine="200"/>
    </w:pPr>
    <w:rPr>
      <w:rFonts w:hAnsi="宋体" w:eastAsia="华文细黑" w:cs="宋体"/>
      <w:kern w:val="0"/>
      <w:sz w:val="24"/>
      <w:szCs w:val="20"/>
    </w:rPr>
  </w:style>
  <w:style w:type="paragraph" w:customStyle="1" w:styleId="404">
    <w:name w:val="TOC 81"/>
    <w:next w:val="1"/>
    <w:autoRedefine/>
    <w:qFormat/>
    <w:uiPriority w:val="0"/>
    <w:pPr>
      <w:wordWrap w:val="0"/>
      <w:ind w:left="2975"/>
      <w:jc w:val="both"/>
    </w:pPr>
    <w:rPr>
      <w:rFonts w:ascii="宋体" w:hAnsi="宋体" w:eastAsia="宋体" w:cs="宋体"/>
      <w:sz w:val="21"/>
      <w:lang w:val="en-US" w:eastAsia="zh-CN" w:bidi="ar-SA"/>
    </w:rPr>
  </w:style>
  <w:style w:type="paragraph" w:customStyle="1" w:styleId="405">
    <w:name w:val="样式11"/>
    <w:basedOn w:val="35"/>
    <w:autoRedefine/>
    <w:qFormat/>
    <w:uiPriority w:val="0"/>
    <w:pPr>
      <w:widowControl/>
      <w:pBdr>
        <w:bottom w:val="none" w:color="auto" w:sz="0" w:space="0"/>
      </w:pBdr>
    </w:pPr>
  </w:style>
  <w:style w:type="paragraph" w:customStyle="1" w:styleId="406">
    <w:name w:val="TOC 11"/>
    <w:next w:val="1"/>
    <w:autoRedefine/>
    <w:qFormat/>
    <w:uiPriority w:val="0"/>
    <w:pPr>
      <w:wordWrap w:val="0"/>
      <w:jc w:val="both"/>
    </w:pPr>
    <w:rPr>
      <w:rFonts w:ascii="宋体" w:hAnsi="宋体" w:eastAsia="宋体" w:cs="宋体"/>
      <w:sz w:val="21"/>
      <w:lang w:val="en-US" w:eastAsia="zh-CN" w:bidi="ar-SA"/>
    </w:rPr>
  </w:style>
  <w:style w:type="paragraph" w:customStyle="1" w:styleId="407">
    <w:name w:val="Char Char Char Char2"/>
    <w:basedOn w:val="1"/>
    <w:next w:val="1"/>
    <w:autoRedefine/>
    <w:qFormat/>
    <w:uiPriority w:val="0"/>
    <w:pPr>
      <w:widowControl/>
      <w:spacing w:after="160" w:line="240" w:lineRule="exact"/>
      <w:jc w:val="left"/>
    </w:pPr>
  </w:style>
  <w:style w:type="paragraph" w:customStyle="1" w:styleId="408">
    <w:name w:val="重点说明"/>
    <w:basedOn w:val="1"/>
    <w:next w:val="398"/>
    <w:autoRedefine/>
    <w:qFormat/>
    <w:uiPriority w:val="0"/>
    <w:pPr>
      <w:widowControl/>
      <w:spacing w:before="40" w:after="40" w:line="400" w:lineRule="exact"/>
      <w:ind w:left="360" w:hanging="360"/>
    </w:pPr>
    <w:rPr>
      <w:rFonts w:ascii="宋体" w:hAnsi="宋体" w:cs="宋体"/>
      <w:b/>
      <w:kern w:val="0"/>
      <w:sz w:val="28"/>
      <w:szCs w:val="20"/>
    </w:rPr>
  </w:style>
  <w:style w:type="paragraph" w:customStyle="1" w:styleId="409">
    <w:name w:val="明显引用1"/>
    <w:basedOn w:val="1"/>
    <w:next w:val="1"/>
    <w:autoRedefine/>
    <w:qFormat/>
    <w:uiPriority w:val="0"/>
    <w:pPr>
      <w:pBdr>
        <w:bottom w:val="single" w:color="4F81BD" w:sz="4" w:space="4"/>
      </w:pBdr>
      <w:spacing w:before="200" w:after="280"/>
      <w:ind w:left="936" w:right="936"/>
    </w:pPr>
    <w:rPr>
      <w:b/>
      <w:i/>
      <w:color w:val="4F81BD"/>
      <w:sz w:val="22"/>
      <w:szCs w:val="20"/>
    </w:rPr>
  </w:style>
  <w:style w:type="paragraph" w:customStyle="1" w:styleId="410">
    <w:name w:val="正文3"/>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411">
    <w:name w:val="样式4"/>
    <w:basedOn w:val="1"/>
    <w:next w:val="13"/>
    <w:autoRedefine/>
    <w:qFormat/>
    <w:uiPriority w:val="0"/>
    <w:pPr>
      <w:ind w:right="13"/>
      <w:jc w:val="right"/>
    </w:pPr>
    <w:rPr>
      <w:rFonts w:hAnsi="宋体" w:eastAsia="仿宋_GB2312" w:cs="宋体"/>
      <w:kern w:val="0"/>
      <w:sz w:val="28"/>
      <w:szCs w:val="20"/>
    </w:rPr>
  </w:style>
  <w:style w:type="paragraph" w:customStyle="1" w:styleId="412">
    <w:name w:val="样式5"/>
    <w:basedOn w:val="413"/>
    <w:next w:val="301"/>
    <w:autoRedefine/>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3">
    <w:name w:val="List Paragraph"/>
    <w:basedOn w:val="1"/>
    <w:autoRedefine/>
    <w:qFormat/>
    <w:uiPriority w:val="99"/>
    <w:pPr>
      <w:ind w:firstLine="420" w:firstLineChars="200"/>
    </w:pPr>
    <w:rPr>
      <w:rFonts w:ascii="Calibri" w:hAnsi="Calibri"/>
      <w:szCs w:val="22"/>
    </w:rPr>
  </w:style>
  <w:style w:type="paragraph" w:customStyle="1" w:styleId="414">
    <w:name w:val="fontsize"/>
    <w:basedOn w:val="1"/>
    <w:next w:val="415"/>
    <w:autoRedefine/>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5">
    <w:name w:val="文档正文"/>
    <w:basedOn w:val="1"/>
    <w:next w:val="248"/>
    <w:autoRedefine/>
    <w:qFormat/>
    <w:uiPriority w:val="0"/>
    <w:pPr>
      <w:spacing w:line="480" w:lineRule="atLeast"/>
      <w:ind w:firstLine="567"/>
    </w:pPr>
    <w:rPr>
      <w:rFonts w:ascii="长城仿宋" w:hAnsi="宋体" w:cs="宋体"/>
      <w:kern w:val="0"/>
      <w:sz w:val="24"/>
      <w:szCs w:val="20"/>
    </w:rPr>
  </w:style>
  <w:style w:type="paragraph" w:customStyle="1" w:styleId="416">
    <w:name w:val="xl24"/>
    <w:basedOn w:val="1"/>
    <w:next w:val="308"/>
    <w:autoRedefine/>
    <w:qFormat/>
    <w:uiPriority w:val="0"/>
    <w:pPr>
      <w:widowControl/>
      <w:spacing w:before="280" w:after="280"/>
    </w:pPr>
    <w:rPr>
      <w:rFonts w:ascii="宋体" w:hAnsi="宋体" w:cs="宋体"/>
      <w:kern w:val="0"/>
      <w:sz w:val="20"/>
      <w:szCs w:val="20"/>
    </w:rPr>
  </w:style>
  <w:style w:type="paragraph" w:customStyle="1" w:styleId="417">
    <w:name w:val="Char Char Char Char Char Char Char12"/>
    <w:basedOn w:val="1"/>
    <w:autoRedefine/>
    <w:qFormat/>
    <w:uiPriority w:val="0"/>
    <w:pPr>
      <w:widowControl/>
      <w:spacing w:line="400" w:lineRule="exact"/>
      <w:jc w:val="center"/>
    </w:pPr>
    <w:rPr>
      <w:rFonts w:ascii="Verdana" w:hAnsi="Verdana"/>
      <w:kern w:val="0"/>
      <w:szCs w:val="20"/>
      <w:lang w:eastAsia="en-US"/>
    </w:rPr>
  </w:style>
  <w:style w:type="paragraph" w:customStyle="1" w:styleId="418">
    <w:name w:val="正文缩进11"/>
    <w:basedOn w:val="1"/>
    <w:next w:val="1"/>
    <w:autoRedefine/>
    <w:qFormat/>
    <w:uiPriority w:val="0"/>
    <w:pPr>
      <w:spacing w:line="360" w:lineRule="atLeast"/>
      <w:ind w:firstLine="482"/>
    </w:pPr>
    <w:rPr>
      <w:rFonts w:hAnsi="宋体" w:cs="宋体"/>
      <w:kern w:val="0"/>
      <w:sz w:val="24"/>
      <w:szCs w:val="20"/>
    </w:rPr>
  </w:style>
  <w:style w:type="paragraph" w:customStyle="1" w:styleId="419">
    <w:name w:val="font14"/>
    <w:basedOn w:val="1"/>
    <w:next w:val="381"/>
    <w:autoRedefine/>
    <w:qFormat/>
    <w:uiPriority w:val="0"/>
    <w:pPr>
      <w:widowControl/>
      <w:spacing w:before="280" w:after="280"/>
    </w:pPr>
    <w:rPr>
      <w:rFonts w:ascii="宋体" w:hAnsi="宋体" w:cs="宋体"/>
      <w:kern w:val="0"/>
      <w:sz w:val="18"/>
      <w:szCs w:val="20"/>
    </w:rPr>
  </w:style>
  <w:style w:type="paragraph" w:customStyle="1" w:styleId="420">
    <w:name w:val="TOC 61"/>
    <w:next w:val="1"/>
    <w:autoRedefine/>
    <w:qFormat/>
    <w:uiPriority w:val="0"/>
    <w:pPr>
      <w:wordWrap w:val="0"/>
      <w:ind w:left="2125"/>
      <w:jc w:val="both"/>
    </w:pPr>
    <w:rPr>
      <w:rFonts w:ascii="宋体" w:hAnsi="宋体" w:eastAsia="宋体" w:cs="宋体"/>
      <w:sz w:val="21"/>
      <w:lang w:val="en-US" w:eastAsia="zh-CN" w:bidi="ar-SA"/>
    </w:rPr>
  </w:style>
  <w:style w:type="paragraph" w:customStyle="1" w:styleId="421">
    <w:name w:val="默认段落字体 Para Char Char Char Char"/>
    <w:basedOn w:val="1"/>
    <w:next w:val="33"/>
    <w:autoRedefine/>
    <w:qFormat/>
    <w:uiPriority w:val="0"/>
    <w:rPr>
      <w:rFonts w:hAnsi="宋体" w:cs="宋体"/>
      <w:kern w:val="0"/>
      <w:szCs w:val="20"/>
    </w:rPr>
  </w:style>
  <w:style w:type="paragraph" w:customStyle="1" w:styleId="422">
    <w:name w:val="p0"/>
    <w:basedOn w:val="1"/>
    <w:autoRedefine/>
    <w:qFormat/>
    <w:uiPriority w:val="0"/>
    <w:pPr>
      <w:widowControl/>
    </w:pPr>
    <w:rPr>
      <w:rFonts w:ascii="Calibri" w:hAnsi="Calibri" w:cs="宋体"/>
      <w:kern w:val="0"/>
      <w:szCs w:val="21"/>
    </w:rPr>
  </w:style>
  <w:style w:type="paragraph" w:customStyle="1" w:styleId="423">
    <w:name w:val="Char Char Char Char Char 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2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5">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6">
    <w:name w:val="TOC 标题1"/>
    <w:basedOn w:val="3"/>
    <w:next w:val="1"/>
    <w:autoRedefine/>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7">
    <w:name w:val="xl168"/>
    <w:basedOn w:val="1"/>
    <w:next w:val="1"/>
    <w:autoRedefine/>
    <w:qFormat/>
    <w:uiPriority w:val="0"/>
    <w:pPr>
      <w:widowControl/>
      <w:spacing w:before="280" w:after="280"/>
      <w:jc w:val="center"/>
    </w:pPr>
    <w:rPr>
      <w:rFonts w:ascii="宋体" w:hAnsi="宋体" w:cs="宋体"/>
      <w:kern w:val="0"/>
      <w:sz w:val="24"/>
      <w:szCs w:val="20"/>
    </w:rPr>
  </w:style>
  <w:style w:type="paragraph" w:customStyle="1" w:styleId="428">
    <w:name w:val="正文文本_0"/>
    <w:basedOn w:val="27"/>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9">
    <w:name w:val="默认段落字体 Para Char Char Char Char Char Char Char Char Char Char"/>
    <w:basedOn w:val="1"/>
    <w:next w:val="430"/>
    <w:autoRedefine/>
    <w:qFormat/>
    <w:uiPriority w:val="0"/>
    <w:rPr>
      <w:rFonts w:ascii="Tahoma" w:hAnsi="宋体" w:cs="宋体"/>
      <w:kern w:val="0"/>
      <w:sz w:val="24"/>
      <w:szCs w:val="20"/>
    </w:rPr>
  </w:style>
  <w:style w:type="paragraph" w:customStyle="1" w:styleId="430">
    <w:name w:val="reader-word-layer reader-word-s1-2"/>
    <w:basedOn w:val="1"/>
    <w:next w:val="45"/>
    <w:autoRedefine/>
    <w:qFormat/>
    <w:uiPriority w:val="0"/>
    <w:pPr>
      <w:widowControl/>
      <w:spacing w:before="280" w:after="280"/>
    </w:pPr>
    <w:rPr>
      <w:rFonts w:ascii="宋体" w:hAnsi="宋体" w:cs="宋体"/>
      <w:kern w:val="0"/>
      <w:sz w:val="24"/>
      <w:szCs w:val="20"/>
    </w:rPr>
  </w:style>
  <w:style w:type="paragraph" w:customStyle="1" w:styleId="431">
    <w:name w:val="TOC 41"/>
    <w:next w:val="1"/>
    <w:autoRedefine/>
    <w:qFormat/>
    <w:uiPriority w:val="0"/>
    <w:pPr>
      <w:wordWrap w:val="0"/>
      <w:ind w:left="1275"/>
      <w:jc w:val="both"/>
    </w:pPr>
    <w:rPr>
      <w:rFonts w:ascii="宋体" w:hAnsi="宋体" w:eastAsia="宋体" w:cs="宋体"/>
      <w:sz w:val="21"/>
      <w:lang w:val="en-US" w:eastAsia="zh-CN" w:bidi="ar-SA"/>
    </w:rPr>
  </w:style>
  <w:style w:type="paragraph" w:customStyle="1" w:styleId="432">
    <w:name w:val="xl137"/>
    <w:basedOn w:val="1"/>
    <w:next w:val="386"/>
    <w:autoRedefine/>
    <w:qFormat/>
    <w:uiPriority w:val="0"/>
    <w:pPr>
      <w:widowControl/>
      <w:spacing w:before="280" w:after="280"/>
      <w:jc w:val="center"/>
    </w:pPr>
    <w:rPr>
      <w:rFonts w:ascii="宋体" w:hAnsi="宋体" w:cs="宋体"/>
      <w:kern w:val="0"/>
      <w:sz w:val="20"/>
      <w:szCs w:val="20"/>
    </w:rPr>
  </w:style>
  <w:style w:type="paragraph" w:customStyle="1" w:styleId="433">
    <w:name w:val="_Style 37"/>
    <w:basedOn w:val="1"/>
    <w:next w:val="1"/>
    <w:autoRedefine/>
    <w:qFormat/>
    <w:uiPriority w:val="0"/>
  </w:style>
  <w:style w:type="paragraph" w:customStyle="1" w:styleId="434">
    <w:name w:val="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435">
    <w:name w:val="列出段落3"/>
    <w:basedOn w:val="1"/>
    <w:autoRedefine/>
    <w:qFormat/>
    <w:uiPriority w:val="0"/>
    <w:pPr>
      <w:ind w:firstLine="420" w:firstLineChars="200"/>
    </w:pPr>
  </w:style>
  <w:style w:type="paragraph" w:customStyle="1" w:styleId="436">
    <w:name w:val="Char Char Char Char Char Char Char Char Char Char Char Char Char"/>
    <w:basedOn w:val="1"/>
    <w:next w:val="437"/>
    <w:autoRedefine/>
    <w:qFormat/>
    <w:uiPriority w:val="0"/>
    <w:pPr>
      <w:ind w:left="420" w:hanging="420"/>
    </w:pPr>
    <w:rPr>
      <w:rFonts w:ascii="Tahoma" w:hAnsi="宋体" w:cs="宋体"/>
      <w:kern w:val="0"/>
      <w:sz w:val="24"/>
      <w:szCs w:val="20"/>
    </w:rPr>
  </w:style>
  <w:style w:type="paragraph" w:customStyle="1" w:styleId="437">
    <w:name w:val="Char Char Char Char1"/>
    <w:basedOn w:val="1"/>
    <w:next w:val="1"/>
    <w:autoRedefine/>
    <w:qFormat/>
    <w:uiPriority w:val="0"/>
    <w:pPr>
      <w:widowControl/>
      <w:spacing w:after="160" w:line="240" w:lineRule="exact"/>
    </w:pPr>
    <w:rPr>
      <w:rFonts w:hAnsi="宋体" w:cs="宋体"/>
      <w:kern w:val="0"/>
      <w:szCs w:val="20"/>
    </w:rPr>
  </w:style>
  <w:style w:type="paragraph" w:customStyle="1" w:styleId="438">
    <w:name w:val="默认段落字体 Para Char"/>
    <w:basedOn w:val="1"/>
    <w:next w:val="412"/>
    <w:autoRedefine/>
    <w:qFormat/>
    <w:uiPriority w:val="0"/>
    <w:rPr>
      <w:rFonts w:hAnsi="宋体" w:cs="宋体"/>
      <w:kern w:val="0"/>
      <w:szCs w:val="20"/>
    </w:rPr>
  </w:style>
  <w:style w:type="paragraph" w:customStyle="1" w:styleId="439">
    <w:name w:val="font12"/>
    <w:basedOn w:val="1"/>
    <w:next w:val="320"/>
    <w:autoRedefine/>
    <w:qFormat/>
    <w:uiPriority w:val="0"/>
    <w:pPr>
      <w:widowControl/>
      <w:spacing w:before="280" w:after="280"/>
    </w:pPr>
    <w:rPr>
      <w:rFonts w:ascii="宋体" w:hAnsi="宋体" w:cs="宋体"/>
      <w:color w:val="000000"/>
      <w:kern w:val="0"/>
      <w:sz w:val="18"/>
      <w:szCs w:val="20"/>
    </w:rPr>
  </w:style>
  <w:style w:type="paragraph" w:customStyle="1" w:styleId="440">
    <w:name w:val="样式 (中文) 黑体 小三 加粗 居中 行距: 1.5 倍行距"/>
    <w:basedOn w:val="1"/>
    <w:next w:val="1"/>
    <w:autoRedefine/>
    <w:qFormat/>
    <w:uiPriority w:val="0"/>
    <w:pPr>
      <w:spacing w:line="360" w:lineRule="auto"/>
      <w:jc w:val="center"/>
    </w:pPr>
    <w:rPr>
      <w:rFonts w:hAnsi="宋体" w:eastAsia="黑体" w:cs="宋体"/>
      <w:b/>
      <w:kern w:val="0"/>
      <w:sz w:val="30"/>
      <w:szCs w:val="20"/>
    </w:rPr>
  </w:style>
  <w:style w:type="paragraph" w:customStyle="1" w:styleId="441">
    <w:name w:val="目录 51"/>
    <w:basedOn w:val="1"/>
    <w:next w:val="1"/>
    <w:autoRedefine/>
    <w:qFormat/>
    <w:uiPriority w:val="0"/>
    <w:pPr>
      <w:ind w:left="1050"/>
    </w:pPr>
    <w:rPr>
      <w:rFonts w:ascii="Calibri" w:hAnsi="宋体" w:cs="宋体"/>
      <w:kern w:val="0"/>
      <w:szCs w:val="20"/>
    </w:rPr>
  </w:style>
  <w:style w:type="paragraph" w:customStyle="1" w:styleId="442">
    <w:name w:val="标题_0"/>
    <w:basedOn w:val="260"/>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3">
    <w:name w:val="Char Char Char1 Char1"/>
    <w:basedOn w:val="2"/>
    <w:next w:val="1"/>
    <w:autoRedefine/>
    <w:qFormat/>
    <w:uiPriority w:val="0"/>
    <w:pPr>
      <w:keepNext w:val="0"/>
      <w:keepLines w:val="0"/>
      <w:spacing w:before="120" w:after="120" w:line="240" w:lineRule="auto"/>
    </w:pPr>
    <w:rPr>
      <w:rFonts w:hAnsi="宋体" w:cs="宋体"/>
      <w:bCs w:val="0"/>
      <w:kern w:val="0"/>
      <w:szCs w:val="20"/>
    </w:rPr>
  </w:style>
  <w:style w:type="paragraph" w:customStyle="1" w:styleId="444">
    <w:name w:val="font7"/>
    <w:basedOn w:val="1"/>
    <w:next w:val="23"/>
    <w:autoRedefine/>
    <w:qFormat/>
    <w:uiPriority w:val="0"/>
    <w:pPr>
      <w:widowControl/>
      <w:spacing w:before="280" w:after="280"/>
    </w:pPr>
    <w:rPr>
      <w:rFonts w:ascii="宋体" w:hAnsi="宋体" w:cs="宋体"/>
      <w:kern w:val="0"/>
      <w:sz w:val="18"/>
      <w:szCs w:val="20"/>
    </w:rPr>
  </w:style>
  <w:style w:type="paragraph" w:customStyle="1" w:styleId="445">
    <w:name w:val="列出段落4"/>
    <w:basedOn w:val="1"/>
    <w:autoRedefine/>
    <w:qFormat/>
    <w:uiPriority w:val="99"/>
    <w:pPr>
      <w:ind w:firstLine="420" w:firstLineChars="200"/>
    </w:pPr>
    <w:rPr>
      <w:sz w:val="28"/>
    </w:rPr>
  </w:style>
  <w:style w:type="paragraph" w:customStyle="1" w:styleId="446">
    <w:name w:val="样式15"/>
    <w:next w:val="447"/>
    <w:autoRedefine/>
    <w:qFormat/>
    <w:uiPriority w:val="0"/>
    <w:pPr>
      <w:widowControl w:val="0"/>
      <w:jc w:val="center"/>
    </w:pPr>
    <w:rPr>
      <w:rFonts w:ascii="Times New Roman" w:hAnsi="宋体" w:eastAsia="宋体" w:cs="宋体"/>
      <w:sz w:val="18"/>
      <w:lang w:val="en-US" w:eastAsia="zh-CN" w:bidi="ar-SA"/>
    </w:rPr>
  </w:style>
  <w:style w:type="paragraph" w:customStyle="1" w:styleId="447">
    <w:name w:val="Char Char Char Char Char Char Char Char Char Char Char Char Char3"/>
    <w:basedOn w:val="1"/>
    <w:next w:val="448"/>
    <w:autoRedefine/>
    <w:qFormat/>
    <w:uiPriority w:val="0"/>
    <w:pPr>
      <w:ind w:left="420" w:hanging="420"/>
    </w:pPr>
    <w:rPr>
      <w:rFonts w:ascii="Tahoma" w:hAnsi="宋体" w:cs="宋体"/>
      <w:kern w:val="0"/>
      <w:sz w:val="24"/>
      <w:szCs w:val="20"/>
    </w:rPr>
  </w:style>
  <w:style w:type="paragraph" w:customStyle="1" w:styleId="448">
    <w:name w:val="xl158"/>
    <w:basedOn w:val="1"/>
    <w:next w:val="426"/>
    <w:autoRedefine/>
    <w:qFormat/>
    <w:uiPriority w:val="0"/>
    <w:pPr>
      <w:widowControl/>
      <w:spacing w:before="280" w:after="280"/>
    </w:pPr>
    <w:rPr>
      <w:rFonts w:ascii="宋体" w:hAnsi="宋体" w:cs="宋体"/>
      <w:b/>
      <w:kern w:val="0"/>
      <w:sz w:val="18"/>
      <w:szCs w:val="20"/>
    </w:rPr>
  </w:style>
  <w:style w:type="paragraph" w:customStyle="1" w:styleId="449">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0">
    <w:name w:val="Char Char1 Char Char Char2"/>
    <w:basedOn w:val="14"/>
    <w:autoRedefine/>
    <w:qFormat/>
    <w:uiPriority w:val="0"/>
    <w:rPr>
      <w:rFonts w:eastAsia="Times New Roman"/>
    </w:rPr>
  </w:style>
  <w:style w:type="paragraph" w:customStyle="1" w:styleId="451">
    <w:name w:val="引用1"/>
    <w:basedOn w:val="1"/>
    <w:next w:val="1"/>
    <w:autoRedefine/>
    <w:qFormat/>
    <w:uiPriority w:val="0"/>
    <w:rPr>
      <w:i/>
      <w:color w:val="000000"/>
      <w:sz w:val="22"/>
      <w:szCs w:val="20"/>
    </w:rPr>
  </w:style>
  <w:style w:type="paragraph" w:customStyle="1" w:styleId="452">
    <w:name w:val="TOC 71"/>
    <w:next w:val="1"/>
    <w:autoRedefine/>
    <w:qFormat/>
    <w:uiPriority w:val="0"/>
    <w:pPr>
      <w:wordWrap w:val="0"/>
      <w:ind w:left="2550"/>
      <w:jc w:val="both"/>
    </w:pPr>
    <w:rPr>
      <w:rFonts w:ascii="宋体" w:hAnsi="宋体" w:eastAsia="宋体" w:cs="宋体"/>
      <w:sz w:val="21"/>
      <w:lang w:val="en-US" w:eastAsia="zh-CN" w:bidi="ar-SA"/>
    </w:rPr>
  </w:style>
  <w:style w:type="paragraph" w:customStyle="1" w:styleId="453">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4">
    <w:name w:val="Char Char Char Char3"/>
    <w:basedOn w:val="1"/>
    <w:next w:val="1"/>
    <w:autoRedefine/>
    <w:qFormat/>
    <w:uiPriority w:val="0"/>
    <w:pPr>
      <w:widowControl/>
      <w:spacing w:after="160" w:line="240" w:lineRule="exact"/>
    </w:pPr>
    <w:rPr>
      <w:rFonts w:hAnsi="宋体" w:cs="宋体"/>
      <w:kern w:val="0"/>
      <w:szCs w:val="20"/>
    </w:rPr>
  </w:style>
  <w:style w:type="paragraph" w:customStyle="1" w:styleId="455">
    <w:name w:val="样式8"/>
    <w:basedOn w:val="1"/>
    <w:next w:val="290"/>
    <w:autoRedefine/>
    <w:qFormat/>
    <w:uiPriority w:val="0"/>
    <w:pPr>
      <w:spacing w:before="260" w:after="260"/>
      <w:jc w:val="center"/>
      <w:outlineLvl w:val="1"/>
    </w:pPr>
    <w:rPr>
      <w:rFonts w:ascii="Arial" w:hAnsi="宋体" w:eastAsia="黑体" w:cs="宋体"/>
      <w:b/>
      <w:kern w:val="0"/>
      <w:sz w:val="72"/>
      <w:szCs w:val="20"/>
    </w:rPr>
  </w:style>
  <w:style w:type="paragraph" w:customStyle="1" w:styleId="456">
    <w:name w:val="样式 标题 2 + (中文) 宋体 (西文)五号 非(西文)粗体 段前: 6 磅 段后: 3 磅 行距: 1.5 倍行距"/>
    <w:basedOn w:val="2"/>
    <w:next w:val="403"/>
    <w:autoRedefine/>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7">
    <w:name w:val="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58">
    <w:name w:val="TOC 标题3"/>
    <w:basedOn w:val="3"/>
    <w:next w:val="1"/>
    <w:autoRedefine/>
    <w:qFormat/>
    <w:uiPriority w:val="0"/>
    <w:pPr>
      <w:spacing w:line="576" w:lineRule="auto"/>
      <w:outlineLvl w:val="9"/>
    </w:pPr>
    <w:rPr>
      <w:rFonts w:ascii="Calibri" w:hAnsi="Calibri" w:eastAsia="黑体"/>
    </w:rPr>
  </w:style>
  <w:style w:type="paragraph" w:customStyle="1" w:styleId="459">
    <w:name w:val="Blockquote"/>
    <w:basedOn w:val="1"/>
    <w:next w:val="271"/>
    <w:autoRedefine/>
    <w:qFormat/>
    <w:uiPriority w:val="0"/>
    <w:pPr>
      <w:autoSpaceDE w:val="0"/>
      <w:autoSpaceDN w:val="0"/>
      <w:spacing w:before="100" w:after="100"/>
      <w:ind w:left="360" w:right="360"/>
    </w:pPr>
    <w:rPr>
      <w:rFonts w:hAnsi="宋体" w:cs="宋体"/>
      <w:kern w:val="0"/>
      <w:sz w:val="24"/>
      <w:szCs w:val="20"/>
    </w:rPr>
  </w:style>
  <w:style w:type="character" w:customStyle="1" w:styleId="460">
    <w:name w:val="15"/>
    <w:basedOn w:val="56"/>
    <w:autoRedefine/>
    <w:qFormat/>
    <w:uiPriority w:val="0"/>
  </w:style>
  <w:style w:type="paragraph" w:customStyle="1" w:styleId="4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3">
    <w:name w:val="_Style 19"/>
    <w:basedOn w:val="1"/>
    <w:next w:val="28"/>
    <w:autoRedefine/>
    <w:qFormat/>
    <w:uiPriority w:val="0"/>
    <w:rPr>
      <w:rFonts w:ascii="宋体" w:hAnsi="Courier New" w:cs="Courier New"/>
      <w:szCs w:val="21"/>
    </w:rPr>
  </w:style>
  <w:style w:type="character" w:customStyle="1" w:styleId="464">
    <w:name w:val="font61"/>
    <w:autoRedefine/>
    <w:qFormat/>
    <w:uiPriority w:val="0"/>
    <w:rPr>
      <w:rFonts w:hint="eastAsia" w:ascii="宋体" w:hAnsi="宋体" w:eastAsia="宋体" w:cs="宋体"/>
      <w:color w:val="000000"/>
      <w:sz w:val="21"/>
      <w:szCs w:val="21"/>
      <w:u w:val="none"/>
    </w:rPr>
  </w:style>
  <w:style w:type="character" w:customStyle="1" w:styleId="465">
    <w:name w:val="font51"/>
    <w:autoRedefine/>
    <w:qFormat/>
    <w:uiPriority w:val="0"/>
    <w:rPr>
      <w:rFonts w:hint="default" w:ascii="Times New Roman" w:hAnsi="Times New Roman" w:cs="Times New Roman"/>
      <w:color w:val="000000"/>
      <w:sz w:val="21"/>
      <w:szCs w:val="21"/>
      <w:u w:val="none"/>
    </w:rPr>
  </w:style>
  <w:style w:type="character" w:customStyle="1" w:styleId="46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467">
    <w:name w:val="Heading4"/>
    <w:basedOn w:val="1"/>
    <w:next w:val="1"/>
    <w:autoRedefine/>
    <w:qFormat/>
    <w:uiPriority w:val="0"/>
    <w:pPr>
      <w:keepNext/>
      <w:keepLines/>
      <w:spacing w:before="280" w:after="290" w:line="376" w:lineRule="auto"/>
    </w:pPr>
    <w:rPr>
      <w:rFonts w:ascii="Arial" w:hAnsi="Arial" w:eastAsia="黑体" w:cs="Calibr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69</Pages>
  <Words>36562</Words>
  <Characters>38414</Characters>
  <Lines>306</Lines>
  <Paragraphs>86</Paragraphs>
  <TotalTime>15</TotalTime>
  <ScaleCrop>false</ScaleCrop>
  <LinksUpToDate>false</LinksUpToDate>
  <CharactersWithSpaces>39745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2023-12-08T08:40:00Z</dcterms:created>
  <dc:creator>~一只~小螃蟹~</dc:creator>
  <cp:lastModifiedBy>Administrator</cp:lastModifiedBy>
  <cp:lastPrinted>2021-02-25T06:50:00Z</cp:lastPrinted>
  <dcterms:modified xsi:type="dcterms:W3CDTF">2024-06-27T07:15:18Z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5224565FAFF04BC4BB8ADA99C890CDFB_13</vt:lpwstr>
  </property>
</Properties>
</file>