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before="240" w:beforeLines="100" w:after="120" w:afterLines="50" w:line="800" w:lineRule="exact"/>
        <w:jc w:val="center"/>
        <w:outlineLvl w:val="0"/>
        <w:rPr>
          <w:rFonts w:hint="eastAsia" w:ascii="宋体" w:hAnsi="宋体" w:eastAsia="宋体"/>
          <w:b/>
          <w:w w:val="80"/>
          <w:sz w:val="30"/>
          <w:szCs w:val="30"/>
        </w:rPr>
      </w:pPr>
      <w:r>
        <w:rPr>
          <w:rFonts w:hint="eastAsia" w:ascii="宋体" w:hAnsi="宋体" w:eastAsia="宋体"/>
          <w:b/>
          <w:w w:val="80"/>
          <w:sz w:val="30"/>
          <w:szCs w:val="30"/>
        </w:rPr>
        <w:t xml:space="preserve"> 项目需求</w:t>
      </w:r>
    </w:p>
    <w:p>
      <w:pPr>
        <w:spacing w:line="420" w:lineRule="exact"/>
        <w:ind w:firstLine="487" w:firstLineChars="20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一</w:t>
      </w:r>
      <w:r>
        <w:rPr>
          <w:rFonts w:hint="eastAsia" w:ascii="宋体" w:hAnsi="宋体" w:eastAsia="宋体" w:cs="Times New Roman"/>
          <w:b/>
          <w:bCs/>
          <w:sz w:val="24"/>
          <w:szCs w:val="24"/>
          <w:lang w:eastAsia="zh-CN"/>
        </w:rPr>
        <w:t>、项目</w:t>
      </w:r>
      <w:r>
        <w:rPr>
          <w:rFonts w:hint="eastAsia" w:ascii="宋体" w:hAnsi="宋体" w:eastAsia="宋体" w:cs="Times New Roman"/>
          <w:b/>
          <w:bCs/>
          <w:sz w:val="24"/>
          <w:szCs w:val="24"/>
          <w:lang w:val="en-US" w:eastAsia="zh-CN"/>
        </w:rPr>
        <w:t>概况</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小洋港闸站于</w:t>
      </w:r>
      <w:r>
        <w:rPr>
          <w:rFonts w:hint="eastAsia" w:ascii="宋体" w:hAnsi="宋体" w:eastAsia="宋体" w:cs="Times New Roman"/>
          <w:sz w:val="24"/>
          <w:szCs w:val="24"/>
          <w:lang w:val="en-US" w:eastAsia="zh-CN"/>
        </w:rPr>
        <w:t>2019年4月30日通过完工验收并移交崇川区堤防涵闸管理所运行管理，2021年1月27日通过竣工验收。该工程建设单位为南通市城市建设集团有限公司，设计单位为江苏省水利勘测设计研究院有限公司，监理单位为南通通源建设监理有限公司，施工单位为江苏淮阴水利建设有限公司。</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该闸站闸门和液压启闭设备由扬州禹笑水利机械有限公司生产并安装。节制闸启闭设备采用倒挂式液压启闭机，型号为QPPY-2×160KN-3.7m，4台水泵配置支铰式液压启闭机设备共8台，启闭机的型号为QPKY-160KN-2.9m，闸门开度传感器均采用CS1102系列的全不锈钢静磁栅位移传感器。</w:t>
      </w:r>
    </w:p>
    <w:p>
      <w:pPr>
        <w:spacing w:line="420" w:lineRule="exact"/>
        <w:ind w:firstLine="484" w:firstLineChars="202"/>
        <w:rPr>
          <w:rFonts w:hint="eastAsia" w:ascii="宋体" w:hAnsi="宋体" w:eastAsia="宋体" w:cs="Times New Roman"/>
          <w:sz w:val="24"/>
          <w:szCs w:val="24"/>
        </w:rPr>
      </w:pPr>
      <w:r>
        <w:rPr>
          <w:rFonts w:hint="eastAsia" w:ascii="宋体" w:hAnsi="宋体" w:eastAsia="宋体" w:cs="Times New Roman"/>
          <w:sz w:val="24"/>
          <w:szCs w:val="24"/>
          <w:lang w:val="en-US" w:eastAsia="zh-CN"/>
        </w:rPr>
        <w:t>2020年10月31日，智慧控制系统二期实施单位钛能科技股份有限公司完成了小洋港闸站远程控制改造工程并投入试运行。</w:t>
      </w:r>
    </w:p>
    <w:p>
      <w:pPr>
        <w:spacing w:line="420" w:lineRule="exact"/>
        <w:ind w:firstLine="487" w:firstLineChars="20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二、故障情况</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2020年10月，智慧管控系统二期工程改造前发现4台水泵进出水侧闸门液压启闭机机座均出现固定地脚螺栓松动和支座混凝土破损，随即土建单位进行了加固处理。</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2021年2月19日至24日，闸站操作人员相继开泵均未能启动，经检查发现4台进出水闸门启闭机液压杆弯曲，闸门无法启闭。</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2021年6月4日，开闸引水后发现节制闸闸门未关闭到位，漏水严重，经查看，闸门启闭设备液压基座脱焊。6月9日，经土建单位调整溢流阀压力后，目前节制闸闸门启闭正常。</w:t>
      </w:r>
    </w:p>
    <w:p>
      <w:pPr>
        <w:spacing w:line="420" w:lineRule="exact"/>
        <w:ind w:firstLine="487" w:firstLineChars="20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三、原因分析</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小洋港闸站液压启闭设备故障发生后，市水利局、区农水局和区闸管所的领导高度重视，多次组织专家赶赴现场查看设备、查阅工程和设备资料，召开相关会议。经专家排查分析，造成该闸站液压启闭设备发生故障的主要原因是由于液压系统在闸门关到位后闭门压力未能及时卸载。</w:t>
      </w:r>
    </w:p>
    <w:p>
      <w:pPr>
        <w:spacing w:line="420" w:lineRule="exact"/>
        <w:ind w:firstLine="487" w:firstLineChars="20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四、维修措施</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小洋港闸站位于永红河出江口，承担着五山片区防汛排涝、畅流活水等重要职能。为尽快恢复该闸站正常运行，充分发挥其工程效益，确保五山片区防汛安全，且维修后该闸站启闭设备满足原设计要求，根据专题研究小洋港闸水泵闸站维修会议、小洋港闸站工程液压启闭系统故障原因专家分析会等会议要求，拟通过单一来源谈判方式确定维修单位为原启闭设备供应商扬州禹笑水利机械有限公司。</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工程实施内容：更换8根弯曲的泵室闸门启闭机液压杆（含配套的静磁栅闸门位移传感器），维修后该闸站液压控制系统信号恢复至原电气控制柜操作运行，对泵室闸门进行清洗保养等，详见附件。</w:t>
      </w:r>
    </w:p>
    <w:p>
      <w:pPr>
        <w:spacing w:line="420" w:lineRule="exact"/>
        <w:ind w:firstLine="487"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b/>
          <w:bCs/>
          <w:sz w:val="24"/>
          <w:szCs w:val="24"/>
          <w:highlight w:val="none"/>
          <w:lang w:val="en-US" w:eastAsia="zh-CN"/>
        </w:rPr>
        <w:t>五、服务期限</w:t>
      </w:r>
      <w:r>
        <w:rPr>
          <w:rFonts w:hint="eastAsia" w:ascii="宋体" w:hAnsi="宋体" w:eastAsia="宋体" w:cs="Times New Roman"/>
          <w:sz w:val="24"/>
          <w:szCs w:val="24"/>
          <w:highlight w:val="none"/>
          <w:lang w:val="en-US" w:eastAsia="zh-CN"/>
        </w:rPr>
        <w:t>：中标人</w:t>
      </w:r>
      <w:r>
        <w:rPr>
          <w:rFonts w:hint="eastAsia" w:ascii="宋体" w:hAnsi="宋体" w:eastAsia="宋体" w:cs="宋体"/>
          <w:kern w:val="0"/>
          <w:sz w:val="24"/>
          <w:szCs w:val="24"/>
          <w:highlight w:val="none"/>
        </w:rPr>
        <w:t>应于合同签订后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60</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日历天内完成所有闸（站）的维修工作，并服从采购单位的进度安排</w:t>
      </w:r>
      <w:r>
        <w:rPr>
          <w:rFonts w:hint="eastAsia" w:ascii="宋体" w:hAnsi="宋体" w:eastAsia="宋体" w:cs="Times New Roman"/>
          <w:sz w:val="24"/>
          <w:szCs w:val="24"/>
          <w:highlight w:val="none"/>
          <w:lang w:val="en-US" w:eastAsia="zh-CN"/>
        </w:rPr>
        <w:t>；</w:t>
      </w:r>
      <w:r>
        <w:rPr>
          <w:rFonts w:hint="eastAsia" w:ascii="宋体" w:hAnsi="宋体" w:eastAsia="宋体" w:cs="宋体"/>
          <w:kern w:val="0"/>
          <w:sz w:val="24"/>
          <w:szCs w:val="24"/>
          <w:highlight w:val="none"/>
        </w:rPr>
        <w:t>项目完工后</w:t>
      </w:r>
      <w:r>
        <w:rPr>
          <w:rFonts w:hint="eastAsia" w:ascii="宋体" w:hAnsi="宋体" w:eastAsia="宋体" w:cs="宋体"/>
          <w:kern w:val="0"/>
          <w:sz w:val="24"/>
          <w:szCs w:val="24"/>
          <w:highlight w:val="none"/>
          <w:u w:val="single"/>
          <w:lang w:val="en-US" w:eastAsia="zh-CN"/>
        </w:rPr>
        <w:t xml:space="preserve"> 10 </w:t>
      </w:r>
      <w:r>
        <w:rPr>
          <w:rFonts w:hint="eastAsia" w:ascii="宋体" w:hAnsi="宋体" w:eastAsia="宋体" w:cs="宋体"/>
          <w:kern w:val="0"/>
          <w:sz w:val="24"/>
          <w:szCs w:val="24"/>
          <w:highlight w:val="none"/>
        </w:rPr>
        <w:t>天内提交维修报告。</w:t>
      </w:r>
    </w:p>
    <w:p>
      <w:pPr>
        <w:spacing w:line="420" w:lineRule="exact"/>
        <w:ind w:firstLine="487"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b/>
          <w:bCs/>
          <w:sz w:val="24"/>
          <w:szCs w:val="24"/>
          <w:highlight w:val="none"/>
          <w:lang w:val="en-US" w:eastAsia="zh-CN"/>
        </w:rPr>
        <w:t>六、服务要求</w:t>
      </w:r>
      <w:r>
        <w:rPr>
          <w:rFonts w:hint="eastAsia" w:ascii="宋体" w:hAnsi="宋体" w:eastAsia="宋体" w:cs="Times New Roman"/>
          <w:sz w:val="24"/>
          <w:szCs w:val="24"/>
          <w:highlight w:val="none"/>
          <w:lang w:val="en-US" w:eastAsia="zh-CN"/>
        </w:rPr>
        <w:t>：更换8根弯曲的泵室闸门启闭机液压杆（含配套的静磁栅闸门位移传感器），维修后该闸站液压控制系统信号恢复至原电气控制柜操作运行，对泵室闸门进行清洗保养等，详见附件。</w:t>
      </w:r>
    </w:p>
    <w:p>
      <w:pPr>
        <w:spacing w:line="420" w:lineRule="exact"/>
        <w:ind w:firstLine="487" w:firstLineChars="202"/>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七、质量标准</w:t>
      </w:r>
      <w:r>
        <w:rPr>
          <w:rFonts w:hint="eastAsia" w:ascii="宋体" w:hAnsi="宋体" w:eastAsia="宋体" w:cs="Times New Roman"/>
          <w:sz w:val="24"/>
          <w:szCs w:val="24"/>
          <w:lang w:val="en-US" w:eastAsia="zh-CN"/>
        </w:rPr>
        <w:t>：参照《水利水电工程启闭机制造安装及验收规范》和江苏省水闸、泵站工程管理考核标准要求一次性验收合格。</w:t>
      </w:r>
    </w:p>
    <w:p>
      <w:pPr>
        <w:spacing w:line="420" w:lineRule="exact"/>
        <w:ind w:firstLine="487" w:firstLineChars="202"/>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八、付款方式</w:t>
      </w:r>
    </w:p>
    <w:p>
      <w:pPr>
        <w:spacing w:line="420" w:lineRule="exact"/>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1、本合同价格为固定不变价，合同总价包含招标文件中约定的所有内容。</w:t>
      </w:r>
    </w:p>
    <w:p>
      <w:pPr>
        <w:spacing w:line="420" w:lineRule="exact"/>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2、工程通过完工验收合格后付至合同价的70%，余款待保修期满（完工验收合格一年）且无遗留时问题付清，若有遗留问题，时间顺延。</w:t>
      </w:r>
    </w:p>
    <w:p>
      <w:pPr>
        <w:spacing w:line="420" w:lineRule="exact"/>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3、申请支付时提供正式发票，采取转帐方式支付项目款项。</w:t>
      </w:r>
    </w:p>
    <w:p>
      <w:pPr>
        <w:spacing w:line="420" w:lineRule="exact"/>
        <w:ind w:firstLine="487" w:firstLineChars="202"/>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九、验收</w:t>
      </w:r>
    </w:p>
    <w:p>
      <w:pPr>
        <w:spacing w:line="420" w:lineRule="exact"/>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lang w:val="en-US" w:eastAsia="zh-CN"/>
        </w:rPr>
        <w:t>1、项目由采购人或有关部门进行验收，中标人并出具完工验收报告，维修报告中需提供：①维修前后图片；②更换损坏件清单与更换前后图片；③油</w:t>
      </w:r>
      <w:r>
        <w:rPr>
          <w:rFonts w:hint="eastAsia" w:ascii="宋体" w:hAnsi="宋体" w:eastAsia="宋体" w:cs="Times New Roman"/>
          <w:sz w:val="24"/>
          <w:szCs w:val="24"/>
          <w:highlight w:val="none"/>
          <w:lang w:val="en-US" w:eastAsia="zh-CN"/>
        </w:rPr>
        <w:t>压系统、控制系统维修后的检测数据。</w:t>
      </w:r>
    </w:p>
    <w:p>
      <w:pPr>
        <w:spacing w:line="420" w:lineRule="exact"/>
        <w:ind w:firstLine="484" w:firstLineChars="202"/>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2、维修后由甲方按规定组织验收，验收合格后签发验收单。</w:t>
      </w:r>
    </w:p>
    <w:p>
      <w:pPr>
        <w:spacing w:line="420" w:lineRule="exact"/>
        <w:ind w:firstLine="487" w:firstLineChars="202"/>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十、售后服务及质保</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1、中标人负责调试、验收，并承担因此发生的一切费用。</w:t>
      </w:r>
    </w:p>
    <w:p>
      <w:pPr>
        <w:spacing w:line="420" w:lineRule="exact"/>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2、质保期间各液压式启闭机如遇突发故障不能正常运行，必要时，中标人须派技术员4小时内赶到现场进行故障处理。因维修单位自身原因导致维修不到位而产生的一切费用不再额外支付。</w:t>
      </w:r>
    </w:p>
    <w:p/>
    <w:p>
      <w:pPr>
        <w:pStyle w:val="2"/>
      </w:pPr>
    </w:p>
    <w:p>
      <w:pPr>
        <w:snapToGrid w:val="0"/>
        <w:spacing w:line="420" w:lineRule="exact"/>
        <w:jc w:val="center"/>
        <w:outlineLvl w:val="3"/>
        <w:rPr>
          <w:rFonts w:hint="eastAsia" w:ascii="宋体" w:hAnsi="宋体" w:eastAsia="宋体"/>
          <w:b/>
          <w:bCs/>
          <w:sz w:val="24"/>
          <w:szCs w:val="24"/>
        </w:rPr>
      </w:pPr>
    </w:p>
    <w:p>
      <w:pPr>
        <w:snapToGrid w:val="0"/>
        <w:spacing w:line="420" w:lineRule="exact"/>
        <w:jc w:val="center"/>
        <w:outlineLvl w:val="3"/>
        <w:rPr>
          <w:rFonts w:hint="eastAsia" w:ascii="宋体" w:hAnsi="宋体" w:eastAsia="宋体"/>
          <w:b/>
          <w:bCs/>
          <w:sz w:val="24"/>
          <w:szCs w:val="24"/>
        </w:rPr>
      </w:pPr>
    </w:p>
    <w:p>
      <w:pPr>
        <w:snapToGrid w:val="0"/>
        <w:spacing w:line="420" w:lineRule="exact"/>
        <w:jc w:val="center"/>
        <w:outlineLvl w:val="3"/>
        <w:rPr>
          <w:rFonts w:hint="eastAsia" w:ascii="宋体" w:hAnsi="宋体" w:eastAsia="宋体"/>
          <w:b/>
          <w:bCs/>
          <w:sz w:val="24"/>
          <w:szCs w:val="24"/>
        </w:rPr>
      </w:pPr>
    </w:p>
    <w:p>
      <w:pPr>
        <w:snapToGrid w:val="0"/>
        <w:spacing w:line="420" w:lineRule="exact"/>
        <w:jc w:val="center"/>
        <w:outlineLvl w:val="3"/>
        <w:rPr>
          <w:rFonts w:hint="eastAsia" w:ascii="宋体" w:hAnsi="宋体" w:eastAsia="宋体"/>
          <w:b/>
          <w:bCs/>
          <w:sz w:val="24"/>
          <w:szCs w:val="24"/>
        </w:rPr>
      </w:pPr>
    </w:p>
    <w:p>
      <w:pPr>
        <w:snapToGrid w:val="0"/>
        <w:spacing w:line="420" w:lineRule="exact"/>
        <w:jc w:val="both"/>
        <w:outlineLvl w:val="3"/>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附件</w:t>
      </w:r>
      <w:bookmarkStart w:id="0" w:name="_GoBack"/>
      <w:bookmarkEnd w:id="0"/>
    </w:p>
    <w:p>
      <w:pPr>
        <w:snapToGrid w:val="0"/>
        <w:spacing w:line="420" w:lineRule="exact"/>
        <w:ind w:left="1133" w:hanging="1132" w:hangingChars="472"/>
        <w:rPr>
          <w:rFonts w:hint="eastAsia" w:ascii="宋体" w:hAnsi="宋体" w:eastAsia="宋体"/>
          <w:sz w:val="24"/>
          <w:szCs w:val="24"/>
          <w:lang w:eastAsia="zh-CN"/>
        </w:rPr>
      </w:pPr>
      <w:r>
        <w:rPr>
          <w:rFonts w:hint="eastAsia" w:ascii="宋体" w:hAnsi="宋体" w:eastAsia="宋体"/>
          <w:sz w:val="24"/>
          <w:szCs w:val="24"/>
        </w:rPr>
        <w:t>项目名称：</w:t>
      </w:r>
      <w:r>
        <w:rPr>
          <w:rFonts w:hint="eastAsia" w:ascii="宋体" w:hAnsi="宋体" w:eastAsia="宋体"/>
          <w:sz w:val="24"/>
          <w:szCs w:val="24"/>
          <w:lang w:eastAsia="zh-CN"/>
        </w:rPr>
        <w:t xml:space="preserve">小洋港闸站液压启闭机维修项目 </w:t>
      </w:r>
    </w:p>
    <w:tbl>
      <w:tblPr>
        <w:tblStyle w:val="5"/>
        <w:tblW w:w="8017" w:type="dxa"/>
        <w:jc w:val="center"/>
        <w:tblLayout w:type="fixed"/>
        <w:tblCellMar>
          <w:top w:w="0" w:type="dxa"/>
          <w:left w:w="10" w:type="dxa"/>
          <w:bottom w:w="0" w:type="dxa"/>
          <w:right w:w="10" w:type="dxa"/>
        </w:tblCellMar>
      </w:tblPr>
      <w:tblGrid>
        <w:gridCol w:w="895"/>
        <w:gridCol w:w="2998"/>
        <w:gridCol w:w="1045"/>
        <w:gridCol w:w="1157"/>
        <w:gridCol w:w="1922"/>
      </w:tblGrid>
      <w:tr>
        <w:tblPrEx>
          <w:tblCellMar>
            <w:top w:w="0" w:type="dxa"/>
            <w:left w:w="10" w:type="dxa"/>
            <w:bottom w:w="0" w:type="dxa"/>
            <w:right w:w="10" w:type="dxa"/>
          </w:tblCellMar>
        </w:tblPrEx>
        <w:trPr>
          <w:trHeight w:val="791"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序号</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工作内容</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単位</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数量</w:t>
            </w:r>
          </w:p>
        </w:tc>
        <w:tc>
          <w:tcPr>
            <w:tcW w:w="192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340" w:firstLine="0"/>
              <w:jc w:val="right"/>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备注</w:t>
            </w:r>
          </w:p>
        </w:tc>
      </w:tr>
      <w:tr>
        <w:tblPrEx>
          <w:tblCellMar>
            <w:top w:w="0" w:type="dxa"/>
            <w:left w:w="10" w:type="dxa"/>
            <w:bottom w:w="0" w:type="dxa"/>
            <w:right w:w="10" w:type="dxa"/>
          </w:tblCellMar>
        </w:tblPrEx>
        <w:trPr>
          <w:trHeight w:val="607"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液压启闭机拆除</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台套</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8</w:t>
            </w:r>
          </w:p>
        </w:tc>
        <w:tc>
          <w:tcPr>
            <w:tcW w:w="1922"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活塞杆制作</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件</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7</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52"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default"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传感器</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件</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8</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65"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4</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密封件</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套</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7</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07"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防护罩</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件</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7</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07"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6</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油缸</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件</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拆装试压</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台套</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7</w:t>
            </w:r>
          </w:p>
        </w:tc>
        <w:tc>
          <w:tcPr>
            <w:tcW w:w="1922" w:type="dxa"/>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含原油缸清洗保养</w:t>
            </w:r>
          </w:p>
        </w:tc>
      </w:tr>
      <w:tr>
        <w:tblPrEx>
          <w:tblCellMar>
            <w:top w:w="0" w:type="dxa"/>
            <w:left w:w="10" w:type="dxa"/>
            <w:bottom w:w="0" w:type="dxa"/>
            <w:right w:w="10" w:type="dxa"/>
          </w:tblCellMar>
        </w:tblPrEx>
        <w:trPr>
          <w:trHeight w:val="596"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液压启闭机安装</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台套</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8</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30"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9</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运费</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项</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07"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10</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电气恢复</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项</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07"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补液压油</w:t>
            </w:r>
          </w:p>
        </w:tc>
        <w:tc>
          <w:tcPr>
            <w:tcW w:w="1045"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桶</w:t>
            </w:r>
          </w:p>
        </w:tc>
        <w:tc>
          <w:tcPr>
            <w:tcW w:w="115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4</w:t>
            </w:r>
          </w:p>
        </w:tc>
        <w:tc>
          <w:tcPr>
            <w:tcW w:w="1922" w:type="dxa"/>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Times New Roman"/>
                <w:kern w:val="2"/>
                <w:sz w:val="24"/>
                <w:szCs w:val="24"/>
                <w:u w:val="none"/>
                <w:shd w:val="clear"/>
                <w:lang w:val="en-US" w:eastAsia="zh-CN" w:bidi="ar-SA"/>
              </w:rPr>
            </w:pPr>
          </w:p>
        </w:tc>
      </w:tr>
      <w:tr>
        <w:tblPrEx>
          <w:tblCellMar>
            <w:top w:w="0" w:type="dxa"/>
            <w:left w:w="10" w:type="dxa"/>
            <w:bottom w:w="0" w:type="dxa"/>
            <w:right w:w="10" w:type="dxa"/>
          </w:tblCellMar>
        </w:tblPrEx>
        <w:trPr>
          <w:trHeight w:val="618" w:hRule="exact"/>
          <w:jc w:val="center"/>
        </w:trPr>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12</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闸门检査</w:t>
            </w:r>
          </w:p>
        </w:tc>
        <w:tc>
          <w:tcPr>
            <w:tcW w:w="1045"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项</w:t>
            </w:r>
          </w:p>
        </w:tc>
        <w:tc>
          <w:tcPr>
            <w:tcW w:w="115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w:t>
            </w:r>
          </w:p>
        </w:tc>
        <w:tc>
          <w:tcPr>
            <w:tcW w:w="19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含人工及吊车费</w:t>
            </w:r>
          </w:p>
        </w:tc>
      </w:tr>
      <w:tr>
        <w:tblPrEx>
          <w:tblCellMar>
            <w:top w:w="0" w:type="dxa"/>
            <w:left w:w="10" w:type="dxa"/>
            <w:bottom w:w="0" w:type="dxa"/>
            <w:right w:w="10" w:type="dxa"/>
          </w:tblCellMar>
        </w:tblPrEx>
        <w:trPr>
          <w:trHeight w:val="928" w:hRule="exact"/>
          <w:jc w:val="center"/>
        </w:trPr>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13</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闸门维修清洗</w:t>
            </w:r>
          </w:p>
        </w:tc>
        <w:tc>
          <w:tcPr>
            <w:tcW w:w="1045"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项</w:t>
            </w:r>
          </w:p>
        </w:tc>
        <w:tc>
          <w:tcPr>
            <w:tcW w:w="115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1</w:t>
            </w:r>
          </w:p>
        </w:tc>
        <w:tc>
          <w:tcPr>
            <w:tcW w:w="1922"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left"/>
              <w:rPr>
                <w:rFonts w:hint="eastAsia" w:ascii="宋体" w:hAnsi="宋体" w:eastAsia="宋体" w:cs="Times New Roman"/>
                <w:kern w:val="2"/>
                <w:sz w:val="24"/>
                <w:szCs w:val="24"/>
                <w:u w:val="none"/>
                <w:shd w:val="clear"/>
                <w:lang w:val="en-US" w:eastAsia="zh-CN" w:bidi="ar-SA"/>
              </w:rPr>
            </w:pPr>
            <w:r>
              <w:rPr>
                <w:rFonts w:hint="eastAsia" w:ascii="宋体" w:hAnsi="宋体" w:eastAsia="宋体" w:cs="Times New Roman"/>
                <w:kern w:val="2"/>
                <w:sz w:val="24"/>
                <w:szCs w:val="24"/>
                <w:u w:val="none"/>
                <w:shd w:val="clear"/>
                <w:lang w:val="en-US" w:eastAsia="zh-CN" w:bidi="ar-SA"/>
              </w:rPr>
              <w:t>含2只侧滚轮更换、含人工及吊车费</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创艺简仿宋">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34C2F"/>
    <w:rsid w:val="5AA2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uiPriority w:val="99"/>
    <w:pPr>
      <w:snapToGrid w:val="0"/>
    </w:pPr>
    <w:rPr>
      <w:rFonts w:ascii="Arial" w:hAnsi="Arial"/>
    </w:rPr>
  </w:style>
  <w:style w:type="paragraph" w:customStyle="1" w:styleId="7">
    <w:name w:val="Other|1"/>
    <w:basedOn w:val="1"/>
    <w:qFormat/>
    <w:uiPriority w:val="0"/>
    <w:pPr>
      <w:widowControl w:val="0"/>
      <w:shd w:val="clear" w:color="auto" w:fill="auto"/>
    </w:pPr>
    <w:rPr>
      <w:sz w:val="12"/>
      <w:szCs w:val="1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user01</dc:creator>
  <cp:lastModifiedBy>Da脸菇凉</cp:lastModifiedBy>
  <dcterms:modified xsi:type="dcterms:W3CDTF">2021-09-08T02:43:23Z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EE3870FFFB0A4640BC31798807B197EA</vt:lpwstr>
  </property>
</Properties>
</file>