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E3CEF">
      <w:pPr>
        <w:numPr>
          <w:ilvl w:val="0"/>
          <w:numId w:val="0"/>
        </w:numPr>
        <w:autoSpaceDE w:val="0"/>
        <w:autoSpaceDN w:val="0"/>
        <w:spacing w:line="360" w:lineRule="auto"/>
        <w:ind w:leftChars="0"/>
        <w:contextualSpacing/>
        <w:jc w:val="center"/>
        <w:rPr>
          <w:rFonts w:hint="eastAsia" w:ascii="仿宋" w:hAnsi="仿宋" w:eastAsia="仿宋" w:cs="仿宋"/>
          <w:b/>
          <w:color w:val="auto"/>
          <w:w w:val="80"/>
          <w:kern w:val="44"/>
          <w:sz w:val="36"/>
          <w:szCs w:val="36"/>
          <w:highlight w:val="none"/>
        </w:rPr>
      </w:pPr>
      <w:bookmarkStart w:id="0" w:name="_Toc363573853"/>
      <w:r>
        <w:rPr>
          <w:rFonts w:hint="eastAsia" w:ascii="仿宋" w:hAnsi="仿宋" w:eastAsia="仿宋" w:cs="仿宋"/>
          <w:b/>
          <w:color w:val="auto"/>
          <w:w w:val="80"/>
          <w:kern w:val="44"/>
          <w:sz w:val="36"/>
          <w:szCs w:val="36"/>
          <w:highlight w:val="none"/>
          <w:lang w:eastAsia="zh-CN"/>
        </w:rPr>
        <w:t>滨江休闲文化街房屋安全鉴定服务采购项目</w:t>
      </w:r>
      <w:r>
        <w:rPr>
          <w:rFonts w:hint="eastAsia" w:ascii="仿宋" w:hAnsi="仿宋" w:eastAsia="仿宋" w:cs="仿宋"/>
          <w:b/>
          <w:color w:val="auto"/>
          <w:w w:val="80"/>
          <w:kern w:val="44"/>
          <w:sz w:val="36"/>
          <w:szCs w:val="36"/>
          <w:highlight w:val="none"/>
        </w:rPr>
        <w:t>招标公告</w:t>
      </w:r>
      <w:bookmarkEnd w:id="0"/>
    </w:p>
    <w:p w14:paraId="50DB733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项目概况</w:t>
      </w:r>
    </w:p>
    <w:p w14:paraId="206F1A4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Cs/>
          <w:color w:val="auto"/>
          <w:szCs w:val="24"/>
          <w:highlight w:val="none"/>
          <w:u w:val="single"/>
        </w:rPr>
      </w:pPr>
      <w:r>
        <w:rPr>
          <w:rFonts w:hint="eastAsia" w:ascii="仿宋" w:hAnsi="仿宋" w:eastAsia="仿宋" w:cs="仿宋"/>
          <w:bCs/>
          <w:color w:val="auto"/>
          <w:szCs w:val="24"/>
          <w:highlight w:val="none"/>
          <w:u w:val="single"/>
          <w:lang w:eastAsia="zh-CN"/>
        </w:rPr>
        <w:t>苏州新一造价师价格事务所有限公司</w:t>
      </w:r>
      <w:r>
        <w:rPr>
          <w:rFonts w:hint="eastAsia" w:ascii="仿宋" w:hAnsi="仿宋" w:eastAsia="仿宋" w:cs="仿宋"/>
          <w:color w:val="auto"/>
          <w:szCs w:val="24"/>
          <w:highlight w:val="none"/>
        </w:rPr>
        <w:t>受</w:t>
      </w:r>
      <w:r>
        <w:rPr>
          <w:rFonts w:hint="eastAsia" w:ascii="仿宋" w:hAnsi="仿宋" w:eastAsia="仿宋" w:cs="仿宋"/>
          <w:bCs/>
          <w:color w:val="auto"/>
          <w:szCs w:val="24"/>
          <w:highlight w:val="none"/>
          <w:u w:val="single"/>
          <w:lang w:eastAsia="zh-CN"/>
        </w:rPr>
        <w:t>南通市崇川区任港街道办事处</w:t>
      </w:r>
      <w:r>
        <w:rPr>
          <w:rFonts w:hint="eastAsia" w:ascii="仿宋" w:hAnsi="仿宋" w:eastAsia="仿宋" w:cs="仿宋"/>
          <w:color w:val="auto"/>
          <w:szCs w:val="24"/>
          <w:highlight w:val="none"/>
        </w:rPr>
        <w:t>委托，依据</w:t>
      </w:r>
      <w:r>
        <w:rPr>
          <w:rFonts w:hint="eastAsia" w:ascii="仿宋" w:hAnsi="仿宋" w:eastAsia="仿宋" w:cs="仿宋"/>
          <w:color w:val="auto"/>
          <w:szCs w:val="24"/>
          <w:highlight w:val="none"/>
          <w:shd w:val="clear" w:color="auto" w:fill="FFFFFF"/>
        </w:rPr>
        <w:t>《</w:t>
      </w:r>
      <w:bookmarkStart w:id="1" w:name="_Hlk511759277"/>
      <w:r>
        <w:rPr>
          <w:rFonts w:hint="eastAsia" w:ascii="仿宋" w:hAnsi="仿宋" w:eastAsia="仿宋" w:cs="仿宋"/>
          <w:color w:val="auto"/>
          <w:szCs w:val="24"/>
          <w:highlight w:val="none"/>
          <w:shd w:val="clear" w:color="auto" w:fill="FFFFFF"/>
        </w:rPr>
        <w:t>中华人民共和国招标投标法</w:t>
      </w:r>
      <w:bookmarkEnd w:id="1"/>
      <w:r>
        <w:rPr>
          <w:rFonts w:hint="eastAsia" w:ascii="仿宋" w:hAnsi="仿宋" w:eastAsia="仿宋" w:cs="仿宋"/>
          <w:color w:val="auto"/>
          <w:szCs w:val="24"/>
          <w:highlight w:val="none"/>
          <w:shd w:val="clear" w:color="auto" w:fill="FFFFFF"/>
        </w:rPr>
        <w:t>》和其他有关法律、法规及规章的规定，就</w:t>
      </w:r>
      <w:r>
        <w:rPr>
          <w:rFonts w:hint="eastAsia" w:ascii="仿宋" w:hAnsi="仿宋" w:eastAsia="仿宋" w:cs="仿宋"/>
          <w:bCs/>
          <w:color w:val="auto"/>
          <w:szCs w:val="24"/>
          <w:highlight w:val="none"/>
          <w:u w:val="single"/>
          <w:lang w:eastAsia="zh-CN"/>
        </w:rPr>
        <w:t>滨江休闲文化街房屋安全鉴定服务采购项目</w:t>
      </w:r>
      <w:r>
        <w:rPr>
          <w:rFonts w:hint="eastAsia" w:ascii="仿宋" w:hAnsi="仿宋" w:eastAsia="仿宋" w:cs="仿宋"/>
          <w:color w:val="auto"/>
          <w:szCs w:val="24"/>
          <w:highlight w:val="none"/>
          <w:shd w:val="clear" w:color="auto" w:fill="FFFFFF"/>
        </w:rPr>
        <w:t>进行公开招标。</w:t>
      </w:r>
    </w:p>
    <w:p w14:paraId="711E8656">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bookmarkStart w:id="2" w:name="_Toc35393621"/>
      <w:bookmarkStart w:id="3" w:name="_Toc35393790"/>
      <w:bookmarkStart w:id="4" w:name="_Toc28359079"/>
      <w:bookmarkStart w:id="5" w:name="_Toc28359002"/>
      <w:bookmarkStart w:id="6" w:name="_Hlk24379207"/>
      <w:r>
        <w:rPr>
          <w:rFonts w:hint="eastAsia" w:ascii="仿宋" w:hAnsi="仿宋" w:eastAsia="仿宋" w:cs="仿宋"/>
          <w:b/>
          <w:color w:val="auto"/>
          <w:szCs w:val="24"/>
          <w:highlight w:val="none"/>
        </w:rPr>
        <w:t>一、项目基本情况</w:t>
      </w:r>
      <w:bookmarkEnd w:id="2"/>
      <w:bookmarkEnd w:id="3"/>
      <w:bookmarkEnd w:id="4"/>
      <w:bookmarkEnd w:id="5"/>
    </w:p>
    <w:p w14:paraId="60BB917E">
      <w:pPr>
        <w:wordWrap w:val="0"/>
        <w:topLinePunct/>
        <w:spacing w:line="360" w:lineRule="auto"/>
        <w:ind w:firstLine="480" w:firstLineChars="200"/>
        <w:jc w:val="both"/>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项目编号：NTXYZB2025009</w:t>
      </w:r>
    </w:p>
    <w:p w14:paraId="028583E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项目名称：</w:t>
      </w:r>
      <w:r>
        <w:rPr>
          <w:rFonts w:hint="eastAsia" w:ascii="仿宋" w:hAnsi="仿宋" w:eastAsia="仿宋" w:cs="仿宋"/>
          <w:bCs/>
          <w:color w:val="auto"/>
          <w:szCs w:val="24"/>
          <w:highlight w:val="none"/>
          <w:lang w:eastAsia="zh-CN"/>
        </w:rPr>
        <w:t>滨江休闲文化街房屋安全鉴定服务采购项目</w:t>
      </w:r>
    </w:p>
    <w:bookmarkEnd w:id="6"/>
    <w:p w14:paraId="3D9B3F7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标段划分：共一个标段；</w:t>
      </w:r>
    </w:p>
    <w:p w14:paraId="4D9A4CA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bookmarkStart w:id="7" w:name="_Hlk73953389"/>
      <w:r>
        <w:rPr>
          <w:rFonts w:hint="eastAsia" w:ascii="仿宋" w:hAnsi="仿宋" w:eastAsia="仿宋" w:cs="仿宋"/>
          <w:color w:val="auto"/>
          <w:szCs w:val="24"/>
          <w:highlight w:val="none"/>
        </w:rPr>
        <w:t>采购预算：约</w:t>
      </w:r>
      <w:bookmarkEnd w:id="7"/>
      <w:r>
        <w:rPr>
          <w:rFonts w:hint="eastAsia" w:ascii="仿宋" w:hAnsi="仿宋" w:eastAsia="仿宋" w:cs="仿宋"/>
          <w:color w:val="auto"/>
          <w:szCs w:val="24"/>
          <w:highlight w:val="none"/>
          <w:lang w:val="en-US" w:eastAsia="zh-CN"/>
        </w:rPr>
        <w:t>24.50万元</w:t>
      </w:r>
      <w:r>
        <w:rPr>
          <w:rFonts w:hint="eastAsia" w:ascii="仿宋" w:hAnsi="仿宋" w:eastAsia="仿宋" w:cs="仿宋"/>
          <w:color w:val="auto"/>
          <w:szCs w:val="24"/>
          <w:highlight w:val="none"/>
        </w:rPr>
        <w:t>；</w:t>
      </w:r>
    </w:p>
    <w:p w14:paraId="1CC7F051">
      <w:pPr>
        <w:spacing w:line="360" w:lineRule="auto"/>
        <w:ind w:firstLine="480" w:firstLineChars="200"/>
        <w:rPr>
          <w:rFonts w:hint="eastAsia" w:ascii="仿宋" w:hAnsi="仿宋" w:eastAsia="仿宋" w:cs="仿宋"/>
          <w:color w:val="auto"/>
          <w:szCs w:val="26"/>
          <w:highlight w:val="none"/>
        </w:rPr>
      </w:pPr>
      <w:r>
        <w:rPr>
          <w:rFonts w:hint="eastAsia" w:ascii="仿宋" w:hAnsi="仿宋" w:eastAsia="仿宋" w:cs="仿宋"/>
          <w:color w:val="auto"/>
          <w:szCs w:val="24"/>
          <w:highlight w:val="none"/>
        </w:rPr>
        <w:t>最高限价：本项目采用</w:t>
      </w:r>
      <w:r>
        <w:rPr>
          <w:rFonts w:hint="eastAsia" w:ascii="仿宋" w:hAnsi="仿宋" w:eastAsia="仿宋" w:cs="仿宋"/>
          <w:color w:val="auto"/>
          <w:szCs w:val="24"/>
          <w:highlight w:val="none"/>
          <w:lang w:eastAsia="zh-CN"/>
        </w:rPr>
        <w:t>固定综合单价报价</w:t>
      </w:r>
      <w:r>
        <w:rPr>
          <w:rFonts w:hint="eastAsia" w:ascii="仿宋" w:hAnsi="仿宋" w:eastAsia="仿宋" w:cs="仿宋"/>
          <w:color w:val="auto"/>
          <w:szCs w:val="24"/>
          <w:highlight w:val="none"/>
        </w:rPr>
        <w:t>，单价最高限价为</w:t>
      </w:r>
      <w:r>
        <w:rPr>
          <w:rFonts w:hint="eastAsia" w:ascii="仿宋" w:hAnsi="仿宋" w:eastAsia="仿宋" w:cs="仿宋"/>
          <w:color w:val="auto"/>
          <w:szCs w:val="24"/>
          <w:highlight w:val="none"/>
          <w:lang w:eastAsia="zh-CN"/>
        </w:rPr>
        <w:t>9.80元/平方米</w:t>
      </w:r>
      <w:r>
        <w:rPr>
          <w:rFonts w:hint="eastAsia" w:ascii="仿宋" w:hAnsi="仿宋" w:eastAsia="仿宋" w:cs="仿宋"/>
          <w:color w:val="auto"/>
          <w:szCs w:val="24"/>
          <w:highlight w:val="none"/>
        </w:rPr>
        <w:t>，</w:t>
      </w:r>
      <w:r>
        <w:rPr>
          <w:rFonts w:hint="eastAsia" w:ascii="仿宋" w:hAnsi="仿宋" w:eastAsia="仿宋" w:cs="仿宋"/>
          <w:color w:val="auto"/>
          <w:szCs w:val="26"/>
          <w:highlight w:val="none"/>
        </w:rPr>
        <w:t>投标报价</w:t>
      </w:r>
      <w:r>
        <w:rPr>
          <w:rFonts w:hint="eastAsia" w:ascii="仿宋" w:hAnsi="仿宋" w:eastAsia="仿宋" w:cs="仿宋"/>
          <w:b/>
          <w:bCs/>
          <w:color w:val="auto"/>
          <w:szCs w:val="26"/>
          <w:highlight w:val="none"/>
        </w:rPr>
        <w:t>等于或高于</w:t>
      </w:r>
      <w:r>
        <w:rPr>
          <w:rFonts w:hint="eastAsia" w:ascii="仿宋" w:hAnsi="仿宋" w:eastAsia="仿宋" w:cs="仿宋"/>
          <w:color w:val="auto"/>
          <w:szCs w:val="26"/>
          <w:highlight w:val="none"/>
          <w:lang w:eastAsia="zh-CN"/>
        </w:rPr>
        <w:t>最高限价</w:t>
      </w:r>
      <w:r>
        <w:rPr>
          <w:rFonts w:hint="eastAsia" w:ascii="仿宋" w:hAnsi="仿宋" w:eastAsia="仿宋" w:cs="仿宋"/>
          <w:color w:val="auto"/>
          <w:szCs w:val="26"/>
          <w:highlight w:val="none"/>
        </w:rPr>
        <w:t>的为无效报价，作</w:t>
      </w:r>
      <w:r>
        <w:rPr>
          <w:rFonts w:hint="eastAsia" w:ascii="仿宋" w:hAnsi="仿宋" w:eastAsia="仿宋" w:cs="仿宋"/>
          <w:color w:val="auto"/>
          <w:szCs w:val="26"/>
          <w:highlight w:val="none"/>
          <w:lang w:eastAsia="zh-CN"/>
        </w:rPr>
        <w:t>无效标</w:t>
      </w:r>
      <w:r>
        <w:rPr>
          <w:rFonts w:hint="eastAsia" w:ascii="仿宋" w:hAnsi="仿宋" w:eastAsia="仿宋" w:cs="仿宋"/>
          <w:color w:val="auto"/>
          <w:szCs w:val="26"/>
          <w:highlight w:val="none"/>
        </w:rPr>
        <w:t>处理。</w:t>
      </w:r>
    </w:p>
    <w:p w14:paraId="4C83FC8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采购需求：</w:t>
      </w:r>
      <w:r>
        <w:rPr>
          <w:rFonts w:hint="eastAsia" w:ascii="仿宋" w:hAnsi="仿宋" w:eastAsia="仿宋" w:cs="仿宋"/>
          <w:color w:val="auto"/>
          <w:szCs w:val="24"/>
          <w:highlight w:val="none"/>
          <w:lang w:val="en-US" w:eastAsia="zh-CN"/>
        </w:rPr>
        <w:t>对</w:t>
      </w:r>
      <w:r>
        <w:rPr>
          <w:rFonts w:hint="eastAsia" w:ascii="仿宋" w:hAnsi="仿宋" w:eastAsia="仿宋" w:cs="仿宋"/>
          <w:color w:val="auto"/>
          <w:szCs w:val="24"/>
          <w:highlight w:val="none"/>
          <w:lang w:eastAsia="zh-CN"/>
        </w:rPr>
        <w:t>崇川区滨江休闲文化街范围，约2.5万㎡（以最终测绘面积为准）房屋进行</w:t>
      </w:r>
      <w:r>
        <w:rPr>
          <w:rFonts w:hint="eastAsia" w:ascii="仿宋" w:hAnsi="仿宋" w:eastAsia="仿宋" w:cs="仿宋"/>
          <w:color w:val="auto"/>
          <w:szCs w:val="24"/>
          <w:highlight w:val="none"/>
          <w:lang w:val="en-US" w:eastAsia="zh-CN"/>
        </w:rPr>
        <w:t>技术、</w:t>
      </w:r>
      <w:r>
        <w:rPr>
          <w:rFonts w:hint="eastAsia" w:ascii="仿宋" w:hAnsi="仿宋" w:eastAsia="仿宋" w:cs="仿宋"/>
          <w:color w:val="auto"/>
          <w:szCs w:val="24"/>
          <w:highlight w:val="none"/>
          <w:lang w:eastAsia="zh-CN"/>
        </w:rPr>
        <w:t>安全鉴定，并出具鉴定报告</w:t>
      </w:r>
      <w:r>
        <w:rPr>
          <w:rFonts w:hint="eastAsia" w:ascii="仿宋" w:hAnsi="仿宋" w:eastAsia="仿宋" w:cs="仿宋"/>
          <w:bCs/>
          <w:color w:val="auto"/>
          <w:szCs w:val="24"/>
          <w:highlight w:val="none"/>
        </w:rPr>
        <w:t>，</w:t>
      </w:r>
      <w:r>
        <w:rPr>
          <w:rFonts w:hint="eastAsia" w:ascii="仿宋" w:hAnsi="仿宋" w:eastAsia="仿宋" w:cs="仿宋"/>
          <w:color w:val="auto"/>
          <w:szCs w:val="24"/>
          <w:highlight w:val="none"/>
        </w:rPr>
        <w:t>具体详见第三章项目需求说明；</w:t>
      </w:r>
    </w:p>
    <w:p w14:paraId="01C1A13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服务期限：</w:t>
      </w:r>
      <w:r>
        <w:rPr>
          <w:rFonts w:hint="eastAsia" w:ascii="仿宋" w:hAnsi="仿宋" w:eastAsia="仿宋" w:cs="仿宋"/>
          <w:color w:val="auto"/>
          <w:szCs w:val="24"/>
          <w:highlight w:val="none"/>
          <w:lang w:eastAsia="zh-CN"/>
        </w:rPr>
        <w:t>自合同签订之日起20日历天内出具鉴定报告（包含现场查勘时间）</w:t>
      </w:r>
      <w:r>
        <w:rPr>
          <w:rFonts w:hint="eastAsia" w:ascii="仿宋" w:hAnsi="仿宋" w:eastAsia="仿宋" w:cs="仿宋"/>
          <w:color w:val="auto"/>
          <w:szCs w:val="24"/>
          <w:highlight w:val="none"/>
        </w:rPr>
        <w:t>。</w:t>
      </w:r>
    </w:p>
    <w:p w14:paraId="00A09B6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本项目不接受联合体投标。</w:t>
      </w:r>
    </w:p>
    <w:p w14:paraId="727734D5">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bookmarkStart w:id="8" w:name="_Toc28359080"/>
      <w:bookmarkStart w:id="9" w:name="_Toc28359003"/>
      <w:bookmarkStart w:id="10" w:name="_Toc35393791"/>
      <w:bookmarkStart w:id="11" w:name="_Toc35393622"/>
      <w:r>
        <w:rPr>
          <w:rFonts w:hint="eastAsia" w:ascii="仿宋" w:hAnsi="仿宋" w:eastAsia="仿宋" w:cs="仿宋"/>
          <w:b/>
          <w:color w:val="auto"/>
          <w:szCs w:val="24"/>
          <w:highlight w:val="none"/>
        </w:rPr>
        <w:t>二、申请人的资格要求：</w:t>
      </w:r>
      <w:bookmarkEnd w:id="8"/>
      <w:bookmarkEnd w:id="9"/>
      <w:bookmarkEnd w:id="10"/>
      <w:bookmarkEnd w:id="11"/>
    </w:p>
    <w:p w14:paraId="04A2118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1、满足以下规定</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并提供承诺函</w:t>
      </w:r>
    </w:p>
    <w:p w14:paraId="66310EF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（1）具有独立承担民事责任的能力；</w:t>
      </w:r>
    </w:p>
    <w:p w14:paraId="33B3280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（2）具有良好的商业信誉和健全的财务会计制度；</w:t>
      </w:r>
    </w:p>
    <w:p w14:paraId="11407CB8">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（3）具有履行合同所必需的设备和专业技术能力；</w:t>
      </w:r>
    </w:p>
    <w:p w14:paraId="70FEDF5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（4）有依法缴纳税收和社会保障资金的良好记录；</w:t>
      </w:r>
      <w:bookmarkStart w:id="30" w:name="_GoBack"/>
      <w:bookmarkEnd w:id="30"/>
    </w:p>
    <w:p w14:paraId="6DC5B0D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（5）参加本次采购活动前三年内，在经营活动中没有重大违法记录；</w:t>
      </w:r>
    </w:p>
    <w:p w14:paraId="154116E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（6）法律、行政法规规定的其他条件。</w:t>
      </w:r>
    </w:p>
    <w:p w14:paraId="6B1B3EF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2、本项目的特定资格要求：</w:t>
      </w:r>
    </w:p>
    <w:p w14:paraId="04EA006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具备省级及以上建设行政主管部门颁发的“建设工程质量检测机构资质证书”（包括但不限于主体结构现场检测、钢结构工程检测、地基与基础工程检测）、检验检测机构资质认定证书（CMA）、中国合格评定国家认可委员会检测实验室、检验机构（CNAS）；</w:t>
      </w:r>
    </w:p>
    <w:p w14:paraId="2244C46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2.2拟派项目负责人具有二级及以上注册结构工程师（证书注册在投标人单位）。提供相关证书及投标单位为其缴纳的2025.3-2025.5月中任意一个月具有二维码或验证码的社保缴费证明并加盖投标人公章。</w:t>
      </w:r>
    </w:p>
    <w:p w14:paraId="3FB76F97">
      <w:pPr>
        <w:pStyle w:val="7"/>
        <w:ind w:left="0" w:leftChars="0" w:firstLine="480" w:firstLineChars="200"/>
        <w:rPr>
          <w:rFonts w:hint="eastAsia" w:ascii="仿宋" w:hAnsi="仿宋" w:eastAsia="仿宋" w:cs="仿宋"/>
          <w:color w:val="auto"/>
          <w:szCs w:val="24"/>
          <w:highlight w:val="none"/>
          <w:lang w:eastAsia="zh-CN"/>
        </w:rPr>
      </w:pPr>
      <w:bookmarkStart w:id="12" w:name="_Hlk129082758"/>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投标单位</w:t>
      </w:r>
      <w:r>
        <w:rPr>
          <w:rFonts w:hint="eastAsia" w:ascii="仿宋" w:hAnsi="仿宋" w:eastAsia="仿宋" w:cs="仿宋"/>
          <w:color w:val="auto"/>
          <w:szCs w:val="24"/>
          <w:highlight w:val="none"/>
        </w:rPr>
        <w:t>法定代表人参加投标的，必须提供法定代表人身份证明及法定代表人本人身份证复印件；非法定代表人参加投标的，必须提供法定代表人签名或盖章的授权委托书及法定代表人和被授权人两个人的身份证复印件（</w:t>
      </w:r>
      <w:r>
        <w:rPr>
          <w:rFonts w:hint="eastAsia" w:ascii="仿宋" w:hAnsi="仿宋" w:eastAsia="仿宋" w:cs="仿宋"/>
          <w:color w:val="auto"/>
          <w:szCs w:val="24"/>
          <w:highlight w:val="none"/>
          <w:lang w:eastAsia="zh-CN"/>
        </w:rPr>
        <w:t>格式按照第七章附件</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w:t>
      </w:r>
    </w:p>
    <w:bookmarkEnd w:id="12"/>
    <w:p w14:paraId="682C3575">
      <w:pPr>
        <w:pStyle w:val="7"/>
        <w:ind w:left="0" w:leftChars="0"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2.4投标单位未被列入失信被执行人名单、政府采购严重违法失信行为记录名单，信用信息以信用中国网站（www.creditchina.gov.cn）、中国政府采购网（www.ccgp.gov.cn）公布为准（以代理人员开标现场核实的为准）。</w:t>
      </w:r>
    </w:p>
    <w:p w14:paraId="669E793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本次招标</w:t>
      </w:r>
      <w:r>
        <w:rPr>
          <w:rFonts w:hint="eastAsia" w:ascii="仿宋" w:hAnsi="仿宋" w:eastAsia="仿宋" w:cs="仿宋"/>
          <w:b/>
          <w:color w:val="auto"/>
          <w:szCs w:val="24"/>
          <w:highlight w:val="none"/>
          <w:u w:val="single"/>
        </w:rPr>
        <w:t xml:space="preserve"> 不接受 </w:t>
      </w:r>
      <w:r>
        <w:rPr>
          <w:rFonts w:hint="eastAsia" w:ascii="仿宋" w:hAnsi="仿宋" w:eastAsia="仿宋" w:cs="仿宋"/>
          <w:color w:val="auto"/>
          <w:szCs w:val="24"/>
          <w:highlight w:val="none"/>
        </w:rPr>
        <w:t>联合体投标。</w:t>
      </w:r>
    </w:p>
    <w:p w14:paraId="28561E2E">
      <w:pPr>
        <w:pStyle w:val="7"/>
        <w:ind w:left="0" w:leftChars="0" w:firstLine="480" w:firstLineChars="200"/>
        <w:rPr>
          <w:rFonts w:hint="default" w:eastAsia="仿宋"/>
          <w:color w:val="auto"/>
          <w:highlight w:val="none"/>
          <w:lang w:val="en-US" w:eastAsia="zh-CN"/>
        </w:rPr>
      </w:pPr>
      <w:r>
        <w:rPr>
          <w:rFonts w:hint="eastAsia" w:ascii="仿宋" w:hAnsi="仿宋" w:eastAsia="仿宋" w:cs="仿宋"/>
          <w:color w:val="auto"/>
          <w:szCs w:val="24"/>
          <w:highlight w:val="none"/>
          <w:lang w:val="en-US" w:eastAsia="zh-CN"/>
        </w:rPr>
        <w:t>2.9本次招标</w:t>
      </w:r>
      <w:r>
        <w:rPr>
          <w:rFonts w:hint="eastAsia" w:ascii="仿宋" w:hAnsi="仿宋" w:eastAsia="仿宋" w:cs="仿宋"/>
          <w:b/>
          <w:bCs/>
          <w:color w:val="auto"/>
          <w:szCs w:val="24"/>
          <w:highlight w:val="none"/>
          <w:u w:val="single"/>
          <w:lang w:val="en-US" w:eastAsia="zh-CN"/>
        </w:rPr>
        <w:t>不接受</w:t>
      </w:r>
      <w:r>
        <w:rPr>
          <w:rFonts w:hint="eastAsia" w:ascii="仿宋" w:hAnsi="仿宋" w:eastAsia="仿宋" w:cs="仿宋"/>
          <w:color w:val="auto"/>
          <w:szCs w:val="24"/>
          <w:highlight w:val="none"/>
          <w:lang w:val="en-US" w:eastAsia="zh-CN"/>
        </w:rPr>
        <w:t>分包或转包。</w:t>
      </w:r>
    </w:p>
    <w:p w14:paraId="6DFEAC08">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bookmarkStart w:id="13" w:name="_Toc28359004"/>
      <w:bookmarkStart w:id="14" w:name="_Toc35393623"/>
      <w:bookmarkStart w:id="15" w:name="_Toc28359081"/>
      <w:bookmarkStart w:id="16" w:name="_Toc35393792"/>
      <w:r>
        <w:rPr>
          <w:rFonts w:hint="eastAsia" w:ascii="仿宋" w:hAnsi="仿宋" w:eastAsia="仿宋" w:cs="仿宋"/>
          <w:b/>
          <w:color w:val="auto"/>
          <w:szCs w:val="24"/>
          <w:highlight w:val="none"/>
        </w:rPr>
        <w:t>三、获取招标文件</w:t>
      </w:r>
      <w:bookmarkEnd w:id="13"/>
      <w:bookmarkEnd w:id="14"/>
      <w:bookmarkEnd w:id="15"/>
      <w:bookmarkEnd w:id="16"/>
    </w:p>
    <w:p w14:paraId="61B5C98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时间：</w:t>
      </w:r>
      <w:r>
        <w:rPr>
          <w:rFonts w:hint="eastAsia" w:ascii="仿宋" w:hAnsi="仿宋" w:eastAsia="仿宋" w:cs="仿宋"/>
          <w:iCs/>
          <w:color w:val="auto"/>
          <w:szCs w:val="24"/>
          <w:highlight w:val="none"/>
        </w:rPr>
        <w:t>自本招标公告发布之日起至</w:t>
      </w:r>
      <w:r>
        <w:rPr>
          <w:rFonts w:hint="eastAsia" w:ascii="仿宋" w:hAnsi="仿宋" w:eastAsia="仿宋" w:cs="仿宋"/>
          <w:iCs/>
          <w:color w:val="auto"/>
          <w:szCs w:val="24"/>
          <w:highlight w:val="none"/>
          <w:lang w:eastAsia="zh-CN"/>
        </w:rPr>
        <w:t>2025年</w:t>
      </w:r>
      <w:r>
        <w:rPr>
          <w:rFonts w:hint="eastAsia" w:ascii="仿宋" w:hAnsi="仿宋" w:eastAsia="仿宋" w:cs="仿宋"/>
          <w:iCs/>
          <w:color w:val="auto"/>
          <w:szCs w:val="24"/>
          <w:highlight w:val="none"/>
        </w:rPr>
        <w:t>0</w:t>
      </w:r>
      <w:r>
        <w:rPr>
          <w:rFonts w:hint="eastAsia" w:ascii="仿宋" w:hAnsi="仿宋" w:eastAsia="仿宋" w:cs="仿宋"/>
          <w:iCs/>
          <w:color w:val="auto"/>
          <w:szCs w:val="24"/>
          <w:highlight w:val="none"/>
          <w:lang w:val="en-US" w:eastAsia="zh-CN"/>
        </w:rPr>
        <w:t>7</w:t>
      </w:r>
      <w:r>
        <w:rPr>
          <w:rFonts w:hint="eastAsia" w:ascii="仿宋" w:hAnsi="仿宋" w:eastAsia="仿宋" w:cs="仿宋"/>
          <w:iCs/>
          <w:color w:val="auto"/>
          <w:szCs w:val="24"/>
          <w:highlight w:val="none"/>
        </w:rPr>
        <w:t>月</w:t>
      </w:r>
      <w:r>
        <w:rPr>
          <w:rFonts w:hint="eastAsia" w:ascii="仿宋" w:hAnsi="仿宋" w:eastAsia="仿宋" w:cs="仿宋"/>
          <w:iCs/>
          <w:color w:val="auto"/>
          <w:szCs w:val="24"/>
          <w:highlight w:val="none"/>
          <w:lang w:val="en-US" w:eastAsia="zh-CN"/>
        </w:rPr>
        <w:t>22</w:t>
      </w:r>
      <w:r>
        <w:rPr>
          <w:rFonts w:hint="eastAsia" w:ascii="仿宋" w:hAnsi="仿宋" w:eastAsia="仿宋" w:cs="仿宋"/>
          <w:iCs/>
          <w:color w:val="auto"/>
          <w:szCs w:val="24"/>
          <w:highlight w:val="none"/>
        </w:rPr>
        <w:t>日</w:t>
      </w:r>
      <w:r>
        <w:rPr>
          <w:rFonts w:hint="eastAsia" w:ascii="仿宋" w:hAnsi="仿宋" w:eastAsia="仿宋" w:cs="仿宋"/>
          <w:iCs/>
          <w:color w:val="auto"/>
          <w:szCs w:val="24"/>
          <w:highlight w:val="none"/>
          <w:lang w:val="en-US" w:eastAsia="zh-CN"/>
        </w:rPr>
        <w:t>09</w:t>
      </w:r>
      <w:r>
        <w:rPr>
          <w:rFonts w:hint="eastAsia" w:ascii="仿宋" w:hAnsi="仿宋" w:eastAsia="仿宋" w:cs="仿宋"/>
          <w:iCs/>
          <w:color w:val="auto"/>
          <w:szCs w:val="24"/>
          <w:highlight w:val="none"/>
        </w:rPr>
        <w:t>时</w:t>
      </w:r>
      <w:r>
        <w:rPr>
          <w:rFonts w:hint="eastAsia" w:ascii="仿宋" w:hAnsi="仿宋" w:eastAsia="仿宋" w:cs="仿宋"/>
          <w:iCs/>
          <w:color w:val="auto"/>
          <w:szCs w:val="24"/>
          <w:highlight w:val="none"/>
          <w:lang w:val="en-US" w:eastAsia="zh-CN"/>
        </w:rPr>
        <w:t>3</w:t>
      </w:r>
      <w:r>
        <w:rPr>
          <w:rFonts w:hint="eastAsia" w:ascii="仿宋" w:hAnsi="仿宋" w:eastAsia="仿宋" w:cs="仿宋"/>
          <w:iCs/>
          <w:color w:val="auto"/>
          <w:szCs w:val="24"/>
          <w:highlight w:val="none"/>
        </w:rPr>
        <w:t>0分。</w:t>
      </w:r>
    </w:p>
    <w:p w14:paraId="5102E6A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iCs/>
          <w:color w:val="auto"/>
          <w:szCs w:val="24"/>
          <w:highlight w:val="none"/>
          <w:lang w:eastAsia="zh-CN"/>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南通市崇川区人民政府网→公告公示</w:t>
      </w:r>
    </w:p>
    <w:p w14:paraId="7602CAF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iCs/>
          <w:color w:val="auto"/>
          <w:szCs w:val="24"/>
          <w:highlight w:val="none"/>
        </w:rPr>
      </w:pPr>
      <w:r>
        <w:rPr>
          <w:rFonts w:hint="eastAsia" w:ascii="仿宋" w:hAnsi="仿宋" w:eastAsia="仿宋" w:cs="仿宋"/>
          <w:iCs/>
          <w:color w:val="auto"/>
          <w:szCs w:val="24"/>
          <w:highlight w:val="none"/>
        </w:rPr>
        <w:t>方式：从本公告附件中获取。</w:t>
      </w:r>
      <w:bookmarkStart w:id="17" w:name="_Toc28359082"/>
      <w:bookmarkStart w:id="18" w:name="_Toc28359005"/>
      <w:bookmarkStart w:id="19" w:name="_Toc35393624"/>
      <w:bookmarkStart w:id="20" w:name="_Toc35393793"/>
    </w:p>
    <w:p w14:paraId="27087034">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四、提交投标文件</w:t>
      </w:r>
      <w:bookmarkEnd w:id="17"/>
      <w:bookmarkEnd w:id="18"/>
      <w:r>
        <w:rPr>
          <w:rFonts w:hint="eastAsia" w:ascii="仿宋" w:hAnsi="仿宋" w:eastAsia="仿宋" w:cs="仿宋"/>
          <w:b/>
          <w:color w:val="auto"/>
          <w:szCs w:val="24"/>
          <w:highlight w:val="none"/>
        </w:rPr>
        <w:t>截止时间、开标时间和地点</w:t>
      </w:r>
      <w:bookmarkEnd w:id="19"/>
      <w:bookmarkEnd w:id="20"/>
    </w:p>
    <w:p w14:paraId="1D66B26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投标截止时间为：</w:t>
      </w:r>
      <w:r>
        <w:rPr>
          <w:rFonts w:hint="eastAsia" w:ascii="仿宋" w:hAnsi="仿宋" w:eastAsia="仿宋" w:cs="仿宋"/>
          <w:color w:val="auto"/>
          <w:szCs w:val="24"/>
          <w:highlight w:val="none"/>
          <w:lang w:eastAsia="zh-CN"/>
        </w:rPr>
        <w:t>2025年</w:t>
      </w:r>
      <w:r>
        <w:rPr>
          <w:rFonts w:hint="eastAsia" w:ascii="仿宋" w:hAnsi="仿宋" w:eastAsia="仿宋" w:cs="仿宋"/>
          <w:color w:val="auto"/>
          <w:szCs w:val="24"/>
          <w:highlight w:val="none"/>
        </w:rPr>
        <w:t>0</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22</w:t>
      </w:r>
      <w:r>
        <w:rPr>
          <w:rFonts w:hint="eastAsia" w:ascii="仿宋" w:hAnsi="仿宋" w:eastAsia="仿宋" w:cs="仿宋"/>
          <w:color w:val="auto"/>
          <w:szCs w:val="24"/>
          <w:highlight w:val="none"/>
        </w:rPr>
        <w:t>日</w:t>
      </w:r>
      <w:r>
        <w:rPr>
          <w:rFonts w:hint="eastAsia" w:ascii="仿宋" w:hAnsi="仿宋" w:eastAsia="仿宋" w:cs="仿宋"/>
          <w:color w:val="auto"/>
          <w:szCs w:val="24"/>
          <w:highlight w:val="none"/>
          <w:lang w:val="en-US" w:eastAsia="zh-CN"/>
        </w:rPr>
        <w:t>09</w:t>
      </w:r>
      <w:r>
        <w:rPr>
          <w:rFonts w:hint="eastAsia" w:ascii="仿宋" w:hAnsi="仿宋" w:eastAsia="仿宋" w:cs="仿宋"/>
          <w:color w:val="auto"/>
          <w:szCs w:val="24"/>
          <w:highlight w:val="none"/>
        </w:rPr>
        <w:t>时</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0分。</w:t>
      </w:r>
    </w:p>
    <w:p w14:paraId="5DE5945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投标单位</w:t>
      </w:r>
      <w:r>
        <w:rPr>
          <w:rFonts w:hint="eastAsia" w:ascii="仿宋" w:hAnsi="仿宋" w:eastAsia="仿宋" w:cs="仿宋"/>
          <w:color w:val="auto"/>
          <w:szCs w:val="24"/>
          <w:highlight w:val="none"/>
        </w:rPr>
        <w:t>在开标截止时间之前，将文件递送至开标地点（投标文件递送地点）：</w:t>
      </w:r>
    </w:p>
    <w:p w14:paraId="52EBE285">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仿宋" w:hAnsi="仿宋" w:eastAsia="仿宋" w:cs="仿宋"/>
          <w:b/>
          <w:bCs/>
          <w:color w:val="auto"/>
          <w:szCs w:val="24"/>
          <w:highlight w:val="none"/>
          <w:u w:val="single"/>
          <w:lang w:eastAsia="zh-CN"/>
        </w:rPr>
      </w:pPr>
      <w:r>
        <w:rPr>
          <w:rFonts w:hint="eastAsia" w:ascii="仿宋" w:hAnsi="仿宋" w:eastAsia="仿宋" w:cs="仿宋"/>
          <w:b/>
          <w:bCs/>
          <w:color w:val="auto"/>
          <w:szCs w:val="24"/>
          <w:highlight w:val="none"/>
          <w:u w:val="single"/>
          <w:lang w:eastAsia="zh-CN"/>
        </w:rPr>
        <w:t>任港街道办事处516会议室</w:t>
      </w:r>
    </w:p>
    <w:p w14:paraId="1986A744">
      <w:pP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由采购人组织开标，</w:t>
      </w: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rPr>
        <w:t>的法定代表人或授权人亲自、准时参加开标会。</w:t>
      </w:r>
    </w:p>
    <w:p w14:paraId="5E6F84C6">
      <w:pP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如评委会认为有必要，</w:t>
      </w: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rPr>
        <w:t>按评委会的要求作陈述、演示、答疑及澄清其投标内容。时间由评委会掌握。重要澄清答复应是书面的，但不得对投标内容进行实质性修改。</w:t>
      </w:r>
    </w:p>
    <w:p w14:paraId="250865BF">
      <w:pPr>
        <w:pStyle w:val="2"/>
        <w:wordWrap w:val="0"/>
        <w:topLinePunct/>
        <w:spacing w:line="440" w:lineRule="exact"/>
        <w:ind w:firstLine="562" w:firstLineChars="200"/>
        <w:rPr>
          <w:rFonts w:hint="eastAsia" w:ascii="仿宋" w:hAnsi="仿宋" w:eastAsia="仿宋" w:cs="仿宋"/>
          <w:b/>
          <w:bCs/>
          <w:color w:val="auto"/>
          <w:szCs w:val="24"/>
          <w:highlight w:val="none"/>
          <w:u w:val="single"/>
          <w:lang w:eastAsia="zh-CN"/>
        </w:rPr>
      </w:pPr>
      <w:r>
        <w:rPr>
          <w:rFonts w:hint="eastAsia" w:ascii="仿宋" w:hAnsi="仿宋" w:eastAsia="仿宋" w:cs="仿宋"/>
          <w:b/>
          <w:bCs/>
          <w:color w:val="auto"/>
          <w:szCs w:val="24"/>
          <w:highlight w:val="none"/>
          <w:u w:val="single"/>
        </w:rPr>
        <w:t>请各</w:t>
      </w:r>
      <w:r>
        <w:rPr>
          <w:rFonts w:hint="eastAsia" w:ascii="仿宋" w:hAnsi="仿宋" w:eastAsia="仿宋" w:cs="仿宋"/>
          <w:b/>
          <w:bCs/>
          <w:color w:val="auto"/>
          <w:szCs w:val="24"/>
          <w:highlight w:val="none"/>
          <w:u w:val="single"/>
          <w:lang w:eastAsia="zh-CN"/>
        </w:rPr>
        <w:t>投标单位</w:t>
      </w:r>
      <w:r>
        <w:rPr>
          <w:rFonts w:hint="eastAsia" w:ascii="仿宋" w:hAnsi="仿宋" w:eastAsia="仿宋" w:cs="仿宋"/>
          <w:b/>
          <w:bCs/>
          <w:color w:val="auto"/>
          <w:szCs w:val="24"/>
          <w:highlight w:val="none"/>
          <w:u w:val="single"/>
        </w:rPr>
        <w:t>获取本次招标文件后，认真阅读各项内容，进行必要的准备，按招标文件的要求详细填写和编制投标文件，并按以上确定的时间、地点准时参加投标。</w:t>
      </w:r>
    </w:p>
    <w:p w14:paraId="78353AF1">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五、公告期限</w:t>
      </w:r>
    </w:p>
    <w:p w14:paraId="23E6DB5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自本公告发布之日起5个工作日。</w:t>
      </w:r>
    </w:p>
    <w:p w14:paraId="4D77488E">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bookmarkStart w:id="21" w:name="_Toc35393626"/>
      <w:bookmarkStart w:id="22" w:name="_Toc35393795"/>
      <w:r>
        <w:rPr>
          <w:rFonts w:hint="eastAsia" w:ascii="仿宋" w:hAnsi="仿宋" w:eastAsia="仿宋" w:cs="仿宋"/>
          <w:b/>
          <w:color w:val="auto"/>
          <w:szCs w:val="24"/>
          <w:highlight w:val="none"/>
        </w:rPr>
        <w:t>六、</w:t>
      </w:r>
      <w:bookmarkEnd w:id="21"/>
      <w:bookmarkEnd w:id="22"/>
      <w:r>
        <w:rPr>
          <w:rFonts w:hint="eastAsia" w:ascii="仿宋" w:hAnsi="仿宋" w:eastAsia="仿宋" w:cs="仿宋"/>
          <w:b/>
          <w:color w:val="auto"/>
          <w:szCs w:val="24"/>
          <w:highlight w:val="none"/>
        </w:rPr>
        <w:t>投标保证金</w:t>
      </w:r>
    </w:p>
    <w:p w14:paraId="36F1E38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bCs/>
          <w:color w:val="auto"/>
          <w:szCs w:val="24"/>
          <w:highlight w:val="none"/>
          <w:u w:val="single"/>
        </w:rPr>
      </w:pPr>
      <w:r>
        <w:rPr>
          <w:rFonts w:hint="eastAsia" w:ascii="仿宋" w:hAnsi="仿宋" w:eastAsia="仿宋" w:cs="仿宋"/>
          <w:color w:val="auto"/>
          <w:szCs w:val="24"/>
          <w:highlight w:val="none"/>
        </w:rPr>
        <w:t>本次项目投标保证金为：</w:t>
      </w:r>
      <w:r>
        <w:rPr>
          <w:rFonts w:hint="eastAsia" w:ascii="仿宋" w:hAnsi="仿宋" w:eastAsia="仿宋" w:cs="仿宋"/>
          <w:color w:val="auto"/>
          <w:szCs w:val="24"/>
          <w:highlight w:val="none"/>
          <w:lang w:val="en-US" w:eastAsia="zh-CN"/>
        </w:rPr>
        <w:t>肆仟元整</w:t>
      </w:r>
      <w:r>
        <w:rPr>
          <w:rFonts w:hint="eastAsia" w:ascii="仿宋" w:hAnsi="仿宋" w:eastAsia="仿宋" w:cs="仿宋"/>
          <w:b/>
          <w:bCs/>
          <w:color w:val="auto"/>
          <w:szCs w:val="24"/>
          <w:highlight w:val="none"/>
          <w:u w:val="single"/>
          <w:lang w:val="en-US" w:eastAsia="zh-CN"/>
        </w:rPr>
        <w:t>（投标单位以信封密封，在投标现场和投标文件同时递交，未递交的投标文件不予接受）</w:t>
      </w:r>
      <w:r>
        <w:rPr>
          <w:rFonts w:hint="eastAsia" w:ascii="仿宋" w:hAnsi="仿宋" w:eastAsia="仿宋" w:cs="仿宋"/>
          <w:b/>
          <w:bCs/>
          <w:color w:val="auto"/>
          <w:szCs w:val="24"/>
          <w:highlight w:val="none"/>
          <w:u w:val="single"/>
        </w:rPr>
        <w:t>。</w:t>
      </w:r>
    </w:p>
    <w:p w14:paraId="711F9336">
      <w:pPr>
        <w:keepNext w:val="0"/>
        <w:keepLines w:val="0"/>
        <w:pageBreakBefore w:val="0"/>
        <w:widowControl/>
        <w:kinsoku/>
        <w:wordWrap/>
        <w:overflowPunct/>
        <w:topLinePunct w:val="0"/>
        <w:bidi w:val="0"/>
        <w:adjustRightInd/>
        <w:snapToGrid/>
        <w:spacing w:line="360" w:lineRule="auto"/>
        <w:ind w:firstLine="482" w:firstLineChars="200"/>
        <w:jc w:val="left"/>
        <w:textAlignment w:val="auto"/>
        <w:rPr>
          <w:rFonts w:hint="eastAsia" w:ascii="仿宋" w:hAnsi="仿宋" w:eastAsia="仿宋" w:cs="仿宋"/>
          <w:b/>
          <w:bCs/>
          <w:color w:val="auto"/>
          <w:kern w:val="0"/>
          <w:szCs w:val="24"/>
          <w:highlight w:val="none"/>
        </w:rPr>
      </w:pPr>
      <w:r>
        <w:rPr>
          <w:rFonts w:hint="eastAsia" w:ascii="仿宋" w:hAnsi="仿宋" w:eastAsia="仿宋" w:cs="仿宋"/>
          <w:b/>
          <w:bCs/>
          <w:color w:val="auto"/>
          <w:kern w:val="0"/>
          <w:szCs w:val="24"/>
          <w:highlight w:val="none"/>
        </w:rPr>
        <w:t>七、履约保证金</w:t>
      </w:r>
    </w:p>
    <w:p w14:paraId="2A4A8662">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本项目成交后的履约保证金为人民币</w:t>
      </w:r>
      <w:r>
        <w:rPr>
          <w:rFonts w:hint="eastAsia" w:ascii="仿宋" w:hAnsi="仿宋" w:eastAsia="仿宋" w:cs="仿宋"/>
          <w:b/>
          <w:bCs/>
          <w:color w:val="auto"/>
          <w:kern w:val="0"/>
          <w:szCs w:val="24"/>
          <w:highlight w:val="none"/>
          <w:u w:val="single"/>
          <w:lang w:eastAsia="zh-CN"/>
        </w:rPr>
        <w:t>壹万元</w:t>
      </w:r>
      <w:r>
        <w:rPr>
          <w:rFonts w:hint="eastAsia" w:ascii="仿宋" w:hAnsi="仿宋" w:eastAsia="仿宋" w:cs="仿宋"/>
          <w:color w:val="auto"/>
          <w:kern w:val="0"/>
          <w:szCs w:val="24"/>
          <w:highlight w:val="none"/>
          <w:lang w:eastAsia="zh-CN"/>
        </w:rPr>
        <w:t>整</w:t>
      </w:r>
      <w:r>
        <w:rPr>
          <w:rFonts w:hint="eastAsia" w:ascii="仿宋" w:hAnsi="仿宋" w:eastAsia="仿宋" w:cs="仿宋"/>
          <w:color w:val="auto"/>
          <w:kern w:val="0"/>
          <w:szCs w:val="24"/>
          <w:highlight w:val="none"/>
        </w:rPr>
        <w:t>。</w:t>
      </w:r>
    </w:p>
    <w:p w14:paraId="1609B3F2">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投标人在收到中标通知书后，须在30日内向招标人足额提交履约保证金，否则招标人可以取消其中标资格。</w:t>
      </w:r>
    </w:p>
    <w:p w14:paraId="6C2FBBB4">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八、评标方法：</w:t>
      </w:r>
    </w:p>
    <w:p w14:paraId="637D106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综合评分法</w:t>
      </w:r>
      <w:r>
        <w:rPr>
          <w:rFonts w:hint="eastAsia" w:ascii="仿宋" w:hAnsi="仿宋" w:eastAsia="仿宋" w:cs="仿宋"/>
          <w:color w:val="auto"/>
          <w:kern w:val="0"/>
          <w:szCs w:val="24"/>
          <w:highlight w:val="none"/>
        </w:rPr>
        <w:t>（具体详见招标文件第四章）</w:t>
      </w:r>
      <w:bookmarkStart w:id="23" w:name="_Toc35393796"/>
      <w:bookmarkStart w:id="24" w:name="_Toc28359008"/>
      <w:bookmarkStart w:id="25" w:name="_Toc35393627"/>
      <w:bookmarkStart w:id="26" w:name="_Toc28359085"/>
    </w:p>
    <w:p w14:paraId="37B642C5">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九、</w:t>
      </w:r>
      <w:r>
        <w:rPr>
          <w:rFonts w:hint="eastAsia" w:ascii="仿宋" w:hAnsi="仿宋" w:eastAsia="仿宋" w:cs="仿宋"/>
          <w:b/>
          <w:color w:val="auto"/>
          <w:szCs w:val="24"/>
          <w:highlight w:val="none"/>
        </w:rPr>
        <w:t>其他补充事宜</w:t>
      </w:r>
    </w:p>
    <w:p w14:paraId="1E83F71B">
      <w:pPr>
        <w:wordWrap w:val="0"/>
        <w:topLinePunct/>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bCs/>
          <w:color w:val="auto"/>
          <w:highlight w:val="none"/>
        </w:rPr>
        <w:t>项目开标活动模式：现场开标模式。</w:t>
      </w:r>
    </w:p>
    <w:p w14:paraId="10C50C60">
      <w:pPr>
        <w:wordWrap w:val="0"/>
        <w:topLinePunct/>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szCs w:val="22"/>
          <w:highlight w:val="none"/>
          <w:lang w:val="en-US" w:eastAsia="zh-CN"/>
        </w:rPr>
        <w:t>2</w:t>
      </w:r>
      <w:r>
        <w:rPr>
          <w:rFonts w:hint="eastAsia" w:ascii="仿宋" w:hAnsi="仿宋" w:eastAsia="仿宋" w:cs="仿宋"/>
          <w:color w:val="auto"/>
          <w:szCs w:val="22"/>
          <w:highlight w:val="none"/>
        </w:rPr>
        <w:t>、</w:t>
      </w:r>
      <w:r>
        <w:rPr>
          <w:rFonts w:hint="eastAsia" w:ascii="仿宋" w:hAnsi="仿宋" w:eastAsia="仿宋" w:cs="仿宋"/>
          <w:color w:val="auto"/>
          <w:highlight w:val="none"/>
        </w:rPr>
        <w:t>项目演示、样品、答辩等：</w:t>
      </w:r>
      <w:r>
        <w:rPr>
          <w:rFonts w:hint="eastAsia" w:ascii="仿宋" w:hAnsi="仿宋" w:eastAsia="仿宋" w:cs="仿宋"/>
          <w:bCs/>
          <w:color w:val="auto"/>
          <w:highlight w:val="none"/>
        </w:rPr>
        <w:t>无。</w:t>
      </w:r>
    </w:p>
    <w:p w14:paraId="6978D2F6">
      <w:pPr>
        <w:wordWrap w:val="0"/>
        <w:topLinePunct/>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、对项目需求部分（</w:t>
      </w: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rPr>
        <w:t>其他资格要求、项目需求、评分标准）的询问、质疑请向采购人提出，由采购人负责答复；对项目招标文件其它部分的询问请向采购人或招标代理提出。</w:t>
      </w:r>
    </w:p>
    <w:p w14:paraId="33ED9CF1">
      <w:pPr>
        <w:wordWrap w:val="0"/>
        <w:topLinePunct/>
        <w:spacing w:line="440" w:lineRule="exact"/>
        <w:ind w:firstLine="480" w:firstLineChars="2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rPr>
        <w:t>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764977FA">
      <w:pPr>
        <w:keepNext w:val="0"/>
        <w:keepLines w:val="0"/>
        <w:pageBreakBefore w:val="0"/>
        <w:kinsoku/>
        <w:wordWrap/>
        <w:overflowPunct/>
        <w:topLinePunct w:val="0"/>
        <w:bidi w:val="0"/>
        <w:adjustRightInd/>
        <w:snapToGrid/>
        <w:spacing w:line="360" w:lineRule="auto"/>
        <w:ind w:firstLine="482" w:firstLineChars="200"/>
        <w:contextualSpacing/>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九、对本次招标提出询问，请按以下方式联系。</w:t>
      </w:r>
      <w:bookmarkEnd w:id="23"/>
      <w:bookmarkEnd w:id="24"/>
      <w:bookmarkEnd w:id="25"/>
      <w:bookmarkEnd w:id="26"/>
    </w:p>
    <w:p w14:paraId="0312AE5D">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1、招标人信息</w:t>
      </w:r>
    </w:p>
    <w:p w14:paraId="6CC4BD8E">
      <w:pPr>
        <w:pStyle w:val="10"/>
        <w:rPr>
          <w:rFonts w:hint="eastAsia" w:ascii="仿宋" w:hAnsi="仿宋" w:eastAsia="仿宋" w:cs="仿宋"/>
          <w:color w:val="auto"/>
          <w:kern w:val="0"/>
          <w:sz w:val="24"/>
          <w:szCs w:val="24"/>
          <w:highlight w:val="none"/>
          <w:lang w:val="en-US" w:eastAsia="zh-CN" w:bidi="ar-SA"/>
        </w:rPr>
      </w:pPr>
      <w:bookmarkStart w:id="27" w:name="_Toc77508209"/>
      <w:bookmarkStart w:id="28" w:name="_Toc28359086"/>
      <w:bookmarkStart w:id="29" w:name="_Toc28359009"/>
      <w:r>
        <w:rPr>
          <w:rFonts w:hint="eastAsia" w:ascii="仿宋" w:hAnsi="仿宋" w:eastAsia="仿宋" w:cs="仿宋"/>
          <w:color w:val="auto"/>
          <w:kern w:val="0"/>
          <w:sz w:val="24"/>
          <w:szCs w:val="24"/>
          <w:highlight w:val="none"/>
          <w:lang w:val="en-US" w:eastAsia="zh-CN" w:bidi="ar-SA"/>
        </w:rPr>
        <w:t>招标人信息</w:t>
      </w:r>
      <w:bookmarkEnd w:id="27"/>
      <w:r>
        <w:rPr>
          <w:rFonts w:hint="eastAsia" w:ascii="仿宋" w:hAnsi="仿宋" w:eastAsia="仿宋" w:cs="仿宋"/>
          <w:color w:val="auto"/>
          <w:kern w:val="0"/>
          <w:sz w:val="24"/>
          <w:szCs w:val="24"/>
          <w:highlight w:val="none"/>
          <w:lang w:val="en-US" w:eastAsia="zh-CN" w:bidi="ar-SA"/>
        </w:rPr>
        <w:t>：南通市崇川区任港街道办事处</w:t>
      </w:r>
    </w:p>
    <w:p w14:paraId="04D32705">
      <w:pPr>
        <w:pStyle w:val="1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址：南通市崇川区外环西路315号</w:t>
      </w:r>
    </w:p>
    <w:p w14:paraId="2DFAB4CD">
      <w:pPr>
        <w:pStyle w:val="1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  系 人：陈主任</w:t>
      </w:r>
    </w:p>
    <w:p w14:paraId="713CD933">
      <w:pPr>
        <w:pStyle w:val="1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    话：13912269337</w:t>
      </w:r>
    </w:p>
    <w:p w14:paraId="5D338E4C">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2.招标代理机构信息</w:t>
      </w:r>
      <w:bookmarkEnd w:id="28"/>
      <w:bookmarkEnd w:id="29"/>
    </w:p>
    <w:p w14:paraId="43F0156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称：苏州新一造价师价格事务所有限公司</w:t>
      </w:r>
    </w:p>
    <w:p w14:paraId="33F45408">
      <w:pPr>
        <w:autoSpaceDE w:val="0"/>
        <w:autoSpaceDN w:val="0"/>
        <w:ind w:firstLine="240" w:firstLineChars="1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地址：南通市开发区长通路9号飞马国际中心A幢1205室</w:t>
      </w:r>
    </w:p>
    <w:p w14:paraId="7004E8DE">
      <w:pPr>
        <w:autoSpaceDE w:val="0"/>
        <w:autoSpaceDN w:val="0"/>
        <w:adjustRightInd w:val="0"/>
        <w:ind w:firstLine="240" w:firstLineChars="1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联系人：代工</w:t>
      </w:r>
    </w:p>
    <w:p w14:paraId="4FB38A10">
      <w:pPr>
        <w:pStyle w:val="2"/>
        <w:ind w:firstLine="240" w:firstLineChars="1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电话：0513-69895668</w:t>
      </w:r>
    </w:p>
    <w:p w14:paraId="2E610F55">
      <w:pPr>
        <w:pStyle w:val="7"/>
        <w:spacing w:line="360" w:lineRule="auto"/>
        <w:ind w:left="0" w:firstLine="480"/>
        <w:jc w:val="right"/>
        <w:rPr>
          <w:rFonts w:hint="eastAsia" w:ascii="仿宋" w:hAnsi="仿宋" w:eastAsia="仿宋" w:cs="仿宋"/>
          <w:color w:val="auto"/>
          <w:szCs w:val="24"/>
          <w:highlight w:val="none"/>
        </w:rPr>
      </w:pPr>
    </w:p>
    <w:p w14:paraId="2A77D2D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29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EAA1D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EAA1D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65AFB"/>
    <w:rsid w:val="1601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line="400" w:lineRule="exact"/>
    </w:pPr>
    <w:rPr>
      <w:rFonts w:ascii="楷体_GB2312"/>
      <w:sz w:val="28"/>
    </w:r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uiPriority w:val="99"/>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unhideWhenUsed/>
    <w:uiPriority w:val="99"/>
    <w:pPr>
      <w:ind w:firstLine="420" w:firstLineChars="200"/>
    </w:pPr>
  </w:style>
  <w:style w:type="paragraph" w:customStyle="1" w:styleId="10">
    <w:name w:val="sh4"/>
    <w:basedOn w:val="1"/>
    <w:qFormat/>
    <w:uiPriority w:val="0"/>
    <w:pPr>
      <w:spacing w:line="460" w:lineRule="exact"/>
      <w:ind w:firstLine="420" w:firstLineChars="200"/>
    </w:pPr>
    <w:rPr>
      <w:rFonts w:ascii="宋体" w:hAnsi="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1821</Words>
  <Characters>1952</Characters>
  <Lines>0</Lines>
  <Paragraphs>0</Paragraphs>
  <TotalTime>0</TotalTime>
  <ScaleCrop>false</ScaleCrop>
  <LinksUpToDate>false</LinksUpToDate>
  <CharactersWithSpaces>1966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2025-06-26T09:00:00Z</dcterms:created>
  <dc:creator>user</dc:creator>
  <cp:lastModifiedBy>user</cp:lastModifiedBy>
  <dcterms:modified xsi:type="dcterms:W3CDTF">2025-06-26T09:05:41Z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eyJoZGlkIjoiYjZjYTE1YzMzZTBmMTVlZmFmNTZmMTBiMjRmMjBkYmEifQ==</vt:lpwstr>
  </property>
  <property fmtid="{D5CDD505-2E9C-101B-9397-08002B2CF9AE}" pid="4" name="ICV">
    <vt:lpwstr>C616D05BF95244F996E4C24CCA988D7E_12</vt:lpwstr>
  </property>
</Properties>
</file>