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69ED">
      <w:pPr>
        <w:spacing w:before="166" w:line="237" w:lineRule="auto"/>
        <w:jc w:val="center"/>
        <w:outlineLvl w:val="0"/>
        <w:rPr>
          <w:rFonts w:hint="eastAsia" w:ascii="方正小标宋简体" w:hAnsi="方正小标宋_GBK" w:eastAsia="方正小标宋简体" w:cs="方正小标宋_GBK"/>
          <w:sz w:val="43"/>
          <w:szCs w:val="43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pacing w:val="8"/>
          <w:sz w:val="43"/>
          <w:szCs w:val="43"/>
          <w:lang w:eastAsia="zh-CN"/>
        </w:rPr>
        <w:t>南通市崇川区人力资源和社会保障局2025年度涉企行政检查计划</w:t>
      </w:r>
    </w:p>
    <w:tbl>
      <w:tblPr>
        <w:tblStyle w:val="6"/>
        <w:tblW w:w="133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352"/>
        <w:gridCol w:w="5512"/>
        <w:gridCol w:w="1559"/>
        <w:gridCol w:w="2268"/>
        <w:gridCol w:w="1134"/>
        <w:gridCol w:w="1081"/>
      </w:tblGrid>
      <w:tr w14:paraId="20591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469" w:type="dxa"/>
            <w:vAlign w:val="center"/>
          </w:tcPr>
          <w:p w14:paraId="060097B2">
            <w:pPr>
              <w:spacing w:before="73" w:line="296" w:lineRule="exact"/>
              <w:ind w:left="19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6"/>
                <w:position w:val="2"/>
                <w:sz w:val="20"/>
                <w:szCs w:val="20"/>
              </w:rPr>
              <w:t>序号</w:t>
            </w:r>
          </w:p>
        </w:tc>
        <w:tc>
          <w:tcPr>
            <w:tcW w:w="1352" w:type="dxa"/>
            <w:vAlign w:val="center"/>
          </w:tcPr>
          <w:p w14:paraId="5FC83F09">
            <w:pPr>
              <w:spacing w:before="73"/>
              <w:ind w:left="247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检查事项</w:t>
            </w:r>
          </w:p>
        </w:tc>
        <w:tc>
          <w:tcPr>
            <w:tcW w:w="5512" w:type="dxa"/>
            <w:vAlign w:val="center"/>
          </w:tcPr>
          <w:p w14:paraId="20271F07">
            <w:pPr>
              <w:spacing w:before="73" w:line="242" w:lineRule="auto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5"/>
                <w:sz w:val="20"/>
                <w:szCs w:val="20"/>
              </w:rPr>
              <w:t>实施依据</w:t>
            </w:r>
          </w:p>
        </w:tc>
        <w:tc>
          <w:tcPr>
            <w:tcW w:w="1559" w:type="dxa"/>
            <w:vAlign w:val="center"/>
          </w:tcPr>
          <w:p w14:paraId="17DE1275">
            <w:pPr>
              <w:spacing w:before="73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检查对象</w:t>
            </w:r>
          </w:p>
        </w:tc>
        <w:tc>
          <w:tcPr>
            <w:tcW w:w="2268" w:type="dxa"/>
            <w:vAlign w:val="center"/>
          </w:tcPr>
          <w:p w14:paraId="3D76CDD9">
            <w:pPr>
              <w:spacing w:before="73" w:line="241" w:lineRule="auto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检查内容</w:t>
            </w:r>
          </w:p>
        </w:tc>
        <w:tc>
          <w:tcPr>
            <w:tcW w:w="1134" w:type="dxa"/>
            <w:vAlign w:val="center"/>
          </w:tcPr>
          <w:p w14:paraId="11C3D248">
            <w:pPr>
              <w:spacing w:before="73" w:line="241" w:lineRule="auto"/>
              <w:ind w:left="84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检查方式</w:t>
            </w:r>
          </w:p>
        </w:tc>
        <w:tc>
          <w:tcPr>
            <w:tcW w:w="1081" w:type="dxa"/>
            <w:vAlign w:val="center"/>
          </w:tcPr>
          <w:p w14:paraId="2066BC78">
            <w:pPr>
              <w:spacing w:before="232" w:line="241" w:lineRule="auto"/>
              <w:ind w:left="76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5"/>
                <w:sz w:val="20"/>
                <w:szCs w:val="20"/>
              </w:rPr>
              <w:t>年度检</w:t>
            </w:r>
            <w:r>
              <w:rPr>
                <w:rFonts w:ascii="FZHei-B01" w:hAnsi="FZHei-B01" w:eastAsia="FZHei-B01" w:cs="FZHei-B01"/>
                <w:spacing w:val="7"/>
                <w:sz w:val="20"/>
                <w:szCs w:val="20"/>
              </w:rPr>
              <w:t>查频次</w:t>
            </w:r>
          </w:p>
        </w:tc>
      </w:tr>
      <w:tr w14:paraId="4427B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2" w:hRule="atLeast"/>
          <w:jc w:val="center"/>
        </w:trPr>
        <w:tc>
          <w:tcPr>
            <w:tcW w:w="469" w:type="dxa"/>
            <w:vAlign w:val="center"/>
          </w:tcPr>
          <w:p w14:paraId="14CC435D">
            <w:pPr>
              <w:spacing w:before="57" w:line="275" w:lineRule="exact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14:paraId="7B41038C">
            <w:pPr>
              <w:spacing w:before="86" w:line="187" w:lineRule="auto"/>
              <w:ind w:left="34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对劳动用工管</w:t>
            </w:r>
          </w:p>
          <w:p w14:paraId="08321DFB">
            <w:pPr>
              <w:spacing w:before="44" w:line="187" w:lineRule="auto"/>
              <w:ind w:left="35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理情况的执法</w:t>
            </w:r>
          </w:p>
          <w:p w14:paraId="05B4CD13">
            <w:pPr>
              <w:spacing w:before="45" w:line="186" w:lineRule="auto"/>
              <w:ind w:left="456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检查</w:t>
            </w:r>
          </w:p>
        </w:tc>
        <w:tc>
          <w:tcPr>
            <w:tcW w:w="5512" w:type="dxa"/>
            <w:vAlign w:val="center"/>
          </w:tcPr>
          <w:p w14:paraId="042C0FCC">
            <w:pPr>
              <w:spacing w:before="65" w:line="216" w:lineRule="auto"/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《劳动法》《劳动合同法》《劳动合同法实施条例》《江苏省劳动合同条例》《劳务派遣暂行规定》《劳务派遣行政许可实施办法》《江苏省集体协商条例》《保障农民工工资支付条例》《江苏省工资支付条例》《最低工资规定》《就业促进法》《民办教育促进法》《职业教育法》《江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  <w:lang w:eastAsia="zh-CN"/>
              </w:rPr>
              <w:t>苏省就业促进条例》《就业服务与就业管理规定》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《人力资源市场暂行条例》《江苏省就业促进条例》《网络招聘服务管理规定》《网络安全法》《个人信息保护法》《电子商务法》《人力资源服务机构管理规定》《中外合作办学条例》《中外合作职业技能培训办学管理办法》《社会保险法》《社会保险费征缴暂行条例》《社会保险费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lang w:eastAsia="zh-CN"/>
              </w:rPr>
              <w:t>征缴监督检查办法》《实施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eastAsia="zh-CN"/>
              </w:rPr>
              <w:t>&lt;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lang w:eastAsia="zh-CN"/>
              </w:rPr>
              <w:t>中华人民共和国社会</w:t>
            </w:r>
            <w:r>
              <w:rPr>
                <w:rFonts w:ascii="微软雅黑" w:hAnsi="微软雅黑" w:eastAsia="微软雅黑" w:cs="微软雅黑"/>
                <w:sz w:val="20"/>
                <w:szCs w:val="20"/>
                <w:lang w:eastAsia="zh-CN"/>
              </w:rPr>
              <w:t>保险法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  <w:t>&gt;</w:t>
            </w:r>
            <w:r>
              <w:rPr>
                <w:rFonts w:ascii="微软雅黑" w:hAnsi="微软雅黑" w:eastAsia="微软雅黑" w:cs="微软雅黑"/>
                <w:sz w:val="20"/>
                <w:szCs w:val="20"/>
                <w:lang w:eastAsia="zh-CN"/>
              </w:rPr>
              <w:t>若干规定》《社会保险个人权益记录管理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办法》《工伤保险条例《非法用工单位伤亡人员一次性赔偿办法》《实施社会保险法若干规定》《江苏省社会保险费征缴条例》《妇女权益保障法》《江苏省人口计划与生育条例》《女职工劳动保护特别规定》《未成年人保护法》《禁止使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用童工规定》《娱乐场所管理条例》《职工带薪年休假条例》《企业职工带薪年休假实施办法》《防暑降温措施管理办法》《劳动保障监察条例》《江苏省工会劳动法律监督条例》《江苏省企业民主管理条例》</w:t>
            </w:r>
          </w:p>
        </w:tc>
        <w:tc>
          <w:tcPr>
            <w:tcW w:w="1559" w:type="dxa"/>
            <w:vAlign w:val="center"/>
          </w:tcPr>
          <w:p w14:paraId="2966B9EF">
            <w:pPr>
              <w:spacing w:before="86" w:line="185" w:lineRule="auto"/>
              <w:ind w:left="102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本行政区域内的用人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lang w:eastAsia="zh-CN"/>
              </w:rPr>
              <w:t>单位，包括企业、个体经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  <w:lang w:eastAsia="zh-CN"/>
              </w:rPr>
              <w:t>济组织、民办非企业单位、事业单位等</w:t>
            </w:r>
          </w:p>
        </w:tc>
        <w:tc>
          <w:tcPr>
            <w:tcW w:w="2268" w:type="dxa"/>
            <w:vAlign w:val="center"/>
          </w:tcPr>
          <w:p w14:paraId="64F7E1D6">
            <w:pPr>
              <w:spacing w:before="86" w:line="187" w:lineRule="auto"/>
              <w:ind w:left="103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用人单位遵守招用人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员、劳动合同、社会保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  <w:lang w:eastAsia="zh-CN"/>
              </w:rPr>
              <w:t>险登记、工资支付、休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息休假等相关法律法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lang w:eastAsia="zh-CN"/>
              </w:rPr>
              <w:t>规的情况。</w:t>
            </w:r>
          </w:p>
        </w:tc>
        <w:tc>
          <w:tcPr>
            <w:tcW w:w="1134" w:type="dxa"/>
            <w:vAlign w:val="center"/>
          </w:tcPr>
          <w:p w14:paraId="149FAAAF">
            <w:pPr>
              <w:spacing w:before="86" w:line="185" w:lineRule="auto"/>
              <w:ind w:left="89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现场检核或书面审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查</w:t>
            </w:r>
          </w:p>
        </w:tc>
        <w:tc>
          <w:tcPr>
            <w:tcW w:w="1081" w:type="dxa"/>
            <w:vAlign w:val="center"/>
          </w:tcPr>
          <w:p w14:paraId="26847FCD">
            <w:pPr>
              <w:spacing w:before="86" w:line="237" w:lineRule="auto"/>
              <w:jc w:val="center"/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zh-CN"/>
              </w:rPr>
              <w:t>1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  <w:lang w:eastAsia="zh-CN"/>
              </w:rPr>
              <w:t>次</w:t>
            </w:r>
          </w:p>
        </w:tc>
      </w:tr>
      <w:tr w14:paraId="17639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469" w:type="dxa"/>
            <w:vAlign w:val="center"/>
          </w:tcPr>
          <w:p w14:paraId="423871AD">
            <w:pPr>
              <w:spacing w:before="73" w:line="296" w:lineRule="exact"/>
              <w:ind w:left="19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6"/>
                <w:position w:val="2"/>
                <w:sz w:val="20"/>
                <w:szCs w:val="20"/>
              </w:rPr>
              <w:t>序号</w:t>
            </w:r>
          </w:p>
        </w:tc>
        <w:tc>
          <w:tcPr>
            <w:tcW w:w="1352" w:type="dxa"/>
            <w:vAlign w:val="center"/>
          </w:tcPr>
          <w:p w14:paraId="0A6DC454">
            <w:pPr>
              <w:spacing w:before="73"/>
              <w:ind w:left="247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检查事项</w:t>
            </w:r>
          </w:p>
        </w:tc>
        <w:tc>
          <w:tcPr>
            <w:tcW w:w="5512" w:type="dxa"/>
            <w:vAlign w:val="center"/>
          </w:tcPr>
          <w:p w14:paraId="3011931F">
            <w:pPr>
              <w:spacing w:before="73" w:line="242" w:lineRule="auto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5"/>
                <w:sz w:val="20"/>
                <w:szCs w:val="20"/>
              </w:rPr>
              <w:t>实施依据</w:t>
            </w:r>
          </w:p>
        </w:tc>
        <w:tc>
          <w:tcPr>
            <w:tcW w:w="1559" w:type="dxa"/>
            <w:vAlign w:val="center"/>
          </w:tcPr>
          <w:p w14:paraId="2D45E67A">
            <w:pPr>
              <w:spacing w:before="73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检查对象</w:t>
            </w:r>
          </w:p>
        </w:tc>
        <w:tc>
          <w:tcPr>
            <w:tcW w:w="2268" w:type="dxa"/>
            <w:vAlign w:val="center"/>
          </w:tcPr>
          <w:p w14:paraId="6DA7A478">
            <w:pPr>
              <w:spacing w:before="73" w:line="241" w:lineRule="auto"/>
              <w:ind w:left="624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检查内容</w:t>
            </w:r>
          </w:p>
        </w:tc>
        <w:tc>
          <w:tcPr>
            <w:tcW w:w="1134" w:type="dxa"/>
            <w:vAlign w:val="center"/>
          </w:tcPr>
          <w:p w14:paraId="535D7ABE">
            <w:pPr>
              <w:spacing w:before="73" w:line="241" w:lineRule="auto"/>
              <w:ind w:left="84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8"/>
                <w:sz w:val="20"/>
                <w:szCs w:val="20"/>
              </w:rPr>
              <w:t>检查方式</w:t>
            </w:r>
          </w:p>
        </w:tc>
        <w:tc>
          <w:tcPr>
            <w:tcW w:w="1081" w:type="dxa"/>
            <w:vAlign w:val="center"/>
          </w:tcPr>
          <w:p w14:paraId="443A9B46">
            <w:pPr>
              <w:spacing w:before="232" w:line="241" w:lineRule="auto"/>
              <w:ind w:left="76"/>
              <w:jc w:val="center"/>
              <w:rPr>
                <w:rFonts w:hint="eastAsia" w:ascii="FZHei-B01" w:hAnsi="FZHei-B01" w:eastAsia="FZHei-B01" w:cs="FZHei-B01"/>
                <w:sz w:val="20"/>
                <w:szCs w:val="20"/>
              </w:rPr>
            </w:pPr>
            <w:r>
              <w:rPr>
                <w:rFonts w:ascii="FZHei-B01" w:hAnsi="FZHei-B01" w:eastAsia="FZHei-B01" w:cs="FZHei-B01"/>
                <w:spacing w:val="5"/>
                <w:sz w:val="20"/>
                <w:szCs w:val="20"/>
              </w:rPr>
              <w:t>年度检</w:t>
            </w:r>
            <w:r>
              <w:rPr>
                <w:rFonts w:ascii="FZHei-B01" w:hAnsi="FZHei-B01" w:eastAsia="FZHei-B01" w:cs="FZHei-B01"/>
                <w:spacing w:val="7"/>
                <w:sz w:val="20"/>
                <w:szCs w:val="20"/>
              </w:rPr>
              <w:t>查频次</w:t>
            </w:r>
          </w:p>
        </w:tc>
      </w:tr>
      <w:tr w14:paraId="4CC49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469" w:type="dxa"/>
            <w:vAlign w:val="center"/>
          </w:tcPr>
          <w:p w14:paraId="62453563">
            <w:pPr>
              <w:spacing w:before="58" w:line="274" w:lineRule="exact"/>
              <w:ind w:left="179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positio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52" w:type="dxa"/>
            <w:vAlign w:val="center"/>
          </w:tcPr>
          <w:p w14:paraId="141E01F7">
            <w:pPr>
              <w:spacing w:before="86" w:line="185" w:lineRule="auto"/>
              <w:ind w:left="34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对实施技能培</w:t>
            </w:r>
          </w:p>
          <w:p w14:paraId="5E3E22E4">
            <w:pPr>
              <w:spacing w:before="47" w:line="229" w:lineRule="auto"/>
              <w:ind w:left="142" w:right="48" w:hanging="104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训的民办培训机构的检查</w:t>
            </w:r>
          </w:p>
        </w:tc>
        <w:tc>
          <w:tcPr>
            <w:tcW w:w="5512" w:type="dxa"/>
            <w:vAlign w:val="center"/>
          </w:tcPr>
          <w:p w14:paraId="10CD6D95">
            <w:pPr>
              <w:spacing w:before="86" w:line="218" w:lineRule="auto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《民办教育促进法》</w:t>
            </w:r>
          </w:p>
        </w:tc>
        <w:tc>
          <w:tcPr>
            <w:tcW w:w="1559" w:type="dxa"/>
            <w:vAlign w:val="center"/>
          </w:tcPr>
          <w:p w14:paraId="33F19E0F">
            <w:pPr>
              <w:spacing w:before="86" w:line="185" w:lineRule="auto"/>
              <w:ind w:left="105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实施技能培训的民办培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  <w:lang w:eastAsia="zh-CN"/>
              </w:rPr>
              <w:t>训机构</w:t>
            </w:r>
          </w:p>
        </w:tc>
        <w:tc>
          <w:tcPr>
            <w:tcW w:w="2268" w:type="dxa"/>
            <w:vAlign w:val="center"/>
          </w:tcPr>
          <w:p w14:paraId="57497060">
            <w:pPr>
              <w:spacing w:before="67" w:line="188" w:lineRule="auto"/>
              <w:ind w:left="12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场地、设备、师资等办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:lang w:eastAsia="zh-CN"/>
              </w:rPr>
              <w:t>学条件是否符合规定；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组织机构是否健全，管理制度是否完善；办学行为是否规范；培训质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lang w:eastAsia="zh-CN"/>
              </w:rPr>
              <w:t>效是否显著。</w:t>
            </w:r>
          </w:p>
        </w:tc>
        <w:tc>
          <w:tcPr>
            <w:tcW w:w="1134" w:type="dxa"/>
            <w:vAlign w:val="center"/>
          </w:tcPr>
          <w:p w14:paraId="3769054B">
            <w:pPr>
              <w:spacing w:before="86" w:line="185" w:lineRule="auto"/>
              <w:ind w:left="89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现场检核</w:t>
            </w:r>
          </w:p>
          <w:p w14:paraId="52FCCFBC">
            <w:pPr>
              <w:spacing w:before="46" w:line="188" w:lineRule="auto"/>
              <w:ind w:left="88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或书面审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查</w:t>
            </w:r>
          </w:p>
        </w:tc>
        <w:tc>
          <w:tcPr>
            <w:tcW w:w="1081" w:type="dxa"/>
            <w:vAlign w:val="center"/>
          </w:tcPr>
          <w:p w14:paraId="47BA2FB2">
            <w:pPr>
              <w:spacing w:before="86" w:line="237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eastAsia="zh-CN"/>
              </w:rPr>
              <w:t>1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  <w:lang w:eastAsia="zh-CN"/>
              </w:rPr>
              <w:t>次</w:t>
            </w:r>
          </w:p>
        </w:tc>
      </w:tr>
      <w:tr w14:paraId="0F52D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  <w:jc w:val="center"/>
        </w:trPr>
        <w:tc>
          <w:tcPr>
            <w:tcW w:w="469" w:type="dxa"/>
            <w:tcBorders>
              <w:bottom w:val="single" w:color="auto" w:sz="4" w:space="0"/>
            </w:tcBorders>
            <w:vAlign w:val="center"/>
          </w:tcPr>
          <w:p w14:paraId="2CAF2222">
            <w:pPr>
              <w:spacing w:before="58" w:line="274" w:lineRule="exact"/>
              <w:ind w:left="17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"/>
                <w:position w:val="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 w14:paraId="55BD37BC">
            <w:pPr>
              <w:spacing w:before="85" w:line="186" w:lineRule="auto"/>
              <w:ind w:left="34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劳务派遣单位、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经营性人力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  <w:lang w:eastAsia="zh-CN"/>
              </w:rPr>
              <w:t>资源服务机构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的行政检查</w:t>
            </w:r>
          </w:p>
        </w:tc>
        <w:tc>
          <w:tcPr>
            <w:tcW w:w="5512" w:type="dxa"/>
            <w:tcBorders>
              <w:bottom w:val="single" w:color="auto" w:sz="4" w:space="0"/>
            </w:tcBorders>
            <w:vAlign w:val="center"/>
          </w:tcPr>
          <w:p w14:paraId="571008C7">
            <w:pPr>
              <w:spacing w:before="86" w:line="218" w:lineRule="auto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  <w:lang w:eastAsia="zh-CN"/>
              </w:rPr>
              <w:t>《中华人民共和国劳动法》《中华人民共和国劳动合同法》《中华人民共和国社会保险法》《工伤保险条例》《保障农民工工资支付条例》《未成年人保护法》《禁止使用童工规定》《劳动保障监察条例》《劳务派遣行政许可实施办法》（人力资源和社会保障部令19号）《劳务派遣暂行规定》（人力资源和社会保障部令20号）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  <w:lang w:eastAsia="zh-CN"/>
              </w:rPr>
              <w:t>《人力资源市场暂行条例》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D2DA033">
            <w:pPr>
              <w:spacing w:before="86" w:line="186" w:lineRule="auto"/>
              <w:ind w:left="105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劳务派遣机构、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经营性人力资源服务机</w:t>
            </w:r>
            <w:r>
              <w:rPr>
                <w:rFonts w:ascii="微软雅黑" w:hAnsi="微软雅黑" w:eastAsia="微软雅黑" w:cs="微软雅黑"/>
                <w:sz w:val="20"/>
                <w:szCs w:val="20"/>
                <w:lang w:eastAsia="zh-CN"/>
              </w:rPr>
              <w:t>构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7A677933">
            <w:pPr>
              <w:spacing w:before="73" w:line="212" w:lineRule="auto"/>
              <w:ind w:left="13" w:right="2" w:firstLine="83"/>
              <w:jc w:val="both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依法查处未经许可擅自从事人力资源服务或劳务派遣业务、从事网络招聘业务的组织或个人。对劳务派遣单位、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经营性人力资源服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  <w:lang w:eastAsia="zh-CN"/>
              </w:rPr>
              <w:t>务机构开展人力资源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服务业务备案情况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按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  <w:lang w:eastAsia="zh-CN"/>
              </w:rPr>
              <w:t>规定提交经营情况年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  <w:lang w:eastAsia="zh-CN"/>
              </w:rPr>
              <w:t>度报告、设立分支机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构、办理变更或者注销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  <w:lang w:eastAsia="zh-CN"/>
              </w:rPr>
              <w:t>登记进行书面报告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  <w:lang w:eastAsia="zh-CN"/>
              </w:rPr>
              <w:t>；劳务派遣单位按规定提交年度核验、办理变更或者注销登记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spacing w:val="18"/>
                <w:sz w:val="20"/>
                <w:szCs w:val="20"/>
                <w:lang w:eastAsia="zh-CN"/>
              </w:rPr>
              <w:t>的行政检查。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EA18DF7">
            <w:pPr>
              <w:spacing w:before="86" w:line="185" w:lineRule="auto"/>
              <w:ind w:left="89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现场检核</w:t>
            </w:r>
          </w:p>
          <w:p w14:paraId="46D0210F">
            <w:pPr>
              <w:spacing w:before="46" w:line="188" w:lineRule="auto"/>
              <w:ind w:left="88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或书面审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查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 w14:paraId="39911EAE">
            <w:pPr>
              <w:spacing w:before="86" w:line="237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次</w:t>
            </w:r>
          </w:p>
        </w:tc>
      </w:tr>
    </w:tbl>
    <w:p w14:paraId="5629FC89">
      <w:pPr>
        <w:spacing w:line="151" w:lineRule="exact"/>
        <w:rPr>
          <w:rFonts w:ascii="微软雅黑" w:hAnsi="微软雅黑" w:eastAsia="微软雅黑" w:cs="微软雅黑"/>
          <w:spacing w:val="-10"/>
          <w:sz w:val="20"/>
          <w:szCs w:val="20"/>
          <w:lang w:eastAsia="zh-CN"/>
        </w:rPr>
      </w:pPr>
    </w:p>
    <w:p w14:paraId="17CD91C2">
      <w:pPr>
        <w:rPr>
          <w:sz w:val="13"/>
          <w:szCs w:val="13"/>
          <w:lang w:eastAsia="zh-CN"/>
        </w:rPr>
      </w:pPr>
      <w:r>
        <w:rPr>
          <w:rFonts w:hint="eastAsia" w:ascii="微软雅黑" w:hAnsi="微软雅黑" w:eastAsia="微软雅黑" w:cs="微软雅黑"/>
          <w:spacing w:val="-10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z w:val="20"/>
          <w:szCs w:val="20"/>
          <w:lang w:eastAsia="zh-CN"/>
        </w:rPr>
        <w:t>注：根据投诉举报、转办交办等线索确需实施行政检查，不受频次上限限制，但不得明显超过合理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频次</w:t>
      </w:r>
      <w:r>
        <w:rPr>
          <w:rFonts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45D8071">
      <w:pPr>
        <w:tabs>
          <w:tab w:val="left" w:pos="2340"/>
        </w:tabs>
        <w:rPr>
          <w:lang w:eastAsia="zh-CN"/>
        </w:rPr>
      </w:pPr>
      <w:r>
        <w:rPr>
          <w:rFonts w:hint="eastAsia" w:ascii="微软雅黑" w:hAnsi="微软雅黑" w:eastAsia="微软雅黑" w:cs="微软雅黑"/>
          <w:spacing w:val="10"/>
          <w:sz w:val="20"/>
          <w:szCs w:val="20"/>
          <w:lang w:eastAsia="zh-CN"/>
        </w:rPr>
        <w:tab/>
      </w:r>
    </w:p>
    <w:sectPr>
      <w:pgSz w:w="16839" w:h="11906"/>
      <w:pgMar w:top="1012" w:right="1268" w:bottom="1569" w:left="1268" w:header="0" w:footer="1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1AE1946-E243-401F-8016-32A28CD32B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11B1858-D51C-4636-8481-0570145D7008}"/>
  </w:font>
  <w:font w:name="FZHei-B01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57D976C-E1A3-425C-9130-046F378ED73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DCFD8F5-5A9A-498D-BABE-8676F44E78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footnotePr>
    <w:footnote w:id="0"/>
    <w:footnote w:id="1"/>
  </w:foot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F7"/>
    <w:rsid w:val="00243C83"/>
    <w:rsid w:val="002C4E47"/>
    <w:rsid w:val="00340BA5"/>
    <w:rsid w:val="00432CF7"/>
    <w:rsid w:val="00504F67"/>
    <w:rsid w:val="00627CD5"/>
    <w:rsid w:val="00690928"/>
    <w:rsid w:val="00792A64"/>
    <w:rsid w:val="00BD754A"/>
    <w:rsid w:val="00DF4503"/>
    <w:rsid w:val="00E3156B"/>
    <w:rsid w:val="00F31D70"/>
    <w:rsid w:val="21844B2E"/>
    <w:rsid w:val="61FD1294"/>
    <w:rsid w:val="6E0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1215</Words>
  <Characters>1220</Characters>
  <Lines>9</Lines>
  <Paragraphs>2</Paragraphs>
  <TotalTime>1</TotalTime>
  <ScaleCrop>false</ScaleCrop>
  <LinksUpToDate>false</LinksUpToDate>
  <CharactersWithSpaces>1221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2025-08-25T06:03:00Z</dcterms:created>
  <dc:creator>zcfgc</dc:creator>
  <cp:lastModifiedBy>唐嘉鑫</cp:lastModifiedBy>
  <dcterms:modified xsi:type="dcterms:W3CDTF">2025-08-25T06:22:04Z</dcterms:modified>
  <dc:title>劳动监察局、职业能力处、就业处、社保中心：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2025-08-15T14:59:43Z</vt:filetime>
  </property>
  <property fmtid="{D5CDD505-2E9C-101B-9397-08002B2CF9AE}" pid="4" name="KSOTemplateDocerSaveRecord">
    <vt:lpwstr>eyJoZGlkIjoiNzEwM2ZiNDFjYzM3ODA2ZGI1MDcwNWE0NWU5MjM3MjMiLCJ1c2VySWQiOiIxNjIzNjg1MzU0In0=</vt:lpwstr>
  </property>
  <property fmtid="{D5CDD505-2E9C-101B-9397-08002B2CF9AE}" pid="5" name="KSOProductBuildVer">
    <vt:lpwstr>2052-12.1.0.21915</vt:lpwstr>
  </property>
  <property fmtid="{D5CDD505-2E9C-101B-9397-08002B2CF9AE}" pid="6" name="ICV">
    <vt:lpwstr>2B8D708D3F6E4AC6A49BB3BC185FE19F_13</vt:lpwstr>
  </property>
</Properties>
</file>