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29" w:firstLineChars="550"/>
        <w:rPr>
          <w:rFonts w:eastAsia="楷体_GB2312"/>
          <w:b/>
          <w:color w:val="auto"/>
          <w:sz w:val="44"/>
          <w:highlight w:val="none"/>
        </w:rPr>
      </w:pPr>
    </w:p>
    <w:p>
      <w:pPr>
        <w:spacing w:line="360" w:lineRule="auto"/>
        <w:jc w:val="center"/>
        <w:rPr>
          <w:rFonts w:hint="eastAsia" w:eastAsia="楷体_GB2312"/>
          <w:b/>
          <w:color w:val="auto"/>
          <w:sz w:val="36"/>
          <w:szCs w:val="36"/>
          <w:highlight w:val="none"/>
          <w:lang w:eastAsia="zh-CN"/>
        </w:rPr>
      </w:pPr>
      <w:r>
        <w:rPr>
          <w:rFonts w:hint="eastAsia" w:ascii="宋体" w:hAnsi="宋体" w:eastAsia="楷体_GB2312"/>
          <w:b/>
          <w:color w:val="auto"/>
          <w:spacing w:val="20"/>
          <w:sz w:val="44"/>
          <w:highlight w:val="none"/>
          <w:u w:val="single"/>
          <w:lang w:eastAsia="zh-CN"/>
        </w:rPr>
        <w:t>市北高新区及特色产业园区标识牌采购及安装项目</w:t>
      </w:r>
    </w:p>
    <w:p>
      <w:pPr>
        <w:autoSpaceDE w:val="0"/>
        <w:autoSpaceDN w:val="0"/>
        <w:adjustRightInd w:val="0"/>
        <w:jc w:val="center"/>
        <w:rPr>
          <w:color w:val="auto"/>
          <w:szCs w:val="21"/>
          <w:highlight w:val="none"/>
        </w:rPr>
      </w:pPr>
    </w:p>
    <w:p>
      <w:pPr>
        <w:autoSpaceDE w:val="0"/>
        <w:autoSpaceDN w:val="0"/>
        <w:adjustRightInd w:val="0"/>
        <w:spacing w:line="1000" w:lineRule="exact"/>
        <w:jc w:val="center"/>
        <w:rPr>
          <w:rFonts w:hint="eastAsia" w:ascii="华文新魏" w:eastAsia="华文新魏"/>
          <w:b/>
          <w:bCs/>
          <w:color w:val="auto"/>
          <w:sz w:val="100"/>
          <w:szCs w:val="100"/>
          <w:highlight w:val="none"/>
          <w:lang w:val="zh-CN"/>
        </w:rPr>
      </w:pPr>
    </w:p>
    <w:p>
      <w:pPr>
        <w:autoSpaceDE w:val="0"/>
        <w:autoSpaceDN w:val="0"/>
        <w:adjustRightInd w:val="0"/>
        <w:spacing w:line="1000" w:lineRule="exact"/>
        <w:jc w:val="center"/>
        <w:rPr>
          <w:rFonts w:ascii="华文新魏" w:hAnsi="Arial Narrow" w:eastAsia="华文新魏"/>
          <w:b/>
          <w:bCs/>
          <w:color w:val="auto"/>
          <w:sz w:val="100"/>
          <w:szCs w:val="100"/>
          <w:highlight w:val="none"/>
        </w:rPr>
      </w:pPr>
      <w:r>
        <w:rPr>
          <w:rFonts w:hint="eastAsia" w:ascii="华文新魏" w:eastAsia="华文新魏"/>
          <w:b/>
          <w:bCs/>
          <w:color w:val="auto"/>
          <w:sz w:val="100"/>
          <w:szCs w:val="100"/>
          <w:highlight w:val="none"/>
          <w:lang w:val="zh-CN"/>
        </w:rPr>
        <w:t>竞争性</w:t>
      </w:r>
    </w:p>
    <w:p>
      <w:pPr>
        <w:autoSpaceDE w:val="0"/>
        <w:autoSpaceDN w:val="0"/>
        <w:adjustRightInd w:val="0"/>
        <w:spacing w:line="1000" w:lineRule="exact"/>
        <w:jc w:val="center"/>
        <w:rPr>
          <w:rFonts w:ascii="华文新魏" w:hAnsi="Arial Narrow" w:eastAsia="华文新魏"/>
          <w:b/>
          <w:bCs/>
          <w:color w:val="auto"/>
          <w:sz w:val="100"/>
          <w:szCs w:val="100"/>
          <w:highlight w:val="none"/>
        </w:rPr>
      </w:pPr>
      <w:r>
        <w:rPr>
          <w:rFonts w:hint="eastAsia" w:ascii="华文新魏" w:hAnsi="Arial Narrow" w:eastAsia="华文新魏"/>
          <w:b/>
          <w:bCs/>
          <w:color w:val="auto"/>
          <w:sz w:val="100"/>
          <w:szCs w:val="100"/>
          <w:highlight w:val="none"/>
          <w:lang w:val="zh-CN"/>
        </w:rPr>
        <w:t>磋商文件</w:t>
      </w:r>
    </w:p>
    <w:p>
      <w:pPr>
        <w:keepNext/>
        <w:keepLines/>
        <w:autoSpaceDE w:val="0"/>
        <w:autoSpaceDN w:val="0"/>
        <w:adjustRightInd w:val="0"/>
        <w:spacing w:before="260" w:after="260" w:line="600" w:lineRule="exact"/>
        <w:ind w:right="210" w:firstLine="1080" w:firstLineChars="300"/>
        <w:jc w:val="both"/>
        <w:outlineLvl w:val="0"/>
        <w:rPr>
          <w:rFonts w:hint="eastAsia" w:ascii="宋体" w:hAnsi="宋体"/>
          <w:color w:val="auto"/>
          <w:sz w:val="36"/>
          <w:szCs w:val="36"/>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spacing w:line="360" w:lineRule="auto"/>
        <w:ind w:firstLine="420"/>
        <w:jc w:val="center"/>
        <w:rPr>
          <w:rFonts w:eastAsia="黑体"/>
          <w:color w:val="auto"/>
          <w:szCs w:val="21"/>
          <w:highlight w:val="none"/>
        </w:rPr>
      </w:pPr>
    </w:p>
    <w:p>
      <w:pPr>
        <w:autoSpaceDE w:val="0"/>
        <w:autoSpaceDN w:val="0"/>
        <w:adjustRightInd w:val="0"/>
        <w:jc w:val="center"/>
        <w:rPr>
          <w:color w:val="auto"/>
          <w:szCs w:val="21"/>
          <w:highlight w:val="none"/>
        </w:rPr>
      </w:pPr>
    </w:p>
    <w:p>
      <w:pPr>
        <w:pStyle w:val="26"/>
        <w:ind w:firstLine="420"/>
        <w:rPr>
          <w:color w:val="auto"/>
          <w:szCs w:val="21"/>
          <w:highlight w:val="none"/>
        </w:rPr>
      </w:pPr>
    </w:p>
    <w:p>
      <w:pPr>
        <w:pStyle w:val="27"/>
        <w:rPr>
          <w:color w:val="auto"/>
          <w:szCs w:val="21"/>
          <w:highlight w:val="none"/>
        </w:rPr>
      </w:pPr>
    </w:p>
    <w:p>
      <w:pPr>
        <w:autoSpaceDE w:val="0"/>
        <w:autoSpaceDN w:val="0"/>
        <w:adjustRightInd w:val="0"/>
        <w:spacing w:line="360" w:lineRule="auto"/>
        <w:jc w:val="both"/>
        <w:rPr>
          <w:color w:val="auto"/>
          <w:szCs w:val="21"/>
          <w:highlight w:val="none"/>
        </w:rPr>
      </w:pPr>
    </w:p>
    <w:p>
      <w:pPr>
        <w:autoSpaceDE w:val="0"/>
        <w:autoSpaceDN w:val="0"/>
        <w:adjustRightInd w:val="0"/>
        <w:spacing w:line="360" w:lineRule="auto"/>
        <w:rPr>
          <w:color w:val="auto"/>
          <w:szCs w:val="21"/>
          <w:highlight w:val="none"/>
        </w:rPr>
      </w:pPr>
    </w:p>
    <w:p>
      <w:pPr>
        <w:spacing w:line="500" w:lineRule="exact"/>
        <w:jc w:val="center"/>
        <w:rPr>
          <w:rFonts w:hint="eastAsia" w:ascii="宋体" w:hAnsi="宋体" w:eastAsia="宋体"/>
          <w:color w:val="auto"/>
          <w:spacing w:val="20"/>
          <w:sz w:val="28"/>
          <w:szCs w:val="28"/>
          <w:highlight w:val="none"/>
          <w:lang w:eastAsia="zh-CN"/>
        </w:rPr>
      </w:pPr>
      <w:r>
        <w:rPr>
          <w:rFonts w:hint="eastAsia" w:ascii="宋体" w:hAnsi="宋体"/>
          <w:color w:val="auto"/>
          <w:spacing w:val="20"/>
          <w:sz w:val="28"/>
          <w:szCs w:val="28"/>
          <w:highlight w:val="none"/>
        </w:rPr>
        <w:t>采购单位</w:t>
      </w:r>
      <w:r>
        <w:rPr>
          <w:rFonts w:hint="eastAsia" w:ascii="宋体" w:hAnsi="宋体"/>
          <w:color w:val="auto"/>
          <w:spacing w:val="20"/>
          <w:sz w:val="28"/>
          <w:szCs w:val="28"/>
          <w:highlight w:val="none"/>
          <w:u w:val="single"/>
        </w:rPr>
        <w:t>：</w:t>
      </w:r>
      <w:r>
        <w:rPr>
          <w:rFonts w:hint="eastAsia" w:ascii="宋体" w:hAnsi="宋体"/>
          <w:color w:val="auto"/>
          <w:spacing w:val="20"/>
          <w:sz w:val="28"/>
          <w:szCs w:val="28"/>
          <w:highlight w:val="none"/>
          <w:u w:val="single"/>
          <w:lang w:eastAsia="zh-CN"/>
        </w:rPr>
        <w:t>江苏省南通市北高新技术产业开发区管理委员会</w:t>
      </w:r>
    </w:p>
    <w:p>
      <w:pPr>
        <w:spacing w:line="500" w:lineRule="exact"/>
        <w:jc w:val="center"/>
        <w:rPr>
          <w:rFonts w:ascii="宋体" w:hAnsi="宋体"/>
          <w:color w:val="auto"/>
          <w:spacing w:val="20"/>
          <w:sz w:val="28"/>
          <w:szCs w:val="28"/>
          <w:highlight w:val="none"/>
        </w:rPr>
      </w:pPr>
      <w:r>
        <w:rPr>
          <w:rFonts w:hint="eastAsia" w:ascii="宋体" w:hAnsi="宋体"/>
          <w:color w:val="auto"/>
          <w:spacing w:val="20"/>
          <w:sz w:val="28"/>
          <w:szCs w:val="28"/>
          <w:highlight w:val="none"/>
        </w:rPr>
        <w:t>代理单位</w:t>
      </w:r>
      <w:r>
        <w:rPr>
          <w:rFonts w:hint="eastAsia" w:ascii="宋体" w:hAnsi="宋体"/>
          <w:color w:val="auto"/>
          <w:spacing w:val="20"/>
          <w:sz w:val="28"/>
          <w:szCs w:val="28"/>
          <w:highlight w:val="none"/>
          <w:u w:val="single"/>
        </w:rPr>
        <w:t>：</w:t>
      </w:r>
      <w:r>
        <w:rPr>
          <w:rFonts w:hint="eastAsia" w:ascii="宋体" w:hAnsi="宋体"/>
          <w:color w:val="auto"/>
          <w:spacing w:val="20"/>
          <w:sz w:val="28"/>
          <w:szCs w:val="28"/>
          <w:highlight w:val="none"/>
          <w:u w:val="single"/>
          <w:lang w:val="zh-CN"/>
        </w:rPr>
        <w:t>上海申邑工程咨询有限公司</w:t>
      </w:r>
    </w:p>
    <w:p>
      <w:pPr>
        <w:spacing w:line="500" w:lineRule="exact"/>
        <w:jc w:val="center"/>
        <w:rPr>
          <w:rFonts w:ascii="宋体" w:hAnsi="宋体"/>
          <w:color w:val="auto"/>
          <w:spacing w:val="20"/>
          <w:sz w:val="28"/>
          <w:szCs w:val="28"/>
          <w:highlight w:val="none"/>
        </w:rPr>
      </w:pPr>
      <w:r>
        <w:rPr>
          <w:rFonts w:hint="eastAsia" w:ascii="宋体" w:hAnsi="宋体"/>
          <w:color w:val="auto"/>
          <w:spacing w:val="20"/>
          <w:sz w:val="28"/>
          <w:szCs w:val="28"/>
          <w:highlight w:val="none"/>
        </w:rPr>
        <w:t>日期：</w:t>
      </w:r>
      <w:r>
        <w:rPr>
          <w:rFonts w:hint="eastAsia" w:ascii="宋体" w:hAnsi="宋体"/>
          <w:color w:val="auto"/>
          <w:spacing w:val="20"/>
          <w:sz w:val="28"/>
          <w:szCs w:val="28"/>
          <w:highlight w:val="none"/>
          <w:u w:val="single"/>
          <w:lang w:eastAsia="zh-CN"/>
        </w:rPr>
        <w:t>2025年</w:t>
      </w:r>
      <w:r>
        <w:rPr>
          <w:rFonts w:hint="eastAsia" w:ascii="宋体" w:hAnsi="宋体"/>
          <w:color w:val="auto"/>
          <w:spacing w:val="20"/>
          <w:sz w:val="28"/>
          <w:szCs w:val="28"/>
          <w:highlight w:val="none"/>
          <w:u w:val="single"/>
          <w:lang w:val="en-US" w:eastAsia="zh-CN"/>
        </w:rPr>
        <w:t>11</w:t>
      </w:r>
      <w:r>
        <w:rPr>
          <w:rFonts w:hint="eastAsia" w:ascii="宋体" w:hAnsi="宋体"/>
          <w:color w:val="auto"/>
          <w:spacing w:val="20"/>
          <w:sz w:val="28"/>
          <w:szCs w:val="28"/>
          <w:highlight w:val="none"/>
          <w:u w:val="single"/>
        </w:rPr>
        <w:t>月</w:t>
      </w:r>
      <w:r>
        <w:rPr>
          <w:rFonts w:hint="eastAsia" w:ascii="宋体" w:hAnsi="宋体"/>
          <w:color w:val="auto"/>
          <w:spacing w:val="20"/>
          <w:sz w:val="28"/>
          <w:szCs w:val="28"/>
          <w:highlight w:val="none"/>
          <w:u w:val="single"/>
          <w:lang w:val="en-US" w:eastAsia="zh-CN"/>
        </w:rPr>
        <w:t>26</w:t>
      </w:r>
      <w:r>
        <w:rPr>
          <w:rFonts w:hint="eastAsia" w:ascii="宋体" w:hAnsi="宋体"/>
          <w:color w:val="auto"/>
          <w:spacing w:val="20"/>
          <w:sz w:val="28"/>
          <w:szCs w:val="28"/>
          <w:highlight w:val="none"/>
          <w:u w:val="single"/>
        </w:rPr>
        <w:t>日</w:t>
      </w:r>
    </w:p>
    <w:p>
      <w:pPr>
        <w:spacing w:line="500" w:lineRule="exact"/>
        <w:jc w:val="center"/>
        <w:rPr>
          <w:b/>
          <w:color w:val="auto"/>
          <w:sz w:val="44"/>
          <w:szCs w:val="44"/>
          <w:highlight w:val="none"/>
          <w:lang w:val="zh-CN"/>
        </w:rPr>
      </w:pPr>
    </w:p>
    <w:p>
      <w:pPr>
        <w:jc w:val="center"/>
        <w:rPr>
          <w:color w:val="auto"/>
          <w:sz w:val="36"/>
          <w:highlight w:val="none"/>
        </w:rPr>
      </w:pPr>
    </w:p>
    <w:p>
      <w:pPr>
        <w:spacing w:line="500" w:lineRule="exact"/>
        <w:rPr>
          <w:snapToGrid w:val="0"/>
          <w:color w:val="auto"/>
          <w:sz w:val="26"/>
          <w:szCs w:val="26"/>
          <w:highlight w:val="none"/>
        </w:rPr>
      </w:pPr>
    </w:p>
    <w:p>
      <w:pPr>
        <w:spacing w:line="500" w:lineRule="exact"/>
        <w:jc w:val="center"/>
        <w:rPr>
          <w:b/>
          <w:color w:val="auto"/>
          <w:w w:val="150"/>
          <w:sz w:val="38"/>
          <w:szCs w:val="38"/>
          <w:highlight w:val="none"/>
        </w:rPr>
      </w:pPr>
    </w:p>
    <w:p>
      <w:pPr>
        <w:spacing w:line="500" w:lineRule="exact"/>
        <w:jc w:val="center"/>
        <w:rPr>
          <w:b/>
          <w:color w:val="auto"/>
          <w:w w:val="150"/>
          <w:sz w:val="38"/>
          <w:szCs w:val="38"/>
          <w:highlight w:val="none"/>
        </w:rPr>
      </w:pPr>
      <w:r>
        <w:rPr>
          <w:b/>
          <w:color w:val="auto"/>
          <w:w w:val="150"/>
          <w:sz w:val="38"/>
          <w:szCs w:val="38"/>
          <w:highlight w:val="none"/>
        </w:rPr>
        <w:t>目录</w:t>
      </w:r>
    </w:p>
    <w:p>
      <w:pPr>
        <w:tabs>
          <w:tab w:val="left" w:pos="7740"/>
        </w:tabs>
        <w:spacing w:line="360" w:lineRule="auto"/>
        <w:rPr>
          <w:snapToGrid w:val="0"/>
          <w:color w:val="auto"/>
          <w:sz w:val="26"/>
          <w:szCs w:val="26"/>
          <w:highlight w:val="none"/>
        </w:rPr>
      </w:pPr>
    </w:p>
    <w:p>
      <w:pPr>
        <w:tabs>
          <w:tab w:val="left" w:pos="7740"/>
        </w:tabs>
        <w:spacing w:line="360" w:lineRule="auto"/>
        <w:rPr>
          <w:bCs/>
          <w:color w:val="auto"/>
          <w:sz w:val="32"/>
          <w:szCs w:val="32"/>
          <w:highlight w:val="none"/>
        </w:rPr>
      </w:pPr>
      <w:r>
        <w:rPr>
          <w:bCs/>
          <w:color w:val="auto"/>
          <w:sz w:val="32"/>
          <w:szCs w:val="32"/>
          <w:highlight w:val="none"/>
        </w:rPr>
        <w:t>第一部分竞争性磋商公告</w:t>
      </w:r>
    </w:p>
    <w:p>
      <w:pPr>
        <w:tabs>
          <w:tab w:val="left" w:pos="7740"/>
        </w:tabs>
        <w:spacing w:line="360" w:lineRule="auto"/>
        <w:rPr>
          <w:bCs/>
          <w:color w:val="auto"/>
          <w:sz w:val="32"/>
          <w:szCs w:val="32"/>
          <w:highlight w:val="none"/>
        </w:rPr>
      </w:pPr>
      <w:r>
        <w:rPr>
          <w:bCs/>
          <w:color w:val="auto"/>
          <w:sz w:val="32"/>
          <w:szCs w:val="32"/>
          <w:highlight w:val="none"/>
        </w:rPr>
        <w:t>第二部分磋商须知</w:t>
      </w:r>
    </w:p>
    <w:p>
      <w:pPr>
        <w:tabs>
          <w:tab w:val="left" w:pos="7740"/>
        </w:tabs>
        <w:spacing w:line="360" w:lineRule="auto"/>
        <w:rPr>
          <w:bCs/>
          <w:color w:val="auto"/>
          <w:sz w:val="32"/>
          <w:szCs w:val="32"/>
          <w:highlight w:val="none"/>
        </w:rPr>
      </w:pPr>
      <w:r>
        <w:rPr>
          <w:bCs/>
          <w:color w:val="auto"/>
          <w:sz w:val="32"/>
          <w:szCs w:val="32"/>
          <w:highlight w:val="none"/>
        </w:rPr>
        <w:t>第三部分项目需求说明</w:t>
      </w:r>
    </w:p>
    <w:p>
      <w:pPr>
        <w:tabs>
          <w:tab w:val="left" w:pos="7740"/>
        </w:tabs>
        <w:spacing w:line="360" w:lineRule="auto"/>
        <w:rPr>
          <w:bCs/>
          <w:color w:val="auto"/>
          <w:sz w:val="32"/>
          <w:szCs w:val="32"/>
          <w:highlight w:val="none"/>
        </w:rPr>
      </w:pPr>
      <w:r>
        <w:rPr>
          <w:bCs/>
          <w:color w:val="auto"/>
          <w:sz w:val="32"/>
          <w:szCs w:val="32"/>
          <w:highlight w:val="none"/>
        </w:rPr>
        <w:t>第四部分磋商程序和内容</w:t>
      </w:r>
    </w:p>
    <w:p>
      <w:pPr>
        <w:tabs>
          <w:tab w:val="left" w:pos="7740"/>
        </w:tabs>
        <w:spacing w:line="360" w:lineRule="auto"/>
        <w:rPr>
          <w:bCs/>
          <w:color w:val="auto"/>
          <w:sz w:val="32"/>
          <w:szCs w:val="32"/>
          <w:highlight w:val="none"/>
        </w:rPr>
      </w:pPr>
      <w:r>
        <w:rPr>
          <w:bCs/>
          <w:color w:val="auto"/>
          <w:sz w:val="32"/>
          <w:szCs w:val="32"/>
          <w:highlight w:val="none"/>
        </w:rPr>
        <w:t>第五部分</w:t>
      </w:r>
      <w:r>
        <w:rPr>
          <w:rFonts w:hint="eastAsia"/>
          <w:bCs/>
          <w:color w:val="auto"/>
          <w:sz w:val="32"/>
          <w:szCs w:val="32"/>
          <w:highlight w:val="none"/>
        </w:rPr>
        <w:t>合同签订与验收付款</w:t>
      </w:r>
    </w:p>
    <w:p>
      <w:pPr>
        <w:tabs>
          <w:tab w:val="left" w:pos="7740"/>
        </w:tabs>
        <w:spacing w:line="360" w:lineRule="auto"/>
        <w:rPr>
          <w:bCs/>
          <w:color w:val="auto"/>
          <w:sz w:val="32"/>
          <w:szCs w:val="32"/>
          <w:highlight w:val="none"/>
        </w:rPr>
      </w:pPr>
      <w:r>
        <w:rPr>
          <w:bCs/>
          <w:color w:val="auto"/>
          <w:sz w:val="32"/>
          <w:szCs w:val="32"/>
          <w:highlight w:val="none"/>
        </w:rPr>
        <w:t>第六部分质疑提出和处理</w:t>
      </w:r>
    </w:p>
    <w:p>
      <w:pPr>
        <w:tabs>
          <w:tab w:val="left" w:pos="7740"/>
        </w:tabs>
        <w:spacing w:line="360" w:lineRule="auto"/>
        <w:rPr>
          <w:bCs/>
          <w:color w:val="auto"/>
          <w:sz w:val="32"/>
          <w:szCs w:val="32"/>
          <w:highlight w:val="none"/>
        </w:rPr>
      </w:pPr>
      <w:r>
        <w:rPr>
          <w:bCs/>
          <w:color w:val="auto"/>
          <w:sz w:val="32"/>
          <w:szCs w:val="32"/>
          <w:highlight w:val="none"/>
        </w:rPr>
        <w:t>第七部分响应文件组成</w:t>
      </w:r>
    </w:p>
    <w:p>
      <w:pPr>
        <w:tabs>
          <w:tab w:val="left" w:pos="7740"/>
        </w:tabs>
        <w:spacing w:line="500" w:lineRule="exact"/>
        <w:rPr>
          <w:rFonts w:eastAsia="楷体_GB2312"/>
          <w:b/>
          <w:color w:val="auto"/>
          <w:spacing w:val="2"/>
          <w:sz w:val="32"/>
          <w:szCs w:val="32"/>
          <w:highlight w:val="none"/>
        </w:rPr>
      </w:pPr>
    </w:p>
    <w:p>
      <w:pPr>
        <w:spacing w:line="500" w:lineRule="exact"/>
        <w:rPr>
          <w:color w:val="auto"/>
          <w:sz w:val="32"/>
          <w:szCs w:val="32"/>
          <w:highlight w:val="none"/>
        </w:rPr>
      </w:pPr>
    </w:p>
    <w:p>
      <w:pPr>
        <w:adjustRightInd w:val="0"/>
        <w:snapToGrid w:val="0"/>
        <w:ind w:left="-158" w:leftChars="-75" w:right="-601" w:rightChars="-286"/>
        <w:rPr>
          <w:rFonts w:eastAsia="仿宋_GB2312"/>
          <w:b/>
          <w:color w:val="auto"/>
          <w:sz w:val="48"/>
          <w:szCs w:val="48"/>
          <w:highlight w:val="none"/>
        </w:rPr>
      </w:pPr>
    </w:p>
    <w:p>
      <w:pPr>
        <w:jc w:val="center"/>
        <w:rPr>
          <w:b/>
          <w:color w:val="auto"/>
          <w:sz w:val="36"/>
          <w:szCs w:val="36"/>
          <w:highlight w:val="none"/>
        </w:rPr>
        <w:sectPr>
          <w:headerReference r:id="rId3" w:type="default"/>
          <w:pgSz w:w="11906" w:h="16838"/>
          <w:pgMar w:top="1440" w:right="1700" w:bottom="1440" w:left="1800" w:header="851" w:footer="992" w:gutter="0"/>
          <w:cols w:space="720" w:num="1"/>
          <w:docGrid w:type="lines" w:linePitch="312" w:charSpace="0"/>
        </w:sectPr>
      </w:pPr>
    </w:p>
    <w:p>
      <w:pPr>
        <w:snapToGrid w:val="0"/>
        <w:spacing w:line="300" w:lineRule="auto"/>
        <w:jc w:val="center"/>
        <w:outlineLvl w:val="0"/>
        <w:rPr>
          <w:b/>
          <w:color w:val="auto"/>
          <w:sz w:val="36"/>
          <w:szCs w:val="36"/>
          <w:highlight w:val="none"/>
        </w:rPr>
      </w:pPr>
      <w:r>
        <w:rPr>
          <w:b/>
          <w:color w:val="auto"/>
          <w:sz w:val="36"/>
          <w:szCs w:val="36"/>
          <w:highlight w:val="none"/>
        </w:rPr>
        <w:t>第一部分竞争性磋商公告</w:t>
      </w:r>
    </w:p>
    <w:p>
      <w:pPr>
        <w:spacing w:line="240" w:lineRule="atLeast"/>
        <w:jc w:val="center"/>
        <w:rPr>
          <w:rFonts w:eastAsia="黑体"/>
          <w:color w:val="auto"/>
          <w:w w:val="90"/>
          <w:sz w:val="28"/>
          <w:szCs w:val="28"/>
          <w:highlight w:val="none"/>
        </w:rPr>
      </w:pPr>
      <w:bookmarkStart w:id="0" w:name="_Toc387526272"/>
      <w:bookmarkStart w:id="1" w:name="_Toc387526364"/>
      <w:bookmarkStart w:id="2" w:name="_Toc387526168"/>
      <w:bookmarkStart w:id="3" w:name="_Toc12939"/>
      <w:bookmarkStart w:id="4" w:name="OLE_LINK5"/>
      <w:bookmarkStart w:id="5" w:name="OLE_LINK1"/>
      <w:bookmarkStart w:id="6" w:name="OLE_LINK4"/>
      <w:bookmarkStart w:id="7" w:name="OLE_LINK2"/>
      <w:bookmarkStart w:id="8" w:name="OLE_LINK3"/>
      <w:bookmarkStart w:id="9" w:name="OLE_LINK6"/>
      <w:r>
        <w:rPr>
          <w:rFonts w:hint="eastAsia" w:eastAsia="黑体"/>
          <w:color w:val="auto"/>
          <w:w w:val="90"/>
          <w:sz w:val="28"/>
          <w:szCs w:val="28"/>
          <w:highlight w:val="none"/>
          <w:lang w:eastAsia="zh-CN"/>
        </w:rPr>
        <w:t>市北高新区及特色产业园区标识牌采购及安装项目</w:t>
      </w:r>
      <w:r>
        <w:rPr>
          <w:rFonts w:eastAsia="黑体"/>
          <w:color w:val="auto"/>
          <w:w w:val="90"/>
          <w:sz w:val="28"/>
          <w:szCs w:val="28"/>
          <w:highlight w:val="none"/>
        </w:rPr>
        <w:t>竞争性磋商公告</w:t>
      </w:r>
    </w:p>
    <w:p>
      <w:pPr>
        <w:snapToGrid w:val="0"/>
        <w:spacing w:line="360" w:lineRule="auto"/>
        <w:ind w:firstLine="480" w:firstLineChars="200"/>
        <w:jc w:val="left"/>
        <w:rPr>
          <w:color w:val="auto"/>
          <w:sz w:val="24"/>
          <w:highlight w:val="none"/>
          <w:lang w:val="zh-CN"/>
        </w:rPr>
      </w:pPr>
      <w:r>
        <w:rPr>
          <w:rFonts w:hint="eastAsia"/>
          <w:color w:val="auto"/>
          <w:sz w:val="24"/>
          <w:highlight w:val="none"/>
          <w:lang w:val="zh-CN"/>
        </w:rPr>
        <w:t>上海申邑工程咨询有限公司</w:t>
      </w:r>
      <w:r>
        <w:rPr>
          <w:color w:val="auto"/>
          <w:sz w:val="24"/>
          <w:highlight w:val="none"/>
          <w:lang w:val="zh-CN"/>
        </w:rPr>
        <w:t>受</w:t>
      </w:r>
      <w:r>
        <w:rPr>
          <w:rFonts w:hint="eastAsia"/>
          <w:color w:val="auto"/>
          <w:sz w:val="24"/>
          <w:highlight w:val="none"/>
          <w:lang w:val="zh-CN"/>
        </w:rPr>
        <w:t>江苏省南通市北高新技术产业开发区管理委员会</w:t>
      </w:r>
      <w:r>
        <w:rPr>
          <w:color w:val="auto"/>
          <w:sz w:val="24"/>
          <w:highlight w:val="none"/>
          <w:lang w:val="zh-CN"/>
        </w:rPr>
        <w:t>（下称采购人）委托，就</w:t>
      </w:r>
      <w:r>
        <w:rPr>
          <w:rFonts w:hint="eastAsia"/>
          <w:color w:val="auto"/>
          <w:sz w:val="24"/>
          <w:highlight w:val="none"/>
          <w:lang w:val="zh-CN"/>
        </w:rPr>
        <w:t>市北高新区及特色产业园区标识牌采购及安装项目</w:t>
      </w:r>
      <w:r>
        <w:rPr>
          <w:color w:val="auto"/>
          <w:sz w:val="24"/>
          <w:highlight w:val="none"/>
          <w:lang w:val="zh-CN"/>
        </w:rPr>
        <w:t>实施竞争性磋商方式组织采购，现公告如下：</w:t>
      </w:r>
    </w:p>
    <w:tbl>
      <w:tblPr>
        <w:tblStyle w:val="50"/>
        <w:tblW w:w="9345"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0" w:hRule="atLeast"/>
        </w:trPr>
        <w:tc>
          <w:tcPr>
            <w:tcW w:w="9345" w:type="dxa"/>
          </w:tcPr>
          <w:p>
            <w:pPr>
              <w:spacing w:line="360" w:lineRule="auto"/>
              <w:ind w:left="53"/>
              <w:jc w:val="left"/>
              <w:rPr>
                <w:color w:val="auto"/>
                <w:sz w:val="24"/>
                <w:highlight w:val="none"/>
              </w:rPr>
            </w:pPr>
            <w:r>
              <w:rPr>
                <w:color w:val="auto"/>
                <w:sz w:val="24"/>
                <w:highlight w:val="none"/>
              </w:rPr>
              <w:t>项目概况</w:t>
            </w:r>
          </w:p>
          <w:p>
            <w:pPr>
              <w:spacing w:line="360" w:lineRule="auto"/>
              <w:ind w:left="53" w:firstLine="480" w:firstLineChars="200"/>
              <w:jc w:val="left"/>
              <w:rPr>
                <w:color w:val="auto"/>
                <w:sz w:val="24"/>
                <w:highlight w:val="none"/>
              </w:rPr>
            </w:pPr>
            <w:r>
              <w:rPr>
                <w:rFonts w:hint="eastAsia"/>
                <w:color w:val="auto"/>
                <w:sz w:val="24"/>
                <w:highlight w:val="none"/>
                <w:u w:val="single"/>
                <w:lang w:eastAsia="zh-CN"/>
              </w:rPr>
              <w:t>市北高新区及特色产业园区标识牌采购及安装项目</w:t>
            </w:r>
            <w:r>
              <w:rPr>
                <w:color w:val="auto"/>
                <w:sz w:val="24"/>
                <w:highlight w:val="none"/>
                <w:lang w:val="zh-CN"/>
              </w:rPr>
              <w:t>的潜在供应商在</w:t>
            </w:r>
            <w:r>
              <w:rPr>
                <w:rFonts w:hint="eastAsia"/>
                <w:color w:val="auto"/>
                <w:sz w:val="24"/>
                <w:highlight w:val="none"/>
                <w:u w:val="single"/>
                <w:lang w:val="zh-CN"/>
              </w:rPr>
              <w:t>南通市崇川区人民政府网</w:t>
            </w:r>
            <w:r>
              <w:rPr>
                <w:color w:val="auto"/>
                <w:sz w:val="24"/>
                <w:highlight w:val="none"/>
                <w:lang w:val="zh-CN"/>
              </w:rPr>
              <w:t>获取采购文件，并于</w:t>
            </w:r>
            <w:r>
              <w:rPr>
                <w:color w:val="auto"/>
                <w:sz w:val="24"/>
                <w:highlight w:val="none"/>
                <w:u w:val="single"/>
                <w:lang w:val="zh-CN"/>
              </w:rPr>
              <w:t xml:space="preserve"> </w:t>
            </w:r>
            <w:r>
              <w:rPr>
                <w:rFonts w:hint="eastAsia"/>
                <w:color w:val="auto"/>
                <w:sz w:val="24"/>
                <w:highlight w:val="none"/>
                <w:u w:val="single"/>
                <w:lang w:val="zh-CN"/>
              </w:rPr>
              <w:t>2025</w:t>
            </w:r>
            <w:r>
              <w:rPr>
                <w:color w:val="auto"/>
                <w:sz w:val="24"/>
                <w:highlight w:val="none"/>
                <w:u w:val="single"/>
                <w:lang w:val="zh-CN"/>
              </w:rPr>
              <w:t xml:space="preserve"> </w:t>
            </w:r>
            <w:r>
              <w:rPr>
                <w:color w:val="auto"/>
                <w:sz w:val="24"/>
                <w:highlight w:val="none"/>
                <w:lang w:val="zh-CN"/>
              </w:rPr>
              <w:t>年</w:t>
            </w:r>
            <w:r>
              <w:rPr>
                <w:color w:val="auto"/>
                <w:sz w:val="24"/>
                <w:highlight w:val="none"/>
                <w:u w:val="single"/>
                <w:lang w:val="zh-CN"/>
              </w:rPr>
              <w:t xml:space="preserve"> </w:t>
            </w:r>
            <w:r>
              <w:rPr>
                <w:rFonts w:hint="eastAsia"/>
                <w:color w:val="auto"/>
                <w:sz w:val="24"/>
                <w:highlight w:val="none"/>
                <w:u w:val="single"/>
                <w:lang w:val="en-US" w:eastAsia="zh-CN"/>
              </w:rPr>
              <w:t xml:space="preserve"> 12 </w:t>
            </w:r>
            <w:r>
              <w:rPr>
                <w:rFonts w:hint="eastAsia"/>
                <w:color w:val="auto"/>
                <w:sz w:val="24"/>
                <w:highlight w:val="none"/>
                <w:u w:val="single"/>
              </w:rPr>
              <w:t xml:space="preserve"> </w:t>
            </w:r>
            <w:r>
              <w:rPr>
                <w:color w:val="auto"/>
                <w:sz w:val="24"/>
                <w:highlight w:val="none"/>
                <w:lang w:val="zh-CN"/>
              </w:rPr>
              <w:t>月</w:t>
            </w:r>
            <w:r>
              <w:rPr>
                <w:rFonts w:hint="eastAsia"/>
                <w:color w:val="auto"/>
                <w:sz w:val="24"/>
                <w:highlight w:val="none"/>
                <w:u w:val="single"/>
                <w:lang w:val="en-US" w:eastAsia="zh-CN"/>
              </w:rPr>
              <w:t>8</w:t>
            </w:r>
            <w:r>
              <w:rPr>
                <w:color w:val="auto"/>
                <w:sz w:val="24"/>
                <w:highlight w:val="none"/>
                <w:lang w:val="zh-CN"/>
              </w:rPr>
              <w:t>日</w:t>
            </w:r>
            <w:r>
              <w:rPr>
                <w:rFonts w:hint="eastAsia"/>
                <w:color w:val="auto"/>
                <w:sz w:val="24"/>
                <w:highlight w:val="none"/>
                <w:u w:val="single"/>
              </w:rPr>
              <w:t xml:space="preserve"> </w:t>
            </w:r>
            <w:r>
              <w:rPr>
                <w:rFonts w:hint="eastAsia"/>
                <w:color w:val="auto"/>
                <w:sz w:val="24"/>
                <w:highlight w:val="none"/>
                <w:u w:val="single"/>
                <w:lang w:val="en-US" w:eastAsia="zh-CN"/>
              </w:rPr>
              <w:t xml:space="preserve">14 </w:t>
            </w:r>
            <w:r>
              <w:rPr>
                <w:rFonts w:hint="eastAsia"/>
                <w:color w:val="auto"/>
                <w:sz w:val="24"/>
                <w:highlight w:val="none"/>
                <w:u w:val="none"/>
                <w:lang w:val="en-US" w:eastAsia="zh-CN"/>
              </w:rPr>
              <w:t>时</w:t>
            </w:r>
            <w:r>
              <w:rPr>
                <w:rFonts w:hint="eastAsia"/>
                <w:color w:val="auto"/>
                <w:sz w:val="24"/>
                <w:highlight w:val="none"/>
                <w:u w:val="single"/>
                <w:lang w:val="en-US" w:eastAsia="zh-CN"/>
              </w:rPr>
              <w:t>00分</w:t>
            </w:r>
            <w:r>
              <w:rPr>
                <w:color w:val="auto"/>
                <w:sz w:val="24"/>
                <w:highlight w:val="none"/>
                <w:lang w:val="zh-CN"/>
              </w:rPr>
              <w:t>（北京时间）提交响应文件。</w:t>
            </w:r>
          </w:p>
        </w:tc>
      </w:tr>
    </w:tbl>
    <w:p>
      <w:pPr>
        <w:spacing w:line="360" w:lineRule="auto"/>
        <w:ind w:firstLine="480" w:firstLineChars="200"/>
        <w:jc w:val="left"/>
        <w:rPr>
          <w:color w:val="auto"/>
          <w:sz w:val="24"/>
          <w:highlight w:val="none"/>
        </w:rPr>
      </w:pPr>
      <w:r>
        <w:rPr>
          <w:color w:val="auto"/>
          <w:sz w:val="24"/>
          <w:highlight w:val="none"/>
        </w:rPr>
        <w:t>一、项目基本情况</w:t>
      </w:r>
    </w:p>
    <w:p>
      <w:pPr>
        <w:spacing w:line="360" w:lineRule="auto"/>
        <w:ind w:firstLine="480" w:firstLineChars="200"/>
        <w:jc w:val="left"/>
        <w:rPr>
          <w:rFonts w:hint="eastAsia" w:eastAsia="宋体"/>
          <w:color w:val="auto"/>
          <w:sz w:val="24"/>
          <w:highlight w:val="none"/>
          <w:lang w:eastAsia="zh-CN"/>
        </w:rPr>
      </w:pPr>
      <w:r>
        <w:rPr>
          <w:rFonts w:hint="eastAsia"/>
          <w:color w:val="auto"/>
          <w:sz w:val="24"/>
          <w:highlight w:val="none"/>
          <w:lang w:val="en-US" w:eastAsia="zh-CN"/>
        </w:rPr>
        <w:t>1</w:t>
      </w:r>
      <w:r>
        <w:rPr>
          <w:color w:val="auto"/>
          <w:sz w:val="24"/>
          <w:highlight w:val="none"/>
        </w:rPr>
        <w:t>、项目名称：</w:t>
      </w:r>
      <w:r>
        <w:rPr>
          <w:rFonts w:hint="eastAsia"/>
          <w:color w:val="auto"/>
          <w:sz w:val="24"/>
          <w:highlight w:val="none"/>
          <w:lang w:eastAsia="zh-CN"/>
        </w:rPr>
        <w:t>市北高新区及特色产业园区标识牌采购及安装项目</w:t>
      </w:r>
    </w:p>
    <w:p>
      <w:pPr>
        <w:spacing w:line="360" w:lineRule="auto"/>
        <w:ind w:firstLine="480" w:firstLineChars="200"/>
        <w:jc w:val="left"/>
        <w:rPr>
          <w:color w:val="auto"/>
          <w:sz w:val="24"/>
          <w:highlight w:val="none"/>
        </w:rPr>
      </w:pPr>
      <w:r>
        <w:rPr>
          <w:rFonts w:hint="eastAsia"/>
          <w:color w:val="auto"/>
          <w:sz w:val="24"/>
          <w:highlight w:val="none"/>
          <w:lang w:val="en-US" w:eastAsia="zh-CN"/>
        </w:rPr>
        <w:t>2</w:t>
      </w:r>
      <w:r>
        <w:rPr>
          <w:color w:val="auto"/>
          <w:sz w:val="24"/>
          <w:highlight w:val="none"/>
        </w:rPr>
        <w:t>、采购方式：竞争性磋商</w:t>
      </w:r>
    </w:p>
    <w:p>
      <w:pPr>
        <w:spacing w:line="360" w:lineRule="auto"/>
        <w:ind w:firstLine="480" w:firstLineChars="200"/>
        <w:jc w:val="left"/>
        <w:rPr>
          <w:rFonts w:hAnsi="宋体"/>
          <w:color w:val="auto"/>
          <w:sz w:val="24"/>
          <w:highlight w:val="none"/>
        </w:rPr>
      </w:pPr>
      <w:r>
        <w:rPr>
          <w:rFonts w:hint="eastAsia"/>
          <w:color w:val="auto"/>
          <w:sz w:val="24"/>
          <w:highlight w:val="none"/>
          <w:lang w:val="en-US" w:eastAsia="zh-CN"/>
        </w:rPr>
        <w:t>3</w:t>
      </w:r>
      <w:r>
        <w:rPr>
          <w:color w:val="auto"/>
          <w:sz w:val="24"/>
          <w:highlight w:val="none"/>
        </w:rPr>
        <w:t>、预算金额：</w:t>
      </w:r>
      <w:bookmarkEnd w:id="0"/>
      <w:bookmarkEnd w:id="1"/>
      <w:bookmarkEnd w:id="2"/>
      <w:bookmarkEnd w:id="3"/>
      <w:bookmarkStart w:id="10" w:name="_Toc387526169"/>
      <w:bookmarkStart w:id="11" w:name="_Toc20597"/>
      <w:bookmarkStart w:id="12" w:name="_Toc387526273"/>
      <w:bookmarkStart w:id="13" w:name="_Toc387526365"/>
      <w:r>
        <w:rPr>
          <w:rFonts w:hint="eastAsia"/>
          <w:color w:val="auto"/>
          <w:sz w:val="24"/>
          <w:highlight w:val="none"/>
          <w:lang w:val="en-US" w:eastAsia="zh-CN"/>
        </w:rPr>
        <w:t>27.5</w:t>
      </w:r>
      <w:r>
        <w:rPr>
          <w:rFonts w:hint="eastAsia"/>
          <w:color w:val="auto"/>
          <w:sz w:val="24"/>
          <w:highlight w:val="none"/>
        </w:rPr>
        <w:t>万元</w:t>
      </w:r>
    </w:p>
    <w:p>
      <w:pPr>
        <w:pStyle w:val="26"/>
        <w:ind w:left="0" w:leftChars="0" w:firstLine="480"/>
        <w:rPr>
          <w:color w:val="auto"/>
          <w:highlight w:val="none"/>
        </w:rPr>
      </w:pPr>
      <w:r>
        <w:rPr>
          <w:rFonts w:hint="eastAsia" w:hAnsi="宋体"/>
          <w:color w:val="auto"/>
          <w:sz w:val="24"/>
          <w:highlight w:val="none"/>
          <w:lang w:val="en-US" w:eastAsia="zh-CN"/>
        </w:rPr>
        <w:t>4</w:t>
      </w:r>
      <w:r>
        <w:rPr>
          <w:rFonts w:hint="eastAsia" w:hAnsi="宋体"/>
          <w:color w:val="auto"/>
          <w:sz w:val="24"/>
          <w:highlight w:val="none"/>
        </w:rPr>
        <w:t>、最高限价：本项目设置招标控制总价和各控制单价；招标控制总限价为人民币27.5万元，各控制单价“见第三章 项目需求”，报价高于招标控制总价和控制单价的</w:t>
      </w:r>
      <w:r>
        <w:rPr>
          <w:rFonts w:hAnsi="宋体"/>
          <w:color w:val="auto"/>
          <w:sz w:val="24"/>
          <w:highlight w:val="none"/>
        </w:rPr>
        <w:t>为无效响应文件</w:t>
      </w:r>
      <w:r>
        <w:rPr>
          <w:rFonts w:hint="eastAsia" w:hAnsi="宋体"/>
          <w:color w:val="auto"/>
          <w:sz w:val="24"/>
          <w:highlight w:val="none"/>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5</w:t>
      </w:r>
      <w:r>
        <w:rPr>
          <w:color w:val="auto"/>
          <w:sz w:val="24"/>
          <w:highlight w:val="none"/>
        </w:rPr>
        <w:t>、采购需求：具体详见磋商文件第三部分项目需求。</w:t>
      </w:r>
    </w:p>
    <w:p>
      <w:pPr>
        <w:spacing w:line="360" w:lineRule="auto"/>
        <w:ind w:firstLine="480" w:firstLineChars="200"/>
        <w:jc w:val="left"/>
        <w:rPr>
          <w:rFonts w:hint="eastAsia" w:ascii="Arial" w:hAnsi="Arial" w:cs="Arial"/>
          <w:color w:val="auto"/>
          <w:sz w:val="24"/>
          <w:highlight w:val="none"/>
          <w:lang w:val="en-US" w:eastAsia="zh-CN"/>
        </w:rPr>
      </w:pPr>
      <w:r>
        <w:rPr>
          <w:rFonts w:hint="eastAsia"/>
          <w:color w:val="auto"/>
          <w:sz w:val="24"/>
          <w:highlight w:val="none"/>
          <w:lang w:val="en-US" w:eastAsia="zh-CN"/>
        </w:rPr>
        <w:t>6</w:t>
      </w:r>
      <w:r>
        <w:rPr>
          <w:color w:val="auto"/>
          <w:sz w:val="24"/>
          <w:highlight w:val="none"/>
        </w:rPr>
        <w:t>、合同履行期限：</w:t>
      </w:r>
      <w:r>
        <w:rPr>
          <w:rFonts w:hint="eastAsia" w:ascii="Arial" w:hAnsi="Arial" w:cs="Arial"/>
          <w:color w:val="auto"/>
          <w:sz w:val="24"/>
          <w:highlight w:val="none"/>
        </w:rPr>
        <w:t>自合同签定之日起</w:t>
      </w:r>
      <w:r>
        <w:rPr>
          <w:rFonts w:hint="eastAsia" w:ascii="Arial" w:hAnsi="Arial" w:cs="Arial"/>
          <w:color w:val="auto"/>
          <w:sz w:val="24"/>
          <w:highlight w:val="none"/>
          <w:lang w:val="en-US" w:eastAsia="zh-CN"/>
        </w:rPr>
        <w:t>30</w:t>
      </w:r>
      <w:r>
        <w:rPr>
          <w:rFonts w:hint="eastAsia" w:ascii="Arial" w:hAnsi="Arial" w:cs="Arial"/>
          <w:color w:val="auto"/>
          <w:sz w:val="24"/>
          <w:highlight w:val="none"/>
        </w:rPr>
        <w:t>个日历天内，送货至采购人指定地点并完成安装调试</w:t>
      </w:r>
      <w:r>
        <w:rPr>
          <w:rFonts w:hint="eastAsia" w:ascii="Arial" w:hAnsi="Arial" w:cs="Arial"/>
          <w:color w:val="auto"/>
          <w:sz w:val="24"/>
          <w:highlight w:val="none"/>
          <w:lang w:val="en-US" w:eastAsia="zh-CN"/>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7</w:t>
      </w:r>
      <w:r>
        <w:rPr>
          <w:color w:val="auto"/>
          <w:sz w:val="24"/>
          <w:highlight w:val="none"/>
        </w:rPr>
        <w:t>、本项目不接受联合体。</w:t>
      </w:r>
    </w:p>
    <w:bookmarkEnd w:id="10"/>
    <w:bookmarkEnd w:id="11"/>
    <w:bookmarkEnd w:id="12"/>
    <w:bookmarkEnd w:id="13"/>
    <w:p>
      <w:pPr>
        <w:spacing w:line="360" w:lineRule="auto"/>
        <w:ind w:firstLine="480" w:firstLineChars="200"/>
        <w:jc w:val="left"/>
        <w:rPr>
          <w:color w:val="auto"/>
          <w:sz w:val="24"/>
          <w:highlight w:val="none"/>
        </w:rPr>
      </w:pPr>
      <w:r>
        <w:rPr>
          <w:color w:val="auto"/>
          <w:sz w:val="24"/>
          <w:highlight w:val="none"/>
        </w:rPr>
        <w:t>二、申请人的资格要求：</w:t>
      </w:r>
    </w:p>
    <w:p>
      <w:pPr>
        <w:spacing w:line="360" w:lineRule="auto"/>
        <w:ind w:firstLine="480" w:firstLineChars="200"/>
        <w:jc w:val="left"/>
        <w:rPr>
          <w:color w:val="auto"/>
          <w:sz w:val="24"/>
          <w:highlight w:val="none"/>
        </w:rPr>
      </w:pPr>
      <w:r>
        <w:rPr>
          <w:color w:val="auto"/>
          <w:sz w:val="24"/>
          <w:highlight w:val="none"/>
        </w:rPr>
        <w:t>1、满足《中华人民共和国政府采购法》第二十二条规定：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pPr>
        <w:spacing w:line="360" w:lineRule="auto"/>
        <w:ind w:firstLine="480" w:firstLineChars="200"/>
        <w:jc w:val="left"/>
        <w:rPr>
          <w:color w:val="auto"/>
          <w:sz w:val="24"/>
          <w:highlight w:val="none"/>
        </w:rPr>
      </w:pPr>
      <w:r>
        <w:rPr>
          <w:rFonts w:hint="eastAsia"/>
          <w:color w:val="auto"/>
          <w:sz w:val="24"/>
          <w:highlight w:val="none"/>
          <w:lang w:val="en-US" w:eastAsia="zh-CN"/>
        </w:rPr>
        <w:t>2</w:t>
      </w:r>
      <w:r>
        <w:rPr>
          <w:color w:val="auto"/>
          <w:sz w:val="24"/>
          <w:highlight w:val="none"/>
        </w:rPr>
        <w:t>、落实政府采购政策需满足的资格要求：</w:t>
      </w:r>
      <w:r>
        <w:rPr>
          <w:rFonts w:hint="eastAsia"/>
          <w:color w:val="auto"/>
          <w:sz w:val="24"/>
          <w:highlight w:val="none"/>
        </w:rPr>
        <w:t>/</w:t>
      </w:r>
      <w:r>
        <w:rPr>
          <w:color w:val="auto"/>
          <w:sz w:val="24"/>
          <w:highlight w:val="none"/>
        </w:rPr>
        <w:t>。</w:t>
      </w:r>
    </w:p>
    <w:p>
      <w:pPr>
        <w:spacing w:line="360" w:lineRule="auto"/>
        <w:ind w:firstLine="480" w:firstLineChars="200"/>
        <w:jc w:val="left"/>
        <w:rPr>
          <w:color w:val="auto"/>
          <w:sz w:val="24"/>
          <w:highlight w:val="none"/>
        </w:rPr>
      </w:pPr>
      <w:r>
        <w:rPr>
          <w:rFonts w:hint="eastAsia"/>
          <w:color w:val="auto"/>
          <w:sz w:val="24"/>
          <w:highlight w:val="none"/>
          <w:lang w:val="en-US" w:eastAsia="zh-CN"/>
        </w:rPr>
        <w:t>3</w:t>
      </w:r>
      <w:r>
        <w:rPr>
          <w:color w:val="auto"/>
          <w:sz w:val="24"/>
          <w:highlight w:val="none"/>
        </w:rPr>
        <w:t>、其他资格要求：</w:t>
      </w:r>
    </w:p>
    <w:p>
      <w:pPr>
        <w:spacing w:line="360" w:lineRule="auto"/>
        <w:ind w:firstLine="480" w:firstLineChars="200"/>
        <w:jc w:val="left"/>
        <w:rPr>
          <w:color w:val="auto"/>
          <w:sz w:val="24"/>
          <w:highlight w:val="none"/>
        </w:rPr>
      </w:pPr>
      <w:r>
        <w:rPr>
          <w:color w:val="auto"/>
          <w:sz w:val="24"/>
          <w:highlight w:val="none"/>
        </w:rPr>
        <w:t>（1）未被“信用中国”网站列入失信被执行人、重大税收违法案件当事人名单、政府采购不良行为记录名单；</w:t>
      </w:r>
    </w:p>
    <w:p>
      <w:pPr>
        <w:spacing w:line="360" w:lineRule="auto"/>
        <w:ind w:firstLine="480" w:firstLineChars="200"/>
        <w:jc w:val="left"/>
        <w:rPr>
          <w:color w:val="auto"/>
          <w:sz w:val="24"/>
          <w:highlight w:val="none"/>
        </w:rPr>
      </w:pPr>
      <w:r>
        <w:rPr>
          <w:color w:val="auto"/>
          <w:sz w:val="24"/>
          <w:highlight w:val="none"/>
        </w:rPr>
        <w:t>（2）单位负责人为同一人或者存在直接控股、管理关系的不同供应商，不得同时参加同一合同项下的投标。</w:t>
      </w:r>
    </w:p>
    <w:p>
      <w:pPr>
        <w:spacing w:line="360" w:lineRule="auto"/>
        <w:ind w:firstLine="480" w:firstLineChars="200"/>
        <w:jc w:val="left"/>
        <w:rPr>
          <w:color w:val="auto"/>
          <w:sz w:val="24"/>
          <w:highlight w:val="none"/>
        </w:rPr>
      </w:pPr>
      <w:r>
        <w:rPr>
          <w:color w:val="auto"/>
          <w:sz w:val="24"/>
          <w:highlight w:val="none"/>
        </w:rPr>
        <w:t>（3）不得将本项目分包或者转让给其他主体实施。</w:t>
      </w:r>
    </w:p>
    <w:p>
      <w:pPr>
        <w:spacing w:line="360" w:lineRule="auto"/>
        <w:ind w:firstLine="482" w:firstLineChars="200"/>
        <w:jc w:val="left"/>
        <w:rPr>
          <w:color w:val="auto"/>
          <w:sz w:val="24"/>
          <w:highlight w:val="none"/>
        </w:rPr>
      </w:pPr>
      <w:r>
        <w:rPr>
          <w:b/>
          <w:color w:val="auto"/>
          <w:sz w:val="24"/>
          <w:highlight w:val="none"/>
        </w:rPr>
        <w:t>三</w:t>
      </w:r>
      <w:r>
        <w:rPr>
          <w:color w:val="auto"/>
          <w:sz w:val="24"/>
          <w:highlight w:val="none"/>
        </w:rPr>
        <w:t>、获取采购文件</w:t>
      </w:r>
    </w:p>
    <w:p>
      <w:pPr>
        <w:shd w:val="clear" w:color="auto" w:fill="FFFFFF"/>
        <w:spacing w:line="360" w:lineRule="auto"/>
        <w:ind w:firstLine="480" w:firstLineChars="200"/>
        <w:rPr>
          <w:color w:val="auto"/>
          <w:sz w:val="24"/>
          <w:highlight w:val="none"/>
        </w:rPr>
      </w:pPr>
      <w:bookmarkStart w:id="14" w:name="_Toc387526370"/>
      <w:bookmarkStart w:id="15" w:name="_Toc387526174"/>
      <w:bookmarkStart w:id="16" w:name="_Toc30068"/>
      <w:bookmarkStart w:id="17" w:name="_Toc387526278"/>
      <w:bookmarkStart w:id="18" w:name="_Toc401557586"/>
      <w:r>
        <w:rPr>
          <w:color w:val="auto"/>
          <w:sz w:val="24"/>
          <w:highlight w:val="none"/>
        </w:rPr>
        <w:t>1、获取时间：</w:t>
      </w:r>
      <w:r>
        <w:rPr>
          <w:rFonts w:hint="eastAsia"/>
          <w:color w:val="auto"/>
          <w:kern w:val="0"/>
          <w:sz w:val="24"/>
          <w:highlight w:val="none"/>
          <w:u w:val="single"/>
          <w:lang w:eastAsia="zh-CN"/>
        </w:rPr>
        <w:t>2025年</w:t>
      </w:r>
      <w:r>
        <w:rPr>
          <w:rFonts w:hint="eastAsia"/>
          <w:color w:val="auto"/>
          <w:kern w:val="0"/>
          <w:sz w:val="24"/>
          <w:highlight w:val="none"/>
          <w:u w:val="single"/>
          <w:lang w:val="en-US" w:eastAsia="zh-CN"/>
        </w:rPr>
        <w:t>11</w:t>
      </w:r>
      <w:r>
        <w:rPr>
          <w:rFonts w:hint="eastAsia"/>
          <w:color w:val="auto"/>
          <w:kern w:val="0"/>
          <w:sz w:val="24"/>
          <w:highlight w:val="none"/>
          <w:u w:val="single"/>
        </w:rPr>
        <w:t>月</w:t>
      </w:r>
      <w:r>
        <w:rPr>
          <w:rFonts w:hint="eastAsia"/>
          <w:color w:val="auto"/>
          <w:kern w:val="0"/>
          <w:sz w:val="24"/>
          <w:highlight w:val="none"/>
          <w:u w:val="single"/>
          <w:lang w:val="en-US" w:eastAsia="zh-CN"/>
        </w:rPr>
        <w:t>26</w:t>
      </w:r>
      <w:r>
        <w:rPr>
          <w:rFonts w:hint="eastAsia"/>
          <w:color w:val="auto"/>
          <w:kern w:val="0"/>
          <w:sz w:val="24"/>
          <w:highlight w:val="none"/>
          <w:u w:val="single"/>
        </w:rPr>
        <w:t>日至</w:t>
      </w:r>
      <w:r>
        <w:rPr>
          <w:rFonts w:hint="eastAsia"/>
          <w:color w:val="auto"/>
          <w:kern w:val="0"/>
          <w:sz w:val="24"/>
          <w:highlight w:val="none"/>
          <w:u w:val="single"/>
          <w:lang w:eastAsia="zh-CN"/>
        </w:rPr>
        <w:t>2025年</w:t>
      </w:r>
      <w:r>
        <w:rPr>
          <w:rFonts w:hint="eastAsia"/>
          <w:color w:val="auto"/>
          <w:kern w:val="0"/>
          <w:sz w:val="24"/>
          <w:highlight w:val="none"/>
          <w:u w:val="single"/>
          <w:lang w:val="en-US" w:eastAsia="zh-CN"/>
        </w:rPr>
        <w:t>12</w:t>
      </w:r>
      <w:r>
        <w:rPr>
          <w:rFonts w:hint="eastAsia"/>
          <w:color w:val="auto"/>
          <w:kern w:val="0"/>
          <w:sz w:val="24"/>
          <w:highlight w:val="none"/>
          <w:u w:val="single"/>
        </w:rPr>
        <w:t>月</w:t>
      </w:r>
      <w:r>
        <w:rPr>
          <w:rFonts w:hint="eastAsia"/>
          <w:color w:val="auto"/>
          <w:kern w:val="0"/>
          <w:sz w:val="24"/>
          <w:highlight w:val="none"/>
          <w:u w:val="single"/>
          <w:lang w:val="en-US" w:eastAsia="zh-CN"/>
        </w:rPr>
        <w:t>8</w:t>
      </w:r>
      <w:r>
        <w:rPr>
          <w:rFonts w:hint="eastAsia"/>
          <w:color w:val="auto"/>
          <w:kern w:val="0"/>
          <w:sz w:val="24"/>
          <w:highlight w:val="none"/>
          <w:u w:val="single"/>
        </w:rPr>
        <w:t>日</w:t>
      </w:r>
      <w:r>
        <w:rPr>
          <w:color w:val="auto"/>
          <w:kern w:val="0"/>
          <w:sz w:val="24"/>
          <w:highlight w:val="none"/>
        </w:rPr>
        <w:t>。</w:t>
      </w:r>
    </w:p>
    <w:p>
      <w:pPr>
        <w:widowControl/>
        <w:spacing w:line="360" w:lineRule="auto"/>
        <w:ind w:firstLine="480" w:firstLineChars="200"/>
        <w:jc w:val="left"/>
        <w:rPr>
          <w:color w:val="auto"/>
          <w:kern w:val="0"/>
          <w:sz w:val="24"/>
          <w:highlight w:val="none"/>
        </w:rPr>
      </w:pPr>
      <w:bookmarkStart w:id="19" w:name="_Toc387526277"/>
      <w:bookmarkStart w:id="20" w:name="_Toc387526173"/>
      <w:bookmarkStart w:id="21" w:name="_Toc387526369"/>
      <w:r>
        <w:rPr>
          <w:color w:val="auto"/>
          <w:kern w:val="0"/>
          <w:sz w:val="24"/>
          <w:highlight w:val="none"/>
        </w:rPr>
        <w:t>2、获取方式：本项目资格审查采用资格后审方式，无报名环节，供应商直接在</w:t>
      </w:r>
      <w:r>
        <w:rPr>
          <w:rFonts w:hint="eastAsia"/>
          <w:color w:val="auto"/>
          <w:kern w:val="0"/>
          <w:sz w:val="24"/>
          <w:highlight w:val="none"/>
          <w:u w:val="single"/>
          <w:lang w:eastAsia="zh-CN"/>
        </w:rPr>
        <w:t>南通市崇川区人民政府网</w:t>
      </w:r>
      <w:r>
        <w:rPr>
          <w:color w:val="auto"/>
          <w:kern w:val="0"/>
          <w:sz w:val="24"/>
          <w:highlight w:val="none"/>
        </w:rPr>
        <w:t>自行下载磋商文件、答疑等磋商资料。</w:t>
      </w:r>
      <w:bookmarkEnd w:id="19"/>
      <w:bookmarkEnd w:id="20"/>
      <w:bookmarkEnd w:id="21"/>
    </w:p>
    <w:p>
      <w:pPr>
        <w:spacing w:line="360" w:lineRule="auto"/>
        <w:ind w:firstLine="480" w:firstLineChars="200"/>
        <w:jc w:val="left"/>
        <w:rPr>
          <w:color w:val="auto"/>
          <w:sz w:val="24"/>
          <w:highlight w:val="none"/>
        </w:rPr>
      </w:pPr>
      <w:r>
        <w:rPr>
          <w:color w:val="auto"/>
          <w:sz w:val="24"/>
          <w:highlight w:val="none"/>
        </w:rPr>
        <w:t>四、响应</w:t>
      </w:r>
      <w:bookmarkEnd w:id="14"/>
      <w:bookmarkEnd w:id="15"/>
      <w:bookmarkEnd w:id="16"/>
      <w:bookmarkEnd w:id="17"/>
      <w:bookmarkEnd w:id="18"/>
      <w:r>
        <w:rPr>
          <w:color w:val="auto"/>
          <w:sz w:val="24"/>
          <w:highlight w:val="none"/>
        </w:rPr>
        <w:t>文件提交</w:t>
      </w:r>
    </w:p>
    <w:p>
      <w:pPr>
        <w:widowControl/>
        <w:spacing w:line="360" w:lineRule="auto"/>
        <w:ind w:firstLine="480" w:firstLineChars="200"/>
        <w:jc w:val="left"/>
        <w:rPr>
          <w:b/>
          <w:color w:val="auto"/>
          <w:sz w:val="24"/>
          <w:highlight w:val="none"/>
          <w:u w:val="single"/>
        </w:rPr>
      </w:pPr>
      <w:r>
        <w:rPr>
          <w:color w:val="auto"/>
          <w:kern w:val="0"/>
          <w:sz w:val="24"/>
          <w:highlight w:val="none"/>
        </w:rPr>
        <w:t>1、截止时间：</w:t>
      </w:r>
      <w:r>
        <w:rPr>
          <w:rFonts w:hint="eastAsia"/>
          <w:b/>
          <w:color w:val="auto"/>
          <w:sz w:val="24"/>
          <w:highlight w:val="none"/>
          <w:u w:val="single"/>
          <w:lang w:eastAsia="zh-CN"/>
        </w:rPr>
        <w:t>2025年</w:t>
      </w:r>
      <w:r>
        <w:rPr>
          <w:rFonts w:hint="eastAsia"/>
          <w:b/>
          <w:color w:val="auto"/>
          <w:sz w:val="24"/>
          <w:highlight w:val="none"/>
          <w:u w:val="single"/>
          <w:lang w:val="en-US" w:eastAsia="zh-CN"/>
        </w:rPr>
        <w:t>12</w:t>
      </w:r>
      <w:r>
        <w:rPr>
          <w:b/>
          <w:color w:val="auto"/>
          <w:sz w:val="24"/>
          <w:highlight w:val="none"/>
          <w:u w:val="single"/>
        </w:rPr>
        <w:t>月</w:t>
      </w:r>
      <w:r>
        <w:rPr>
          <w:rFonts w:hint="eastAsia"/>
          <w:b/>
          <w:color w:val="auto"/>
          <w:sz w:val="24"/>
          <w:highlight w:val="none"/>
          <w:u w:val="single"/>
          <w:lang w:val="en-US" w:eastAsia="zh-CN"/>
        </w:rPr>
        <w:t>8</w:t>
      </w:r>
      <w:r>
        <w:rPr>
          <w:b/>
          <w:color w:val="auto"/>
          <w:sz w:val="24"/>
          <w:highlight w:val="none"/>
          <w:u w:val="single"/>
        </w:rPr>
        <w:t>日</w:t>
      </w:r>
      <w:r>
        <w:rPr>
          <w:rFonts w:hint="eastAsia"/>
          <w:b/>
          <w:color w:val="auto"/>
          <w:sz w:val="24"/>
          <w:highlight w:val="none"/>
          <w:u w:val="single"/>
          <w:lang w:val="en-US" w:eastAsia="zh-CN"/>
        </w:rPr>
        <w:t>14</w:t>
      </w:r>
      <w:r>
        <w:rPr>
          <w:b/>
          <w:color w:val="auto"/>
          <w:sz w:val="24"/>
          <w:highlight w:val="none"/>
          <w:u w:val="single"/>
        </w:rPr>
        <w:t>时</w:t>
      </w:r>
      <w:r>
        <w:rPr>
          <w:rFonts w:hint="eastAsia"/>
          <w:b/>
          <w:color w:val="auto"/>
          <w:sz w:val="24"/>
          <w:highlight w:val="none"/>
          <w:u w:val="single"/>
          <w:lang w:val="en-US" w:eastAsia="zh-CN"/>
        </w:rPr>
        <w:t>00分</w:t>
      </w:r>
      <w:r>
        <w:rPr>
          <w:color w:val="auto"/>
          <w:sz w:val="24"/>
          <w:highlight w:val="none"/>
        </w:rPr>
        <w:t>；</w:t>
      </w:r>
    </w:p>
    <w:p>
      <w:pPr>
        <w:widowControl/>
        <w:spacing w:line="360" w:lineRule="auto"/>
        <w:ind w:firstLine="480" w:firstLineChars="200"/>
        <w:jc w:val="left"/>
        <w:rPr>
          <w:color w:val="auto"/>
          <w:kern w:val="0"/>
          <w:sz w:val="24"/>
          <w:highlight w:val="none"/>
          <w:u w:val="single"/>
        </w:rPr>
      </w:pPr>
      <w:r>
        <w:rPr>
          <w:color w:val="auto"/>
          <w:kern w:val="0"/>
          <w:sz w:val="24"/>
          <w:highlight w:val="none"/>
        </w:rPr>
        <w:t>2、地点：</w:t>
      </w:r>
      <w:r>
        <w:rPr>
          <w:rFonts w:hint="eastAsia"/>
          <w:b/>
          <w:color w:val="auto"/>
          <w:sz w:val="24"/>
          <w:highlight w:val="none"/>
          <w:u w:val="single"/>
        </w:rPr>
        <w:t>南通市崇川区桃坞路2号友谊大厦10楼</w:t>
      </w:r>
      <w:r>
        <w:rPr>
          <w:color w:val="auto"/>
          <w:sz w:val="24"/>
          <w:highlight w:val="none"/>
        </w:rPr>
        <w:t>；</w:t>
      </w:r>
    </w:p>
    <w:p>
      <w:pPr>
        <w:widowControl/>
        <w:spacing w:line="360" w:lineRule="auto"/>
        <w:ind w:firstLine="480" w:firstLineChars="200"/>
        <w:jc w:val="left"/>
        <w:rPr>
          <w:color w:val="auto"/>
          <w:kern w:val="0"/>
          <w:sz w:val="24"/>
          <w:highlight w:val="none"/>
        </w:rPr>
      </w:pPr>
      <w:r>
        <w:rPr>
          <w:color w:val="auto"/>
          <w:kern w:val="0"/>
          <w:sz w:val="24"/>
          <w:highlight w:val="none"/>
        </w:rPr>
        <w:t>3、逾期送达或者未送达指定地点的响应文件，采购人不予受理。</w:t>
      </w:r>
    </w:p>
    <w:p>
      <w:pPr>
        <w:spacing w:line="360" w:lineRule="auto"/>
        <w:ind w:firstLine="480" w:firstLineChars="200"/>
        <w:jc w:val="left"/>
        <w:rPr>
          <w:color w:val="auto"/>
          <w:sz w:val="24"/>
          <w:highlight w:val="none"/>
        </w:rPr>
      </w:pPr>
      <w:r>
        <w:rPr>
          <w:color w:val="auto"/>
          <w:sz w:val="24"/>
          <w:highlight w:val="none"/>
        </w:rPr>
        <w:t>五、开启</w:t>
      </w:r>
    </w:p>
    <w:p>
      <w:pPr>
        <w:widowControl/>
        <w:spacing w:line="360" w:lineRule="auto"/>
        <w:ind w:firstLine="480" w:firstLineChars="200"/>
        <w:jc w:val="left"/>
        <w:rPr>
          <w:color w:val="auto"/>
          <w:kern w:val="0"/>
          <w:sz w:val="24"/>
          <w:highlight w:val="none"/>
        </w:rPr>
      </w:pPr>
      <w:r>
        <w:rPr>
          <w:color w:val="auto"/>
          <w:kern w:val="0"/>
          <w:sz w:val="24"/>
          <w:highlight w:val="none"/>
        </w:rPr>
        <w:t>时间：</w:t>
      </w:r>
      <w:r>
        <w:rPr>
          <w:rFonts w:hint="eastAsia"/>
          <w:b/>
          <w:color w:val="auto"/>
          <w:sz w:val="24"/>
          <w:highlight w:val="none"/>
          <w:u w:val="single"/>
          <w:lang w:eastAsia="zh-CN"/>
        </w:rPr>
        <w:t>2025年</w:t>
      </w:r>
      <w:r>
        <w:rPr>
          <w:rFonts w:hint="eastAsia"/>
          <w:b/>
          <w:color w:val="auto"/>
          <w:sz w:val="24"/>
          <w:highlight w:val="none"/>
          <w:u w:val="single"/>
          <w:lang w:val="en-US" w:eastAsia="zh-CN"/>
        </w:rPr>
        <w:t>12</w:t>
      </w:r>
      <w:r>
        <w:rPr>
          <w:b/>
          <w:color w:val="auto"/>
          <w:sz w:val="24"/>
          <w:highlight w:val="none"/>
          <w:u w:val="single"/>
        </w:rPr>
        <w:t>月</w:t>
      </w:r>
      <w:r>
        <w:rPr>
          <w:rFonts w:hint="eastAsia"/>
          <w:b/>
          <w:color w:val="auto"/>
          <w:sz w:val="24"/>
          <w:highlight w:val="none"/>
          <w:u w:val="single"/>
          <w:lang w:val="en-US" w:eastAsia="zh-CN"/>
        </w:rPr>
        <w:t>8</w:t>
      </w:r>
      <w:r>
        <w:rPr>
          <w:b/>
          <w:color w:val="auto"/>
          <w:sz w:val="24"/>
          <w:highlight w:val="none"/>
          <w:u w:val="single"/>
        </w:rPr>
        <w:t>日</w:t>
      </w:r>
      <w:r>
        <w:rPr>
          <w:rFonts w:hint="eastAsia"/>
          <w:b/>
          <w:color w:val="auto"/>
          <w:sz w:val="24"/>
          <w:highlight w:val="none"/>
          <w:u w:val="single"/>
          <w:lang w:val="en-US" w:eastAsia="zh-CN"/>
        </w:rPr>
        <w:t>14</w:t>
      </w:r>
      <w:r>
        <w:rPr>
          <w:b/>
          <w:color w:val="auto"/>
          <w:sz w:val="24"/>
          <w:highlight w:val="none"/>
          <w:u w:val="single"/>
        </w:rPr>
        <w:t>时</w:t>
      </w:r>
      <w:r>
        <w:rPr>
          <w:rFonts w:hint="eastAsia"/>
          <w:b/>
          <w:color w:val="auto"/>
          <w:sz w:val="24"/>
          <w:highlight w:val="none"/>
          <w:u w:val="single"/>
          <w:lang w:val="en-US" w:eastAsia="zh-CN"/>
        </w:rPr>
        <w:t>00分</w:t>
      </w:r>
      <w:r>
        <w:rPr>
          <w:color w:val="auto"/>
          <w:kern w:val="0"/>
          <w:sz w:val="24"/>
          <w:highlight w:val="none"/>
        </w:rPr>
        <w:t>；</w:t>
      </w:r>
    </w:p>
    <w:p>
      <w:pPr>
        <w:pStyle w:val="33"/>
        <w:shd w:val="clear" w:color="auto" w:fill="FFFFFF"/>
        <w:snapToGrid w:val="0"/>
        <w:spacing w:beforeAutospacing="0" w:afterAutospacing="0" w:line="320" w:lineRule="exact"/>
        <w:ind w:firstLine="480" w:firstLineChars="200"/>
        <w:contextualSpacing/>
        <w:jc w:val="both"/>
        <w:rPr>
          <w:rFonts w:hint="eastAsia" w:ascii="Times New Roman" w:hAnsi="Times New Roman" w:cs="Times New Roman"/>
          <w:b/>
          <w:color w:val="auto"/>
          <w:kern w:val="2"/>
          <w:sz w:val="24"/>
          <w:highlight w:val="none"/>
          <w:u w:val="single"/>
        </w:rPr>
      </w:pPr>
      <w:r>
        <w:rPr>
          <w:rFonts w:hint="eastAsia" w:ascii="Times New Roman" w:hAnsi="Times New Roman" w:cs="Times New Roman"/>
          <w:color w:val="auto"/>
          <w:highlight w:val="none"/>
        </w:rPr>
        <w:t>地点：</w:t>
      </w:r>
      <w:r>
        <w:rPr>
          <w:rFonts w:hint="eastAsia" w:ascii="Times New Roman" w:hAnsi="Times New Roman" w:cs="Times New Roman"/>
          <w:b/>
          <w:color w:val="auto"/>
          <w:kern w:val="2"/>
          <w:highlight w:val="none"/>
          <w:u w:val="single"/>
        </w:rPr>
        <w:t>南通市崇川区桃坞路2号友谊大厦10楼。</w:t>
      </w:r>
      <w:r>
        <w:rPr>
          <w:rFonts w:hint="eastAsia" w:ascii="Times New Roman" w:hAnsi="Times New Roman" w:cs="Times New Roman"/>
          <w:b/>
          <w:color w:val="auto"/>
          <w:kern w:val="2"/>
          <w:sz w:val="24"/>
          <w:highlight w:val="none"/>
          <w:u w:val="single"/>
        </w:rPr>
        <w:t>如有变动另行通知。</w:t>
      </w:r>
    </w:p>
    <w:p>
      <w:pPr>
        <w:spacing w:line="360" w:lineRule="auto"/>
        <w:ind w:firstLine="480" w:firstLineChars="200"/>
        <w:jc w:val="left"/>
        <w:rPr>
          <w:color w:val="auto"/>
          <w:kern w:val="0"/>
          <w:sz w:val="24"/>
          <w:highlight w:val="none"/>
        </w:rPr>
      </w:pPr>
      <w:r>
        <w:rPr>
          <w:bCs/>
          <w:color w:val="auto"/>
          <w:sz w:val="24"/>
          <w:highlight w:val="none"/>
        </w:rPr>
        <w:t>六、</w:t>
      </w:r>
      <w:r>
        <w:rPr>
          <w:color w:val="auto"/>
          <w:kern w:val="0"/>
          <w:sz w:val="24"/>
          <w:highlight w:val="none"/>
        </w:rPr>
        <w:t>公告期限</w:t>
      </w:r>
    </w:p>
    <w:p>
      <w:pPr>
        <w:spacing w:line="360" w:lineRule="auto"/>
        <w:ind w:firstLine="480" w:firstLineChars="200"/>
        <w:jc w:val="left"/>
        <w:rPr>
          <w:color w:val="auto"/>
          <w:kern w:val="0"/>
          <w:sz w:val="24"/>
          <w:highlight w:val="none"/>
        </w:rPr>
      </w:pPr>
      <w:r>
        <w:rPr>
          <w:color w:val="auto"/>
          <w:kern w:val="0"/>
          <w:sz w:val="24"/>
          <w:highlight w:val="none"/>
        </w:rPr>
        <w:t>自本公告发布之日起3个工作日。</w:t>
      </w:r>
    </w:p>
    <w:p>
      <w:pPr>
        <w:spacing w:line="360" w:lineRule="auto"/>
        <w:ind w:firstLine="480" w:firstLineChars="200"/>
        <w:jc w:val="left"/>
        <w:rPr>
          <w:bCs/>
          <w:color w:val="auto"/>
          <w:sz w:val="24"/>
          <w:highlight w:val="none"/>
        </w:rPr>
      </w:pPr>
      <w:r>
        <w:rPr>
          <w:rFonts w:hint="eastAsia"/>
          <w:bCs/>
          <w:color w:val="auto"/>
          <w:sz w:val="24"/>
          <w:highlight w:val="none"/>
        </w:rPr>
        <w:t>七</w:t>
      </w:r>
      <w:r>
        <w:rPr>
          <w:bCs/>
          <w:color w:val="auto"/>
          <w:sz w:val="24"/>
          <w:highlight w:val="none"/>
        </w:rPr>
        <w:t>、其他补充事宜</w:t>
      </w:r>
    </w:p>
    <w:p>
      <w:pPr>
        <w:snapToGrid w:val="0"/>
        <w:spacing w:line="440" w:lineRule="exact"/>
        <w:ind w:firstLine="480" w:firstLineChars="200"/>
        <w:rPr>
          <w:rFonts w:hint="eastAsia" w:ascii="宋体" w:hAnsi="宋体" w:cs="宋体"/>
          <w:b/>
          <w:color w:val="auto"/>
          <w:sz w:val="24"/>
          <w:szCs w:val="24"/>
          <w:highlight w:val="none"/>
        </w:rPr>
      </w:pPr>
      <w:r>
        <w:rPr>
          <w:rFonts w:hint="eastAsia" w:ascii="宋体" w:hAnsi="宋体" w:cs="宋体"/>
          <w:color w:val="auto"/>
          <w:sz w:val="24"/>
          <w:szCs w:val="24"/>
          <w:highlight w:val="none"/>
        </w:rPr>
        <w:t>1.项目开标活动模式：</w:t>
      </w:r>
      <w:r>
        <w:rPr>
          <w:rFonts w:hint="eastAsia" w:ascii="宋体" w:hAnsi="宋体" w:cs="宋体"/>
          <w:bCs/>
          <w:color w:val="auto"/>
          <w:sz w:val="24"/>
          <w:szCs w:val="24"/>
          <w:highlight w:val="none"/>
        </w:rPr>
        <w:t>现场投标模式</w:t>
      </w:r>
    </w:p>
    <w:p>
      <w:pPr>
        <w:snapToGrid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2.项目演示、样品、答辩等：</w:t>
      </w:r>
      <w:r>
        <w:rPr>
          <w:rFonts w:hint="eastAsia" w:ascii="宋体" w:hAnsi="宋体" w:cs="宋体"/>
          <w:b/>
          <w:bCs/>
          <w:color w:val="auto"/>
          <w:sz w:val="24"/>
          <w:szCs w:val="24"/>
          <w:highlight w:val="none"/>
          <w:lang w:val="en-US" w:eastAsia="zh-CN"/>
        </w:rPr>
        <w:t>无</w:t>
      </w:r>
      <w:r>
        <w:rPr>
          <w:rFonts w:hint="eastAsia" w:ascii="宋体" w:hAnsi="宋体" w:cs="宋体"/>
          <w:b/>
          <w:bCs/>
          <w:color w:val="auto"/>
          <w:sz w:val="24"/>
          <w:szCs w:val="24"/>
          <w:highlight w:val="none"/>
        </w:rPr>
        <w:t>。</w:t>
      </w:r>
    </w:p>
    <w:p>
      <w:pPr>
        <w:snapToGrid w:val="0"/>
        <w:spacing w:line="44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3.对项目需求部分（供应商其他资格要求、项目需求、评分标准）的询问、质疑请向采购人提出，由采购人负责答复；对项目招标文件其它部分的询问请向采购人或项目联系人提出。</w:t>
      </w:r>
    </w:p>
    <w:p>
      <w:pPr>
        <w:snapToGrid w:val="0"/>
        <w:spacing w:line="440" w:lineRule="exact"/>
        <w:ind w:firstLine="480" w:firstLineChars="200"/>
        <w:jc w:val="both"/>
        <w:rPr>
          <w:color w:val="auto"/>
          <w:kern w:val="0"/>
          <w:sz w:val="24"/>
          <w:highlight w:val="none"/>
        </w:rPr>
      </w:pPr>
      <w:r>
        <w:rPr>
          <w:rFonts w:hint="eastAsia" w:ascii="宋体" w:hAnsi="宋体" w:cs="宋体"/>
          <w:color w:val="auto"/>
          <w:sz w:val="24"/>
          <w:szCs w:val="24"/>
          <w:highlight w:val="none"/>
        </w:rPr>
        <w:t>4.供应商应依照规定提交各类声明函、承诺函，不再同时提供原件备查或提供有关部门出具的相关证明文件。但中标或成交供应商，应做好提交声明函、承诺函相应原件的核查准备；核查后发现虚假或违背承诺的，依照相关法律法规规定处理。</w:t>
      </w:r>
    </w:p>
    <w:p>
      <w:pPr>
        <w:spacing w:line="360" w:lineRule="auto"/>
        <w:ind w:firstLine="480" w:firstLineChars="200"/>
        <w:jc w:val="left"/>
        <w:rPr>
          <w:color w:val="auto"/>
          <w:kern w:val="0"/>
          <w:sz w:val="24"/>
          <w:highlight w:val="none"/>
        </w:rPr>
      </w:pPr>
      <w:r>
        <w:rPr>
          <w:rFonts w:hint="eastAsia"/>
          <w:color w:val="auto"/>
          <w:kern w:val="0"/>
          <w:sz w:val="24"/>
          <w:highlight w:val="none"/>
        </w:rPr>
        <w:t>八</w:t>
      </w:r>
      <w:r>
        <w:rPr>
          <w:color w:val="auto"/>
          <w:kern w:val="0"/>
          <w:sz w:val="24"/>
          <w:highlight w:val="none"/>
        </w:rPr>
        <w:t>、凡对本次采购提出询问，请按以下方式联系</w:t>
      </w:r>
    </w:p>
    <w:p>
      <w:pPr>
        <w:spacing w:line="360" w:lineRule="auto"/>
        <w:ind w:firstLine="480" w:firstLineChars="200"/>
        <w:jc w:val="left"/>
        <w:rPr>
          <w:color w:val="auto"/>
          <w:kern w:val="0"/>
          <w:sz w:val="24"/>
          <w:highlight w:val="none"/>
        </w:rPr>
      </w:pPr>
      <w:r>
        <w:rPr>
          <w:color w:val="auto"/>
          <w:kern w:val="0"/>
          <w:sz w:val="24"/>
          <w:highlight w:val="none"/>
        </w:rPr>
        <w:t>1、采购人信息</w:t>
      </w:r>
    </w:p>
    <w:p>
      <w:pPr>
        <w:spacing w:line="360" w:lineRule="auto"/>
        <w:ind w:firstLine="480" w:firstLineChars="200"/>
        <w:jc w:val="left"/>
        <w:rPr>
          <w:rFonts w:hint="eastAsia" w:eastAsia="宋体"/>
          <w:color w:val="auto"/>
          <w:kern w:val="0"/>
          <w:sz w:val="24"/>
          <w:highlight w:val="none"/>
          <w:lang w:eastAsia="zh-CN"/>
        </w:rPr>
      </w:pPr>
      <w:r>
        <w:rPr>
          <w:color w:val="auto"/>
          <w:kern w:val="0"/>
          <w:sz w:val="24"/>
          <w:highlight w:val="none"/>
        </w:rPr>
        <w:t>名称：</w:t>
      </w:r>
      <w:r>
        <w:rPr>
          <w:rFonts w:hint="eastAsia"/>
          <w:color w:val="auto"/>
          <w:kern w:val="0"/>
          <w:sz w:val="24"/>
          <w:highlight w:val="none"/>
          <w:lang w:eastAsia="zh-CN"/>
        </w:rPr>
        <w:t>江苏省南通市北高新技术产业开发区管理委员会</w:t>
      </w:r>
    </w:p>
    <w:p>
      <w:pPr>
        <w:spacing w:line="360" w:lineRule="auto"/>
        <w:ind w:firstLine="480" w:firstLineChars="200"/>
        <w:jc w:val="left"/>
        <w:rPr>
          <w:color w:val="auto"/>
          <w:kern w:val="0"/>
          <w:sz w:val="24"/>
          <w:highlight w:val="none"/>
        </w:rPr>
      </w:pPr>
      <w:bookmarkStart w:id="23" w:name="_GoBack"/>
      <w:bookmarkEnd w:id="23"/>
      <w:r>
        <w:rPr>
          <w:color w:val="auto"/>
          <w:kern w:val="0"/>
          <w:sz w:val="24"/>
          <w:highlight w:val="none"/>
        </w:rPr>
        <w:t>2、采购代理机构</w:t>
      </w:r>
    </w:p>
    <w:p>
      <w:pPr>
        <w:spacing w:line="360" w:lineRule="auto"/>
        <w:ind w:firstLine="480" w:firstLineChars="200"/>
        <w:jc w:val="left"/>
        <w:rPr>
          <w:color w:val="auto"/>
          <w:kern w:val="0"/>
          <w:sz w:val="24"/>
          <w:highlight w:val="none"/>
        </w:rPr>
      </w:pPr>
      <w:r>
        <w:rPr>
          <w:color w:val="auto"/>
          <w:kern w:val="0"/>
          <w:sz w:val="24"/>
          <w:highlight w:val="none"/>
        </w:rPr>
        <w:t>名称：</w:t>
      </w:r>
      <w:r>
        <w:rPr>
          <w:rFonts w:hint="eastAsia"/>
          <w:color w:val="auto"/>
          <w:kern w:val="0"/>
          <w:sz w:val="24"/>
          <w:highlight w:val="none"/>
        </w:rPr>
        <w:t>上海申邑工程咨询有限公司</w:t>
      </w:r>
    </w:p>
    <w:p>
      <w:pPr>
        <w:spacing w:line="360" w:lineRule="auto"/>
        <w:ind w:firstLine="480" w:firstLineChars="200"/>
        <w:jc w:val="left"/>
        <w:rPr>
          <w:color w:val="auto"/>
          <w:kern w:val="0"/>
          <w:sz w:val="24"/>
          <w:highlight w:val="none"/>
        </w:rPr>
      </w:pPr>
      <w:r>
        <w:rPr>
          <w:color w:val="auto"/>
          <w:kern w:val="0"/>
          <w:sz w:val="24"/>
          <w:highlight w:val="none"/>
        </w:rPr>
        <w:t>地址：南通市</w:t>
      </w:r>
      <w:r>
        <w:rPr>
          <w:rFonts w:hint="eastAsia"/>
          <w:color w:val="auto"/>
          <w:kern w:val="0"/>
          <w:sz w:val="24"/>
          <w:highlight w:val="none"/>
        </w:rPr>
        <w:t>崇川区桃坞路2号友谊大厦10楼</w:t>
      </w:r>
    </w:p>
    <w:p>
      <w:pPr>
        <w:spacing w:line="360" w:lineRule="auto"/>
        <w:ind w:firstLine="480" w:firstLineChars="200"/>
        <w:jc w:val="left"/>
        <w:rPr>
          <w:color w:val="auto"/>
          <w:kern w:val="0"/>
          <w:sz w:val="24"/>
          <w:highlight w:val="none"/>
        </w:rPr>
      </w:pPr>
      <w:r>
        <w:rPr>
          <w:rFonts w:hint="eastAsia"/>
          <w:color w:val="auto"/>
          <w:kern w:val="0"/>
          <w:sz w:val="24"/>
          <w:highlight w:val="none"/>
        </w:rPr>
        <w:t>联系方式：曹杰   18012240098</w:t>
      </w:r>
      <w:r>
        <w:rPr>
          <w:color w:val="auto"/>
          <w:kern w:val="0"/>
          <w:sz w:val="24"/>
          <w:highlight w:val="none"/>
        </w:rPr>
        <w:t>；</w:t>
      </w:r>
    </w:p>
    <w:bookmarkEnd w:id="4"/>
    <w:bookmarkEnd w:id="5"/>
    <w:bookmarkEnd w:id="6"/>
    <w:bookmarkEnd w:id="7"/>
    <w:bookmarkEnd w:id="8"/>
    <w:bookmarkEnd w:id="9"/>
    <w:p>
      <w:pPr>
        <w:snapToGrid w:val="0"/>
        <w:spacing w:line="300" w:lineRule="auto"/>
        <w:jc w:val="center"/>
        <w:outlineLvl w:val="0"/>
        <w:rPr>
          <w:b/>
          <w:color w:val="auto"/>
          <w:sz w:val="36"/>
          <w:szCs w:val="36"/>
          <w:highlight w:val="none"/>
        </w:rPr>
      </w:pPr>
      <w:r>
        <w:rPr>
          <w:color w:val="auto"/>
          <w:sz w:val="24"/>
          <w:highlight w:val="none"/>
        </w:rPr>
        <w:br w:type="page"/>
      </w:r>
      <w:r>
        <w:rPr>
          <w:b/>
          <w:color w:val="auto"/>
          <w:sz w:val="36"/>
          <w:szCs w:val="36"/>
          <w:highlight w:val="none"/>
        </w:rPr>
        <w:t>第二部分磋商须知</w:t>
      </w:r>
    </w:p>
    <w:p>
      <w:pPr>
        <w:snapToGrid w:val="0"/>
        <w:spacing w:line="480" w:lineRule="exact"/>
        <w:ind w:firstLine="482" w:firstLineChars="200"/>
        <w:contextualSpacing/>
        <w:outlineLvl w:val="0"/>
        <w:rPr>
          <w:b/>
          <w:color w:val="auto"/>
          <w:sz w:val="24"/>
          <w:highlight w:val="none"/>
        </w:rPr>
      </w:pPr>
      <w:r>
        <w:rPr>
          <w:b/>
          <w:color w:val="auto"/>
          <w:sz w:val="24"/>
          <w:highlight w:val="none"/>
        </w:rPr>
        <w:t>一、本磋商文件由采购人或采购代理机构解释。</w:t>
      </w:r>
    </w:p>
    <w:p>
      <w:pPr>
        <w:snapToGrid w:val="0"/>
        <w:spacing w:line="480" w:lineRule="exact"/>
        <w:ind w:firstLine="480" w:firstLineChars="200"/>
        <w:contextualSpacing/>
        <w:rPr>
          <w:b/>
          <w:color w:val="auto"/>
          <w:sz w:val="24"/>
          <w:highlight w:val="none"/>
        </w:rPr>
      </w:pPr>
      <w:r>
        <w:rPr>
          <w:color w:val="auto"/>
          <w:sz w:val="24"/>
          <w:highlight w:val="none"/>
        </w:rPr>
        <w:t>1、供应商在网上下载磋商文件后，应仔细检查磋商文件的所有内容，如对政府采购活动事项有疑问的，应向采购人或采购代理机构以书面形式提出，否则视同供应商理解并接受本磋商文件所有内容，并由此引起的损失自负。供应商不得在磋商结束后针对磋商文件所有内容提出质疑事项。</w:t>
      </w:r>
    </w:p>
    <w:p>
      <w:pPr>
        <w:snapToGrid w:val="0"/>
        <w:spacing w:line="480" w:lineRule="exact"/>
        <w:ind w:firstLine="480" w:firstLineChars="200"/>
        <w:contextualSpacing/>
        <w:rPr>
          <w:color w:val="auto"/>
          <w:sz w:val="24"/>
          <w:highlight w:val="none"/>
        </w:rPr>
      </w:pPr>
      <w:r>
        <w:rPr>
          <w:color w:val="auto"/>
          <w:sz w:val="24"/>
          <w:highlight w:val="none"/>
        </w:rPr>
        <w:t>2、供应商应认真审阅磋商文件中所有的事项、格式、条款和规范要求等，如果供应商没有按照磋商文件要求提交响应文件，或者响应文件没有对磋商文件做出实质性响应，将被拒绝参与磋商。</w:t>
      </w:r>
    </w:p>
    <w:p>
      <w:pPr>
        <w:snapToGrid w:val="0"/>
        <w:spacing w:line="480" w:lineRule="exact"/>
        <w:ind w:firstLine="482" w:firstLineChars="200"/>
        <w:contextualSpacing/>
        <w:rPr>
          <w:b/>
          <w:color w:val="auto"/>
          <w:sz w:val="24"/>
          <w:highlight w:val="none"/>
        </w:rPr>
      </w:pPr>
      <w:r>
        <w:rPr>
          <w:b/>
          <w:color w:val="auto"/>
          <w:sz w:val="24"/>
          <w:highlight w:val="none"/>
        </w:rPr>
        <w:t>二、磋商文件的澄清、修改、答疑</w:t>
      </w:r>
    </w:p>
    <w:p>
      <w:pPr>
        <w:pStyle w:val="18"/>
        <w:snapToGrid w:val="0"/>
        <w:spacing w:line="480" w:lineRule="exact"/>
        <w:ind w:left="0" w:leftChars="0" w:firstLine="480" w:firstLineChars="200"/>
        <w:contextualSpacing/>
        <w:rPr>
          <w:color w:val="auto"/>
          <w:sz w:val="24"/>
          <w:highlight w:val="none"/>
        </w:rPr>
      </w:pPr>
      <w:r>
        <w:rPr>
          <w:color w:val="auto"/>
          <w:sz w:val="24"/>
          <w:highlight w:val="none"/>
        </w:rPr>
        <w:t>采购人可以对已发出的磋商文件进行必要的澄清或者修改，澄清或者修改的内容作为磋商文件的组成部分。澄清或者修改的内容可能影响响应文件编制的，采购人将在提交首次响应文件截止之日5日前，以网上公告书面形式通知所有接收磋商文件的供应商，不足5日的，应当顺延提交首次响应文件截止之日。</w:t>
      </w:r>
    </w:p>
    <w:p>
      <w:pPr>
        <w:pStyle w:val="18"/>
        <w:snapToGrid w:val="0"/>
        <w:spacing w:line="480" w:lineRule="exact"/>
        <w:ind w:left="0" w:leftChars="0" w:firstLine="480" w:firstLineChars="200"/>
        <w:contextualSpacing/>
        <w:rPr>
          <w:color w:val="auto"/>
          <w:sz w:val="24"/>
          <w:highlight w:val="none"/>
          <w:lang w:val="zh-CN"/>
        </w:rPr>
      </w:pPr>
      <w:r>
        <w:rPr>
          <w:color w:val="auto"/>
          <w:sz w:val="24"/>
          <w:highlight w:val="none"/>
        </w:rPr>
        <w:t>供应商由于对磋商文件的任何推论和误解以及采购人或采购代理机构对有</w:t>
      </w:r>
      <w:r>
        <w:rPr>
          <w:color w:val="auto"/>
          <w:sz w:val="24"/>
          <w:highlight w:val="none"/>
          <w:lang w:val="zh-CN"/>
        </w:rPr>
        <w:t>关问题的口头解释所造成的后果，均由供应商自负。</w:t>
      </w:r>
    </w:p>
    <w:p>
      <w:pPr>
        <w:pStyle w:val="18"/>
        <w:snapToGrid w:val="0"/>
        <w:spacing w:line="480" w:lineRule="exact"/>
        <w:ind w:left="0" w:leftChars="0" w:firstLine="480" w:firstLineChars="200"/>
        <w:contextualSpacing/>
        <w:rPr>
          <w:color w:val="auto"/>
          <w:sz w:val="24"/>
          <w:highlight w:val="none"/>
        </w:rPr>
      </w:pPr>
      <w:r>
        <w:rPr>
          <w:color w:val="auto"/>
          <w:sz w:val="24"/>
          <w:highlight w:val="none"/>
          <w:lang w:val="zh-CN"/>
        </w:rPr>
        <w:t>采购单位可视情组织答疑会。</w:t>
      </w:r>
    </w:p>
    <w:p>
      <w:pPr>
        <w:autoSpaceDE w:val="0"/>
        <w:autoSpaceDN w:val="0"/>
        <w:adjustRightInd w:val="0"/>
        <w:snapToGrid w:val="0"/>
        <w:spacing w:after="120" w:line="480" w:lineRule="exact"/>
        <w:ind w:firstLine="562"/>
        <w:contextualSpacing/>
        <w:rPr>
          <w:b/>
          <w:bCs/>
          <w:color w:val="auto"/>
          <w:sz w:val="24"/>
          <w:highlight w:val="none"/>
        </w:rPr>
      </w:pPr>
      <w:r>
        <w:rPr>
          <w:b/>
          <w:bCs/>
          <w:color w:val="auto"/>
          <w:sz w:val="24"/>
          <w:highlight w:val="none"/>
          <w:lang w:val="zh-CN"/>
        </w:rPr>
        <w:t>三、响应文件的编写、递交、上传</w:t>
      </w:r>
    </w:p>
    <w:p>
      <w:pPr>
        <w:autoSpaceDE w:val="0"/>
        <w:autoSpaceDN w:val="0"/>
        <w:adjustRightInd w:val="0"/>
        <w:snapToGrid w:val="0"/>
        <w:spacing w:line="480" w:lineRule="exact"/>
        <w:ind w:right="210" w:firstLine="560"/>
        <w:rPr>
          <w:b/>
          <w:color w:val="auto"/>
          <w:sz w:val="24"/>
          <w:highlight w:val="none"/>
        </w:rPr>
      </w:pPr>
      <w:r>
        <w:rPr>
          <w:b/>
          <w:color w:val="auto"/>
          <w:sz w:val="24"/>
          <w:highlight w:val="none"/>
        </w:rPr>
        <w:t>（一）响应文件的编写</w:t>
      </w:r>
    </w:p>
    <w:p>
      <w:pPr>
        <w:autoSpaceDE w:val="0"/>
        <w:autoSpaceDN w:val="0"/>
        <w:adjustRightInd w:val="0"/>
        <w:snapToGrid w:val="0"/>
        <w:spacing w:line="480" w:lineRule="exact"/>
        <w:ind w:firstLine="480" w:firstLineChars="200"/>
        <w:contextualSpacing/>
        <w:jc w:val="left"/>
        <w:rPr>
          <w:color w:val="auto"/>
          <w:sz w:val="24"/>
          <w:highlight w:val="none"/>
        </w:rPr>
      </w:pPr>
      <w:r>
        <w:rPr>
          <w:color w:val="auto"/>
          <w:sz w:val="24"/>
          <w:highlight w:val="none"/>
          <w:lang w:val="zh-CN"/>
        </w:rPr>
        <w:t>供应商按</w:t>
      </w:r>
      <w:r>
        <w:rPr>
          <w:rFonts w:ascii="宋体" w:hAnsi="宋体"/>
          <w:color w:val="auto"/>
          <w:sz w:val="24"/>
          <w:highlight w:val="none"/>
          <w:lang w:val="zh-CN"/>
        </w:rPr>
        <w:t>“第七部分 响应文件组成”</w:t>
      </w:r>
      <w:r>
        <w:rPr>
          <w:color w:val="auto"/>
          <w:sz w:val="24"/>
          <w:highlight w:val="none"/>
          <w:lang w:val="zh-CN"/>
        </w:rPr>
        <w:t>要求编写响应文件。</w:t>
      </w:r>
    </w:p>
    <w:p>
      <w:pPr>
        <w:snapToGrid w:val="0"/>
        <w:spacing w:line="480" w:lineRule="exact"/>
        <w:ind w:firstLine="482" w:firstLineChars="200"/>
        <w:contextualSpacing/>
        <w:rPr>
          <w:b/>
          <w:color w:val="auto"/>
          <w:sz w:val="24"/>
          <w:highlight w:val="none"/>
        </w:rPr>
      </w:pPr>
      <w:r>
        <w:rPr>
          <w:b/>
          <w:color w:val="auto"/>
          <w:sz w:val="24"/>
          <w:highlight w:val="none"/>
        </w:rPr>
        <w:t>（二）响应文件的递交</w:t>
      </w:r>
    </w:p>
    <w:p>
      <w:pPr>
        <w:snapToGrid w:val="0"/>
        <w:spacing w:line="480" w:lineRule="exact"/>
        <w:ind w:firstLine="480" w:firstLineChars="200"/>
        <w:contextualSpacing/>
        <w:rPr>
          <w:color w:val="auto"/>
          <w:sz w:val="24"/>
          <w:highlight w:val="none"/>
        </w:rPr>
      </w:pPr>
      <w:r>
        <w:rPr>
          <w:color w:val="auto"/>
          <w:sz w:val="24"/>
          <w:highlight w:val="none"/>
        </w:rPr>
        <w:t>1、响应文件三部分内容（资格审查文件、商务技术文件、报价文件）须分别单独密封，</w:t>
      </w:r>
      <w:r>
        <w:rPr>
          <w:color w:val="auto"/>
          <w:sz w:val="24"/>
          <w:highlight w:val="none"/>
          <w:lang w:val="zh-CN"/>
        </w:rPr>
        <w:t>并牢</w:t>
      </w:r>
      <w:r>
        <w:rPr>
          <w:color w:val="auto"/>
          <w:sz w:val="24"/>
          <w:highlight w:val="none"/>
        </w:rPr>
        <w:t>固装订成册，不得相互混淆，文件自编目录并连续标注页码，不得将内容拆开。报价文件不得出现于其他磋商文件中。</w:t>
      </w:r>
    </w:p>
    <w:p>
      <w:pPr>
        <w:snapToGrid w:val="0"/>
        <w:spacing w:line="480" w:lineRule="exact"/>
        <w:ind w:firstLine="480" w:firstLineChars="200"/>
        <w:rPr>
          <w:color w:val="auto"/>
          <w:sz w:val="24"/>
          <w:highlight w:val="none"/>
        </w:rPr>
      </w:pPr>
      <w:r>
        <w:rPr>
          <w:color w:val="auto"/>
          <w:sz w:val="24"/>
          <w:highlight w:val="none"/>
        </w:rPr>
        <w:t>2、响应文件每一部分内容均须提供“</w:t>
      </w:r>
      <w:r>
        <w:rPr>
          <w:b/>
          <w:color w:val="auto"/>
          <w:sz w:val="24"/>
          <w:highlight w:val="none"/>
        </w:rPr>
        <w:t>一正、两副”</w:t>
      </w:r>
      <w:r>
        <w:rPr>
          <w:color w:val="auto"/>
          <w:sz w:val="24"/>
          <w:highlight w:val="none"/>
        </w:rPr>
        <w:t>纸质响应文件，并将正本、副本及图纸类等（如需提供图纸等其它资料的话）合并密封，统一装在一个密封袋或密封箱内（如有A3大小的图纸类，可单独密封）。</w:t>
      </w:r>
    </w:p>
    <w:p>
      <w:pPr>
        <w:snapToGrid w:val="0"/>
        <w:spacing w:line="480" w:lineRule="exact"/>
        <w:ind w:firstLine="480" w:firstLineChars="200"/>
        <w:contextualSpacing/>
        <w:rPr>
          <w:color w:val="auto"/>
          <w:sz w:val="24"/>
          <w:highlight w:val="none"/>
        </w:rPr>
      </w:pPr>
      <w:r>
        <w:rPr>
          <w:color w:val="auto"/>
          <w:sz w:val="24"/>
          <w:highlight w:val="none"/>
        </w:rPr>
        <w:t>3、纸质响应文件须</w:t>
      </w:r>
      <w:r>
        <w:rPr>
          <w:color w:val="auto"/>
          <w:sz w:val="24"/>
          <w:highlight w:val="none"/>
          <w:lang w:val="zh-CN"/>
        </w:rPr>
        <w:t>采用A4纸（</w:t>
      </w:r>
      <w:r>
        <w:rPr>
          <w:color w:val="auto"/>
          <w:sz w:val="24"/>
          <w:highlight w:val="none"/>
        </w:rPr>
        <w:t>图纸等除外），正本须打印并由法定代表人或授权人签字并加盖单位印章。副本可复印，但须加盖单位印章。文件内容中不得行间插字、涂改、增删，如修补错漏处，须由响应文件签署人签字并加盖公章。</w:t>
      </w:r>
    </w:p>
    <w:p>
      <w:pPr>
        <w:snapToGrid w:val="0"/>
        <w:spacing w:line="480" w:lineRule="exact"/>
        <w:ind w:firstLine="480" w:firstLineChars="200"/>
        <w:contextualSpacing/>
        <w:rPr>
          <w:color w:val="auto"/>
          <w:sz w:val="24"/>
          <w:highlight w:val="none"/>
        </w:rPr>
      </w:pPr>
      <w:r>
        <w:rPr>
          <w:color w:val="auto"/>
          <w:sz w:val="24"/>
          <w:highlight w:val="none"/>
        </w:rPr>
        <w:t>4、响应文件密封后应标明响应文件项目名称、项目编号、</w:t>
      </w:r>
      <w:r>
        <w:rPr>
          <w:rFonts w:hint="eastAsia"/>
          <w:color w:val="auto"/>
          <w:sz w:val="24"/>
          <w:highlight w:val="none"/>
        </w:rPr>
        <w:t>标段名称、</w:t>
      </w:r>
      <w:r>
        <w:rPr>
          <w:color w:val="auto"/>
          <w:sz w:val="24"/>
          <w:highlight w:val="none"/>
        </w:rPr>
        <w:t>边缝处加盖单位骑缝章或骑缝签字，并注明于磋商前不得启封。</w:t>
      </w:r>
    </w:p>
    <w:p>
      <w:pPr>
        <w:snapToGrid w:val="0"/>
        <w:spacing w:line="480" w:lineRule="exact"/>
        <w:ind w:firstLine="480" w:firstLineChars="200"/>
        <w:contextualSpacing/>
        <w:rPr>
          <w:color w:val="auto"/>
          <w:sz w:val="24"/>
          <w:highlight w:val="none"/>
        </w:rPr>
      </w:pPr>
      <w:r>
        <w:rPr>
          <w:color w:val="auto"/>
          <w:sz w:val="24"/>
          <w:highlight w:val="none"/>
        </w:rPr>
        <w:t>5、递交时间：供应商须在规定的响应文件接收截止时间前送达指定地点。供应商递交磋商文件，即视为已响应参加政府采购活动。</w:t>
      </w:r>
    </w:p>
    <w:p>
      <w:pPr>
        <w:snapToGrid w:val="0"/>
        <w:spacing w:line="480" w:lineRule="exact"/>
        <w:ind w:firstLine="482" w:firstLineChars="200"/>
        <w:contextualSpacing/>
        <w:rPr>
          <w:b/>
          <w:color w:val="auto"/>
          <w:sz w:val="24"/>
          <w:highlight w:val="none"/>
        </w:rPr>
      </w:pPr>
      <w:r>
        <w:rPr>
          <w:b/>
          <w:color w:val="auto"/>
          <w:sz w:val="24"/>
          <w:highlight w:val="none"/>
        </w:rPr>
        <w:t>友情提醒：采购代理机构将拒绝接收未按照磋商文件要求密封的响应文件，拒绝接收在响应文件接收截止时间后递交的响应文件。如果供应商无故不到现场递交纸质磋商响应文件或者故意迟到，影响开评标活动正常进行的，根据《江苏省政府采购信用管理暂行办法》第九条的规定，将被列作一般失信行为。</w:t>
      </w:r>
    </w:p>
    <w:p>
      <w:pPr>
        <w:snapToGrid w:val="0"/>
        <w:spacing w:line="460" w:lineRule="exact"/>
        <w:ind w:firstLine="482"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四、投标文件的有效期</w:t>
      </w:r>
    </w:p>
    <w:p>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1、从投标文件接收截止之日算起，</w:t>
      </w:r>
      <w:r>
        <w:rPr>
          <w:rFonts w:hint="eastAsia" w:ascii="宋体" w:hAnsi="宋体" w:cs="宋体"/>
          <w:b/>
          <w:color w:val="auto"/>
          <w:sz w:val="24"/>
          <w:highlight w:val="none"/>
        </w:rPr>
        <w:t>45</w:t>
      </w:r>
      <w:r>
        <w:rPr>
          <w:rFonts w:hint="eastAsia" w:ascii="宋体" w:hAnsi="宋体" w:cs="宋体"/>
          <w:color w:val="auto"/>
          <w:sz w:val="24"/>
          <w:highlight w:val="none"/>
        </w:rPr>
        <w:t>个“日历天”内投标书应保持有效。有效期短于这个规定期限的，投标将被拒绝。</w:t>
      </w:r>
    </w:p>
    <w:p>
      <w:pPr>
        <w:snapToGrid w:val="0"/>
        <w:spacing w:line="460" w:lineRule="exact"/>
        <w:ind w:firstLine="470" w:firstLineChars="196"/>
        <w:outlineLvl w:val="1"/>
        <w:rPr>
          <w:rFonts w:ascii="宋体" w:hAnsi="宋体" w:cs="宋体"/>
          <w:b/>
          <w:color w:val="auto"/>
          <w:sz w:val="24"/>
          <w:highlight w:val="none"/>
        </w:rPr>
      </w:pPr>
      <w:r>
        <w:rPr>
          <w:rFonts w:hint="eastAsia" w:ascii="宋体" w:hAnsi="宋体" w:cs="宋体"/>
          <w:color w:val="auto"/>
          <w:sz w:val="24"/>
          <w:highlight w:val="none"/>
        </w:rPr>
        <w:t>2、在特殊情况下，采购代理机构可与投标供应商协商延长投标书的有效期。这种要求和答复都应以书面、传真、或电报的形式进行。同意延长有效期的投标供应商不能修改投标文件，拒绝接受延期要求的投标供应商的投标书将被拒绝。</w:t>
      </w:r>
    </w:p>
    <w:p>
      <w:pPr>
        <w:snapToGrid w:val="0"/>
        <w:spacing w:line="480" w:lineRule="exact"/>
        <w:ind w:firstLine="602" w:firstLineChars="250"/>
        <w:contextualSpacing/>
        <w:rPr>
          <w:b/>
          <w:color w:val="auto"/>
          <w:sz w:val="24"/>
          <w:highlight w:val="none"/>
        </w:rPr>
      </w:pPr>
      <w:r>
        <w:rPr>
          <w:rFonts w:hint="eastAsia"/>
          <w:b/>
          <w:color w:val="auto"/>
          <w:sz w:val="24"/>
          <w:highlight w:val="none"/>
        </w:rPr>
        <w:t>五</w:t>
      </w:r>
      <w:r>
        <w:rPr>
          <w:b/>
          <w:color w:val="auto"/>
          <w:sz w:val="24"/>
          <w:highlight w:val="none"/>
        </w:rPr>
        <w:t>、报价准备</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1、磋商结束后，供应商就所有内容进行最后报价，少报无效。</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w:t>
      </w:r>
      <w:r>
        <w:rPr>
          <w:rFonts w:hint="eastAsia" w:ascii="Times New Roman" w:hAnsi="Times New Roman" w:eastAsia="宋体"/>
          <w:color w:val="auto"/>
          <w:sz w:val="24"/>
          <w:szCs w:val="24"/>
          <w:highlight w:val="none"/>
          <w:lang w:val="en-US" w:eastAsia="zh-CN"/>
        </w:rPr>
        <w:t>供应商</w:t>
      </w:r>
      <w:r>
        <w:rPr>
          <w:rFonts w:hint="eastAsia" w:ascii="Times New Roman" w:hAnsi="Times New Roman" w:eastAsia="宋体"/>
          <w:color w:val="auto"/>
          <w:sz w:val="24"/>
          <w:szCs w:val="24"/>
          <w:highlight w:val="none"/>
        </w:rPr>
        <w:t>应根据采购人提供的技术需求，结合企业实际情况，进行</w:t>
      </w:r>
      <w:r>
        <w:rPr>
          <w:rFonts w:hint="eastAsia" w:ascii="Times New Roman" w:hAnsi="Times New Roman" w:eastAsia="宋体"/>
          <w:b/>
          <w:bCs/>
          <w:color w:val="auto"/>
          <w:sz w:val="24"/>
          <w:szCs w:val="24"/>
          <w:highlight w:val="none"/>
        </w:rPr>
        <w:t>固定总价报价</w:t>
      </w:r>
      <w:r>
        <w:rPr>
          <w:rFonts w:hint="eastAsia" w:ascii="Times New Roman" w:hAnsi="Times New Roman" w:eastAsia="宋体"/>
          <w:color w:val="auto"/>
          <w:sz w:val="24"/>
          <w:szCs w:val="24"/>
          <w:highlight w:val="none"/>
        </w:rPr>
        <w:t>。投标人任何漏项、漏报、少报、错报所产生的后果，均由投标人承担责任。在合同实施期间不因市场价格浮动因素或其他政策性因素调整，投标人报价时充分考虑风险因素。投标单位的报价应包含完成本项目所有设计费、设备采购费等，包含货物运输到采购人指定地点的运杂费、装卸费、损耗费、以及与此次采购相关的制作使用材料部件、保险费、利润、税金、保险、环保、安全生产、售后服务、应交规费、安装、调试等各种费用等，一旦中标，不得要求采购人补贴额外的费用，变更除外。</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3、最后报价将作为磋商小组评定成交供应商的组成依据。</w:t>
      </w:r>
    </w:p>
    <w:p>
      <w:pPr>
        <w:snapToGrid w:val="0"/>
        <w:spacing w:line="480" w:lineRule="exact"/>
        <w:ind w:firstLine="482" w:firstLineChars="200"/>
        <w:rPr>
          <w:b/>
          <w:bCs/>
          <w:color w:val="auto"/>
          <w:sz w:val="24"/>
          <w:highlight w:val="none"/>
        </w:rPr>
      </w:pPr>
      <w:r>
        <w:rPr>
          <w:rFonts w:hint="eastAsia"/>
          <w:b/>
          <w:color w:val="auto"/>
          <w:sz w:val="24"/>
          <w:highlight w:val="none"/>
          <w:lang w:val="zh-CN"/>
        </w:rPr>
        <w:t>六</w:t>
      </w:r>
      <w:r>
        <w:rPr>
          <w:b/>
          <w:color w:val="auto"/>
          <w:sz w:val="24"/>
          <w:highlight w:val="none"/>
          <w:lang w:val="zh-CN"/>
        </w:rPr>
        <w:t>、</w:t>
      </w:r>
      <w:r>
        <w:rPr>
          <w:b/>
          <w:bCs/>
          <w:color w:val="auto"/>
          <w:sz w:val="24"/>
          <w:highlight w:val="none"/>
        </w:rPr>
        <w:t>相关费用</w:t>
      </w:r>
    </w:p>
    <w:p>
      <w:pPr>
        <w:spacing w:line="360" w:lineRule="auto"/>
        <w:ind w:firstLine="480" w:firstLineChars="200"/>
        <w:jc w:val="left"/>
        <w:rPr>
          <w:color w:val="auto"/>
          <w:sz w:val="24"/>
          <w:highlight w:val="none"/>
        </w:rPr>
      </w:pPr>
      <w:r>
        <w:rPr>
          <w:color w:val="auto"/>
          <w:sz w:val="24"/>
          <w:highlight w:val="none"/>
        </w:rPr>
        <w:t>1、供应商应承担其编制响应文件以及递交响应文件所涉及的一切费用。</w:t>
      </w:r>
      <w:r>
        <w:rPr>
          <w:rFonts w:hint="default" w:ascii="Times New Roman" w:hAnsi="Times New Roman" w:cs="Times New Roman"/>
          <w:color w:val="auto"/>
          <w:sz w:val="24"/>
          <w:highlight w:val="none"/>
        </w:rPr>
        <w:t>招标文件工本费人民币</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00元，开标时向招标代理支付，否则投标文件将不予接收。无论投标结果如何，招标人对上述费用不负任何责任。</w:t>
      </w:r>
    </w:p>
    <w:p>
      <w:pPr>
        <w:spacing w:line="360" w:lineRule="auto"/>
        <w:ind w:firstLine="480" w:firstLineChars="200"/>
        <w:jc w:val="left"/>
        <w:rPr>
          <w:rFonts w:hint="eastAsia"/>
          <w:color w:val="auto"/>
          <w:sz w:val="24"/>
          <w:highlight w:val="none"/>
          <w:lang w:val="en-US" w:eastAsia="zh-CN"/>
        </w:rPr>
      </w:pPr>
      <w:r>
        <w:rPr>
          <w:rFonts w:hint="eastAsia"/>
          <w:color w:val="auto"/>
          <w:sz w:val="24"/>
          <w:highlight w:val="none"/>
          <w:lang w:val="en-US" w:eastAsia="zh-CN"/>
        </w:rPr>
        <w:t>2、评审费：按时结算。</w:t>
      </w:r>
    </w:p>
    <w:p>
      <w:pPr>
        <w:pStyle w:val="52"/>
        <w:rPr>
          <w:rFonts w:hint="default"/>
          <w:highlight w:val="none"/>
          <w:lang w:val="en-US" w:eastAsia="zh-CN"/>
        </w:rPr>
      </w:pPr>
      <w:r>
        <w:rPr>
          <w:rFonts w:hint="eastAsia"/>
          <w:color w:val="auto"/>
          <w:sz w:val="24"/>
          <w:highlight w:val="none"/>
          <w:lang w:val="en-US" w:eastAsia="zh-CN"/>
        </w:rPr>
        <w:t>3、本项目代理费2500元，中标供应商在领取成交通知书前向代理单位缴纳。</w:t>
      </w:r>
    </w:p>
    <w:p>
      <w:pPr>
        <w:spacing w:line="360" w:lineRule="auto"/>
        <w:ind w:firstLine="480" w:firstLineChars="200"/>
        <w:jc w:val="left"/>
        <w:rPr>
          <w:rFonts w:hint="eastAsia"/>
          <w:color w:val="auto"/>
          <w:sz w:val="24"/>
          <w:highlight w:val="none"/>
        </w:rPr>
      </w:pPr>
      <w:r>
        <w:rPr>
          <w:rFonts w:hint="eastAsia"/>
          <w:color w:val="auto"/>
          <w:sz w:val="24"/>
          <w:highlight w:val="none"/>
          <w:lang w:val="en-US" w:eastAsia="zh-CN"/>
        </w:rPr>
        <w:t>3</w:t>
      </w:r>
      <w:r>
        <w:rPr>
          <w:rFonts w:hint="eastAsia"/>
          <w:color w:val="auto"/>
          <w:sz w:val="24"/>
          <w:highlight w:val="none"/>
        </w:rPr>
        <w:t>、响应磋商的供应商自行考虑包含在磋商报价内的该项费用及风险并将其综合在单价内，不得单列。</w:t>
      </w:r>
    </w:p>
    <w:p>
      <w:pPr>
        <w:snapToGrid w:val="0"/>
        <w:spacing w:line="440" w:lineRule="exact"/>
        <w:ind w:firstLine="480" w:firstLineChars="200"/>
        <w:outlineLvl w:val="1"/>
        <w:rPr>
          <w:rFonts w:hint="eastAsia" w:ascii="宋体" w:hAnsi="宋体" w:cs="宋体"/>
          <w:b/>
          <w:bCs/>
          <w:color w:val="auto"/>
          <w:sz w:val="24"/>
          <w:szCs w:val="24"/>
          <w:highlight w:val="none"/>
          <w:lang w:val="zh-CN"/>
        </w:rPr>
      </w:pPr>
      <w:r>
        <w:rPr>
          <w:rFonts w:hint="eastAsia" w:ascii="宋体" w:hAnsi="宋体" w:cs="宋体"/>
          <w:bCs/>
          <w:color w:val="auto"/>
          <w:sz w:val="24"/>
          <w:highlight w:val="none"/>
        </w:rPr>
        <w:t xml:space="preserve"> </w:t>
      </w:r>
      <w:r>
        <w:rPr>
          <w:rFonts w:hint="eastAsia" w:ascii="宋体" w:hAnsi="宋体" w:cs="宋体"/>
          <w:b/>
          <w:bCs/>
          <w:color w:val="auto"/>
          <w:sz w:val="24"/>
          <w:szCs w:val="24"/>
          <w:highlight w:val="none"/>
          <w:lang w:val="zh-CN"/>
        </w:rPr>
        <w:t>六、履约保证金</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1、本项目中标后的履约保证金为</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rPr>
        <w:t>。</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2、中标供应商可以选择以</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形式缴纳履约保证金。</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2、中标供应商在中标通知书发出之日起30日内，凭“中标通知书”与采购人签订合同，超期或未有协商，则视为自动放弃成交资格。</w:t>
      </w:r>
    </w:p>
    <w:p>
      <w:pPr>
        <w:snapToGrid w:val="0"/>
        <w:spacing w:line="440" w:lineRule="exact"/>
        <w:ind w:firstLine="482" w:firstLineChars="200"/>
        <w:contextualSpacing/>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七、招标项目涉及到的现场勘察</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1、采购人向投标人提供有关现场的资料和数据，是采购人现有的并认为能使投标人可利用的资料。采购人对投标人由此而做出的推论、理解和结论概不负责。</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2、潜在投标人为投标而勘察项目现场，但不得因此使采购人承担有关的责任和蒙受损失。投标人须承担勘察现场而带来的一切责任及风险。</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3、投标人应在现场勘察时，熟悉现场及周围交通道路等情况，以获得一切可能影响投标响应内容的直接资料。投标人中标后，不得以不完全了解现场情况为理由而向采购人提出任何索赔的要求，对此采购人不承担任何责任，且不作任何答复。</w:t>
      </w:r>
    </w:p>
    <w:p>
      <w:pPr>
        <w:snapToGrid w:val="0"/>
        <w:spacing w:line="440" w:lineRule="exact"/>
        <w:ind w:firstLine="494" w:firstLineChars="206"/>
        <w:outlineLvl w:val="1"/>
        <w:rPr>
          <w:rFonts w:hint="eastAsia" w:ascii="宋体" w:hAnsi="宋体" w:cs="宋体"/>
          <w:color w:val="auto"/>
          <w:sz w:val="24"/>
          <w:szCs w:val="24"/>
          <w:highlight w:val="none"/>
        </w:rPr>
      </w:pPr>
      <w:r>
        <w:rPr>
          <w:rFonts w:hint="eastAsia" w:ascii="宋体" w:hAnsi="宋体" w:cs="宋体"/>
          <w:color w:val="auto"/>
          <w:sz w:val="24"/>
          <w:szCs w:val="24"/>
          <w:highlight w:val="none"/>
        </w:rPr>
        <w:t>4、勘察现场：本次招标需投标人勘察现场，投标单位各自前往现场踏勘。</w:t>
      </w:r>
    </w:p>
    <w:p>
      <w:pPr>
        <w:snapToGrid w:val="0"/>
        <w:spacing w:line="440" w:lineRule="exact"/>
        <w:ind w:firstLine="494" w:firstLineChars="206"/>
        <w:jc w:val="both"/>
        <w:outlineLvl w:val="1"/>
        <w:rPr>
          <w:bCs/>
          <w:color w:val="auto"/>
          <w:sz w:val="24"/>
          <w:highlight w:val="none"/>
        </w:rPr>
      </w:pPr>
      <w:r>
        <w:rPr>
          <w:rFonts w:hint="eastAsia" w:ascii="宋体" w:hAnsi="宋体" w:cs="宋体"/>
          <w:color w:val="auto"/>
          <w:sz w:val="24"/>
          <w:szCs w:val="24"/>
          <w:highlight w:val="none"/>
        </w:rPr>
        <w:t>为保证公司生产和安全不受影响，各投标单位勘查现场需提前与采购人联系，方便采购人合理安排时间。</w:t>
      </w:r>
    </w:p>
    <w:p>
      <w:pPr>
        <w:snapToGrid w:val="0"/>
        <w:spacing w:line="480" w:lineRule="exact"/>
        <w:ind w:firstLine="482" w:firstLineChars="200"/>
        <w:contextualSpacing/>
        <w:rPr>
          <w:b/>
          <w:color w:val="auto"/>
          <w:sz w:val="24"/>
          <w:highlight w:val="none"/>
        </w:rPr>
      </w:pPr>
      <w:r>
        <w:rPr>
          <w:rFonts w:hint="eastAsia"/>
          <w:b/>
          <w:bCs/>
          <w:color w:val="auto"/>
          <w:sz w:val="24"/>
          <w:highlight w:val="none"/>
          <w:lang w:val="en-US" w:eastAsia="zh-CN"/>
        </w:rPr>
        <w:t>八</w:t>
      </w:r>
      <w:r>
        <w:rPr>
          <w:b/>
          <w:bCs/>
          <w:color w:val="auto"/>
          <w:sz w:val="24"/>
          <w:highlight w:val="none"/>
        </w:rPr>
        <w:t>、</w:t>
      </w:r>
      <w:r>
        <w:rPr>
          <w:b/>
          <w:color w:val="auto"/>
          <w:sz w:val="24"/>
          <w:highlight w:val="none"/>
        </w:rPr>
        <w:t>竞争性磋商程序简介</w:t>
      </w:r>
    </w:p>
    <w:p>
      <w:pPr>
        <w:snapToGrid w:val="0"/>
        <w:spacing w:line="480" w:lineRule="exact"/>
        <w:ind w:firstLine="482" w:firstLineChars="200"/>
        <w:contextualSpacing/>
        <w:rPr>
          <w:color w:val="auto"/>
          <w:sz w:val="24"/>
          <w:highlight w:val="none"/>
        </w:rPr>
      </w:pPr>
      <w:r>
        <w:rPr>
          <w:b/>
          <w:color w:val="auto"/>
          <w:sz w:val="24"/>
          <w:highlight w:val="none"/>
        </w:rPr>
        <w:t>采购代理机构先对资格审查文件进行拆封，磋商小组审查响应供应商资格，</w:t>
      </w:r>
      <w:r>
        <w:rPr>
          <w:color w:val="auto"/>
          <w:sz w:val="24"/>
          <w:highlight w:val="none"/>
        </w:rPr>
        <w:t>符合资格的供应商接受磋商小组的各轮磋商。磋商结束后要求所有实质性响应的供应商在规定时间内提交最后报价（提交最后报价的供应商不得少于3家；只有符合“市场竞争不充分的科研项目，以及需要扶持的科技成果转化项目”条件的，提交最后报价的供应商可以为2家），磋商小组采用综合评分法对提交最后报价的供应商的响应文件和最后报价进行评分，</w:t>
      </w:r>
      <w:r>
        <w:rPr>
          <w:rFonts w:hint="eastAsia" w:ascii="宋体" w:hAnsi="宋体" w:cs="宋体"/>
          <w:color w:val="auto"/>
          <w:sz w:val="24"/>
          <w:highlight w:val="none"/>
        </w:rPr>
        <w:t>依据评审方法推荐成交候选人</w:t>
      </w:r>
      <w:r>
        <w:rPr>
          <w:color w:val="auto"/>
          <w:sz w:val="24"/>
          <w:highlight w:val="none"/>
        </w:rPr>
        <w:t>。</w:t>
      </w:r>
    </w:p>
    <w:p>
      <w:pPr>
        <w:autoSpaceDE w:val="0"/>
        <w:autoSpaceDN w:val="0"/>
        <w:adjustRightInd w:val="0"/>
        <w:snapToGrid w:val="0"/>
        <w:spacing w:line="480" w:lineRule="exact"/>
        <w:ind w:right="210" w:firstLine="472" w:firstLineChars="196"/>
        <w:contextualSpacing/>
        <w:rPr>
          <w:b/>
          <w:bCs/>
          <w:color w:val="auto"/>
          <w:sz w:val="24"/>
          <w:highlight w:val="none"/>
        </w:rPr>
      </w:pPr>
      <w:r>
        <w:rPr>
          <w:rFonts w:hint="eastAsia"/>
          <w:b/>
          <w:bCs/>
          <w:color w:val="auto"/>
          <w:sz w:val="24"/>
          <w:highlight w:val="none"/>
          <w:lang w:val="en-US" w:eastAsia="zh-CN"/>
        </w:rPr>
        <w:t>九</w:t>
      </w:r>
      <w:r>
        <w:rPr>
          <w:b/>
          <w:bCs/>
          <w:color w:val="auto"/>
          <w:sz w:val="24"/>
          <w:highlight w:val="none"/>
        </w:rPr>
        <w:t>、相关提示</w:t>
      </w:r>
    </w:p>
    <w:p>
      <w:pPr>
        <w:snapToGrid w:val="0"/>
        <w:spacing w:line="480" w:lineRule="exact"/>
        <w:ind w:firstLine="480" w:firstLineChars="200"/>
        <w:contextualSpacing/>
        <w:rPr>
          <w:bCs/>
          <w:color w:val="auto"/>
          <w:sz w:val="24"/>
          <w:highlight w:val="none"/>
        </w:rPr>
      </w:pPr>
      <w:r>
        <w:rPr>
          <w:bCs/>
          <w:color w:val="auto"/>
          <w:sz w:val="24"/>
          <w:highlight w:val="none"/>
        </w:rPr>
        <w:t>商务技术部分评审结束后进入最后报价环节，最后报价将作为评审价。采购代理机构发出最后报价填报通知后，所有的响应供应商须在</w:t>
      </w:r>
      <w:r>
        <w:rPr>
          <w:rFonts w:hint="eastAsia"/>
          <w:bCs/>
          <w:color w:val="auto"/>
          <w:sz w:val="24"/>
          <w:highlight w:val="none"/>
        </w:rPr>
        <w:t>规定时间</w:t>
      </w:r>
      <w:r>
        <w:rPr>
          <w:bCs/>
          <w:color w:val="auto"/>
          <w:sz w:val="24"/>
          <w:highlight w:val="none"/>
        </w:rPr>
        <w:t>内填写并提交最后报价，未在规定时间内提交最后报价的，视作无效响应处理。</w:t>
      </w:r>
    </w:p>
    <w:p>
      <w:pPr>
        <w:snapToGrid w:val="0"/>
        <w:spacing w:line="360" w:lineRule="auto"/>
        <w:ind w:firstLine="482" w:firstLineChars="200"/>
        <w:jc w:val="left"/>
        <w:rPr>
          <w:b/>
          <w:color w:val="auto"/>
          <w:sz w:val="24"/>
          <w:highlight w:val="none"/>
        </w:rPr>
      </w:pPr>
    </w:p>
    <w:p>
      <w:pPr>
        <w:snapToGrid w:val="0"/>
        <w:spacing w:line="300" w:lineRule="auto"/>
        <w:jc w:val="center"/>
        <w:outlineLvl w:val="0"/>
        <w:rPr>
          <w:b/>
          <w:color w:val="auto"/>
          <w:sz w:val="36"/>
          <w:szCs w:val="36"/>
          <w:highlight w:val="none"/>
        </w:rPr>
      </w:pPr>
      <w:r>
        <w:rPr>
          <w:b/>
          <w:color w:val="auto"/>
          <w:sz w:val="36"/>
          <w:szCs w:val="36"/>
          <w:highlight w:val="none"/>
        </w:rPr>
        <w:t>第三部分</w:t>
      </w:r>
      <w:r>
        <w:rPr>
          <w:rFonts w:hint="eastAsia"/>
          <w:b/>
          <w:color w:val="auto"/>
          <w:sz w:val="36"/>
          <w:szCs w:val="36"/>
          <w:highlight w:val="none"/>
        </w:rPr>
        <w:t xml:space="preserve"> </w:t>
      </w:r>
      <w:r>
        <w:rPr>
          <w:b/>
          <w:color w:val="auto"/>
          <w:sz w:val="36"/>
          <w:szCs w:val="36"/>
          <w:highlight w:val="none"/>
        </w:rPr>
        <w:t>项目需求说明</w:t>
      </w:r>
    </w:p>
    <w:p>
      <w:pPr>
        <w:snapToGrid w:val="0"/>
        <w:spacing w:line="360" w:lineRule="auto"/>
        <w:ind w:firstLine="482" w:firstLineChars="200"/>
        <w:jc w:val="left"/>
        <w:rPr>
          <w:color w:val="auto"/>
          <w:sz w:val="24"/>
          <w:highlight w:val="none"/>
        </w:rPr>
      </w:pPr>
      <w:r>
        <w:rPr>
          <w:b/>
          <w:color w:val="auto"/>
          <w:sz w:val="24"/>
          <w:highlight w:val="none"/>
        </w:rPr>
        <w:t>请供应商在制作响应文件时仔细研究项目需求说明。</w:t>
      </w:r>
      <w:r>
        <w:rPr>
          <w:color w:val="auto"/>
          <w:sz w:val="24"/>
          <w:highlight w:val="none"/>
        </w:rPr>
        <w:t>供应商不能简单照搬照抄采购人项目需求说明中的技术、商务要求，必须作实事求是的响应。如照搬照抄项目需求说明中的技术、商务要求的，成交供应商在同采购人签订合同和履约环节中不得提出异议，一切后果和损失由成交供应商承担。如供应商提供的货物和服务同采购人提出的项目需求说明中的技术、商务要求不同的，必须在《技术商务部分正负偏离表》上明示，如不明示的视同完全响应。</w:t>
      </w:r>
    </w:p>
    <w:p>
      <w:pPr>
        <w:pStyle w:val="31"/>
        <w:spacing w:line="440" w:lineRule="exact"/>
        <w:ind w:firstLine="482" w:firstLineChars="200"/>
        <w:rPr>
          <w:rFonts w:hint="eastAsia" w:ascii="宋体" w:hAnsi="宋体" w:cs="宋体"/>
          <w:b/>
          <w:bCs/>
          <w:color w:val="auto"/>
          <w:sz w:val="24"/>
          <w:szCs w:val="24"/>
          <w:highlight w:val="none"/>
        </w:rPr>
      </w:pPr>
      <w:bookmarkStart w:id="22" w:name="_Toc241917651"/>
      <w:r>
        <w:rPr>
          <w:rFonts w:hint="eastAsia" w:ascii="宋体" w:hAnsi="宋体" w:cs="宋体"/>
          <w:b/>
          <w:bCs/>
          <w:color w:val="auto"/>
          <w:sz w:val="24"/>
          <w:szCs w:val="24"/>
          <w:highlight w:val="none"/>
        </w:rPr>
        <w:t>一、项目具体需求</w:t>
      </w:r>
    </w:p>
    <w:tbl>
      <w:tblPr>
        <w:tblStyle w:val="5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05"/>
        <w:gridCol w:w="618"/>
        <w:gridCol w:w="634"/>
        <w:gridCol w:w="1509"/>
        <w:gridCol w:w="1056"/>
        <w:gridCol w:w="972"/>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名称</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509"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尺寸</w:t>
            </w:r>
            <w:r>
              <w:rPr>
                <w:rFonts w:hint="eastAsia" w:ascii="宋体" w:hAnsi="宋体" w:eastAsia="宋体" w:cs="宋体"/>
                <w:sz w:val="24"/>
                <w:szCs w:val="24"/>
                <w:highlight w:val="none"/>
                <w:lang w:val="en-US"/>
              </w:rPr>
              <w:t>要求</w:t>
            </w:r>
          </w:p>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（范围）</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主题要求</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限价</w:t>
            </w:r>
          </w:p>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（万元）</w:t>
            </w:r>
          </w:p>
        </w:tc>
        <w:tc>
          <w:tcPr>
            <w:tcW w:w="3310"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1"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标识标牌一</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1300mm宽*9300mm高*480mm厚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12</w:t>
            </w:r>
          </w:p>
        </w:tc>
        <w:tc>
          <w:tcPr>
            <w:tcW w:w="3310" w:type="dxa"/>
            <w:vMerge w:val="restart"/>
            <w:shd w:val="clear" w:color="auto" w:fill="auto"/>
            <w:vAlign w:val="center"/>
          </w:tcPr>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设计要求</w:t>
            </w:r>
            <w:r>
              <w:rPr>
                <w:rFonts w:hint="eastAsia" w:ascii="宋体" w:hAnsi="宋体" w:eastAsia="宋体" w:cs="宋体"/>
                <w:sz w:val="24"/>
                <w:szCs w:val="24"/>
                <w:highlight w:val="none"/>
              </w:rPr>
              <w:t>：增加园区可辨识度，丰富视觉感体验；为园区添加色彩鲜明造型独特的元素，增加活力和吸引力。</w:t>
            </w:r>
          </w:p>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rPr>
              <w:t xml:space="preserve">1.主体板材采用镀锌板1.5mm厚，经激光切割下料-剪板-折弯-焊接  打磨处理。                                                              2.表面高温静电喷涂工艺上色，二次汽车喷漆改色，）确保5到7年褪色率低于5%，                                                    3.整体做层次厚度，内附主体龙骨100*100*5mm厚  副龙骨50*100*5mm， 50*50*1.5mm厚成品镀锌方管（防锈处理） ，造型部分镂空，堡垒主体底部焊接钢板15到20mm厚。                                 </w:t>
            </w:r>
            <w:r>
              <w:rPr>
                <w:rFonts w:hint="eastAsia" w:ascii="宋体" w:hAnsi="宋体" w:eastAsia="宋体" w:cs="宋体"/>
                <w:b/>
                <w:bCs/>
                <w:sz w:val="24"/>
                <w:szCs w:val="24"/>
                <w:highlight w:val="none"/>
              </w:rPr>
              <w:t>施工要求</w:t>
            </w:r>
            <w:r>
              <w:rPr>
                <w:rFonts w:hint="eastAsia" w:ascii="宋体" w:hAnsi="宋体" w:eastAsia="宋体" w:cs="宋体"/>
                <w:sz w:val="24"/>
                <w:szCs w:val="24"/>
                <w:highlight w:val="none"/>
              </w:rPr>
              <w:t>：                                                       1. 地脚笼安装固定  （安装方式：提前做基础 地脚笼固定安装地笼预埋，用c30混凝土浇灌基础。                            2. 安装前做好防护措施，设置临时围挡，安全警示标牌等。                       3.安装结束后做好场地表面基层优化，清扫场地。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3"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标识标牌二</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1000mm宽*9300mm高*1000mm厚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生命健康</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12</w:t>
            </w:r>
          </w:p>
        </w:tc>
        <w:tc>
          <w:tcPr>
            <w:tcW w:w="3310" w:type="dxa"/>
            <w:vMerge w:val="continue"/>
            <w:shd w:val="clear" w:color="auto" w:fill="auto"/>
            <w:vAlign w:val="center"/>
          </w:tcPr>
          <w:p>
            <w:pPr>
              <w:jc w:val="center"/>
              <w:rPr>
                <w:rFonts w:hint="eastAsia" w:ascii="宋体" w:hAnsi="宋体" w:eastAsia="宋体" w:cs="宋体"/>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标识标牌三</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个</w:t>
            </w:r>
          </w:p>
        </w:tc>
        <w:tc>
          <w:tcPr>
            <w:tcW w:w="1509" w:type="dxa"/>
            <w:shd w:val="clear" w:color="auto" w:fill="auto"/>
            <w:vAlign w:val="center"/>
          </w:tcPr>
          <w:p>
            <w:pPr>
              <w:pStyle w:val="26"/>
              <w:spacing w:line="240" w:lineRule="auto"/>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字高900mm-1000mm</w:t>
            </w:r>
          </w:p>
        </w:tc>
        <w:tc>
          <w:tcPr>
            <w:tcW w:w="1056"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972" w:type="dxa"/>
            <w:shd w:val="clear" w:color="auto" w:fill="auto"/>
            <w:vAlign w:val="center"/>
          </w:tcPr>
          <w:p>
            <w:pPr>
              <w:pStyle w:val="26"/>
              <w:spacing w:line="240" w:lineRule="auto"/>
              <w:ind w:left="0" w:leftChars="0" w:firstLine="0" w:firstLineChars="0"/>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2.5</w:t>
            </w:r>
          </w:p>
        </w:tc>
        <w:tc>
          <w:tcPr>
            <w:tcW w:w="3310" w:type="dxa"/>
            <w:shd w:val="clear" w:color="auto" w:fill="auto"/>
            <w:vAlign w:val="center"/>
          </w:tcPr>
          <w:p>
            <w:pPr>
              <w:pStyle w:val="26"/>
              <w:spacing w:line="240" w:lineRule="auto"/>
              <w:ind w:left="0" w:leftChars="0" w:firstLine="0" w:firstLineChars="0"/>
              <w:jc w:val="both"/>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不锈钢围边发光字 蓝景灯光源配12V蓝景电源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4</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户外宣传墙</w:t>
            </w:r>
          </w:p>
        </w:tc>
        <w:tc>
          <w:tcPr>
            <w:tcW w:w="618"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弧形墙（约45平方）</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集成电路产业园区介绍</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3310" w:type="dxa"/>
            <w:shd w:val="clear" w:color="auto" w:fill="auto"/>
            <w:vAlign w:val="center"/>
          </w:tcPr>
          <w:p>
            <w:pPr>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lang w:val="en-US"/>
              </w:rPr>
              <w:t>材质要求：</w:t>
            </w:r>
            <w:r>
              <w:rPr>
                <w:rFonts w:hint="eastAsia" w:ascii="宋体" w:hAnsi="宋体" w:eastAsia="宋体" w:cs="宋体"/>
                <w:sz w:val="24"/>
                <w:szCs w:val="24"/>
                <w:highlight w:val="none"/>
                <w:lang w:val="en-US"/>
              </w:rPr>
              <w:t>刀刮布</w:t>
            </w:r>
          </w:p>
        </w:tc>
      </w:tr>
    </w:tbl>
    <w:p>
      <w:pPr>
        <w:pStyle w:val="31"/>
        <w:spacing w:line="440" w:lineRule="exact"/>
        <w:ind w:firstLine="482" w:firstLineChars="200"/>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eastAsia="zh-Hans"/>
        </w:rPr>
        <w:t>二</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val="en-US" w:eastAsia="zh-CN"/>
        </w:rPr>
        <w:t>具体位置</w:t>
      </w:r>
    </w:p>
    <w:p>
      <w:pPr>
        <w:pStyle w:val="2"/>
        <w:numPr>
          <w:ilvl w:val="-1"/>
          <w:numId w:val="0"/>
        </w:numPr>
        <w:ind w:firstLine="482" w:firstLineChars="200"/>
        <w:rPr>
          <w:rFonts w:hint="eastAsia" w:ascii="宋体" w:hAnsi="宋体" w:eastAsia="宋体" w:cs="宋体"/>
          <w:sz w:val="24"/>
          <w:szCs w:val="24"/>
          <w:highlight w:val="none"/>
          <w:lang w:val="en-US"/>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sz w:val="24"/>
          <w:szCs w:val="24"/>
          <w:highlight w:val="none"/>
          <w:lang w:val="en-US"/>
        </w:rPr>
        <w:t>标识标牌一：通京大道幸余路东南路口</w:t>
      </w:r>
    </w:p>
    <w:p>
      <w:pPr>
        <w:rPr>
          <w:rFonts w:hint="eastAsia" w:ascii="宋体" w:hAnsi="宋体" w:eastAsia="宋体" w:cs="宋体"/>
          <w:sz w:val="24"/>
          <w:highlight w:val="none"/>
        </w:rPr>
      </w:pPr>
      <w:r>
        <w:rPr>
          <w:rFonts w:hint="eastAsia" w:ascii="宋体" w:hAnsi="宋体" w:eastAsia="宋体" w:cs="宋体"/>
          <w:sz w:val="24"/>
          <w:highlight w:val="none"/>
        </w:rPr>
        <w:drawing>
          <wp:inline distT="0" distB="0" distL="114300" distR="114300">
            <wp:extent cx="3511550" cy="161925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3511550" cy="1619250"/>
                    </a:xfrm>
                    <a:prstGeom prst="rect">
                      <a:avLst/>
                    </a:prstGeom>
                    <a:noFill/>
                    <a:ln>
                      <a:noFill/>
                    </a:ln>
                  </pic:spPr>
                </pic:pic>
              </a:graphicData>
            </a:graphic>
          </wp:inline>
        </w:drawing>
      </w:r>
      <w:r>
        <w:rPr>
          <w:rFonts w:hint="eastAsia" w:ascii="宋体" w:hAnsi="宋体" w:eastAsia="宋体" w:cs="宋体"/>
          <w:sz w:val="24"/>
          <w:highlight w:val="none"/>
        </w:rPr>
        <w:t xml:space="preserve"> </w:t>
      </w:r>
    </w:p>
    <w:p>
      <w:pPr>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highlight w:val="none"/>
          <w:lang w:val="en-US" w:eastAsia="zh-CN"/>
        </w:rPr>
        <w:t>2、</w:t>
      </w:r>
      <w:r>
        <w:rPr>
          <w:rFonts w:hint="eastAsia" w:ascii="宋体" w:hAnsi="宋体" w:eastAsia="宋体" w:cs="宋体"/>
          <w:sz w:val="24"/>
          <w:szCs w:val="24"/>
          <w:highlight w:val="none"/>
          <w:lang w:val="en-US"/>
        </w:rPr>
        <w:t>标识标牌二：城北大道与长泰路交界口（长泰路方向向南300米左右新建未命名路口西南侧）</w:t>
      </w:r>
    </w:p>
    <w:p>
      <w:pPr>
        <w:rPr>
          <w:rFonts w:hint="eastAsia" w:ascii="宋体" w:hAnsi="宋体" w:eastAsia="宋体" w:cs="宋体"/>
          <w:sz w:val="24"/>
          <w:szCs w:val="24"/>
          <w:highlight w:val="none"/>
          <w:lang w:val="en-US"/>
        </w:rPr>
      </w:pPr>
      <w:r>
        <w:rPr>
          <w:rFonts w:hint="eastAsia" w:ascii="宋体" w:hAnsi="宋体" w:eastAsia="宋体" w:cs="宋体"/>
          <w:sz w:val="24"/>
          <w:highlight w:val="none"/>
        </w:rPr>
        <w:drawing>
          <wp:inline distT="0" distB="0" distL="114300" distR="114300">
            <wp:extent cx="3420110" cy="1619885"/>
            <wp:effectExtent l="0" t="0" r="889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3420110" cy="1619885"/>
                    </a:xfrm>
                    <a:prstGeom prst="rect">
                      <a:avLst/>
                    </a:prstGeom>
                    <a:noFill/>
                    <a:ln>
                      <a:noFill/>
                    </a:ln>
                  </pic:spPr>
                </pic:pic>
              </a:graphicData>
            </a:graphic>
          </wp:inline>
        </w:drawing>
      </w:r>
    </w:p>
    <w:p>
      <w:pPr>
        <w:pStyle w:val="2"/>
        <w:numPr>
          <w:ilvl w:val="-1"/>
          <w:numId w:val="0"/>
        </w:numPr>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en-US"/>
        </w:rPr>
        <w:t>标识标牌三：BEEPLUS市北科创金融中心</w:t>
      </w:r>
    </w:p>
    <w:p>
      <w:pPr>
        <w:pStyle w:val="2"/>
        <w:rPr>
          <w:rFonts w:hint="eastAsia" w:ascii="宋体" w:hAnsi="宋体" w:eastAsia="宋体" w:cs="宋体"/>
          <w:sz w:val="24"/>
          <w:szCs w:val="24"/>
          <w:highlight w:val="none"/>
          <w:lang w:val="en-US"/>
        </w:rPr>
      </w:pPr>
      <w:r>
        <w:rPr>
          <w:rFonts w:hint="eastAsia" w:ascii="宋体" w:hAnsi="宋体" w:eastAsia="宋体" w:cs="宋体"/>
          <w:sz w:val="24"/>
          <w:highlight w:val="none"/>
        </w:rPr>
        <w:drawing>
          <wp:inline distT="0" distB="0" distL="114300" distR="114300">
            <wp:extent cx="3118485" cy="1440815"/>
            <wp:effectExtent l="0" t="0" r="571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118485" cy="1440815"/>
                    </a:xfrm>
                    <a:prstGeom prst="rect">
                      <a:avLst/>
                    </a:prstGeom>
                    <a:noFill/>
                    <a:ln>
                      <a:noFill/>
                    </a:ln>
                  </pic:spPr>
                </pic:pic>
              </a:graphicData>
            </a:graphic>
          </wp:inline>
        </w:drawing>
      </w:r>
    </w:p>
    <w:p>
      <w:pPr>
        <w:numPr>
          <w:ilvl w:val="-1"/>
          <w:numId w:val="0"/>
        </w:numPr>
        <w:tabs>
          <w:tab w:val="left" w:pos="312"/>
        </w:tabs>
        <w:ind w:firstLine="480" w:firstLineChars="200"/>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val="en-US"/>
        </w:rPr>
        <w:t>户外宣传墙：幸余路福禧路东北路口</w:t>
      </w:r>
    </w:p>
    <w:p>
      <w:pPr>
        <w:tabs>
          <w:tab w:val="left" w:pos="312"/>
        </w:tabs>
        <w:spacing w:line="600" w:lineRule="auto"/>
        <w:jc w:val="both"/>
        <w:rPr>
          <w:rFonts w:hint="eastAsia" w:ascii="等线" w:hAnsi="等线" w:eastAsia="等线" w:cs="Microsoft JhengHei"/>
          <w:b/>
          <w:bCs/>
          <w:sz w:val="18"/>
          <w:szCs w:val="18"/>
          <w:highlight w:val="none"/>
        </w:rPr>
      </w:pPr>
      <w:r>
        <w:rPr>
          <w:rFonts w:hint="eastAsia" w:ascii="宋体" w:hAnsi="宋体" w:eastAsia="宋体" w:cs="宋体"/>
          <w:sz w:val="24"/>
          <w:highlight w:val="none"/>
        </w:rPr>
        <w:drawing>
          <wp:inline distT="0" distB="0" distL="114300" distR="114300">
            <wp:extent cx="3125470" cy="1439545"/>
            <wp:effectExtent l="0" t="0" r="11430" b="825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3125470" cy="1439545"/>
                    </a:xfrm>
                    <a:prstGeom prst="rect">
                      <a:avLst/>
                    </a:prstGeom>
                    <a:noFill/>
                    <a:ln>
                      <a:noFill/>
                    </a:ln>
                  </pic:spPr>
                </pic:pic>
              </a:graphicData>
            </a:graphic>
          </wp:inline>
        </w:drawing>
      </w:r>
    </w:p>
    <w:p>
      <w:pPr>
        <w:pStyle w:val="33"/>
        <w:spacing w:before="0" w:beforeAutospacing="0" w:after="0" w:afterAutospacing="0" w:line="440" w:lineRule="exact"/>
        <w:ind w:firstLine="482" w:firstLineChars="200"/>
        <w:jc w:val="both"/>
        <w:rPr>
          <w:rFonts w:hint="eastAsia"/>
          <w:b/>
          <w:bCs/>
          <w:color w:val="auto"/>
          <w:kern w:val="2"/>
          <w:sz w:val="24"/>
          <w:szCs w:val="24"/>
          <w:highlight w:val="none"/>
        </w:rPr>
      </w:pPr>
      <w:r>
        <w:rPr>
          <w:rFonts w:hint="eastAsia"/>
          <w:b/>
          <w:bCs/>
          <w:color w:val="auto"/>
          <w:kern w:val="2"/>
          <w:sz w:val="24"/>
          <w:szCs w:val="24"/>
          <w:highlight w:val="none"/>
        </w:rPr>
        <w:t>三、相关要求</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1、制作及施工安装必须达到合格标准。由采购单位按相关规定进行验收。</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2、本项目需求是采购单位最低限度的要求，并未对一切细节作出规定，也未充分引述有关标准和规范的条文，供应商应保证提供符合本项目技术规范和有关最新标准的产品，保证设计、制作、施工安装的质量符合设计要求及相关技术规范要求和最新标准。</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3、在签订合同后，采购单位保留对本项目需求提出适度补充要求和修改的权利，成交供应商应承诺并无条件予以配合。具体修改、变更项目由双方共同商定。</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4、本项目需求规范所使用的标准如与供应商所执行的标准发生矛盾时，按较高标准执行。</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5、供应商成交后，须按采购单位要求进一步优化和调整方案设计，待方案设计通过采购单位组织的审查、报批并同意实施后，再进一步完成制作、施工安装。合同履行过程中，供应商不得以任何理由规避其相关责任。</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6、供应商在设计过程中所采用的造型、施工过程中所使用的主材，均必须经采购单位同意后方可进场并实施，否则采购单位有权不予支付相关合同价款。</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7、供应商的设计成果若涉及第三方知识产权的，所引起的一切责任和后果由供应商自行承担。</w:t>
      </w:r>
    </w:p>
    <w:p>
      <w:pPr>
        <w:pStyle w:val="33"/>
        <w:spacing w:before="0" w:beforeAutospacing="0" w:after="0" w:afterAutospacing="0" w:line="440" w:lineRule="exact"/>
        <w:ind w:firstLine="480" w:firstLineChars="200"/>
        <w:rPr>
          <w:rFonts w:hint="eastAsia"/>
          <w:b w:val="0"/>
          <w:bCs w:val="0"/>
          <w:color w:val="auto"/>
          <w:kern w:val="2"/>
          <w:sz w:val="24"/>
          <w:szCs w:val="24"/>
          <w:highlight w:val="none"/>
        </w:rPr>
      </w:pPr>
      <w:r>
        <w:rPr>
          <w:rFonts w:hint="eastAsia"/>
          <w:b w:val="0"/>
          <w:bCs w:val="0"/>
          <w:color w:val="auto"/>
          <w:kern w:val="2"/>
          <w:sz w:val="24"/>
          <w:szCs w:val="24"/>
          <w:highlight w:val="none"/>
        </w:rPr>
        <w:t>8、供应商须提供报价明细表，未提供报价明细表视为未实质性响应投标文件，作无效响应处理。</w:t>
      </w:r>
    </w:p>
    <w:p>
      <w:pPr>
        <w:pStyle w:val="33"/>
        <w:spacing w:before="0" w:beforeAutospacing="0" w:after="0" w:afterAutospacing="0" w:line="440" w:lineRule="exact"/>
        <w:ind w:firstLine="480" w:firstLineChars="200"/>
        <w:rPr>
          <w:rFonts w:hint="eastAsia"/>
          <w:color w:val="auto"/>
          <w:kern w:val="2"/>
          <w:sz w:val="24"/>
          <w:szCs w:val="24"/>
          <w:highlight w:val="none"/>
        </w:rPr>
      </w:pPr>
      <w:r>
        <w:rPr>
          <w:rFonts w:hint="eastAsia"/>
          <w:color w:val="auto"/>
          <w:kern w:val="2"/>
          <w:sz w:val="24"/>
          <w:szCs w:val="24"/>
          <w:highlight w:val="none"/>
        </w:rPr>
        <w:t>9、供应商履行本合同涉及的一切知识产权归采购单位所有，费用包含在合同价中。供应商应确保相关知识产权在合同履行期间和合同结束后，采购单位可以无障碍继续使用。</w:t>
      </w:r>
    </w:p>
    <w:p>
      <w:pPr>
        <w:pStyle w:val="33"/>
        <w:spacing w:before="0" w:beforeAutospacing="0" w:after="0" w:afterAutospacing="0" w:line="440" w:lineRule="exact"/>
        <w:ind w:firstLine="480" w:firstLineChars="200"/>
        <w:jc w:val="both"/>
        <w:rPr>
          <w:rFonts w:hint="eastAsia"/>
          <w:b/>
          <w:bCs/>
          <w:color w:val="auto"/>
          <w:kern w:val="2"/>
          <w:sz w:val="24"/>
          <w:szCs w:val="24"/>
          <w:highlight w:val="none"/>
        </w:rPr>
      </w:pPr>
      <w:r>
        <w:rPr>
          <w:rFonts w:hint="eastAsia"/>
          <w:color w:val="auto"/>
          <w:kern w:val="2"/>
          <w:sz w:val="24"/>
          <w:szCs w:val="24"/>
          <w:highlight w:val="none"/>
        </w:rPr>
        <w:t>10、供应商在参加投标时所提供的方案、效果等设计成果，采购单位享有全部使用权力，供应商不得以任何理由向采购单位提出权属或费用主张。采购单位不得对供应商所提供的设计成果进行转让、出售。对于未成交供应商的设计成果，采购单位不予任何补偿。</w:t>
      </w:r>
    </w:p>
    <w:p>
      <w:pPr>
        <w:widowControl/>
        <w:shd w:val="clear" w:color="auto" w:fill="FFFFFF"/>
        <w:spacing w:line="440" w:lineRule="exact"/>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四、重要说明：</w:t>
      </w:r>
    </w:p>
    <w:p>
      <w:pPr>
        <w:pStyle w:val="31"/>
        <w:spacing w:line="440" w:lineRule="exact"/>
        <w:ind w:firstLine="482" w:firstLineChars="200"/>
        <w:rPr>
          <w:rFonts w:hint="eastAsia" w:ascii="宋体" w:hAnsi="宋体" w:cs="宋体"/>
          <w:color w:val="auto"/>
          <w:sz w:val="24"/>
          <w:szCs w:val="24"/>
          <w:highlight w:val="none"/>
          <w:lang w:val="zh-CN"/>
        </w:rPr>
      </w:pPr>
      <w:r>
        <w:rPr>
          <w:rFonts w:hint="eastAsia" w:ascii="宋体" w:hAnsi="宋体" w:cs="宋体"/>
          <w:color w:val="auto"/>
          <w:sz w:val="24"/>
          <w:szCs w:val="24"/>
          <w:highlight w:val="none"/>
        </w:rPr>
        <w:t>1、须</w:t>
      </w:r>
      <w:r>
        <w:rPr>
          <w:rFonts w:hint="eastAsia" w:ascii="宋体" w:hAnsi="宋体" w:cs="宋体"/>
          <w:color w:val="auto"/>
          <w:sz w:val="24"/>
          <w:szCs w:val="24"/>
          <w:highlight w:val="none"/>
          <w:lang w:val="zh-CN"/>
        </w:rPr>
        <w:t>提供</w:t>
      </w:r>
      <w:r>
        <w:rPr>
          <w:rFonts w:hint="eastAsia" w:ascii="宋体" w:hAnsi="宋体" w:cs="宋体"/>
          <w:color w:val="auto"/>
          <w:sz w:val="24"/>
          <w:szCs w:val="24"/>
          <w:highlight w:val="none"/>
        </w:rPr>
        <w:t>设计方案</w:t>
      </w:r>
      <w:r>
        <w:rPr>
          <w:rFonts w:hint="eastAsia" w:ascii="宋体" w:hAnsi="宋体" w:cs="宋体"/>
          <w:color w:val="auto"/>
          <w:sz w:val="24"/>
          <w:szCs w:val="24"/>
          <w:highlight w:val="none"/>
          <w:lang w:val="zh-CN"/>
        </w:rPr>
        <w:t>：</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1.1在技术标中应提供：</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全套设计图纸</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1.2设计图纸要求：</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A、设计图纸</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1）内容策划大纲</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2）设计布局平面图</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3）重点技术说明</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4）展示效果图；</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5）施工图：平面图、顶面图、立面图等</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B、设计图纸的要求</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1）施工图汇编缩印本A3规格。</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2）其他设计图纸汇编缩印本A3规格。</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3）设计图纸均使用A3纸规格。</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备注：①投标单位需按采购文件要求自行设计方案,投标人在投标文件中须明确设计部分费用组成、施工部分报价等清单报价，相关报价内容放入商务标中。</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②投标单位投标时需针对设计区域（详见项目具体需求）进行设计，充分反映设计内容和效果。</w:t>
      </w:r>
    </w:p>
    <w:bookmarkEnd w:id="22"/>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2、项目总报价包括完成本次招标范围内全部工作内容所需所有费用，应包含但不限于：完成深化设计和施工图设计并由采购人确认，包含策划、方案、设计；所有设施、设备、系统、软件、主材、辅材、工具等的费用；施工图设计与施工及设计图纸范围内的全部布展内容及展厅装饰装修施工(包括装修、声、光、电、综合布线、末端设备（规格、配置等）布置、布展素材编辑与软件整合、空调、多媒体其他相关服务等）、质量保修、售后服务、税费、供货、运输、保险、安装指导、培训、竣工后试验、验收及属投标人应承担的风险等一切费用。同时报价中也包含采购文件中所要求的可能发生的设计费、顾问费及现场咨询服务费、后续服务费、食宿差旅费等所有费用，同时中标单位中标后不得因深化设计调整合同总价。</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3、中标单位根据采购人要求进行深化设计并经采购人确认后进行现场施工且深化设计和施工不得涉及投标报价的调整。</w:t>
      </w:r>
    </w:p>
    <w:p>
      <w:pPr>
        <w:pStyle w:val="31"/>
        <w:spacing w:line="440" w:lineRule="exact"/>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4、中标单位提供的所有设施设备必须为安全环保可靠产品。</w:t>
      </w:r>
    </w:p>
    <w:p>
      <w:pPr>
        <w:snapToGrid w:val="0"/>
        <w:spacing w:line="360" w:lineRule="auto"/>
        <w:ind w:left="0" w:firstLine="482" w:firstLineChars="200"/>
        <w:rPr>
          <w:rFonts w:hint="eastAsia" w:ascii="宋体" w:hAnsi="宋体"/>
          <w:b/>
          <w:color w:val="auto"/>
          <w:sz w:val="24"/>
          <w:highlight w:val="none"/>
        </w:rPr>
      </w:pPr>
      <w:r>
        <w:rPr>
          <w:rFonts w:hint="eastAsia" w:ascii="宋体" w:hAnsi="宋体"/>
          <w:b/>
          <w:color w:val="auto"/>
          <w:sz w:val="24"/>
          <w:highlight w:val="none"/>
          <w:lang w:val="en-US" w:eastAsia="zh-CN"/>
        </w:rPr>
        <w:t>五、</w:t>
      </w:r>
      <w:r>
        <w:rPr>
          <w:rFonts w:hint="eastAsia" w:ascii="宋体" w:hAnsi="宋体"/>
          <w:b/>
          <w:color w:val="auto"/>
          <w:sz w:val="24"/>
          <w:highlight w:val="none"/>
        </w:rPr>
        <w:t>售后服务要求</w:t>
      </w:r>
    </w:p>
    <w:p>
      <w:pPr>
        <w:tabs>
          <w:tab w:val="left" w:pos="0"/>
        </w:tabs>
        <w:snapToGrid w:val="0"/>
        <w:spacing w:line="360" w:lineRule="auto"/>
        <w:ind w:right="-134" w:rightChars="-64" w:firstLine="480" w:firstLineChars="200"/>
        <w:outlineLvl w:val="3"/>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提供的所有技术和服务的免费质保期为</w:t>
      </w: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年（含电子产品），投标中有承诺的按承诺年数或质保书年限，免费质保期自本项目通过终验之日起开始计算。</w:t>
      </w:r>
    </w:p>
    <w:p>
      <w:pPr>
        <w:tabs>
          <w:tab w:val="left" w:pos="0"/>
        </w:tabs>
        <w:snapToGrid w:val="0"/>
        <w:spacing w:line="360" w:lineRule="auto"/>
        <w:ind w:right="-134" w:rightChars="-64" w:firstLine="480" w:firstLineChars="200"/>
        <w:outlineLvl w:val="3"/>
        <w:rPr>
          <w:rFonts w:hint="eastAsia" w:ascii="宋体" w:hAnsi="宋体" w:eastAsia="宋体"/>
          <w:color w:val="auto"/>
          <w:sz w:val="24"/>
          <w:highlight w:val="none"/>
          <w:lang w:eastAsia="zh-CN"/>
        </w:rPr>
      </w:pPr>
      <w:r>
        <w:rPr>
          <w:rFonts w:hint="eastAsia" w:ascii="宋体" w:hAnsi="宋体" w:cs="宋体"/>
          <w:bCs/>
          <w:color w:val="auto"/>
          <w:sz w:val="24"/>
          <w:highlight w:val="none"/>
        </w:rPr>
        <w:t>2、质保期内，所有技术和服务发生任何非人为故障，由中标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负责维修恢复。</w:t>
      </w:r>
      <w:r>
        <w:rPr>
          <w:rFonts w:hint="eastAsia" w:ascii="宋体" w:hAnsi="宋体"/>
          <w:color w:val="auto"/>
          <w:sz w:val="24"/>
          <w:highlight w:val="none"/>
        </w:rPr>
        <w:t>供应商需在接到采购人通知后2个工作日内响应，若4个工作日内无法修复，供应商需向采购人提供书面报告并明确修复时间；若4个工作日内无法修复</w:t>
      </w:r>
      <w:r>
        <w:rPr>
          <w:rFonts w:hint="eastAsia" w:ascii="宋体" w:hAnsi="宋体"/>
          <w:color w:val="auto"/>
          <w:sz w:val="24"/>
          <w:highlight w:val="none"/>
          <w:lang w:eastAsia="zh-CN"/>
        </w:rPr>
        <w:t>，</w:t>
      </w:r>
      <w:r>
        <w:rPr>
          <w:rFonts w:hint="eastAsia" w:ascii="宋体" w:hAnsi="宋体"/>
          <w:color w:val="auto"/>
          <w:sz w:val="24"/>
          <w:highlight w:val="none"/>
        </w:rPr>
        <w:t>且未提供书面报告并明确修复时间，采购人可另行委托他人修理，所需费用由供应商承担</w:t>
      </w:r>
      <w:r>
        <w:rPr>
          <w:rFonts w:hint="eastAsia" w:ascii="宋体" w:hAnsi="宋体"/>
          <w:color w:val="auto"/>
          <w:sz w:val="24"/>
          <w:highlight w:val="none"/>
          <w:lang w:eastAsia="zh-CN"/>
        </w:rPr>
        <w:t>。</w:t>
      </w:r>
    </w:p>
    <w:p>
      <w:pPr>
        <w:tabs>
          <w:tab w:val="left" w:pos="0"/>
        </w:tabs>
        <w:snapToGrid w:val="0"/>
        <w:spacing w:line="360" w:lineRule="auto"/>
        <w:ind w:right="-134" w:rightChars="-64" w:firstLine="480" w:firstLineChars="200"/>
        <w:outlineLvl w:val="3"/>
        <w:rPr>
          <w:rFonts w:hint="eastAsia" w:ascii="宋体" w:hAnsi="宋体" w:eastAsia="宋体" w:cs="宋体"/>
          <w:bCs/>
          <w:color w:val="auto"/>
          <w:sz w:val="24"/>
          <w:highlight w:val="none"/>
        </w:rPr>
      </w:pPr>
      <w:r>
        <w:rPr>
          <w:rFonts w:hint="eastAsia" w:ascii="宋体" w:hAnsi="宋体" w:cs="宋体"/>
          <w:bCs/>
          <w:color w:val="auto"/>
          <w:sz w:val="24"/>
          <w:highlight w:val="none"/>
        </w:rPr>
        <w:t>3、所有的服务方式均为中标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上门保修，即由中标</w:t>
      </w:r>
      <w:r>
        <w:rPr>
          <w:rFonts w:hint="eastAsia" w:ascii="宋体" w:hAnsi="宋体" w:cs="宋体"/>
          <w:bCs/>
          <w:color w:val="auto"/>
          <w:sz w:val="24"/>
          <w:highlight w:val="none"/>
          <w:lang w:val="en-US" w:eastAsia="zh-CN"/>
        </w:rPr>
        <w:t>供应商</w:t>
      </w:r>
      <w:r>
        <w:rPr>
          <w:rFonts w:hint="eastAsia" w:ascii="宋体" w:hAnsi="宋体" w:cs="宋体"/>
          <w:bCs/>
          <w:color w:val="auto"/>
          <w:sz w:val="24"/>
          <w:highlight w:val="none"/>
        </w:rPr>
        <w:t>派人员到现场进行维修恢复，由此产生的一切费用均由中标人承担。</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eastAsia="宋体" w:cs="宋体"/>
          <w:bCs/>
          <w:color w:val="auto"/>
          <w:kern w:val="2"/>
          <w:sz w:val="24"/>
          <w:szCs w:val="24"/>
          <w:highlight w:val="none"/>
          <w:lang w:val="en-US" w:eastAsia="zh-CN" w:bidi="ar-SA"/>
        </w:rPr>
        <w:t>4、质保期满后，中标</w:t>
      </w:r>
      <w:r>
        <w:rPr>
          <w:rFonts w:hint="eastAsia" w:ascii="宋体" w:hAnsi="宋体" w:cs="宋体"/>
          <w:bCs/>
          <w:color w:val="auto"/>
          <w:sz w:val="24"/>
          <w:highlight w:val="none"/>
          <w:lang w:val="en-US" w:eastAsia="zh-CN"/>
        </w:rPr>
        <w:t>供应商</w:t>
      </w:r>
      <w:r>
        <w:rPr>
          <w:rFonts w:hint="eastAsia" w:ascii="宋体" w:hAnsi="宋体" w:eastAsia="宋体" w:cs="宋体"/>
          <w:bCs/>
          <w:color w:val="auto"/>
          <w:kern w:val="2"/>
          <w:sz w:val="24"/>
          <w:szCs w:val="24"/>
          <w:highlight w:val="none"/>
          <w:lang w:val="en-US" w:eastAsia="zh-CN" w:bidi="ar-SA"/>
        </w:rPr>
        <w:t>应继续提供相关服务，硬件及软件服务均以不高于中标价进行提供。</w:t>
      </w:r>
    </w:p>
    <w:p>
      <w:pPr>
        <w:pStyle w:val="31"/>
        <w:spacing w:line="44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六</w:t>
      </w:r>
      <w:r>
        <w:rPr>
          <w:rFonts w:hint="eastAsia" w:ascii="宋体" w:hAnsi="宋体" w:cs="宋体"/>
          <w:b/>
          <w:bCs/>
          <w:color w:val="auto"/>
          <w:sz w:val="24"/>
          <w:szCs w:val="24"/>
          <w:highlight w:val="none"/>
        </w:rPr>
        <w:t>、付款方式</w:t>
      </w:r>
    </w:p>
    <w:p>
      <w:pPr>
        <w:pStyle w:val="31"/>
        <w:spacing w:line="440" w:lineRule="exact"/>
        <w:ind w:firstLine="480" w:firstLineChars="200"/>
        <w:jc w:val="left"/>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合同签署生效后</w:t>
      </w:r>
      <w:r>
        <w:rPr>
          <w:rFonts w:hint="eastAsia" w:ascii="宋体" w:hAnsi="宋体" w:cs="宋体"/>
          <w:b w:val="0"/>
          <w:bCs w:val="0"/>
          <w:color w:val="auto"/>
          <w:sz w:val="24"/>
          <w:szCs w:val="24"/>
          <w:highlight w:val="none"/>
          <w:lang w:val="en-US" w:eastAsia="zh-CN"/>
        </w:rPr>
        <w:t>采购人</w:t>
      </w:r>
      <w:r>
        <w:rPr>
          <w:rFonts w:hint="eastAsia" w:ascii="宋体" w:hAnsi="宋体" w:cs="宋体"/>
          <w:b w:val="0"/>
          <w:bCs w:val="0"/>
          <w:color w:val="auto"/>
          <w:sz w:val="24"/>
          <w:szCs w:val="24"/>
          <w:highlight w:val="none"/>
          <w:lang w:eastAsia="zh-CN"/>
        </w:rPr>
        <w:t>支付</w:t>
      </w:r>
      <w:r>
        <w:rPr>
          <w:rFonts w:hint="eastAsia" w:ascii="宋体" w:hAnsi="宋体" w:cs="宋体"/>
          <w:b w:val="0"/>
          <w:bCs w:val="0"/>
          <w:color w:val="auto"/>
          <w:sz w:val="24"/>
          <w:szCs w:val="24"/>
          <w:highlight w:val="none"/>
          <w:lang w:val="en-US" w:eastAsia="zh-CN"/>
        </w:rPr>
        <w:t>中标价的50%</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highlight w:val="none"/>
          <w:lang w:val="en-US" w:eastAsia="zh-CN"/>
        </w:rPr>
        <w:t>中标供应商</w:t>
      </w:r>
      <w:r>
        <w:rPr>
          <w:rFonts w:hint="eastAsia" w:ascii="宋体" w:hAnsi="宋体" w:cs="宋体"/>
          <w:b w:val="0"/>
          <w:bCs w:val="0"/>
          <w:color w:val="auto"/>
          <w:sz w:val="24"/>
          <w:highlight w:val="none"/>
        </w:rPr>
        <w:t>制作安装完成，</w:t>
      </w:r>
      <w:r>
        <w:rPr>
          <w:rFonts w:hint="eastAsia" w:ascii="宋体" w:hAnsi="宋体" w:cs="宋体"/>
          <w:b w:val="0"/>
          <w:bCs w:val="0"/>
          <w:color w:val="auto"/>
          <w:sz w:val="24"/>
          <w:highlight w:val="none"/>
          <w:lang w:val="en-US" w:eastAsia="zh-CN"/>
        </w:rPr>
        <w:t>并经采购人</w:t>
      </w:r>
      <w:r>
        <w:rPr>
          <w:rFonts w:hint="eastAsia" w:ascii="宋体" w:hAnsi="宋体" w:cs="宋体"/>
          <w:b w:val="0"/>
          <w:bCs w:val="0"/>
          <w:color w:val="auto"/>
          <w:sz w:val="24"/>
          <w:highlight w:val="none"/>
        </w:rPr>
        <w:t>验收合格后完成</w:t>
      </w:r>
      <w:r>
        <w:rPr>
          <w:rFonts w:hint="eastAsia" w:ascii="宋体" w:hAnsi="宋体" w:cs="宋体"/>
          <w:b w:val="0"/>
          <w:bCs w:val="0"/>
          <w:color w:val="auto"/>
          <w:sz w:val="24"/>
          <w:highlight w:val="none"/>
          <w:lang w:val="en-US" w:eastAsia="zh-CN"/>
        </w:rPr>
        <w:t>剩余的50%</w:t>
      </w:r>
      <w:r>
        <w:rPr>
          <w:rFonts w:hint="eastAsia" w:ascii="宋体" w:hAnsi="宋体" w:cs="宋体"/>
          <w:b w:val="0"/>
          <w:bCs w:val="0"/>
          <w:color w:val="auto"/>
          <w:sz w:val="24"/>
          <w:szCs w:val="24"/>
          <w:highlight w:val="none"/>
        </w:rPr>
        <w:t>。</w:t>
      </w:r>
    </w:p>
    <w:p>
      <w:pP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br w:type="page"/>
      </w:r>
    </w:p>
    <w:p>
      <w:pPr>
        <w:autoSpaceDE w:val="0"/>
        <w:autoSpaceDN w:val="0"/>
        <w:adjustRightInd w:val="0"/>
        <w:snapToGrid w:val="0"/>
        <w:spacing w:line="300" w:lineRule="auto"/>
        <w:jc w:val="center"/>
        <w:rPr>
          <w:rFonts w:ascii="仿宋_GB2312" w:eastAsia="仿宋_GB2312"/>
          <w:b/>
          <w:bCs/>
          <w:color w:val="auto"/>
          <w:sz w:val="36"/>
          <w:szCs w:val="36"/>
          <w:highlight w:val="none"/>
          <w:lang w:val="zh-CN"/>
        </w:rPr>
      </w:pPr>
      <w:r>
        <w:rPr>
          <w:rFonts w:hint="eastAsia" w:ascii="仿宋_GB2312" w:eastAsia="仿宋_GB2312"/>
          <w:b/>
          <w:bCs/>
          <w:color w:val="auto"/>
          <w:sz w:val="36"/>
          <w:szCs w:val="36"/>
          <w:highlight w:val="none"/>
          <w:lang w:val="zh-CN"/>
        </w:rPr>
        <w:t>第四部分  评审程序和内容</w:t>
      </w:r>
    </w:p>
    <w:p>
      <w:pPr>
        <w:autoSpaceDE w:val="0"/>
        <w:autoSpaceDN w:val="0"/>
        <w:adjustRightInd w:val="0"/>
        <w:snapToGrid w:val="0"/>
        <w:spacing w:line="480" w:lineRule="exact"/>
        <w:ind w:right="210" w:firstLine="472" w:firstLineChars="196"/>
        <w:rPr>
          <w:b/>
          <w:color w:val="auto"/>
          <w:sz w:val="24"/>
          <w:highlight w:val="none"/>
          <w:lang w:val="zh-CN"/>
        </w:rPr>
      </w:pPr>
      <w:r>
        <w:rPr>
          <w:b/>
          <w:color w:val="auto"/>
          <w:sz w:val="24"/>
          <w:highlight w:val="none"/>
          <w:lang w:val="zh-CN"/>
        </w:rPr>
        <w:t>一、</w:t>
      </w:r>
      <w:r>
        <w:rPr>
          <w:rFonts w:hint="eastAsia"/>
          <w:b/>
          <w:color w:val="auto"/>
          <w:sz w:val="24"/>
          <w:highlight w:val="none"/>
          <w:lang w:val="zh-CN"/>
        </w:rPr>
        <w:t>采购人委托</w:t>
      </w:r>
      <w:r>
        <w:rPr>
          <w:b/>
          <w:color w:val="auto"/>
          <w:sz w:val="24"/>
          <w:highlight w:val="none"/>
          <w:lang w:val="zh-CN"/>
        </w:rPr>
        <w:t>采购代理机构组织磋商活动</w:t>
      </w:r>
    </w:p>
    <w:p>
      <w:pPr>
        <w:snapToGrid w:val="0"/>
        <w:spacing w:line="480" w:lineRule="exact"/>
        <w:ind w:firstLine="482" w:firstLineChars="200"/>
        <w:rPr>
          <w:color w:val="auto"/>
          <w:kern w:val="0"/>
          <w:sz w:val="24"/>
          <w:highlight w:val="none"/>
          <w:lang w:val="zh-CN"/>
        </w:rPr>
      </w:pPr>
      <w:r>
        <w:rPr>
          <w:b/>
          <w:color w:val="auto"/>
          <w:kern w:val="0"/>
          <w:sz w:val="24"/>
          <w:highlight w:val="none"/>
          <w:lang w:val="zh-CN"/>
        </w:rPr>
        <w:t>1、成立竞争性磋商小组。</w:t>
      </w:r>
      <w:r>
        <w:rPr>
          <w:color w:val="auto"/>
          <w:kern w:val="0"/>
          <w:sz w:val="24"/>
          <w:highlight w:val="none"/>
          <w:lang w:val="zh-CN"/>
        </w:rPr>
        <w:t>竞争性磋商小组由</w:t>
      </w:r>
      <w:r>
        <w:rPr>
          <w:rFonts w:hint="eastAsia"/>
          <w:color w:val="auto"/>
          <w:kern w:val="0"/>
          <w:sz w:val="24"/>
          <w:highlight w:val="none"/>
          <w:lang w:val="zh-CN"/>
        </w:rPr>
        <w:t>采购人代表和评审专家组成</w:t>
      </w:r>
      <w:r>
        <w:rPr>
          <w:color w:val="auto"/>
          <w:kern w:val="0"/>
          <w:sz w:val="24"/>
          <w:highlight w:val="none"/>
          <w:lang w:val="zh-CN"/>
        </w:rPr>
        <w:t>。</w:t>
      </w:r>
      <w:r>
        <w:rPr>
          <w:rFonts w:hint="eastAsia" w:ascii="宋体" w:hAnsi="宋体"/>
          <w:bCs/>
          <w:color w:val="auto"/>
          <w:sz w:val="24"/>
          <w:highlight w:val="none"/>
        </w:rPr>
        <w:t>评审专家在专家库中随机抽取。</w:t>
      </w:r>
    </w:p>
    <w:p>
      <w:pPr>
        <w:spacing w:line="480" w:lineRule="exact"/>
        <w:ind w:firstLine="482" w:firstLineChars="200"/>
        <w:rPr>
          <w:b/>
          <w:color w:val="auto"/>
          <w:kern w:val="0"/>
          <w:sz w:val="24"/>
          <w:highlight w:val="none"/>
          <w:lang w:val="zh-CN"/>
        </w:rPr>
      </w:pPr>
      <w:r>
        <w:rPr>
          <w:b/>
          <w:color w:val="auto"/>
          <w:kern w:val="0"/>
          <w:sz w:val="24"/>
          <w:highlight w:val="none"/>
          <w:lang w:val="zh-CN"/>
        </w:rPr>
        <w:t>2、竞争性磋商小组的职责：</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评审专家应当遵守评审工作纪律，不得泄露评审情况和评审中获悉的商业秘密。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磋商小组在评审过程中发现供应商有行贿、提供虚假材料或者串通等违法行为的，应当及时向财政部门报告。</w:t>
      </w:r>
    </w:p>
    <w:p>
      <w:pPr>
        <w:pStyle w:val="87"/>
        <w:snapToGrid w:val="0"/>
        <w:spacing w:line="480" w:lineRule="exact"/>
        <w:ind w:firstLine="480" w:firstLineChars="200"/>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lang w:val="zh-CN"/>
        </w:rPr>
        <w:t>评审专家在评审过程中受到非法干涉的，应当及时向财政、监察等部门举报。</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磋商文件内容违反国家有关强制性规定的，磋商小组应当停止评审并向采购人或者采购代理机构说明情况。</w:t>
      </w:r>
    </w:p>
    <w:p>
      <w:pPr>
        <w:pStyle w:val="87"/>
        <w:snapToGrid w:val="0"/>
        <w:spacing w:line="480" w:lineRule="exact"/>
        <w:ind w:firstLine="482" w:firstLineChars="200"/>
        <w:contextualSpacing/>
        <w:rPr>
          <w:rFonts w:ascii="Times New Roman" w:hAnsi="Times New Roman" w:eastAsia="宋体"/>
          <w:b/>
          <w:color w:val="auto"/>
          <w:sz w:val="24"/>
          <w:szCs w:val="24"/>
          <w:highlight w:val="none"/>
          <w:lang w:val="zh-CN"/>
        </w:rPr>
      </w:pPr>
      <w:r>
        <w:rPr>
          <w:rFonts w:ascii="Times New Roman" w:hAnsi="Times New Roman" w:eastAsia="宋体"/>
          <w:b/>
          <w:color w:val="auto"/>
          <w:sz w:val="24"/>
          <w:szCs w:val="24"/>
          <w:highlight w:val="none"/>
          <w:lang w:val="zh-CN"/>
        </w:rPr>
        <w:t>3、竞争性磋商小组成员的义务：</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遵纪守法，客观、公正、廉洁地履行职责；根据采购文件的规定独立进行评审，对个人的评审意见承担法律责任；参与</w:t>
      </w:r>
      <w:r>
        <w:rPr>
          <w:rFonts w:hint="eastAsia" w:ascii="Times New Roman" w:hAnsi="Times New Roman" w:eastAsia="宋体"/>
          <w:color w:val="auto"/>
          <w:sz w:val="24"/>
          <w:szCs w:val="24"/>
          <w:highlight w:val="none"/>
          <w:lang w:val="zh-CN"/>
        </w:rPr>
        <w:t>完成</w:t>
      </w:r>
      <w:r>
        <w:rPr>
          <w:rFonts w:ascii="Times New Roman" w:hAnsi="Times New Roman" w:eastAsia="宋体"/>
          <w:color w:val="auto"/>
          <w:sz w:val="24"/>
          <w:szCs w:val="24"/>
          <w:highlight w:val="none"/>
          <w:lang w:val="zh-CN"/>
        </w:rPr>
        <w:t>评审报告；配合采购人、</w:t>
      </w:r>
      <w:r>
        <w:rPr>
          <w:rFonts w:hint="eastAsia" w:ascii="Times New Roman" w:hAnsi="Times New Roman" w:eastAsia="宋体"/>
          <w:color w:val="auto"/>
          <w:sz w:val="24"/>
          <w:szCs w:val="24"/>
          <w:highlight w:val="none"/>
          <w:lang w:val="zh-CN"/>
        </w:rPr>
        <w:t>采购代理机构</w:t>
      </w:r>
      <w:r>
        <w:rPr>
          <w:rFonts w:ascii="Times New Roman" w:hAnsi="Times New Roman" w:eastAsia="宋体"/>
          <w:color w:val="auto"/>
          <w:sz w:val="24"/>
          <w:szCs w:val="24"/>
          <w:highlight w:val="none"/>
          <w:lang w:val="zh-CN"/>
        </w:rPr>
        <w:t>答复供应商提出的质疑；配合财政部门的投诉处理和监督检查工作。</w:t>
      </w:r>
    </w:p>
    <w:p>
      <w:pPr>
        <w:pStyle w:val="87"/>
        <w:snapToGrid w:val="0"/>
        <w:spacing w:line="480" w:lineRule="exact"/>
        <w:ind w:firstLine="482" w:firstLineChars="200"/>
        <w:contextualSpacing/>
        <w:rPr>
          <w:rFonts w:ascii="Times New Roman" w:hAnsi="Times New Roman" w:eastAsia="宋体"/>
          <w:b/>
          <w:color w:val="auto"/>
          <w:sz w:val="24"/>
          <w:szCs w:val="24"/>
          <w:highlight w:val="none"/>
          <w:lang w:val="zh-CN"/>
        </w:rPr>
      </w:pPr>
      <w:r>
        <w:rPr>
          <w:rFonts w:ascii="Times New Roman" w:hAnsi="Times New Roman" w:eastAsia="宋体"/>
          <w:b/>
          <w:color w:val="auto"/>
          <w:sz w:val="24"/>
          <w:szCs w:val="24"/>
          <w:highlight w:val="none"/>
          <w:lang w:val="zh-CN"/>
        </w:rPr>
        <w:t>二、供应商参加磋商活动。</w:t>
      </w:r>
    </w:p>
    <w:p>
      <w:pPr>
        <w:tabs>
          <w:tab w:val="left" w:pos="3585"/>
        </w:tabs>
        <w:snapToGrid w:val="0"/>
        <w:spacing w:line="480" w:lineRule="exact"/>
        <w:ind w:firstLine="460" w:firstLineChars="192"/>
        <w:rPr>
          <w:color w:val="auto"/>
          <w:kern w:val="0"/>
          <w:sz w:val="24"/>
          <w:highlight w:val="none"/>
          <w:lang w:val="zh-CN"/>
        </w:rPr>
      </w:pPr>
      <w:r>
        <w:rPr>
          <w:color w:val="auto"/>
          <w:kern w:val="0"/>
          <w:sz w:val="24"/>
          <w:highlight w:val="none"/>
          <w:lang w:val="zh-CN"/>
        </w:rPr>
        <w:t>响应供应商在采购文件指定地点参加磋商会。</w:t>
      </w:r>
    </w:p>
    <w:p>
      <w:pPr>
        <w:autoSpaceDE w:val="0"/>
        <w:autoSpaceDN w:val="0"/>
        <w:adjustRightInd w:val="0"/>
        <w:snapToGrid w:val="0"/>
        <w:spacing w:line="480" w:lineRule="exact"/>
        <w:ind w:right="210" w:firstLine="482" w:firstLineChars="200"/>
        <w:rPr>
          <w:b/>
          <w:color w:val="auto"/>
          <w:sz w:val="24"/>
          <w:highlight w:val="none"/>
        </w:rPr>
      </w:pPr>
      <w:r>
        <w:rPr>
          <w:b/>
          <w:color w:val="auto"/>
          <w:sz w:val="24"/>
          <w:highlight w:val="none"/>
        </w:rPr>
        <w:t>三、评审程序、内容</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1、磋商小组应当对响应文件进行评审，并根据磋商文件规定的程序、评定成交的标准等事项与实质性响应磋商文件要求的供应商进行磋商。未实质性响应磋商文件的响应文件按无效处理，磋商小组应当告知有关供应商。 </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2、磋商小组所有成员应当集中与单一供应商分别进行磋商，并给予所有参加磋商的供应商平等的磋商机会。</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3、在磋商过程中，磋商小组可以根据磋商文件和磋商情况实质性变动采购需求中的技术、服务要求以及合同草案条款，但不得变动磋商文件中的其他内容。实质性变动的内容，须经采购人代表确认。</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对磋商文件作出的实质性变动是磋商文件的有效组成部分，磋商小组应当及时以书面形式同时通知所有参加磋商的供应商。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供应商应当按照磋商文件的变动情况和磋商小组的要求重新提交响应文件，并由其法定代表人或</w:t>
      </w:r>
      <w:r>
        <w:rPr>
          <w:rFonts w:hint="eastAsia" w:ascii="Times New Roman" w:hAnsi="Times New Roman" w:eastAsia="宋体"/>
          <w:color w:val="auto"/>
          <w:sz w:val="24"/>
          <w:szCs w:val="24"/>
          <w:highlight w:val="none"/>
          <w:lang w:val="zh-CN"/>
        </w:rPr>
        <w:t>其</w:t>
      </w:r>
      <w:r>
        <w:rPr>
          <w:rFonts w:ascii="Times New Roman" w:hAnsi="Times New Roman" w:eastAsia="宋体"/>
          <w:color w:val="auto"/>
          <w:sz w:val="24"/>
          <w:szCs w:val="24"/>
          <w:highlight w:val="none"/>
          <w:lang w:val="zh-CN"/>
        </w:rPr>
        <w:t>授权代表签字或者加盖公章。由授权代表签字的，应当附法定代表人授权书。供应商为自然人的，应当由本人签字并附身份证明。</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4、磋商文件能够详细列明采购标的的技术、服务要求的，磋商结束后，磋商小组应当要求所有实质性响应的供应商在规定时间内提交最后报价，提交最后报价的供应商不得少于3家。</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文件不能详细列明采购标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市场竞争不充分的科研项目，以及需要扶持的科技成果转化项目，提交最后报价的供应商可以是2家。</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5、最后报价是供应商响应文件的有效组成部分。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6、已提交响应文件的供应商，在提交最后报价之前，可以根据磋商情况退出磋商。</w:t>
      </w:r>
    </w:p>
    <w:p>
      <w:pPr>
        <w:pStyle w:val="87"/>
        <w:snapToGrid w:val="0"/>
        <w:spacing w:line="480" w:lineRule="exact"/>
        <w:ind w:firstLine="480" w:firstLineChars="200"/>
        <w:contextualSpacing/>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磋商时间由磋商小组掌握。</w:t>
      </w:r>
    </w:p>
    <w:p>
      <w:pPr>
        <w:pStyle w:val="87"/>
        <w:snapToGrid w:val="0"/>
        <w:spacing w:line="480" w:lineRule="exact"/>
        <w:ind w:firstLine="496"/>
        <w:contextualSpacing/>
        <w:rPr>
          <w:rFonts w:ascii="Times New Roman" w:hAnsi="Times New Roman" w:eastAsia="宋体"/>
          <w:b/>
          <w:color w:val="auto"/>
          <w:sz w:val="24"/>
          <w:szCs w:val="24"/>
          <w:highlight w:val="none"/>
        </w:rPr>
      </w:pPr>
      <w:r>
        <w:rPr>
          <w:rFonts w:ascii="Times New Roman" w:hAnsi="Times New Roman" w:eastAsia="宋体"/>
          <w:b/>
          <w:color w:val="auto"/>
          <w:sz w:val="24"/>
          <w:szCs w:val="24"/>
          <w:highlight w:val="none"/>
        </w:rPr>
        <w:t>四、评审方法-综合评分法</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经磋商确定最终采购需求和提交最后报价的供应商后，由磋商小组采用综合评分法对提交最后报价的供应商的响应文件和最后报价进行综合评分。</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综合评分法，是指响应文件满足磋商文件全部实质性要求且按评审因素的量化指标评审得分最高的供应商为成交候选供应商的评审方法。</w:t>
      </w:r>
    </w:p>
    <w:p>
      <w:pPr>
        <w:pStyle w:val="87"/>
        <w:snapToGrid w:val="0"/>
        <w:spacing w:line="480" w:lineRule="exact"/>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评审时，磋商小组各成员应当独立对每个有效响应的文件进行评价、打分，然后汇总每个供应商每项评分因素的得分。</w:t>
      </w:r>
    </w:p>
    <w:p>
      <w:pPr>
        <w:snapToGrid w:val="0"/>
        <w:spacing w:line="480" w:lineRule="exact"/>
        <w:ind w:firstLine="482" w:firstLineChars="200"/>
        <w:rPr>
          <w:b/>
          <w:color w:val="auto"/>
          <w:sz w:val="24"/>
          <w:highlight w:val="none"/>
        </w:rPr>
      </w:pPr>
      <w:r>
        <w:rPr>
          <w:b/>
          <w:color w:val="auto"/>
          <w:sz w:val="24"/>
          <w:highlight w:val="none"/>
        </w:rPr>
        <w:t>（一）审查响应文件的有效性、完整性、响应程度</w:t>
      </w:r>
    </w:p>
    <w:p>
      <w:pPr>
        <w:snapToGrid w:val="0"/>
        <w:spacing w:line="480" w:lineRule="exact"/>
        <w:ind w:firstLine="482" w:firstLineChars="200"/>
        <w:rPr>
          <w:b/>
          <w:color w:val="auto"/>
          <w:sz w:val="24"/>
          <w:highlight w:val="none"/>
        </w:rPr>
      </w:pPr>
      <w:r>
        <w:rPr>
          <w:b/>
          <w:color w:val="auto"/>
          <w:sz w:val="24"/>
          <w:highlight w:val="none"/>
        </w:rPr>
        <w:t>1、供应商资格是否符合;</w:t>
      </w:r>
    </w:p>
    <w:p>
      <w:pPr>
        <w:snapToGrid w:val="0"/>
        <w:spacing w:line="480" w:lineRule="exact"/>
        <w:ind w:firstLine="480" w:firstLineChars="200"/>
        <w:rPr>
          <w:color w:val="auto"/>
          <w:sz w:val="24"/>
          <w:highlight w:val="none"/>
        </w:rPr>
      </w:pPr>
      <w:r>
        <w:rPr>
          <w:color w:val="auto"/>
          <w:sz w:val="24"/>
          <w:highlight w:val="none"/>
        </w:rPr>
        <w:t>2、响应文件是否完整；</w:t>
      </w:r>
    </w:p>
    <w:p>
      <w:pPr>
        <w:snapToGrid w:val="0"/>
        <w:spacing w:line="480" w:lineRule="exact"/>
        <w:ind w:firstLine="480" w:firstLineChars="200"/>
        <w:rPr>
          <w:color w:val="auto"/>
          <w:sz w:val="24"/>
          <w:highlight w:val="none"/>
        </w:rPr>
      </w:pPr>
      <w:r>
        <w:rPr>
          <w:color w:val="auto"/>
          <w:sz w:val="24"/>
          <w:highlight w:val="none"/>
        </w:rPr>
        <w:t>3、响应文件是否恰当地签署；</w:t>
      </w:r>
    </w:p>
    <w:p>
      <w:pPr>
        <w:snapToGrid w:val="0"/>
        <w:spacing w:line="480" w:lineRule="exact"/>
        <w:ind w:firstLine="540"/>
        <w:rPr>
          <w:b/>
          <w:color w:val="auto"/>
          <w:sz w:val="24"/>
          <w:highlight w:val="none"/>
        </w:rPr>
      </w:pPr>
      <w:r>
        <w:rPr>
          <w:color w:val="auto"/>
          <w:sz w:val="24"/>
          <w:highlight w:val="none"/>
        </w:rPr>
        <w:t>4、是否作出实质性响应（</w:t>
      </w:r>
      <w:r>
        <w:rPr>
          <w:b/>
          <w:color w:val="auto"/>
          <w:sz w:val="24"/>
          <w:highlight w:val="none"/>
        </w:rPr>
        <w:t>是否有实质性响应，只根据响应文件本身，而不寻求外部证据）；</w:t>
      </w:r>
    </w:p>
    <w:p>
      <w:pPr>
        <w:snapToGrid w:val="0"/>
        <w:spacing w:line="480" w:lineRule="exact"/>
        <w:ind w:firstLine="480" w:firstLineChars="200"/>
        <w:rPr>
          <w:color w:val="auto"/>
          <w:sz w:val="24"/>
          <w:highlight w:val="none"/>
        </w:rPr>
      </w:pPr>
      <w:r>
        <w:rPr>
          <w:color w:val="auto"/>
          <w:sz w:val="24"/>
          <w:highlight w:val="none"/>
        </w:rPr>
        <w:t>5、是否有计算错误。</w:t>
      </w:r>
    </w:p>
    <w:p>
      <w:pPr>
        <w:snapToGrid w:val="0"/>
        <w:spacing w:line="480" w:lineRule="exact"/>
        <w:ind w:firstLine="482" w:firstLineChars="200"/>
        <w:rPr>
          <w:b/>
          <w:bCs/>
          <w:color w:val="auto"/>
          <w:sz w:val="24"/>
          <w:highlight w:val="none"/>
        </w:rPr>
      </w:pPr>
      <w:r>
        <w:rPr>
          <w:b/>
          <w:bCs/>
          <w:color w:val="auto"/>
          <w:sz w:val="24"/>
          <w:highlight w:val="none"/>
        </w:rPr>
        <w:t>（二）误差纠正</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1、响应文件中报价表内容与响应文件中相应内容不一致的，以报价表为准；</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2、大写金额和小写金额不一致的，以大写金额为准；</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3、单价金额小数点或者百分比有明显错位的，以总价为准，并修改单价；</w:t>
      </w:r>
    </w:p>
    <w:p>
      <w:pPr>
        <w:snapToGrid w:val="0"/>
        <w:spacing w:line="480" w:lineRule="exact"/>
        <w:ind w:firstLine="480" w:firstLineChars="200"/>
        <w:rPr>
          <w:rFonts w:ascii="宋体" w:hAnsi="宋体"/>
          <w:color w:val="auto"/>
          <w:sz w:val="24"/>
          <w:highlight w:val="none"/>
        </w:rPr>
      </w:pPr>
      <w:r>
        <w:rPr>
          <w:rFonts w:hint="eastAsia" w:ascii="宋体" w:hAnsi="宋体"/>
          <w:color w:val="auto"/>
          <w:sz w:val="24"/>
          <w:highlight w:val="none"/>
        </w:rPr>
        <w:t>4、总价金额与按单价汇总金额不一致的，以单价金额计算结果为准。</w:t>
      </w:r>
    </w:p>
    <w:p>
      <w:pPr>
        <w:snapToGrid w:val="0"/>
        <w:spacing w:line="480" w:lineRule="exact"/>
        <w:ind w:firstLine="480" w:firstLineChars="200"/>
        <w:rPr>
          <w:color w:val="auto"/>
          <w:sz w:val="24"/>
          <w:highlight w:val="none"/>
        </w:rPr>
      </w:pPr>
      <w:r>
        <w:rPr>
          <w:rFonts w:hint="eastAsia" w:ascii="宋体" w:hAnsi="宋体"/>
          <w:color w:val="auto"/>
          <w:sz w:val="24"/>
          <w:highlight w:val="none"/>
        </w:rPr>
        <w:t>同时出现两种以上不一致的，按照前款规定的顺序修正。修正后的报价经供应商确认后产生约束力，供应商不确认的，其响应无效。</w:t>
      </w:r>
    </w:p>
    <w:p>
      <w:pPr>
        <w:tabs>
          <w:tab w:val="left" w:pos="6555"/>
          <w:tab w:val="right" w:pos="8306"/>
        </w:tabs>
        <w:snapToGrid w:val="0"/>
        <w:spacing w:line="480" w:lineRule="exact"/>
        <w:ind w:firstLine="482" w:firstLineChars="200"/>
        <w:rPr>
          <w:b/>
          <w:color w:val="auto"/>
          <w:sz w:val="24"/>
          <w:highlight w:val="none"/>
        </w:rPr>
      </w:pPr>
      <w:r>
        <w:rPr>
          <w:b/>
          <w:color w:val="auto"/>
          <w:sz w:val="24"/>
          <w:highlight w:val="none"/>
        </w:rPr>
        <w:t>（三）出现下列情形之一的，作无效响应处理;</w:t>
      </w:r>
    </w:p>
    <w:p>
      <w:pPr>
        <w:snapToGrid w:val="0"/>
        <w:spacing w:line="480" w:lineRule="exact"/>
        <w:ind w:firstLine="570"/>
        <w:rPr>
          <w:color w:val="auto"/>
          <w:sz w:val="24"/>
          <w:highlight w:val="none"/>
        </w:rPr>
      </w:pPr>
      <w:r>
        <w:rPr>
          <w:color w:val="auto"/>
          <w:sz w:val="24"/>
          <w:highlight w:val="none"/>
        </w:rPr>
        <w:t>1、未按照磋商文件规定要求</w:t>
      </w:r>
      <w:r>
        <w:rPr>
          <w:rFonts w:hint="eastAsia"/>
          <w:color w:val="auto"/>
          <w:sz w:val="24"/>
          <w:highlight w:val="none"/>
        </w:rPr>
        <w:t>密封、</w:t>
      </w:r>
      <w:r>
        <w:rPr>
          <w:color w:val="auto"/>
          <w:sz w:val="24"/>
          <w:highlight w:val="none"/>
        </w:rPr>
        <w:t>签署、盖章的；</w:t>
      </w:r>
    </w:p>
    <w:p>
      <w:pPr>
        <w:snapToGrid w:val="0"/>
        <w:spacing w:line="480" w:lineRule="exact"/>
        <w:ind w:firstLine="570"/>
        <w:rPr>
          <w:color w:val="auto"/>
          <w:sz w:val="24"/>
          <w:highlight w:val="none"/>
        </w:rPr>
      </w:pPr>
      <w:r>
        <w:rPr>
          <w:color w:val="auto"/>
          <w:sz w:val="24"/>
          <w:highlight w:val="none"/>
        </w:rPr>
        <w:t>2、不具备磋商文件中规定的资格要求的；</w:t>
      </w:r>
    </w:p>
    <w:p>
      <w:pPr>
        <w:snapToGrid w:val="0"/>
        <w:spacing w:line="480" w:lineRule="exact"/>
        <w:ind w:firstLine="570"/>
        <w:rPr>
          <w:color w:val="auto"/>
          <w:sz w:val="24"/>
          <w:highlight w:val="none"/>
        </w:rPr>
      </w:pPr>
      <w:r>
        <w:rPr>
          <w:color w:val="auto"/>
          <w:sz w:val="24"/>
          <w:highlight w:val="none"/>
        </w:rPr>
        <w:t>3、响应报价超出预算的；</w:t>
      </w:r>
    </w:p>
    <w:p>
      <w:pPr>
        <w:snapToGrid w:val="0"/>
        <w:spacing w:line="480" w:lineRule="exact"/>
        <w:ind w:firstLine="570"/>
        <w:rPr>
          <w:color w:val="auto"/>
          <w:highlight w:val="none"/>
        </w:rPr>
      </w:pPr>
      <w:r>
        <w:rPr>
          <w:rFonts w:hint="eastAsia" w:ascii="宋体" w:hAnsi="宋体" w:cs="宋体"/>
          <w:color w:val="auto"/>
          <w:sz w:val="24"/>
          <w:highlight w:val="none"/>
        </w:rPr>
        <w:t>4、报价文件出现在其他响应文件中的；</w:t>
      </w:r>
    </w:p>
    <w:p>
      <w:pPr>
        <w:snapToGrid w:val="0"/>
        <w:spacing w:line="480" w:lineRule="exact"/>
        <w:ind w:firstLine="570"/>
        <w:rPr>
          <w:rFonts w:ascii="宋体" w:hAnsi="宋体" w:cs="宋体"/>
          <w:color w:val="auto"/>
          <w:sz w:val="24"/>
          <w:highlight w:val="none"/>
        </w:rPr>
      </w:pPr>
      <w:r>
        <w:rPr>
          <w:rFonts w:hint="eastAsia" w:ascii="宋体" w:hAnsi="宋体" w:cs="宋体"/>
          <w:color w:val="auto"/>
          <w:sz w:val="24"/>
          <w:highlight w:val="none"/>
        </w:rPr>
        <w:t>5、响应文件含有采购人不能接受的附加条件的；</w:t>
      </w:r>
    </w:p>
    <w:p>
      <w:pPr>
        <w:snapToGrid w:val="0"/>
        <w:spacing w:line="480" w:lineRule="exact"/>
        <w:ind w:firstLine="570"/>
        <w:rPr>
          <w:color w:val="auto"/>
          <w:sz w:val="24"/>
          <w:highlight w:val="none"/>
        </w:rPr>
      </w:pPr>
      <w:r>
        <w:rPr>
          <w:rFonts w:hint="eastAsia" w:ascii="宋体" w:hAnsi="宋体" w:cs="宋体"/>
          <w:color w:val="auto"/>
          <w:sz w:val="24"/>
          <w:highlight w:val="none"/>
        </w:rPr>
        <w:t>6、</w:t>
      </w:r>
      <w:r>
        <w:rPr>
          <w:color w:val="auto"/>
          <w:sz w:val="24"/>
          <w:highlight w:val="none"/>
        </w:rPr>
        <w:t>不符合法律、法规和磋商文件中规定的其他实质性要求的。</w:t>
      </w:r>
    </w:p>
    <w:p>
      <w:pPr>
        <w:snapToGrid w:val="0"/>
        <w:spacing w:line="480" w:lineRule="exact"/>
        <w:ind w:firstLine="570"/>
        <w:rPr>
          <w:b/>
          <w:color w:val="auto"/>
          <w:sz w:val="24"/>
          <w:highlight w:val="none"/>
        </w:rPr>
      </w:pPr>
      <w:r>
        <w:rPr>
          <w:b/>
          <w:color w:val="auto"/>
          <w:sz w:val="24"/>
          <w:highlight w:val="none"/>
        </w:rPr>
        <w:t>（四）出现下列情形之一的，</w:t>
      </w:r>
      <w:r>
        <w:rPr>
          <w:rFonts w:hint="eastAsia"/>
          <w:b/>
          <w:color w:val="auto"/>
          <w:sz w:val="24"/>
          <w:highlight w:val="none"/>
        </w:rPr>
        <w:t>作</w:t>
      </w:r>
      <w:r>
        <w:rPr>
          <w:b/>
          <w:color w:val="auto"/>
          <w:sz w:val="24"/>
          <w:highlight w:val="none"/>
        </w:rPr>
        <w:t>磋商失败</w:t>
      </w:r>
      <w:r>
        <w:rPr>
          <w:rFonts w:hint="eastAsia"/>
          <w:b/>
          <w:color w:val="auto"/>
          <w:sz w:val="24"/>
          <w:highlight w:val="none"/>
        </w:rPr>
        <w:t>处理；</w:t>
      </w:r>
    </w:p>
    <w:p>
      <w:pPr>
        <w:snapToGrid w:val="0"/>
        <w:spacing w:line="480" w:lineRule="exact"/>
        <w:ind w:firstLine="570"/>
        <w:rPr>
          <w:color w:val="auto"/>
          <w:sz w:val="24"/>
          <w:highlight w:val="none"/>
        </w:rPr>
      </w:pPr>
      <w:r>
        <w:rPr>
          <w:color w:val="auto"/>
          <w:sz w:val="24"/>
          <w:highlight w:val="none"/>
        </w:rPr>
        <w:t>1、符合条件的供应商或者对磋商文件作实质响应的供应商不足3家的（市场竞争不充分的科研项目，以及需要扶持的科技成果转化项目可以是2家）；</w:t>
      </w:r>
    </w:p>
    <w:p>
      <w:pPr>
        <w:snapToGrid w:val="0"/>
        <w:spacing w:line="480" w:lineRule="exact"/>
        <w:ind w:firstLine="555"/>
        <w:rPr>
          <w:color w:val="auto"/>
          <w:sz w:val="24"/>
          <w:highlight w:val="none"/>
        </w:rPr>
      </w:pPr>
      <w:r>
        <w:rPr>
          <w:color w:val="auto"/>
          <w:sz w:val="24"/>
          <w:highlight w:val="none"/>
        </w:rPr>
        <w:t>2、出现影响采购公正的违法违规行为的；</w:t>
      </w:r>
    </w:p>
    <w:p>
      <w:pPr>
        <w:snapToGrid w:val="0"/>
        <w:spacing w:line="480" w:lineRule="exact"/>
        <w:ind w:firstLine="555"/>
        <w:rPr>
          <w:color w:val="auto"/>
          <w:sz w:val="24"/>
          <w:highlight w:val="none"/>
        </w:rPr>
      </w:pPr>
      <w:r>
        <w:rPr>
          <w:color w:val="auto"/>
          <w:sz w:val="24"/>
          <w:highlight w:val="none"/>
        </w:rPr>
        <w:t>3、供应商的最后报价均超过了采购预算，采购人不能支付的；</w:t>
      </w:r>
    </w:p>
    <w:p>
      <w:pPr>
        <w:snapToGrid w:val="0"/>
        <w:spacing w:line="480" w:lineRule="exact"/>
        <w:ind w:firstLine="555"/>
        <w:rPr>
          <w:color w:val="auto"/>
          <w:sz w:val="24"/>
          <w:highlight w:val="none"/>
        </w:rPr>
      </w:pPr>
      <w:r>
        <w:rPr>
          <w:color w:val="auto"/>
          <w:sz w:val="24"/>
          <w:highlight w:val="none"/>
        </w:rPr>
        <w:t>4、因重大变故，采购任务取消的。</w:t>
      </w:r>
    </w:p>
    <w:p>
      <w:pPr>
        <w:snapToGrid w:val="0"/>
        <w:spacing w:line="480" w:lineRule="exact"/>
        <w:ind w:firstLine="555"/>
        <w:rPr>
          <w:color w:val="auto"/>
          <w:sz w:val="24"/>
          <w:highlight w:val="none"/>
        </w:rPr>
      </w:pPr>
      <w:r>
        <w:rPr>
          <w:color w:val="auto"/>
          <w:sz w:val="24"/>
          <w:highlight w:val="none"/>
        </w:rPr>
        <w:t>除资格性检查认定错误、分值汇总计算错误、分项评分超出评分标准范围、客观分评分不一致、经磋商小组一致认定评分畸高、畸低的情形外，采购人、采购代理机构不以任何理由组织重新评审。采购人、采购代理机构发现磋商小组未按照磋商文件规定的评审标准进行评审的，重新开展采购活动，并同时书面报告本级财政部门。</w:t>
      </w:r>
    </w:p>
    <w:p>
      <w:pPr>
        <w:snapToGrid w:val="0"/>
        <w:spacing w:line="360" w:lineRule="auto"/>
        <w:ind w:firstLine="482" w:firstLineChars="200"/>
        <w:jc w:val="left"/>
        <w:rPr>
          <w:b/>
          <w:bCs/>
          <w:color w:val="auto"/>
          <w:sz w:val="24"/>
          <w:highlight w:val="none"/>
        </w:rPr>
      </w:pPr>
      <w:r>
        <w:rPr>
          <w:b/>
          <w:bCs/>
          <w:color w:val="auto"/>
          <w:sz w:val="24"/>
          <w:highlight w:val="none"/>
        </w:rPr>
        <w:t>五、评审标准</w:t>
      </w:r>
    </w:p>
    <w:p>
      <w:pPr>
        <w:snapToGrid w:val="0"/>
        <w:spacing w:line="360" w:lineRule="auto"/>
        <w:ind w:firstLine="480" w:firstLineChars="200"/>
        <w:jc w:val="left"/>
        <w:rPr>
          <w:color w:val="auto"/>
          <w:sz w:val="24"/>
          <w:highlight w:val="none"/>
        </w:rPr>
      </w:pPr>
      <w:r>
        <w:rPr>
          <w:color w:val="auto"/>
          <w:sz w:val="24"/>
          <w:highlight w:val="none"/>
        </w:rPr>
        <w:t>技术商务部分评审结束后，再开启最后报价计算分值。总分值为100分，加分和减分因素除外。</w:t>
      </w:r>
    </w:p>
    <w:p>
      <w:pPr>
        <w:numPr>
          <w:ilvl w:val="0"/>
          <w:numId w:val="5"/>
        </w:numPr>
        <w:snapToGrid w:val="0"/>
        <w:spacing w:line="360" w:lineRule="auto"/>
        <w:ind w:left="482"/>
        <w:jc w:val="left"/>
        <w:rPr>
          <w:b/>
          <w:bCs/>
          <w:color w:val="auto"/>
          <w:sz w:val="24"/>
          <w:highlight w:val="none"/>
        </w:rPr>
      </w:pPr>
      <w:r>
        <w:rPr>
          <w:b/>
          <w:bCs/>
          <w:color w:val="auto"/>
          <w:sz w:val="24"/>
          <w:highlight w:val="none"/>
        </w:rPr>
        <w:t>技术商务响应文件（满分</w:t>
      </w:r>
      <w:r>
        <w:rPr>
          <w:rFonts w:hint="eastAsia"/>
          <w:b/>
          <w:bCs/>
          <w:color w:val="auto"/>
          <w:sz w:val="24"/>
          <w:highlight w:val="none"/>
        </w:rPr>
        <w:t>70</w:t>
      </w:r>
      <w:r>
        <w:rPr>
          <w:b/>
          <w:bCs/>
          <w:color w:val="auto"/>
          <w:sz w:val="24"/>
          <w:highlight w:val="none"/>
        </w:rPr>
        <w:t>分）</w:t>
      </w:r>
    </w:p>
    <w:tbl>
      <w:tblPr>
        <w:tblStyle w:val="50"/>
        <w:tblW w:w="9194" w:type="dxa"/>
        <w:tblInd w:w="93" w:type="dxa"/>
        <w:tblLayout w:type="fixed"/>
        <w:tblCellMar>
          <w:top w:w="0" w:type="dxa"/>
          <w:left w:w="108" w:type="dxa"/>
          <w:bottom w:w="0" w:type="dxa"/>
          <w:right w:w="108" w:type="dxa"/>
        </w:tblCellMar>
      </w:tblPr>
      <w:tblGrid>
        <w:gridCol w:w="625"/>
        <w:gridCol w:w="1022"/>
        <w:gridCol w:w="797"/>
        <w:gridCol w:w="2027"/>
        <w:gridCol w:w="4723"/>
      </w:tblGrid>
      <w:tr>
        <w:tblPrEx>
          <w:tblLayout w:type="fixed"/>
          <w:tblCellMar>
            <w:top w:w="0" w:type="dxa"/>
            <w:left w:w="108" w:type="dxa"/>
            <w:bottom w:w="0" w:type="dxa"/>
            <w:right w:w="108" w:type="dxa"/>
          </w:tblCellMar>
        </w:tblPrEx>
        <w:trPr>
          <w:trHeight w:val="375" w:hRule="atLeast"/>
        </w:trPr>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02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评分点名称</w:t>
            </w:r>
          </w:p>
        </w:tc>
        <w:tc>
          <w:tcPr>
            <w:tcW w:w="79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6750" w:type="dxa"/>
            <w:gridSpan w:val="2"/>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评审标准</w:t>
            </w:r>
          </w:p>
        </w:tc>
      </w:tr>
      <w:tr>
        <w:tblPrEx>
          <w:tblLayout w:type="fixed"/>
          <w:tblCellMar>
            <w:top w:w="0" w:type="dxa"/>
            <w:left w:w="108" w:type="dxa"/>
            <w:bottom w:w="0" w:type="dxa"/>
            <w:right w:w="108" w:type="dxa"/>
          </w:tblCellMar>
        </w:tblPrEx>
        <w:trPr>
          <w:trHeight w:val="1679" w:hRule="atLeast"/>
        </w:trPr>
        <w:tc>
          <w:tcPr>
            <w:tcW w:w="625" w:type="dxa"/>
            <w:vMerge w:val="restart"/>
            <w:tcBorders>
              <w:top w:val="nil"/>
              <w:left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2" w:type="dxa"/>
            <w:vMerge w:val="restart"/>
            <w:tcBorders>
              <w:top w:val="nil"/>
              <w:left w:val="nil"/>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设计</w:t>
            </w:r>
          </w:p>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97" w:type="dxa"/>
            <w:vMerge w:val="restart"/>
            <w:tcBorders>
              <w:top w:val="nil"/>
              <w:left w:val="nil"/>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35</w:t>
            </w:r>
          </w:p>
        </w:tc>
        <w:tc>
          <w:tcPr>
            <w:tcW w:w="2027"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w:t>
            </w:r>
            <w:r>
              <w:rPr>
                <w:rFonts w:hint="eastAsia" w:ascii="宋体" w:hAnsi="宋体" w:eastAsia="宋体" w:cs="宋体"/>
                <w:sz w:val="24"/>
                <w:szCs w:val="24"/>
                <w:highlight w:val="none"/>
              </w:rPr>
              <w:t>项目设计概况，对招标项目的理解和总体设计思路</w:t>
            </w:r>
          </w:p>
        </w:tc>
        <w:tc>
          <w:tcPr>
            <w:tcW w:w="4723"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工程概况描述清楚，对项目的地理位置、项目的功能与作用理解深刻、到位。对项目设计思路把握准确性，设计合理性打分。</w:t>
            </w:r>
          </w:p>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优秀</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良好</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6-9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一般</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rPr>
              <w:t>5</w:t>
            </w:r>
            <w:r>
              <w:rPr>
                <w:rFonts w:hint="eastAsia" w:ascii="宋体" w:hAnsi="宋体" w:eastAsia="宋体" w:cs="宋体"/>
                <w:sz w:val="24"/>
                <w:szCs w:val="24"/>
                <w:highlight w:val="none"/>
              </w:rPr>
              <w:t xml:space="preserve">分；                </w:t>
            </w:r>
          </w:p>
        </w:tc>
      </w:tr>
      <w:tr>
        <w:tblPrEx>
          <w:tblLayout w:type="fixed"/>
          <w:tblCellMar>
            <w:top w:w="0" w:type="dxa"/>
            <w:left w:w="108" w:type="dxa"/>
            <w:bottom w:w="0" w:type="dxa"/>
            <w:right w:w="108" w:type="dxa"/>
          </w:tblCellMar>
        </w:tblPrEx>
        <w:trPr>
          <w:trHeight w:val="936" w:hRule="atLeast"/>
        </w:trPr>
        <w:tc>
          <w:tcPr>
            <w:tcW w:w="625" w:type="dxa"/>
            <w:vMerge w:val="continue"/>
            <w:tcBorders>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p>
        </w:tc>
        <w:tc>
          <w:tcPr>
            <w:tcW w:w="1022" w:type="dxa"/>
            <w:vMerge w:val="continue"/>
            <w:tcBorders>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p>
        </w:tc>
        <w:tc>
          <w:tcPr>
            <w:tcW w:w="797" w:type="dxa"/>
            <w:vMerge w:val="continue"/>
            <w:tcBorders>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p>
        </w:tc>
        <w:tc>
          <w:tcPr>
            <w:tcW w:w="2027"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2.效果图</w:t>
            </w:r>
          </w:p>
        </w:tc>
        <w:tc>
          <w:tcPr>
            <w:tcW w:w="4723" w:type="dxa"/>
            <w:tcBorders>
              <w:top w:val="nil"/>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方案设计完整、规范，根据设计方案出图效果，符合招标单位范围要求，有创造力，造型新颖，图案肌理、材质、色调和谐统一等进行横向比较。</w:t>
            </w:r>
            <w:r>
              <w:rPr>
                <w:rFonts w:hint="eastAsia" w:ascii="宋体" w:hAnsi="宋体" w:eastAsia="宋体" w:cs="宋体"/>
                <w:sz w:val="24"/>
                <w:szCs w:val="24"/>
                <w:highlight w:val="none"/>
                <w:lang w:val="en-US"/>
              </w:rPr>
              <w:t>优秀</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15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20</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良好</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rPr>
              <w:t>8-14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一般</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rPr>
              <w:t>7</w:t>
            </w:r>
            <w:r>
              <w:rPr>
                <w:rFonts w:hint="eastAsia" w:ascii="宋体" w:hAnsi="宋体" w:eastAsia="宋体" w:cs="宋体"/>
                <w:sz w:val="24"/>
                <w:szCs w:val="24"/>
                <w:highlight w:val="none"/>
              </w:rPr>
              <w:t xml:space="preserve">分；  </w:t>
            </w:r>
          </w:p>
        </w:tc>
      </w:tr>
      <w:tr>
        <w:tblPrEx>
          <w:tblLayout w:type="fixed"/>
          <w:tblCellMar>
            <w:top w:w="0" w:type="dxa"/>
            <w:left w:w="108" w:type="dxa"/>
            <w:bottom w:w="0" w:type="dxa"/>
            <w:right w:w="108" w:type="dxa"/>
          </w:tblCellMar>
        </w:tblPrEx>
        <w:trPr>
          <w:trHeight w:val="1759" w:hRule="atLeast"/>
        </w:trPr>
        <w:tc>
          <w:tcPr>
            <w:tcW w:w="625" w:type="dxa"/>
            <w:tcBorders>
              <w:top w:val="nil"/>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22" w:type="dxa"/>
            <w:tcBorders>
              <w:top w:val="nil"/>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施工图设计</w:t>
            </w:r>
          </w:p>
        </w:tc>
        <w:tc>
          <w:tcPr>
            <w:tcW w:w="797" w:type="dxa"/>
            <w:tcBorders>
              <w:top w:val="nil"/>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6750" w:type="dxa"/>
            <w:gridSpan w:val="2"/>
            <w:tcBorders>
              <w:top w:val="nil"/>
              <w:left w:val="nil"/>
              <w:bottom w:val="single" w:color="auto" w:sz="4" w:space="0"/>
              <w:right w:val="single" w:color="auto" w:sz="4" w:space="0"/>
            </w:tcBorders>
            <w:vAlign w:val="center"/>
          </w:tcPr>
          <w:p>
            <w:pPr>
              <w:widowControl/>
              <w:spacing w:line="240" w:lineRule="atLeast"/>
              <w:jc w:val="left"/>
              <w:rPr>
                <w:rFonts w:hint="eastAsia" w:ascii="宋体" w:hAnsi="宋体" w:eastAsia="宋体" w:cs="宋体"/>
                <w:sz w:val="24"/>
                <w:szCs w:val="24"/>
                <w:highlight w:val="none"/>
              </w:rPr>
            </w:pPr>
            <w:r>
              <w:rPr>
                <w:rFonts w:hint="default" w:ascii="宋体" w:hAnsi="宋体" w:eastAsia="宋体" w:cs="宋体"/>
                <w:sz w:val="24"/>
                <w:szCs w:val="24"/>
                <w:highlight w:val="none"/>
              </w:rPr>
              <w:t>1、施工图齐全满足施工需要得10-15分，施工图基本齐全得0-10分，没有施工图得0分；                                                                                                                                       2、材料选择符合</w:t>
            </w:r>
            <w:r>
              <w:rPr>
                <w:rFonts w:hint="default" w:ascii="宋体" w:hAnsi="宋体" w:eastAsia="宋体" w:cs="宋体"/>
                <w:sz w:val="24"/>
                <w:szCs w:val="24"/>
                <w:highlight w:val="none"/>
                <w:lang w:val="en-US"/>
              </w:rPr>
              <w:t>文明</w:t>
            </w:r>
            <w:r>
              <w:rPr>
                <w:rFonts w:hint="default" w:ascii="宋体" w:hAnsi="宋体" w:eastAsia="宋体" w:cs="宋体"/>
                <w:sz w:val="24"/>
                <w:szCs w:val="24"/>
                <w:highlight w:val="none"/>
              </w:rPr>
              <w:t>小品需要优良得6-10分，一般得1-5分，差得0-1分；                                                3、结构安全、可靠优良得4-5分，一般得2-3分，差得0-1分。</w:t>
            </w:r>
          </w:p>
        </w:tc>
      </w:tr>
      <w:tr>
        <w:tblPrEx>
          <w:tblLayout w:type="fixed"/>
          <w:tblCellMar>
            <w:top w:w="0" w:type="dxa"/>
            <w:left w:w="108" w:type="dxa"/>
            <w:bottom w:w="0" w:type="dxa"/>
            <w:right w:w="108" w:type="dxa"/>
          </w:tblCellMar>
        </w:tblPrEx>
        <w:trPr>
          <w:trHeight w:val="1269" w:hRule="atLeast"/>
        </w:trPr>
        <w:tc>
          <w:tcPr>
            <w:tcW w:w="62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3</w:t>
            </w:r>
          </w:p>
        </w:tc>
        <w:tc>
          <w:tcPr>
            <w:tcW w:w="1022"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供应商类似项目业绩</w:t>
            </w:r>
          </w:p>
        </w:tc>
        <w:tc>
          <w:tcPr>
            <w:tcW w:w="79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5</w:t>
            </w:r>
          </w:p>
        </w:tc>
        <w:tc>
          <w:tcPr>
            <w:tcW w:w="6750" w:type="dxa"/>
            <w:gridSpan w:val="2"/>
            <w:tcBorders>
              <w:top w:val="single" w:color="auto" w:sz="4" w:space="0"/>
              <w:left w:val="nil"/>
              <w:bottom w:val="single" w:color="auto" w:sz="4" w:space="0"/>
              <w:right w:val="single" w:color="auto" w:sz="4" w:space="0"/>
            </w:tcBorders>
            <w:vAlign w:val="center"/>
          </w:tcPr>
          <w:p>
            <w:pPr>
              <w:widowControl/>
              <w:spacing w:line="240" w:lineRule="atLeast"/>
              <w:rPr>
                <w:rFonts w:hint="eastAsia" w:ascii="宋体" w:hAnsi="宋体" w:eastAsia="宋体" w:cs="宋体"/>
                <w:sz w:val="24"/>
                <w:szCs w:val="24"/>
                <w:highlight w:val="none"/>
              </w:rPr>
            </w:pPr>
            <w:r>
              <w:rPr>
                <w:rFonts w:hint="eastAsia" w:ascii="宋体" w:hAnsi="宋体" w:eastAsia="宋体" w:cs="宋体"/>
                <w:sz w:val="24"/>
                <w:szCs w:val="24"/>
                <w:highlight w:val="none"/>
              </w:rPr>
              <w:t>自20</w:t>
            </w:r>
            <w:r>
              <w:rPr>
                <w:rFonts w:hint="eastAsia" w:ascii="宋体" w:hAnsi="宋体" w:eastAsia="宋体" w:cs="宋体"/>
                <w:sz w:val="24"/>
                <w:szCs w:val="24"/>
                <w:highlight w:val="none"/>
                <w:lang w:val="en-US"/>
              </w:rPr>
              <w:t>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rPr>
              <w:t>01</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rPr>
              <w:t>01</w:t>
            </w:r>
            <w:r>
              <w:rPr>
                <w:rFonts w:hint="eastAsia" w:ascii="宋体" w:hAnsi="宋体" w:eastAsia="宋体" w:cs="宋体"/>
                <w:sz w:val="24"/>
                <w:szCs w:val="24"/>
                <w:highlight w:val="none"/>
              </w:rPr>
              <w:t>日以来承揽过</w:t>
            </w:r>
            <w:r>
              <w:rPr>
                <w:rFonts w:hint="eastAsia" w:ascii="宋体" w:hAnsi="宋体" w:eastAsia="宋体" w:cs="宋体"/>
                <w:sz w:val="24"/>
                <w:szCs w:val="24"/>
                <w:highlight w:val="none"/>
                <w:lang w:val="en-US"/>
              </w:rPr>
              <w:t>类似项目业绩</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提供合同、</w:t>
            </w:r>
            <w:r>
              <w:rPr>
                <w:rFonts w:hint="eastAsia" w:ascii="宋体" w:hAnsi="宋体" w:eastAsia="宋体" w:cs="宋体"/>
                <w:b/>
                <w:bCs/>
                <w:sz w:val="24"/>
                <w:szCs w:val="24"/>
                <w:highlight w:val="none"/>
                <w:lang w:val="en-US"/>
              </w:rPr>
              <w:t>中标通知书</w:t>
            </w:r>
            <w:r>
              <w:rPr>
                <w:rFonts w:hint="eastAsia" w:ascii="宋体" w:hAnsi="宋体" w:eastAsia="宋体" w:cs="宋体"/>
                <w:b/>
                <w:bCs/>
                <w:sz w:val="24"/>
                <w:szCs w:val="24"/>
                <w:highlight w:val="none"/>
              </w:rPr>
              <w:t>及验收合格证明性材料</w:t>
            </w:r>
            <w:r>
              <w:rPr>
                <w:rFonts w:hint="eastAsia" w:ascii="宋体" w:hAnsi="宋体" w:eastAsia="宋体" w:cs="宋体"/>
                <w:sz w:val="24"/>
                <w:szCs w:val="24"/>
                <w:highlight w:val="none"/>
              </w:rPr>
              <w:t>，以合同日期为准，原件备查）</w:t>
            </w:r>
            <w:r>
              <w:rPr>
                <w:rFonts w:hint="eastAsia" w:ascii="宋体" w:hAnsi="宋体" w:eastAsia="宋体" w:cs="宋体"/>
                <w:sz w:val="24"/>
                <w:szCs w:val="24"/>
                <w:highlight w:val="none"/>
                <w:lang w:val="en-US"/>
              </w:rPr>
              <w:t>每一个得2.5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rPr>
              <w:t>最多得5分。</w:t>
            </w:r>
          </w:p>
        </w:tc>
      </w:tr>
    </w:tbl>
    <w:p>
      <w:pPr>
        <w:pStyle w:val="55"/>
        <w:rPr>
          <w:color w:val="auto"/>
          <w:highlight w:val="none"/>
        </w:rPr>
      </w:pPr>
    </w:p>
    <w:p>
      <w:pPr>
        <w:snapToGrid w:val="0"/>
        <w:spacing w:before="156" w:beforeLines="50" w:line="360" w:lineRule="auto"/>
        <w:ind w:firstLine="482" w:firstLineChars="200"/>
        <w:jc w:val="left"/>
        <w:rPr>
          <w:b/>
          <w:bCs/>
          <w:color w:val="auto"/>
          <w:sz w:val="24"/>
          <w:highlight w:val="none"/>
        </w:rPr>
      </w:pPr>
      <w:r>
        <w:rPr>
          <w:b/>
          <w:bCs/>
          <w:color w:val="auto"/>
          <w:sz w:val="24"/>
          <w:highlight w:val="none"/>
        </w:rPr>
        <w:t>（二）价格标（满分</w:t>
      </w:r>
      <w:r>
        <w:rPr>
          <w:rFonts w:hint="eastAsia"/>
          <w:b/>
          <w:bCs/>
          <w:color w:val="auto"/>
          <w:sz w:val="24"/>
          <w:highlight w:val="none"/>
        </w:rPr>
        <w:t>30</w:t>
      </w:r>
      <w:r>
        <w:rPr>
          <w:b/>
          <w:bCs/>
          <w:color w:val="auto"/>
          <w:sz w:val="24"/>
          <w:highlight w:val="none"/>
        </w:rPr>
        <w:t>分）</w:t>
      </w:r>
    </w:p>
    <w:p>
      <w:pPr>
        <w:snapToGrid w:val="0"/>
        <w:spacing w:line="360" w:lineRule="auto"/>
        <w:ind w:firstLine="480" w:firstLineChars="200"/>
        <w:jc w:val="left"/>
        <w:rPr>
          <w:color w:val="auto"/>
          <w:sz w:val="24"/>
          <w:highlight w:val="none"/>
        </w:rPr>
      </w:pPr>
      <w:r>
        <w:rPr>
          <w:color w:val="auto"/>
          <w:sz w:val="24"/>
          <w:highlight w:val="none"/>
        </w:rPr>
        <w:t>综合评分法中的价格分统一采用低价优先法计算，即满足磋商文件要求且最后报价最低的供应商的价格为评标基准价，其价格分为满分。其他供应商的价格分统一按照下列公式计算：</w:t>
      </w:r>
    </w:p>
    <w:p>
      <w:pPr>
        <w:snapToGrid w:val="0"/>
        <w:spacing w:line="360" w:lineRule="auto"/>
        <w:ind w:firstLine="480" w:firstLineChars="200"/>
        <w:jc w:val="left"/>
        <w:rPr>
          <w:color w:val="auto"/>
          <w:sz w:val="24"/>
          <w:highlight w:val="none"/>
        </w:rPr>
      </w:pPr>
      <w:r>
        <w:rPr>
          <w:color w:val="auto"/>
          <w:sz w:val="24"/>
          <w:highlight w:val="none"/>
        </w:rPr>
        <w:t>磋商报价得分=（评标基准价/最后磋商报价）×</w:t>
      </w:r>
      <w:r>
        <w:rPr>
          <w:rFonts w:hint="eastAsia"/>
          <w:color w:val="auto"/>
          <w:sz w:val="24"/>
          <w:highlight w:val="none"/>
        </w:rPr>
        <w:t>30</w:t>
      </w:r>
      <w:r>
        <w:rPr>
          <w:color w:val="auto"/>
          <w:sz w:val="24"/>
          <w:highlight w:val="none"/>
        </w:rPr>
        <w:t>%×100</w:t>
      </w:r>
    </w:p>
    <w:p>
      <w:pPr>
        <w:snapToGrid w:val="0"/>
        <w:spacing w:line="360" w:lineRule="auto"/>
        <w:ind w:firstLine="480" w:firstLineChars="200"/>
        <w:jc w:val="left"/>
        <w:rPr>
          <w:color w:val="auto"/>
          <w:sz w:val="24"/>
          <w:highlight w:val="none"/>
        </w:rPr>
      </w:pPr>
      <w:r>
        <w:rPr>
          <w:color w:val="auto"/>
          <w:sz w:val="24"/>
          <w:highlight w:val="none"/>
        </w:rPr>
        <w:t>项目评审过程中，不得去掉最后报价中的最高报价和最低报价。</w:t>
      </w:r>
    </w:p>
    <w:p>
      <w:pPr>
        <w:snapToGrid w:val="0"/>
        <w:spacing w:line="480" w:lineRule="exact"/>
        <w:ind w:firstLine="555"/>
        <w:rPr>
          <w:b/>
          <w:color w:val="auto"/>
          <w:sz w:val="24"/>
          <w:highlight w:val="none"/>
        </w:rPr>
      </w:pPr>
      <w:r>
        <w:rPr>
          <w:rFonts w:hint="eastAsia"/>
          <w:b/>
          <w:color w:val="auto"/>
          <w:sz w:val="24"/>
          <w:highlight w:val="none"/>
          <w:lang w:val="en-US" w:eastAsia="zh-CN"/>
        </w:rPr>
        <w:t>六</w:t>
      </w:r>
      <w:r>
        <w:rPr>
          <w:b/>
          <w:color w:val="auto"/>
          <w:sz w:val="24"/>
          <w:highlight w:val="none"/>
        </w:rPr>
        <w:t>、变更为其他方式采购的情形</w:t>
      </w:r>
    </w:p>
    <w:p>
      <w:pPr>
        <w:autoSpaceDE w:val="0"/>
        <w:autoSpaceDN w:val="0"/>
        <w:adjustRightInd w:val="0"/>
        <w:snapToGrid w:val="0"/>
        <w:spacing w:line="480" w:lineRule="exact"/>
        <w:ind w:firstLine="480" w:firstLineChars="200"/>
        <w:rPr>
          <w:color w:val="auto"/>
          <w:sz w:val="24"/>
          <w:highlight w:val="none"/>
          <w:lang w:val="zh-CN"/>
        </w:rPr>
      </w:pPr>
      <w:r>
        <w:rPr>
          <w:color w:val="auto"/>
          <w:sz w:val="24"/>
          <w:highlight w:val="none"/>
        </w:rPr>
        <w:t>提交响应文件截止时间时参加磋商的供应商不足3家的，及磋商中出现符合专业条件的供应商或对磋商文件作实质响应的供应商不足3家（规定可以2家的情形除外），除采购任务取消外，磋商人报告市财政局，视情采取其他方式采购。</w:t>
      </w:r>
      <w:r>
        <w:rPr>
          <w:color w:val="auto"/>
          <w:sz w:val="24"/>
          <w:highlight w:val="none"/>
          <w:lang w:val="zh-CN"/>
        </w:rPr>
        <w:t>磋商文件中对供应商资质、技术等要求，将作为</w:t>
      </w:r>
      <w:r>
        <w:rPr>
          <w:color w:val="auto"/>
          <w:sz w:val="24"/>
          <w:highlight w:val="none"/>
        </w:rPr>
        <w:t>其他</w:t>
      </w:r>
      <w:r>
        <w:rPr>
          <w:color w:val="auto"/>
          <w:sz w:val="24"/>
          <w:highlight w:val="none"/>
          <w:lang w:val="zh-CN"/>
        </w:rPr>
        <w:t>方式采购的基本要求和依据。原已经参加磋商并符合要求的供应商，根据自愿原则，参加</w:t>
      </w:r>
      <w:r>
        <w:rPr>
          <w:color w:val="auto"/>
          <w:sz w:val="24"/>
          <w:highlight w:val="none"/>
        </w:rPr>
        <w:t>其他</w:t>
      </w:r>
      <w:r>
        <w:rPr>
          <w:color w:val="auto"/>
          <w:sz w:val="24"/>
          <w:highlight w:val="none"/>
          <w:lang w:val="zh-CN"/>
        </w:rPr>
        <w:t>方式采购。</w:t>
      </w:r>
    </w:p>
    <w:p>
      <w:pPr>
        <w:pStyle w:val="87"/>
        <w:snapToGrid w:val="0"/>
        <w:spacing w:line="360" w:lineRule="auto"/>
        <w:ind w:firstLine="496"/>
        <w:contextualSpacing/>
        <w:rPr>
          <w:rFonts w:ascii="Times New Roman" w:hAnsi="Times New Roman" w:eastAsia="宋体"/>
          <w:color w:val="auto"/>
          <w:sz w:val="24"/>
          <w:szCs w:val="24"/>
          <w:highlight w:val="none"/>
        </w:rPr>
      </w:pPr>
      <w:r>
        <w:rPr>
          <w:rFonts w:hint="eastAsia" w:ascii="Times New Roman" w:hAnsi="Times New Roman" w:eastAsia="宋体"/>
          <w:b/>
          <w:color w:val="auto"/>
          <w:sz w:val="24"/>
          <w:szCs w:val="24"/>
          <w:highlight w:val="none"/>
          <w:lang w:val="en-US" w:eastAsia="zh-CN"/>
        </w:rPr>
        <w:t>七</w:t>
      </w:r>
      <w:r>
        <w:rPr>
          <w:rFonts w:ascii="Times New Roman" w:hAnsi="Times New Roman" w:eastAsia="宋体"/>
          <w:b/>
          <w:color w:val="auto"/>
          <w:sz w:val="24"/>
          <w:szCs w:val="24"/>
          <w:highlight w:val="none"/>
        </w:rPr>
        <w:t>、出现下列情形之一的，竞争性磋商采购活动终止，发布项目终止公告并说明原因，重新开展采购活动：</w:t>
      </w:r>
    </w:p>
    <w:p>
      <w:pPr>
        <w:pStyle w:val="87"/>
        <w:snapToGrid w:val="0"/>
        <w:spacing w:line="360" w:lineRule="auto"/>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（一）因情况变化，不再符合规定的竞争性磋商采购方式适用情形的；</w:t>
      </w:r>
    </w:p>
    <w:p>
      <w:pPr>
        <w:pStyle w:val="87"/>
        <w:snapToGrid w:val="0"/>
        <w:spacing w:line="360" w:lineRule="auto"/>
        <w:ind w:firstLine="494"/>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（二）出现影响采购公正的违法、违规行为的；</w:t>
      </w:r>
    </w:p>
    <w:p>
      <w:pPr>
        <w:pStyle w:val="87"/>
        <w:snapToGrid w:val="0"/>
        <w:spacing w:line="360" w:lineRule="auto"/>
        <w:ind w:firstLine="480" w:firstLineChars="200"/>
        <w:contextualSpacing/>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（三）在采购过程中符合要求的供应商或者报价未超过采购预算的供应商不足3家的（市场竞争不充分的科研项目，以及需要扶持的科技成果转化项目除外）。</w:t>
      </w:r>
    </w:p>
    <w:p>
      <w:pPr>
        <w:autoSpaceDE w:val="0"/>
        <w:autoSpaceDN w:val="0"/>
        <w:adjustRightInd w:val="0"/>
        <w:snapToGrid w:val="0"/>
        <w:spacing w:line="360" w:lineRule="auto"/>
        <w:ind w:left="-178" w:right="210" w:firstLine="636"/>
        <w:rPr>
          <w:b/>
          <w:color w:val="auto"/>
          <w:sz w:val="24"/>
          <w:highlight w:val="none"/>
        </w:rPr>
      </w:pPr>
      <w:r>
        <w:rPr>
          <w:rFonts w:hint="eastAsia"/>
          <w:b/>
          <w:color w:val="auto"/>
          <w:sz w:val="24"/>
          <w:highlight w:val="none"/>
          <w:lang w:val="en-US" w:eastAsia="zh-CN"/>
        </w:rPr>
        <w:t>八</w:t>
      </w:r>
      <w:r>
        <w:rPr>
          <w:b/>
          <w:color w:val="auto"/>
          <w:sz w:val="24"/>
          <w:highlight w:val="none"/>
          <w:lang w:val="zh-CN"/>
        </w:rPr>
        <w:t>、成交通知</w:t>
      </w:r>
    </w:p>
    <w:p>
      <w:pPr>
        <w:snapToGrid w:val="0"/>
        <w:spacing w:line="360" w:lineRule="auto"/>
        <w:jc w:val="left"/>
        <w:outlineLvl w:val="0"/>
        <w:rPr>
          <w:rFonts w:hint="eastAsia" w:ascii="宋体" w:hAnsi="宋体" w:cs="宋体"/>
          <w:color w:val="auto"/>
          <w:sz w:val="24"/>
          <w:highlight w:val="none"/>
        </w:rPr>
      </w:pPr>
      <w:r>
        <w:rPr>
          <w:rFonts w:hint="eastAsia"/>
          <w:color w:val="auto"/>
          <w:sz w:val="24"/>
          <w:highlight w:val="none"/>
        </w:rPr>
        <w:t xml:space="preserve">   </w:t>
      </w:r>
      <w:r>
        <w:rPr>
          <w:rFonts w:hint="eastAsia" w:ascii="宋体" w:hAnsi="宋体" w:cs="宋体"/>
          <w:color w:val="auto"/>
          <w:sz w:val="24"/>
          <w:highlight w:val="none"/>
        </w:rPr>
        <w:t xml:space="preserve"> 成交结果在</w:t>
      </w:r>
      <w:r>
        <w:rPr>
          <w:rFonts w:hint="eastAsia" w:ascii="宋体" w:hAnsi="宋体" w:cs="宋体"/>
          <w:color w:val="auto"/>
          <w:sz w:val="24"/>
          <w:highlight w:val="none"/>
          <w:lang w:eastAsia="zh-CN"/>
        </w:rPr>
        <w:t>南通市崇川区人民政府网</w:t>
      </w:r>
      <w:r>
        <w:rPr>
          <w:rFonts w:hint="eastAsia" w:ascii="宋体" w:hAnsi="宋体" w:cs="宋体"/>
          <w:color w:val="auto"/>
          <w:sz w:val="24"/>
          <w:highlight w:val="none"/>
        </w:rPr>
        <w:t>公告，公告期限为1个工作日。《成交通知书》一经发出，采购人改变成交结果，或者成交供应商放弃成交的，各自承担相应的法律责任。《成交通知书》是采购合同的组成部分。</w:t>
      </w:r>
    </w:p>
    <w:p>
      <w:pPr>
        <w:snapToGrid/>
        <w:spacing w:line="240" w:lineRule="auto"/>
        <w:jc w:val="both"/>
        <w:outlineLvl w:val="9"/>
        <w:rPr>
          <w:rFonts w:hint="eastAsia" w:ascii="宋体" w:hAnsi="宋体" w:cs="宋体"/>
          <w:color w:val="auto"/>
          <w:sz w:val="24"/>
          <w:highlight w:val="none"/>
        </w:rPr>
      </w:pPr>
      <w:r>
        <w:rPr>
          <w:rFonts w:hint="eastAsia" w:ascii="宋体" w:hAnsi="宋体" w:cs="宋体"/>
          <w:color w:val="auto"/>
          <w:sz w:val="24"/>
          <w:highlight w:val="none"/>
        </w:rPr>
        <w:br w:type="page"/>
      </w:r>
    </w:p>
    <w:p>
      <w:pPr>
        <w:snapToGrid w:val="0"/>
        <w:spacing w:line="360" w:lineRule="auto"/>
        <w:jc w:val="center"/>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合同签订与验收付款</w:t>
      </w:r>
    </w:p>
    <w:p>
      <w:pPr>
        <w:snapToGrid w:val="0"/>
        <w:spacing w:line="480" w:lineRule="exact"/>
        <w:ind w:firstLine="472" w:firstLineChars="196"/>
        <w:jc w:val="left"/>
        <w:rPr>
          <w:b/>
          <w:color w:val="auto"/>
          <w:sz w:val="24"/>
          <w:highlight w:val="none"/>
        </w:rPr>
      </w:pPr>
    </w:p>
    <w:p>
      <w:pPr>
        <w:snapToGrid w:val="0"/>
        <w:spacing w:line="480" w:lineRule="exact"/>
        <w:ind w:firstLine="480" w:firstLineChars="200"/>
        <w:rPr>
          <w:color w:val="auto"/>
          <w:sz w:val="24"/>
          <w:highlight w:val="none"/>
          <w:lang w:val="zh-CN"/>
        </w:rPr>
      </w:pPr>
      <w:r>
        <w:rPr>
          <w:color w:val="auto"/>
          <w:sz w:val="24"/>
          <w:highlight w:val="none"/>
          <w:lang w:val="zh-CN"/>
        </w:rPr>
        <w:t>一、成交供应商和采购单位</w:t>
      </w:r>
      <w:r>
        <w:rPr>
          <w:rFonts w:hint="eastAsia" w:ascii="宋体" w:hAnsi="宋体"/>
          <w:color w:val="auto"/>
          <w:sz w:val="24"/>
          <w:highlight w:val="none"/>
        </w:rPr>
        <w:t>需在</w:t>
      </w:r>
      <w:r>
        <w:rPr>
          <w:color w:val="auto"/>
          <w:sz w:val="24"/>
          <w:highlight w:val="none"/>
          <w:lang w:val="zh-CN"/>
        </w:rPr>
        <w:t>《成交通知书》</w:t>
      </w:r>
      <w:r>
        <w:rPr>
          <w:rFonts w:hint="eastAsia"/>
          <w:color w:val="auto"/>
          <w:sz w:val="24"/>
          <w:highlight w:val="none"/>
        </w:rPr>
        <w:t>发出之日起</w:t>
      </w:r>
      <w:r>
        <w:rPr>
          <w:rFonts w:hint="eastAsia"/>
          <w:color w:val="auto"/>
          <w:sz w:val="24"/>
          <w:highlight w:val="none"/>
          <w:lang w:val="en-US" w:eastAsia="zh-CN"/>
        </w:rPr>
        <w:t>30</w:t>
      </w:r>
      <w:r>
        <w:rPr>
          <w:rFonts w:hint="eastAsia"/>
          <w:color w:val="auto"/>
          <w:sz w:val="24"/>
          <w:highlight w:val="none"/>
        </w:rPr>
        <w:t>日内</w:t>
      </w:r>
      <w:r>
        <w:rPr>
          <w:rFonts w:hint="eastAsia" w:ascii="宋体" w:hAnsi="宋体"/>
          <w:color w:val="auto"/>
          <w:sz w:val="24"/>
          <w:highlight w:val="none"/>
        </w:rPr>
        <w:t>签订合同</w:t>
      </w:r>
      <w:r>
        <w:rPr>
          <w:color w:val="auto"/>
          <w:sz w:val="24"/>
          <w:highlight w:val="none"/>
          <w:lang w:val="zh-CN"/>
        </w:rPr>
        <w:t>。合同签订后成交供应商方可履约，否则引起的一切后果由成交人自行承担</w:t>
      </w:r>
      <w:r>
        <w:rPr>
          <w:b/>
          <w:bCs/>
          <w:color w:val="auto"/>
          <w:sz w:val="24"/>
          <w:highlight w:val="none"/>
        </w:rPr>
        <w:t>。</w:t>
      </w:r>
      <w:r>
        <w:rPr>
          <w:color w:val="auto"/>
          <w:sz w:val="24"/>
          <w:highlight w:val="none"/>
          <w:lang w:val="zh-CN"/>
        </w:rPr>
        <w:t>所签合同不得对采购文件作实质性修改。采购单位不得向成交供应商提出不合理的要求作为签订合同的条件，不得与成交供应商私下订立背离采购文件实质性内容的协议。</w:t>
      </w:r>
    </w:p>
    <w:p>
      <w:pPr>
        <w:snapToGrid w:val="0"/>
        <w:spacing w:line="480" w:lineRule="exact"/>
        <w:ind w:firstLine="482" w:firstLineChars="200"/>
        <w:rPr>
          <w:color w:val="auto"/>
          <w:sz w:val="24"/>
          <w:highlight w:val="none"/>
        </w:rPr>
      </w:pPr>
      <w:r>
        <w:rPr>
          <w:b/>
          <w:color w:val="auto"/>
          <w:sz w:val="24"/>
          <w:highlight w:val="none"/>
        </w:rPr>
        <w:t>二</w:t>
      </w:r>
      <w:r>
        <w:rPr>
          <w:color w:val="auto"/>
          <w:sz w:val="24"/>
          <w:highlight w:val="none"/>
        </w:rPr>
        <w:t>、采购人按合同约定积极配合成交供应商履约，成交供应商履约到位后，请以书面形式向采购单位提出验收申请，采购人接到申请后及时组织相关专业技术人员，必要时邀请采购人、质检等部门共同参与验收，并出具验收报告，验收合格的支付相应款项。</w:t>
      </w:r>
    </w:p>
    <w:p>
      <w:pPr>
        <w:snapToGrid w:val="0"/>
        <w:spacing w:line="480" w:lineRule="exact"/>
        <w:ind w:firstLine="480" w:firstLineChars="200"/>
        <w:contextualSpacing/>
        <w:rPr>
          <w:color w:val="auto"/>
          <w:sz w:val="24"/>
          <w:highlight w:val="none"/>
        </w:rPr>
      </w:pPr>
      <w:r>
        <w:rPr>
          <w:color w:val="auto"/>
          <w:sz w:val="24"/>
          <w:highlight w:val="none"/>
        </w:rPr>
        <w:t>三、采购人故意推迟项目验收时间的，与成交供应商串通或要求成交供应商通过减少货物数量或降低服务标准的，在履行合同中采取更改配置、调换物品等手段的，要求成交供应商出具虚假发票或任意更改销售发票的，谋取不正当利益的，承担相应的法律责任。</w:t>
      </w:r>
    </w:p>
    <w:p>
      <w:pPr>
        <w:snapToGrid w:val="0"/>
        <w:spacing w:line="480" w:lineRule="exact"/>
        <w:ind w:firstLine="480" w:firstLineChars="200"/>
        <w:contextualSpacing/>
        <w:rPr>
          <w:color w:val="auto"/>
          <w:sz w:val="24"/>
          <w:highlight w:val="none"/>
        </w:rPr>
      </w:pPr>
      <w:r>
        <w:rPr>
          <w:color w:val="auto"/>
          <w:sz w:val="24"/>
          <w:highlight w:val="none"/>
        </w:rPr>
        <w:t>四、成交供应商出现违约情形，应当及时纠正或补偿；造成损失的，按合同约定追究违约责任；发现有假冒、伪劣、走私产品、商业贿赂等违法情形的，应由采购人移交工商、质监、公安等行政执法部门依法查处。</w:t>
      </w:r>
    </w:p>
    <w:p>
      <w:pPr>
        <w:pStyle w:val="9"/>
        <w:kinsoku w:val="0"/>
        <w:topLinePunct/>
        <w:autoSpaceDE w:val="0"/>
        <w:autoSpaceDN w:val="0"/>
        <w:snapToGrid w:val="0"/>
        <w:spacing w:line="480" w:lineRule="exact"/>
        <w:ind w:right="210" w:firstLine="513" w:firstLineChars="214"/>
        <w:contextualSpacing/>
        <w:rPr>
          <w:b/>
          <w:color w:val="auto"/>
          <w:highlight w:val="none"/>
        </w:rPr>
      </w:pPr>
      <w:r>
        <w:rPr>
          <w:color w:val="auto"/>
          <w:highlight w:val="none"/>
          <w:lang w:val="zh-CN"/>
        </w:rPr>
        <w:t>五、</w:t>
      </w:r>
      <w:r>
        <w:rPr>
          <w:b/>
          <w:color w:val="auto"/>
          <w:highlight w:val="none"/>
        </w:rPr>
        <w:t>不响应付款方式的，视同响应文件无效处理。</w:t>
      </w:r>
      <w:r>
        <w:rPr>
          <w:rFonts w:hint="eastAsia"/>
          <w:b/>
          <w:color w:val="auto"/>
          <w:highlight w:val="none"/>
        </w:rPr>
        <w:t>实际付款方式以最终签订采购合同为准。</w:t>
      </w:r>
    </w:p>
    <w:p>
      <w:pPr>
        <w:pStyle w:val="9"/>
        <w:kinsoku w:val="0"/>
        <w:topLinePunct/>
        <w:autoSpaceDE w:val="0"/>
        <w:autoSpaceDN w:val="0"/>
        <w:snapToGrid w:val="0"/>
        <w:spacing w:line="480" w:lineRule="exact"/>
        <w:ind w:right="210" w:firstLine="480" w:firstLineChars="200"/>
        <w:contextualSpacing/>
        <w:rPr>
          <w:color w:val="auto"/>
          <w:highlight w:val="none"/>
          <w:lang w:val="zh-CN"/>
        </w:rPr>
      </w:pPr>
      <w:r>
        <w:rPr>
          <w:color w:val="auto"/>
          <w:highlight w:val="none"/>
        </w:rPr>
        <w:t>款项由采购人按相关财务支付规定办理支付手续。不得故意拖延支付时间。</w:t>
      </w:r>
    </w:p>
    <w:p>
      <w:pPr>
        <w:pStyle w:val="9"/>
        <w:kinsoku w:val="0"/>
        <w:topLinePunct/>
        <w:autoSpaceDE w:val="0"/>
        <w:autoSpaceDN w:val="0"/>
        <w:snapToGrid w:val="0"/>
        <w:spacing w:line="480" w:lineRule="exact"/>
        <w:ind w:right="210" w:firstLine="513" w:firstLineChars="214"/>
        <w:contextualSpacing/>
        <w:rPr>
          <w:color w:val="auto"/>
          <w:highlight w:val="none"/>
        </w:rPr>
      </w:pPr>
      <w:r>
        <w:rPr>
          <w:rFonts w:hint="eastAsia"/>
          <w:color w:val="auto"/>
          <w:highlight w:val="none"/>
        </w:rPr>
        <w:t>六、合同主要条款</w:t>
      </w:r>
    </w:p>
    <w:p>
      <w:pPr>
        <w:snapToGrid w:val="0"/>
        <w:spacing w:line="360" w:lineRule="auto"/>
        <w:ind w:firstLine="480" w:firstLineChars="200"/>
        <w:jc w:val="left"/>
        <w:rPr>
          <w:color w:val="auto"/>
          <w:sz w:val="24"/>
          <w:highlight w:val="none"/>
        </w:rPr>
      </w:pPr>
    </w:p>
    <w:p>
      <w:pPr>
        <w:snapToGrid w:val="0"/>
        <w:spacing w:line="360" w:lineRule="auto"/>
        <w:ind w:firstLine="480" w:firstLineChars="200"/>
        <w:jc w:val="left"/>
        <w:rPr>
          <w:color w:val="auto"/>
          <w:sz w:val="24"/>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val="0"/>
        <w:snapToGrid w:val="0"/>
        <w:spacing w:line="360" w:lineRule="auto"/>
        <w:jc w:val="center"/>
        <w:rPr>
          <w:rFonts w:hint="eastAsia" w:ascii="宋体" w:hAnsi="宋体" w:cs="宋体"/>
          <w:b/>
          <w:color w:val="auto"/>
          <w:w w:val="80"/>
          <w:kern w:val="44"/>
          <w:sz w:val="36"/>
          <w:szCs w:val="36"/>
          <w:highlight w:val="none"/>
        </w:rPr>
      </w:pPr>
    </w:p>
    <w:p>
      <w:pPr>
        <w:adjustRightInd/>
        <w:snapToGrid/>
        <w:spacing w:line="240" w:lineRule="auto"/>
        <w:jc w:val="both"/>
        <w:rPr>
          <w:rFonts w:hint="eastAsia" w:ascii="宋体" w:hAnsi="宋体" w:cs="宋体"/>
          <w:b/>
          <w:color w:val="auto"/>
          <w:w w:val="80"/>
          <w:kern w:val="44"/>
          <w:sz w:val="36"/>
          <w:szCs w:val="36"/>
          <w:highlight w:val="none"/>
        </w:rPr>
      </w:pPr>
      <w:r>
        <w:rPr>
          <w:rFonts w:hint="eastAsia" w:ascii="宋体" w:hAnsi="宋体" w:cs="宋体"/>
          <w:b/>
          <w:color w:val="auto"/>
          <w:w w:val="80"/>
          <w:kern w:val="44"/>
          <w:sz w:val="36"/>
          <w:szCs w:val="36"/>
          <w:highlight w:val="none"/>
        </w:rPr>
        <w:br w:type="page"/>
      </w:r>
    </w:p>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合同书</w:t>
      </w:r>
    </w:p>
    <w:p>
      <w:pPr>
        <w:rPr>
          <w:rFonts w:hint="eastAsia" w:ascii="宋体" w:hAnsi="宋体" w:eastAsia="宋体" w:cs="宋体"/>
          <w:sz w:val="24"/>
          <w:highlight w:val="none"/>
        </w:rPr>
      </w:pPr>
    </w:p>
    <w:p>
      <w:pPr>
        <w:rPr>
          <w:rFonts w:hint="eastAsia" w:ascii="宋体" w:hAnsi="宋体" w:eastAsia="宋体" w:cs="宋体"/>
          <w:sz w:val="24"/>
          <w:highlight w:val="none"/>
        </w:rPr>
      </w:pPr>
      <w:r>
        <w:rPr>
          <w:rFonts w:hint="eastAsia" w:ascii="宋体" w:hAnsi="宋体" w:eastAsia="宋体" w:cs="宋体"/>
          <w:sz w:val="24"/>
          <w:highlight w:val="none"/>
        </w:rPr>
        <w:t>甲方（委托方）：</w:t>
      </w:r>
      <w:r>
        <w:rPr>
          <w:rFonts w:hint="eastAsia" w:ascii="宋体" w:hAnsi="宋体" w:eastAsia="宋体" w:cs="宋体"/>
          <w:sz w:val="24"/>
          <w:highlight w:val="none"/>
          <w:u w:val="single"/>
        </w:rPr>
        <w:t>江苏省南通市北高新技术产业开发区管理委员会</w:t>
      </w: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乙方（受托方）：</w:t>
      </w:r>
      <w:r>
        <w:rPr>
          <w:rFonts w:hint="eastAsia" w:ascii="宋体" w:hAnsi="宋体" w:eastAsia="宋体" w:cs="宋体"/>
          <w:sz w:val="24"/>
          <w:highlight w:val="none"/>
          <w:u w:val="single"/>
        </w:rPr>
        <w:t xml:space="preserve">                                </w:t>
      </w:r>
    </w:p>
    <w:p>
      <w:pPr>
        <w:spacing w:line="360" w:lineRule="auto"/>
        <w:rPr>
          <w:rFonts w:hint="eastAsia" w:ascii="宋体" w:hAnsi="宋体" w:eastAsia="宋体" w:cs="宋体"/>
          <w:sz w:val="24"/>
          <w:highlight w:val="none"/>
        </w:rPr>
      </w:pP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经双方友好协商，就“</w:t>
      </w:r>
      <w:r>
        <w:rPr>
          <w:rFonts w:hint="eastAsia" w:ascii="宋体" w:hAnsi="宋体" w:cs="宋体"/>
          <w:sz w:val="24"/>
          <w:highlight w:val="none"/>
          <w:u w:val="single"/>
          <w:lang w:eastAsia="zh-CN"/>
        </w:rPr>
        <w:t>市北高新区及特色产业园区标识牌采购及安装项目</w:t>
      </w:r>
      <w:r>
        <w:rPr>
          <w:rFonts w:hint="eastAsia" w:ascii="宋体" w:hAnsi="宋体" w:eastAsia="宋体" w:cs="宋体"/>
          <w:sz w:val="24"/>
          <w:highlight w:val="none"/>
        </w:rPr>
        <w:t>”项目（以下简称“项目”）双方达成如下约定：</w:t>
      </w:r>
    </w:p>
    <w:p>
      <w:pPr>
        <w:spacing w:line="360" w:lineRule="auto"/>
        <w:rPr>
          <w:rFonts w:hint="eastAsia" w:ascii="宋体" w:hAnsi="宋体" w:eastAsia="宋体" w:cs="宋体"/>
          <w:sz w:val="24"/>
          <w:highlight w:val="none"/>
        </w:rPr>
      </w:pP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项目概况</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项目地址：南通市北高新区集成电路产业园与生命健康产业园内。</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项目服务范围：设计、制作与安装</w:t>
      </w:r>
    </w:p>
    <w:p>
      <w:pPr>
        <w:pStyle w:val="141"/>
        <w:numPr>
          <w:ilvl w:val="0"/>
          <w:numId w:val="7"/>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项目费用及组成：总计费用</w:t>
      </w:r>
      <w:r>
        <w:rPr>
          <w:rFonts w:hint="eastAsia" w:ascii="宋体" w:hAnsi="宋体" w:eastAsia="宋体" w:cs="宋体"/>
          <w:sz w:val="24"/>
          <w:highlight w:val="none"/>
          <w:u w:val="single"/>
        </w:rPr>
        <w:t xml:space="preserve">           元（        元）</w:t>
      </w:r>
      <w:r>
        <w:rPr>
          <w:rFonts w:hint="eastAsia" w:ascii="宋体" w:hAnsi="宋体" w:eastAsia="宋体" w:cs="宋体"/>
          <w:sz w:val="24"/>
          <w:highlight w:val="none"/>
        </w:rPr>
        <w:t>，详细费用组成及项目方案见附件。</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项目结算方式及完工周期</w:t>
      </w:r>
    </w:p>
    <w:p>
      <w:pPr>
        <w:pStyle w:val="141"/>
        <w:numPr>
          <w:ilvl w:val="0"/>
          <w:numId w:val="8"/>
        </w:num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结算方式：</w:t>
      </w:r>
    </w:p>
    <w:p>
      <w:pPr>
        <w:pStyle w:val="141"/>
        <w:spacing w:line="360" w:lineRule="auto"/>
        <w:ind w:left="360"/>
        <w:rPr>
          <w:rFonts w:hint="eastAsia" w:ascii="宋体" w:hAnsi="宋体" w:eastAsia="宋体" w:cs="宋体"/>
          <w:sz w:val="24"/>
          <w:highlight w:val="none"/>
        </w:rPr>
      </w:pPr>
      <w:r>
        <w:rPr>
          <w:rFonts w:hint="eastAsia" w:ascii="宋体" w:hAnsi="宋体" w:eastAsia="宋体" w:cs="宋体"/>
          <w:sz w:val="24"/>
          <w:highlight w:val="none"/>
        </w:rPr>
        <w:t>*首笔款项，</w:t>
      </w:r>
      <w:r>
        <w:rPr>
          <w:rFonts w:hint="eastAsia" w:ascii="宋体" w:hAnsi="宋体" w:eastAsia="宋体" w:cs="宋体"/>
          <w:sz w:val="24"/>
          <w:highlight w:val="none"/>
          <w:u w:val="single"/>
        </w:rPr>
        <w:t>预付款，即总费用的百分之五十，            元（        元），</w:t>
      </w:r>
      <w:r>
        <w:rPr>
          <w:rFonts w:hint="eastAsia" w:ascii="宋体" w:hAnsi="宋体" w:eastAsia="宋体" w:cs="宋体"/>
          <w:sz w:val="24"/>
          <w:highlight w:val="none"/>
        </w:rPr>
        <w:t>于合同签署生效后支付给乙方，乙方收到款项后作为本次工作的正式开始时间；</w:t>
      </w:r>
    </w:p>
    <w:p>
      <w:pPr>
        <w:pStyle w:val="141"/>
        <w:spacing w:line="360" w:lineRule="auto"/>
        <w:ind w:left="360"/>
        <w:rPr>
          <w:rFonts w:hint="eastAsia" w:ascii="宋体" w:hAnsi="宋体" w:eastAsia="宋体" w:cs="宋体"/>
          <w:sz w:val="24"/>
          <w:highlight w:val="none"/>
          <w:u w:val="single"/>
        </w:rPr>
      </w:pPr>
      <w:r>
        <w:rPr>
          <w:rFonts w:hint="eastAsia" w:ascii="宋体" w:hAnsi="宋体" w:eastAsia="宋体" w:cs="宋体"/>
          <w:sz w:val="24"/>
          <w:highlight w:val="none"/>
        </w:rPr>
        <w:t>*第二笔款项</w:t>
      </w:r>
      <w:r>
        <w:rPr>
          <w:rFonts w:hint="eastAsia" w:ascii="宋体" w:hAnsi="宋体" w:eastAsia="宋体" w:cs="宋体"/>
          <w:sz w:val="24"/>
          <w:highlight w:val="none"/>
          <w:u w:val="single"/>
        </w:rPr>
        <w:t>，尾款，总费用的百分之五十，                元（        元），</w:t>
      </w:r>
      <w:r>
        <w:rPr>
          <w:rFonts w:hint="eastAsia" w:ascii="宋体" w:hAnsi="宋体" w:eastAsia="宋体" w:cs="宋体"/>
          <w:sz w:val="24"/>
          <w:highlight w:val="none"/>
        </w:rPr>
        <w:t>于乙方制作安装完成，获甲方验收合格后完成支付。</w:t>
      </w:r>
    </w:p>
    <w:p>
      <w:pPr>
        <w:pStyle w:val="141"/>
        <w:numPr>
          <w:ilvl w:val="0"/>
          <w:numId w:val="8"/>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完工周期：深化图纸（方案）确认后（次日起计算）的</w:t>
      </w:r>
      <w:r>
        <w:rPr>
          <w:rFonts w:hint="eastAsia" w:ascii="宋体" w:hAnsi="宋体" w:eastAsia="宋体" w:cs="宋体"/>
          <w:sz w:val="24"/>
          <w:highlight w:val="none"/>
          <w:u w:val="single"/>
        </w:rPr>
        <w:t>30</w:t>
      </w:r>
      <w:r>
        <w:rPr>
          <w:rFonts w:hint="eastAsia" w:ascii="宋体" w:hAnsi="宋体" w:eastAsia="宋体" w:cs="宋体"/>
          <w:sz w:val="24"/>
          <w:highlight w:val="none"/>
        </w:rPr>
        <w:t>天（日历天）</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甲方权利与义务</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甲方应为乙方工作提供便利与支持，如作业或项目需要的水、电、气、网等资源的引入、控制；</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甲方应在协议签署前，依法依规完成项目相关的审批，确保协议签署后，项目实施的合法与合规性；</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甲方确保提供的有关资料，如文字、数据、图片等内容信息的合法合规性，对相关后果独立承担责任，与乙方无关。</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甲方应该充分尊重乙方服务的专业性，严禁以主观意识评判、干扰或影响乙方工作。</w:t>
      </w:r>
    </w:p>
    <w:p>
      <w:pPr>
        <w:pStyle w:val="141"/>
        <w:numPr>
          <w:ilvl w:val="0"/>
          <w:numId w:val="9"/>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及时按照约定结清有关款项。</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乙方权利与义务</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充分尊重甲方有关意见，积极热情提供相关服务；</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合法合规开展项目工作，严格管理，注重品质，提升效率确保按时保质完工；</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自觉维护甲方形象，维护自身形象，相互配合共同打造良好的作业环境；</w:t>
      </w:r>
    </w:p>
    <w:p>
      <w:pPr>
        <w:pStyle w:val="141"/>
        <w:numPr>
          <w:ilvl w:val="0"/>
          <w:numId w:val="10"/>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乙方工作人员在施工现场发生安全事故或造成第三方损害的，由乙方承担全部责任；</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其他约定</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严肃对待项目有关工作，涉及项目要求、双方切身利益，或其他重要信息等事宜，须以书面（纸质或电子信息）方式十分明确的通知到对方。</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双方交换项目有关工作信息或意见的有效期为1个日历天，通知后的次日起计算，逾期未答复或未能明确答复，则通知方自行决定相关事宜，后果由被通知方独自承担。</w:t>
      </w:r>
    </w:p>
    <w:p>
      <w:pPr>
        <w:pStyle w:val="141"/>
        <w:numPr>
          <w:ilvl w:val="0"/>
          <w:numId w:val="11"/>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项目全部费用结清前，项目劳动成果/品（含各阶段劳动成果/品）的一切权利归乙方享有；项目全部费用结清后，项目最终成果（交付验收范围）的一切权利归甲方享有，乙方仅保留署名权，可继续用于案例展示、参赛等，其荣誉与收益归乙方享有。</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甲方应每一或两天，前往现场巡视，主动关心现场进展，乙方应积极予以配合，巡视问题应及时联系沟通。</w:t>
      </w:r>
    </w:p>
    <w:p>
      <w:pPr>
        <w:pStyle w:val="141"/>
        <w:numPr>
          <w:ilvl w:val="0"/>
          <w:numId w:val="6"/>
        </w:numPr>
        <w:spacing w:line="360" w:lineRule="auto"/>
        <w:rPr>
          <w:rFonts w:hint="eastAsia" w:ascii="宋体" w:hAnsi="宋体" w:eastAsia="宋体" w:cs="宋体"/>
          <w:sz w:val="24"/>
          <w:highlight w:val="none"/>
        </w:rPr>
      </w:pPr>
      <w:r>
        <w:rPr>
          <w:rFonts w:hint="eastAsia" w:ascii="宋体" w:hAnsi="宋体" w:eastAsia="宋体" w:cs="宋体"/>
          <w:sz w:val="24"/>
          <w:highlight w:val="none"/>
        </w:rPr>
        <w:t>本合同一式两份，双方签字或盖章后生效，双方各持一份，若有争议，协商解决，协商无果，双方可向甲方所在地法院提起诉讼。败诉方承担诉讼有关的全部费用，包括但不限于：律师费、保全费、鉴定费、诉讼费、行政类费用，及其他争取胜诉产生的各类费用。</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甲方：江苏省南通市北高新技术产业开发区管理委员会   乙方：    </w:t>
      </w:r>
    </w:p>
    <w:p>
      <w:pPr>
        <w:spacing w:line="360" w:lineRule="auto"/>
        <w:rPr>
          <w:rFonts w:hint="eastAsia" w:ascii="宋体" w:hAnsi="宋体" w:eastAsia="宋体" w:cs="宋体"/>
          <w:sz w:val="24"/>
          <w:highlight w:val="none"/>
        </w:rPr>
      </w:pPr>
      <w:r>
        <w:rPr>
          <w:rFonts w:hint="eastAsia" w:ascii="宋体" w:hAnsi="宋体" w:eastAsia="宋体" w:cs="宋体"/>
          <w:sz w:val="24"/>
          <w:highlight w:val="none"/>
        </w:rPr>
        <w:t>签字日期：    年    月    日                       签字日期：  年    月  日</w:t>
      </w:r>
    </w:p>
    <w:p>
      <w:pPr>
        <w:adjustRightInd/>
        <w:snapToGrid/>
        <w:spacing w:line="240" w:lineRule="auto"/>
        <w:ind w:firstLine="0" w:firstLineChars="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rPr>
          <w:highlight w:val="none"/>
        </w:rPr>
      </w:pPr>
    </w:p>
    <w:p>
      <w:pPr>
        <w:snapToGrid w:val="0"/>
        <w:spacing w:line="300" w:lineRule="auto"/>
        <w:jc w:val="center"/>
        <w:outlineLvl w:val="0"/>
        <w:rPr>
          <w:b/>
          <w:color w:val="auto"/>
          <w:sz w:val="36"/>
          <w:szCs w:val="36"/>
          <w:highlight w:val="none"/>
        </w:rPr>
      </w:pPr>
      <w:r>
        <w:rPr>
          <w:b/>
          <w:color w:val="auto"/>
          <w:sz w:val="36"/>
          <w:szCs w:val="36"/>
          <w:highlight w:val="none"/>
        </w:rPr>
        <w:t>第六部分质疑提出和处理</w:t>
      </w:r>
    </w:p>
    <w:p>
      <w:pPr>
        <w:autoSpaceDE w:val="0"/>
        <w:autoSpaceDN w:val="0"/>
        <w:adjustRightInd w:val="0"/>
        <w:snapToGrid w:val="0"/>
        <w:spacing w:line="360" w:lineRule="auto"/>
        <w:ind w:firstLine="482" w:firstLineChars="200"/>
        <w:contextualSpacing/>
        <w:jc w:val="left"/>
        <w:rPr>
          <w:b/>
          <w:color w:val="auto"/>
          <w:kern w:val="0"/>
          <w:sz w:val="24"/>
          <w:highlight w:val="none"/>
        </w:rPr>
      </w:pPr>
      <w:r>
        <w:rPr>
          <w:b/>
          <w:color w:val="auto"/>
          <w:kern w:val="0"/>
          <w:sz w:val="24"/>
          <w:highlight w:val="none"/>
        </w:rPr>
        <w:t>一、质疑的提出</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（一）质疑人的身份要求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1.质疑人必须是直接参加本次采购活动的当事人。</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2.未参加投标活动的供应商或在投标活动中自身权益未受到损害的供应商所提出的质疑不予受理。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（二）质疑提出的格式要求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1.质疑必须按《政府采购法》、《政府采购法实施条例》及《江苏省政府采购供应商监督管理暂行办法》的相关规定提交，质疑实行实名制，不得进行虚假、恶意质疑，未按上述要求提交的质疑函，将不予受理。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2.质疑函应包括：</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（1）质疑投标供应商的名称、地址、邮编、联系人及联系电话；</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（2）具体、明确的质疑事项及明确的请求；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（3）质疑的事实依据和必要的法律依据；</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（4）提起质疑的日期；</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（5）认为自己合法权益受到损害或可能受到损害的相关证据材料；</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6）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将不予受理。质疑人委托代理质疑的，应当提交授权委托书，并载明委托代理的具体权限和事项。</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3.质疑函需遵循的原则：</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提出质疑时，必须坚持“谁主张，谁举证”、“实事求是”的原则，不能臆测。属于须由法定部门调查、侦查或先行作出相关认定的事项，质疑人应当依法申请具有法定职权的部门查清、认定，并将相关结果提供给采购人。采购人不具有法定调查、认定权限。</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（三）质疑提出的时效要求</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投标供应商认为采购文件、采购过程和采购结果使自己的权益受到损害的，可以在知道或应知其权益受到损害之日起七个工作日内，以书面形式向采购人或代理机构提出质疑。上述应知其权益受到损害之日，是指：</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（1）对可以质疑的采购文件提出质疑的，为收到采购文件之日或者采购文件公告期限届满之日；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（2）对采购过程提出质疑的，为各采购程序环节结束之日；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（3）对中标或者成交结果提出质疑的，为中标或者成交结果公告期限届满之日。</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投标供应商认为采购文件使自己的权益受到损害的，可以向采购人提出质疑；投标供应商认为采购过程和采购结果使自己的权益受到损害的，可以以书面形式向采购人或代理机构提出质疑。</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2.投标供应商应在法定质疑期一次性提出针对同一采购程序环节的质疑。</w:t>
      </w:r>
    </w:p>
    <w:p>
      <w:pPr>
        <w:autoSpaceDE w:val="0"/>
        <w:autoSpaceDN w:val="0"/>
        <w:adjustRightInd w:val="0"/>
        <w:snapToGrid w:val="0"/>
        <w:spacing w:line="360" w:lineRule="auto"/>
        <w:ind w:firstLine="482" w:firstLineChars="200"/>
        <w:contextualSpacing/>
        <w:jc w:val="left"/>
        <w:rPr>
          <w:b/>
          <w:color w:val="auto"/>
          <w:sz w:val="24"/>
          <w:highlight w:val="none"/>
        </w:rPr>
      </w:pPr>
      <w:r>
        <w:rPr>
          <w:b/>
          <w:color w:val="auto"/>
          <w:sz w:val="24"/>
          <w:highlight w:val="none"/>
        </w:rPr>
        <w:t>二、《质疑函》的受理和回复</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1.收到质疑函后，采购人将对质疑的形式和内容进行审查，如质疑函内容、格式不符合规定，采购人将告知质疑人进行补正。</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2.质疑人应当在法定质疑期限内进行补正并重新提交质疑函，拒不补正或者在法定期限内未重新提交质疑函的，为无效质疑，采购人将不予受理。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3.采购人或采购代理机构答复供应商质疑应当采用书面方式并依法送达，质疑供应商或其委托代理人拒绝签收的视为已经送达。</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三、质疑处理</w:t>
      </w:r>
    </w:p>
    <w:p>
      <w:pPr>
        <w:autoSpaceDE w:val="0"/>
        <w:autoSpaceDN w:val="0"/>
        <w:adjustRightInd w:val="0"/>
        <w:snapToGrid w:val="0"/>
        <w:spacing w:line="360" w:lineRule="auto"/>
        <w:ind w:firstLine="482" w:firstLineChars="200"/>
        <w:contextualSpacing/>
        <w:jc w:val="left"/>
        <w:rPr>
          <w:b/>
          <w:color w:val="auto"/>
          <w:sz w:val="24"/>
          <w:highlight w:val="none"/>
        </w:rPr>
      </w:pPr>
      <w:r>
        <w:rPr>
          <w:b/>
          <w:color w:val="auto"/>
          <w:sz w:val="24"/>
          <w:highlight w:val="none"/>
        </w:rPr>
        <w:t>1、质疑成立的处理。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（1）对于内容、格式符合规定的质疑函，采购人在收到投标供应商的书面质疑后七个工作日内作出书面答复，但答复的内容不得涉及商业秘密。</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（2）对采购文件提出的质疑，依法通过澄清或者修改可以继续开展采购活动的，澄清或者修改采购文件后继续开展采购活动；否则应当修改采购文件后重新开展采购活动。</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（3）对采购过程、中标或者成交结果提出的质疑，合格供应商符合法定数量时，可以从合格的中标候选人中另行确定中标、成交供应商，或重新开展采购活动。</w:t>
      </w:r>
    </w:p>
    <w:p>
      <w:pPr>
        <w:autoSpaceDE w:val="0"/>
        <w:autoSpaceDN w:val="0"/>
        <w:adjustRightInd w:val="0"/>
        <w:snapToGrid w:val="0"/>
        <w:spacing w:line="360" w:lineRule="auto"/>
        <w:ind w:firstLine="480" w:firstLineChars="200"/>
        <w:contextualSpacing/>
        <w:jc w:val="left"/>
        <w:rPr>
          <w:color w:val="auto"/>
          <w:sz w:val="24"/>
          <w:highlight w:val="none"/>
        </w:rPr>
      </w:pPr>
      <w:r>
        <w:rPr>
          <w:color w:val="auto"/>
          <w:sz w:val="24"/>
          <w:highlight w:val="none"/>
        </w:rPr>
        <w:t>质疑答复导致中标、成交结果改变的，采购人或者采购代理机构应当将有关情况书面报告本级财政部门。</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2、质疑不成立的处理。</w:t>
      </w:r>
    </w:p>
    <w:p>
      <w:pPr>
        <w:snapToGrid w:val="0"/>
        <w:spacing w:line="360" w:lineRule="auto"/>
        <w:ind w:firstLine="480" w:firstLineChars="200"/>
        <w:contextualSpacing/>
        <w:jc w:val="left"/>
        <w:rPr>
          <w:color w:val="auto"/>
          <w:sz w:val="24"/>
          <w:highlight w:val="none"/>
        </w:rPr>
      </w:pPr>
      <w:r>
        <w:rPr>
          <w:color w:val="auto"/>
          <w:kern w:val="0"/>
          <w:sz w:val="24"/>
          <w:highlight w:val="none"/>
          <w:lang w:val="zh-CN"/>
        </w:rPr>
        <w:t>（1）</w:t>
      </w:r>
      <w:r>
        <w:rPr>
          <w:color w:val="auto"/>
          <w:sz w:val="24"/>
          <w:highlight w:val="none"/>
        </w:rPr>
        <w:t>若质疑不成立，或者成立未对中标、成交结果构成影响的，继续开展采购活动。</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（2）对明显有违背事实的、经相关专家或评委认定无依据的、经其他供应商举证无依据的质疑，作违约处理，对其中每一项不成立的质疑给予质疑人1年内禁入由采购人组织的政府采购活动的违约处理。</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（3）质疑人承担使用虚假材料或恶意方式质疑的法律责任。</w:t>
      </w:r>
    </w:p>
    <w:p>
      <w:pPr>
        <w:autoSpaceDE w:val="0"/>
        <w:autoSpaceDN w:val="0"/>
        <w:adjustRightInd w:val="0"/>
        <w:snapToGrid w:val="0"/>
        <w:spacing w:line="360" w:lineRule="auto"/>
        <w:ind w:firstLine="482" w:firstLineChars="200"/>
        <w:contextualSpacing/>
        <w:jc w:val="left"/>
        <w:rPr>
          <w:b/>
          <w:color w:val="auto"/>
          <w:kern w:val="0"/>
          <w:sz w:val="24"/>
          <w:highlight w:val="none"/>
          <w:lang w:val="zh-CN"/>
        </w:rPr>
      </w:pPr>
      <w:r>
        <w:rPr>
          <w:b/>
          <w:color w:val="auto"/>
          <w:kern w:val="0"/>
          <w:sz w:val="24"/>
          <w:highlight w:val="none"/>
          <w:lang w:val="zh-CN"/>
        </w:rPr>
        <w:t>3、虚假质疑的处理</w:t>
      </w:r>
    </w:p>
    <w:p>
      <w:pPr>
        <w:snapToGrid w:val="0"/>
        <w:spacing w:line="360" w:lineRule="auto"/>
        <w:ind w:firstLine="460" w:firstLineChars="192"/>
        <w:contextualSpacing/>
        <w:jc w:val="left"/>
        <w:rPr>
          <w:color w:val="auto"/>
          <w:kern w:val="0"/>
          <w:sz w:val="24"/>
          <w:highlight w:val="none"/>
          <w:lang w:val="zh-CN"/>
        </w:rPr>
      </w:pPr>
      <w:r>
        <w:rPr>
          <w:color w:val="auto"/>
          <w:kern w:val="0"/>
          <w:sz w:val="24"/>
          <w:highlight w:val="none"/>
          <w:lang w:val="zh-CN"/>
        </w:rPr>
        <w:t>投标供应商提出书面质疑必须有理、有据，不得恶意质疑或提交虚假质疑。否则，一经查实，将依据政府采购的有关规定，报请政府采购监管部门对该投标供应商进行相应的行政处罚。</w:t>
      </w:r>
    </w:p>
    <w:p>
      <w:pPr>
        <w:snapToGrid w:val="0"/>
        <w:jc w:val="center"/>
        <w:outlineLvl w:val="0"/>
        <w:rPr>
          <w:b/>
          <w:color w:val="auto"/>
          <w:sz w:val="36"/>
          <w:szCs w:val="36"/>
          <w:highlight w:val="none"/>
        </w:rPr>
      </w:pPr>
      <w:r>
        <w:rPr>
          <w:b/>
          <w:color w:val="auto"/>
          <w:sz w:val="36"/>
          <w:szCs w:val="36"/>
          <w:highlight w:val="none"/>
        </w:rPr>
        <w:br w:type="page"/>
      </w:r>
      <w:r>
        <w:rPr>
          <w:b/>
          <w:color w:val="auto"/>
          <w:sz w:val="36"/>
          <w:szCs w:val="36"/>
          <w:highlight w:val="none"/>
        </w:rPr>
        <w:t>第七部分</w:t>
      </w:r>
      <w:r>
        <w:rPr>
          <w:rFonts w:hint="eastAsia"/>
          <w:b/>
          <w:color w:val="auto"/>
          <w:sz w:val="36"/>
          <w:szCs w:val="36"/>
          <w:highlight w:val="none"/>
        </w:rPr>
        <w:t xml:space="preserve">  </w:t>
      </w:r>
      <w:r>
        <w:rPr>
          <w:b/>
          <w:color w:val="auto"/>
          <w:sz w:val="36"/>
          <w:szCs w:val="36"/>
          <w:highlight w:val="none"/>
        </w:rPr>
        <w:t>响应文件组成</w:t>
      </w:r>
    </w:p>
    <w:p>
      <w:pPr>
        <w:pStyle w:val="134"/>
        <w:snapToGrid w:val="0"/>
        <w:spacing w:line="360" w:lineRule="auto"/>
        <w:ind w:firstLine="482" w:firstLineChars="200"/>
        <w:contextualSpacing/>
        <w:rPr>
          <w:rFonts w:ascii="Times New Roman" w:hAnsi="Times New Roman" w:cs="Times New Roman"/>
          <w:b/>
          <w:color w:val="auto"/>
          <w:highlight w:val="none"/>
        </w:rPr>
      </w:pPr>
      <w:r>
        <w:rPr>
          <w:rFonts w:ascii="Times New Roman" w:hAnsi="Times New Roman" w:cs="Times New Roman"/>
          <w:b/>
          <w:color w:val="auto"/>
          <w:highlight w:val="none"/>
        </w:rPr>
        <w:t>响应文件由资格审查资料、价格响应文件、技术商务响应文件三部分组成。</w:t>
      </w:r>
      <w:r>
        <w:rPr>
          <w:rFonts w:ascii="Times New Roman" w:hAnsi="Times New Roman" w:cs="Times New Roman"/>
          <w:color w:val="auto"/>
          <w:highlight w:val="none"/>
        </w:rPr>
        <w:t>供应商提供的响应文件材料须字迹清晰。</w:t>
      </w:r>
      <w:r>
        <w:rPr>
          <w:rFonts w:ascii="Times New Roman" w:hAnsi="Times New Roman" w:cs="Times New Roman"/>
          <w:b/>
          <w:color w:val="auto"/>
          <w:highlight w:val="none"/>
        </w:rPr>
        <w:t>如响应文件字迹模糊、无法辨认的须提供原件备查，否则由此造成的废标或不得分等后果由供应商自行承担</w:t>
      </w:r>
      <w:r>
        <w:rPr>
          <w:rFonts w:ascii="Times New Roman" w:hAnsi="Times New Roman" w:cs="Times New Roman"/>
          <w:color w:val="auto"/>
          <w:highlight w:val="none"/>
        </w:rPr>
        <w:t>。</w:t>
      </w:r>
    </w:p>
    <w:p>
      <w:pPr>
        <w:pStyle w:val="134"/>
        <w:snapToGrid w:val="0"/>
        <w:spacing w:line="360" w:lineRule="auto"/>
        <w:ind w:firstLine="482" w:firstLineChars="200"/>
        <w:contextualSpacing/>
        <w:rPr>
          <w:rFonts w:ascii="Times New Roman" w:hAnsi="Times New Roman" w:cs="Times New Roman"/>
          <w:b/>
          <w:color w:val="auto"/>
          <w:highlight w:val="none"/>
        </w:rPr>
      </w:pPr>
      <w:r>
        <w:rPr>
          <w:rFonts w:ascii="Times New Roman" w:hAnsi="Times New Roman" w:cs="Times New Roman"/>
          <w:b/>
          <w:color w:val="auto"/>
          <w:highlight w:val="none"/>
        </w:rPr>
        <w:t>一、资格审查资料（正本一份、副本二份，单独密封）：</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1、关于资格的声明函；</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2、法定代表人身份证明书及本人身份证复印件，或法定代表人授权委托书原件、身份证复印件（原件随身备查）；</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rPr>
        <w:t>3</w:t>
      </w:r>
      <w:r>
        <w:rPr>
          <w:rFonts w:ascii="Times New Roman" w:hAnsi="Times New Roman" w:cs="Times New Roman"/>
          <w:color w:val="auto"/>
          <w:highlight w:val="none"/>
        </w:rPr>
        <w:t>、提供磋商公告第二条资格要求中的相应的佐证材料（提供复印件并加盖公章）：</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.1</w:t>
      </w:r>
      <w:r>
        <w:rPr>
          <w:rFonts w:hint="eastAsia" w:ascii="Times New Roman" w:hAnsi="Times New Roman" w:cs="Times New Roman"/>
          <w:color w:val="auto"/>
          <w:kern w:val="2"/>
          <w:highlight w:val="none"/>
        </w:rPr>
        <w:t>提供有效的营业执照及税务登记证（或者是三证合一的营业执照）</w:t>
      </w:r>
      <w:r>
        <w:rPr>
          <w:color w:val="auto"/>
          <w:highlight w:val="none"/>
        </w:rPr>
        <w:t>（复印件并加盖公章）</w:t>
      </w:r>
      <w:r>
        <w:rPr>
          <w:rFonts w:ascii="Times New Roman" w:hAnsi="Times New Roman" w:cs="Times New Roman"/>
          <w:color w:val="auto"/>
          <w:highlight w:val="none"/>
        </w:rPr>
        <w:t>；</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color w:val="auto"/>
          <w:highlight w:val="none"/>
          <w:lang w:val="en-US" w:eastAsia="zh-CN"/>
        </w:rPr>
        <w:t>3</w:t>
      </w:r>
      <w:r>
        <w:rPr>
          <w:rFonts w:hint="eastAsia"/>
          <w:color w:val="auto"/>
          <w:highlight w:val="none"/>
        </w:rPr>
        <w:t>.2具备履行合同所必需设备和专业技术能力</w:t>
      </w:r>
      <w:r>
        <w:rPr>
          <w:color w:val="auto"/>
          <w:highlight w:val="none"/>
        </w:rPr>
        <w:t>（提供复印件并加盖公章）</w:t>
      </w:r>
      <w:r>
        <w:rPr>
          <w:rFonts w:hint="eastAsia"/>
          <w:color w:val="auto"/>
          <w:highlight w:val="none"/>
        </w:rPr>
        <w:t>；</w:t>
      </w:r>
    </w:p>
    <w:p>
      <w:pPr>
        <w:pStyle w:val="134"/>
        <w:numPr>
          <w:ilvl w:val="0"/>
          <w:numId w:val="12"/>
        </w:numPr>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t>参与本次项目政府采购活动前三年内，在经营活动中没有重大违法记录的书面</w:t>
      </w:r>
      <w:r>
        <w:rPr>
          <w:rFonts w:hint="eastAsia"/>
          <w:color w:val="auto"/>
          <w:highlight w:val="none"/>
        </w:rPr>
        <w:t>声明</w:t>
      </w:r>
      <w:r>
        <w:rPr>
          <w:rFonts w:ascii="Times New Roman" w:hAnsi="Times New Roman" w:cs="Times New Roman"/>
          <w:color w:val="auto"/>
          <w:highlight w:val="none"/>
        </w:rPr>
        <w:t>；</w:t>
      </w:r>
    </w:p>
    <w:p>
      <w:pPr>
        <w:pStyle w:val="134"/>
        <w:numPr>
          <w:ilvl w:val="0"/>
          <w:numId w:val="12"/>
        </w:numPr>
        <w:snapToGrid w:val="0"/>
        <w:spacing w:line="360" w:lineRule="auto"/>
        <w:ind w:firstLine="480" w:firstLineChars="200"/>
        <w:contextualSpacing/>
        <w:rPr>
          <w:rFonts w:ascii="Times New Roman" w:hAnsi="Times New Roman" w:cs="Times New Roman"/>
          <w:color w:val="auto"/>
          <w:highlight w:val="none"/>
        </w:rPr>
      </w:pPr>
      <w:r>
        <w:rPr>
          <w:rFonts w:hint="default" w:ascii="Times New Roman" w:hAnsi="Times New Roman" w:cs="Times New Roman"/>
          <w:color w:val="auto"/>
          <w:sz w:val="24"/>
          <w:szCs w:val="24"/>
          <w:highlight w:val="none"/>
        </w:rPr>
        <w:t>有效的投标人声明函</w:t>
      </w:r>
      <w:r>
        <w:rPr>
          <w:rFonts w:hint="eastAsia" w:ascii="Times New Roman" w:hAnsi="Times New Roman" w:eastAsia="宋体" w:cs="Times New Roman"/>
          <w:color w:val="auto"/>
          <w:sz w:val="24"/>
          <w:szCs w:val="24"/>
          <w:highlight w:val="none"/>
          <w:lang w:eastAsia="zh-CN"/>
        </w:rPr>
        <w:t>；</w:t>
      </w:r>
    </w:p>
    <w:p>
      <w:pPr>
        <w:pStyle w:val="134"/>
        <w:snapToGrid w:val="0"/>
        <w:spacing w:line="360" w:lineRule="auto"/>
        <w:ind w:firstLine="480" w:firstLineChars="200"/>
        <w:contextualSpacing/>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w:t>
      </w:r>
      <w:r>
        <w:rPr>
          <w:rFonts w:ascii="Times New Roman" w:hAnsi="Times New Roman" w:cs="Times New Roman"/>
          <w:color w:val="auto"/>
          <w:highlight w:val="none"/>
        </w:rPr>
        <w:t>其它需要提交的资格审查证明材料。</w:t>
      </w:r>
    </w:p>
    <w:p>
      <w:pPr>
        <w:pStyle w:val="134"/>
        <w:snapToGrid w:val="0"/>
        <w:spacing w:line="360" w:lineRule="auto"/>
        <w:ind w:firstLine="482" w:firstLineChars="200"/>
        <w:contextualSpacing/>
        <w:rPr>
          <w:rFonts w:ascii="Times New Roman" w:hAnsi="Times New Roman"/>
          <w:b/>
          <w:bCs/>
          <w:color w:val="auto"/>
          <w:highlight w:val="none"/>
          <w:lang w:val="zh-CN"/>
        </w:rPr>
      </w:pPr>
      <w:r>
        <w:rPr>
          <w:rFonts w:ascii="Times New Roman" w:hAnsi="Times New Roman"/>
          <w:b/>
          <w:color w:val="auto"/>
          <w:highlight w:val="none"/>
        </w:rPr>
        <w:t>二、商务技术文件</w:t>
      </w:r>
      <w:r>
        <w:rPr>
          <w:rFonts w:ascii="Times New Roman" w:hAnsi="Times New Roman"/>
          <w:b/>
          <w:bCs/>
          <w:color w:val="auto"/>
          <w:highlight w:val="none"/>
          <w:lang w:val="zh-CN"/>
        </w:rPr>
        <w:t>（不能出现报价）</w:t>
      </w:r>
    </w:p>
    <w:p>
      <w:pPr>
        <w:pStyle w:val="134"/>
        <w:snapToGrid w:val="0"/>
        <w:spacing w:line="360" w:lineRule="auto"/>
        <w:ind w:firstLine="480" w:firstLineChars="200"/>
        <w:contextualSpacing/>
        <w:rPr>
          <w:color w:val="auto"/>
          <w:highlight w:val="none"/>
          <w:lang w:val="zh-CN"/>
        </w:rPr>
      </w:pPr>
      <w:r>
        <w:rPr>
          <w:rFonts w:ascii="Times New Roman" w:hAnsi="Times New Roman"/>
          <w:color w:val="auto"/>
          <w:highlight w:val="none"/>
        </w:rPr>
        <w:t>1、</w:t>
      </w:r>
      <w:r>
        <w:rPr>
          <w:rFonts w:hint="eastAsia"/>
          <w:b/>
          <w:bCs/>
          <w:color w:val="auto"/>
          <w:highlight w:val="none"/>
        </w:rPr>
        <w:t>竞争性磋商响应函</w:t>
      </w:r>
      <w:r>
        <w:rPr>
          <w:rFonts w:hint="eastAsia"/>
          <w:color w:val="auto"/>
          <w:highlight w:val="none"/>
          <w:lang w:val="zh-CN"/>
        </w:rPr>
        <w:t>；</w:t>
      </w:r>
    </w:p>
    <w:p>
      <w:pPr>
        <w:pStyle w:val="134"/>
        <w:snapToGrid w:val="0"/>
        <w:spacing w:line="360" w:lineRule="auto"/>
        <w:ind w:firstLine="480" w:firstLineChars="200"/>
        <w:contextualSpacing/>
        <w:rPr>
          <w:rFonts w:hint="eastAsia"/>
          <w:color w:val="auto"/>
          <w:highlight w:val="none"/>
          <w:lang w:val="zh-CN"/>
        </w:rPr>
      </w:pPr>
      <w:r>
        <w:rPr>
          <w:color w:val="auto"/>
          <w:highlight w:val="none"/>
          <w:lang w:val="zh-CN"/>
        </w:rPr>
        <w:t>2、</w:t>
      </w:r>
      <w:r>
        <w:rPr>
          <w:b/>
          <w:color w:val="auto"/>
          <w:highlight w:val="none"/>
        </w:rPr>
        <w:t>技术部分正负偏离表</w:t>
      </w:r>
      <w:r>
        <w:rPr>
          <w:rFonts w:hint="eastAsia"/>
          <w:color w:val="auto"/>
          <w:highlight w:val="none"/>
          <w:lang w:val="zh-CN"/>
        </w:rPr>
        <w:t>；</w:t>
      </w:r>
    </w:p>
    <w:p>
      <w:pPr>
        <w:pStyle w:val="134"/>
        <w:snapToGrid w:val="0"/>
        <w:spacing w:line="360" w:lineRule="auto"/>
        <w:ind w:firstLine="480" w:firstLineChars="200"/>
        <w:contextualSpacing/>
        <w:rPr>
          <w:color w:val="auto"/>
          <w:highlight w:val="none"/>
          <w:lang w:val="zh-CN"/>
        </w:rPr>
      </w:pPr>
      <w:r>
        <w:rPr>
          <w:color w:val="auto"/>
          <w:highlight w:val="none"/>
          <w:lang w:val="zh-CN"/>
        </w:rPr>
        <w:t>3、</w:t>
      </w:r>
      <w:r>
        <w:rPr>
          <w:b/>
          <w:bCs/>
          <w:color w:val="auto"/>
          <w:highlight w:val="none"/>
        </w:rPr>
        <w:t>商务部分正负偏离表</w:t>
      </w:r>
      <w:r>
        <w:rPr>
          <w:rFonts w:hint="eastAsia"/>
          <w:color w:val="auto"/>
          <w:highlight w:val="none"/>
          <w:lang w:val="zh-CN"/>
        </w:rPr>
        <w:t>；</w:t>
      </w:r>
    </w:p>
    <w:p>
      <w:pPr>
        <w:pStyle w:val="134"/>
        <w:snapToGrid w:val="0"/>
        <w:spacing w:line="360" w:lineRule="auto"/>
        <w:ind w:firstLine="480" w:firstLineChars="200"/>
        <w:contextualSpacing/>
        <w:rPr>
          <w:color w:val="auto"/>
          <w:highlight w:val="none"/>
          <w:lang w:val="zh-CN"/>
        </w:rPr>
      </w:pPr>
      <w:r>
        <w:rPr>
          <w:color w:val="auto"/>
          <w:highlight w:val="none"/>
          <w:lang w:val="zh-CN"/>
        </w:rPr>
        <w:t>4、供应商一般情况表</w:t>
      </w:r>
      <w:r>
        <w:rPr>
          <w:rFonts w:hint="eastAsia"/>
          <w:color w:val="auto"/>
          <w:highlight w:val="none"/>
          <w:lang w:val="zh-CN"/>
        </w:rPr>
        <w:t>；</w:t>
      </w:r>
    </w:p>
    <w:p>
      <w:pPr>
        <w:pStyle w:val="134"/>
        <w:snapToGrid w:val="0"/>
        <w:spacing w:line="360" w:lineRule="auto"/>
        <w:ind w:firstLine="480" w:firstLineChars="200"/>
        <w:contextualSpacing/>
        <w:rPr>
          <w:color w:val="auto"/>
          <w:highlight w:val="none"/>
        </w:rPr>
      </w:pPr>
      <w:r>
        <w:rPr>
          <w:color w:val="auto"/>
          <w:highlight w:val="none"/>
          <w:lang w:val="zh-CN"/>
        </w:rPr>
        <w:t>5、</w:t>
      </w:r>
      <w:r>
        <w:rPr>
          <w:color w:val="auto"/>
          <w:highlight w:val="none"/>
        </w:rPr>
        <w:t>为方便评委评审，请供应商按评审办法中所涉及的事项顺序进行编制，可以补充相关材料</w:t>
      </w:r>
      <w:r>
        <w:rPr>
          <w:rFonts w:hint="eastAsia"/>
          <w:color w:val="auto"/>
          <w:highlight w:val="none"/>
        </w:rPr>
        <w:t>；</w:t>
      </w:r>
    </w:p>
    <w:p>
      <w:pPr>
        <w:pStyle w:val="134"/>
        <w:snapToGrid w:val="0"/>
        <w:spacing w:line="360" w:lineRule="auto"/>
        <w:ind w:firstLine="480" w:firstLineChars="200"/>
        <w:contextualSpacing/>
        <w:rPr>
          <w:rFonts w:ascii="Times New Roman" w:hAnsi="Times New Roman"/>
          <w:color w:val="auto"/>
          <w:highlight w:val="none"/>
        </w:rPr>
      </w:pPr>
      <w:r>
        <w:rPr>
          <w:rFonts w:hint="eastAsia" w:ascii="Times New Roman" w:hAnsi="Times New Roman"/>
          <w:color w:val="auto"/>
          <w:highlight w:val="none"/>
        </w:rPr>
        <w:t>6</w:t>
      </w:r>
      <w:r>
        <w:rPr>
          <w:rFonts w:ascii="Times New Roman" w:hAnsi="Times New Roman"/>
          <w:color w:val="auto"/>
          <w:highlight w:val="none"/>
        </w:rPr>
        <w:t>、评审办法中未涉及的事项，供应商认为需要提交的其他资料。</w:t>
      </w:r>
    </w:p>
    <w:p>
      <w:pPr>
        <w:pStyle w:val="134"/>
        <w:snapToGrid w:val="0"/>
        <w:spacing w:line="360" w:lineRule="auto"/>
        <w:ind w:firstLine="480" w:firstLineChars="200"/>
        <w:contextualSpacing/>
        <w:rPr>
          <w:rFonts w:ascii="Times New Roman" w:hAnsi="Times New Roman" w:eastAsia="宋体" w:cs="宋体"/>
          <w:b w:val="0"/>
          <w:bCs/>
          <w:color w:val="auto"/>
          <w:highlight w:val="none"/>
        </w:rPr>
      </w:pPr>
      <w:r>
        <w:rPr>
          <w:rFonts w:ascii="Times New Roman" w:hAnsi="Times New Roman" w:eastAsia="宋体" w:cs="宋体"/>
          <w:b w:val="0"/>
          <w:bCs/>
          <w:color w:val="auto"/>
          <w:highlight w:val="none"/>
        </w:rPr>
        <w:t>1、磋商报价总表；</w:t>
      </w:r>
    </w:p>
    <w:p>
      <w:pPr>
        <w:pStyle w:val="134"/>
        <w:snapToGrid w:val="0"/>
        <w:spacing w:line="360" w:lineRule="auto"/>
        <w:ind w:firstLine="480" w:firstLineChars="200"/>
        <w:contextualSpacing/>
        <w:rPr>
          <w:rFonts w:ascii="Times New Roman" w:hAnsi="Times New Roman" w:eastAsia="宋体" w:cs="宋体"/>
          <w:b w:val="0"/>
          <w:bCs/>
          <w:color w:val="auto"/>
          <w:highlight w:val="none"/>
        </w:rPr>
      </w:pPr>
      <w:r>
        <w:rPr>
          <w:rFonts w:ascii="Times New Roman" w:hAnsi="Times New Roman" w:eastAsia="宋体" w:cs="宋体"/>
          <w:b w:val="0"/>
          <w:bCs/>
          <w:color w:val="auto"/>
          <w:highlight w:val="none"/>
        </w:rPr>
        <w:t>2、磋商报价明细表</w:t>
      </w:r>
      <w:r>
        <w:rPr>
          <w:rFonts w:hint="eastAsia" w:ascii="Times New Roman" w:hAnsi="Times New Roman" w:eastAsia="宋体" w:cs="宋体"/>
          <w:b w:val="0"/>
          <w:bCs/>
          <w:color w:val="auto"/>
          <w:highlight w:val="none"/>
        </w:rPr>
        <w:t>；</w:t>
      </w:r>
    </w:p>
    <w:p>
      <w:pPr>
        <w:snapToGrid w:val="0"/>
        <w:spacing w:line="480" w:lineRule="exact"/>
        <w:ind w:firstLine="482" w:firstLineChars="200"/>
        <w:contextualSpacing/>
        <w:rPr>
          <w:b/>
          <w:color w:val="auto"/>
          <w:kern w:val="0"/>
          <w:sz w:val="24"/>
          <w:highlight w:val="none"/>
          <w:lang w:val="zh-CN"/>
        </w:rPr>
      </w:pPr>
      <w:r>
        <w:rPr>
          <w:b/>
          <w:color w:val="auto"/>
          <w:kern w:val="0"/>
          <w:sz w:val="24"/>
          <w:highlight w:val="none"/>
          <w:lang w:val="zh-CN"/>
        </w:rPr>
        <w:t>注：</w:t>
      </w:r>
      <w:r>
        <w:rPr>
          <w:rFonts w:hint="eastAsia"/>
          <w:b/>
          <w:color w:val="auto"/>
          <w:kern w:val="0"/>
          <w:sz w:val="24"/>
          <w:highlight w:val="none"/>
          <w:lang w:val="zh-CN"/>
        </w:rPr>
        <w:t>响应供应商</w:t>
      </w:r>
      <w:r>
        <w:rPr>
          <w:b/>
          <w:color w:val="auto"/>
          <w:kern w:val="0"/>
          <w:sz w:val="24"/>
          <w:highlight w:val="none"/>
          <w:lang w:val="zh-CN"/>
        </w:rPr>
        <w:t>必须详细报出采购清单中各个子项的名称、品牌、规格型号、数量、单价。且磋商报价明细表合计应当与磋商报价总表</w:t>
      </w:r>
      <w:r>
        <w:rPr>
          <w:rFonts w:hint="eastAsia"/>
          <w:b/>
          <w:color w:val="auto"/>
          <w:kern w:val="0"/>
          <w:sz w:val="24"/>
          <w:highlight w:val="none"/>
          <w:lang w:val="zh-CN"/>
        </w:rPr>
        <w:t>报价</w:t>
      </w:r>
      <w:r>
        <w:rPr>
          <w:b/>
          <w:color w:val="auto"/>
          <w:kern w:val="0"/>
          <w:sz w:val="24"/>
          <w:highlight w:val="none"/>
          <w:lang w:val="zh-CN"/>
        </w:rPr>
        <w:t>合计相等。请各供应商务必按照以上要求填报，否则作为无效</w:t>
      </w:r>
      <w:r>
        <w:rPr>
          <w:rFonts w:hint="eastAsia"/>
          <w:b/>
          <w:color w:val="auto"/>
          <w:kern w:val="0"/>
          <w:sz w:val="24"/>
          <w:highlight w:val="none"/>
          <w:lang w:val="zh-CN"/>
        </w:rPr>
        <w:t>响应</w:t>
      </w:r>
      <w:r>
        <w:rPr>
          <w:b/>
          <w:color w:val="auto"/>
          <w:kern w:val="0"/>
          <w:sz w:val="24"/>
          <w:highlight w:val="none"/>
          <w:lang w:val="zh-CN"/>
        </w:rPr>
        <w:t>处理。</w:t>
      </w:r>
    </w:p>
    <w:p>
      <w:pPr>
        <w:pStyle w:val="134"/>
        <w:snapToGrid w:val="0"/>
        <w:spacing w:line="360" w:lineRule="auto"/>
        <w:ind w:firstLine="480" w:firstLineChars="200"/>
        <w:contextualSpacing/>
        <w:rPr>
          <w:rFonts w:ascii="Times New Roman" w:hAnsi="Times New Roman" w:cs="Times New Roman"/>
          <w:color w:val="auto"/>
          <w:highlight w:val="none"/>
        </w:rPr>
      </w:pPr>
      <w:r>
        <w:rPr>
          <w:rFonts w:ascii="Times New Roman" w:hAnsi="Times New Roman" w:cs="Times New Roman"/>
          <w:color w:val="auto"/>
          <w:highlight w:val="none"/>
        </w:rPr>
        <w:br w:type="page"/>
      </w:r>
    </w:p>
    <w:p>
      <w:pPr>
        <w:spacing w:line="360" w:lineRule="auto"/>
        <w:ind w:firstLine="643" w:firstLineChars="200"/>
        <w:rPr>
          <w:rFonts w:ascii="宋体" w:hAnsi="宋体" w:cs="宋体"/>
          <w:color w:val="auto"/>
          <w:sz w:val="24"/>
          <w:highlight w:val="none"/>
        </w:rPr>
      </w:pPr>
      <w:r>
        <w:rPr>
          <w:rFonts w:hint="eastAsia" w:ascii="Calibri" w:hAnsi="Calibri"/>
          <w:b/>
          <w:bCs/>
          <w:color w:val="auto"/>
          <w:sz w:val="32"/>
          <w:szCs w:val="32"/>
          <w:highlight w:val="none"/>
        </w:rPr>
        <w:t>附件：</w:t>
      </w:r>
      <w:r>
        <w:rPr>
          <w:rFonts w:ascii="Calibri" w:hAnsi="Calibri"/>
          <w:b/>
          <w:bCs/>
          <w:color w:val="auto"/>
          <w:sz w:val="32"/>
          <w:szCs w:val="32"/>
          <w:highlight w:val="none"/>
        </w:rPr>
        <w:br w:type="textWrapping"/>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pacing w:line="360" w:lineRule="auto"/>
        <w:jc w:val="center"/>
        <w:rPr>
          <w:rFonts w:ascii="宋体" w:hAnsi="宋体" w:cs="宋体"/>
          <w:b/>
          <w:color w:val="auto"/>
          <w:sz w:val="24"/>
          <w:highlight w:val="none"/>
          <w:u w:val="single"/>
        </w:rPr>
      </w:pPr>
      <w:r>
        <w:rPr>
          <w:rFonts w:hint="eastAsia" w:ascii="宋体" w:hAnsi="宋体" w:cs="宋体"/>
          <w:b/>
          <w:color w:val="auto"/>
          <w:sz w:val="24"/>
          <w:highlight w:val="none"/>
          <w:u w:val="single"/>
        </w:rPr>
        <w:t xml:space="preserve">项目名称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项目编号：</w:t>
      </w:r>
    </w:p>
    <w:p>
      <w:pPr>
        <w:spacing w:line="360" w:lineRule="auto"/>
        <w:ind w:firstLine="2400" w:firstLineChars="1000"/>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磋商响应文件</w:t>
      </w:r>
    </w:p>
    <w:p>
      <w:pPr>
        <w:spacing w:line="360" w:lineRule="auto"/>
        <w:rPr>
          <w:rFonts w:ascii="宋体" w:hAnsi="宋体" w:cs="宋体"/>
          <w:color w:val="auto"/>
          <w:sz w:val="24"/>
          <w:highlight w:val="none"/>
        </w:rPr>
      </w:pPr>
    </w:p>
    <w:p>
      <w:pPr>
        <w:spacing w:line="360" w:lineRule="auto"/>
        <w:ind w:firstLine="2400" w:firstLineChars="1000"/>
        <w:rPr>
          <w:rFonts w:ascii="宋体" w:hAnsi="宋体" w:cs="宋体"/>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填写：资格审查文件</w:t>
      </w:r>
    </w:p>
    <w:p>
      <w:pPr>
        <w:spacing w:line="360" w:lineRule="auto"/>
        <w:ind w:firstLine="2400" w:firstLineChars="1000"/>
        <w:rPr>
          <w:rFonts w:ascii="宋体" w:hAnsi="宋体" w:cs="宋体"/>
          <w:bCs/>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填写：商务技术文件</w:t>
      </w:r>
    </w:p>
    <w:p>
      <w:pPr>
        <w:spacing w:line="360" w:lineRule="auto"/>
        <w:ind w:firstLine="2400" w:firstLineChars="1000"/>
        <w:rPr>
          <w:rFonts w:ascii="宋体" w:hAnsi="宋体" w:cs="宋体"/>
          <w:bCs/>
          <w:color w:val="auto"/>
          <w:sz w:val="24"/>
          <w:highlight w:val="none"/>
        </w:rPr>
      </w:pPr>
      <w:r>
        <w:rPr>
          <w:rFonts w:hint="eastAsia" w:ascii="宋体" w:hAnsi="宋体" w:cs="宋体"/>
          <w:color w:val="auto"/>
          <w:sz w:val="24"/>
          <w:highlight w:val="none"/>
        </w:rPr>
        <w:t>对应</w:t>
      </w:r>
      <w:r>
        <w:rPr>
          <w:rFonts w:hint="eastAsia" w:ascii="宋体" w:hAnsi="宋体" w:cs="宋体"/>
          <w:bCs/>
          <w:color w:val="auto"/>
          <w:sz w:val="24"/>
          <w:highlight w:val="none"/>
        </w:rPr>
        <w:t>磋商响应文件</w:t>
      </w:r>
      <w:r>
        <w:rPr>
          <w:rFonts w:hint="eastAsia" w:ascii="宋体" w:hAnsi="宋体" w:cs="宋体"/>
          <w:color w:val="auto"/>
          <w:sz w:val="24"/>
          <w:highlight w:val="none"/>
        </w:rPr>
        <w:t>填写：报价文件</w:t>
      </w:r>
    </w:p>
    <w:p>
      <w:pPr>
        <w:jc w:val="center"/>
        <w:rPr>
          <w:rFonts w:ascii="宋体" w:hAnsi="宋体" w:cs="宋体"/>
          <w:b/>
          <w:color w:val="auto"/>
          <w:sz w:val="24"/>
          <w:highlight w:val="none"/>
        </w:rPr>
      </w:pPr>
      <w:r>
        <w:rPr>
          <w:rFonts w:hint="eastAsia" w:ascii="宋体" w:hAnsi="宋体" w:cs="宋体"/>
          <w:b/>
          <w:color w:val="auto"/>
          <w:sz w:val="24"/>
          <w:highlight w:val="none"/>
        </w:rPr>
        <w:t>（资格后审）</w:t>
      </w:r>
    </w:p>
    <w:p>
      <w:pPr>
        <w:jc w:val="center"/>
        <w:rPr>
          <w:rFonts w:ascii="宋体" w:hAnsi="宋体" w:cs="宋体"/>
          <w:b/>
          <w:color w:val="auto"/>
          <w:sz w:val="24"/>
          <w:highlight w:val="none"/>
        </w:rPr>
      </w:pPr>
    </w:p>
    <w:p>
      <w:pPr>
        <w:snapToGrid w:val="0"/>
        <w:spacing w:line="520" w:lineRule="exact"/>
        <w:jc w:val="center"/>
        <w:rPr>
          <w:rFonts w:ascii="宋体" w:hAnsi="宋体" w:cs="宋体"/>
          <w:b/>
          <w:color w:val="auto"/>
          <w:sz w:val="24"/>
          <w:highlight w:val="none"/>
        </w:rPr>
      </w:pPr>
      <w:r>
        <w:rPr>
          <w:rFonts w:hint="eastAsia" w:ascii="宋体" w:hAnsi="宋体" w:cs="宋体"/>
          <w:b/>
          <w:color w:val="auto"/>
          <w:sz w:val="24"/>
          <w:highlight w:val="none"/>
        </w:rPr>
        <w:t xml:space="preserve"> </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ind w:firstLine="1440" w:firstLineChars="600"/>
        <w:rPr>
          <w:rFonts w:ascii="宋体" w:hAnsi="宋体" w:cs="宋体"/>
          <w:color w:val="auto"/>
          <w:sz w:val="24"/>
          <w:highlight w:val="none"/>
        </w:rPr>
      </w:pPr>
      <w:r>
        <w:rPr>
          <w:rFonts w:hint="eastAsia" w:ascii="宋体" w:hAnsi="宋体" w:cs="宋体"/>
          <w:color w:val="auto"/>
          <w:sz w:val="24"/>
          <w:highlight w:val="none"/>
        </w:rPr>
        <w:t>响应供应商：参加供应商全称（公章）</w:t>
      </w:r>
    </w:p>
    <w:p>
      <w:pPr>
        <w:spacing w:line="360" w:lineRule="auto"/>
        <w:ind w:firstLine="1440" w:firstLineChars="600"/>
        <w:rPr>
          <w:rFonts w:ascii="宋体" w:hAnsi="宋体" w:cs="宋体"/>
          <w:color w:val="auto"/>
          <w:sz w:val="24"/>
          <w:highlight w:val="none"/>
        </w:rPr>
      </w:pPr>
      <w:r>
        <w:rPr>
          <w:rFonts w:hint="eastAsia" w:ascii="宋体" w:hAnsi="宋体" w:cs="宋体"/>
          <w:color w:val="auto"/>
          <w:sz w:val="24"/>
          <w:highlight w:val="none"/>
        </w:rPr>
        <w:t>日  期：      年  月  日</w:t>
      </w:r>
    </w:p>
    <w:p>
      <w:pPr>
        <w:jc w:val="left"/>
        <w:rPr>
          <w:rFonts w:ascii="宋体" w:hAnsi="宋体" w:cs="宋体"/>
          <w:b/>
          <w:bCs/>
          <w:color w:val="auto"/>
          <w:sz w:val="24"/>
          <w:highlight w:val="none"/>
        </w:rPr>
      </w:pPr>
      <w:r>
        <w:rPr>
          <w:rFonts w:ascii="宋体" w:hAnsi="宋体" w:cs="宋体"/>
          <w:color w:val="auto"/>
          <w:sz w:val="24"/>
          <w:highlight w:val="none"/>
        </w:rPr>
        <w:br w:type="page"/>
      </w:r>
      <w:r>
        <w:rPr>
          <w:rFonts w:hint="eastAsia" w:ascii="宋体" w:hAnsi="宋体" w:cs="宋体"/>
          <w:b/>
          <w:bCs/>
          <w:color w:val="auto"/>
          <w:sz w:val="24"/>
          <w:highlight w:val="none"/>
        </w:rPr>
        <w:t>一、资格审查文件相关的格式文件及表格</w:t>
      </w:r>
    </w:p>
    <w:p>
      <w:pPr>
        <w:snapToGrid w:val="0"/>
        <w:spacing w:line="360" w:lineRule="auto"/>
        <w:jc w:val="center"/>
        <w:outlineLvl w:val="4"/>
        <w:rPr>
          <w:rFonts w:ascii="宋体" w:hAnsi="宋体" w:cs="宋体"/>
          <w:b/>
          <w:bCs/>
          <w:color w:val="auto"/>
          <w:sz w:val="24"/>
          <w:highlight w:val="none"/>
        </w:rPr>
      </w:pPr>
    </w:p>
    <w:p>
      <w:pPr>
        <w:snapToGrid w:val="0"/>
        <w:spacing w:line="360" w:lineRule="auto"/>
        <w:jc w:val="center"/>
        <w:outlineLvl w:val="4"/>
        <w:rPr>
          <w:rFonts w:ascii="宋体" w:hAnsi="宋体" w:cs="宋体"/>
          <w:b/>
          <w:bCs/>
          <w:color w:val="auto"/>
          <w:sz w:val="24"/>
          <w:highlight w:val="none"/>
        </w:rPr>
      </w:pPr>
      <w:r>
        <w:rPr>
          <w:rFonts w:hint="eastAsia" w:ascii="宋体" w:hAnsi="宋体" w:cs="宋体"/>
          <w:b/>
          <w:bCs/>
          <w:color w:val="auto"/>
          <w:sz w:val="24"/>
          <w:highlight w:val="none"/>
        </w:rPr>
        <w:t>1、关于资格文件的声明函</w:t>
      </w:r>
    </w:p>
    <w:p>
      <w:pPr>
        <w:adjustRightInd w:val="0"/>
        <w:snapToGrid w:val="0"/>
        <w:spacing w:line="360" w:lineRule="auto"/>
        <w:jc w:val="left"/>
        <w:rPr>
          <w:rFonts w:ascii="宋体" w:hAnsi="宋体" w:cs="宋体"/>
          <w:color w:val="auto"/>
          <w:sz w:val="24"/>
          <w:highlight w:val="none"/>
          <w:u w:val="singl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overflowPunct w:val="0"/>
        <w:adjustRightInd w:val="0"/>
        <w:spacing w:line="360" w:lineRule="auto"/>
        <w:ind w:firstLine="480" w:firstLineChars="200"/>
        <w:jc w:val="left"/>
        <w:textAlignment w:val="baseline"/>
        <w:rPr>
          <w:rFonts w:ascii="宋体" w:hAnsi="宋体" w:cs="宋体"/>
          <w:color w:val="auto"/>
          <w:sz w:val="24"/>
          <w:highlight w:val="none"/>
        </w:rPr>
      </w:pPr>
      <w:r>
        <w:rPr>
          <w:rFonts w:hint="eastAsia" w:ascii="宋体" w:hAnsi="宋体" w:cs="宋体"/>
          <w:color w:val="auto"/>
          <w:sz w:val="24"/>
          <w:highlight w:val="none"/>
        </w:rPr>
        <w:t>本公司愿就由贵单位组织实施的</w:t>
      </w:r>
      <w:r>
        <w:rPr>
          <w:rFonts w:hint="eastAsia" w:ascii="宋体" w:hAnsi="宋体" w:cs="宋体"/>
          <w:color w:val="auto"/>
          <w:sz w:val="24"/>
          <w:highlight w:val="none"/>
          <w:u w:val="single"/>
        </w:rPr>
        <w:t xml:space="preserve">          （磋商项目名称及项目编号</w:t>
      </w:r>
      <w:r>
        <w:rPr>
          <w:rFonts w:ascii="宋体" w:hAnsi="宋体" w:cs="宋体"/>
          <w:color w:val="auto"/>
          <w:sz w:val="24"/>
          <w:highlight w:val="none"/>
          <w:u w:val="single"/>
        </w:rPr>
        <w:t>)</w:t>
      </w:r>
      <w:r>
        <w:rPr>
          <w:rFonts w:hint="eastAsia" w:ascii="宋体" w:hAnsi="宋体" w:cs="宋体"/>
          <w:color w:val="auto"/>
          <w:sz w:val="24"/>
          <w:highlight w:val="none"/>
        </w:rPr>
        <w:t>的活动参与磋商。本公司所提交的磋商文件中所有关于资格的文件、证明和陈述均是真实的、准确的。若与真实情况不符，本公司愿意承担由此而产生的一切后果。</w:t>
      </w:r>
    </w:p>
    <w:p>
      <w:pPr>
        <w:overflowPunct w:val="0"/>
        <w:adjustRightInd w:val="0"/>
        <w:spacing w:line="360" w:lineRule="auto"/>
        <w:ind w:firstLine="420"/>
        <w:jc w:val="left"/>
        <w:textAlignment w:val="baseline"/>
        <w:rPr>
          <w:rFonts w:ascii="宋体" w:hAnsi="宋体" w:cs="宋体"/>
          <w:color w:val="auto"/>
          <w:sz w:val="24"/>
          <w:highlight w:val="none"/>
        </w:rPr>
      </w:pPr>
    </w:p>
    <w:p>
      <w:pPr>
        <w:overflowPunct w:val="0"/>
        <w:adjustRightInd w:val="0"/>
        <w:spacing w:line="360" w:lineRule="auto"/>
        <w:ind w:firstLine="420"/>
        <w:jc w:val="left"/>
        <w:textAlignment w:val="baseline"/>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响应供应商：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pacing w:line="360" w:lineRule="auto"/>
        <w:jc w:val="center"/>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2、法定代表人身份证明</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u w:val="single"/>
        </w:rPr>
        <w:t>（法定代表人参加磋商时，须出示此证明）</w:t>
      </w:r>
    </w:p>
    <w:p>
      <w:pPr>
        <w:adjustRightInd w:val="0"/>
        <w:snapToGrid w:val="0"/>
        <w:spacing w:line="360" w:lineRule="auto"/>
        <w:jc w:val="left"/>
        <w:rPr>
          <w:rFonts w:ascii="宋体" w:hAnsi="宋体" w:cs="宋体"/>
          <w:color w:val="auto"/>
          <w:sz w:val="24"/>
          <w:highlight w:val="none"/>
          <w:u w:val="singl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我公司法定代表人</w:t>
      </w:r>
      <w:r>
        <w:rPr>
          <w:rFonts w:hint="eastAsia" w:ascii="宋体" w:hAnsi="宋体" w:cs="宋体"/>
          <w:color w:val="auto"/>
          <w:sz w:val="24"/>
          <w:highlight w:val="none"/>
          <w:u w:val="single"/>
        </w:rPr>
        <w:t>　　　</w:t>
      </w:r>
      <w:r>
        <w:rPr>
          <w:rFonts w:hint="eastAsia" w:ascii="宋体" w:hAnsi="宋体" w:cs="宋体"/>
          <w:color w:val="auto"/>
          <w:sz w:val="24"/>
          <w:highlight w:val="none"/>
        </w:rPr>
        <w:t>参加贵单位组织的</w:t>
      </w:r>
      <w:r>
        <w:rPr>
          <w:rFonts w:hint="eastAsia" w:ascii="宋体" w:hAnsi="宋体" w:cs="宋体"/>
          <w:color w:val="auto"/>
          <w:sz w:val="24"/>
          <w:highlight w:val="none"/>
          <w:u w:val="single"/>
        </w:rPr>
        <w:t>（竞争性磋商项目名称及项目编号</w:t>
      </w:r>
      <w:r>
        <w:rPr>
          <w:rFonts w:ascii="宋体" w:hAnsi="宋体" w:cs="宋体"/>
          <w:color w:val="auto"/>
          <w:sz w:val="24"/>
          <w:highlight w:val="none"/>
          <w:u w:val="single"/>
        </w:rPr>
        <w:t>)</w:t>
      </w:r>
      <w:r>
        <w:rPr>
          <w:rFonts w:hint="eastAsia" w:ascii="宋体" w:hAnsi="宋体" w:cs="宋体"/>
          <w:color w:val="auto"/>
          <w:sz w:val="24"/>
          <w:highlight w:val="none"/>
        </w:rPr>
        <w:t>项目的磋商活动，全权代表我公司处理竞争性磋商的有关事宜。</w:t>
      </w:r>
    </w:p>
    <w:p>
      <w:pPr>
        <w:spacing w:line="360" w:lineRule="auto"/>
        <w:ind w:firstLine="480" w:firstLineChars="200"/>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附：法定代表人情况：</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手机：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adjustRightInd w:val="0"/>
        <w:snapToGrid w:val="0"/>
        <w:spacing w:line="360" w:lineRule="auto"/>
        <w:ind w:firstLine="482"/>
        <w:rPr>
          <w:color w:val="auto"/>
          <w:kern w:val="0"/>
          <w:sz w:val="24"/>
          <w:szCs w:val="20"/>
          <w:highlight w:val="none"/>
          <w:shd w:val="clear" w:color="auto" w:fill="FFFFFF"/>
        </w:rPr>
      </w:pPr>
    </w:p>
    <w:p>
      <w:pPr>
        <w:rPr>
          <w:rFonts w:ascii="宋体" w:hAnsi="宋体" w:cs="宋体"/>
          <w:color w:val="auto"/>
          <w:sz w:val="24"/>
          <w:highlight w:val="none"/>
        </w:rPr>
      </w:pPr>
    </w:p>
    <w:p>
      <w:pPr>
        <w:widowControl/>
        <w:tabs>
          <w:tab w:val="right" w:leader="hyphen" w:pos="9736"/>
        </w:tabs>
        <w:spacing w:after="100" w:line="276" w:lineRule="auto"/>
        <w:jc w:val="center"/>
        <w:rPr>
          <w:rFonts w:ascii="Calibri" w:hAnsi="Calibri"/>
          <w:color w:val="auto"/>
          <w:kern w:val="0"/>
          <w:sz w:val="22"/>
          <w:szCs w:val="22"/>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单位名称（公章）             法定代表人（签字或盖章）</w:t>
      </w:r>
    </w:p>
    <w:p>
      <w:pPr>
        <w:spacing w:line="360" w:lineRule="auto"/>
        <w:ind w:firstLine="1200" w:firstLineChars="500"/>
        <w:rPr>
          <w:rFonts w:ascii="宋体" w:hAnsi="宋体" w:cs="宋体"/>
          <w:color w:val="auto"/>
          <w:sz w:val="24"/>
          <w:highlight w:val="none"/>
        </w:rPr>
      </w:pPr>
      <w:r>
        <w:rPr>
          <w:rFonts w:hint="eastAsia" w:ascii="宋体" w:hAnsi="宋体" w:cs="宋体"/>
          <w:color w:val="auto"/>
          <w:sz w:val="24"/>
          <w:highlight w:val="none"/>
        </w:rPr>
        <w:t xml:space="preserve">年   月   日                 年   月    日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法定代表人身份证复印件（正反面）</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2280" w:firstLineChars="95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ind w:firstLine="2289" w:firstLineChars="950"/>
        <w:rPr>
          <w:rFonts w:ascii="宋体" w:hAnsi="宋体" w:cs="宋体"/>
          <w:b/>
          <w:bCs/>
          <w:color w:val="auto"/>
          <w:sz w:val="24"/>
          <w:highlight w:val="none"/>
        </w:rPr>
      </w:pPr>
    </w:p>
    <w:p>
      <w:pPr>
        <w:spacing w:line="360" w:lineRule="auto"/>
        <w:ind w:firstLine="2289" w:firstLineChars="950"/>
        <w:rPr>
          <w:rFonts w:ascii="宋体" w:hAnsi="宋体" w:cs="宋体"/>
          <w:b/>
          <w:bCs/>
          <w:color w:val="auto"/>
          <w:sz w:val="24"/>
          <w:highlight w:val="none"/>
        </w:rPr>
      </w:pPr>
      <w:r>
        <w:rPr>
          <w:rFonts w:hint="eastAsia" w:ascii="宋体" w:hAnsi="宋体" w:cs="宋体"/>
          <w:b/>
          <w:bCs/>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 如为法定代表人参加竞磋时，须将身份证原件带至磋商现场备查。</w:t>
      </w:r>
    </w:p>
    <w:p>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3、授权委托书</w:t>
      </w:r>
    </w:p>
    <w:p>
      <w:pPr>
        <w:snapToGrid w:val="0"/>
        <w:spacing w:line="360" w:lineRule="auto"/>
        <w:jc w:val="center"/>
        <w:rPr>
          <w:rFonts w:ascii="宋体" w:hAnsi="宋体" w:cs="宋体"/>
          <w:color w:val="auto"/>
          <w:sz w:val="24"/>
          <w:highlight w:val="none"/>
          <w:u w:val="single"/>
        </w:rPr>
      </w:pPr>
      <w:r>
        <w:rPr>
          <w:rFonts w:hint="eastAsia" w:ascii="宋体" w:hAnsi="宋体" w:cs="宋体"/>
          <w:color w:val="auto"/>
          <w:sz w:val="24"/>
          <w:highlight w:val="none"/>
          <w:u w:val="single"/>
        </w:rPr>
        <w:t>（被授权人参加磋商时，须出示此证明）</w:t>
      </w:r>
    </w:p>
    <w:p>
      <w:pPr>
        <w:snapToGrid w:val="0"/>
        <w:spacing w:line="360" w:lineRule="auto"/>
        <w:rPr>
          <w:rFonts w:ascii="宋体" w:hAnsi="宋体" w:cs="宋体"/>
          <w:bCs/>
          <w:color w:val="auto"/>
          <w:sz w:val="24"/>
          <w:highlight w:val="non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napToGrid w:val="0"/>
        <w:spacing w:line="360" w:lineRule="auto"/>
        <w:ind w:firstLine="480" w:firstLineChars="200"/>
        <w:rPr>
          <w:rFonts w:ascii="宋体" w:hAnsi="宋体" w:cs="宋体"/>
          <w:color w:val="auto"/>
          <w:sz w:val="24"/>
          <w:highlight w:val="none"/>
        </w:rPr>
      </w:pPr>
      <w:r>
        <w:rPr>
          <w:rFonts w:hint="eastAsia" w:hAnsi="宋体" w:cs="宋体"/>
          <w:color w:val="auto"/>
          <w:sz w:val="24"/>
          <w:highlight w:val="none"/>
        </w:rPr>
        <w:t>兹授权</w:t>
      </w:r>
      <w:r>
        <w:rPr>
          <w:rFonts w:hint="eastAsia" w:hAnsi="宋体" w:cs="宋体"/>
          <w:color w:val="auto"/>
          <w:sz w:val="24"/>
          <w:highlight w:val="none"/>
          <w:u w:val="single"/>
        </w:rPr>
        <w:t xml:space="preserve">    （</w:t>
      </w:r>
      <w:r>
        <w:rPr>
          <w:rFonts w:hint="eastAsia" w:hAnsi="宋体" w:cs="宋体"/>
          <w:color w:val="auto"/>
          <w:sz w:val="24"/>
          <w:highlight w:val="none"/>
        </w:rPr>
        <w:t>被授权人的姓名）代表我公司参加</w:t>
      </w:r>
      <w:r>
        <w:rPr>
          <w:rFonts w:hint="eastAsia" w:hAnsi="宋体" w:cs="宋体"/>
          <w:color w:val="auto"/>
          <w:sz w:val="24"/>
          <w:highlight w:val="none"/>
          <w:u w:val="single"/>
        </w:rPr>
        <w:t xml:space="preserve">   （</w:t>
      </w:r>
      <w:r>
        <w:rPr>
          <w:rFonts w:hint="eastAsia" w:ascii="宋体" w:hAnsi="宋体" w:cs="宋体"/>
          <w:color w:val="auto"/>
          <w:sz w:val="24"/>
          <w:highlight w:val="none"/>
          <w:u w:val="single"/>
        </w:rPr>
        <w:t>竞争性磋商项目名称及项目编号</w:t>
      </w:r>
      <w:r>
        <w:rPr>
          <w:rFonts w:hAnsi="宋体"/>
          <w:color w:val="auto"/>
          <w:sz w:val="24"/>
          <w:highlight w:val="none"/>
          <w:u w:val="single"/>
        </w:rPr>
        <w:t>)</w:t>
      </w:r>
      <w:r>
        <w:rPr>
          <w:rFonts w:hint="eastAsia" w:hAnsi="宋体" w:cs="宋体"/>
          <w:color w:val="auto"/>
          <w:sz w:val="24"/>
          <w:highlight w:val="none"/>
        </w:rPr>
        <w:t>项目的政府采购活动，全权处理一切与该采购项目有关的事务。其在办理上述事宜过程中所签署的所有文件我公司均予以承认。</w:t>
      </w:r>
    </w:p>
    <w:p>
      <w:pPr>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被授权人无转委托权，特此委托。</w:t>
      </w:r>
    </w:p>
    <w:p>
      <w:pPr>
        <w:adjustRightInd w:val="0"/>
        <w:snapToGrid w:val="0"/>
        <w:spacing w:line="360" w:lineRule="auto"/>
        <w:ind w:firstLine="480" w:firstLineChars="200"/>
        <w:jc w:val="left"/>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附：被授权人情况：</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年龄：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职务：</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手机：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传真：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单位名称（公章）             法定代表人（签字或盖章）</w:t>
      </w:r>
    </w:p>
    <w:p>
      <w:pPr>
        <w:spacing w:line="360" w:lineRule="auto"/>
        <w:ind w:firstLine="1200" w:firstLineChars="500"/>
        <w:rPr>
          <w:rFonts w:ascii="宋体" w:hAnsi="宋体" w:cs="宋体"/>
          <w:color w:val="auto"/>
          <w:sz w:val="24"/>
          <w:highlight w:val="none"/>
        </w:rPr>
      </w:pPr>
      <w:r>
        <w:rPr>
          <w:rFonts w:hint="eastAsia" w:ascii="宋体" w:hAnsi="宋体" w:cs="宋体"/>
          <w:color w:val="auto"/>
          <w:sz w:val="24"/>
          <w:highlight w:val="none"/>
        </w:rPr>
        <w:t xml:space="preserve">年   月   日                 年   月    日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法定代表人身份证复印件（正反面）</w:t>
      </w:r>
    </w:p>
    <w:p>
      <w:pPr>
        <w:spacing w:line="360" w:lineRule="auto"/>
        <w:rPr>
          <w:rFonts w:ascii="宋体" w:hAnsi="宋体" w:cs="宋体"/>
          <w:color w:val="auto"/>
          <w:sz w:val="24"/>
          <w:highlight w:val="none"/>
        </w:rPr>
      </w:pPr>
    </w:p>
    <w:p>
      <w:pPr>
        <w:spacing w:line="360" w:lineRule="auto"/>
        <w:ind w:firstLine="2160" w:firstLineChars="90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被授权人身份证复印件（正反面）</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2280" w:firstLineChars="950"/>
        <w:rPr>
          <w:rFonts w:ascii="宋体" w:hAnsi="宋体" w:cs="宋体"/>
          <w:color w:val="auto"/>
          <w:sz w:val="24"/>
          <w:highlight w:val="none"/>
        </w:rPr>
      </w:pPr>
      <w:r>
        <w:rPr>
          <w:rFonts w:hint="eastAsia" w:ascii="宋体" w:hAnsi="宋体" w:cs="宋体"/>
          <w:color w:val="auto"/>
          <w:sz w:val="24"/>
          <w:highlight w:val="none"/>
        </w:rPr>
        <w:t>（粘贴此处）</w:t>
      </w:r>
    </w:p>
    <w:p>
      <w:pPr>
        <w:spacing w:line="360" w:lineRule="auto"/>
        <w:ind w:firstLine="2289" w:firstLineChars="950"/>
        <w:rPr>
          <w:rFonts w:ascii="宋体" w:hAnsi="宋体" w:cs="宋体"/>
          <w:b/>
          <w:bCs/>
          <w:color w:val="auto"/>
          <w:sz w:val="24"/>
          <w:highlight w:val="none"/>
        </w:rPr>
      </w:pP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 如为被授权人参加竞磋时，须将身份证原件带至磋商现场备查。</w:t>
      </w:r>
    </w:p>
    <w:p>
      <w:pPr>
        <w:snapToGrid w:val="0"/>
        <w:spacing w:line="360" w:lineRule="auto"/>
        <w:jc w:val="center"/>
        <w:outlineLvl w:val="4"/>
        <w:rPr>
          <w:rFonts w:ascii="宋体" w:hAnsi="宋体" w:cs="宋体"/>
          <w:b/>
          <w:bCs/>
          <w:color w:val="auto"/>
          <w:sz w:val="24"/>
          <w:highlight w:val="none"/>
        </w:rPr>
      </w:pPr>
      <w:r>
        <w:rPr>
          <w:rFonts w:hint="eastAsia" w:ascii="宋体" w:hAnsi="宋体" w:cs="宋体"/>
          <w:b/>
          <w:bCs/>
          <w:color w:val="auto"/>
          <w:sz w:val="24"/>
          <w:highlight w:val="none"/>
        </w:rPr>
        <w:br w:type="page"/>
      </w:r>
    </w:p>
    <w:p>
      <w:pPr>
        <w:snapToGrid w:val="0"/>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4、履行合同所必需的设备和专业技术能力承诺函</w:t>
      </w:r>
    </w:p>
    <w:p>
      <w:pPr>
        <w:snapToGrid w:val="0"/>
        <w:spacing w:line="360" w:lineRule="auto"/>
        <w:jc w:val="center"/>
        <w:rPr>
          <w:rFonts w:ascii="宋体" w:hAnsi="宋体" w:cs="宋体"/>
          <w:b/>
          <w:bCs/>
          <w:color w:val="auto"/>
          <w:sz w:val="24"/>
          <w:highlight w:val="none"/>
        </w:rPr>
      </w:pPr>
    </w:p>
    <w:p>
      <w:pPr>
        <w:adjustRightInd w:val="0"/>
        <w:snapToGrid w:val="0"/>
        <w:spacing w:line="360" w:lineRule="auto"/>
        <w:jc w:val="left"/>
        <w:rPr>
          <w:rFonts w:ascii="宋体" w:hAnsi="宋体" w:cs="宋体"/>
          <w:color w:val="auto"/>
          <w:sz w:val="24"/>
          <w:highlight w:val="none"/>
          <w:u w:val="single"/>
        </w:rPr>
      </w:pPr>
      <w:r>
        <w:rPr>
          <w:rFonts w:hint="eastAsia" w:ascii="宋体" w:hAnsi="宋体" w:cs="宋体"/>
          <w:color w:val="auto"/>
          <w:sz w:val="24"/>
          <w:highlight w:val="none"/>
          <w:u w:val="single"/>
        </w:rPr>
        <w:t xml:space="preserve">      （采购人）    ： </w:t>
      </w:r>
    </w:p>
    <w:p>
      <w:pPr>
        <w:spacing w:line="360" w:lineRule="auto"/>
        <w:ind w:firstLine="560"/>
        <w:jc w:val="left"/>
        <w:rPr>
          <w:rFonts w:ascii="宋体" w:hAnsi="宋体" w:cs="宋体"/>
          <w:color w:val="auto"/>
          <w:sz w:val="24"/>
          <w:highlight w:val="none"/>
        </w:rPr>
      </w:pPr>
      <w:r>
        <w:rPr>
          <w:rFonts w:hint="eastAsia" w:ascii="宋体" w:hAnsi="宋体" w:cs="宋体"/>
          <w:color w:val="auto"/>
          <w:sz w:val="24"/>
          <w:highlight w:val="none"/>
        </w:rPr>
        <w:t>我单位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（供应商名称）郑重承诺：</w:t>
      </w:r>
    </w:p>
    <w:p>
      <w:pPr>
        <w:spacing w:line="360" w:lineRule="auto"/>
        <w:ind w:firstLine="560"/>
        <w:jc w:val="left"/>
        <w:rPr>
          <w:rFonts w:ascii="宋体" w:hAnsi="宋体" w:cs="宋体"/>
          <w:color w:val="auto"/>
          <w:sz w:val="24"/>
          <w:highlight w:val="none"/>
        </w:rPr>
      </w:pPr>
      <w:r>
        <w:rPr>
          <w:rFonts w:hint="eastAsia" w:ascii="宋体" w:hAnsi="宋体" w:cs="宋体"/>
          <w:color w:val="auto"/>
          <w:sz w:val="24"/>
          <w:highlight w:val="none"/>
        </w:rPr>
        <w:t>贵方组织的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(竞争性磋商项目名称），</w:t>
      </w:r>
      <w:r>
        <w:rPr>
          <w:rFonts w:hint="eastAsia" w:ascii="宋体" w:hAnsi="宋体" w:cs="宋体"/>
          <w:color w:val="auto"/>
          <w:sz w:val="24"/>
          <w:highlight w:val="none"/>
          <w:u w:val="single"/>
        </w:rPr>
        <w:t xml:space="preserve">               (项目编号）</w:t>
      </w:r>
      <w:r>
        <w:rPr>
          <w:rFonts w:hint="eastAsia" w:ascii="宋体" w:hAnsi="宋体" w:cs="宋体"/>
          <w:color w:val="auto"/>
          <w:sz w:val="24"/>
          <w:highlight w:val="none"/>
        </w:rPr>
        <w:t>，我单位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(在下划线上如实填写：有或没有）履行合同所必需的设备和专业技术能力。</w:t>
      </w:r>
    </w:p>
    <w:p>
      <w:pPr>
        <w:spacing w:line="360" w:lineRule="auto"/>
        <w:ind w:firstLine="560"/>
        <w:jc w:val="left"/>
        <w:rPr>
          <w:rFonts w:ascii="宋体" w:hAnsi="宋体" w:cs="宋体"/>
          <w:color w:val="auto"/>
          <w:sz w:val="24"/>
          <w:highlight w:val="none"/>
        </w:rPr>
      </w:pPr>
    </w:p>
    <w:p>
      <w:pPr>
        <w:spacing w:line="360" w:lineRule="auto"/>
        <w:ind w:firstLine="560"/>
        <w:jc w:val="left"/>
        <w:rPr>
          <w:rFonts w:ascii="宋体" w:hAnsi="宋体" w:cs="宋体"/>
          <w:color w:val="auto"/>
          <w:sz w:val="24"/>
          <w:highlight w:val="none"/>
        </w:rPr>
      </w:pPr>
    </w:p>
    <w:p>
      <w:pPr>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法定代表人或被授权人（签字或盖章）：</w:t>
      </w:r>
    </w:p>
    <w:p>
      <w:pPr>
        <w:snapToGrid w:val="0"/>
        <w:spacing w:line="460" w:lineRule="exact"/>
        <w:jc w:val="right"/>
        <w:rPr>
          <w:rFonts w:ascii="宋体" w:hAnsi="宋体"/>
          <w:bCs/>
          <w:color w:val="auto"/>
          <w:sz w:val="24"/>
          <w:highlight w:val="none"/>
        </w:rPr>
      </w:pPr>
    </w:p>
    <w:p>
      <w:pPr>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 xml:space="preserve">        </w:t>
      </w:r>
      <w:r>
        <w:rPr>
          <w:rFonts w:ascii="宋体" w:hAnsi="宋体"/>
          <w:bCs/>
          <w:color w:val="auto"/>
          <w:sz w:val="24"/>
          <w:highlight w:val="none"/>
        </w:rPr>
        <w:t xml:space="preserve">                                </w:t>
      </w:r>
      <w:r>
        <w:rPr>
          <w:rFonts w:hint="eastAsia" w:ascii="宋体" w:hAnsi="宋体"/>
          <w:bCs/>
          <w:color w:val="auto"/>
          <w:sz w:val="24"/>
          <w:highlight w:val="none"/>
        </w:rPr>
        <w:t>（供应商）公章：</w:t>
      </w:r>
    </w:p>
    <w:p>
      <w:pPr>
        <w:snapToGrid w:val="0"/>
        <w:spacing w:line="460" w:lineRule="exact"/>
        <w:jc w:val="right"/>
        <w:rPr>
          <w:rFonts w:ascii="宋体" w:hAnsi="宋体"/>
          <w:bCs/>
          <w:color w:val="auto"/>
          <w:sz w:val="24"/>
          <w:highlight w:val="none"/>
        </w:rPr>
      </w:pPr>
    </w:p>
    <w:p>
      <w:pPr>
        <w:wordWrap w:val="0"/>
        <w:snapToGrid w:val="0"/>
        <w:spacing w:line="460" w:lineRule="exact"/>
        <w:jc w:val="right"/>
        <w:rPr>
          <w:rFonts w:ascii="宋体" w:hAnsi="宋体"/>
          <w:bCs/>
          <w:color w:val="auto"/>
          <w:sz w:val="24"/>
          <w:highlight w:val="none"/>
        </w:rPr>
      </w:pPr>
      <w:r>
        <w:rPr>
          <w:rFonts w:hint="eastAsia" w:ascii="宋体" w:hAnsi="宋体"/>
          <w:bCs/>
          <w:color w:val="auto"/>
          <w:sz w:val="24"/>
          <w:highlight w:val="none"/>
        </w:rPr>
        <w:t>年</w:t>
      </w:r>
      <w:r>
        <w:rPr>
          <w:rFonts w:hint="eastAsia" w:ascii="宋体" w:hAnsi="宋体"/>
          <w:bCs/>
          <w:color w:val="auto"/>
          <w:sz w:val="24"/>
          <w:highlight w:val="none"/>
        </w:rPr>
        <w:tab/>
      </w:r>
      <w:r>
        <w:rPr>
          <w:rFonts w:hint="eastAsia" w:ascii="宋体" w:hAnsi="宋体"/>
          <w:bCs/>
          <w:color w:val="auto"/>
          <w:sz w:val="24"/>
          <w:highlight w:val="none"/>
        </w:rPr>
        <w:t xml:space="preserve">   月 </w:t>
      </w:r>
      <w:r>
        <w:rPr>
          <w:rFonts w:hint="eastAsia" w:ascii="宋体" w:hAnsi="宋体"/>
          <w:bCs/>
          <w:color w:val="auto"/>
          <w:sz w:val="24"/>
          <w:highlight w:val="none"/>
        </w:rPr>
        <w:tab/>
      </w:r>
      <w:r>
        <w:rPr>
          <w:rFonts w:ascii="宋体" w:hAnsi="宋体"/>
          <w:bCs/>
          <w:color w:val="auto"/>
          <w:sz w:val="24"/>
          <w:highlight w:val="none"/>
        </w:rPr>
        <w:t xml:space="preserve">  </w:t>
      </w:r>
      <w:r>
        <w:rPr>
          <w:rFonts w:hint="eastAsia" w:ascii="宋体" w:hAnsi="宋体"/>
          <w:bCs/>
          <w:color w:val="auto"/>
          <w:sz w:val="24"/>
          <w:highlight w:val="none"/>
        </w:rPr>
        <w:t>日</w:t>
      </w:r>
    </w:p>
    <w:p>
      <w:pPr>
        <w:snapToGrid w:val="0"/>
        <w:spacing w:line="360" w:lineRule="auto"/>
        <w:jc w:val="center"/>
        <w:outlineLvl w:val="4"/>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5、 参加政府采购活动前 3 年内在经营活动中没有重大违法记录和失信记录的书面声明</w:t>
      </w:r>
    </w:p>
    <w:p>
      <w:pPr>
        <w:spacing w:line="460" w:lineRule="exact"/>
        <w:rPr>
          <w:rFonts w:ascii="宋体" w:hAnsi="宋体"/>
          <w:b/>
          <w:bCs/>
          <w:color w:val="auto"/>
          <w:sz w:val="44"/>
          <w:szCs w:val="44"/>
          <w:highlight w:val="none"/>
        </w:rPr>
      </w:pPr>
      <w:r>
        <w:rPr>
          <w:rFonts w:hint="eastAsia" w:ascii="宋体" w:hAnsi="宋体"/>
          <w:b/>
          <w:bCs/>
          <w:color w:val="auto"/>
          <w:sz w:val="24"/>
          <w:szCs w:val="21"/>
          <w:highlight w:val="none"/>
        </w:rPr>
        <w:t xml:space="preserve">                       </w:t>
      </w:r>
      <w:r>
        <w:rPr>
          <w:rFonts w:hint="eastAsia" w:ascii="宋体" w:hAnsi="宋体"/>
          <w:b/>
          <w:bCs/>
          <w:color w:val="auto"/>
          <w:sz w:val="44"/>
          <w:szCs w:val="44"/>
          <w:highlight w:val="none"/>
        </w:rPr>
        <w:t xml:space="preserve">  </w:t>
      </w:r>
    </w:p>
    <w:p>
      <w:pPr>
        <w:spacing w:line="500" w:lineRule="exact"/>
        <w:ind w:firstLine="482"/>
        <w:rPr>
          <w:bCs/>
          <w:color w:val="auto"/>
          <w:sz w:val="24"/>
          <w:szCs w:val="21"/>
          <w:highlight w:val="none"/>
        </w:rPr>
      </w:pPr>
      <w:r>
        <w:rPr>
          <w:bCs/>
          <w:color w:val="auto"/>
          <w:sz w:val="24"/>
          <w:szCs w:val="21"/>
          <w:highlight w:val="none"/>
        </w:rPr>
        <w:t>我公司郑重声明：参加本次政府采购活动前 3 年内，我公司在经营活动中</w:t>
      </w:r>
    </w:p>
    <w:p>
      <w:pPr>
        <w:spacing w:line="500" w:lineRule="exact"/>
        <w:jc w:val="left"/>
        <w:rPr>
          <w:bCs/>
          <w:color w:val="auto"/>
          <w:sz w:val="24"/>
          <w:szCs w:val="21"/>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w:t>
      </w:r>
      <w:r>
        <w:rPr>
          <w:bCs/>
          <w:color w:val="auto"/>
          <w:sz w:val="24"/>
          <w:szCs w:val="21"/>
          <w:highlight w:val="none"/>
        </w:rPr>
        <w:t>因违法经营受到刑事处罚或者责令停产停业、吊销许可证或者执照、较大数额罚款等行政处罚。</w:t>
      </w:r>
    </w:p>
    <w:p>
      <w:pPr>
        <w:spacing w:line="500" w:lineRule="exact"/>
        <w:ind w:firstLine="482"/>
        <w:rPr>
          <w:rFonts w:ascii="宋体" w:hAnsi="宋体"/>
          <w:bCs/>
          <w:color w:val="auto"/>
          <w:sz w:val="24"/>
          <w:szCs w:val="21"/>
          <w:highlight w:val="none"/>
        </w:rPr>
      </w:pPr>
      <w:r>
        <w:rPr>
          <w:rFonts w:hint="eastAsia" w:ascii="宋体" w:hAnsi="宋体"/>
          <w:bCs/>
          <w:color w:val="auto"/>
          <w:sz w:val="24"/>
          <w:szCs w:val="21"/>
          <w:highlight w:val="none"/>
        </w:rPr>
        <w:t>在</w:t>
      </w:r>
      <w:r>
        <w:rPr>
          <w:rFonts w:hint="eastAsia" w:ascii="宋体" w:hAnsi="宋体"/>
          <w:color w:val="auto"/>
          <w:sz w:val="24"/>
          <w:highlight w:val="none"/>
        </w:rPr>
        <w:t>响应截止时间节点，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(在下划线上如实填写：有或没有）</w:t>
      </w:r>
      <w:r>
        <w:rPr>
          <w:rFonts w:hint="eastAsia" w:ascii="宋体" w:hAnsi="宋体"/>
          <w:color w:val="auto"/>
          <w:sz w:val="24"/>
          <w:highlight w:val="none"/>
        </w:rPr>
        <w:t>被“信用中国”</w:t>
      </w:r>
      <w:r>
        <w:rPr>
          <w:color w:val="auto"/>
          <w:sz w:val="24"/>
          <w:highlight w:val="none"/>
        </w:rPr>
        <w:t>（www.creditchina.gov.cn）</w:t>
      </w:r>
      <w:r>
        <w:rPr>
          <w:rFonts w:hint="eastAsia" w:ascii="宋体" w:hAnsi="宋体"/>
          <w:color w:val="auto"/>
          <w:sz w:val="24"/>
          <w:highlight w:val="none"/>
        </w:rPr>
        <w:t>、“中国政府采购网”</w:t>
      </w:r>
      <w:r>
        <w:rPr>
          <w:rFonts w:hint="eastAsia"/>
          <w:color w:val="auto"/>
          <w:sz w:val="24"/>
          <w:highlight w:val="none"/>
        </w:rPr>
        <w:t>（</w:t>
      </w:r>
      <w:r>
        <w:rPr>
          <w:color w:val="auto"/>
          <w:sz w:val="24"/>
          <w:highlight w:val="none"/>
        </w:rPr>
        <w:t>www.ccgp.gov.cn</w:t>
      </w:r>
      <w:r>
        <w:rPr>
          <w:rFonts w:hint="eastAsia"/>
          <w:color w:val="auto"/>
          <w:sz w:val="24"/>
          <w:highlight w:val="none"/>
        </w:rPr>
        <w:t>）</w:t>
      </w:r>
      <w:r>
        <w:rPr>
          <w:rFonts w:hint="eastAsia" w:ascii="宋体" w:hAnsi="宋体"/>
          <w:color w:val="auto"/>
          <w:sz w:val="24"/>
          <w:highlight w:val="none"/>
        </w:rPr>
        <w:t>、“信用江苏”</w:t>
      </w:r>
      <w:r>
        <w:rPr>
          <w:rFonts w:hint="eastAsia"/>
          <w:color w:val="auto"/>
          <w:sz w:val="24"/>
          <w:highlight w:val="none"/>
        </w:rPr>
        <w:t>（</w:t>
      </w:r>
      <w:r>
        <w:rPr>
          <w:color w:val="auto"/>
          <w:sz w:val="24"/>
          <w:highlight w:val="none"/>
        </w:rPr>
        <w:t>www.jscredit.cn/index.htm</w:t>
      </w:r>
      <w:r>
        <w:rPr>
          <w:rFonts w:hint="eastAsia"/>
          <w:color w:val="auto"/>
          <w:sz w:val="24"/>
          <w:highlight w:val="none"/>
        </w:rPr>
        <w:t>）</w:t>
      </w:r>
      <w:r>
        <w:rPr>
          <w:rFonts w:hint="eastAsia" w:ascii="宋体" w:hAnsi="宋体"/>
          <w:color w:val="auto"/>
          <w:sz w:val="24"/>
          <w:highlight w:val="none"/>
        </w:rPr>
        <w:t>网站列入失信被执行人、重大税收违法案件当事人名单、政府采购严重违法失信行为记录名单。</w:t>
      </w:r>
    </w:p>
    <w:p>
      <w:pPr>
        <w:spacing w:line="560" w:lineRule="exact"/>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 xml:space="preserve">                                  </w:t>
      </w:r>
    </w:p>
    <w:p>
      <w:pPr>
        <w:spacing w:line="360" w:lineRule="auto"/>
        <w:ind w:firstLine="480" w:firstLineChars="200"/>
        <w:jc w:val="right"/>
        <w:rPr>
          <w:rFonts w:ascii="宋体" w:hAnsi="宋体" w:cs="宋体"/>
          <w:color w:val="auto"/>
          <w:sz w:val="24"/>
          <w:highlight w:val="none"/>
        </w:rPr>
      </w:pP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 xml:space="preserve"> 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pacing w:line="240" w:lineRule="auto"/>
        <w:jc w:val="both"/>
        <w:rPr>
          <w:rFonts w:ascii="宋体" w:hAnsi="宋体" w:cs="宋体"/>
          <w:color w:val="auto"/>
          <w:sz w:val="24"/>
          <w:highlight w:val="none"/>
        </w:rPr>
      </w:pPr>
      <w:r>
        <w:rPr>
          <w:rFonts w:ascii="宋体" w:hAnsi="宋体" w:cs="宋体"/>
          <w:color w:val="auto"/>
          <w:sz w:val="24"/>
          <w:highlight w:val="none"/>
        </w:rPr>
        <w:br w:type="page"/>
      </w:r>
    </w:p>
    <w:p>
      <w:pPr>
        <w:snapToGrid w:val="0"/>
        <w:spacing w:line="360" w:lineRule="auto"/>
        <w:jc w:val="left"/>
        <w:outlineLvl w:val="4"/>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6、</w:t>
      </w:r>
      <w:r>
        <w:rPr>
          <w:rFonts w:hint="eastAsia" w:ascii="宋体" w:hAnsi="宋体" w:cs="宋体"/>
          <w:b/>
          <w:bCs/>
          <w:color w:val="auto"/>
          <w:sz w:val="24"/>
          <w:szCs w:val="24"/>
          <w:highlight w:val="none"/>
        </w:rPr>
        <w:t>投标人声明函</w:t>
      </w:r>
    </w:p>
    <w:p>
      <w:pPr>
        <w:snapToGrid w:val="0"/>
        <w:spacing w:line="360" w:lineRule="auto"/>
        <w:jc w:val="left"/>
        <w:rPr>
          <w:rFonts w:hint="eastAsia" w:ascii="宋体" w:hAnsi="宋体" w:cs="宋体"/>
          <w:bCs/>
          <w:color w:val="auto"/>
          <w:sz w:val="24"/>
          <w:szCs w:val="24"/>
          <w:highlight w:val="none"/>
        </w:rPr>
      </w:pPr>
      <w:r>
        <w:rPr>
          <w:rFonts w:hint="eastAsia" w:ascii="宋体" w:hAnsi="宋体" w:cs="宋体"/>
          <w:bCs/>
          <w:color w:val="auto"/>
          <w:sz w:val="32"/>
          <w:szCs w:val="32"/>
          <w:highlight w:val="none"/>
        </w:rPr>
        <w:t xml:space="preserve"> </w:t>
      </w:r>
      <w:r>
        <w:rPr>
          <w:rFonts w:hint="eastAsia" w:ascii="宋体" w:hAnsi="宋体" w:cs="宋体"/>
          <w:bCs/>
          <w:color w:val="auto"/>
          <w:sz w:val="24"/>
          <w:szCs w:val="24"/>
          <w:highlight w:val="none"/>
        </w:rPr>
        <w:t xml:space="preserve">                         </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我单位参加</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（项目名称）采购活动。我单位声明如下：</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1.我单位具有独立承担民事责任的能力；</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2.我单位具有良好的商业信誉和健全的财务会计制度；</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3.我单位具有履行合同所必需的设备和专业技术能力；</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rPr>
        <w:t>4.我单位有依法缴纳税收和社会保障资金的良好记录；</w:t>
      </w:r>
    </w:p>
    <w:p>
      <w:pPr>
        <w:snapToGrid w:val="0"/>
        <w:spacing w:line="360" w:lineRule="auto"/>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5</w:t>
      </w:r>
      <w:r>
        <w:rPr>
          <w:rFonts w:hint="eastAsia" w:ascii="宋体" w:hAnsi="宋体" w:cs="宋体"/>
          <w:bCs/>
          <w:color w:val="auto"/>
          <w:sz w:val="24"/>
          <w:highlight w:val="none"/>
        </w:rPr>
        <w:t>.我单位满足法律、行政法规规定的其他条件。</w:t>
      </w: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bCs/>
          <w:color w:val="auto"/>
          <w:sz w:val="24"/>
          <w:highlight w:val="none"/>
        </w:rPr>
      </w:pPr>
    </w:p>
    <w:p>
      <w:pPr>
        <w:snapToGrid w:val="0"/>
        <w:spacing w:line="360" w:lineRule="auto"/>
        <w:jc w:val="center"/>
        <w:rPr>
          <w:rFonts w:hint="eastAsia" w:ascii="宋体" w:hAnsi="宋体" w:cs="宋体"/>
          <w:color w:val="auto"/>
          <w:sz w:val="24"/>
          <w:highlight w:val="none"/>
        </w:rPr>
      </w:pPr>
      <w:r>
        <w:rPr>
          <w:rFonts w:hint="eastAsia" w:ascii="宋体" w:hAnsi="宋体" w:cs="宋体"/>
          <w:bCs/>
          <w:color w:val="auto"/>
          <w:sz w:val="24"/>
          <w:highlight w:val="none"/>
        </w:rPr>
        <w:t xml:space="preserve">                 </w:t>
      </w:r>
      <w:r>
        <w:rPr>
          <w:rFonts w:hint="eastAsia" w:ascii="宋体" w:hAnsi="宋体" w:cs="宋体"/>
          <w:color w:val="auto"/>
          <w:sz w:val="24"/>
          <w:highlight w:val="none"/>
        </w:rPr>
        <w:t xml:space="preserve"> 供应商：                    （加盖公章）</w:t>
      </w:r>
    </w:p>
    <w:p>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法定代表人或被授权人：          （签字或盖章）</w:t>
      </w:r>
    </w:p>
    <w:p>
      <w:pPr>
        <w:snapToGrid w:val="0"/>
        <w:spacing w:line="360" w:lineRule="auto"/>
        <w:jc w:val="center"/>
        <w:rPr>
          <w:rFonts w:hint="eastAsia" w:ascii="宋体" w:hAnsi="宋体" w:cs="宋体"/>
          <w:bCs/>
          <w:color w:val="auto"/>
          <w:sz w:val="24"/>
          <w:highlight w:val="none"/>
        </w:rPr>
      </w:pPr>
      <w:r>
        <w:rPr>
          <w:rFonts w:hint="eastAsia" w:ascii="宋体" w:hAnsi="宋体" w:cs="宋体"/>
          <w:color w:val="auto"/>
          <w:sz w:val="24"/>
          <w:highlight w:val="none"/>
        </w:rPr>
        <w:t>年      月     日</w:t>
      </w:r>
    </w:p>
    <w:p>
      <w:pPr>
        <w:spacing w:line="360" w:lineRule="auto"/>
        <w:ind w:firstLine="1320" w:firstLineChars="550"/>
        <w:jc w:val="right"/>
        <w:rPr>
          <w:rFonts w:ascii="宋体" w:hAnsi="宋体" w:cs="宋体"/>
          <w:color w:val="auto"/>
          <w:sz w:val="24"/>
          <w:highlight w:val="none"/>
        </w:rPr>
      </w:pPr>
    </w:p>
    <w:p>
      <w:pPr>
        <w:spacing w:line="360" w:lineRule="auto"/>
        <w:jc w:val="left"/>
        <w:rPr>
          <w:rFonts w:ascii="宋体" w:hAnsi="宋体" w:cs="宋体"/>
          <w:b/>
          <w:bCs/>
          <w:color w:val="auto"/>
          <w:sz w:val="24"/>
          <w:highlight w:val="none"/>
        </w:rPr>
      </w:pPr>
      <w:r>
        <w:rPr>
          <w:rFonts w:ascii="宋体" w:hAnsi="宋体" w:cs="宋体"/>
          <w:color w:val="auto"/>
          <w:sz w:val="24"/>
          <w:highlight w:val="none"/>
        </w:rPr>
        <w:br w:type="page"/>
      </w:r>
      <w:r>
        <w:rPr>
          <w:rFonts w:hint="eastAsia" w:ascii="宋体" w:hAnsi="宋体" w:cs="宋体"/>
          <w:b/>
          <w:bCs/>
          <w:color w:val="auto"/>
          <w:sz w:val="24"/>
          <w:highlight w:val="none"/>
        </w:rPr>
        <w:t>二、商务技术标相关的格式文件及表格</w:t>
      </w:r>
    </w:p>
    <w:p>
      <w:pPr>
        <w:spacing w:line="360" w:lineRule="auto"/>
        <w:jc w:val="center"/>
        <w:rPr>
          <w:rFonts w:ascii="宋体" w:hAnsi="宋体" w:cs="宋体"/>
          <w:b/>
          <w:bCs/>
          <w:color w:val="auto"/>
          <w:sz w:val="24"/>
          <w:highlight w:val="none"/>
        </w:rPr>
      </w:pPr>
      <w:r>
        <w:rPr>
          <w:rFonts w:hint="eastAsia" w:ascii="宋体" w:hAnsi="宋体" w:cs="宋体"/>
          <w:b/>
          <w:color w:val="auto"/>
          <w:sz w:val="24"/>
          <w:highlight w:val="none"/>
        </w:rPr>
        <w:t>1</w:t>
      </w:r>
      <w:r>
        <w:rPr>
          <w:rFonts w:hint="eastAsia" w:ascii="宋体" w:hAnsi="宋体" w:cs="宋体"/>
          <w:b/>
          <w:bCs/>
          <w:color w:val="auto"/>
          <w:sz w:val="24"/>
          <w:highlight w:val="none"/>
        </w:rPr>
        <w:t>、竞争性磋商响应函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rPr>
        <w:t>致    （采购人）    ：</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根据贵方的</w:t>
      </w:r>
      <w:r>
        <w:rPr>
          <w:rFonts w:ascii="Times New Roman" w:hAnsi="Times New Roman" w:cs="Times New Roman"/>
          <w:color w:val="auto"/>
          <w:highlight w:val="none"/>
          <w:u w:val="single"/>
        </w:rPr>
        <w:t xml:space="preserve">        </w:t>
      </w:r>
      <w:r>
        <w:rPr>
          <w:rFonts w:hint="eastAsia" w:ascii="Times New Roman" w:hAnsi="Times New Roman" w:cs="Times New Roman"/>
          <w:color w:val="auto"/>
          <w:highlight w:val="none"/>
          <w:u w:val="single"/>
        </w:rPr>
        <w:t>（竞争性磋商项目名称和项目编号）</w:t>
      </w:r>
      <w:r>
        <w:rPr>
          <w:rFonts w:ascii="Times New Roman" w:hAnsi="Times New Roman" w:cs="Times New Roman"/>
          <w:color w:val="auto"/>
          <w:highlight w:val="none"/>
        </w:rPr>
        <w:t>磋商文件，正式授权下述签字人</w:t>
      </w:r>
      <w:r>
        <w:rPr>
          <w:rFonts w:ascii="Times New Roman" w:hAnsi="Times New Roman" w:cs="Times New Roman"/>
          <w:color w:val="auto"/>
          <w:highlight w:val="none"/>
          <w:u w:val="single"/>
        </w:rPr>
        <w:t xml:space="preserve">         (姓名和职务)</w:t>
      </w:r>
      <w:r>
        <w:rPr>
          <w:rFonts w:ascii="Times New Roman" w:hAnsi="Times New Roman" w:cs="Times New Roman"/>
          <w:color w:val="auto"/>
          <w:highlight w:val="none"/>
        </w:rPr>
        <w:t>代表我方</w:t>
      </w:r>
      <w:r>
        <w:rPr>
          <w:rFonts w:ascii="Times New Roman" w:hAnsi="Times New Roman" w:cs="Times New Roman"/>
          <w:color w:val="auto"/>
          <w:highlight w:val="none"/>
          <w:u w:val="single"/>
        </w:rPr>
        <w:t xml:space="preserve">         （供应商的名称）</w:t>
      </w:r>
      <w:r>
        <w:rPr>
          <w:rFonts w:ascii="Times New Roman" w:hAnsi="Times New Roman" w:cs="Times New Roman"/>
          <w:color w:val="auto"/>
          <w:highlight w:val="none"/>
        </w:rPr>
        <w:t>，全权处理本次项目磋商采购的有关事宜。</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据此函，</w:t>
      </w:r>
      <w:r>
        <w:rPr>
          <w:rFonts w:ascii="Times New Roman" w:hAnsi="Times New Roman" w:cs="Times New Roman"/>
          <w:color w:val="auto"/>
          <w:highlight w:val="none"/>
          <w:u w:val="single"/>
        </w:rPr>
        <w:t xml:space="preserve">       （签字人</w:t>
      </w:r>
      <w:r>
        <w:rPr>
          <w:rFonts w:hint="eastAsia" w:ascii="Times New Roman" w:hAnsi="Times New Roman" w:cs="Times New Roman"/>
          <w:color w:val="auto"/>
          <w:highlight w:val="none"/>
          <w:u w:val="single"/>
        </w:rPr>
        <w:t>姓名</w:t>
      </w:r>
      <w:r>
        <w:rPr>
          <w:rFonts w:ascii="Times New Roman" w:hAnsi="Times New Roman" w:cs="Times New Roman"/>
          <w:color w:val="auto"/>
          <w:highlight w:val="none"/>
          <w:u w:val="single"/>
        </w:rPr>
        <w:t>）</w:t>
      </w:r>
      <w:r>
        <w:rPr>
          <w:rFonts w:ascii="Times New Roman" w:hAnsi="Times New Roman" w:cs="Times New Roman"/>
          <w:color w:val="auto"/>
          <w:highlight w:val="none"/>
        </w:rPr>
        <w:t>兹宣布同意如下：</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1.按磋商文件规定的各项要求，向买方提供所需货物、服务。</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2.我们已详细审核全部磋商文件及其有效补充文件，我们知道必须放弃提出含糊不清或误解问题的权利。</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3.我们同意从规定的响应文件接收截止时间起遵循本响应文件，并在规定的磋商、有效期期满之前均具有约束力。</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4.同意向贵方提供贵方可能另外要求的与磋商采购有关的任何证据或资料，并保证我方已提供和将要提供的文件是真实的、准确的。</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5.一旦我方成交，我方将根据磋商文件的规定，严格履行合同的责任和义务，并保证在磋商文件规定的时间完成项目，交付买方验收、使用。</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6.遵守磋商文件中要求的收费项目和标准。</w:t>
      </w:r>
    </w:p>
    <w:p>
      <w:pPr>
        <w:pStyle w:val="33"/>
        <w:shd w:val="clear" w:color="auto" w:fill="FFFFFF"/>
        <w:wordWrap w:val="0"/>
        <w:spacing w:before="0" w:beforeAutospacing="0" w:after="0" w:afterAutospacing="0" w:line="480" w:lineRule="exact"/>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7.与本磋商采购有关的正式通讯地址为：</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地址</w:t>
      </w:r>
      <w:r>
        <w:rPr>
          <w:rFonts w:hint="eastAsia" w:ascii="宋体" w:hAnsi="宋体" w:cs="Tahoma"/>
          <w:color w:val="auto"/>
          <w:kern w:val="0"/>
          <w:sz w:val="24"/>
          <w:highlight w:val="none"/>
          <w:u w:val="singl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邮编</w:t>
      </w:r>
      <w:r>
        <w:rPr>
          <w:rFonts w:hint="eastAsia" w:ascii="宋体" w:hAnsi="宋体" w:cs="Tahoma"/>
          <w:color w:val="auto"/>
          <w:kern w:val="0"/>
          <w:sz w:val="24"/>
          <w:highlight w:val="none"/>
          <w:u w:val="singl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电话</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传真</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供应商开户行</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ind w:firstLine="480" w:firstLineChars="200"/>
        <w:jc w:val="left"/>
        <w:rPr>
          <w:rFonts w:ascii="宋体" w:hAnsi="宋体" w:cs="Tahoma"/>
          <w:color w:val="auto"/>
          <w:kern w:val="0"/>
          <w:sz w:val="24"/>
          <w:highlight w:val="none"/>
        </w:rPr>
      </w:pPr>
      <w:r>
        <w:rPr>
          <w:rFonts w:hint="eastAsia" w:ascii="宋体" w:hAnsi="宋体" w:cs="Tahoma"/>
          <w:color w:val="auto"/>
          <w:kern w:val="0"/>
          <w:sz w:val="24"/>
          <w:highlight w:val="none"/>
        </w:rPr>
        <w:t>账户</w:t>
      </w:r>
      <w:r>
        <w:rPr>
          <w:rFonts w:hint="eastAsia" w:ascii="宋体" w:hAnsi="宋体" w:cs="Tahoma"/>
          <w:color w:val="auto"/>
          <w:kern w:val="0"/>
          <w:sz w:val="24"/>
          <w:highlight w:val="none"/>
          <w:u w:val="single"/>
        </w:rPr>
        <w:t xml:space="preserve">：            </w:t>
      </w:r>
      <w:r>
        <w:rPr>
          <w:rFonts w:hint="eastAsia" w:ascii="宋体" w:hAnsi="宋体" w:cs="Tahoma"/>
          <w:color w:val="auto"/>
          <w:kern w:val="0"/>
          <w:sz w:val="24"/>
          <w:highlight w:val="none"/>
        </w:rPr>
        <w:t xml:space="preserve"> </w:t>
      </w:r>
    </w:p>
    <w:p>
      <w:pPr>
        <w:widowControl/>
        <w:shd w:val="clear" w:color="auto" w:fill="FFFFFF"/>
        <w:wordWrap w:val="0"/>
        <w:spacing w:line="480" w:lineRule="exact"/>
        <w:jc w:val="left"/>
        <w:rPr>
          <w:rFonts w:ascii="宋体" w:hAnsi="宋体" w:cs="Tahoma"/>
          <w:color w:val="auto"/>
          <w:kern w:val="0"/>
          <w:sz w:val="24"/>
          <w:highlight w:val="none"/>
        </w:rPr>
      </w:pP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spacing w:line="360" w:lineRule="auto"/>
        <w:jc w:val="center"/>
        <w:rPr>
          <w:rFonts w:ascii="宋体" w:hAnsi="宋体" w:cs="宋体"/>
          <w:b/>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2、</w:t>
      </w:r>
      <w:r>
        <w:rPr>
          <w:rFonts w:hint="eastAsia" w:ascii="宋体" w:hAnsi="宋体" w:cs="宋体"/>
          <w:b/>
          <w:color w:val="auto"/>
          <w:sz w:val="24"/>
          <w:highlight w:val="none"/>
        </w:rPr>
        <w:t>技术部分正负偏离表</w:t>
      </w:r>
    </w:p>
    <w:p>
      <w:pPr>
        <w:rPr>
          <w:rFonts w:ascii="宋体" w:hAnsi="宋体"/>
          <w:color w:val="auto"/>
          <w:sz w:val="24"/>
          <w:highlight w:val="none"/>
        </w:rPr>
      </w:pPr>
    </w:p>
    <w:tbl>
      <w:tblPr>
        <w:tblStyle w:val="50"/>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52"/>
        <w:gridCol w:w="2852"/>
        <w:gridCol w:w="1307"/>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84" w:type="dxa"/>
            <w:vAlign w:val="center"/>
          </w:tcPr>
          <w:p>
            <w:pPr>
              <w:jc w:val="center"/>
              <w:rPr>
                <w:rFonts w:ascii="宋体" w:hAnsi="宋体"/>
                <w:color w:val="auto"/>
                <w:sz w:val="24"/>
                <w:highlight w:val="none"/>
              </w:rPr>
            </w:pPr>
            <w:r>
              <w:rPr>
                <w:rFonts w:hint="eastAsia" w:ascii="宋体" w:hAnsi="宋体"/>
                <w:color w:val="auto"/>
                <w:sz w:val="24"/>
                <w:highlight w:val="none"/>
              </w:rPr>
              <w:t>序号</w:t>
            </w:r>
          </w:p>
        </w:tc>
        <w:tc>
          <w:tcPr>
            <w:tcW w:w="2852" w:type="dxa"/>
            <w:vAlign w:val="center"/>
          </w:tcPr>
          <w:p>
            <w:pPr>
              <w:jc w:val="center"/>
              <w:rPr>
                <w:rFonts w:ascii="宋体" w:hAnsi="宋体"/>
                <w:color w:val="auto"/>
                <w:sz w:val="24"/>
                <w:highlight w:val="none"/>
              </w:rPr>
            </w:pPr>
            <w:r>
              <w:rPr>
                <w:rFonts w:hint="eastAsia" w:ascii="宋体" w:hAnsi="宋体"/>
                <w:color w:val="auto"/>
                <w:sz w:val="24"/>
                <w:highlight w:val="none"/>
              </w:rPr>
              <w:t>磋商要求</w:t>
            </w:r>
          </w:p>
        </w:tc>
        <w:tc>
          <w:tcPr>
            <w:tcW w:w="2852" w:type="dxa"/>
            <w:vAlign w:val="center"/>
          </w:tcPr>
          <w:p>
            <w:pPr>
              <w:jc w:val="center"/>
              <w:rPr>
                <w:rFonts w:ascii="宋体" w:hAnsi="宋体"/>
                <w:color w:val="auto"/>
                <w:sz w:val="24"/>
                <w:highlight w:val="none"/>
              </w:rPr>
            </w:pPr>
            <w:r>
              <w:rPr>
                <w:rFonts w:hint="eastAsia" w:ascii="宋体" w:hAnsi="宋体"/>
                <w:color w:val="auto"/>
                <w:sz w:val="24"/>
                <w:highlight w:val="none"/>
              </w:rPr>
              <w:t>磋商响应</w:t>
            </w:r>
          </w:p>
        </w:tc>
        <w:tc>
          <w:tcPr>
            <w:tcW w:w="1307" w:type="dxa"/>
            <w:vAlign w:val="center"/>
          </w:tcPr>
          <w:p>
            <w:pPr>
              <w:jc w:val="center"/>
              <w:rPr>
                <w:rFonts w:ascii="宋体" w:hAnsi="宋体"/>
                <w:color w:val="auto"/>
                <w:sz w:val="24"/>
                <w:highlight w:val="none"/>
              </w:rPr>
            </w:pPr>
            <w:r>
              <w:rPr>
                <w:rFonts w:hint="eastAsia" w:ascii="宋体" w:hAnsi="宋体"/>
                <w:color w:val="auto"/>
                <w:sz w:val="24"/>
                <w:highlight w:val="none"/>
              </w:rPr>
              <w:t>超出、符合或偏离</w:t>
            </w:r>
          </w:p>
        </w:tc>
        <w:tc>
          <w:tcPr>
            <w:tcW w:w="1174" w:type="dxa"/>
            <w:vAlign w:val="center"/>
          </w:tcPr>
          <w:p>
            <w:pPr>
              <w:jc w:val="center"/>
              <w:rPr>
                <w:rFonts w:ascii="宋体" w:hAnsi="宋体"/>
                <w:color w:val="auto"/>
                <w:sz w:val="24"/>
                <w:highlight w:val="none"/>
              </w:rPr>
            </w:pPr>
            <w:r>
              <w:rPr>
                <w:rFonts w:hint="eastAsia" w:ascii="宋体" w:hAnsi="宋体"/>
                <w:color w:val="auto"/>
                <w:sz w:val="24"/>
                <w:highlight w:val="none"/>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984"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2852" w:type="dxa"/>
          </w:tcPr>
          <w:p>
            <w:pPr>
              <w:jc w:val="center"/>
              <w:rPr>
                <w:rFonts w:ascii="宋体" w:hAnsi="宋体"/>
                <w:color w:val="auto"/>
                <w:sz w:val="24"/>
                <w:highlight w:val="none"/>
              </w:rPr>
            </w:pPr>
          </w:p>
        </w:tc>
        <w:tc>
          <w:tcPr>
            <w:tcW w:w="1307" w:type="dxa"/>
          </w:tcPr>
          <w:p>
            <w:pPr>
              <w:jc w:val="center"/>
              <w:rPr>
                <w:rFonts w:ascii="宋体" w:hAnsi="宋体"/>
                <w:color w:val="auto"/>
                <w:sz w:val="24"/>
                <w:highlight w:val="none"/>
              </w:rPr>
            </w:pPr>
          </w:p>
        </w:tc>
        <w:tc>
          <w:tcPr>
            <w:tcW w:w="1174" w:type="dxa"/>
          </w:tcPr>
          <w:p>
            <w:pPr>
              <w:jc w:val="center"/>
              <w:rPr>
                <w:rFonts w:ascii="宋体" w:hAnsi="宋体"/>
                <w:color w:val="auto"/>
                <w:sz w:val="24"/>
                <w:highlight w:val="none"/>
              </w:rPr>
            </w:pPr>
          </w:p>
        </w:tc>
      </w:tr>
    </w:tbl>
    <w:p>
      <w:pPr>
        <w:spacing w:line="480" w:lineRule="exact"/>
        <w:rPr>
          <w:rFonts w:ascii="宋体" w:hAnsi="宋体"/>
          <w:color w:val="auto"/>
          <w:sz w:val="24"/>
          <w:highlight w:val="none"/>
        </w:rPr>
      </w:pP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rPr>
          <w:rFonts w:ascii="宋体" w:hAnsi="宋体"/>
          <w:color w:val="auto"/>
          <w:sz w:val="24"/>
          <w:highlight w:val="none"/>
        </w:rPr>
      </w:pPr>
    </w:p>
    <w:p>
      <w:pPr>
        <w:spacing w:line="480" w:lineRule="exact"/>
        <w:rPr>
          <w:rFonts w:ascii="宋体" w:hAnsi="宋体"/>
          <w:color w:val="auto"/>
          <w:sz w:val="24"/>
          <w:highlight w:val="none"/>
        </w:rPr>
      </w:pPr>
    </w:p>
    <w:p>
      <w:pPr>
        <w:spacing w:line="480" w:lineRule="exact"/>
        <w:ind w:firstLine="480" w:firstLineChars="200"/>
        <w:rPr>
          <w:rFonts w:ascii="宋体" w:hAnsi="宋体"/>
          <w:color w:val="auto"/>
          <w:sz w:val="24"/>
          <w:highlight w:val="none"/>
        </w:rPr>
      </w:pPr>
      <w:r>
        <w:rPr>
          <w:rFonts w:hint="eastAsia" w:ascii="宋体" w:hAnsi="宋体"/>
          <w:color w:val="auto"/>
          <w:sz w:val="24"/>
          <w:highlight w:val="none"/>
        </w:rPr>
        <w:t>注：1、按照基本技术要求详细填列。</w:t>
      </w:r>
    </w:p>
    <w:p>
      <w:pPr>
        <w:spacing w:line="480" w:lineRule="exact"/>
        <w:ind w:firstLine="960" w:firstLineChars="400"/>
        <w:rPr>
          <w:rFonts w:ascii="宋体" w:hAnsi="宋体"/>
          <w:color w:val="auto"/>
          <w:sz w:val="24"/>
          <w:highlight w:val="none"/>
        </w:rPr>
      </w:pPr>
      <w:r>
        <w:rPr>
          <w:rFonts w:hint="eastAsia" w:ascii="宋体" w:hAnsi="宋体"/>
          <w:color w:val="auto"/>
          <w:sz w:val="24"/>
          <w:highlight w:val="none"/>
        </w:rPr>
        <w:t>2、行数不够，可自行添加。</w:t>
      </w:r>
    </w:p>
    <w:p>
      <w:pPr>
        <w:spacing w:line="480" w:lineRule="exact"/>
        <w:ind w:firstLine="960" w:firstLineChars="400"/>
        <w:rPr>
          <w:rFonts w:ascii="宋体" w:hAnsi="宋体"/>
          <w:color w:val="auto"/>
          <w:sz w:val="24"/>
          <w:highlight w:val="none"/>
        </w:rPr>
      </w:pPr>
      <w:r>
        <w:rPr>
          <w:rFonts w:hint="eastAsia" w:ascii="宋体" w:hAnsi="宋体"/>
          <w:color w:val="auto"/>
          <w:sz w:val="24"/>
          <w:highlight w:val="none"/>
        </w:rPr>
        <w:t xml:space="preserve">    </w:t>
      </w:r>
    </w:p>
    <w:p>
      <w:pPr>
        <w:spacing w:line="360" w:lineRule="auto"/>
        <w:jc w:val="center"/>
        <w:rPr>
          <w:rFonts w:ascii="宋体" w:hAnsi="宋体"/>
          <w:b/>
          <w:color w:val="auto"/>
          <w:sz w:val="32"/>
          <w:szCs w:val="32"/>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3、商务部分正负偏离表</w:t>
      </w:r>
    </w:p>
    <w:p>
      <w:pPr>
        <w:jc w:val="center"/>
        <w:rPr>
          <w:rFonts w:ascii="宋体" w:hAnsi="宋体"/>
          <w:color w:val="auto"/>
          <w:sz w:val="24"/>
          <w:highlight w:val="none"/>
        </w:rPr>
      </w:pPr>
    </w:p>
    <w:p>
      <w:pPr>
        <w:rPr>
          <w:rFonts w:ascii="宋体" w:hAnsi="宋体"/>
          <w:color w:val="auto"/>
          <w:sz w:val="24"/>
          <w:highlight w:val="none"/>
        </w:rPr>
      </w:pPr>
    </w:p>
    <w:tbl>
      <w:tblPr>
        <w:tblStyle w:val="50"/>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1"/>
        <w:gridCol w:w="3544"/>
        <w:gridCol w:w="1276"/>
        <w:gridCol w:w="24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项目</w:t>
            </w: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竞争性磋商文件要求</w:t>
            </w: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是否响应</w:t>
            </w: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ascii="仿宋_GB2312" w:hAnsi="宋体" w:eastAsia="仿宋_GB2312"/>
                <w:color w:val="auto"/>
                <w:sz w:val="24"/>
                <w:szCs w:val="20"/>
                <w:highlight w:val="none"/>
              </w:rPr>
            </w:pPr>
            <w:r>
              <w:rPr>
                <w:rFonts w:hint="eastAsia" w:ascii="仿宋_GB2312" w:hAnsi="宋体"/>
                <w:color w:val="auto"/>
                <w:sz w:val="24"/>
                <w:szCs w:val="21"/>
                <w:highlight w:val="none"/>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4"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9"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color w:val="auto"/>
                <w:sz w:val="24"/>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color w:val="auto"/>
                <w:sz w:val="24"/>
                <w:szCs w:val="21"/>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ind w:left="43"/>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color w:val="auto"/>
                <w:sz w:val="24"/>
                <w:szCs w:val="21"/>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仿宋_GB2312" w:hAnsi="宋体" w:eastAsia="仿宋_GB2312"/>
                <w:color w:val="auto"/>
                <w:sz w:val="24"/>
                <w:szCs w:val="20"/>
                <w:highlight w:val="none"/>
              </w:rPr>
            </w:pPr>
          </w:p>
        </w:tc>
        <w:tc>
          <w:tcPr>
            <w:tcW w:w="3544"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1276"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c>
          <w:tcPr>
            <w:tcW w:w="2409" w:type="dxa"/>
            <w:tcBorders>
              <w:top w:val="single" w:color="auto" w:sz="4" w:space="0"/>
              <w:left w:val="single" w:color="auto" w:sz="4" w:space="0"/>
              <w:bottom w:val="single" w:color="auto" w:sz="4" w:space="0"/>
              <w:right w:val="single" w:color="auto" w:sz="4" w:space="0"/>
            </w:tcBorders>
          </w:tcPr>
          <w:p>
            <w:pPr>
              <w:snapToGrid w:val="0"/>
              <w:spacing w:before="156" w:beforeLines="50"/>
              <w:rPr>
                <w:rFonts w:ascii="仿宋_GB2312" w:hAnsi="宋体" w:eastAsia="仿宋_GB2312"/>
                <w:color w:val="auto"/>
                <w:sz w:val="24"/>
                <w:szCs w:val="20"/>
                <w:highlight w:val="none"/>
              </w:rPr>
            </w:pPr>
          </w:p>
        </w:tc>
      </w:tr>
    </w:tbl>
    <w:p>
      <w:pPr>
        <w:rPr>
          <w:rFonts w:ascii="宋体" w:hAnsi="宋体"/>
          <w:color w:val="auto"/>
          <w:sz w:val="24"/>
          <w:highlight w:val="none"/>
        </w:rPr>
      </w:pP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供应商：（盖章）             </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日期：</w:t>
      </w:r>
    </w:p>
    <w:p>
      <w:pPr>
        <w:ind w:firstLine="482" w:firstLineChars="200"/>
        <w:rPr>
          <w:rFonts w:ascii="宋体" w:hAnsi="宋体"/>
          <w:b/>
          <w:color w:val="auto"/>
          <w:sz w:val="24"/>
          <w:highlight w:val="none"/>
        </w:rPr>
      </w:pPr>
    </w:p>
    <w:p>
      <w:pPr>
        <w:spacing w:line="480" w:lineRule="exact"/>
        <w:ind w:firstLine="482" w:firstLineChars="200"/>
        <w:rPr>
          <w:rFonts w:ascii="宋体" w:hAnsi="宋体"/>
          <w:b/>
          <w:color w:val="auto"/>
          <w:sz w:val="24"/>
          <w:szCs w:val="21"/>
          <w:highlight w:val="none"/>
        </w:rPr>
      </w:pPr>
      <w:r>
        <w:rPr>
          <w:rFonts w:hint="eastAsia" w:ascii="宋体" w:hAnsi="宋体"/>
          <w:b/>
          <w:color w:val="auto"/>
          <w:sz w:val="24"/>
          <w:highlight w:val="none"/>
        </w:rPr>
        <w:t>说明：</w:t>
      </w:r>
    </w:p>
    <w:p>
      <w:pPr>
        <w:spacing w:line="480" w:lineRule="exact"/>
        <w:ind w:firstLine="482" w:firstLineChars="200"/>
        <w:rPr>
          <w:rFonts w:ascii="宋体" w:hAnsi="宋体"/>
          <w:b/>
          <w:color w:val="auto"/>
          <w:sz w:val="24"/>
          <w:szCs w:val="21"/>
          <w:highlight w:val="none"/>
        </w:rPr>
      </w:pPr>
      <w:r>
        <w:rPr>
          <w:rFonts w:hint="eastAsia" w:ascii="宋体" w:hAnsi="宋体"/>
          <w:b/>
          <w:color w:val="auto"/>
          <w:sz w:val="24"/>
          <w:highlight w:val="none"/>
        </w:rPr>
        <w:t>1、不得出现本次磋商价格。</w:t>
      </w:r>
    </w:p>
    <w:p>
      <w:pPr>
        <w:spacing w:line="360" w:lineRule="auto"/>
        <w:jc w:val="center"/>
        <w:rPr>
          <w:rFonts w:ascii="宋体" w:hAnsi="宋体" w:cs="宋体"/>
          <w:b/>
          <w:bCs/>
          <w:color w:val="auto"/>
          <w:sz w:val="24"/>
          <w:highlight w:val="none"/>
        </w:rPr>
      </w:pPr>
      <w:r>
        <w:rPr>
          <w:rFonts w:ascii="宋体" w:hAnsi="宋体" w:cs="宋体"/>
          <w:b/>
          <w:bCs/>
          <w:color w:val="auto"/>
          <w:sz w:val="24"/>
          <w:highlight w:val="none"/>
        </w:rPr>
        <w:br w:type="page"/>
      </w:r>
      <w:r>
        <w:rPr>
          <w:rFonts w:hint="eastAsia" w:ascii="宋体" w:hAnsi="宋体" w:cs="宋体"/>
          <w:b/>
          <w:bCs/>
          <w:color w:val="auto"/>
          <w:sz w:val="24"/>
          <w:highlight w:val="none"/>
        </w:rPr>
        <w:t>4、供应商一般情况表</w:t>
      </w:r>
    </w:p>
    <w:tbl>
      <w:tblPr>
        <w:tblStyle w:val="50"/>
        <w:tblW w:w="9464" w:type="dxa"/>
        <w:jc w:val="center"/>
        <w:tblInd w:w="0" w:type="dxa"/>
        <w:tblLayout w:type="fixed"/>
        <w:tblCellMar>
          <w:top w:w="0" w:type="dxa"/>
          <w:left w:w="108" w:type="dxa"/>
          <w:bottom w:w="0" w:type="dxa"/>
          <w:right w:w="108" w:type="dxa"/>
        </w:tblCellMar>
      </w:tblPr>
      <w:tblGrid>
        <w:gridCol w:w="2235"/>
        <w:gridCol w:w="708"/>
        <w:gridCol w:w="851"/>
        <w:gridCol w:w="849"/>
        <w:gridCol w:w="568"/>
        <w:gridCol w:w="1307"/>
        <w:gridCol w:w="159"/>
        <w:gridCol w:w="1320"/>
        <w:gridCol w:w="1467"/>
      </w:tblGrid>
      <w:tr>
        <w:tblPrEx>
          <w:tblLayout w:type="fixed"/>
          <w:tblCellMar>
            <w:top w:w="0" w:type="dxa"/>
            <w:left w:w="108" w:type="dxa"/>
            <w:bottom w:w="0" w:type="dxa"/>
            <w:right w:w="108" w:type="dxa"/>
          </w:tblCellMar>
        </w:tblPrEx>
        <w:trPr>
          <w:cantSplit/>
          <w:trHeight w:val="286"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企业名称</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总部地址</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分支机构</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当地代表处地址</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电话</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联系人</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传真</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电子邮件</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注册地</w:t>
            </w:r>
          </w:p>
        </w:tc>
        <w:tc>
          <w:tcPr>
            <w:tcW w:w="2408"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875"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注册年份</w:t>
            </w:r>
          </w:p>
        </w:tc>
        <w:tc>
          <w:tcPr>
            <w:tcW w:w="2946" w:type="dxa"/>
            <w:gridSpan w:val="3"/>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资质等级</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公司具备的相关资质等级及相应的证书号</w:t>
            </w:r>
          </w:p>
          <w:p>
            <w:pPr>
              <w:spacing w:line="360" w:lineRule="auto"/>
              <w:rPr>
                <w:rFonts w:ascii="宋体" w:hAnsi="宋体" w:cs="宋体"/>
                <w:color w:val="auto"/>
                <w:sz w:val="24"/>
                <w:highlight w:val="none"/>
              </w:rPr>
            </w:pPr>
            <w:r>
              <w:rPr>
                <w:rFonts w:hint="eastAsia" w:ascii="宋体" w:hAnsi="宋体" w:cs="宋体"/>
                <w:color w:val="auto"/>
                <w:sz w:val="24"/>
                <w:highlight w:val="none"/>
              </w:rPr>
              <w:t>（请附有关证书的复印件）</w:t>
            </w: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质量管理体系</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公司</w:t>
            </w:r>
            <w:r>
              <w:rPr>
                <w:rFonts w:hint="eastAsia" w:ascii="宋体" w:hAnsi="宋体" w:cs="宋体"/>
                <w:color w:val="auto"/>
                <w:sz w:val="24"/>
                <w:highlight w:val="none"/>
                <w:u w:val="single"/>
              </w:rPr>
              <w:t xml:space="preserve">   （是否通过，何种）   </w:t>
            </w:r>
            <w:r>
              <w:rPr>
                <w:rFonts w:hint="eastAsia" w:ascii="宋体" w:hAnsi="宋体" w:cs="宋体"/>
                <w:color w:val="auto"/>
                <w:sz w:val="24"/>
                <w:highlight w:val="none"/>
              </w:rPr>
              <w:t>质量保证体系认证（如通过请附相关在有效期内的证书复印件）</w:t>
            </w:r>
          </w:p>
        </w:tc>
      </w:tr>
      <w:tr>
        <w:tblPrEx>
          <w:tblLayout w:type="fixed"/>
          <w:tblCellMar>
            <w:top w:w="0" w:type="dxa"/>
            <w:left w:w="108" w:type="dxa"/>
            <w:bottom w:w="0" w:type="dxa"/>
            <w:right w:w="108" w:type="dxa"/>
          </w:tblCellMar>
        </w:tblPrEx>
        <w:trPr>
          <w:cantSpli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项目负责人</w:t>
            </w:r>
          </w:p>
        </w:tc>
        <w:tc>
          <w:tcPr>
            <w:tcW w:w="1559"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c>
          <w:tcPr>
            <w:tcW w:w="1417"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466"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c>
          <w:tcPr>
            <w:tcW w:w="1320"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467"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trHeight w:val="468"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职务职称</w:t>
            </w:r>
          </w:p>
        </w:tc>
        <w:tc>
          <w:tcPr>
            <w:tcW w:w="2976" w:type="dxa"/>
            <w:gridSpan w:val="4"/>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c>
          <w:tcPr>
            <w:tcW w:w="1466" w:type="dxa"/>
            <w:gridSpan w:val="2"/>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执业资格</w:t>
            </w:r>
          </w:p>
        </w:tc>
        <w:tc>
          <w:tcPr>
            <w:tcW w:w="2787" w:type="dxa"/>
            <w:gridSpan w:val="2"/>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cantSplit/>
          <w:trHeight w:val="2780" w:hRule="atLeast"/>
          <w:jc w:val="center"/>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经营范围</w:t>
            </w:r>
          </w:p>
        </w:tc>
        <w:tc>
          <w:tcPr>
            <w:tcW w:w="7229" w:type="dxa"/>
            <w:gridSpan w:val="8"/>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营业执照载明：</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1.</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3.</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r>
        <w:tblPrEx>
          <w:tblLayout w:type="fixed"/>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从事类似相关项目的经历及年数</w:t>
            </w:r>
          </w:p>
        </w:tc>
        <w:tc>
          <w:tcPr>
            <w:tcW w:w="6521" w:type="dxa"/>
            <w:gridSpan w:val="7"/>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r>
        <w:tblPrEx>
          <w:tblLayout w:type="fixed"/>
          <w:tblCellMar>
            <w:top w:w="0" w:type="dxa"/>
            <w:left w:w="108" w:type="dxa"/>
            <w:bottom w:w="0" w:type="dxa"/>
            <w:right w:w="108" w:type="dxa"/>
          </w:tblCellMar>
        </w:tblPrEx>
        <w:trPr>
          <w:trHeight w:val="471" w:hRule="atLeast"/>
          <w:jc w:val="center"/>
        </w:trPr>
        <w:tc>
          <w:tcPr>
            <w:tcW w:w="294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其他认为有必要提供的内容，可自行添加</w:t>
            </w:r>
          </w:p>
        </w:tc>
        <w:tc>
          <w:tcPr>
            <w:tcW w:w="6521" w:type="dxa"/>
            <w:gridSpan w:val="7"/>
            <w:tcBorders>
              <w:top w:val="single" w:color="auto" w:sz="4" w:space="0"/>
              <w:left w:val="nil"/>
              <w:bottom w:val="single" w:color="auto" w:sz="4" w:space="0"/>
              <w:right w:val="single" w:color="auto" w:sz="4" w:space="0"/>
            </w:tcBorders>
          </w:tcPr>
          <w:p>
            <w:pPr>
              <w:spacing w:line="360" w:lineRule="auto"/>
              <w:rPr>
                <w:rFonts w:ascii="宋体" w:hAnsi="宋体" w:cs="宋体"/>
                <w:color w:val="auto"/>
                <w:sz w:val="24"/>
                <w:highlight w:val="none"/>
              </w:rPr>
            </w:pPr>
          </w:p>
        </w:tc>
      </w:tr>
    </w:tbl>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（加盖公章）</w:t>
      </w:r>
    </w:p>
    <w:p>
      <w:pPr>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（签字或盖章）</w:t>
      </w:r>
    </w:p>
    <w:p>
      <w:pPr>
        <w:spacing w:line="360" w:lineRule="auto"/>
        <w:ind w:firstLine="1320" w:firstLineChars="550"/>
        <w:jc w:val="right"/>
        <w:rPr>
          <w:rFonts w:ascii="宋体" w:hAnsi="宋体" w:cs="宋体"/>
          <w:color w:val="auto"/>
          <w:sz w:val="24"/>
          <w:highlight w:val="none"/>
        </w:rPr>
      </w:pPr>
      <w:r>
        <w:rPr>
          <w:rFonts w:hint="eastAsia" w:ascii="宋体" w:hAnsi="宋体" w:cs="宋体"/>
          <w:color w:val="auto"/>
          <w:sz w:val="24"/>
          <w:highlight w:val="none"/>
        </w:rPr>
        <w:t>年      月     日</w:t>
      </w:r>
    </w:p>
    <w:p>
      <w:pPr>
        <w:snapToGrid w:val="0"/>
        <w:spacing w:line="360" w:lineRule="auto"/>
        <w:jc w:val="center"/>
        <w:outlineLvl w:val="4"/>
        <w:rPr>
          <w:rFonts w:ascii="宋体" w:hAnsi="宋体" w:cs="宋体"/>
          <w:b/>
          <w:bCs/>
          <w:color w:val="auto"/>
          <w:sz w:val="24"/>
          <w:highlight w:val="none"/>
        </w:rPr>
      </w:pPr>
    </w:p>
    <w:p>
      <w:pPr>
        <w:spacing w:line="500" w:lineRule="exact"/>
        <w:ind w:firstLine="482" w:firstLineChars="200"/>
        <w:contextualSpacing/>
        <w:jc w:val="center"/>
        <w:rPr>
          <w:rFonts w:ascii="宋体" w:hAnsi="宋体" w:cs="宋体"/>
          <w:color w:val="auto"/>
          <w:sz w:val="24"/>
          <w:szCs w:val="21"/>
          <w:highlight w:val="none"/>
        </w:rPr>
      </w:pPr>
      <w:r>
        <w:rPr>
          <w:rFonts w:hint="eastAsia" w:ascii="宋体" w:hAnsi="宋体" w:cs="宋体"/>
          <w:b/>
          <w:bCs/>
          <w:color w:val="auto"/>
          <w:sz w:val="24"/>
          <w:szCs w:val="21"/>
          <w:highlight w:val="none"/>
        </w:rPr>
        <w:t>5、其他格式（如有）</w:t>
      </w:r>
    </w:p>
    <w:p>
      <w:pPr>
        <w:spacing w:line="520" w:lineRule="exact"/>
        <w:rPr>
          <w:rFonts w:ascii="宋体" w:hAnsi="宋体" w:cs="宋体"/>
          <w:b/>
          <w:color w:val="auto"/>
          <w:sz w:val="24"/>
          <w:highlight w:val="none"/>
        </w:rPr>
      </w:pPr>
      <w:r>
        <w:rPr>
          <w:rFonts w:hint="eastAsia" w:ascii="宋体" w:hAnsi="宋体" w:cs="宋体"/>
          <w:b/>
          <w:bCs/>
          <w:color w:val="auto"/>
          <w:sz w:val="24"/>
          <w:highlight w:val="none"/>
        </w:rPr>
        <w:t>三、</w:t>
      </w:r>
      <w:r>
        <w:rPr>
          <w:rFonts w:hint="eastAsia" w:ascii="宋体" w:hAnsi="宋体" w:cs="宋体"/>
          <w:b/>
          <w:color w:val="auto"/>
          <w:sz w:val="24"/>
          <w:highlight w:val="none"/>
        </w:rPr>
        <w:t>价格标文件相关的格式文件及表格</w:t>
      </w:r>
    </w:p>
    <w:p>
      <w:pPr>
        <w:snapToGrid w:val="0"/>
        <w:spacing w:line="500" w:lineRule="exact"/>
        <w:jc w:val="center"/>
        <w:outlineLvl w:val="2"/>
        <w:rPr>
          <w:b/>
          <w:color w:val="auto"/>
          <w:sz w:val="28"/>
          <w:szCs w:val="28"/>
          <w:highlight w:val="none"/>
        </w:rPr>
      </w:pPr>
    </w:p>
    <w:p>
      <w:pPr>
        <w:snapToGrid w:val="0"/>
        <w:spacing w:line="500" w:lineRule="exact"/>
        <w:jc w:val="center"/>
        <w:outlineLvl w:val="2"/>
        <w:rPr>
          <w:b/>
          <w:color w:val="auto"/>
          <w:sz w:val="28"/>
          <w:szCs w:val="28"/>
          <w:highlight w:val="none"/>
        </w:rPr>
      </w:pPr>
      <w:r>
        <w:rPr>
          <w:rFonts w:hint="eastAsia"/>
          <w:b/>
          <w:color w:val="auto"/>
          <w:sz w:val="28"/>
          <w:szCs w:val="28"/>
          <w:highlight w:val="none"/>
        </w:rPr>
        <w:t>1、</w:t>
      </w:r>
      <w:r>
        <w:rPr>
          <w:b/>
          <w:color w:val="auto"/>
          <w:sz w:val="28"/>
          <w:szCs w:val="28"/>
          <w:highlight w:val="none"/>
        </w:rPr>
        <w:t>磋商报价总表</w:t>
      </w:r>
    </w:p>
    <w:p>
      <w:pPr>
        <w:snapToGrid w:val="0"/>
        <w:spacing w:line="500" w:lineRule="exact"/>
        <w:jc w:val="center"/>
        <w:outlineLvl w:val="2"/>
        <w:rPr>
          <w:b/>
          <w:color w:val="auto"/>
          <w:sz w:val="28"/>
          <w:szCs w:val="28"/>
          <w:highlight w:val="none"/>
        </w:rPr>
      </w:pPr>
    </w:p>
    <w:tbl>
      <w:tblPr>
        <w:tblStyle w:val="50"/>
        <w:tblW w:w="8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5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项目名称</w:t>
            </w:r>
          </w:p>
        </w:tc>
        <w:tc>
          <w:tcPr>
            <w:tcW w:w="5997" w:type="dxa"/>
            <w:vAlign w:val="center"/>
          </w:tcPr>
          <w:p>
            <w:pPr>
              <w:kinsoku w:val="0"/>
              <w:topLinePunct/>
              <w:snapToGrid w:val="0"/>
              <w:spacing w:line="520" w:lineRule="exact"/>
              <w:rPr>
                <w:rFonts w:ascii="宋体" w:hAnsi="宋体"/>
                <w:strike/>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项目编号</w:t>
            </w:r>
          </w:p>
        </w:tc>
        <w:tc>
          <w:tcPr>
            <w:tcW w:w="5997" w:type="dxa"/>
            <w:vAlign w:val="center"/>
          </w:tcPr>
          <w:p>
            <w:pPr>
              <w:kinsoku w:val="0"/>
              <w:topLinePunct/>
              <w:snapToGrid w:val="0"/>
              <w:spacing w:line="520" w:lineRule="exact"/>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2756" w:type="dxa"/>
            <w:vAlign w:val="center"/>
          </w:tcPr>
          <w:p>
            <w:pPr>
              <w:kinsoku w:val="0"/>
              <w:topLinePunct/>
              <w:snapToGrid w:val="0"/>
              <w:spacing w:line="520" w:lineRule="exact"/>
              <w:jc w:val="center"/>
              <w:rPr>
                <w:rFonts w:ascii="宋体" w:hAnsi="宋体"/>
                <w:color w:val="auto"/>
                <w:sz w:val="24"/>
                <w:highlight w:val="none"/>
              </w:rPr>
            </w:pPr>
            <w:r>
              <w:rPr>
                <w:rFonts w:hint="eastAsia" w:ascii="宋体" w:hAnsi="宋体" w:cs="宋体"/>
                <w:color w:val="auto"/>
                <w:sz w:val="24"/>
                <w:highlight w:val="none"/>
              </w:rPr>
              <w:t>磋商报价总计</w:t>
            </w:r>
          </w:p>
        </w:tc>
        <w:tc>
          <w:tcPr>
            <w:tcW w:w="5997" w:type="dxa"/>
            <w:vAlign w:val="center"/>
          </w:tcPr>
          <w:p>
            <w:pPr>
              <w:kinsoku w:val="0"/>
              <w:topLinePunct/>
              <w:snapToGrid w:val="0"/>
              <w:spacing w:line="520" w:lineRule="exact"/>
              <w:rPr>
                <w:rFonts w:ascii="宋体" w:hAnsi="宋体" w:cs="宋体"/>
                <w:color w:val="auto"/>
                <w:sz w:val="24"/>
                <w:highlight w:val="none"/>
              </w:rPr>
            </w:pPr>
            <w:r>
              <w:rPr>
                <w:rFonts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s="宋体"/>
                <w:color w:val="auto"/>
                <w:sz w:val="24"/>
                <w:highlight w:val="none"/>
              </w:rPr>
              <w:t>元，人民币大写：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bl>
    <w:p>
      <w:pPr>
        <w:kinsoku w:val="0"/>
        <w:topLinePunct/>
        <w:snapToGrid w:val="0"/>
        <w:spacing w:line="520" w:lineRule="exact"/>
        <w:rPr>
          <w:rFonts w:ascii="宋体" w:hAnsi="宋体" w:cs="宋体"/>
          <w:color w:val="auto"/>
          <w:sz w:val="24"/>
          <w:highlight w:val="none"/>
        </w:rPr>
      </w:pP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竞争性磋商响应单位：（盖章）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日期：</w:t>
      </w:r>
    </w:p>
    <w:p>
      <w:pPr>
        <w:spacing w:after="156"/>
        <w:ind w:firstLine="480" w:firstLineChars="200"/>
        <w:rPr>
          <w:rFonts w:ascii="Calibri" w:hAnsi="Calibri"/>
          <w:color w:val="auto"/>
          <w:sz w:val="24"/>
          <w:highlight w:val="none"/>
        </w:rPr>
      </w:pPr>
    </w:p>
    <w:p>
      <w:pPr>
        <w:snapToGrid w:val="0"/>
        <w:spacing w:line="480" w:lineRule="exact"/>
        <w:ind w:firstLine="482" w:firstLineChars="200"/>
        <w:jc w:val="left"/>
        <w:rPr>
          <w:rFonts w:ascii="宋体"/>
          <w:b/>
          <w:bCs/>
          <w:color w:val="auto"/>
          <w:sz w:val="24"/>
          <w:highlight w:val="none"/>
        </w:rPr>
      </w:pPr>
      <w:r>
        <w:rPr>
          <w:rFonts w:hint="eastAsia" w:ascii="宋体" w:hAnsi="宋体" w:cs="宋体"/>
          <w:b/>
          <w:bCs/>
          <w:color w:val="auto"/>
          <w:sz w:val="24"/>
          <w:highlight w:val="none"/>
        </w:rPr>
        <w:t>注：（</w:t>
      </w:r>
      <w:r>
        <w:rPr>
          <w:rFonts w:ascii="宋体" w:hAnsi="宋体" w:cs="宋体"/>
          <w:b/>
          <w:bCs/>
          <w:color w:val="auto"/>
          <w:sz w:val="24"/>
          <w:highlight w:val="none"/>
        </w:rPr>
        <w:t>1</w:t>
      </w:r>
      <w:r>
        <w:rPr>
          <w:rFonts w:hint="eastAsia" w:ascii="宋体" w:hAnsi="宋体" w:cs="宋体"/>
          <w:b/>
          <w:bCs/>
          <w:color w:val="auto"/>
          <w:sz w:val="24"/>
          <w:highlight w:val="none"/>
        </w:rPr>
        <w:t>）本表为格式表，不得自行改动，必须提供。</w:t>
      </w:r>
    </w:p>
    <w:p>
      <w:pPr>
        <w:snapToGrid w:val="0"/>
        <w:spacing w:line="480" w:lineRule="exact"/>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rPr>
        <w:t>第二次及之后的报价将在开标现场填写，响应文件密封提交时只需填写磋商响应报价表（首次）的报价。</w:t>
      </w:r>
      <w:r>
        <w:rPr>
          <w:rFonts w:hint="eastAsia" w:ascii="宋体" w:hAnsi="宋体" w:eastAsia="宋体" w:cs="宋体"/>
          <w:b/>
          <w:bCs/>
          <w:color w:val="auto"/>
          <w:sz w:val="24"/>
          <w:highlight w:val="none"/>
          <w:lang w:val="en-US" w:eastAsia="zh-CN"/>
        </w:rPr>
        <w:t xml:space="preserve"> </w:t>
      </w:r>
    </w:p>
    <w:p>
      <w:pPr>
        <w:snapToGrid w:val="0"/>
        <w:spacing w:before="164" w:line="480" w:lineRule="exact"/>
        <w:ind w:firstLine="482" w:firstLineChars="200"/>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3）</w:t>
      </w:r>
      <w:r>
        <w:rPr>
          <w:rFonts w:hint="eastAsia" w:ascii="宋体" w:hAnsi="宋体" w:eastAsia="宋体" w:cs="宋体"/>
          <w:b/>
          <w:bCs/>
          <w:color w:val="auto"/>
          <w:sz w:val="24"/>
          <w:highlight w:val="none"/>
        </w:rPr>
        <w:t>第二次（最终）报价表格式详见</w:t>
      </w:r>
      <w:r>
        <w:rPr>
          <w:rFonts w:hint="eastAsia" w:ascii="宋体" w:hAnsi="宋体" w:eastAsia="宋体" w:cs="宋体"/>
          <w:b/>
          <w:bCs/>
          <w:color w:val="auto"/>
          <w:sz w:val="24"/>
          <w:highlight w:val="none"/>
          <w:lang w:val="en-US" w:eastAsia="zh-CN"/>
        </w:rPr>
        <w:t>下表格3、</w:t>
      </w:r>
      <w:r>
        <w:rPr>
          <w:rFonts w:hint="eastAsia" w:ascii="宋体" w:hAnsi="宋体" w:eastAsia="宋体" w:cs="宋体"/>
          <w:b/>
          <w:bCs/>
          <w:color w:val="auto"/>
          <w:sz w:val="24"/>
          <w:highlight w:val="none"/>
        </w:rPr>
        <w:t>磋商响应报价（最终）总表，供应商自行下载打印，用于开标当天填写。</w:t>
      </w:r>
      <w:r>
        <w:rPr>
          <w:rFonts w:hint="eastAsia" w:ascii="宋体" w:hAnsi="宋体" w:cs="宋体"/>
          <w:b/>
          <w:bCs/>
          <w:color w:val="auto"/>
          <w:sz w:val="24"/>
          <w:highlight w:val="none"/>
          <w:lang w:val="en-US" w:eastAsia="zh-CN"/>
        </w:rPr>
        <w:t>报价明细分项同比例下浮。</w:t>
      </w:r>
    </w:p>
    <w:p>
      <w:pPr>
        <w:pStyle w:val="26"/>
        <w:ind w:left="412" w:leftChars="196" w:firstLine="0" w:firstLineChars="0"/>
        <w:rPr>
          <w:color w:val="auto"/>
          <w:highlight w:val="none"/>
        </w:rPr>
      </w:pPr>
    </w:p>
    <w:p>
      <w:pPr>
        <w:pStyle w:val="134"/>
        <w:snapToGrid w:val="0"/>
        <w:spacing w:line="360" w:lineRule="auto"/>
        <w:ind w:firstLine="480" w:firstLineChars="200"/>
        <w:contextualSpacing/>
        <w:rPr>
          <w:rFonts w:ascii="Times New Roman" w:hAnsi="Times New Roman" w:cs="Times New Roman"/>
          <w:color w:val="auto"/>
          <w:highlight w:val="none"/>
        </w:rPr>
      </w:pPr>
    </w:p>
    <w:p>
      <w:pPr>
        <w:pStyle w:val="134"/>
        <w:snapToGrid w:val="0"/>
        <w:spacing w:line="360" w:lineRule="auto"/>
        <w:ind w:firstLine="480" w:firstLineChars="200"/>
        <w:contextualSpacing/>
        <w:rPr>
          <w:rFonts w:ascii="Times New Roman" w:hAnsi="Times New Roman" w:cs="Times New Roman"/>
          <w:color w:val="auto"/>
          <w:highlight w:val="none"/>
        </w:rPr>
      </w:pPr>
    </w:p>
    <w:p>
      <w:pPr>
        <w:snapToGrid w:val="0"/>
        <w:spacing w:line="520" w:lineRule="exact"/>
        <w:rPr>
          <w:rFonts w:hint="default" w:ascii="宋体" w:hAnsi="宋体" w:eastAsia="宋体" w:cs="宋体"/>
          <w:b/>
          <w:color w:val="auto"/>
          <w:sz w:val="24"/>
          <w:szCs w:val="21"/>
          <w:highlight w:val="none"/>
          <w:lang w:val="en-US" w:eastAsia="zh-CN"/>
        </w:rPr>
      </w:pPr>
      <w:r>
        <w:rPr>
          <w:rFonts w:ascii="宋体" w:hAnsi="宋体" w:cs="宋体"/>
          <w:b/>
          <w:color w:val="auto"/>
          <w:sz w:val="24"/>
          <w:szCs w:val="21"/>
          <w:highlight w:val="none"/>
        </w:rPr>
        <w:br w:type="page"/>
      </w:r>
    </w:p>
    <w:p>
      <w:pPr>
        <w:numPr>
          <w:ilvl w:val="-1"/>
          <w:numId w:val="0"/>
        </w:numPr>
        <w:snapToGrid w:val="0"/>
        <w:spacing w:line="500" w:lineRule="exact"/>
        <w:rPr>
          <w:rFonts w:ascii="宋体" w:hAnsi="宋体" w:cs="宋体"/>
          <w:color w:val="auto"/>
          <w:sz w:val="24"/>
          <w:szCs w:val="21"/>
          <w:highlight w:val="none"/>
        </w:rPr>
      </w:pPr>
      <w:r>
        <w:rPr>
          <w:rFonts w:hint="eastAsia" w:cs="Times New Roman"/>
          <w:b/>
          <w:color w:val="auto"/>
          <w:sz w:val="28"/>
          <w:szCs w:val="28"/>
          <w:highlight w:val="none"/>
          <w:lang w:val="en-US" w:eastAsia="zh-CN"/>
        </w:rPr>
        <w:t xml:space="preserve">                   </w:t>
      </w:r>
      <w:r>
        <w:rPr>
          <w:rFonts w:hint="default"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rPr>
        <w:t>磋商</w:t>
      </w:r>
      <w:r>
        <w:rPr>
          <w:rFonts w:ascii="Times New Roman" w:hAnsi="Times New Roman" w:cs="Times New Roman"/>
          <w:b/>
          <w:color w:val="auto"/>
          <w:sz w:val="28"/>
          <w:szCs w:val="28"/>
          <w:highlight w:val="none"/>
        </w:rPr>
        <w:t>报价明细表</w:t>
      </w:r>
    </w:p>
    <w:p>
      <w:pPr>
        <w:kinsoku w:val="0"/>
        <w:topLinePunct/>
        <w:snapToGrid w:val="0"/>
        <w:spacing w:line="520" w:lineRule="exact"/>
        <w:rPr>
          <w:rFonts w:hint="eastAsia" w:ascii="宋体" w:hAnsi="宋体" w:cs="宋体"/>
          <w:color w:val="auto"/>
          <w:sz w:val="24"/>
          <w:highlight w:val="none"/>
          <w:u w:val="single"/>
          <w:lang w:val="en-US" w:eastAsia="zh-CN"/>
        </w:rPr>
      </w:pPr>
      <w:r>
        <w:rPr>
          <w:rFonts w:hint="eastAsia" w:ascii="宋体" w:hAnsi="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tbl>
      <w:tblPr>
        <w:tblStyle w:val="5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05"/>
        <w:gridCol w:w="618"/>
        <w:gridCol w:w="634"/>
        <w:gridCol w:w="1509"/>
        <w:gridCol w:w="1056"/>
        <w:gridCol w:w="972"/>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名称</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1509"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尺寸</w:t>
            </w:r>
            <w:r>
              <w:rPr>
                <w:rFonts w:hint="eastAsia" w:ascii="宋体" w:hAnsi="宋体" w:eastAsia="宋体" w:cs="宋体"/>
                <w:sz w:val="24"/>
                <w:szCs w:val="24"/>
                <w:highlight w:val="none"/>
                <w:lang w:val="en-US"/>
              </w:rPr>
              <w:t>要求</w:t>
            </w:r>
          </w:p>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（范围）</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主题要求</w:t>
            </w:r>
          </w:p>
        </w:tc>
        <w:tc>
          <w:tcPr>
            <w:tcW w:w="972"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报</w:t>
            </w:r>
            <w:r>
              <w:rPr>
                <w:rFonts w:hint="eastAsia" w:ascii="宋体" w:hAnsi="宋体" w:eastAsia="宋体" w:cs="宋体"/>
                <w:sz w:val="24"/>
                <w:szCs w:val="24"/>
                <w:highlight w:val="none"/>
                <w:lang w:val="en-US"/>
              </w:rPr>
              <w:t>价</w:t>
            </w:r>
          </w:p>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（万元）</w:t>
            </w:r>
          </w:p>
        </w:tc>
        <w:tc>
          <w:tcPr>
            <w:tcW w:w="3310"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1"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标识标牌一</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1300mm宽*9300mm高*480mm厚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vMerge w:val="restart"/>
            <w:shd w:val="clear" w:color="auto" w:fill="auto"/>
            <w:vAlign w:val="center"/>
          </w:tcPr>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设计要求</w:t>
            </w:r>
            <w:r>
              <w:rPr>
                <w:rFonts w:hint="eastAsia" w:ascii="宋体" w:hAnsi="宋体" w:eastAsia="宋体" w:cs="宋体"/>
                <w:sz w:val="24"/>
                <w:szCs w:val="24"/>
                <w:highlight w:val="none"/>
              </w:rPr>
              <w:t>：增加园区可辨识度，丰富视觉感体验；为园区添加色彩鲜明造型独特的元素，增加活力和吸引力。</w:t>
            </w:r>
          </w:p>
          <w:p>
            <w:pPr>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rPr>
              <w:t xml:space="preserve">1.主体板材采用镀锌板1.5mm厚，经激光切割下料-剪板-折弯-焊接  打磨处理。                                                              2.表面高温静电喷涂工艺上色，二次汽车喷漆改色，）确保5到7年褪色率低于5%，                                                    3.整体做层次厚度，内附主体龙骨100*100*5mm厚  副龙骨50*100*5mm， 50*50*1.5mm厚成品镀锌方管（防锈处理） ，造型部分镂空，堡垒主体底部焊接钢板15到20mm厚。                                 </w:t>
            </w:r>
            <w:r>
              <w:rPr>
                <w:rFonts w:hint="eastAsia" w:ascii="宋体" w:hAnsi="宋体" w:eastAsia="宋体" w:cs="宋体"/>
                <w:b/>
                <w:bCs/>
                <w:sz w:val="24"/>
                <w:szCs w:val="24"/>
                <w:highlight w:val="none"/>
              </w:rPr>
              <w:t>施工要求</w:t>
            </w:r>
            <w:r>
              <w:rPr>
                <w:rFonts w:hint="eastAsia" w:ascii="宋体" w:hAnsi="宋体" w:eastAsia="宋体" w:cs="宋体"/>
                <w:sz w:val="24"/>
                <w:szCs w:val="24"/>
                <w:highlight w:val="none"/>
              </w:rPr>
              <w:t>：                                                       1. 地脚笼安装固定  （安装方式：提前做基础 地脚笼固定安装地笼预埋，用c30混凝土浇灌基础。                            2. 安装前做好防护措施，设置临时围挡，安全警示标牌等。                       3.安装结束后做好场地表面基层优化，清扫场地。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3" w:hRule="atLeast"/>
        </w:trPr>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标识标牌二</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1000mm宽*9300mm高*1000mm厚</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生命健康</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vMerge w:val="continue"/>
            <w:shd w:val="clear" w:color="auto" w:fill="auto"/>
            <w:vAlign w:val="center"/>
          </w:tcPr>
          <w:p>
            <w:pPr>
              <w:jc w:val="center"/>
              <w:rPr>
                <w:rFonts w:hint="eastAsia" w:ascii="宋体" w:hAnsi="宋体" w:eastAsia="宋体" w:cs="宋体"/>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05"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标识标牌三</w:t>
            </w:r>
          </w:p>
        </w:tc>
        <w:tc>
          <w:tcPr>
            <w:tcW w:w="618"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34"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个</w:t>
            </w:r>
          </w:p>
        </w:tc>
        <w:tc>
          <w:tcPr>
            <w:tcW w:w="1509" w:type="dxa"/>
            <w:shd w:val="clear" w:color="auto" w:fill="auto"/>
            <w:vAlign w:val="center"/>
          </w:tcPr>
          <w:p>
            <w:pPr>
              <w:pStyle w:val="26"/>
              <w:spacing w:line="24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rPr>
              <w:t>字高900mm-1000mm</w:t>
            </w:r>
          </w:p>
        </w:tc>
        <w:tc>
          <w:tcPr>
            <w:tcW w:w="1056"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972" w:type="dxa"/>
            <w:shd w:val="clear" w:color="auto" w:fill="auto"/>
            <w:vAlign w:val="center"/>
          </w:tcPr>
          <w:p>
            <w:pPr>
              <w:pStyle w:val="26"/>
              <w:spacing w:line="240" w:lineRule="auto"/>
              <w:ind w:firstLine="0" w:firstLineChars="0"/>
              <w:jc w:val="center"/>
              <w:rPr>
                <w:rFonts w:hint="eastAsia" w:ascii="宋体" w:hAnsi="宋体" w:eastAsia="宋体" w:cs="宋体"/>
                <w:sz w:val="24"/>
                <w:szCs w:val="24"/>
                <w:highlight w:val="none"/>
                <w:lang w:val="en-US"/>
              </w:rPr>
            </w:pPr>
          </w:p>
        </w:tc>
        <w:tc>
          <w:tcPr>
            <w:tcW w:w="3310" w:type="dxa"/>
            <w:shd w:val="clear" w:color="auto" w:fill="auto"/>
            <w:vAlign w:val="center"/>
          </w:tcPr>
          <w:p>
            <w:pPr>
              <w:pStyle w:val="26"/>
              <w:spacing w:line="240" w:lineRule="auto"/>
              <w:ind w:left="0" w:leftChars="0" w:firstLine="0" w:firstLineChars="0"/>
              <w:jc w:val="left"/>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rPr>
              <w:t>材质要求</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rPr>
              <w:t>不锈钢围边发光字 蓝景灯光源配12V蓝景电源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4</w:t>
            </w:r>
          </w:p>
        </w:tc>
        <w:tc>
          <w:tcPr>
            <w:tcW w:w="905"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户外宣传墙</w:t>
            </w:r>
          </w:p>
        </w:tc>
        <w:tc>
          <w:tcPr>
            <w:tcW w:w="618"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1</w:t>
            </w:r>
          </w:p>
        </w:tc>
        <w:tc>
          <w:tcPr>
            <w:tcW w:w="634"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个</w:t>
            </w:r>
          </w:p>
        </w:tc>
        <w:tc>
          <w:tcPr>
            <w:tcW w:w="1509" w:type="dxa"/>
            <w:shd w:val="clear" w:color="auto" w:fill="auto"/>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弧形墙（约45平方）</w:t>
            </w:r>
          </w:p>
        </w:tc>
        <w:tc>
          <w:tcPr>
            <w:tcW w:w="1056" w:type="dxa"/>
            <w:shd w:val="clear" w:color="auto" w:fill="auto"/>
            <w:vAlign w:val="center"/>
          </w:tcPr>
          <w:p>
            <w:pPr>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rPr>
              <w:t>集成电路产业园区介绍</w:t>
            </w: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sz w:val="24"/>
                <w:szCs w:val="24"/>
                <w:highlight w:val="none"/>
                <w:lang w:val="en-US"/>
              </w:rPr>
            </w:pPr>
            <w:r>
              <w:rPr>
                <w:rFonts w:hint="eastAsia" w:ascii="宋体" w:hAnsi="宋体" w:eastAsia="宋体" w:cs="宋体"/>
                <w:b/>
                <w:bCs/>
                <w:sz w:val="24"/>
                <w:szCs w:val="24"/>
                <w:highlight w:val="none"/>
                <w:lang w:val="en-US"/>
              </w:rPr>
              <w:t>材质要求：</w:t>
            </w:r>
            <w:r>
              <w:rPr>
                <w:rFonts w:hint="eastAsia" w:ascii="宋体" w:hAnsi="宋体" w:eastAsia="宋体" w:cs="宋体"/>
                <w:sz w:val="24"/>
                <w:szCs w:val="24"/>
                <w:highlight w:val="none"/>
                <w:lang w:val="en-US"/>
              </w:rPr>
              <w:t>刀刮布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905" w:type="dxa"/>
            <w:shd w:val="clear" w:color="auto" w:fill="auto"/>
            <w:vAlign w:val="center"/>
          </w:tcPr>
          <w:p>
            <w:pPr>
              <w:jc w:val="center"/>
              <w:rPr>
                <w:rFonts w:hint="eastAsia" w:ascii="宋体" w:hAnsi="宋体" w:eastAsia="宋体" w:cs="宋体"/>
                <w:sz w:val="24"/>
                <w:szCs w:val="24"/>
                <w:highlight w:val="none"/>
                <w:lang w:val="en-US"/>
              </w:rPr>
            </w:pPr>
          </w:p>
        </w:tc>
        <w:tc>
          <w:tcPr>
            <w:tcW w:w="618" w:type="dxa"/>
            <w:shd w:val="clear" w:color="auto" w:fill="auto"/>
            <w:vAlign w:val="center"/>
          </w:tcPr>
          <w:p>
            <w:pPr>
              <w:jc w:val="center"/>
              <w:rPr>
                <w:rFonts w:hint="eastAsia" w:ascii="宋体" w:hAnsi="宋体" w:eastAsia="宋体" w:cs="宋体"/>
                <w:sz w:val="24"/>
                <w:szCs w:val="24"/>
                <w:highlight w:val="none"/>
                <w:lang w:val="en-US"/>
              </w:rPr>
            </w:pPr>
          </w:p>
        </w:tc>
        <w:tc>
          <w:tcPr>
            <w:tcW w:w="634" w:type="dxa"/>
            <w:shd w:val="clear" w:color="auto" w:fill="auto"/>
            <w:vAlign w:val="center"/>
          </w:tcPr>
          <w:p>
            <w:pPr>
              <w:jc w:val="center"/>
              <w:rPr>
                <w:rFonts w:hint="eastAsia" w:ascii="宋体" w:hAnsi="宋体" w:eastAsia="宋体" w:cs="宋体"/>
                <w:sz w:val="24"/>
                <w:szCs w:val="24"/>
                <w:highlight w:val="none"/>
                <w:lang w:val="en-US"/>
              </w:rPr>
            </w:pPr>
          </w:p>
        </w:tc>
        <w:tc>
          <w:tcPr>
            <w:tcW w:w="1509" w:type="dxa"/>
            <w:shd w:val="clear" w:color="auto" w:fill="auto"/>
            <w:vAlign w:val="center"/>
          </w:tcPr>
          <w:p>
            <w:pPr>
              <w:jc w:val="center"/>
              <w:rPr>
                <w:rFonts w:hint="eastAsia" w:ascii="宋体" w:hAnsi="宋体" w:eastAsia="宋体" w:cs="宋体"/>
                <w:sz w:val="24"/>
                <w:szCs w:val="24"/>
                <w:highlight w:val="none"/>
              </w:rPr>
            </w:pPr>
          </w:p>
        </w:tc>
        <w:tc>
          <w:tcPr>
            <w:tcW w:w="1056" w:type="dxa"/>
            <w:shd w:val="clear" w:color="auto" w:fill="auto"/>
            <w:vAlign w:val="center"/>
          </w:tcPr>
          <w:p>
            <w:pPr>
              <w:jc w:val="center"/>
              <w:rPr>
                <w:rFonts w:hint="eastAsia" w:ascii="宋体" w:hAnsi="宋体" w:eastAsia="宋体" w:cs="宋体"/>
                <w:sz w:val="24"/>
                <w:szCs w:val="24"/>
                <w:highlight w:val="none"/>
                <w:lang w:val="en-US"/>
              </w:rPr>
            </w:pP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b/>
                <w:bCs/>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 w:type="dxa"/>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905" w:type="dxa"/>
            <w:shd w:val="clear" w:color="auto" w:fill="auto"/>
            <w:vAlign w:val="center"/>
          </w:tcPr>
          <w:p>
            <w:pPr>
              <w:jc w:val="center"/>
              <w:rPr>
                <w:rFonts w:hint="eastAsia" w:ascii="宋体" w:hAnsi="宋体" w:eastAsia="宋体" w:cs="宋体"/>
                <w:sz w:val="24"/>
                <w:szCs w:val="24"/>
                <w:highlight w:val="none"/>
                <w:lang w:val="en-US"/>
              </w:rPr>
            </w:pPr>
          </w:p>
        </w:tc>
        <w:tc>
          <w:tcPr>
            <w:tcW w:w="618" w:type="dxa"/>
            <w:shd w:val="clear" w:color="auto" w:fill="auto"/>
            <w:vAlign w:val="center"/>
          </w:tcPr>
          <w:p>
            <w:pPr>
              <w:jc w:val="center"/>
              <w:rPr>
                <w:rFonts w:hint="eastAsia" w:ascii="宋体" w:hAnsi="宋体" w:eastAsia="宋体" w:cs="宋体"/>
                <w:sz w:val="24"/>
                <w:szCs w:val="24"/>
                <w:highlight w:val="none"/>
                <w:lang w:val="en-US"/>
              </w:rPr>
            </w:pPr>
          </w:p>
        </w:tc>
        <w:tc>
          <w:tcPr>
            <w:tcW w:w="634" w:type="dxa"/>
            <w:shd w:val="clear" w:color="auto" w:fill="auto"/>
            <w:vAlign w:val="center"/>
          </w:tcPr>
          <w:p>
            <w:pPr>
              <w:jc w:val="center"/>
              <w:rPr>
                <w:rFonts w:hint="eastAsia" w:ascii="宋体" w:hAnsi="宋体" w:eastAsia="宋体" w:cs="宋体"/>
                <w:sz w:val="24"/>
                <w:szCs w:val="24"/>
                <w:highlight w:val="none"/>
                <w:lang w:val="en-US"/>
              </w:rPr>
            </w:pPr>
          </w:p>
        </w:tc>
        <w:tc>
          <w:tcPr>
            <w:tcW w:w="1509" w:type="dxa"/>
            <w:shd w:val="clear" w:color="auto" w:fill="auto"/>
            <w:vAlign w:val="center"/>
          </w:tcPr>
          <w:p>
            <w:pPr>
              <w:jc w:val="center"/>
              <w:rPr>
                <w:rFonts w:hint="eastAsia" w:ascii="宋体" w:hAnsi="宋体" w:eastAsia="宋体" w:cs="宋体"/>
                <w:sz w:val="24"/>
                <w:szCs w:val="24"/>
                <w:highlight w:val="none"/>
              </w:rPr>
            </w:pPr>
          </w:p>
        </w:tc>
        <w:tc>
          <w:tcPr>
            <w:tcW w:w="1056" w:type="dxa"/>
            <w:shd w:val="clear" w:color="auto" w:fill="auto"/>
            <w:vAlign w:val="center"/>
          </w:tcPr>
          <w:p>
            <w:pPr>
              <w:jc w:val="center"/>
              <w:rPr>
                <w:rFonts w:hint="eastAsia" w:ascii="宋体" w:hAnsi="宋体" w:eastAsia="宋体" w:cs="宋体"/>
                <w:sz w:val="24"/>
                <w:szCs w:val="24"/>
                <w:highlight w:val="none"/>
                <w:lang w:val="en-US"/>
              </w:rPr>
            </w:pPr>
          </w:p>
        </w:tc>
        <w:tc>
          <w:tcPr>
            <w:tcW w:w="972" w:type="dxa"/>
            <w:shd w:val="clear" w:color="auto" w:fill="auto"/>
            <w:vAlign w:val="center"/>
          </w:tcPr>
          <w:p>
            <w:pPr>
              <w:jc w:val="center"/>
              <w:rPr>
                <w:rFonts w:hint="eastAsia" w:ascii="宋体" w:hAnsi="宋体" w:eastAsia="宋体" w:cs="宋体"/>
                <w:sz w:val="24"/>
                <w:szCs w:val="24"/>
                <w:highlight w:val="none"/>
                <w:lang w:val="en-US"/>
              </w:rPr>
            </w:pPr>
          </w:p>
        </w:tc>
        <w:tc>
          <w:tcPr>
            <w:tcW w:w="3310" w:type="dxa"/>
            <w:shd w:val="clear" w:color="auto" w:fill="auto"/>
            <w:vAlign w:val="center"/>
          </w:tcPr>
          <w:p>
            <w:pPr>
              <w:rPr>
                <w:rFonts w:hint="eastAsia" w:ascii="宋体" w:hAnsi="宋体" w:eastAsia="宋体" w:cs="宋体"/>
                <w:b/>
                <w:bCs/>
                <w:sz w:val="24"/>
                <w:szCs w:val="24"/>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gridSpan w:val="2"/>
            <w:shd w:val="clear" w:color="auto" w:fill="auto"/>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合计：</w:t>
            </w:r>
          </w:p>
        </w:tc>
        <w:tc>
          <w:tcPr>
            <w:tcW w:w="8099" w:type="dxa"/>
            <w:gridSpan w:val="6"/>
            <w:shd w:val="clear" w:color="auto" w:fill="auto"/>
            <w:vAlign w:val="center"/>
          </w:tcPr>
          <w:p>
            <w:pPr>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元</w:t>
            </w:r>
          </w:p>
        </w:tc>
      </w:tr>
    </w:tbl>
    <w:p>
      <w:pPr>
        <w:kinsoku w:val="0"/>
        <w:topLinePunct/>
        <w:snapToGrid w:val="0"/>
        <w:spacing w:line="520" w:lineRule="exac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注：如有其他分项供应商自行增加。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竞争性磋商响应单位：（盖章）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法定代表人或被授权人（签字或盖章）：</w:t>
      </w:r>
    </w:p>
    <w:p>
      <w:pPr>
        <w:kinsoku w:val="0"/>
        <w:topLinePunct/>
        <w:snapToGrid w:val="0"/>
        <w:spacing w:line="520" w:lineRule="exact"/>
        <w:rPr>
          <w:rFonts w:ascii="宋体"/>
          <w:color w:val="auto"/>
          <w:sz w:val="24"/>
          <w:highlight w:val="none"/>
        </w:rPr>
      </w:pPr>
      <w:r>
        <w:rPr>
          <w:rFonts w:hint="eastAsia" w:ascii="宋体" w:hAnsi="宋体" w:cs="宋体"/>
          <w:color w:val="auto"/>
          <w:sz w:val="24"/>
          <w:highlight w:val="none"/>
        </w:rPr>
        <w:t>日期：</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snapToGrid w:val="0"/>
        <w:spacing w:line="360" w:lineRule="auto"/>
        <w:ind w:left="984" w:hanging="984" w:hangingChars="350"/>
        <w:jc w:val="center"/>
        <w:rPr>
          <w:b/>
          <w:color w:val="auto"/>
          <w:kern w:val="44"/>
          <w:sz w:val="28"/>
          <w:szCs w:val="28"/>
          <w:highlight w:val="none"/>
        </w:rPr>
      </w:pPr>
    </w:p>
    <w:p>
      <w:pPr>
        <w:pStyle w:val="26"/>
        <w:ind w:firstLine="562"/>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snapToGrid/>
        <w:spacing w:line="240" w:lineRule="auto"/>
        <w:jc w:val="both"/>
        <w:outlineLvl w:val="9"/>
        <w:rPr>
          <w:rFonts w:hint="eastAsia" w:ascii="Calibri" w:hAnsi="Calibri" w:eastAsia="仿宋_GB2312"/>
          <w:b/>
          <w:color w:val="auto"/>
          <w:sz w:val="28"/>
          <w:szCs w:val="28"/>
          <w:highlight w:val="none"/>
          <w:lang w:val="en-US" w:eastAsia="zh-CN"/>
        </w:rPr>
      </w:pPr>
      <w:r>
        <w:rPr>
          <w:rFonts w:hint="eastAsia" w:ascii="Calibri" w:hAnsi="Calibri" w:eastAsia="仿宋_GB2312"/>
          <w:b/>
          <w:color w:val="auto"/>
          <w:sz w:val="28"/>
          <w:szCs w:val="28"/>
          <w:highlight w:val="none"/>
          <w:lang w:val="en-US" w:eastAsia="zh-CN"/>
        </w:rPr>
        <w:br w:type="page"/>
      </w:r>
    </w:p>
    <w:p>
      <w:pPr>
        <w:snapToGrid w:val="0"/>
        <w:spacing w:line="360" w:lineRule="exact"/>
        <w:jc w:val="center"/>
        <w:outlineLvl w:val="3"/>
        <w:rPr>
          <w:rFonts w:ascii="Calibri" w:hAnsi="Calibri" w:eastAsia="仿宋_GB2312"/>
          <w:b/>
          <w:color w:val="auto"/>
          <w:sz w:val="28"/>
          <w:szCs w:val="28"/>
          <w:highlight w:val="none"/>
        </w:rPr>
      </w:pPr>
      <w:r>
        <w:rPr>
          <w:rFonts w:hint="eastAsia" w:ascii="Calibri" w:hAnsi="Calibri" w:eastAsia="仿宋_GB2312"/>
          <w:b/>
          <w:color w:val="auto"/>
          <w:sz w:val="28"/>
          <w:szCs w:val="28"/>
          <w:highlight w:val="none"/>
          <w:lang w:val="en-US" w:eastAsia="zh-CN"/>
        </w:rPr>
        <w:t>3</w:t>
      </w:r>
      <w:r>
        <w:rPr>
          <w:rFonts w:hint="eastAsia" w:ascii="Calibri" w:hAnsi="Calibri" w:eastAsia="仿宋_GB2312"/>
          <w:b/>
          <w:color w:val="auto"/>
          <w:sz w:val="28"/>
          <w:szCs w:val="28"/>
          <w:highlight w:val="none"/>
        </w:rPr>
        <w:t>、磋商响应报价（最终）总表</w:t>
      </w:r>
    </w:p>
    <w:p>
      <w:pPr>
        <w:snapToGrid w:val="0"/>
        <w:spacing w:line="360" w:lineRule="exact"/>
        <w:ind w:left="1214" w:hanging="1214" w:hangingChars="506"/>
        <w:rPr>
          <w:rFonts w:ascii="仿宋_GB2312" w:hAnsi="宋体" w:eastAsia="仿宋_GB2312"/>
          <w:color w:val="auto"/>
          <w:sz w:val="24"/>
          <w:szCs w:val="24"/>
          <w:highlight w:val="none"/>
        </w:rPr>
      </w:pPr>
    </w:p>
    <w:p>
      <w:pPr>
        <w:snapToGrid w:val="0"/>
        <w:spacing w:line="360" w:lineRule="exact"/>
        <w:ind w:left="1417" w:hanging="1416" w:hangingChars="506"/>
        <w:rPr>
          <w:rFonts w:hint="eastAsia" w:ascii="仿宋_GB2312" w:hAnsi="宋体" w:eastAsia="仿宋_GB2312"/>
          <w:color w:val="auto"/>
          <w:sz w:val="28"/>
          <w:szCs w:val="28"/>
          <w:highlight w:val="none"/>
          <w:lang w:eastAsia="zh-CN"/>
        </w:rPr>
      </w:pPr>
      <w:r>
        <w:rPr>
          <w:rFonts w:hint="eastAsia" w:ascii="仿宋_GB2312" w:hAnsi="宋体" w:eastAsia="仿宋_GB2312"/>
          <w:color w:val="auto"/>
          <w:sz w:val="28"/>
          <w:szCs w:val="28"/>
          <w:highlight w:val="none"/>
        </w:rPr>
        <w:t>项目名称：</w:t>
      </w:r>
      <w:r>
        <w:rPr>
          <w:rFonts w:hint="eastAsia" w:ascii="仿宋_GB2312" w:hAnsi="宋体" w:eastAsia="仿宋_GB2312" w:cs="Times New Roman"/>
          <w:color w:val="auto"/>
          <w:sz w:val="28"/>
          <w:szCs w:val="28"/>
          <w:highlight w:val="none"/>
          <w:lang w:val="en-US" w:eastAsia="zh-CN"/>
        </w:rPr>
        <w:t xml:space="preserve"> </w:t>
      </w:r>
    </w:p>
    <w:p>
      <w:pPr>
        <w:snapToGrid w:val="0"/>
        <w:spacing w:line="360" w:lineRule="exact"/>
        <w:ind w:left="1518" w:hanging="1517" w:hangingChars="506"/>
        <w:rPr>
          <w:rFonts w:ascii="仿宋_GB2312" w:hAnsi="仿宋_GB2312" w:eastAsia="仿宋_GB2312" w:cs="仿宋_GB2312"/>
          <w:color w:val="auto"/>
          <w:sz w:val="30"/>
          <w:szCs w:val="30"/>
          <w:highlight w:val="none"/>
        </w:rPr>
      </w:pPr>
    </w:p>
    <w:tbl>
      <w:tblPr>
        <w:tblStyle w:val="50"/>
        <w:tblW w:w="9639"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0"/>
        <w:gridCol w:w="3033"/>
        <w:gridCol w:w="1740"/>
        <w:gridCol w:w="245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7" w:hRule="atLeast"/>
        </w:trPr>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项目名称</w:t>
            </w:r>
          </w:p>
        </w:tc>
        <w:tc>
          <w:tcPr>
            <w:tcW w:w="3033"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磋商响应报价（元）</w:t>
            </w:r>
          </w:p>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（最终）</w:t>
            </w:r>
          </w:p>
        </w:tc>
        <w:tc>
          <w:tcPr>
            <w:tcW w:w="174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项目完成时间</w:t>
            </w:r>
          </w:p>
        </w:tc>
        <w:tc>
          <w:tcPr>
            <w:tcW w:w="2456"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付款方式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515" w:hRule="atLeast"/>
        </w:trPr>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ind w:left="1"/>
              <w:jc w:val="center"/>
              <w:textAlignment w:val="bottom"/>
              <w:rPr>
                <w:rFonts w:hint="eastAsia" w:ascii="宋体" w:hAnsi="宋体" w:eastAsia="仿宋_GB2312"/>
                <w:bCs/>
                <w:color w:val="auto"/>
                <w:kern w:val="0"/>
                <w:sz w:val="24"/>
                <w:szCs w:val="24"/>
                <w:highlight w:val="none"/>
                <w:lang w:eastAsia="zh-CN"/>
              </w:rPr>
            </w:pPr>
            <w:r>
              <w:rPr>
                <w:rFonts w:hint="eastAsia" w:ascii="宋体" w:hAnsi="宋体" w:eastAsia="仿宋_GB2312" w:cs="Times New Roman"/>
                <w:bCs/>
                <w:color w:val="auto"/>
                <w:kern w:val="0"/>
                <w:sz w:val="24"/>
                <w:szCs w:val="24"/>
                <w:highlight w:val="none"/>
                <w:lang w:val="en-US" w:eastAsia="zh-CN"/>
              </w:rPr>
              <w:t xml:space="preserve"> </w:t>
            </w:r>
          </w:p>
        </w:tc>
        <w:tc>
          <w:tcPr>
            <w:tcW w:w="3033"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left"/>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大写：</w:t>
            </w:r>
          </w:p>
          <w:p>
            <w:pPr>
              <w:spacing w:line="360" w:lineRule="exact"/>
              <w:ind w:left="1" w:firstLine="26" w:firstLineChars="11"/>
              <w:jc w:val="left"/>
              <w:textAlignment w:val="bottom"/>
              <w:rPr>
                <w:rFonts w:ascii="宋体" w:hAnsi="宋体" w:eastAsia="仿宋_GB2312"/>
                <w:bCs/>
                <w:color w:val="auto"/>
                <w:kern w:val="0"/>
                <w:sz w:val="24"/>
                <w:szCs w:val="24"/>
                <w:highlight w:val="none"/>
              </w:rPr>
            </w:pPr>
          </w:p>
          <w:p>
            <w:pPr>
              <w:spacing w:line="360" w:lineRule="exact"/>
              <w:ind w:left="1" w:firstLine="26" w:firstLineChars="11"/>
              <w:jc w:val="left"/>
              <w:textAlignment w:val="bottom"/>
              <w:rPr>
                <w:rFonts w:ascii="宋体" w:hAnsi="宋体" w:eastAsia="仿宋_GB2312"/>
                <w:bCs/>
                <w:color w:val="auto"/>
                <w:kern w:val="0"/>
                <w:sz w:val="24"/>
                <w:szCs w:val="24"/>
                <w:highlight w:val="none"/>
                <w:lang w:eastAsia="en-US"/>
              </w:rPr>
            </w:pPr>
            <w:r>
              <w:rPr>
                <w:rFonts w:hint="eastAsia" w:ascii="宋体" w:hAnsi="宋体" w:eastAsia="仿宋_GB2312"/>
                <w:bCs/>
                <w:color w:val="auto"/>
                <w:kern w:val="0"/>
                <w:sz w:val="24"/>
                <w:szCs w:val="24"/>
                <w:highlight w:val="none"/>
              </w:rPr>
              <w:t>小写：</w:t>
            </w:r>
          </w:p>
        </w:tc>
        <w:tc>
          <w:tcPr>
            <w:tcW w:w="1740" w:type="dxa"/>
            <w:tcBorders>
              <w:top w:val="single" w:color="auto" w:sz="4" w:space="0"/>
              <w:left w:val="single" w:color="auto" w:sz="4" w:space="0"/>
              <w:bottom w:val="single" w:color="auto" w:sz="4" w:space="0"/>
              <w:right w:val="single" w:color="auto" w:sz="4" w:space="0"/>
            </w:tcBorders>
            <w:vAlign w:val="center"/>
          </w:tcPr>
          <w:p>
            <w:pPr>
              <w:spacing w:line="360" w:lineRule="exact"/>
              <w:ind w:left="1" w:firstLine="26" w:firstLineChars="1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完全响应招标文件要求的时间</w:t>
            </w:r>
          </w:p>
        </w:tc>
        <w:tc>
          <w:tcPr>
            <w:tcW w:w="2456" w:type="dxa"/>
            <w:tcBorders>
              <w:top w:val="single" w:color="auto" w:sz="4" w:space="0"/>
              <w:left w:val="single" w:color="auto" w:sz="4" w:space="0"/>
              <w:bottom w:val="single" w:color="auto" w:sz="4" w:space="0"/>
              <w:right w:val="single" w:color="auto" w:sz="4" w:space="0"/>
            </w:tcBorders>
            <w:vAlign w:val="center"/>
          </w:tcPr>
          <w:p>
            <w:pPr>
              <w:spacing w:line="360" w:lineRule="exact"/>
              <w:ind w:left="1"/>
              <w:jc w:val="center"/>
              <w:textAlignment w:val="bottom"/>
              <w:rPr>
                <w:rFonts w:ascii="宋体" w:hAnsi="宋体" w:eastAsia="仿宋_GB2312"/>
                <w:bCs/>
                <w:color w:val="auto"/>
                <w:kern w:val="0"/>
                <w:sz w:val="24"/>
                <w:szCs w:val="24"/>
                <w:highlight w:val="none"/>
              </w:rPr>
            </w:pPr>
            <w:r>
              <w:rPr>
                <w:rFonts w:hint="eastAsia" w:ascii="宋体" w:hAnsi="宋体" w:eastAsia="仿宋_GB2312"/>
                <w:bCs/>
                <w:color w:val="auto"/>
                <w:kern w:val="0"/>
                <w:sz w:val="24"/>
                <w:szCs w:val="24"/>
                <w:highlight w:val="none"/>
              </w:rPr>
              <w:t>完全响应招标文件要求的付款方式</w:t>
            </w:r>
          </w:p>
        </w:tc>
      </w:tr>
    </w:tbl>
    <w:p>
      <w:pPr>
        <w:kinsoku w:val="0"/>
        <w:topLinePunct/>
        <w:snapToGrid w:val="0"/>
        <w:spacing w:line="360" w:lineRule="exact"/>
        <w:rPr>
          <w:rFonts w:ascii="仿宋_GB2312" w:hAnsi="宋体" w:eastAsia="仿宋_GB2312"/>
          <w:color w:val="auto"/>
          <w:szCs w:val="21"/>
          <w:highlight w:val="none"/>
        </w:rPr>
      </w:pP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 xml:space="preserve">磋商供应商：          </w:t>
      </w: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法定代表人或被委托授权人（签字）：</w:t>
      </w:r>
    </w:p>
    <w:p>
      <w:pPr>
        <w:kinsoku w:val="0"/>
        <w:topLinePunct/>
        <w:snapToGrid w:val="0"/>
        <w:spacing w:line="360" w:lineRule="auto"/>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日期：</w:t>
      </w: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pStyle w:val="27"/>
        <w:rPr>
          <w:b/>
          <w:color w:val="auto"/>
          <w:kern w:val="44"/>
          <w:sz w:val="28"/>
          <w:szCs w:val="28"/>
          <w:highlight w:val="none"/>
        </w:rPr>
      </w:pPr>
    </w:p>
    <w:p>
      <w:pPr>
        <w:rPr>
          <w:color w:val="auto"/>
          <w:highlight w:val="none"/>
        </w:rPr>
      </w:pPr>
      <w:r>
        <w:rPr>
          <w:color w:val="auto"/>
          <w:highlight w:val="none"/>
        </w:rPr>
        <mc:AlternateContent>
          <mc:Choice Requires="wps">
            <w:drawing>
              <wp:anchor distT="0" distB="0" distL="114300" distR="114300" simplePos="0" relativeHeight="251659264" behindDoc="1" locked="0" layoutInCell="1" allowOverlap="1">
                <wp:simplePos x="0" y="0"/>
                <wp:positionH relativeFrom="page">
                  <wp:posOffset>1391920</wp:posOffset>
                </wp:positionH>
                <wp:positionV relativeFrom="page">
                  <wp:posOffset>9069705</wp:posOffset>
                </wp:positionV>
                <wp:extent cx="4711700" cy="451485"/>
                <wp:effectExtent l="0" t="0" r="0" b="0"/>
                <wp:wrapNone/>
                <wp:docPr id="2" name="Text Box 3"/>
                <wp:cNvGraphicFramePr/>
                <a:graphic xmlns:a="http://schemas.openxmlformats.org/drawingml/2006/main">
                  <a:graphicData uri="http://schemas.microsoft.com/office/word/2010/wordprocessingShape">
                    <wps:wsp>
                      <wps:cNvSpPr txBox="1">
                        <a:spLocks noChangeArrowheads="1"/>
                      </wps:cNvSpPr>
                      <wps:spPr bwMode="auto">
                        <a:xfrm>
                          <a:off x="0" y="0"/>
                          <a:ext cx="4711700" cy="451485"/>
                        </a:xfrm>
                        <a:prstGeom prst="rect">
                          <a:avLst/>
                        </a:prstGeom>
                        <a:noFill/>
                        <a:ln>
                          <a:noFill/>
                        </a:ln>
                        <a:effectLst/>
                      </wps:spPr>
                      <wps:txbx>
                        <w:txbxContent>
                          <w:p>
                            <w:pPr>
                              <w:rPr>
                                <w:rFonts w:ascii="宋体"/>
                                <w:sz w:val="18"/>
                              </w:rPr>
                            </w:pP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109.6pt;margin-top:714.15pt;height:35.55pt;width:371pt;mso-position-horizontal-relative:page;mso-position-vertical-relative:page;z-index:-251657216;mso-width-relative:page;mso-height-relative:page;" filled="f" stroked="f" coordsize="21600,21600" o:gfxdata="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7P&#10;f9oAAAANAQAADwAAAAAAAAABACAAAAAiAAAAZHJzL2Rvd25yZXYueG1sUEsBAhQAFAAAAAgAh07i&#10;QMR4d2PnAQAAxAMAAA4AAAAAAAAAAQAgAAAAKQEAAGRycy9lMm9Eb2MueG1sUEsFBgAAAAAGAAYA&#10;WQEAAIIFAAAAAA==&#10;">
                <v:fill on="f" focussize="0,0"/>
                <v:stroke on="f"/>
                <v:imagedata o:title=""/>
                <o:lock v:ext="edit" aspectratio="f"/>
                <v:textbox inset="0mm,0mm,0mm,0mm">
                  <w:txbxContent>
                    <w:p>
                      <w:pPr>
                        <w:rPr>
                          <w:rFonts w:ascii="宋体"/>
                          <w:sz w:val="18"/>
                        </w:rPr>
                      </w:pPr>
                    </w:p>
                  </w:txbxContent>
                </v:textbox>
              </v:shape>
            </w:pict>
          </mc:Fallback>
        </mc:AlternateContent>
      </w:r>
    </w:p>
    <w:sectPr>
      <w:footerReference r:id="rId4" w:type="default"/>
      <w:pgSz w:w="11906" w:h="16838"/>
      <w:pgMar w:top="1418" w:right="1247" w:bottom="1247"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74F2F75-96F2-4CED-B8F4-89BD514D13A3}"/>
  </w:font>
  <w:font w:name="黑体">
    <w:panose1 w:val="02010609060101010101"/>
    <w:charset w:val="86"/>
    <w:family w:val="auto"/>
    <w:pitch w:val="default"/>
    <w:sig w:usb0="800002BF" w:usb1="38CF7CFA" w:usb2="00000016" w:usb3="00000000" w:csb0="00040001" w:csb1="00000000"/>
    <w:embedRegular r:id="rId2" w:fontKey="{0E7471DF-20E5-48D5-88B8-FA948B890B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DC47F1-9CB8-43CD-8573-3E2715CF147B}"/>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00000" w:csb1="00000000"/>
    <w:embedRegular r:id="rId4" w:fontKey="{7B0A1587-DCC8-4DF4-A9B4-C41DCFB1B9DF}"/>
  </w:font>
  <w:font w:name="Tahoma">
    <w:panose1 w:val="020B0604030504040204"/>
    <w:charset w:val="00"/>
    <w:family w:val="swiss"/>
    <w:pitch w:val="default"/>
    <w:sig w:usb0="E1002EFF" w:usb1="C000605B" w:usb2="00000029" w:usb3="00000000" w:csb0="200101FF" w:csb1="20280000"/>
    <w:embedRegular r:id="rId5" w:fontKey="{2508964D-4651-4D0D-A6EB-C3B85E62E191}"/>
  </w:font>
  <w:font w:name="KOCJL A+ Avenir LT Std">
    <w:altName w:val="微软雅黑"/>
    <w:panose1 w:val="00000000000000000000"/>
    <w:charset w:val="86"/>
    <w:family w:val="swiss"/>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embedRegular r:id="rId6" w:fontKey="{DB6C086C-A661-4E8E-8BB0-310BA39B66D9}"/>
  </w:font>
  <w:font w:name="楷体_GB2312">
    <w:altName w:val="楷体"/>
    <w:panose1 w:val="00000000000000000000"/>
    <w:charset w:val="86"/>
    <w:family w:val="modern"/>
    <w:pitch w:val="default"/>
    <w:sig w:usb0="00000000" w:usb1="00000000" w:usb2="00000010" w:usb3="00000000" w:csb0="00040000" w:csb1="00000000"/>
    <w:embedRegular r:id="rId7" w:fontKey="{347F95AD-9469-4B4C-8BB9-1964B05B59E6}"/>
  </w:font>
  <w:font w:name="华文新魏">
    <w:panose1 w:val="02010800040101010101"/>
    <w:charset w:val="86"/>
    <w:family w:val="auto"/>
    <w:pitch w:val="default"/>
    <w:sig w:usb0="00000001" w:usb1="080F0000" w:usb2="00000000" w:usb3="00000000" w:csb0="00040000" w:csb1="00000000"/>
    <w:embedRegular r:id="rId8" w:fontKey="{85C93C6A-FC02-4FE5-B871-60FD487FC8B5}"/>
  </w:font>
  <w:font w:name="Arial Narrow">
    <w:panose1 w:val="020B0606020202030204"/>
    <w:charset w:val="00"/>
    <w:family w:val="swiss"/>
    <w:pitch w:val="default"/>
    <w:sig w:usb0="00000287" w:usb1="00000800" w:usb2="00000000" w:usb3="00000000" w:csb0="2000009F" w:csb1="DFD70000"/>
    <w:embedRegular r:id="rId9" w:fontKey="{8BE8FF21-36F3-42DE-B207-C992DA0CE363}"/>
  </w:font>
  <w:font w:name="Microsoft JhengHei">
    <w:panose1 w:val="020B0604030504040204"/>
    <w:charset w:val="88"/>
    <w:family w:val="swiss"/>
    <w:pitch w:val="default"/>
    <w:sig w:usb0="000002A7" w:usb1="28CF4400" w:usb2="00000016" w:usb3="00000000" w:csb0="00100009" w:csb1="00000000"/>
    <w:embedRegular r:id="rId10" w:fontKey="{9829AF2C-AFA4-4AEE-A841-4F8D99959DC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25"/>
                            <w:jc w:val="center"/>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lfknQAAAAAwEAAA8AAAAAAAAAAQAgAAAAIgAAAGRycy9kb3ducmV2LnhtbFBLAQIUABQAAAAI&#10;AIdO4kCI8lLL9QEAAMUDAAAOAAAAAAAAAAEAIAAAAB8BAABkcnMvZTJvRG9jLnhtbFBLBQYAAAAA&#10;BgAGAFkBAACGBQAAAAA=&#10;">
              <v:fill on="f" focussize="0,0"/>
              <v:stroke on="f"/>
              <v:imagedata o:title=""/>
              <o:lock v:ext="edit" aspectratio="f"/>
              <v:textbox inset="0mm,0mm,0mm,0mm" style="mso-fit-shape-to-text:t;">
                <w:txbxContent>
                  <w:p>
                    <w:pPr>
                      <w:pStyle w:val="25"/>
                      <w:jc w:val="center"/>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D8DF2E"/>
    <w:multiLevelType w:val="singleLevel"/>
    <w:tmpl w:val="90D8DF2E"/>
    <w:lvl w:ilvl="0" w:tentative="0">
      <w:start w:val="1"/>
      <w:numFmt w:val="chineseCounting"/>
      <w:suff w:val="nothing"/>
      <w:lvlText w:val="（%1）"/>
      <w:lvlJc w:val="left"/>
      <w:rPr>
        <w:rFonts w:hint="eastAsia"/>
      </w:rPr>
    </w:lvl>
  </w:abstractNum>
  <w:abstractNum w:abstractNumId="1">
    <w:nsid w:val="0DC31D72"/>
    <w:multiLevelType w:val="multilevel"/>
    <w:tmpl w:val="0DC31D7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16F1223"/>
    <w:multiLevelType w:val="multilevel"/>
    <w:tmpl w:val="116F122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7BB51BD"/>
    <w:multiLevelType w:val="singleLevel"/>
    <w:tmpl w:val="17BB51BD"/>
    <w:lvl w:ilvl="0" w:tentative="0">
      <w:start w:val="3"/>
      <w:numFmt w:val="decimal"/>
      <w:pStyle w:val="156"/>
      <w:suff w:val="nothing"/>
      <w:lvlText w:val="%1、"/>
      <w:lvlJc w:val="left"/>
    </w:lvl>
  </w:abstractNum>
  <w:abstractNum w:abstractNumId="4">
    <w:nsid w:val="17F11E45"/>
    <w:multiLevelType w:val="multilevel"/>
    <w:tmpl w:val="17F11E45"/>
    <w:lvl w:ilvl="0" w:tentative="0">
      <w:start w:val="1"/>
      <w:numFmt w:val="decimal"/>
      <w:pStyle w:val="7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22D216D6"/>
    <w:multiLevelType w:val="multilevel"/>
    <w:tmpl w:val="22D216D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38DA3F37"/>
    <w:multiLevelType w:val="multilevel"/>
    <w:tmpl w:val="38DA3F37"/>
    <w:lvl w:ilvl="0" w:tentative="0">
      <w:start w:val="1"/>
      <w:numFmt w:val="bullet"/>
      <w:pStyle w:val="147"/>
      <w:lvlText w:val=""/>
      <w:lvlJc w:val="left"/>
      <w:pPr>
        <w:tabs>
          <w:tab w:val="left" w:pos="480"/>
        </w:tabs>
        <w:ind w:left="480" w:hanging="480"/>
      </w:pPr>
      <w:rPr>
        <w:rFonts w:hint="default" w:ascii="Wingdings" w:hAnsi="Wingdings"/>
        <w:sz w:val="16"/>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7">
    <w:nsid w:val="3B4D4808"/>
    <w:multiLevelType w:val="multilevel"/>
    <w:tmpl w:val="3B4D4808"/>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20C153B"/>
    <w:multiLevelType w:val="multilevel"/>
    <w:tmpl w:val="420C153B"/>
    <w:lvl w:ilvl="0" w:tentative="0">
      <w:start w:val="1"/>
      <w:numFmt w:val="decimal"/>
      <w:pStyle w:val="18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61BFC6FA"/>
    <w:multiLevelType w:val="singleLevel"/>
    <w:tmpl w:val="61BFC6FA"/>
    <w:lvl w:ilvl="0" w:tentative="0">
      <w:start w:val="4"/>
      <w:numFmt w:val="decimal"/>
      <w:suff w:val="nothing"/>
      <w:lvlText w:val="%1、"/>
      <w:lvlJc w:val="left"/>
    </w:lvl>
  </w:abstractNum>
  <w:abstractNum w:abstractNumId="10">
    <w:nsid w:val="62A17B15"/>
    <w:multiLevelType w:val="multilevel"/>
    <w:tmpl w:val="62A17B1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E2B2DAB"/>
    <w:multiLevelType w:val="multilevel"/>
    <w:tmpl w:val="6E2B2DAB"/>
    <w:lvl w:ilvl="0" w:tentative="0">
      <w:start w:val="1"/>
      <w:numFmt w:val="japaneseCounting"/>
      <w:lvlText w:val="%1，"/>
      <w:lvlJc w:val="left"/>
      <w:pPr>
        <w:ind w:left="450" w:hanging="45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6"/>
  </w:num>
  <w:num w:numId="3">
    <w:abstractNumId w:val="3"/>
  </w:num>
  <w:num w:numId="4">
    <w:abstractNumId w:val="8"/>
  </w:num>
  <w:num w:numId="5">
    <w:abstractNumId w:val="0"/>
  </w:num>
  <w:num w:numId="6">
    <w:abstractNumId w:val="11"/>
  </w:num>
  <w:num w:numId="7">
    <w:abstractNumId w:val="1"/>
  </w:num>
  <w:num w:numId="8">
    <w:abstractNumId w:val="7"/>
  </w:num>
  <w:num w:numId="9">
    <w:abstractNumId w:val="5"/>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 w:name="KGWebUrl" w:val="http://jszfcg.jsczt.cn/jszc/gateWay/joffice/office?access_token=8209c385-26e4-4f43-ae90-7c756311020f"/>
    <w:docVar w:name="KSO_WPS_MARK_KEY" w:val="12720b38-13fa-4835-8ca1-1643e6a7acce"/>
  </w:docVars>
  <w:rsids>
    <w:rsidRoot w:val="00172A27"/>
    <w:rsid w:val="00003393"/>
    <w:rsid w:val="00006F19"/>
    <w:rsid w:val="000073B3"/>
    <w:rsid w:val="00010415"/>
    <w:rsid w:val="00014AFB"/>
    <w:rsid w:val="00014EF7"/>
    <w:rsid w:val="00020734"/>
    <w:rsid w:val="00020F27"/>
    <w:rsid w:val="00020FB4"/>
    <w:rsid w:val="00021558"/>
    <w:rsid w:val="00021924"/>
    <w:rsid w:val="000238EF"/>
    <w:rsid w:val="00026151"/>
    <w:rsid w:val="00027F3E"/>
    <w:rsid w:val="0003120D"/>
    <w:rsid w:val="00034925"/>
    <w:rsid w:val="00042B98"/>
    <w:rsid w:val="0004312D"/>
    <w:rsid w:val="00052AB4"/>
    <w:rsid w:val="000551CF"/>
    <w:rsid w:val="000574A6"/>
    <w:rsid w:val="00060A9A"/>
    <w:rsid w:val="00061780"/>
    <w:rsid w:val="00063273"/>
    <w:rsid w:val="0006428D"/>
    <w:rsid w:val="00067507"/>
    <w:rsid w:val="00072B44"/>
    <w:rsid w:val="00077E41"/>
    <w:rsid w:val="00081948"/>
    <w:rsid w:val="00084DE5"/>
    <w:rsid w:val="00085982"/>
    <w:rsid w:val="000871C7"/>
    <w:rsid w:val="00087F33"/>
    <w:rsid w:val="00090315"/>
    <w:rsid w:val="000911AA"/>
    <w:rsid w:val="00092796"/>
    <w:rsid w:val="000938B4"/>
    <w:rsid w:val="00095DC6"/>
    <w:rsid w:val="000A0041"/>
    <w:rsid w:val="000A3C28"/>
    <w:rsid w:val="000A3F14"/>
    <w:rsid w:val="000A4EDC"/>
    <w:rsid w:val="000A5AED"/>
    <w:rsid w:val="000A6C4F"/>
    <w:rsid w:val="000B03F4"/>
    <w:rsid w:val="000B2890"/>
    <w:rsid w:val="000B37E4"/>
    <w:rsid w:val="000B51AE"/>
    <w:rsid w:val="000B60C1"/>
    <w:rsid w:val="000B654D"/>
    <w:rsid w:val="000C4E2C"/>
    <w:rsid w:val="000C5238"/>
    <w:rsid w:val="000C5D14"/>
    <w:rsid w:val="000D110F"/>
    <w:rsid w:val="000D4AD6"/>
    <w:rsid w:val="000D4AFA"/>
    <w:rsid w:val="000D5212"/>
    <w:rsid w:val="000D607D"/>
    <w:rsid w:val="000E1FB4"/>
    <w:rsid w:val="000E41EF"/>
    <w:rsid w:val="000E4429"/>
    <w:rsid w:val="000E4B01"/>
    <w:rsid w:val="000E5313"/>
    <w:rsid w:val="000E79A4"/>
    <w:rsid w:val="000F4BDD"/>
    <w:rsid w:val="00100CBF"/>
    <w:rsid w:val="00101C7F"/>
    <w:rsid w:val="00102096"/>
    <w:rsid w:val="001028B3"/>
    <w:rsid w:val="0010416E"/>
    <w:rsid w:val="0010640A"/>
    <w:rsid w:val="0010739D"/>
    <w:rsid w:val="00107626"/>
    <w:rsid w:val="00110960"/>
    <w:rsid w:val="0011279C"/>
    <w:rsid w:val="00113FE5"/>
    <w:rsid w:val="00116377"/>
    <w:rsid w:val="00120666"/>
    <w:rsid w:val="0012141B"/>
    <w:rsid w:val="00121461"/>
    <w:rsid w:val="00122617"/>
    <w:rsid w:val="00123B0D"/>
    <w:rsid w:val="001248AA"/>
    <w:rsid w:val="00124ED1"/>
    <w:rsid w:val="001253DE"/>
    <w:rsid w:val="0012689E"/>
    <w:rsid w:val="001315E9"/>
    <w:rsid w:val="00132BA8"/>
    <w:rsid w:val="00136902"/>
    <w:rsid w:val="00137B7C"/>
    <w:rsid w:val="00142558"/>
    <w:rsid w:val="0014270C"/>
    <w:rsid w:val="00142A7C"/>
    <w:rsid w:val="0014671B"/>
    <w:rsid w:val="001468EE"/>
    <w:rsid w:val="00152E44"/>
    <w:rsid w:val="00154637"/>
    <w:rsid w:val="00155C8A"/>
    <w:rsid w:val="00156733"/>
    <w:rsid w:val="00164465"/>
    <w:rsid w:val="001649B8"/>
    <w:rsid w:val="0016558F"/>
    <w:rsid w:val="001706BC"/>
    <w:rsid w:val="0017202A"/>
    <w:rsid w:val="00172A27"/>
    <w:rsid w:val="001730B0"/>
    <w:rsid w:val="00175052"/>
    <w:rsid w:val="001757BB"/>
    <w:rsid w:val="00180909"/>
    <w:rsid w:val="001849B2"/>
    <w:rsid w:val="0018578D"/>
    <w:rsid w:val="00187C96"/>
    <w:rsid w:val="00190086"/>
    <w:rsid w:val="00190CF0"/>
    <w:rsid w:val="001930CB"/>
    <w:rsid w:val="00193A6A"/>
    <w:rsid w:val="001A0F03"/>
    <w:rsid w:val="001A2000"/>
    <w:rsid w:val="001A272F"/>
    <w:rsid w:val="001A500B"/>
    <w:rsid w:val="001B4589"/>
    <w:rsid w:val="001B616A"/>
    <w:rsid w:val="001B6597"/>
    <w:rsid w:val="001C0F09"/>
    <w:rsid w:val="001C1DBB"/>
    <w:rsid w:val="001C45C4"/>
    <w:rsid w:val="001C520E"/>
    <w:rsid w:val="001C580C"/>
    <w:rsid w:val="001C58ED"/>
    <w:rsid w:val="001C5918"/>
    <w:rsid w:val="001C6731"/>
    <w:rsid w:val="001C6864"/>
    <w:rsid w:val="001D279D"/>
    <w:rsid w:val="001D3D15"/>
    <w:rsid w:val="001E2191"/>
    <w:rsid w:val="001E255E"/>
    <w:rsid w:val="001E2C75"/>
    <w:rsid w:val="001E2EEA"/>
    <w:rsid w:val="001E6ED0"/>
    <w:rsid w:val="001F00B3"/>
    <w:rsid w:val="001F198A"/>
    <w:rsid w:val="001F2D52"/>
    <w:rsid w:val="001F2D78"/>
    <w:rsid w:val="001F3B30"/>
    <w:rsid w:val="001F638B"/>
    <w:rsid w:val="0020072B"/>
    <w:rsid w:val="00201E68"/>
    <w:rsid w:val="00202092"/>
    <w:rsid w:val="0020367B"/>
    <w:rsid w:val="00204F62"/>
    <w:rsid w:val="002051B8"/>
    <w:rsid w:val="00205FA9"/>
    <w:rsid w:val="002158FB"/>
    <w:rsid w:val="00215DEF"/>
    <w:rsid w:val="00216007"/>
    <w:rsid w:val="002212D5"/>
    <w:rsid w:val="00222749"/>
    <w:rsid w:val="0022468B"/>
    <w:rsid w:val="002257AA"/>
    <w:rsid w:val="00225867"/>
    <w:rsid w:val="002265D0"/>
    <w:rsid w:val="00226DBE"/>
    <w:rsid w:val="002304F3"/>
    <w:rsid w:val="00232F42"/>
    <w:rsid w:val="0023471E"/>
    <w:rsid w:val="0023615E"/>
    <w:rsid w:val="00237873"/>
    <w:rsid w:val="00242025"/>
    <w:rsid w:val="00250C25"/>
    <w:rsid w:val="00251391"/>
    <w:rsid w:val="0025159C"/>
    <w:rsid w:val="002527D1"/>
    <w:rsid w:val="00252D8A"/>
    <w:rsid w:val="00254390"/>
    <w:rsid w:val="00255A0D"/>
    <w:rsid w:val="00257673"/>
    <w:rsid w:val="00257A0C"/>
    <w:rsid w:val="00260BB4"/>
    <w:rsid w:val="0026258C"/>
    <w:rsid w:val="002635D1"/>
    <w:rsid w:val="0026626F"/>
    <w:rsid w:val="00266E3B"/>
    <w:rsid w:val="002707F6"/>
    <w:rsid w:val="00270FD4"/>
    <w:rsid w:val="00271C9F"/>
    <w:rsid w:val="002724ED"/>
    <w:rsid w:val="00273D4A"/>
    <w:rsid w:val="00274F29"/>
    <w:rsid w:val="00277236"/>
    <w:rsid w:val="002875AE"/>
    <w:rsid w:val="00290901"/>
    <w:rsid w:val="00290912"/>
    <w:rsid w:val="00291D80"/>
    <w:rsid w:val="00291ED8"/>
    <w:rsid w:val="002963D9"/>
    <w:rsid w:val="002977A9"/>
    <w:rsid w:val="00297F97"/>
    <w:rsid w:val="002A2747"/>
    <w:rsid w:val="002A3C5A"/>
    <w:rsid w:val="002B0B75"/>
    <w:rsid w:val="002B217E"/>
    <w:rsid w:val="002B24C1"/>
    <w:rsid w:val="002B24CD"/>
    <w:rsid w:val="002B2AC4"/>
    <w:rsid w:val="002B5F30"/>
    <w:rsid w:val="002B6CCA"/>
    <w:rsid w:val="002B7F43"/>
    <w:rsid w:val="002C007A"/>
    <w:rsid w:val="002C325F"/>
    <w:rsid w:val="002C41BE"/>
    <w:rsid w:val="002C4A74"/>
    <w:rsid w:val="002C755D"/>
    <w:rsid w:val="002C781F"/>
    <w:rsid w:val="002D117C"/>
    <w:rsid w:val="002D3C0F"/>
    <w:rsid w:val="002D4427"/>
    <w:rsid w:val="002D58D6"/>
    <w:rsid w:val="002D5DCA"/>
    <w:rsid w:val="002E082B"/>
    <w:rsid w:val="002E1162"/>
    <w:rsid w:val="002E56BB"/>
    <w:rsid w:val="002E5B59"/>
    <w:rsid w:val="002F0047"/>
    <w:rsid w:val="002F3ACB"/>
    <w:rsid w:val="002F58FC"/>
    <w:rsid w:val="002F627C"/>
    <w:rsid w:val="002F754A"/>
    <w:rsid w:val="00301AD9"/>
    <w:rsid w:val="003030CD"/>
    <w:rsid w:val="00305808"/>
    <w:rsid w:val="00306ACA"/>
    <w:rsid w:val="00310534"/>
    <w:rsid w:val="00310AB2"/>
    <w:rsid w:val="00310EFB"/>
    <w:rsid w:val="00312083"/>
    <w:rsid w:val="00313E9B"/>
    <w:rsid w:val="00314503"/>
    <w:rsid w:val="00314E43"/>
    <w:rsid w:val="00315B65"/>
    <w:rsid w:val="00324258"/>
    <w:rsid w:val="003243CD"/>
    <w:rsid w:val="003255CB"/>
    <w:rsid w:val="00330C50"/>
    <w:rsid w:val="00332384"/>
    <w:rsid w:val="0033534B"/>
    <w:rsid w:val="00336569"/>
    <w:rsid w:val="00336BEE"/>
    <w:rsid w:val="00337AAA"/>
    <w:rsid w:val="00341AD7"/>
    <w:rsid w:val="00343821"/>
    <w:rsid w:val="00343FAB"/>
    <w:rsid w:val="00344664"/>
    <w:rsid w:val="00344E5D"/>
    <w:rsid w:val="003458FF"/>
    <w:rsid w:val="00346BD7"/>
    <w:rsid w:val="00346C76"/>
    <w:rsid w:val="00347B09"/>
    <w:rsid w:val="00352EEF"/>
    <w:rsid w:val="00353091"/>
    <w:rsid w:val="00355DDB"/>
    <w:rsid w:val="003562C3"/>
    <w:rsid w:val="003567EA"/>
    <w:rsid w:val="0035785E"/>
    <w:rsid w:val="00364CC7"/>
    <w:rsid w:val="0036657C"/>
    <w:rsid w:val="00367ABB"/>
    <w:rsid w:val="00371B67"/>
    <w:rsid w:val="003726DA"/>
    <w:rsid w:val="00374E32"/>
    <w:rsid w:val="003772F8"/>
    <w:rsid w:val="003801BB"/>
    <w:rsid w:val="003831B8"/>
    <w:rsid w:val="00383928"/>
    <w:rsid w:val="00383DBE"/>
    <w:rsid w:val="00384B42"/>
    <w:rsid w:val="00385DF7"/>
    <w:rsid w:val="00386030"/>
    <w:rsid w:val="003865D5"/>
    <w:rsid w:val="00391A56"/>
    <w:rsid w:val="00392DE7"/>
    <w:rsid w:val="00395D8D"/>
    <w:rsid w:val="0039674C"/>
    <w:rsid w:val="003A1573"/>
    <w:rsid w:val="003A4122"/>
    <w:rsid w:val="003A4E2E"/>
    <w:rsid w:val="003A677E"/>
    <w:rsid w:val="003B1D72"/>
    <w:rsid w:val="003B2A76"/>
    <w:rsid w:val="003B56B4"/>
    <w:rsid w:val="003B6CF0"/>
    <w:rsid w:val="003B7DD0"/>
    <w:rsid w:val="003C03F0"/>
    <w:rsid w:val="003C0BD4"/>
    <w:rsid w:val="003C2C99"/>
    <w:rsid w:val="003C4D5B"/>
    <w:rsid w:val="003C5409"/>
    <w:rsid w:val="003D014B"/>
    <w:rsid w:val="003D1CD6"/>
    <w:rsid w:val="003D2C64"/>
    <w:rsid w:val="003D2FC7"/>
    <w:rsid w:val="003D4FF1"/>
    <w:rsid w:val="003D5774"/>
    <w:rsid w:val="003D5F6E"/>
    <w:rsid w:val="003D68D8"/>
    <w:rsid w:val="003E0EED"/>
    <w:rsid w:val="003E250E"/>
    <w:rsid w:val="003E43FF"/>
    <w:rsid w:val="003F0D4C"/>
    <w:rsid w:val="003F45DC"/>
    <w:rsid w:val="003F5AE0"/>
    <w:rsid w:val="003F72CC"/>
    <w:rsid w:val="003F794C"/>
    <w:rsid w:val="00400C6C"/>
    <w:rsid w:val="00401FCD"/>
    <w:rsid w:val="00403C08"/>
    <w:rsid w:val="00410175"/>
    <w:rsid w:val="00412D01"/>
    <w:rsid w:val="00413A19"/>
    <w:rsid w:val="00414575"/>
    <w:rsid w:val="00414687"/>
    <w:rsid w:val="00415160"/>
    <w:rsid w:val="00415F3B"/>
    <w:rsid w:val="0042088B"/>
    <w:rsid w:val="004229F7"/>
    <w:rsid w:val="00424B5F"/>
    <w:rsid w:val="00424E6E"/>
    <w:rsid w:val="004256C7"/>
    <w:rsid w:val="00426C36"/>
    <w:rsid w:val="0042701F"/>
    <w:rsid w:val="00431BCA"/>
    <w:rsid w:val="0043235B"/>
    <w:rsid w:val="004341ED"/>
    <w:rsid w:val="004365EC"/>
    <w:rsid w:val="0044006B"/>
    <w:rsid w:val="00443354"/>
    <w:rsid w:val="00444074"/>
    <w:rsid w:val="0044689F"/>
    <w:rsid w:val="0045029B"/>
    <w:rsid w:val="00454290"/>
    <w:rsid w:val="0045607D"/>
    <w:rsid w:val="00461828"/>
    <w:rsid w:val="00464ED5"/>
    <w:rsid w:val="00470338"/>
    <w:rsid w:val="004721B6"/>
    <w:rsid w:val="00472A82"/>
    <w:rsid w:val="004766E1"/>
    <w:rsid w:val="00476758"/>
    <w:rsid w:val="004777A1"/>
    <w:rsid w:val="004833D3"/>
    <w:rsid w:val="00483692"/>
    <w:rsid w:val="00484D8B"/>
    <w:rsid w:val="00486CA6"/>
    <w:rsid w:val="00487726"/>
    <w:rsid w:val="00491EF1"/>
    <w:rsid w:val="004938B4"/>
    <w:rsid w:val="00496D50"/>
    <w:rsid w:val="004B3857"/>
    <w:rsid w:val="004B4BC5"/>
    <w:rsid w:val="004B52E4"/>
    <w:rsid w:val="004B5EC8"/>
    <w:rsid w:val="004C1371"/>
    <w:rsid w:val="004C159D"/>
    <w:rsid w:val="004C45A9"/>
    <w:rsid w:val="004C6D4A"/>
    <w:rsid w:val="004D15E5"/>
    <w:rsid w:val="004D1788"/>
    <w:rsid w:val="004D273D"/>
    <w:rsid w:val="004D3FF7"/>
    <w:rsid w:val="004E03D8"/>
    <w:rsid w:val="004E05C6"/>
    <w:rsid w:val="004E0637"/>
    <w:rsid w:val="004E099F"/>
    <w:rsid w:val="004E3C02"/>
    <w:rsid w:val="004E3D45"/>
    <w:rsid w:val="004E7C71"/>
    <w:rsid w:val="004F1538"/>
    <w:rsid w:val="004F2744"/>
    <w:rsid w:val="004F2EB4"/>
    <w:rsid w:val="004F5030"/>
    <w:rsid w:val="004F625B"/>
    <w:rsid w:val="004F6B74"/>
    <w:rsid w:val="00501F32"/>
    <w:rsid w:val="00502440"/>
    <w:rsid w:val="00502FD6"/>
    <w:rsid w:val="005104F7"/>
    <w:rsid w:val="00512522"/>
    <w:rsid w:val="00514970"/>
    <w:rsid w:val="00520945"/>
    <w:rsid w:val="00521703"/>
    <w:rsid w:val="00522701"/>
    <w:rsid w:val="0052284F"/>
    <w:rsid w:val="0052312A"/>
    <w:rsid w:val="00523B3E"/>
    <w:rsid w:val="00524386"/>
    <w:rsid w:val="00530B25"/>
    <w:rsid w:val="00531EAD"/>
    <w:rsid w:val="00532641"/>
    <w:rsid w:val="00535BC9"/>
    <w:rsid w:val="00537A49"/>
    <w:rsid w:val="00541530"/>
    <w:rsid w:val="00542C90"/>
    <w:rsid w:val="00542D65"/>
    <w:rsid w:val="005432B0"/>
    <w:rsid w:val="005439B9"/>
    <w:rsid w:val="00543F74"/>
    <w:rsid w:val="0054405A"/>
    <w:rsid w:val="005441DB"/>
    <w:rsid w:val="00544641"/>
    <w:rsid w:val="00544AB9"/>
    <w:rsid w:val="00546BF9"/>
    <w:rsid w:val="005477AB"/>
    <w:rsid w:val="005510E9"/>
    <w:rsid w:val="005522AA"/>
    <w:rsid w:val="00552375"/>
    <w:rsid w:val="00552B62"/>
    <w:rsid w:val="005536FD"/>
    <w:rsid w:val="00553BFD"/>
    <w:rsid w:val="00560CFA"/>
    <w:rsid w:val="00561843"/>
    <w:rsid w:val="005629EF"/>
    <w:rsid w:val="00562B11"/>
    <w:rsid w:val="005661C0"/>
    <w:rsid w:val="00570E83"/>
    <w:rsid w:val="00571FEF"/>
    <w:rsid w:val="00572198"/>
    <w:rsid w:val="00573812"/>
    <w:rsid w:val="00573943"/>
    <w:rsid w:val="00574798"/>
    <w:rsid w:val="005844C3"/>
    <w:rsid w:val="0058669C"/>
    <w:rsid w:val="00586A49"/>
    <w:rsid w:val="00587557"/>
    <w:rsid w:val="00587678"/>
    <w:rsid w:val="00592AAC"/>
    <w:rsid w:val="00594EB4"/>
    <w:rsid w:val="005A02E4"/>
    <w:rsid w:val="005A086F"/>
    <w:rsid w:val="005A4840"/>
    <w:rsid w:val="005A618B"/>
    <w:rsid w:val="005A6397"/>
    <w:rsid w:val="005A6B50"/>
    <w:rsid w:val="005A6D19"/>
    <w:rsid w:val="005B1A87"/>
    <w:rsid w:val="005B1FBC"/>
    <w:rsid w:val="005B2678"/>
    <w:rsid w:val="005B5458"/>
    <w:rsid w:val="005B6C84"/>
    <w:rsid w:val="005C0353"/>
    <w:rsid w:val="005C4BDD"/>
    <w:rsid w:val="005C52C6"/>
    <w:rsid w:val="005C5AA8"/>
    <w:rsid w:val="005D090B"/>
    <w:rsid w:val="005D2048"/>
    <w:rsid w:val="005D3607"/>
    <w:rsid w:val="005D411E"/>
    <w:rsid w:val="005D5F49"/>
    <w:rsid w:val="005D7CCB"/>
    <w:rsid w:val="005E02B0"/>
    <w:rsid w:val="005E077D"/>
    <w:rsid w:val="005E1DA5"/>
    <w:rsid w:val="005E3446"/>
    <w:rsid w:val="005E374C"/>
    <w:rsid w:val="005E519A"/>
    <w:rsid w:val="005F1C9C"/>
    <w:rsid w:val="005F1E04"/>
    <w:rsid w:val="005F3809"/>
    <w:rsid w:val="00601D18"/>
    <w:rsid w:val="00602825"/>
    <w:rsid w:val="006060B1"/>
    <w:rsid w:val="00607B22"/>
    <w:rsid w:val="00610931"/>
    <w:rsid w:val="00610AC9"/>
    <w:rsid w:val="006135DE"/>
    <w:rsid w:val="006150EF"/>
    <w:rsid w:val="00615198"/>
    <w:rsid w:val="00617DDD"/>
    <w:rsid w:val="00620DCB"/>
    <w:rsid w:val="006212A1"/>
    <w:rsid w:val="0062170A"/>
    <w:rsid w:val="006240A9"/>
    <w:rsid w:val="006317B5"/>
    <w:rsid w:val="006327B7"/>
    <w:rsid w:val="00637540"/>
    <w:rsid w:val="00637904"/>
    <w:rsid w:val="006403BF"/>
    <w:rsid w:val="00640F79"/>
    <w:rsid w:val="006414B5"/>
    <w:rsid w:val="00643D42"/>
    <w:rsid w:val="00647F8F"/>
    <w:rsid w:val="00652285"/>
    <w:rsid w:val="0065311A"/>
    <w:rsid w:val="00653FB4"/>
    <w:rsid w:val="006550F3"/>
    <w:rsid w:val="0065518E"/>
    <w:rsid w:val="00657AA4"/>
    <w:rsid w:val="006609C6"/>
    <w:rsid w:val="00661709"/>
    <w:rsid w:val="00661872"/>
    <w:rsid w:val="00666E98"/>
    <w:rsid w:val="00667F35"/>
    <w:rsid w:val="006707FB"/>
    <w:rsid w:val="006712AA"/>
    <w:rsid w:val="00671F8C"/>
    <w:rsid w:val="0067481A"/>
    <w:rsid w:val="006758E7"/>
    <w:rsid w:val="0068309B"/>
    <w:rsid w:val="00683B35"/>
    <w:rsid w:val="00684005"/>
    <w:rsid w:val="00685A68"/>
    <w:rsid w:val="0068675D"/>
    <w:rsid w:val="0069180B"/>
    <w:rsid w:val="00693997"/>
    <w:rsid w:val="0069433D"/>
    <w:rsid w:val="006943E7"/>
    <w:rsid w:val="00694948"/>
    <w:rsid w:val="006951D1"/>
    <w:rsid w:val="00697A1C"/>
    <w:rsid w:val="00697E91"/>
    <w:rsid w:val="006A2630"/>
    <w:rsid w:val="006A2866"/>
    <w:rsid w:val="006A508A"/>
    <w:rsid w:val="006A5621"/>
    <w:rsid w:val="006A5CE7"/>
    <w:rsid w:val="006A647B"/>
    <w:rsid w:val="006A6816"/>
    <w:rsid w:val="006A7795"/>
    <w:rsid w:val="006B5A1A"/>
    <w:rsid w:val="006C1086"/>
    <w:rsid w:val="006C6ACD"/>
    <w:rsid w:val="006D1693"/>
    <w:rsid w:val="006D1EB2"/>
    <w:rsid w:val="006D2438"/>
    <w:rsid w:val="006D4193"/>
    <w:rsid w:val="006D4A59"/>
    <w:rsid w:val="006D4E50"/>
    <w:rsid w:val="006D5392"/>
    <w:rsid w:val="006D62A0"/>
    <w:rsid w:val="006D70D4"/>
    <w:rsid w:val="006E25F2"/>
    <w:rsid w:val="006E26B0"/>
    <w:rsid w:val="006E28C7"/>
    <w:rsid w:val="006E55C1"/>
    <w:rsid w:val="006E728B"/>
    <w:rsid w:val="006F02AC"/>
    <w:rsid w:val="006F3332"/>
    <w:rsid w:val="006F4D91"/>
    <w:rsid w:val="00701B44"/>
    <w:rsid w:val="007032CE"/>
    <w:rsid w:val="00705F83"/>
    <w:rsid w:val="00706B3E"/>
    <w:rsid w:val="00706BE9"/>
    <w:rsid w:val="00707407"/>
    <w:rsid w:val="00710347"/>
    <w:rsid w:val="007123FB"/>
    <w:rsid w:val="0071403E"/>
    <w:rsid w:val="00714982"/>
    <w:rsid w:val="00724D84"/>
    <w:rsid w:val="00727443"/>
    <w:rsid w:val="00733588"/>
    <w:rsid w:val="00733D4F"/>
    <w:rsid w:val="00736CD1"/>
    <w:rsid w:val="00741CC1"/>
    <w:rsid w:val="007421B3"/>
    <w:rsid w:val="00742A9F"/>
    <w:rsid w:val="007438F2"/>
    <w:rsid w:val="007456DC"/>
    <w:rsid w:val="0075052B"/>
    <w:rsid w:val="0075112E"/>
    <w:rsid w:val="00760109"/>
    <w:rsid w:val="00760C7E"/>
    <w:rsid w:val="00760DB3"/>
    <w:rsid w:val="00761FC3"/>
    <w:rsid w:val="007666BA"/>
    <w:rsid w:val="00772653"/>
    <w:rsid w:val="00773027"/>
    <w:rsid w:val="00775164"/>
    <w:rsid w:val="007767D1"/>
    <w:rsid w:val="00776B55"/>
    <w:rsid w:val="00781717"/>
    <w:rsid w:val="007849EA"/>
    <w:rsid w:val="00786C61"/>
    <w:rsid w:val="00787355"/>
    <w:rsid w:val="007948F3"/>
    <w:rsid w:val="007964DD"/>
    <w:rsid w:val="00796B60"/>
    <w:rsid w:val="00796C4F"/>
    <w:rsid w:val="00797A48"/>
    <w:rsid w:val="007A05AA"/>
    <w:rsid w:val="007A16A0"/>
    <w:rsid w:val="007A1927"/>
    <w:rsid w:val="007A2E6E"/>
    <w:rsid w:val="007A3E56"/>
    <w:rsid w:val="007A6E0C"/>
    <w:rsid w:val="007A7CC8"/>
    <w:rsid w:val="007B0283"/>
    <w:rsid w:val="007B045B"/>
    <w:rsid w:val="007B0AF6"/>
    <w:rsid w:val="007B389C"/>
    <w:rsid w:val="007B4684"/>
    <w:rsid w:val="007B585E"/>
    <w:rsid w:val="007B5BE7"/>
    <w:rsid w:val="007B5F1D"/>
    <w:rsid w:val="007B6A9B"/>
    <w:rsid w:val="007C0B4F"/>
    <w:rsid w:val="007C2A4B"/>
    <w:rsid w:val="007C3A20"/>
    <w:rsid w:val="007C44D3"/>
    <w:rsid w:val="007D2065"/>
    <w:rsid w:val="007D2857"/>
    <w:rsid w:val="007D2B5D"/>
    <w:rsid w:val="007D45EF"/>
    <w:rsid w:val="007D48B9"/>
    <w:rsid w:val="007D594A"/>
    <w:rsid w:val="007D5D51"/>
    <w:rsid w:val="007D6259"/>
    <w:rsid w:val="007D7484"/>
    <w:rsid w:val="007E2E24"/>
    <w:rsid w:val="007E3B2A"/>
    <w:rsid w:val="007E5BCB"/>
    <w:rsid w:val="007F1B25"/>
    <w:rsid w:val="007F57EE"/>
    <w:rsid w:val="008001A1"/>
    <w:rsid w:val="00803CBD"/>
    <w:rsid w:val="008053E0"/>
    <w:rsid w:val="008068ED"/>
    <w:rsid w:val="00811601"/>
    <w:rsid w:val="0081315A"/>
    <w:rsid w:val="00814664"/>
    <w:rsid w:val="00814EDA"/>
    <w:rsid w:val="00820162"/>
    <w:rsid w:val="00820971"/>
    <w:rsid w:val="00821681"/>
    <w:rsid w:val="0082183F"/>
    <w:rsid w:val="00821D00"/>
    <w:rsid w:val="00822C85"/>
    <w:rsid w:val="00822D2F"/>
    <w:rsid w:val="00824113"/>
    <w:rsid w:val="00831C5D"/>
    <w:rsid w:val="008324B4"/>
    <w:rsid w:val="008350C4"/>
    <w:rsid w:val="00835FD2"/>
    <w:rsid w:val="008369F7"/>
    <w:rsid w:val="008402CA"/>
    <w:rsid w:val="00843803"/>
    <w:rsid w:val="008446BE"/>
    <w:rsid w:val="00844F05"/>
    <w:rsid w:val="008456CA"/>
    <w:rsid w:val="00845DB4"/>
    <w:rsid w:val="00850D79"/>
    <w:rsid w:val="0085486B"/>
    <w:rsid w:val="00854E62"/>
    <w:rsid w:val="0086075A"/>
    <w:rsid w:val="00860F25"/>
    <w:rsid w:val="0086525D"/>
    <w:rsid w:val="00866772"/>
    <w:rsid w:val="00867A14"/>
    <w:rsid w:val="008707B2"/>
    <w:rsid w:val="00870C9D"/>
    <w:rsid w:val="0087174E"/>
    <w:rsid w:val="00871A23"/>
    <w:rsid w:val="00871EBC"/>
    <w:rsid w:val="008730A3"/>
    <w:rsid w:val="0087378D"/>
    <w:rsid w:val="00875002"/>
    <w:rsid w:val="00875144"/>
    <w:rsid w:val="00876AEC"/>
    <w:rsid w:val="00876C17"/>
    <w:rsid w:val="00883809"/>
    <w:rsid w:val="0088768D"/>
    <w:rsid w:val="00893C12"/>
    <w:rsid w:val="008944F7"/>
    <w:rsid w:val="00894C84"/>
    <w:rsid w:val="008A2F34"/>
    <w:rsid w:val="008A4AB7"/>
    <w:rsid w:val="008B1700"/>
    <w:rsid w:val="008B19B6"/>
    <w:rsid w:val="008B1F29"/>
    <w:rsid w:val="008B1FDB"/>
    <w:rsid w:val="008B4597"/>
    <w:rsid w:val="008B5061"/>
    <w:rsid w:val="008B62F7"/>
    <w:rsid w:val="008B665A"/>
    <w:rsid w:val="008C1FCB"/>
    <w:rsid w:val="008D1429"/>
    <w:rsid w:val="008D523F"/>
    <w:rsid w:val="008D5965"/>
    <w:rsid w:val="008D73AC"/>
    <w:rsid w:val="008E0FD1"/>
    <w:rsid w:val="008E1634"/>
    <w:rsid w:val="008E272A"/>
    <w:rsid w:val="008E2A95"/>
    <w:rsid w:val="008E2CC3"/>
    <w:rsid w:val="008E30D6"/>
    <w:rsid w:val="008E3F41"/>
    <w:rsid w:val="008E6BC4"/>
    <w:rsid w:val="008F010A"/>
    <w:rsid w:val="008F19D4"/>
    <w:rsid w:val="008F22A6"/>
    <w:rsid w:val="008F2E12"/>
    <w:rsid w:val="008F4846"/>
    <w:rsid w:val="008F5C09"/>
    <w:rsid w:val="008F6E5B"/>
    <w:rsid w:val="008F701F"/>
    <w:rsid w:val="008F7038"/>
    <w:rsid w:val="008F70D5"/>
    <w:rsid w:val="008F7163"/>
    <w:rsid w:val="008F7BDA"/>
    <w:rsid w:val="00902E53"/>
    <w:rsid w:val="00903AE2"/>
    <w:rsid w:val="0090643A"/>
    <w:rsid w:val="00906F4F"/>
    <w:rsid w:val="00906F7F"/>
    <w:rsid w:val="0090757A"/>
    <w:rsid w:val="009102E5"/>
    <w:rsid w:val="0091185C"/>
    <w:rsid w:val="00915AF8"/>
    <w:rsid w:val="009202CC"/>
    <w:rsid w:val="00924E59"/>
    <w:rsid w:val="00930ABD"/>
    <w:rsid w:val="009324B4"/>
    <w:rsid w:val="00933282"/>
    <w:rsid w:val="00935017"/>
    <w:rsid w:val="009363DE"/>
    <w:rsid w:val="00941B3C"/>
    <w:rsid w:val="00942451"/>
    <w:rsid w:val="00944382"/>
    <w:rsid w:val="00944668"/>
    <w:rsid w:val="00946A0B"/>
    <w:rsid w:val="00947FDA"/>
    <w:rsid w:val="00954ADB"/>
    <w:rsid w:val="0095651B"/>
    <w:rsid w:val="00966AF2"/>
    <w:rsid w:val="00966DC1"/>
    <w:rsid w:val="00975742"/>
    <w:rsid w:val="00975859"/>
    <w:rsid w:val="0097628F"/>
    <w:rsid w:val="00976CD3"/>
    <w:rsid w:val="00983DAC"/>
    <w:rsid w:val="00985633"/>
    <w:rsid w:val="0098586E"/>
    <w:rsid w:val="009859D3"/>
    <w:rsid w:val="00985F76"/>
    <w:rsid w:val="00986B8F"/>
    <w:rsid w:val="00987CE3"/>
    <w:rsid w:val="00991C4A"/>
    <w:rsid w:val="00994503"/>
    <w:rsid w:val="009950FC"/>
    <w:rsid w:val="00995550"/>
    <w:rsid w:val="00995995"/>
    <w:rsid w:val="009A7149"/>
    <w:rsid w:val="009B0621"/>
    <w:rsid w:val="009B0FE8"/>
    <w:rsid w:val="009B108A"/>
    <w:rsid w:val="009B20C2"/>
    <w:rsid w:val="009B62EE"/>
    <w:rsid w:val="009B6B44"/>
    <w:rsid w:val="009C0B5F"/>
    <w:rsid w:val="009C2029"/>
    <w:rsid w:val="009C25D9"/>
    <w:rsid w:val="009C3081"/>
    <w:rsid w:val="009C4A7F"/>
    <w:rsid w:val="009C5174"/>
    <w:rsid w:val="009C67D6"/>
    <w:rsid w:val="009C718A"/>
    <w:rsid w:val="009C73C0"/>
    <w:rsid w:val="009C7671"/>
    <w:rsid w:val="009D0437"/>
    <w:rsid w:val="009D2342"/>
    <w:rsid w:val="009D3CB1"/>
    <w:rsid w:val="009D6027"/>
    <w:rsid w:val="009D751A"/>
    <w:rsid w:val="009E0D28"/>
    <w:rsid w:val="009E46EB"/>
    <w:rsid w:val="009E58D4"/>
    <w:rsid w:val="009E6C1B"/>
    <w:rsid w:val="009E7003"/>
    <w:rsid w:val="009F3079"/>
    <w:rsid w:val="009F33C1"/>
    <w:rsid w:val="009F4845"/>
    <w:rsid w:val="009F4D29"/>
    <w:rsid w:val="009F57DA"/>
    <w:rsid w:val="00A01C28"/>
    <w:rsid w:val="00A10264"/>
    <w:rsid w:val="00A109AD"/>
    <w:rsid w:val="00A10B19"/>
    <w:rsid w:val="00A11967"/>
    <w:rsid w:val="00A11B8C"/>
    <w:rsid w:val="00A15647"/>
    <w:rsid w:val="00A17C38"/>
    <w:rsid w:val="00A2133C"/>
    <w:rsid w:val="00A21503"/>
    <w:rsid w:val="00A23018"/>
    <w:rsid w:val="00A24D4C"/>
    <w:rsid w:val="00A25830"/>
    <w:rsid w:val="00A263D7"/>
    <w:rsid w:val="00A30A6B"/>
    <w:rsid w:val="00A30B41"/>
    <w:rsid w:val="00A31BA4"/>
    <w:rsid w:val="00A32809"/>
    <w:rsid w:val="00A3439C"/>
    <w:rsid w:val="00A349F4"/>
    <w:rsid w:val="00A35995"/>
    <w:rsid w:val="00A36FD6"/>
    <w:rsid w:val="00A37803"/>
    <w:rsid w:val="00A416AD"/>
    <w:rsid w:val="00A44D09"/>
    <w:rsid w:val="00A50964"/>
    <w:rsid w:val="00A51FF3"/>
    <w:rsid w:val="00A5341E"/>
    <w:rsid w:val="00A54996"/>
    <w:rsid w:val="00A56F29"/>
    <w:rsid w:val="00A57FC6"/>
    <w:rsid w:val="00A60E20"/>
    <w:rsid w:val="00A641F8"/>
    <w:rsid w:val="00A7097F"/>
    <w:rsid w:val="00A71EDC"/>
    <w:rsid w:val="00A72BFC"/>
    <w:rsid w:val="00A73A0E"/>
    <w:rsid w:val="00A73D25"/>
    <w:rsid w:val="00A74875"/>
    <w:rsid w:val="00A756BE"/>
    <w:rsid w:val="00A7730B"/>
    <w:rsid w:val="00A800A8"/>
    <w:rsid w:val="00A802EA"/>
    <w:rsid w:val="00A829EC"/>
    <w:rsid w:val="00A82CE9"/>
    <w:rsid w:val="00A875C3"/>
    <w:rsid w:val="00A9013B"/>
    <w:rsid w:val="00A90538"/>
    <w:rsid w:val="00A905AE"/>
    <w:rsid w:val="00A97F74"/>
    <w:rsid w:val="00AA0BC6"/>
    <w:rsid w:val="00AA0BD7"/>
    <w:rsid w:val="00AA2FCC"/>
    <w:rsid w:val="00AA33CC"/>
    <w:rsid w:val="00AA3977"/>
    <w:rsid w:val="00AA455F"/>
    <w:rsid w:val="00AA4C82"/>
    <w:rsid w:val="00AA6056"/>
    <w:rsid w:val="00AA7E0D"/>
    <w:rsid w:val="00AB4583"/>
    <w:rsid w:val="00AB57C2"/>
    <w:rsid w:val="00AB67DA"/>
    <w:rsid w:val="00AB7E0E"/>
    <w:rsid w:val="00AC0BC5"/>
    <w:rsid w:val="00AC103D"/>
    <w:rsid w:val="00AC3E9A"/>
    <w:rsid w:val="00AD090E"/>
    <w:rsid w:val="00AD32BE"/>
    <w:rsid w:val="00AD341F"/>
    <w:rsid w:val="00AD755A"/>
    <w:rsid w:val="00AE1C77"/>
    <w:rsid w:val="00AE2547"/>
    <w:rsid w:val="00AE29F5"/>
    <w:rsid w:val="00AE2A51"/>
    <w:rsid w:val="00AE2FC9"/>
    <w:rsid w:val="00AE36FF"/>
    <w:rsid w:val="00AE4023"/>
    <w:rsid w:val="00AE4586"/>
    <w:rsid w:val="00AE4BD5"/>
    <w:rsid w:val="00AE4EA0"/>
    <w:rsid w:val="00AE56E5"/>
    <w:rsid w:val="00AE679F"/>
    <w:rsid w:val="00AF09B7"/>
    <w:rsid w:val="00AF6E10"/>
    <w:rsid w:val="00B004DF"/>
    <w:rsid w:val="00B01A2F"/>
    <w:rsid w:val="00B0383B"/>
    <w:rsid w:val="00B03BCD"/>
    <w:rsid w:val="00B10B53"/>
    <w:rsid w:val="00B128ED"/>
    <w:rsid w:val="00B1438A"/>
    <w:rsid w:val="00B14C8A"/>
    <w:rsid w:val="00B15570"/>
    <w:rsid w:val="00B20076"/>
    <w:rsid w:val="00B2016D"/>
    <w:rsid w:val="00B20407"/>
    <w:rsid w:val="00B239CC"/>
    <w:rsid w:val="00B240A9"/>
    <w:rsid w:val="00B26B44"/>
    <w:rsid w:val="00B32BE9"/>
    <w:rsid w:val="00B33893"/>
    <w:rsid w:val="00B3436E"/>
    <w:rsid w:val="00B37E3C"/>
    <w:rsid w:val="00B41D56"/>
    <w:rsid w:val="00B4487A"/>
    <w:rsid w:val="00B460B4"/>
    <w:rsid w:val="00B5005D"/>
    <w:rsid w:val="00B507AE"/>
    <w:rsid w:val="00B546C8"/>
    <w:rsid w:val="00B548F3"/>
    <w:rsid w:val="00B60370"/>
    <w:rsid w:val="00B60CB6"/>
    <w:rsid w:val="00B61683"/>
    <w:rsid w:val="00B61D13"/>
    <w:rsid w:val="00B6209C"/>
    <w:rsid w:val="00B622D2"/>
    <w:rsid w:val="00B636B4"/>
    <w:rsid w:val="00B63F90"/>
    <w:rsid w:val="00B64592"/>
    <w:rsid w:val="00B66D41"/>
    <w:rsid w:val="00B67449"/>
    <w:rsid w:val="00B73B2B"/>
    <w:rsid w:val="00B74B4F"/>
    <w:rsid w:val="00B763F6"/>
    <w:rsid w:val="00B76F16"/>
    <w:rsid w:val="00B807A1"/>
    <w:rsid w:val="00B828EE"/>
    <w:rsid w:val="00B83806"/>
    <w:rsid w:val="00B85345"/>
    <w:rsid w:val="00B869DC"/>
    <w:rsid w:val="00B97A1D"/>
    <w:rsid w:val="00BA3644"/>
    <w:rsid w:val="00BA5D53"/>
    <w:rsid w:val="00BA6B96"/>
    <w:rsid w:val="00BB2FE5"/>
    <w:rsid w:val="00BB53E1"/>
    <w:rsid w:val="00BB67CF"/>
    <w:rsid w:val="00BC2C6B"/>
    <w:rsid w:val="00BC367E"/>
    <w:rsid w:val="00BC4F89"/>
    <w:rsid w:val="00BC520A"/>
    <w:rsid w:val="00BC5536"/>
    <w:rsid w:val="00BC79AA"/>
    <w:rsid w:val="00BD3BAE"/>
    <w:rsid w:val="00BD5243"/>
    <w:rsid w:val="00BD6192"/>
    <w:rsid w:val="00BD7DC5"/>
    <w:rsid w:val="00BE2433"/>
    <w:rsid w:val="00BE62BC"/>
    <w:rsid w:val="00BF13A0"/>
    <w:rsid w:val="00BF20CD"/>
    <w:rsid w:val="00BF30B7"/>
    <w:rsid w:val="00BF4C59"/>
    <w:rsid w:val="00BF521E"/>
    <w:rsid w:val="00C041BA"/>
    <w:rsid w:val="00C0532C"/>
    <w:rsid w:val="00C0576B"/>
    <w:rsid w:val="00C10A74"/>
    <w:rsid w:val="00C10AB6"/>
    <w:rsid w:val="00C10E72"/>
    <w:rsid w:val="00C113FF"/>
    <w:rsid w:val="00C11859"/>
    <w:rsid w:val="00C11C40"/>
    <w:rsid w:val="00C136C9"/>
    <w:rsid w:val="00C20EF1"/>
    <w:rsid w:val="00C2253B"/>
    <w:rsid w:val="00C22922"/>
    <w:rsid w:val="00C24873"/>
    <w:rsid w:val="00C26665"/>
    <w:rsid w:val="00C26ED3"/>
    <w:rsid w:val="00C27BDC"/>
    <w:rsid w:val="00C32284"/>
    <w:rsid w:val="00C32FC4"/>
    <w:rsid w:val="00C33ED0"/>
    <w:rsid w:val="00C35A3E"/>
    <w:rsid w:val="00C36E6F"/>
    <w:rsid w:val="00C37CFD"/>
    <w:rsid w:val="00C416AA"/>
    <w:rsid w:val="00C422F0"/>
    <w:rsid w:val="00C42E9D"/>
    <w:rsid w:val="00C435B8"/>
    <w:rsid w:val="00C43F80"/>
    <w:rsid w:val="00C4430A"/>
    <w:rsid w:val="00C4485B"/>
    <w:rsid w:val="00C4550E"/>
    <w:rsid w:val="00C50A2C"/>
    <w:rsid w:val="00C50AF7"/>
    <w:rsid w:val="00C51CCD"/>
    <w:rsid w:val="00C53924"/>
    <w:rsid w:val="00C61B6C"/>
    <w:rsid w:val="00C628D6"/>
    <w:rsid w:val="00C64E52"/>
    <w:rsid w:val="00C657AB"/>
    <w:rsid w:val="00C65956"/>
    <w:rsid w:val="00C6742D"/>
    <w:rsid w:val="00C67A71"/>
    <w:rsid w:val="00C700AC"/>
    <w:rsid w:val="00C70A8E"/>
    <w:rsid w:val="00C7169A"/>
    <w:rsid w:val="00C74165"/>
    <w:rsid w:val="00C741F1"/>
    <w:rsid w:val="00C7429C"/>
    <w:rsid w:val="00C75B23"/>
    <w:rsid w:val="00C7693A"/>
    <w:rsid w:val="00C8008C"/>
    <w:rsid w:val="00C81A6D"/>
    <w:rsid w:val="00C81BDF"/>
    <w:rsid w:val="00C851BA"/>
    <w:rsid w:val="00C859D1"/>
    <w:rsid w:val="00C8612B"/>
    <w:rsid w:val="00C90131"/>
    <w:rsid w:val="00C906CC"/>
    <w:rsid w:val="00C9411B"/>
    <w:rsid w:val="00C95660"/>
    <w:rsid w:val="00CA17C1"/>
    <w:rsid w:val="00CA3A60"/>
    <w:rsid w:val="00CA4A9C"/>
    <w:rsid w:val="00CA4C38"/>
    <w:rsid w:val="00CA77E2"/>
    <w:rsid w:val="00CA7828"/>
    <w:rsid w:val="00CB0757"/>
    <w:rsid w:val="00CB0B98"/>
    <w:rsid w:val="00CB1B1D"/>
    <w:rsid w:val="00CB1DFA"/>
    <w:rsid w:val="00CB20C9"/>
    <w:rsid w:val="00CB2156"/>
    <w:rsid w:val="00CB3986"/>
    <w:rsid w:val="00CB6849"/>
    <w:rsid w:val="00CB7987"/>
    <w:rsid w:val="00CB7ACB"/>
    <w:rsid w:val="00CC18C1"/>
    <w:rsid w:val="00CC432F"/>
    <w:rsid w:val="00CC4654"/>
    <w:rsid w:val="00CC5FAD"/>
    <w:rsid w:val="00CC70A7"/>
    <w:rsid w:val="00CD185F"/>
    <w:rsid w:val="00CD2288"/>
    <w:rsid w:val="00CD331D"/>
    <w:rsid w:val="00CD3332"/>
    <w:rsid w:val="00CD4E55"/>
    <w:rsid w:val="00CD54D7"/>
    <w:rsid w:val="00CD567B"/>
    <w:rsid w:val="00CD7173"/>
    <w:rsid w:val="00CD7F0C"/>
    <w:rsid w:val="00CE1B12"/>
    <w:rsid w:val="00CE2A00"/>
    <w:rsid w:val="00CE3BA9"/>
    <w:rsid w:val="00CE74B0"/>
    <w:rsid w:val="00CE7B44"/>
    <w:rsid w:val="00CF0929"/>
    <w:rsid w:val="00CF0DF6"/>
    <w:rsid w:val="00CF28EC"/>
    <w:rsid w:val="00CF29D5"/>
    <w:rsid w:val="00CF47AC"/>
    <w:rsid w:val="00CF59A3"/>
    <w:rsid w:val="00CF6876"/>
    <w:rsid w:val="00CF69F6"/>
    <w:rsid w:val="00D02710"/>
    <w:rsid w:val="00D03C91"/>
    <w:rsid w:val="00D11D57"/>
    <w:rsid w:val="00D1280D"/>
    <w:rsid w:val="00D12A31"/>
    <w:rsid w:val="00D15C99"/>
    <w:rsid w:val="00D20ABF"/>
    <w:rsid w:val="00D23CDC"/>
    <w:rsid w:val="00D25281"/>
    <w:rsid w:val="00D2528B"/>
    <w:rsid w:val="00D2538B"/>
    <w:rsid w:val="00D25FDC"/>
    <w:rsid w:val="00D262F0"/>
    <w:rsid w:val="00D313BC"/>
    <w:rsid w:val="00D3310C"/>
    <w:rsid w:val="00D33F22"/>
    <w:rsid w:val="00D363DB"/>
    <w:rsid w:val="00D36BE9"/>
    <w:rsid w:val="00D372F8"/>
    <w:rsid w:val="00D37E97"/>
    <w:rsid w:val="00D40748"/>
    <w:rsid w:val="00D40ADA"/>
    <w:rsid w:val="00D40DCF"/>
    <w:rsid w:val="00D41DA9"/>
    <w:rsid w:val="00D43265"/>
    <w:rsid w:val="00D47422"/>
    <w:rsid w:val="00D47DAA"/>
    <w:rsid w:val="00D51A54"/>
    <w:rsid w:val="00D55114"/>
    <w:rsid w:val="00D55447"/>
    <w:rsid w:val="00D5764B"/>
    <w:rsid w:val="00D62199"/>
    <w:rsid w:val="00D62E43"/>
    <w:rsid w:val="00D633B8"/>
    <w:rsid w:val="00D66125"/>
    <w:rsid w:val="00D71463"/>
    <w:rsid w:val="00D73323"/>
    <w:rsid w:val="00D742CC"/>
    <w:rsid w:val="00D75B62"/>
    <w:rsid w:val="00D818AF"/>
    <w:rsid w:val="00D81C8D"/>
    <w:rsid w:val="00D82211"/>
    <w:rsid w:val="00D82F8D"/>
    <w:rsid w:val="00D83BCA"/>
    <w:rsid w:val="00D843A5"/>
    <w:rsid w:val="00D9009E"/>
    <w:rsid w:val="00D90C1F"/>
    <w:rsid w:val="00D91E3C"/>
    <w:rsid w:val="00D925F5"/>
    <w:rsid w:val="00D9552A"/>
    <w:rsid w:val="00D97CA9"/>
    <w:rsid w:val="00DA0EC1"/>
    <w:rsid w:val="00DA1EBB"/>
    <w:rsid w:val="00DA23FA"/>
    <w:rsid w:val="00DB5580"/>
    <w:rsid w:val="00DB5CD5"/>
    <w:rsid w:val="00DB6048"/>
    <w:rsid w:val="00DC07D7"/>
    <w:rsid w:val="00DC1298"/>
    <w:rsid w:val="00DC16BB"/>
    <w:rsid w:val="00DC494F"/>
    <w:rsid w:val="00DC4FD5"/>
    <w:rsid w:val="00DC553A"/>
    <w:rsid w:val="00DC6A9D"/>
    <w:rsid w:val="00DC7C6C"/>
    <w:rsid w:val="00DD1705"/>
    <w:rsid w:val="00DD182E"/>
    <w:rsid w:val="00DD74C6"/>
    <w:rsid w:val="00DE28EA"/>
    <w:rsid w:val="00DE50AD"/>
    <w:rsid w:val="00DE61E5"/>
    <w:rsid w:val="00DE6BEA"/>
    <w:rsid w:val="00DE6E48"/>
    <w:rsid w:val="00DE7ED3"/>
    <w:rsid w:val="00DF0901"/>
    <w:rsid w:val="00DF1867"/>
    <w:rsid w:val="00DF19F4"/>
    <w:rsid w:val="00DF2BD0"/>
    <w:rsid w:val="00DF3FAA"/>
    <w:rsid w:val="00DF4877"/>
    <w:rsid w:val="00DF776E"/>
    <w:rsid w:val="00E00B09"/>
    <w:rsid w:val="00E02F2C"/>
    <w:rsid w:val="00E03903"/>
    <w:rsid w:val="00E03C0B"/>
    <w:rsid w:val="00E061DB"/>
    <w:rsid w:val="00E07662"/>
    <w:rsid w:val="00E10B34"/>
    <w:rsid w:val="00E1213F"/>
    <w:rsid w:val="00E12D4D"/>
    <w:rsid w:val="00E140E5"/>
    <w:rsid w:val="00E210F6"/>
    <w:rsid w:val="00E237E4"/>
    <w:rsid w:val="00E23CBD"/>
    <w:rsid w:val="00E264B8"/>
    <w:rsid w:val="00E2667C"/>
    <w:rsid w:val="00E3492F"/>
    <w:rsid w:val="00E34CCA"/>
    <w:rsid w:val="00E365DD"/>
    <w:rsid w:val="00E4427F"/>
    <w:rsid w:val="00E4576C"/>
    <w:rsid w:val="00E51725"/>
    <w:rsid w:val="00E52661"/>
    <w:rsid w:val="00E53559"/>
    <w:rsid w:val="00E535B4"/>
    <w:rsid w:val="00E55672"/>
    <w:rsid w:val="00E55E29"/>
    <w:rsid w:val="00E56B29"/>
    <w:rsid w:val="00E63CA8"/>
    <w:rsid w:val="00E6500C"/>
    <w:rsid w:val="00E7003A"/>
    <w:rsid w:val="00E7307D"/>
    <w:rsid w:val="00E73E30"/>
    <w:rsid w:val="00E74BE3"/>
    <w:rsid w:val="00E75168"/>
    <w:rsid w:val="00E75A71"/>
    <w:rsid w:val="00E76501"/>
    <w:rsid w:val="00E8372C"/>
    <w:rsid w:val="00E9050B"/>
    <w:rsid w:val="00E91F9E"/>
    <w:rsid w:val="00E9261D"/>
    <w:rsid w:val="00E95021"/>
    <w:rsid w:val="00E95A0B"/>
    <w:rsid w:val="00E95C4B"/>
    <w:rsid w:val="00E96CA3"/>
    <w:rsid w:val="00EA002C"/>
    <w:rsid w:val="00EA0235"/>
    <w:rsid w:val="00EA3060"/>
    <w:rsid w:val="00EA35DC"/>
    <w:rsid w:val="00EA59BA"/>
    <w:rsid w:val="00EA627A"/>
    <w:rsid w:val="00EB0F47"/>
    <w:rsid w:val="00EB1C6F"/>
    <w:rsid w:val="00EB40C2"/>
    <w:rsid w:val="00EB6445"/>
    <w:rsid w:val="00EB726F"/>
    <w:rsid w:val="00EB7745"/>
    <w:rsid w:val="00EC08D0"/>
    <w:rsid w:val="00EC0C44"/>
    <w:rsid w:val="00EC3016"/>
    <w:rsid w:val="00EC3583"/>
    <w:rsid w:val="00EC5520"/>
    <w:rsid w:val="00EC717A"/>
    <w:rsid w:val="00ED03C0"/>
    <w:rsid w:val="00ED4522"/>
    <w:rsid w:val="00ED500F"/>
    <w:rsid w:val="00ED53AB"/>
    <w:rsid w:val="00EE5078"/>
    <w:rsid w:val="00EE5093"/>
    <w:rsid w:val="00EE799C"/>
    <w:rsid w:val="00EF0110"/>
    <w:rsid w:val="00EF5F23"/>
    <w:rsid w:val="00EF7240"/>
    <w:rsid w:val="00F00DF1"/>
    <w:rsid w:val="00F00E7C"/>
    <w:rsid w:val="00F01C11"/>
    <w:rsid w:val="00F03289"/>
    <w:rsid w:val="00F0518B"/>
    <w:rsid w:val="00F10F5E"/>
    <w:rsid w:val="00F12A21"/>
    <w:rsid w:val="00F15A97"/>
    <w:rsid w:val="00F169F0"/>
    <w:rsid w:val="00F171AC"/>
    <w:rsid w:val="00F20C26"/>
    <w:rsid w:val="00F226FD"/>
    <w:rsid w:val="00F233B7"/>
    <w:rsid w:val="00F23633"/>
    <w:rsid w:val="00F246A2"/>
    <w:rsid w:val="00F27070"/>
    <w:rsid w:val="00F2788F"/>
    <w:rsid w:val="00F331F1"/>
    <w:rsid w:val="00F3467C"/>
    <w:rsid w:val="00F377BC"/>
    <w:rsid w:val="00F41F94"/>
    <w:rsid w:val="00F43C36"/>
    <w:rsid w:val="00F45A7D"/>
    <w:rsid w:val="00F5038A"/>
    <w:rsid w:val="00F50F96"/>
    <w:rsid w:val="00F51E98"/>
    <w:rsid w:val="00F53BB1"/>
    <w:rsid w:val="00F577B2"/>
    <w:rsid w:val="00F64018"/>
    <w:rsid w:val="00F66EF9"/>
    <w:rsid w:val="00F67DE9"/>
    <w:rsid w:val="00F7026E"/>
    <w:rsid w:val="00F70916"/>
    <w:rsid w:val="00F70AEC"/>
    <w:rsid w:val="00F71998"/>
    <w:rsid w:val="00F824EF"/>
    <w:rsid w:val="00F865CF"/>
    <w:rsid w:val="00F919E9"/>
    <w:rsid w:val="00F91E90"/>
    <w:rsid w:val="00F96977"/>
    <w:rsid w:val="00FA0539"/>
    <w:rsid w:val="00FA0E4B"/>
    <w:rsid w:val="00FA2D37"/>
    <w:rsid w:val="00FB1093"/>
    <w:rsid w:val="00FB46DB"/>
    <w:rsid w:val="00FB5658"/>
    <w:rsid w:val="00FB644A"/>
    <w:rsid w:val="00FB7FCD"/>
    <w:rsid w:val="00FC2A2D"/>
    <w:rsid w:val="00FD183C"/>
    <w:rsid w:val="00FD4AE1"/>
    <w:rsid w:val="00FD4D0A"/>
    <w:rsid w:val="00FD560E"/>
    <w:rsid w:val="00FD67E1"/>
    <w:rsid w:val="00FE10A8"/>
    <w:rsid w:val="00FE17B4"/>
    <w:rsid w:val="00FE3F86"/>
    <w:rsid w:val="00FE4D9B"/>
    <w:rsid w:val="00FE53D5"/>
    <w:rsid w:val="00FF2B82"/>
    <w:rsid w:val="00FF5CA5"/>
    <w:rsid w:val="00FF70B1"/>
    <w:rsid w:val="015E6884"/>
    <w:rsid w:val="020B0236"/>
    <w:rsid w:val="02404F3D"/>
    <w:rsid w:val="02576382"/>
    <w:rsid w:val="025A376A"/>
    <w:rsid w:val="026E5EDF"/>
    <w:rsid w:val="02AC43E3"/>
    <w:rsid w:val="02F16D40"/>
    <w:rsid w:val="02F348CA"/>
    <w:rsid w:val="03477475"/>
    <w:rsid w:val="036B1902"/>
    <w:rsid w:val="036D2DAF"/>
    <w:rsid w:val="03D26776"/>
    <w:rsid w:val="03EC63C9"/>
    <w:rsid w:val="04143EE0"/>
    <w:rsid w:val="04A11624"/>
    <w:rsid w:val="04DC6EB3"/>
    <w:rsid w:val="05133366"/>
    <w:rsid w:val="053F077B"/>
    <w:rsid w:val="056A390F"/>
    <w:rsid w:val="05B339CD"/>
    <w:rsid w:val="05BA49E5"/>
    <w:rsid w:val="05CD00B2"/>
    <w:rsid w:val="066D0A9F"/>
    <w:rsid w:val="06D86211"/>
    <w:rsid w:val="07550729"/>
    <w:rsid w:val="07E33E5E"/>
    <w:rsid w:val="0805092E"/>
    <w:rsid w:val="080512E2"/>
    <w:rsid w:val="08B645FC"/>
    <w:rsid w:val="08BB4778"/>
    <w:rsid w:val="08E25FED"/>
    <w:rsid w:val="093F046F"/>
    <w:rsid w:val="097C7A01"/>
    <w:rsid w:val="099C263F"/>
    <w:rsid w:val="09C0632E"/>
    <w:rsid w:val="09FA040D"/>
    <w:rsid w:val="0A1A5654"/>
    <w:rsid w:val="0A210ED1"/>
    <w:rsid w:val="0A373700"/>
    <w:rsid w:val="0A4800D1"/>
    <w:rsid w:val="0A63147A"/>
    <w:rsid w:val="0A746A83"/>
    <w:rsid w:val="0A7E60B9"/>
    <w:rsid w:val="0ABF65E6"/>
    <w:rsid w:val="0AC22BF1"/>
    <w:rsid w:val="0ADE18C3"/>
    <w:rsid w:val="0B111E00"/>
    <w:rsid w:val="0B6041CA"/>
    <w:rsid w:val="0B8547EE"/>
    <w:rsid w:val="0B923CFA"/>
    <w:rsid w:val="0B942E06"/>
    <w:rsid w:val="0C07507E"/>
    <w:rsid w:val="0C275F3F"/>
    <w:rsid w:val="0C2A7A8F"/>
    <w:rsid w:val="0C544DF9"/>
    <w:rsid w:val="0C8001DE"/>
    <w:rsid w:val="0CD332EF"/>
    <w:rsid w:val="0CE10E1F"/>
    <w:rsid w:val="0CF610C4"/>
    <w:rsid w:val="0D257329"/>
    <w:rsid w:val="0D265FD4"/>
    <w:rsid w:val="0D51487E"/>
    <w:rsid w:val="0DFC0C73"/>
    <w:rsid w:val="0E3015A8"/>
    <w:rsid w:val="0E62227C"/>
    <w:rsid w:val="0F135152"/>
    <w:rsid w:val="0F214F22"/>
    <w:rsid w:val="10053B74"/>
    <w:rsid w:val="10CD3EF8"/>
    <w:rsid w:val="10FD2C30"/>
    <w:rsid w:val="1111153B"/>
    <w:rsid w:val="112C42A9"/>
    <w:rsid w:val="118B740A"/>
    <w:rsid w:val="11DD0071"/>
    <w:rsid w:val="11F72B09"/>
    <w:rsid w:val="12152736"/>
    <w:rsid w:val="124F46F3"/>
    <w:rsid w:val="125515DD"/>
    <w:rsid w:val="12BF52E7"/>
    <w:rsid w:val="12C560F4"/>
    <w:rsid w:val="12C951E3"/>
    <w:rsid w:val="12D31841"/>
    <w:rsid w:val="131E6243"/>
    <w:rsid w:val="13286F52"/>
    <w:rsid w:val="133206F4"/>
    <w:rsid w:val="13330662"/>
    <w:rsid w:val="133471D8"/>
    <w:rsid w:val="1334749C"/>
    <w:rsid w:val="13A10F7E"/>
    <w:rsid w:val="14C52A4A"/>
    <w:rsid w:val="14D14F98"/>
    <w:rsid w:val="14DB6D43"/>
    <w:rsid w:val="14E153AA"/>
    <w:rsid w:val="151501EB"/>
    <w:rsid w:val="15DB44F0"/>
    <w:rsid w:val="15DD4AA4"/>
    <w:rsid w:val="15E53031"/>
    <w:rsid w:val="16324897"/>
    <w:rsid w:val="16971EC1"/>
    <w:rsid w:val="169A5C2A"/>
    <w:rsid w:val="16C35356"/>
    <w:rsid w:val="174310E4"/>
    <w:rsid w:val="1781407B"/>
    <w:rsid w:val="17BC4017"/>
    <w:rsid w:val="18AF23CC"/>
    <w:rsid w:val="18B61930"/>
    <w:rsid w:val="18BA16DE"/>
    <w:rsid w:val="19957DD4"/>
    <w:rsid w:val="19AB73A1"/>
    <w:rsid w:val="19EF23EB"/>
    <w:rsid w:val="1A083E93"/>
    <w:rsid w:val="1A3927A1"/>
    <w:rsid w:val="1B123564"/>
    <w:rsid w:val="1B462847"/>
    <w:rsid w:val="1C0B7532"/>
    <w:rsid w:val="1C1C260C"/>
    <w:rsid w:val="1C1D13BE"/>
    <w:rsid w:val="1C297D63"/>
    <w:rsid w:val="1C2C5EDF"/>
    <w:rsid w:val="1C7F5BD5"/>
    <w:rsid w:val="1D0A4167"/>
    <w:rsid w:val="1D1F2F14"/>
    <w:rsid w:val="1D1F6383"/>
    <w:rsid w:val="1DAA2C45"/>
    <w:rsid w:val="1DC57B03"/>
    <w:rsid w:val="1E2D59AE"/>
    <w:rsid w:val="1E9B1DB1"/>
    <w:rsid w:val="1EAA6290"/>
    <w:rsid w:val="1F021894"/>
    <w:rsid w:val="1F1F6AB6"/>
    <w:rsid w:val="1F394761"/>
    <w:rsid w:val="1FC328C7"/>
    <w:rsid w:val="1FC714C0"/>
    <w:rsid w:val="1FDB34DA"/>
    <w:rsid w:val="200B703B"/>
    <w:rsid w:val="201062C1"/>
    <w:rsid w:val="209B044D"/>
    <w:rsid w:val="20C705A5"/>
    <w:rsid w:val="21042B4C"/>
    <w:rsid w:val="213A656E"/>
    <w:rsid w:val="214657E0"/>
    <w:rsid w:val="217504CE"/>
    <w:rsid w:val="219A3C8B"/>
    <w:rsid w:val="21C347B6"/>
    <w:rsid w:val="21CD1190"/>
    <w:rsid w:val="22335934"/>
    <w:rsid w:val="22490077"/>
    <w:rsid w:val="224D0523"/>
    <w:rsid w:val="226B2757"/>
    <w:rsid w:val="22AD6EE5"/>
    <w:rsid w:val="22FB1D2D"/>
    <w:rsid w:val="23624DC1"/>
    <w:rsid w:val="23673D54"/>
    <w:rsid w:val="236F132C"/>
    <w:rsid w:val="23AE3F11"/>
    <w:rsid w:val="23C860B3"/>
    <w:rsid w:val="24935EB9"/>
    <w:rsid w:val="24E31A7B"/>
    <w:rsid w:val="24F66C3C"/>
    <w:rsid w:val="259D53F4"/>
    <w:rsid w:val="25E14220"/>
    <w:rsid w:val="25F1147B"/>
    <w:rsid w:val="25F16507"/>
    <w:rsid w:val="25F70737"/>
    <w:rsid w:val="26200F65"/>
    <w:rsid w:val="26416061"/>
    <w:rsid w:val="2676482B"/>
    <w:rsid w:val="26A03DA3"/>
    <w:rsid w:val="26CA0394"/>
    <w:rsid w:val="26E86692"/>
    <w:rsid w:val="2709025B"/>
    <w:rsid w:val="276C49F3"/>
    <w:rsid w:val="28304227"/>
    <w:rsid w:val="284A430B"/>
    <w:rsid w:val="286C04DD"/>
    <w:rsid w:val="28A563ED"/>
    <w:rsid w:val="28DB5DC9"/>
    <w:rsid w:val="291A6A75"/>
    <w:rsid w:val="293F655C"/>
    <w:rsid w:val="296315D6"/>
    <w:rsid w:val="29705CC6"/>
    <w:rsid w:val="2988528C"/>
    <w:rsid w:val="29910CF5"/>
    <w:rsid w:val="299C3850"/>
    <w:rsid w:val="29B230E6"/>
    <w:rsid w:val="29DA269C"/>
    <w:rsid w:val="2A005E7B"/>
    <w:rsid w:val="2A0875D8"/>
    <w:rsid w:val="2A745885"/>
    <w:rsid w:val="2A8D6F61"/>
    <w:rsid w:val="2A905ABE"/>
    <w:rsid w:val="2B1062A1"/>
    <w:rsid w:val="2B786611"/>
    <w:rsid w:val="2B822FEC"/>
    <w:rsid w:val="2BB138D1"/>
    <w:rsid w:val="2BF553F4"/>
    <w:rsid w:val="2C1D4F16"/>
    <w:rsid w:val="2C212B37"/>
    <w:rsid w:val="2C5F4D6E"/>
    <w:rsid w:val="2C772424"/>
    <w:rsid w:val="2CAF7405"/>
    <w:rsid w:val="2E47082A"/>
    <w:rsid w:val="2E4C168F"/>
    <w:rsid w:val="2E9404FA"/>
    <w:rsid w:val="2EC95BE2"/>
    <w:rsid w:val="2ED26F43"/>
    <w:rsid w:val="2F332C6A"/>
    <w:rsid w:val="2F4642D6"/>
    <w:rsid w:val="2F521AA7"/>
    <w:rsid w:val="2F5C5025"/>
    <w:rsid w:val="2F630552"/>
    <w:rsid w:val="2F9047B8"/>
    <w:rsid w:val="2FA43D04"/>
    <w:rsid w:val="30011FAF"/>
    <w:rsid w:val="30185A1C"/>
    <w:rsid w:val="30E14810"/>
    <w:rsid w:val="310C5ADB"/>
    <w:rsid w:val="31794DC6"/>
    <w:rsid w:val="319677F1"/>
    <w:rsid w:val="319E66A5"/>
    <w:rsid w:val="31A713AE"/>
    <w:rsid w:val="31B15FA5"/>
    <w:rsid w:val="31F570FD"/>
    <w:rsid w:val="32411970"/>
    <w:rsid w:val="32580175"/>
    <w:rsid w:val="327C3FAB"/>
    <w:rsid w:val="328B0677"/>
    <w:rsid w:val="32A907CC"/>
    <w:rsid w:val="32CE2FBA"/>
    <w:rsid w:val="33053B2B"/>
    <w:rsid w:val="3363390B"/>
    <w:rsid w:val="33C5616B"/>
    <w:rsid w:val="33C904D3"/>
    <w:rsid w:val="33E71C68"/>
    <w:rsid w:val="34620B5F"/>
    <w:rsid w:val="34833B90"/>
    <w:rsid w:val="34EE7BB1"/>
    <w:rsid w:val="358B4776"/>
    <w:rsid w:val="35A60982"/>
    <w:rsid w:val="35C014EA"/>
    <w:rsid w:val="360533E7"/>
    <w:rsid w:val="36116DB1"/>
    <w:rsid w:val="36510F70"/>
    <w:rsid w:val="367955AA"/>
    <w:rsid w:val="36CC5F45"/>
    <w:rsid w:val="36F62AE0"/>
    <w:rsid w:val="371B2546"/>
    <w:rsid w:val="371D1C1F"/>
    <w:rsid w:val="37425D25"/>
    <w:rsid w:val="374A3635"/>
    <w:rsid w:val="37856ABC"/>
    <w:rsid w:val="37D43366"/>
    <w:rsid w:val="380B4369"/>
    <w:rsid w:val="38282D49"/>
    <w:rsid w:val="385164CC"/>
    <w:rsid w:val="385A284E"/>
    <w:rsid w:val="38926838"/>
    <w:rsid w:val="389C348C"/>
    <w:rsid w:val="38CD34E4"/>
    <w:rsid w:val="38CE1212"/>
    <w:rsid w:val="38CE740A"/>
    <w:rsid w:val="390C61EC"/>
    <w:rsid w:val="390D3BC4"/>
    <w:rsid w:val="39742824"/>
    <w:rsid w:val="39AF65D0"/>
    <w:rsid w:val="39B57621"/>
    <w:rsid w:val="3A070042"/>
    <w:rsid w:val="3AAF59E1"/>
    <w:rsid w:val="3AC33A5D"/>
    <w:rsid w:val="3ACF4A43"/>
    <w:rsid w:val="3ADE1C83"/>
    <w:rsid w:val="3AFD0DB1"/>
    <w:rsid w:val="3B157948"/>
    <w:rsid w:val="3B4F0A10"/>
    <w:rsid w:val="3B5E3ABE"/>
    <w:rsid w:val="3BA4134C"/>
    <w:rsid w:val="3C1203CD"/>
    <w:rsid w:val="3C79268F"/>
    <w:rsid w:val="3C8B2D5A"/>
    <w:rsid w:val="3C8D183A"/>
    <w:rsid w:val="3CBB1C4D"/>
    <w:rsid w:val="3CDC62D4"/>
    <w:rsid w:val="3D847133"/>
    <w:rsid w:val="3DA24085"/>
    <w:rsid w:val="3DBF0E10"/>
    <w:rsid w:val="3DCC3CAD"/>
    <w:rsid w:val="3DD9672B"/>
    <w:rsid w:val="3DF84FF7"/>
    <w:rsid w:val="3DFD28A2"/>
    <w:rsid w:val="3E1D1540"/>
    <w:rsid w:val="3E7105B2"/>
    <w:rsid w:val="3E7429B0"/>
    <w:rsid w:val="3E7570D2"/>
    <w:rsid w:val="3E9F2716"/>
    <w:rsid w:val="3F415E00"/>
    <w:rsid w:val="3F45273E"/>
    <w:rsid w:val="3F5509F1"/>
    <w:rsid w:val="3F6A1713"/>
    <w:rsid w:val="3FBF2046"/>
    <w:rsid w:val="3FE43E1D"/>
    <w:rsid w:val="3FFF749A"/>
    <w:rsid w:val="40026FEF"/>
    <w:rsid w:val="4041301D"/>
    <w:rsid w:val="40523C2A"/>
    <w:rsid w:val="40526279"/>
    <w:rsid w:val="405D05E2"/>
    <w:rsid w:val="40A13ABC"/>
    <w:rsid w:val="40B97058"/>
    <w:rsid w:val="40BB52B4"/>
    <w:rsid w:val="40F61875"/>
    <w:rsid w:val="4159741E"/>
    <w:rsid w:val="41630892"/>
    <w:rsid w:val="41D9302C"/>
    <w:rsid w:val="41F465FF"/>
    <w:rsid w:val="420B31B2"/>
    <w:rsid w:val="422331F6"/>
    <w:rsid w:val="426E1593"/>
    <w:rsid w:val="42820AFD"/>
    <w:rsid w:val="42AE24C0"/>
    <w:rsid w:val="43104F29"/>
    <w:rsid w:val="43106CD7"/>
    <w:rsid w:val="43302B75"/>
    <w:rsid w:val="4368030A"/>
    <w:rsid w:val="43E214D5"/>
    <w:rsid w:val="441E0142"/>
    <w:rsid w:val="44444E8A"/>
    <w:rsid w:val="444C127F"/>
    <w:rsid w:val="446F7A2D"/>
    <w:rsid w:val="44853988"/>
    <w:rsid w:val="44DF651F"/>
    <w:rsid w:val="4504286C"/>
    <w:rsid w:val="450C54CC"/>
    <w:rsid w:val="45401607"/>
    <w:rsid w:val="455E1F7C"/>
    <w:rsid w:val="457F7098"/>
    <w:rsid w:val="45E50653"/>
    <w:rsid w:val="45E9741B"/>
    <w:rsid w:val="46243558"/>
    <w:rsid w:val="4629583F"/>
    <w:rsid w:val="466D602A"/>
    <w:rsid w:val="46822414"/>
    <w:rsid w:val="46BA36E6"/>
    <w:rsid w:val="46D524E2"/>
    <w:rsid w:val="46E666CD"/>
    <w:rsid w:val="46FB624F"/>
    <w:rsid w:val="471D14E6"/>
    <w:rsid w:val="475C5803"/>
    <w:rsid w:val="480E290B"/>
    <w:rsid w:val="48146EE6"/>
    <w:rsid w:val="48CE1CF6"/>
    <w:rsid w:val="490013E0"/>
    <w:rsid w:val="493059E0"/>
    <w:rsid w:val="49361094"/>
    <w:rsid w:val="499A61A5"/>
    <w:rsid w:val="49A43BEB"/>
    <w:rsid w:val="4A0F3447"/>
    <w:rsid w:val="4A484FA8"/>
    <w:rsid w:val="4A9621B8"/>
    <w:rsid w:val="4AA27E5E"/>
    <w:rsid w:val="4AF3182D"/>
    <w:rsid w:val="4B34358E"/>
    <w:rsid w:val="4BA87845"/>
    <w:rsid w:val="4BE041DA"/>
    <w:rsid w:val="4BE17463"/>
    <w:rsid w:val="4BE40D01"/>
    <w:rsid w:val="4C001EFC"/>
    <w:rsid w:val="4C0C1A70"/>
    <w:rsid w:val="4C194152"/>
    <w:rsid w:val="4C5C2F8D"/>
    <w:rsid w:val="4C5C4FFB"/>
    <w:rsid w:val="4C671627"/>
    <w:rsid w:val="4C7E695A"/>
    <w:rsid w:val="4C9B73C9"/>
    <w:rsid w:val="4CB16E35"/>
    <w:rsid w:val="4D3009C9"/>
    <w:rsid w:val="4D367648"/>
    <w:rsid w:val="4D5A5C0B"/>
    <w:rsid w:val="4D7600FC"/>
    <w:rsid w:val="4D7A540F"/>
    <w:rsid w:val="4D986641"/>
    <w:rsid w:val="4DD21E9B"/>
    <w:rsid w:val="4DD25ECA"/>
    <w:rsid w:val="4DE21193"/>
    <w:rsid w:val="4E094A4F"/>
    <w:rsid w:val="4E434284"/>
    <w:rsid w:val="4E9B4829"/>
    <w:rsid w:val="4EE81A44"/>
    <w:rsid w:val="4EFC6675"/>
    <w:rsid w:val="501E0271"/>
    <w:rsid w:val="50B14E4E"/>
    <w:rsid w:val="50EF529B"/>
    <w:rsid w:val="51112598"/>
    <w:rsid w:val="513F6816"/>
    <w:rsid w:val="51711289"/>
    <w:rsid w:val="51A42191"/>
    <w:rsid w:val="51F956F1"/>
    <w:rsid w:val="52504525"/>
    <w:rsid w:val="5270469B"/>
    <w:rsid w:val="5287425C"/>
    <w:rsid w:val="52B47439"/>
    <w:rsid w:val="530D00C8"/>
    <w:rsid w:val="53B53431"/>
    <w:rsid w:val="53B61BC4"/>
    <w:rsid w:val="540E0E28"/>
    <w:rsid w:val="54130E4E"/>
    <w:rsid w:val="54512D92"/>
    <w:rsid w:val="54AF6350"/>
    <w:rsid w:val="55211F96"/>
    <w:rsid w:val="55284354"/>
    <w:rsid w:val="553A3451"/>
    <w:rsid w:val="55491271"/>
    <w:rsid w:val="55E220E2"/>
    <w:rsid w:val="56084F10"/>
    <w:rsid w:val="560C332E"/>
    <w:rsid w:val="561A63C5"/>
    <w:rsid w:val="564E601E"/>
    <w:rsid w:val="56E30533"/>
    <w:rsid w:val="56F32822"/>
    <w:rsid w:val="570D1A54"/>
    <w:rsid w:val="57297C0D"/>
    <w:rsid w:val="57354F37"/>
    <w:rsid w:val="57666B11"/>
    <w:rsid w:val="57765EE4"/>
    <w:rsid w:val="57B32846"/>
    <w:rsid w:val="57FB7AFE"/>
    <w:rsid w:val="58182635"/>
    <w:rsid w:val="581B4793"/>
    <w:rsid w:val="585A65D3"/>
    <w:rsid w:val="588647CF"/>
    <w:rsid w:val="588B296A"/>
    <w:rsid w:val="58EA7427"/>
    <w:rsid w:val="59B04939"/>
    <w:rsid w:val="59C503C4"/>
    <w:rsid w:val="59E44A57"/>
    <w:rsid w:val="5A3A3531"/>
    <w:rsid w:val="5AB556CA"/>
    <w:rsid w:val="5BC326E1"/>
    <w:rsid w:val="5BE16D34"/>
    <w:rsid w:val="5BEB211D"/>
    <w:rsid w:val="5C8104E0"/>
    <w:rsid w:val="5C8C4B79"/>
    <w:rsid w:val="5CA4442D"/>
    <w:rsid w:val="5CB22294"/>
    <w:rsid w:val="5CC72FCF"/>
    <w:rsid w:val="5CDD240A"/>
    <w:rsid w:val="5D3470E3"/>
    <w:rsid w:val="5DC4655C"/>
    <w:rsid w:val="5DD550AA"/>
    <w:rsid w:val="5E173E7E"/>
    <w:rsid w:val="5E20206C"/>
    <w:rsid w:val="5E635EB6"/>
    <w:rsid w:val="5E6F3357"/>
    <w:rsid w:val="5EAC6004"/>
    <w:rsid w:val="5EC944B2"/>
    <w:rsid w:val="5ED218AA"/>
    <w:rsid w:val="5F0068FD"/>
    <w:rsid w:val="5F275FCB"/>
    <w:rsid w:val="5F283595"/>
    <w:rsid w:val="5FA47A16"/>
    <w:rsid w:val="60205117"/>
    <w:rsid w:val="603E5F99"/>
    <w:rsid w:val="604269A5"/>
    <w:rsid w:val="604D4C6F"/>
    <w:rsid w:val="60DA402D"/>
    <w:rsid w:val="60E55611"/>
    <w:rsid w:val="611A7703"/>
    <w:rsid w:val="61614E76"/>
    <w:rsid w:val="61AC1C22"/>
    <w:rsid w:val="62177D57"/>
    <w:rsid w:val="62225869"/>
    <w:rsid w:val="62620EA5"/>
    <w:rsid w:val="62EC16C5"/>
    <w:rsid w:val="62F76A27"/>
    <w:rsid w:val="63364573"/>
    <w:rsid w:val="63484125"/>
    <w:rsid w:val="637013A0"/>
    <w:rsid w:val="639130C5"/>
    <w:rsid w:val="639A7697"/>
    <w:rsid w:val="64883C80"/>
    <w:rsid w:val="65087CD9"/>
    <w:rsid w:val="65114E4C"/>
    <w:rsid w:val="6544591F"/>
    <w:rsid w:val="657169C4"/>
    <w:rsid w:val="65C01635"/>
    <w:rsid w:val="661F2C0A"/>
    <w:rsid w:val="66270337"/>
    <w:rsid w:val="662F6629"/>
    <w:rsid w:val="665931A6"/>
    <w:rsid w:val="667224B9"/>
    <w:rsid w:val="66A24460"/>
    <w:rsid w:val="66AD290B"/>
    <w:rsid w:val="66AF3F8D"/>
    <w:rsid w:val="66DA3FFA"/>
    <w:rsid w:val="66F461A9"/>
    <w:rsid w:val="66F47CD3"/>
    <w:rsid w:val="671F1320"/>
    <w:rsid w:val="674F7E1E"/>
    <w:rsid w:val="6759371E"/>
    <w:rsid w:val="675A4288"/>
    <w:rsid w:val="67915D89"/>
    <w:rsid w:val="67AA0EDA"/>
    <w:rsid w:val="67BF28F6"/>
    <w:rsid w:val="68213BD6"/>
    <w:rsid w:val="68833956"/>
    <w:rsid w:val="68974B4A"/>
    <w:rsid w:val="68AF77CE"/>
    <w:rsid w:val="68BC75E6"/>
    <w:rsid w:val="68E357D0"/>
    <w:rsid w:val="692B6C90"/>
    <w:rsid w:val="694C08CA"/>
    <w:rsid w:val="69590983"/>
    <w:rsid w:val="69A51678"/>
    <w:rsid w:val="69EE7DE7"/>
    <w:rsid w:val="6A0740E0"/>
    <w:rsid w:val="6A0E1913"/>
    <w:rsid w:val="6A3F0E10"/>
    <w:rsid w:val="6AC56475"/>
    <w:rsid w:val="6AD2649C"/>
    <w:rsid w:val="6ADD630A"/>
    <w:rsid w:val="6B104D22"/>
    <w:rsid w:val="6B560E7C"/>
    <w:rsid w:val="6B5D75C7"/>
    <w:rsid w:val="6B871E0A"/>
    <w:rsid w:val="6C16551B"/>
    <w:rsid w:val="6C5A2BED"/>
    <w:rsid w:val="6C8F247C"/>
    <w:rsid w:val="6CE40709"/>
    <w:rsid w:val="6D1A412B"/>
    <w:rsid w:val="6D572E2F"/>
    <w:rsid w:val="6D8A3964"/>
    <w:rsid w:val="6D8F67F7"/>
    <w:rsid w:val="6DA34938"/>
    <w:rsid w:val="6DA560EA"/>
    <w:rsid w:val="6DBB3B60"/>
    <w:rsid w:val="6DE40E7D"/>
    <w:rsid w:val="6DF34C0D"/>
    <w:rsid w:val="6E0D7776"/>
    <w:rsid w:val="6E1F5E9D"/>
    <w:rsid w:val="6E2C3712"/>
    <w:rsid w:val="6E492F1A"/>
    <w:rsid w:val="6E496B2F"/>
    <w:rsid w:val="6E6A590D"/>
    <w:rsid w:val="6E955FA9"/>
    <w:rsid w:val="6EB26FDE"/>
    <w:rsid w:val="6F7C5620"/>
    <w:rsid w:val="6F816C40"/>
    <w:rsid w:val="6F934E6B"/>
    <w:rsid w:val="6FD1766A"/>
    <w:rsid w:val="6FFF2F39"/>
    <w:rsid w:val="701F5C50"/>
    <w:rsid w:val="706D5CFC"/>
    <w:rsid w:val="707D334E"/>
    <w:rsid w:val="70C517D8"/>
    <w:rsid w:val="70CC0F1F"/>
    <w:rsid w:val="70CE6331"/>
    <w:rsid w:val="70FE4463"/>
    <w:rsid w:val="714E7CD0"/>
    <w:rsid w:val="7189601D"/>
    <w:rsid w:val="71926986"/>
    <w:rsid w:val="72103096"/>
    <w:rsid w:val="724B3BE5"/>
    <w:rsid w:val="72757BBD"/>
    <w:rsid w:val="72AC33FD"/>
    <w:rsid w:val="72B02FB5"/>
    <w:rsid w:val="72CC3A8A"/>
    <w:rsid w:val="72FD7B60"/>
    <w:rsid w:val="73045661"/>
    <w:rsid w:val="730B69EF"/>
    <w:rsid w:val="73770529"/>
    <w:rsid w:val="740C7E0F"/>
    <w:rsid w:val="74870F58"/>
    <w:rsid w:val="7493794B"/>
    <w:rsid w:val="74B145BA"/>
    <w:rsid w:val="7523343E"/>
    <w:rsid w:val="752B4572"/>
    <w:rsid w:val="755C229C"/>
    <w:rsid w:val="756665C8"/>
    <w:rsid w:val="7594040D"/>
    <w:rsid w:val="75AD3484"/>
    <w:rsid w:val="75F85030"/>
    <w:rsid w:val="760E7EE7"/>
    <w:rsid w:val="76366ABE"/>
    <w:rsid w:val="76681E89"/>
    <w:rsid w:val="76CC7470"/>
    <w:rsid w:val="76D65566"/>
    <w:rsid w:val="76FF1318"/>
    <w:rsid w:val="771661EC"/>
    <w:rsid w:val="771E2F38"/>
    <w:rsid w:val="771F6F0D"/>
    <w:rsid w:val="77493F8A"/>
    <w:rsid w:val="775E3958"/>
    <w:rsid w:val="77FC71CE"/>
    <w:rsid w:val="78EE21D2"/>
    <w:rsid w:val="78F12CB0"/>
    <w:rsid w:val="79426EE3"/>
    <w:rsid w:val="7997722F"/>
    <w:rsid w:val="7A2D600E"/>
    <w:rsid w:val="7A6C207F"/>
    <w:rsid w:val="7A9626F0"/>
    <w:rsid w:val="7AA5772A"/>
    <w:rsid w:val="7ACE0B47"/>
    <w:rsid w:val="7AD922EE"/>
    <w:rsid w:val="7AF368CF"/>
    <w:rsid w:val="7AFE4CDF"/>
    <w:rsid w:val="7B323829"/>
    <w:rsid w:val="7B437127"/>
    <w:rsid w:val="7BF430F1"/>
    <w:rsid w:val="7C234C0C"/>
    <w:rsid w:val="7C3D4D60"/>
    <w:rsid w:val="7CA0289E"/>
    <w:rsid w:val="7CBA2277"/>
    <w:rsid w:val="7CBB1F89"/>
    <w:rsid w:val="7CF0632C"/>
    <w:rsid w:val="7CFA095A"/>
    <w:rsid w:val="7D8A3CEB"/>
    <w:rsid w:val="7DA67368"/>
    <w:rsid w:val="7DC101F4"/>
    <w:rsid w:val="7E640CE3"/>
    <w:rsid w:val="7E814193"/>
    <w:rsid w:val="7E906943"/>
    <w:rsid w:val="7E996827"/>
    <w:rsid w:val="7F64440C"/>
    <w:rsid w:val="7F9F4046"/>
    <w:rsid w:val="7FCA19A9"/>
    <w:rsid w:val="7FDC22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spacing w:line="578" w:lineRule="auto"/>
      <w:outlineLvl w:val="0"/>
    </w:pPr>
    <w:rPr>
      <w:rFonts w:eastAsia="仿宋"/>
      <w:b/>
      <w:bCs/>
      <w:kern w:val="44"/>
      <w:sz w:val="28"/>
      <w:szCs w:val="44"/>
    </w:rPr>
  </w:style>
  <w:style w:type="paragraph" w:styleId="4">
    <w:name w:val="heading 2"/>
    <w:basedOn w:val="1"/>
    <w:next w:val="1"/>
    <w:link w:val="65"/>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66"/>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101"/>
    <w:qFormat/>
    <w:uiPriority w:val="9"/>
    <w:pPr>
      <w:keepNext/>
      <w:jc w:val="center"/>
      <w:outlineLvl w:val="3"/>
    </w:pPr>
    <w:rPr>
      <w:rFonts w:eastAsia="新宋体"/>
      <w:kern w:val="0"/>
      <w:sz w:val="30"/>
      <w:szCs w:val="21"/>
    </w:rPr>
  </w:style>
  <w:style w:type="paragraph" w:styleId="7">
    <w:name w:val="heading 5"/>
    <w:basedOn w:val="1"/>
    <w:next w:val="1"/>
    <w:link w:val="79"/>
    <w:qFormat/>
    <w:uiPriority w:val="0"/>
    <w:pPr>
      <w:keepNext/>
      <w:keepLines/>
      <w:spacing w:before="280" w:after="290" w:line="376" w:lineRule="auto"/>
      <w:outlineLvl w:val="4"/>
    </w:pPr>
    <w:rPr>
      <w:b/>
      <w:bCs/>
      <w:kern w:val="0"/>
      <w:sz w:val="28"/>
      <w:szCs w:val="28"/>
    </w:rPr>
  </w:style>
  <w:style w:type="paragraph" w:styleId="8">
    <w:name w:val="heading 6"/>
    <w:basedOn w:val="1"/>
    <w:next w:val="9"/>
    <w:link w:val="93"/>
    <w:qFormat/>
    <w:uiPriority w:val="0"/>
    <w:pPr>
      <w:keepNext/>
      <w:jc w:val="center"/>
      <w:outlineLvl w:val="5"/>
    </w:pPr>
    <w:rPr>
      <w:b/>
      <w:kern w:val="0"/>
      <w:sz w:val="44"/>
      <w:szCs w:val="20"/>
    </w:rPr>
  </w:style>
  <w:style w:type="paragraph" w:styleId="10">
    <w:name w:val="heading 7"/>
    <w:basedOn w:val="1"/>
    <w:next w:val="1"/>
    <w:link w:val="112"/>
    <w:qFormat/>
    <w:uiPriority w:val="0"/>
    <w:pPr>
      <w:keepNext/>
      <w:keepLines/>
      <w:spacing w:before="240" w:after="64" w:line="320" w:lineRule="auto"/>
      <w:outlineLvl w:val="6"/>
    </w:pPr>
    <w:rPr>
      <w:b/>
      <w:bCs/>
      <w:kern w:val="0"/>
      <w:sz w:val="24"/>
    </w:rPr>
  </w:style>
  <w:style w:type="paragraph" w:styleId="11">
    <w:name w:val="heading 8"/>
    <w:basedOn w:val="1"/>
    <w:next w:val="1"/>
    <w:link w:val="68"/>
    <w:qFormat/>
    <w:uiPriority w:val="0"/>
    <w:pPr>
      <w:keepNext/>
      <w:keepLines/>
      <w:spacing w:before="240" w:after="64" w:line="320" w:lineRule="auto"/>
      <w:outlineLvl w:val="7"/>
    </w:pPr>
    <w:rPr>
      <w:rFonts w:ascii="Arial" w:hAnsi="Arial" w:eastAsia="黑体"/>
      <w:kern w:val="0"/>
      <w:sz w:val="24"/>
    </w:rPr>
  </w:style>
  <w:style w:type="paragraph" w:styleId="12">
    <w:name w:val="heading 9"/>
    <w:basedOn w:val="1"/>
    <w:next w:val="1"/>
    <w:link w:val="91"/>
    <w:qFormat/>
    <w:uiPriority w:val="0"/>
    <w:pPr>
      <w:keepNext/>
      <w:keepLines/>
      <w:spacing w:before="240" w:after="64" w:line="320" w:lineRule="auto"/>
      <w:outlineLvl w:val="8"/>
    </w:pPr>
    <w:rPr>
      <w:rFonts w:ascii="Arial" w:hAnsi="Arial" w:eastAsia="黑体"/>
      <w:kern w:val="0"/>
      <w:sz w:val="24"/>
      <w:szCs w:val="21"/>
    </w:rPr>
  </w:style>
  <w:style w:type="character" w:default="1" w:styleId="35">
    <w:name w:val="Default Paragraph Font"/>
    <w:semiHidden/>
    <w:unhideWhenUsed/>
    <w:qFormat/>
    <w:uiPriority w:val="1"/>
  </w:style>
  <w:style w:type="table" w:default="1" w:styleId="5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88"/>
    <w:unhideWhenUsed/>
    <w:qFormat/>
    <w:uiPriority w:val="0"/>
    <w:pPr>
      <w:spacing w:after="120"/>
    </w:pPr>
  </w:style>
  <w:style w:type="paragraph" w:styleId="9">
    <w:name w:val="Normal Indent"/>
    <w:basedOn w:val="1"/>
    <w:link w:val="99"/>
    <w:qFormat/>
    <w:uiPriority w:val="0"/>
    <w:pPr>
      <w:adjustRightInd w:val="0"/>
      <w:spacing w:line="360" w:lineRule="atLeast"/>
      <w:ind w:firstLine="482"/>
      <w:textAlignment w:val="baseline"/>
    </w:pPr>
    <w:rPr>
      <w:kern w:val="0"/>
      <w:sz w:val="24"/>
    </w:rPr>
  </w:style>
  <w:style w:type="paragraph" w:styleId="13">
    <w:name w:val="annotation subject"/>
    <w:basedOn w:val="14"/>
    <w:next w:val="14"/>
    <w:link w:val="69"/>
    <w:unhideWhenUsed/>
    <w:qFormat/>
    <w:uiPriority w:val="0"/>
    <w:rPr>
      <w:b/>
      <w:bCs/>
    </w:rPr>
  </w:style>
  <w:style w:type="paragraph" w:styleId="14">
    <w:name w:val="annotation text"/>
    <w:basedOn w:val="1"/>
    <w:link w:val="108"/>
    <w:unhideWhenUsed/>
    <w:qFormat/>
    <w:uiPriority w:val="99"/>
    <w:pPr>
      <w:jc w:val="left"/>
    </w:pPr>
  </w:style>
  <w:style w:type="paragraph" w:styleId="15">
    <w:name w:val="Body Text First Indent"/>
    <w:basedOn w:val="2"/>
    <w:link w:val="117"/>
    <w:qFormat/>
    <w:uiPriority w:val="0"/>
    <w:pPr>
      <w:ind w:firstLine="420" w:firstLineChars="100"/>
    </w:pPr>
    <w:rPr>
      <w:kern w:val="0"/>
      <w:sz w:val="24"/>
    </w:rPr>
  </w:style>
  <w:style w:type="paragraph" w:styleId="16">
    <w:name w:val="Document Map"/>
    <w:basedOn w:val="1"/>
    <w:link w:val="70"/>
    <w:qFormat/>
    <w:uiPriority w:val="0"/>
    <w:pPr>
      <w:shd w:val="clear" w:color="auto" w:fill="000080"/>
    </w:pPr>
    <w:rPr>
      <w:kern w:val="0"/>
      <w:sz w:val="20"/>
    </w:rPr>
  </w:style>
  <w:style w:type="paragraph" w:styleId="17">
    <w:name w:val="Body Text 3"/>
    <w:basedOn w:val="1"/>
    <w:link w:val="72"/>
    <w:qFormat/>
    <w:uiPriority w:val="0"/>
    <w:pPr>
      <w:spacing w:after="120"/>
    </w:pPr>
    <w:rPr>
      <w:kern w:val="0"/>
      <w:sz w:val="16"/>
      <w:szCs w:val="16"/>
    </w:rPr>
  </w:style>
  <w:style w:type="paragraph" w:styleId="18">
    <w:name w:val="Body Text Indent"/>
    <w:basedOn w:val="1"/>
    <w:next w:val="19"/>
    <w:link w:val="90"/>
    <w:unhideWhenUsed/>
    <w:qFormat/>
    <w:uiPriority w:val="0"/>
    <w:pPr>
      <w:spacing w:after="120"/>
      <w:ind w:left="420" w:leftChars="200"/>
    </w:pPr>
  </w:style>
  <w:style w:type="paragraph" w:styleId="19">
    <w:name w:val="envelope return"/>
    <w:basedOn w:val="1"/>
    <w:unhideWhenUsed/>
    <w:qFormat/>
    <w:uiPriority w:val="99"/>
    <w:pPr>
      <w:snapToGrid w:val="0"/>
    </w:pPr>
    <w:rPr>
      <w:rFonts w:ascii="Arial" w:hAnsi="Arial"/>
    </w:rPr>
  </w:style>
  <w:style w:type="paragraph" w:styleId="20">
    <w:name w:val="Block Text"/>
    <w:basedOn w:val="1"/>
    <w:qFormat/>
    <w:uiPriority w:val="0"/>
    <w:pPr>
      <w:autoSpaceDE w:val="0"/>
      <w:autoSpaceDN w:val="0"/>
      <w:adjustRightInd w:val="0"/>
      <w:spacing w:line="300" w:lineRule="auto"/>
      <w:ind w:left="29" w:leftChars="12" w:right="6" w:firstLine="560" w:firstLineChars="200"/>
    </w:pPr>
    <w:rPr>
      <w:kern w:val="0"/>
      <w:sz w:val="28"/>
    </w:rPr>
  </w:style>
  <w:style w:type="paragraph" w:styleId="21">
    <w:name w:val="Plain Text"/>
    <w:basedOn w:val="1"/>
    <w:link w:val="97"/>
    <w:qFormat/>
    <w:uiPriority w:val="0"/>
    <w:rPr>
      <w:rFonts w:ascii="宋体" w:hAnsi="Courier New"/>
      <w:szCs w:val="21"/>
    </w:rPr>
  </w:style>
  <w:style w:type="paragraph" w:styleId="22">
    <w:name w:val="Date"/>
    <w:basedOn w:val="1"/>
    <w:next w:val="1"/>
    <w:link w:val="73"/>
    <w:qFormat/>
    <w:uiPriority w:val="0"/>
    <w:rPr>
      <w:kern w:val="0"/>
      <w:sz w:val="24"/>
      <w:szCs w:val="20"/>
    </w:rPr>
  </w:style>
  <w:style w:type="paragraph" w:styleId="23">
    <w:name w:val="Body Text Indent 2"/>
    <w:basedOn w:val="1"/>
    <w:link w:val="118"/>
    <w:qFormat/>
    <w:uiPriority w:val="0"/>
    <w:pPr>
      <w:spacing w:after="120" w:line="480" w:lineRule="auto"/>
      <w:ind w:left="420" w:leftChars="200"/>
    </w:pPr>
    <w:rPr>
      <w:kern w:val="0"/>
      <w:sz w:val="20"/>
    </w:rPr>
  </w:style>
  <w:style w:type="paragraph" w:styleId="24">
    <w:name w:val="Balloon Text"/>
    <w:basedOn w:val="1"/>
    <w:link w:val="59"/>
    <w:unhideWhenUsed/>
    <w:qFormat/>
    <w:uiPriority w:val="99"/>
    <w:rPr>
      <w:sz w:val="18"/>
      <w:szCs w:val="18"/>
    </w:rPr>
  </w:style>
  <w:style w:type="paragraph" w:styleId="25">
    <w:name w:val="footer"/>
    <w:basedOn w:val="1"/>
    <w:link w:val="74"/>
    <w:unhideWhenUsed/>
    <w:qFormat/>
    <w:uiPriority w:val="99"/>
    <w:pPr>
      <w:tabs>
        <w:tab w:val="center" w:pos="4153"/>
        <w:tab w:val="right" w:pos="8306"/>
      </w:tabs>
      <w:snapToGrid w:val="0"/>
      <w:jc w:val="left"/>
    </w:pPr>
    <w:rPr>
      <w:sz w:val="18"/>
      <w:szCs w:val="18"/>
    </w:rPr>
  </w:style>
  <w:style w:type="paragraph" w:styleId="26">
    <w:name w:val="Body Text First Indent 2"/>
    <w:basedOn w:val="18"/>
    <w:next w:val="27"/>
    <w:unhideWhenUsed/>
    <w:qFormat/>
    <w:uiPriority w:val="99"/>
    <w:pPr>
      <w:ind w:firstLine="200" w:firstLineChars="200"/>
    </w:pPr>
  </w:style>
  <w:style w:type="paragraph" w:styleId="27">
    <w:name w:val="Body Text Indent 3"/>
    <w:basedOn w:val="1"/>
    <w:link w:val="94"/>
    <w:qFormat/>
    <w:uiPriority w:val="0"/>
    <w:pPr>
      <w:spacing w:after="120"/>
      <w:ind w:left="420" w:leftChars="200"/>
    </w:pPr>
    <w:rPr>
      <w:kern w:val="0"/>
      <w:sz w:val="16"/>
      <w:szCs w:val="16"/>
    </w:rPr>
  </w:style>
  <w:style w:type="paragraph" w:styleId="28">
    <w:name w:val="header"/>
    <w:basedOn w:val="1"/>
    <w:link w:val="100"/>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rPr>
      <w:sz w:val="24"/>
    </w:rPr>
  </w:style>
  <w:style w:type="paragraph" w:styleId="30">
    <w:name w:val="List"/>
    <w:basedOn w:val="1"/>
    <w:qFormat/>
    <w:uiPriority w:val="0"/>
    <w:pPr>
      <w:ind w:left="200" w:hanging="200" w:hangingChars="200"/>
    </w:pPr>
  </w:style>
  <w:style w:type="paragraph" w:styleId="31">
    <w:name w:val="Body Text 2"/>
    <w:basedOn w:val="1"/>
    <w:link w:val="80"/>
    <w:qFormat/>
    <w:uiPriority w:val="0"/>
    <w:pPr>
      <w:snapToGrid w:val="0"/>
    </w:pPr>
    <w:rPr>
      <w:b/>
      <w:bCs/>
      <w:kern w:val="0"/>
      <w:sz w:val="18"/>
    </w:rPr>
  </w:style>
  <w:style w:type="paragraph" w:styleId="32">
    <w:name w:val="HTML Preformatted"/>
    <w:basedOn w:val="1"/>
    <w:link w:val="6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34">
    <w:name w:val="Title"/>
    <w:basedOn w:val="1"/>
    <w:link w:val="116"/>
    <w:qFormat/>
    <w:uiPriority w:val="0"/>
    <w:pPr>
      <w:spacing w:before="240" w:after="60"/>
      <w:jc w:val="center"/>
      <w:outlineLvl w:val="0"/>
    </w:pPr>
    <w:rPr>
      <w:rFonts w:ascii="Arial" w:hAnsi="Arial"/>
      <w:b/>
      <w:bCs/>
      <w:kern w:val="0"/>
      <w:sz w:val="32"/>
      <w:szCs w:val="32"/>
    </w:rPr>
  </w:style>
  <w:style w:type="character" w:styleId="36">
    <w:name w:val="Strong"/>
    <w:qFormat/>
    <w:uiPriority w:val="0"/>
    <w:rPr>
      <w:b/>
      <w:bCs/>
    </w:rPr>
  </w:style>
  <w:style w:type="character" w:styleId="37">
    <w:name w:val="page number"/>
    <w:basedOn w:val="35"/>
    <w:qFormat/>
    <w:uiPriority w:val="0"/>
  </w:style>
  <w:style w:type="character" w:styleId="38">
    <w:name w:val="FollowedHyperlink"/>
    <w:qFormat/>
    <w:uiPriority w:val="0"/>
    <w:rPr>
      <w:color w:val="800080"/>
      <w:u w:val="none"/>
    </w:rPr>
  </w:style>
  <w:style w:type="character" w:styleId="39">
    <w:name w:val="Emphasis"/>
    <w:qFormat/>
    <w:uiPriority w:val="0"/>
    <w:rPr>
      <w:rFonts w:ascii="Cambria" w:hAnsi="Cambria" w:eastAsia="黑体" w:cs="Times New Roman"/>
      <w:b/>
      <w:bCs/>
      <w:iCs/>
      <w:kern w:val="2"/>
      <w:sz w:val="24"/>
      <w:szCs w:val="32"/>
      <w:lang w:val="en-US" w:eastAsia="zh-CN" w:bidi="ar-SA"/>
    </w:rPr>
  </w:style>
  <w:style w:type="character" w:styleId="40">
    <w:name w:val="HTML Definition"/>
    <w:unhideWhenUsed/>
    <w:qFormat/>
    <w:uiPriority w:val="99"/>
  </w:style>
  <w:style w:type="character" w:styleId="41">
    <w:name w:val="HTML Typewriter"/>
    <w:qFormat/>
    <w:uiPriority w:val="0"/>
    <w:rPr>
      <w:rFonts w:ascii="宋体" w:hAnsi="宋体" w:eastAsia="宋体" w:cs="宋体"/>
      <w:bCs/>
      <w:sz w:val="24"/>
      <w:szCs w:val="24"/>
      <w:lang w:val="en-US" w:eastAsia="zh-CN" w:bidi="ar-SA"/>
    </w:rPr>
  </w:style>
  <w:style w:type="character" w:styleId="42">
    <w:name w:val="HTML Acronym"/>
    <w:basedOn w:val="35"/>
    <w:unhideWhenUsed/>
    <w:qFormat/>
    <w:uiPriority w:val="99"/>
  </w:style>
  <w:style w:type="character" w:styleId="43">
    <w:name w:val="HTML Variable"/>
    <w:unhideWhenUsed/>
    <w:qFormat/>
    <w:uiPriority w:val="99"/>
  </w:style>
  <w:style w:type="character" w:styleId="44">
    <w:name w:val="Hyperlink"/>
    <w:unhideWhenUsed/>
    <w:qFormat/>
    <w:uiPriority w:val="99"/>
    <w:rPr>
      <w:color w:val="0000FF"/>
      <w:u w:val="none"/>
    </w:rPr>
  </w:style>
  <w:style w:type="character" w:styleId="45">
    <w:name w:val="HTML Code"/>
    <w:unhideWhenUsed/>
    <w:qFormat/>
    <w:uiPriority w:val="99"/>
    <w:rPr>
      <w:rFonts w:hint="default" w:ascii="monospace" w:hAnsi="monospace" w:eastAsia="monospace" w:cs="monospace"/>
      <w:sz w:val="20"/>
    </w:rPr>
  </w:style>
  <w:style w:type="character" w:styleId="46">
    <w:name w:val="annotation reference"/>
    <w:unhideWhenUsed/>
    <w:qFormat/>
    <w:uiPriority w:val="99"/>
    <w:rPr>
      <w:sz w:val="21"/>
      <w:szCs w:val="21"/>
    </w:rPr>
  </w:style>
  <w:style w:type="character" w:styleId="47">
    <w:name w:val="HTML Cite"/>
    <w:unhideWhenUsed/>
    <w:qFormat/>
    <w:uiPriority w:val="99"/>
  </w:style>
  <w:style w:type="character" w:styleId="48">
    <w:name w:val="HTML Keyboard"/>
    <w:unhideWhenUsed/>
    <w:qFormat/>
    <w:uiPriority w:val="99"/>
    <w:rPr>
      <w:rFonts w:hint="default" w:ascii="monospace" w:hAnsi="monospace" w:eastAsia="monospace" w:cs="monospace"/>
      <w:sz w:val="20"/>
    </w:rPr>
  </w:style>
  <w:style w:type="character" w:styleId="49">
    <w:name w:val="HTML Sample"/>
    <w:unhideWhenUsed/>
    <w:qFormat/>
    <w:uiPriority w:val="99"/>
    <w:rPr>
      <w:rFonts w:hint="default" w:ascii="monospace" w:hAnsi="monospace" w:eastAsia="monospace" w:cs="monospace"/>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52">
    <w:name w:val="段"/>
    <w:basedOn w:val="1"/>
    <w:next w:val="1"/>
    <w:qFormat/>
    <w:uiPriority w:val="0"/>
    <w:pPr>
      <w:widowControl/>
      <w:autoSpaceDE w:val="0"/>
      <w:autoSpaceDN w:val="0"/>
      <w:ind w:firstLine="200" w:firstLineChars="200"/>
    </w:pPr>
    <w:rPr>
      <w:rFonts w:hint="eastAsia" w:ascii="宋体"/>
      <w:kern w:val="0"/>
      <w:szCs w:val="20"/>
    </w:rPr>
  </w:style>
  <w:style w:type="paragraph" w:customStyle="1" w:styleId="53">
    <w:name w:val="style4"/>
    <w:basedOn w:val="1"/>
    <w:next w:val="54"/>
    <w:qFormat/>
    <w:uiPriority w:val="0"/>
    <w:pPr>
      <w:widowControl/>
      <w:spacing w:before="280" w:after="280"/>
    </w:pPr>
    <w:rPr>
      <w:rFonts w:ascii="宋体"/>
      <w:sz w:val="18"/>
    </w:rPr>
  </w:style>
  <w:style w:type="paragraph" w:customStyle="1" w:styleId="54">
    <w:name w:val="2"/>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5">
    <w:name w:val="_Style 2"/>
    <w:basedOn w:val="1"/>
    <w:qFormat/>
    <w:uiPriority w:val="34"/>
    <w:pPr>
      <w:ind w:firstLine="420" w:firstLineChars="200"/>
    </w:pPr>
  </w:style>
  <w:style w:type="character" w:customStyle="1" w:styleId="56">
    <w:name w:val="发布"/>
    <w:qFormat/>
    <w:uiPriority w:val="0"/>
    <w:rPr>
      <w:rFonts w:ascii="黑体" w:hAnsi="黑体" w:eastAsia="黑体"/>
      <w:bCs/>
      <w:spacing w:val="22"/>
      <w:w w:val="100"/>
      <w:position w:val="3"/>
      <w:sz w:val="28"/>
      <w:szCs w:val="21"/>
      <w:lang w:val="en-US" w:eastAsia="zh-CN" w:bidi="ar-SA"/>
    </w:rPr>
  </w:style>
  <w:style w:type="character" w:customStyle="1" w:styleId="57">
    <w:name w:val="普通正文 Char"/>
    <w:link w:val="58"/>
    <w:qFormat/>
    <w:uiPriority w:val="0"/>
    <w:rPr>
      <w:rFonts w:ascii="Arial" w:hAnsi="Arial"/>
      <w:sz w:val="24"/>
      <w:szCs w:val="24"/>
    </w:rPr>
  </w:style>
  <w:style w:type="paragraph" w:customStyle="1" w:styleId="58">
    <w:name w:val="普通正文"/>
    <w:basedOn w:val="1"/>
    <w:link w:val="57"/>
    <w:qFormat/>
    <w:uiPriority w:val="0"/>
    <w:pPr>
      <w:adjustRightInd w:val="0"/>
      <w:spacing w:before="120" w:after="120" w:line="360" w:lineRule="auto"/>
      <w:ind w:left="-2" w:right="120" w:firstLine="480"/>
      <w:jc w:val="center"/>
      <w:textAlignment w:val="baseline"/>
    </w:pPr>
    <w:rPr>
      <w:rFonts w:ascii="Arial" w:hAnsi="Arial"/>
      <w:kern w:val="0"/>
      <w:sz w:val="24"/>
    </w:rPr>
  </w:style>
  <w:style w:type="character" w:customStyle="1" w:styleId="59">
    <w:name w:val="批注框文本 字符"/>
    <w:link w:val="24"/>
    <w:qFormat/>
    <w:uiPriority w:val="99"/>
    <w:rPr>
      <w:rFonts w:ascii="Times New Roman" w:hAnsi="Times New Roman"/>
      <w:kern w:val="2"/>
      <w:sz w:val="18"/>
      <w:szCs w:val="18"/>
    </w:rPr>
  </w:style>
  <w:style w:type="character" w:customStyle="1" w:styleId="60">
    <w:name w:val="HTML 预设格式 字符"/>
    <w:link w:val="32"/>
    <w:qFormat/>
    <w:uiPriority w:val="0"/>
    <w:rPr>
      <w:rFonts w:ascii="Arial" w:hAnsi="Arial" w:cs="Arial"/>
      <w:sz w:val="24"/>
      <w:szCs w:val="24"/>
    </w:rPr>
  </w:style>
  <w:style w:type="character" w:customStyle="1" w:styleId="61">
    <w:name w:val="标题 1 字符"/>
    <w:link w:val="3"/>
    <w:qFormat/>
    <w:uiPriority w:val="0"/>
    <w:rPr>
      <w:rFonts w:ascii="Times New Roman" w:hAnsi="Times New Roman" w:eastAsia="仿宋"/>
      <w:b/>
      <w:bCs/>
      <w:kern w:val="44"/>
      <w:sz w:val="28"/>
      <w:szCs w:val="44"/>
    </w:rPr>
  </w:style>
  <w:style w:type="character" w:customStyle="1" w:styleId="62">
    <w:name w:val="正文文本 3 Char1"/>
    <w:semiHidden/>
    <w:qFormat/>
    <w:uiPriority w:val="99"/>
    <w:rPr>
      <w:rFonts w:ascii="Times New Roman" w:hAnsi="Times New Roman"/>
      <w:kern w:val="2"/>
      <w:sz w:val="16"/>
      <w:szCs w:val="16"/>
    </w:rPr>
  </w:style>
  <w:style w:type="character" w:customStyle="1" w:styleId="63">
    <w:name w:val="point_normal1"/>
    <w:qFormat/>
    <w:uiPriority w:val="0"/>
    <w:rPr>
      <w:rFonts w:hint="default" w:ascii="Arial" w:hAnsi="Arial" w:cs="Arial"/>
      <w:sz w:val="16"/>
      <w:szCs w:val="16"/>
    </w:rPr>
  </w:style>
  <w:style w:type="character" w:customStyle="1" w:styleId="64">
    <w:name w:val="cn_text1"/>
    <w:qFormat/>
    <w:uiPriority w:val="0"/>
    <w:rPr>
      <w:rFonts w:hint="default" w:ascii="ˎ̥" w:hAnsi="ˎ̥"/>
      <w:color w:val="003399"/>
      <w:spacing w:val="15"/>
      <w:sz w:val="18"/>
      <w:szCs w:val="18"/>
    </w:rPr>
  </w:style>
  <w:style w:type="character" w:customStyle="1" w:styleId="65">
    <w:name w:val="标题 2 字符"/>
    <w:link w:val="4"/>
    <w:qFormat/>
    <w:uiPriority w:val="9"/>
    <w:rPr>
      <w:rFonts w:ascii="Cambria" w:hAnsi="Cambria" w:eastAsia="宋体" w:cs="Times New Roman"/>
      <w:b/>
      <w:bCs/>
      <w:kern w:val="2"/>
      <w:sz w:val="32"/>
      <w:szCs w:val="32"/>
    </w:rPr>
  </w:style>
  <w:style w:type="character" w:customStyle="1" w:styleId="66">
    <w:name w:val="标题 3 字符"/>
    <w:link w:val="5"/>
    <w:qFormat/>
    <w:uiPriority w:val="0"/>
    <w:rPr>
      <w:rFonts w:ascii="Times New Roman" w:hAnsi="Times New Roman"/>
      <w:b/>
      <w:bCs/>
      <w:sz w:val="32"/>
      <w:szCs w:val="32"/>
    </w:rPr>
  </w:style>
  <w:style w:type="character" w:customStyle="1" w:styleId="67">
    <w:name w:val="标题 Char1"/>
    <w:qFormat/>
    <w:uiPriority w:val="10"/>
    <w:rPr>
      <w:rFonts w:ascii="Cambria" w:hAnsi="Cambria" w:cs="Times New Roman"/>
      <w:b/>
      <w:bCs/>
      <w:kern w:val="2"/>
      <w:sz w:val="32"/>
      <w:szCs w:val="32"/>
    </w:rPr>
  </w:style>
  <w:style w:type="character" w:customStyle="1" w:styleId="68">
    <w:name w:val="标题 8 字符"/>
    <w:link w:val="11"/>
    <w:qFormat/>
    <w:uiPriority w:val="0"/>
    <w:rPr>
      <w:rFonts w:ascii="Arial" w:hAnsi="Arial" w:eastAsia="黑体"/>
      <w:sz w:val="24"/>
      <w:szCs w:val="24"/>
    </w:rPr>
  </w:style>
  <w:style w:type="character" w:customStyle="1" w:styleId="69">
    <w:name w:val="批注主题 字符"/>
    <w:link w:val="13"/>
    <w:qFormat/>
    <w:uiPriority w:val="0"/>
    <w:rPr>
      <w:rFonts w:ascii="Times New Roman" w:hAnsi="Times New Roman"/>
      <w:b/>
      <w:bCs/>
      <w:kern w:val="2"/>
      <w:sz w:val="21"/>
      <w:szCs w:val="24"/>
    </w:rPr>
  </w:style>
  <w:style w:type="character" w:customStyle="1" w:styleId="70">
    <w:name w:val="文档结构图 字符"/>
    <w:link w:val="16"/>
    <w:qFormat/>
    <w:uiPriority w:val="0"/>
    <w:rPr>
      <w:szCs w:val="24"/>
      <w:shd w:val="clear" w:color="auto" w:fill="000080"/>
    </w:rPr>
  </w:style>
  <w:style w:type="character" w:customStyle="1" w:styleId="71">
    <w:name w:val="正文文本缩进 3 Char1"/>
    <w:semiHidden/>
    <w:qFormat/>
    <w:uiPriority w:val="99"/>
    <w:rPr>
      <w:rFonts w:ascii="Times New Roman" w:hAnsi="Times New Roman"/>
      <w:kern w:val="2"/>
      <w:sz w:val="16"/>
      <w:szCs w:val="16"/>
    </w:rPr>
  </w:style>
  <w:style w:type="character" w:customStyle="1" w:styleId="72">
    <w:name w:val="正文文本 3 字符"/>
    <w:link w:val="17"/>
    <w:qFormat/>
    <w:uiPriority w:val="0"/>
    <w:rPr>
      <w:rFonts w:ascii="Times New Roman" w:hAnsi="Times New Roman"/>
      <w:sz w:val="16"/>
      <w:szCs w:val="16"/>
    </w:rPr>
  </w:style>
  <w:style w:type="character" w:customStyle="1" w:styleId="73">
    <w:name w:val="日期 字符"/>
    <w:link w:val="22"/>
    <w:qFormat/>
    <w:uiPriority w:val="0"/>
    <w:rPr>
      <w:rFonts w:ascii="Times New Roman" w:hAnsi="Times New Roman"/>
      <w:sz w:val="24"/>
    </w:rPr>
  </w:style>
  <w:style w:type="character" w:customStyle="1" w:styleId="74">
    <w:name w:val="页脚 字符"/>
    <w:link w:val="25"/>
    <w:qFormat/>
    <w:uiPriority w:val="99"/>
    <w:rPr>
      <w:rFonts w:ascii="Times New Roman" w:hAnsi="Times New Roman"/>
      <w:kern w:val="2"/>
      <w:sz w:val="18"/>
      <w:szCs w:val="18"/>
    </w:rPr>
  </w:style>
  <w:style w:type="character" w:customStyle="1" w:styleId="75">
    <w:name w:val="样式 标题 1 + 黑体 五号 Char"/>
    <w:link w:val="76"/>
    <w:qFormat/>
    <w:uiPriority w:val="99"/>
    <w:rPr>
      <w:rFonts w:ascii="黑体" w:hAnsi="黑体" w:eastAsia="黑体"/>
    </w:rPr>
  </w:style>
  <w:style w:type="paragraph" w:customStyle="1" w:styleId="76">
    <w:name w:val="样式 标题 1 + 黑体 五号"/>
    <w:basedOn w:val="3"/>
    <w:link w:val="75"/>
    <w:qFormat/>
    <w:uiPriority w:val="99"/>
    <w:pPr>
      <w:keepLines w:val="0"/>
      <w:numPr>
        <w:ilvl w:val="0"/>
        <w:numId w:val="1"/>
      </w:numPr>
      <w:tabs>
        <w:tab w:val="left" w:pos="360"/>
      </w:tabs>
      <w:spacing w:beforeLines="50" w:afterLines="50" w:line="360" w:lineRule="exact"/>
    </w:pPr>
    <w:rPr>
      <w:rFonts w:ascii="黑体" w:hAnsi="黑体" w:eastAsia="黑体"/>
      <w:b w:val="0"/>
      <w:bCs w:val="0"/>
      <w:kern w:val="0"/>
      <w:sz w:val="20"/>
      <w:szCs w:val="20"/>
    </w:rPr>
  </w:style>
  <w:style w:type="character" w:customStyle="1" w:styleId="77">
    <w:name w:val="纯文本 Char1"/>
    <w:semiHidden/>
    <w:qFormat/>
    <w:uiPriority w:val="99"/>
    <w:rPr>
      <w:rFonts w:ascii="宋体" w:hAnsi="Courier New" w:cs="Courier New"/>
      <w:kern w:val="2"/>
      <w:sz w:val="21"/>
      <w:szCs w:val="21"/>
    </w:rPr>
  </w:style>
  <w:style w:type="character" w:customStyle="1" w:styleId="78">
    <w:name w:val="short_text1"/>
    <w:qFormat/>
    <w:uiPriority w:val="0"/>
    <w:rPr>
      <w:rFonts w:ascii="黑体" w:hAnsi="黑体" w:eastAsia="黑体"/>
      <w:bCs/>
      <w:sz w:val="29"/>
      <w:szCs w:val="29"/>
      <w:lang w:val="en-US" w:eastAsia="zh-CN" w:bidi="ar-SA"/>
    </w:rPr>
  </w:style>
  <w:style w:type="character" w:customStyle="1" w:styleId="79">
    <w:name w:val="标题 5 字符"/>
    <w:link w:val="7"/>
    <w:qFormat/>
    <w:uiPriority w:val="0"/>
    <w:rPr>
      <w:rFonts w:ascii="Times New Roman" w:hAnsi="Times New Roman"/>
      <w:b/>
      <w:bCs/>
      <w:sz w:val="28"/>
      <w:szCs w:val="28"/>
    </w:rPr>
  </w:style>
  <w:style w:type="character" w:customStyle="1" w:styleId="80">
    <w:name w:val="正文文本 2 字符"/>
    <w:link w:val="31"/>
    <w:qFormat/>
    <w:uiPriority w:val="0"/>
    <w:rPr>
      <w:rFonts w:ascii="Times New Roman" w:hAnsi="Times New Roman"/>
      <w:b/>
      <w:bCs/>
      <w:sz w:val="18"/>
      <w:szCs w:val="24"/>
    </w:rPr>
  </w:style>
  <w:style w:type="character" w:customStyle="1" w:styleId="81">
    <w:name w:val="样式 仿宋"/>
    <w:qFormat/>
    <w:uiPriority w:val="0"/>
    <w:rPr>
      <w:rFonts w:ascii="仿宋" w:hAnsi="仿宋" w:eastAsia="仿宋"/>
      <w:kern w:val="1"/>
    </w:rPr>
  </w:style>
  <w:style w:type="character" w:customStyle="1" w:styleId="82">
    <w:name w:val="ssss Char1"/>
    <w:link w:val="83"/>
    <w:qFormat/>
    <w:uiPriority w:val="0"/>
    <w:rPr>
      <w:rFonts w:ascii="Times New Roman" w:hAnsi="Times New Roman"/>
      <w:sz w:val="24"/>
      <w:szCs w:val="24"/>
    </w:rPr>
  </w:style>
  <w:style w:type="paragraph" w:customStyle="1" w:styleId="83">
    <w:name w:val="ssss"/>
    <w:basedOn w:val="1"/>
    <w:link w:val="82"/>
    <w:qFormat/>
    <w:uiPriority w:val="0"/>
    <w:pPr>
      <w:spacing w:line="360" w:lineRule="auto"/>
      <w:ind w:firstLine="480" w:firstLineChars="200"/>
    </w:pPr>
    <w:rPr>
      <w:kern w:val="0"/>
      <w:sz w:val="24"/>
    </w:rPr>
  </w:style>
  <w:style w:type="character" w:customStyle="1" w:styleId="84">
    <w:name w:val="ssss Char"/>
    <w:qFormat/>
    <w:uiPriority w:val="0"/>
    <w:rPr>
      <w:rFonts w:eastAsia="宋体"/>
      <w:kern w:val="2"/>
      <w:sz w:val="24"/>
      <w:szCs w:val="24"/>
      <w:lang w:val="en-US" w:eastAsia="zh-CN" w:bidi="ar-SA"/>
    </w:rPr>
  </w:style>
  <w:style w:type="character" w:customStyle="1" w:styleId="85">
    <w:name w:val="文档结构图 Char1"/>
    <w:semiHidden/>
    <w:qFormat/>
    <w:uiPriority w:val="99"/>
    <w:rPr>
      <w:rFonts w:ascii="宋体" w:hAnsi="Times New Roman"/>
      <w:kern w:val="2"/>
      <w:sz w:val="18"/>
      <w:szCs w:val="18"/>
    </w:rPr>
  </w:style>
  <w:style w:type="character" w:customStyle="1" w:styleId="86">
    <w:name w:val="正文缩进2格 Char"/>
    <w:link w:val="87"/>
    <w:qFormat/>
    <w:locked/>
    <w:uiPriority w:val="0"/>
    <w:rPr>
      <w:rFonts w:ascii="仿宋_GB2312" w:hAnsi="宋体" w:eastAsia="仿宋_GB2312"/>
      <w:sz w:val="31"/>
      <w:szCs w:val="28"/>
    </w:rPr>
  </w:style>
  <w:style w:type="paragraph" w:customStyle="1" w:styleId="87">
    <w:name w:val="正文缩进2格"/>
    <w:basedOn w:val="1"/>
    <w:link w:val="86"/>
    <w:qFormat/>
    <w:uiPriority w:val="0"/>
    <w:pPr>
      <w:spacing w:line="600" w:lineRule="exact"/>
      <w:ind w:firstLine="639" w:firstLineChars="206"/>
    </w:pPr>
    <w:rPr>
      <w:rFonts w:ascii="仿宋_GB2312" w:hAnsi="宋体" w:eastAsia="仿宋_GB2312"/>
      <w:kern w:val="0"/>
      <w:sz w:val="31"/>
      <w:szCs w:val="28"/>
    </w:rPr>
  </w:style>
  <w:style w:type="character" w:customStyle="1" w:styleId="88">
    <w:name w:val="正文文本 字符"/>
    <w:link w:val="2"/>
    <w:qFormat/>
    <w:uiPriority w:val="0"/>
    <w:rPr>
      <w:rFonts w:ascii="Times New Roman" w:hAnsi="Times New Roman"/>
      <w:kern w:val="2"/>
      <w:sz w:val="21"/>
      <w:szCs w:val="24"/>
    </w:rPr>
  </w:style>
  <w:style w:type="character" w:customStyle="1" w:styleId="89">
    <w:name w:val="f1"/>
    <w:qFormat/>
    <w:uiPriority w:val="0"/>
    <w:rPr>
      <w:rFonts w:ascii="黑体" w:hAnsi="黑体" w:eastAsia="黑体"/>
      <w:bCs/>
      <w:color w:val="666666"/>
      <w:sz w:val="21"/>
      <w:szCs w:val="21"/>
      <w:lang w:val="en-US" w:eastAsia="zh-CN" w:bidi="ar-SA"/>
    </w:rPr>
  </w:style>
  <w:style w:type="character" w:customStyle="1" w:styleId="90">
    <w:name w:val="正文文本缩进 字符"/>
    <w:link w:val="18"/>
    <w:qFormat/>
    <w:uiPriority w:val="0"/>
    <w:rPr>
      <w:rFonts w:ascii="Times New Roman" w:hAnsi="Times New Roman"/>
      <w:kern w:val="2"/>
      <w:sz w:val="21"/>
      <w:szCs w:val="24"/>
    </w:rPr>
  </w:style>
  <w:style w:type="character" w:customStyle="1" w:styleId="91">
    <w:name w:val="标题 9 字符"/>
    <w:link w:val="12"/>
    <w:qFormat/>
    <w:uiPriority w:val="0"/>
    <w:rPr>
      <w:rFonts w:ascii="Arial" w:hAnsi="Arial" w:eastAsia="黑体"/>
      <w:sz w:val="24"/>
      <w:szCs w:val="21"/>
    </w:rPr>
  </w:style>
  <w:style w:type="character" w:customStyle="1" w:styleId="92">
    <w:name w:val="日期 Char1"/>
    <w:semiHidden/>
    <w:qFormat/>
    <w:uiPriority w:val="99"/>
    <w:rPr>
      <w:rFonts w:ascii="Times New Roman" w:hAnsi="Times New Roman"/>
      <w:kern w:val="2"/>
      <w:sz w:val="21"/>
      <w:szCs w:val="24"/>
    </w:rPr>
  </w:style>
  <w:style w:type="character" w:customStyle="1" w:styleId="93">
    <w:name w:val="标题 6 字符"/>
    <w:link w:val="8"/>
    <w:qFormat/>
    <w:uiPriority w:val="0"/>
    <w:rPr>
      <w:rFonts w:ascii="Times New Roman" w:hAnsi="Times New Roman"/>
      <w:b/>
      <w:sz w:val="44"/>
    </w:rPr>
  </w:style>
  <w:style w:type="character" w:customStyle="1" w:styleId="94">
    <w:name w:val="正文文本缩进 3 字符"/>
    <w:link w:val="27"/>
    <w:qFormat/>
    <w:uiPriority w:val="0"/>
    <w:rPr>
      <w:rFonts w:ascii="Times New Roman" w:hAnsi="Times New Roman"/>
      <w:sz w:val="16"/>
      <w:szCs w:val="16"/>
    </w:rPr>
  </w:style>
  <w:style w:type="character" w:customStyle="1" w:styleId="95">
    <w:name w:val="样式 正文文本 + Char"/>
    <w:link w:val="96"/>
    <w:qFormat/>
    <w:uiPriority w:val="0"/>
    <w:rPr>
      <w:rFonts w:ascii="Times New Roman" w:hAnsi="Times New Roman"/>
      <w:szCs w:val="19"/>
    </w:rPr>
  </w:style>
  <w:style w:type="paragraph" w:customStyle="1" w:styleId="96">
    <w:name w:val="样式 正文文本 +"/>
    <w:basedOn w:val="2"/>
    <w:link w:val="95"/>
    <w:qFormat/>
    <w:uiPriority w:val="0"/>
    <w:pPr>
      <w:spacing w:after="0" w:line="360" w:lineRule="exact"/>
    </w:pPr>
    <w:rPr>
      <w:kern w:val="0"/>
      <w:sz w:val="20"/>
      <w:szCs w:val="19"/>
    </w:rPr>
  </w:style>
  <w:style w:type="character" w:customStyle="1" w:styleId="97">
    <w:name w:val="纯文本 字符"/>
    <w:link w:val="21"/>
    <w:qFormat/>
    <w:locked/>
    <w:uiPriority w:val="0"/>
    <w:rPr>
      <w:rFonts w:ascii="宋体" w:hAnsi="Courier New" w:cs="Courier New"/>
      <w:kern w:val="2"/>
      <w:sz w:val="21"/>
      <w:szCs w:val="21"/>
    </w:rPr>
  </w:style>
  <w:style w:type="character" w:customStyle="1" w:styleId="98">
    <w:name w:val="标题 4 Char1"/>
    <w:qFormat/>
    <w:uiPriority w:val="0"/>
    <w:rPr>
      <w:rFonts w:ascii="Arial" w:hAnsi="Arial" w:eastAsia="黑体"/>
      <w:b/>
      <w:bCs/>
      <w:kern w:val="2"/>
      <w:sz w:val="28"/>
      <w:szCs w:val="28"/>
      <w:lang w:val="en-US" w:eastAsia="zh-CN" w:bidi="ar-SA"/>
    </w:rPr>
  </w:style>
  <w:style w:type="character" w:customStyle="1" w:styleId="99">
    <w:name w:val="正文缩进 字符"/>
    <w:link w:val="9"/>
    <w:qFormat/>
    <w:locked/>
    <w:uiPriority w:val="0"/>
    <w:rPr>
      <w:rFonts w:ascii="Times New Roman" w:hAnsi="Times New Roman"/>
      <w:sz w:val="24"/>
      <w:szCs w:val="24"/>
    </w:rPr>
  </w:style>
  <w:style w:type="character" w:customStyle="1" w:styleId="100">
    <w:name w:val="页眉 字符"/>
    <w:link w:val="28"/>
    <w:qFormat/>
    <w:uiPriority w:val="0"/>
    <w:rPr>
      <w:rFonts w:ascii="Times New Roman" w:hAnsi="Times New Roman"/>
      <w:kern w:val="2"/>
      <w:sz w:val="18"/>
      <w:szCs w:val="18"/>
    </w:rPr>
  </w:style>
  <w:style w:type="character" w:customStyle="1" w:styleId="101">
    <w:name w:val="标题 4 字符"/>
    <w:link w:val="6"/>
    <w:qFormat/>
    <w:uiPriority w:val="9"/>
    <w:rPr>
      <w:rFonts w:ascii="Times New Roman" w:hAnsi="Times New Roman" w:eastAsia="新宋体"/>
      <w:sz w:val="30"/>
      <w:szCs w:val="21"/>
    </w:rPr>
  </w:style>
  <w:style w:type="character" w:customStyle="1" w:styleId="102">
    <w:name w:val="批注文字 Char1"/>
    <w:qFormat/>
    <w:uiPriority w:val="99"/>
    <w:rPr>
      <w:rFonts w:ascii="Times New Roman" w:hAnsi="Times New Roman" w:eastAsia="宋体" w:cs="Times New Roman"/>
      <w:szCs w:val="24"/>
    </w:rPr>
  </w:style>
  <w:style w:type="character" w:customStyle="1" w:styleId="103">
    <w:name w:val="HTML 预设格式 Char1"/>
    <w:semiHidden/>
    <w:qFormat/>
    <w:uiPriority w:val="99"/>
    <w:rPr>
      <w:rFonts w:ascii="Courier New" w:hAnsi="Courier New" w:cs="Courier New"/>
      <w:kern w:val="2"/>
    </w:rPr>
  </w:style>
  <w:style w:type="character" w:customStyle="1" w:styleId="104">
    <w:name w:val="无间隔 字符"/>
    <w:basedOn w:val="35"/>
    <w:link w:val="105"/>
    <w:qFormat/>
    <w:uiPriority w:val="1"/>
  </w:style>
  <w:style w:type="paragraph" w:styleId="105">
    <w:name w:val="No Spacing"/>
    <w:basedOn w:val="1"/>
    <w:link w:val="104"/>
    <w:qFormat/>
    <w:uiPriority w:val="1"/>
    <w:rPr>
      <w:rFonts w:ascii="Calibri" w:hAnsi="Calibri"/>
      <w:kern w:val="0"/>
      <w:sz w:val="20"/>
      <w:szCs w:val="20"/>
    </w:rPr>
  </w:style>
  <w:style w:type="character" w:customStyle="1" w:styleId="106">
    <w:name w:val="FA正文 Char"/>
    <w:link w:val="107"/>
    <w:qFormat/>
    <w:uiPriority w:val="0"/>
    <w:rPr>
      <w:rFonts w:ascii="宋体" w:hAnsi="宋体"/>
      <w:sz w:val="28"/>
      <w:szCs w:val="28"/>
    </w:rPr>
  </w:style>
  <w:style w:type="paragraph" w:customStyle="1" w:styleId="107">
    <w:name w:val="FA正文"/>
    <w:basedOn w:val="1"/>
    <w:link w:val="106"/>
    <w:qFormat/>
    <w:uiPriority w:val="0"/>
    <w:pPr>
      <w:tabs>
        <w:tab w:val="left" w:pos="3375"/>
      </w:tabs>
      <w:spacing w:line="440" w:lineRule="atLeast"/>
      <w:ind w:firstLine="538" w:firstLineChars="192"/>
    </w:pPr>
    <w:rPr>
      <w:rFonts w:ascii="宋体" w:hAnsi="宋体"/>
      <w:kern w:val="0"/>
      <w:sz w:val="28"/>
      <w:szCs w:val="28"/>
    </w:rPr>
  </w:style>
  <w:style w:type="character" w:customStyle="1" w:styleId="108">
    <w:name w:val="批注文字 字符"/>
    <w:link w:val="14"/>
    <w:qFormat/>
    <w:uiPriority w:val="99"/>
    <w:rPr>
      <w:rFonts w:ascii="Times New Roman" w:hAnsi="Times New Roman"/>
      <w:kern w:val="2"/>
      <w:sz w:val="21"/>
      <w:szCs w:val="24"/>
    </w:rPr>
  </w:style>
  <w:style w:type="character" w:customStyle="1" w:styleId="109">
    <w:name w:val="正文首行缩进 Char1"/>
    <w:basedOn w:val="88"/>
    <w:semiHidden/>
    <w:qFormat/>
    <w:uiPriority w:val="99"/>
    <w:rPr>
      <w:rFonts w:ascii="Times New Roman" w:hAnsi="Times New Roman"/>
      <w:kern w:val="2"/>
      <w:sz w:val="21"/>
      <w:szCs w:val="24"/>
    </w:rPr>
  </w:style>
  <w:style w:type="character" w:customStyle="1" w:styleId="110">
    <w:name w:val="正文文本 2 Char1"/>
    <w:semiHidden/>
    <w:qFormat/>
    <w:uiPriority w:val="99"/>
    <w:rPr>
      <w:rFonts w:ascii="Times New Roman" w:hAnsi="Times New Roman"/>
      <w:kern w:val="2"/>
      <w:sz w:val="21"/>
      <w:szCs w:val="24"/>
    </w:rPr>
  </w:style>
  <w:style w:type="character" w:customStyle="1" w:styleId="111">
    <w:name w:val="def"/>
    <w:basedOn w:val="35"/>
    <w:qFormat/>
    <w:uiPriority w:val="0"/>
  </w:style>
  <w:style w:type="character" w:customStyle="1" w:styleId="112">
    <w:name w:val="标题 7 字符"/>
    <w:link w:val="10"/>
    <w:qFormat/>
    <w:uiPriority w:val="0"/>
    <w:rPr>
      <w:rFonts w:ascii="Times New Roman" w:hAnsi="Times New Roman"/>
      <w:b/>
      <w:bCs/>
      <w:sz w:val="24"/>
      <w:szCs w:val="24"/>
    </w:rPr>
  </w:style>
  <w:style w:type="character" w:customStyle="1" w:styleId="113">
    <w:name w:val="样式 ssss + 宋体 五号1 Char"/>
    <w:link w:val="114"/>
    <w:qFormat/>
    <w:uiPriority w:val="0"/>
    <w:rPr>
      <w:rFonts w:ascii="宋体" w:hAnsi="宋体"/>
      <w:sz w:val="24"/>
      <w:szCs w:val="24"/>
    </w:rPr>
  </w:style>
  <w:style w:type="paragraph" w:customStyle="1" w:styleId="114">
    <w:name w:val="样式 ssss + 宋体 五号1"/>
    <w:basedOn w:val="83"/>
    <w:link w:val="113"/>
    <w:qFormat/>
    <w:uiPriority w:val="0"/>
    <w:rPr>
      <w:rFonts w:ascii="宋体" w:hAnsi="宋体"/>
    </w:rPr>
  </w:style>
  <w:style w:type="character" w:customStyle="1" w:styleId="115">
    <w:name w:val="A4"/>
    <w:qFormat/>
    <w:uiPriority w:val="0"/>
    <w:rPr>
      <w:rFonts w:hint="eastAsia" w:ascii="新宋体" w:hAnsi="新宋体" w:eastAsia="新宋体" w:cs="新宋体"/>
      <w:color w:val="000000"/>
    </w:rPr>
  </w:style>
  <w:style w:type="character" w:customStyle="1" w:styleId="116">
    <w:name w:val="标题 字符"/>
    <w:link w:val="34"/>
    <w:qFormat/>
    <w:uiPriority w:val="0"/>
    <w:rPr>
      <w:rFonts w:ascii="Arial" w:hAnsi="Arial" w:cs="Arial"/>
      <w:b/>
      <w:bCs/>
      <w:sz w:val="32"/>
      <w:szCs w:val="32"/>
    </w:rPr>
  </w:style>
  <w:style w:type="character" w:customStyle="1" w:styleId="117">
    <w:name w:val="正文文本首行缩进 字符"/>
    <w:link w:val="15"/>
    <w:qFormat/>
    <w:uiPriority w:val="0"/>
    <w:rPr>
      <w:rFonts w:ascii="Times New Roman" w:hAnsi="Times New Roman"/>
      <w:sz w:val="24"/>
      <w:szCs w:val="24"/>
    </w:rPr>
  </w:style>
  <w:style w:type="character" w:customStyle="1" w:styleId="118">
    <w:name w:val="正文文本缩进 2 字符"/>
    <w:link w:val="23"/>
    <w:qFormat/>
    <w:uiPriority w:val="0"/>
    <w:rPr>
      <w:rFonts w:ascii="Times New Roman" w:hAnsi="Times New Roman" w:eastAsia="宋体" w:cs="Times New Roman"/>
      <w:szCs w:val="24"/>
    </w:rPr>
  </w:style>
  <w:style w:type="paragraph" w:customStyle="1" w:styleId="119">
    <w:name w:val="样式1 程继雄"/>
    <w:basedOn w:val="1"/>
    <w:qFormat/>
    <w:uiPriority w:val="0"/>
    <w:pPr>
      <w:adjustRightInd w:val="0"/>
      <w:snapToGrid w:val="0"/>
      <w:spacing w:line="365" w:lineRule="auto"/>
      <w:ind w:firstLine="600" w:firstLineChars="200"/>
    </w:pPr>
    <w:rPr>
      <w:rFonts w:ascii="仿宋_GB2312" w:hAnsi="黑体" w:eastAsia="仿宋_GB2312"/>
      <w:sz w:val="30"/>
      <w:szCs w:val="21"/>
    </w:rPr>
  </w:style>
  <w:style w:type="paragraph" w:customStyle="1" w:styleId="120">
    <w:name w:val="Char Char Char Char"/>
    <w:basedOn w:val="1"/>
    <w:qFormat/>
    <w:uiPriority w:val="0"/>
    <w:rPr>
      <w:rFonts w:ascii="Tahoma" w:hAnsi="Tahoma"/>
      <w:sz w:val="24"/>
      <w:szCs w:val="20"/>
    </w:rPr>
  </w:style>
  <w:style w:type="paragraph" w:customStyle="1" w:styleId="121">
    <w:name w:val="2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
    <w:name w:val="p0"/>
    <w:basedOn w:val="1"/>
    <w:qFormat/>
    <w:uiPriority w:val="0"/>
    <w:pPr>
      <w:widowControl/>
      <w:jc w:val="left"/>
    </w:pPr>
    <w:rPr>
      <w:kern w:val="0"/>
      <w:szCs w:val="21"/>
    </w:rPr>
  </w:style>
  <w:style w:type="paragraph" w:customStyle="1" w:styleId="124">
    <w:name w:val="样式 ssss + 宋体 五号"/>
    <w:basedOn w:val="83"/>
    <w:qFormat/>
    <w:uiPriority w:val="0"/>
    <w:pPr>
      <w:ind w:firstLine="420"/>
    </w:pPr>
    <w:rPr>
      <w:rFonts w:ascii="宋体" w:hAnsi="宋体" w:cs="宋体"/>
      <w:szCs w:val="20"/>
    </w:rPr>
  </w:style>
  <w:style w:type="paragraph" w:customStyle="1" w:styleId="125">
    <w:name w:val="GB-1.1"/>
    <w:qFormat/>
    <w:uiPriority w:val="0"/>
    <w:pPr>
      <w:outlineLvl w:val="1"/>
    </w:pPr>
    <w:rPr>
      <w:rFonts w:ascii="黑体" w:hAnsi="宋体" w:eastAsia="黑体" w:cs="Times New Roman"/>
      <w:sz w:val="21"/>
      <w:lang w:val="en-US" w:eastAsia="zh-CN" w:bidi="ar-SA"/>
    </w:rPr>
  </w:style>
  <w:style w:type="paragraph" w:customStyle="1" w:styleId="126">
    <w:name w:val="样式 样式 ssss + 宋体 五号 + 首行缩进:  2 字符"/>
    <w:basedOn w:val="124"/>
    <w:qFormat/>
    <w:uiPriority w:val="0"/>
    <w:pPr>
      <w:ind w:firstLine="480"/>
    </w:pPr>
  </w:style>
  <w:style w:type="paragraph" w:customStyle="1" w:styleId="127">
    <w:name w:val="Char Char 字元 字元 字元 Char Char Char Char"/>
    <w:basedOn w:val="1"/>
    <w:qFormat/>
    <w:uiPriority w:val="0"/>
    <w:pPr>
      <w:adjustRightInd w:val="0"/>
      <w:spacing w:line="360" w:lineRule="auto"/>
    </w:pPr>
    <w:rPr>
      <w:kern w:val="0"/>
      <w:sz w:val="24"/>
      <w:szCs w:val="20"/>
    </w:rPr>
  </w:style>
  <w:style w:type="paragraph" w:customStyle="1" w:styleId="128">
    <w:name w:val="Default"/>
    <w:qFormat/>
    <w:uiPriority w:val="0"/>
    <w:pPr>
      <w:widowControl w:val="0"/>
      <w:autoSpaceDE w:val="0"/>
      <w:autoSpaceDN w:val="0"/>
      <w:adjustRightInd w:val="0"/>
    </w:pPr>
    <w:rPr>
      <w:rFonts w:ascii="KOCJL A+ Avenir LT Std" w:hAnsi="Times New Roman" w:eastAsia="KOCJL A+ Avenir LT Std" w:cs="KOCJL A+ Avenir LT Std"/>
      <w:color w:val="000000"/>
      <w:sz w:val="24"/>
      <w:szCs w:val="24"/>
      <w:lang w:val="en-US" w:eastAsia="zh-CN" w:bidi="ar-SA"/>
    </w:rPr>
  </w:style>
  <w:style w:type="paragraph" w:customStyle="1" w:styleId="129">
    <w:name w:val="标题-----3"/>
    <w:basedOn w:val="5"/>
    <w:qFormat/>
    <w:uiPriority w:val="0"/>
    <w:pPr>
      <w:spacing w:before="0" w:after="0" w:line="240" w:lineRule="auto"/>
      <w:outlineLvl w:val="0"/>
    </w:pPr>
    <w:rPr>
      <w:rFonts w:ascii="宋体" w:hAnsi="宋体"/>
      <w:b w:val="0"/>
      <w:bCs w:val="0"/>
      <w:sz w:val="28"/>
      <w:szCs w:val="28"/>
    </w:rPr>
  </w:style>
  <w:style w:type="paragraph" w:customStyle="1" w:styleId="130">
    <w:name w:val="正文样式1"/>
    <w:basedOn w:val="1"/>
    <w:qFormat/>
    <w:uiPriority w:val="0"/>
    <w:pPr>
      <w:spacing w:before="120" w:after="120" w:line="360" w:lineRule="auto"/>
      <w:ind w:firstLine="480" w:firstLineChars="200"/>
    </w:pPr>
    <w:rPr>
      <w:sz w:val="24"/>
      <w:szCs w:val="20"/>
    </w:rPr>
  </w:style>
  <w:style w:type="paragraph" w:customStyle="1" w:styleId="131">
    <w:name w:val="徐丽丽三级标题"/>
    <w:basedOn w:val="1"/>
    <w:qFormat/>
    <w:uiPriority w:val="0"/>
    <w:pPr>
      <w:adjustRightInd w:val="0"/>
      <w:snapToGrid w:val="0"/>
      <w:spacing w:line="360" w:lineRule="auto"/>
      <w:ind w:firstLine="560" w:firstLineChars="200"/>
      <w:jc w:val="center"/>
      <w:outlineLvl w:val="0"/>
    </w:pPr>
    <w:rPr>
      <w:rFonts w:eastAsia="黑体"/>
      <w:bCs/>
      <w:sz w:val="28"/>
      <w:szCs w:val="28"/>
    </w:rPr>
  </w:style>
  <w:style w:type="paragraph" w:customStyle="1" w:styleId="132">
    <w:name w:val="二级条标题"/>
    <w:basedOn w:val="1"/>
    <w:next w:val="1"/>
    <w:qFormat/>
    <w:uiPriority w:val="0"/>
    <w:pPr>
      <w:autoSpaceDE w:val="0"/>
      <w:autoSpaceDN w:val="0"/>
      <w:adjustRightInd w:val="0"/>
      <w:jc w:val="left"/>
    </w:pPr>
    <w:rPr>
      <w:rFonts w:ascii="宋体"/>
      <w:kern w:val="0"/>
      <w:sz w:val="24"/>
    </w:rPr>
  </w:style>
  <w:style w:type="paragraph" w:customStyle="1" w:styleId="133">
    <w:name w:val="列出段落1"/>
    <w:basedOn w:val="1"/>
    <w:qFormat/>
    <w:uiPriority w:val="34"/>
    <w:pPr>
      <w:ind w:firstLine="420" w:firstLineChars="200"/>
    </w:pPr>
    <w:rPr>
      <w:rFonts w:ascii="Calibri" w:hAnsi="Calibri"/>
      <w:szCs w:val="22"/>
    </w:rPr>
  </w:style>
  <w:style w:type="paragraph" w:customStyle="1" w:styleId="134">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35">
    <w:name w:val="_Style 6"/>
    <w:basedOn w:val="1"/>
    <w:qFormat/>
    <w:uiPriority w:val="34"/>
    <w:pPr>
      <w:ind w:firstLine="420" w:firstLineChars="200"/>
    </w:pPr>
    <w:rPr>
      <w:szCs w:val="21"/>
    </w:rPr>
  </w:style>
  <w:style w:type="paragraph" w:customStyle="1" w:styleId="136">
    <w:name w:val="TOC 标题1"/>
    <w:basedOn w:val="3"/>
    <w:next w:val="1"/>
    <w:qFormat/>
    <w:uiPriority w:val="39"/>
    <w:pPr>
      <w:widowControl/>
      <w:spacing w:before="480" w:line="276" w:lineRule="auto"/>
      <w:jc w:val="left"/>
      <w:outlineLvl w:val="9"/>
    </w:pPr>
    <w:rPr>
      <w:rFonts w:ascii="Cambria" w:hAnsi="Cambria" w:eastAsia="宋体"/>
      <w:color w:val="365F91"/>
      <w:kern w:val="0"/>
      <w:szCs w:val="28"/>
    </w:rPr>
  </w:style>
  <w:style w:type="paragraph" w:customStyle="1" w:styleId="137">
    <w:name w:val="样式 ssss + 居中"/>
    <w:basedOn w:val="83"/>
    <w:qFormat/>
    <w:uiPriority w:val="0"/>
    <w:pPr>
      <w:jc w:val="center"/>
    </w:pPr>
    <w:rPr>
      <w:rFonts w:cs="宋体"/>
      <w:szCs w:val="20"/>
    </w:rPr>
  </w:style>
  <w:style w:type="paragraph" w:customStyle="1" w:styleId="138">
    <w:name w:val="Char Char Char Char Char Char Char Char Char Char Char Char Char"/>
    <w:basedOn w:val="1"/>
    <w:qFormat/>
    <w:uiPriority w:val="0"/>
  </w:style>
  <w:style w:type="paragraph" w:customStyle="1" w:styleId="139">
    <w:name w:val="Char Char"/>
    <w:basedOn w:val="1"/>
    <w:qFormat/>
    <w:uiPriority w:val="0"/>
    <w:rPr>
      <w:szCs w:val="20"/>
    </w:rPr>
  </w:style>
  <w:style w:type="paragraph" w:customStyle="1" w:styleId="140">
    <w:name w:val="其他标准称谓"/>
    <w:qFormat/>
    <w:uiPriority w:val="0"/>
    <w:pPr>
      <w:spacing w:line="0" w:lineRule="atLeast"/>
      <w:jc w:val="distribute"/>
    </w:pPr>
    <w:rPr>
      <w:rFonts w:ascii="黑体" w:hAnsi="宋体" w:eastAsia="黑体" w:cs="Times New Roman"/>
      <w:sz w:val="52"/>
      <w:lang w:val="en-US" w:eastAsia="zh-CN" w:bidi="ar-SA"/>
    </w:rPr>
  </w:style>
  <w:style w:type="paragraph" w:styleId="141">
    <w:name w:val="List Paragraph"/>
    <w:basedOn w:val="1"/>
    <w:qFormat/>
    <w:uiPriority w:val="34"/>
    <w:pPr>
      <w:ind w:firstLine="420" w:firstLineChars="200"/>
    </w:pPr>
  </w:style>
  <w:style w:type="paragraph" w:customStyle="1" w:styleId="142">
    <w:name w:val="徐丽丽正文"/>
    <w:basedOn w:val="1"/>
    <w:qFormat/>
    <w:uiPriority w:val="0"/>
    <w:pPr>
      <w:spacing w:before="120" w:after="120" w:line="360" w:lineRule="auto"/>
      <w:ind w:firstLine="480" w:firstLineChars="200"/>
      <w:jc w:val="left"/>
    </w:pPr>
    <w:rPr>
      <w:color w:val="000000"/>
      <w:kern w:val="0"/>
      <w:sz w:val="24"/>
      <w:szCs w:val="21"/>
    </w:rPr>
  </w:style>
  <w:style w:type="paragraph" w:customStyle="1" w:styleId="143">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44">
    <w:name w:val="样式 正文文本缩进 3 + 四号"/>
    <w:basedOn w:val="27"/>
    <w:qFormat/>
    <w:uiPriority w:val="0"/>
    <w:pPr>
      <w:spacing w:after="0" w:line="360" w:lineRule="auto"/>
      <w:ind w:left="0" w:leftChars="0" w:firstLine="437"/>
    </w:pPr>
    <w:rPr>
      <w:sz w:val="24"/>
      <w:szCs w:val="21"/>
    </w:rPr>
  </w:style>
  <w:style w:type="paragraph" w:customStyle="1" w:styleId="145">
    <w:name w:val="标题------4"/>
    <w:basedOn w:val="6"/>
    <w:qFormat/>
    <w:uiPriority w:val="0"/>
    <w:pPr>
      <w:keepLines/>
      <w:spacing w:line="360" w:lineRule="auto"/>
      <w:ind w:left="960" w:hanging="420"/>
      <w:jc w:val="both"/>
    </w:pPr>
    <w:rPr>
      <w:rFonts w:ascii="仿宋_GB2312" w:hAnsi="宋体" w:eastAsia="仿宋_GB2312" w:cs="仿宋_GB2312"/>
      <w:b/>
      <w:sz w:val="28"/>
      <w:szCs w:val="28"/>
      <w:lang w:val="zh-CN"/>
    </w:rPr>
  </w:style>
  <w:style w:type="paragraph" w:customStyle="1" w:styleId="146">
    <w:name w:val="徐丽丽五级标题"/>
    <w:basedOn w:val="1"/>
    <w:qFormat/>
    <w:uiPriority w:val="0"/>
    <w:pPr>
      <w:spacing w:before="120" w:after="120" w:line="360" w:lineRule="auto"/>
      <w:jc w:val="left"/>
    </w:pPr>
    <w:rPr>
      <w:rFonts w:ascii="宋体" w:hAnsi="宋体"/>
      <w:b/>
      <w:bCs/>
      <w:color w:val="000000"/>
      <w:kern w:val="0"/>
      <w:sz w:val="24"/>
    </w:rPr>
  </w:style>
  <w:style w:type="paragraph" w:customStyle="1" w:styleId="147">
    <w:name w:val="Header2"/>
    <w:basedOn w:val="1"/>
    <w:qFormat/>
    <w:uiPriority w:val="0"/>
    <w:pPr>
      <w:numPr>
        <w:ilvl w:val="0"/>
        <w:numId w:val="2"/>
      </w:numPr>
    </w:pPr>
  </w:style>
  <w:style w:type="paragraph" w:customStyle="1" w:styleId="148">
    <w:name w:val="样式 宋体 四号 黑色 左侧:  0.74 厘米 首行缩进:  0.74 厘米 行距: 1.5 倍行距"/>
    <w:basedOn w:val="1"/>
    <w:qFormat/>
    <w:uiPriority w:val="0"/>
    <w:pPr>
      <w:spacing w:line="360" w:lineRule="auto"/>
      <w:ind w:firstLine="420"/>
    </w:pPr>
    <w:rPr>
      <w:rFonts w:ascii="宋体"/>
      <w:color w:val="000000"/>
      <w:sz w:val="24"/>
      <w:szCs w:val="21"/>
    </w:rPr>
  </w:style>
  <w:style w:type="paragraph" w:customStyle="1" w:styleId="149">
    <w:name w:val="ec_msonormal"/>
    <w:basedOn w:val="1"/>
    <w:qFormat/>
    <w:uiPriority w:val="0"/>
    <w:pPr>
      <w:widowControl/>
      <w:spacing w:before="100" w:beforeAutospacing="1" w:after="100" w:afterAutospacing="1"/>
      <w:jc w:val="left"/>
    </w:pPr>
    <w:rPr>
      <w:rFonts w:ascii="宋体" w:hAnsi="宋体"/>
      <w:kern w:val="0"/>
      <w:sz w:val="24"/>
    </w:rPr>
  </w:style>
  <w:style w:type="paragraph" w:customStyle="1" w:styleId="15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51">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2">
    <w:name w:val="四级条标题"/>
    <w:basedOn w:val="153"/>
    <w:next w:val="1"/>
    <w:qFormat/>
    <w:uiPriority w:val="0"/>
  </w:style>
  <w:style w:type="paragraph" w:customStyle="1" w:styleId="153">
    <w:name w:val="三级条标题"/>
    <w:basedOn w:val="132"/>
    <w:next w:val="1"/>
    <w:qFormat/>
    <w:uiPriority w:val="0"/>
  </w:style>
  <w:style w:type="paragraph" w:customStyle="1" w:styleId="154">
    <w:name w:val="Char Char Char Char Char Char Char Char Char Char"/>
    <w:basedOn w:val="1"/>
    <w:qFormat/>
    <w:uiPriority w:val="0"/>
    <w:rPr>
      <w:rFonts w:ascii="Tahoma" w:hAnsi="Tahoma"/>
      <w:sz w:val="24"/>
      <w:szCs w:val="20"/>
    </w:rPr>
  </w:style>
  <w:style w:type="paragraph" w:customStyle="1" w:styleId="155">
    <w:name w:val="2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GB-1"/>
    <w:qFormat/>
    <w:uiPriority w:val="0"/>
    <w:pPr>
      <w:keepNext/>
      <w:numPr>
        <w:ilvl w:val="0"/>
        <w:numId w:val="3"/>
      </w:numPr>
      <w:autoSpaceDE w:val="0"/>
      <w:autoSpaceDN w:val="0"/>
      <w:spacing w:beforeLines="50" w:afterLines="50"/>
      <w:outlineLvl w:val="0"/>
    </w:pPr>
    <w:rPr>
      <w:rFonts w:ascii="黑体" w:hAnsi="Times New Roman" w:eastAsia="黑体" w:cs="Times New Roman"/>
      <w:sz w:val="21"/>
      <w:szCs w:val="21"/>
      <w:lang w:val="en-US" w:eastAsia="zh-CN" w:bidi="ar-SA"/>
    </w:rPr>
  </w:style>
  <w:style w:type="paragraph" w:customStyle="1" w:styleId="157">
    <w:name w:val="Char Char Char Char1"/>
    <w:basedOn w:val="16"/>
    <w:qFormat/>
    <w:uiPriority w:val="0"/>
    <w:pPr>
      <w:adjustRightInd w:val="0"/>
      <w:snapToGrid w:val="0"/>
      <w:spacing w:line="360" w:lineRule="auto"/>
    </w:pPr>
    <w:rPr>
      <w:rFonts w:ascii="Tahoma" w:hAnsi="Tahoma"/>
      <w:sz w:val="24"/>
    </w:rPr>
  </w:style>
  <w:style w:type="paragraph" w:customStyle="1" w:styleId="158">
    <w:name w:val="章标题"/>
    <w:next w:val="1"/>
    <w:qFormat/>
    <w:uiPriority w:val="0"/>
    <w:pPr>
      <w:tabs>
        <w:tab w:val="left" w:pos="360"/>
      </w:tabs>
      <w:spacing w:beforeLines="50" w:afterLines="50"/>
      <w:ind w:left="360" w:hanging="360"/>
      <w:jc w:val="both"/>
      <w:outlineLvl w:val="1"/>
    </w:pPr>
    <w:rPr>
      <w:rFonts w:ascii="黑体" w:hAnsi="Times New Roman" w:eastAsia="黑体" w:cs="Times New Roman"/>
      <w:sz w:val="21"/>
      <w:lang w:val="en-US" w:eastAsia="zh-CN" w:bidi="ar-SA"/>
    </w:rPr>
  </w:style>
  <w:style w:type="paragraph" w:customStyle="1" w:styleId="159">
    <w:name w:val="msonormal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
    <w:name w:val="xl25"/>
    <w:basedOn w:val="1"/>
    <w:qFormat/>
    <w:uiPriority w:val="0"/>
    <w:pPr>
      <w:widowControl/>
      <w:pBdr>
        <w:bottom w:val="single" w:color="auto" w:sz="4" w:space="0"/>
        <w:right w:val="single" w:color="auto" w:sz="4" w:space="0"/>
      </w:pBdr>
      <w:spacing w:before="100" w:beforeAutospacing="1" w:after="100" w:afterAutospacing="1"/>
    </w:pPr>
    <w:rPr>
      <w:rFonts w:hint="eastAsia" w:ascii="华文细黑" w:hAnsi="华文细黑" w:eastAsia="华文细黑"/>
      <w:kern w:val="0"/>
      <w:sz w:val="18"/>
      <w:szCs w:val="18"/>
    </w:rPr>
  </w:style>
  <w:style w:type="paragraph" w:customStyle="1" w:styleId="162">
    <w:name w:val="Char"/>
    <w:basedOn w:val="1"/>
    <w:qFormat/>
    <w:uiPriority w:val="0"/>
    <w:rPr>
      <w:rFonts w:ascii="Tahoma" w:hAnsi="Tahoma"/>
      <w:sz w:val="24"/>
      <w:szCs w:val="20"/>
    </w:rPr>
  </w:style>
  <w:style w:type="paragraph" w:customStyle="1" w:styleId="163">
    <w:name w:val="Char Char Char Char2"/>
    <w:basedOn w:val="1"/>
    <w:qFormat/>
    <w:uiPriority w:val="0"/>
    <w:rPr>
      <w:rFonts w:ascii="Tahoma" w:hAnsi="Tahoma"/>
      <w:sz w:val="24"/>
      <w:szCs w:val="20"/>
    </w:rPr>
  </w:style>
  <w:style w:type="paragraph" w:customStyle="1" w:styleId="164">
    <w:name w:val="Char11"/>
    <w:basedOn w:val="1"/>
    <w:qFormat/>
    <w:uiPriority w:val="0"/>
    <w:pPr>
      <w:tabs>
        <w:tab w:val="left" w:pos="360"/>
      </w:tabs>
    </w:pPr>
    <w:rPr>
      <w:sz w:val="24"/>
    </w:rPr>
  </w:style>
  <w:style w:type="paragraph" w:customStyle="1" w:styleId="165">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66">
    <w:name w:val="样式3"/>
    <w:basedOn w:val="21"/>
    <w:qFormat/>
    <w:uiPriority w:val="0"/>
    <w:pPr>
      <w:spacing w:line="0" w:lineRule="atLeast"/>
      <w:outlineLvl w:val="0"/>
    </w:pPr>
    <w:rPr>
      <w:kern w:val="0"/>
      <w:sz w:val="28"/>
      <w:szCs w:val="20"/>
    </w:rPr>
  </w:style>
  <w:style w:type="paragraph" w:customStyle="1" w:styleId="167">
    <w:name w:val="Char Char Char"/>
    <w:basedOn w:val="1"/>
    <w:qFormat/>
    <w:uiPriority w:val="0"/>
    <w:rPr>
      <w:rFonts w:ascii="Tahoma" w:hAnsi="Tahoma"/>
      <w:sz w:val="24"/>
      <w:szCs w:val="20"/>
    </w:rPr>
  </w:style>
  <w:style w:type="paragraph" w:customStyle="1" w:styleId="168">
    <w:name w:val="Char1"/>
    <w:basedOn w:val="1"/>
    <w:qFormat/>
    <w:uiPriority w:val="0"/>
    <w:pPr>
      <w:widowControl/>
      <w:spacing w:after="160" w:line="240" w:lineRule="exact"/>
      <w:jc w:val="left"/>
    </w:pPr>
  </w:style>
  <w:style w:type="paragraph" w:customStyle="1" w:styleId="169">
    <w:name w:val="表格"/>
    <w:basedOn w:val="1"/>
    <w:qFormat/>
    <w:uiPriority w:val="0"/>
    <w:rPr>
      <w:rFonts w:ascii="Arial" w:hAnsi="Arial"/>
      <w:sz w:val="24"/>
    </w:rPr>
  </w:style>
  <w:style w:type="paragraph" w:customStyle="1" w:styleId="170">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1">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72">
    <w:name w:val="列出段落11"/>
    <w:basedOn w:val="1"/>
    <w:qFormat/>
    <w:uiPriority w:val="1"/>
    <w:pPr>
      <w:spacing w:line="360" w:lineRule="auto"/>
      <w:ind w:firstLine="420" w:firstLineChars="200"/>
      <w:jc w:val="left"/>
    </w:pPr>
    <w:rPr>
      <w:rFonts w:ascii="宋体" w:hAnsi="宋体"/>
      <w:sz w:val="24"/>
    </w:rPr>
  </w:style>
  <w:style w:type="paragraph" w:customStyle="1" w:styleId="173">
    <w:name w:val="徐丽丽四级标题"/>
    <w:basedOn w:val="1"/>
    <w:qFormat/>
    <w:uiPriority w:val="0"/>
    <w:pPr>
      <w:spacing w:before="120" w:after="120" w:line="360" w:lineRule="auto"/>
    </w:pPr>
    <w:rPr>
      <w:rFonts w:eastAsia="黑体"/>
      <w:b/>
      <w:kern w:val="0"/>
      <w:sz w:val="28"/>
    </w:rPr>
  </w:style>
  <w:style w:type="paragraph" w:customStyle="1" w:styleId="174">
    <w:name w:val="Char Char Char Char Char Char Char Char Char Char Char Char Char1"/>
    <w:basedOn w:val="1"/>
    <w:qFormat/>
    <w:uiPriority w:val="0"/>
    <w:rPr>
      <w:sz w:val="24"/>
    </w:rPr>
  </w:style>
  <w:style w:type="paragraph" w:customStyle="1" w:styleId="175">
    <w:name w:val="样式 样式 标题 1 + 黑体 五号 + 段前: 0.5 行 段后: 0.5 行"/>
    <w:basedOn w:val="76"/>
    <w:qFormat/>
    <w:uiPriority w:val="99"/>
    <w:pPr>
      <w:spacing w:before="156" w:after="156"/>
    </w:pPr>
    <w:rPr>
      <w:rFonts w:cs="宋体"/>
      <w:b/>
    </w:rPr>
  </w:style>
  <w:style w:type="paragraph" w:customStyle="1" w:styleId="176">
    <w:name w:val="Pa1"/>
    <w:basedOn w:val="128"/>
    <w:next w:val="128"/>
    <w:qFormat/>
    <w:uiPriority w:val="0"/>
    <w:pPr>
      <w:spacing w:line="241" w:lineRule="atLeast"/>
    </w:pPr>
    <w:rPr>
      <w:rFonts w:ascii="Tahoma" w:hAnsi="Tahoma" w:eastAsia="宋体" w:cs="Times New Roman"/>
      <w:color w:val="auto"/>
    </w:rPr>
  </w:style>
  <w:style w:type="table" w:customStyle="1" w:styleId="177">
    <w:name w:val="网格型1"/>
    <w:basedOn w:val="5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8">
    <w:name w:val="网格型2"/>
    <w:basedOn w:val="5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9">
    <w:name w:val="Placeholder Text"/>
    <w:basedOn w:val="35"/>
    <w:unhideWhenUsed/>
    <w:qFormat/>
    <w:uiPriority w:val="99"/>
    <w:rPr>
      <w:color w:val="808080"/>
    </w:rPr>
  </w:style>
  <w:style w:type="table" w:customStyle="1" w:styleId="180">
    <w:name w:val="网格型3"/>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1">
    <w:name w:val="样式1"/>
    <w:basedOn w:val="1"/>
    <w:qFormat/>
    <w:uiPriority w:val="0"/>
    <w:pPr>
      <w:numPr>
        <w:ilvl w:val="0"/>
        <w:numId w:val="4"/>
      </w:numPr>
      <w:adjustRightInd w:val="0"/>
      <w:textAlignment w:val="baseline"/>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5B2FC-87FC-4855-B3A6-07FE5820068F}">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40</Pages>
  <Words>18111</Words>
  <Characters>18589</Characters>
  <Lines>155</Lines>
  <Paragraphs>43</Paragraphs>
  <TotalTime>7</TotalTime>
  <ScaleCrop>false</ScaleCrop>
  <LinksUpToDate>false</LinksUpToDate>
  <CharactersWithSpaces>20136</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2022-04-26T10:18:00Z</dcterms:created>
  <dc:creator>丁晓华</dc:creator>
  <cp:lastModifiedBy>曹杰</cp:lastModifiedBy>
  <cp:lastPrinted>2022-06-13T02:12:00Z</cp:lastPrinted>
  <dcterms:modified xsi:type="dcterms:W3CDTF">2025-11-26T06:39:23Z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y fmtid="{D5CDD505-2E9C-101B-9397-08002B2CF9AE}" pid="3" name="ICV">
    <vt:lpwstr>E0CA1E98E47F406A9503F5FA63BF4CCC_13</vt:lpwstr>
  </property>
</Properties>
</file>