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BDA64B">
      <w:pPr>
        <w:tabs>
          <w:tab w:val="left" w:pos="6300"/>
        </w:tabs>
        <w:snapToGrid w:val="0"/>
        <w:spacing w:line="300" w:lineRule="auto"/>
        <w:jc w:val="center"/>
        <w:rPr>
          <w:rStyle w:val="44"/>
          <w:rFonts w:hint="eastAsia" w:ascii="宋体" w:hAnsi="宋体" w:eastAsia="宋体" w:cs="宋体"/>
          <w:b/>
          <w:color w:val="auto"/>
          <w:sz w:val="44"/>
          <w:szCs w:val="44"/>
          <w:highlight w:val="none"/>
        </w:rPr>
      </w:pPr>
    </w:p>
    <w:p w14:paraId="192F968B">
      <w:pPr>
        <w:tabs>
          <w:tab w:val="center" w:pos="5023"/>
          <w:tab w:val="left" w:pos="8652"/>
        </w:tabs>
        <w:snapToGrid w:val="0"/>
        <w:spacing w:before="240" w:line="500" w:lineRule="exact"/>
        <w:jc w:val="center"/>
        <w:rPr>
          <w:rStyle w:val="44"/>
          <w:rFonts w:hint="eastAsia" w:ascii="宋体" w:hAnsi="宋体" w:eastAsia="宋体" w:cs="宋体"/>
          <w:b/>
          <w:color w:val="auto"/>
          <w:sz w:val="52"/>
          <w:szCs w:val="52"/>
          <w:highlight w:val="none"/>
        </w:rPr>
      </w:pPr>
    </w:p>
    <w:p w14:paraId="7692E964">
      <w:pPr>
        <w:pStyle w:val="97"/>
        <w:snapToGrid w:val="0"/>
        <w:spacing w:line="360" w:lineRule="auto"/>
        <w:ind w:left="0" w:firstLine="0" w:firstLineChars="0"/>
        <w:jc w:val="center"/>
        <w:rPr>
          <w:rStyle w:val="44"/>
          <w:rFonts w:hint="eastAsia" w:ascii="宋体" w:hAnsi="宋体" w:eastAsia="宋体" w:cs="宋体"/>
          <w:b/>
          <w:color w:val="auto"/>
          <w:sz w:val="44"/>
          <w:szCs w:val="44"/>
          <w:highlight w:val="none"/>
        </w:rPr>
      </w:pPr>
      <w:r>
        <w:rPr>
          <w:rStyle w:val="44"/>
          <w:rFonts w:hint="eastAsia" w:ascii="宋体" w:hAnsi="宋体" w:eastAsia="宋体" w:cs="宋体"/>
          <w:b/>
          <w:color w:val="auto"/>
          <w:sz w:val="44"/>
          <w:szCs w:val="44"/>
          <w:highlight w:val="none"/>
        </w:rPr>
        <w:t>市北高新区2026年度污染物排放限值限量监测监控系统运维服务项目</w:t>
      </w:r>
    </w:p>
    <w:p w14:paraId="7DC7D772">
      <w:pPr>
        <w:pStyle w:val="97"/>
        <w:snapToGrid w:val="0"/>
        <w:ind w:firstLine="520"/>
        <w:rPr>
          <w:rStyle w:val="44"/>
          <w:rFonts w:hint="eastAsia" w:ascii="宋体" w:hAnsi="宋体" w:eastAsia="宋体" w:cs="宋体"/>
          <w:color w:val="auto"/>
          <w:sz w:val="26"/>
          <w:highlight w:val="none"/>
        </w:rPr>
      </w:pPr>
    </w:p>
    <w:p w14:paraId="7CBDB76C">
      <w:pPr>
        <w:pStyle w:val="97"/>
        <w:snapToGrid w:val="0"/>
        <w:ind w:firstLine="520"/>
        <w:rPr>
          <w:rStyle w:val="44"/>
          <w:rFonts w:hint="eastAsia" w:ascii="宋体" w:hAnsi="宋体" w:eastAsia="宋体" w:cs="宋体"/>
          <w:color w:val="auto"/>
          <w:sz w:val="26"/>
          <w:highlight w:val="none"/>
        </w:rPr>
      </w:pPr>
    </w:p>
    <w:p w14:paraId="53540108">
      <w:pPr>
        <w:pStyle w:val="97"/>
        <w:snapToGrid w:val="0"/>
        <w:ind w:firstLine="520"/>
        <w:rPr>
          <w:rStyle w:val="44"/>
          <w:rFonts w:hint="eastAsia" w:ascii="宋体" w:hAnsi="宋体" w:eastAsia="宋体" w:cs="宋体"/>
          <w:color w:val="auto"/>
          <w:sz w:val="26"/>
          <w:highlight w:val="none"/>
        </w:rPr>
      </w:pPr>
    </w:p>
    <w:p w14:paraId="448B0FA4">
      <w:pPr>
        <w:snapToGrid w:val="0"/>
        <w:spacing w:line="1400" w:lineRule="exact"/>
        <w:jc w:val="center"/>
        <w:rPr>
          <w:rStyle w:val="44"/>
          <w:rFonts w:hint="eastAsia" w:ascii="宋体" w:hAnsi="宋体" w:eastAsia="宋体" w:cs="宋体"/>
          <w:b/>
          <w:color w:val="auto"/>
          <w:sz w:val="72"/>
          <w:szCs w:val="72"/>
          <w:highlight w:val="none"/>
        </w:rPr>
      </w:pPr>
      <w:r>
        <w:rPr>
          <w:rStyle w:val="44"/>
          <w:rFonts w:hint="eastAsia" w:ascii="宋体" w:hAnsi="宋体" w:eastAsia="宋体" w:cs="宋体"/>
          <w:b/>
          <w:color w:val="auto"/>
          <w:sz w:val="72"/>
          <w:szCs w:val="72"/>
          <w:highlight w:val="none"/>
        </w:rPr>
        <w:t>公开招标文件</w:t>
      </w:r>
    </w:p>
    <w:p w14:paraId="7635187C">
      <w:pPr>
        <w:snapToGrid w:val="0"/>
        <w:spacing w:line="640" w:lineRule="exact"/>
        <w:jc w:val="center"/>
        <w:rPr>
          <w:rStyle w:val="44"/>
          <w:rFonts w:hint="eastAsia" w:ascii="宋体" w:hAnsi="宋体" w:eastAsia="宋体" w:cs="宋体"/>
          <w:b/>
          <w:color w:val="auto"/>
          <w:sz w:val="44"/>
          <w:szCs w:val="44"/>
          <w:highlight w:val="none"/>
        </w:rPr>
      </w:pPr>
      <w:r>
        <w:rPr>
          <w:rStyle w:val="44"/>
          <w:rFonts w:hint="eastAsia" w:ascii="宋体" w:hAnsi="宋体" w:eastAsia="宋体" w:cs="宋体"/>
          <w:b/>
          <w:color w:val="auto"/>
          <w:sz w:val="44"/>
          <w:szCs w:val="44"/>
          <w:highlight w:val="none"/>
        </w:rPr>
        <w:t>（资格后审）</w:t>
      </w:r>
    </w:p>
    <w:p w14:paraId="3FA68264">
      <w:pPr>
        <w:pStyle w:val="97"/>
        <w:snapToGrid w:val="0"/>
        <w:ind w:firstLine="520"/>
        <w:rPr>
          <w:rStyle w:val="44"/>
          <w:rFonts w:hint="eastAsia" w:ascii="宋体" w:hAnsi="宋体" w:eastAsia="宋体" w:cs="宋体"/>
          <w:color w:val="auto"/>
          <w:sz w:val="26"/>
          <w:highlight w:val="none"/>
        </w:rPr>
      </w:pPr>
    </w:p>
    <w:p w14:paraId="6950BD99">
      <w:pPr>
        <w:snapToGrid w:val="0"/>
        <w:jc w:val="center"/>
        <w:rPr>
          <w:rStyle w:val="44"/>
          <w:rFonts w:hint="eastAsia" w:ascii="宋体" w:hAnsi="宋体" w:eastAsia="宋体" w:cs="宋体"/>
          <w:b/>
          <w:color w:val="auto"/>
          <w:sz w:val="36"/>
          <w:highlight w:val="none"/>
        </w:rPr>
      </w:pPr>
    </w:p>
    <w:p w14:paraId="47DF3CDE">
      <w:pPr>
        <w:pStyle w:val="97"/>
        <w:snapToGrid w:val="0"/>
        <w:ind w:firstLine="520"/>
        <w:rPr>
          <w:rStyle w:val="44"/>
          <w:rFonts w:hint="eastAsia" w:ascii="宋体" w:hAnsi="宋体" w:eastAsia="宋体" w:cs="宋体"/>
          <w:color w:val="auto"/>
          <w:sz w:val="26"/>
          <w:highlight w:val="none"/>
        </w:rPr>
      </w:pPr>
    </w:p>
    <w:p w14:paraId="31CC5E0E">
      <w:pPr>
        <w:snapToGrid w:val="0"/>
        <w:rPr>
          <w:rStyle w:val="44"/>
          <w:rFonts w:hint="eastAsia" w:ascii="宋体" w:hAnsi="宋体" w:eastAsia="宋体" w:cs="宋体"/>
          <w:b/>
          <w:color w:val="auto"/>
          <w:sz w:val="36"/>
          <w:highlight w:val="none"/>
        </w:rPr>
      </w:pPr>
    </w:p>
    <w:p w14:paraId="5047D78E">
      <w:pPr>
        <w:pStyle w:val="80"/>
        <w:snapToGrid w:val="0"/>
        <w:rPr>
          <w:rStyle w:val="44"/>
          <w:rFonts w:hint="eastAsia" w:ascii="宋体" w:hAnsi="宋体" w:eastAsia="宋体" w:cs="宋体"/>
          <w:color w:val="auto"/>
          <w:highlight w:val="none"/>
        </w:rPr>
      </w:pPr>
    </w:p>
    <w:p w14:paraId="759BFC1C">
      <w:pPr>
        <w:snapToGrid w:val="0"/>
        <w:rPr>
          <w:rStyle w:val="44"/>
          <w:rFonts w:hint="eastAsia" w:ascii="宋体" w:hAnsi="宋体" w:eastAsia="宋体" w:cs="宋体"/>
          <w:b/>
          <w:color w:val="auto"/>
          <w:sz w:val="30"/>
          <w:szCs w:val="30"/>
          <w:highlight w:val="none"/>
        </w:rPr>
      </w:pPr>
      <w:r>
        <w:rPr>
          <w:rStyle w:val="44"/>
          <w:rFonts w:hint="eastAsia" w:ascii="宋体" w:hAnsi="宋体" w:eastAsia="宋体" w:cs="宋体"/>
          <w:b/>
          <w:color w:val="auto"/>
          <w:sz w:val="30"/>
          <w:szCs w:val="30"/>
          <w:highlight w:val="none"/>
        </w:rPr>
        <w:t xml:space="preserve">       </w:t>
      </w:r>
    </w:p>
    <w:p w14:paraId="342A3383">
      <w:pPr>
        <w:pStyle w:val="59"/>
        <w:snapToGrid w:val="0"/>
        <w:spacing w:line="360" w:lineRule="auto"/>
        <w:jc w:val="center"/>
        <w:rPr>
          <w:rStyle w:val="44"/>
          <w:rFonts w:hint="eastAsia" w:ascii="宋体" w:hAnsi="宋体" w:eastAsia="宋体" w:cs="宋体"/>
          <w:b/>
          <w:color w:val="auto"/>
          <w:szCs w:val="28"/>
          <w:highlight w:val="none"/>
        </w:rPr>
      </w:pPr>
      <w:r>
        <w:rPr>
          <w:rStyle w:val="44"/>
          <w:rFonts w:hint="eastAsia" w:ascii="宋体" w:hAnsi="宋体" w:eastAsia="宋体" w:cs="宋体"/>
          <w:b/>
          <w:color w:val="auto"/>
          <w:szCs w:val="28"/>
          <w:highlight w:val="none"/>
        </w:rPr>
        <w:t>采 购 人：江苏省南通市北高新技术产业开发区管理委员会</w:t>
      </w:r>
    </w:p>
    <w:p w14:paraId="291ADDB9">
      <w:pPr>
        <w:snapToGrid w:val="0"/>
        <w:jc w:val="center"/>
        <w:rPr>
          <w:rStyle w:val="44"/>
          <w:rFonts w:hint="eastAsia" w:ascii="宋体" w:hAnsi="宋体" w:eastAsia="宋体" w:cs="宋体"/>
          <w:b/>
          <w:color w:val="auto"/>
          <w:sz w:val="28"/>
          <w:szCs w:val="28"/>
          <w:highlight w:val="none"/>
        </w:rPr>
      </w:pPr>
      <w:r>
        <w:rPr>
          <w:rStyle w:val="44"/>
          <w:rFonts w:hint="eastAsia" w:ascii="宋体" w:hAnsi="宋体" w:eastAsia="宋体" w:cs="宋体"/>
          <w:b/>
          <w:color w:val="auto"/>
          <w:sz w:val="28"/>
          <w:szCs w:val="28"/>
          <w:highlight w:val="none"/>
        </w:rPr>
        <w:t>代理机构：江苏正扬招标代理有限公司</w:t>
      </w:r>
    </w:p>
    <w:p w14:paraId="3DEFDDCB">
      <w:pPr>
        <w:snapToGrid w:val="0"/>
        <w:jc w:val="center"/>
        <w:rPr>
          <w:rStyle w:val="44"/>
          <w:rFonts w:hint="eastAsia" w:ascii="宋体" w:hAnsi="宋体" w:eastAsia="宋体" w:cs="宋体"/>
          <w:b/>
          <w:color w:val="auto"/>
          <w:sz w:val="28"/>
          <w:szCs w:val="28"/>
          <w:highlight w:val="none"/>
        </w:rPr>
      </w:pPr>
      <w:r>
        <w:rPr>
          <w:rStyle w:val="44"/>
          <w:rFonts w:hint="eastAsia" w:ascii="宋体" w:hAnsi="宋体" w:eastAsia="宋体" w:cs="宋体"/>
          <w:b/>
          <w:color w:val="auto"/>
          <w:sz w:val="28"/>
          <w:szCs w:val="28"/>
          <w:highlight w:val="none"/>
        </w:rPr>
        <w:t>2026年1月</w:t>
      </w:r>
    </w:p>
    <w:p w14:paraId="5A9FD529">
      <w:pPr>
        <w:snapToGrid w:val="0"/>
        <w:ind w:firstLine="1124" w:firstLineChars="350"/>
        <w:rPr>
          <w:rStyle w:val="44"/>
          <w:rFonts w:hint="eastAsia" w:ascii="宋体" w:hAnsi="宋体" w:eastAsia="宋体" w:cs="宋体"/>
          <w:b/>
          <w:color w:val="auto"/>
          <w:sz w:val="32"/>
          <w:highlight w:val="none"/>
        </w:rPr>
        <w:sectPr>
          <w:headerReference r:id="rId7" w:type="first"/>
          <w:footerReference r:id="rId10" w:type="first"/>
          <w:headerReference r:id="rId5" w:type="default"/>
          <w:footerReference r:id="rId8" w:type="default"/>
          <w:headerReference r:id="rId6" w:type="even"/>
          <w:footerReference r:id="rId9" w:type="even"/>
          <w:pgSz w:w="11906" w:h="16838"/>
          <w:pgMar w:top="1021" w:right="1134" w:bottom="1021" w:left="1134" w:header="851" w:footer="992" w:gutter="0"/>
          <w:cols w:space="720" w:num="1"/>
          <w:titlePg/>
          <w:docGrid w:linePitch="380" w:charSpace="-5735"/>
        </w:sectPr>
      </w:pPr>
    </w:p>
    <w:p w14:paraId="515A20C7">
      <w:pPr>
        <w:snapToGrid w:val="0"/>
        <w:jc w:val="center"/>
        <w:rPr>
          <w:rStyle w:val="44"/>
          <w:rFonts w:hint="eastAsia" w:ascii="宋体" w:hAnsi="宋体" w:eastAsia="宋体" w:cs="宋体"/>
          <w:b/>
          <w:bCs/>
          <w:color w:val="auto"/>
          <w:sz w:val="48"/>
          <w:highlight w:val="none"/>
        </w:rPr>
      </w:pPr>
      <w:r>
        <w:rPr>
          <w:rStyle w:val="44"/>
          <w:rFonts w:hint="eastAsia" w:ascii="宋体" w:hAnsi="宋体" w:eastAsia="宋体" w:cs="宋体"/>
          <w:b/>
          <w:color w:val="auto"/>
          <w:sz w:val="44"/>
          <w:szCs w:val="44"/>
          <w:highlight w:val="none"/>
        </w:rPr>
        <w:t>招标文件备案表</w:t>
      </w:r>
    </w:p>
    <w:tbl>
      <w:tblPr>
        <w:tblStyle w:val="24"/>
        <w:tblW w:w="857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575"/>
      </w:tblGrid>
      <w:tr w14:paraId="748F84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663" w:hRule="atLeast"/>
          <w:jc w:val="center"/>
        </w:trPr>
        <w:tc>
          <w:tcPr>
            <w:tcW w:w="8575" w:type="dxa"/>
            <w:tcBorders>
              <w:top w:val="single" w:color="000000" w:sz="4" w:space="0"/>
              <w:left w:val="single" w:color="000000" w:sz="4" w:space="0"/>
              <w:bottom w:val="single" w:color="000000" w:sz="4" w:space="0"/>
              <w:right w:val="single" w:color="000000" w:sz="4" w:space="0"/>
            </w:tcBorders>
          </w:tcPr>
          <w:p w14:paraId="545D05EB">
            <w:pPr>
              <w:snapToGrid w:val="0"/>
              <w:jc w:val="center"/>
              <w:rPr>
                <w:rStyle w:val="44"/>
                <w:rFonts w:hint="eastAsia" w:ascii="宋体" w:hAnsi="宋体" w:eastAsia="宋体" w:cs="宋体"/>
                <w:color w:val="auto"/>
                <w:sz w:val="24"/>
                <w:szCs w:val="24"/>
                <w:highlight w:val="none"/>
              </w:rPr>
            </w:pPr>
          </w:p>
          <w:p w14:paraId="41F0146E">
            <w:pPr>
              <w:pStyle w:val="97"/>
              <w:snapToGrid w:val="0"/>
              <w:ind w:firstLine="520"/>
              <w:rPr>
                <w:rStyle w:val="44"/>
                <w:rFonts w:hint="eastAsia" w:ascii="宋体" w:hAnsi="宋体" w:eastAsia="宋体" w:cs="宋体"/>
                <w:color w:val="auto"/>
                <w:sz w:val="26"/>
                <w:szCs w:val="24"/>
                <w:highlight w:val="none"/>
              </w:rPr>
            </w:pPr>
          </w:p>
          <w:p w14:paraId="25D211D4">
            <w:pPr>
              <w:pStyle w:val="97"/>
              <w:snapToGrid w:val="0"/>
              <w:ind w:firstLine="520"/>
              <w:rPr>
                <w:rStyle w:val="44"/>
                <w:rFonts w:hint="eastAsia" w:ascii="宋体" w:hAnsi="宋体" w:eastAsia="宋体" w:cs="宋体"/>
                <w:color w:val="auto"/>
                <w:sz w:val="26"/>
                <w:szCs w:val="24"/>
                <w:highlight w:val="none"/>
              </w:rPr>
            </w:pPr>
          </w:p>
          <w:p w14:paraId="2627F2F2">
            <w:pPr>
              <w:pStyle w:val="97"/>
              <w:snapToGrid w:val="0"/>
              <w:ind w:firstLine="520"/>
              <w:rPr>
                <w:rStyle w:val="44"/>
                <w:rFonts w:hint="eastAsia" w:ascii="宋体" w:hAnsi="宋体" w:eastAsia="宋体" w:cs="宋体"/>
                <w:color w:val="auto"/>
                <w:sz w:val="26"/>
                <w:szCs w:val="24"/>
                <w:highlight w:val="none"/>
              </w:rPr>
            </w:pPr>
          </w:p>
          <w:p w14:paraId="57851753">
            <w:pPr>
              <w:snapToGrid w:val="0"/>
              <w:ind w:firstLine="3360" w:firstLineChars="1400"/>
              <w:rPr>
                <w:rStyle w:val="44"/>
                <w:rFonts w:hint="eastAsia" w:ascii="宋体" w:hAnsi="宋体" w:eastAsia="宋体" w:cs="宋体"/>
                <w:color w:val="auto"/>
                <w:sz w:val="24"/>
                <w:szCs w:val="24"/>
                <w:highlight w:val="none"/>
              </w:rPr>
            </w:pPr>
          </w:p>
          <w:p w14:paraId="101CB1C5">
            <w:pPr>
              <w:snapToGrid w:val="0"/>
              <w:ind w:firstLine="3360" w:firstLineChars="1400"/>
              <w:rPr>
                <w:rStyle w:val="44"/>
                <w:rFonts w:hint="eastAsia" w:ascii="宋体" w:hAnsi="宋体" w:eastAsia="宋体" w:cs="宋体"/>
                <w:color w:val="auto"/>
                <w:sz w:val="24"/>
                <w:szCs w:val="24"/>
                <w:highlight w:val="none"/>
              </w:rPr>
            </w:pPr>
          </w:p>
          <w:p w14:paraId="411F7075">
            <w:pPr>
              <w:snapToGrid w:val="0"/>
              <w:ind w:firstLine="3360" w:firstLineChars="1400"/>
              <w:rPr>
                <w:rStyle w:val="44"/>
                <w:rFonts w:hint="eastAsia" w:ascii="宋体" w:hAnsi="宋体" w:eastAsia="宋体" w:cs="宋体"/>
                <w:color w:val="auto"/>
                <w:sz w:val="24"/>
                <w:szCs w:val="24"/>
                <w:highlight w:val="none"/>
              </w:rPr>
            </w:pPr>
            <w:r>
              <w:rPr>
                <w:rStyle w:val="44"/>
                <w:rFonts w:hint="eastAsia" w:ascii="宋体" w:hAnsi="宋体" w:eastAsia="宋体" w:cs="宋体"/>
                <w:color w:val="auto"/>
                <w:sz w:val="24"/>
                <w:szCs w:val="24"/>
                <w:highlight w:val="none"/>
              </w:rPr>
              <w:t xml:space="preserve">编制人：李艳梅 </w:t>
            </w:r>
          </w:p>
          <w:p w14:paraId="688F36DC">
            <w:pPr>
              <w:tabs>
                <w:tab w:val="left" w:pos="3492"/>
              </w:tabs>
              <w:snapToGrid w:val="0"/>
              <w:ind w:right="480" w:firstLine="3360" w:firstLineChars="1400"/>
              <w:rPr>
                <w:rStyle w:val="44"/>
                <w:rFonts w:hint="eastAsia" w:ascii="宋体" w:hAnsi="宋体" w:eastAsia="宋体" w:cs="宋体"/>
                <w:color w:val="auto"/>
                <w:sz w:val="24"/>
                <w:szCs w:val="24"/>
                <w:highlight w:val="none"/>
              </w:rPr>
            </w:pPr>
            <w:r>
              <w:rPr>
                <w:rStyle w:val="44"/>
                <w:rFonts w:hint="eastAsia" w:ascii="宋体" w:hAnsi="宋体" w:eastAsia="宋体" w:cs="宋体"/>
                <w:color w:val="auto"/>
                <w:sz w:val="24"/>
                <w:szCs w:val="24"/>
                <w:highlight w:val="none"/>
              </w:rPr>
              <w:t>日  期：2026年1月</w:t>
            </w:r>
          </w:p>
          <w:p w14:paraId="4A78EDB9">
            <w:pPr>
              <w:pStyle w:val="97"/>
              <w:snapToGrid w:val="0"/>
              <w:ind w:firstLine="520"/>
              <w:rPr>
                <w:rStyle w:val="44"/>
                <w:rFonts w:hint="eastAsia" w:ascii="宋体" w:hAnsi="宋体" w:eastAsia="宋体" w:cs="宋体"/>
                <w:color w:val="auto"/>
                <w:sz w:val="26"/>
                <w:szCs w:val="24"/>
                <w:highlight w:val="none"/>
              </w:rPr>
            </w:pPr>
          </w:p>
        </w:tc>
      </w:tr>
      <w:tr w14:paraId="68FC7F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508" w:hRule="atLeast"/>
          <w:jc w:val="center"/>
        </w:trPr>
        <w:tc>
          <w:tcPr>
            <w:tcW w:w="8575" w:type="dxa"/>
            <w:tcBorders>
              <w:top w:val="single" w:color="000000" w:sz="4" w:space="0"/>
              <w:left w:val="single" w:color="000000" w:sz="4" w:space="0"/>
              <w:bottom w:val="single" w:color="000000" w:sz="4" w:space="0"/>
              <w:right w:val="single" w:color="000000" w:sz="4" w:space="0"/>
            </w:tcBorders>
          </w:tcPr>
          <w:p w14:paraId="687D468D">
            <w:pPr>
              <w:snapToGrid w:val="0"/>
              <w:rPr>
                <w:rStyle w:val="44"/>
                <w:rFonts w:hint="eastAsia" w:ascii="宋体" w:hAnsi="宋体" w:eastAsia="宋体" w:cs="宋体"/>
                <w:color w:val="auto"/>
                <w:sz w:val="24"/>
                <w:szCs w:val="24"/>
                <w:highlight w:val="none"/>
              </w:rPr>
            </w:pPr>
          </w:p>
          <w:p w14:paraId="36178A4A">
            <w:pPr>
              <w:pStyle w:val="97"/>
              <w:snapToGrid w:val="0"/>
              <w:ind w:firstLine="520"/>
              <w:rPr>
                <w:rStyle w:val="44"/>
                <w:rFonts w:hint="eastAsia" w:ascii="宋体" w:hAnsi="宋体" w:eastAsia="宋体" w:cs="宋体"/>
                <w:color w:val="auto"/>
                <w:sz w:val="26"/>
                <w:highlight w:val="none"/>
              </w:rPr>
            </w:pPr>
          </w:p>
          <w:p w14:paraId="6BCF1827">
            <w:pPr>
              <w:pStyle w:val="97"/>
              <w:snapToGrid w:val="0"/>
              <w:ind w:firstLine="520"/>
              <w:rPr>
                <w:rStyle w:val="44"/>
                <w:rFonts w:hint="eastAsia" w:ascii="宋体" w:hAnsi="宋体" w:eastAsia="宋体" w:cs="宋体"/>
                <w:color w:val="auto"/>
                <w:sz w:val="26"/>
                <w:highlight w:val="none"/>
              </w:rPr>
            </w:pPr>
          </w:p>
          <w:p w14:paraId="5AD8B8D3">
            <w:pPr>
              <w:snapToGrid w:val="0"/>
              <w:rPr>
                <w:rStyle w:val="44"/>
                <w:rFonts w:hint="eastAsia" w:ascii="宋体" w:hAnsi="宋体" w:eastAsia="宋体" w:cs="宋体"/>
                <w:color w:val="auto"/>
                <w:sz w:val="24"/>
                <w:szCs w:val="24"/>
                <w:highlight w:val="none"/>
              </w:rPr>
            </w:pPr>
          </w:p>
          <w:p w14:paraId="1E95073A">
            <w:pPr>
              <w:snapToGrid w:val="0"/>
              <w:jc w:val="center"/>
              <w:rPr>
                <w:rStyle w:val="44"/>
                <w:rFonts w:hint="eastAsia" w:ascii="宋体" w:hAnsi="宋体" w:eastAsia="宋体" w:cs="宋体"/>
                <w:color w:val="auto"/>
                <w:sz w:val="24"/>
                <w:szCs w:val="24"/>
                <w:highlight w:val="none"/>
              </w:rPr>
            </w:pPr>
            <w:r>
              <w:rPr>
                <w:rStyle w:val="44"/>
                <w:rFonts w:hint="eastAsia" w:ascii="宋体" w:hAnsi="宋体" w:eastAsia="宋体" w:cs="宋体"/>
                <w:color w:val="auto"/>
                <w:sz w:val="24"/>
                <w:szCs w:val="24"/>
                <w:highlight w:val="none"/>
              </w:rPr>
              <w:t>采购单位（盖章）</w:t>
            </w:r>
          </w:p>
          <w:p w14:paraId="325563E8">
            <w:pPr>
              <w:snapToGrid w:val="0"/>
              <w:rPr>
                <w:rStyle w:val="44"/>
                <w:rFonts w:hint="eastAsia" w:ascii="宋体" w:hAnsi="宋体" w:eastAsia="宋体" w:cs="宋体"/>
                <w:color w:val="auto"/>
                <w:sz w:val="24"/>
                <w:szCs w:val="24"/>
                <w:highlight w:val="none"/>
              </w:rPr>
            </w:pPr>
          </w:p>
          <w:p w14:paraId="5A2B4C5B">
            <w:pPr>
              <w:snapToGrid w:val="0"/>
              <w:jc w:val="center"/>
              <w:rPr>
                <w:rStyle w:val="44"/>
                <w:rFonts w:hint="eastAsia" w:ascii="宋体" w:hAnsi="宋体" w:eastAsia="宋体" w:cs="宋体"/>
                <w:color w:val="auto"/>
                <w:sz w:val="24"/>
                <w:szCs w:val="24"/>
                <w:highlight w:val="none"/>
              </w:rPr>
            </w:pPr>
            <w:r>
              <w:rPr>
                <w:rStyle w:val="44"/>
                <w:rFonts w:hint="eastAsia" w:ascii="宋体" w:hAnsi="宋体" w:eastAsia="宋体" w:cs="宋体"/>
                <w:color w:val="auto"/>
                <w:sz w:val="24"/>
                <w:szCs w:val="24"/>
                <w:highlight w:val="none"/>
              </w:rPr>
              <w:t>代理机构（盖章）</w:t>
            </w:r>
          </w:p>
          <w:p w14:paraId="70D540D0">
            <w:pPr>
              <w:snapToGrid w:val="0"/>
              <w:rPr>
                <w:rStyle w:val="44"/>
                <w:rFonts w:hint="eastAsia" w:ascii="宋体" w:hAnsi="宋体" w:eastAsia="宋体" w:cs="宋体"/>
                <w:color w:val="auto"/>
                <w:sz w:val="24"/>
                <w:szCs w:val="24"/>
                <w:highlight w:val="none"/>
              </w:rPr>
            </w:pPr>
          </w:p>
          <w:p w14:paraId="0BD679AA">
            <w:pPr>
              <w:snapToGrid w:val="0"/>
              <w:ind w:right="480"/>
              <w:jc w:val="center"/>
              <w:rPr>
                <w:rStyle w:val="44"/>
                <w:rFonts w:hint="eastAsia" w:ascii="宋体" w:hAnsi="宋体" w:eastAsia="宋体" w:cs="宋体"/>
                <w:color w:val="auto"/>
                <w:sz w:val="24"/>
                <w:szCs w:val="24"/>
                <w:highlight w:val="none"/>
              </w:rPr>
            </w:pPr>
            <w:r>
              <w:rPr>
                <w:rStyle w:val="44"/>
                <w:rFonts w:hint="eastAsia" w:ascii="宋体" w:hAnsi="宋体" w:eastAsia="宋体" w:cs="宋体"/>
                <w:color w:val="auto"/>
                <w:sz w:val="24"/>
                <w:szCs w:val="24"/>
                <w:highlight w:val="none"/>
              </w:rPr>
              <w:t xml:space="preserve">      日  期：2026年1月</w:t>
            </w:r>
          </w:p>
          <w:p w14:paraId="36D3E793">
            <w:pPr>
              <w:snapToGrid w:val="0"/>
              <w:jc w:val="center"/>
              <w:rPr>
                <w:rStyle w:val="44"/>
                <w:rFonts w:hint="eastAsia" w:ascii="宋体" w:hAnsi="宋体" w:eastAsia="宋体" w:cs="宋体"/>
                <w:color w:val="auto"/>
                <w:sz w:val="24"/>
                <w:szCs w:val="24"/>
                <w:highlight w:val="none"/>
              </w:rPr>
            </w:pPr>
          </w:p>
        </w:tc>
      </w:tr>
    </w:tbl>
    <w:p w14:paraId="108067F1">
      <w:pPr>
        <w:pStyle w:val="34"/>
        <w:snapToGrid w:val="0"/>
        <w:ind w:firstLine="3740" w:firstLineChars="850"/>
        <w:rPr>
          <w:rStyle w:val="44"/>
          <w:rFonts w:hint="eastAsia" w:ascii="宋体" w:hAnsi="宋体" w:eastAsia="宋体" w:cs="宋体"/>
          <w:b/>
          <w:color w:val="auto"/>
          <w:sz w:val="44"/>
          <w:szCs w:val="44"/>
          <w:highlight w:val="none"/>
        </w:rPr>
      </w:pPr>
    </w:p>
    <w:p w14:paraId="3FEF74CD">
      <w:pPr>
        <w:pStyle w:val="34"/>
        <w:snapToGrid w:val="0"/>
        <w:ind w:firstLine="3740" w:firstLineChars="850"/>
        <w:rPr>
          <w:rStyle w:val="44"/>
          <w:rFonts w:hint="eastAsia" w:ascii="宋体" w:hAnsi="宋体" w:eastAsia="宋体" w:cs="宋体"/>
          <w:b/>
          <w:color w:val="auto"/>
          <w:sz w:val="44"/>
          <w:szCs w:val="44"/>
          <w:highlight w:val="none"/>
        </w:rPr>
      </w:pPr>
    </w:p>
    <w:p w14:paraId="25CA50CF">
      <w:pPr>
        <w:pStyle w:val="34"/>
        <w:snapToGrid w:val="0"/>
        <w:ind w:firstLine="3740" w:firstLineChars="850"/>
        <w:rPr>
          <w:rStyle w:val="44"/>
          <w:rFonts w:hint="eastAsia" w:ascii="宋体" w:hAnsi="宋体" w:eastAsia="宋体" w:cs="宋体"/>
          <w:b/>
          <w:color w:val="auto"/>
          <w:sz w:val="44"/>
          <w:szCs w:val="44"/>
          <w:highlight w:val="none"/>
        </w:rPr>
      </w:pPr>
      <w:r>
        <w:rPr>
          <w:rStyle w:val="44"/>
          <w:rFonts w:hint="eastAsia" w:ascii="宋体" w:hAnsi="宋体" w:eastAsia="宋体" w:cs="宋体"/>
          <w:b/>
          <w:color w:val="auto"/>
          <w:sz w:val="44"/>
          <w:szCs w:val="44"/>
          <w:highlight w:val="none"/>
        </w:rPr>
        <w:br w:type="textWrapping"/>
      </w:r>
    </w:p>
    <w:p w14:paraId="317B4715">
      <w:pPr>
        <w:pStyle w:val="34"/>
        <w:snapToGrid w:val="0"/>
        <w:ind w:firstLine="3740" w:firstLineChars="850"/>
        <w:rPr>
          <w:rStyle w:val="44"/>
          <w:rFonts w:hint="eastAsia" w:ascii="宋体" w:hAnsi="宋体" w:eastAsia="宋体" w:cs="宋体"/>
          <w:b/>
          <w:color w:val="auto"/>
          <w:sz w:val="44"/>
          <w:szCs w:val="44"/>
          <w:highlight w:val="none"/>
        </w:rPr>
      </w:pPr>
      <w:r>
        <w:rPr>
          <w:rStyle w:val="44"/>
          <w:rFonts w:hint="eastAsia" w:ascii="宋体" w:hAnsi="宋体" w:eastAsia="宋体" w:cs="宋体"/>
          <w:b/>
          <w:color w:val="auto"/>
          <w:sz w:val="44"/>
          <w:szCs w:val="44"/>
          <w:highlight w:val="none"/>
        </w:rPr>
        <w:t>目  录</w:t>
      </w:r>
    </w:p>
    <w:p w14:paraId="214D5265">
      <w:pPr>
        <w:pStyle w:val="80"/>
        <w:numPr>
          <w:ilvl w:val="0"/>
          <w:numId w:val="5"/>
        </w:numPr>
        <w:tabs>
          <w:tab w:val="right" w:leader="dot" w:pos="9528"/>
        </w:tabs>
        <w:snapToGrid w:val="0"/>
        <w:spacing w:line="1200" w:lineRule="exact"/>
        <w:ind w:firstLine="640" w:firstLineChars="200"/>
        <w:rPr>
          <w:rStyle w:val="44"/>
          <w:rFonts w:hint="eastAsia" w:ascii="宋体" w:hAnsi="宋体" w:eastAsia="宋体" w:cs="宋体"/>
          <w:color w:val="auto"/>
          <w:sz w:val="32"/>
          <w:szCs w:val="32"/>
          <w:highlight w:val="none"/>
        </w:rPr>
      </w:pPr>
      <w:r>
        <w:rPr>
          <w:rStyle w:val="44"/>
          <w:rFonts w:hint="eastAsia" w:ascii="宋体" w:hAnsi="宋体" w:eastAsia="宋体" w:cs="宋体"/>
          <w:color w:val="auto"/>
          <w:sz w:val="32"/>
          <w:szCs w:val="32"/>
          <w:highlight w:val="none"/>
        </w:rPr>
        <w:t>招标公告</w:t>
      </w:r>
    </w:p>
    <w:p w14:paraId="76848B10">
      <w:pPr>
        <w:pStyle w:val="80"/>
        <w:tabs>
          <w:tab w:val="right" w:leader="dot" w:pos="9528"/>
        </w:tabs>
        <w:snapToGrid w:val="0"/>
        <w:spacing w:line="1200" w:lineRule="exact"/>
        <w:ind w:firstLine="640" w:firstLineChars="200"/>
        <w:rPr>
          <w:rStyle w:val="44"/>
          <w:rFonts w:hint="eastAsia" w:ascii="宋体" w:hAnsi="宋体" w:eastAsia="宋体" w:cs="宋体"/>
          <w:color w:val="auto"/>
          <w:sz w:val="32"/>
          <w:szCs w:val="32"/>
          <w:highlight w:val="none"/>
        </w:rPr>
      </w:pPr>
      <w:r>
        <w:rPr>
          <w:rStyle w:val="44"/>
          <w:rFonts w:hint="eastAsia" w:ascii="宋体" w:hAnsi="宋体" w:eastAsia="宋体" w:cs="宋体"/>
          <w:color w:val="auto"/>
          <w:sz w:val="32"/>
          <w:szCs w:val="32"/>
          <w:highlight w:val="none"/>
        </w:rPr>
        <w:t>第二章 投标供应商须知</w:t>
      </w:r>
    </w:p>
    <w:p w14:paraId="60349A2E">
      <w:pPr>
        <w:pStyle w:val="80"/>
        <w:tabs>
          <w:tab w:val="right" w:leader="dot" w:pos="9528"/>
        </w:tabs>
        <w:snapToGrid w:val="0"/>
        <w:spacing w:line="1200" w:lineRule="exact"/>
        <w:ind w:firstLine="640" w:firstLineChars="200"/>
        <w:rPr>
          <w:rStyle w:val="44"/>
          <w:rFonts w:hint="eastAsia" w:ascii="宋体" w:hAnsi="宋体" w:eastAsia="宋体" w:cs="宋体"/>
          <w:color w:val="auto"/>
          <w:sz w:val="32"/>
          <w:szCs w:val="32"/>
          <w:highlight w:val="none"/>
        </w:rPr>
      </w:pPr>
      <w:r>
        <w:rPr>
          <w:rStyle w:val="44"/>
          <w:rFonts w:hint="eastAsia" w:ascii="宋体" w:hAnsi="宋体" w:eastAsia="宋体" w:cs="宋体"/>
          <w:color w:val="auto"/>
          <w:sz w:val="32"/>
          <w:szCs w:val="32"/>
          <w:highlight w:val="none"/>
        </w:rPr>
        <w:t>第三章 项目需求</w:t>
      </w:r>
    </w:p>
    <w:p w14:paraId="684BACF8">
      <w:pPr>
        <w:pStyle w:val="80"/>
        <w:tabs>
          <w:tab w:val="right" w:leader="dot" w:pos="9528"/>
        </w:tabs>
        <w:snapToGrid w:val="0"/>
        <w:spacing w:line="1200" w:lineRule="exact"/>
        <w:ind w:firstLine="640" w:firstLineChars="200"/>
        <w:rPr>
          <w:rStyle w:val="44"/>
          <w:rFonts w:hint="eastAsia" w:ascii="宋体" w:hAnsi="宋体" w:eastAsia="宋体" w:cs="宋体"/>
          <w:color w:val="auto"/>
          <w:sz w:val="32"/>
          <w:szCs w:val="32"/>
          <w:highlight w:val="none"/>
        </w:rPr>
      </w:pPr>
      <w:r>
        <w:rPr>
          <w:rStyle w:val="44"/>
          <w:rFonts w:hint="eastAsia" w:ascii="宋体" w:hAnsi="宋体" w:eastAsia="宋体" w:cs="宋体"/>
          <w:color w:val="auto"/>
          <w:sz w:val="32"/>
          <w:szCs w:val="32"/>
          <w:highlight w:val="none"/>
        </w:rPr>
        <w:t>第四章 评审方法和程序</w:t>
      </w:r>
    </w:p>
    <w:p w14:paraId="46C7545B">
      <w:pPr>
        <w:pStyle w:val="80"/>
        <w:tabs>
          <w:tab w:val="right" w:leader="dot" w:pos="9528"/>
        </w:tabs>
        <w:snapToGrid w:val="0"/>
        <w:spacing w:line="1200" w:lineRule="exact"/>
        <w:ind w:firstLine="640" w:firstLineChars="200"/>
        <w:rPr>
          <w:rStyle w:val="44"/>
          <w:rFonts w:hint="eastAsia" w:ascii="宋体" w:hAnsi="宋体" w:eastAsia="宋体" w:cs="宋体"/>
          <w:color w:val="auto"/>
          <w:sz w:val="32"/>
          <w:szCs w:val="32"/>
          <w:highlight w:val="none"/>
        </w:rPr>
      </w:pPr>
      <w:r>
        <w:rPr>
          <w:rStyle w:val="44"/>
          <w:rFonts w:hint="eastAsia" w:ascii="宋体" w:hAnsi="宋体" w:eastAsia="宋体" w:cs="宋体"/>
          <w:color w:val="auto"/>
          <w:sz w:val="32"/>
          <w:szCs w:val="32"/>
          <w:highlight w:val="none"/>
        </w:rPr>
        <w:t>第五章 合同签订与验收付款</w:t>
      </w:r>
    </w:p>
    <w:p w14:paraId="625F500D">
      <w:pPr>
        <w:pStyle w:val="80"/>
        <w:tabs>
          <w:tab w:val="right" w:leader="dot" w:pos="9528"/>
        </w:tabs>
        <w:snapToGrid w:val="0"/>
        <w:spacing w:line="1200" w:lineRule="exact"/>
        <w:ind w:firstLine="640" w:firstLineChars="200"/>
        <w:rPr>
          <w:rStyle w:val="44"/>
          <w:rFonts w:hint="eastAsia" w:ascii="宋体" w:hAnsi="宋体" w:eastAsia="宋体" w:cs="宋体"/>
          <w:color w:val="auto"/>
          <w:sz w:val="32"/>
          <w:szCs w:val="32"/>
          <w:highlight w:val="none"/>
        </w:rPr>
      </w:pPr>
      <w:r>
        <w:rPr>
          <w:rStyle w:val="44"/>
          <w:rFonts w:hint="eastAsia" w:ascii="宋体" w:hAnsi="宋体" w:eastAsia="宋体" w:cs="宋体"/>
          <w:color w:val="auto"/>
          <w:sz w:val="32"/>
          <w:szCs w:val="32"/>
          <w:highlight w:val="none"/>
        </w:rPr>
        <w:t>第六章 合同授予</w:t>
      </w:r>
    </w:p>
    <w:p w14:paraId="4081E286">
      <w:pPr>
        <w:pStyle w:val="80"/>
        <w:tabs>
          <w:tab w:val="right" w:leader="dot" w:pos="9528"/>
        </w:tabs>
        <w:snapToGrid w:val="0"/>
        <w:spacing w:line="1200" w:lineRule="exact"/>
        <w:ind w:firstLine="640" w:firstLineChars="200"/>
        <w:rPr>
          <w:rStyle w:val="44"/>
          <w:rFonts w:hint="eastAsia" w:ascii="宋体" w:hAnsi="宋体" w:eastAsia="宋体" w:cs="宋体"/>
          <w:color w:val="auto"/>
          <w:sz w:val="32"/>
          <w:szCs w:val="32"/>
          <w:highlight w:val="none"/>
        </w:rPr>
      </w:pPr>
      <w:r>
        <w:rPr>
          <w:rStyle w:val="44"/>
          <w:rFonts w:hint="eastAsia" w:ascii="宋体" w:hAnsi="宋体" w:eastAsia="宋体" w:cs="宋体"/>
          <w:color w:val="auto"/>
          <w:sz w:val="32"/>
          <w:szCs w:val="32"/>
          <w:highlight w:val="none"/>
        </w:rPr>
        <w:t>第七章 质疑与投诉</w:t>
      </w:r>
    </w:p>
    <w:p w14:paraId="1F983913">
      <w:pPr>
        <w:pStyle w:val="80"/>
        <w:tabs>
          <w:tab w:val="right" w:leader="dot" w:pos="9528"/>
        </w:tabs>
        <w:snapToGrid w:val="0"/>
        <w:spacing w:line="1200" w:lineRule="exact"/>
        <w:ind w:firstLine="640" w:firstLineChars="200"/>
        <w:rPr>
          <w:rStyle w:val="44"/>
          <w:rFonts w:hint="eastAsia" w:ascii="宋体" w:hAnsi="宋体" w:eastAsia="宋体" w:cs="宋体"/>
          <w:color w:val="auto"/>
          <w:sz w:val="32"/>
          <w:szCs w:val="32"/>
          <w:highlight w:val="none"/>
        </w:rPr>
      </w:pPr>
      <w:r>
        <w:rPr>
          <w:rStyle w:val="44"/>
          <w:rFonts w:hint="eastAsia" w:ascii="宋体" w:hAnsi="宋体" w:eastAsia="宋体" w:cs="宋体"/>
          <w:color w:val="auto"/>
          <w:sz w:val="32"/>
          <w:szCs w:val="32"/>
          <w:highlight w:val="none"/>
        </w:rPr>
        <w:t>第八章 投标响应文件组成及格式</w:t>
      </w:r>
    </w:p>
    <w:p w14:paraId="6EE3D5D6">
      <w:pPr>
        <w:snapToGrid w:val="0"/>
        <w:spacing w:line="1200" w:lineRule="exact"/>
        <w:rPr>
          <w:rStyle w:val="44"/>
          <w:rFonts w:hint="eastAsia" w:ascii="宋体" w:hAnsi="宋体" w:eastAsia="宋体" w:cs="宋体"/>
          <w:color w:val="auto"/>
          <w:sz w:val="36"/>
          <w:szCs w:val="36"/>
          <w:highlight w:val="none"/>
        </w:rPr>
      </w:pPr>
    </w:p>
    <w:p w14:paraId="678ED3CE">
      <w:pPr>
        <w:pStyle w:val="34"/>
        <w:snapToGrid w:val="0"/>
        <w:spacing w:line="1200" w:lineRule="exact"/>
        <w:ind w:firstLine="0"/>
        <w:jc w:val="center"/>
        <w:rPr>
          <w:rStyle w:val="44"/>
          <w:rFonts w:hint="eastAsia" w:ascii="宋体" w:hAnsi="宋体" w:eastAsia="宋体" w:cs="宋体"/>
          <w:b/>
          <w:bCs/>
          <w:color w:val="auto"/>
          <w:sz w:val="36"/>
          <w:szCs w:val="36"/>
          <w:highlight w:val="none"/>
        </w:rPr>
      </w:pPr>
    </w:p>
    <w:p w14:paraId="41B86DAF">
      <w:pPr>
        <w:snapToGrid w:val="0"/>
        <w:rPr>
          <w:rStyle w:val="44"/>
          <w:rFonts w:hint="eastAsia" w:ascii="宋体" w:hAnsi="宋体" w:eastAsia="宋体" w:cs="宋体"/>
          <w:color w:val="auto"/>
          <w:sz w:val="30"/>
          <w:highlight w:val="none"/>
        </w:rPr>
      </w:pPr>
    </w:p>
    <w:p w14:paraId="1695569D">
      <w:pPr>
        <w:pStyle w:val="80"/>
        <w:snapToGrid w:val="0"/>
        <w:rPr>
          <w:rStyle w:val="44"/>
          <w:rFonts w:hint="eastAsia" w:ascii="宋体" w:hAnsi="宋体" w:eastAsia="宋体" w:cs="宋体"/>
          <w:color w:val="auto"/>
          <w:highlight w:val="none"/>
        </w:rPr>
      </w:pPr>
    </w:p>
    <w:p w14:paraId="2365780D">
      <w:pPr>
        <w:snapToGrid w:val="0"/>
        <w:rPr>
          <w:rStyle w:val="44"/>
          <w:rFonts w:hint="eastAsia" w:ascii="宋体" w:hAnsi="宋体" w:eastAsia="宋体" w:cs="宋体"/>
          <w:color w:val="auto"/>
          <w:highlight w:val="none"/>
        </w:rPr>
      </w:pPr>
    </w:p>
    <w:p w14:paraId="0B2676ED">
      <w:pPr>
        <w:pStyle w:val="80"/>
        <w:snapToGrid w:val="0"/>
        <w:rPr>
          <w:rStyle w:val="44"/>
          <w:rFonts w:hint="eastAsia" w:ascii="宋体" w:hAnsi="宋体" w:eastAsia="宋体" w:cs="宋体"/>
          <w:color w:val="auto"/>
          <w:highlight w:val="none"/>
        </w:rPr>
      </w:pPr>
    </w:p>
    <w:p w14:paraId="3BC365DC">
      <w:pPr>
        <w:snapToGrid w:val="0"/>
        <w:spacing w:line="500" w:lineRule="exact"/>
        <w:rPr>
          <w:rStyle w:val="44"/>
          <w:rFonts w:hint="eastAsia" w:ascii="宋体" w:hAnsi="宋体" w:eastAsia="宋体" w:cs="宋体"/>
          <w:b/>
          <w:bCs/>
          <w:color w:val="auto"/>
          <w:sz w:val="24"/>
          <w:szCs w:val="24"/>
          <w:highlight w:val="none"/>
        </w:rPr>
      </w:pPr>
    </w:p>
    <w:p w14:paraId="128444EC">
      <w:pPr>
        <w:snapToGrid w:val="0"/>
        <w:spacing w:line="500" w:lineRule="exact"/>
        <w:rPr>
          <w:rStyle w:val="44"/>
          <w:rFonts w:hint="eastAsia" w:ascii="宋体" w:hAnsi="宋体" w:eastAsia="宋体" w:cs="宋体"/>
          <w:b/>
          <w:bCs/>
          <w:color w:val="auto"/>
          <w:sz w:val="24"/>
          <w:szCs w:val="24"/>
          <w:highlight w:val="none"/>
        </w:rPr>
      </w:pPr>
      <w:r>
        <w:rPr>
          <w:rStyle w:val="44"/>
          <w:rFonts w:hint="eastAsia" w:ascii="宋体" w:hAnsi="宋体" w:eastAsia="宋体" w:cs="宋体"/>
          <w:b/>
          <w:bCs/>
          <w:color w:val="auto"/>
          <w:sz w:val="24"/>
          <w:szCs w:val="24"/>
          <w:highlight w:val="none"/>
        </w:rPr>
        <w:t>尊敬的投标供应商：</w:t>
      </w:r>
    </w:p>
    <w:p w14:paraId="0102867F">
      <w:pPr>
        <w:snapToGrid w:val="0"/>
        <w:spacing w:line="500" w:lineRule="exact"/>
        <w:ind w:firstLine="480" w:firstLineChars="200"/>
        <w:rPr>
          <w:rStyle w:val="44"/>
          <w:rFonts w:hint="eastAsia" w:ascii="宋体" w:hAnsi="宋体" w:eastAsia="宋体" w:cs="宋体"/>
          <w:b/>
          <w:bCs/>
          <w:color w:val="auto"/>
          <w:sz w:val="24"/>
          <w:szCs w:val="24"/>
          <w:highlight w:val="none"/>
        </w:rPr>
      </w:pPr>
      <w:r>
        <w:rPr>
          <w:rStyle w:val="44"/>
          <w:rFonts w:hint="eastAsia" w:ascii="宋体" w:hAnsi="宋体" w:eastAsia="宋体" w:cs="宋体"/>
          <w:b/>
          <w:bCs/>
          <w:color w:val="auto"/>
          <w:sz w:val="24"/>
          <w:szCs w:val="24"/>
          <w:highlight w:val="none"/>
        </w:rPr>
        <w:t>欢迎参加本采购项目的公开招标。为了保证本次招标顺利进行，请在制作投标响应文件之前，仔细阅读本招标文件的各项条款，并按要求制作和递交投标响应文件。谢谢合作！</w:t>
      </w:r>
    </w:p>
    <w:p w14:paraId="63EDB758">
      <w:pPr>
        <w:pStyle w:val="97"/>
        <w:snapToGrid w:val="0"/>
        <w:rPr>
          <w:rStyle w:val="44"/>
          <w:rFonts w:hint="eastAsia" w:ascii="宋体" w:hAnsi="宋体" w:eastAsia="宋体" w:cs="宋体"/>
          <w:color w:val="auto"/>
          <w:sz w:val="21"/>
          <w:szCs w:val="21"/>
          <w:highlight w:val="none"/>
        </w:rPr>
      </w:pPr>
    </w:p>
    <w:p w14:paraId="28AA5E58">
      <w:pPr>
        <w:tabs>
          <w:tab w:val="left" w:pos="1050"/>
          <w:tab w:val="right" w:leader="dot" w:pos="9402"/>
        </w:tabs>
        <w:snapToGrid w:val="0"/>
        <w:spacing w:line="520" w:lineRule="exact"/>
        <w:jc w:val="center"/>
        <w:rPr>
          <w:rStyle w:val="44"/>
          <w:rFonts w:hint="eastAsia" w:ascii="宋体" w:hAnsi="宋体" w:eastAsia="宋体" w:cs="宋体"/>
          <w:b/>
          <w:color w:val="auto"/>
          <w:w w:val="80"/>
          <w:kern w:val="44"/>
          <w:sz w:val="36"/>
          <w:szCs w:val="36"/>
          <w:highlight w:val="none"/>
        </w:rPr>
      </w:pPr>
      <w:r>
        <w:rPr>
          <w:rStyle w:val="44"/>
          <w:rFonts w:hint="eastAsia" w:ascii="宋体" w:hAnsi="宋体" w:eastAsia="宋体" w:cs="宋体"/>
          <w:b/>
          <w:color w:val="auto"/>
          <w:w w:val="80"/>
          <w:kern w:val="44"/>
          <w:sz w:val="36"/>
          <w:szCs w:val="36"/>
          <w:highlight w:val="none"/>
        </w:rPr>
        <w:t>第一章  招标公告</w:t>
      </w:r>
    </w:p>
    <w:p w14:paraId="4A694A91">
      <w:pPr>
        <w:snapToGrid w:val="0"/>
        <w:ind w:firstLine="420" w:firstLineChars="200"/>
        <w:rPr>
          <w:rStyle w:val="44"/>
          <w:rFonts w:hint="eastAsia" w:ascii="宋体" w:hAnsi="宋体" w:eastAsia="宋体" w:cs="宋体"/>
          <w:bCs/>
          <w:color w:val="auto"/>
          <w:sz w:val="21"/>
          <w:szCs w:val="21"/>
          <w:highlight w:val="none"/>
        </w:rPr>
      </w:pPr>
      <w:r>
        <w:rPr>
          <w:rStyle w:val="44"/>
          <w:rFonts w:hint="eastAsia" w:ascii="宋体" w:hAnsi="宋体" w:eastAsia="宋体" w:cs="宋体"/>
          <w:bCs/>
          <w:color w:val="auto"/>
          <w:sz w:val="21"/>
          <w:szCs w:val="21"/>
          <w:highlight w:val="none"/>
          <w:u w:val="single" w:color="000000"/>
        </w:rPr>
        <w:t>江苏正扬招标代理有限公司</w:t>
      </w:r>
      <w:r>
        <w:rPr>
          <w:rStyle w:val="44"/>
          <w:rFonts w:hint="eastAsia" w:ascii="宋体" w:hAnsi="宋体" w:eastAsia="宋体" w:cs="宋体"/>
          <w:bCs/>
          <w:color w:val="auto"/>
          <w:sz w:val="21"/>
          <w:szCs w:val="21"/>
          <w:highlight w:val="none"/>
        </w:rPr>
        <w:t>（以下称代理机构）受</w:t>
      </w:r>
      <w:r>
        <w:rPr>
          <w:rStyle w:val="44"/>
          <w:rFonts w:hint="eastAsia" w:ascii="宋体" w:hAnsi="宋体" w:eastAsia="宋体" w:cs="宋体"/>
          <w:bCs/>
          <w:color w:val="auto"/>
          <w:sz w:val="21"/>
          <w:szCs w:val="21"/>
          <w:highlight w:val="none"/>
          <w:u w:val="single" w:color="000000"/>
        </w:rPr>
        <w:t>江苏省南通市北高新技术产业开发区管理委员会</w:t>
      </w:r>
      <w:r>
        <w:rPr>
          <w:rStyle w:val="44"/>
          <w:rFonts w:hint="eastAsia" w:ascii="宋体" w:hAnsi="宋体" w:eastAsia="宋体" w:cs="宋体"/>
          <w:bCs/>
          <w:color w:val="auto"/>
          <w:sz w:val="21"/>
          <w:szCs w:val="21"/>
          <w:highlight w:val="none"/>
        </w:rPr>
        <w:t>（以下称采购人）的委托，就</w:t>
      </w:r>
      <w:r>
        <w:rPr>
          <w:rStyle w:val="44"/>
          <w:rFonts w:hint="eastAsia" w:ascii="宋体" w:hAnsi="宋体" w:eastAsia="宋体" w:cs="宋体"/>
          <w:bCs/>
          <w:color w:val="auto"/>
          <w:sz w:val="21"/>
          <w:szCs w:val="21"/>
          <w:highlight w:val="none"/>
          <w:u w:val="single" w:color="000000"/>
        </w:rPr>
        <w:t>市北高新区2026年度污染物排放限值限量监测监控系统运维服务项目</w:t>
      </w:r>
      <w:r>
        <w:rPr>
          <w:rStyle w:val="44"/>
          <w:rFonts w:hint="eastAsia" w:ascii="宋体" w:hAnsi="宋体" w:eastAsia="宋体" w:cs="宋体"/>
          <w:bCs/>
          <w:color w:val="auto"/>
          <w:sz w:val="21"/>
          <w:szCs w:val="21"/>
          <w:highlight w:val="none"/>
        </w:rPr>
        <w:t>组织公开招标采购，诚邀符合条件的潜在投标供应商参加投标。</w:t>
      </w:r>
    </w:p>
    <w:p w14:paraId="15CD16EC">
      <w:pPr>
        <w:snapToGrid w:val="0"/>
        <w:ind w:firstLine="420" w:firstLineChars="200"/>
        <w:rPr>
          <w:rStyle w:val="44"/>
          <w:rFonts w:hint="eastAsia" w:ascii="宋体" w:hAnsi="宋体" w:eastAsia="宋体" w:cs="宋体"/>
          <w:b/>
          <w:bCs/>
          <w:color w:val="auto"/>
          <w:sz w:val="21"/>
          <w:szCs w:val="21"/>
          <w:highlight w:val="none"/>
        </w:rPr>
      </w:pPr>
      <w:r>
        <w:rPr>
          <w:rStyle w:val="44"/>
          <w:rFonts w:hint="eastAsia" w:ascii="宋体" w:hAnsi="宋体" w:eastAsia="宋体" w:cs="宋体"/>
          <w:b/>
          <w:bCs/>
          <w:color w:val="auto"/>
          <w:sz w:val="21"/>
          <w:szCs w:val="21"/>
          <w:highlight w:val="none"/>
        </w:rPr>
        <w:t>一、项目基本情况</w:t>
      </w:r>
    </w:p>
    <w:p w14:paraId="11931EA8">
      <w:pPr>
        <w:snapToGrid w:val="0"/>
        <w:ind w:firstLine="420" w:firstLineChars="200"/>
        <w:rPr>
          <w:rStyle w:val="44"/>
          <w:rFonts w:hint="eastAsia" w:ascii="宋体" w:hAnsi="宋体" w:eastAsia="宋体" w:cs="宋体"/>
          <w:bCs/>
          <w:color w:val="auto"/>
          <w:sz w:val="21"/>
          <w:szCs w:val="21"/>
          <w:highlight w:val="none"/>
        </w:rPr>
      </w:pPr>
      <w:r>
        <w:rPr>
          <w:rStyle w:val="44"/>
          <w:rFonts w:hint="eastAsia" w:ascii="宋体" w:hAnsi="宋体" w:eastAsia="宋体" w:cs="宋体"/>
          <w:bCs/>
          <w:color w:val="auto"/>
          <w:sz w:val="21"/>
          <w:szCs w:val="21"/>
          <w:highlight w:val="none"/>
        </w:rPr>
        <w:t>1.项目名称：市北高新区2026年度污染物排放限值限量监测监控系统运维服务项目；</w:t>
      </w:r>
    </w:p>
    <w:p w14:paraId="7C09D861">
      <w:pPr>
        <w:snapToGrid w:val="0"/>
        <w:ind w:firstLine="420" w:firstLineChars="200"/>
        <w:rPr>
          <w:rStyle w:val="44"/>
          <w:rFonts w:hint="eastAsia" w:ascii="宋体" w:hAnsi="宋体" w:eastAsia="宋体" w:cs="宋体"/>
          <w:bCs/>
          <w:color w:val="auto"/>
          <w:sz w:val="21"/>
          <w:szCs w:val="21"/>
          <w:highlight w:val="none"/>
        </w:rPr>
      </w:pPr>
      <w:r>
        <w:rPr>
          <w:rStyle w:val="44"/>
          <w:rFonts w:hint="eastAsia" w:ascii="宋体" w:hAnsi="宋体" w:eastAsia="宋体" w:cs="宋体"/>
          <w:bCs/>
          <w:color w:val="auto"/>
          <w:sz w:val="21"/>
          <w:szCs w:val="21"/>
          <w:highlight w:val="none"/>
        </w:rPr>
        <w:t xml:space="preserve">2.采购方式：公开招标； </w:t>
      </w:r>
    </w:p>
    <w:p w14:paraId="47468D9E">
      <w:pPr>
        <w:snapToGrid w:val="0"/>
        <w:ind w:firstLine="420" w:firstLineChars="200"/>
        <w:rPr>
          <w:rStyle w:val="44"/>
          <w:rFonts w:hint="eastAsia" w:ascii="宋体" w:hAnsi="宋体" w:eastAsia="宋体" w:cs="宋体"/>
          <w:bCs/>
          <w:color w:val="auto"/>
          <w:sz w:val="21"/>
          <w:szCs w:val="21"/>
          <w:highlight w:val="none"/>
        </w:rPr>
      </w:pPr>
      <w:r>
        <w:rPr>
          <w:rStyle w:val="44"/>
          <w:rFonts w:hint="eastAsia" w:ascii="宋体" w:hAnsi="宋体" w:eastAsia="宋体" w:cs="宋体"/>
          <w:bCs/>
          <w:color w:val="auto"/>
          <w:sz w:val="21"/>
          <w:szCs w:val="21"/>
          <w:highlight w:val="none"/>
        </w:rPr>
        <w:t>3.项目预算：70万元；</w:t>
      </w:r>
    </w:p>
    <w:p w14:paraId="6F72BC97">
      <w:pPr>
        <w:snapToGrid w:val="0"/>
        <w:ind w:firstLine="420" w:firstLineChars="200"/>
        <w:rPr>
          <w:rStyle w:val="44"/>
          <w:rFonts w:hint="eastAsia" w:ascii="宋体" w:hAnsi="宋体" w:eastAsia="宋体" w:cs="宋体"/>
          <w:bCs/>
          <w:color w:val="auto"/>
          <w:sz w:val="21"/>
          <w:szCs w:val="21"/>
          <w:highlight w:val="none"/>
        </w:rPr>
      </w:pPr>
      <w:r>
        <w:rPr>
          <w:rStyle w:val="44"/>
          <w:rFonts w:hint="eastAsia" w:ascii="宋体" w:hAnsi="宋体" w:eastAsia="宋体" w:cs="宋体"/>
          <w:bCs/>
          <w:color w:val="auto"/>
          <w:sz w:val="21"/>
          <w:szCs w:val="21"/>
          <w:highlight w:val="none"/>
        </w:rPr>
        <w:t>4.最高限价：70万元；</w:t>
      </w:r>
    </w:p>
    <w:p w14:paraId="2ABAA149">
      <w:pPr>
        <w:snapToGrid w:val="0"/>
        <w:ind w:firstLine="420" w:firstLineChars="200"/>
        <w:rPr>
          <w:rStyle w:val="44"/>
          <w:rFonts w:hint="eastAsia" w:ascii="宋体" w:hAnsi="宋体" w:eastAsia="宋体" w:cs="宋体"/>
          <w:bCs/>
          <w:color w:val="auto"/>
          <w:sz w:val="21"/>
          <w:szCs w:val="21"/>
          <w:highlight w:val="none"/>
        </w:rPr>
      </w:pPr>
      <w:r>
        <w:rPr>
          <w:rStyle w:val="44"/>
          <w:rFonts w:hint="eastAsia" w:ascii="宋体" w:hAnsi="宋体" w:eastAsia="宋体" w:cs="宋体"/>
          <w:bCs/>
          <w:color w:val="auto"/>
          <w:sz w:val="21"/>
          <w:szCs w:val="21"/>
          <w:highlight w:val="none"/>
        </w:rPr>
        <w:t>5.项目需求：对市北高新区2026年度污染物排放限值限量监测监控系统，包括2个标准站、2个VOC站、26个微站和平台进行运维等，详见招标文件第三章；</w:t>
      </w:r>
    </w:p>
    <w:p w14:paraId="29F73362">
      <w:pPr>
        <w:snapToGrid w:val="0"/>
        <w:ind w:firstLine="420" w:firstLineChars="200"/>
        <w:rPr>
          <w:rStyle w:val="44"/>
          <w:rFonts w:hint="eastAsia" w:ascii="宋体" w:hAnsi="宋体" w:eastAsia="宋体" w:cs="宋体"/>
          <w:bCs/>
          <w:color w:val="auto"/>
          <w:sz w:val="21"/>
          <w:szCs w:val="21"/>
          <w:highlight w:val="none"/>
        </w:rPr>
      </w:pPr>
      <w:r>
        <w:rPr>
          <w:rStyle w:val="44"/>
          <w:rFonts w:hint="eastAsia" w:ascii="宋体" w:hAnsi="宋体" w:eastAsia="宋体" w:cs="宋体"/>
          <w:bCs/>
          <w:color w:val="auto"/>
          <w:sz w:val="21"/>
          <w:szCs w:val="21"/>
          <w:highlight w:val="none"/>
        </w:rPr>
        <w:t>6.合同履行期限：一年；</w:t>
      </w:r>
    </w:p>
    <w:p w14:paraId="7820AF07">
      <w:pPr>
        <w:snapToGrid w:val="0"/>
        <w:ind w:firstLine="420" w:firstLineChars="200"/>
        <w:rPr>
          <w:rStyle w:val="44"/>
          <w:rFonts w:hint="eastAsia" w:ascii="宋体" w:hAnsi="宋体" w:eastAsia="宋体" w:cs="宋体"/>
          <w:bCs/>
          <w:color w:val="auto"/>
          <w:sz w:val="21"/>
          <w:szCs w:val="21"/>
          <w:highlight w:val="none"/>
        </w:rPr>
      </w:pPr>
      <w:r>
        <w:rPr>
          <w:rStyle w:val="44"/>
          <w:rFonts w:hint="eastAsia" w:ascii="宋体" w:hAnsi="宋体" w:eastAsia="宋体" w:cs="宋体"/>
          <w:bCs/>
          <w:color w:val="auto"/>
          <w:sz w:val="21"/>
          <w:szCs w:val="21"/>
          <w:highlight w:val="none"/>
        </w:rPr>
        <w:t>7.本项目不接受联合体投标。</w:t>
      </w:r>
    </w:p>
    <w:p w14:paraId="72285F25">
      <w:pPr>
        <w:snapToGrid w:val="0"/>
        <w:ind w:firstLine="420" w:firstLineChars="200"/>
        <w:jc w:val="left"/>
        <w:rPr>
          <w:rStyle w:val="44"/>
          <w:rFonts w:hint="eastAsia" w:ascii="宋体" w:hAnsi="宋体" w:eastAsia="宋体" w:cs="宋体"/>
          <w:b/>
          <w:bCs/>
          <w:color w:val="auto"/>
          <w:kern w:val="0"/>
          <w:sz w:val="21"/>
          <w:szCs w:val="21"/>
          <w:highlight w:val="none"/>
        </w:rPr>
      </w:pPr>
      <w:r>
        <w:rPr>
          <w:rStyle w:val="44"/>
          <w:rFonts w:hint="eastAsia" w:ascii="宋体" w:hAnsi="宋体" w:eastAsia="宋体" w:cs="宋体"/>
          <w:b/>
          <w:bCs/>
          <w:color w:val="auto"/>
          <w:kern w:val="0"/>
          <w:sz w:val="21"/>
          <w:szCs w:val="21"/>
          <w:highlight w:val="none"/>
        </w:rPr>
        <w:t>二、申请人的资格要求：</w:t>
      </w:r>
    </w:p>
    <w:p w14:paraId="2A8D77D6">
      <w:pPr>
        <w:snapToGrid w:val="0"/>
        <w:ind w:firstLine="420" w:firstLineChars="200"/>
        <w:rPr>
          <w:rStyle w:val="44"/>
          <w:rFonts w:hint="eastAsia" w:ascii="宋体" w:hAnsi="宋体" w:eastAsia="宋体" w:cs="宋体"/>
          <w:bCs/>
          <w:color w:val="auto"/>
          <w:sz w:val="21"/>
          <w:szCs w:val="21"/>
          <w:highlight w:val="none"/>
        </w:rPr>
      </w:pPr>
      <w:r>
        <w:rPr>
          <w:rStyle w:val="44"/>
          <w:rFonts w:hint="eastAsia" w:ascii="宋体" w:hAnsi="宋体" w:eastAsia="宋体" w:cs="宋体"/>
          <w:bCs/>
          <w:color w:val="auto"/>
          <w:sz w:val="21"/>
          <w:szCs w:val="21"/>
          <w:highlight w:val="none"/>
        </w:rPr>
        <w:t>1.具有独立承担民事责任的能力；具有良好的商业信誉和健全的财务会计制度；具有履行合同所必需的设备和专业技术能力；有依法缴纳税收和社会保障资金的良好记录；参加采购活动前三年内，在经营活动中没有重大违法记录。</w:t>
      </w:r>
    </w:p>
    <w:p w14:paraId="477C7CAC">
      <w:pPr>
        <w:snapToGrid w:val="0"/>
        <w:ind w:firstLine="420" w:firstLineChars="200"/>
        <w:rPr>
          <w:rStyle w:val="44"/>
          <w:rFonts w:hint="eastAsia" w:ascii="宋体" w:hAnsi="宋体" w:eastAsia="宋体" w:cs="宋体"/>
          <w:color w:val="auto"/>
          <w:sz w:val="21"/>
          <w:szCs w:val="21"/>
          <w:highlight w:val="none"/>
        </w:rPr>
      </w:pPr>
      <w:r>
        <w:rPr>
          <w:rStyle w:val="44"/>
          <w:rFonts w:hint="eastAsia" w:ascii="宋体" w:hAnsi="宋体" w:eastAsia="宋体" w:cs="宋体"/>
          <w:b/>
          <w:color w:val="auto"/>
          <w:sz w:val="21"/>
          <w:szCs w:val="21"/>
          <w:highlight w:val="none"/>
        </w:rPr>
        <w:t>投标供应商其它资格要求：</w:t>
      </w:r>
    </w:p>
    <w:p w14:paraId="7420A1E3">
      <w:pPr>
        <w:snapToGrid w:val="0"/>
        <w:ind w:firstLine="420" w:firstLineChars="200"/>
        <w:rPr>
          <w:rStyle w:val="44"/>
          <w:rFonts w:hint="eastAsia" w:ascii="宋体" w:hAnsi="宋体" w:eastAsia="宋体" w:cs="宋体"/>
          <w:color w:val="auto"/>
          <w:sz w:val="21"/>
          <w:szCs w:val="21"/>
          <w:highlight w:val="none"/>
        </w:rPr>
      </w:pPr>
      <w:r>
        <w:rPr>
          <w:rStyle w:val="44"/>
          <w:rFonts w:hint="eastAsia" w:ascii="宋体" w:hAnsi="宋体" w:eastAsia="宋体" w:cs="宋体"/>
          <w:color w:val="auto"/>
          <w:sz w:val="21"/>
          <w:szCs w:val="21"/>
          <w:highlight w:val="none"/>
        </w:rPr>
        <w:t>2.投标供应商提供有效的营业执照等具有独立承担民事责任能力的证明材料复印件。</w:t>
      </w:r>
    </w:p>
    <w:p w14:paraId="51776AC2">
      <w:pPr>
        <w:pStyle w:val="109"/>
        <w:ind w:firstLine="420"/>
        <w:rPr>
          <w:rStyle w:val="44"/>
          <w:rFonts w:hint="eastAsia" w:hAnsi="宋体" w:cs="宋体"/>
          <w:color w:val="auto"/>
          <w:sz w:val="21"/>
          <w:szCs w:val="21"/>
          <w:highlight w:val="none"/>
        </w:rPr>
      </w:pPr>
      <w:r>
        <w:rPr>
          <w:rStyle w:val="44"/>
          <w:rFonts w:hint="eastAsia" w:hAnsi="宋体" w:cs="宋体"/>
          <w:color w:val="auto"/>
          <w:sz w:val="21"/>
          <w:szCs w:val="21"/>
          <w:highlight w:val="none"/>
        </w:rPr>
        <w:t>3.投标供应商法定代表人参加投标的，必须提供法定代表人身份证明及法定代表人本人身份证复印件；非法定代表人参加投标的，必须提供法定代表人签名或盖章的授权委托书及法定代表人和被授权人两个人的身份证复印件（格式参见第八章）。</w:t>
      </w:r>
    </w:p>
    <w:p w14:paraId="6AAC6754">
      <w:pPr>
        <w:pStyle w:val="97"/>
        <w:snapToGrid w:val="0"/>
        <w:spacing w:line="360" w:lineRule="auto"/>
        <w:ind w:left="0"/>
        <w:rPr>
          <w:rStyle w:val="44"/>
          <w:rFonts w:hint="eastAsia" w:ascii="宋体" w:hAnsi="宋体" w:eastAsia="宋体" w:cs="宋体"/>
          <w:color w:val="auto"/>
          <w:sz w:val="21"/>
          <w:szCs w:val="21"/>
          <w:highlight w:val="none"/>
        </w:rPr>
      </w:pPr>
      <w:r>
        <w:rPr>
          <w:rStyle w:val="44"/>
          <w:rFonts w:hint="eastAsia" w:ascii="宋体" w:hAnsi="宋体" w:eastAsia="宋体" w:cs="宋体"/>
          <w:color w:val="auto"/>
          <w:sz w:val="21"/>
          <w:szCs w:val="21"/>
          <w:highlight w:val="none"/>
        </w:rPr>
        <w:t>4.投标供应商须提供参与本次项目采购活动前三年内，在经营活动中没有重大违法记录的书面《无重大违法记录声明函》（格式参见第八章）。</w:t>
      </w:r>
    </w:p>
    <w:p w14:paraId="35DEAD4D">
      <w:pPr>
        <w:pStyle w:val="97"/>
        <w:snapToGrid w:val="0"/>
        <w:spacing w:line="360" w:lineRule="auto"/>
        <w:ind w:left="0"/>
        <w:rPr>
          <w:rStyle w:val="44"/>
          <w:rFonts w:hint="eastAsia" w:ascii="宋体" w:hAnsi="宋体" w:eastAsia="宋体" w:cs="宋体"/>
          <w:color w:val="auto"/>
          <w:sz w:val="21"/>
          <w:szCs w:val="21"/>
          <w:highlight w:val="none"/>
        </w:rPr>
      </w:pPr>
      <w:r>
        <w:rPr>
          <w:rStyle w:val="44"/>
          <w:rFonts w:hint="eastAsia" w:hAnsi="宋体" w:cs="宋体"/>
          <w:color w:val="auto"/>
          <w:sz w:val="21"/>
          <w:szCs w:val="21"/>
          <w:highlight w:val="none"/>
        </w:rPr>
        <w:t>5</w:t>
      </w:r>
      <w:r>
        <w:rPr>
          <w:rStyle w:val="44"/>
          <w:rFonts w:hint="eastAsia" w:ascii="宋体" w:hAnsi="宋体" w:eastAsia="宋体" w:cs="宋体"/>
          <w:color w:val="auto"/>
          <w:sz w:val="21"/>
          <w:szCs w:val="21"/>
          <w:highlight w:val="none"/>
        </w:rPr>
        <w:t>.关于资格文件的声明函（格式参见第八章）。</w:t>
      </w:r>
    </w:p>
    <w:p w14:paraId="6493EA8B">
      <w:pPr>
        <w:pStyle w:val="97"/>
        <w:snapToGrid w:val="0"/>
        <w:spacing w:line="360" w:lineRule="auto"/>
        <w:ind w:left="0" w:firstLine="422"/>
        <w:rPr>
          <w:rStyle w:val="44"/>
          <w:rFonts w:hint="eastAsia" w:ascii="宋体" w:hAnsi="宋体" w:eastAsia="宋体" w:cs="宋体"/>
          <w:b/>
          <w:color w:val="auto"/>
          <w:sz w:val="21"/>
          <w:szCs w:val="21"/>
          <w:highlight w:val="none"/>
          <w:u w:val="single"/>
        </w:rPr>
      </w:pPr>
      <w:r>
        <w:rPr>
          <w:rStyle w:val="44"/>
          <w:rFonts w:hint="eastAsia" w:ascii="宋体" w:hAnsi="宋体" w:eastAsia="宋体" w:cs="宋体"/>
          <w:b/>
          <w:color w:val="auto"/>
          <w:sz w:val="21"/>
          <w:szCs w:val="21"/>
          <w:highlight w:val="none"/>
          <w:u w:val="single" w:color="000000"/>
        </w:rPr>
        <w:t>具体详见本招标文件《第八章 投标文件组成及格式》中的资格审查文件要求。</w:t>
      </w:r>
    </w:p>
    <w:p w14:paraId="1F891939">
      <w:pPr>
        <w:pStyle w:val="97"/>
        <w:snapToGrid w:val="0"/>
        <w:spacing w:line="360" w:lineRule="auto"/>
        <w:ind w:left="0" w:firstLine="422"/>
        <w:rPr>
          <w:rStyle w:val="44"/>
          <w:rFonts w:hint="eastAsia" w:ascii="宋体" w:hAnsi="宋体" w:eastAsia="宋体" w:cs="宋体"/>
          <w:b/>
          <w:color w:val="auto"/>
          <w:sz w:val="21"/>
          <w:szCs w:val="21"/>
          <w:highlight w:val="none"/>
          <w:u w:val="single"/>
        </w:rPr>
      </w:pPr>
      <w:r>
        <w:rPr>
          <w:rStyle w:val="44"/>
          <w:rFonts w:hint="eastAsia" w:ascii="宋体" w:hAnsi="宋体" w:eastAsia="宋体" w:cs="宋体"/>
          <w:b/>
          <w:color w:val="auto"/>
          <w:sz w:val="21"/>
          <w:szCs w:val="21"/>
          <w:highlight w:val="none"/>
          <w:u w:val="single" w:color="000000"/>
        </w:rPr>
        <w:t>请供应商认真对照资格条件，如不符合要求的，无意或故意参与投标所产生的一切后果由供应商自行承担，开标过程中，投标供应商提供的相关证件为虚假或伪造，或者其他人员持法定代表人或授权委托人的身份证参与投标，一经发现则取消投标供应商资格，该投标供应商将记入不良记录。</w:t>
      </w:r>
    </w:p>
    <w:p w14:paraId="16F73838">
      <w:pPr>
        <w:snapToGrid w:val="0"/>
        <w:ind w:firstLine="420" w:firstLineChars="200"/>
        <w:rPr>
          <w:rStyle w:val="44"/>
          <w:rFonts w:hint="eastAsia" w:ascii="宋体" w:hAnsi="宋体" w:eastAsia="宋体" w:cs="宋体"/>
          <w:b/>
          <w:bCs/>
          <w:color w:val="auto"/>
          <w:sz w:val="21"/>
          <w:szCs w:val="21"/>
          <w:highlight w:val="none"/>
        </w:rPr>
      </w:pPr>
      <w:r>
        <w:rPr>
          <w:rStyle w:val="44"/>
          <w:rFonts w:hint="eastAsia" w:ascii="宋体" w:hAnsi="宋体" w:eastAsia="宋体" w:cs="宋体"/>
          <w:b/>
          <w:bCs/>
          <w:color w:val="auto"/>
          <w:sz w:val="21"/>
          <w:szCs w:val="21"/>
          <w:highlight w:val="none"/>
        </w:rPr>
        <w:t>三、获取采购文件</w:t>
      </w:r>
    </w:p>
    <w:p w14:paraId="2D3BEF2B">
      <w:pPr>
        <w:snapToGrid w:val="0"/>
        <w:ind w:firstLine="420" w:firstLineChars="200"/>
        <w:rPr>
          <w:rStyle w:val="44"/>
          <w:rFonts w:hint="eastAsia" w:ascii="宋体" w:hAnsi="宋体" w:eastAsia="宋体" w:cs="宋体"/>
          <w:color w:val="auto"/>
          <w:sz w:val="21"/>
          <w:szCs w:val="21"/>
          <w:highlight w:val="none"/>
        </w:rPr>
      </w:pPr>
      <w:r>
        <w:rPr>
          <w:rStyle w:val="44"/>
          <w:rFonts w:hint="eastAsia" w:ascii="宋体" w:hAnsi="宋体" w:eastAsia="宋体" w:cs="宋体"/>
          <w:color w:val="auto"/>
          <w:sz w:val="21"/>
          <w:szCs w:val="21"/>
          <w:highlight w:val="none"/>
        </w:rPr>
        <w:t>1.地点：</w:t>
      </w:r>
      <w:r>
        <w:rPr>
          <w:rStyle w:val="44"/>
          <w:rFonts w:hint="eastAsia" w:ascii="宋体" w:hAnsi="宋体" w:eastAsia="宋体" w:cs="宋体"/>
          <w:b/>
          <w:bCs/>
          <w:color w:val="auto"/>
          <w:sz w:val="21"/>
          <w:szCs w:val="21"/>
          <w:highlight w:val="none"/>
        </w:rPr>
        <w:t>南通市崇川区人民政府网-公告公示栏目</w:t>
      </w:r>
      <w:r>
        <w:rPr>
          <w:rStyle w:val="44"/>
          <w:rFonts w:hint="eastAsia" w:ascii="宋体" w:hAnsi="宋体" w:eastAsia="宋体" w:cs="宋体"/>
          <w:color w:val="auto"/>
          <w:sz w:val="21"/>
          <w:szCs w:val="21"/>
          <w:highlight w:val="none"/>
        </w:rPr>
        <w:t>。</w:t>
      </w:r>
    </w:p>
    <w:p w14:paraId="6572DD1C">
      <w:pPr>
        <w:snapToGrid w:val="0"/>
        <w:ind w:firstLine="420" w:firstLineChars="200"/>
        <w:rPr>
          <w:rStyle w:val="44"/>
          <w:rFonts w:hint="eastAsia" w:ascii="宋体" w:hAnsi="宋体" w:eastAsia="宋体" w:cs="宋体"/>
          <w:color w:val="auto"/>
          <w:sz w:val="21"/>
          <w:szCs w:val="21"/>
          <w:highlight w:val="none"/>
        </w:rPr>
      </w:pPr>
      <w:r>
        <w:rPr>
          <w:rStyle w:val="44"/>
          <w:rFonts w:hint="eastAsia" w:ascii="宋体" w:hAnsi="宋体" w:eastAsia="宋体" w:cs="宋体"/>
          <w:color w:val="auto"/>
          <w:sz w:val="21"/>
          <w:szCs w:val="21"/>
          <w:highlight w:val="none"/>
        </w:rPr>
        <w:t>2.方式：自行下载。</w:t>
      </w:r>
    </w:p>
    <w:p w14:paraId="24E03E66">
      <w:pPr>
        <w:snapToGrid w:val="0"/>
        <w:ind w:firstLine="420" w:firstLineChars="200"/>
        <w:rPr>
          <w:rStyle w:val="44"/>
          <w:rFonts w:hint="eastAsia" w:ascii="宋体" w:hAnsi="宋体" w:eastAsia="宋体" w:cs="宋体"/>
          <w:color w:val="auto"/>
          <w:sz w:val="21"/>
          <w:szCs w:val="21"/>
          <w:highlight w:val="none"/>
        </w:rPr>
      </w:pPr>
      <w:r>
        <w:rPr>
          <w:rStyle w:val="44"/>
          <w:rFonts w:hint="eastAsia" w:ascii="宋体" w:hAnsi="宋体" w:eastAsia="宋体" w:cs="宋体"/>
          <w:color w:val="auto"/>
          <w:sz w:val="21"/>
          <w:szCs w:val="21"/>
          <w:highlight w:val="none"/>
        </w:rPr>
        <w:t>3.有关本次招标的事项若存在变动或修改，敬请及时关注“</w:t>
      </w:r>
      <w:r>
        <w:rPr>
          <w:rStyle w:val="44"/>
          <w:rFonts w:hint="eastAsia" w:ascii="宋体" w:hAnsi="宋体" w:eastAsia="宋体" w:cs="宋体"/>
          <w:b/>
          <w:bCs/>
          <w:color w:val="auto"/>
          <w:sz w:val="21"/>
          <w:szCs w:val="21"/>
          <w:highlight w:val="none"/>
        </w:rPr>
        <w:t>南通市崇川区人民政府网-公告公示栏目</w:t>
      </w:r>
      <w:r>
        <w:rPr>
          <w:rStyle w:val="44"/>
          <w:rFonts w:hint="eastAsia" w:ascii="宋体" w:hAnsi="宋体" w:eastAsia="宋体" w:cs="宋体"/>
          <w:color w:val="auto"/>
          <w:sz w:val="21"/>
          <w:szCs w:val="21"/>
          <w:highlight w:val="none"/>
        </w:rPr>
        <w:t>”发布的信息更正公告，恕不另行通知，如有遗漏采购人概不负责。</w:t>
      </w:r>
    </w:p>
    <w:p w14:paraId="7FA7AC79">
      <w:pPr>
        <w:pStyle w:val="97"/>
        <w:snapToGrid w:val="0"/>
        <w:spacing w:line="360" w:lineRule="auto"/>
        <w:ind w:left="0" w:firstLine="422"/>
        <w:rPr>
          <w:rStyle w:val="44"/>
          <w:rFonts w:hint="eastAsia" w:ascii="宋体" w:hAnsi="宋体" w:eastAsia="宋体" w:cs="宋体"/>
          <w:b/>
          <w:color w:val="auto"/>
          <w:sz w:val="21"/>
          <w:szCs w:val="21"/>
          <w:highlight w:val="none"/>
        </w:rPr>
      </w:pPr>
      <w:r>
        <w:rPr>
          <w:rStyle w:val="44"/>
          <w:rFonts w:hint="eastAsia" w:ascii="宋体" w:hAnsi="宋体" w:eastAsia="宋体" w:cs="宋体"/>
          <w:b/>
          <w:color w:val="auto"/>
          <w:sz w:val="21"/>
          <w:szCs w:val="21"/>
          <w:highlight w:val="none"/>
        </w:rPr>
        <w:t>四、投标</w:t>
      </w:r>
    </w:p>
    <w:p w14:paraId="04C9136D">
      <w:pPr>
        <w:pStyle w:val="97"/>
        <w:snapToGrid w:val="0"/>
        <w:spacing w:line="360" w:lineRule="auto"/>
        <w:ind w:left="0" w:firstLine="422"/>
        <w:rPr>
          <w:rStyle w:val="44"/>
          <w:rFonts w:hint="eastAsia" w:ascii="宋体" w:hAnsi="宋体" w:eastAsia="宋体" w:cs="宋体"/>
          <w:b/>
          <w:color w:val="auto"/>
          <w:sz w:val="21"/>
          <w:szCs w:val="21"/>
          <w:highlight w:val="none"/>
        </w:rPr>
      </w:pPr>
      <w:r>
        <w:rPr>
          <w:rStyle w:val="44"/>
          <w:rFonts w:hint="eastAsia" w:ascii="宋体" w:hAnsi="宋体" w:eastAsia="宋体" w:cs="宋体"/>
          <w:b/>
          <w:color w:val="auto"/>
          <w:sz w:val="21"/>
          <w:szCs w:val="21"/>
          <w:highlight w:val="none"/>
        </w:rPr>
        <w:t>1.投标供应商须认真阅读本招标文件的资格、商务技术、报价的各项要求条款，结合项目需求提供投标文件参与本项目的采购活动。</w:t>
      </w:r>
    </w:p>
    <w:p w14:paraId="5A206C9D">
      <w:pPr>
        <w:snapToGrid w:val="0"/>
        <w:ind w:firstLine="420" w:firstLineChars="200"/>
        <w:rPr>
          <w:rStyle w:val="44"/>
          <w:rFonts w:hint="eastAsia" w:ascii="宋体" w:hAnsi="宋体" w:eastAsia="宋体" w:cs="宋体"/>
          <w:color w:val="auto"/>
          <w:sz w:val="21"/>
          <w:szCs w:val="21"/>
          <w:highlight w:val="none"/>
        </w:rPr>
      </w:pPr>
      <w:r>
        <w:rPr>
          <w:rStyle w:val="44"/>
          <w:rFonts w:hint="eastAsia" w:ascii="宋体" w:hAnsi="宋体" w:eastAsia="宋体" w:cs="宋体"/>
          <w:color w:val="auto"/>
          <w:sz w:val="21"/>
          <w:szCs w:val="21"/>
          <w:highlight w:val="none"/>
        </w:rPr>
        <w:t>2.投标文件的递交</w:t>
      </w:r>
    </w:p>
    <w:p w14:paraId="4522D023">
      <w:pPr>
        <w:snapToGrid w:val="0"/>
        <w:ind w:firstLine="420" w:firstLineChars="200"/>
        <w:rPr>
          <w:rStyle w:val="44"/>
          <w:rFonts w:hint="eastAsia" w:ascii="宋体" w:hAnsi="宋体" w:eastAsia="宋体" w:cs="宋体"/>
          <w:color w:val="auto"/>
          <w:sz w:val="21"/>
          <w:szCs w:val="21"/>
          <w:highlight w:val="none"/>
        </w:rPr>
      </w:pPr>
      <w:r>
        <w:rPr>
          <w:rStyle w:val="44"/>
          <w:rFonts w:hint="eastAsia" w:ascii="宋体" w:hAnsi="宋体" w:eastAsia="宋体" w:cs="宋体"/>
          <w:color w:val="auto"/>
          <w:sz w:val="21"/>
          <w:szCs w:val="21"/>
          <w:highlight w:val="none"/>
        </w:rPr>
        <w:t>（1）接收人：采购代理机构；</w:t>
      </w:r>
    </w:p>
    <w:p w14:paraId="35397AAA">
      <w:pPr>
        <w:snapToGrid w:val="0"/>
        <w:ind w:firstLine="420" w:firstLineChars="200"/>
        <w:rPr>
          <w:rStyle w:val="44"/>
          <w:rFonts w:hint="eastAsia" w:ascii="宋体" w:hAnsi="宋体" w:eastAsia="宋体" w:cs="宋体"/>
          <w:color w:val="auto"/>
          <w:sz w:val="21"/>
          <w:szCs w:val="21"/>
          <w:highlight w:val="none"/>
        </w:rPr>
      </w:pPr>
      <w:r>
        <w:rPr>
          <w:rStyle w:val="44"/>
          <w:rFonts w:hint="eastAsia" w:ascii="宋体" w:hAnsi="宋体" w:eastAsia="宋体" w:cs="宋体"/>
          <w:color w:val="auto"/>
          <w:sz w:val="21"/>
          <w:szCs w:val="21"/>
          <w:highlight w:val="none"/>
        </w:rPr>
        <w:t>（2）投标文件接收截止及评审开始时间：</w:t>
      </w:r>
      <w:r>
        <w:rPr>
          <w:rStyle w:val="44"/>
          <w:rFonts w:hint="eastAsia" w:ascii="宋体" w:hAnsi="宋体" w:eastAsia="宋体" w:cs="宋体"/>
          <w:b/>
          <w:color w:val="auto"/>
          <w:sz w:val="21"/>
          <w:szCs w:val="21"/>
          <w:highlight w:val="none"/>
        </w:rPr>
        <w:t>2026年</w:t>
      </w:r>
      <w:r>
        <w:rPr>
          <w:rStyle w:val="44"/>
          <w:rFonts w:hint="eastAsia" w:ascii="宋体" w:hAnsi="宋体" w:eastAsia="宋体" w:cs="宋体"/>
          <w:b/>
          <w:color w:val="auto"/>
          <w:sz w:val="21"/>
          <w:szCs w:val="21"/>
          <w:highlight w:val="none"/>
          <w:lang w:val="en-US" w:eastAsia="zh-CN"/>
        </w:rPr>
        <w:t>2</w:t>
      </w:r>
      <w:r>
        <w:rPr>
          <w:rStyle w:val="44"/>
          <w:rFonts w:hint="eastAsia" w:ascii="宋体" w:hAnsi="宋体" w:eastAsia="宋体" w:cs="宋体"/>
          <w:b/>
          <w:color w:val="auto"/>
          <w:sz w:val="21"/>
          <w:szCs w:val="21"/>
          <w:highlight w:val="none"/>
        </w:rPr>
        <w:t>月</w:t>
      </w:r>
      <w:r>
        <w:rPr>
          <w:rStyle w:val="44"/>
          <w:rFonts w:hint="eastAsia" w:ascii="宋体" w:hAnsi="宋体" w:eastAsia="宋体" w:cs="宋体"/>
          <w:b/>
          <w:color w:val="auto"/>
          <w:sz w:val="21"/>
          <w:szCs w:val="21"/>
          <w:highlight w:val="none"/>
          <w:lang w:val="en-US" w:eastAsia="zh-CN"/>
        </w:rPr>
        <w:t>6</w:t>
      </w:r>
      <w:r>
        <w:rPr>
          <w:rStyle w:val="44"/>
          <w:rFonts w:hint="eastAsia" w:ascii="宋体" w:hAnsi="宋体" w:eastAsia="宋体" w:cs="宋体"/>
          <w:b/>
          <w:color w:val="auto"/>
          <w:sz w:val="21"/>
          <w:szCs w:val="21"/>
          <w:highlight w:val="none"/>
        </w:rPr>
        <w:t xml:space="preserve">日14时30分； </w:t>
      </w:r>
    </w:p>
    <w:p w14:paraId="4285CFB0">
      <w:pPr>
        <w:snapToGrid w:val="0"/>
        <w:ind w:firstLine="420" w:firstLineChars="200"/>
        <w:rPr>
          <w:rStyle w:val="44"/>
          <w:rFonts w:hint="eastAsia" w:ascii="宋体" w:hAnsi="宋体" w:eastAsia="宋体" w:cs="宋体"/>
          <w:color w:val="auto"/>
          <w:sz w:val="21"/>
          <w:szCs w:val="21"/>
          <w:highlight w:val="none"/>
        </w:rPr>
      </w:pPr>
      <w:r>
        <w:rPr>
          <w:rStyle w:val="44"/>
          <w:rFonts w:hint="eastAsia" w:ascii="宋体" w:hAnsi="宋体" w:eastAsia="宋体" w:cs="宋体"/>
          <w:color w:val="auto"/>
          <w:sz w:val="21"/>
          <w:szCs w:val="21"/>
          <w:highlight w:val="none"/>
        </w:rPr>
        <w:t>（3）投标文件递交地址：</w:t>
      </w:r>
      <w:r>
        <w:rPr>
          <w:rFonts w:hint="eastAsia" w:asciiTheme="minorEastAsia" w:hAnsiTheme="minorEastAsia" w:eastAsiaTheme="minorEastAsia" w:cstheme="minorEastAsia"/>
          <w:color w:val="auto"/>
          <w:sz w:val="21"/>
          <w:szCs w:val="21"/>
          <w:highlight w:val="none"/>
          <w:shd w:val="clear" w:color="auto" w:fill="auto"/>
        </w:rPr>
        <w:t>南通市崇川区青年中路153号4号楼211室（百度导航到汽车东站3号门）</w:t>
      </w:r>
      <w:r>
        <w:rPr>
          <w:rStyle w:val="44"/>
          <w:rFonts w:hint="eastAsia" w:ascii="宋体" w:hAnsi="宋体" w:eastAsia="宋体" w:cs="宋体"/>
          <w:color w:val="auto"/>
          <w:sz w:val="21"/>
          <w:szCs w:val="21"/>
          <w:highlight w:val="none"/>
        </w:rPr>
        <w:t xml:space="preserve"> ，如有变动另行通知。</w:t>
      </w:r>
    </w:p>
    <w:p w14:paraId="003FA9D9">
      <w:pPr>
        <w:snapToGrid w:val="0"/>
        <w:ind w:firstLine="420" w:firstLineChars="200"/>
        <w:rPr>
          <w:rStyle w:val="44"/>
          <w:rFonts w:hint="eastAsia" w:ascii="宋体" w:hAnsi="宋体" w:eastAsia="宋体" w:cs="宋体"/>
          <w:b/>
          <w:bCs/>
          <w:color w:val="auto"/>
          <w:sz w:val="21"/>
          <w:szCs w:val="21"/>
          <w:highlight w:val="none"/>
        </w:rPr>
      </w:pPr>
      <w:r>
        <w:rPr>
          <w:rStyle w:val="44"/>
          <w:rFonts w:hint="eastAsia" w:ascii="宋体" w:hAnsi="宋体" w:eastAsia="宋体" w:cs="宋体"/>
          <w:b/>
          <w:bCs/>
          <w:color w:val="auto"/>
          <w:sz w:val="21"/>
          <w:szCs w:val="21"/>
          <w:highlight w:val="none"/>
        </w:rPr>
        <w:t>五、开标</w:t>
      </w:r>
    </w:p>
    <w:p w14:paraId="4CBFD320">
      <w:pPr>
        <w:snapToGrid w:val="0"/>
        <w:ind w:firstLine="420" w:firstLineChars="200"/>
        <w:rPr>
          <w:rStyle w:val="44"/>
          <w:rFonts w:hint="eastAsia" w:ascii="宋体" w:hAnsi="宋体" w:eastAsia="宋体" w:cs="宋体"/>
          <w:color w:val="auto"/>
          <w:sz w:val="21"/>
          <w:szCs w:val="21"/>
          <w:highlight w:val="none"/>
        </w:rPr>
      </w:pPr>
      <w:r>
        <w:rPr>
          <w:rStyle w:val="44"/>
          <w:rFonts w:hint="eastAsia" w:ascii="宋体" w:hAnsi="宋体" w:eastAsia="宋体" w:cs="宋体"/>
          <w:color w:val="auto"/>
          <w:sz w:val="21"/>
          <w:szCs w:val="21"/>
          <w:highlight w:val="none"/>
        </w:rPr>
        <w:t>1.开标时间：</w:t>
      </w:r>
      <w:r>
        <w:rPr>
          <w:rStyle w:val="44"/>
          <w:rFonts w:hint="eastAsia" w:ascii="宋体" w:hAnsi="宋体" w:eastAsia="宋体" w:cs="宋体"/>
          <w:b/>
          <w:color w:val="auto"/>
          <w:sz w:val="21"/>
          <w:szCs w:val="21"/>
          <w:highlight w:val="none"/>
        </w:rPr>
        <w:t>2026年</w:t>
      </w:r>
      <w:r>
        <w:rPr>
          <w:rStyle w:val="44"/>
          <w:rFonts w:hint="eastAsia" w:ascii="宋体" w:hAnsi="宋体" w:eastAsia="宋体" w:cs="宋体"/>
          <w:b/>
          <w:color w:val="auto"/>
          <w:sz w:val="21"/>
          <w:szCs w:val="21"/>
          <w:highlight w:val="none"/>
          <w:lang w:val="en-US" w:eastAsia="zh-CN"/>
        </w:rPr>
        <w:t>2</w:t>
      </w:r>
      <w:r>
        <w:rPr>
          <w:rStyle w:val="44"/>
          <w:rFonts w:hint="eastAsia" w:ascii="宋体" w:hAnsi="宋体" w:eastAsia="宋体" w:cs="宋体"/>
          <w:b/>
          <w:color w:val="auto"/>
          <w:sz w:val="21"/>
          <w:szCs w:val="21"/>
          <w:highlight w:val="none"/>
        </w:rPr>
        <w:t>月</w:t>
      </w:r>
      <w:r>
        <w:rPr>
          <w:rStyle w:val="44"/>
          <w:rFonts w:hint="eastAsia" w:ascii="宋体" w:hAnsi="宋体" w:eastAsia="宋体" w:cs="宋体"/>
          <w:b/>
          <w:color w:val="auto"/>
          <w:sz w:val="21"/>
          <w:szCs w:val="21"/>
          <w:highlight w:val="none"/>
          <w:lang w:val="en-US" w:eastAsia="zh-CN"/>
        </w:rPr>
        <w:t>6</w:t>
      </w:r>
      <w:r>
        <w:rPr>
          <w:rStyle w:val="44"/>
          <w:rFonts w:hint="eastAsia" w:ascii="宋体" w:hAnsi="宋体" w:eastAsia="宋体" w:cs="宋体"/>
          <w:b/>
          <w:color w:val="auto"/>
          <w:sz w:val="21"/>
          <w:szCs w:val="21"/>
          <w:highlight w:val="none"/>
        </w:rPr>
        <w:t>日14时30分</w:t>
      </w:r>
      <w:r>
        <w:rPr>
          <w:rStyle w:val="44"/>
          <w:rFonts w:hint="eastAsia" w:ascii="宋体" w:hAnsi="宋体" w:eastAsia="宋体" w:cs="宋体"/>
          <w:color w:val="auto"/>
          <w:sz w:val="21"/>
          <w:szCs w:val="21"/>
          <w:highlight w:val="none"/>
        </w:rPr>
        <w:t>；</w:t>
      </w:r>
    </w:p>
    <w:p w14:paraId="57DF7D5B">
      <w:pPr>
        <w:snapToGrid w:val="0"/>
        <w:ind w:firstLine="420" w:firstLineChars="200"/>
        <w:rPr>
          <w:rStyle w:val="44"/>
          <w:rFonts w:hint="eastAsia" w:ascii="宋体" w:hAnsi="宋体" w:eastAsia="宋体" w:cs="宋体"/>
          <w:color w:val="auto"/>
          <w:sz w:val="21"/>
          <w:szCs w:val="21"/>
          <w:highlight w:val="none"/>
        </w:rPr>
      </w:pPr>
      <w:r>
        <w:rPr>
          <w:rStyle w:val="44"/>
          <w:rFonts w:hint="eastAsia" w:ascii="宋体" w:hAnsi="宋体" w:eastAsia="宋体" w:cs="宋体"/>
          <w:color w:val="auto"/>
          <w:sz w:val="21"/>
          <w:szCs w:val="21"/>
          <w:highlight w:val="none"/>
        </w:rPr>
        <w:t>2.开标地点：</w:t>
      </w:r>
      <w:r>
        <w:rPr>
          <w:rFonts w:hint="eastAsia" w:asciiTheme="minorEastAsia" w:hAnsiTheme="minorEastAsia" w:eastAsiaTheme="minorEastAsia" w:cstheme="minorEastAsia"/>
          <w:color w:val="auto"/>
          <w:sz w:val="21"/>
          <w:szCs w:val="21"/>
          <w:highlight w:val="none"/>
          <w:shd w:val="clear" w:color="auto" w:fill="auto"/>
        </w:rPr>
        <w:t>南通市崇川区青年中路153号4号楼211室（百度导航到汽车东站3号门）</w:t>
      </w:r>
      <w:r>
        <w:rPr>
          <w:rStyle w:val="44"/>
          <w:rFonts w:hint="eastAsia" w:ascii="宋体" w:hAnsi="宋体" w:eastAsia="宋体" w:cs="宋体"/>
          <w:color w:val="auto"/>
          <w:sz w:val="21"/>
          <w:szCs w:val="21"/>
          <w:highlight w:val="none"/>
        </w:rPr>
        <w:t xml:space="preserve"> ，如有变动另行通知。</w:t>
      </w:r>
    </w:p>
    <w:p w14:paraId="2B440CC5">
      <w:pPr>
        <w:snapToGrid w:val="0"/>
        <w:ind w:firstLine="420" w:firstLineChars="200"/>
        <w:rPr>
          <w:rStyle w:val="44"/>
          <w:rFonts w:hint="eastAsia" w:ascii="宋体" w:hAnsi="宋体" w:eastAsia="宋体" w:cs="宋体"/>
          <w:b/>
          <w:bCs/>
          <w:color w:val="auto"/>
          <w:sz w:val="21"/>
          <w:szCs w:val="21"/>
          <w:highlight w:val="none"/>
        </w:rPr>
      </w:pPr>
      <w:r>
        <w:rPr>
          <w:rStyle w:val="44"/>
          <w:rFonts w:hint="eastAsia" w:ascii="宋体" w:hAnsi="宋体" w:eastAsia="宋体" w:cs="宋体"/>
          <w:b/>
          <w:bCs/>
          <w:color w:val="auto"/>
          <w:sz w:val="21"/>
          <w:szCs w:val="21"/>
          <w:highlight w:val="none"/>
        </w:rPr>
        <w:t>六、联系方式</w:t>
      </w:r>
    </w:p>
    <w:p w14:paraId="673E57E2">
      <w:pPr>
        <w:snapToGrid w:val="0"/>
        <w:ind w:left="520" w:leftChars="200"/>
        <w:rPr>
          <w:rStyle w:val="44"/>
          <w:rFonts w:hint="eastAsia" w:ascii="宋体" w:hAnsi="宋体" w:eastAsia="宋体" w:cs="宋体"/>
          <w:color w:val="auto"/>
          <w:sz w:val="21"/>
          <w:szCs w:val="21"/>
          <w:highlight w:val="none"/>
        </w:rPr>
      </w:pPr>
      <w:r>
        <w:rPr>
          <w:rStyle w:val="44"/>
          <w:rFonts w:hint="eastAsia" w:ascii="宋体" w:hAnsi="宋体" w:eastAsia="宋体" w:cs="宋体"/>
          <w:color w:val="auto"/>
          <w:sz w:val="21"/>
          <w:szCs w:val="21"/>
          <w:highlight w:val="none"/>
        </w:rPr>
        <w:t>1.采购人信息</w:t>
      </w:r>
    </w:p>
    <w:p w14:paraId="345C88B3">
      <w:pPr>
        <w:snapToGrid w:val="0"/>
        <w:ind w:left="520" w:leftChars="200"/>
        <w:rPr>
          <w:rStyle w:val="44"/>
          <w:rFonts w:hint="eastAsia" w:ascii="宋体" w:hAnsi="宋体" w:eastAsia="宋体" w:cs="宋体"/>
          <w:color w:val="auto"/>
          <w:sz w:val="21"/>
          <w:szCs w:val="21"/>
          <w:highlight w:val="none"/>
        </w:rPr>
      </w:pPr>
      <w:r>
        <w:rPr>
          <w:rStyle w:val="44"/>
          <w:rFonts w:hint="eastAsia" w:ascii="宋体" w:hAnsi="宋体" w:eastAsia="宋体" w:cs="宋体"/>
          <w:color w:val="auto"/>
          <w:sz w:val="21"/>
          <w:szCs w:val="21"/>
          <w:highlight w:val="none"/>
        </w:rPr>
        <w:t>名称：江苏省南通市北高新技术产业开发区管理委员会；</w:t>
      </w:r>
    </w:p>
    <w:p w14:paraId="6FAD742D">
      <w:pPr>
        <w:snapToGrid w:val="0"/>
        <w:ind w:left="520" w:leftChars="200"/>
        <w:rPr>
          <w:rStyle w:val="44"/>
          <w:rFonts w:hint="eastAsia" w:ascii="宋体" w:hAnsi="宋体" w:eastAsia="宋体" w:cs="宋体"/>
          <w:color w:val="auto"/>
          <w:sz w:val="21"/>
          <w:szCs w:val="21"/>
          <w:highlight w:val="none"/>
        </w:rPr>
      </w:pPr>
      <w:r>
        <w:rPr>
          <w:rStyle w:val="44"/>
          <w:rFonts w:hint="eastAsia" w:ascii="宋体" w:hAnsi="宋体" w:eastAsia="宋体" w:cs="宋体"/>
          <w:color w:val="auto"/>
          <w:sz w:val="21"/>
          <w:szCs w:val="21"/>
          <w:highlight w:val="none"/>
        </w:rPr>
        <w:t>地址：江苏省永福路79号1号楼；</w:t>
      </w:r>
    </w:p>
    <w:p w14:paraId="6A8B4DF3">
      <w:pPr>
        <w:snapToGrid w:val="0"/>
        <w:ind w:left="520" w:leftChars="200"/>
        <w:rPr>
          <w:rStyle w:val="44"/>
          <w:rFonts w:hint="eastAsia" w:ascii="宋体" w:hAnsi="宋体" w:eastAsia="宋体" w:cs="宋体"/>
          <w:color w:val="auto"/>
          <w:sz w:val="21"/>
          <w:szCs w:val="21"/>
          <w:highlight w:val="none"/>
        </w:rPr>
      </w:pPr>
      <w:r>
        <w:rPr>
          <w:rStyle w:val="44"/>
          <w:rFonts w:hint="eastAsia" w:ascii="宋体" w:hAnsi="宋体" w:eastAsia="宋体" w:cs="宋体"/>
          <w:color w:val="auto"/>
          <w:sz w:val="21"/>
          <w:szCs w:val="21"/>
          <w:highlight w:val="none"/>
        </w:rPr>
        <w:t>联系人：吴先生</w:t>
      </w:r>
    </w:p>
    <w:p w14:paraId="253516A2">
      <w:pPr>
        <w:snapToGrid w:val="0"/>
        <w:ind w:left="520" w:leftChars="200"/>
        <w:rPr>
          <w:rStyle w:val="44"/>
          <w:rFonts w:hint="eastAsia" w:ascii="宋体" w:hAnsi="宋体" w:eastAsia="宋体" w:cs="宋体"/>
          <w:color w:val="auto"/>
          <w:sz w:val="21"/>
          <w:szCs w:val="21"/>
          <w:highlight w:val="none"/>
        </w:rPr>
      </w:pPr>
      <w:r>
        <w:rPr>
          <w:rStyle w:val="44"/>
          <w:rFonts w:hint="eastAsia" w:ascii="宋体" w:hAnsi="宋体" w:eastAsia="宋体" w:cs="宋体"/>
          <w:color w:val="auto"/>
          <w:sz w:val="21"/>
          <w:szCs w:val="21"/>
          <w:highlight w:val="none"/>
        </w:rPr>
        <w:t xml:space="preserve">联系方式：13646273575。 </w:t>
      </w:r>
    </w:p>
    <w:p w14:paraId="1A4F09FB">
      <w:pPr>
        <w:snapToGrid w:val="0"/>
        <w:ind w:left="520" w:leftChars="200"/>
        <w:rPr>
          <w:rStyle w:val="44"/>
          <w:rFonts w:hint="eastAsia" w:ascii="宋体" w:hAnsi="宋体" w:eastAsia="宋体" w:cs="宋体"/>
          <w:color w:val="auto"/>
          <w:sz w:val="21"/>
          <w:szCs w:val="21"/>
          <w:highlight w:val="none"/>
        </w:rPr>
      </w:pPr>
      <w:r>
        <w:rPr>
          <w:rStyle w:val="44"/>
          <w:rFonts w:hint="eastAsia" w:ascii="宋体" w:hAnsi="宋体" w:eastAsia="宋体" w:cs="宋体"/>
          <w:color w:val="auto"/>
          <w:sz w:val="21"/>
          <w:szCs w:val="21"/>
          <w:highlight w:val="none"/>
        </w:rPr>
        <w:t>2.采购代理机构信息</w:t>
      </w:r>
    </w:p>
    <w:p w14:paraId="40EF29BA">
      <w:pPr>
        <w:snapToGrid w:val="0"/>
        <w:ind w:left="520" w:leftChars="200"/>
        <w:rPr>
          <w:rStyle w:val="44"/>
          <w:rFonts w:hint="eastAsia" w:ascii="宋体" w:hAnsi="宋体" w:eastAsia="宋体" w:cs="宋体"/>
          <w:color w:val="auto"/>
          <w:sz w:val="21"/>
          <w:szCs w:val="21"/>
          <w:highlight w:val="none"/>
        </w:rPr>
      </w:pPr>
      <w:r>
        <w:rPr>
          <w:rStyle w:val="44"/>
          <w:rFonts w:hint="eastAsia" w:ascii="宋体" w:hAnsi="宋体" w:eastAsia="宋体" w:cs="宋体"/>
          <w:color w:val="auto"/>
          <w:sz w:val="21"/>
          <w:szCs w:val="21"/>
          <w:highlight w:val="none"/>
        </w:rPr>
        <w:t>名称：江苏正扬招标代理有限公司；</w:t>
      </w:r>
    </w:p>
    <w:p w14:paraId="6D10775F">
      <w:pPr>
        <w:snapToGrid w:val="0"/>
        <w:ind w:left="520" w:leftChars="200"/>
        <w:rPr>
          <w:rStyle w:val="44"/>
          <w:rFonts w:hint="eastAsia" w:ascii="宋体" w:hAnsi="宋体" w:eastAsia="宋体" w:cs="宋体"/>
          <w:color w:val="auto"/>
          <w:sz w:val="21"/>
          <w:szCs w:val="21"/>
          <w:highlight w:val="none"/>
        </w:rPr>
      </w:pPr>
      <w:r>
        <w:rPr>
          <w:rStyle w:val="44"/>
          <w:rFonts w:hint="eastAsia" w:ascii="宋体" w:hAnsi="宋体" w:eastAsia="宋体" w:cs="宋体"/>
          <w:color w:val="auto"/>
          <w:sz w:val="21"/>
          <w:szCs w:val="21"/>
          <w:highlight w:val="none"/>
        </w:rPr>
        <w:t>地址：南通市崇川区青年中路153号4号楼213室；</w:t>
      </w:r>
    </w:p>
    <w:p w14:paraId="7084A873">
      <w:pPr>
        <w:snapToGrid w:val="0"/>
        <w:ind w:left="520" w:leftChars="200"/>
        <w:rPr>
          <w:rStyle w:val="44"/>
          <w:rFonts w:hint="eastAsia" w:ascii="宋体" w:hAnsi="宋体" w:eastAsia="宋体" w:cs="宋体"/>
          <w:color w:val="auto"/>
          <w:sz w:val="21"/>
          <w:szCs w:val="21"/>
          <w:highlight w:val="none"/>
        </w:rPr>
      </w:pPr>
      <w:r>
        <w:rPr>
          <w:rStyle w:val="44"/>
          <w:rFonts w:hint="eastAsia" w:ascii="宋体" w:hAnsi="宋体" w:eastAsia="宋体" w:cs="宋体"/>
          <w:color w:val="auto"/>
          <w:sz w:val="21"/>
          <w:szCs w:val="21"/>
          <w:highlight w:val="none"/>
        </w:rPr>
        <w:t>联系电话：0513-85991998。</w:t>
      </w:r>
    </w:p>
    <w:p w14:paraId="6794B7BD">
      <w:pPr>
        <w:snapToGrid w:val="0"/>
        <w:ind w:left="520" w:leftChars="200"/>
        <w:rPr>
          <w:rStyle w:val="44"/>
          <w:rFonts w:hint="eastAsia" w:ascii="宋体" w:hAnsi="宋体" w:eastAsia="宋体" w:cs="宋体"/>
          <w:color w:val="auto"/>
          <w:sz w:val="21"/>
          <w:szCs w:val="21"/>
          <w:highlight w:val="none"/>
        </w:rPr>
      </w:pPr>
      <w:r>
        <w:rPr>
          <w:rStyle w:val="44"/>
          <w:rFonts w:hint="eastAsia" w:ascii="宋体" w:hAnsi="宋体" w:eastAsia="宋体" w:cs="宋体"/>
          <w:color w:val="auto"/>
          <w:sz w:val="21"/>
          <w:szCs w:val="21"/>
          <w:highlight w:val="none"/>
        </w:rPr>
        <w:t>3.项目联系方式：</w:t>
      </w:r>
    </w:p>
    <w:p w14:paraId="66611688">
      <w:pPr>
        <w:snapToGrid w:val="0"/>
        <w:ind w:left="520" w:leftChars="200"/>
        <w:rPr>
          <w:rStyle w:val="44"/>
          <w:rFonts w:hint="eastAsia" w:ascii="宋体" w:hAnsi="宋体" w:eastAsia="宋体" w:cs="宋体"/>
          <w:color w:val="auto"/>
          <w:sz w:val="21"/>
          <w:szCs w:val="21"/>
          <w:highlight w:val="none"/>
        </w:rPr>
      </w:pPr>
      <w:r>
        <w:rPr>
          <w:rStyle w:val="44"/>
          <w:rFonts w:hint="eastAsia" w:ascii="宋体" w:hAnsi="宋体" w:eastAsia="宋体" w:cs="宋体"/>
          <w:color w:val="auto"/>
          <w:sz w:val="21"/>
          <w:szCs w:val="21"/>
          <w:highlight w:val="none"/>
        </w:rPr>
        <w:t xml:space="preserve">联系人：李艳梅；     </w:t>
      </w:r>
    </w:p>
    <w:p w14:paraId="322ECCF3">
      <w:pPr>
        <w:snapToGrid w:val="0"/>
        <w:ind w:left="520" w:leftChars="200"/>
        <w:rPr>
          <w:rStyle w:val="44"/>
          <w:rFonts w:hint="eastAsia" w:ascii="宋体" w:hAnsi="宋体" w:eastAsia="宋体" w:cs="宋体"/>
          <w:color w:val="auto"/>
          <w:sz w:val="21"/>
          <w:szCs w:val="21"/>
          <w:highlight w:val="none"/>
        </w:rPr>
      </w:pPr>
      <w:r>
        <w:rPr>
          <w:rStyle w:val="44"/>
          <w:rFonts w:hint="eastAsia" w:ascii="宋体" w:hAnsi="宋体" w:eastAsia="宋体" w:cs="宋体"/>
          <w:color w:val="auto"/>
          <w:sz w:val="21"/>
          <w:szCs w:val="21"/>
          <w:highlight w:val="none"/>
        </w:rPr>
        <w:t>联系电话：0513-85991998。</w:t>
      </w:r>
    </w:p>
    <w:p w14:paraId="1A334289">
      <w:pPr>
        <w:snapToGrid w:val="0"/>
        <w:ind w:firstLine="420" w:firstLineChars="200"/>
        <w:rPr>
          <w:rStyle w:val="44"/>
          <w:rFonts w:hint="eastAsia" w:ascii="宋体" w:hAnsi="宋体" w:eastAsia="宋体" w:cs="宋体"/>
          <w:b/>
          <w:bCs/>
          <w:color w:val="auto"/>
          <w:sz w:val="21"/>
          <w:szCs w:val="21"/>
          <w:highlight w:val="none"/>
        </w:rPr>
      </w:pPr>
      <w:r>
        <w:rPr>
          <w:rStyle w:val="44"/>
          <w:rFonts w:hint="eastAsia" w:ascii="宋体" w:hAnsi="宋体" w:eastAsia="宋体" w:cs="宋体"/>
          <w:b/>
          <w:bCs/>
          <w:color w:val="auto"/>
          <w:sz w:val="21"/>
          <w:szCs w:val="21"/>
          <w:highlight w:val="none"/>
        </w:rPr>
        <w:t>九、招标公告期</w:t>
      </w:r>
    </w:p>
    <w:p w14:paraId="19991D55">
      <w:pPr>
        <w:snapToGrid w:val="0"/>
        <w:ind w:firstLine="420" w:firstLineChars="200"/>
        <w:rPr>
          <w:rStyle w:val="44"/>
          <w:rFonts w:hint="eastAsia" w:ascii="宋体" w:hAnsi="宋体" w:eastAsia="宋体" w:cs="宋体"/>
          <w:color w:val="auto"/>
          <w:sz w:val="21"/>
          <w:szCs w:val="21"/>
          <w:highlight w:val="none"/>
        </w:rPr>
      </w:pPr>
      <w:r>
        <w:rPr>
          <w:rStyle w:val="44"/>
          <w:rFonts w:hint="eastAsia" w:ascii="宋体" w:hAnsi="宋体" w:eastAsia="宋体" w:cs="宋体"/>
          <w:color w:val="auto"/>
          <w:sz w:val="21"/>
          <w:szCs w:val="21"/>
          <w:highlight w:val="none"/>
        </w:rPr>
        <w:t>1.本公开招标采购项目的公告期为公告之日后起的5个工作日。</w:t>
      </w:r>
    </w:p>
    <w:p w14:paraId="5E791BFA">
      <w:pPr>
        <w:snapToGrid w:val="0"/>
        <w:ind w:firstLine="420" w:firstLineChars="200"/>
        <w:rPr>
          <w:rStyle w:val="44"/>
          <w:rFonts w:hint="eastAsia" w:ascii="宋体" w:hAnsi="宋体" w:eastAsia="宋体" w:cs="宋体"/>
          <w:color w:val="auto"/>
          <w:sz w:val="21"/>
          <w:szCs w:val="21"/>
          <w:highlight w:val="none"/>
        </w:rPr>
      </w:pPr>
      <w:r>
        <w:rPr>
          <w:rStyle w:val="44"/>
          <w:rFonts w:hint="eastAsia" w:ascii="宋体" w:hAnsi="宋体" w:eastAsia="宋体" w:cs="宋体"/>
          <w:color w:val="auto"/>
          <w:sz w:val="21"/>
          <w:szCs w:val="21"/>
          <w:highlight w:val="none"/>
        </w:rPr>
        <w:t>2.本次采购的有关信息将在</w:t>
      </w:r>
      <w:r>
        <w:rPr>
          <w:rStyle w:val="44"/>
          <w:rFonts w:hint="eastAsia" w:ascii="宋体" w:hAnsi="宋体" w:eastAsia="宋体" w:cs="宋体"/>
          <w:b/>
          <w:bCs/>
          <w:color w:val="auto"/>
          <w:sz w:val="21"/>
          <w:szCs w:val="21"/>
          <w:highlight w:val="none"/>
        </w:rPr>
        <w:t>南通市崇川区人民政府网-公告公示栏目</w:t>
      </w:r>
      <w:r>
        <w:rPr>
          <w:rStyle w:val="44"/>
          <w:rFonts w:hint="eastAsia" w:ascii="宋体" w:hAnsi="宋体" w:eastAsia="宋体" w:cs="宋体"/>
          <w:color w:val="auto"/>
          <w:sz w:val="21"/>
          <w:szCs w:val="21"/>
          <w:highlight w:val="none"/>
        </w:rPr>
        <w:t>上发布，敬请留意。</w:t>
      </w:r>
    </w:p>
    <w:p w14:paraId="3EDAE011">
      <w:pPr>
        <w:snapToGrid w:val="0"/>
        <w:ind w:firstLine="420" w:firstLineChars="200"/>
        <w:rPr>
          <w:rStyle w:val="44"/>
          <w:rFonts w:hint="eastAsia" w:ascii="宋体" w:hAnsi="宋体" w:eastAsia="宋体" w:cs="宋体"/>
          <w:color w:val="auto"/>
          <w:sz w:val="21"/>
          <w:szCs w:val="21"/>
          <w:highlight w:val="none"/>
        </w:rPr>
      </w:pPr>
      <w:r>
        <w:rPr>
          <w:rStyle w:val="44"/>
          <w:rFonts w:hint="eastAsia" w:ascii="宋体" w:hAnsi="宋体" w:eastAsia="宋体" w:cs="宋体"/>
          <w:color w:val="auto"/>
          <w:sz w:val="21"/>
          <w:szCs w:val="21"/>
          <w:highlight w:val="none"/>
        </w:rPr>
        <w:t>3.潜在供应商在获取本次招标采购文件后，认真阅读各项内容。有意愿参与本项目投标的供应商须进行必要准备工作，按招标文件的要求详细填写和编制投标文件，并按招标文件确定的时间、地点准时参加本项目的招标采购活动。</w:t>
      </w:r>
    </w:p>
    <w:p w14:paraId="2528DC77">
      <w:pPr>
        <w:snapToGrid w:val="0"/>
        <w:ind w:firstLine="420" w:firstLineChars="200"/>
        <w:rPr>
          <w:rStyle w:val="44"/>
          <w:rFonts w:hint="eastAsia" w:ascii="宋体" w:hAnsi="宋体" w:eastAsia="宋体" w:cs="宋体"/>
          <w:color w:val="auto"/>
          <w:sz w:val="21"/>
          <w:szCs w:val="21"/>
          <w:highlight w:val="none"/>
        </w:rPr>
      </w:pPr>
      <w:r>
        <w:rPr>
          <w:rStyle w:val="44"/>
          <w:rFonts w:hint="eastAsia" w:ascii="宋体" w:hAnsi="宋体" w:eastAsia="宋体" w:cs="宋体"/>
          <w:color w:val="auto"/>
          <w:sz w:val="21"/>
          <w:szCs w:val="21"/>
          <w:highlight w:val="none"/>
        </w:rPr>
        <w:t>4.供应商应依照规定提交各类声明函、承诺函，不再同时提供原件备查或提供有关部门出具的相关证明文件。但中标后中标单位，应做好提交声明函、承诺函相应原件的核查准备；核查后发现虚假或违背承诺的，依照相关法律法规规定处理。</w:t>
      </w:r>
    </w:p>
    <w:p w14:paraId="2BDAC40D">
      <w:pPr>
        <w:keepLines/>
        <w:snapToGrid w:val="0"/>
        <w:spacing w:line="500" w:lineRule="exact"/>
        <w:jc w:val="center"/>
        <w:rPr>
          <w:rStyle w:val="44"/>
          <w:rFonts w:hint="eastAsia" w:ascii="宋体" w:hAnsi="宋体" w:eastAsia="宋体" w:cs="宋体"/>
          <w:b/>
          <w:color w:val="auto"/>
          <w:sz w:val="36"/>
          <w:szCs w:val="36"/>
          <w:highlight w:val="none"/>
        </w:rPr>
      </w:pPr>
      <w:r>
        <w:rPr>
          <w:rStyle w:val="44"/>
          <w:rFonts w:hint="eastAsia" w:ascii="宋体" w:hAnsi="宋体" w:eastAsia="宋体" w:cs="宋体"/>
          <w:b/>
          <w:color w:val="auto"/>
          <w:w w:val="80"/>
          <w:kern w:val="44"/>
          <w:sz w:val="36"/>
          <w:szCs w:val="36"/>
          <w:highlight w:val="none"/>
        </w:rPr>
        <w:br w:type="page"/>
      </w:r>
      <w:r>
        <w:rPr>
          <w:rStyle w:val="44"/>
          <w:rFonts w:hint="eastAsia" w:ascii="宋体" w:hAnsi="宋体" w:eastAsia="宋体" w:cs="宋体"/>
          <w:b/>
          <w:color w:val="auto"/>
          <w:w w:val="80"/>
          <w:kern w:val="44"/>
          <w:sz w:val="36"/>
          <w:szCs w:val="36"/>
          <w:highlight w:val="none"/>
        </w:rPr>
        <w:t>第二章  投标供应商须知</w:t>
      </w:r>
    </w:p>
    <w:p w14:paraId="040D325E">
      <w:pPr>
        <w:snapToGrid w:val="0"/>
        <w:spacing w:line="500" w:lineRule="exact"/>
        <w:ind w:firstLine="494" w:firstLineChars="206"/>
        <w:rPr>
          <w:rStyle w:val="44"/>
          <w:rFonts w:hint="eastAsia" w:ascii="宋体" w:hAnsi="宋体" w:eastAsia="宋体" w:cs="宋体"/>
          <w:b/>
          <w:bCs/>
          <w:color w:val="auto"/>
          <w:sz w:val="24"/>
          <w:szCs w:val="24"/>
          <w:highlight w:val="none"/>
        </w:rPr>
      </w:pPr>
      <w:r>
        <w:rPr>
          <w:rStyle w:val="44"/>
          <w:rFonts w:hint="eastAsia" w:ascii="宋体" w:hAnsi="宋体" w:eastAsia="宋体" w:cs="宋体"/>
          <w:b/>
          <w:bCs/>
          <w:color w:val="auto"/>
          <w:sz w:val="24"/>
          <w:szCs w:val="24"/>
          <w:highlight w:val="none"/>
        </w:rPr>
        <w:t>一、说明</w:t>
      </w:r>
    </w:p>
    <w:p w14:paraId="7210544E">
      <w:pPr>
        <w:snapToGrid w:val="0"/>
        <w:spacing w:line="500" w:lineRule="exact"/>
        <w:ind w:firstLine="480" w:firstLineChars="200"/>
        <w:rPr>
          <w:rStyle w:val="44"/>
          <w:rFonts w:hint="eastAsia" w:ascii="宋体" w:hAnsi="宋体" w:eastAsia="宋体" w:cs="宋体"/>
          <w:color w:val="auto"/>
          <w:sz w:val="24"/>
          <w:szCs w:val="24"/>
          <w:highlight w:val="none"/>
        </w:rPr>
      </w:pPr>
      <w:r>
        <w:rPr>
          <w:rStyle w:val="44"/>
          <w:rFonts w:hint="eastAsia" w:ascii="宋体" w:hAnsi="宋体" w:eastAsia="宋体" w:cs="宋体"/>
          <w:color w:val="auto"/>
          <w:sz w:val="24"/>
          <w:szCs w:val="24"/>
          <w:highlight w:val="none"/>
        </w:rPr>
        <w:t>1.本招标文件仅适用于江苏正扬招标代理有限公司（以下称代理机构）组织的公开招标活动。</w:t>
      </w:r>
    </w:p>
    <w:p w14:paraId="6B7F7237">
      <w:pPr>
        <w:snapToGrid w:val="0"/>
        <w:spacing w:line="500" w:lineRule="exact"/>
        <w:ind w:firstLine="480" w:firstLineChars="200"/>
        <w:rPr>
          <w:rStyle w:val="44"/>
          <w:rFonts w:hint="eastAsia" w:ascii="宋体" w:hAnsi="宋体" w:eastAsia="宋体" w:cs="宋体"/>
          <w:color w:val="auto"/>
          <w:sz w:val="24"/>
          <w:szCs w:val="24"/>
          <w:highlight w:val="none"/>
        </w:rPr>
      </w:pPr>
      <w:r>
        <w:rPr>
          <w:rStyle w:val="44"/>
          <w:rFonts w:hint="eastAsia" w:ascii="宋体" w:hAnsi="宋体" w:eastAsia="宋体" w:cs="宋体"/>
          <w:color w:val="auto"/>
          <w:sz w:val="24"/>
          <w:szCs w:val="24"/>
          <w:highlight w:val="none"/>
        </w:rPr>
        <w:t>2.公开招标活动及因本次招标产生的合同受中国法律制约和保护。</w:t>
      </w:r>
    </w:p>
    <w:p w14:paraId="384DC3F8">
      <w:pPr>
        <w:snapToGrid w:val="0"/>
        <w:spacing w:line="500" w:lineRule="exact"/>
        <w:ind w:firstLine="480" w:firstLineChars="200"/>
        <w:rPr>
          <w:rStyle w:val="44"/>
          <w:rFonts w:hint="eastAsia" w:ascii="宋体" w:hAnsi="宋体" w:eastAsia="宋体" w:cs="宋体"/>
          <w:color w:val="auto"/>
          <w:sz w:val="24"/>
          <w:szCs w:val="24"/>
          <w:highlight w:val="none"/>
        </w:rPr>
      </w:pPr>
      <w:r>
        <w:rPr>
          <w:rStyle w:val="44"/>
          <w:rFonts w:hint="eastAsia" w:ascii="宋体" w:hAnsi="宋体" w:eastAsia="宋体" w:cs="宋体"/>
          <w:color w:val="auto"/>
          <w:sz w:val="24"/>
          <w:szCs w:val="24"/>
          <w:highlight w:val="none"/>
        </w:rPr>
        <w:t>3.招标文件的解释权属于代理机构。</w:t>
      </w:r>
    </w:p>
    <w:p w14:paraId="17FF854B">
      <w:pPr>
        <w:snapToGrid w:val="0"/>
        <w:spacing w:line="500" w:lineRule="exact"/>
        <w:ind w:firstLine="472" w:firstLineChars="200"/>
        <w:rPr>
          <w:rStyle w:val="44"/>
          <w:rFonts w:hint="eastAsia" w:ascii="宋体" w:hAnsi="宋体" w:eastAsia="宋体" w:cs="宋体"/>
          <w:b/>
          <w:bCs/>
          <w:color w:val="auto"/>
          <w:spacing w:val="-2"/>
          <w:sz w:val="24"/>
          <w:szCs w:val="24"/>
          <w:highlight w:val="none"/>
        </w:rPr>
      </w:pPr>
      <w:r>
        <w:rPr>
          <w:rStyle w:val="44"/>
          <w:rFonts w:hint="eastAsia" w:ascii="宋体" w:hAnsi="宋体" w:eastAsia="宋体" w:cs="宋体"/>
          <w:color w:val="auto"/>
          <w:spacing w:val="-2"/>
          <w:sz w:val="24"/>
          <w:szCs w:val="24"/>
          <w:highlight w:val="none"/>
        </w:rPr>
        <w:t>4.</w:t>
      </w:r>
      <w:r>
        <w:rPr>
          <w:rFonts w:hint="eastAsia" w:ascii="宋体" w:hAnsi="宋体" w:eastAsia="宋体" w:cs="宋体"/>
          <w:color w:val="auto"/>
          <w:spacing w:val="-2"/>
          <w:sz w:val="24"/>
          <w:szCs w:val="24"/>
          <w:highlight w:val="none"/>
        </w:rPr>
        <w:t>投标供应商在知道或应当知道本项目招标公告及招标文件中的所有内容：如内容或页码短缺、资格要求和技术参数出现倾向性或排他性等表述的，</w:t>
      </w:r>
      <w:r>
        <w:rPr>
          <w:rFonts w:hint="eastAsia" w:ascii="宋体" w:hAnsi="宋体" w:eastAsia="宋体" w:cs="宋体"/>
          <w:b/>
          <w:color w:val="auto"/>
          <w:spacing w:val="-2"/>
          <w:sz w:val="24"/>
          <w:szCs w:val="24"/>
          <w:highlight w:val="none"/>
        </w:rPr>
        <w:t>应在本项目招标公告期限及期限届满之日后的7个工作日内提出询问或以书面实名制形式提出质疑</w:t>
      </w:r>
      <w:r>
        <w:rPr>
          <w:rFonts w:hint="eastAsia" w:ascii="宋体" w:hAnsi="宋体" w:eastAsia="宋体" w:cs="宋体"/>
          <w:color w:val="auto"/>
          <w:spacing w:val="-2"/>
          <w:sz w:val="24"/>
          <w:szCs w:val="24"/>
          <w:highlight w:val="none"/>
        </w:rPr>
        <w:t>；未提出询问、质疑或是未在规定期间内提出询问、质疑的，视作供应商接受本项目招标公告及招标文件中的全部内容；投标供应商不得在招标活动期间及招标结束后针对本项目招标公告及招标文件中的所有内容提出质疑、投诉。</w:t>
      </w:r>
      <w:r>
        <w:rPr>
          <w:rFonts w:hint="eastAsia" w:ascii="宋体" w:hAnsi="宋体" w:eastAsia="宋体" w:cs="宋体"/>
          <w:b/>
          <w:color w:val="auto"/>
          <w:spacing w:val="-2"/>
          <w:sz w:val="24"/>
          <w:szCs w:val="24"/>
          <w:highlight w:val="none"/>
        </w:rPr>
        <w:t>供应商须在法定质疑期内一次性提出针对同一采购程序环节的质疑。非书面形式的不作为日后质疑提出的依据</w:t>
      </w:r>
      <w:r>
        <w:rPr>
          <w:rFonts w:hint="eastAsia" w:ascii="宋体" w:hAnsi="宋体" w:eastAsia="宋体" w:cs="宋体"/>
          <w:b/>
          <w:bCs/>
          <w:color w:val="auto"/>
          <w:sz w:val="24"/>
          <w:szCs w:val="24"/>
          <w:highlight w:val="none"/>
        </w:rPr>
        <w:t>。</w:t>
      </w:r>
    </w:p>
    <w:p w14:paraId="4118D290">
      <w:pPr>
        <w:snapToGrid w:val="0"/>
        <w:spacing w:line="500" w:lineRule="exact"/>
        <w:ind w:firstLine="480" w:firstLineChars="200"/>
        <w:rPr>
          <w:rStyle w:val="44"/>
          <w:rFonts w:hint="eastAsia" w:ascii="宋体" w:hAnsi="宋体" w:eastAsia="宋体" w:cs="宋体"/>
          <w:color w:val="auto"/>
          <w:sz w:val="24"/>
          <w:szCs w:val="24"/>
          <w:highlight w:val="none"/>
        </w:rPr>
      </w:pPr>
      <w:r>
        <w:rPr>
          <w:rStyle w:val="44"/>
          <w:rFonts w:hint="eastAsia" w:ascii="宋体" w:hAnsi="宋体" w:eastAsia="宋体" w:cs="宋体"/>
          <w:color w:val="auto"/>
          <w:sz w:val="24"/>
          <w:szCs w:val="24"/>
          <w:highlight w:val="none"/>
        </w:rPr>
        <w:t>5.投标供应商应认真审阅招标文件中所有的事项、格式、条款和规范要求等，如果供应商没有按照招标文件要求提交投标文件，或者投标文件没有对招标文件做出实质性响应，将被拒绝参与投标。</w:t>
      </w:r>
    </w:p>
    <w:p w14:paraId="2321DB30">
      <w:pPr>
        <w:snapToGrid w:val="0"/>
        <w:spacing w:line="500" w:lineRule="exact"/>
        <w:ind w:firstLine="494" w:firstLineChars="206"/>
        <w:rPr>
          <w:rStyle w:val="44"/>
          <w:rFonts w:hint="eastAsia" w:ascii="宋体" w:hAnsi="宋体" w:eastAsia="宋体" w:cs="宋体"/>
          <w:b/>
          <w:color w:val="auto"/>
          <w:sz w:val="24"/>
          <w:szCs w:val="24"/>
          <w:highlight w:val="none"/>
        </w:rPr>
      </w:pPr>
      <w:r>
        <w:rPr>
          <w:rStyle w:val="44"/>
          <w:rFonts w:hint="eastAsia" w:ascii="宋体" w:hAnsi="宋体" w:eastAsia="宋体" w:cs="宋体"/>
          <w:color w:val="auto"/>
          <w:sz w:val="24"/>
          <w:szCs w:val="24"/>
          <w:highlight w:val="none"/>
        </w:rPr>
        <w:t>6.招标文件项目需求提供的可能涉及到的工艺、材料、设备、商标、样本、技术规范、参数规格、品牌等，仅作为说明并没有限制性，投标供应商在投标中可以选用替代标准，但这些替代标准要优于或相当于项目需求技术规格中要求的标准，以满足采购人的需要。</w:t>
      </w:r>
    </w:p>
    <w:p w14:paraId="077BE4AC">
      <w:pPr>
        <w:snapToGrid w:val="0"/>
        <w:spacing w:line="500" w:lineRule="exact"/>
        <w:ind w:firstLine="494" w:firstLineChars="206"/>
        <w:rPr>
          <w:rStyle w:val="44"/>
          <w:rFonts w:hint="eastAsia" w:ascii="宋体" w:hAnsi="宋体" w:eastAsia="宋体" w:cs="宋体"/>
          <w:b/>
          <w:bCs/>
          <w:color w:val="auto"/>
          <w:sz w:val="24"/>
          <w:szCs w:val="24"/>
          <w:highlight w:val="none"/>
        </w:rPr>
      </w:pPr>
      <w:r>
        <w:rPr>
          <w:rStyle w:val="44"/>
          <w:rFonts w:hint="eastAsia" w:ascii="宋体" w:hAnsi="宋体" w:eastAsia="宋体" w:cs="宋体"/>
          <w:b/>
          <w:bCs/>
          <w:color w:val="auto"/>
          <w:sz w:val="24"/>
          <w:szCs w:val="24"/>
          <w:highlight w:val="none"/>
        </w:rPr>
        <w:t>二、招标文件的补充说明、澄清、修改、答疑</w:t>
      </w:r>
    </w:p>
    <w:p w14:paraId="576AF5EE">
      <w:pPr>
        <w:snapToGrid w:val="0"/>
        <w:spacing w:line="500" w:lineRule="exact"/>
        <w:ind w:firstLine="480" w:firstLineChars="200"/>
        <w:rPr>
          <w:rStyle w:val="44"/>
          <w:rFonts w:hint="eastAsia" w:ascii="宋体" w:hAnsi="宋体" w:eastAsia="宋体" w:cs="宋体"/>
          <w:color w:val="auto"/>
          <w:sz w:val="24"/>
          <w:szCs w:val="24"/>
          <w:highlight w:val="none"/>
        </w:rPr>
      </w:pPr>
      <w:r>
        <w:rPr>
          <w:rStyle w:val="44"/>
          <w:rFonts w:hint="eastAsia" w:ascii="宋体" w:hAnsi="宋体" w:eastAsia="宋体" w:cs="宋体"/>
          <w:color w:val="auto"/>
          <w:sz w:val="24"/>
          <w:szCs w:val="24"/>
          <w:highlight w:val="none"/>
        </w:rPr>
        <w:t>1.代理机构有权对发出的招标文件进行必要的补充说明、澄清或修改。</w:t>
      </w:r>
    </w:p>
    <w:p w14:paraId="5A47E104">
      <w:pPr>
        <w:snapToGrid w:val="0"/>
        <w:spacing w:line="500" w:lineRule="exact"/>
        <w:ind w:firstLine="480" w:firstLineChars="200"/>
        <w:jc w:val="left"/>
        <w:rPr>
          <w:rStyle w:val="44"/>
          <w:rFonts w:hint="eastAsia" w:ascii="宋体" w:hAnsi="宋体" w:eastAsia="宋体" w:cs="宋体"/>
          <w:color w:val="auto"/>
          <w:sz w:val="24"/>
          <w:szCs w:val="24"/>
          <w:highlight w:val="none"/>
        </w:rPr>
      </w:pPr>
      <w:r>
        <w:rPr>
          <w:rStyle w:val="44"/>
          <w:rFonts w:hint="eastAsia" w:ascii="宋体" w:hAnsi="宋体" w:eastAsia="宋体" w:cs="宋体"/>
          <w:color w:val="auto"/>
          <w:sz w:val="24"/>
          <w:szCs w:val="24"/>
          <w:highlight w:val="none"/>
        </w:rPr>
        <w:t>2.招标文件的澄清、修改、补充等内容均以书面明确的形式发布，且以在南通市崇川区人民政府网-公告公示栏目发布的信息为准。</w:t>
      </w:r>
    </w:p>
    <w:p w14:paraId="078111DF">
      <w:pPr>
        <w:snapToGrid w:val="0"/>
        <w:spacing w:line="500" w:lineRule="exact"/>
        <w:ind w:firstLine="480" w:firstLineChars="200"/>
        <w:rPr>
          <w:rStyle w:val="44"/>
          <w:rFonts w:hint="eastAsia" w:ascii="宋体" w:hAnsi="宋体" w:eastAsia="宋体" w:cs="宋体"/>
          <w:color w:val="auto"/>
          <w:sz w:val="24"/>
          <w:szCs w:val="24"/>
          <w:highlight w:val="none"/>
        </w:rPr>
      </w:pPr>
      <w:r>
        <w:rPr>
          <w:rStyle w:val="44"/>
          <w:rFonts w:hint="eastAsia" w:ascii="宋体" w:hAnsi="宋体" w:eastAsia="宋体" w:cs="宋体"/>
          <w:color w:val="auto"/>
          <w:sz w:val="24"/>
          <w:szCs w:val="24"/>
          <w:highlight w:val="none"/>
        </w:rPr>
        <w:t>3.代理机构对招标文件的补充说明、澄清或修改，将构成招标文件的一部分，对投标供应商具有约束力。</w:t>
      </w:r>
    </w:p>
    <w:p w14:paraId="008BE09E">
      <w:pPr>
        <w:snapToGrid w:val="0"/>
        <w:spacing w:line="500" w:lineRule="exact"/>
        <w:ind w:firstLine="480" w:firstLineChars="200"/>
        <w:rPr>
          <w:rStyle w:val="44"/>
          <w:rFonts w:hint="eastAsia" w:ascii="宋体" w:hAnsi="宋体" w:eastAsia="宋体" w:cs="宋体"/>
          <w:color w:val="auto"/>
          <w:sz w:val="24"/>
          <w:szCs w:val="24"/>
          <w:highlight w:val="none"/>
        </w:rPr>
      </w:pPr>
      <w:r>
        <w:rPr>
          <w:rStyle w:val="44"/>
          <w:rFonts w:hint="eastAsia" w:ascii="宋体" w:hAnsi="宋体" w:eastAsia="宋体" w:cs="宋体"/>
          <w:color w:val="auto"/>
          <w:sz w:val="24"/>
          <w:szCs w:val="24"/>
          <w:highlight w:val="none"/>
        </w:rPr>
        <w:t>4.补充说明、澄清或修改的内容可能影响到投标文件编制的，代理机构将在提交首次投标文件截止之日15日前，发布补充说明、澄清或修改公告，不足15日的，应当顺延提交首次投标文件截止之日。</w:t>
      </w:r>
    </w:p>
    <w:p w14:paraId="4B1B9AFE">
      <w:pPr>
        <w:snapToGrid w:val="0"/>
        <w:spacing w:line="500" w:lineRule="exact"/>
        <w:ind w:firstLine="480" w:firstLineChars="200"/>
        <w:rPr>
          <w:rStyle w:val="44"/>
          <w:rFonts w:hint="eastAsia" w:ascii="宋体" w:hAnsi="宋体" w:eastAsia="宋体" w:cs="宋体"/>
          <w:color w:val="auto"/>
          <w:sz w:val="24"/>
          <w:szCs w:val="24"/>
          <w:highlight w:val="none"/>
        </w:rPr>
      </w:pPr>
      <w:r>
        <w:rPr>
          <w:rStyle w:val="44"/>
          <w:rFonts w:hint="eastAsia" w:ascii="宋体" w:hAnsi="宋体" w:eastAsia="宋体" w:cs="宋体"/>
          <w:color w:val="auto"/>
          <w:sz w:val="24"/>
          <w:szCs w:val="24"/>
          <w:highlight w:val="none"/>
        </w:rPr>
        <w:t>5.除非代理机构以书面的形式对招标文件作出澄清、修改及补充，投标供应商对涉及招标文件的任何推论、理解和结论所造成的结果，均由投标供应商自负。</w:t>
      </w:r>
    </w:p>
    <w:p w14:paraId="7C1CD970">
      <w:pPr>
        <w:snapToGrid w:val="0"/>
        <w:spacing w:line="500" w:lineRule="exact"/>
        <w:ind w:firstLine="480" w:firstLineChars="200"/>
        <w:rPr>
          <w:rStyle w:val="44"/>
          <w:rFonts w:hint="eastAsia" w:ascii="宋体" w:hAnsi="宋体" w:eastAsia="宋体" w:cs="宋体"/>
          <w:color w:val="auto"/>
          <w:sz w:val="24"/>
          <w:szCs w:val="24"/>
          <w:highlight w:val="none"/>
        </w:rPr>
      </w:pPr>
      <w:r>
        <w:rPr>
          <w:rStyle w:val="44"/>
          <w:rFonts w:hint="eastAsia" w:ascii="宋体" w:hAnsi="宋体" w:eastAsia="宋体" w:cs="宋体"/>
          <w:color w:val="auto"/>
          <w:sz w:val="24"/>
          <w:szCs w:val="24"/>
          <w:highlight w:val="none"/>
        </w:rPr>
        <w:t>6.采购单位视情组织答疑会。如有产生答疑且对招标文件内容有修改，代理机构将按照本须知有关规定，以补充通知（公告）的方式发出。</w:t>
      </w:r>
    </w:p>
    <w:p w14:paraId="790E84A6">
      <w:pPr>
        <w:snapToGrid w:val="0"/>
        <w:spacing w:line="500" w:lineRule="exact"/>
        <w:ind w:firstLine="480" w:firstLineChars="200"/>
        <w:rPr>
          <w:rStyle w:val="44"/>
          <w:rFonts w:hint="eastAsia" w:ascii="宋体" w:hAnsi="宋体" w:eastAsia="宋体" w:cs="宋体"/>
          <w:b/>
          <w:bCs/>
          <w:color w:val="auto"/>
          <w:sz w:val="24"/>
          <w:szCs w:val="24"/>
          <w:highlight w:val="none"/>
        </w:rPr>
      </w:pPr>
      <w:r>
        <w:rPr>
          <w:rStyle w:val="44"/>
          <w:rFonts w:hint="eastAsia" w:ascii="宋体" w:hAnsi="宋体" w:eastAsia="宋体" w:cs="宋体"/>
          <w:b/>
          <w:bCs/>
          <w:color w:val="auto"/>
          <w:sz w:val="24"/>
          <w:szCs w:val="24"/>
          <w:highlight w:val="none"/>
        </w:rPr>
        <w:t>三、投标项目涉及到的现场勘察</w:t>
      </w:r>
    </w:p>
    <w:p w14:paraId="5D16957A">
      <w:pPr>
        <w:snapToGrid w:val="0"/>
        <w:spacing w:line="500" w:lineRule="exact"/>
        <w:ind w:firstLine="480" w:firstLineChars="200"/>
        <w:rPr>
          <w:rStyle w:val="44"/>
          <w:rFonts w:hint="eastAsia" w:ascii="宋体" w:hAnsi="宋体" w:eastAsia="宋体" w:cs="宋体"/>
          <w:color w:val="auto"/>
          <w:sz w:val="24"/>
          <w:szCs w:val="24"/>
          <w:highlight w:val="none"/>
        </w:rPr>
      </w:pPr>
      <w:r>
        <w:rPr>
          <w:rStyle w:val="44"/>
          <w:rFonts w:hint="eastAsia" w:ascii="宋体" w:hAnsi="宋体" w:eastAsia="宋体" w:cs="宋体"/>
          <w:color w:val="auto"/>
          <w:sz w:val="24"/>
          <w:szCs w:val="24"/>
          <w:highlight w:val="none"/>
        </w:rPr>
        <w:t>1.招标文件所提供的项目相关数据仅做参考，根据自身需要，投标供应商可在投标文件递交之日前对有关现场和周围环境进行勘察，以获取编制投标文件和签署合同所需的信息。勘察现场所发生的费用由投标供应商自己承担。</w:t>
      </w:r>
    </w:p>
    <w:p w14:paraId="5D7DB13C">
      <w:pPr>
        <w:snapToGrid w:val="0"/>
        <w:spacing w:line="500" w:lineRule="exact"/>
        <w:ind w:firstLine="480" w:firstLineChars="200"/>
        <w:rPr>
          <w:rStyle w:val="44"/>
          <w:rFonts w:hint="eastAsia" w:ascii="宋体" w:hAnsi="宋体" w:eastAsia="宋体" w:cs="宋体"/>
          <w:color w:val="auto"/>
          <w:sz w:val="24"/>
          <w:szCs w:val="24"/>
          <w:highlight w:val="none"/>
        </w:rPr>
      </w:pPr>
      <w:r>
        <w:rPr>
          <w:rStyle w:val="44"/>
          <w:rFonts w:hint="eastAsia" w:ascii="宋体" w:hAnsi="宋体" w:eastAsia="宋体" w:cs="宋体"/>
          <w:color w:val="auto"/>
          <w:sz w:val="24"/>
          <w:szCs w:val="24"/>
          <w:highlight w:val="none"/>
        </w:rPr>
        <w:t>2.采购单位向投标供应商提供的有关现场的资料和数据，是采购单位现有的并认为能使投标供应商可利用的资料。采购人对投标供应商由此而做出的推论、理解和结论概不负责。</w:t>
      </w:r>
    </w:p>
    <w:p w14:paraId="71A7DA61">
      <w:pPr>
        <w:snapToGrid w:val="0"/>
        <w:spacing w:line="500" w:lineRule="exact"/>
        <w:ind w:firstLine="480" w:firstLineChars="200"/>
        <w:rPr>
          <w:rStyle w:val="44"/>
          <w:rFonts w:hint="eastAsia" w:ascii="宋体" w:hAnsi="宋体" w:eastAsia="宋体" w:cs="宋体"/>
          <w:color w:val="auto"/>
          <w:sz w:val="24"/>
          <w:szCs w:val="24"/>
          <w:highlight w:val="none"/>
        </w:rPr>
      </w:pPr>
      <w:r>
        <w:rPr>
          <w:rStyle w:val="44"/>
          <w:rFonts w:hint="eastAsia" w:ascii="宋体" w:hAnsi="宋体" w:eastAsia="宋体" w:cs="宋体"/>
          <w:color w:val="auto"/>
          <w:sz w:val="24"/>
          <w:szCs w:val="24"/>
          <w:highlight w:val="none"/>
        </w:rPr>
        <w:t>3.经采购人允许，投标供应商可为勘察入采购人的项目现场，但投标供应商不得因此使采购人承担有关的责任和蒙受损失。投标供应商应承担勘察现场的责任和风险。</w:t>
      </w:r>
    </w:p>
    <w:p w14:paraId="483857F5">
      <w:pPr>
        <w:snapToGrid w:val="0"/>
        <w:spacing w:line="500" w:lineRule="exact"/>
        <w:ind w:firstLine="480" w:firstLineChars="200"/>
        <w:rPr>
          <w:rStyle w:val="44"/>
          <w:rFonts w:hint="eastAsia" w:ascii="宋体" w:hAnsi="宋体" w:eastAsia="宋体" w:cs="宋体"/>
          <w:color w:val="auto"/>
          <w:sz w:val="24"/>
          <w:szCs w:val="24"/>
          <w:highlight w:val="none"/>
        </w:rPr>
      </w:pPr>
      <w:r>
        <w:rPr>
          <w:rStyle w:val="44"/>
          <w:rFonts w:hint="eastAsia" w:ascii="宋体" w:hAnsi="宋体" w:eastAsia="宋体" w:cs="宋体"/>
          <w:color w:val="auto"/>
          <w:sz w:val="24"/>
          <w:szCs w:val="24"/>
          <w:highlight w:val="none"/>
        </w:rPr>
        <w:t>4.投标供应商应认真踏勘现场。在现场勘察时，熟悉供货及安装现场、现场周围交通道路等情况，以获得一切可能影响其投标的直接资料。投标供应商中标后，不得以不完全了解现场情况为理由而向采购人提出任何索赔的要求，对此采购人不承担任何责任并将不作任何答复与考虑。</w:t>
      </w:r>
    </w:p>
    <w:p w14:paraId="2604DFB5">
      <w:pPr>
        <w:snapToGrid w:val="0"/>
        <w:spacing w:line="500" w:lineRule="exact"/>
        <w:ind w:firstLine="480" w:firstLineChars="200"/>
        <w:rPr>
          <w:rStyle w:val="44"/>
          <w:rFonts w:hint="eastAsia" w:ascii="宋体" w:hAnsi="宋体" w:eastAsia="宋体" w:cs="宋体"/>
          <w:b/>
          <w:bCs/>
          <w:color w:val="auto"/>
          <w:sz w:val="24"/>
          <w:szCs w:val="24"/>
          <w:highlight w:val="none"/>
        </w:rPr>
      </w:pPr>
      <w:r>
        <w:rPr>
          <w:rStyle w:val="44"/>
          <w:rFonts w:hint="eastAsia" w:ascii="宋体" w:hAnsi="宋体" w:eastAsia="宋体" w:cs="宋体"/>
          <w:b/>
          <w:bCs/>
          <w:color w:val="auto"/>
          <w:sz w:val="24"/>
          <w:szCs w:val="24"/>
          <w:highlight w:val="none"/>
        </w:rPr>
        <w:t>四、投标文件的组成及装订</w:t>
      </w:r>
    </w:p>
    <w:p w14:paraId="0653483D">
      <w:pPr>
        <w:snapToGrid w:val="0"/>
        <w:spacing w:line="500" w:lineRule="exact"/>
        <w:ind w:firstLine="480" w:firstLineChars="200"/>
        <w:rPr>
          <w:rStyle w:val="44"/>
          <w:rFonts w:hint="eastAsia" w:ascii="宋体" w:hAnsi="宋体" w:eastAsia="宋体" w:cs="宋体"/>
          <w:color w:val="auto"/>
          <w:sz w:val="24"/>
          <w:szCs w:val="24"/>
          <w:highlight w:val="none"/>
        </w:rPr>
      </w:pPr>
      <w:r>
        <w:rPr>
          <w:rStyle w:val="44"/>
          <w:rFonts w:hint="eastAsia" w:ascii="宋体" w:hAnsi="宋体" w:eastAsia="宋体" w:cs="宋体"/>
          <w:color w:val="auto"/>
          <w:sz w:val="24"/>
          <w:szCs w:val="24"/>
          <w:highlight w:val="none"/>
        </w:rPr>
        <w:t>1.投标文件由：①资格审查文件、②商务技术文件、③报价文件、</w:t>
      </w:r>
      <w:r>
        <w:rPr>
          <w:rStyle w:val="44"/>
          <w:rFonts w:hint="eastAsia" w:ascii="宋体" w:hAnsi="宋体" w:eastAsia="宋体" w:cs="宋体"/>
          <w:color w:val="auto"/>
          <w:sz w:val="24"/>
          <w:szCs w:val="24"/>
          <w:highlight w:val="none"/>
        </w:rPr>
        <w:fldChar w:fldCharType="begin"/>
      </w:r>
      <w:r>
        <w:rPr>
          <w:rStyle w:val="44"/>
          <w:rFonts w:hint="eastAsia" w:ascii="宋体" w:hAnsi="宋体" w:eastAsia="宋体" w:cs="宋体"/>
          <w:color w:val="auto"/>
          <w:sz w:val="24"/>
          <w:szCs w:val="24"/>
          <w:highlight w:val="none"/>
        </w:rPr>
        <w:instrText xml:space="preserve"> = 4 \* GB3 \* MERGEFORMAT </w:instrText>
      </w:r>
      <w:r>
        <w:rPr>
          <w:rStyle w:val="44"/>
          <w:rFonts w:hint="eastAsia" w:ascii="宋体" w:hAnsi="宋体" w:eastAsia="宋体" w:cs="宋体"/>
          <w:color w:val="auto"/>
          <w:sz w:val="24"/>
          <w:szCs w:val="24"/>
          <w:highlight w:val="none"/>
        </w:rPr>
        <w:fldChar w:fldCharType="separate"/>
      </w:r>
      <w:r>
        <w:rPr>
          <w:rStyle w:val="44"/>
          <w:rFonts w:hint="eastAsia" w:ascii="宋体" w:hAnsi="宋体" w:eastAsia="宋体" w:cs="宋体"/>
          <w:color w:val="auto"/>
          <w:sz w:val="24"/>
          <w:szCs w:val="24"/>
          <w:highlight w:val="none"/>
        </w:rPr>
        <w:t>④</w:t>
      </w:r>
      <w:r>
        <w:rPr>
          <w:rStyle w:val="44"/>
          <w:rFonts w:hint="eastAsia" w:ascii="宋体" w:hAnsi="宋体" w:eastAsia="宋体" w:cs="宋体"/>
          <w:color w:val="auto"/>
          <w:sz w:val="24"/>
          <w:szCs w:val="24"/>
          <w:highlight w:val="none"/>
        </w:rPr>
        <w:fldChar w:fldCharType="end"/>
      </w:r>
      <w:r>
        <w:rPr>
          <w:rStyle w:val="44"/>
          <w:rFonts w:hint="eastAsia" w:ascii="宋体" w:hAnsi="宋体" w:eastAsia="宋体" w:cs="宋体"/>
          <w:color w:val="auto"/>
          <w:sz w:val="24"/>
          <w:szCs w:val="24"/>
          <w:highlight w:val="none"/>
        </w:rPr>
        <w:t>投标响应文件电子版共4部分组成（以下由文件序号代称）。</w:t>
      </w:r>
    </w:p>
    <w:p w14:paraId="67C957F9">
      <w:pPr>
        <w:snapToGrid w:val="0"/>
        <w:spacing w:line="500" w:lineRule="exact"/>
        <w:ind w:firstLine="480" w:firstLineChars="200"/>
        <w:rPr>
          <w:rStyle w:val="44"/>
          <w:rFonts w:hint="eastAsia" w:ascii="宋体" w:hAnsi="宋体" w:eastAsia="宋体" w:cs="宋体"/>
          <w:color w:val="auto"/>
          <w:sz w:val="24"/>
          <w:szCs w:val="24"/>
          <w:highlight w:val="none"/>
        </w:rPr>
      </w:pPr>
      <w:r>
        <w:rPr>
          <w:rStyle w:val="44"/>
          <w:rFonts w:hint="eastAsia" w:ascii="宋体" w:hAnsi="宋体" w:eastAsia="宋体" w:cs="宋体"/>
          <w:color w:val="auto"/>
          <w:sz w:val="24"/>
          <w:szCs w:val="24"/>
          <w:highlight w:val="none"/>
        </w:rPr>
        <w:t>2.投标供应商按招标文件要求编写投标文件，并牢固装订成册。投标文件均需采用A4纸（图纸等除外），不要使用活页夹、拉杆夹、文件夹、塑料方便式书脊（插入式或穿孔式）装订。投标文件不得行间插字、涂改、增删，如修改错漏处，须经投标文件签署人签字并加盖公章。</w:t>
      </w:r>
    </w:p>
    <w:p w14:paraId="011F069A">
      <w:pPr>
        <w:snapToGrid w:val="0"/>
        <w:spacing w:line="500" w:lineRule="exact"/>
        <w:ind w:firstLine="480" w:firstLineChars="200"/>
        <w:rPr>
          <w:rStyle w:val="44"/>
          <w:rFonts w:hint="eastAsia" w:ascii="宋体" w:hAnsi="宋体" w:eastAsia="宋体" w:cs="宋体"/>
          <w:color w:val="auto"/>
          <w:sz w:val="24"/>
          <w:szCs w:val="24"/>
          <w:highlight w:val="none"/>
        </w:rPr>
      </w:pPr>
      <w:r>
        <w:rPr>
          <w:rStyle w:val="44"/>
          <w:rFonts w:hint="eastAsia" w:ascii="宋体" w:hAnsi="宋体" w:eastAsia="宋体" w:cs="宋体"/>
          <w:color w:val="auto"/>
          <w:sz w:val="24"/>
          <w:szCs w:val="24"/>
          <w:highlight w:val="none"/>
        </w:rPr>
        <w:t>3.投标文件的 “资格审查文件”“商务技术文件”“报价文件”各自装订成册。特别提示：“报价文件”必须单独装订和封装，不得出现在“资格审查文件”和“商务技术文件”之中。</w:t>
      </w:r>
    </w:p>
    <w:p w14:paraId="59D99FC3">
      <w:pPr>
        <w:snapToGrid w:val="0"/>
        <w:spacing w:line="500" w:lineRule="exact"/>
        <w:ind w:firstLine="480" w:firstLineChars="200"/>
        <w:rPr>
          <w:rStyle w:val="44"/>
          <w:rFonts w:hint="eastAsia" w:ascii="宋体" w:hAnsi="宋体" w:eastAsia="宋体" w:cs="宋体"/>
          <w:color w:val="auto"/>
          <w:sz w:val="24"/>
          <w:szCs w:val="24"/>
          <w:highlight w:val="none"/>
        </w:rPr>
      </w:pPr>
      <w:r>
        <w:rPr>
          <w:rStyle w:val="44"/>
          <w:rFonts w:hint="eastAsia" w:ascii="宋体" w:hAnsi="宋体" w:eastAsia="宋体" w:cs="宋体"/>
          <w:color w:val="auto"/>
          <w:sz w:val="24"/>
          <w:szCs w:val="24"/>
          <w:highlight w:val="none"/>
        </w:rPr>
        <w:t>4.</w:t>
      </w:r>
      <w:r>
        <w:rPr>
          <w:rStyle w:val="44"/>
          <w:rFonts w:hint="eastAsia" w:ascii="宋体" w:hAnsi="宋体" w:eastAsia="宋体" w:cs="宋体"/>
          <w:color w:val="auto"/>
          <w:sz w:val="24"/>
          <w:szCs w:val="24"/>
          <w:highlight w:val="none"/>
        </w:rPr>
        <w:fldChar w:fldCharType="begin"/>
      </w:r>
      <w:r>
        <w:rPr>
          <w:rStyle w:val="44"/>
          <w:rFonts w:hint="eastAsia" w:ascii="宋体" w:hAnsi="宋体" w:eastAsia="宋体" w:cs="宋体"/>
          <w:color w:val="auto"/>
          <w:sz w:val="24"/>
          <w:szCs w:val="24"/>
          <w:highlight w:val="none"/>
        </w:rPr>
        <w:instrText xml:space="preserve"> = 4 \* GB3 \* MERGEFORMAT </w:instrText>
      </w:r>
      <w:r>
        <w:rPr>
          <w:rStyle w:val="44"/>
          <w:rFonts w:hint="eastAsia" w:ascii="宋体" w:hAnsi="宋体" w:eastAsia="宋体" w:cs="宋体"/>
          <w:color w:val="auto"/>
          <w:sz w:val="24"/>
          <w:szCs w:val="24"/>
          <w:highlight w:val="none"/>
        </w:rPr>
        <w:fldChar w:fldCharType="separate"/>
      </w:r>
      <w:r>
        <w:rPr>
          <w:rStyle w:val="44"/>
          <w:rFonts w:hint="eastAsia" w:ascii="宋体" w:hAnsi="宋体" w:eastAsia="宋体" w:cs="宋体"/>
          <w:color w:val="auto"/>
          <w:sz w:val="24"/>
          <w:szCs w:val="24"/>
          <w:highlight w:val="none"/>
        </w:rPr>
        <w:t>④</w:t>
      </w:r>
      <w:r>
        <w:rPr>
          <w:rStyle w:val="44"/>
          <w:rFonts w:hint="eastAsia" w:ascii="宋体" w:hAnsi="宋体" w:eastAsia="宋体" w:cs="宋体"/>
          <w:color w:val="auto"/>
          <w:sz w:val="24"/>
          <w:szCs w:val="24"/>
          <w:highlight w:val="none"/>
        </w:rPr>
        <w:fldChar w:fldCharType="end"/>
      </w:r>
      <w:r>
        <w:rPr>
          <w:rStyle w:val="44"/>
          <w:rFonts w:hint="eastAsia" w:ascii="宋体" w:hAnsi="宋体" w:eastAsia="宋体" w:cs="宋体"/>
          <w:color w:val="auto"/>
          <w:sz w:val="24"/>
          <w:szCs w:val="24"/>
          <w:highlight w:val="none"/>
        </w:rPr>
        <w:t>投标文件电子版需将</w:t>
      </w:r>
      <w:r>
        <w:rPr>
          <w:rStyle w:val="44"/>
          <w:rFonts w:hint="eastAsia" w:ascii="宋体" w:hAnsi="宋体" w:eastAsia="宋体" w:cs="宋体"/>
          <w:color w:val="auto"/>
          <w:sz w:val="24"/>
          <w:szCs w:val="24"/>
          <w:highlight w:val="none"/>
        </w:rPr>
        <w:fldChar w:fldCharType="begin"/>
      </w:r>
      <w:r>
        <w:rPr>
          <w:rStyle w:val="44"/>
          <w:rFonts w:hint="eastAsia" w:ascii="宋体" w:hAnsi="宋体" w:eastAsia="宋体" w:cs="宋体"/>
          <w:color w:val="auto"/>
          <w:sz w:val="24"/>
          <w:szCs w:val="24"/>
          <w:highlight w:val="none"/>
        </w:rPr>
        <w:instrText xml:space="preserve"> = 1 \* GB3 </w:instrText>
      </w:r>
      <w:r>
        <w:rPr>
          <w:rStyle w:val="44"/>
          <w:rFonts w:hint="eastAsia" w:ascii="宋体" w:hAnsi="宋体" w:eastAsia="宋体" w:cs="宋体"/>
          <w:color w:val="auto"/>
          <w:sz w:val="24"/>
          <w:szCs w:val="24"/>
          <w:highlight w:val="none"/>
        </w:rPr>
        <w:fldChar w:fldCharType="separate"/>
      </w:r>
      <w:r>
        <w:rPr>
          <w:rStyle w:val="44"/>
          <w:rFonts w:hint="eastAsia" w:ascii="宋体" w:hAnsi="宋体" w:eastAsia="宋体" w:cs="宋体"/>
          <w:color w:val="auto"/>
          <w:sz w:val="24"/>
          <w:szCs w:val="24"/>
          <w:highlight w:val="none"/>
        </w:rPr>
        <w:t>①</w:t>
      </w:r>
      <w:r>
        <w:rPr>
          <w:rStyle w:val="44"/>
          <w:rFonts w:hint="eastAsia" w:ascii="宋体" w:hAnsi="宋体" w:eastAsia="宋体" w:cs="宋体"/>
          <w:color w:val="auto"/>
          <w:sz w:val="24"/>
          <w:szCs w:val="24"/>
          <w:highlight w:val="none"/>
        </w:rPr>
        <w:fldChar w:fldCharType="end"/>
      </w:r>
      <w:r>
        <w:rPr>
          <w:rStyle w:val="44"/>
          <w:rFonts w:hint="eastAsia" w:ascii="宋体" w:hAnsi="宋体" w:eastAsia="宋体" w:cs="宋体"/>
          <w:color w:val="auto"/>
          <w:sz w:val="24"/>
          <w:szCs w:val="24"/>
          <w:highlight w:val="none"/>
        </w:rPr>
        <w:fldChar w:fldCharType="begin"/>
      </w:r>
      <w:r>
        <w:rPr>
          <w:rStyle w:val="44"/>
          <w:rFonts w:hint="eastAsia" w:ascii="宋体" w:hAnsi="宋体" w:eastAsia="宋体" w:cs="宋体"/>
          <w:color w:val="auto"/>
          <w:sz w:val="24"/>
          <w:szCs w:val="24"/>
          <w:highlight w:val="none"/>
        </w:rPr>
        <w:instrText xml:space="preserve"> = 2 \* GB3 </w:instrText>
      </w:r>
      <w:r>
        <w:rPr>
          <w:rStyle w:val="44"/>
          <w:rFonts w:hint="eastAsia" w:ascii="宋体" w:hAnsi="宋体" w:eastAsia="宋体" w:cs="宋体"/>
          <w:color w:val="auto"/>
          <w:sz w:val="24"/>
          <w:szCs w:val="24"/>
          <w:highlight w:val="none"/>
        </w:rPr>
        <w:fldChar w:fldCharType="separate"/>
      </w:r>
      <w:r>
        <w:rPr>
          <w:rStyle w:val="44"/>
          <w:rFonts w:hint="eastAsia" w:ascii="宋体" w:hAnsi="宋体" w:eastAsia="宋体" w:cs="宋体"/>
          <w:color w:val="auto"/>
          <w:sz w:val="24"/>
          <w:szCs w:val="24"/>
          <w:highlight w:val="none"/>
        </w:rPr>
        <w:t>②</w:t>
      </w:r>
      <w:r>
        <w:rPr>
          <w:rStyle w:val="44"/>
          <w:rFonts w:hint="eastAsia" w:ascii="宋体" w:hAnsi="宋体" w:eastAsia="宋体" w:cs="宋体"/>
          <w:color w:val="auto"/>
          <w:sz w:val="24"/>
          <w:szCs w:val="24"/>
          <w:highlight w:val="none"/>
        </w:rPr>
        <w:fldChar w:fldCharType="end"/>
      </w:r>
      <w:r>
        <w:rPr>
          <w:rStyle w:val="44"/>
          <w:rFonts w:hint="eastAsia" w:ascii="宋体" w:hAnsi="宋体" w:eastAsia="宋体" w:cs="宋体"/>
          <w:color w:val="auto"/>
          <w:sz w:val="24"/>
          <w:szCs w:val="24"/>
          <w:highlight w:val="none"/>
        </w:rPr>
        <w:t>③的正本盖章后扫描一份存于U盘中，单独密封递交</w:t>
      </w:r>
    </w:p>
    <w:p w14:paraId="751648ED">
      <w:pPr>
        <w:snapToGrid w:val="0"/>
        <w:spacing w:line="500" w:lineRule="exact"/>
        <w:ind w:firstLine="480" w:firstLineChars="200"/>
        <w:rPr>
          <w:rStyle w:val="44"/>
          <w:rFonts w:hint="eastAsia" w:ascii="宋体" w:hAnsi="宋体" w:eastAsia="宋体" w:cs="宋体"/>
          <w:b/>
          <w:bCs/>
          <w:color w:val="auto"/>
          <w:sz w:val="24"/>
          <w:szCs w:val="24"/>
          <w:highlight w:val="none"/>
        </w:rPr>
      </w:pPr>
      <w:r>
        <w:rPr>
          <w:rStyle w:val="44"/>
          <w:rFonts w:hint="eastAsia" w:ascii="宋体" w:hAnsi="宋体" w:eastAsia="宋体" w:cs="宋体"/>
          <w:b/>
          <w:bCs/>
          <w:color w:val="auto"/>
          <w:sz w:val="24"/>
          <w:szCs w:val="24"/>
          <w:highlight w:val="none"/>
        </w:rPr>
        <w:t>五、投标文件的份数、签署</w:t>
      </w:r>
    </w:p>
    <w:p w14:paraId="0AD3958A">
      <w:pPr>
        <w:snapToGrid w:val="0"/>
        <w:spacing w:line="500" w:lineRule="exact"/>
        <w:ind w:firstLine="480" w:firstLineChars="200"/>
        <w:rPr>
          <w:rStyle w:val="44"/>
          <w:rFonts w:hint="eastAsia" w:ascii="宋体" w:hAnsi="宋体" w:eastAsia="宋体" w:cs="宋体"/>
          <w:color w:val="auto"/>
          <w:sz w:val="24"/>
          <w:szCs w:val="24"/>
          <w:highlight w:val="none"/>
        </w:rPr>
      </w:pPr>
      <w:r>
        <w:rPr>
          <w:rStyle w:val="44"/>
          <w:rFonts w:hint="eastAsia" w:ascii="宋体" w:hAnsi="宋体" w:eastAsia="宋体" w:cs="宋体"/>
          <w:color w:val="auto"/>
          <w:sz w:val="24"/>
          <w:szCs w:val="24"/>
          <w:highlight w:val="none"/>
        </w:rPr>
        <w:t>1.投标供应商应准备</w:t>
      </w:r>
      <w:r>
        <w:rPr>
          <w:rStyle w:val="44"/>
          <w:rFonts w:hint="eastAsia" w:ascii="宋体" w:hAnsi="宋体" w:eastAsia="宋体" w:cs="宋体"/>
          <w:color w:val="auto"/>
          <w:sz w:val="24"/>
          <w:szCs w:val="24"/>
          <w:highlight w:val="none"/>
          <w:u w:val="single" w:color="000000"/>
        </w:rPr>
        <w:t xml:space="preserve"> 伍 </w:t>
      </w:r>
      <w:r>
        <w:rPr>
          <w:rStyle w:val="44"/>
          <w:rFonts w:hint="eastAsia" w:ascii="宋体" w:hAnsi="宋体" w:eastAsia="宋体" w:cs="宋体"/>
          <w:color w:val="auto"/>
          <w:sz w:val="24"/>
          <w:szCs w:val="24"/>
          <w:highlight w:val="none"/>
        </w:rPr>
        <w:t>份完整的投标文件，其中正本</w:t>
      </w:r>
      <w:r>
        <w:rPr>
          <w:rStyle w:val="44"/>
          <w:rFonts w:hint="eastAsia" w:ascii="宋体" w:hAnsi="宋体" w:eastAsia="宋体" w:cs="宋体"/>
          <w:b/>
          <w:color w:val="auto"/>
          <w:sz w:val="24"/>
          <w:szCs w:val="24"/>
          <w:highlight w:val="none"/>
          <w:u w:val="single" w:color="000000"/>
        </w:rPr>
        <w:t xml:space="preserve"> 壹 </w:t>
      </w:r>
      <w:r>
        <w:rPr>
          <w:rStyle w:val="44"/>
          <w:rFonts w:hint="eastAsia" w:ascii="宋体" w:hAnsi="宋体" w:eastAsia="宋体" w:cs="宋体"/>
          <w:color w:val="auto"/>
          <w:sz w:val="24"/>
          <w:szCs w:val="24"/>
          <w:highlight w:val="none"/>
        </w:rPr>
        <w:t>份，副本</w:t>
      </w:r>
      <w:r>
        <w:rPr>
          <w:rStyle w:val="44"/>
          <w:rFonts w:hint="eastAsia" w:ascii="宋体" w:hAnsi="宋体" w:eastAsia="宋体" w:cs="宋体"/>
          <w:b/>
          <w:color w:val="auto"/>
          <w:sz w:val="24"/>
          <w:szCs w:val="24"/>
          <w:highlight w:val="none"/>
          <w:u w:val="single" w:color="000000"/>
        </w:rPr>
        <w:t xml:space="preserve"> 肆</w:t>
      </w:r>
      <w:r>
        <w:rPr>
          <w:rStyle w:val="44"/>
          <w:rFonts w:hint="eastAsia" w:ascii="宋体" w:hAnsi="宋体" w:eastAsia="宋体" w:cs="宋体"/>
          <w:color w:val="auto"/>
          <w:sz w:val="24"/>
          <w:szCs w:val="24"/>
          <w:highlight w:val="none"/>
          <w:u w:val="single" w:color="000000"/>
        </w:rPr>
        <w:t xml:space="preserve"> </w:t>
      </w:r>
      <w:r>
        <w:rPr>
          <w:rStyle w:val="44"/>
          <w:rFonts w:hint="eastAsia" w:ascii="宋体" w:hAnsi="宋体" w:eastAsia="宋体" w:cs="宋体"/>
          <w:color w:val="auto"/>
          <w:sz w:val="24"/>
          <w:szCs w:val="24"/>
          <w:highlight w:val="none"/>
        </w:rPr>
        <w:t>份，并标明“正本”或“副本”字样，若有差异，概以“正本”为准。</w:t>
      </w:r>
    </w:p>
    <w:p w14:paraId="678C0CBA">
      <w:pPr>
        <w:snapToGrid w:val="0"/>
        <w:spacing w:line="500" w:lineRule="exact"/>
        <w:ind w:firstLine="480" w:firstLineChars="200"/>
        <w:rPr>
          <w:rStyle w:val="44"/>
          <w:rFonts w:hint="eastAsia" w:ascii="宋体" w:hAnsi="宋体" w:eastAsia="宋体" w:cs="宋体"/>
          <w:color w:val="auto"/>
          <w:sz w:val="24"/>
          <w:szCs w:val="24"/>
          <w:highlight w:val="none"/>
        </w:rPr>
      </w:pPr>
      <w:r>
        <w:rPr>
          <w:rStyle w:val="44"/>
          <w:rFonts w:hint="eastAsia" w:ascii="宋体" w:hAnsi="宋体" w:eastAsia="宋体" w:cs="宋体"/>
          <w:color w:val="auto"/>
          <w:sz w:val="24"/>
          <w:szCs w:val="24"/>
          <w:highlight w:val="none"/>
        </w:rPr>
        <w:t>2.投标文件分四册密封。第一册为 “资格审查文件”，第二册为“商务技术文件”，第三册为“报价文件”，第四册为“投标文件电子版”，投标文件的第一册、第二册、第三册、第四册应分别密封，并在封袋上标明 “资格审查文件”“商务技术文件”“报价文件”“投标文件电子版”。</w:t>
      </w:r>
    </w:p>
    <w:p w14:paraId="2E9105BE">
      <w:pPr>
        <w:snapToGrid w:val="0"/>
        <w:spacing w:line="500" w:lineRule="exact"/>
        <w:ind w:firstLine="480" w:firstLineChars="200"/>
        <w:rPr>
          <w:rStyle w:val="44"/>
          <w:rFonts w:hint="eastAsia" w:ascii="宋体" w:hAnsi="宋体" w:eastAsia="宋体" w:cs="宋体"/>
          <w:color w:val="auto"/>
          <w:sz w:val="24"/>
          <w:szCs w:val="24"/>
          <w:highlight w:val="none"/>
        </w:rPr>
      </w:pPr>
      <w:r>
        <w:rPr>
          <w:rStyle w:val="44"/>
          <w:rFonts w:hint="eastAsia" w:ascii="宋体" w:hAnsi="宋体" w:eastAsia="宋体" w:cs="宋体"/>
          <w:color w:val="auto"/>
          <w:sz w:val="24"/>
          <w:szCs w:val="24"/>
          <w:highlight w:val="none"/>
        </w:rPr>
        <w:t>3.投标供应商可将投标文件正副本统一密封或分别密封，如正本和副本分别密封的，应在封袋上标明正、副本字样。</w:t>
      </w:r>
    </w:p>
    <w:p w14:paraId="4B6791A0">
      <w:pPr>
        <w:snapToGrid w:val="0"/>
        <w:spacing w:line="500" w:lineRule="exact"/>
        <w:ind w:firstLine="480" w:firstLineChars="200"/>
        <w:rPr>
          <w:rStyle w:val="44"/>
          <w:rFonts w:hint="eastAsia" w:ascii="宋体" w:hAnsi="宋体" w:eastAsia="宋体" w:cs="宋体"/>
          <w:color w:val="auto"/>
          <w:sz w:val="24"/>
          <w:szCs w:val="24"/>
          <w:highlight w:val="none"/>
        </w:rPr>
      </w:pPr>
      <w:r>
        <w:rPr>
          <w:rStyle w:val="44"/>
          <w:rFonts w:hint="eastAsia" w:ascii="宋体" w:hAnsi="宋体" w:eastAsia="宋体" w:cs="宋体"/>
          <w:color w:val="auto"/>
          <w:sz w:val="24"/>
          <w:szCs w:val="24"/>
          <w:highlight w:val="none"/>
        </w:rPr>
        <w:t>4.投标文件正本须按招标文件要求由法定代表人或被授权人签字或盖章并加盖投标供应商印章。副本可复印，但须加盖投标供应商印章。</w:t>
      </w:r>
    </w:p>
    <w:p w14:paraId="09DCD03E">
      <w:pPr>
        <w:snapToGrid w:val="0"/>
        <w:spacing w:line="500" w:lineRule="exact"/>
        <w:ind w:firstLine="480" w:firstLineChars="200"/>
        <w:rPr>
          <w:rStyle w:val="44"/>
          <w:rFonts w:hint="eastAsia" w:ascii="宋体" w:hAnsi="宋体" w:eastAsia="宋体" w:cs="宋体"/>
          <w:b/>
          <w:bCs/>
          <w:color w:val="auto"/>
          <w:sz w:val="24"/>
          <w:szCs w:val="24"/>
          <w:highlight w:val="none"/>
        </w:rPr>
      </w:pPr>
      <w:r>
        <w:rPr>
          <w:rStyle w:val="44"/>
          <w:rFonts w:hint="eastAsia" w:ascii="宋体" w:hAnsi="宋体" w:eastAsia="宋体" w:cs="宋体"/>
          <w:b/>
          <w:bCs/>
          <w:color w:val="auto"/>
          <w:sz w:val="24"/>
          <w:szCs w:val="24"/>
          <w:highlight w:val="none"/>
        </w:rPr>
        <w:t>六、投标响应文件的密封及标记</w:t>
      </w:r>
    </w:p>
    <w:p w14:paraId="66499E37">
      <w:pPr>
        <w:snapToGrid w:val="0"/>
        <w:spacing w:line="500" w:lineRule="exact"/>
        <w:ind w:firstLine="470" w:firstLineChars="196"/>
        <w:rPr>
          <w:rStyle w:val="44"/>
          <w:rFonts w:hint="eastAsia" w:ascii="宋体" w:hAnsi="宋体" w:eastAsia="宋体" w:cs="宋体"/>
          <w:color w:val="auto"/>
          <w:sz w:val="24"/>
          <w:szCs w:val="24"/>
          <w:highlight w:val="none"/>
        </w:rPr>
      </w:pPr>
      <w:r>
        <w:rPr>
          <w:rStyle w:val="44"/>
          <w:rFonts w:hint="eastAsia" w:ascii="宋体" w:hAnsi="宋体" w:eastAsia="宋体" w:cs="宋体"/>
          <w:color w:val="auto"/>
          <w:sz w:val="24"/>
          <w:szCs w:val="24"/>
          <w:highlight w:val="none"/>
        </w:rPr>
        <w:t>密封后，应在每一密封的投标文件上明确标注投标项目名称、投标文件各自对应的名称、投标供应商全称及日期，同时加盖投标供应商公章。</w:t>
      </w:r>
    </w:p>
    <w:p w14:paraId="739178CC">
      <w:pPr>
        <w:snapToGrid w:val="0"/>
        <w:spacing w:line="500" w:lineRule="exact"/>
        <w:ind w:firstLine="494" w:firstLineChars="206"/>
        <w:rPr>
          <w:rStyle w:val="44"/>
          <w:rFonts w:hint="eastAsia" w:ascii="宋体" w:hAnsi="宋体" w:eastAsia="宋体" w:cs="宋体"/>
          <w:b/>
          <w:bCs/>
          <w:color w:val="auto"/>
          <w:sz w:val="24"/>
          <w:szCs w:val="24"/>
          <w:highlight w:val="none"/>
        </w:rPr>
      </w:pPr>
      <w:r>
        <w:rPr>
          <w:rStyle w:val="44"/>
          <w:rFonts w:hint="eastAsia" w:ascii="宋体" w:hAnsi="宋体" w:eastAsia="宋体" w:cs="宋体"/>
          <w:b/>
          <w:bCs/>
          <w:color w:val="auto"/>
          <w:sz w:val="24"/>
          <w:szCs w:val="24"/>
          <w:highlight w:val="none"/>
        </w:rPr>
        <w:t>七、投标文件的有效期</w:t>
      </w:r>
    </w:p>
    <w:p w14:paraId="22601A09">
      <w:pPr>
        <w:snapToGrid w:val="0"/>
        <w:spacing w:line="500" w:lineRule="exact"/>
        <w:ind w:firstLine="494" w:firstLineChars="206"/>
        <w:rPr>
          <w:rStyle w:val="44"/>
          <w:rFonts w:hint="eastAsia" w:ascii="宋体" w:hAnsi="宋体" w:eastAsia="宋体" w:cs="宋体"/>
          <w:color w:val="auto"/>
          <w:sz w:val="24"/>
          <w:szCs w:val="24"/>
          <w:highlight w:val="none"/>
        </w:rPr>
      </w:pPr>
      <w:r>
        <w:rPr>
          <w:rStyle w:val="44"/>
          <w:rFonts w:hint="eastAsia" w:ascii="宋体" w:hAnsi="宋体" w:eastAsia="宋体" w:cs="宋体"/>
          <w:color w:val="auto"/>
          <w:sz w:val="24"/>
          <w:szCs w:val="24"/>
          <w:highlight w:val="none"/>
        </w:rPr>
        <w:t>1.从投标文件接收截止之日算起，</w:t>
      </w:r>
      <w:r>
        <w:rPr>
          <w:rStyle w:val="44"/>
          <w:rFonts w:hint="eastAsia" w:ascii="宋体" w:hAnsi="宋体" w:eastAsia="宋体" w:cs="宋体"/>
          <w:color w:val="auto"/>
          <w:sz w:val="24"/>
          <w:szCs w:val="24"/>
          <w:highlight w:val="none"/>
          <w:u w:val="single" w:color="000000"/>
        </w:rPr>
        <w:t>45</w:t>
      </w:r>
      <w:r>
        <w:rPr>
          <w:rStyle w:val="44"/>
          <w:rFonts w:hint="eastAsia" w:ascii="宋体" w:hAnsi="宋体" w:eastAsia="宋体" w:cs="宋体"/>
          <w:color w:val="auto"/>
          <w:sz w:val="24"/>
          <w:szCs w:val="24"/>
          <w:highlight w:val="none"/>
        </w:rPr>
        <w:t>个日历天内投标书应保持有效。有效期短于这个规定期限的，投标将被拒绝。</w:t>
      </w:r>
    </w:p>
    <w:p w14:paraId="3DC8A24A">
      <w:pPr>
        <w:snapToGrid w:val="0"/>
        <w:spacing w:line="500" w:lineRule="exact"/>
        <w:ind w:firstLine="494" w:firstLineChars="206"/>
        <w:rPr>
          <w:rStyle w:val="44"/>
          <w:rFonts w:hint="eastAsia" w:ascii="宋体" w:hAnsi="宋体" w:eastAsia="宋体" w:cs="宋体"/>
          <w:color w:val="auto"/>
          <w:sz w:val="24"/>
          <w:szCs w:val="24"/>
          <w:highlight w:val="none"/>
        </w:rPr>
      </w:pPr>
      <w:r>
        <w:rPr>
          <w:rStyle w:val="44"/>
          <w:rFonts w:hint="eastAsia" w:ascii="宋体" w:hAnsi="宋体" w:eastAsia="宋体" w:cs="宋体"/>
          <w:color w:val="auto"/>
          <w:sz w:val="24"/>
          <w:szCs w:val="24"/>
          <w:highlight w:val="none"/>
        </w:rPr>
        <w:t>2.在特殊情况下，采购代理机构可与投标供应商协商延长投标书的有效期。这种要求和答复都应以书面、传真、或电报的形式进行。同意延长有效期的投标供应商不能修改投标文件。拒绝接受延期要求的投标供应商的投标书将被拒绝。</w:t>
      </w:r>
    </w:p>
    <w:p w14:paraId="7435028B">
      <w:pPr>
        <w:snapToGrid w:val="0"/>
        <w:ind w:firstLine="494" w:firstLineChars="206"/>
        <w:rPr>
          <w:rStyle w:val="44"/>
          <w:rFonts w:hint="eastAsia" w:ascii="宋体" w:hAnsi="宋体" w:eastAsia="宋体" w:cs="宋体"/>
          <w:b/>
          <w:bCs/>
          <w:color w:val="auto"/>
          <w:sz w:val="24"/>
          <w:szCs w:val="24"/>
          <w:highlight w:val="none"/>
        </w:rPr>
      </w:pPr>
      <w:r>
        <w:rPr>
          <w:rStyle w:val="44"/>
          <w:rFonts w:hint="eastAsia" w:ascii="宋体" w:hAnsi="宋体" w:eastAsia="宋体" w:cs="宋体"/>
          <w:b/>
          <w:bCs/>
          <w:color w:val="auto"/>
          <w:sz w:val="24"/>
          <w:szCs w:val="24"/>
          <w:highlight w:val="none"/>
        </w:rPr>
        <w:t>八、投标报价</w:t>
      </w:r>
    </w:p>
    <w:p w14:paraId="334BA96B">
      <w:pPr>
        <w:snapToGrid w:val="0"/>
        <w:ind w:firstLine="494" w:firstLineChars="206"/>
        <w:rPr>
          <w:rStyle w:val="44"/>
          <w:rFonts w:hint="eastAsia" w:ascii="宋体" w:hAnsi="宋体" w:eastAsia="宋体" w:cs="宋体"/>
          <w:color w:val="auto"/>
          <w:sz w:val="24"/>
          <w:szCs w:val="24"/>
          <w:highlight w:val="none"/>
        </w:rPr>
      </w:pPr>
      <w:r>
        <w:rPr>
          <w:rStyle w:val="44"/>
          <w:rFonts w:hint="eastAsia" w:ascii="宋体" w:hAnsi="宋体" w:eastAsia="宋体" w:cs="宋体"/>
          <w:color w:val="auto"/>
          <w:sz w:val="24"/>
          <w:szCs w:val="24"/>
          <w:highlight w:val="none"/>
        </w:rPr>
        <w:t>1.本项目不接受任何有选择的报价。</w:t>
      </w:r>
    </w:p>
    <w:p w14:paraId="0B889938">
      <w:pPr>
        <w:snapToGrid w:val="0"/>
        <w:ind w:firstLine="494" w:firstLineChars="206"/>
        <w:rPr>
          <w:rStyle w:val="44"/>
          <w:rFonts w:hint="eastAsia" w:ascii="宋体" w:hAnsi="宋体" w:eastAsia="宋体" w:cs="宋体"/>
          <w:color w:val="auto"/>
          <w:sz w:val="24"/>
          <w:szCs w:val="24"/>
          <w:highlight w:val="none"/>
        </w:rPr>
      </w:pPr>
      <w:r>
        <w:rPr>
          <w:rStyle w:val="44"/>
          <w:rFonts w:hint="eastAsia" w:ascii="宋体" w:hAnsi="宋体" w:eastAsia="宋体" w:cs="宋体"/>
          <w:color w:val="auto"/>
          <w:sz w:val="24"/>
          <w:szCs w:val="24"/>
          <w:highlight w:val="none"/>
        </w:rPr>
        <w:t>2.投标报价均以人民币为报价的币种。</w:t>
      </w:r>
    </w:p>
    <w:p w14:paraId="766280D2">
      <w:pPr>
        <w:snapToGrid w:val="0"/>
        <w:ind w:firstLine="494" w:firstLineChars="206"/>
        <w:rPr>
          <w:rStyle w:val="44"/>
          <w:rFonts w:hint="eastAsia" w:ascii="宋体" w:hAnsi="宋体" w:eastAsia="宋体" w:cs="宋体"/>
          <w:color w:val="auto"/>
          <w:sz w:val="24"/>
          <w:szCs w:val="24"/>
          <w:highlight w:val="none"/>
        </w:rPr>
      </w:pPr>
      <w:r>
        <w:rPr>
          <w:rStyle w:val="44"/>
          <w:rFonts w:hint="eastAsia" w:ascii="宋体" w:hAnsi="宋体" w:eastAsia="宋体" w:cs="宋体"/>
          <w:color w:val="auto"/>
          <w:sz w:val="24"/>
          <w:szCs w:val="24"/>
          <w:highlight w:val="none"/>
        </w:rPr>
        <w:t>3.报价表必须加盖投标供应商公章且必须经法定代表人或被授权人签字或盖章。</w:t>
      </w:r>
    </w:p>
    <w:p w14:paraId="2724E390">
      <w:pPr>
        <w:snapToGrid w:val="0"/>
        <w:ind w:firstLine="494" w:firstLineChars="206"/>
        <w:rPr>
          <w:rStyle w:val="44"/>
          <w:rFonts w:hint="eastAsia" w:ascii="宋体" w:hAnsi="宋体" w:eastAsia="宋体" w:cs="宋体"/>
          <w:color w:val="auto"/>
          <w:sz w:val="24"/>
          <w:szCs w:val="24"/>
          <w:highlight w:val="none"/>
        </w:rPr>
      </w:pPr>
      <w:r>
        <w:rPr>
          <w:rStyle w:val="44"/>
          <w:rFonts w:hint="eastAsia" w:ascii="宋体" w:hAnsi="宋体" w:eastAsia="宋体" w:cs="宋体"/>
          <w:color w:val="auto"/>
          <w:sz w:val="24"/>
          <w:szCs w:val="24"/>
          <w:highlight w:val="none"/>
        </w:rPr>
        <w:t>4.投标报价（以人民币计价）应包含但不限于运维服务费、更换耗材费用、税金、电费、网络通讯费、场地租赁费、政策性文件规定及合同包含的所有风险、责任等各项应有费用，即完成本项目所必须的其他辅助工作的相关费用及响应招标文件采购要求的所有费用。</w:t>
      </w:r>
    </w:p>
    <w:p w14:paraId="183A9628">
      <w:pPr>
        <w:snapToGrid w:val="0"/>
        <w:ind w:firstLine="494" w:firstLineChars="206"/>
        <w:rPr>
          <w:rStyle w:val="44"/>
          <w:rFonts w:hint="eastAsia" w:ascii="宋体" w:hAnsi="宋体" w:eastAsia="宋体" w:cs="宋体"/>
          <w:color w:val="auto"/>
          <w:sz w:val="24"/>
          <w:szCs w:val="24"/>
          <w:highlight w:val="none"/>
        </w:rPr>
      </w:pPr>
      <w:r>
        <w:rPr>
          <w:rStyle w:val="44"/>
          <w:rFonts w:hint="eastAsia" w:ascii="宋体" w:hAnsi="宋体" w:eastAsia="宋体" w:cs="宋体"/>
          <w:color w:val="auto"/>
          <w:sz w:val="24"/>
          <w:szCs w:val="24"/>
          <w:highlight w:val="none"/>
        </w:rPr>
        <w:t>5.报价出现前后不一致的，按照下列规定修正：</w:t>
      </w:r>
    </w:p>
    <w:p w14:paraId="4ACD56A2">
      <w:pPr>
        <w:snapToGrid w:val="0"/>
        <w:ind w:firstLine="494" w:firstLineChars="206"/>
        <w:rPr>
          <w:rStyle w:val="44"/>
          <w:rFonts w:hint="eastAsia" w:ascii="宋体" w:hAnsi="宋体" w:eastAsia="宋体" w:cs="宋体"/>
          <w:color w:val="auto"/>
          <w:sz w:val="24"/>
          <w:szCs w:val="24"/>
          <w:highlight w:val="none"/>
        </w:rPr>
      </w:pPr>
      <w:r>
        <w:rPr>
          <w:rStyle w:val="44"/>
          <w:rFonts w:hint="eastAsia" w:ascii="宋体" w:hAnsi="宋体" w:eastAsia="宋体" w:cs="宋体"/>
          <w:color w:val="auto"/>
          <w:sz w:val="24"/>
          <w:szCs w:val="24"/>
          <w:highlight w:val="none"/>
        </w:rPr>
        <w:t>（1）投标文件中报价表（开标一览表）内容与投标文件技术响应中内容明细不一致的，以报价表（开标一览表）为准；</w:t>
      </w:r>
    </w:p>
    <w:p w14:paraId="574EE643">
      <w:pPr>
        <w:snapToGrid w:val="0"/>
        <w:ind w:firstLine="494" w:firstLineChars="206"/>
        <w:rPr>
          <w:rStyle w:val="44"/>
          <w:rFonts w:hint="eastAsia" w:ascii="宋体" w:hAnsi="宋体" w:eastAsia="宋体" w:cs="宋体"/>
          <w:color w:val="auto"/>
          <w:sz w:val="24"/>
          <w:szCs w:val="24"/>
          <w:highlight w:val="none"/>
        </w:rPr>
      </w:pPr>
      <w:r>
        <w:rPr>
          <w:rStyle w:val="44"/>
          <w:rFonts w:hint="eastAsia" w:ascii="宋体" w:hAnsi="宋体" w:eastAsia="宋体" w:cs="宋体"/>
          <w:color w:val="auto"/>
          <w:sz w:val="24"/>
          <w:szCs w:val="24"/>
          <w:highlight w:val="none"/>
        </w:rPr>
        <w:t>（2）投标文件中涉及大写金额和小写金额不一致的，以大写金额为准；</w:t>
      </w:r>
    </w:p>
    <w:p w14:paraId="3A58D91C">
      <w:pPr>
        <w:snapToGrid w:val="0"/>
        <w:ind w:firstLine="494" w:firstLineChars="206"/>
        <w:rPr>
          <w:rStyle w:val="44"/>
          <w:rFonts w:hint="eastAsia" w:ascii="宋体" w:hAnsi="宋体" w:eastAsia="宋体" w:cs="宋体"/>
          <w:color w:val="auto"/>
          <w:sz w:val="24"/>
          <w:szCs w:val="24"/>
          <w:highlight w:val="none"/>
        </w:rPr>
      </w:pPr>
      <w:r>
        <w:rPr>
          <w:rStyle w:val="44"/>
          <w:rFonts w:hint="eastAsia" w:ascii="宋体" w:hAnsi="宋体" w:eastAsia="宋体" w:cs="宋体"/>
          <w:color w:val="auto"/>
          <w:sz w:val="24"/>
          <w:szCs w:val="24"/>
          <w:highlight w:val="none"/>
        </w:rPr>
        <w:t>（3）单价金额小数点或者百分比有明显错位的，以报价表（开标一览表）的总价为准，并修改单价；</w:t>
      </w:r>
    </w:p>
    <w:p w14:paraId="478B67E5">
      <w:pPr>
        <w:snapToGrid w:val="0"/>
        <w:ind w:firstLine="494" w:firstLineChars="206"/>
        <w:rPr>
          <w:rStyle w:val="44"/>
          <w:rFonts w:hint="eastAsia" w:ascii="宋体" w:hAnsi="宋体" w:eastAsia="宋体" w:cs="宋体"/>
          <w:color w:val="auto"/>
          <w:sz w:val="24"/>
          <w:szCs w:val="24"/>
          <w:highlight w:val="none"/>
        </w:rPr>
      </w:pPr>
      <w:r>
        <w:rPr>
          <w:rStyle w:val="44"/>
          <w:rFonts w:hint="eastAsia" w:ascii="宋体" w:hAnsi="宋体" w:eastAsia="宋体" w:cs="宋体"/>
          <w:color w:val="auto"/>
          <w:sz w:val="24"/>
          <w:szCs w:val="24"/>
          <w:highlight w:val="none"/>
        </w:rPr>
        <w:t>（4）总价金额与按单价汇总金额不一致的，以单价金额计算结果为准。</w:t>
      </w:r>
    </w:p>
    <w:p w14:paraId="2923318E">
      <w:pPr>
        <w:snapToGrid w:val="0"/>
        <w:ind w:firstLine="494" w:firstLineChars="206"/>
        <w:rPr>
          <w:rStyle w:val="44"/>
          <w:rFonts w:hint="eastAsia" w:ascii="宋体" w:hAnsi="宋体" w:eastAsia="宋体" w:cs="宋体"/>
          <w:color w:val="auto"/>
          <w:sz w:val="24"/>
          <w:szCs w:val="24"/>
          <w:highlight w:val="none"/>
        </w:rPr>
      </w:pPr>
      <w:r>
        <w:rPr>
          <w:rStyle w:val="44"/>
          <w:rFonts w:hint="eastAsia" w:ascii="宋体" w:hAnsi="宋体" w:eastAsia="宋体" w:cs="宋体"/>
          <w:color w:val="auto"/>
          <w:sz w:val="24"/>
          <w:szCs w:val="24"/>
          <w:highlight w:val="none"/>
        </w:rPr>
        <w:t>同时出现两种以上不一致的，按照前款规定的顺序修正。修正后的报价应当由投标供应商的法定代表人或分支机构负责人或其被授权人签字确认后产生约束力，投标供应商不确认的，其投标无效。</w:t>
      </w:r>
    </w:p>
    <w:p w14:paraId="2613BC2A">
      <w:pPr>
        <w:snapToGrid w:val="0"/>
        <w:ind w:firstLine="494" w:firstLineChars="206"/>
        <w:rPr>
          <w:rStyle w:val="44"/>
          <w:rFonts w:hint="eastAsia" w:ascii="宋体" w:hAnsi="宋体" w:eastAsia="宋体" w:cs="宋体"/>
          <w:color w:val="auto"/>
          <w:sz w:val="24"/>
          <w:szCs w:val="24"/>
          <w:highlight w:val="none"/>
        </w:rPr>
      </w:pPr>
      <w:r>
        <w:rPr>
          <w:rStyle w:val="44"/>
          <w:rFonts w:hint="eastAsia" w:ascii="宋体" w:hAnsi="宋体" w:eastAsia="宋体" w:cs="宋体"/>
          <w:color w:val="auto"/>
          <w:sz w:val="24"/>
          <w:szCs w:val="24"/>
          <w:highlight w:val="none"/>
        </w:rPr>
        <w:t>6.一次报定的</w:t>
      </w:r>
      <w:r>
        <w:rPr>
          <w:rStyle w:val="44"/>
          <w:rFonts w:hint="eastAsia" w:ascii="宋体" w:hAnsi="宋体" w:eastAsia="宋体" w:cs="宋体"/>
          <w:bCs/>
          <w:color w:val="auto"/>
          <w:sz w:val="24"/>
          <w:szCs w:val="24"/>
          <w:highlight w:val="none"/>
        </w:rPr>
        <w:t>价格为</w:t>
      </w:r>
      <w:r>
        <w:rPr>
          <w:rStyle w:val="44"/>
          <w:rFonts w:hint="eastAsia" w:ascii="宋体" w:hAnsi="宋体" w:eastAsia="宋体" w:cs="宋体"/>
          <w:color w:val="auto"/>
          <w:sz w:val="24"/>
          <w:szCs w:val="24"/>
          <w:highlight w:val="none"/>
        </w:rPr>
        <w:t>中标价，同时，已确定的中标价在合同实施期间不因市场变化因素而变动。</w:t>
      </w:r>
    </w:p>
    <w:p w14:paraId="5F643AC5">
      <w:pPr>
        <w:snapToGrid w:val="0"/>
        <w:ind w:firstLine="480" w:firstLineChars="200"/>
        <w:rPr>
          <w:rStyle w:val="44"/>
          <w:rFonts w:hint="eastAsia" w:ascii="宋体" w:hAnsi="宋体" w:eastAsia="宋体" w:cs="宋体"/>
          <w:color w:val="auto"/>
          <w:sz w:val="24"/>
          <w:szCs w:val="24"/>
          <w:highlight w:val="none"/>
        </w:rPr>
      </w:pPr>
      <w:r>
        <w:rPr>
          <w:rStyle w:val="44"/>
          <w:rFonts w:hint="eastAsia" w:ascii="宋体" w:hAnsi="宋体" w:eastAsia="宋体" w:cs="宋体"/>
          <w:color w:val="auto"/>
          <w:sz w:val="24"/>
          <w:szCs w:val="24"/>
          <w:highlight w:val="none"/>
        </w:rPr>
        <w:t>7.投标供应商应详细阅读招标文件的全部内容，根据采购项目需求，准确制定相关工作方案等，必须对本采购项目全部进行报价，如有漏项，视同对本项目的优惠。不按招标文件的要求提供响应文件，导致报价无效，按无效标处理。</w:t>
      </w:r>
    </w:p>
    <w:p w14:paraId="4EA6311A">
      <w:pPr>
        <w:snapToGrid w:val="0"/>
        <w:ind w:firstLine="480" w:firstLineChars="200"/>
        <w:rPr>
          <w:rStyle w:val="44"/>
          <w:rFonts w:hint="eastAsia" w:ascii="宋体" w:hAnsi="宋体" w:eastAsia="宋体" w:cs="宋体"/>
          <w:b/>
          <w:bCs/>
          <w:color w:val="auto"/>
          <w:sz w:val="24"/>
          <w:szCs w:val="24"/>
          <w:highlight w:val="none"/>
          <w:lang w:val="zh-CN"/>
        </w:rPr>
      </w:pPr>
      <w:r>
        <w:rPr>
          <w:rStyle w:val="44"/>
          <w:rFonts w:hint="eastAsia" w:ascii="宋体" w:hAnsi="宋体" w:eastAsia="宋体" w:cs="宋体"/>
          <w:b/>
          <w:bCs/>
          <w:color w:val="auto"/>
          <w:sz w:val="24"/>
          <w:szCs w:val="24"/>
          <w:highlight w:val="none"/>
          <w:lang w:val="zh-CN"/>
        </w:rPr>
        <w:t>九、投标费用</w:t>
      </w:r>
    </w:p>
    <w:p w14:paraId="391E0DA2">
      <w:pPr>
        <w:snapToGrid w:val="0"/>
        <w:ind w:firstLine="470" w:firstLineChars="196"/>
        <w:rPr>
          <w:rStyle w:val="44"/>
          <w:rFonts w:hint="eastAsia" w:ascii="宋体" w:hAnsi="宋体" w:eastAsia="宋体" w:cs="宋体"/>
          <w:color w:val="auto"/>
          <w:sz w:val="24"/>
          <w:szCs w:val="24"/>
          <w:highlight w:val="none"/>
        </w:rPr>
      </w:pPr>
      <w:r>
        <w:rPr>
          <w:rStyle w:val="44"/>
          <w:rFonts w:hint="eastAsia" w:ascii="宋体" w:hAnsi="宋体" w:eastAsia="宋体" w:cs="宋体"/>
          <w:color w:val="auto"/>
          <w:sz w:val="24"/>
          <w:szCs w:val="24"/>
          <w:highlight w:val="none"/>
        </w:rPr>
        <w:t>1.本项目代理服务费由中标供应商支付。代理服务费3500元。</w:t>
      </w:r>
    </w:p>
    <w:p w14:paraId="5DE80543">
      <w:pPr>
        <w:snapToGrid w:val="0"/>
        <w:ind w:firstLine="470" w:firstLineChars="196"/>
        <w:rPr>
          <w:rStyle w:val="44"/>
          <w:rFonts w:hint="eastAsia" w:ascii="宋体" w:hAnsi="宋体" w:eastAsia="宋体" w:cs="宋体"/>
          <w:color w:val="auto"/>
          <w:sz w:val="24"/>
          <w:szCs w:val="24"/>
          <w:highlight w:val="none"/>
        </w:rPr>
      </w:pPr>
      <w:r>
        <w:rPr>
          <w:rStyle w:val="44"/>
          <w:rFonts w:hint="eastAsia" w:ascii="宋体" w:hAnsi="宋体" w:eastAsia="宋体" w:cs="宋体"/>
          <w:color w:val="auto"/>
          <w:sz w:val="24"/>
          <w:szCs w:val="24"/>
          <w:highlight w:val="none"/>
        </w:rPr>
        <w:t>2.投标供应商自行考虑包含在报价内的上述费用及风险并将其综合在单价内，不得单列。</w:t>
      </w:r>
    </w:p>
    <w:p w14:paraId="4092CD5B">
      <w:pPr>
        <w:snapToGrid w:val="0"/>
        <w:ind w:firstLine="470" w:firstLineChars="196"/>
        <w:rPr>
          <w:rStyle w:val="44"/>
          <w:rFonts w:hint="eastAsia" w:ascii="宋体" w:hAnsi="宋体" w:eastAsia="宋体" w:cs="宋体"/>
          <w:color w:val="auto"/>
          <w:sz w:val="24"/>
          <w:szCs w:val="24"/>
          <w:highlight w:val="none"/>
        </w:rPr>
      </w:pPr>
      <w:r>
        <w:rPr>
          <w:rStyle w:val="44"/>
          <w:rFonts w:hint="eastAsia" w:ascii="宋体" w:hAnsi="宋体" w:eastAsia="宋体" w:cs="宋体"/>
          <w:color w:val="auto"/>
          <w:sz w:val="24"/>
          <w:szCs w:val="24"/>
          <w:highlight w:val="none"/>
        </w:rPr>
        <w:t>3.招标程序顺利进行后，除供应商的原件可退回外，其余所有的投标文件都将作为档案保存，不论成交与否，代理机构均不退回。</w:t>
      </w:r>
    </w:p>
    <w:p w14:paraId="2D1893C2">
      <w:pPr>
        <w:snapToGrid w:val="0"/>
        <w:ind w:firstLine="470" w:firstLineChars="196"/>
        <w:rPr>
          <w:rStyle w:val="44"/>
          <w:rFonts w:hint="eastAsia" w:ascii="宋体" w:hAnsi="宋体" w:eastAsia="宋体" w:cs="宋体"/>
          <w:color w:val="auto"/>
          <w:sz w:val="24"/>
          <w:szCs w:val="24"/>
          <w:highlight w:val="none"/>
        </w:rPr>
      </w:pPr>
      <w:r>
        <w:rPr>
          <w:rStyle w:val="44"/>
          <w:rFonts w:hint="eastAsia" w:ascii="宋体" w:hAnsi="宋体" w:eastAsia="宋体" w:cs="宋体"/>
          <w:color w:val="auto"/>
          <w:sz w:val="24"/>
          <w:szCs w:val="24"/>
          <w:highlight w:val="none"/>
        </w:rPr>
        <w:t>4.无论招标过程和结果如何，参加投标的投标供应商自行承担与本次项目招标有关的全部费用。</w:t>
      </w:r>
    </w:p>
    <w:p w14:paraId="5E51C030">
      <w:pPr>
        <w:snapToGrid w:val="0"/>
        <w:ind w:firstLine="480" w:firstLineChars="200"/>
        <w:rPr>
          <w:rStyle w:val="44"/>
          <w:rFonts w:hint="eastAsia" w:ascii="宋体" w:hAnsi="宋体" w:eastAsia="宋体" w:cs="宋体"/>
          <w:b/>
          <w:bCs/>
          <w:color w:val="auto"/>
          <w:sz w:val="24"/>
          <w:szCs w:val="24"/>
          <w:highlight w:val="none"/>
          <w:lang w:val="zh-CN"/>
        </w:rPr>
      </w:pPr>
      <w:r>
        <w:rPr>
          <w:rStyle w:val="44"/>
          <w:rFonts w:hint="eastAsia" w:ascii="宋体" w:hAnsi="宋体" w:eastAsia="宋体" w:cs="宋体"/>
          <w:b/>
          <w:bCs/>
          <w:color w:val="auto"/>
          <w:sz w:val="24"/>
          <w:szCs w:val="24"/>
          <w:highlight w:val="none"/>
          <w:lang w:val="zh-CN"/>
        </w:rPr>
        <w:t>十、投标文件递交时间及地址</w:t>
      </w:r>
    </w:p>
    <w:p w14:paraId="41DA088E">
      <w:pPr>
        <w:snapToGrid w:val="0"/>
        <w:ind w:firstLine="480" w:firstLineChars="200"/>
        <w:rPr>
          <w:rStyle w:val="44"/>
          <w:rFonts w:hint="eastAsia" w:ascii="宋体" w:hAnsi="宋体" w:eastAsia="宋体" w:cs="宋体"/>
          <w:b/>
          <w:bCs/>
          <w:color w:val="auto"/>
          <w:sz w:val="24"/>
          <w:szCs w:val="24"/>
          <w:highlight w:val="none"/>
          <w:lang w:val="zh-CN"/>
        </w:rPr>
      </w:pPr>
      <w:r>
        <w:rPr>
          <w:rStyle w:val="44"/>
          <w:rFonts w:hint="eastAsia" w:ascii="宋体" w:hAnsi="宋体" w:eastAsia="宋体" w:cs="宋体"/>
          <w:color w:val="auto"/>
          <w:sz w:val="24"/>
          <w:szCs w:val="24"/>
          <w:highlight w:val="none"/>
        </w:rPr>
        <w:t>投标供应商必须在规定的时间将投标文件送达指定地点，采购单位拒绝接收在截止时间后递交的投标文件。</w:t>
      </w:r>
    </w:p>
    <w:p w14:paraId="2CAF2099">
      <w:pPr>
        <w:snapToGrid w:val="0"/>
        <w:ind w:firstLine="477" w:firstLineChars="199"/>
        <w:rPr>
          <w:rStyle w:val="44"/>
          <w:rFonts w:hint="eastAsia" w:ascii="宋体" w:hAnsi="宋体" w:eastAsia="宋体" w:cs="宋体"/>
          <w:b/>
          <w:bCs/>
          <w:color w:val="auto"/>
          <w:sz w:val="24"/>
          <w:szCs w:val="24"/>
          <w:highlight w:val="none"/>
        </w:rPr>
      </w:pPr>
      <w:r>
        <w:rPr>
          <w:rStyle w:val="44"/>
          <w:rFonts w:hint="eastAsia" w:ascii="宋体" w:hAnsi="宋体" w:eastAsia="宋体" w:cs="宋体"/>
          <w:b/>
          <w:bCs/>
          <w:color w:val="auto"/>
          <w:sz w:val="24"/>
          <w:szCs w:val="24"/>
          <w:highlight w:val="none"/>
        </w:rPr>
        <w:t>十一、未尽事宜</w:t>
      </w:r>
    </w:p>
    <w:p w14:paraId="17CA94F8">
      <w:pPr>
        <w:snapToGrid w:val="0"/>
        <w:ind w:firstLine="480" w:firstLineChars="200"/>
        <w:rPr>
          <w:rStyle w:val="44"/>
          <w:rFonts w:hint="eastAsia" w:ascii="宋体" w:hAnsi="宋体" w:eastAsia="宋体" w:cs="宋体"/>
          <w:color w:val="auto"/>
          <w:sz w:val="24"/>
          <w:szCs w:val="24"/>
          <w:highlight w:val="none"/>
        </w:rPr>
      </w:pPr>
      <w:r>
        <w:rPr>
          <w:rStyle w:val="44"/>
          <w:rFonts w:hint="eastAsia" w:ascii="宋体" w:hAnsi="宋体" w:eastAsia="宋体" w:cs="宋体"/>
          <w:color w:val="auto"/>
          <w:sz w:val="24"/>
          <w:szCs w:val="24"/>
          <w:highlight w:val="none"/>
        </w:rPr>
        <w:t>按有关的法律法规的规定执行。</w:t>
      </w:r>
    </w:p>
    <w:p w14:paraId="162781FE">
      <w:pPr>
        <w:tabs>
          <w:tab w:val="left" w:pos="1050"/>
          <w:tab w:val="right" w:leader="dot" w:pos="9402"/>
        </w:tabs>
        <w:snapToGrid w:val="0"/>
        <w:spacing w:line="520" w:lineRule="exact"/>
        <w:jc w:val="center"/>
        <w:rPr>
          <w:rStyle w:val="44"/>
          <w:rFonts w:hint="eastAsia" w:ascii="宋体" w:hAnsi="宋体" w:eastAsia="宋体" w:cs="宋体"/>
          <w:b/>
          <w:bCs/>
          <w:color w:val="auto"/>
          <w:w w:val="80"/>
          <w:sz w:val="21"/>
          <w:szCs w:val="21"/>
          <w:highlight w:val="none"/>
        </w:rPr>
        <w:sectPr>
          <w:headerReference r:id="rId11" w:type="default"/>
          <w:pgSz w:w="11906" w:h="16838"/>
          <w:pgMar w:top="1134" w:right="1134" w:bottom="1134" w:left="1134" w:header="851" w:footer="850" w:gutter="0"/>
          <w:cols w:space="720" w:num="1"/>
          <w:docGrid w:type="linesAndChars" w:linePitch="354" w:charSpace="0"/>
        </w:sectPr>
      </w:pPr>
    </w:p>
    <w:p w14:paraId="4F97AFB8">
      <w:pPr>
        <w:tabs>
          <w:tab w:val="left" w:pos="1050"/>
          <w:tab w:val="right" w:leader="dot" w:pos="9402"/>
        </w:tabs>
        <w:snapToGrid w:val="0"/>
        <w:spacing w:line="480" w:lineRule="exact"/>
        <w:jc w:val="center"/>
        <w:rPr>
          <w:rStyle w:val="44"/>
          <w:rFonts w:hint="eastAsia" w:ascii="宋体" w:hAnsi="宋体" w:eastAsia="宋体" w:cs="宋体"/>
          <w:b/>
          <w:color w:val="auto"/>
          <w:w w:val="80"/>
          <w:kern w:val="44"/>
          <w:sz w:val="36"/>
          <w:szCs w:val="36"/>
          <w:highlight w:val="none"/>
        </w:rPr>
      </w:pPr>
      <w:r>
        <w:rPr>
          <w:rStyle w:val="44"/>
          <w:rFonts w:hint="eastAsia" w:ascii="宋体" w:hAnsi="宋体" w:eastAsia="宋体" w:cs="宋体"/>
          <w:b/>
          <w:color w:val="auto"/>
          <w:w w:val="80"/>
          <w:kern w:val="44"/>
          <w:sz w:val="36"/>
          <w:szCs w:val="36"/>
          <w:highlight w:val="none"/>
        </w:rPr>
        <w:t>第三章  项目需求</w:t>
      </w:r>
    </w:p>
    <w:p w14:paraId="50910D32">
      <w:pPr>
        <w:snapToGrid w:val="0"/>
        <w:jc w:val="left"/>
        <w:textAlignment w:val="auto"/>
        <w:rPr>
          <w:rFonts w:eastAsia="新宋体" w:cs="Calibri"/>
          <w:b/>
          <w:color w:val="auto"/>
          <w:sz w:val="24"/>
          <w:szCs w:val="24"/>
          <w:highlight w:val="none"/>
        </w:rPr>
      </w:pPr>
      <w:r>
        <w:rPr>
          <w:rFonts w:hint="eastAsia" w:eastAsia="新宋体" w:cs="Calibri"/>
          <w:b/>
          <w:color w:val="auto"/>
          <w:sz w:val="24"/>
          <w:szCs w:val="24"/>
          <w:highlight w:val="none"/>
        </w:rPr>
        <w:t>一、项目概况</w:t>
      </w:r>
    </w:p>
    <w:p w14:paraId="69CCD07E">
      <w:pPr>
        <w:widowControl w:val="0"/>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为保证市北高新区相关监测设备的稳定运行，取得连续、有效监测数据，为政府环境保护工作提供科学的决策依据，根据国家、省、市相关标准及规范要求，南通市北高新区需委托第三方机构对市北高新区标准空气站、VOCs空气站和微型空气站提供运维服务，并保证数据正常接入市北高新区生态环境综合管理平台，且该平台能正常使用。</w:t>
      </w:r>
      <w:r>
        <w:rPr>
          <w:rFonts w:hint="eastAsia" w:ascii="宋体" w:hAnsi="宋体" w:eastAsia="宋体" w:cs="宋体"/>
          <w:color w:val="auto"/>
          <w:sz w:val="24"/>
          <w:szCs w:val="24"/>
          <w:highlight w:val="none"/>
        </w:rPr>
        <w:t>市北高新区污染物排放限值限量监测设备详细情况如下：</w:t>
      </w:r>
    </w:p>
    <w:tbl>
      <w:tblPr>
        <w:tblStyle w:val="24"/>
        <w:tblW w:w="478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7"/>
        <w:gridCol w:w="1849"/>
        <w:gridCol w:w="1993"/>
        <w:gridCol w:w="1243"/>
        <w:gridCol w:w="1448"/>
        <w:gridCol w:w="816"/>
        <w:gridCol w:w="816"/>
      </w:tblGrid>
      <w:tr w14:paraId="1FFEA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08" w:type="pct"/>
            <w:vAlign w:val="center"/>
          </w:tcPr>
          <w:p w14:paraId="52026056">
            <w:pPr>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039" w:type="pct"/>
          </w:tcPr>
          <w:p w14:paraId="58B67860">
            <w:pPr>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设备类型</w:t>
            </w:r>
          </w:p>
        </w:tc>
        <w:tc>
          <w:tcPr>
            <w:tcW w:w="1120" w:type="pct"/>
            <w:vAlign w:val="center"/>
          </w:tcPr>
          <w:p w14:paraId="518DE603">
            <w:pPr>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设备名称</w:t>
            </w:r>
          </w:p>
        </w:tc>
        <w:tc>
          <w:tcPr>
            <w:tcW w:w="699" w:type="pct"/>
            <w:vAlign w:val="center"/>
          </w:tcPr>
          <w:p w14:paraId="7113776F">
            <w:pPr>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品牌</w:t>
            </w:r>
          </w:p>
        </w:tc>
        <w:tc>
          <w:tcPr>
            <w:tcW w:w="814" w:type="pct"/>
            <w:vAlign w:val="center"/>
          </w:tcPr>
          <w:p w14:paraId="34CCD930">
            <w:pPr>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规格型号</w:t>
            </w:r>
          </w:p>
        </w:tc>
        <w:tc>
          <w:tcPr>
            <w:tcW w:w="459" w:type="pct"/>
            <w:vAlign w:val="center"/>
          </w:tcPr>
          <w:p w14:paraId="071BFC8A">
            <w:pPr>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单位</w:t>
            </w:r>
          </w:p>
        </w:tc>
        <w:tc>
          <w:tcPr>
            <w:tcW w:w="459" w:type="pct"/>
            <w:vAlign w:val="center"/>
          </w:tcPr>
          <w:p w14:paraId="4DD6CC79">
            <w:pPr>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数量</w:t>
            </w:r>
          </w:p>
        </w:tc>
      </w:tr>
      <w:tr w14:paraId="660D5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08" w:type="pct"/>
            <w:vMerge w:val="restart"/>
            <w:vAlign w:val="center"/>
          </w:tcPr>
          <w:p w14:paraId="69203E33">
            <w:pPr>
              <w:pStyle w:val="20"/>
              <w:spacing w:line="240" w:lineRule="auto"/>
              <w:rPr>
                <w:rFonts w:hint="eastAsia" w:ascii="宋体" w:hAnsi="宋体" w:eastAsia="宋体" w:cs="宋体"/>
                <w:color w:val="auto"/>
                <w:sz w:val="21"/>
                <w:szCs w:val="21"/>
                <w:highlight w:val="none"/>
              </w:rPr>
            </w:pPr>
          </w:p>
          <w:p w14:paraId="3EE4DA83">
            <w:pPr>
              <w:pStyle w:val="2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p w14:paraId="2E2A9338">
            <w:pPr>
              <w:pStyle w:val="20"/>
              <w:spacing w:line="240" w:lineRule="auto"/>
              <w:rPr>
                <w:rFonts w:hint="eastAsia" w:ascii="宋体" w:hAnsi="宋体" w:eastAsia="宋体" w:cs="宋体"/>
                <w:color w:val="auto"/>
                <w:sz w:val="21"/>
                <w:szCs w:val="21"/>
                <w:highlight w:val="none"/>
              </w:rPr>
            </w:pPr>
          </w:p>
        </w:tc>
        <w:tc>
          <w:tcPr>
            <w:tcW w:w="1039" w:type="pct"/>
            <w:vMerge w:val="restart"/>
          </w:tcPr>
          <w:p w14:paraId="0619358A">
            <w:pPr>
              <w:pStyle w:val="20"/>
              <w:spacing w:line="240" w:lineRule="auto"/>
              <w:ind w:left="0" w:firstLine="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标准空气站（站房及配套辅助设施）</w:t>
            </w:r>
          </w:p>
        </w:tc>
        <w:tc>
          <w:tcPr>
            <w:tcW w:w="1120" w:type="pct"/>
            <w:vAlign w:val="center"/>
          </w:tcPr>
          <w:p w14:paraId="5DAF4C30">
            <w:pPr>
              <w:pStyle w:val="2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NOx分析仪</w:t>
            </w:r>
          </w:p>
        </w:tc>
        <w:tc>
          <w:tcPr>
            <w:tcW w:w="699" w:type="pct"/>
            <w:vAlign w:val="center"/>
          </w:tcPr>
          <w:p w14:paraId="62796D73">
            <w:pPr>
              <w:pStyle w:val="2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聚光科技</w:t>
            </w:r>
          </w:p>
        </w:tc>
        <w:tc>
          <w:tcPr>
            <w:tcW w:w="814" w:type="pct"/>
            <w:vAlign w:val="center"/>
          </w:tcPr>
          <w:p w14:paraId="40A9F038">
            <w:pPr>
              <w:pStyle w:val="2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AQMS-600</w:t>
            </w:r>
          </w:p>
        </w:tc>
        <w:tc>
          <w:tcPr>
            <w:tcW w:w="459" w:type="pct"/>
            <w:vAlign w:val="center"/>
          </w:tcPr>
          <w:p w14:paraId="4F938833">
            <w:pPr>
              <w:pStyle w:val="2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套</w:t>
            </w:r>
          </w:p>
        </w:tc>
        <w:tc>
          <w:tcPr>
            <w:tcW w:w="459" w:type="pct"/>
            <w:vAlign w:val="center"/>
          </w:tcPr>
          <w:p w14:paraId="3B3E4B9C">
            <w:pPr>
              <w:pStyle w:val="2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r>
      <w:tr w14:paraId="3E61F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08" w:type="pct"/>
            <w:vMerge w:val="continue"/>
            <w:vAlign w:val="center"/>
          </w:tcPr>
          <w:p w14:paraId="146B1920">
            <w:pPr>
              <w:pStyle w:val="20"/>
              <w:spacing w:line="240" w:lineRule="auto"/>
              <w:rPr>
                <w:rFonts w:hint="eastAsia" w:ascii="宋体" w:hAnsi="宋体" w:eastAsia="宋体" w:cs="宋体"/>
                <w:color w:val="auto"/>
                <w:sz w:val="21"/>
                <w:szCs w:val="21"/>
                <w:highlight w:val="none"/>
              </w:rPr>
            </w:pPr>
          </w:p>
        </w:tc>
        <w:tc>
          <w:tcPr>
            <w:tcW w:w="1039" w:type="pct"/>
            <w:vMerge w:val="continue"/>
          </w:tcPr>
          <w:p w14:paraId="3D183994">
            <w:pPr>
              <w:pStyle w:val="20"/>
              <w:spacing w:line="240" w:lineRule="auto"/>
              <w:rPr>
                <w:rFonts w:hint="eastAsia" w:ascii="宋体" w:hAnsi="宋体" w:eastAsia="宋体" w:cs="宋体"/>
                <w:color w:val="auto"/>
                <w:sz w:val="21"/>
                <w:szCs w:val="21"/>
                <w:highlight w:val="none"/>
              </w:rPr>
            </w:pPr>
          </w:p>
        </w:tc>
        <w:tc>
          <w:tcPr>
            <w:tcW w:w="1120" w:type="pct"/>
            <w:vAlign w:val="center"/>
          </w:tcPr>
          <w:p w14:paraId="707C2940">
            <w:pPr>
              <w:pStyle w:val="2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SO</w:t>
            </w:r>
            <w:r>
              <w:rPr>
                <w:rFonts w:hint="eastAsia" w:ascii="宋体" w:hAnsi="宋体" w:eastAsia="宋体" w:cs="宋体"/>
                <w:color w:val="auto"/>
                <w:sz w:val="21"/>
                <w:szCs w:val="21"/>
                <w:highlight w:val="none"/>
                <w:vertAlign w:val="subscript"/>
              </w:rPr>
              <w:t>2</w:t>
            </w:r>
            <w:r>
              <w:rPr>
                <w:rFonts w:hint="eastAsia" w:ascii="宋体" w:hAnsi="宋体" w:eastAsia="宋体" w:cs="宋体"/>
                <w:color w:val="auto"/>
                <w:sz w:val="21"/>
                <w:szCs w:val="21"/>
                <w:highlight w:val="none"/>
              </w:rPr>
              <w:t>分析仪</w:t>
            </w:r>
          </w:p>
        </w:tc>
        <w:tc>
          <w:tcPr>
            <w:tcW w:w="699" w:type="pct"/>
            <w:vAlign w:val="center"/>
          </w:tcPr>
          <w:p w14:paraId="2A627C2D">
            <w:pPr>
              <w:pStyle w:val="2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聚光科技</w:t>
            </w:r>
          </w:p>
        </w:tc>
        <w:tc>
          <w:tcPr>
            <w:tcW w:w="814" w:type="pct"/>
            <w:vAlign w:val="center"/>
          </w:tcPr>
          <w:p w14:paraId="3B9A2104">
            <w:pPr>
              <w:pStyle w:val="2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AQMS-500</w:t>
            </w:r>
          </w:p>
        </w:tc>
        <w:tc>
          <w:tcPr>
            <w:tcW w:w="459" w:type="pct"/>
            <w:vAlign w:val="center"/>
          </w:tcPr>
          <w:p w14:paraId="50963AD4">
            <w:pPr>
              <w:pStyle w:val="2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套</w:t>
            </w:r>
          </w:p>
        </w:tc>
        <w:tc>
          <w:tcPr>
            <w:tcW w:w="459" w:type="pct"/>
            <w:vAlign w:val="center"/>
          </w:tcPr>
          <w:p w14:paraId="089959BD">
            <w:pPr>
              <w:pStyle w:val="2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r>
      <w:tr w14:paraId="46361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08" w:type="pct"/>
            <w:vMerge w:val="continue"/>
            <w:vAlign w:val="center"/>
          </w:tcPr>
          <w:p w14:paraId="4D062D07">
            <w:pPr>
              <w:pStyle w:val="20"/>
              <w:spacing w:line="240" w:lineRule="auto"/>
              <w:rPr>
                <w:rFonts w:hint="eastAsia" w:ascii="宋体" w:hAnsi="宋体" w:eastAsia="宋体" w:cs="宋体"/>
                <w:color w:val="auto"/>
                <w:sz w:val="21"/>
                <w:szCs w:val="21"/>
                <w:highlight w:val="none"/>
              </w:rPr>
            </w:pPr>
          </w:p>
        </w:tc>
        <w:tc>
          <w:tcPr>
            <w:tcW w:w="1039" w:type="pct"/>
            <w:vMerge w:val="continue"/>
          </w:tcPr>
          <w:p w14:paraId="1E5C5499">
            <w:pPr>
              <w:pStyle w:val="20"/>
              <w:spacing w:line="240" w:lineRule="auto"/>
              <w:rPr>
                <w:rFonts w:hint="eastAsia" w:ascii="宋体" w:hAnsi="宋体" w:eastAsia="宋体" w:cs="宋体"/>
                <w:color w:val="auto"/>
                <w:sz w:val="21"/>
                <w:szCs w:val="21"/>
                <w:highlight w:val="none"/>
              </w:rPr>
            </w:pPr>
          </w:p>
        </w:tc>
        <w:tc>
          <w:tcPr>
            <w:tcW w:w="1120" w:type="pct"/>
            <w:vAlign w:val="center"/>
          </w:tcPr>
          <w:p w14:paraId="70A33EFA">
            <w:pPr>
              <w:pStyle w:val="2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CO分析仪</w:t>
            </w:r>
          </w:p>
        </w:tc>
        <w:tc>
          <w:tcPr>
            <w:tcW w:w="699" w:type="pct"/>
            <w:vAlign w:val="center"/>
          </w:tcPr>
          <w:p w14:paraId="68D2DE7E">
            <w:pPr>
              <w:pStyle w:val="2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聚光科技</w:t>
            </w:r>
          </w:p>
        </w:tc>
        <w:tc>
          <w:tcPr>
            <w:tcW w:w="814" w:type="pct"/>
            <w:vAlign w:val="center"/>
          </w:tcPr>
          <w:p w14:paraId="37829E63">
            <w:pPr>
              <w:pStyle w:val="2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AQMS-400</w:t>
            </w:r>
          </w:p>
        </w:tc>
        <w:tc>
          <w:tcPr>
            <w:tcW w:w="459" w:type="pct"/>
            <w:vAlign w:val="center"/>
          </w:tcPr>
          <w:p w14:paraId="6DD26C95">
            <w:pPr>
              <w:pStyle w:val="2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套</w:t>
            </w:r>
          </w:p>
        </w:tc>
        <w:tc>
          <w:tcPr>
            <w:tcW w:w="459" w:type="pct"/>
            <w:vAlign w:val="center"/>
          </w:tcPr>
          <w:p w14:paraId="05A55197">
            <w:pPr>
              <w:pStyle w:val="2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r>
      <w:tr w14:paraId="36DC7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08" w:type="pct"/>
            <w:vMerge w:val="continue"/>
            <w:vAlign w:val="center"/>
          </w:tcPr>
          <w:p w14:paraId="4B5A7EA3">
            <w:pPr>
              <w:pStyle w:val="20"/>
              <w:spacing w:line="240" w:lineRule="auto"/>
              <w:rPr>
                <w:rFonts w:hint="eastAsia" w:ascii="宋体" w:hAnsi="宋体" w:eastAsia="宋体" w:cs="宋体"/>
                <w:color w:val="auto"/>
                <w:sz w:val="21"/>
                <w:szCs w:val="21"/>
                <w:highlight w:val="none"/>
              </w:rPr>
            </w:pPr>
          </w:p>
        </w:tc>
        <w:tc>
          <w:tcPr>
            <w:tcW w:w="1039" w:type="pct"/>
            <w:vMerge w:val="continue"/>
          </w:tcPr>
          <w:p w14:paraId="017B45D9">
            <w:pPr>
              <w:pStyle w:val="20"/>
              <w:spacing w:line="240" w:lineRule="auto"/>
              <w:rPr>
                <w:rFonts w:hint="eastAsia" w:ascii="宋体" w:hAnsi="宋体" w:eastAsia="宋体" w:cs="宋体"/>
                <w:color w:val="auto"/>
                <w:sz w:val="21"/>
                <w:szCs w:val="21"/>
                <w:highlight w:val="none"/>
              </w:rPr>
            </w:pPr>
          </w:p>
        </w:tc>
        <w:tc>
          <w:tcPr>
            <w:tcW w:w="1120" w:type="pct"/>
            <w:vAlign w:val="center"/>
          </w:tcPr>
          <w:p w14:paraId="0644BC43">
            <w:pPr>
              <w:pStyle w:val="2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O</w:t>
            </w:r>
            <w:r>
              <w:rPr>
                <w:rFonts w:hint="eastAsia" w:ascii="宋体" w:hAnsi="宋体" w:eastAsia="宋体" w:cs="宋体"/>
                <w:color w:val="auto"/>
                <w:sz w:val="21"/>
                <w:szCs w:val="21"/>
                <w:highlight w:val="none"/>
                <w:vertAlign w:val="subscript"/>
              </w:rPr>
              <w:t>3</w:t>
            </w:r>
            <w:r>
              <w:rPr>
                <w:rFonts w:hint="eastAsia" w:ascii="宋体" w:hAnsi="宋体" w:eastAsia="宋体" w:cs="宋体"/>
                <w:color w:val="auto"/>
                <w:sz w:val="21"/>
                <w:szCs w:val="21"/>
                <w:highlight w:val="none"/>
              </w:rPr>
              <w:t>分析仪</w:t>
            </w:r>
          </w:p>
        </w:tc>
        <w:tc>
          <w:tcPr>
            <w:tcW w:w="699" w:type="pct"/>
            <w:vAlign w:val="center"/>
          </w:tcPr>
          <w:p w14:paraId="7F0405AC">
            <w:pPr>
              <w:pStyle w:val="2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聚光科技</w:t>
            </w:r>
          </w:p>
        </w:tc>
        <w:tc>
          <w:tcPr>
            <w:tcW w:w="814" w:type="pct"/>
            <w:vAlign w:val="center"/>
          </w:tcPr>
          <w:p w14:paraId="5E515DAC">
            <w:pPr>
              <w:pStyle w:val="2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AQMS-300</w:t>
            </w:r>
          </w:p>
        </w:tc>
        <w:tc>
          <w:tcPr>
            <w:tcW w:w="459" w:type="pct"/>
            <w:vAlign w:val="center"/>
          </w:tcPr>
          <w:p w14:paraId="44EAF9D3">
            <w:pPr>
              <w:pStyle w:val="2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套</w:t>
            </w:r>
          </w:p>
        </w:tc>
        <w:tc>
          <w:tcPr>
            <w:tcW w:w="459" w:type="pct"/>
            <w:vAlign w:val="center"/>
          </w:tcPr>
          <w:p w14:paraId="348CCF3E">
            <w:pPr>
              <w:pStyle w:val="2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r>
      <w:tr w14:paraId="2D6EB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08" w:type="pct"/>
            <w:vMerge w:val="continue"/>
            <w:vAlign w:val="center"/>
          </w:tcPr>
          <w:p w14:paraId="20D6B78B">
            <w:pPr>
              <w:pStyle w:val="20"/>
              <w:spacing w:line="240" w:lineRule="auto"/>
              <w:rPr>
                <w:rFonts w:hint="eastAsia" w:ascii="宋体" w:hAnsi="宋体" w:eastAsia="宋体" w:cs="宋体"/>
                <w:color w:val="auto"/>
                <w:sz w:val="21"/>
                <w:szCs w:val="21"/>
                <w:highlight w:val="none"/>
              </w:rPr>
            </w:pPr>
          </w:p>
        </w:tc>
        <w:tc>
          <w:tcPr>
            <w:tcW w:w="1039" w:type="pct"/>
            <w:vMerge w:val="continue"/>
          </w:tcPr>
          <w:p w14:paraId="3B3ACCEF">
            <w:pPr>
              <w:pStyle w:val="20"/>
              <w:spacing w:line="240" w:lineRule="auto"/>
              <w:rPr>
                <w:rFonts w:hint="eastAsia" w:ascii="宋体" w:hAnsi="宋体" w:eastAsia="宋体" w:cs="宋体"/>
                <w:color w:val="auto"/>
                <w:sz w:val="21"/>
                <w:szCs w:val="21"/>
                <w:highlight w:val="none"/>
              </w:rPr>
            </w:pPr>
          </w:p>
        </w:tc>
        <w:tc>
          <w:tcPr>
            <w:tcW w:w="1120" w:type="pct"/>
            <w:vAlign w:val="center"/>
          </w:tcPr>
          <w:p w14:paraId="37314AB9">
            <w:pPr>
              <w:pStyle w:val="2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PM</w:t>
            </w:r>
            <w:r>
              <w:rPr>
                <w:rFonts w:hint="eastAsia" w:ascii="宋体" w:hAnsi="宋体" w:eastAsia="宋体" w:cs="宋体"/>
                <w:color w:val="auto"/>
                <w:sz w:val="21"/>
                <w:szCs w:val="21"/>
                <w:highlight w:val="none"/>
                <w:vertAlign w:val="subscript"/>
              </w:rPr>
              <w:t>10</w:t>
            </w:r>
            <w:r>
              <w:rPr>
                <w:rFonts w:hint="eastAsia" w:ascii="宋体" w:hAnsi="宋体" w:eastAsia="宋体" w:cs="宋体"/>
                <w:color w:val="auto"/>
                <w:sz w:val="21"/>
                <w:szCs w:val="21"/>
                <w:highlight w:val="none"/>
              </w:rPr>
              <w:t>颗粒物分析仪</w:t>
            </w:r>
          </w:p>
        </w:tc>
        <w:tc>
          <w:tcPr>
            <w:tcW w:w="699" w:type="pct"/>
            <w:vAlign w:val="center"/>
          </w:tcPr>
          <w:p w14:paraId="69CE1E8C">
            <w:pPr>
              <w:pStyle w:val="2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聚光科技</w:t>
            </w:r>
          </w:p>
        </w:tc>
        <w:tc>
          <w:tcPr>
            <w:tcW w:w="814" w:type="pct"/>
            <w:vAlign w:val="center"/>
          </w:tcPr>
          <w:p w14:paraId="0975CBD9">
            <w:pPr>
              <w:pStyle w:val="2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BPM-200</w:t>
            </w:r>
          </w:p>
        </w:tc>
        <w:tc>
          <w:tcPr>
            <w:tcW w:w="459" w:type="pct"/>
            <w:vAlign w:val="center"/>
          </w:tcPr>
          <w:p w14:paraId="469A544C">
            <w:pPr>
              <w:pStyle w:val="2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套</w:t>
            </w:r>
          </w:p>
        </w:tc>
        <w:tc>
          <w:tcPr>
            <w:tcW w:w="459" w:type="pct"/>
            <w:vAlign w:val="center"/>
          </w:tcPr>
          <w:p w14:paraId="2F6D2C8E">
            <w:pPr>
              <w:pStyle w:val="2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r>
      <w:tr w14:paraId="60091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08" w:type="pct"/>
            <w:vMerge w:val="continue"/>
            <w:vAlign w:val="center"/>
          </w:tcPr>
          <w:p w14:paraId="454481F7">
            <w:pPr>
              <w:pStyle w:val="20"/>
              <w:spacing w:line="240" w:lineRule="auto"/>
              <w:rPr>
                <w:rFonts w:hint="eastAsia" w:ascii="宋体" w:hAnsi="宋体" w:eastAsia="宋体" w:cs="宋体"/>
                <w:color w:val="auto"/>
                <w:sz w:val="21"/>
                <w:szCs w:val="21"/>
                <w:highlight w:val="none"/>
              </w:rPr>
            </w:pPr>
          </w:p>
        </w:tc>
        <w:tc>
          <w:tcPr>
            <w:tcW w:w="1039" w:type="pct"/>
            <w:vMerge w:val="continue"/>
          </w:tcPr>
          <w:p w14:paraId="15DC7650">
            <w:pPr>
              <w:pStyle w:val="20"/>
              <w:spacing w:line="240" w:lineRule="auto"/>
              <w:rPr>
                <w:rFonts w:hint="eastAsia" w:ascii="宋体" w:hAnsi="宋体" w:eastAsia="宋体" w:cs="宋体"/>
                <w:color w:val="auto"/>
                <w:sz w:val="21"/>
                <w:szCs w:val="21"/>
                <w:highlight w:val="none"/>
              </w:rPr>
            </w:pPr>
          </w:p>
        </w:tc>
        <w:tc>
          <w:tcPr>
            <w:tcW w:w="1120" w:type="pct"/>
            <w:vAlign w:val="center"/>
          </w:tcPr>
          <w:p w14:paraId="06AC1465">
            <w:pPr>
              <w:pStyle w:val="2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PM</w:t>
            </w:r>
            <w:r>
              <w:rPr>
                <w:rFonts w:hint="eastAsia" w:ascii="宋体" w:hAnsi="宋体" w:eastAsia="宋体" w:cs="宋体"/>
                <w:color w:val="auto"/>
                <w:sz w:val="21"/>
                <w:szCs w:val="21"/>
                <w:highlight w:val="none"/>
                <w:vertAlign w:val="subscript"/>
              </w:rPr>
              <w:t>2.5</w:t>
            </w:r>
            <w:r>
              <w:rPr>
                <w:rFonts w:hint="eastAsia" w:ascii="宋体" w:hAnsi="宋体" w:eastAsia="宋体" w:cs="宋体"/>
                <w:color w:val="auto"/>
                <w:sz w:val="21"/>
                <w:szCs w:val="21"/>
                <w:highlight w:val="none"/>
              </w:rPr>
              <w:t>颗粒物分析仪</w:t>
            </w:r>
          </w:p>
        </w:tc>
        <w:tc>
          <w:tcPr>
            <w:tcW w:w="699" w:type="pct"/>
            <w:vAlign w:val="center"/>
          </w:tcPr>
          <w:p w14:paraId="7182B6DB">
            <w:pPr>
              <w:pStyle w:val="2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聚光科技</w:t>
            </w:r>
          </w:p>
        </w:tc>
        <w:tc>
          <w:tcPr>
            <w:tcW w:w="814" w:type="pct"/>
            <w:vAlign w:val="center"/>
          </w:tcPr>
          <w:p w14:paraId="3805DC07">
            <w:pPr>
              <w:pStyle w:val="2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BPM-200</w:t>
            </w:r>
          </w:p>
        </w:tc>
        <w:tc>
          <w:tcPr>
            <w:tcW w:w="459" w:type="pct"/>
            <w:vAlign w:val="center"/>
          </w:tcPr>
          <w:p w14:paraId="0F333C9D">
            <w:pPr>
              <w:pStyle w:val="2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套</w:t>
            </w:r>
          </w:p>
        </w:tc>
        <w:tc>
          <w:tcPr>
            <w:tcW w:w="459" w:type="pct"/>
            <w:vAlign w:val="center"/>
          </w:tcPr>
          <w:p w14:paraId="2C35BA55">
            <w:pPr>
              <w:pStyle w:val="2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r>
      <w:tr w14:paraId="3B624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08" w:type="pct"/>
            <w:vMerge w:val="continue"/>
            <w:vAlign w:val="center"/>
          </w:tcPr>
          <w:p w14:paraId="627E8670">
            <w:pPr>
              <w:pStyle w:val="20"/>
              <w:spacing w:line="240" w:lineRule="auto"/>
              <w:rPr>
                <w:rFonts w:hint="eastAsia" w:ascii="宋体" w:hAnsi="宋体" w:eastAsia="宋体" w:cs="宋体"/>
                <w:color w:val="auto"/>
                <w:sz w:val="21"/>
                <w:szCs w:val="21"/>
                <w:highlight w:val="none"/>
              </w:rPr>
            </w:pPr>
          </w:p>
        </w:tc>
        <w:tc>
          <w:tcPr>
            <w:tcW w:w="1039" w:type="pct"/>
            <w:vMerge w:val="continue"/>
          </w:tcPr>
          <w:p w14:paraId="3EEC9E13">
            <w:pPr>
              <w:pStyle w:val="20"/>
              <w:spacing w:line="240" w:lineRule="auto"/>
              <w:rPr>
                <w:rFonts w:hint="eastAsia" w:ascii="宋体" w:hAnsi="宋体" w:eastAsia="宋体" w:cs="宋体"/>
                <w:color w:val="auto"/>
                <w:sz w:val="21"/>
                <w:szCs w:val="21"/>
                <w:highlight w:val="none"/>
              </w:rPr>
            </w:pPr>
          </w:p>
        </w:tc>
        <w:tc>
          <w:tcPr>
            <w:tcW w:w="1120" w:type="pct"/>
            <w:vAlign w:val="center"/>
          </w:tcPr>
          <w:p w14:paraId="3EE4AC8B">
            <w:pPr>
              <w:pStyle w:val="2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动态校准仪</w:t>
            </w:r>
          </w:p>
        </w:tc>
        <w:tc>
          <w:tcPr>
            <w:tcW w:w="699" w:type="pct"/>
            <w:vAlign w:val="center"/>
          </w:tcPr>
          <w:p w14:paraId="7FB3C5C0">
            <w:pPr>
              <w:pStyle w:val="2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聚光科技</w:t>
            </w:r>
          </w:p>
        </w:tc>
        <w:tc>
          <w:tcPr>
            <w:tcW w:w="814" w:type="pct"/>
            <w:vAlign w:val="center"/>
          </w:tcPr>
          <w:p w14:paraId="21FF342B">
            <w:pPr>
              <w:pStyle w:val="2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AQMS-200</w:t>
            </w:r>
          </w:p>
        </w:tc>
        <w:tc>
          <w:tcPr>
            <w:tcW w:w="459" w:type="pct"/>
            <w:vAlign w:val="center"/>
          </w:tcPr>
          <w:p w14:paraId="2ED8BC46">
            <w:pPr>
              <w:pStyle w:val="2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套</w:t>
            </w:r>
          </w:p>
        </w:tc>
        <w:tc>
          <w:tcPr>
            <w:tcW w:w="459" w:type="pct"/>
            <w:vAlign w:val="center"/>
          </w:tcPr>
          <w:p w14:paraId="698D9619">
            <w:pPr>
              <w:pStyle w:val="2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r>
      <w:tr w14:paraId="3032C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08" w:type="pct"/>
            <w:vMerge w:val="continue"/>
            <w:vAlign w:val="center"/>
          </w:tcPr>
          <w:p w14:paraId="39C6CED4">
            <w:pPr>
              <w:pStyle w:val="20"/>
              <w:spacing w:line="240" w:lineRule="auto"/>
              <w:rPr>
                <w:rFonts w:hint="eastAsia" w:ascii="宋体" w:hAnsi="宋体" w:eastAsia="宋体" w:cs="宋体"/>
                <w:color w:val="auto"/>
                <w:sz w:val="21"/>
                <w:szCs w:val="21"/>
                <w:highlight w:val="none"/>
              </w:rPr>
            </w:pPr>
          </w:p>
        </w:tc>
        <w:tc>
          <w:tcPr>
            <w:tcW w:w="1039" w:type="pct"/>
            <w:vMerge w:val="continue"/>
          </w:tcPr>
          <w:p w14:paraId="70AA1F0A">
            <w:pPr>
              <w:pStyle w:val="20"/>
              <w:spacing w:line="240" w:lineRule="auto"/>
              <w:rPr>
                <w:rFonts w:hint="eastAsia" w:ascii="宋体" w:hAnsi="宋体" w:eastAsia="宋体" w:cs="宋体"/>
                <w:color w:val="auto"/>
                <w:sz w:val="21"/>
                <w:szCs w:val="21"/>
                <w:highlight w:val="none"/>
              </w:rPr>
            </w:pPr>
          </w:p>
        </w:tc>
        <w:tc>
          <w:tcPr>
            <w:tcW w:w="1120" w:type="pct"/>
            <w:vAlign w:val="center"/>
          </w:tcPr>
          <w:p w14:paraId="53571CFB">
            <w:pPr>
              <w:pStyle w:val="2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零气发生器</w:t>
            </w:r>
          </w:p>
        </w:tc>
        <w:tc>
          <w:tcPr>
            <w:tcW w:w="699" w:type="pct"/>
            <w:vAlign w:val="center"/>
          </w:tcPr>
          <w:p w14:paraId="07800891">
            <w:pPr>
              <w:pStyle w:val="2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聚光科技</w:t>
            </w:r>
          </w:p>
        </w:tc>
        <w:tc>
          <w:tcPr>
            <w:tcW w:w="814" w:type="pct"/>
            <w:vAlign w:val="center"/>
          </w:tcPr>
          <w:p w14:paraId="09081AE7">
            <w:pPr>
              <w:pStyle w:val="2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AQMS-100</w:t>
            </w:r>
          </w:p>
        </w:tc>
        <w:tc>
          <w:tcPr>
            <w:tcW w:w="459" w:type="pct"/>
            <w:vAlign w:val="center"/>
          </w:tcPr>
          <w:p w14:paraId="01E906B8">
            <w:pPr>
              <w:pStyle w:val="2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套</w:t>
            </w:r>
          </w:p>
        </w:tc>
        <w:tc>
          <w:tcPr>
            <w:tcW w:w="459" w:type="pct"/>
            <w:vAlign w:val="center"/>
          </w:tcPr>
          <w:p w14:paraId="04DDEC19">
            <w:pPr>
              <w:pStyle w:val="2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r>
      <w:tr w14:paraId="0DA66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08" w:type="pct"/>
            <w:vMerge w:val="continue"/>
            <w:vAlign w:val="center"/>
          </w:tcPr>
          <w:p w14:paraId="7DAE1DBE">
            <w:pPr>
              <w:pStyle w:val="20"/>
              <w:spacing w:line="240" w:lineRule="auto"/>
              <w:rPr>
                <w:rFonts w:hint="eastAsia" w:ascii="宋体" w:hAnsi="宋体" w:eastAsia="宋体" w:cs="宋体"/>
                <w:color w:val="auto"/>
                <w:sz w:val="21"/>
                <w:szCs w:val="21"/>
                <w:highlight w:val="none"/>
              </w:rPr>
            </w:pPr>
          </w:p>
        </w:tc>
        <w:tc>
          <w:tcPr>
            <w:tcW w:w="1039" w:type="pct"/>
            <w:vMerge w:val="continue"/>
          </w:tcPr>
          <w:p w14:paraId="414C28A6">
            <w:pPr>
              <w:pStyle w:val="20"/>
              <w:spacing w:line="240" w:lineRule="auto"/>
              <w:rPr>
                <w:rFonts w:hint="eastAsia" w:ascii="宋体" w:hAnsi="宋体" w:eastAsia="宋体" w:cs="宋体"/>
                <w:color w:val="auto"/>
                <w:sz w:val="21"/>
                <w:szCs w:val="21"/>
                <w:highlight w:val="none"/>
              </w:rPr>
            </w:pPr>
          </w:p>
        </w:tc>
        <w:tc>
          <w:tcPr>
            <w:tcW w:w="1120" w:type="pct"/>
            <w:vAlign w:val="center"/>
          </w:tcPr>
          <w:p w14:paraId="622DD14A">
            <w:pPr>
              <w:pStyle w:val="2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气象五参数</w:t>
            </w:r>
          </w:p>
        </w:tc>
        <w:tc>
          <w:tcPr>
            <w:tcW w:w="699" w:type="pct"/>
            <w:vAlign w:val="center"/>
          </w:tcPr>
          <w:p w14:paraId="643B10E0">
            <w:pPr>
              <w:pStyle w:val="2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智翔宇</w:t>
            </w:r>
          </w:p>
        </w:tc>
        <w:tc>
          <w:tcPr>
            <w:tcW w:w="814" w:type="pct"/>
            <w:vAlign w:val="center"/>
          </w:tcPr>
          <w:p w14:paraId="5883D016">
            <w:pPr>
              <w:pStyle w:val="2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MULTI-5P</w:t>
            </w:r>
          </w:p>
        </w:tc>
        <w:tc>
          <w:tcPr>
            <w:tcW w:w="459" w:type="pct"/>
            <w:vAlign w:val="center"/>
          </w:tcPr>
          <w:p w14:paraId="206DDACC">
            <w:pPr>
              <w:pStyle w:val="2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套</w:t>
            </w:r>
          </w:p>
        </w:tc>
        <w:tc>
          <w:tcPr>
            <w:tcW w:w="459" w:type="pct"/>
            <w:vAlign w:val="center"/>
          </w:tcPr>
          <w:p w14:paraId="1C6DE017">
            <w:pPr>
              <w:pStyle w:val="2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r>
      <w:tr w14:paraId="64549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08" w:type="pct"/>
            <w:vMerge w:val="restart"/>
            <w:vAlign w:val="center"/>
          </w:tcPr>
          <w:p w14:paraId="3DADA976">
            <w:pPr>
              <w:pStyle w:val="2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039" w:type="pct"/>
            <w:vMerge w:val="restart"/>
          </w:tcPr>
          <w:p w14:paraId="059637F3">
            <w:pPr>
              <w:pStyle w:val="20"/>
              <w:spacing w:line="240" w:lineRule="auto"/>
              <w:ind w:left="0" w:firstLine="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VOCs空气站（站房及配套辅助设施）</w:t>
            </w:r>
          </w:p>
        </w:tc>
        <w:tc>
          <w:tcPr>
            <w:tcW w:w="1120" w:type="pct"/>
            <w:vAlign w:val="center"/>
          </w:tcPr>
          <w:p w14:paraId="6DDFCFE2">
            <w:pPr>
              <w:pStyle w:val="20"/>
              <w:spacing w:line="240" w:lineRule="auto"/>
              <w:ind w:left="0" w:firstLine="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挥发性有机物在线监测系统</w:t>
            </w:r>
          </w:p>
        </w:tc>
        <w:tc>
          <w:tcPr>
            <w:tcW w:w="699" w:type="pct"/>
            <w:vAlign w:val="center"/>
          </w:tcPr>
          <w:p w14:paraId="1ED4C5A8">
            <w:pPr>
              <w:pStyle w:val="2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谱育科技</w:t>
            </w:r>
          </w:p>
        </w:tc>
        <w:tc>
          <w:tcPr>
            <w:tcW w:w="814" w:type="pct"/>
            <w:vAlign w:val="center"/>
          </w:tcPr>
          <w:p w14:paraId="7C5F3061">
            <w:pPr>
              <w:pStyle w:val="20"/>
              <w:spacing w:line="240" w:lineRule="auto"/>
              <w:ind w:left="18" w:hanging="1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EXPEC 2000 （规格：315P/315H）</w:t>
            </w:r>
          </w:p>
        </w:tc>
        <w:tc>
          <w:tcPr>
            <w:tcW w:w="459" w:type="pct"/>
            <w:vAlign w:val="center"/>
          </w:tcPr>
          <w:p w14:paraId="4CBD55B0">
            <w:pPr>
              <w:pStyle w:val="2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套</w:t>
            </w:r>
          </w:p>
        </w:tc>
        <w:tc>
          <w:tcPr>
            <w:tcW w:w="459" w:type="pct"/>
            <w:vAlign w:val="center"/>
          </w:tcPr>
          <w:p w14:paraId="301F0598">
            <w:pPr>
              <w:pStyle w:val="2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r>
      <w:tr w14:paraId="33ECD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08" w:type="pct"/>
            <w:vMerge w:val="continue"/>
            <w:vAlign w:val="center"/>
          </w:tcPr>
          <w:p w14:paraId="28D9D6F5">
            <w:pPr>
              <w:pStyle w:val="20"/>
              <w:spacing w:line="240" w:lineRule="auto"/>
              <w:rPr>
                <w:rFonts w:hint="eastAsia" w:ascii="宋体" w:hAnsi="宋体" w:eastAsia="宋体" w:cs="宋体"/>
                <w:color w:val="auto"/>
                <w:sz w:val="21"/>
                <w:szCs w:val="21"/>
                <w:highlight w:val="none"/>
              </w:rPr>
            </w:pPr>
          </w:p>
        </w:tc>
        <w:tc>
          <w:tcPr>
            <w:tcW w:w="1039" w:type="pct"/>
            <w:vMerge w:val="continue"/>
          </w:tcPr>
          <w:p w14:paraId="5B999E40">
            <w:pPr>
              <w:pStyle w:val="20"/>
              <w:spacing w:line="240" w:lineRule="auto"/>
              <w:rPr>
                <w:rFonts w:hint="eastAsia" w:ascii="宋体" w:hAnsi="宋体" w:eastAsia="宋体" w:cs="宋体"/>
                <w:color w:val="auto"/>
                <w:sz w:val="21"/>
                <w:szCs w:val="21"/>
                <w:highlight w:val="none"/>
              </w:rPr>
            </w:pPr>
          </w:p>
        </w:tc>
        <w:tc>
          <w:tcPr>
            <w:tcW w:w="1120" w:type="pct"/>
            <w:vAlign w:val="center"/>
          </w:tcPr>
          <w:p w14:paraId="62003121">
            <w:pPr>
              <w:pStyle w:val="20"/>
              <w:spacing w:line="240" w:lineRule="auto"/>
              <w:ind w:left="0" w:firstLine="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全惰性化精密动态校准仪</w:t>
            </w:r>
          </w:p>
        </w:tc>
        <w:tc>
          <w:tcPr>
            <w:tcW w:w="699" w:type="pct"/>
            <w:vAlign w:val="center"/>
          </w:tcPr>
          <w:p w14:paraId="2BF3DE12">
            <w:pPr>
              <w:pStyle w:val="2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谱育科技</w:t>
            </w:r>
          </w:p>
        </w:tc>
        <w:tc>
          <w:tcPr>
            <w:tcW w:w="814" w:type="pct"/>
            <w:vAlign w:val="center"/>
          </w:tcPr>
          <w:p w14:paraId="6C174BB0">
            <w:pPr>
              <w:pStyle w:val="2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D 3000</w:t>
            </w:r>
          </w:p>
        </w:tc>
        <w:tc>
          <w:tcPr>
            <w:tcW w:w="459" w:type="pct"/>
            <w:vAlign w:val="center"/>
          </w:tcPr>
          <w:p w14:paraId="1D6C1EB4">
            <w:pPr>
              <w:pStyle w:val="2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套</w:t>
            </w:r>
          </w:p>
        </w:tc>
        <w:tc>
          <w:tcPr>
            <w:tcW w:w="459" w:type="pct"/>
            <w:vAlign w:val="center"/>
          </w:tcPr>
          <w:p w14:paraId="31335B07">
            <w:pPr>
              <w:pStyle w:val="2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r>
      <w:tr w14:paraId="7BB48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08" w:type="pct"/>
            <w:vMerge w:val="continue"/>
            <w:vAlign w:val="center"/>
          </w:tcPr>
          <w:p w14:paraId="0F413C27">
            <w:pPr>
              <w:pStyle w:val="20"/>
              <w:spacing w:line="240" w:lineRule="auto"/>
              <w:rPr>
                <w:rFonts w:hint="eastAsia" w:ascii="宋体" w:hAnsi="宋体" w:eastAsia="宋体" w:cs="宋体"/>
                <w:color w:val="auto"/>
                <w:sz w:val="21"/>
                <w:szCs w:val="21"/>
                <w:highlight w:val="none"/>
              </w:rPr>
            </w:pPr>
          </w:p>
        </w:tc>
        <w:tc>
          <w:tcPr>
            <w:tcW w:w="1039" w:type="pct"/>
            <w:vMerge w:val="continue"/>
          </w:tcPr>
          <w:p w14:paraId="1DFA68D0">
            <w:pPr>
              <w:pStyle w:val="20"/>
              <w:spacing w:line="240" w:lineRule="auto"/>
              <w:rPr>
                <w:rFonts w:hint="eastAsia" w:ascii="宋体" w:hAnsi="宋体" w:eastAsia="宋体" w:cs="宋体"/>
                <w:color w:val="auto"/>
                <w:sz w:val="21"/>
                <w:szCs w:val="21"/>
                <w:highlight w:val="none"/>
              </w:rPr>
            </w:pPr>
          </w:p>
        </w:tc>
        <w:tc>
          <w:tcPr>
            <w:tcW w:w="1120" w:type="pct"/>
            <w:vAlign w:val="center"/>
          </w:tcPr>
          <w:p w14:paraId="1D5AA8D5">
            <w:pPr>
              <w:pStyle w:val="2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零气发生器</w:t>
            </w:r>
          </w:p>
        </w:tc>
        <w:tc>
          <w:tcPr>
            <w:tcW w:w="699" w:type="pct"/>
            <w:vAlign w:val="center"/>
          </w:tcPr>
          <w:p w14:paraId="2D521E5B">
            <w:pPr>
              <w:pStyle w:val="2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谱育科技</w:t>
            </w:r>
          </w:p>
        </w:tc>
        <w:tc>
          <w:tcPr>
            <w:tcW w:w="814" w:type="pct"/>
            <w:vAlign w:val="center"/>
          </w:tcPr>
          <w:p w14:paraId="29B69B35">
            <w:pPr>
              <w:pStyle w:val="2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 710</w:t>
            </w:r>
          </w:p>
        </w:tc>
        <w:tc>
          <w:tcPr>
            <w:tcW w:w="459" w:type="pct"/>
            <w:vAlign w:val="center"/>
          </w:tcPr>
          <w:p w14:paraId="109AEA1C">
            <w:pPr>
              <w:pStyle w:val="2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套</w:t>
            </w:r>
          </w:p>
        </w:tc>
        <w:tc>
          <w:tcPr>
            <w:tcW w:w="459" w:type="pct"/>
            <w:vAlign w:val="center"/>
          </w:tcPr>
          <w:p w14:paraId="209778B5">
            <w:pPr>
              <w:pStyle w:val="2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r>
      <w:tr w14:paraId="56E06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08" w:type="pct"/>
            <w:vMerge w:val="continue"/>
            <w:vAlign w:val="center"/>
          </w:tcPr>
          <w:p w14:paraId="389EC298">
            <w:pPr>
              <w:pStyle w:val="20"/>
              <w:spacing w:line="240" w:lineRule="auto"/>
              <w:rPr>
                <w:rFonts w:hint="eastAsia" w:ascii="宋体" w:hAnsi="宋体" w:eastAsia="宋体" w:cs="宋体"/>
                <w:color w:val="auto"/>
                <w:sz w:val="21"/>
                <w:szCs w:val="21"/>
                <w:highlight w:val="none"/>
              </w:rPr>
            </w:pPr>
          </w:p>
        </w:tc>
        <w:tc>
          <w:tcPr>
            <w:tcW w:w="1039" w:type="pct"/>
            <w:vMerge w:val="continue"/>
          </w:tcPr>
          <w:p w14:paraId="5692CD44">
            <w:pPr>
              <w:pStyle w:val="20"/>
              <w:spacing w:line="240" w:lineRule="auto"/>
              <w:rPr>
                <w:rFonts w:hint="eastAsia" w:ascii="宋体" w:hAnsi="宋体" w:eastAsia="宋体" w:cs="宋体"/>
                <w:color w:val="auto"/>
                <w:sz w:val="21"/>
                <w:szCs w:val="21"/>
                <w:highlight w:val="none"/>
              </w:rPr>
            </w:pPr>
          </w:p>
        </w:tc>
        <w:tc>
          <w:tcPr>
            <w:tcW w:w="1120" w:type="pct"/>
            <w:vAlign w:val="center"/>
          </w:tcPr>
          <w:p w14:paraId="07791F9D">
            <w:pPr>
              <w:pStyle w:val="2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氢气发生器</w:t>
            </w:r>
          </w:p>
        </w:tc>
        <w:tc>
          <w:tcPr>
            <w:tcW w:w="699" w:type="pct"/>
            <w:vAlign w:val="center"/>
          </w:tcPr>
          <w:p w14:paraId="13076CA7">
            <w:pPr>
              <w:pStyle w:val="2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谱育科技</w:t>
            </w:r>
          </w:p>
        </w:tc>
        <w:tc>
          <w:tcPr>
            <w:tcW w:w="814" w:type="pct"/>
            <w:vAlign w:val="center"/>
          </w:tcPr>
          <w:p w14:paraId="75B7FDCA">
            <w:pPr>
              <w:pStyle w:val="2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EXPEC 300</w:t>
            </w:r>
          </w:p>
        </w:tc>
        <w:tc>
          <w:tcPr>
            <w:tcW w:w="459" w:type="pct"/>
            <w:vAlign w:val="center"/>
          </w:tcPr>
          <w:p w14:paraId="5F7003A8">
            <w:pPr>
              <w:pStyle w:val="2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套</w:t>
            </w:r>
          </w:p>
        </w:tc>
        <w:tc>
          <w:tcPr>
            <w:tcW w:w="459" w:type="pct"/>
            <w:vAlign w:val="center"/>
          </w:tcPr>
          <w:p w14:paraId="62EF063C">
            <w:pPr>
              <w:pStyle w:val="2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r>
      <w:tr w14:paraId="481CE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08" w:type="pct"/>
            <w:vMerge w:val="continue"/>
            <w:vAlign w:val="center"/>
          </w:tcPr>
          <w:p w14:paraId="2A7A8F94">
            <w:pPr>
              <w:pStyle w:val="20"/>
              <w:spacing w:line="240" w:lineRule="auto"/>
              <w:rPr>
                <w:rFonts w:hint="eastAsia" w:ascii="宋体" w:hAnsi="宋体" w:eastAsia="宋体" w:cs="宋体"/>
                <w:color w:val="auto"/>
                <w:sz w:val="21"/>
                <w:szCs w:val="21"/>
                <w:highlight w:val="none"/>
              </w:rPr>
            </w:pPr>
          </w:p>
        </w:tc>
        <w:tc>
          <w:tcPr>
            <w:tcW w:w="1039" w:type="pct"/>
            <w:vMerge w:val="continue"/>
          </w:tcPr>
          <w:p w14:paraId="45A5D0D4">
            <w:pPr>
              <w:pStyle w:val="20"/>
              <w:spacing w:line="240" w:lineRule="auto"/>
              <w:rPr>
                <w:rFonts w:hint="eastAsia" w:ascii="宋体" w:hAnsi="宋体" w:eastAsia="宋体" w:cs="宋体"/>
                <w:color w:val="auto"/>
                <w:sz w:val="21"/>
                <w:szCs w:val="21"/>
                <w:highlight w:val="none"/>
              </w:rPr>
            </w:pPr>
          </w:p>
        </w:tc>
        <w:tc>
          <w:tcPr>
            <w:tcW w:w="1120" w:type="pct"/>
            <w:vAlign w:val="center"/>
          </w:tcPr>
          <w:p w14:paraId="2FDB65E0">
            <w:pPr>
              <w:pStyle w:val="2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气象五参数</w:t>
            </w:r>
          </w:p>
        </w:tc>
        <w:tc>
          <w:tcPr>
            <w:tcW w:w="699" w:type="pct"/>
            <w:vAlign w:val="center"/>
          </w:tcPr>
          <w:p w14:paraId="229FA8B0">
            <w:pPr>
              <w:pStyle w:val="2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谱育科技</w:t>
            </w:r>
          </w:p>
        </w:tc>
        <w:tc>
          <w:tcPr>
            <w:tcW w:w="814" w:type="pct"/>
            <w:vAlign w:val="center"/>
          </w:tcPr>
          <w:p w14:paraId="65DE174F">
            <w:pPr>
              <w:pStyle w:val="2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QX-200</w:t>
            </w:r>
          </w:p>
        </w:tc>
        <w:tc>
          <w:tcPr>
            <w:tcW w:w="459" w:type="pct"/>
            <w:vAlign w:val="center"/>
          </w:tcPr>
          <w:p w14:paraId="070044A5">
            <w:pPr>
              <w:pStyle w:val="2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套</w:t>
            </w:r>
          </w:p>
        </w:tc>
        <w:tc>
          <w:tcPr>
            <w:tcW w:w="459" w:type="pct"/>
            <w:vAlign w:val="center"/>
          </w:tcPr>
          <w:p w14:paraId="4F204D64">
            <w:pPr>
              <w:pStyle w:val="2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r>
      <w:tr w14:paraId="27071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08" w:type="pct"/>
            <w:vAlign w:val="center"/>
          </w:tcPr>
          <w:p w14:paraId="28DAE46F">
            <w:pPr>
              <w:pStyle w:val="2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1039" w:type="pct"/>
          </w:tcPr>
          <w:p w14:paraId="15329A23">
            <w:pPr>
              <w:pStyle w:val="20"/>
              <w:spacing w:line="240" w:lineRule="auto"/>
              <w:ind w:left="0" w:firstLine="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微型空气站</w:t>
            </w:r>
          </w:p>
        </w:tc>
        <w:tc>
          <w:tcPr>
            <w:tcW w:w="1120" w:type="pct"/>
            <w:vAlign w:val="center"/>
          </w:tcPr>
          <w:p w14:paraId="096549E7">
            <w:pPr>
              <w:pStyle w:val="20"/>
              <w:spacing w:line="240" w:lineRule="auto"/>
              <w:ind w:left="0" w:firstLine="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环境空气质量监测微型站（含太阳能板）</w:t>
            </w:r>
          </w:p>
        </w:tc>
        <w:tc>
          <w:tcPr>
            <w:tcW w:w="699" w:type="pct"/>
            <w:vAlign w:val="center"/>
          </w:tcPr>
          <w:p w14:paraId="3621C2A9">
            <w:pPr>
              <w:pStyle w:val="2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聚光科技</w:t>
            </w:r>
          </w:p>
        </w:tc>
        <w:tc>
          <w:tcPr>
            <w:tcW w:w="814" w:type="pct"/>
            <w:vAlign w:val="center"/>
          </w:tcPr>
          <w:p w14:paraId="32EEABD5">
            <w:pPr>
              <w:pStyle w:val="2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AQMS-3000</w:t>
            </w:r>
          </w:p>
        </w:tc>
        <w:tc>
          <w:tcPr>
            <w:tcW w:w="459" w:type="pct"/>
            <w:vAlign w:val="center"/>
          </w:tcPr>
          <w:p w14:paraId="4607DDB2">
            <w:pPr>
              <w:pStyle w:val="2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套</w:t>
            </w:r>
          </w:p>
        </w:tc>
        <w:tc>
          <w:tcPr>
            <w:tcW w:w="459" w:type="pct"/>
            <w:vAlign w:val="center"/>
          </w:tcPr>
          <w:p w14:paraId="7774CCBD">
            <w:pPr>
              <w:pStyle w:val="2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26</w:t>
            </w:r>
          </w:p>
        </w:tc>
      </w:tr>
    </w:tbl>
    <w:p w14:paraId="375BF34D">
      <w:pPr>
        <w:widowControl w:val="0"/>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本次中标供应商需在2026年2月15日前，与原运维单位做好工作交接。</w:t>
      </w:r>
    </w:p>
    <w:p w14:paraId="0892D58C">
      <w:pPr>
        <w:widowControl w:val="0"/>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1.运维目的</w:t>
      </w:r>
    </w:p>
    <w:p w14:paraId="223E536D">
      <w:pPr>
        <w:widowControl w:val="0"/>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本项目拟委托第三方机构对上述站点提供运维服务，运维内容包括：设备日常维护、定期校准、系统检修等，必要时更换监测仪器配件、耗材等，确保站点设备及系统连续、稳定、有效运行。</w:t>
      </w:r>
    </w:p>
    <w:p w14:paraId="1E9A09A3">
      <w:pPr>
        <w:widowControl w:val="0"/>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2.运维管理：</w:t>
      </w:r>
    </w:p>
    <w:p w14:paraId="55C6FACF">
      <w:pPr>
        <w:widowControl w:val="0"/>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运维机构须严格按照国家相关技术规范、运维合同、方案等的规定开展运维工作。</w:t>
      </w:r>
    </w:p>
    <w:p w14:paraId="30D92578">
      <w:pPr>
        <w:widowControl w:val="0"/>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3.运维内容：</w:t>
      </w:r>
    </w:p>
    <w:p w14:paraId="4AC5E412">
      <w:pPr>
        <w:widowControl w:val="0"/>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承担仪器设备日常运行维护工作，包括仪器设备日常和定期的检查调校、易损件更换、耗材更换、管路清洗、数据核查等工作，运维人员必需每周对监测仪器进行现场维护。所有运维工作及仪器的使用情况均须做好记录。</w:t>
      </w:r>
    </w:p>
    <w:p w14:paraId="01D8D42C">
      <w:pPr>
        <w:widowControl w:val="0"/>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4.运维方案：运维机构负责根据国家相关技术规范制定详细的运维方案（需在投标标书中提供），方案内容应包括维护、保养及质控的具体措施、频次、质量要求等，日常运维工作需严格按照方案执行，并做好相关记录。</w:t>
      </w:r>
    </w:p>
    <w:p w14:paraId="4E81438C">
      <w:pPr>
        <w:widowControl w:val="0"/>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5.人员保障：需配备至少2名运维工作人员，能够独立解决仪器运维过程中一些常见简单故障，负责运维人员需接受采购人的监督管理开展运维工作。</w:t>
      </w:r>
    </w:p>
    <w:p w14:paraId="35E56542">
      <w:pPr>
        <w:widowControl w:val="0"/>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6.备件保障：运维合同签订后，所有耗材、配件必须根据仪器的状况和有效使用期，及时更换并做好登记记录；更换的耗材、配件需进行标注（更换时间、地点及原因）；标准物质的采购、使用、更换必须符合相关规定，按照仪器要求，标准物质在有效期内应定期更换，并应做好相关记录。</w:t>
      </w:r>
    </w:p>
    <w:p w14:paraId="48D07420">
      <w:pPr>
        <w:widowControl w:val="0"/>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7.服务响应：如发现仪器故障后，运维机构在4小时内到达现场检修。对于普通故障，修复时间不超过24小时；如24小时内无法排除故障，应及时报告，共同协商后解决。重大保障及特殊应急状况下，能服从调度安排。</w:t>
      </w:r>
    </w:p>
    <w:p w14:paraId="384124EC">
      <w:pPr>
        <w:widowControl w:val="0"/>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8.其它要求：</w:t>
      </w:r>
    </w:p>
    <w:p w14:paraId="51D2DCC2">
      <w:pPr>
        <w:widowControl w:val="0"/>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（1）承担运行维护服务方人员应经培训合格的技术人员组成。同时应配备工作交通车辆，用于日常巡检和发生突发事故时能及时赶到站点对仪器设备进行运维。</w:t>
      </w:r>
    </w:p>
    <w:p w14:paraId="7682A9CD">
      <w:pPr>
        <w:widowControl w:val="0"/>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（2）承担运行维护服务方必须积极配合用户方，做好接受各级管理部门的检查、监督工作。</w:t>
      </w:r>
    </w:p>
    <w:p w14:paraId="77CB1174">
      <w:pPr>
        <w:widowControl w:val="0"/>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3）按照要求规范如实填写、整理各类运维记录，留存现场。</w:t>
      </w:r>
    </w:p>
    <w:p w14:paraId="1892AF40">
      <w:pPr>
        <w:widowControl w:val="0"/>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4）所有点位每三天巡查一遍，微站点一周全覆盖。每天提供巡查点位周边的照片和巡查报告，作为年度运维考核。</w:t>
      </w:r>
    </w:p>
    <w:p w14:paraId="552ACF6E">
      <w:pPr>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二、项目需求</w:t>
      </w:r>
    </w:p>
    <w:p w14:paraId="1DD7B017">
      <w:pPr>
        <w:widowControl w:val="0"/>
        <w:ind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（一）标准空气站运维要求</w:t>
      </w:r>
    </w:p>
    <w:p w14:paraId="3D32F5D6">
      <w:pPr>
        <w:widowControl w:val="0"/>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1.运维工作内容</w:t>
      </w:r>
    </w:p>
    <w:p w14:paraId="5343CEF7">
      <w:pPr>
        <w:widowControl w:val="0"/>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运维过程中主要完成以下工作：</w:t>
      </w:r>
    </w:p>
    <w:p w14:paraId="499AFAF0">
      <w:pPr>
        <w:widowControl w:val="0"/>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（1）空气自动监测站的日常运行维护；</w:t>
      </w:r>
    </w:p>
    <w:p w14:paraId="00A2EB8B">
      <w:pPr>
        <w:widowControl w:val="0"/>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（2）空气自动监测站的日常质量管理；</w:t>
      </w:r>
    </w:p>
    <w:p w14:paraId="0D011F89">
      <w:pPr>
        <w:widowControl w:val="0"/>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（3）空气自动监测站的日常安全管理；</w:t>
      </w:r>
    </w:p>
    <w:p w14:paraId="733F078B">
      <w:pPr>
        <w:widowControl w:val="0"/>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（4）空气自动监测站监测数据的日常审核、上报；</w:t>
      </w:r>
    </w:p>
    <w:p w14:paraId="0BB06C98">
      <w:pPr>
        <w:widowControl w:val="0"/>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（5）空气自动监测站的仪器设备维护保养及故障维修；</w:t>
      </w:r>
    </w:p>
    <w:p w14:paraId="65AC0ADE">
      <w:pPr>
        <w:widowControl w:val="0"/>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（6）空气自动监测站其他相关辅助设备设施的维护、保养、维修。</w:t>
      </w:r>
    </w:p>
    <w:p w14:paraId="688A4C7F">
      <w:pPr>
        <w:widowControl w:val="0"/>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（7）空气自动监测站数据采集及传输系统的维护及维修，保证空气自动监测站通讯正常。</w:t>
      </w:r>
    </w:p>
    <w:p w14:paraId="4F4D0CDE">
      <w:pPr>
        <w:widowControl w:val="0"/>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（8）根据工作需要开展对空气自动监测站PM10与PM2.5自动监测的手工比对；</w:t>
      </w:r>
    </w:p>
    <w:p w14:paraId="0CEE9E03">
      <w:pPr>
        <w:widowControl w:val="0"/>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（9）当仪器出现故障不能及时修复时，应在24小时之内使用备机开展监测；</w:t>
      </w:r>
    </w:p>
    <w:p w14:paraId="300337C6">
      <w:pPr>
        <w:widowControl w:val="0"/>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（10）仪器报废后（包括因洪水、地震、台风、站房外部火灾、爆炸、恐怖袭击、武装冲突、蓄意破坏等不可抗力导致），运维单位须先行及时使用备机开展监测，同时进行报备。</w:t>
      </w:r>
    </w:p>
    <w:p w14:paraId="585B72EC">
      <w:pPr>
        <w:widowControl w:val="0"/>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（11）当点位需要新增、撤销、变更时，由所在地生态环境部门按照点位管理程序向上级生态环境部门报批。涉及站点迁移的，运维单位应做好迁移前后监测仪器设备检查工作并做好相关记录。</w:t>
      </w:r>
    </w:p>
    <w:p w14:paraId="445A2549">
      <w:pPr>
        <w:widowControl w:val="0"/>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2.运维工作目标</w:t>
      </w:r>
    </w:p>
    <w:p w14:paraId="3DA9DDD9">
      <w:pPr>
        <w:widowControl w:val="0"/>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运维单位必须建立完善的运行维护工作规范与质量管理体系，确保提供及时、准确、有效的监测数据，子站的运行质量应达到以下指标：</w:t>
      </w:r>
    </w:p>
    <w:p w14:paraId="2BB5EF28">
      <w:pPr>
        <w:widowControl w:val="0"/>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（1）所获取的有效监测数据必须满足</w:t>
      </w:r>
      <w:bookmarkStart w:id="0" w:name="OLE_LINK24"/>
      <w:bookmarkStart w:id="1" w:name="OLE_LINK23"/>
      <w:r>
        <w:rPr>
          <w:rFonts w:hint="eastAsia" w:ascii="宋体" w:hAnsi="宋体" w:eastAsia="宋体" w:cs="宋体"/>
          <w:color w:val="auto"/>
          <w:sz w:val="24"/>
          <w:highlight w:val="none"/>
        </w:rPr>
        <w:t>国家《环境空气质量标准》（GB 3095-2012）中规定的污染物浓度数据有效性最低要求</w:t>
      </w:r>
      <w:bookmarkEnd w:id="0"/>
      <w:bookmarkEnd w:id="1"/>
      <w:r>
        <w:rPr>
          <w:rFonts w:hint="eastAsia" w:ascii="宋体" w:hAnsi="宋体" w:eastAsia="宋体" w:cs="宋体"/>
          <w:color w:val="auto"/>
          <w:sz w:val="24"/>
          <w:highlight w:val="none"/>
        </w:rPr>
        <w:t>。</w:t>
      </w:r>
    </w:p>
    <w:p w14:paraId="2747B70C">
      <w:pPr>
        <w:widowControl w:val="0"/>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（2）单站设备运行率必须高于90%(含)，有效率必须高于85%(含)。</w:t>
      </w:r>
    </w:p>
    <w:p w14:paraId="77F75BB6">
      <w:pPr>
        <w:widowControl w:val="0"/>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（3）异常情况处理率100%。</w:t>
      </w:r>
    </w:p>
    <w:p w14:paraId="6D0D80BB">
      <w:pPr>
        <w:widowControl w:val="0"/>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设备运行率是指已上传数据量与应上传数据量之比，数据有效率是指有效数据量与应上传数据量之比。</w:t>
      </w:r>
    </w:p>
    <w:p w14:paraId="5A5A7F52">
      <w:pPr>
        <w:widowControl w:val="0"/>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3.运维工作要求</w:t>
      </w:r>
    </w:p>
    <w:p w14:paraId="54180C58">
      <w:pPr>
        <w:widowControl w:val="0"/>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运维单位应遵守省国家、省关于空气自动站运行管理的各项规定，如运维期间出台新的运行管理规定，则运维工作按最新规定执行。</w:t>
      </w:r>
    </w:p>
    <w:p w14:paraId="10CFCE02">
      <w:pPr>
        <w:widowControl w:val="0"/>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A、运维工作一般要求如下：</w:t>
      </w:r>
    </w:p>
    <w:p w14:paraId="19CB0ECB">
      <w:pPr>
        <w:widowControl w:val="0"/>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(1)保持站房内部环境清洁，布置整齐，各仪器设备干净清洁，设备标识清楚；</w:t>
      </w:r>
    </w:p>
    <w:p w14:paraId="3D4EE0A8">
      <w:pPr>
        <w:widowControl w:val="0"/>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(2)保持站房外20m以内的环境清洁；</w:t>
      </w:r>
    </w:p>
    <w:p w14:paraId="4E9E3773">
      <w:pPr>
        <w:widowControl w:val="0"/>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(3)检查供电和网络通讯情况，保证系统的正常运行；</w:t>
      </w:r>
    </w:p>
    <w:p w14:paraId="4C29FA04">
      <w:pPr>
        <w:widowControl w:val="0"/>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(4)保证空调正常工作，站房内温度25±5℃，相对湿度保持在80%RH以下；</w:t>
      </w:r>
    </w:p>
    <w:p w14:paraId="7F970EEE">
      <w:pPr>
        <w:widowControl w:val="0"/>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(5)指派专人维护，设备固定牢固，门窗关闭良好，人走关门，非工作人员未经许可不得入内；</w:t>
      </w:r>
    </w:p>
    <w:p w14:paraId="20FD03EB">
      <w:pPr>
        <w:widowControl w:val="0"/>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(6)定期检查消防和安全设施；</w:t>
      </w:r>
    </w:p>
    <w:p w14:paraId="783BC5DF">
      <w:pPr>
        <w:widowControl w:val="0"/>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(7)每次维护后做好系统运行维护记录；</w:t>
      </w:r>
    </w:p>
    <w:p w14:paraId="108E60DA">
      <w:pPr>
        <w:widowControl w:val="0"/>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(8)进行维护时，应规范操作，注意安全，防止意外发生。</w:t>
      </w:r>
    </w:p>
    <w:p w14:paraId="74C0E6A2">
      <w:pPr>
        <w:widowControl w:val="0"/>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B、每日工作内容如下：</w:t>
      </w:r>
    </w:p>
    <w:p w14:paraId="4DA08E3C">
      <w:pPr>
        <w:widowControl w:val="0"/>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每天上午和下午两次远程查看空气自动监测站数据并形成记录，分析监测数据，对站点运行情况进行远程诊断和运行管理，内容包括：</w:t>
      </w:r>
    </w:p>
    <w:p w14:paraId="7D011E90">
      <w:pPr>
        <w:widowControl w:val="0"/>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(1)判断系统数据采集与传输情况；</w:t>
      </w:r>
    </w:p>
    <w:p w14:paraId="6F711D9A">
      <w:pPr>
        <w:widowControl w:val="0"/>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(2)根据电源电压、站房温度、湿度数据判断站房内部情况；</w:t>
      </w:r>
    </w:p>
    <w:p w14:paraId="7E23A255">
      <w:pPr>
        <w:widowControl w:val="0"/>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(3)发现监测数据异常，应立即通知业主，在每日8时～20时出现的异常，应在4小时内解决（通信线路、电力线路故障除外，但应及时与相关部门联系积极解决），其他时间出现的异常，应在次日上午10时前解决；</w:t>
      </w:r>
    </w:p>
    <w:p w14:paraId="6AFAF3BB">
      <w:pPr>
        <w:widowControl w:val="0"/>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(4)发生重污染天气等特殊情况后，应在4小时内开展相应的运维工作；</w:t>
      </w:r>
    </w:p>
    <w:p w14:paraId="3FE4506B">
      <w:pPr>
        <w:widowControl w:val="0"/>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(5)根据数据分析结果、设备状态参数和仪器故障报警信号，判断仪器运行情况和现场状况；</w:t>
      </w:r>
    </w:p>
    <w:p w14:paraId="620A52A1">
      <w:pPr>
        <w:widowControl w:val="0"/>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(6)每日检查数据是否及时上传并正常发布，发现数据断网及时恢复。</w:t>
      </w:r>
    </w:p>
    <w:p w14:paraId="19391942">
      <w:pPr>
        <w:widowControl w:val="0"/>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(7)具备自动零点检查功能的站点，对SO2、CO、O3、NO2分析仪进行零点检查，如果漂移超过国家相关规范要求，需要进行校准；</w:t>
      </w:r>
    </w:p>
    <w:p w14:paraId="127C1E90">
      <w:pPr>
        <w:widowControl w:val="0"/>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(8)每日审核前1日各监测点位原始小时值。</w:t>
      </w:r>
    </w:p>
    <w:p w14:paraId="57746029">
      <w:pPr>
        <w:widowControl w:val="0"/>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C、每周工作内容如下：</w:t>
      </w:r>
    </w:p>
    <w:p w14:paraId="64313DE0">
      <w:pPr>
        <w:widowControl w:val="0"/>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每周至少巡检空气自动监测站1次（最大间隔期不得超过8天，且14天内必须完成2次维护），并做好巡查记录，巡检时需要完成的工作包括：</w:t>
      </w:r>
    </w:p>
    <w:p w14:paraId="3A590541">
      <w:pPr>
        <w:widowControl w:val="0"/>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(1)查看空气自动监测站设备是否齐备，无丢失和损坏；检查接地线路是否可靠，排风排气装置工作是否正常，标准气钢瓶阀门是否漏气，标准气的消耗情况；</w:t>
      </w:r>
    </w:p>
    <w:p w14:paraId="2549950C">
      <w:pPr>
        <w:widowControl w:val="0"/>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(2)检查采样和排气管路是否有漏气或堵塞现象，各监测仪器采样流量是否正常；</w:t>
      </w:r>
    </w:p>
    <w:p w14:paraId="0FD41FAB">
      <w:pPr>
        <w:widowControl w:val="0"/>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(3)检查各监测仪器的运行状况和工作参数，判断是否正常，如有异常情况及时处理，保证仪器运行正常；</w:t>
      </w:r>
    </w:p>
    <w:p w14:paraId="22AAE744">
      <w:pPr>
        <w:widowControl w:val="0"/>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(4)检查PM10和PM2.5监测仪动态加热装置及采样总管加热装置是否正常工作；</w:t>
      </w:r>
    </w:p>
    <w:p w14:paraId="64BD7CA2">
      <w:pPr>
        <w:widowControl w:val="0"/>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(5)对二氧化硫、一氧化碳、臭氧、氮氧化物监测仪进行零点、跨度检查，如果漂移超过国家相关规范要求，需要进行校准或维修；</w:t>
      </w:r>
    </w:p>
    <w:p w14:paraId="1D995CBB">
      <w:pPr>
        <w:widowControl w:val="0"/>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(6)按照仪器说明书要求，对零气发生器进行维护；</w:t>
      </w:r>
    </w:p>
    <w:p w14:paraId="1CEC34D3">
      <w:pPr>
        <w:widowControl w:val="0"/>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(7)检查外部环境是否正常，有没有对测定结果或运行环境存在明显影响的污染源；</w:t>
      </w:r>
    </w:p>
    <w:p w14:paraId="06363A8B">
      <w:pPr>
        <w:widowControl w:val="0"/>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(8)检查电路系统和通讯系统，保证系统供电正常，电压稳定；</w:t>
      </w:r>
    </w:p>
    <w:p w14:paraId="6179BBD6">
      <w:pPr>
        <w:widowControl w:val="0"/>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(9)检查空气自动监测站的通讯系统，保证空气自动监测站与相关数据监控平台的连接正常，数据传输正常；确保无远程控制软件；</w:t>
      </w:r>
    </w:p>
    <w:p w14:paraId="1BDE246C">
      <w:pPr>
        <w:widowControl w:val="0"/>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(10)对仪器显示数据、时间与数据采集仪之间的一致性进行检查和校准；</w:t>
      </w:r>
    </w:p>
    <w:p w14:paraId="7AE72D04">
      <w:pPr>
        <w:widowControl w:val="0"/>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(11)检查监测仪器的采样入口与采样支路管线结合部之间安装的过滤膜的污染情况，每周更换滤膜并检查监测仪器散热风扇污染情况，及时清洗；</w:t>
      </w:r>
    </w:p>
    <w:p w14:paraId="3DD38919">
      <w:pPr>
        <w:widowControl w:val="0"/>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(12)在冬、夏季节应注意空气自动监测站站房室内外温差，若温差较大，应及时改变站房温度或对采样总管采取适当的控制措施，防止冷凝现象；</w:t>
      </w:r>
    </w:p>
    <w:p w14:paraId="3FA9289D">
      <w:pPr>
        <w:widowControl w:val="0"/>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(13)应及时清除空气自动监测站站房周围的杂草和积水，当周围树木生长超过规范规定的控制限时，应及时剪除对采样或监测光束有影响的树枝；</w:t>
      </w:r>
    </w:p>
    <w:p w14:paraId="0544E153">
      <w:pPr>
        <w:widowControl w:val="0"/>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(14)应经常检查避雷设施是否可靠，空气自动监测站房屋是否有漏雨现象，天线是否被刮坏，站房外围的其它设施是否有损坏或被水淹，如遇到以上问题应及时处理，保证系统安全运行；</w:t>
      </w:r>
    </w:p>
    <w:p w14:paraId="02FFF5C9">
      <w:pPr>
        <w:widowControl w:val="0"/>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(15)检查站房的安全设施，做好防火防盗工作；</w:t>
      </w:r>
    </w:p>
    <w:p w14:paraId="389C3AE5">
      <w:pPr>
        <w:widowControl w:val="0"/>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(16)每周对颗粒物的采样纸带或滤膜进行检查，如纸带即将用尽或滤膜负载超过规定要求，及时进行更换；</w:t>
      </w:r>
    </w:p>
    <w:p w14:paraId="43B22A61">
      <w:pPr>
        <w:widowControl w:val="0"/>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(17)每周检查视频监控系统，并做好视频系统的日常维护。若发现人为干扰干预环境空气质量监测的行为，及时向业主汇报；</w:t>
      </w:r>
    </w:p>
    <w:p w14:paraId="3BD068FB">
      <w:pPr>
        <w:widowControl w:val="0"/>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(18)每周对站房内外环境卫生进行检查，及时保洁；</w:t>
      </w:r>
    </w:p>
    <w:p w14:paraId="0F1F0A84">
      <w:pPr>
        <w:widowControl w:val="0"/>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(19)每周对气象仪器运行情况进行检查；</w:t>
      </w:r>
    </w:p>
    <w:p w14:paraId="6D5E7EEA">
      <w:pPr>
        <w:widowControl w:val="0"/>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(20)重污染天气过程结束后及时清洗采样系统管路。</w:t>
      </w:r>
    </w:p>
    <w:p w14:paraId="1D2E2A0A">
      <w:pPr>
        <w:widowControl w:val="0"/>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D、每月工作内容如下：</w:t>
      </w:r>
    </w:p>
    <w:p w14:paraId="3A7A1436">
      <w:pPr>
        <w:widowControl w:val="0"/>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(1)清洗PM10及PM2.5采样头（若遇重污染天气，则每周清洗一次），检查β法颗粒物监测仪仪器喷嘴、压环、密封圈等部件；</w:t>
      </w:r>
    </w:p>
    <w:p w14:paraId="25B763FD">
      <w:pPr>
        <w:widowControl w:val="0"/>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(2)检查PM10及PM2.5监测仪、气态监测仪、动态校准仪流量，超过国家相关规范要求时应进行校准；</w:t>
      </w:r>
    </w:p>
    <w:p w14:paraId="217005AB">
      <w:pPr>
        <w:widowControl w:val="0"/>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(3)每月对数据和运维记录进行备份；</w:t>
      </w:r>
    </w:p>
    <w:p w14:paraId="63163D73">
      <w:pPr>
        <w:widowControl w:val="0"/>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(4)检查和校准PM2.5、PM10监测仪相对湿度、温度传感器和压力传感器；</w:t>
      </w:r>
    </w:p>
    <w:p w14:paraId="78360784">
      <w:pPr>
        <w:widowControl w:val="0"/>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(5)清洗各仪器散热防尘网和空调机的过滤网，防止尘土阻塞过滤网；</w:t>
      </w:r>
    </w:p>
    <w:p w14:paraId="21BBE388">
      <w:pPr>
        <w:widowControl w:val="0"/>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(6)检查仪器显示数据和数据采集仪之间的一致性。</w:t>
      </w:r>
    </w:p>
    <w:p w14:paraId="70199B9A">
      <w:pPr>
        <w:widowControl w:val="0"/>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E、每季度工作内容如下：</w:t>
      </w:r>
    </w:p>
    <w:p w14:paraId="6AF47381">
      <w:pPr>
        <w:widowControl w:val="0"/>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(1)采样总管及采样风机每季度至少清洗一次；</w:t>
      </w:r>
    </w:p>
    <w:p w14:paraId="76FEC850">
      <w:pPr>
        <w:widowControl w:val="0"/>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(2)对PM10和PM2.5监测仪器进行标准膜检查或K0值检查，超过国家相关规范要求时，及时进行校准或维修。</w:t>
      </w:r>
    </w:p>
    <w:p w14:paraId="0999BCDC">
      <w:pPr>
        <w:widowControl w:val="0"/>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(3)校准和检查 PM10 及 PM2.5 分析仪的温度、气压和时钟。</w:t>
      </w:r>
    </w:p>
    <w:p w14:paraId="7EE6468B">
      <w:pPr>
        <w:widowControl w:val="0"/>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(4)每季度对气态污染物进行精密度校准。</w:t>
      </w:r>
    </w:p>
    <w:p w14:paraId="715A2E53">
      <w:pPr>
        <w:widowControl w:val="0"/>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(5)对气态污染物监测仪进行多点校准，绘制校准曲线，检验相关系数、斜率和截距。</w:t>
      </w:r>
    </w:p>
    <w:p w14:paraId="5E0DEF92">
      <w:pPr>
        <w:widowControl w:val="0"/>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F、每半年工作内容如下：</w:t>
      </w:r>
    </w:p>
    <w:p w14:paraId="1BD96A04">
      <w:pPr>
        <w:widowControl w:val="0"/>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 检查PM2.5、PM10分析仪相对湿度、温度传感器和动态加热装置是否正常工作；</w:t>
      </w:r>
    </w:p>
    <w:p w14:paraId="52E860F7">
      <w:pPr>
        <w:widowControl w:val="0"/>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(2)振荡天平法颗粒物仪器每半年更换一次主路过滤器滤芯、旁路过滤器滤芯和气水分离器滤芯，污染较重时应及时更换滤芯；</w:t>
      </w:r>
    </w:p>
    <w:p w14:paraId="59FA424D">
      <w:pPr>
        <w:widowControl w:val="0"/>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(3)更换零气源净化剂和氧化剂，对零气性能进行检查；</w:t>
      </w:r>
    </w:p>
    <w:p w14:paraId="28007FEC">
      <w:pPr>
        <w:widowControl w:val="0"/>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(4)对氮氧化物监测仪钼炉转化率进行检查；</w:t>
      </w:r>
    </w:p>
    <w:p w14:paraId="7180D375">
      <w:pPr>
        <w:widowControl w:val="0"/>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(5)采用臭氧传递标准对空气自动监测站臭氧工作标准进行标准传递；</w:t>
      </w:r>
    </w:p>
    <w:p w14:paraId="52FDF4F7">
      <w:pPr>
        <w:widowControl w:val="0"/>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(6)进行动态校准仪 MFC 流量控制器线性检查；</w:t>
      </w:r>
    </w:p>
    <w:p w14:paraId="30E3C275">
      <w:pPr>
        <w:widowControl w:val="0"/>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(7)采样支管每半年至少清洁1次，必要时更换。</w:t>
      </w:r>
    </w:p>
    <w:p w14:paraId="0078D94E">
      <w:pPr>
        <w:widowControl w:val="0"/>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G、每年工作内容如下：</w:t>
      </w:r>
    </w:p>
    <w:p w14:paraId="487A83B8">
      <w:pPr>
        <w:widowControl w:val="0"/>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按照仪器说明书对动态校准仪流量进行多点检查。</w:t>
      </w:r>
    </w:p>
    <w:p w14:paraId="21F0B788">
      <w:pPr>
        <w:widowControl w:val="0"/>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对所有的仪器（包括采样泵）进行预防性维护，采样总管每年至少清洁1次，对关键零部件进行拆卸清洁和保养，按说明书的要求更换备件。</w:t>
      </w:r>
    </w:p>
    <w:p w14:paraId="7327079A">
      <w:pPr>
        <w:widowControl w:val="0"/>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H、日常运维其他相关要求如下：</w:t>
      </w:r>
    </w:p>
    <w:p w14:paraId="407B2250">
      <w:pPr>
        <w:widowControl w:val="0"/>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(1)每周更换的气态污染物监测仪器所用滤膜，必须为聚四氟乙烯材质；</w:t>
      </w:r>
    </w:p>
    <w:p w14:paraId="5C68DAB6">
      <w:pPr>
        <w:widowControl w:val="0"/>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(2)应及时制定每月工作计划并将进出空气自动监测站的具体日期上报业主备案，并严格按计划执行，若有变更或临时突发情况处理等应及时上报业主备案；</w:t>
      </w:r>
    </w:p>
    <w:p w14:paraId="2A23517A">
      <w:pPr>
        <w:widowControl w:val="0"/>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运维单位保证满足生态环境部门对空气自动监测站仪器设备故障的响应时间要求，当仪器设备每日8时～20时出现故障，应在1小时之内响应，4小时内到达现场解决（通信线路、电力线路故障除外，但应及时与相关部门联系积极解决）。若仪器故障无法排除，运维单位必须在24小时内提供并更换相应的备机，保证自动站正常运行；</w:t>
      </w:r>
    </w:p>
    <w:p w14:paraId="1346C49B">
      <w:pPr>
        <w:widowControl w:val="0"/>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(4)当仪器损坏不能修复时，应在24小时之内使用备机开展监测，并同时报告业主，业主组织确认仪器损坏情况及原因，酌情处理；</w:t>
      </w:r>
    </w:p>
    <w:p w14:paraId="627EE7FF">
      <w:pPr>
        <w:widowControl w:val="0"/>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(5)仪器报废后（包括使用超过8年导致，或因洪水、地震、台风、站房外部火灾、爆炸、恐怖袭击、武装冲突、蓄意破坏等不可抗力导致），运维单位须先行及时使用备机开展监测，同时报告业主；</w:t>
      </w:r>
    </w:p>
    <w:p w14:paraId="6A8518CF">
      <w:pPr>
        <w:widowControl w:val="0"/>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(6)严禁擅自改变采样管路连接方式和更改仪器参数设置。</w:t>
      </w:r>
    </w:p>
    <w:p w14:paraId="76611BBF">
      <w:pPr>
        <w:widowControl w:val="0"/>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I、质量控制要求</w:t>
      </w:r>
    </w:p>
    <w:p w14:paraId="13E43205">
      <w:pPr>
        <w:widowControl w:val="0"/>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运维单位需认真落实质量管理制度，建立完善的运行维护工作质量管理体系，安排专职质量控制管理人员。</w:t>
      </w:r>
    </w:p>
    <w:p w14:paraId="1F5BD11C">
      <w:pPr>
        <w:widowControl w:val="0"/>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（1）量值溯源要求</w:t>
      </w:r>
    </w:p>
    <w:p w14:paraId="5C83949C">
      <w:pPr>
        <w:widowControl w:val="0"/>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运维单位在每个空气自动监测站需配备标准气体，所使用的标准气体须为国家生态环境部标样所或中国计量院生产的一级有证标准样品或物质，新购标准气体应做验证实验，形成验证报告。另外，当钢瓶压力低于1.5MPa（含）时，标准停止使用。新的标气阀应预先进行3次（每次至少24小时）以上的老化后方可使用。标准气体必须在有效期内使用。</w:t>
      </w:r>
    </w:p>
    <w:p w14:paraId="33314F94">
      <w:pPr>
        <w:widowControl w:val="0"/>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运维单位应每年将空气自动监测站运维所用的流量计、温度计、气压计、湿度计等质控设备送检，并取得计量部门颁发的合格证书，并根据业主要求定期开展核查工作。每年将空气自动监测站所用的臭氧标准为业主提供的标准设备进行溯源，性能指标均应符合要求。</w:t>
      </w:r>
    </w:p>
    <w:p w14:paraId="3025E695">
      <w:pPr>
        <w:widowControl w:val="0"/>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（2）日常质量控制要求</w:t>
      </w:r>
    </w:p>
    <w:p w14:paraId="04C7A9A5">
      <w:pPr>
        <w:widowControl w:val="0"/>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监测仪在以下情况下需进行校准：</w:t>
      </w:r>
    </w:p>
    <w:p w14:paraId="15BEC12F">
      <w:pPr>
        <w:widowControl w:val="0"/>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①安装时；</w:t>
      </w:r>
    </w:p>
    <w:p w14:paraId="48E00459">
      <w:pPr>
        <w:widowControl w:val="0"/>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②移动位置时；</w:t>
      </w:r>
    </w:p>
    <w:p w14:paraId="68F612D1">
      <w:pPr>
        <w:widowControl w:val="0"/>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③进行可能影响校准结果的维修或维护后；</w:t>
      </w:r>
    </w:p>
    <w:p w14:paraId="083F063C">
      <w:pPr>
        <w:widowControl w:val="0"/>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④监测仪暂停工作一段时间后；</w:t>
      </w:r>
    </w:p>
    <w:p w14:paraId="2EBB200A">
      <w:pPr>
        <w:widowControl w:val="0"/>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⑤有迹象表明监测仪工作不正常或校准结果出现变化；</w:t>
      </w:r>
    </w:p>
    <w:p w14:paraId="256C43F3">
      <w:pPr>
        <w:widowControl w:val="0"/>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⑥超过国家规范或本招标文件要求的校准周期或校准要求的。</w:t>
      </w:r>
    </w:p>
    <w:p w14:paraId="30990688">
      <w:pPr>
        <w:widowControl w:val="0"/>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（3）质量检查</w:t>
      </w:r>
    </w:p>
    <w:p w14:paraId="321DC76C">
      <w:pPr>
        <w:widowControl w:val="0"/>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运维单位必须接受淮业主及其委托单位和人员的质量检查。</w:t>
      </w:r>
    </w:p>
    <w:p w14:paraId="43720C1C">
      <w:pPr>
        <w:widowControl w:val="0"/>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J、系统设备维修要求</w:t>
      </w:r>
    </w:p>
    <w:p w14:paraId="0A9455CA">
      <w:pPr>
        <w:widowControl w:val="0"/>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（1）维修更换工作要求</w:t>
      </w:r>
    </w:p>
    <w:p w14:paraId="4DDF2D74">
      <w:pPr>
        <w:widowControl w:val="0"/>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运维单位负责系统所有设备和仪器的维护、维修和部件更换（包括空调设备等附属设施），并将维修费用计算在运维报价中。本服务内容同样包括由于外部原因意外丢失和损坏设备的更换或维修。</w:t>
      </w:r>
    </w:p>
    <w:p w14:paraId="796D9332">
      <w:pPr>
        <w:widowControl w:val="0"/>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（2）设备维修质量控制要求</w:t>
      </w:r>
    </w:p>
    <w:p w14:paraId="7CB1ECC8">
      <w:pPr>
        <w:widowControl w:val="0"/>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监测仪器修复后，当其监测性能受到影响时，采用关键参数检查、标气测定、颗粒物流量测定、标准膜测试、标准样品测试或手工比对等方法进行测试。</w:t>
      </w:r>
    </w:p>
    <w:p w14:paraId="0E7C28D3">
      <w:pPr>
        <w:widowControl w:val="0"/>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仪器大修后，气态污染监测设备应按顺序开展零点漂移和量程漂移测试、精密度及准确度测试、多点线性测试；颗粒物监测设备应开展手工比对测试，测试应严格按照《环境空气颗粒物（PM10和PM2.5）连续自动监测系统运行和质控技术规范》(HJ 817-2018）中准确度审核要求实施，并遵守《环境空气颗粒物(PM2.5)手工监测方法(重量法)技术规范》（HJ 656-2013）《环境空气中PM10和PM2.5的测定 重量法》（HJ 618-2011）和《环境空气质量手工监测技术规范》（HJ 194-2017）等相关规范要求，同时提交相应报告。</w:t>
      </w:r>
    </w:p>
    <w:p w14:paraId="5ABD4D18">
      <w:pPr>
        <w:widowControl w:val="0"/>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（二）VOCs空气站运维要求</w:t>
      </w:r>
    </w:p>
    <w:p w14:paraId="20107066">
      <w:pPr>
        <w:widowControl w:val="0"/>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具体运维内容和要求如下：</w:t>
      </w:r>
    </w:p>
    <w:p w14:paraId="64EDCA2D">
      <w:pPr>
        <w:widowControl w:val="0"/>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1.一般要求</w:t>
      </w:r>
    </w:p>
    <w:p w14:paraId="636ADAAE">
      <w:pPr>
        <w:widowControl w:val="0"/>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对站房周围的杂草和积水应及时清除，当周围树木生长超过规范规定的控制限时，对采样有影响的树枝等应及时进行剪除；</w:t>
      </w:r>
    </w:p>
    <w:p w14:paraId="54B5FDE6">
      <w:pPr>
        <w:widowControl w:val="0"/>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检查外部环境是否正常，有没有对测定结果或运行环境存在明显影响的污染源，一旦发现污染源，应及时在运维记录上记录，并通知采购方；</w:t>
      </w:r>
    </w:p>
    <w:p w14:paraId="434EC357">
      <w:pPr>
        <w:widowControl w:val="0"/>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检查站房屋是否有漏雨现象，气象杆和天线是否被刮坏，站房外围的其它设施是否有损坏或被水淹，如遇到以上问题应及时处理，保证系统能安全运行；</w:t>
      </w:r>
    </w:p>
    <w:p w14:paraId="2EC98DB5">
      <w:pPr>
        <w:widowControl w:val="0"/>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保持站房内部环境清洁，布置整齐，无与监测无关物品，各仪器设备干净清洁，设备标识清楚；</w:t>
      </w:r>
    </w:p>
    <w:p w14:paraId="2776D9B7">
      <w:pPr>
        <w:widowControl w:val="0"/>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在冬、夏季节应注意站房室内外温差，若温差较大使采样装置出现冷凝水，应及时改变站房温度或对采样总管采取适当的控制措施，防止冷凝现象；</w:t>
      </w:r>
    </w:p>
    <w:p w14:paraId="2177D7DC">
      <w:pPr>
        <w:widowControl w:val="0"/>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保证仪器运行电源电压正常，空调正常工作，环境温度保持在25℃左右，上下不超过5℃，湿度保持在80%RH以下；</w:t>
      </w:r>
    </w:p>
    <w:p w14:paraId="38765E4A">
      <w:pPr>
        <w:widowControl w:val="0"/>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检查供电、通讯、数据采集与传输等情况，保证系统的正常运行；</w:t>
      </w:r>
    </w:p>
    <w:p w14:paraId="447106DC">
      <w:pPr>
        <w:widowControl w:val="0"/>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设备固定牢固，门窗关闭良好，人走关门，非工作人员未经许可不得入内。检查站房的安全设施，做好防火防盗工作，站房内发生仪器物品丢失、火灾等意外情况，责任由中标方负责；</w:t>
      </w:r>
    </w:p>
    <w:p w14:paraId="3851ED8A">
      <w:pPr>
        <w:widowControl w:val="0"/>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进行维护时，应规范操作，注意安全，防止意外发生，由人员操作不当导致的伤亡事件，责任由中标方负责；</w:t>
      </w:r>
    </w:p>
    <w:p w14:paraId="0C8169C7">
      <w:pPr>
        <w:widowControl w:val="0"/>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检查站点的排风排气装置工作是否正常；</w:t>
      </w:r>
    </w:p>
    <w:p w14:paraId="518DBF9C">
      <w:pPr>
        <w:widowControl w:val="0"/>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标准气钢瓶阀门是否漏气，标准气的消耗情况；</w:t>
      </w:r>
    </w:p>
    <w:p w14:paraId="46E9CED3">
      <w:pPr>
        <w:widowControl w:val="0"/>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检查采样和排气管路是否有漏气或堵塞现象；</w:t>
      </w:r>
    </w:p>
    <w:p w14:paraId="33AD2748">
      <w:pPr>
        <w:widowControl w:val="0"/>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检查各仪器运行状况否正常，保证仪器正常有效运行。</w:t>
      </w:r>
    </w:p>
    <w:p w14:paraId="67F41C37">
      <w:pPr>
        <w:widowControl w:val="0"/>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2.具体要求</w:t>
      </w:r>
    </w:p>
    <w:p w14:paraId="395400EC">
      <w:pPr>
        <w:widowControl w:val="0"/>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（1）每日工作</w:t>
      </w:r>
    </w:p>
    <w:p w14:paraId="0D7D8C28">
      <w:pPr>
        <w:widowControl w:val="0"/>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每日远程连接到仪器现场端进行检查，主要内容如下：</w:t>
      </w:r>
    </w:p>
    <w:p w14:paraId="207B6BBE">
      <w:pPr>
        <w:widowControl w:val="0"/>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1）检查网络情况；</w:t>
      </w:r>
    </w:p>
    <w:p w14:paraId="74F552A7">
      <w:pPr>
        <w:widowControl w:val="0"/>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2）检查仪器数据文件及完整性；</w:t>
      </w:r>
    </w:p>
    <w:p w14:paraId="361F4955">
      <w:pPr>
        <w:widowControl w:val="0"/>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3）检查数据上传至数据采集系统及总站数据平台是否正常；</w:t>
      </w:r>
    </w:p>
    <w:p w14:paraId="64A287A6">
      <w:pPr>
        <w:widowControl w:val="0"/>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4）检查各仪器监测数据正常性；</w:t>
      </w:r>
    </w:p>
    <w:p w14:paraId="62AA848B">
      <w:pPr>
        <w:widowControl w:val="0"/>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5）根据电源电压，站房温度、湿度、设备温度等判断站房内部情况；</w:t>
      </w:r>
    </w:p>
    <w:p w14:paraId="4415909D">
      <w:pPr>
        <w:widowControl w:val="0"/>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6）检查仪器控制软件参数，发现异常报警时，应及时对仪器相关部件进行维护或更换；</w:t>
      </w:r>
    </w:p>
    <w:p w14:paraId="0FE45259">
      <w:pPr>
        <w:widowControl w:val="0"/>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7）检查仪器谱图及浓度趋势，异常高值、低值判断（基线情况，峰响应或峰飘情况）；</w:t>
      </w:r>
    </w:p>
    <w:p w14:paraId="25D0B95C">
      <w:pPr>
        <w:widowControl w:val="0"/>
        <w:ind w:firstLine="480" w:firstLineChars="200"/>
        <w:textAlignment w:val="auto"/>
        <w:rPr>
          <w:rFonts w:hint="eastAsia" w:ascii="宋体" w:hAnsi="宋体" w:eastAsia="宋体" w:cs="宋体"/>
          <w:color w:val="auto"/>
          <w:sz w:val="24"/>
          <w:szCs w:val="24"/>
          <w:highlight w:val="none"/>
        </w:rPr>
      </w:pPr>
      <w:bookmarkStart w:id="2" w:name="OLE_LINK10"/>
      <w:r>
        <w:rPr>
          <w:rFonts w:hint="eastAsia" w:ascii="宋体" w:hAnsi="宋体" w:eastAsia="宋体" w:cs="宋体"/>
          <w:color w:val="auto"/>
          <w:sz w:val="24"/>
          <w:szCs w:val="24"/>
          <w:highlight w:val="none"/>
        </w:rPr>
        <w:t>8）保留时间漂移检查，若发生漂移，寻找原因及时解决。</w:t>
      </w:r>
      <w:bookmarkEnd w:id="2"/>
    </w:p>
    <w:p w14:paraId="51DDC9CB">
      <w:pPr>
        <w:widowControl w:val="0"/>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（2）每周工作</w:t>
      </w:r>
    </w:p>
    <w:p w14:paraId="642527C6">
      <w:pPr>
        <w:widowControl w:val="0"/>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VOCs仪器应开展仪器性能检查并做好记录。开展主要性能指标检查，开展氢气发生器、载气和零气供应情况检查。</w:t>
      </w:r>
    </w:p>
    <w:p w14:paraId="51FD4933">
      <w:pPr>
        <w:widowControl w:val="0"/>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检查仪器耗材使用情况，更换仪器所需耗材；</w:t>
      </w:r>
    </w:p>
    <w:p w14:paraId="5D34D388">
      <w:pPr>
        <w:widowControl w:val="0"/>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检查站房外部环境，是否存在对监测数据或运行环境存在明显影响的污染源；</w:t>
      </w:r>
    </w:p>
    <w:p w14:paraId="50C22089">
      <w:pPr>
        <w:widowControl w:val="0"/>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检查站房通讯及数据传输系统状态；</w:t>
      </w:r>
    </w:p>
    <w:p w14:paraId="0C3FA146">
      <w:pPr>
        <w:widowControl w:val="0"/>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检查站房消防、防雷、防水等安全措施是否正常；</w:t>
      </w:r>
    </w:p>
    <w:p w14:paraId="21B5D097">
      <w:pPr>
        <w:widowControl w:val="0"/>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检查采样和排气管路是否有漏气或堵塞现象，各仪器采样流量是否正常。</w:t>
      </w:r>
    </w:p>
    <w:p w14:paraId="1E1B9755">
      <w:pPr>
        <w:widowControl w:val="0"/>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检查钢瓶气压力并记录，确保载气和标气不漏气。根据使用情况，及时更换载气（一般压力低于2MPa更换，更换后需保压验漏），且根据之前的记录判断压力是否下降异常，若是异常，需查明原因。</w:t>
      </w:r>
    </w:p>
    <w:p w14:paraId="4E31AD4B">
      <w:pPr>
        <w:widowControl w:val="0"/>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检查并酌情更换仪器采样滤膜，更换滤膜后，需要对过滤装置进行检漏检查。</w:t>
      </w:r>
    </w:p>
    <w:p w14:paraId="7D59E38E">
      <w:pPr>
        <w:widowControl w:val="0"/>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对仪器显示数据、时间和数据采集仪之间的一致性进行检查和校准。</w:t>
      </w:r>
    </w:p>
    <w:p w14:paraId="1DE631F9">
      <w:pPr>
        <w:widowControl w:val="0"/>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检查各仪器运行是否正常，查看是否有报警信息，检查仪器参数是否处于正常范围并进行记录。</w:t>
      </w:r>
    </w:p>
    <w:p w14:paraId="28C67754">
      <w:pPr>
        <w:widowControl w:val="0"/>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每周开展FID通标检查，以确定各组分浓度偏差，如超过20%物种标点浓度偏差大于±20%，需重新建立标准曲线。</w:t>
      </w:r>
    </w:p>
    <w:p w14:paraId="5AD8F556">
      <w:pPr>
        <w:widowControl w:val="0"/>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每周开展VOCs监测仪通零，组分空白残留不应该高于 0.1 nmol/mol。若出现组分空白不合格，且该组分日常浓度范围在 0.3 nmol/mol以内，则当天监测数据均做无效处理；若该组分日常浓度范围在 1 nmol/mol 以上，则视空白结果予以保留或无效标注处理；数据浓度相对较高，可体现污染和变化现状的，酌情保留。</w:t>
      </w:r>
    </w:p>
    <w:p w14:paraId="2C0990E5">
      <w:pPr>
        <w:widowControl w:val="0"/>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（3）每月工作</w:t>
      </w:r>
    </w:p>
    <w:p w14:paraId="0BD19659">
      <w:pPr>
        <w:widowControl w:val="0"/>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VOCs仪器应使用混合标准气体对仪器各组分进行单点（工作点）检查与校准，如浓度偏差大于20%，需重新建立标线。每月应检查基线空白漂移/响应值，氢气发生器、载气、零气发生器性能与流量等各项指标。</w:t>
      </w:r>
    </w:p>
    <w:p w14:paraId="16CB957C">
      <w:pPr>
        <w:widowControl w:val="0"/>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每月检查校准各仪器时钟，并与数采工控机保持一致；</w:t>
      </w:r>
    </w:p>
    <w:p w14:paraId="148E76FE">
      <w:pPr>
        <w:widowControl w:val="0"/>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更换发生器过滤分子筛、更换发生器干燥剂；</w:t>
      </w:r>
    </w:p>
    <w:p w14:paraId="6B4A8AB5">
      <w:pPr>
        <w:widowControl w:val="0"/>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清洗各仪器散热防尘网和站房空调机的过滤网，防止尘土阻塞滤网；</w:t>
      </w:r>
    </w:p>
    <w:p w14:paraId="37947243">
      <w:pPr>
        <w:widowControl w:val="0"/>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每月检查站点仪器采样流量，若实测流量与设定值的偏差大于±5%，排除漏气和堵塞的情况，对采样流量进行重新校准；</w:t>
      </w:r>
    </w:p>
    <w:p w14:paraId="46901FCB">
      <w:pPr>
        <w:widowControl w:val="0"/>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检查并记录标气有效日期和压力，当标气少于5 Mpa时，需及时采购；</w:t>
      </w:r>
    </w:p>
    <w:p w14:paraId="66B80C17">
      <w:pPr>
        <w:widowControl w:val="0"/>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每月检查VOCs仪器采样流量，若实测流量与设定值的偏差大于±5%，排除漏气和堵塞的情况，对采样流量进行重新校准。</w:t>
      </w:r>
    </w:p>
    <w:p w14:paraId="38CAD5ED">
      <w:pPr>
        <w:widowControl w:val="0"/>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每季度工作</w:t>
      </w:r>
    </w:p>
    <w:p w14:paraId="2C7D081A">
      <w:pPr>
        <w:widowControl w:val="0"/>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为了提高VOCs仪器监测准确度，每季度使用混合标准气体更新多点校准曲线。</w:t>
      </w:r>
    </w:p>
    <w:p w14:paraId="777C122F">
      <w:pPr>
        <w:widowControl w:val="0"/>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每季度检查检测器工作状态、老化色谱柱；</w:t>
      </w:r>
    </w:p>
    <w:p w14:paraId="004496A8">
      <w:pPr>
        <w:widowControl w:val="0"/>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每季对仪器进行一次预防性维护和各测试参数检查；</w:t>
      </w:r>
    </w:p>
    <w:p w14:paraId="49592CE7">
      <w:pPr>
        <w:widowControl w:val="0"/>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每季对仪器所有数据进行备份；</w:t>
      </w:r>
    </w:p>
    <w:p w14:paraId="34E2BE35">
      <w:pPr>
        <w:widowControl w:val="0"/>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每季使用标准混合气更新工作曲线和峰窗；</w:t>
      </w:r>
    </w:p>
    <w:p w14:paraId="24B41689">
      <w:pPr>
        <w:widowControl w:val="0"/>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每季度需进行多点线性检查，要求至少6点不同浓度（含零点、0.5ppb、2ppb、4ppb、8ppb、10ppb依次从低浓度到高浓度通入）的标气开展对仪器的线性化测试，满足线性相关系数r≥0.99（决定系数r2≥0.98），以确保VOCs各组分定量的准确性。</w:t>
      </w:r>
    </w:p>
    <w:p w14:paraId="41F903BB">
      <w:pPr>
        <w:widowControl w:val="0"/>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对动态校准仪中的质量流量控制器，进行单点检查，所用动态校准仪流量误差应≤±2%，否则应及时进行校准。</w:t>
      </w:r>
    </w:p>
    <w:p w14:paraId="512F2C2C">
      <w:pPr>
        <w:widowControl w:val="0"/>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每季度开展精密度检查，所有目标化合物的相对标准偏差应小于10%。</w:t>
      </w:r>
    </w:p>
    <w:p w14:paraId="1C4B70BD">
      <w:pPr>
        <w:widowControl w:val="0"/>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更换零气源净化剂和氧化剂，对零气性能进行检查。</w:t>
      </w:r>
    </w:p>
    <w:p w14:paraId="0A5C2E91">
      <w:pPr>
        <w:widowControl w:val="0"/>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（5）每半年工作</w:t>
      </w:r>
    </w:p>
    <w:p w14:paraId="046C3F52">
      <w:pPr>
        <w:widowControl w:val="0"/>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每半年对仪器设备进行一次维护保养，对气态污染物采样系统进行一次维护清洗，检查各气路连接的密封性；</w:t>
      </w:r>
    </w:p>
    <w:p w14:paraId="57FB34B8">
      <w:pPr>
        <w:widowControl w:val="0"/>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采样总管及采样风机清洗，更换采样支管；</w:t>
      </w:r>
    </w:p>
    <w:p w14:paraId="5E2FEAC0">
      <w:pPr>
        <w:widowControl w:val="0"/>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对动态校准仪中的质量流量控制器，进行多点校准。为确保所用动态校准仪质量流量计进行流量标准传递的准确度，对所获校准曲线的检验指标应符合以下要求：相关系数(r)&gt;0.99；截距(a1)&lt;满量程±2%；多点标准偏差注≤1。若其中任何一项不满足指标要求，则需对质量流量计重新进行调整。校准完成之后重新对每个流量点检查一遍，所有点的偏差都控制在±2%以内。</w:t>
      </w:r>
    </w:p>
    <w:p w14:paraId="55AAC2B2">
      <w:pPr>
        <w:widowControl w:val="0"/>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（6）每年工作</w:t>
      </w:r>
    </w:p>
    <w:p w14:paraId="022447C9">
      <w:pPr>
        <w:widowControl w:val="0"/>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流量计、气压计、温度计等设备送计量部门检定，并保存好检定报告；</w:t>
      </w:r>
    </w:p>
    <w:p w14:paraId="16F43DC1">
      <w:pPr>
        <w:widowControl w:val="0"/>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站点的消防设施进行检查，保证在有效期内；</w:t>
      </w:r>
    </w:p>
    <w:p w14:paraId="7761E358">
      <w:pPr>
        <w:widowControl w:val="0"/>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检查站点的防雷设施，每年由有资质单位检定一次，并出具相应的鉴定报告；</w:t>
      </w:r>
    </w:p>
    <w:p w14:paraId="5F1B8459">
      <w:pPr>
        <w:widowControl w:val="0"/>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更换所有仪器的泵组件，更换载气过滤器，更换预浓缩管、除水管；</w:t>
      </w:r>
    </w:p>
    <w:p w14:paraId="6E2C2504">
      <w:pPr>
        <w:widowControl w:val="0"/>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清洗十通阀，FID 检测器等；</w:t>
      </w:r>
    </w:p>
    <w:p w14:paraId="6C877B82">
      <w:pPr>
        <w:widowControl w:val="0"/>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VOCs仪器每年应开展不少于一次系统保养，对采样管路、仪器内部进样管路和检测器进行清洗等。根据仪器说明书更换必要的耗材与配件。保养后，应对仪器进行全面校准与检查，开展多点校准，进行仪器重复性、稳定性和方法检出限的测定，以确保仪器在维护前后数据的准确性和可比性；</w:t>
      </w:r>
    </w:p>
    <w:p w14:paraId="470CF6CB">
      <w:pPr>
        <w:widowControl w:val="0"/>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每年开展检出限测试，所有目标化合物的相对标准偏差应小于0.1 ppb。</w:t>
      </w:r>
    </w:p>
    <w:p w14:paraId="6BF58019">
      <w:pPr>
        <w:widowControl w:val="0"/>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每年至少进行一次高浓度残留检查：向系统通入标准曲线最高浓度点进行分析，分析结束后连续两次通入高纯氮气或零空气测试系统残留，记录第二次分析结果。要求90%组分系统残留浓度≤0.1 ppb。</w:t>
      </w:r>
    </w:p>
    <w:p w14:paraId="428B9A07">
      <w:pPr>
        <w:widowControl w:val="0"/>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保养后，进行多点校准、稳定性、准确性和检出限等年度目标化合物测试。</w:t>
      </w:r>
    </w:p>
    <w:p w14:paraId="6BEE5E4F">
      <w:pPr>
        <w:widowControl w:val="0"/>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（7）不定期工作</w:t>
      </w:r>
    </w:p>
    <w:p w14:paraId="36A704DB">
      <w:pPr>
        <w:widowControl w:val="0"/>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根据实际使用情况更换相关耗材；</w:t>
      </w:r>
    </w:p>
    <w:p w14:paraId="3651F7D2">
      <w:pPr>
        <w:widowControl w:val="0"/>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根据实际需要更换零气源活性炭和氧化剂，对零气性能进行检查。</w:t>
      </w:r>
    </w:p>
    <w:p w14:paraId="31EB3A36">
      <w:pPr>
        <w:widowControl w:val="0"/>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（8）VOCs仪器紧急维护</w:t>
      </w:r>
    </w:p>
    <w:p w14:paraId="5B1C29CA">
      <w:pPr>
        <w:widowControl w:val="0"/>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紧急维修主要针对发生故障之设备，对发生故障的设备进行检修，如果发生零件损坏，中标供应商将马上更换损坏的零件，确保24小时内子站系统恢复正常运行；</w:t>
      </w:r>
    </w:p>
    <w:p w14:paraId="033043BC">
      <w:pPr>
        <w:widowControl w:val="0"/>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如在现场发现不能在短期内修复仪器的，中标供应商应及时告知采购人，征得同意后，由中标供应商负责维修（仪器正常报废除外）；</w:t>
      </w:r>
    </w:p>
    <w:p w14:paraId="746A06AD">
      <w:pPr>
        <w:widowControl w:val="0"/>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发生通讯故障时，中标供应商技术人员到达现场后，应检查通讯线路、MODEM、数据采集器等，并及时处理，将检查结果及时反馈给采购人；如果故障是由通讯线路导致的，通知并协助采购人报修；</w:t>
      </w:r>
    </w:p>
    <w:p w14:paraId="357399CE">
      <w:pPr>
        <w:widowControl w:val="0"/>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更换下来故障仪器设备，中标供应商技术人员应尽快对仪器完成维修（特殊备件损坏需进口购置的情况除外），修好的仪器经采购人确认后方可重新投入运行；</w:t>
      </w:r>
    </w:p>
    <w:p w14:paraId="706B6FEC">
      <w:pPr>
        <w:widowControl w:val="0"/>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仪器出现重大故障或核心关键部件损坏，在维修完成后需进行严格校准，必要时经重新检定或溯源后方可上架投入运行。</w:t>
      </w:r>
    </w:p>
    <w:p w14:paraId="6E78451B">
      <w:pPr>
        <w:widowControl w:val="0"/>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（9）其他</w:t>
      </w:r>
    </w:p>
    <w:p w14:paraId="33DFC626">
      <w:pPr>
        <w:widowControl w:val="0"/>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1)分析仪在以下情况下需进行校准和再校准：1.移动位置时，2.进行可能影响校准结果的维修或维护后，3.分析仪暂停工作一段时间后，4.有迹象表明分析仪工作不正常或校准结果出现变化。</w:t>
      </w:r>
    </w:p>
    <w:p w14:paraId="5D4D56EC">
      <w:pPr>
        <w:widowControl w:val="0"/>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2)仪器大修后（更换设备测试关键部件），应按顺序进行漂移实验（零点漂移、量程漂移）、重复性及准确度实验、多点线性实验。</w:t>
      </w:r>
    </w:p>
    <w:p w14:paraId="511DBBAE">
      <w:pPr>
        <w:pStyle w:val="254"/>
        <w:adjustRightInd w:val="0"/>
        <w:snapToGrid w:val="0"/>
        <w:ind w:firstLine="482"/>
        <w:outlineLvl w:val="1"/>
        <w:rPr>
          <w:rFonts w:hint="eastAsia" w:ascii="宋体" w:hAnsi="宋体" w:cs="宋体"/>
          <w:b/>
          <w:color w:val="auto"/>
          <w:sz w:val="24"/>
          <w:szCs w:val="24"/>
          <w:highlight w:val="none"/>
        </w:rPr>
      </w:pPr>
      <w:r>
        <w:rPr>
          <w:rFonts w:hint="eastAsia" w:ascii="宋体" w:hAnsi="宋体" w:cs="宋体"/>
          <w:b/>
          <w:color w:val="auto"/>
          <w:sz w:val="24"/>
          <w:szCs w:val="24"/>
          <w:highlight w:val="none"/>
        </w:rPr>
        <w:t xml:space="preserve">（三）微型空气站运维要求 </w:t>
      </w:r>
    </w:p>
    <w:p w14:paraId="06B69050">
      <w:pPr>
        <w:widowControl w:val="0"/>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1.一般要求</w:t>
      </w:r>
    </w:p>
    <w:p w14:paraId="15380964">
      <w:pPr>
        <w:widowControl w:val="0"/>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负责微型站的日常运行、维护、检修、换件、耗材更换等事项，保证微型站的正常运转，保证监测工作正常开展。</w:t>
      </w:r>
    </w:p>
    <w:p w14:paraId="0FD2F739">
      <w:pPr>
        <w:widowControl w:val="0"/>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负责进行仪器运行状态检查，如发现问题则在第一时间解决。</w:t>
      </w:r>
    </w:p>
    <w:p w14:paraId="0E31C64E">
      <w:pPr>
        <w:widowControl w:val="0"/>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定期进行仪器现场巡查，进行必要的校准、维护、维修、耗材更换工作。以保障仪器准确可靠运行。</w:t>
      </w:r>
    </w:p>
    <w:p w14:paraId="315A73BD">
      <w:pPr>
        <w:widowControl w:val="0"/>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按仪器运行要求定期对系统进行校准，以保证仪器数据的准确有效。</w:t>
      </w:r>
    </w:p>
    <w:p w14:paraId="34931A8C">
      <w:pPr>
        <w:widowControl w:val="0"/>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对所有在线监测站制定操作及维修规程和日常保养制度，建立日常运行记录和设备台帐，建立相应的质量保证体系，并接受环境保护管理部门的台帐检查。</w:t>
      </w:r>
    </w:p>
    <w:p w14:paraId="6CF580EA">
      <w:pPr>
        <w:widowControl w:val="0"/>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每月向有关环境保护管理部门作运营工作报告，陈述每个站点和在线监测系统的运营情况。</w:t>
      </w:r>
    </w:p>
    <w:p w14:paraId="56F1C3E3">
      <w:pPr>
        <w:widowControl w:val="0"/>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接受环保部门的监督、指导、考核，及时汇报重大事故或仪器严重故障的情况。</w:t>
      </w:r>
    </w:p>
    <w:p w14:paraId="3694C85E">
      <w:pPr>
        <w:widowControl w:val="0"/>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2.具体要求</w:t>
      </w:r>
    </w:p>
    <w:p w14:paraId="02375777">
      <w:pPr>
        <w:widowControl w:val="0"/>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（1）微型空气站运行维护应包括周监控、月巡检、季度检查和年度更换，具体要求如下：</w:t>
      </w:r>
    </w:p>
    <w:p w14:paraId="5F6CC866">
      <w:pPr>
        <w:widowControl w:val="0"/>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周监控：每周检查设备在线率、报警情况、运行维护计划等至少1次；每周及时检查站点电、网络等情况，保证系统仪器具有良好的运行环境；设计表格及时做好记录等。</w:t>
      </w:r>
    </w:p>
    <w:p w14:paraId="7C842B40">
      <w:pPr>
        <w:widowControl w:val="0"/>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月巡检：每月远程巡检设备运行状况至少1次，具体内容包括设备运行状态、异常率、运行负荷、质控合格情况等，并留有书面记录；远程巡检如设备状态异常需现场检查仪器等。</w:t>
      </w:r>
    </w:p>
    <w:p w14:paraId="7B47EE5B">
      <w:pPr>
        <w:widowControl w:val="0"/>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季度检查：每季度抽取不少于总数5%的站点进行现场检查，检查内容包括质量浓度准确性、平行性、设备状况、周边环境、设备运行状况等。安装气象传感器的站点，使用标准温湿度气压计、手持式风向风速仪进行比对校准。如果季度抽查不合格比例超过一定限值，及时更换不合格产品并将季度检查频次缩短为月度检查。现场检查留有书面记录；</w:t>
      </w:r>
    </w:p>
    <w:p w14:paraId="59C86325">
      <w:pPr>
        <w:widowControl w:val="0"/>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年度检查：每年对设备的气路、光路和电路板等进行检查和清洁处理，按厂家提供的使用和维护手册规定的使用寿命，更换仪器中传感器、电池等关键零部件，并送质量保证实验室进行准确性、平行性检查等工作，对检查不通过的设备，根据实际情况，进行校准、维修、报废等操作。现场检查应留有书面记录。</w:t>
      </w:r>
    </w:p>
    <w:p w14:paraId="3AC339F2">
      <w:pPr>
        <w:widowControl w:val="0"/>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（2）质控要求</w:t>
      </w:r>
    </w:p>
    <w:p w14:paraId="04A3E9E8">
      <w:pPr>
        <w:widowControl w:val="0"/>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现场校准：根据现场环境状况，利用国标法设备或周边国控站的数据，对微型站进行云平台校正，确保现场设备运行的数据准确可靠。</w:t>
      </w:r>
    </w:p>
    <w:p w14:paraId="1196549F">
      <w:pPr>
        <w:widowControl w:val="0"/>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传递校准：在没有国标法设备的情况下，采用移动校准车或便携式校准设备，对微型站数据进行现场比对校准或验证，确保现场测量准确。</w:t>
      </w:r>
    </w:p>
    <w:p w14:paraId="18BBF4C8">
      <w:pPr>
        <w:widowControl w:val="0"/>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（3）年度预防性维护</w:t>
      </w:r>
    </w:p>
    <w:p w14:paraId="3D665AD2">
      <w:pPr>
        <w:widowControl w:val="0"/>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每年至少进行一次预防性检修。</w:t>
      </w:r>
    </w:p>
    <w:p w14:paraId="4B24D2BE">
      <w:pPr>
        <w:widowControl w:val="0"/>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按仪器使用和维护手册规定的要求，根据使用寿命更换监测仪器中的关键零部件。</w:t>
      </w:r>
    </w:p>
    <w:p w14:paraId="77BAE649">
      <w:pPr>
        <w:widowControl w:val="0"/>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对仪器电路各测试点进行测试与调整。</w:t>
      </w:r>
    </w:p>
    <w:p w14:paraId="17FEB584">
      <w:pPr>
        <w:widowControl w:val="0"/>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对仪器进行气路检漏和流量检查。</w:t>
      </w:r>
    </w:p>
    <w:p w14:paraId="4AD48A93">
      <w:pPr>
        <w:widowControl w:val="0"/>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对仪器气路、电路板和各种接头及插座等进行检查和清洁处理。</w:t>
      </w:r>
    </w:p>
    <w:p w14:paraId="018E8B66">
      <w:pPr>
        <w:widowControl w:val="0"/>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在每次全面预防性检修后，或更换了仪器中的关键零部件后，对仪器重新进行校准和检查。</w:t>
      </w:r>
    </w:p>
    <w:p w14:paraId="10B9B63E">
      <w:pPr>
        <w:widowControl w:val="0"/>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对于完成预防性检修的仪器，进行连续24 小时的仪器运行考核，在确认仪器工作正常后，方可投入使用。</w:t>
      </w:r>
    </w:p>
    <w:p w14:paraId="2A26DAE5">
      <w:pPr>
        <w:widowControl w:val="0"/>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维护人员在进行年度维护和大修时，及时做好维护记录。维护记录包含对仪器采取的维护措施和内容，以及校准核查等记录。</w:t>
      </w:r>
    </w:p>
    <w:p w14:paraId="737B1A58">
      <w:pPr>
        <w:widowControl w:val="0"/>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对于因自然老化影响监测数据准确度的仪器和零配件，通过数据审核一经确认不再满足监测要求的，及时更换新机或新零配件，保证数据的联网率、有效率和准确性。</w:t>
      </w:r>
    </w:p>
    <w:p w14:paraId="2CE21CFC">
      <w:pPr>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三、服务期限</w:t>
      </w:r>
    </w:p>
    <w:p w14:paraId="08B45955">
      <w:pPr>
        <w:widowControl w:val="0"/>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一年。</w:t>
      </w:r>
    </w:p>
    <w:p w14:paraId="1135514C">
      <w:pPr>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四、考核方案</w:t>
      </w:r>
    </w:p>
    <w:p w14:paraId="45AC3546">
      <w:pPr>
        <w:widowControl w:val="0"/>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单位按半年度对运维中标供应商进行考核，考核采取百分制，主要包括两率（设备运行率和数据有效率）、运行维护、数据审核3部分内容。其中两率部分考核占50%，采取单站考核的方式进行；运行维护部分考核占40%，数据审核部分考核占10%，均采取项目整体考核的方式进行。</w:t>
      </w:r>
    </w:p>
    <w:p w14:paraId="632ED6F6">
      <w:pPr>
        <w:widowControl w:val="0"/>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1.单站考核部分（50%）</w:t>
      </w:r>
    </w:p>
    <w:p w14:paraId="218CED6F">
      <w:pPr>
        <w:widowControl w:val="0"/>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（1）名词解释</w:t>
      </w:r>
    </w:p>
    <w:p w14:paraId="6763AA95">
      <w:pPr>
        <w:widowControl w:val="0"/>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设备运行率是指考核时段内各监测项目实际获取的小时值监测数据量总和除以应获得小时值数据量总和。</w:t>
      </w:r>
    </w:p>
    <w:p w14:paraId="7CBEAAEF">
      <w:pPr>
        <w:widowControl w:val="0"/>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数据有效率是指考核时段内各监测项目实际获取的质控合格的小时值监测数据量总和除以应获得小时值数据量总和。</w:t>
      </w:r>
    </w:p>
    <w:p w14:paraId="69ACE006">
      <w:pPr>
        <w:widowControl w:val="0"/>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每日各项目应获得小时值数据量均按24个计，考核时段天数按考核时段内日历天数计。计算应获得小时值数据量时，应扣除因不可抗力造成的停止监测的小时数。</w:t>
      </w:r>
    </w:p>
    <w:p w14:paraId="6479B542">
      <w:pPr>
        <w:widowControl w:val="0"/>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（2）数据真实性</w:t>
      </w:r>
    </w:p>
    <w:p w14:paraId="7A83CE8E">
      <w:pPr>
        <w:widowControl w:val="0"/>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单站考核即两率部分考核，包括设备运行率和数据有效率，由运维中标单位按实际情况填写考核时段内的两率考核表，采购方组织抽审，发现弄虚作假行为单站考核计0分。</w:t>
      </w:r>
    </w:p>
    <w:p w14:paraId="70700619">
      <w:pPr>
        <w:widowControl w:val="0"/>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（3）数据有效性</w:t>
      </w:r>
    </w:p>
    <w:p w14:paraId="43266F37">
      <w:pPr>
        <w:widowControl w:val="0"/>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考核时段内单个站点任一监测项目有效数据量应满足《环境空气质量标准》（GB 3095-2012）中规定的污染物浓度数据有效性的最低要求，否则单站考核计0分。</w:t>
      </w:r>
    </w:p>
    <w:p w14:paraId="1F2B9289">
      <w:pPr>
        <w:widowControl w:val="0"/>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（4）两率考核得分</w:t>
      </w:r>
    </w:p>
    <w:p w14:paraId="5E56F669">
      <w:pPr>
        <w:widowControl w:val="0"/>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当单站设备运行率高于90%(含)时，才能按照以下条款对数据有效率进行考核，否则单站考核计0分。</w:t>
      </w:r>
    </w:p>
    <w:p w14:paraId="49E164FD">
      <w:pPr>
        <w:widowControl w:val="0"/>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①单站监测数据有效率高于90%(含)的，两率得分=100；</w:t>
      </w:r>
    </w:p>
    <w:p w14:paraId="3E250455">
      <w:pPr>
        <w:widowControl w:val="0"/>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②有效率在85%(含)-90%的，两率得分=实际有效率×100；</w:t>
      </w:r>
    </w:p>
    <w:p w14:paraId="5EB073BC">
      <w:pPr>
        <w:widowControl w:val="0"/>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③有效率在80%(含)-85%的，两率得分=实际有效率×90%×100。</w:t>
      </w:r>
    </w:p>
    <w:p w14:paraId="5BA3E587">
      <w:pPr>
        <w:widowControl w:val="0"/>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2.项目整体考核部分（50%）</w:t>
      </w:r>
    </w:p>
    <w:p w14:paraId="0D4EAFBC">
      <w:pPr>
        <w:widowControl w:val="0"/>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（1）运行维护部分（40%）</w:t>
      </w:r>
    </w:p>
    <w:p w14:paraId="445BD4A0">
      <w:pPr>
        <w:widowControl w:val="0"/>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运行维护部分由采购方组织抽查，采取单站类推整体的方式进行，即检查单站时发现单站存在该项问题即对项目整体予以同等扣分，满分100分，采用扣分制，扣分细则如下表：</w:t>
      </w:r>
    </w:p>
    <w:p w14:paraId="67C63DB6">
      <w:pPr>
        <w:spacing w:line="480" w:lineRule="exact"/>
        <w:ind w:firstLine="482" w:firstLineChars="200"/>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标准站/VOCs站运维情况考核表</w:t>
      </w:r>
    </w:p>
    <w:p w14:paraId="59A61D6E">
      <w:pPr>
        <w:spacing w:line="48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考核站点：            运维商：                   考核时间：</w:t>
      </w:r>
    </w:p>
    <w:tbl>
      <w:tblPr>
        <w:tblStyle w:val="24"/>
        <w:tblW w:w="96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1671"/>
        <w:gridCol w:w="6004"/>
        <w:gridCol w:w="868"/>
      </w:tblGrid>
      <w:tr w14:paraId="6370B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2805" w:type="dxa"/>
            <w:gridSpan w:val="2"/>
            <w:tcBorders>
              <w:top w:val="single" w:color="auto" w:sz="4" w:space="0"/>
            </w:tcBorders>
            <w:vAlign w:val="center"/>
          </w:tcPr>
          <w:p w14:paraId="70174238">
            <w:pPr>
              <w:spacing w:line="240" w:lineRule="auto"/>
              <w:jc w:val="center"/>
              <w:rPr>
                <w:rFonts w:hint="eastAsia" w:ascii="宋体" w:hAnsi="宋体" w:eastAsia="宋体" w:cs="宋体"/>
                <w:color w:val="auto"/>
                <w:kern w:val="0"/>
                <w:sz w:val="21"/>
                <w:szCs w:val="21"/>
                <w:highlight w:val="none"/>
              </w:rPr>
            </w:pPr>
            <w:bookmarkStart w:id="3" w:name="_Hlk49961273"/>
            <w:r>
              <w:rPr>
                <w:rFonts w:hint="eastAsia" w:ascii="宋体" w:hAnsi="宋体" w:eastAsia="宋体" w:cs="宋体"/>
                <w:color w:val="auto"/>
                <w:kern w:val="0"/>
                <w:sz w:val="21"/>
                <w:szCs w:val="21"/>
                <w:highlight w:val="none"/>
              </w:rPr>
              <w:t>考核内容</w:t>
            </w:r>
          </w:p>
        </w:tc>
        <w:tc>
          <w:tcPr>
            <w:tcW w:w="6004" w:type="dxa"/>
            <w:tcBorders>
              <w:top w:val="single" w:color="auto" w:sz="4" w:space="0"/>
            </w:tcBorders>
            <w:vAlign w:val="center"/>
          </w:tcPr>
          <w:p w14:paraId="6D149115">
            <w:pPr>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评分细则</w:t>
            </w:r>
          </w:p>
        </w:tc>
        <w:tc>
          <w:tcPr>
            <w:tcW w:w="868" w:type="dxa"/>
            <w:tcBorders>
              <w:top w:val="single" w:color="auto" w:sz="4" w:space="0"/>
            </w:tcBorders>
            <w:vAlign w:val="center"/>
          </w:tcPr>
          <w:p w14:paraId="2CF6B84A">
            <w:pPr>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得分</w:t>
            </w:r>
          </w:p>
        </w:tc>
      </w:tr>
      <w:tr w14:paraId="78655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34" w:type="dxa"/>
            <w:vAlign w:val="center"/>
          </w:tcPr>
          <w:p w14:paraId="4F557ACA">
            <w:pPr>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质量保证与质量控制</w:t>
            </w:r>
          </w:p>
        </w:tc>
        <w:tc>
          <w:tcPr>
            <w:tcW w:w="1671" w:type="dxa"/>
            <w:vAlign w:val="center"/>
          </w:tcPr>
          <w:p w14:paraId="4BA3C314">
            <w:pPr>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仪器运维状态核查</w:t>
            </w:r>
          </w:p>
        </w:tc>
        <w:tc>
          <w:tcPr>
            <w:tcW w:w="6004" w:type="dxa"/>
            <w:tcBorders>
              <w:bottom w:val="single" w:color="auto" w:sz="4" w:space="0"/>
            </w:tcBorders>
            <w:vAlign w:val="center"/>
          </w:tcPr>
          <w:p w14:paraId="1EE6E12F">
            <w:pPr>
              <w:spacing w:line="24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标气压力不低于1.5Mpa，且在有效期内；</w:t>
            </w:r>
          </w:p>
          <w:p w14:paraId="55916C88">
            <w:pPr>
              <w:spacing w:line="24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流量计、温湿度计、大气压计超出有效期；</w:t>
            </w:r>
          </w:p>
          <w:p w14:paraId="015ED314">
            <w:pPr>
              <w:spacing w:line="24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气态污染物分析仪内部性能参数超过标准要求，如机体内部温度，反应室温度、压力等；</w:t>
            </w:r>
          </w:p>
          <w:p w14:paraId="176F418C">
            <w:pPr>
              <w:spacing w:line="24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颗粒物分析仪密封圈缺失，温度、压力偏差，气态污染物分析仪散热风扇故障；</w:t>
            </w:r>
          </w:p>
          <w:p w14:paraId="4F3A4149">
            <w:pPr>
              <w:spacing w:line="24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零气和校准仪性能参数超过偏差允许范围；</w:t>
            </w:r>
          </w:p>
          <w:p w14:paraId="60847998">
            <w:pPr>
              <w:spacing w:line="24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气态污染物或颗粒物分析仪采样流量或标况流量偏差；</w:t>
            </w:r>
          </w:p>
          <w:p w14:paraId="5DC7FA33">
            <w:pPr>
              <w:spacing w:line="24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气态污染物分析仪零点、20%（或其他点）全幅测试未通过或T</w:t>
            </w:r>
            <w:r>
              <w:rPr>
                <w:rFonts w:hint="eastAsia" w:ascii="宋体" w:hAnsi="宋体" w:eastAsia="宋体" w:cs="宋体"/>
                <w:color w:val="auto"/>
                <w:kern w:val="0"/>
                <w:sz w:val="21"/>
                <w:szCs w:val="21"/>
                <w:highlight w:val="none"/>
                <w:vertAlign w:val="subscript"/>
              </w:rPr>
              <w:t>90</w:t>
            </w:r>
            <w:r>
              <w:rPr>
                <w:rFonts w:hint="eastAsia" w:ascii="宋体" w:hAnsi="宋体" w:eastAsia="宋体" w:cs="宋体"/>
                <w:color w:val="auto"/>
                <w:kern w:val="0"/>
                <w:sz w:val="21"/>
                <w:szCs w:val="21"/>
                <w:highlight w:val="none"/>
              </w:rPr>
              <w:t>响应时间未通过；</w:t>
            </w:r>
          </w:p>
          <w:p w14:paraId="1D83C2F5">
            <w:pPr>
              <w:spacing w:line="24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颗粒物分析仪采样斑点有残缺、毛刺或穿孔现象；</w:t>
            </w:r>
          </w:p>
          <w:p w14:paraId="6ABC8C2D">
            <w:pPr>
              <w:spacing w:line="24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颗粒物分析仪采样斑点异常是否及时调整并记录上报。</w:t>
            </w:r>
          </w:p>
          <w:p w14:paraId="7D64694C">
            <w:pPr>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868" w:type="dxa"/>
            <w:tcBorders>
              <w:bottom w:val="single" w:color="auto" w:sz="4" w:space="0"/>
            </w:tcBorders>
            <w:vAlign w:val="center"/>
          </w:tcPr>
          <w:p w14:paraId="4C5C1B72">
            <w:pPr>
              <w:spacing w:line="240" w:lineRule="auto"/>
              <w:rPr>
                <w:rFonts w:hint="eastAsia" w:ascii="宋体" w:hAnsi="宋体" w:eastAsia="宋体" w:cs="宋体"/>
                <w:color w:val="auto"/>
                <w:kern w:val="0"/>
                <w:sz w:val="21"/>
                <w:szCs w:val="21"/>
                <w:highlight w:val="none"/>
              </w:rPr>
            </w:pPr>
          </w:p>
        </w:tc>
      </w:tr>
      <w:tr w14:paraId="40440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34" w:type="dxa"/>
            <w:vMerge w:val="restart"/>
            <w:vAlign w:val="center"/>
          </w:tcPr>
          <w:p w14:paraId="20D4475D">
            <w:pPr>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日常运维</w:t>
            </w:r>
          </w:p>
          <w:p w14:paraId="760B45CF">
            <w:pPr>
              <w:spacing w:line="240" w:lineRule="auto"/>
              <w:jc w:val="center"/>
              <w:rPr>
                <w:rFonts w:hint="eastAsia" w:ascii="宋体" w:hAnsi="宋体" w:eastAsia="宋体" w:cs="宋体"/>
                <w:color w:val="auto"/>
                <w:kern w:val="0"/>
                <w:sz w:val="21"/>
                <w:szCs w:val="21"/>
                <w:highlight w:val="none"/>
              </w:rPr>
            </w:pPr>
          </w:p>
        </w:tc>
        <w:tc>
          <w:tcPr>
            <w:tcW w:w="1671" w:type="dxa"/>
            <w:vAlign w:val="center"/>
          </w:tcPr>
          <w:p w14:paraId="56BEE2F1">
            <w:pPr>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站房环境及人员保障情况</w:t>
            </w:r>
          </w:p>
          <w:p w14:paraId="2806CC52">
            <w:pPr>
              <w:spacing w:line="240" w:lineRule="auto"/>
              <w:jc w:val="center"/>
              <w:rPr>
                <w:rFonts w:hint="eastAsia" w:ascii="宋体" w:hAnsi="宋体" w:eastAsia="宋体" w:cs="宋体"/>
                <w:color w:val="auto"/>
                <w:kern w:val="0"/>
                <w:sz w:val="21"/>
                <w:szCs w:val="21"/>
                <w:highlight w:val="none"/>
              </w:rPr>
            </w:pPr>
          </w:p>
        </w:tc>
        <w:tc>
          <w:tcPr>
            <w:tcW w:w="6004" w:type="dxa"/>
            <w:tcBorders>
              <w:bottom w:val="single" w:color="auto" w:sz="4" w:space="0"/>
            </w:tcBorders>
            <w:vAlign w:val="center"/>
          </w:tcPr>
          <w:p w14:paraId="02405A13">
            <w:pPr>
              <w:spacing w:line="24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站房卫生整洁，不漏水，物品摆放整齐，无无关设备和杂物等；</w:t>
            </w:r>
          </w:p>
          <w:p w14:paraId="304DE005">
            <w:pPr>
              <w:spacing w:line="24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电、通讯、空调、排风、消防等满足要求，保证自动仪器具有良好的运行环境；</w:t>
            </w:r>
          </w:p>
          <w:p w14:paraId="5F99852F">
            <w:pPr>
              <w:spacing w:line="24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门禁、护栏、照明、爬梯等外围设施是否完好；</w:t>
            </w:r>
          </w:p>
          <w:p w14:paraId="1FA06214">
            <w:pPr>
              <w:spacing w:line="24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运维人员是否持证上岗，人证一致。</w:t>
            </w:r>
          </w:p>
          <w:p w14:paraId="3E2288AC">
            <w:pPr>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p w14:paraId="590422F1">
            <w:pPr>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站点每周巡检一次得满分；到站率不足一周一次每次扣  分。</w:t>
            </w:r>
          </w:p>
        </w:tc>
        <w:tc>
          <w:tcPr>
            <w:tcW w:w="868" w:type="dxa"/>
            <w:tcBorders>
              <w:bottom w:val="single" w:color="auto" w:sz="4" w:space="0"/>
            </w:tcBorders>
            <w:vAlign w:val="center"/>
          </w:tcPr>
          <w:p w14:paraId="37A44F91">
            <w:pPr>
              <w:spacing w:line="240" w:lineRule="auto"/>
              <w:rPr>
                <w:rFonts w:hint="eastAsia" w:ascii="宋体" w:hAnsi="宋体" w:eastAsia="宋体" w:cs="宋体"/>
                <w:color w:val="auto"/>
                <w:kern w:val="0"/>
                <w:sz w:val="21"/>
                <w:szCs w:val="21"/>
                <w:highlight w:val="none"/>
              </w:rPr>
            </w:pPr>
          </w:p>
        </w:tc>
      </w:tr>
      <w:tr w14:paraId="3086A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34" w:type="dxa"/>
            <w:vMerge w:val="continue"/>
            <w:vAlign w:val="center"/>
          </w:tcPr>
          <w:p w14:paraId="2DD53661">
            <w:pPr>
              <w:spacing w:line="240" w:lineRule="auto"/>
              <w:jc w:val="center"/>
              <w:rPr>
                <w:rFonts w:hint="eastAsia" w:ascii="宋体" w:hAnsi="宋体" w:eastAsia="宋体" w:cs="宋体"/>
                <w:color w:val="auto"/>
                <w:kern w:val="0"/>
                <w:sz w:val="21"/>
                <w:szCs w:val="21"/>
                <w:highlight w:val="none"/>
              </w:rPr>
            </w:pPr>
          </w:p>
        </w:tc>
        <w:tc>
          <w:tcPr>
            <w:tcW w:w="1671" w:type="dxa"/>
            <w:vAlign w:val="center"/>
          </w:tcPr>
          <w:p w14:paraId="5E886429">
            <w:pPr>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采样系统维护效果</w:t>
            </w:r>
          </w:p>
        </w:tc>
        <w:tc>
          <w:tcPr>
            <w:tcW w:w="6004" w:type="dxa"/>
            <w:vAlign w:val="center"/>
          </w:tcPr>
          <w:p w14:paraId="60466D76">
            <w:pPr>
              <w:spacing w:line="24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切割头、采样管道是否按规定清洁，有无积灰、积水或障碍物；</w:t>
            </w:r>
          </w:p>
          <w:p w14:paraId="34609756">
            <w:pPr>
              <w:spacing w:line="240" w:lineRule="auto"/>
              <w:rPr>
                <w:rFonts w:hint="eastAsia" w:ascii="宋体" w:hAnsi="宋体" w:eastAsia="宋体" w:cs="宋体"/>
                <w:color w:val="auto"/>
                <w:kern w:val="0"/>
                <w:sz w:val="21"/>
                <w:szCs w:val="21"/>
                <w:highlight w:val="none"/>
              </w:rPr>
            </w:pPr>
            <w:r>
              <w:rPr>
                <w:rFonts w:hint="eastAsia" w:ascii="宋体" w:hAnsi="宋体" w:eastAsia="宋体" w:cs="宋体"/>
                <w:bCs/>
                <w:color w:val="auto"/>
                <w:kern w:val="0"/>
                <w:sz w:val="21"/>
                <w:szCs w:val="21"/>
                <w:highlight w:val="none"/>
              </w:rPr>
              <w:t>采样风机、气泵是否正常工作；</w:t>
            </w:r>
          </w:p>
          <w:p w14:paraId="165F09C8">
            <w:pPr>
              <w:spacing w:line="24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气态污染物采样支管是否插入采样总管的中心，监测仪器与支管接头连接的管线长度小于3m；</w:t>
            </w:r>
          </w:p>
          <w:p w14:paraId="6F2C770A">
            <w:pPr>
              <w:spacing w:line="24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采样总管是否有加热装置，加热功能是否正常，支管是否全部加保温套；</w:t>
            </w:r>
          </w:p>
          <w:p w14:paraId="1FFBCDFF">
            <w:pPr>
              <w:spacing w:line="24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氮氧化物分析仪硅胶是否及时更换。</w:t>
            </w:r>
          </w:p>
          <w:p w14:paraId="54A81919">
            <w:pPr>
              <w:spacing w:line="240" w:lineRule="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w:t>
            </w:r>
          </w:p>
        </w:tc>
        <w:tc>
          <w:tcPr>
            <w:tcW w:w="868" w:type="dxa"/>
            <w:vAlign w:val="center"/>
          </w:tcPr>
          <w:p w14:paraId="1DC7EE6E">
            <w:pPr>
              <w:spacing w:line="240" w:lineRule="auto"/>
              <w:rPr>
                <w:rFonts w:hint="eastAsia" w:ascii="宋体" w:hAnsi="宋体" w:eastAsia="宋体" w:cs="宋体"/>
                <w:color w:val="auto"/>
                <w:kern w:val="0"/>
                <w:sz w:val="21"/>
                <w:szCs w:val="21"/>
                <w:highlight w:val="none"/>
              </w:rPr>
            </w:pPr>
          </w:p>
        </w:tc>
      </w:tr>
      <w:tr w14:paraId="79330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34" w:type="dxa"/>
            <w:vMerge w:val="continue"/>
            <w:vAlign w:val="center"/>
          </w:tcPr>
          <w:p w14:paraId="626DE12D">
            <w:pPr>
              <w:spacing w:line="240" w:lineRule="auto"/>
              <w:jc w:val="center"/>
              <w:rPr>
                <w:rFonts w:hint="eastAsia" w:ascii="宋体" w:hAnsi="宋体" w:eastAsia="宋体" w:cs="宋体"/>
                <w:color w:val="auto"/>
                <w:kern w:val="0"/>
                <w:sz w:val="21"/>
                <w:szCs w:val="21"/>
                <w:highlight w:val="none"/>
              </w:rPr>
            </w:pPr>
          </w:p>
        </w:tc>
        <w:tc>
          <w:tcPr>
            <w:tcW w:w="1671" w:type="dxa"/>
            <w:vAlign w:val="center"/>
          </w:tcPr>
          <w:p w14:paraId="05579DAD">
            <w:pPr>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仪器日常维护效果</w:t>
            </w:r>
          </w:p>
        </w:tc>
        <w:tc>
          <w:tcPr>
            <w:tcW w:w="6004" w:type="dxa"/>
            <w:vAlign w:val="center"/>
          </w:tcPr>
          <w:p w14:paraId="7B4553BC">
            <w:pPr>
              <w:spacing w:line="24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仪器工作状态是否正常，是否存在报警信息；</w:t>
            </w:r>
          </w:p>
          <w:p w14:paraId="2AB5A727">
            <w:pPr>
              <w:spacing w:line="24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仪器过滤膜是否及时更换并留档，散热风扇是否及时清洗；</w:t>
            </w:r>
          </w:p>
          <w:p w14:paraId="70925C12">
            <w:pPr>
              <w:spacing w:line="24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颗粒物采样管加热装置是否工作正常；</w:t>
            </w:r>
          </w:p>
          <w:p w14:paraId="38320CC9">
            <w:pPr>
              <w:spacing w:line="24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采样泵相关耗材是否及时更换；</w:t>
            </w:r>
          </w:p>
          <w:p w14:paraId="5CB2D058">
            <w:pPr>
              <w:spacing w:line="24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采样纸带或滤膜是否及时更换；</w:t>
            </w:r>
          </w:p>
          <w:p w14:paraId="2262B347">
            <w:pPr>
              <w:spacing w:line="24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零气发生器相关耗材是否及时更换（至少每6个月）。</w:t>
            </w:r>
          </w:p>
          <w:p w14:paraId="1D7D34A0">
            <w:pPr>
              <w:spacing w:line="240" w:lineRule="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w:t>
            </w:r>
          </w:p>
        </w:tc>
        <w:tc>
          <w:tcPr>
            <w:tcW w:w="868" w:type="dxa"/>
            <w:vAlign w:val="center"/>
          </w:tcPr>
          <w:p w14:paraId="7590D171">
            <w:pPr>
              <w:spacing w:line="240" w:lineRule="auto"/>
              <w:rPr>
                <w:rFonts w:hint="eastAsia" w:ascii="宋体" w:hAnsi="宋体" w:eastAsia="宋体" w:cs="宋体"/>
                <w:color w:val="auto"/>
                <w:kern w:val="0"/>
                <w:sz w:val="21"/>
                <w:szCs w:val="21"/>
                <w:highlight w:val="none"/>
              </w:rPr>
            </w:pPr>
          </w:p>
        </w:tc>
      </w:tr>
      <w:tr w14:paraId="1B5CF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34" w:type="dxa"/>
            <w:vMerge w:val="restart"/>
            <w:vAlign w:val="center"/>
          </w:tcPr>
          <w:p w14:paraId="5C2FC0B4">
            <w:pPr>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运维响应、保障</w:t>
            </w:r>
          </w:p>
        </w:tc>
        <w:tc>
          <w:tcPr>
            <w:tcW w:w="1671" w:type="dxa"/>
            <w:vAlign w:val="center"/>
          </w:tcPr>
          <w:p w14:paraId="2180B751">
            <w:pPr>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应急响应</w:t>
            </w:r>
          </w:p>
        </w:tc>
        <w:tc>
          <w:tcPr>
            <w:tcW w:w="6004" w:type="dxa"/>
            <w:vAlign w:val="center"/>
          </w:tcPr>
          <w:p w14:paraId="514055AD">
            <w:pPr>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对空气异常响应及时，能够及时判断仪器状态得满分，否则酌情扣分</w:t>
            </w:r>
          </w:p>
        </w:tc>
        <w:tc>
          <w:tcPr>
            <w:tcW w:w="868" w:type="dxa"/>
            <w:vAlign w:val="center"/>
          </w:tcPr>
          <w:p w14:paraId="55690CC9">
            <w:pPr>
              <w:spacing w:line="240" w:lineRule="auto"/>
              <w:rPr>
                <w:rFonts w:hint="eastAsia" w:ascii="宋体" w:hAnsi="宋体" w:eastAsia="宋体" w:cs="宋体"/>
                <w:color w:val="auto"/>
                <w:kern w:val="0"/>
                <w:sz w:val="21"/>
                <w:szCs w:val="21"/>
                <w:highlight w:val="none"/>
              </w:rPr>
            </w:pPr>
          </w:p>
        </w:tc>
      </w:tr>
      <w:tr w14:paraId="657C1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34" w:type="dxa"/>
            <w:vMerge w:val="continue"/>
            <w:vAlign w:val="center"/>
          </w:tcPr>
          <w:p w14:paraId="044FB831">
            <w:pPr>
              <w:spacing w:line="240" w:lineRule="auto"/>
              <w:rPr>
                <w:rFonts w:hint="eastAsia" w:ascii="宋体" w:hAnsi="宋体" w:eastAsia="宋体" w:cs="宋体"/>
                <w:color w:val="auto"/>
                <w:kern w:val="0"/>
                <w:sz w:val="21"/>
                <w:szCs w:val="21"/>
                <w:highlight w:val="none"/>
              </w:rPr>
            </w:pPr>
          </w:p>
        </w:tc>
        <w:tc>
          <w:tcPr>
            <w:tcW w:w="1671" w:type="dxa"/>
            <w:vAlign w:val="center"/>
          </w:tcPr>
          <w:p w14:paraId="434B52D5">
            <w:pPr>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故障响应</w:t>
            </w:r>
          </w:p>
        </w:tc>
        <w:tc>
          <w:tcPr>
            <w:tcW w:w="6004" w:type="dxa"/>
            <w:vAlign w:val="center"/>
          </w:tcPr>
          <w:p w14:paraId="48FAA656">
            <w:pPr>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站点故障时响应迅速，解决及时得满分，否则酌情扣分</w:t>
            </w:r>
          </w:p>
        </w:tc>
        <w:tc>
          <w:tcPr>
            <w:tcW w:w="868" w:type="dxa"/>
            <w:vAlign w:val="center"/>
          </w:tcPr>
          <w:p w14:paraId="1E5733CA">
            <w:pPr>
              <w:spacing w:line="240" w:lineRule="auto"/>
              <w:rPr>
                <w:rFonts w:hint="eastAsia" w:ascii="宋体" w:hAnsi="宋体" w:eastAsia="宋体" w:cs="宋体"/>
                <w:color w:val="auto"/>
                <w:kern w:val="0"/>
                <w:sz w:val="21"/>
                <w:szCs w:val="21"/>
                <w:highlight w:val="none"/>
              </w:rPr>
            </w:pPr>
          </w:p>
        </w:tc>
      </w:tr>
      <w:tr w14:paraId="79C8E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34" w:type="dxa"/>
            <w:vMerge w:val="continue"/>
            <w:vAlign w:val="center"/>
          </w:tcPr>
          <w:p w14:paraId="6D5B2C08">
            <w:pPr>
              <w:spacing w:line="240" w:lineRule="auto"/>
              <w:rPr>
                <w:rFonts w:hint="eastAsia" w:ascii="宋体" w:hAnsi="宋体" w:eastAsia="宋体" w:cs="宋体"/>
                <w:color w:val="auto"/>
                <w:kern w:val="0"/>
                <w:sz w:val="21"/>
                <w:szCs w:val="21"/>
                <w:highlight w:val="none"/>
              </w:rPr>
            </w:pPr>
          </w:p>
        </w:tc>
        <w:tc>
          <w:tcPr>
            <w:tcW w:w="1671" w:type="dxa"/>
            <w:vAlign w:val="center"/>
          </w:tcPr>
          <w:p w14:paraId="26557935">
            <w:pPr>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反馈信息</w:t>
            </w:r>
          </w:p>
        </w:tc>
        <w:tc>
          <w:tcPr>
            <w:tcW w:w="6004" w:type="dxa"/>
            <w:vAlign w:val="center"/>
          </w:tcPr>
          <w:p w14:paraId="72C14A17">
            <w:pPr>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能够及时反应空气、仪器故障信息得满分，否则酌情扣分</w:t>
            </w:r>
          </w:p>
        </w:tc>
        <w:tc>
          <w:tcPr>
            <w:tcW w:w="868" w:type="dxa"/>
            <w:vAlign w:val="center"/>
          </w:tcPr>
          <w:p w14:paraId="6D018DAC">
            <w:pPr>
              <w:spacing w:line="240" w:lineRule="auto"/>
              <w:rPr>
                <w:rFonts w:hint="eastAsia" w:ascii="宋体" w:hAnsi="宋体" w:eastAsia="宋体" w:cs="宋体"/>
                <w:color w:val="auto"/>
                <w:kern w:val="0"/>
                <w:sz w:val="21"/>
                <w:szCs w:val="21"/>
                <w:highlight w:val="none"/>
              </w:rPr>
            </w:pPr>
          </w:p>
        </w:tc>
      </w:tr>
      <w:tr w14:paraId="16F95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34" w:type="dxa"/>
            <w:vMerge w:val="continue"/>
            <w:vAlign w:val="center"/>
          </w:tcPr>
          <w:p w14:paraId="021B4F61">
            <w:pPr>
              <w:spacing w:line="240" w:lineRule="auto"/>
              <w:rPr>
                <w:rFonts w:hint="eastAsia" w:ascii="宋体" w:hAnsi="宋体" w:eastAsia="宋体" w:cs="宋体"/>
                <w:color w:val="auto"/>
                <w:kern w:val="0"/>
                <w:sz w:val="21"/>
                <w:szCs w:val="21"/>
                <w:highlight w:val="none"/>
              </w:rPr>
            </w:pPr>
          </w:p>
        </w:tc>
        <w:tc>
          <w:tcPr>
            <w:tcW w:w="1671" w:type="dxa"/>
            <w:vAlign w:val="center"/>
          </w:tcPr>
          <w:p w14:paraId="338A3FD7">
            <w:pPr>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技术保障</w:t>
            </w:r>
          </w:p>
        </w:tc>
        <w:tc>
          <w:tcPr>
            <w:tcW w:w="6004" w:type="dxa"/>
            <w:vAlign w:val="center"/>
          </w:tcPr>
          <w:p w14:paraId="1427E0AE">
            <w:pPr>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人员技术水平高，能及时解决相关故障得满分，否则酌情扣分</w:t>
            </w:r>
          </w:p>
        </w:tc>
        <w:tc>
          <w:tcPr>
            <w:tcW w:w="868" w:type="dxa"/>
            <w:vAlign w:val="center"/>
          </w:tcPr>
          <w:p w14:paraId="621E64D5">
            <w:pPr>
              <w:spacing w:line="240" w:lineRule="auto"/>
              <w:rPr>
                <w:rFonts w:hint="eastAsia" w:ascii="宋体" w:hAnsi="宋体" w:eastAsia="宋体" w:cs="宋体"/>
                <w:color w:val="auto"/>
                <w:kern w:val="0"/>
                <w:sz w:val="21"/>
                <w:szCs w:val="21"/>
                <w:highlight w:val="none"/>
              </w:rPr>
            </w:pPr>
          </w:p>
        </w:tc>
      </w:tr>
      <w:tr w14:paraId="12908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34" w:type="dxa"/>
            <w:vMerge w:val="continue"/>
            <w:vAlign w:val="center"/>
          </w:tcPr>
          <w:p w14:paraId="1F94ACED">
            <w:pPr>
              <w:spacing w:line="240" w:lineRule="auto"/>
              <w:rPr>
                <w:rFonts w:hint="eastAsia" w:ascii="宋体" w:hAnsi="宋体" w:eastAsia="宋体" w:cs="宋体"/>
                <w:color w:val="auto"/>
                <w:kern w:val="0"/>
                <w:sz w:val="21"/>
                <w:szCs w:val="21"/>
                <w:highlight w:val="none"/>
              </w:rPr>
            </w:pPr>
          </w:p>
        </w:tc>
        <w:tc>
          <w:tcPr>
            <w:tcW w:w="1671" w:type="dxa"/>
            <w:vAlign w:val="center"/>
          </w:tcPr>
          <w:p w14:paraId="473725AC">
            <w:pPr>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备品备件</w:t>
            </w:r>
          </w:p>
        </w:tc>
        <w:tc>
          <w:tcPr>
            <w:tcW w:w="6004" w:type="dxa"/>
            <w:vAlign w:val="center"/>
          </w:tcPr>
          <w:p w14:paraId="2403350E">
            <w:pPr>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备品备件有安全库存并及时提供得满分，否则酌情扣分</w:t>
            </w:r>
          </w:p>
        </w:tc>
        <w:tc>
          <w:tcPr>
            <w:tcW w:w="868" w:type="dxa"/>
            <w:vAlign w:val="center"/>
          </w:tcPr>
          <w:p w14:paraId="0EF72295">
            <w:pPr>
              <w:spacing w:line="240" w:lineRule="auto"/>
              <w:rPr>
                <w:rFonts w:hint="eastAsia" w:ascii="宋体" w:hAnsi="宋体" w:eastAsia="宋体" w:cs="宋体"/>
                <w:color w:val="auto"/>
                <w:kern w:val="0"/>
                <w:sz w:val="21"/>
                <w:szCs w:val="21"/>
                <w:highlight w:val="none"/>
              </w:rPr>
            </w:pPr>
          </w:p>
        </w:tc>
      </w:tr>
      <w:tr w14:paraId="344E7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34" w:type="dxa"/>
            <w:vMerge w:val="continue"/>
            <w:vAlign w:val="center"/>
          </w:tcPr>
          <w:p w14:paraId="1CD062E5">
            <w:pPr>
              <w:spacing w:line="240" w:lineRule="auto"/>
              <w:rPr>
                <w:rFonts w:hint="eastAsia" w:ascii="宋体" w:hAnsi="宋体" w:eastAsia="宋体" w:cs="宋体"/>
                <w:color w:val="auto"/>
                <w:kern w:val="0"/>
                <w:sz w:val="21"/>
                <w:szCs w:val="21"/>
                <w:highlight w:val="none"/>
              </w:rPr>
            </w:pPr>
          </w:p>
        </w:tc>
        <w:tc>
          <w:tcPr>
            <w:tcW w:w="1671" w:type="dxa"/>
            <w:vAlign w:val="center"/>
          </w:tcPr>
          <w:p w14:paraId="5EF25594">
            <w:pPr>
              <w:spacing w:line="24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视频监控</w:t>
            </w:r>
          </w:p>
        </w:tc>
        <w:tc>
          <w:tcPr>
            <w:tcW w:w="6004" w:type="dxa"/>
            <w:vAlign w:val="center"/>
          </w:tcPr>
          <w:p w14:paraId="755AAC98">
            <w:pPr>
              <w:spacing w:line="24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真实有效的监控视频信息在环境质量自动监控平台上实时反馈得满分，否则酌情扣分</w:t>
            </w:r>
          </w:p>
        </w:tc>
        <w:tc>
          <w:tcPr>
            <w:tcW w:w="868" w:type="dxa"/>
            <w:vAlign w:val="center"/>
          </w:tcPr>
          <w:p w14:paraId="712CB8EF">
            <w:pPr>
              <w:spacing w:line="240" w:lineRule="auto"/>
              <w:rPr>
                <w:rFonts w:hint="eastAsia" w:ascii="宋体" w:hAnsi="宋体" w:eastAsia="宋体" w:cs="宋体"/>
                <w:color w:val="auto"/>
                <w:kern w:val="0"/>
                <w:sz w:val="21"/>
                <w:szCs w:val="21"/>
                <w:highlight w:val="none"/>
              </w:rPr>
            </w:pPr>
          </w:p>
        </w:tc>
      </w:tr>
      <w:tr w14:paraId="3FB93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34" w:type="dxa"/>
            <w:vMerge w:val="continue"/>
            <w:vAlign w:val="center"/>
          </w:tcPr>
          <w:p w14:paraId="15BC5D12">
            <w:pPr>
              <w:spacing w:line="240" w:lineRule="auto"/>
              <w:rPr>
                <w:rFonts w:hint="eastAsia" w:ascii="宋体" w:hAnsi="宋体" w:eastAsia="宋体" w:cs="宋体"/>
                <w:color w:val="auto"/>
                <w:kern w:val="0"/>
                <w:sz w:val="21"/>
                <w:szCs w:val="21"/>
                <w:highlight w:val="none"/>
              </w:rPr>
            </w:pPr>
          </w:p>
        </w:tc>
        <w:tc>
          <w:tcPr>
            <w:tcW w:w="1671" w:type="dxa"/>
            <w:vAlign w:val="center"/>
          </w:tcPr>
          <w:p w14:paraId="798CF768">
            <w:pPr>
              <w:spacing w:line="24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w:t>
            </w:r>
          </w:p>
        </w:tc>
        <w:tc>
          <w:tcPr>
            <w:tcW w:w="6004" w:type="dxa"/>
            <w:vAlign w:val="center"/>
          </w:tcPr>
          <w:p w14:paraId="7D1E84C6">
            <w:pPr>
              <w:spacing w:line="24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w:t>
            </w:r>
          </w:p>
        </w:tc>
        <w:tc>
          <w:tcPr>
            <w:tcW w:w="868" w:type="dxa"/>
            <w:vAlign w:val="center"/>
          </w:tcPr>
          <w:p w14:paraId="1FED1AA0">
            <w:pPr>
              <w:spacing w:line="240" w:lineRule="auto"/>
              <w:rPr>
                <w:rFonts w:hint="eastAsia" w:ascii="宋体" w:hAnsi="宋体" w:eastAsia="宋体" w:cs="宋体"/>
                <w:color w:val="auto"/>
                <w:kern w:val="0"/>
                <w:sz w:val="21"/>
                <w:szCs w:val="21"/>
                <w:highlight w:val="none"/>
              </w:rPr>
            </w:pPr>
          </w:p>
        </w:tc>
      </w:tr>
      <w:tr w14:paraId="49E52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34" w:type="dxa"/>
            <w:vMerge w:val="restart"/>
            <w:vAlign w:val="center"/>
          </w:tcPr>
          <w:p w14:paraId="4EB723F5">
            <w:pPr>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记录和数据管理</w:t>
            </w:r>
          </w:p>
          <w:p w14:paraId="08E33608">
            <w:pPr>
              <w:spacing w:line="240" w:lineRule="auto"/>
              <w:rPr>
                <w:rFonts w:hint="eastAsia" w:ascii="宋体" w:hAnsi="宋体" w:eastAsia="宋体" w:cs="宋体"/>
                <w:color w:val="auto"/>
                <w:kern w:val="0"/>
                <w:sz w:val="21"/>
                <w:szCs w:val="21"/>
                <w:highlight w:val="none"/>
              </w:rPr>
            </w:pPr>
          </w:p>
        </w:tc>
        <w:tc>
          <w:tcPr>
            <w:tcW w:w="1671" w:type="dxa"/>
            <w:vAlign w:val="center"/>
          </w:tcPr>
          <w:p w14:paraId="3419F24A">
            <w:pPr>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运维记录</w:t>
            </w:r>
          </w:p>
          <w:p w14:paraId="6FDF594B">
            <w:pPr>
              <w:spacing w:line="240" w:lineRule="auto"/>
              <w:jc w:val="center"/>
              <w:rPr>
                <w:rFonts w:hint="eastAsia" w:ascii="宋体" w:hAnsi="宋体" w:eastAsia="宋体" w:cs="宋体"/>
                <w:color w:val="auto"/>
                <w:kern w:val="0"/>
                <w:sz w:val="21"/>
                <w:szCs w:val="21"/>
                <w:highlight w:val="none"/>
              </w:rPr>
            </w:pPr>
          </w:p>
        </w:tc>
        <w:tc>
          <w:tcPr>
            <w:tcW w:w="6004" w:type="dxa"/>
            <w:vAlign w:val="center"/>
          </w:tcPr>
          <w:p w14:paraId="1F4034AE">
            <w:pPr>
              <w:spacing w:line="24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现场运维每周例行巡检记录完整性，真实性，实时性；</w:t>
            </w:r>
          </w:p>
          <w:p w14:paraId="6CD0465B">
            <w:pPr>
              <w:spacing w:line="24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气态污染物质控校准记录（零跨、精度、多点校准）；</w:t>
            </w:r>
          </w:p>
          <w:p w14:paraId="268B484B">
            <w:pPr>
              <w:spacing w:line="24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颗粒物质控校准记录（流量、质量传感器/标准膜、温度和压力校准）；</w:t>
            </w:r>
          </w:p>
          <w:p w14:paraId="0B32C496">
            <w:pPr>
              <w:spacing w:line="24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动态校准仪质量流量控制器多点校准记录；</w:t>
            </w:r>
          </w:p>
          <w:p w14:paraId="345B4FC7">
            <w:pPr>
              <w:spacing w:line="24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气态、颗粒物采样管、切割器清洗记录；</w:t>
            </w:r>
          </w:p>
          <w:p w14:paraId="2EAF812C">
            <w:pPr>
              <w:spacing w:line="24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标气使用记录、有效证书；</w:t>
            </w:r>
          </w:p>
          <w:p w14:paraId="5E7BFA01">
            <w:pPr>
              <w:spacing w:line="24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设备维修记录；</w:t>
            </w:r>
          </w:p>
          <w:p w14:paraId="399BF653">
            <w:pPr>
              <w:spacing w:line="24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耗品耗材更换记录；</w:t>
            </w:r>
          </w:p>
          <w:p w14:paraId="00B208D5">
            <w:pPr>
              <w:spacing w:line="24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NOx设备钼炉转换率记录；</w:t>
            </w:r>
          </w:p>
          <w:p w14:paraId="20F871D2">
            <w:pPr>
              <w:spacing w:line="24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臭氧仪器标准与量值溯源记录；</w:t>
            </w:r>
          </w:p>
          <w:p w14:paraId="0EEA90AE">
            <w:pPr>
              <w:spacing w:line="24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颗粒物纸带留存记录；</w:t>
            </w:r>
          </w:p>
          <w:p w14:paraId="7BF38C65">
            <w:pPr>
              <w:spacing w:line="24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过滤膜留存记录；</w:t>
            </w:r>
          </w:p>
          <w:p w14:paraId="37A9C250">
            <w:pPr>
              <w:spacing w:line="24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记录不完整、不规范、不真实、遗漏、错误或涂改有一项扣  分。</w:t>
            </w:r>
          </w:p>
          <w:p w14:paraId="4672E987">
            <w:pPr>
              <w:spacing w:line="240" w:lineRule="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w:t>
            </w:r>
          </w:p>
        </w:tc>
        <w:tc>
          <w:tcPr>
            <w:tcW w:w="868" w:type="dxa"/>
            <w:vAlign w:val="center"/>
          </w:tcPr>
          <w:p w14:paraId="05D56D72">
            <w:pPr>
              <w:spacing w:line="240" w:lineRule="auto"/>
              <w:rPr>
                <w:rFonts w:hint="eastAsia" w:ascii="宋体" w:hAnsi="宋体" w:eastAsia="宋体" w:cs="宋体"/>
                <w:color w:val="auto"/>
                <w:kern w:val="0"/>
                <w:sz w:val="21"/>
                <w:szCs w:val="21"/>
                <w:highlight w:val="none"/>
              </w:rPr>
            </w:pPr>
          </w:p>
        </w:tc>
      </w:tr>
      <w:tr w14:paraId="3CA6E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34" w:type="dxa"/>
            <w:vMerge w:val="continue"/>
            <w:vAlign w:val="center"/>
          </w:tcPr>
          <w:p w14:paraId="4923F28C">
            <w:pPr>
              <w:spacing w:line="240" w:lineRule="auto"/>
              <w:rPr>
                <w:rFonts w:hint="eastAsia" w:ascii="宋体" w:hAnsi="宋体" w:eastAsia="宋体" w:cs="宋体"/>
                <w:color w:val="auto"/>
                <w:kern w:val="0"/>
                <w:sz w:val="21"/>
                <w:szCs w:val="21"/>
                <w:highlight w:val="none"/>
              </w:rPr>
            </w:pPr>
          </w:p>
        </w:tc>
        <w:tc>
          <w:tcPr>
            <w:tcW w:w="1671" w:type="dxa"/>
            <w:vAlign w:val="center"/>
          </w:tcPr>
          <w:p w14:paraId="1251E443">
            <w:pPr>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数据一致性</w:t>
            </w:r>
          </w:p>
          <w:p w14:paraId="3C605450">
            <w:pPr>
              <w:spacing w:line="240" w:lineRule="auto"/>
              <w:jc w:val="center"/>
              <w:rPr>
                <w:rFonts w:hint="eastAsia" w:ascii="宋体" w:hAnsi="宋体" w:eastAsia="宋体" w:cs="宋体"/>
                <w:color w:val="auto"/>
                <w:kern w:val="0"/>
                <w:sz w:val="21"/>
                <w:szCs w:val="21"/>
                <w:highlight w:val="none"/>
              </w:rPr>
            </w:pPr>
          </w:p>
        </w:tc>
        <w:tc>
          <w:tcPr>
            <w:tcW w:w="6004" w:type="dxa"/>
            <w:vAlign w:val="center"/>
          </w:tcPr>
          <w:p w14:paraId="33E160A2">
            <w:pPr>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时钟不一致，数据采集、传输异常，仪器数据与工控机、平台不一致；</w:t>
            </w:r>
          </w:p>
          <w:p w14:paraId="3B48442D">
            <w:pPr>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视频监控无法查看或记录不满一个月；</w:t>
            </w:r>
          </w:p>
          <w:p w14:paraId="600FAD43">
            <w:pPr>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摄像头朝向发生自动转动，超过一个周期未维护。</w:t>
            </w:r>
          </w:p>
          <w:p w14:paraId="2B92AEF9">
            <w:pPr>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868" w:type="dxa"/>
            <w:vAlign w:val="center"/>
          </w:tcPr>
          <w:p w14:paraId="5790A97B">
            <w:pPr>
              <w:spacing w:line="240" w:lineRule="auto"/>
              <w:rPr>
                <w:rFonts w:hint="eastAsia" w:ascii="宋体" w:hAnsi="宋体" w:eastAsia="宋体" w:cs="宋体"/>
                <w:color w:val="auto"/>
                <w:kern w:val="0"/>
                <w:sz w:val="21"/>
                <w:szCs w:val="21"/>
                <w:highlight w:val="none"/>
              </w:rPr>
            </w:pPr>
          </w:p>
        </w:tc>
      </w:tr>
      <w:bookmarkEnd w:id="3"/>
    </w:tbl>
    <w:p w14:paraId="4DB57E2D">
      <w:pPr>
        <w:widowControl w:val="0"/>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注：1.具体考核细则以实际签订合同为准；</w:t>
      </w:r>
    </w:p>
    <w:p w14:paraId="6788ABA5">
      <w:pPr>
        <w:widowControl w:val="0"/>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2.表中各项按分项进行扣分，分项分数扣完为止，不从总分中扣除；</w:t>
      </w:r>
    </w:p>
    <w:p w14:paraId="6D2217C5">
      <w:pPr>
        <w:widowControl w:val="0"/>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3.采购单位可以运用环境质量自动监测站质控检查的结果，参考对照酌情扣分。</w:t>
      </w:r>
    </w:p>
    <w:p w14:paraId="5E221921">
      <w:pPr>
        <w:widowControl w:val="0"/>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（2）数据审核部分（10%）</w:t>
      </w:r>
    </w:p>
    <w:p w14:paraId="2CB731FE">
      <w:pPr>
        <w:widowControl w:val="0"/>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运维中标供应商安排专人按照数据审核要求对站点数据审核，每日将审核的数据汇总并反馈给采购方。</w:t>
      </w:r>
    </w:p>
    <w:p w14:paraId="087895B9">
      <w:pPr>
        <w:widowControl w:val="0"/>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据审核部分考核采用扣分制，满分100分。采购单位在考核时段内安排核查与统计，发现1次数据审核不准确或者审核数据反馈不及时扣1分，扣完为止。采购单位对数据真实性组织抽审，发现数据弄虚作假等行为，数据审核部分考核直接计0分。</w:t>
      </w:r>
    </w:p>
    <w:p w14:paraId="1604D4F6">
      <w:pPr>
        <w:widowControl w:val="0"/>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3.考核总分计算（100分）</w:t>
      </w:r>
    </w:p>
    <w:p w14:paraId="345306C0">
      <w:pPr>
        <w:widowControl w:val="0"/>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考核总分=4个站点两率得分加和/4*50%+运行维护得分*40%+数据审核得分*10%</w:t>
      </w:r>
    </w:p>
    <w:p w14:paraId="689D9285">
      <w:pPr>
        <w:widowControl w:val="0"/>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4.运维费用核算方法</w:t>
      </w:r>
    </w:p>
    <w:p w14:paraId="25C72556">
      <w:pPr>
        <w:widowControl w:val="0"/>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每半年度考核总分低于70分的，不予支付</w:t>
      </w:r>
      <w:r>
        <w:rPr>
          <w:rFonts w:hint="eastAsia" w:ascii="宋体" w:hAnsi="宋体" w:eastAsia="宋体" w:cs="宋体"/>
          <w:bCs/>
          <w:color w:val="auto"/>
          <w:sz w:val="24"/>
          <w:highlight w:val="none"/>
          <w:lang w:val="en-US" w:eastAsia="zh-CN"/>
        </w:rPr>
        <w:t>该半年度对应</w:t>
      </w:r>
      <w:r>
        <w:rPr>
          <w:rFonts w:hint="eastAsia" w:ascii="宋体" w:hAnsi="宋体" w:eastAsia="宋体" w:cs="宋体"/>
          <w:color w:val="auto"/>
          <w:sz w:val="24"/>
          <w:szCs w:val="24"/>
          <w:highlight w:val="none"/>
        </w:rPr>
        <w:t>运维费；绩效考核总分85（含）分以上的为合格，支付</w:t>
      </w:r>
      <w:r>
        <w:rPr>
          <w:rFonts w:hint="eastAsia" w:ascii="宋体" w:hAnsi="宋体" w:eastAsia="宋体" w:cs="宋体"/>
          <w:bCs/>
          <w:color w:val="auto"/>
          <w:sz w:val="24"/>
          <w:highlight w:val="none"/>
          <w:lang w:val="en-US" w:eastAsia="zh-CN"/>
        </w:rPr>
        <w:t>该半年度对应</w:t>
      </w:r>
      <w:r>
        <w:rPr>
          <w:rFonts w:hint="eastAsia" w:ascii="宋体" w:hAnsi="宋体" w:eastAsia="宋体" w:cs="宋体"/>
          <w:color w:val="auto"/>
          <w:sz w:val="24"/>
          <w:szCs w:val="24"/>
          <w:highlight w:val="none"/>
        </w:rPr>
        <w:t>全额运维费；绩效考核总分在70（含）-85分的。</w:t>
      </w:r>
      <w:r>
        <w:rPr>
          <w:rFonts w:hint="eastAsia" w:ascii="宋体" w:hAnsi="宋体" w:eastAsia="宋体" w:cs="宋体"/>
          <w:bCs/>
          <w:color w:val="auto"/>
          <w:sz w:val="24"/>
          <w:highlight w:val="none"/>
          <w:lang w:val="en-US" w:eastAsia="zh-CN"/>
        </w:rPr>
        <w:t>该半年度对应</w:t>
      </w:r>
      <w:r>
        <w:rPr>
          <w:rFonts w:hint="eastAsia" w:ascii="宋体" w:hAnsi="宋体" w:eastAsia="宋体" w:cs="宋体"/>
          <w:color w:val="auto"/>
          <w:sz w:val="24"/>
          <w:szCs w:val="24"/>
          <w:highlight w:val="none"/>
        </w:rPr>
        <w:t>运维费=实际考核得分/100*</w:t>
      </w:r>
      <w:r>
        <w:rPr>
          <w:rFonts w:hint="eastAsia" w:ascii="宋体" w:hAnsi="宋体" w:eastAsia="宋体" w:cs="宋体"/>
          <w:bCs/>
          <w:color w:val="auto"/>
          <w:sz w:val="24"/>
          <w:highlight w:val="none"/>
          <w:lang w:val="en-US" w:eastAsia="zh-CN"/>
        </w:rPr>
        <w:t>该半年度对应</w:t>
      </w:r>
      <w:r>
        <w:rPr>
          <w:rFonts w:hint="eastAsia" w:ascii="宋体" w:hAnsi="宋体" w:eastAsia="宋体" w:cs="宋体"/>
          <w:color w:val="auto"/>
          <w:sz w:val="24"/>
          <w:szCs w:val="24"/>
          <w:highlight w:val="none"/>
        </w:rPr>
        <w:t>全额运维费。</w:t>
      </w:r>
    </w:p>
    <w:p w14:paraId="6349DD06">
      <w:pPr>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五、付款方式</w:t>
      </w:r>
    </w:p>
    <w:p w14:paraId="0B67EC31">
      <w:pPr>
        <w:widowControl w:val="0"/>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合同服务期结束后，按照考核办法，根据考核结果支付费用，每半年度考核总分低于70分的，不予支付</w:t>
      </w:r>
      <w:r>
        <w:rPr>
          <w:rFonts w:hint="eastAsia" w:ascii="宋体" w:hAnsi="宋体" w:cs="宋体"/>
          <w:bCs/>
          <w:color w:val="auto"/>
          <w:sz w:val="24"/>
          <w:highlight w:val="none"/>
          <w:lang w:val="en-US" w:eastAsia="zh-CN"/>
        </w:rPr>
        <w:t>该半年度对应</w:t>
      </w:r>
      <w:r>
        <w:rPr>
          <w:rFonts w:hint="eastAsia" w:ascii="宋体" w:hAnsi="宋体" w:eastAsia="宋体" w:cs="宋体"/>
          <w:color w:val="auto"/>
          <w:sz w:val="24"/>
          <w:szCs w:val="24"/>
          <w:highlight w:val="none"/>
        </w:rPr>
        <w:t>运维费；绩效考核总分85（含）分以上的为合格，支付</w:t>
      </w:r>
      <w:r>
        <w:rPr>
          <w:rFonts w:hint="eastAsia" w:ascii="宋体" w:hAnsi="宋体" w:cs="宋体"/>
          <w:bCs/>
          <w:color w:val="auto"/>
          <w:sz w:val="24"/>
          <w:highlight w:val="none"/>
          <w:lang w:val="en-US" w:eastAsia="zh-CN"/>
        </w:rPr>
        <w:t>该半年度对应</w:t>
      </w:r>
      <w:r>
        <w:rPr>
          <w:rFonts w:hint="eastAsia" w:ascii="宋体" w:hAnsi="宋体" w:eastAsia="宋体" w:cs="宋体"/>
          <w:color w:val="auto"/>
          <w:sz w:val="24"/>
          <w:szCs w:val="24"/>
          <w:highlight w:val="none"/>
        </w:rPr>
        <w:t>全额运维费；绩效考核总分在70（含）-85分的。</w:t>
      </w:r>
      <w:r>
        <w:rPr>
          <w:rFonts w:hint="eastAsia" w:ascii="宋体" w:hAnsi="宋体" w:cs="宋体"/>
          <w:bCs/>
          <w:color w:val="auto"/>
          <w:sz w:val="24"/>
          <w:highlight w:val="none"/>
          <w:lang w:val="en-US" w:eastAsia="zh-CN"/>
        </w:rPr>
        <w:t>该半年度对应</w:t>
      </w:r>
      <w:r>
        <w:rPr>
          <w:rFonts w:hint="eastAsia" w:ascii="宋体" w:hAnsi="宋体" w:eastAsia="宋体" w:cs="宋体"/>
          <w:color w:val="auto"/>
          <w:sz w:val="24"/>
          <w:szCs w:val="24"/>
          <w:highlight w:val="none"/>
        </w:rPr>
        <w:t>运维费=实际考核得分/100*</w:t>
      </w:r>
      <w:r>
        <w:rPr>
          <w:rFonts w:hint="eastAsia" w:ascii="宋体" w:hAnsi="宋体" w:cs="宋体"/>
          <w:bCs/>
          <w:color w:val="auto"/>
          <w:sz w:val="24"/>
          <w:highlight w:val="none"/>
          <w:lang w:val="en-US" w:eastAsia="zh-CN"/>
        </w:rPr>
        <w:t>该半年度对应</w:t>
      </w:r>
      <w:r>
        <w:rPr>
          <w:rFonts w:hint="eastAsia" w:ascii="宋体" w:hAnsi="宋体" w:eastAsia="宋体" w:cs="宋体"/>
          <w:color w:val="auto"/>
          <w:sz w:val="24"/>
          <w:szCs w:val="24"/>
          <w:highlight w:val="none"/>
        </w:rPr>
        <w:t>全额运维费。付款以供应商开具等额发票交采购人财务审核入账为必要条件。</w:t>
      </w:r>
    </w:p>
    <w:p w14:paraId="14107603">
      <w:pPr>
        <w:snapToGrid w:val="0"/>
        <w:spacing w:line="480" w:lineRule="exact"/>
        <w:jc w:val="center"/>
        <w:rPr>
          <w:rStyle w:val="44"/>
          <w:rFonts w:hint="eastAsia" w:ascii="宋体" w:hAnsi="宋体" w:eastAsia="宋体" w:cs="宋体"/>
          <w:b/>
          <w:color w:val="auto"/>
          <w:w w:val="80"/>
          <w:kern w:val="44"/>
          <w:sz w:val="36"/>
          <w:szCs w:val="36"/>
          <w:highlight w:val="none"/>
        </w:rPr>
      </w:pPr>
    </w:p>
    <w:p w14:paraId="791BF1DB">
      <w:pPr>
        <w:snapToGrid w:val="0"/>
        <w:spacing w:line="480" w:lineRule="exact"/>
        <w:jc w:val="center"/>
        <w:rPr>
          <w:rStyle w:val="44"/>
          <w:rFonts w:hint="eastAsia" w:ascii="宋体" w:hAnsi="宋体" w:eastAsia="宋体" w:cs="宋体"/>
          <w:b/>
          <w:color w:val="auto"/>
          <w:w w:val="80"/>
          <w:kern w:val="44"/>
          <w:sz w:val="36"/>
          <w:szCs w:val="36"/>
          <w:highlight w:val="none"/>
        </w:rPr>
      </w:pPr>
      <w:r>
        <w:rPr>
          <w:rStyle w:val="44"/>
          <w:rFonts w:hint="eastAsia" w:ascii="宋体" w:hAnsi="宋体" w:eastAsia="宋体" w:cs="宋体"/>
          <w:b/>
          <w:color w:val="auto"/>
          <w:w w:val="80"/>
          <w:kern w:val="44"/>
          <w:sz w:val="36"/>
          <w:szCs w:val="36"/>
          <w:highlight w:val="none"/>
        </w:rPr>
        <w:br w:type="page"/>
      </w:r>
      <w:r>
        <w:rPr>
          <w:rStyle w:val="44"/>
          <w:rFonts w:hint="eastAsia" w:ascii="宋体" w:hAnsi="宋体" w:eastAsia="宋体" w:cs="宋体"/>
          <w:b/>
          <w:color w:val="auto"/>
          <w:w w:val="80"/>
          <w:kern w:val="44"/>
          <w:sz w:val="36"/>
          <w:szCs w:val="36"/>
          <w:highlight w:val="none"/>
        </w:rPr>
        <w:t>第四章  评审方法和程序</w:t>
      </w:r>
    </w:p>
    <w:p w14:paraId="46BA6CF7">
      <w:pPr>
        <w:snapToGrid w:val="0"/>
        <w:ind w:firstLine="487" w:firstLineChars="202"/>
        <w:rPr>
          <w:rStyle w:val="44"/>
          <w:rFonts w:hint="eastAsia" w:ascii="宋体" w:hAnsi="宋体" w:eastAsia="宋体" w:cs="宋体"/>
          <w:b/>
          <w:color w:val="auto"/>
          <w:sz w:val="24"/>
          <w:szCs w:val="24"/>
          <w:highlight w:val="none"/>
        </w:rPr>
      </w:pPr>
    </w:p>
    <w:p w14:paraId="267A37C6">
      <w:pPr>
        <w:snapToGrid w:val="0"/>
        <w:ind w:firstLine="487" w:firstLineChars="202"/>
        <w:rPr>
          <w:rStyle w:val="44"/>
          <w:rFonts w:hint="eastAsia" w:ascii="宋体" w:hAnsi="宋体" w:eastAsia="宋体" w:cs="宋体"/>
          <w:b/>
          <w:color w:val="auto"/>
          <w:sz w:val="24"/>
          <w:szCs w:val="24"/>
          <w:highlight w:val="none"/>
        </w:rPr>
      </w:pPr>
      <w:r>
        <w:rPr>
          <w:rStyle w:val="44"/>
          <w:rFonts w:hint="eastAsia" w:ascii="宋体" w:hAnsi="宋体" w:eastAsia="宋体" w:cs="宋体"/>
          <w:b/>
          <w:color w:val="auto"/>
          <w:sz w:val="24"/>
          <w:szCs w:val="24"/>
          <w:highlight w:val="none"/>
        </w:rPr>
        <w:t>一、采购人委托招标代理机构组织开标</w:t>
      </w:r>
    </w:p>
    <w:p w14:paraId="2A7EB1E9">
      <w:pPr>
        <w:snapToGrid w:val="0"/>
        <w:ind w:firstLine="484" w:firstLineChars="202"/>
        <w:rPr>
          <w:rStyle w:val="44"/>
          <w:rFonts w:hint="eastAsia" w:ascii="宋体" w:hAnsi="宋体" w:eastAsia="宋体" w:cs="宋体"/>
          <w:color w:val="auto"/>
          <w:sz w:val="24"/>
          <w:szCs w:val="24"/>
          <w:highlight w:val="none"/>
        </w:rPr>
      </w:pPr>
      <w:r>
        <w:rPr>
          <w:rStyle w:val="44"/>
          <w:rFonts w:hint="eastAsia" w:ascii="宋体" w:hAnsi="宋体" w:eastAsia="宋体" w:cs="宋体"/>
          <w:color w:val="auto"/>
          <w:sz w:val="24"/>
          <w:szCs w:val="24"/>
          <w:highlight w:val="none"/>
        </w:rPr>
        <w:t>1.成立评标委员会，由采购人代表和有关专家依法组成。</w:t>
      </w:r>
    </w:p>
    <w:p w14:paraId="1B4B1E38">
      <w:pPr>
        <w:snapToGrid w:val="0"/>
        <w:ind w:firstLine="484" w:firstLineChars="202"/>
        <w:rPr>
          <w:rStyle w:val="44"/>
          <w:rFonts w:hint="eastAsia" w:ascii="宋体" w:hAnsi="宋体" w:eastAsia="宋体" w:cs="宋体"/>
          <w:color w:val="auto"/>
          <w:sz w:val="24"/>
          <w:szCs w:val="24"/>
          <w:highlight w:val="none"/>
        </w:rPr>
      </w:pPr>
      <w:r>
        <w:rPr>
          <w:rStyle w:val="44"/>
          <w:rFonts w:hint="eastAsia" w:ascii="宋体" w:hAnsi="宋体" w:eastAsia="宋体" w:cs="宋体"/>
          <w:color w:val="auto"/>
          <w:sz w:val="24"/>
          <w:szCs w:val="24"/>
          <w:highlight w:val="none"/>
        </w:rPr>
        <w:t>2.投标供应商的法定代表人或被授权人须持身份证准时参加投标会。</w:t>
      </w:r>
    </w:p>
    <w:p w14:paraId="5BF7721F">
      <w:pPr>
        <w:snapToGrid w:val="0"/>
        <w:ind w:firstLine="487" w:firstLineChars="202"/>
        <w:rPr>
          <w:rStyle w:val="44"/>
          <w:rFonts w:hint="eastAsia" w:ascii="宋体" w:hAnsi="宋体" w:eastAsia="宋体" w:cs="宋体"/>
          <w:b/>
          <w:color w:val="auto"/>
          <w:sz w:val="24"/>
          <w:szCs w:val="24"/>
          <w:highlight w:val="none"/>
        </w:rPr>
      </w:pPr>
      <w:r>
        <w:rPr>
          <w:rStyle w:val="44"/>
          <w:rFonts w:hint="eastAsia" w:ascii="宋体" w:hAnsi="宋体" w:eastAsia="宋体" w:cs="宋体"/>
          <w:b/>
          <w:color w:val="auto"/>
          <w:sz w:val="24"/>
          <w:szCs w:val="24"/>
          <w:highlight w:val="none"/>
        </w:rPr>
        <w:t>二、开标</w:t>
      </w:r>
    </w:p>
    <w:p w14:paraId="246784FE">
      <w:pPr>
        <w:snapToGrid w:val="0"/>
        <w:ind w:firstLine="484" w:firstLineChars="202"/>
        <w:jc w:val="left"/>
        <w:rPr>
          <w:rStyle w:val="44"/>
          <w:rFonts w:hint="eastAsia" w:ascii="宋体" w:hAnsi="宋体" w:eastAsia="宋体" w:cs="宋体"/>
          <w:color w:val="auto"/>
          <w:sz w:val="24"/>
          <w:szCs w:val="24"/>
          <w:highlight w:val="none"/>
        </w:rPr>
      </w:pPr>
      <w:r>
        <w:rPr>
          <w:rStyle w:val="44"/>
          <w:rFonts w:hint="eastAsia" w:ascii="宋体" w:hAnsi="宋体" w:eastAsia="宋体" w:cs="宋体"/>
          <w:color w:val="auto"/>
          <w:sz w:val="24"/>
          <w:szCs w:val="24"/>
          <w:highlight w:val="none"/>
        </w:rPr>
        <w:t>1.采购代理机构主持开标并记录，及时处理投标供应商代表提出的询问或者回避申请。</w:t>
      </w:r>
    </w:p>
    <w:p w14:paraId="267CBCE0">
      <w:pPr>
        <w:snapToGrid w:val="0"/>
        <w:ind w:firstLine="484" w:firstLineChars="202"/>
        <w:rPr>
          <w:rStyle w:val="44"/>
          <w:rFonts w:hint="eastAsia" w:ascii="宋体" w:hAnsi="宋体" w:eastAsia="宋体" w:cs="宋体"/>
          <w:color w:val="auto"/>
          <w:sz w:val="24"/>
          <w:szCs w:val="24"/>
          <w:highlight w:val="none"/>
        </w:rPr>
      </w:pPr>
      <w:r>
        <w:rPr>
          <w:rStyle w:val="44"/>
          <w:rFonts w:hint="eastAsia" w:ascii="宋体" w:hAnsi="宋体" w:eastAsia="宋体" w:cs="宋体"/>
          <w:color w:val="auto"/>
          <w:sz w:val="24"/>
          <w:szCs w:val="24"/>
          <w:highlight w:val="none"/>
        </w:rPr>
        <w:t>2.投标供应商不足3家的不得开标，相应处理方式见本招标文件第四章第十一条的规定。</w:t>
      </w:r>
    </w:p>
    <w:p w14:paraId="3454153C">
      <w:pPr>
        <w:snapToGrid w:val="0"/>
        <w:ind w:firstLine="487" w:firstLineChars="202"/>
        <w:rPr>
          <w:rStyle w:val="44"/>
          <w:rFonts w:hint="eastAsia" w:ascii="宋体" w:hAnsi="宋体" w:eastAsia="宋体" w:cs="宋体"/>
          <w:b/>
          <w:color w:val="auto"/>
          <w:sz w:val="24"/>
          <w:szCs w:val="24"/>
          <w:highlight w:val="none"/>
        </w:rPr>
      </w:pPr>
      <w:r>
        <w:rPr>
          <w:rStyle w:val="44"/>
          <w:rFonts w:hint="eastAsia" w:ascii="宋体" w:hAnsi="宋体" w:eastAsia="宋体" w:cs="宋体"/>
          <w:b/>
          <w:color w:val="auto"/>
          <w:sz w:val="24"/>
          <w:szCs w:val="24"/>
          <w:highlight w:val="none"/>
        </w:rPr>
        <w:t>三、资格审查</w:t>
      </w:r>
    </w:p>
    <w:p w14:paraId="45CFB541">
      <w:pPr>
        <w:snapToGrid w:val="0"/>
        <w:ind w:firstLine="484" w:firstLineChars="202"/>
        <w:rPr>
          <w:rStyle w:val="44"/>
          <w:rFonts w:hint="eastAsia" w:ascii="宋体" w:hAnsi="宋体" w:eastAsia="宋体" w:cs="宋体"/>
          <w:color w:val="auto"/>
          <w:sz w:val="24"/>
          <w:szCs w:val="24"/>
          <w:highlight w:val="none"/>
        </w:rPr>
      </w:pPr>
      <w:r>
        <w:rPr>
          <w:rStyle w:val="44"/>
          <w:rFonts w:hint="eastAsia" w:ascii="宋体" w:hAnsi="宋体" w:eastAsia="宋体" w:cs="宋体"/>
          <w:color w:val="auto"/>
          <w:sz w:val="24"/>
          <w:szCs w:val="24"/>
          <w:highlight w:val="none"/>
        </w:rPr>
        <w:t>1.开标后，根据招标文件载明的资格审查要求，对投标供应商的资格进行审查。</w:t>
      </w:r>
    </w:p>
    <w:p w14:paraId="17FFAA53">
      <w:pPr>
        <w:snapToGrid w:val="0"/>
        <w:ind w:firstLine="484" w:firstLineChars="202"/>
        <w:rPr>
          <w:rStyle w:val="44"/>
          <w:rFonts w:hint="eastAsia" w:ascii="宋体" w:hAnsi="宋体" w:eastAsia="宋体" w:cs="宋体"/>
          <w:color w:val="auto"/>
          <w:sz w:val="24"/>
          <w:szCs w:val="24"/>
          <w:highlight w:val="none"/>
        </w:rPr>
      </w:pPr>
      <w:r>
        <w:rPr>
          <w:rStyle w:val="44"/>
          <w:rFonts w:hint="eastAsia" w:ascii="宋体" w:hAnsi="宋体" w:eastAsia="宋体" w:cs="宋体"/>
          <w:color w:val="auto"/>
          <w:sz w:val="24"/>
          <w:szCs w:val="24"/>
          <w:highlight w:val="none"/>
        </w:rPr>
        <w:t>2.资格审查合格的供应商进入评标。</w:t>
      </w:r>
    </w:p>
    <w:p w14:paraId="50EF404F">
      <w:pPr>
        <w:snapToGrid w:val="0"/>
        <w:ind w:firstLine="484" w:firstLineChars="202"/>
        <w:rPr>
          <w:rStyle w:val="44"/>
          <w:rFonts w:hint="eastAsia" w:ascii="宋体" w:hAnsi="宋体" w:eastAsia="宋体" w:cs="宋体"/>
          <w:color w:val="auto"/>
          <w:sz w:val="24"/>
          <w:szCs w:val="24"/>
          <w:highlight w:val="none"/>
        </w:rPr>
      </w:pPr>
      <w:r>
        <w:rPr>
          <w:rStyle w:val="44"/>
          <w:rFonts w:hint="eastAsia" w:ascii="宋体" w:hAnsi="宋体" w:eastAsia="宋体" w:cs="宋体"/>
          <w:color w:val="auto"/>
          <w:sz w:val="24"/>
          <w:szCs w:val="24"/>
          <w:highlight w:val="none"/>
        </w:rPr>
        <w:t>3.合格投标供应商不足3家的，不得评标，相应处理方式见本招标文件第四章第十一条的规定。</w:t>
      </w:r>
    </w:p>
    <w:p w14:paraId="3F24C172">
      <w:pPr>
        <w:snapToGrid w:val="0"/>
        <w:ind w:firstLine="487" w:firstLineChars="202"/>
        <w:rPr>
          <w:rStyle w:val="44"/>
          <w:rFonts w:hint="eastAsia" w:ascii="宋体" w:hAnsi="宋体" w:eastAsia="宋体" w:cs="宋体"/>
          <w:b/>
          <w:color w:val="auto"/>
          <w:sz w:val="24"/>
          <w:szCs w:val="24"/>
          <w:highlight w:val="none"/>
        </w:rPr>
      </w:pPr>
      <w:r>
        <w:rPr>
          <w:rStyle w:val="44"/>
          <w:rFonts w:hint="eastAsia" w:ascii="宋体" w:hAnsi="宋体" w:eastAsia="宋体" w:cs="宋体"/>
          <w:b/>
          <w:color w:val="auto"/>
          <w:sz w:val="24"/>
          <w:szCs w:val="24"/>
          <w:highlight w:val="none"/>
        </w:rPr>
        <w:t>四、评标</w:t>
      </w:r>
    </w:p>
    <w:p w14:paraId="622DED63">
      <w:pPr>
        <w:snapToGrid w:val="0"/>
        <w:ind w:firstLine="484" w:firstLineChars="202"/>
        <w:rPr>
          <w:rStyle w:val="44"/>
          <w:rFonts w:hint="eastAsia" w:ascii="宋体" w:hAnsi="宋体" w:eastAsia="宋体" w:cs="宋体"/>
          <w:b/>
          <w:color w:val="auto"/>
          <w:sz w:val="24"/>
          <w:szCs w:val="24"/>
          <w:highlight w:val="none"/>
        </w:rPr>
      </w:pPr>
      <w:r>
        <w:rPr>
          <w:rStyle w:val="44"/>
          <w:rFonts w:hint="eastAsia" w:ascii="宋体" w:hAnsi="宋体" w:eastAsia="宋体" w:cs="宋体"/>
          <w:color w:val="auto"/>
          <w:sz w:val="24"/>
          <w:szCs w:val="24"/>
          <w:highlight w:val="none"/>
        </w:rPr>
        <w:t>1.评标时间：</w:t>
      </w:r>
      <w:r>
        <w:rPr>
          <w:rStyle w:val="44"/>
          <w:rFonts w:hint="eastAsia" w:ascii="宋体" w:hAnsi="宋体" w:eastAsia="宋体" w:cs="宋体"/>
          <w:b/>
          <w:color w:val="auto"/>
          <w:sz w:val="24"/>
          <w:szCs w:val="24"/>
          <w:highlight w:val="none"/>
        </w:rPr>
        <w:t>资格审查结束以后。</w:t>
      </w:r>
    </w:p>
    <w:p w14:paraId="5E2F5044">
      <w:pPr>
        <w:snapToGrid w:val="0"/>
        <w:ind w:firstLine="484" w:firstLineChars="202"/>
        <w:rPr>
          <w:rStyle w:val="44"/>
          <w:rFonts w:hint="eastAsia" w:ascii="宋体" w:hAnsi="宋体" w:eastAsia="宋体" w:cs="宋体"/>
          <w:color w:val="auto"/>
          <w:sz w:val="24"/>
          <w:szCs w:val="24"/>
          <w:highlight w:val="none"/>
        </w:rPr>
      </w:pPr>
      <w:r>
        <w:rPr>
          <w:rStyle w:val="44"/>
          <w:rFonts w:hint="eastAsia" w:ascii="宋体" w:hAnsi="宋体" w:eastAsia="宋体" w:cs="宋体"/>
          <w:color w:val="auto"/>
          <w:sz w:val="24"/>
          <w:szCs w:val="24"/>
          <w:highlight w:val="none"/>
        </w:rPr>
        <w:t>2.采购代理机构负责组织评标工作，并履行下列职责：</w:t>
      </w:r>
    </w:p>
    <w:p w14:paraId="3DBA30C1">
      <w:pPr>
        <w:snapToGrid w:val="0"/>
        <w:ind w:firstLine="484" w:firstLineChars="202"/>
        <w:rPr>
          <w:rStyle w:val="44"/>
          <w:rFonts w:hint="eastAsia" w:ascii="宋体" w:hAnsi="宋体" w:eastAsia="宋体" w:cs="宋体"/>
          <w:color w:val="auto"/>
          <w:sz w:val="24"/>
          <w:szCs w:val="24"/>
          <w:highlight w:val="none"/>
        </w:rPr>
      </w:pPr>
      <w:r>
        <w:rPr>
          <w:rStyle w:val="44"/>
          <w:rFonts w:hint="eastAsia" w:ascii="宋体" w:hAnsi="宋体" w:eastAsia="宋体" w:cs="宋体"/>
          <w:color w:val="auto"/>
          <w:sz w:val="24"/>
          <w:szCs w:val="24"/>
          <w:highlight w:val="none"/>
        </w:rPr>
        <w:t>（1）核对评审专家身份和采购人代表授权函，对评审专家在采购活动中的职责履行情况予以记录，并及时将有关违法违规行为向相关部门报告。</w:t>
      </w:r>
    </w:p>
    <w:p w14:paraId="73B24A9C">
      <w:pPr>
        <w:snapToGrid w:val="0"/>
        <w:ind w:firstLine="484" w:firstLineChars="202"/>
        <w:rPr>
          <w:rStyle w:val="44"/>
          <w:rFonts w:hint="eastAsia" w:ascii="宋体" w:hAnsi="宋体" w:eastAsia="宋体" w:cs="宋体"/>
          <w:color w:val="auto"/>
          <w:sz w:val="24"/>
          <w:szCs w:val="24"/>
          <w:highlight w:val="none"/>
        </w:rPr>
      </w:pPr>
      <w:r>
        <w:rPr>
          <w:rStyle w:val="44"/>
          <w:rFonts w:hint="eastAsia" w:ascii="宋体" w:hAnsi="宋体" w:eastAsia="宋体" w:cs="宋体"/>
          <w:color w:val="auto"/>
          <w:sz w:val="24"/>
          <w:szCs w:val="24"/>
          <w:highlight w:val="none"/>
        </w:rPr>
        <w:t>（2）宣布评标纪律。</w:t>
      </w:r>
    </w:p>
    <w:p w14:paraId="0AFB77AD">
      <w:pPr>
        <w:snapToGrid w:val="0"/>
        <w:ind w:firstLine="484" w:firstLineChars="202"/>
        <w:rPr>
          <w:rStyle w:val="44"/>
          <w:rFonts w:hint="eastAsia" w:ascii="宋体" w:hAnsi="宋体" w:eastAsia="宋体" w:cs="宋体"/>
          <w:color w:val="auto"/>
          <w:sz w:val="24"/>
          <w:szCs w:val="24"/>
          <w:highlight w:val="none"/>
        </w:rPr>
      </w:pPr>
      <w:r>
        <w:rPr>
          <w:rStyle w:val="44"/>
          <w:rFonts w:hint="eastAsia" w:ascii="宋体" w:hAnsi="宋体" w:eastAsia="宋体" w:cs="宋体"/>
          <w:color w:val="auto"/>
          <w:sz w:val="24"/>
          <w:szCs w:val="24"/>
          <w:highlight w:val="none"/>
        </w:rPr>
        <w:t>（3）公布投标供应商名单，告知评审专家应当回避的情形。</w:t>
      </w:r>
    </w:p>
    <w:p w14:paraId="0A6B2EF7">
      <w:pPr>
        <w:snapToGrid w:val="0"/>
        <w:ind w:firstLine="484" w:firstLineChars="202"/>
        <w:rPr>
          <w:rStyle w:val="44"/>
          <w:rFonts w:hint="eastAsia" w:ascii="宋体" w:hAnsi="宋体" w:eastAsia="宋体" w:cs="宋体"/>
          <w:color w:val="auto"/>
          <w:sz w:val="24"/>
          <w:szCs w:val="24"/>
          <w:highlight w:val="none"/>
        </w:rPr>
      </w:pPr>
      <w:r>
        <w:rPr>
          <w:rStyle w:val="44"/>
          <w:rFonts w:hint="eastAsia" w:ascii="宋体" w:hAnsi="宋体" w:eastAsia="宋体" w:cs="宋体"/>
          <w:color w:val="auto"/>
          <w:sz w:val="24"/>
          <w:szCs w:val="24"/>
          <w:highlight w:val="none"/>
        </w:rPr>
        <w:t>（4）组织评标委员会推选评标组长，采购人代表不得担任组长。</w:t>
      </w:r>
    </w:p>
    <w:p w14:paraId="144220CC">
      <w:pPr>
        <w:snapToGrid w:val="0"/>
        <w:ind w:firstLine="484" w:firstLineChars="202"/>
        <w:rPr>
          <w:rStyle w:val="44"/>
          <w:rFonts w:hint="eastAsia" w:ascii="宋体" w:hAnsi="宋体" w:eastAsia="宋体" w:cs="宋体"/>
          <w:color w:val="auto"/>
          <w:sz w:val="24"/>
          <w:szCs w:val="24"/>
          <w:highlight w:val="none"/>
        </w:rPr>
      </w:pPr>
      <w:r>
        <w:rPr>
          <w:rStyle w:val="44"/>
          <w:rFonts w:hint="eastAsia" w:ascii="宋体" w:hAnsi="宋体" w:eastAsia="宋体" w:cs="宋体"/>
          <w:color w:val="auto"/>
          <w:sz w:val="24"/>
          <w:szCs w:val="24"/>
          <w:highlight w:val="none"/>
        </w:rPr>
        <w:t>（5）在评标期间采取必要的通讯管理措施，保证评标活动不受外界干扰；除采购人代表、评标现场组织人员外，采购人的其他工作人员以及与评标工作无关的人员不得进入评标现场。</w:t>
      </w:r>
    </w:p>
    <w:p w14:paraId="16E6D5EF">
      <w:pPr>
        <w:snapToGrid w:val="0"/>
        <w:ind w:firstLine="484" w:firstLineChars="202"/>
        <w:rPr>
          <w:rStyle w:val="44"/>
          <w:rFonts w:hint="eastAsia" w:ascii="宋体" w:hAnsi="宋体" w:eastAsia="宋体" w:cs="宋体"/>
          <w:color w:val="auto"/>
          <w:sz w:val="24"/>
          <w:szCs w:val="24"/>
          <w:highlight w:val="none"/>
        </w:rPr>
      </w:pPr>
      <w:r>
        <w:rPr>
          <w:rStyle w:val="44"/>
          <w:rFonts w:hint="eastAsia" w:ascii="宋体" w:hAnsi="宋体" w:eastAsia="宋体" w:cs="宋体"/>
          <w:color w:val="auto"/>
          <w:sz w:val="24"/>
          <w:szCs w:val="24"/>
          <w:highlight w:val="none"/>
        </w:rPr>
        <w:t>（6）根据评标委员会的要求介绍相关政策法规、招标文件。</w:t>
      </w:r>
    </w:p>
    <w:p w14:paraId="4B116A56">
      <w:pPr>
        <w:snapToGrid w:val="0"/>
        <w:ind w:firstLine="484" w:firstLineChars="202"/>
        <w:rPr>
          <w:rStyle w:val="44"/>
          <w:rFonts w:hint="eastAsia" w:ascii="宋体" w:hAnsi="宋体" w:eastAsia="宋体" w:cs="宋体"/>
          <w:color w:val="auto"/>
          <w:sz w:val="24"/>
          <w:szCs w:val="24"/>
          <w:highlight w:val="none"/>
        </w:rPr>
      </w:pPr>
      <w:r>
        <w:rPr>
          <w:rStyle w:val="44"/>
          <w:rFonts w:hint="eastAsia" w:ascii="宋体" w:hAnsi="宋体" w:eastAsia="宋体" w:cs="宋体"/>
          <w:color w:val="auto"/>
          <w:sz w:val="24"/>
          <w:szCs w:val="24"/>
          <w:highlight w:val="none"/>
        </w:rPr>
        <w:t>（7）维护评标秩序，监督评标委员会依照招标文件规定的评标程序、方法和标准进行独立评审，及时制止和纠正采购人代表、评审专家的倾向性言论或者违法违规行为；采购人可以在评标前说明项目背景和采购需求，说明内容不得含有歧视性、倾向性意见，不得超出招标文件所述范围。说明应当提交书面材料，并随采购文件一并存档。</w:t>
      </w:r>
    </w:p>
    <w:p w14:paraId="232CA026">
      <w:pPr>
        <w:snapToGrid w:val="0"/>
        <w:ind w:firstLine="484" w:firstLineChars="202"/>
        <w:rPr>
          <w:rStyle w:val="44"/>
          <w:rFonts w:hint="eastAsia" w:ascii="宋体" w:hAnsi="宋体" w:eastAsia="宋体" w:cs="宋体"/>
          <w:color w:val="auto"/>
          <w:sz w:val="24"/>
          <w:szCs w:val="24"/>
          <w:highlight w:val="none"/>
        </w:rPr>
      </w:pPr>
      <w:r>
        <w:rPr>
          <w:rStyle w:val="44"/>
          <w:rFonts w:hint="eastAsia" w:ascii="宋体" w:hAnsi="宋体" w:eastAsia="宋体" w:cs="宋体"/>
          <w:color w:val="auto"/>
          <w:sz w:val="24"/>
          <w:szCs w:val="24"/>
          <w:highlight w:val="none"/>
        </w:rPr>
        <w:t>（8）核对评标结果，有下列规定情形的，要求评标委员会复核或者书面说明理由，评标委员会拒绝的，则予以书面记录并向相关部门报告：</w:t>
      </w:r>
    </w:p>
    <w:p w14:paraId="28D0D178">
      <w:pPr>
        <w:snapToGrid w:val="0"/>
        <w:ind w:firstLine="484" w:firstLineChars="202"/>
        <w:rPr>
          <w:rStyle w:val="44"/>
          <w:rFonts w:hint="eastAsia" w:ascii="宋体" w:hAnsi="宋体" w:eastAsia="宋体" w:cs="宋体"/>
          <w:color w:val="auto"/>
          <w:sz w:val="24"/>
          <w:szCs w:val="24"/>
          <w:highlight w:val="none"/>
        </w:rPr>
      </w:pPr>
      <w:r>
        <w:rPr>
          <w:rStyle w:val="44"/>
          <w:rFonts w:hint="eastAsia" w:ascii="宋体" w:hAnsi="宋体" w:eastAsia="宋体" w:cs="宋体"/>
          <w:color w:val="auto"/>
          <w:sz w:val="24"/>
          <w:szCs w:val="24"/>
          <w:highlight w:val="none"/>
        </w:rPr>
        <w:t>① 分值汇总计算错误的；</w:t>
      </w:r>
    </w:p>
    <w:p w14:paraId="27300A5A">
      <w:pPr>
        <w:snapToGrid w:val="0"/>
        <w:ind w:firstLine="484" w:firstLineChars="202"/>
        <w:rPr>
          <w:rStyle w:val="44"/>
          <w:rFonts w:hint="eastAsia" w:ascii="宋体" w:hAnsi="宋体" w:eastAsia="宋体" w:cs="宋体"/>
          <w:color w:val="auto"/>
          <w:sz w:val="24"/>
          <w:szCs w:val="24"/>
          <w:highlight w:val="none"/>
        </w:rPr>
      </w:pPr>
      <w:r>
        <w:rPr>
          <w:rStyle w:val="44"/>
          <w:rFonts w:hint="eastAsia" w:ascii="宋体" w:hAnsi="宋体" w:eastAsia="宋体" w:cs="宋体"/>
          <w:color w:val="auto"/>
          <w:sz w:val="24"/>
          <w:szCs w:val="24"/>
          <w:highlight w:val="none"/>
        </w:rPr>
        <w:t>② 分项评分超出评分标准范围的；</w:t>
      </w:r>
    </w:p>
    <w:p w14:paraId="58CB87E4">
      <w:pPr>
        <w:snapToGrid w:val="0"/>
        <w:ind w:firstLine="484" w:firstLineChars="202"/>
        <w:rPr>
          <w:rStyle w:val="44"/>
          <w:rFonts w:hint="eastAsia" w:ascii="宋体" w:hAnsi="宋体" w:eastAsia="宋体" w:cs="宋体"/>
          <w:color w:val="auto"/>
          <w:sz w:val="24"/>
          <w:szCs w:val="24"/>
          <w:highlight w:val="none"/>
        </w:rPr>
      </w:pPr>
      <w:r>
        <w:rPr>
          <w:rStyle w:val="44"/>
          <w:rFonts w:hint="eastAsia" w:ascii="宋体" w:hAnsi="宋体" w:eastAsia="宋体" w:cs="宋体"/>
          <w:color w:val="auto"/>
          <w:sz w:val="24"/>
          <w:szCs w:val="24"/>
          <w:highlight w:val="none"/>
        </w:rPr>
        <w:t>③ 评标委员会成员对客观评审因素评分不一致的；</w:t>
      </w:r>
    </w:p>
    <w:p w14:paraId="4D03906D">
      <w:pPr>
        <w:snapToGrid w:val="0"/>
        <w:ind w:firstLine="484" w:firstLineChars="202"/>
        <w:rPr>
          <w:rStyle w:val="44"/>
          <w:rFonts w:hint="eastAsia" w:ascii="宋体" w:hAnsi="宋体" w:eastAsia="宋体" w:cs="宋体"/>
          <w:color w:val="auto"/>
          <w:sz w:val="24"/>
          <w:szCs w:val="24"/>
          <w:highlight w:val="none"/>
        </w:rPr>
      </w:pPr>
      <w:r>
        <w:rPr>
          <w:rStyle w:val="44"/>
          <w:rFonts w:hint="eastAsia" w:ascii="宋体" w:hAnsi="宋体" w:eastAsia="宋体" w:cs="宋体"/>
          <w:color w:val="auto"/>
          <w:sz w:val="24"/>
          <w:szCs w:val="24"/>
          <w:highlight w:val="none"/>
        </w:rPr>
        <w:t>④ 经评标委员会认定评分畸高、畸低的。</w:t>
      </w:r>
    </w:p>
    <w:p w14:paraId="2A7AD6F8">
      <w:pPr>
        <w:snapToGrid w:val="0"/>
        <w:ind w:firstLine="484" w:firstLineChars="202"/>
        <w:rPr>
          <w:rStyle w:val="44"/>
          <w:rFonts w:hint="eastAsia" w:ascii="宋体" w:hAnsi="宋体" w:eastAsia="宋体" w:cs="宋体"/>
          <w:color w:val="auto"/>
          <w:sz w:val="24"/>
          <w:szCs w:val="24"/>
          <w:highlight w:val="none"/>
        </w:rPr>
      </w:pPr>
      <w:r>
        <w:rPr>
          <w:rStyle w:val="44"/>
          <w:rFonts w:hint="eastAsia" w:ascii="宋体" w:hAnsi="宋体" w:eastAsia="宋体" w:cs="宋体"/>
          <w:color w:val="auto"/>
          <w:sz w:val="24"/>
          <w:szCs w:val="24"/>
          <w:highlight w:val="none"/>
        </w:rPr>
        <w:t>（9）评审工作完成后，按照规定向评审专家支付劳务报酬和异地评审差旅费，不得向评审专家以外的其他人员支付评审劳务报酬；</w:t>
      </w:r>
    </w:p>
    <w:p w14:paraId="3D9E7C08">
      <w:pPr>
        <w:snapToGrid w:val="0"/>
        <w:ind w:firstLine="484" w:firstLineChars="202"/>
        <w:rPr>
          <w:rStyle w:val="44"/>
          <w:rFonts w:hint="eastAsia" w:ascii="宋体" w:hAnsi="宋体" w:eastAsia="宋体" w:cs="宋体"/>
          <w:color w:val="auto"/>
          <w:sz w:val="24"/>
          <w:szCs w:val="24"/>
          <w:highlight w:val="none"/>
        </w:rPr>
      </w:pPr>
      <w:r>
        <w:rPr>
          <w:rStyle w:val="44"/>
          <w:rFonts w:hint="eastAsia" w:ascii="宋体" w:hAnsi="宋体" w:eastAsia="宋体" w:cs="宋体"/>
          <w:color w:val="auto"/>
          <w:sz w:val="24"/>
          <w:szCs w:val="24"/>
          <w:highlight w:val="none"/>
        </w:rPr>
        <w:t>（10）处理与评标有关的其他事项。</w:t>
      </w:r>
    </w:p>
    <w:p w14:paraId="11278419">
      <w:pPr>
        <w:snapToGrid w:val="0"/>
        <w:ind w:firstLine="484" w:firstLineChars="202"/>
        <w:rPr>
          <w:rStyle w:val="44"/>
          <w:rFonts w:hint="eastAsia" w:ascii="宋体" w:hAnsi="宋体" w:eastAsia="宋体" w:cs="宋体"/>
          <w:color w:val="auto"/>
          <w:sz w:val="24"/>
          <w:szCs w:val="24"/>
          <w:highlight w:val="none"/>
        </w:rPr>
      </w:pPr>
      <w:r>
        <w:rPr>
          <w:rStyle w:val="44"/>
          <w:rFonts w:hint="eastAsia" w:ascii="宋体" w:hAnsi="宋体" w:eastAsia="宋体" w:cs="宋体"/>
          <w:color w:val="auto"/>
          <w:sz w:val="24"/>
          <w:szCs w:val="24"/>
          <w:highlight w:val="none"/>
        </w:rPr>
        <w:t>4.评标委员会负责具体评标事务：</w:t>
      </w:r>
    </w:p>
    <w:p w14:paraId="6C235E89">
      <w:pPr>
        <w:snapToGrid w:val="0"/>
        <w:ind w:firstLine="484" w:firstLineChars="202"/>
        <w:rPr>
          <w:rStyle w:val="44"/>
          <w:rFonts w:hint="eastAsia" w:ascii="宋体" w:hAnsi="宋体" w:eastAsia="宋体" w:cs="宋体"/>
          <w:color w:val="auto"/>
          <w:sz w:val="24"/>
          <w:szCs w:val="24"/>
          <w:highlight w:val="none"/>
        </w:rPr>
      </w:pPr>
      <w:r>
        <w:rPr>
          <w:rStyle w:val="44"/>
          <w:rFonts w:hint="eastAsia" w:ascii="宋体" w:hAnsi="宋体" w:eastAsia="宋体" w:cs="宋体"/>
          <w:color w:val="auto"/>
          <w:sz w:val="24"/>
          <w:szCs w:val="24"/>
          <w:highlight w:val="none"/>
        </w:rPr>
        <w:t>（1）独立履行审查、评价合格投标供应商的投标文件是否符合招标文件的商务、技术等实质性要求并进行比较和评价；按照招标文件中规定的评标方法和标准，对符合性审查合格的投标文件进行商务和技术评估，综合比较与评价并依据招标文件载明的评标方法直接确定中标人。</w:t>
      </w:r>
    </w:p>
    <w:p w14:paraId="20849BAE">
      <w:pPr>
        <w:snapToGrid w:val="0"/>
        <w:ind w:firstLine="484" w:firstLineChars="202"/>
        <w:rPr>
          <w:rStyle w:val="44"/>
          <w:rFonts w:hint="eastAsia" w:ascii="宋体" w:hAnsi="宋体" w:eastAsia="宋体" w:cs="宋体"/>
          <w:color w:val="auto"/>
          <w:sz w:val="24"/>
          <w:szCs w:val="24"/>
          <w:highlight w:val="none"/>
        </w:rPr>
      </w:pPr>
      <w:r>
        <w:rPr>
          <w:rStyle w:val="44"/>
          <w:rFonts w:hint="eastAsia" w:ascii="宋体" w:hAnsi="宋体" w:eastAsia="宋体" w:cs="宋体"/>
          <w:color w:val="auto"/>
          <w:sz w:val="24"/>
          <w:szCs w:val="24"/>
          <w:highlight w:val="none"/>
        </w:rPr>
        <w:t>（2）对于投标文件中含义不明确、同类问题表述不一致或者有明显文字和计算错误的内容，评标委员会应当以书面形式要求投标供应商作出必要的澄清、说明或者补正。投标供应商的澄清、说明或者补正，应当采用书面形式由投标供应商代表签字，但不得超出招标文件的范围或者改变其实质性内容。</w:t>
      </w:r>
    </w:p>
    <w:p w14:paraId="4FC6F8E5">
      <w:pPr>
        <w:snapToGrid w:val="0"/>
        <w:ind w:firstLine="484" w:firstLineChars="202"/>
        <w:rPr>
          <w:rStyle w:val="44"/>
          <w:rFonts w:hint="eastAsia" w:ascii="宋体" w:hAnsi="宋体" w:eastAsia="宋体" w:cs="宋体"/>
          <w:color w:val="auto"/>
          <w:sz w:val="24"/>
          <w:szCs w:val="24"/>
          <w:highlight w:val="none"/>
        </w:rPr>
      </w:pPr>
      <w:r>
        <w:rPr>
          <w:rStyle w:val="44"/>
          <w:rFonts w:hint="eastAsia" w:ascii="宋体" w:hAnsi="宋体" w:eastAsia="宋体" w:cs="宋体"/>
          <w:color w:val="auto"/>
          <w:sz w:val="24"/>
          <w:szCs w:val="24"/>
          <w:highlight w:val="none"/>
        </w:rPr>
        <w:t>（3）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14:paraId="221C1493">
      <w:pPr>
        <w:snapToGrid w:val="0"/>
        <w:ind w:firstLine="484" w:firstLineChars="202"/>
        <w:rPr>
          <w:rStyle w:val="44"/>
          <w:rFonts w:hint="eastAsia" w:ascii="宋体" w:hAnsi="宋体" w:eastAsia="宋体" w:cs="宋体"/>
          <w:color w:val="auto"/>
          <w:sz w:val="24"/>
          <w:szCs w:val="24"/>
          <w:highlight w:val="none"/>
        </w:rPr>
      </w:pPr>
      <w:r>
        <w:rPr>
          <w:rStyle w:val="44"/>
          <w:rFonts w:hint="eastAsia" w:ascii="宋体" w:hAnsi="宋体" w:eastAsia="宋体" w:cs="宋体"/>
          <w:color w:val="auto"/>
          <w:sz w:val="24"/>
          <w:szCs w:val="24"/>
          <w:highlight w:val="none"/>
        </w:rPr>
        <w:t>5.评标委员会成员独立履行以下职责与义务：</w:t>
      </w:r>
    </w:p>
    <w:p w14:paraId="7EE1DC59">
      <w:pPr>
        <w:snapToGrid w:val="0"/>
        <w:ind w:firstLine="484" w:firstLineChars="202"/>
        <w:rPr>
          <w:rStyle w:val="44"/>
          <w:rFonts w:hint="eastAsia" w:ascii="宋体" w:hAnsi="宋体" w:eastAsia="宋体" w:cs="宋体"/>
          <w:color w:val="auto"/>
          <w:sz w:val="24"/>
          <w:szCs w:val="24"/>
          <w:highlight w:val="none"/>
        </w:rPr>
      </w:pPr>
      <w:r>
        <w:rPr>
          <w:rStyle w:val="44"/>
          <w:rFonts w:hint="eastAsia" w:ascii="宋体" w:hAnsi="宋体" w:eastAsia="宋体" w:cs="宋体"/>
          <w:color w:val="auto"/>
          <w:sz w:val="24"/>
          <w:szCs w:val="24"/>
          <w:highlight w:val="none"/>
        </w:rPr>
        <w:t>（1）遵纪守法，客观、公正、廉洁地履行职责；</w:t>
      </w:r>
    </w:p>
    <w:p w14:paraId="10D1B563">
      <w:pPr>
        <w:snapToGrid w:val="0"/>
        <w:ind w:firstLine="484" w:firstLineChars="202"/>
        <w:rPr>
          <w:rStyle w:val="44"/>
          <w:rFonts w:hint="eastAsia" w:ascii="宋体" w:hAnsi="宋体" w:eastAsia="宋体" w:cs="宋体"/>
          <w:color w:val="auto"/>
          <w:sz w:val="24"/>
          <w:szCs w:val="24"/>
          <w:highlight w:val="none"/>
        </w:rPr>
      </w:pPr>
      <w:r>
        <w:rPr>
          <w:rStyle w:val="44"/>
          <w:rFonts w:hint="eastAsia" w:ascii="宋体" w:hAnsi="宋体" w:eastAsia="宋体" w:cs="宋体"/>
          <w:color w:val="auto"/>
          <w:sz w:val="24"/>
          <w:szCs w:val="24"/>
          <w:highlight w:val="none"/>
        </w:rPr>
        <w:t>（2）审查合格投标供应商的投标文件是否实质性响应招标文件要求，并做出评价；</w:t>
      </w:r>
    </w:p>
    <w:p w14:paraId="51D994B2">
      <w:pPr>
        <w:snapToGrid w:val="0"/>
        <w:ind w:firstLine="484" w:firstLineChars="202"/>
        <w:rPr>
          <w:rStyle w:val="44"/>
          <w:rFonts w:hint="eastAsia" w:ascii="宋体" w:hAnsi="宋体" w:eastAsia="宋体" w:cs="宋体"/>
          <w:color w:val="auto"/>
          <w:sz w:val="24"/>
          <w:szCs w:val="24"/>
          <w:highlight w:val="none"/>
        </w:rPr>
      </w:pPr>
      <w:r>
        <w:rPr>
          <w:rStyle w:val="44"/>
          <w:rFonts w:hint="eastAsia" w:ascii="宋体" w:hAnsi="宋体" w:eastAsia="宋体" w:cs="宋体"/>
          <w:color w:val="auto"/>
          <w:sz w:val="24"/>
          <w:szCs w:val="24"/>
          <w:highlight w:val="none"/>
        </w:rPr>
        <w:t>（3）按照招标文件规定的评标办法和评标标准进行评标，对评审意见承担个人责任；</w:t>
      </w:r>
    </w:p>
    <w:p w14:paraId="47AE029C">
      <w:pPr>
        <w:snapToGrid w:val="0"/>
        <w:ind w:firstLine="484" w:firstLineChars="202"/>
        <w:rPr>
          <w:rStyle w:val="44"/>
          <w:rFonts w:hint="eastAsia" w:ascii="宋体" w:hAnsi="宋体" w:eastAsia="宋体" w:cs="宋体"/>
          <w:color w:val="auto"/>
          <w:sz w:val="24"/>
          <w:szCs w:val="24"/>
          <w:highlight w:val="none"/>
        </w:rPr>
      </w:pPr>
      <w:r>
        <w:rPr>
          <w:rStyle w:val="44"/>
          <w:rFonts w:hint="eastAsia" w:ascii="宋体" w:hAnsi="宋体" w:eastAsia="宋体" w:cs="宋体"/>
          <w:color w:val="auto"/>
          <w:sz w:val="24"/>
          <w:szCs w:val="24"/>
          <w:highlight w:val="none"/>
        </w:rPr>
        <w:t>（4）可以要求投标供应商对投标文件有关事项做出解释或澄清；</w:t>
      </w:r>
    </w:p>
    <w:p w14:paraId="1E52979F">
      <w:pPr>
        <w:snapToGrid w:val="0"/>
        <w:ind w:firstLine="484" w:firstLineChars="202"/>
        <w:rPr>
          <w:rStyle w:val="44"/>
          <w:rFonts w:hint="eastAsia" w:ascii="宋体" w:hAnsi="宋体" w:eastAsia="宋体" w:cs="宋体"/>
          <w:color w:val="auto"/>
          <w:sz w:val="24"/>
          <w:szCs w:val="24"/>
          <w:highlight w:val="none"/>
        </w:rPr>
      </w:pPr>
      <w:r>
        <w:rPr>
          <w:rStyle w:val="44"/>
          <w:rFonts w:hint="eastAsia" w:ascii="宋体" w:hAnsi="宋体" w:eastAsia="宋体" w:cs="宋体"/>
          <w:color w:val="auto"/>
          <w:sz w:val="24"/>
          <w:szCs w:val="24"/>
          <w:highlight w:val="none"/>
        </w:rPr>
        <w:t>（5）对评标过程和结果，以及投标供应商的商业秘密保密；</w:t>
      </w:r>
    </w:p>
    <w:p w14:paraId="5CAA699A">
      <w:pPr>
        <w:snapToGrid w:val="0"/>
        <w:ind w:firstLine="484" w:firstLineChars="202"/>
        <w:rPr>
          <w:rStyle w:val="44"/>
          <w:rFonts w:hint="eastAsia" w:ascii="宋体" w:hAnsi="宋体" w:eastAsia="宋体" w:cs="宋体"/>
          <w:color w:val="auto"/>
          <w:sz w:val="24"/>
          <w:szCs w:val="24"/>
          <w:highlight w:val="none"/>
        </w:rPr>
      </w:pPr>
      <w:r>
        <w:rPr>
          <w:rStyle w:val="44"/>
          <w:rFonts w:hint="eastAsia" w:ascii="宋体" w:hAnsi="宋体" w:eastAsia="宋体" w:cs="宋体"/>
          <w:color w:val="auto"/>
          <w:sz w:val="24"/>
          <w:szCs w:val="24"/>
          <w:highlight w:val="none"/>
        </w:rPr>
        <w:t>（6）配合相关部门的投诉处理工作；</w:t>
      </w:r>
    </w:p>
    <w:p w14:paraId="0BC7CE80">
      <w:pPr>
        <w:snapToGrid w:val="0"/>
        <w:ind w:firstLine="484" w:firstLineChars="202"/>
        <w:rPr>
          <w:rStyle w:val="44"/>
          <w:rFonts w:hint="eastAsia" w:ascii="宋体" w:hAnsi="宋体" w:eastAsia="宋体" w:cs="宋体"/>
          <w:color w:val="auto"/>
          <w:sz w:val="24"/>
          <w:szCs w:val="24"/>
          <w:highlight w:val="none"/>
        </w:rPr>
      </w:pPr>
      <w:r>
        <w:rPr>
          <w:rStyle w:val="44"/>
          <w:rFonts w:hint="eastAsia" w:ascii="宋体" w:hAnsi="宋体" w:eastAsia="宋体" w:cs="宋体"/>
          <w:color w:val="auto"/>
          <w:sz w:val="24"/>
          <w:szCs w:val="24"/>
          <w:highlight w:val="none"/>
        </w:rPr>
        <w:t>（7）配合采购人或采购代理机构答复投标供应商提出的质疑。</w:t>
      </w:r>
    </w:p>
    <w:p w14:paraId="4B013A4C">
      <w:pPr>
        <w:snapToGrid w:val="0"/>
        <w:ind w:firstLine="484" w:firstLineChars="202"/>
        <w:rPr>
          <w:rStyle w:val="44"/>
          <w:rFonts w:hint="eastAsia" w:ascii="宋体" w:hAnsi="宋体" w:eastAsia="宋体" w:cs="宋体"/>
          <w:color w:val="auto"/>
          <w:sz w:val="24"/>
          <w:szCs w:val="24"/>
          <w:highlight w:val="none"/>
        </w:rPr>
      </w:pPr>
      <w:r>
        <w:rPr>
          <w:rStyle w:val="44"/>
          <w:rFonts w:hint="eastAsia" w:ascii="宋体" w:hAnsi="宋体" w:eastAsia="宋体" w:cs="宋体"/>
          <w:color w:val="auto"/>
          <w:sz w:val="24"/>
          <w:szCs w:val="24"/>
          <w:highlight w:val="none"/>
        </w:rPr>
        <w:t>6.除采购人代表、评标现场组织人员外，采购人的其他工作人员以及与评标工作无关的人员不得进入评标现场；有关人员对评标情况以及在评标过程中获悉的国家秘密、商业秘密负有保密责任。</w:t>
      </w:r>
    </w:p>
    <w:p w14:paraId="3801CC2C">
      <w:pPr>
        <w:snapToGrid w:val="0"/>
        <w:ind w:firstLine="484" w:firstLineChars="202"/>
        <w:rPr>
          <w:rStyle w:val="44"/>
          <w:rFonts w:hint="eastAsia" w:ascii="宋体" w:hAnsi="宋体" w:eastAsia="宋体" w:cs="宋体"/>
          <w:color w:val="auto"/>
          <w:sz w:val="24"/>
          <w:szCs w:val="24"/>
          <w:highlight w:val="none"/>
        </w:rPr>
      </w:pPr>
      <w:r>
        <w:rPr>
          <w:rStyle w:val="44"/>
          <w:rFonts w:hint="eastAsia" w:ascii="宋体" w:hAnsi="宋体" w:eastAsia="宋体" w:cs="宋体"/>
          <w:color w:val="auto"/>
          <w:sz w:val="24"/>
          <w:szCs w:val="24"/>
          <w:highlight w:val="none"/>
        </w:rPr>
        <w:t>7.开标后直到公告项目中标结果发出中标通知书并授予中标人合同为止，凡属于评审、澄清、评价和比较投标的所有资料及有关授予合同等的相关信息，都不应向投标供应商或与评标无关的其他人泄露。</w:t>
      </w:r>
    </w:p>
    <w:p w14:paraId="6E0E7618">
      <w:pPr>
        <w:snapToGrid w:val="0"/>
        <w:ind w:firstLine="484" w:firstLineChars="202"/>
        <w:rPr>
          <w:rStyle w:val="44"/>
          <w:rFonts w:hint="eastAsia" w:ascii="宋体" w:hAnsi="宋体" w:eastAsia="宋体" w:cs="宋体"/>
          <w:color w:val="auto"/>
          <w:sz w:val="24"/>
          <w:szCs w:val="24"/>
          <w:highlight w:val="none"/>
        </w:rPr>
      </w:pPr>
      <w:r>
        <w:rPr>
          <w:rStyle w:val="44"/>
          <w:rFonts w:hint="eastAsia" w:ascii="宋体" w:hAnsi="宋体" w:eastAsia="宋体" w:cs="宋体"/>
          <w:color w:val="auto"/>
          <w:sz w:val="24"/>
          <w:szCs w:val="24"/>
          <w:highlight w:val="none"/>
        </w:rPr>
        <w:t>8.评审期间，合格投标供应商的投标文件仍有可能被评标委员会根据规定判为无效投标。</w:t>
      </w:r>
    </w:p>
    <w:p w14:paraId="76089B0B">
      <w:pPr>
        <w:snapToGrid w:val="0"/>
        <w:ind w:firstLine="484" w:firstLineChars="202"/>
        <w:rPr>
          <w:rStyle w:val="44"/>
          <w:rFonts w:hint="eastAsia" w:ascii="宋体" w:hAnsi="宋体" w:eastAsia="宋体" w:cs="宋体"/>
          <w:color w:val="auto"/>
          <w:sz w:val="24"/>
          <w:szCs w:val="24"/>
          <w:highlight w:val="none"/>
        </w:rPr>
      </w:pPr>
      <w:r>
        <w:rPr>
          <w:rStyle w:val="44"/>
          <w:rFonts w:hint="eastAsia" w:ascii="宋体" w:hAnsi="宋体" w:eastAsia="宋体" w:cs="宋体"/>
          <w:color w:val="auto"/>
          <w:sz w:val="24"/>
          <w:szCs w:val="24"/>
          <w:highlight w:val="none"/>
        </w:rPr>
        <w:t>9.在投标文件的评审、澄清、评价和比较以及授予合同的过程中，投标供应商对采购人和评标委员会成员有施加影响的任何行为，都将取消其可能的中标资格。</w:t>
      </w:r>
    </w:p>
    <w:p w14:paraId="7655C748">
      <w:pPr>
        <w:snapToGrid w:val="0"/>
        <w:ind w:firstLine="487" w:firstLineChars="202"/>
        <w:rPr>
          <w:rStyle w:val="44"/>
          <w:rFonts w:hint="eastAsia" w:ascii="宋体" w:hAnsi="宋体" w:eastAsia="宋体" w:cs="宋体"/>
          <w:b/>
          <w:bCs/>
          <w:color w:val="auto"/>
          <w:sz w:val="24"/>
          <w:szCs w:val="24"/>
          <w:highlight w:val="none"/>
        </w:rPr>
      </w:pPr>
      <w:r>
        <w:rPr>
          <w:rStyle w:val="44"/>
          <w:rFonts w:hint="eastAsia" w:ascii="宋体" w:hAnsi="宋体" w:eastAsia="宋体" w:cs="宋体"/>
          <w:b/>
          <w:bCs/>
          <w:color w:val="auto"/>
          <w:sz w:val="24"/>
          <w:szCs w:val="24"/>
          <w:highlight w:val="none"/>
        </w:rPr>
        <w:t>五、评审原则</w:t>
      </w:r>
    </w:p>
    <w:p w14:paraId="09B40B1F">
      <w:pPr>
        <w:snapToGrid w:val="0"/>
        <w:ind w:firstLine="484" w:firstLineChars="202"/>
        <w:rPr>
          <w:rStyle w:val="44"/>
          <w:rFonts w:hint="eastAsia" w:ascii="宋体" w:hAnsi="宋体" w:eastAsia="宋体" w:cs="宋体"/>
          <w:color w:val="auto"/>
          <w:sz w:val="24"/>
          <w:szCs w:val="24"/>
          <w:highlight w:val="none"/>
        </w:rPr>
      </w:pPr>
      <w:r>
        <w:rPr>
          <w:rStyle w:val="44"/>
          <w:rFonts w:hint="eastAsia" w:ascii="宋体" w:hAnsi="宋体" w:eastAsia="宋体" w:cs="宋体"/>
          <w:color w:val="auto"/>
          <w:sz w:val="24"/>
          <w:szCs w:val="24"/>
          <w:highlight w:val="none"/>
        </w:rPr>
        <w:t>1.本项目采用</w:t>
      </w:r>
      <w:r>
        <w:rPr>
          <w:rStyle w:val="44"/>
          <w:rFonts w:hint="eastAsia" w:ascii="宋体" w:hAnsi="宋体" w:eastAsia="宋体" w:cs="宋体"/>
          <w:color w:val="auto"/>
          <w:sz w:val="24"/>
          <w:szCs w:val="24"/>
          <w:highlight w:val="none"/>
          <w:u w:val="single" w:color="000000"/>
        </w:rPr>
        <w:t xml:space="preserve">  </w:t>
      </w:r>
      <w:r>
        <w:rPr>
          <w:rStyle w:val="44"/>
          <w:rFonts w:hint="eastAsia" w:ascii="宋体" w:hAnsi="宋体" w:eastAsia="宋体" w:cs="宋体"/>
          <w:b/>
          <w:color w:val="auto"/>
          <w:sz w:val="24"/>
          <w:szCs w:val="24"/>
          <w:highlight w:val="none"/>
          <w:u w:val="single" w:color="000000"/>
        </w:rPr>
        <w:t>综合评分法</w:t>
      </w:r>
      <w:r>
        <w:rPr>
          <w:rStyle w:val="44"/>
          <w:rFonts w:hint="eastAsia" w:ascii="宋体" w:hAnsi="宋体" w:eastAsia="宋体" w:cs="宋体"/>
          <w:color w:val="auto"/>
          <w:sz w:val="24"/>
          <w:szCs w:val="24"/>
          <w:highlight w:val="none"/>
          <w:u w:val="single" w:color="000000"/>
        </w:rPr>
        <w:t xml:space="preserve"> </w:t>
      </w:r>
      <w:r>
        <w:rPr>
          <w:rStyle w:val="44"/>
          <w:rFonts w:hint="eastAsia" w:ascii="宋体" w:hAnsi="宋体" w:eastAsia="宋体" w:cs="宋体"/>
          <w:color w:val="auto"/>
          <w:sz w:val="24"/>
          <w:szCs w:val="24"/>
          <w:highlight w:val="none"/>
        </w:rPr>
        <w:t>，即指投标文件满足本项目招标文件全部实质性要求，且按照评审因素的量化指标，经评审后得分最高的投标供应商推荐为中标人的评标方法。</w:t>
      </w:r>
    </w:p>
    <w:p w14:paraId="6E768967">
      <w:pPr>
        <w:snapToGrid w:val="0"/>
        <w:ind w:firstLine="484" w:firstLineChars="202"/>
        <w:rPr>
          <w:rStyle w:val="44"/>
          <w:rFonts w:hint="eastAsia" w:ascii="宋体" w:hAnsi="宋体" w:eastAsia="宋体" w:cs="宋体"/>
          <w:color w:val="auto"/>
          <w:sz w:val="24"/>
          <w:szCs w:val="24"/>
          <w:highlight w:val="none"/>
        </w:rPr>
      </w:pPr>
      <w:r>
        <w:rPr>
          <w:rStyle w:val="44"/>
          <w:rFonts w:hint="eastAsia" w:ascii="宋体" w:hAnsi="宋体" w:eastAsia="宋体" w:cs="宋体"/>
          <w:color w:val="auto"/>
          <w:sz w:val="24"/>
          <w:szCs w:val="24"/>
          <w:highlight w:val="none"/>
        </w:rPr>
        <w:t>2.评标委员会成员：对符合资格的投标供应商的投标文件进行符合性审查，以确定其是否满足招标文件的实质性要求；按照招标文件中规定的评标方法和标准，对符合性审查合格的投标文件进行商务和技术评估，综合比较与评价。</w:t>
      </w:r>
    </w:p>
    <w:p w14:paraId="042CB5B5">
      <w:pPr>
        <w:snapToGrid w:val="0"/>
        <w:ind w:firstLine="484" w:firstLineChars="202"/>
        <w:rPr>
          <w:rStyle w:val="44"/>
          <w:rFonts w:hint="eastAsia" w:ascii="宋体" w:hAnsi="宋体" w:eastAsia="宋体" w:cs="宋体"/>
          <w:color w:val="auto"/>
          <w:sz w:val="24"/>
          <w:szCs w:val="24"/>
          <w:highlight w:val="none"/>
        </w:rPr>
      </w:pPr>
      <w:r>
        <w:rPr>
          <w:rStyle w:val="44"/>
          <w:rFonts w:hint="eastAsia" w:ascii="宋体" w:hAnsi="宋体" w:eastAsia="宋体" w:cs="宋体"/>
          <w:color w:val="auto"/>
          <w:sz w:val="24"/>
          <w:szCs w:val="24"/>
          <w:highlight w:val="none"/>
        </w:rPr>
        <w:t>3.评标委员会严格按照招标文件规定的要求、条件、评分标准，对投标供应商所提供的完整计划标的物的科学性、可行性、产品质量、服务质量的保证及承诺等实质性响应内容进行比较评价。</w:t>
      </w:r>
    </w:p>
    <w:p w14:paraId="4CD044C7">
      <w:pPr>
        <w:snapToGrid w:val="0"/>
        <w:ind w:firstLine="484" w:firstLineChars="202"/>
        <w:rPr>
          <w:rStyle w:val="44"/>
          <w:rFonts w:hint="eastAsia" w:ascii="宋体" w:hAnsi="宋体" w:eastAsia="宋体" w:cs="宋体"/>
          <w:color w:val="auto"/>
          <w:sz w:val="24"/>
          <w:szCs w:val="24"/>
          <w:highlight w:val="none"/>
        </w:rPr>
      </w:pPr>
      <w:r>
        <w:rPr>
          <w:rStyle w:val="44"/>
          <w:rFonts w:hint="eastAsia" w:ascii="宋体" w:hAnsi="宋体" w:eastAsia="宋体" w:cs="宋体"/>
          <w:color w:val="auto"/>
          <w:sz w:val="24"/>
          <w:szCs w:val="24"/>
          <w:highlight w:val="none"/>
        </w:rPr>
        <w:t>4.对投标文件的评审判定，只依据投标文件内容本身，不依靠开标后任何外来证明文件。</w:t>
      </w:r>
    </w:p>
    <w:p w14:paraId="021BAEF6">
      <w:pPr>
        <w:snapToGrid w:val="0"/>
        <w:ind w:firstLine="487" w:firstLineChars="202"/>
        <w:rPr>
          <w:rStyle w:val="44"/>
          <w:rFonts w:hint="eastAsia" w:ascii="宋体" w:hAnsi="宋体" w:eastAsia="宋体" w:cs="宋体"/>
          <w:b/>
          <w:bCs/>
          <w:color w:val="auto"/>
          <w:sz w:val="24"/>
          <w:szCs w:val="24"/>
          <w:highlight w:val="none"/>
        </w:rPr>
      </w:pPr>
      <w:r>
        <w:rPr>
          <w:rStyle w:val="44"/>
          <w:rFonts w:hint="eastAsia" w:ascii="宋体" w:hAnsi="宋体" w:eastAsia="宋体" w:cs="宋体"/>
          <w:b/>
          <w:bCs/>
          <w:color w:val="auto"/>
          <w:sz w:val="24"/>
          <w:szCs w:val="24"/>
          <w:highlight w:val="none"/>
        </w:rPr>
        <w:t>六、评审方法</w:t>
      </w:r>
    </w:p>
    <w:p w14:paraId="7F214F99">
      <w:pPr>
        <w:snapToGrid w:val="0"/>
        <w:ind w:firstLine="484" w:firstLineChars="202"/>
        <w:rPr>
          <w:rStyle w:val="44"/>
          <w:rFonts w:hint="eastAsia" w:ascii="宋体" w:hAnsi="宋体" w:eastAsia="宋体" w:cs="宋体"/>
          <w:color w:val="auto"/>
          <w:sz w:val="24"/>
          <w:szCs w:val="24"/>
          <w:highlight w:val="none"/>
        </w:rPr>
      </w:pPr>
      <w:r>
        <w:rPr>
          <w:rStyle w:val="44"/>
          <w:rFonts w:hint="eastAsia" w:ascii="宋体" w:hAnsi="宋体" w:eastAsia="宋体" w:cs="宋体"/>
          <w:color w:val="auto"/>
          <w:sz w:val="24"/>
          <w:szCs w:val="24"/>
          <w:highlight w:val="none"/>
        </w:rPr>
        <w:t>1.评标程序：</w:t>
      </w:r>
    </w:p>
    <w:p w14:paraId="75F8DD93">
      <w:pPr>
        <w:snapToGrid w:val="0"/>
        <w:ind w:firstLine="484" w:firstLineChars="202"/>
        <w:rPr>
          <w:rStyle w:val="44"/>
          <w:rFonts w:hint="eastAsia" w:ascii="宋体" w:hAnsi="宋体" w:eastAsia="宋体" w:cs="宋体"/>
          <w:color w:val="auto"/>
          <w:sz w:val="24"/>
          <w:szCs w:val="24"/>
          <w:highlight w:val="none"/>
        </w:rPr>
      </w:pPr>
      <w:r>
        <w:rPr>
          <w:rStyle w:val="44"/>
          <w:rFonts w:hint="eastAsia" w:ascii="宋体" w:hAnsi="宋体" w:eastAsia="宋体" w:cs="宋体"/>
          <w:color w:val="auto"/>
          <w:sz w:val="24"/>
          <w:szCs w:val="24"/>
          <w:highlight w:val="none"/>
        </w:rPr>
        <w:t>资格符合性评审——商务技术文件评审——报价文件评审——确定中标候选人。</w:t>
      </w:r>
    </w:p>
    <w:p w14:paraId="7342C716">
      <w:pPr>
        <w:snapToGrid w:val="0"/>
        <w:ind w:firstLine="484" w:firstLineChars="202"/>
        <w:rPr>
          <w:rStyle w:val="44"/>
          <w:rFonts w:hint="eastAsia" w:ascii="宋体" w:hAnsi="宋体" w:eastAsia="宋体" w:cs="宋体"/>
          <w:color w:val="auto"/>
          <w:sz w:val="24"/>
          <w:szCs w:val="24"/>
          <w:highlight w:val="none"/>
        </w:rPr>
      </w:pPr>
      <w:r>
        <w:rPr>
          <w:rStyle w:val="44"/>
          <w:rFonts w:hint="eastAsia" w:ascii="宋体" w:hAnsi="宋体" w:eastAsia="宋体" w:cs="宋体"/>
          <w:color w:val="auto"/>
          <w:sz w:val="24"/>
          <w:szCs w:val="24"/>
          <w:highlight w:val="none"/>
        </w:rPr>
        <w:t>本次资格审查采用资格后审，各投标供应商资格审查通过后方能进入商务技术文件的开标。先开商务技术文件，商务技术文件打分结束后再开报价文件。</w:t>
      </w:r>
    </w:p>
    <w:p w14:paraId="6B0C0FB9">
      <w:pPr>
        <w:snapToGrid w:val="0"/>
        <w:ind w:firstLine="484" w:firstLineChars="202"/>
        <w:rPr>
          <w:rStyle w:val="44"/>
          <w:rFonts w:hint="eastAsia" w:ascii="宋体" w:hAnsi="宋体" w:eastAsia="宋体" w:cs="宋体"/>
          <w:color w:val="auto"/>
          <w:sz w:val="24"/>
          <w:szCs w:val="24"/>
          <w:highlight w:val="none"/>
        </w:rPr>
      </w:pPr>
      <w:r>
        <w:rPr>
          <w:rStyle w:val="44"/>
          <w:rFonts w:hint="eastAsia" w:ascii="宋体" w:hAnsi="宋体" w:eastAsia="宋体" w:cs="宋体"/>
          <w:color w:val="auto"/>
          <w:sz w:val="24"/>
          <w:szCs w:val="24"/>
          <w:highlight w:val="none"/>
        </w:rPr>
        <w:t>2.评标委员会将仅对按本招标文件载明的方法与规定，为实质上响应招标文件要求的投标文件评审并进行评价和比较。</w:t>
      </w:r>
    </w:p>
    <w:p w14:paraId="79819DB4">
      <w:pPr>
        <w:snapToGrid w:val="0"/>
        <w:ind w:firstLine="484" w:firstLineChars="202"/>
        <w:rPr>
          <w:rStyle w:val="44"/>
          <w:rFonts w:hint="eastAsia" w:ascii="宋体" w:hAnsi="宋体" w:eastAsia="宋体" w:cs="宋体"/>
          <w:color w:val="auto"/>
          <w:sz w:val="24"/>
          <w:szCs w:val="24"/>
          <w:highlight w:val="none"/>
        </w:rPr>
      </w:pPr>
      <w:r>
        <w:rPr>
          <w:rStyle w:val="44"/>
          <w:rFonts w:hint="eastAsia" w:ascii="宋体" w:hAnsi="宋体" w:eastAsia="宋体" w:cs="宋体"/>
          <w:color w:val="auto"/>
          <w:sz w:val="24"/>
          <w:szCs w:val="24"/>
          <w:highlight w:val="none"/>
        </w:rPr>
        <w:t>3.本次项目的商务技术文件和报价文件评审总分值为100分。两部分评审因素比重如下：</w:t>
      </w:r>
    </w:p>
    <w:p w14:paraId="773FE735">
      <w:pPr>
        <w:snapToGrid w:val="0"/>
        <w:ind w:firstLine="484" w:firstLineChars="202"/>
        <w:rPr>
          <w:rStyle w:val="44"/>
          <w:rFonts w:hint="eastAsia" w:ascii="宋体" w:hAnsi="宋体" w:eastAsia="宋体" w:cs="宋体"/>
          <w:color w:val="auto"/>
          <w:sz w:val="24"/>
          <w:szCs w:val="24"/>
          <w:highlight w:val="none"/>
        </w:rPr>
      </w:pPr>
      <w:r>
        <w:rPr>
          <w:rStyle w:val="44"/>
          <w:rFonts w:hint="eastAsia" w:ascii="宋体" w:hAnsi="宋体" w:eastAsia="宋体" w:cs="宋体"/>
          <w:color w:val="auto"/>
          <w:sz w:val="24"/>
          <w:szCs w:val="24"/>
          <w:highlight w:val="none"/>
        </w:rPr>
        <w:t>商务技术文件分值占总分值的比重为</w:t>
      </w:r>
      <w:r>
        <w:rPr>
          <w:rStyle w:val="44"/>
          <w:rFonts w:hint="eastAsia" w:ascii="宋体" w:hAnsi="宋体" w:eastAsia="宋体" w:cs="宋体"/>
          <w:color w:val="auto"/>
          <w:sz w:val="24"/>
          <w:szCs w:val="24"/>
          <w:highlight w:val="none"/>
          <w:u w:val="single" w:color="000000"/>
        </w:rPr>
        <w:t>70%（权重）</w:t>
      </w:r>
      <w:r>
        <w:rPr>
          <w:rStyle w:val="44"/>
          <w:rFonts w:hint="eastAsia" w:ascii="宋体" w:hAnsi="宋体" w:eastAsia="宋体" w:cs="宋体"/>
          <w:color w:val="auto"/>
          <w:sz w:val="24"/>
          <w:szCs w:val="24"/>
          <w:highlight w:val="none"/>
        </w:rPr>
        <w:t>（计算结果均四舍五入保留两位小数）；</w:t>
      </w:r>
    </w:p>
    <w:p w14:paraId="6D72C190">
      <w:pPr>
        <w:snapToGrid w:val="0"/>
        <w:ind w:firstLine="484" w:firstLineChars="202"/>
        <w:rPr>
          <w:rStyle w:val="44"/>
          <w:rFonts w:hint="eastAsia" w:ascii="宋体" w:hAnsi="宋体" w:eastAsia="宋体" w:cs="宋体"/>
          <w:color w:val="auto"/>
          <w:sz w:val="24"/>
          <w:szCs w:val="24"/>
          <w:highlight w:val="none"/>
        </w:rPr>
      </w:pPr>
      <w:r>
        <w:rPr>
          <w:rStyle w:val="44"/>
          <w:rFonts w:hint="eastAsia" w:ascii="宋体" w:hAnsi="宋体" w:eastAsia="宋体" w:cs="宋体"/>
          <w:color w:val="auto"/>
          <w:sz w:val="24"/>
          <w:szCs w:val="24"/>
          <w:highlight w:val="none"/>
        </w:rPr>
        <w:t>报价文件分值占总分值的比重为</w:t>
      </w:r>
      <w:r>
        <w:rPr>
          <w:rStyle w:val="44"/>
          <w:rFonts w:hint="eastAsia" w:ascii="宋体" w:hAnsi="宋体" w:eastAsia="宋体" w:cs="宋体"/>
          <w:color w:val="auto"/>
          <w:sz w:val="24"/>
          <w:szCs w:val="24"/>
          <w:highlight w:val="none"/>
          <w:u w:val="single" w:color="000000"/>
        </w:rPr>
        <w:t>30%（权重）</w:t>
      </w:r>
      <w:r>
        <w:rPr>
          <w:rStyle w:val="44"/>
          <w:rFonts w:hint="eastAsia" w:ascii="宋体" w:hAnsi="宋体" w:eastAsia="宋体" w:cs="宋体"/>
          <w:color w:val="auto"/>
          <w:sz w:val="24"/>
          <w:szCs w:val="24"/>
          <w:highlight w:val="none"/>
        </w:rPr>
        <w:t>（计算结果均四舍五入保留两位小数）；</w:t>
      </w:r>
    </w:p>
    <w:p w14:paraId="48AC6FD6">
      <w:pPr>
        <w:snapToGrid w:val="0"/>
        <w:ind w:firstLine="484" w:firstLineChars="202"/>
        <w:rPr>
          <w:rStyle w:val="44"/>
          <w:rFonts w:hint="eastAsia" w:ascii="宋体" w:hAnsi="宋体" w:eastAsia="宋体" w:cs="宋体"/>
          <w:color w:val="auto"/>
          <w:sz w:val="24"/>
          <w:szCs w:val="24"/>
          <w:highlight w:val="none"/>
        </w:rPr>
      </w:pPr>
      <w:r>
        <w:rPr>
          <w:rStyle w:val="44"/>
          <w:rFonts w:hint="eastAsia" w:ascii="宋体" w:hAnsi="宋体" w:eastAsia="宋体" w:cs="宋体"/>
          <w:color w:val="auto"/>
          <w:sz w:val="24"/>
          <w:szCs w:val="24"/>
          <w:highlight w:val="none"/>
        </w:rPr>
        <w:t>4.评标委员会严格按照招标文件的要求、条件、评分标准，对投标供应商所提供货物或服务的先进性、可靠性、售后服务承诺、质量保证承诺等实质性响应内容进行比较。</w:t>
      </w:r>
    </w:p>
    <w:p w14:paraId="5BE4575E">
      <w:pPr>
        <w:snapToGrid w:val="0"/>
        <w:ind w:firstLine="484" w:firstLineChars="202"/>
        <w:rPr>
          <w:rStyle w:val="44"/>
          <w:rFonts w:hint="eastAsia" w:ascii="宋体" w:hAnsi="宋体" w:eastAsia="宋体" w:cs="宋体"/>
          <w:color w:val="auto"/>
          <w:sz w:val="24"/>
          <w:szCs w:val="24"/>
          <w:highlight w:val="none"/>
        </w:rPr>
      </w:pPr>
      <w:r>
        <w:rPr>
          <w:rStyle w:val="44"/>
          <w:rFonts w:hint="eastAsia" w:ascii="宋体" w:hAnsi="宋体" w:eastAsia="宋体" w:cs="宋体"/>
          <w:color w:val="auto"/>
          <w:sz w:val="24"/>
          <w:szCs w:val="24"/>
          <w:highlight w:val="none"/>
        </w:rPr>
        <w:t>5.评标委员会各成员独立对每个进入打分程序的有效投标供应商的投标文件的技术部分以打分的形式进行评审和评价。</w:t>
      </w:r>
    </w:p>
    <w:p w14:paraId="55FFF290">
      <w:pPr>
        <w:snapToGrid w:val="0"/>
        <w:ind w:firstLine="484" w:firstLineChars="202"/>
        <w:rPr>
          <w:rStyle w:val="44"/>
          <w:rFonts w:hint="eastAsia" w:ascii="宋体" w:hAnsi="宋体" w:eastAsia="宋体" w:cs="宋体"/>
          <w:color w:val="auto"/>
          <w:sz w:val="24"/>
          <w:szCs w:val="24"/>
          <w:highlight w:val="none"/>
        </w:rPr>
      </w:pPr>
      <w:r>
        <w:rPr>
          <w:rStyle w:val="44"/>
          <w:rFonts w:hint="eastAsia" w:ascii="宋体" w:hAnsi="宋体" w:eastAsia="宋体" w:cs="宋体"/>
          <w:color w:val="auto"/>
          <w:sz w:val="24"/>
          <w:szCs w:val="24"/>
          <w:highlight w:val="none"/>
        </w:rPr>
        <w:t>6.技术分按算术平均值计算（计算结果均四舍五入保留两位小数）。</w:t>
      </w:r>
    </w:p>
    <w:p w14:paraId="2D93AA38">
      <w:pPr>
        <w:snapToGrid w:val="0"/>
        <w:ind w:firstLine="484" w:firstLineChars="202"/>
        <w:rPr>
          <w:rStyle w:val="44"/>
          <w:rFonts w:hint="eastAsia" w:ascii="宋体" w:hAnsi="宋体" w:eastAsia="宋体" w:cs="宋体"/>
          <w:color w:val="auto"/>
          <w:sz w:val="24"/>
          <w:szCs w:val="24"/>
          <w:highlight w:val="none"/>
        </w:rPr>
      </w:pPr>
      <w:r>
        <w:rPr>
          <w:rStyle w:val="44"/>
          <w:rFonts w:hint="eastAsia" w:ascii="宋体" w:hAnsi="宋体" w:eastAsia="宋体" w:cs="宋体"/>
          <w:color w:val="auto"/>
          <w:sz w:val="24"/>
          <w:szCs w:val="24"/>
          <w:highlight w:val="none"/>
        </w:rPr>
        <w:t>7.开启投标供应商的报价文件，现场唱标后由投标供应商代表签名确认。</w:t>
      </w:r>
    </w:p>
    <w:p w14:paraId="65A2B0E3">
      <w:pPr>
        <w:snapToGrid w:val="0"/>
        <w:ind w:firstLine="484" w:firstLineChars="202"/>
        <w:rPr>
          <w:rStyle w:val="44"/>
          <w:rFonts w:hint="eastAsia" w:ascii="宋体" w:hAnsi="宋体" w:eastAsia="宋体" w:cs="宋体"/>
          <w:color w:val="auto"/>
          <w:sz w:val="24"/>
          <w:szCs w:val="24"/>
          <w:highlight w:val="none"/>
        </w:rPr>
      </w:pPr>
      <w:r>
        <w:rPr>
          <w:rStyle w:val="44"/>
          <w:rFonts w:hint="eastAsia" w:ascii="宋体" w:hAnsi="宋体" w:eastAsia="宋体" w:cs="宋体"/>
          <w:color w:val="auto"/>
          <w:sz w:val="24"/>
          <w:szCs w:val="24"/>
          <w:highlight w:val="none"/>
        </w:rPr>
        <w:t>8.投标供应商的报价文件评审得分直接计算取得，并与其商务技术文件得分相加为该投标供应商的综合得分（计算结果均四舍五入保留两位小数）。</w:t>
      </w:r>
    </w:p>
    <w:p w14:paraId="126A2B18">
      <w:pPr>
        <w:snapToGrid w:val="0"/>
        <w:ind w:firstLine="484" w:firstLineChars="202"/>
        <w:rPr>
          <w:rStyle w:val="44"/>
          <w:rFonts w:hint="eastAsia" w:ascii="宋体" w:hAnsi="宋体" w:eastAsia="宋体" w:cs="宋体"/>
          <w:color w:val="auto"/>
          <w:sz w:val="24"/>
          <w:szCs w:val="24"/>
          <w:highlight w:val="none"/>
        </w:rPr>
      </w:pPr>
      <w:r>
        <w:rPr>
          <w:rStyle w:val="44"/>
          <w:rFonts w:hint="eastAsia" w:ascii="宋体" w:hAnsi="宋体" w:eastAsia="宋体" w:cs="宋体"/>
          <w:color w:val="auto"/>
          <w:sz w:val="24"/>
          <w:szCs w:val="24"/>
          <w:highlight w:val="none"/>
        </w:rPr>
        <w:t>9.评审后的综合得分相同的，按报价文件得分由高到低顺序排列。综合得分且报价文件得分相同的，则采取现场抽签的方式确定（投标供应商的抽签顺序分别为各投标供应商递交投标文件签到顺序号）</w:t>
      </w:r>
    </w:p>
    <w:p w14:paraId="19EFB9AF">
      <w:pPr>
        <w:snapToGrid w:val="0"/>
        <w:ind w:firstLine="484" w:firstLineChars="202"/>
        <w:rPr>
          <w:rStyle w:val="44"/>
          <w:rFonts w:hint="eastAsia" w:ascii="宋体" w:hAnsi="宋体" w:eastAsia="宋体" w:cs="宋体"/>
          <w:color w:val="auto"/>
          <w:sz w:val="24"/>
          <w:szCs w:val="24"/>
          <w:highlight w:val="none"/>
        </w:rPr>
      </w:pPr>
      <w:r>
        <w:rPr>
          <w:rStyle w:val="44"/>
          <w:rFonts w:hint="eastAsia" w:ascii="宋体" w:hAnsi="宋体" w:eastAsia="宋体" w:cs="宋体"/>
          <w:color w:val="auto"/>
          <w:sz w:val="24"/>
          <w:szCs w:val="24"/>
          <w:highlight w:val="none"/>
        </w:rPr>
        <w:t>10.评标结果按投标文件满足招标文件全部实质性要求，且按照评审因素的量化指标评审综合得分最高的投标供应商，排名第一的确定为第一中标候选人，出具评审报告并将结果通知所有投标供应商。</w:t>
      </w:r>
    </w:p>
    <w:p w14:paraId="558B5815">
      <w:pPr>
        <w:snapToGrid w:val="0"/>
        <w:ind w:firstLine="487" w:firstLineChars="202"/>
        <w:rPr>
          <w:rStyle w:val="44"/>
          <w:rFonts w:hint="eastAsia" w:ascii="宋体" w:hAnsi="宋体" w:eastAsia="宋体" w:cs="宋体"/>
          <w:b/>
          <w:color w:val="auto"/>
          <w:sz w:val="24"/>
          <w:szCs w:val="24"/>
          <w:highlight w:val="none"/>
        </w:rPr>
      </w:pPr>
      <w:r>
        <w:rPr>
          <w:rStyle w:val="44"/>
          <w:rFonts w:hint="eastAsia" w:ascii="宋体" w:hAnsi="宋体" w:eastAsia="宋体" w:cs="宋体"/>
          <w:b/>
          <w:color w:val="auto"/>
          <w:sz w:val="24"/>
          <w:szCs w:val="24"/>
          <w:highlight w:val="none"/>
        </w:rPr>
        <w:t>七、关于投标价格评审</w:t>
      </w:r>
    </w:p>
    <w:p w14:paraId="2E5D7686">
      <w:pPr>
        <w:snapToGrid w:val="0"/>
        <w:ind w:firstLine="480" w:firstLineChars="200"/>
        <w:rPr>
          <w:rStyle w:val="44"/>
          <w:rFonts w:hint="eastAsia" w:ascii="宋体" w:hAnsi="宋体" w:eastAsia="宋体" w:cs="宋体"/>
          <w:color w:val="auto"/>
          <w:sz w:val="24"/>
          <w:szCs w:val="24"/>
          <w:highlight w:val="none"/>
        </w:rPr>
      </w:pPr>
      <w:r>
        <w:rPr>
          <w:rStyle w:val="44"/>
          <w:rFonts w:hint="eastAsia" w:ascii="宋体" w:hAnsi="宋体" w:eastAsia="宋体" w:cs="宋体"/>
          <w:color w:val="auto"/>
          <w:sz w:val="24"/>
          <w:szCs w:val="24"/>
          <w:highlight w:val="none"/>
        </w:rPr>
        <w:t>1.针对投标价格实质响应的评审</w:t>
      </w:r>
    </w:p>
    <w:p w14:paraId="10085D63">
      <w:pPr>
        <w:snapToGrid w:val="0"/>
        <w:ind w:firstLine="484" w:firstLineChars="202"/>
        <w:rPr>
          <w:rStyle w:val="44"/>
          <w:rFonts w:hint="eastAsia" w:ascii="宋体" w:hAnsi="宋体" w:eastAsia="宋体" w:cs="宋体"/>
          <w:color w:val="auto"/>
          <w:sz w:val="24"/>
          <w:szCs w:val="24"/>
          <w:highlight w:val="none"/>
        </w:rPr>
      </w:pPr>
      <w:r>
        <w:rPr>
          <w:rStyle w:val="44"/>
          <w:rFonts w:hint="eastAsia" w:ascii="宋体" w:hAnsi="宋体" w:eastAsia="宋体" w:cs="宋体"/>
          <w:color w:val="auto"/>
          <w:sz w:val="24"/>
          <w:szCs w:val="24"/>
          <w:highlight w:val="none"/>
        </w:rPr>
        <w:t>评标委员会将审查每份投标文件的报价是否实质上响应了招标文件的要求。实质上响应的投标应该是与招标文件要求的全部条款、条件和规格相符，没有重大偏离或保留。所谓重大偏离或保留是指实质上影响合同的供货范围、质量和性能，或者实质上与招标文件的要求不一致。纠正这些偏离或保留将会对其他实质上响应要求的投标供应商的竞争地位产生不公正的影响。如未实质上响应 ，则按无效投标处理。</w:t>
      </w:r>
    </w:p>
    <w:p w14:paraId="6E3F2061">
      <w:pPr>
        <w:snapToGrid w:val="0"/>
        <w:ind w:firstLine="484" w:firstLineChars="202"/>
        <w:rPr>
          <w:rStyle w:val="44"/>
          <w:rFonts w:hint="eastAsia" w:ascii="宋体" w:hAnsi="宋体" w:eastAsia="宋体" w:cs="宋体"/>
          <w:color w:val="auto"/>
          <w:sz w:val="24"/>
          <w:szCs w:val="24"/>
          <w:highlight w:val="none"/>
        </w:rPr>
      </w:pPr>
      <w:r>
        <w:rPr>
          <w:rStyle w:val="44"/>
          <w:rFonts w:hint="eastAsia" w:ascii="宋体" w:hAnsi="宋体" w:eastAsia="宋体" w:cs="宋体"/>
          <w:color w:val="auto"/>
          <w:sz w:val="24"/>
          <w:szCs w:val="24"/>
          <w:highlight w:val="none"/>
        </w:rPr>
        <w:t>2.评审过程中出现下列情形之一的，评标委员会应当启动异常低价响应审查程序：</w:t>
      </w:r>
    </w:p>
    <w:p w14:paraId="0F0FDB8A">
      <w:pPr>
        <w:snapToGrid w:val="0"/>
        <w:ind w:firstLine="484" w:firstLineChars="202"/>
        <w:rPr>
          <w:rStyle w:val="44"/>
          <w:rFonts w:hint="eastAsia" w:ascii="宋体" w:hAnsi="宋体" w:eastAsia="宋体" w:cs="宋体"/>
          <w:color w:val="auto"/>
          <w:sz w:val="24"/>
          <w:szCs w:val="24"/>
          <w:highlight w:val="none"/>
        </w:rPr>
      </w:pPr>
      <w:r>
        <w:rPr>
          <w:rStyle w:val="44"/>
          <w:rFonts w:hint="eastAsia" w:ascii="宋体" w:hAnsi="宋体" w:eastAsia="宋体" w:cs="宋体"/>
          <w:color w:val="auto"/>
          <w:sz w:val="24"/>
          <w:szCs w:val="24"/>
          <w:highlight w:val="none"/>
        </w:rPr>
        <w:t>（1）报价低于采购项目预算50%的，即报价＜采购项目预算*50%；</w:t>
      </w:r>
    </w:p>
    <w:p w14:paraId="49D7232C">
      <w:pPr>
        <w:snapToGrid w:val="0"/>
        <w:ind w:firstLine="484" w:firstLineChars="202"/>
        <w:rPr>
          <w:rStyle w:val="44"/>
          <w:rFonts w:hint="eastAsia" w:ascii="宋体" w:hAnsi="宋体" w:eastAsia="宋体" w:cs="宋体"/>
          <w:color w:val="auto"/>
          <w:sz w:val="24"/>
          <w:szCs w:val="24"/>
          <w:highlight w:val="none"/>
        </w:rPr>
      </w:pPr>
      <w:r>
        <w:rPr>
          <w:rStyle w:val="44"/>
          <w:rFonts w:hint="eastAsia" w:ascii="宋体" w:hAnsi="宋体" w:eastAsia="宋体" w:cs="宋体"/>
          <w:color w:val="auto"/>
          <w:sz w:val="24"/>
          <w:szCs w:val="24"/>
          <w:highlight w:val="none"/>
        </w:rPr>
        <w:t>（2）报价低于采购项目最高限价45%的，即报价＜采购项目最高限价*45%；</w:t>
      </w:r>
    </w:p>
    <w:p w14:paraId="6927A04D">
      <w:pPr>
        <w:snapToGrid w:val="0"/>
        <w:ind w:firstLine="484" w:firstLineChars="202"/>
        <w:rPr>
          <w:rStyle w:val="44"/>
          <w:rFonts w:hint="eastAsia" w:ascii="宋体" w:hAnsi="宋体" w:eastAsia="宋体" w:cs="宋体"/>
          <w:color w:val="auto"/>
          <w:sz w:val="24"/>
          <w:szCs w:val="24"/>
          <w:highlight w:val="none"/>
        </w:rPr>
      </w:pPr>
      <w:r>
        <w:rPr>
          <w:rStyle w:val="44"/>
          <w:rFonts w:hint="eastAsia" w:ascii="宋体" w:hAnsi="宋体" w:eastAsia="宋体" w:cs="宋体"/>
          <w:color w:val="auto"/>
          <w:sz w:val="24"/>
          <w:szCs w:val="24"/>
          <w:highlight w:val="none"/>
        </w:rPr>
        <w:t>（3）评标委员会认定的供应商报价过低、有可能影响产品质量或者不能诚信履约的其他情形。</w:t>
      </w:r>
    </w:p>
    <w:p w14:paraId="31698C85">
      <w:pPr>
        <w:snapToGrid w:val="0"/>
        <w:ind w:firstLine="484" w:firstLineChars="202"/>
        <w:rPr>
          <w:rStyle w:val="44"/>
          <w:rFonts w:hint="eastAsia" w:ascii="宋体" w:hAnsi="宋体" w:eastAsia="宋体" w:cs="宋体"/>
          <w:color w:val="auto"/>
          <w:sz w:val="24"/>
          <w:szCs w:val="24"/>
          <w:highlight w:val="none"/>
        </w:rPr>
      </w:pPr>
      <w:r>
        <w:rPr>
          <w:rStyle w:val="44"/>
          <w:rFonts w:hint="eastAsia" w:ascii="宋体" w:hAnsi="宋体" w:eastAsia="宋体" w:cs="宋体"/>
          <w:color w:val="auto"/>
          <w:sz w:val="24"/>
          <w:szCs w:val="24"/>
          <w:highlight w:val="none"/>
        </w:rPr>
        <w:t xml:space="preserve">3.启动异常低价响应审查后，评标委员会应当要求相关供应商在评标现场合理的时间内，提供项目具体成本测算等与报价合理性相关的书面说明及相关证明材料，对响应价格做出解释，由评标委员会结合同类产品在主要电商平台的价格、该行业当地薪资水平等情况，依据专业经验对供应商报价合理性进行判断。响应供应商不提供书面说明、证明材料，或者提供的书面说明、证明材料不能证明其报价合理性的，评标委员会应当将其作为无效响应处理。审查情况应当在评审报告中进行记录。 </w:t>
      </w:r>
    </w:p>
    <w:p w14:paraId="52655C3A">
      <w:pPr>
        <w:snapToGrid w:val="0"/>
        <w:ind w:firstLine="487" w:firstLineChars="202"/>
        <w:rPr>
          <w:rStyle w:val="44"/>
          <w:rFonts w:hint="eastAsia" w:ascii="宋体" w:hAnsi="宋体" w:eastAsia="宋体" w:cs="宋体"/>
          <w:b/>
          <w:color w:val="auto"/>
          <w:sz w:val="24"/>
          <w:szCs w:val="24"/>
          <w:highlight w:val="none"/>
        </w:rPr>
      </w:pPr>
      <w:r>
        <w:rPr>
          <w:rStyle w:val="44"/>
          <w:rFonts w:hint="eastAsia" w:ascii="宋体" w:hAnsi="宋体" w:eastAsia="宋体" w:cs="宋体"/>
          <w:b/>
          <w:color w:val="auto"/>
          <w:sz w:val="24"/>
          <w:szCs w:val="24"/>
          <w:highlight w:val="none"/>
        </w:rPr>
        <w:t>八、评审评分项</w:t>
      </w:r>
    </w:p>
    <w:p w14:paraId="2B3BEEDD">
      <w:pPr>
        <w:snapToGrid w:val="0"/>
        <w:rPr>
          <w:rStyle w:val="44"/>
          <w:rFonts w:hint="eastAsia" w:ascii="宋体" w:hAnsi="宋体" w:eastAsia="宋体" w:cs="宋体"/>
          <w:color w:val="auto"/>
          <w:sz w:val="24"/>
          <w:szCs w:val="24"/>
          <w:highlight w:val="none"/>
        </w:rPr>
      </w:pPr>
      <w:r>
        <w:rPr>
          <w:rStyle w:val="44"/>
          <w:rFonts w:hint="eastAsia" w:ascii="宋体" w:hAnsi="宋体" w:eastAsia="宋体" w:cs="宋体"/>
          <w:color w:val="auto"/>
          <w:sz w:val="24"/>
          <w:szCs w:val="24"/>
          <w:highlight w:val="none"/>
        </w:rPr>
        <w:t>（一）技术分：（70分）</w:t>
      </w:r>
    </w:p>
    <w:tbl>
      <w:tblPr>
        <w:tblStyle w:val="24"/>
        <w:tblW w:w="91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994"/>
        <w:gridCol w:w="8144"/>
      </w:tblGrid>
      <w:tr w14:paraId="00BA4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994" w:type="dxa"/>
            <w:tcMar>
              <w:top w:w="15" w:type="dxa"/>
              <w:left w:w="15" w:type="dxa"/>
              <w:right w:w="15" w:type="dxa"/>
            </w:tcMar>
            <w:vAlign w:val="center"/>
          </w:tcPr>
          <w:p w14:paraId="40DE2367">
            <w:pPr>
              <w:spacing w:line="240" w:lineRule="auto"/>
              <w:jc w:val="center"/>
              <w:textAlignment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评审因素</w:t>
            </w:r>
          </w:p>
        </w:tc>
        <w:tc>
          <w:tcPr>
            <w:tcW w:w="8144" w:type="dxa"/>
            <w:tcMar>
              <w:top w:w="15" w:type="dxa"/>
              <w:left w:w="15" w:type="dxa"/>
              <w:right w:w="15" w:type="dxa"/>
            </w:tcMar>
            <w:vAlign w:val="center"/>
          </w:tcPr>
          <w:p w14:paraId="4150EFE9">
            <w:pPr>
              <w:spacing w:line="240" w:lineRule="auto"/>
              <w:jc w:val="center"/>
              <w:textAlignment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评分细则</w:t>
            </w:r>
          </w:p>
        </w:tc>
      </w:tr>
      <w:tr w14:paraId="70C75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994" w:type="dxa"/>
            <w:vMerge w:val="restart"/>
            <w:tcMar>
              <w:top w:w="15" w:type="dxa"/>
              <w:left w:w="15" w:type="dxa"/>
              <w:right w:w="15" w:type="dxa"/>
            </w:tcMar>
            <w:vAlign w:val="center"/>
          </w:tcPr>
          <w:p w14:paraId="72ECF294">
            <w:pPr>
              <w:widowControl w:val="0"/>
              <w:snapToGrid w:val="0"/>
              <w:spacing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综合实力（8分）</w:t>
            </w:r>
          </w:p>
        </w:tc>
        <w:tc>
          <w:tcPr>
            <w:tcW w:w="8144" w:type="dxa"/>
            <w:tcMar>
              <w:top w:w="15" w:type="dxa"/>
              <w:left w:w="15" w:type="dxa"/>
              <w:right w:w="15" w:type="dxa"/>
            </w:tcMar>
            <w:vAlign w:val="center"/>
          </w:tcPr>
          <w:p w14:paraId="3163E5F7">
            <w:pPr>
              <w:widowControl w:val="0"/>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供应商获得过环境类荣誉或评价的，有1个得1分，最高得5分。</w:t>
            </w:r>
          </w:p>
          <w:p w14:paraId="483B427F">
            <w:pPr>
              <w:pStyle w:val="2"/>
              <w:ind w:left="0" w:leftChars="0" w:firstLine="0" w:firstLineChars="0"/>
              <w:rPr>
                <w:color w:val="auto"/>
                <w:highlight w:val="none"/>
              </w:rPr>
            </w:pPr>
            <w:r>
              <w:rPr>
                <w:rFonts w:hint="eastAsia" w:ascii="宋体" w:hAnsi="宋体" w:cs="宋体"/>
                <w:color w:val="auto"/>
                <w:szCs w:val="21"/>
                <w:highlight w:val="none"/>
              </w:rPr>
              <w:t>注：提供相关证明材料。</w:t>
            </w:r>
          </w:p>
        </w:tc>
      </w:tr>
      <w:tr w14:paraId="43152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994" w:type="dxa"/>
            <w:vMerge w:val="continue"/>
            <w:tcMar>
              <w:top w:w="15" w:type="dxa"/>
              <w:left w:w="15" w:type="dxa"/>
              <w:right w:w="15" w:type="dxa"/>
            </w:tcMar>
            <w:vAlign w:val="center"/>
          </w:tcPr>
          <w:p w14:paraId="2A19D397">
            <w:pPr>
              <w:widowControl w:val="0"/>
              <w:snapToGrid w:val="0"/>
              <w:spacing w:line="240" w:lineRule="auto"/>
              <w:jc w:val="center"/>
              <w:textAlignment w:val="auto"/>
              <w:rPr>
                <w:rFonts w:hint="eastAsia" w:ascii="宋体" w:hAnsi="宋体" w:eastAsia="宋体" w:cs="宋体"/>
                <w:color w:val="auto"/>
                <w:sz w:val="21"/>
                <w:szCs w:val="21"/>
                <w:highlight w:val="none"/>
              </w:rPr>
            </w:pPr>
          </w:p>
        </w:tc>
        <w:tc>
          <w:tcPr>
            <w:tcW w:w="8144" w:type="dxa"/>
            <w:tcMar>
              <w:top w:w="15" w:type="dxa"/>
              <w:left w:w="15" w:type="dxa"/>
              <w:right w:w="15" w:type="dxa"/>
            </w:tcMar>
            <w:vAlign w:val="center"/>
          </w:tcPr>
          <w:p w14:paraId="6737F59E">
            <w:pPr>
              <w:widowControl w:val="0"/>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供应商自有或承诺在中标后签合同前有用于质量控制的CMA实验室，且提供证明文件供采购人核实。（提供承诺函，格式自拟）提供承诺函得3分。</w:t>
            </w:r>
          </w:p>
        </w:tc>
      </w:tr>
      <w:tr w14:paraId="3EBF6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994" w:type="dxa"/>
            <w:tcMar>
              <w:top w:w="15" w:type="dxa"/>
              <w:left w:w="15" w:type="dxa"/>
              <w:right w:w="15" w:type="dxa"/>
            </w:tcMar>
            <w:vAlign w:val="center"/>
          </w:tcPr>
          <w:p w14:paraId="7D27F44C">
            <w:pPr>
              <w:widowControl w:val="0"/>
              <w:snapToGrid w:val="0"/>
              <w:spacing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业绩</w:t>
            </w:r>
          </w:p>
          <w:p w14:paraId="4E74E0BA">
            <w:pPr>
              <w:widowControl w:val="0"/>
              <w:snapToGrid w:val="0"/>
              <w:spacing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（12分）</w:t>
            </w:r>
          </w:p>
        </w:tc>
        <w:tc>
          <w:tcPr>
            <w:tcW w:w="8144" w:type="dxa"/>
            <w:tcMar>
              <w:top w:w="15" w:type="dxa"/>
              <w:left w:w="15" w:type="dxa"/>
              <w:right w:w="15" w:type="dxa"/>
            </w:tcMar>
            <w:vAlign w:val="center"/>
          </w:tcPr>
          <w:p w14:paraId="4371D0B8">
            <w:pPr>
              <w:widowControl w:val="0"/>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自2023年1月1日以来（以合同签订时间为准），承担过的类似项目运维业绩的，每提供一个得3分，最高得12分。</w:t>
            </w:r>
          </w:p>
          <w:p w14:paraId="20454C1B">
            <w:pPr>
              <w:pStyle w:val="2"/>
              <w:ind w:left="0" w:leftChars="0" w:firstLine="0" w:firstLineChars="0"/>
              <w:rPr>
                <w:color w:val="auto"/>
                <w:highlight w:val="none"/>
              </w:rPr>
            </w:pPr>
            <w:r>
              <w:rPr>
                <w:rFonts w:hint="eastAsia" w:ascii="宋体" w:hAnsi="宋体" w:cs="宋体"/>
                <w:color w:val="auto"/>
                <w:szCs w:val="21"/>
                <w:highlight w:val="none"/>
              </w:rPr>
              <w:t>注：提供合同复印件并加盖公章，未提供不得分。</w:t>
            </w:r>
          </w:p>
        </w:tc>
      </w:tr>
      <w:tr w14:paraId="14784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994" w:type="dxa"/>
            <w:tcMar>
              <w:top w:w="15" w:type="dxa"/>
              <w:left w:w="15" w:type="dxa"/>
              <w:right w:w="15" w:type="dxa"/>
            </w:tcMar>
            <w:vAlign w:val="center"/>
          </w:tcPr>
          <w:p w14:paraId="03ED0C31">
            <w:pPr>
              <w:widowControl w:val="0"/>
              <w:snapToGrid w:val="0"/>
              <w:spacing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人员配备（12分）</w:t>
            </w:r>
          </w:p>
        </w:tc>
        <w:tc>
          <w:tcPr>
            <w:tcW w:w="8144" w:type="dxa"/>
            <w:tcMar>
              <w:top w:w="15" w:type="dxa"/>
              <w:left w:w="15" w:type="dxa"/>
              <w:right w:w="15" w:type="dxa"/>
            </w:tcMar>
            <w:vAlign w:val="center"/>
          </w:tcPr>
          <w:p w14:paraId="10AC08C3">
            <w:pPr>
              <w:widowControl w:val="0"/>
              <w:spacing w:line="240" w:lineRule="auto"/>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kern w:val="0"/>
                <w:sz w:val="21"/>
                <w:szCs w:val="21"/>
                <w:highlight w:val="none"/>
              </w:rPr>
              <w:t>项目负责人：具有仪器仪表专业或环境相关专业副高（或以上）职称的，得4分。</w:t>
            </w:r>
          </w:p>
          <w:p w14:paraId="735ECFE3">
            <w:pPr>
              <w:widowControl w:val="0"/>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2.项目组成员（不含负责人）：具有有效期内中国环境监测总站或中国环境保护产业协会颁发的环境空气自动监测运维与质控培训考核合格证书的，每1人得2分，最高得8分。</w:t>
            </w:r>
          </w:p>
          <w:p w14:paraId="6D447FFF">
            <w:pPr>
              <w:pStyle w:val="2"/>
              <w:ind w:left="0" w:leftChars="0" w:firstLine="0" w:firstLineChars="0"/>
              <w:rPr>
                <w:color w:val="auto"/>
                <w:highlight w:val="none"/>
              </w:rPr>
            </w:pPr>
            <w:r>
              <w:rPr>
                <w:rFonts w:hint="eastAsia"/>
                <w:color w:val="auto"/>
                <w:highlight w:val="none"/>
              </w:rPr>
              <w:t>注：提供对应证书复印件并加盖公章及供应商为其缴纳的2025年任意一个月的社保证明材料；以上内容缺少一项该人员不得分。</w:t>
            </w:r>
          </w:p>
        </w:tc>
      </w:tr>
      <w:tr w14:paraId="4A6FF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994" w:type="dxa"/>
            <w:vMerge w:val="restart"/>
            <w:tcMar>
              <w:top w:w="15" w:type="dxa"/>
              <w:left w:w="15" w:type="dxa"/>
              <w:right w:w="15" w:type="dxa"/>
            </w:tcMar>
            <w:vAlign w:val="center"/>
          </w:tcPr>
          <w:p w14:paraId="340D9B58">
            <w:pPr>
              <w:widowControl w:val="0"/>
              <w:snapToGrid w:val="0"/>
              <w:spacing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服务方案和质效（38分）</w:t>
            </w:r>
          </w:p>
        </w:tc>
        <w:tc>
          <w:tcPr>
            <w:tcW w:w="8144" w:type="dxa"/>
            <w:tcMar>
              <w:top w:w="15" w:type="dxa"/>
              <w:left w:w="15" w:type="dxa"/>
              <w:right w:w="15" w:type="dxa"/>
            </w:tcMar>
            <w:vAlign w:val="center"/>
          </w:tcPr>
          <w:p w14:paraId="4234F4DE">
            <w:pPr>
              <w:spacing w:line="240" w:lineRule="auto"/>
              <w:rPr>
                <w:rFonts w:hint="eastAsia" w:ascii="宋体" w:hAnsi="宋体" w:eastAsia="宋体" w:cs="宋体"/>
                <w:bCs/>
                <w:color w:val="auto"/>
                <w:kern w:val="0"/>
                <w:sz w:val="21"/>
                <w:szCs w:val="21"/>
                <w:highlight w:val="none"/>
              </w:rPr>
            </w:pPr>
            <w:r>
              <w:rPr>
                <w:rFonts w:hint="eastAsia" w:ascii="宋体" w:hAnsi="宋体" w:eastAsia="宋体" w:cs="宋体"/>
                <w:b/>
                <w:bCs/>
                <w:color w:val="auto"/>
                <w:kern w:val="0"/>
                <w:sz w:val="21"/>
                <w:szCs w:val="21"/>
                <w:highlight w:val="none"/>
              </w:rPr>
              <w:t>运维方案：</w:t>
            </w:r>
            <w:r>
              <w:rPr>
                <w:rFonts w:hint="eastAsia" w:ascii="宋体" w:hAnsi="宋体" w:eastAsia="宋体" w:cs="宋体"/>
                <w:b/>
                <w:color w:val="auto"/>
                <w:kern w:val="0"/>
                <w:sz w:val="21"/>
                <w:szCs w:val="21"/>
                <w:highlight w:val="none"/>
              </w:rPr>
              <w:t>根据供应商提供的针对本项目的日常运行维护方案（包括运维计划、运维目标、日常维护巡检内容、故障维修措施）的合理性、逻辑性、完整性及可操作性进行评分。</w:t>
            </w:r>
          </w:p>
          <w:p w14:paraId="5CCEFC4B">
            <w:pPr>
              <w:spacing w:line="240" w:lineRule="auto"/>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提供的针对本项目的日常运行维护计划得（3分）；提供针对本项目进行运维的目标内容（3分）；提供针对本项目日常维护巡检内容得（3分）；提供针对本项目在运维过程故障维修措施得（3分）。</w:t>
            </w:r>
          </w:p>
          <w:p w14:paraId="42C4FED8">
            <w:pPr>
              <w:widowControl w:val="0"/>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bCs/>
                <w:color w:val="auto"/>
                <w:kern w:val="0"/>
                <w:sz w:val="21"/>
                <w:szCs w:val="21"/>
                <w:highlight w:val="none"/>
              </w:rPr>
              <w:t>注：本项最高得12分；供应商应在投标文件中设置专节来对上述内容作出响应性说明，每缺一项说明扣相应分值，对每项中出现一处不完善或不合理扣减0.5分，直至扣完为止。</w:t>
            </w:r>
          </w:p>
        </w:tc>
      </w:tr>
      <w:tr w14:paraId="3EC48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994" w:type="dxa"/>
            <w:vMerge w:val="continue"/>
            <w:tcMar>
              <w:top w:w="15" w:type="dxa"/>
              <w:left w:w="15" w:type="dxa"/>
              <w:right w:w="15" w:type="dxa"/>
            </w:tcMar>
            <w:vAlign w:val="center"/>
          </w:tcPr>
          <w:p w14:paraId="442FBC97">
            <w:pPr>
              <w:widowControl w:val="0"/>
              <w:snapToGrid w:val="0"/>
              <w:spacing w:line="240" w:lineRule="auto"/>
              <w:jc w:val="center"/>
              <w:textAlignment w:val="auto"/>
              <w:rPr>
                <w:rFonts w:hint="eastAsia" w:ascii="宋体" w:hAnsi="宋体" w:eastAsia="宋体" w:cs="宋体"/>
                <w:color w:val="auto"/>
                <w:sz w:val="21"/>
                <w:szCs w:val="21"/>
                <w:highlight w:val="none"/>
              </w:rPr>
            </w:pPr>
          </w:p>
        </w:tc>
        <w:tc>
          <w:tcPr>
            <w:tcW w:w="8144" w:type="dxa"/>
            <w:tcMar>
              <w:top w:w="15" w:type="dxa"/>
              <w:left w:w="15" w:type="dxa"/>
              <w:right w:w="15" w:type="dxa"/>
            </w:tcMar>
            <w:vAlign w:val="center"/>
          </w:tcPr>
          <w:p w14:paraId="721383E6">
            <w:pPr>
              <w:spacing w:line="240" w:lineRule="auto"/>
              <w:jc w:val="left"/>
              <w:rPr>
                <w:rFonts w:hint="eastAsia" w:ascii="宋体" w:hAnsi="宋体" w:eastAsia="宋体" w:cs="宋体"/>
                <w:b/>
                <w:color w:val="auto"/>
                <w:kern w:val="0"/>
                <w:sz w:val="21"/>
                <w:szCs w:val="21"/>
                <w:highlight w:val="none"/>
              </w:rPr>
            </w:pPr>
            <w:r>
              <w:rPr>
                <w:rFonts w:hint="eastAsia" w:ascii="宋体" w:hAnsi="宋体" w:eastAsia="宋体" w:cs="宋体"/>
                <w:b/>
                <w:bCs/>
                <w:color w:val="auto"/>
                <w:kern w:val="0"/>
                <w:sz w:val="21"/>
                <w:szCs w:val="21"/>
                <w:highlight w:val="none"/>
              </w:rPr>
              <w:t>质控方案：</w:t>
            </w:r>
            <w:r>
              <w:rPr>
                <w:rFonts w:hint="eastAsia" w:ascii="宋体" w:hAnsi="宋体" w:eastAsia="宋体" w:cs="宋体"/>
                <w:b/>
                <w:color w:val="auto"/>
                <w:kern w:val="0"/>
                <w:sz w:val="21"/>
                <w:szCs w:val="21"/>
                <w:highlight w:val="none"/>
              </w:rPr>
              <w:t>根据供应商提供的针对本项目的质控方案（至少包括质量保证控制计划、质量保证控制措施）的科学性、合理性、针对性及可操作性进行评分。</w:t>
            </w:r>
          </w:p>
          <w:p w14:paraId="3D652990">
            <w:pPr>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提供项目质量保证措施：</w:t>
            </w:r>
          </w:p>
          <w:p w14:paraId="2377E019">
            <w:pPr>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1.项目进度控制计划保障措施及内容（3分）；</w:t>
            </w:r>
          </w:p>
          <w:p w14:paraId="18489A05">
            <w:pPr>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2.运维设备质量保障措施及内容（3分）。</w:t>
            </w:r>
          </w:p>
          <w:p w14:paraId="08842EE3">
            <w:pPr>
              <w:widowControl w:val="0"/>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bCs/>
                <w:color w:val="auto"/>
                <w:kern w:val="0"/>
                <w:sz w:val="21"/>
                <w:szCs w:val="21"/>
                <w:highlight w:val="none"/>
              </w:rPr>
              <w:t>注：本项最高得6分；供应商应在投标文件中设置专节来对上述内容作出响应性说明，每缺一项说明扣相应分值，对每项中出现一处不完善或不合理扣减0.5分，直至扣完为止</w:t>
            </w:r>
            <w:r>
              <w:rPr>
                <w:rFonts w:hint="eastAsia" w:ascii="宋体" w:hAnsi="宋体" w:eastAsia="宋体" w:cs="宋体"/>
                <w:color w:val="auto"/>
                <w:kern w:val="0"/>
                <w:sz w:val="21"/>
                <w:szCs w:val="21"/>
                <w:highlight w:val="none"/>
              </w:rPr>
              <w:t>。</w:t>
            </w:r>
          </w:p>
        </w:tc>
      </w:tr>
      <w:tr w14:paraId="422A9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994" w:type="dxa"/>
            <w:vMerge w:val="continue"/>
            <w:tcMar>
              <w:top w:w="15" w:type="dxa"/>
              <w:left w:w="15" w:type="dxa"/>
              <w:right w:w="15" w:type="dxa"/>
            </w:tcMar>
            <w:vAlign w:val="center"/>
          </w:tcPr>
          <w:p w14:paraId="2AE8194E">
            <w:pPr>
              <w:widowControl w:val="0"/>
              <w:snapToGrid w:val="0"/>
              <w:spacing w:line="240" w:lineRule="auto"/>
              <w:jc w:val="center"/>
              <w:textAlignment w:val="auto"/>
              <w:rPr>
                <w:rFonts w:hint="eastAsia" w:ascii="宋体" w:hAnsi="宋体" w:eastAsia="宋体" w:cs="宋体"/>
                <w:color w:val="auto"/>
                <w:sz w:val="21"/>
                <w:szCs w:val="21"/>
                <w:highlight w:val="none"/>
              </w:rPr>
            </w:pPr>
          </w:p>
        </w:tc>
        <w:tc>
          <w:tcPr>
            <w:tcW w:w="8144" w:type="dxa"/>
            <w:tcMar>
              <w:top w:w="15" w:type="dxa"/>
              <w:left w:w="15" w:type="dxa"/>
              <w:right w:w="15" w:type="dxa"/>
            </w:tcMar>
            <w:vAlign w:val="center"/>
          </w:tcPr>
          <w:p w14:paraId="3594D5E5">
            <w:pPr>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highlight w:val="none"/>
              </w:rPr>
              <w:t>应急方案：根据供应商提供的应急预案，对运营期间如出现严重影响系统运行和数据质量的重大问题时，是否具备有效的措施，并制定了数据监控制度和处理处置方法。</w:t>
            </w:r>
            <w:r>
              <w:rPr>
                <w:rFonts w:hint="eastAsia" w:ascii="宋体" w:hAnsi="宋体" w:eastAsia="宋体" w:cs="宋体"/>
                <w:color w:val="auto"/>
                <w:kern w:val="0"/>
                <w:sz w:val="21"/>
                <w:szCs w:val="21"/>
                <w:highlight w:val="none"/>
              </w:rPr>
              <w:t xml:space="preserve"> </w:t>
            </w:r>
          </w:p>
          <w:p w14:paraId="359FAA26">
            <w:pPr>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投标人提供的应急应急预案：</w:t>
            </w:r>
          </w:p>
          <w:p w14:paraId="71E738A1">
            <w:pPr>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1.运维期间设备出现严重影响系统运行和数据质量的有效措施（3分）；</w:t>
            </w:r>
          </w:p>
          <w:p w14:paraId="0721E09A">
            <w:pPr>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2.运维期间的数据监控制度和处理处置方案（3分）。</w:t>
            </w:r>
          </w:p>
          <w:p w14:paraId="12363C1B">
            <w:pPr>
              <w:widowControl w:val="0"/>
              <w:spacing w:line="240" w:lineRule="auto"/>
              <w:textAlignment w:val="auto"/>
              <w:rPr>
                <w:rFonts w:hint="eastAsia" w:ascii="宋体" w:hAnsi="宋体" w:eastAsia="宋体" w:cs="宋体"/>
                <w:color w:val="auto"/>
                <w:kern w:val="0"/>
                <w:sz w:val="21"/>
                <w:szCs w:val="21"/>
                <w:highlight w:val="none"/>
              </w:rPr>
            </w:pPr>
            <w:r>
              <w:rPr>
                <w:rFonts w:hint="eastAsia" w:ascii="宋体" w:hAnsi="宋体" w:eastAsia="宋体" w:cs="宋体"/>
                <w:bCs/>
                <w:color w:val="auto"/>
                <w:kern w:val="0"/>
                <w:sz w:val="21"/>
                <w:szCs w:val="21"/>
                <w:highlight w:val="none"/>
              </w:rPr>
              <w:t>注：本项最高得6分；供应商应在投标文件中设置专节来对上述内容作出响应性说明，每缺一项说明扣相应分值，对每项中出现一处不完善或不合理扣减0.5分，直至扣完为止</w:t>
            </w:r>
            <w:r>
              <w:rPr>
                <w:rFonts w:hint="eastAsia" w:ascii="宋体" w:hAnsi="宋体" w:eastAsia="宋体" w:cs="宋体"/>
                <w:color w:val="auto"/>
                <w:kern w:val="0"/>
                <w:sz w:val="21"/>
                <w:szCs w:val="21"/>
                <w:highlight w:val="none"/>
              </w:rPr>
              <w:t>。</w:t>
            </w:r>
          </w:p>
        </w:tc>
      </w:tr>
      <w:tr w14:paraId="28091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994" w:type="dxa"/>
            <w:vMerge w:val="continue"/>
            <w:tcMar>
              <w:top w:w="15" w:type="dxa"/>
              <w:left w:w="15" w:type="dxa"/>
              <w:right w:w="15" w:type="dxa"/>
            </w:tcMar>
            <w:vAlign w:val="center"/>
          </w:tcPr>
          <w:p w14:paraId="486EB6DF">
            <w:pPr>
              <w:widowControl w:val="0"/>
              <w:snapToGrid w:val="0"/>
              <w:spacing w:line="240" w:lineRule="auto"/>
              <w:jc w:val="center"/>
              <w:textAlignment w:val="auto"/>
              <w:rPr>
                <w:rFonts w:hint="eastAsia" w:ascii="宋体" w:hAnsi="宋体" w:eastAsia="宋体" w:cs="宋体"/>
                <w:color w:val="auto"/>
                <w:sz w:val="21"/>
                <w:szCs w:val="21"/>
                <w:highlight w:val="none"/>
              </w:rPr>
            </w:pPr>
          </w:p>
        </w:tc>
        <w:tc>
          <w:tcPr>
            <w:tcW w:w="8144" w:type="dxa"/>
            <w:tcMar>
              <w:top w:w="15" w:type="dxa"/>
              <w:left w:w="15" w:type="dxa"/>
              <w:right w:w="15" w:type="dxa"/>
            </w:tcMar>
            <w:vAlign w:val="center"/>
          </w:tcPr>
          <w:p w14:paraId="282BDAC7">
            <w:pPr>
              <w:spacing w:line="240" w:lineRule="auto"/>
              <w:jc w:val="left"/>
              <w:rPr>
                <w:rFonts w:hint="eastAsia" w:ascii="宋体" w:hAnsi="宋体" w:eastAsia="宋体" w:cs="宋体"/>
                <w:b/>
                <w:color w:val="auto"/>
                <w:kern w:val="0"/>
                <w:sz w:val="21"/>
                <w:szCs w:val="21"/>
                <w:highlight w:val="none"/>
              </w:rPr>
            </w:pPr>
            <w:r>
              <w:rPr>
                <w:rFonts w:hint="eastAsia" w:ascii="宋体" w:hAnsi="宋体" w:eastAsia="宋体" w:cs="宋体"/>
                <w:b/>
                <w:bCs/>
                <w:color w:val="auto"/>
                <w:kern w:val="0"/>
                <w:sz w:val="21"/>
                <w:szCs w:val="21"/>
                <w:highlight w:val="none"/>
              </w:rPr>
              <w:t>制度保障：</w:t>
            </w:r>
            <w:r>
              <w:rPr>
                <w:rFonts w:hint="eastAsia" w:ascii="宋体" w:hAnsi="宋体" w:eastAsia="宋体" w:cs="宋体"/>
                <w:b/>
                <w:color w:val="auto"/>
                <w:kern w:val="0"/>
                <w:sz w:val="21"/>
                <w:szCs w:val="21"/>
                <w:highlight w:val="none"/>
              </w:rPr>
              <w:t>根据供应商为本项目编制的所制定的运行管理制度、安全保障措施等全面性、针对性进行评分。</w:t>
            </w:r>
          </w:p>
          <w:p w14:paraId="59B5B307">
            <w:pPr>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投标人提供项目管理制度、安全保障措施：</w:t>
            </w:r>
          </w:p>
          <w:p w14:paraId="3B8F49C7">
            <w:pPr>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1.提供针对本项目的特点、运维内容制定的运行管理制度得（2分）；</w:t>
            </w:r>
          </w:p>
          <w:p w14:paraId="7C6B9D40">
            <w:pPr>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2.提供针对本项目运维内容和需求，制定合理的安全保证措施（2分）；</w:t>
            </w:r>
          </w:p>
          <w:p w14:paraId="1D2FBE0F">
            <w:pPr>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3.本项目运维期间所运维的设备正常安全运行的措施（2分）；</w:t>
            </w:r>
          </w:p>
          <w:p w14:paraId="125AD2A7">
            <w:pPr>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4.拟派项目组人员运维期间的安全操作流程及相关措施（2分）。</w:t>
            </w:r>
          </w:p>
          <w:p w14:paraId="13070568">
            <w:pPr>
              <w:widowControl w:val="0"/>
              <w:spacing w:line="240" w:lineRule="auto"/>
              <w:textAlignment w:val="auto"/>
              <w:rPr>
                <w:rFonts w:hint="eastAsia" w:ascii="宋体" w:hAnsi="宋体" w:eastAsia="宋体" w:cs="宋体"/>
                <w:color w:val="auto"/>
                <w:kern w:val="0"/>
                <w:sz w:val="21"/>
                <w:szCs w:val="21"/>
                <w:highlight w:val="none"/>
              </w:rPr>
            </w:pPr>
            <w:r>
              <w:rPr>
                <w:rFonts w:hint="eastAsia" w:ascii="宋体" w:hAnsi="宋体" w:eastAsia="宋体" w:cs="宋体"/>
                <w:bCs/>
                <w:color w:val="auto"/>
                <w:kern w:val="0"/>
                <w:sz w:val="21"/>
                <w:szCs w:val="21"/>
                <w:highlight w:val="none"/>
              </w:rPr>
              <w:t>注：本项最高得8分；供应商应在投标文件中设置专节来对上述内容作出响应性说明，每缺一项说明扣相应分值，对每项中出现一处不完善或不合理扣减0.5分，直至扣完为止</w:t>
            </w:r>
            <w:r>
              <w:rPr>
                <w:rFonts w:hint="eastAsia" w:ascii="宋体" w:hAnsi="宋体" w:eastAsia="宋体" w:cs="宋体"/>
                <w:color w:val="auto"/>
                <w:kern w:val="0"/>
                <w:sz w:val="21"/>
                <w:szCs w:val="21"/>
                <w:highlight w:val="none"/>
              </w:rPr>
              <w:t>。</w:t>
            </w:r>
          </w:p>
        </w:tc>
      </w:tr>
      <w:tr w14:paraId="789CC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994" w:type="dxa"/>
            <w:vMerge w:val="continue"/>
            <w:tcMar>
              <w:top w:w="15" w:type="dxa"/>
              <w:left w:w="15" w:type="dxa"/>
              <w:right w:w="15" w:type="dxa"/>
            </w:tcMar>
            <w:vAlign w:val="center"/>
          </w:tcPr>
          <w:p w14:paraId="540A7DAB">
            <w:pPr>
              <w:widowControl w:val="0"/>
              <w:snapToGrid w:val="0"/>
              <w:spacing w:line="240" w:lineRule="auto"/>
              <w:jc w:val="center"/>
              <w:textAlignment w:val="auto"/>
              <w:rPr>
                <w:rFonts w:hint="eastAsia" w:ascii="宋体" w:hAnsi="宋体" w:eastAsia="宋体" w:cs="宋体"/>
                <w:color w:val="auto"/>
                <w:sz w:val="21"/>
                <w:szCs w:val="21"/>
                <w:highlight w:val="none"/>
              </w:rPr>
            </w:pPr>
          </w:p>
        </w:tc>
        <w:tc>
          <w:tcPr>
            <w:tcW w:w="8144" w:type="dxa"/>
            <w:tcMar>
              <w:top w:w="15" w:type="dxa"/>
              <w:left w:w="15" w:type="dxa"/>
              <w:right w:w="15" w:type="dxa"/>
            </w:tcMar>
            <w:vAlign w:val="center"/>
          </w:tcPr>
          <w:p w14:paraId="496AFAED">
            <w:pPr>
              <w:widowControl w:val="0"/>
              <w:spacing w:line="240" w:lineRule="auto"/>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为确保现场设备运维稳定，供应商提供或承诺中标后可以提供设备原厂出具的关于该项目所需的耗材、配件等长期技术服务及备品备件支持的函件的</w:t>
            </w:r>
            <w:r>
              <w:rPr>
                <w:rFonts w:hint="eastAsia" w:ascii="宋体" w:hAnsi="宋体" w:eastAsia="宋体" w:cs="宋体"/>
                <w:b/>
                <w:bCs/>
                <w:color w:val="auto"/>
                <w:kern w:val="0"/>
                <w:sz w:val="21"/>
                <w:szCs w:val="21"/>
                <w:highlight w:val="none"/>
              </w:rPr>
              <w:t>（提供原厂就本项目出具的函件扫描件或复印件）</w:t>
            </w:r>
            <w:r>
              <w:rPr>
                <w:rFonts w:hint="eastAsia" w:ascii="宋体" w:hAnsi="宋体" w:eastAsia="宋体" w:cs="宋体"/>
                <w:color w:val="auto"/>
                <w:kern w:val="0"/>
                <w:sz w:val="21"/>
                <w:szCs w:val="21"/>
                <w:highlight w:val="none"/>
              </w:rPr>
              <w:t>，得3分。注：承诺函格式自拟。</w:t>
            </w:r>
          </w:p>
        </w:tc>
      </w:tr>
      <w:tr w14:paraId="2A157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994" w:type="dxa"/>
            <w:vMerge w:val="continue"/>
            <w:tcMar>
              <w:top w:w="15" w:type="dxa"/>
              <w:left w:w="15" w:type="dxa"/>
              <w:right w:w="15" w:type="dxa"/>
            </w:tcMar>
            <w:vAlign w:val="center"/>
          </w:tcPr>
          <w:p w14:paraId="2AF9F7A4">
            <w:pPr>
              <w:widowControl w:val="0"/>
              <w:snapToGrid w:val="0"/>
              <w:spacing w:line="240" w:lineRule="auto"/>
              <w:jc w:val="center"/>
              <w:textAlignment w:val="auto"/>
              <w:rPr>
                <w:rFonts w:hint="eastAsia" w:ascii="宋体" w:hAnsi="宋体" w:eastAsia="宋体" w:cs="宋体"/>
                <w:color w:val="auto"/>
                <w:sz w:val="21"/>
                <w:szCs w:val="21"/>
                <w:highlight w:val="none"/>
              </w:rPr>
            </w:pPr>
          </w:p>
        </w:tc>
        <w:tc>
          <w:tcPr>
            <w:tcW w:w="8144" w:type="dxa"/>
            <w:tcMar>
              <w:top w:w="15" w:type="dxa"/>
              <w:left w:w="15" w:type="dxa"/>
              <w:right w:w="15" w:type="dxa"/>
            </w:tcMar>
            <w:vAlign w:val="center"/>
          </w:tcPr>
          <w:p w14:paraId="58866C27">
            <w:pPr>
              <w:widowControl w:val="0"/>
              <w:spacing w:line="240" w:lineRule="auto"/>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供应商承诺能够随时提供针对本项目的信息化保障服务的，具体包括：（1）园区环境质量“一图总览”：基于GIS地图，通过集中、动态、直观的展示界面，展示园区企业分布情况、限值限量站点监测分布及数据情况、站点在线及离线情况、异常告警情况、园区PM2.5和VOCs大气污染物浓度在全省及全市工业园区中的逆序排名情况等信息，用于支撑园区环境质量的管理和管控工作开展。（2）环境数据统计分析：利用接入的园区空气、水质监测站点数据，将各类监测数据按照站点类型、监测因子进行管理展示，可提供任意时段数据查询、下载服务，可提供各类分析图表、统计报表生成及导出服务。提供园区在全市、全省工业园区的VOCs及PM2.5环境质量排名动态更新服务，排名可实现日更新，自动核算园区PM2.5、二氧化硫、二氧化氮、臭氧、NMHC大气污染指标的当前累计平均数值及剩余控制数值，可提供不同统计维度（日、月、年）的总量排放数据。能够提供上述服务的，得3分；（需提供相关服务的承诺函（格式自拟），不提供的不得分）</w:t>
            </w:r>
          </w:p>
        </w:tc>
      </w:tr>
    </w:tbl>
    <w:p w14:paraId="7D9D0607">
      <w:pPr>
        <w:snapToGrid w:val="0"/>
        <w:ind w:firstLine="487" w:firstLineChars="202"/>
        <w:rPr>
          <w:rStyle w:val="44"/>
          <w:rFonts w:hint="eastAsia" w:ascii="宋体" w:hAnsi="宋体" w:eastAsia="宋体" w:cs="宋体"/>
          <w:b/>
          <w:color w:val="auto"/>
          <w:sz w:val="24"/>
          <w:szCs w:val="24"/>
          <w:highlight w:val="none"/>
        </w:rPr>
      </w:pPr>
    </w:p>
    <w:p w14:paraId="155C5404">
      <w:pPr>
        <w:snapToGrid w:val="0"/>
        <w:ind w:firstLine="487" w:firstLineChars="202"/>
        <w:rPr>
          <w:rStyle w:val="44"/>
          <w:rFonts w:hint="eastAsia" w:ascii="宋体" w:hAnsi="宋体" w:eastAsia="宋体" w:cs="宋体"/>
          <w:b/>
          <w:color w:val="auto"/>
          <w:sz w:val="24"/>
          <w:szCs w:val="24"/>
          <w:highlight w:val="none"/>
        </w:rPr>
      </w:pPr>
      <w:r>
        <w:rPr>
          <w:rStyle w:val="44"/>
          <w:rFonts w:hint="eastAsia" w:ascii="宋体" w:hAnsi="宋体" w:eastAsia="宋体" w:cs="宋体"/>
          <w:b/>
          <w:color w:val="auto"/>
          <w:sz w:val="24"/>
          <w:szCs w:val="24"/>
          <w:highlight w:val="none"/>
        </w:rPr>
        <w:t>（二）报价响应评分：（30分）</w:t>
      </w:r>
    </w:p>
    <w:p w14:paraId="75901139">
      <w:pPr>
        <w:snapToGrid w:val="0"/>
        <w:ind w:firstLine="487" w:firstLineChars="202"/>
        <w:rPr>
          <w:rStyle w:val="44"/>
          <w:rFonts w:hint="eastAsia" w:ascii="宋体" w:hAnsi="宋体" w:eastAsia="宋体" w:cs="宋体"/>
          <w:b/>
          <w:bCs/>
          <w:color w:val="auto"/>
          <w:sz w:val="24"/>
          <w:szCs w:val="24"/>
          <w:highlight w:val="none"/>
        </w:rPr>
      </w:pPr>
      <w:r>
        <w:rPr>
          <w:rStyle w:val="44"/>
          <w:rFonts w:hint="eastAsia" w:ascii="宋体" w:hAnsi="宋体" w:eastAsia="宋体" w:cs="宋体"/>
          <w:b/>
          <w:bCs/>
          <w:color w:val="auto"/>
          <w:sz w:val="24"/>
          <w:szCs w:val="24"/>
          <w:highlight w:val="none"/>
        </w:rPr>
        <w:t>1.本项目</w:t>
      </w:r>
      <w:r>
        <w:rPr>
          <w:rFonts w:hint="eastAsia" w:ascii="宋体" w:hAnsi="宋体" w:eastAsia="宋体" w:cs="宋体"/>
          <w:b/>
          <w:color w:val="auto"/>
          <w:sz w:val="24"/>
          <w:szCs w:val="24"/>
          <w:highlight w:val="none"/>
          <w:u w:val="single"/>
        </w:rPr>
        <w:t>最高限价：70万元</w:t>
      </w:r>
      <w:r>
        <w:rPr>
          <w:rFonts w:hint="eastAsia"/>
          <w:color w:val="auto"/>
          <w:highlight w:val="none"/>
        </w:rPr>
        <w:t>，</w:t>
      </w:r>
      <w:r>
        <w:rPr>
          <w:rFonts w:hint="eastAsia" w:ascii="宋体" w:hAnsi="宋体" w:eastAsia="宋体" w:cs="宋体"/>
          <w:b/>
          <w:bCs/>
          <w:color w:val="auto"/>
          <w:sz w:val="24"/>
          <w:szCs w:val="24"/>
          <w:highlight w:val="none"/>
        </w:rPr>
        <w:t>超过限价作无效投标处理。</w:t>
      </w:r>
    </w:p>
    <w:p w14:paraId="1D35F15F">
      <w:pPr>
        <w:snapToGrid w:val="0"/>
        <w:ind w:firstLine="484" w:firstLineChars="202"/>
        <w:rPr>
          <w:rStyle w:val="44"/>
          <w:rFonts w:hint="eastAsia" w:ascii="宋体" w:hAnsi="宋体" w:eastAsia="宋体" w:cs="宋体"/>
          <w:color w:val="auto"/>
          <w:sz w:val="24"/>
          <w:szCs w:val="24"/>
          <w:highlight w:val="none"/>
        </w:rPr>
      </w:pPr>
      <w:r>
        <w:rPr>
          <w:rStyle w:val="44"/>
          <w:rFonts w:hint="eastAsia" w:ascii="宋体" w:hAnsi="宋体" w:eastAsia="宋体" w:cs="宋体"/>
          <w:color w:val="auto"/>
          <w:sz w:val="24"/>
          <w:szCs w:val="24"/>
          <w:highlight w:val="none"/>
        </w:rPr>
        <w:t>2.满足招标文件要求且投标报价最低的报价为评标基准价，其报价响应得分为满分。</w:t>
      </w:r>
    </w:p>
    <w:p w14:paraId="0E1942BB">
      <w:pPr>
        <w:snapToGrid w:val="0"/>
        <w:ind w:firstLine="484" w:firstLineChars="202"/>
        <w:rPr>
          <w:rStyle w:val="44"/>
          <w:rFonts w:hint="eastAsia" w:ascii="宋体" w:hAnsi="宋体" w:eastAsia="宋体" w:cs="宋体"/>
          <w:color w:val="auto"/>
          <w:sz w:val="24"/>
          <w:szCs w:val="24"/>
          <w:highlight w:val="none"/>
        </w:rPr>
      </w:pPr>
      <w:r>
        <w:rPr>
          <w:rStyle w:val="44"/>
          <w:rFonts w:hint="eastAsia" w:ascii="宋体" w:hAnsi="宋体" w:eastAsia="宋体" w:cs="宋体"/>
          <w:color w:val="auto"/>
          <w:sz w:val="24"/>
          <w:szCs w:val="24"/>
          <w:highlight w:val="none"/>
        </w:rPr>
        <w:t>3.其他投标人的报价响应得分分别按照下列公式计算：</w:t>
      </w:r>
    </w:p>
    <w:p w14:paraId="4FBFEF70">
      <w:pPr>
        <w:snapToGrid w:val="0"/>
        <w:ind w:firstLine="484" w:firstLineChars="202"/>
        <w:rPr>
          <w:rStyle w:val="44"/>
          <w:rFonts w:hint="eastAsia" w:ascii="宋体" w:hAnsi="宋体" w:eastAsia="宋体" w:cs="宋体"/>
          <w:color w:val="auto"/>
          <w:highlight w:val="none"/>
        </w:rPr>
      </w:pPr>
      <w:r>
        <w:rPr>
          <w:rStyle w:val="44"/>
          <w:rFonts w:hint="eastAsia" w:ascii="宋体" w:hAnsi="宋体" w:eastAsia="宋体" w:cs="宋体"/>
          <w:color w:val="auto"/>
          <w:sz w:val="24"/>
          <w:szCs w:val="24"/>
          <w:highlight w:val="none"/>
        </w:rPr>
        <w:t>报价响应得分 =（评标基准价/投标报价）×30%×100</w:t>
      </w:r>
    </w:p>
    <w:p w14:paraId="1CE1F3DA">
      <w:pPr>
        <w:snapToGrid w:val="0"/>
        <w:ind w:firstLine="482" w:firstLineChars="200"/>
        <w:rPr>
          <w:rStyle w:val="44"/>
          <w:rFonts w:hint="eastAsia" w:ascii="宋体" w:hAnsi="宋体" w:eastAsia="宋体" w:cs="宋体"/>
          <w:b/>
          <w:bCs/>
          <w:color w:val="auto"/>
          <w:sz w:val="24"/>
          <w:szCs w:val="24"/>
          <w:highlight w:val="none"/>
        </w:rPr>
      </w:pPr>
      <w:r>
        <w:rPr>
          <w:rStyle w:val="44"/>
          <w:rFonts w:hint="eastAsia" w:ascii="宋体" w:hAnsi="宋体" w:eastAsia="宋体" w:cs="宋体"/>
          <w:b/>
          <w:bCs/>
          <w:color w:val="auto"/>
          <w:sz w:val="24"/>
          <w:szCs w:val="24"/>
          <w:highlight w:val="none"/>
        </w:rPr>
        <w:t>（三）评标争议</w:t>
      </w:r>
    </w:p>
    <w:p w14:paraId="50E8C4F9">
      <w:pPr>
        <w:snapToGrid w:val="0"/>
        <w:ind w:firstLine="573"/>
        <w:rPr>
          <w:rStyle w:val="44"/>
          <w:rFonts w:hint="eastAsia" w:ascii="宋体" w:hAnsi="宋体" w:eastAsia="宋体" w:cs="宋体"/>
          <w:color w:val="auto"/>
          <w:sz w:val="24"/>
          <w:szCs w:val="24"/>
          <w:highlight w:val="none"/>
        </w:rPr>
      </w:pPr>
      <w:r>
        <w:rPr>
          <w:rStyle w:val="44"/>
          <w:rFonts w:hint="eastAsia" w:ascii="宋体" w:hAnsi="宋体" w:eastAsia="宋体" w:cs="宋体"/>
          <w:color w:val="auto"/>
          <w:sz w:val="24"/>
          <w:szCs w:val="24"/>
          <w:highlight w:val="none"/>
        </w:rPr>
        <w:t>评标时评委对评标的细则若有争议，由评标委员会评委集体讨论确定，并对未尽情况有最终解释权。</w:t>
      </w:r>
    </w:p>
    <w:p w14:paraId="704F0577">
      <w:pPr>
        <w:snapToGrid w:val="0"/>
        <w:ind w:firstLine="482" w:firstLineChars="200"/>
        <w:rPr>
          <w:rStyle w:val="44"/>
          <w:rFonts w:hint="eastAsia" w:ascii="宋体" w:hAnsi="宋体" w:eastAsia="宋体" w:cs="宋体"/>
          <w:b/>
          <w:bCs/>
          <w:color w:val="auto"/>
          <w:sz w:val="24"/>
          <w:szCs w:val="24"/>
          <w:highlight w:val="none"/>
        </w:rPr>
      </w:pPr>
      <w:r>
        <w:rPr>
          <w:rStyle w:val="44"/>
          <w:rFonts w:hint="eastAsia" w:ascii="宋体" w:hAnsi="宋体" w:eastAsia="宋体" w:cs="宋体"/>
          <w:b/>
          <w:bCs/>
          <w:color w:val="auto"/>
          <w:sz w:val="24"/>
          <w:szCs w:val="24"/>
          <w:highlight w:val="none"/>
        </w:rPr>
        <w:t>（四）落标原因</w:t>
      </w:r>
    </w:p>
    <w:p w14:paraId="059FFAB3">
      <w:pPr>
        <w:snapToGrid w:val="0"/>
        <w:ind w:firstLine="480" w:firstLineChars="200"/>
        <w:rPr>
          <w:rStyle w:val="44"/>
          <w:rFonts w:hint="eastAsia" w:ascii="宋体" w:hAnsi="宋体" w:eastAsia="宋体" w:cs="宋体"/>
          <w:color w:val="auto"/>
          <w:sz w:val="24"/>
          <w:szCs w:val="24"/>
          <w:highlight w:val="none"/>
        </w:rPr>
      </w:pPr>
      <w:r>
        <w:rPr>
          <w:rStyle w:val="44"/>
          <w:rFonts w:hint="eastAsia" w:ascii="宋体" w:hAnsi="宋体" w:eastAsia="宋体" w:cs="宋体"/>
          <w:color w:val="auto"/>
          <w:sz w:val="24"/>
          <w:szCs w:val="24"/>
          <w:highlight w:val="none"/>
        </w:rPr>
        <w:t>评标委员会不对落标的投标人做落标原因的解释。</w:t>
      </w:r>
    </w:p>
    <w:p w14:paraId="71965FB4">
      <w:pPr>
        <w:snapToGrid w:val="0"/>
        <w:ind w:firstLine="482" w:firstLineChars="200"/>
        <w:rPr>
          <w:rStyle w:val="44"/>
          <w:rFonts w:hint="eastAsia" w:ascii="宋体" w:hAnsi="宋体" w:eastAsia="宋体" w:cs="宋体"/>
          <w:b/>
          <w:color w:val="auto"/>
          <w:sz w:val="24"/>
          <w:szCs w:val="24"/>
          <w:highlight w:val="none"/>
        </w:rPr>
      </w:pPr>
      <w:r>
        <w:rPr>
          <w:rStyle w:val="44"/>
          <w:rFonts w:hint="eastAsia" w:ascii="宋体" w:hAnsi="宋体" w:eastAsia="宋体" w:cs="宋体"/>
          <w:b/>
          <w:color w:val="auto"/>
          <w:sz w:val="24"/>
          <w:szCs w:val="24"/>
          <w:highlight w:val="none"/>
        </w:rPr>
        <w:t>九、出现下列情形之一的，作无效投标处理：</w:t>
      </w:r>
    </w:p>
    <w:p w14:paraId="1A09C7CA">
      <w:pPr>
        <w:snapToGrid w:val="0"/>
        <w:ind w:firstLine="480" w:firstLineChars="200"/>
        <w:rPr>
          <w:rStyle w:val="44"/>
          <w:rFonts w:hint="eastAsia" w:ascii="宋体" w:hAnsi="宋体" w:eastAsia="宋体" w:cs="宋体"/>
          <w:color w:val="auto"/>
          <w:sz w:val="24"/>
          <w:szCs w:val="24"/>
          <w:highlight w:val="none"/>
        </w:rPr>
      </w:pPr>
      <w:r>
        <w:rPr>
          <w:rStyle w:val="44"/>
          <w:rFonts w:hint="eastAsia" w:ascii="宋体" w:hAnsi="宋体" w:eastAsia="宋体" w:cs="宋体"/>
          <w:color w:val="auto"/>
          <w:sz w:val="24"/>
          <w:szCs w:val="24"/>
          <w:highlight w:val="none"/>
        </w:rPr>
        <w:t>1.投标文件未按招标文件要求密封、签署、盖章的；</w:t>
      </w:r>
    </w:p>
    <w:p w14:paraId="0C62F7D6">
      <w:pPr>
        <w:snapToGrid w:val="0"/>
        <w:ind w:firstLine="480" w:firstLineChars="200"/>
        <w:rPr>
          <w:rStyle w:val="44"/>
          <w:rFonts w:hint="eastAsia" w:ascii="宋体" w:hAnsi="宋体" w:eastAsia="宋体" w:cs="宋体"/>
          <w:color w:val="auto"/>
          <w:sz w:val="24"/>
          <w:szCs w:val="24"/>
          <w:highlight w:val="none"/>
        </w:rPr>
      </w:pPr>
      <w:r>
        <w:rPr>
          <w:rStyle w:val="44"/>
          <w:rFonts w:hint="eastAsia" w:ascii="宋体" w:hAnsi="宋体" w:eastAsia="宋体" w:cs="宋体"/>
          <w:color w:val="auto"/>
          <w:sz w:val="24"/>
          <w:szCs w:val="24"/>
          <w:highlight w:val="none"/>
        </w:rPr>
        <w:t>2.不具备招标文件中规定的资格要求的；</w:t>
      </w:r>
    </w:p>
    <w:p w14:paraId="3C68AD5B">
      <w:pPr>
        <w:snapToGrid w:val="0"/>
        <w:ind w:firstLine="480" w:firstLineChars="200"/>
        <w:rPr>
          <w:rStyle w:val="44"/>
          <w:rFonts w:hint="eastAsia" w:ascii="宋体" w:hAnsi="宋体" w:eastAsia="宋体" w:cs="宋体"/>
          <w:color w:val="auto"/>
          <w:sz w:val="24"/>
          <w:szCs w:val="24"/>
          <w:highlight w:val="none"/>
        </w:rPr>
      </w:pPr>
      <w:r>
        <w:rPr>
          <w:rStyle w:val="44"/>
          <w:rFonts w:hint="eastAsia" w:ascii="宋体" w:hAnsi="宋体" w:eastAsia="宋体" w:cs="宋体"/>
          <w:color w:val="auto"/>
          <w:sz w:val="24"/>
          <w:szCs w:val="24"/>
          <w:highlight w:val="none"/>
        </w:rPr>
        <w:t>3.报价超过招标文件中规定的预算金额或者最高限价的；</w:t>
      </w:r>
    </w:p>
    <w:p w14:paraId="339FA6DF">
      <w:pPr>
        <w:snapToGrid w:val="0"/>
        <w:ind w:firstLine="480" w:firstLineChars="200"/>
        <w:rPr>
          <w:rStyle w:val="44"/>
          <w:rFonts w:hint="eastAsia" w:ascii="宋体" w:hAnsi="宋体" w:eastAsia="宋体" w:cs="宋体"/>
          <w:color w:val="auto"/>
          <w:sz w:val="24"/>
          <w:szCs w:val="24"/>
          <w:highlight w:val="none"/>
        </w:rPr>
      </w:pPr>
      <w:r>
        <w:rPr>
          <w:rStyle w:val="44"/>
          <w:rFonts w:hint="eastAsia" w:ascii="宋体" w:hAnsi="宋体" w:eastAsia="宋体" w:cs="宋体"/>
          <w:color w:val="auto"/>
          <w:sz w:val="24"/>
          <w:szCs w:val="24"/>
          <w:highlight w:val="none"/>
        </w:rPr>
        <w:t>4.投标文件含有采购人不能接受的附加条件的；</w:t>
      </w:r>
    </w:p>
    <w:p w14:paraId="2545CF3A">
      <w:pPr>
        <w:snapToGrid w:val="0"/>
        <w:ind w:firstLine="480" w:firstLineChars="200"/>
        <w:rPr>
          <w:rStyle w:val="44"/>
          <w:rFonts w:hint="eastAsia" w:ascii="宋体" w:hAnsi="宋体" w:eastAsia="宋体" w:cs="宋体"/>
          <w:color w:val="auto"/>
          <w:sz w:val="24"/>
          <w:szCs w:val="24"/>
          <w:highlight w:val="none"/>
        </w:rPr>
      </w:pPr>
      <w:r>
        <w:rPr>
          <w:rStyle w:val="44"/>
          <w:rFonts w:hint="eastAsia" w:ascii="宋体" w:hAnsi="宋体" w:eastAsia="宋体" w:cs="宋体"/>
          <w:color w:val="auto"/>
          <w:sz w:val="24"/>
          <w:szCs w:val="24"/>
          <w:highlight w:val="none"/>
        </w:rPr>
        <w:t>5.投标供应商的商务技术部分得分相差悬殊，评标委员会一致认为得分畸低者没有实质性响应的。</w:t>
      </w:r>
    </w:p>
    <w:p w14:paraId="586E521F">
      <w:pPr>
        <w:snapToGrid w:val="0"/>
        <w:ind w:firstLine="480" w:firstLineChars="200"/>
        <w:rPr>
          <w:rStyle w:val="44"/>
          <w:rFonts w:hint="eastAsia" w:ascii="宋体" w:hAnsi="宋体" w:eastAsia="宋体" w:cs="宋体"/>
          <w:color w:val="auto"/>
          <w:sz w:val="24"/>
          <w:szCs w:val="24"/>
          <w:highlight w:val="none"/>
        </w:rPr>
      </w:pPr>
      <w:r>
        <w:rPr>
          <w:rStyle w:val="44"/>
          <w:rFonts w:hint="eastAsia" w:ascii="宋体" w:hAnsi="宋体" w:eastAsia="宋体" w:cs="宋体"/>
          <w:color w:val="auto"/>
          <w:sz w:val="24"/>
          <w:szCs w:val="24"/>
          <w:highlight w:val="none"/>
        </w:rPr>
        <w:t>6.法律、法规和招标文件规定的其他无效情形。</w:t>
      </w:r>
    </w:p>
    <w:p w14:paraId="1DF2398F">
      <w:pPr>
        <w:snapToGrid w:val="0"/>
        <w:ind w:firstLine="482" w:firstLineChars="200"/>
        <w:rPr>
          <w:rStyle w:val="44"/>
          <w:rFonts w:hint="eastAsia" w:ascii="宋体" w:hAnsi="宋体" w:eastAsia="宋体" w:cs="宋体"/>
          <w:color w:val="auto"/>
          <w:sz w:val="24"/>
          <w:szCs w:val="24"/>
          <w:highlight w:val="none"/>
        </w:rPr>
      </w:pPr>
      <w:r>
        <w:rPr>
          <w:rStyle w:val="44"/>
          <w:rFonts w:hint="eastAsia" w:ascii="宋体" w:hAnsi="宋体" w:eastAsia="宋体" w:cs="宋体"/>
          <w:b/>
          <w:color w:val="auto"/>
          <w:sz w:val="24"/>
          <w:szCs w:val="24"/>
          <w:highlight w:val="none"/>
        </w:rPr>
        <w:t>十、有下列情形之一的，视为投标供应商串通投标，其投标无效</w:t>
      </w:r>
    </w:p>
    <w:p w14:paraId="2BCC4F95">
      <w:pPr>
        <w:snapToGrid w:val="0"/>
        <w:ind w:firstLine="484" w:firstLineChars="202"/>
        <w:rPr>
          <w:rStyle w:val="44"/>
          <w:rFonts w:hint="eastAsia" w:ascii="宋体" w:hAnsi="宋体" w:eastAsia="宋体" w:cs="宋体"/>
          <w:color w:val="auto"/>
          <w:sz w:val="24"/>
          <w:szCs w:val="24"/>
          <w:highlight w:val="none"/>
        </w:rPr>
      </w:pPr>
      <w:r>
        <w:rPr>
          <w:rStyle w:val="44"/>
          <w:rFonts w:hint="eastAsia" w:ascii="宋体" w:hAnsi="宋体" w:eastAsia="宋体" w:cs="宋体"/>
          <w:color w:val="auto"/>
          <w:sz w:val="24"/>
          <w:szCs w:val="24"/>
          <w:highlight w:val="none"/>
        </w:rPr>
        <w:t>1.不同投标供应商的投标文件由同一单位或者个人编制；</w:t>
      </w:r>
    </w:p>
    <w:p w14:paraId="179012B6">
      <w:pPr>
        <w:snapToGrid w:val="0"/>
        <w:ind w:firstLine="484" w:firstLineChars="202"/>
        <w:rPr>
          <w:rStyle w:val="44"/>
          <w:rFonts w:hint="eastAsia" w:ascii="宋体" w:hAnsi="宋体" w:eastAsia="宋体" w:cs="宋体"/>
          <w:color w:val="auto"/>
          <w:sz w:val="24"/>
          <w:szCs w:val="24"/>
          <w:highlight w:val="none"/>
        </w:rPr>
      </w:pPr>
      <w:r>
        <w:rPr>
          <w:rStyle w:val="44"/>
          <w:rFonts w:hint="eastAsia" w:ascii="宋体" w:hAnsi="宋体" w:eastAsia="宋体" w:cs="宋体"/>
          <w:color w:val="auto"/>
          <w:sz w:val="24"/>
          <w:szCs w:val="24"/>
          <w:highlight w:val="none"/>
        </w:rPr>
        <w:t>2.不同投标供应商委托同一单位或者个人办理投标事宜；</w:t>
      </w:r>
    </w:p>
    <w:p w14:paraId="3CC1CC73">
      <w:pPr>
        <w:snapToGrid w:val="0"/>
        <w:ind w:firstLine="484" w:firstLineChars="202"/>
        <w:rPr>
          <w:rStyle w:val="44"/>
          <w:rFonts w:hint="eastAsia" w:ascii="宋体" w:hAnsi="宋体" w:eastAsia="宋体" w:cs="宋体"/>
          <w:color w:val="auto"/>
          <w:sz w:val="24"/>
          <w:szCs w:val="24"/>
          <w:highlight w:val="none"/>
        </w:rPr>
      </w:pPr>
      <w:r>
        <w:rPr>
          <w:rStyle w:val="44"/>
          <w:rFonts w:hint="eastAsia" w:ascii="宋体" w:hAnsi="宋体" w:eastAsia="宋体" w:cs="宋体"/>
          <w:color w:val="auto"/>
          <w:sz w:val="24"/>
          <w:szCs w:val="24"/>
          <w:highlight w:val="none"/>
        </w:rPr>
        <w:t>3.不同投标供应商的投标文件载明的项目管理成员或者联系人员为同一人；</w:t>
      </w:r>
    </w:p>
    <w:p w14:paraId="14497C73">
      <w:pPr>
        <w:snapToGrid w:val="0"/>
        <w:ind w:firstLine="484" w:firstLineChars="202"/>
        <w:rPr>
          <w:rStyle w:val="44"/>
          <w:rFonts w:hint="eastAsia" w:ascii="宋体" w:hAnsi="宋体" w:eastAsia="宋体" w:cs="宋体"/>
          <w:color w:val="auto"/>
          <w:sz w:val="24"/>
          <w:szCs w:val="24"/>
          <w:highlight w:val="none"/>
        </w:rPr>
      </w:pPr>
      <w:r>
        <w:rPr>
          <w:rStyle w:val="44"/>
          <w:rFonts w:hint="eastAsia" w:ascii="宋体" w:hAnsi="宋体" w:eastAsia="宋体" w:cs="宋体"/>
          <w:color w:val="auto"/>
          <w:sz w:val="24"/>
          <w:szCs w:val="24"/>
          <w:highlight w:val="none"/>
        </w:rPr>
        <w:t>4.不同投标供应商的投标文件异常一致或者投标报价呈规律性差异；</w:t>
      </w:r>
    </w:p>
    <w:p w14:paraId="24D75E41">
      <w:pPr>
        <w:snapToGrid w:val="0"/>
        <w:ind w:firstLine="484" w:firstLineChars="202"/>
        <w:rPr>
          <w:rStyle w:val="44"/>
          <w:rFonts w:hint="eastAsia" w:ascii="宋体" w:hAnsi="宋体" w:eastAsia="宋体" w:cs="宋体"/>
          <w:color w:val="auto"/>
          <w:sz w:val="24"/>
          <w:szCs w:val="24"/>
          <w:highlight w:val="none"/>
        </w:rPr>
      </w:pPr>
      <w:r>
        <w:rPr>
          <w:rStyle w:val="44"/>
          <w:rFonts w:hint="eastAsia" w:ascii="宋体" w:hAnsi="宋体" w:eastAsia="宋体" w:cs="宋体"/>
          <w:color w:val="auto"/>
          <w:sz w:val="24"/>
          <w:szCs w:val="24"/>
          <w:highlight w:val="none"/>
        </w:rPr>
        <w:t>5.不同投标供应商的投标文件相互混装；</w:t>
      </w:r>
    </w:p>
    <w:p w14:paraId="123D2B7A">
      <w:pPr>
        <w:snapToGrid w:val="0"/>
        <w:ind w:firstLine="482" w:firstLineChars="200"/>
        <w:rPr>
          <w:rStyle w:val="44"/>
          <w:rFonts w:hint="eastAsia" w:ascii="宋体" w:hAnsi="宋体" w:eastAsia="宋体" w:cs="宋体"/>
          <w:b/>
          <w:color w:val="auto"/>
          <w:sz w:val="24"/>
          <w:szCs w:val="24"/>
          <w:highlight w:val="none"/>
        </w:rPr>
      </w:pPr>
      <w:r>
        <w:rPr>
          <w:rStyle w:val="44"/>
          <w:rFonts w:hint="eastAsia" w:ascii="宋体" w:hAnsi="宋体" w:eastAsia="宋体" w:cs="宋体"/>
          <w:b/>
          <w:color w:val="auto"/>
          <w:sz w:val="24"/>
          <w:szCs w:val="24"/>
          <w:highlight w:val="none"/>
        </w:rPr>
        <w:t>十一、出现下列情形之一的，作废标处理：</w:t>
      </w:r>
    </w:p>
    <w:p w14:paraId="240298B4">
      <w:pPr>
        <w:snapToGrid w:val="0"/>
        <w:ind w:firstLine="480" w:firstLineChars="200"/>
        <w:rPr>
          <w:rStyle w:val="44"/>
          <w:rFonts w:hint="eastAsia" w:ascii="宋体" w:hAnsi="宋体" w:eastAsia="宋体" w:cs="宋体"/>
          <w:color w:val="auto"/>
          <w:sz w:val="24"/>
          <w:szCs w:val="24"/>
          <w:highlight w:val="none"/>
        </w:rPr>
      </w:pPr>
      <w:r>
        <w:rPr>
          <w:rStyle w:val="44"/>
          <w:rFonts w:hint="eastAsia" w:ascii="宋体" w:hAnsi="宋体" w:eastAsia="宋体" w:cs="宋体"/>
          <w:color w:val="auto"/>
          <w:sz w:val="24"/>
          <w:szCs w:val="24"/>
          <w:highlight w:val="none"/>
        </w:rPr>
        <w:t>1.出现影响采购公正的违法违规行为的；</w:t>
      </w:r>
    </w:p>
    <w:p w14:paraId="623F52E0">
      <w:pPr>
        <w:snapToGrid w:val="0"/>
        <w:ind w:firstLine="480" w:firstLineChars="200"/>
        <w:rPr>
          <w:rStyle w:val="44"/>
          <w:rFonts w:hint="eastAsia" w:ascii="宋体" w:hAnsi="宋体" w:eastAsia="宋体" w:cs="宋体"/>
          <w:color w:val="auto"/>
          <w:sz w:val="24"/>
          <w:szCs w:val="24"/>
          <w:highlight w:val="none"/>
        </w:rPr>
      </w:pPr>
      <w:r>
        <w:rPr>
          <w:rStyle w:val="44"/>
          <w:rFonts w:hint="eastAsia" w:ascii="宋体" w:hAnsi="宋体" w:eastAsia="宋体" w:cs="宋体"/>
          <w:color w:val="auto"/>
          <w:sz w:val="24"/>
          <w:szCs w:val="24"/>
          <w:highlight w:val="none"/>
        </w:rPr>
        <w:t>2.所有投标供应商报价超出采购预算价的；</w:t>
      </w:r>
    </w:p>
    <w:p w14:paraId="45707FA1">
      <w:pPr>
        <w:snapToGrid w:val="0"/>
        <w:ind w:firstLine="480" w:firstLineChars="200"/>
        <w:rPr>
          <w:rStyle w:val="44"/>
          <w:rFonts w:hint="eastAsia" w:ascii="宋体" w:hAnsi="宋体" w:eastAsia="宋体" w:cs="宋体"/>
          <w:color w:val="auto"/>
          <w:sz w:val="24"/>
          <w:szCs w:val="24"/>
          <w:highlight w:val="none"/>
        </w:rPr>
      </w:pPr>
      <w:r>
        <w:rPr>
          <w:rStyle w:val="44"/>
          <w:rFonts w:hint="eastAsia" w:ascii="宋体" w:hAnsi="宋体" w:eastAsia="宋体" w:cs="宋体"/>
          <w:color w:val="auto"/>
          <w:sz w:val="24"/>
          <w:szCs w:val="24"/>
          <w:highlight w:val="none"/>
        </w:rPr>
        <w:t>3.因重大变故，采购任务被取消的；</w:t>
      </w:r>
    </w:p>
    <w:p w14:paraId="76418DF7">
      <w:pPr>
        <w:snapToGrid w:val="0"/>
        <w:ind w:firstLine="480" w:firstLineChars="200"/>
        <w:rPr>
          <w:rStyle w:val="44"/>
          <w:rFonts w:hint="eastAsia" w:ascii="宋体" w:hAnsi="宋体" w:eastAsia="宋体" w:cs="宋体"/>
          <w:color w:val="auto"/>
          <w:sz w:val="24"/>
          <w:szCs w:val="24"/>
          <w:highlight w:val="none"/>
        </w:rPr>
      </w:pPr>
      <w:r>
        <w:rPr>
          <w:rStyle w:val="44"/>
          <w:rFonts w:hint="eastAsia" w:ascii="宋体" w:hAnsi="宋体" w:eastAsia="宋体" w:cs="宋体"/>
          <w:color w:val="auto"/>
          <w:sz w:val="24"/>
          <w:szCs w:val="24"/>
          <w:highlight w:val="none"/>
        </w:rPr>
        <w:t>4.评标委员会依据法律法规可以认定为废标的其他情况。</w:t>
      </w:r>
    </w:p>
    <w:p w14:paraId="7921C211">
      <w:pPr>
        <w:snapToGrid w:val="0"/>
        <w:ind w:firstLine="482" w:firstLineChars="200"/>
        <w:rPr>
          <w:rStyle w:val="44"/>
          <w:rFonts w:hint="eastAsia" w:ascii="宋体" w:hAnsi="宋体" w:eastAsia="宋体" w:cs="宋体"/>
          <w:b/>
          <w:color w:val="auto"/>
          <w:sz w:val="24"/>
          <w:szCs w:val="24"/>
          <w:highlight w:val="none"/>
        </w:rPr>
      </w:pPr>
      <w:r>
        <w:rPr>
          <w:rStyle w:val="44"/>
          <w:rFonts w:hint="eastAsia" w:ascii="宋体" w:hAnsi="宋体" w:eastAsia="宋体" w:cs="宋体"/>
          <w:b/>
          <w:color w:val="auto"/>
          <w:sz w:val="24"/>
          <w:szCs w:val="24"/>
          <w:highlight w:val="none"/>
        </w:rPr>
        <w:t>十二、中标通知</w:t>
      </w:r>
    </w:p>
    <w:p w14:paraId="2AB9F07C">
      <w:pPr>
        <w:snapToGrid w:val="0"/>
        <w:ind w:firstLine="484" w:firstLineChars="202"/>
        <w:rPr>
          <w:rStyle w:val="44"/>
          <w:rFonts w:hint="eastAsia" w:ascii="宋体" w:hAnsi="宋体" w:eastAsia="宋体" w:cs="宋体"/>
          <w:color w:val="auto"/>
          <w:kern w:val="0"/>
          <w:sz w:val="24"/>
          <w:szCs w:val="24"/>
          <w:highlight w:val="none"/>
        </w:rPr>
      </w:pPr>
      <w:r>
        <w:rPr>
          <w:rStyle w:val="44"/>
          <w:rFonts w:hint="eastAsia" w:ascii="宋体" w:hAnsi="宋体" w:eastAsia="宋体" w:cs="宋体"/>
          <w:color w:val="auto"/>
          <w:kern w:val="0"/>
          <w:sz w:val="24"/>
          <w:szCs w:val="24"/>
          <w:highlight w:val="none"/>
        </w:rPr>
        <w:t>1.开标结束后，采购人自中标人确定之日起2个工作日内在指定媒体上公告中标结果。</w:t>
      </w:r>
    </w:p>
    <w:p w14:paraId="764AF594">
      <w:pPr>
        <w:snapToGrid w:val="0"/>
        <w:ind w:firstLine="484" w:firstLineChars="202"/>
        <w:rPr>
          <w:rStyle w:val="44"/>
          <w:rFonts w:hint="eastAsia" w:ascii="宋体" w:hAnsi="宋体" w:eastAsia="宋体" w:cs="宋体"/>
          <w:color w:val="auto"/>
          <w:kern w:val="0"/>
          <w:sz w:val="24"/>
          <w:szCs w:val="24"/>
          <w:highlight w:val="none"/>
        </w:rPr>
      </w:pPr>
      <w:r>
        <w:rPr>
          <w:rStyle w:val="44"/>
          <w:rFonts w:hint="eastAsia" w:ascii="宋体" w:hAnsi="宋体" w:eastAsia="宋体" w:cs="宋体"/>
          <w:color w:val="auto"/>
          <w:kern w:val="0"/>
          <w:sz w:val="24"/>
          <w:szCs w:val="24"/>
          <w:highlight w:val="none"/>
        </w:rPr>
        <w:t>2.中标公告期限为1个工作日。</w:t>
      </w:r>
    </w:p>
    <w:p w14:paraId="29E54EFE">
      <w:pPr>
        <w:snapToGrid w:val="0"/>
        <w:ind w:firstLine="484" w:firstLineChars="202"/>
        <w:rPr>
          <w:rStyle w:val="44"/>
          <w:rFonts w:hint="eastAsia" w:ascii="宋体" w:hAnsi="宋体" w:eastAsia="宋体" w:cs="宋体"/>
          <w:b/>
          <w:bCs/>
          <w:color w:val="auto"/>
          <w:kern w:val="0"/>
          <w:sz w:val="24"/>
          <w:szCs w:val="24"/>
          <w:highlight w:val="none"/>
        </w:rPr>
      </w:pPr>
      <w:r>
        <w:rPr>
          <w:rStyle w:val="44"/>
          <w:rFonts w:hint="eastAsia" w:ascii="宋体" w:hAnsi="宋体" w:eastAsia="宋体" w:cs="宋体"/>
          <w:color w:val="auto"/>
          <w:kern w:val="0"/>
          <w:sz w:val="24"/>
          <w:szCs w:val="24"/>
          <w:highlight w:val="none"/>
        </w:rPr>
        <w:t>3.《中标通知书》一经发出，即具有法律效力。采购人、中标人依法承担法律责任。</w:t>
      </w:r>
      <w:r>
        <w:rPr>
          <w:rStyle w:val="44"/>
          <w:rFonts w:hint="eastAsia" w:ascii="宋体" w:hAnsi="宋体" w:eastAsia="宋体" w:cs="宋体"/>
          <w:b/>
          <w:bCs/>
          <w:color w:val="auto"/>
          <w:kern w:val="0"/>
          <w:sz w:val="24"/>
          <w:szCs w:val="24"/>
          <w:highlight w:val="none"/>
        </w:rPr>
        <w:t xml:space="preserve"> </w:t>
      </w:r>
    </w:p>
    <w:p w14:paraId="421C5807">
      <w:pPr>
        <w:rPr>
          <w:rStyle w:val="44"/>
          <w:rFonts w:hint="eastAsia" w:ascii="宋体" w:hAnsi="宋体" w:eastAsia="宋体" w:cs="宋体"/>
          <w:b/>
          <w:color w:val="auto"/>
          <w:w w:val="80"/>
          <w:kern w:val="44"/>
          <w:sz w:val="36"/>
          <w:szCs w:val="36"/>
          <w:highlight w:val="none"/>
        </w:rPr>
      </w:pPr>
      <w:r>
        <w:rPr>
          <w:rStyle w:val="44"/>
          <w:rFonts w:hint="eastAsia" w:ascii="宋体" w:hAnsi="宋体" w:eastAsia="宋体" w:cs="宋体"/>
          <w:b/>
          <w:color w:val="auto"/>
          <w:w w:val="80"/>
          <w:kern w:val="44"/>
          <w:sz w:val="36"/>
          <w:szCs w:val="36"/>
          <w:highlight w:val="none"/>
        </w:rPr>
        <w:br w:type="page"/>
      </w:r>
    </w:p>
    <w:p w14:paraId="7A94CF5E">
      <w:pPr>
        <w:snapToGrid w:val="0"/>
        <w:jc w:val="center"/>
        <w:rPr>
          <w:rStyle w:val="44"/>
          <w:rFonts w:hint="eastAsia" w:ascii="宋体" w:hAnsi="宋体" w:eastAsia="宋体" w:cs="宋体"/>
          <w:b/>
          <w:color w:val="auto"/>
          <w:w w:val="80"/>
          <w:kern w:val="44"/>
          <w:sz w:val="36"/>
          <w:szCs w:val="36"/>
          <w:highlight w:val="none"/>
        </w:rPr>
      </w:pPr>
      <w:r>
        <w:rPr>
          <w:rStyle w:val="44"/>
          <w:rFonts w:hint="eastAsia" w:ascii="宋体" w:hAnsi="宋体" w:eastAsia="宋体" w:cs="宋体"/>
          <w:b/>
          <w:color w:val="auto"/>
          <w:w w:val="80"/>
          <w:kern w:val="44"/>
          <w:sz w:val="36"/>
          <w:szCs w:val="36"/>
          <w:highlight w:val="none"/>
        </w:rPr>
        <w:t>第五章 合同签订与验收付款</w:t>
      </w:r>
    </w:p>
    <w:p w14:paraId="30C486EC">
      <w:pPr>
        <w:pStyle w:val="2"/>
        <w:ind w:left="0" w:leftChars="0" w:firstLine="0" w:firstLineChars="0"/>
        <w:rPr>
          <w:rFonts w:hint="eastAsia" w:ascii="宋体" w:hAnsi="宋体" w:cs="宋体"/>
          <w:b/>
          <w:color w:val="auto"/>
          <w:sz w:val="24"/>
          <w:highlight w:val="none"/>
          <w:u w:val="single"/>
        </w:rPr>
      </w:pPr>
      <w:r>
        <w:rPr>
          <w:rFonts w:hint="eastAsia" w:ascii="宋体" w:hAnsi="宋体" w:cs="宋体"/>
          <w:b/>
          <w:color w:val="auto"/>
          <w:sz w:val="24"/>
          <w:highlight w:val="none"/>
          <w:u w:val="single"/>
        </w:rPr>
        <w:t>以下为中标后签订本项目合同的通用条款，中标供应商不得提出实质性的修改。</w:t>
      </w:r>
    </w:p>
    <w:p w14:paraId="1FA1E594">
      <w:pPr>
        <w:pStyle w:val="2"/>
        <w:ind w:left="0" w:leftChars="0" w:firstLine="0" w:firstLineChars="0"/>
        <w:rPr>
          <w:rFonts w:hint="eastAsia" w:ascii="宋体" w:hAnsi="宋体" w:cs="宋体"/>
          <w:bCs/>
          <w:color w:val="auto"/>
          <w:sz w:val="24"/>
          <w:highlight w:val="none"/>
        </w:rPr>
      </w:pPr>
    </w:p>
    <w:p w14:paraId="6099646C">
      <w:pPr>
        <w:pStyle w:val="2"/>
        <w:ind w:left="0" w:leftChars="0" w:firstLine="0" w:firstLineChars="0"/>
        <w:rPr>
          <w:rFonts w:hint="eastAsia" w:ascii="宋体" w:hAnsi="宋体" w:cs="宋体"/>
          <w:bCs/>
          <w:color w:val="auto"/>
          <w:sz w:val="24"/>
          <w:highlight w:val="none"/>
        </w:rPr>
      </w:pPr>
      <w:r>
        <w:rPr>
          <w:rFonts w:hint="eastAsia" w:ascii="宋体" w:hAnsi="宋体" w:cs="宋体"/>
          <w:bCs/>
          <w:color w:val="auto"/>
          <w:sz w:val="24"/>
          <w:highlight w:val="none"/>
        </w:rPr>
        <w:t>采购人：</w:t>
      </w:r>
      <w:r>
        <w:rPr>
          <w:rFonts w:hint="eastAsia" w:ascii="宋体" w:hAnsi="宋体" w:cs="宋体"/>
          <w:bCs/>
          <w:color w:val="auto"/>
          <w:sz w:val="24"/>
          <w:highlight w:val="none"/>
          <w:u w:val="single"/>
        </w:rPr>
        <w:t xml:space="preserve">             </w:t>
      </w:r>
      <w:r>
        <w:rPr>
          <w:rFonts w:hint="eastAsia" w:ascii="宋体" w:hAnsi="宋体" w:cs="宋体"/>
          <w:bCs/>
          <w:color w:val="auto"/>
          <w:sz w:val="24"/>
          <w:highlight w:val="none"/>
        </w:rPr>
        <w:t>（以下简称甲方）</w:t>
      </w:r>
    </w:p>
    <w:p w14:paraId="4B00EB0A">
      <w:pPr>
        <w:pStyle w:val="2"/>
        <w:ind w:left="0" w:leftChars="0" w:firstLine="0" w:firstLineChars="0"/>
        <w:rPr>
          <w:rFonts w:hint="eastAsia" w:ascii="宋体" w:hAnsi="宋体" w:cs="宋体"/>
          <w:bCs/>
          <w:color w:val="auto"/>
          <w:sz w:val="24"/>
          <w:highlight w:val="none"/>
        </w:rPr>
      </w:pPr>
      <w:r>
        <w:rPr>
          <w:rFonts w:hint="eastAsia" w:ascii="宋体" w:hAnsi="宋体" w:cs="宋体"/>
          <w:bCs/>
          <w:color w:val="auto"/>
          <w:sz w:val="24"/>
          <w:highlight w:val="none"/>
        </w:rPr>
        <w:t>中标供应商：</w:t>
      </w:r>
      <w:r>
        <w:rPr>
          <w:rFonts w:hint="eastAsia" w:ascii="宋体" w:hAnsi="宋体" w:cs="宋体"/>
          <w:bCs/>
          <w:color w:val="auto"/>
          <w:sz w:val="24"/>
          <w:highlight w:val="none"/>
          <w:u w:val="single"/>
        </w:rPr>
        <w:t xml:space="preserve">             </w:t>
      </w:r>
      <w:r>
        <w:rPr>
          <w:rFonts w:hint="eastAsia" w:ascii="宋体" w:hAnsi="宋体" w:cs="宋体"/>
          <w:bCs/>
          <w:color w:val="auto"/>
          <w:sz w:val="24"/>
          <w:highlight w:val="none"/>
        </w:rPr>
        <w:t>（以下简称乙方）</w:t>
      </w:r>
    </w:p>
    <w:p w14:paraId="0FA327DF">
      <w:pPr>
        <w:pStyle w:val="2"/>
        <w:ind w:left="0" w:leftChars="0" w:firstLine="0" w:firstLineChars="0"/>
        <w:rPr>
          <w:rFonts w:hint="eastAsia" w:ascii="宋体" w:hAnsi="宋体" w:cs="宋体"/>
          <w:bCs/>
          <w:color w:val="auto"/>
          <w:sz w:val="24"/>
          <w:highlight w:val="none"/>
          <w:lang w:val="zh-CN"/>
        </w:rPr>
      </w:pPr>
      <w:r>
        <w:rPr>
          <w:rFonts w:hint="eastAsia" w:ascii="宋体" w:hAnsi="宋体" w:cs="宋体"/>
          <w:bCs/>
          <w:color w:val="auto"/>
          <w:sz w:val="24"/>
          <w:highlight w:val="none"/>
          <w:lang w:val="zh-CN"/>
        </w:rPr>
        <w:t xml:space="preserve">签订地点：                                 </w:t>
      </w:r>
    </w:p>
    <w:p w14:paraId="69F0789C">
      <w:pPr>
        <w:pStyle w:val="2"/>
        <w:spacing w:line="360" w:lineRule="auto"/>
        <w:ind w:left="0" w:leftChars="0" w:firstLine="480"/>
        <w:rPr>
          <w:rFonts w:hint="eastAsia" w:ascii="宋体" w:hAnsi="宋体" w:cs="宋体"/>
          <w:bCs/>
          <w:color w:val="auto"/>
          <w:sz w:val="24"/>
          <w:highlight w:val="none"/>
          <w:lang w:val="zh-CN"/>
        </w:rPr>
      </w:pPr>
      <w:r>
        <w:rPr>
          <w:rFonts w:hint="eastAsia" w:ascii="宋体" w:hAnsi="宋体" w:cs="宋体"/>
          <w:bCs/>
          <w:color w:val="auto"/>
          <w:sz w:val="24"/>
          <w:highlight w:val="none"/>
          <w:lang w:val="zh-CN"/>
        </w:rPr>
        <w:t>根据《</w:t>
      </w:r>
      <w:r>
        <w:rPr>
          <w:rFonts w:hint="eastAsia" w:ascii="宋体" w:hAnsi="宋体" w:cs="宋体"/>
          <w:bCs/>
          <w:color w:val="auto"/>
          <w:sz w:val="24"/>
          <w:highlight w:val="none"/>
        </w:rPr>
        <w:t>中华人民共和国民法典</w:t>
      </w:r>
      <w:r>
        <w:rPr>
          <w:rFonts w:hint="eastAsia" w:ascii="宋体" w:hAnsi="宋体" w:cs="宋体"/>
          <w:bCs/>
          <w:color w:val="auto"/>
          <w:sz w:val="24"/>
          <w:highlight w:val="none"/>
          <w:lang w:val="zh-CN"/>
        </w:rPr>
        <w:t>》及</w:t>
      </w:r>
      <w:r>
        <w:rPr>
          <w:rFonts w:hint="eastAsia" w:ascii="宋体" w:hAnsi="宋体" w:cs="宋体"/>
          <w:bCs/>
          <w:color w:val="auto"/>
          <w:sz w:val="24"/>
          <w:highlight w:val="none"/>
          <w:u w:val="single"/>
        </w:rPr>
        <w:t xml:space="preserve">  </w:t>
      </w:r>
      <w:r>
        <w:rPr>
          <w:rFonts w:hint="eastAsia" w:ascii="宋体" w:hAnsi="宋体" w:cs="宋体"/>
          <w:bCs/>
          <w:color w:val="auto"/>
          <w:sz w:val="24"/>
          <w:highlight w:val="none"/>
          <w:lang w:val="zh-CN"/>
        </w:rPr>
        <w:t>年</w:t>
      </w:r>
      <w:r>
        <w:rPr>
          <w:rFonts w:hint="eastAsia" w:ascii="宋体" w:hAnsi="宋体" w:cs="宋体"/>
          <w:bCs/>
          <w:color w:val="auto"/>
          <w:sz w:val="24"/>
          <w:highlight w:val="none"/>
          <w:u w:val="single"/>
        </w:rPr>
        <w:t xml:space="preserve">  </w:t>
      </w:r>
      <w:r>
        <w:rPr>
          <w:rFonts w:hint="eastAsia" w:ascii="宋体" w:hAnsi="宋体" w:cs="宋体"/>
          <w:bCs/>
          <w:color w:val="auto"/>
          <w:sz w:val="24"/>
          <w:highlight w:val="none"/>
          <w:lang w:val="zh-CN"/>
        </w:rPr>
        <w:t>月</w:t>
      </w:r>
      <w:r>
        <w:rPr>
          <w:rFonts w:hint="eastAsia" w:ascii="宋体" w:hAnsi="宋体" w:cs="宋体"/>
          <w:bCs/>
          <w:color w:val="auto"/>
          <w:sz w:val="24"/>
          <w:highlight w:val="none"/>
          <w:u w:val="single"/>
        </w:rPr>
        <w:t xml:space="preserve">  </w:t>
      </w:r>
      <w:r>
        <w:rPr>
          <w:rFonts w:hint="eastAsia" w:ascii="宋体" w:hAnsi="宋体" w:cs="宋体"/>
          <w:bCs/>
          <w:color w:val="auto"/>
          <w:sz w:val="24"/>
          <w:highlight w:val="none"/>
          <w:lang w:val="zh-CN"/>
        </w:rPr>
        <w:t>日（项目名称）</w:t>
      </w:r>
      <w:r>
        <w:rPr>
          <w:rFonts w:hint="eastAsia" w:ascii="宋体" w:hAnsi="宋体" w:cs="宋体"/>
          <w:bCs/>
          <w:color w:val="auto"/>
          <w:sz w:val="24"/>
          <w:highlight w:val="none"/>
          <w:u w:val="single"/>
        </w:rPr>
        <w:t xml:space="preserve">           </w:t>
      </w:r>
      <w:r>
        <w:rPr>
          <w:rFonts w:hint="eastAsia" w:ascii="宋体" w:hAnsi="宋体" w:cs="宋体"/>
          <w:bCs/>
          <w:color w:val="auto"/>
          <w:sz w:val="24"/>
          <w:highlight w:val="none"/>
          <w:lang w:val="zh-CN"/>
        </w:rPr>
        <w:t>的</w:t>
      </w:r>
      <w:r>
        <w:rPr>
          <w:rFonts w:hint="eastAsia" w:ascii="宋体" w:hAnsi="宋体" w:cs="宋体"/>
          <w:bCs/>
          <w:color w:val="auto"/>
          <w:sz w:val="24"/>
          <w:highlight w:val="none"/>
        </w:rPr>
        <w:t>中标</w:t>
      </w:r>
      <w:r>
        <w:rPr>
          <w:rFonts w:hint="eastAsia" w:ascii="宋体" w:hAnsi="宋体" w:cs="宋体"/>
          <w:bCs/>
          <w:color w:val="auto"/>
          <w:sz w:val="24"/>
          <w:highlight w:val="none"/>
          <w:lang w:val="zh-CN"/>
        </w:rPr>
        <w:t>结果、</w:t>
      </w:r>
      <w:r>
        <w:rPr>
          <w:rFonts w:hint="eastAsia" w:ascii="宋体" w:hAnsi="宋体" w:cs="宋体"/>
          <w:bCs/>
          <w:color w:val="auto"/>
          <w:sz w:val="24"/>
          <w:highlight w:val="none"/>
        </w:rPr>
        <w:t>招标</w:t>
      </w:r>
      <w:r>
        <w:rPr>
          <w:rFonts w:hint="eastAsia" w:ascii="宋体" w:hAnsi="宋体" w:cs="宋体"/>
          <w:bCs/>
          <w:color w:val="auto"/>
          <w:sz w:val="24"/>
          <w:highlight w:val="none"/>
          <w:lang w:val="zh-CN"/>
        </w:rPr>
        <w:t>文件及</w:t>
      </w:r>
      <w:r>
        <w:rPr>
          <w:rFonts w:hint="eastAsia" w:ascii="宋体" w:hAnsi="宋体" w:cs="宋体"/>
          <w:bCs/>
          <w:color w:val="auto"/>
          <w:sz w:val="24"/>
          <w:highlight w:val="none"/>
        </w:rPr>
        <w:t>投标</w:t>
      </w:r>
      <w:r>
        <w:rPr>
          <w:rFonts w:hint="eastAsia" w:ascii="宋体" w:hAnsi="宋体" w:cs="宋体"/>
          <w:bCs/>
          <w:color w:val="auto"/>
          <w:sz w:val="24"/>
          <w:highlight w:val="none"/>
          <w:lang w:val="zh-CN"/>
        </w:rPr>
        <w:t>文件，经双方协商一致，签订本合同。</w:t>
      </w:r>
    </w:p>
    <w:p w14:paraId="7BA7EE0D">
      <w:pPr>
        <w:pStyle w:val="23"/>
        <w:ind w:firstLine="241"/>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一、合同内容</w:t>
      </w:r>
    </w:p>
    <w:p w14:paraId="35975D5C">
      <w:pPr>
        <w:pStyle w:val="2"/>
        <w:spacing w:line="360" w:lineRule="auto"/>
        <w:ind w:left="0" w:leftChars="0" w:firstLine="480"/>
        <w:rPr>
          <w:rFonts w:hint="eastAsia" w:ascii="宋体" w:hAnsi="宋体" w:cs="宋体"/>
          <w:bCs/>
          <w:color w:val="auto"/>
          <w:sz w:val="24"/>
          <w:highlight w:val="none"/>
        </w:rPr>
      </w:pPr>
      <w:r>
        <w:rPr>
          <w:rFonts w:hint="eastAsia" w:ascii="宋体" w:hAnsi="宋体" w:cs="宋体"/>
          <w:bCs/>
          <w:color w:val="auto"/>
          <w:sz w:val="24"/>
          <w:highlight w:val="none"/>
        </w:rPr>
        <w:t>1.</w:t>
      </w:r>
      <w:r>
        <w:rPr>
          <w:rFonts w:hint="eastAsia" w:ascii="宋体" w:hAnsi="宋体" w:cs="宋体"/>
          <w:bCs/>
          <w:color w:val="auto"/>
          <w:sz w:val="24"/>
          <w:highlight w:val="none"/>
          <w:lang w:val="zh-CN"/>
        </w:rPr>
        <w:t>乙方负责完成本次</w:t>
      </w:r>
      <w:r>
        <w:rPr>
          <w:rFonts w:hint="eastAsia" w:ascii="宋体" w:hAnsi="宋体" w:cs="宋体"/>
          <w:bCs/>
          <w:color w:val="auto"/>
          <w:sz w:val="24"/>
          <w:highlight w:val="none"/>
        </w:rPr>
        <w:t>项目</w:t>
      </w:r>
      <w:r>
        <w:rPr>
          <w:rFonts w:hint="eastAsia" w:ascii="宋体" w:hAnsi="宋体" w:cs="宋体"/>
          <w:bCs/>
          <w:color w:val="auto"/>
          <w:sz w:val="24"/>
          <w:highlight w:val="none"/>
          <w:lang w:val="zh-CN"/>
        </w:rPr>
        <w:t>范围：</w:t>
      </w:r>
      <w:r>
        <w:rPr>
          <w:rFonts w:hint="eastAsia" w:ascii="宋体" w:hAnsi="宋体" w:cs="宋体"/>
          <w:bCs/>
          <w:color w:val="auto"/>
          <w:sz w:val="24"/>
          <w:highlight w:val="none"/>
          <w:u w:val="single"/>
        </w:rPr>
        <w:t>对市北高新区标准空气站、VOCs空气站和微型空气站提供运维服务，并保证数据正常接入市北高新区生态环境综合管理平台，且该平台能正常使用</w:t>
      </w:r>
      <w:r>
        <w:rPr>
          <w:rFonts w:hint="eastAsia" w:ascii="宋体" w:hAnsi="宋体" w:cs="宋体"/>
          <w:bCs/>
          <w:color w:val="auto"/>
          <w:sz w:val="24"/>
          <w:highlight w:val="none"/>
        </w:rPr>
        <w:t>。</w:t>
      </w:r>
      <w:r>
        <w:rPr>
          <w:rFonts w:hint="eastAsia" w:ascii="宋体" w:hAnsi="宋体" w:cs="宋体"/>
          <w:bCs/>
          <w:color w:val="auto"/>
          <w:sz w:val="24"/>
          <w:highlight w:val="none"/>
          <w:lang w:val="zh-CN"/>
        </w:rPr>
        <w:t>市北高新区污染物排放限值限量监测设备详细情况如下：</w:t>
      </w:r>
    </w:p>
    <w:tbl>
      <w:tblPr>
        <w:tblStyle w:val="24"/>
        <w:tblW w:w="478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7"/>
        <w:gridCol w:w="1849"/>
        <w:gridCol w:w="1993"/>
        <w:gridCol w:w="1243"/>
        <w:gridCol w:w="1448"/>
        <w:gridCol w:w="816"/>
        <w:gridCol w:w="816"/>
      </w:tblGrid>
      <w:tr w14:paraId="0E066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jc w:val="center"/>
        </w:trPr>
        <w:tc>
          <w:tcPr>
            <w:tcW w:w="408" w:type="pct"/>
            <w:vAlign w:val="center"/>
          </w:tcPr>
          <w:p w14:paraId="4062DDC9">
            <w:pPr>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039" w:type="pct"/>
          </w:tcPr>
          <w:p w14:paraId="2BB9F40A">
            <w:pPr>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设备类型</w:t>
            </w:r>
          </w:p>
        </w:tc>
        <w:tc>
          <w:tcPr>
            <w:tcW w:w="1120" w:type="pct"/>
            <w:vAlign w:val="center"/>
          </w:tcPr>
          <w:p w14:paraId="3A31871D">
            <w:pPr>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设备名称</w:t>
            </w:r>
          </w:p>
        </w:tc>
        <w:tc>
          <w:tcPr>
            <w:tcW w:w="699" w:type="pct"/>
            <w:vAlign w:val="center"/>
          </w:tcPr>
          <w:p w14:paraId="617C1E3A">
            <w:pPr>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品牌</w:t>
            </w:r>
          </w:p>
        </w:tc>
        <w:tc>
          <w:tcPr>
            <w:tcW w:w="814" w:type="pct"/>
            <w:vAlign w:val="center"/>
          </w:tcPr>
          <w:p w14:paraId="49D9983F">
            <w:pPr>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规格型号</w:t>
            </w:r>
          </w:p>
        </w:tc>
        <w:tc>
          <w:tcPr>
            <w:tcW w:w="459" w:type="pct"/>
            <w:vAlign w:val="center"/>
          </w:tcPr>
          <w:p w14:paraId="57B9090B">
            <w:pPr>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单位</w:t>
            </w:r>
          </w:p>
        </w:tc>
        <w:tc>
          <w:tcPr>
            <w:tcW w:w="459" w:type="pct"/>
            <w:vAlign w:val="center"/>
          </w:tcPr>
          <w:p w14:paraId="7DBCAECA">
            <w:pPr>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数量</w:t>
            </w:r>
          </w:p>
        </w:tc>
      </w:tr>
      <w:tr w14:paraId="55919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08" w:type="pct"/>
            <w:vMerge w:val="restart"/>
            <w:vAlign w:val="center"/>
          </w:tcPr>
          <w:p w14:paraId="21A0E762">
            <w:pPr>
              <w:pStyle w:val="20"/>
              <w:spacing w:line="240" w:lineRule="auto"/>
              <w:rPr>
                <w:rFonts w:hint="eastAsia" w:ascii="宋体" w:hAnsi="宋体" w:eastAsia="宋体" w:cs="宋体"/>
                <w:color w:val="auto"/>
                <w:sz w:val="21"/>
                <w:szCs w:val="21"/>
                <w:highlight w:val="none"/>
              </w:rPr>
            </w:pPr>
          </w:p>
          <w:p w14:paraId="31B7C8A3">
            <w:pPr>
              <w:pStyle w:val="2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p w14:paraId="1695C2A5">
            <w:pPr>
              <w:pStyle w:val="20"/>
              <w:spacing w:line="240" w:lineRule="auto"/>
              <w:rPr>
                <w:rFonts w:hint="eastAsia" w:ascii="宋体" w:hAnsi="宋体" w:eastAsia="宋体" w:cs="宋体"/>
                <w:color w:val="auto"/>
                <w:sz w:val="21"/>
                <w:szCs w:val="21"/>
                <w:highlight w:val="none"/>
              </w:rPr>
            </w:pPr>
          </w:p>
        </w:tc>
        <w:tc>
          <w:tcPr>
            <w:tcW w:w="1039" w:type="pct"/>
            <w:vMerge w:val="restart"/>
          </w:tcPr>
          <w:p w14:paraId="0DEB9B6E">
            <w:pPr>
              <w:pStyle w:val="20"/>
              <w:spacing w:line="240" w:lineRule="auto"/>
              <w:ind w:left="0" w:firstLine="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标准空气站（站房及配套辅助设施）</w:t>
            </w:r>
          </w:p>
        </w:tc>
        <w:tc>
          <w:tcPr>
            <w:tcW w:w="1120" w:type="pct"/>
            <w:vAlign w:val="center"/>
          </w:tcPr>
          <w:p w14:paraId="78D03928">
            <w:pPr>
              <w:pStyle w:val="2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NOx分析仪</w:t>
            </w:r>
          </w:p>
        </w:tc>
        <w:tc>
          <w:tcPr>
            <w:tcW w:w="699" w:type="pct"/>
            <w:vAlign w:val="center"/>
          </w:tcPr>
          <w:p w14:paraId="42147006">
            <w:pPr>
              <w:pStyle w:val="2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聚光科技</w:t>
            </w:r>
          </w:p>
        </w:tc>
        <w:tc>
          <w:tcPr>
            <w:tcW w:w="814" w:type="pct"/>
            <w:vAlign w:val="center"/>
          </w:tcPr>
          <w:p w14:paraId="2C7F44DB">
            <w:pPr>
              <w:pStyle w:val="2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AQMS-600</w:t>
            </w:r>
          </w:p>
        </w:tc>
        <w:tc>
          <w:tcPr>
            <w:tcW w:w="459" w:type="pct"/>
            <w:vAlign w:val="center"/>
          </w:tcPr>
          <w:p w14:paraId="6E6421B1">
            <w:pPr>
              <w:pStyle w:val="2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套</w:t>
            </w:r>
          </w:p>
        </w:tc>
        <w:tc>
          <w:tcPr>
            <w:tcW w:w="459" w:type="pct"/>
            <w:vAlign w:val="center"/>
          </w:tcPr>
          <w:p w14:paraId="4823C160">
            <w:pPr>
              <w:pStyle w:val="2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r>
      <w:tr w14:paraId="2324E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08" w:type="pct"/>
            <w:vMerge w:val="continue"/>
            <w:vAlign w:val="center"/>
          </w:tcPr>
          <w:p w14:paraId="73C4DF01">
            <w:pPr>
              <w:pStyle w:val="20"/>
              <w:spacing w:line="240" w:lineRule="auto"/>
              <w:rPr>
                <w:rFonts w:hint="eastAsia" w:ascii="宋体" w:hAnsi="宋体" w:eastAsia="宋体" w:cs="宋体"/>
                <w:color w:val="auto"/>
                <w:sz w:val="21"/>
                <w:szCs w:val="21"/>
                <w:highlight w:val="none"/>
              </w:rPr>
            </w:pPr>
          </w:p>
        </w:tc>
        <w:tc>
          <w:tcPr>
            <w:tcW w:w="1039" w:type="pct"/>
            <w:vMerge w:val="continue"/>
          </w:tcPr>
          <w:p w14:paraId="5DE431D2">
            <w:pPr>
              <w:pStyle w:val="20"/>
              <w:spacing w:line="240" w:lineRule="auto"/>
              <w:rPr>
                <w:rFonts w:hint="eastAsia" w:ascii="宋体" w:hAnsi="宋体" w:eastAsia="宋体" w:cs="宋体"/>
                <w:color w:val="auto"/>
                <w:sz w:val="21"/>
                <w:szCs w:val="21"/>
                <w:highlight w:val="none"/>
              </w:rPr>
            </w:pPr>
          </w:p>
        </w:tc>
        <w:tc>
          <w:tcPr>
            <w:tcW w:w="1120" w:type="pct"/>
            <w:vAlign w:val="center"/>
          </w:tcPr>
          <w:p w14:paraId="26ABACBB">
            <w:pPr>
              <w:pStyle w:val="2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SO</w:t>
            </w:r>
            <w:r>
              <w:rPr>
                <w:rFonts w:hint="eastAsia" w:ascii="宋体" w:hAnsi="宋体" w:eastAsia="宋体" w:cs="宋体"/>
                <w:color w:val="auto"/>
                <w:sz w:val="21"/>
                <w:szCs w:val="21"/>
                <w:highlight w:val="none"/>
                <w:vertAlign w:val="subscript"/>
              </w:rPr>
              <w:t>2</w:t>
            </w:r>
            <w:r>
              <w:rPr>
                <w:rFonts w:hint="eastAsia" w:ascii="宋体" w:hAnsi="宋体" w:eastAsia="宋体" w:cs="宋体"/>
                <w:color w:val="auto"/>
                <w:sz w:val="21"/>
                <w:szCs w:val="21"/>
                <w:highlight w:val="none"/>
              </w:rPr>
              <w:t>分析仪</w:t>
            </w:r>
          </w:p>
        </w:tc>
        <w:tc>
          <w:tcPr>
            <w:tcW w:w="699" w:type="pct"/>
            <w:vAlign w:val="center"/>
          </w:tcPr>
          <w:p w14:paraId="2DE47688">
            <w:pPr>
              <w:pStyle w:val="2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聚光科技</w:t>
            </w:r>
          </w:p>
        </w:tc>
        <w:tc>
          <w:tcPr>
            <w:tcW w:w="814" w:type="pct"/>
            <w:vAlign w:val="center"/>
          </w:tcPr>
          <w:p w14:paraId="53BD8BA7">
            <w:pPr>
              <w:pStyle w:val="2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AQMS-500</w:t>
            </w:r>
          </w:p>
        </w:tc>
        <w:tc>
          <w:tcPr>
            <w:tcW w:w="459" w:type="pct"/>
            <w:vAlign w:val="center"/>
          </w:tcPr>
          <w:p w14:paraId="404299F2">
            <w:pPr>
              <w:pStyle w:val="2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套</w:t>
            </w:r>
          </w:p>
        </w:tc>
        <w:tc>
          <w:tcPr>
            <w:tcW w:w="459" w:type="pct"/>
            <w:vAlign w:val="center"/>
          </w:tcPr>
          <w:p w14:paraId="4574F6CE">
            <w:pPr>
              <w:pStyle w:val="2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r>
      <w:tr w14:paraId="10C1C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08" w:type="pct"/>
            <w:vMerge w:val="continue"/>
            <w:vAlign w:val="center"/>
          </w:tcPr>
          <w:p w14:paraId="033C35A6">
            <w:pPr>
              <w:pStyle w:val="20"/>
              <w:spacing w:line="240" w:lineRule="auto"/>
              <w:rPr>
                <w:rFonts w:hint="eastAsia" w:ascii="宋体" w:hAnsi="宋体" w:eastAsia="宋体" w:cs="宋体"/>
                <w:color w:val="auto"/>
                <w:sz w:val="21"/>
                <w:szCs w:val="21"/>
                <w:highlight w:val="none"/>
              </w:rPr>
            </w:pPr>
          </w:p>
        </w:tc>
        <w:tc>
          <w:tcPr>
            <w:tcW w:w="1039" w:type="pct"/>
            <w:vMerge w:val="continue"/>
          </w:tcPr>
          <w:p w14:paraId="2246FCD6">
            <w:pPr>
              <w:pStyle w:val="20"/>
              <w:spacing w:line="240" w:lineRule="auto"/>
              <w:rPr>
                <w:rFonts w:hint="eastAsia" w:ascii="宋体" w:hAnsi="宋体" w:eastAsia="宋体" w:cs="宋体"/>
                <w:color w:val="auto"/>
                <w:sz w:val="21"/>
                <w:szCs w:val="21"/>
                <w:highlight w:val="none"/>
              </w:rPr>
            </w:pPr>
          </w:p>
        </w:tc>
        <w:tc>
          <w:tcPr>
            <w:tcW w:w="1120" w:type="pct"/>
            <w:vAlign w:val="center"/>
          </w:tcPr>
          <w:p w14:paraId="42FB8696">
            <w:pPr>
              <w:pStyle w:val="2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CO分析仪</w:t>
            </w:r>
          </w:p>
        </w:tc>
        <w:tc>
          <w:tcPr>
            <w:tcW w:w="699" w:type="pct"/>
            <w:vAlign w:val="center"/>
          </w:tcPr>
          <w:p w14:paraId="118E7252">
            <w:pPr>
              <w:pStyle w:val="2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聚光科技</w:t>
            </w:r>
          </w:p>
        </w:tc>
        <w:tc>
          <w:tcPr>
            <w:tcW w:w="814" w:type="pct"/>
            <w:vAlign w:val="center"/>
          </w:tcPr>
          <w:p w14:paraId="1CEF81FB">
            <w:pPr>
              <w:pStyle w:val="2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AQMS-400</w:t>
            </w:r>
          </w:p>
        </w:tc>
        <w:tc>
          <w:tcPr>
            <w:tcW w:w="459" w:type="pct"/>
            <w:vAlign w:val="center"/>
          </w:tcPr>
          <w:p w14:paraId="3DEDA8F8">
            <w:pPr>
              <w:pStyle w:val="2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套</w:t>
            </w:r>
          </w:p>
        </w:tc>
        <w:tc>
          <w:tcPr>
            <w:tcW w:w="459" w:type="pct"/>
            <w:vAlign w:val="center"/>
          </w:tcPr>
          <w:p w14:paraId="742097B8">
            <w:pPr>
              <w:pStyle w:val="2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r>
      <w:tr w14:paraId="362C6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08" w:type="pct"/>
            <w:vMerge w:val="continue"/>
            <w:vAlign w:val="center"/>
          </w:tcPr>
          <w:p w14:paraId="01CBCEFD">
            <w:pPr>
              <w:pStyle w:val="20"/>
              <w:spacing w:line="240" w:lineRule="auto"/>
              <w:rPr>
                <w:rFonts w:hint="eastAsia" w:ascii="宋体" w:hAnsi="宋体" w:eastAsia="宋体" w:cs="宋体"/>
                <w:color w:val="auto"/>
                <w:sz w:val="21"/>
                <w:szCs w:val="21"/>
                <w:highlight w:val="none"/>
              </w:rPr>
            </w:pPr>
          </w:p>
        </w:tc>
        <w:tc>
          <w:tcPr>
            <w:tcW w:w="1039" w:type="pct"/>
            <w:vMerge w:val="continue"/>
          </w:tcPr>
          <w:p w14:paraId="1A438725">
            <w:pPr>
              <w:pStyle w:val="20"/>
              <w:spacing w:line="240" w:lineRule="auto"/>
              <w:rPr>
                <w:rFonts w:hint="eastAsia" w:ascii="宋体" w:hAnsi="宋体" w:eastAsia="宋体" w:cs="宋体"/>
                <w:color w:val="auto"/>
                <w:sz w:val="21"/>
                <w:szCs w:val="21"/>
                <w:highlight w:val="none"/>
              </w:rPr>
            </w:pPr>
          </w:p>
        </w:tc>
        <w:tc>
          <w:tcPr>
            <w:tcW w:w="1120" w:type="pct"/>
            <w:vAlign w:val="center"/>
          </w:tcPr>
          <w:p w14:paraId="7B83C0C3">
            <w:pPr>
              <w:pStyle w:val="2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O</w:t>
            </w:r>
            <w:r>
              <w:rPr>
                <w:rFonts w:hint="eastAsia" w:ascii="宋体" w:hAnsi="宋体" w:eastAsia="宋体" w:cs="宋体"/>
                <w:color w:val="auto"/>
                <w:sz w:val="21"/>
                <w:szCs w:val="21"/>
                <w:highlight w:val="none"/>
                <w:vertAlign w:val="subscript"/>
              </w:rPr>
              <w:t>3</w:t>
            </w:r>
            <w:r>
              <w:rPr>
                <w:rFonts w:hint="eastAsia" w:ascii="宋体" w:hAnsi="宋体" w:eastAsia="宋体" w:cs="宋体"/>
                <w:color w:val="auto"/>
                <w:sz w:val="21"/>
                <w:szCs w:val="21"/>
                <w:highlight w:val="none"/>
              </w:rPr>
              <w:t>分析仪</w:t>
            </w:r>
          </w:p>
        </w:tc>
        <w:tc>
          <w:tcPr>
            <w:tcW w:w="699" w:type="pct"/>
            <w:vAlign w:val="center"/>
          </w:tcPr>
          <w:p w14:paraId="02CFE845">
            <w:pPr>
              <w:pStyle w:val="2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聚光科技</w:t>
            </w:r>
          </w:p>
        </w:tc>
        <w:tc>
          <w:tcPr>
            <w:tcW w:w="814" w:type="pct"/>
            <w:vAlign w:val="center"/>
          </w:tcPr>
          <w:p w14:paraId="1BFF0ECE">
            <w:pPr>
              <w:pStyle w:val="2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AQMS-300</w:t>
            </w:r>
          </w:p>
        </w:tc>
        <w:tc>
          <w:tcPr>
            <w:tcW w:w="459" w:type="pct"/>
            <w:vAlign w:val="center"/>
          </w:tcPr>
          <w:p w14:paraId="2F527A4D">
            <w:pPr>
              <w:pStyle w:val="2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套</w:t>
            </w:r>
          </w:p>
        </w:tc>
        <w:tc>
          <w:tcPr>
            <w:tcW w:w="459" w:type="pct"/>
            <w:vAlign w:val="center"/>
          </w:tcPr>
          <w:p w14:paraId="1207E933">
            <w:pPr>
              <w:pStyle w:val="2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r>
      <w:tr w14:paraId="104D2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08" w:type="pct"/>
            <w:vMerge w:val="continue"/>
            <w:vAlign w:val="center"/>
          </w:tcPr>
          <w:p w14:paraId="34A2176F">
            <w:pPr>
              <w:pStyle w:val="20"/>
              <w:spacing w:line="240" w:lineRule="auto"/>
              <w:rPr>
                <w:rFonts w:hint="eastAsia" w:ascii="宋体" w:hAnsi="宋体" w:eastAsia="宋体" w:cs="宋体"/>
                <w:color w:val="auto"/>
                <w:sz w:val="21"/>
                <w:szCs w:val="21"/>
                <w:highlight w:val="none"/>
              </w:rPr>
            </w:pPr>
          </w:p>
        </w:tc>
        <w:tc>
          <w:tcPr>
            <w:tcW w:w="1039" w:type="pct"/>
            <w:vMerge w:val="continue"/>
          </w:tcPr>
          <w:p w14:paraId="55A2F16E">
            <w:pPr>
              <w:pStyle w:val="20"/>
              <w:spacing w:line="240" w:lineRule="auto"/>
              <w:rPr>
                <w:rFonts w:hint="eastAsia" w:ascii="宋体" w:hAnsi="宋体" w:eastAsia="宋体" w:cs="宋体"/>
                <w:color w:val="auto"/>
                <w:sz w:val="21"/>
                <w:szCs w:val="21"/>
                <w:highlight w:val="none"/>
              </w:rPr>
            </w:pPr>
          </w:p>
        </w:tc>
        <w:tc>
          <w:tcPr>
            <w:tcW w:w="1120" w:type="pct"/>
            <w:vAlign w:val="center"/>
          </w:tcPr>
          <w:p w14:paraId="576A8F8C">
            <w:pPr>
              <w:pStyle w:val="2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PM</w:t>
            </w:r>
            <w:r>
              <w:rPr>
                <w:rFonts w:hint="eastAsia" w:ascii="宋体" w:hAnsi="宋体" w:eastAsia="宋体" w:cs="宋体"/>
                <w:color w:val="auto"/>
                <w:sz w:val="21"/>
                <w:szCs w:val="21"/>
                <w:highlight w:val="none"/>
                <w:vertAlign w:val="subscript"/>
              </w:rPr>
              <w:t>10</w:t>
            </w:r>
            <w:r>
              <w:rPr>
                <w:rFonts w:hint="eastAsia" w:ascii="宋体" w:hAnsi="宋体" w:eastAsia="宋体" w:cs="宋体"/>
                <w:color w:val="auto"/>
                <w:sz w:val="21"/>
                <w:szCs w:val="21"/>
                <w:highlight w:val="none"/>
              </w:rPr>
              <w:t>颗粒物分析仪</w:t>
            </w:r>
          </w:p>
        </w:tc>
        <w:tc>
          <w:tcPr>
            <w:tcW w:w="699" w:type="pct"/>
            <w:vAlign w:val="center"/>
          </w:tcPr>
          <w:p w14:paraId="09473AEC">
            <w:pPr>
              <w:pStyle w:val="2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聚光科技</w:t>
            </w:r>
          </w:p>
        </w:tc>
        <w:tc>
          <w:tcPr>
            <w:tcW w:w="814" w:type="pct"/>
            <w:vAlign w:val="center"/>
          </w:tcPr>
          <w:p w14:paraId="14DE1899">
            <w:pPr>
              <w:pStyle w:val="2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BPM-200</w:t>
            </w:r>
          </w:p>
        </w:tc>
        <w:tc>
          <w:tcPr>
            <w:tcW w:w="459" w:type="pct"/>
            <w:vAlign w:val="center"/>
          </w:tcPr>
          <w:p w14:paraId="5327C15A">
            <w:pPr>
              <w:pStyle w:val="2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套</w:t>
            </w:r>
          </w:p>
        </w:tc>
        <w:tc>
          <w:tcPr>
            <w:tcW w:w="459" w:type="pct"/>
            <w:vAlign w:val="center"/>
          </w:tcPr>
          <w:p w14:paraId="1230E23A">
            <w:pPr>
              <w:pStyle w:val="2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r>
      <w:tr w14:paraId="65791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08" w:type="pct"/>
            <w:vMerge w:val="continue"/>
            <w:vAlign w:val="center"/>
          </w:tcPr>
          <w:p w14:paraId="598656F4">
            <w:pPr>
              <w:pStyle w:val="20"/>
              <w:spacing w:line="240" w:lineRule="auto"/>
              <w:rPr>
                <w:rFonts w:hint="eastAsia" w:ascii="宋体" w:hAnsi="宋体" w:eastAsia="宋体" w:cs="宋体"/>
                <w:color w:val="auto"/>
                <w:sz w:val="21"/>
                <w:szCs w:val="21"/>
                <w:highlight w:val="none"/>
              </w:rPr>
            </w:pPr>
          </w:p>
        </w:tc>
        <w:tc>
          <w:tcPr>
            <w:tcW w:w="1039" w:type="pct"/>
            <w:vMerge w:val="continue"/>
          </w:tcPr>
          <w:p w14:paraId="6C23C34F">
            <w:pPr>
              <w:pStyle w:val="20"/>
              <w:spacing w:line="240" w:lineRule="auto"/>
              <w:rPr>
                <w:rFonts w:hint="eastAsia" w:ascii="宋体" w:hAnsi="宋体" w:eastAsia="宋体" w:cs="宋体"/>
                <w:color w:val="auto"/>
                <w:sz w:val="21"/>
                <w:szCs w:val="21"/>
                <w:highlight w:val="none"/>
              </w:rPr>
            </w:pPr>
          </w:p>
        </w:tc>
        <w:tc>
          <w:tcPr>
            <w:tcW w:w="1120" w:type="pct"/>
            <w:vAlign w:val="center"/>
          </w:tcPr>
          <w:p w14:paraId="1A6AB5DC">
            <w:pPr>
              <w:pStyle w:val="2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PM</w:t>
            </w:r>
            <w:r>
              <w:rPr>
                <w:rFonts w:hint="eastAsia" w:ascii="宋体" w:hAnsi="宋体" w:eastAsia="宋体" w:cs="宋体"/>
                <w:color w:val="auto"/>
                <w:sz w:val="21"/>
                <w:szCs w:val="21"/>
                <w:highlight w:val="none"/>
                <w:vertAlign w:val="subscript"/>
              </w:rPr>
              <w:t>2.5</w:t>
            </w:r>
            <w:r>
              <w:rPr>
                <w:rFonts w:hint="eastAsia" w:ascii="宋体" w:hAnsi="宋体" w:eastAsia="宋体" w:cs="宋体"/>
                <w:color w:val="auto"/>
                <w:sz w:val="21"/>
                <w:szCs w:val="21"/>
                <w:highlight w:val="none"/>
              </w:rPr>
              <w:t>颗粒物分析仪</w:t>
            </w:r>
          </w:p>
        </w:tc>
        <w:tc>
          <w:tcPr>
            <w:tcW w:w="699" w:type="pct"/>
            <w:vAlign w:val="center"/>
          </w:tcPr>
          <w:p w14:paraId="24B88A3B">
            <w:pPr>
              <w:pStyle w:val="2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聚光科技</w:t>
            </w:r>
          </w:p>
        </w:tc>
        <w:tc>
          <w:tcPr>
            <w:tcW w:w="814" w:type="pct"/>
            <w:vAlign w:val="center"/>
          </w:tcPr>
          <w:p w14:paraId="3ED4240F">
            <w:pPr>
              <w:pStyle w:val="2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BPM-200</w:t>
            </w:r>
          </w:p>
        </w:tc>
        <w:tc>
          <w:tcPr>
            <w:tcW w:w="459" w:type="pct"/>
            <w:vAlign w:val="center"/>
          </w:tcPr>
          <w:p w14:paraId="32AF38B2">
            <w:pPr>
              <w:pStyle w:val="2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套</w:t>
            </w:r>
          </w:p>
        </w:tc>
        <w:tc>
          <w:tcPr>
            <w:tcW w:w="459" w:type="pct"/>
            <w:vAlign w:val="center"/>
          </w:tcPr>
          <w:p w14:paraId="6998C39D">
            <w:pPr>
              <w:pStyle w:val="2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r>
      <w:tr w14:paraId="7F540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08" w:type="pct"/>
            <w:vMerge w:val="continue"/>
            <w:vAlign w:val="center"/>
          </w:tcPr>
          <w:p w14:paraId="7EB8B008">
            <w:pPr>
              <w:pStyle w:val="20"/>
              <w:spacing w:line="240" w:lineRule="auto"/>
              <w:rPr>
                <w:rFonts w:hint="eastAsia" w:ascii="宋体" w:hAnsi="宋体" w:eastAsia="宋体" w:cs="宋体"/>
                <w:color w:val="auto"/>
                <w:sz w:val="21"/>
                <w:szCs w:val="21"/>
                <w:highlight w:val="none"/>
              </w:rPr>
            </w:pPr>
          </w:p>
        </w:tc>
        <w:tc>
          <w:tcPr>
            <w:tcW w:w="1039" w:type="pct"/>
            <w:vMerge w:val="continue"/>
          </w:tcPr>
          <w:p w14:paraId="160A0325">
            <w:pPr>
              <w:pStyle w:val="20"/>
              <w:spacing w:line="240" w:lineRule="auto"/>
              <w:rPr>
                <w:rFonts w:hint="eastAsia" w:ascii="宋体" w:hAnsi="宋体" w:eastAsia="宋体" w:cs="宋体"/>
                <w:color w:val="auto"/>
                <w:sz w:val="21"/>
                <w:szCs w:val="21"/>
                <w:highlight w:val="none"/>
              </w:rPr>
            </w:pPr>
          </w:p>
        </w:tc>
        <w:tc>
          <w:tcPr>
            <w:tcW w:w="1120" w:type="pct"/>
            <w:vAlign w:val="center"/>
          </w:tcPr>
          <w:p w14:paraId="63010CAF">
            <w:pPr>
              <w:pStyle w:val="2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动态校准仪</w:t>
            </w:r>
          </w:p>
        </w:tc>
        <w:tc>
          <w:tcPr>
            <w:tcW w:w="699" w:type="pct"/>
            <w:vAlign w:val="center"/>
          </w:tcPr>
          <w:p w14:paraId="46E17CB5">
            <w:pPr>
              <w:pStyle w:val="2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聚光科技</w:t>
            </w:r>
          </w:p>
        </w:tc>
        <w:tc>
          <w:tcPr>
            <w:tcW w:w="814" w:type="pct"/>
            <w:vAlign w:val="center"/>
          </w:tcPr>
          <w:p w14:paraId="2931E34E">
            <w:pPr>
              <w:pStyle w:val="2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AQMS-200</w:t>
            </w:r>
          </w:p>
        </w:tc>
        <w:tc>
          <w:tcPr>
            <w:tcW w:w="459" w:type="pct"/>
            <w:vAlign w:val="center"/>
          </w:tcPr>
          <w:p w14:paraId="56EA8749">
            <w:pPr>
              <w:pStyle w:val="2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套</w:t>
            </w:r>
          </w:p>
        </w:tc>
        <w:tc>
          <w:tcPr>
            <w:tcW w:w="459" w:type="pct"/>
            <w:vAlign w:val="center"/>
          </w:tcPr>
          <w:p w14:paraId="3B5E98E1">
            <w:pPr>
              <w:pStyle w:val="2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r>
      <w:tr w14:paraId="4AC19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08" w:type="pct"/>
            <w:vMerge w:val="continue"/>
            <w:vAlign w:val="center"/>
          </w:tcPr>
          <w:p w14:paraId="2E7B46C0">
            <w:pPr>
              <w:pStyle w:val="20"/>
              <w:spacing w:line="240" w:lineRule="auto"/>
              <w:rPr>
                <w:rFonts w:hint="eastAsia" w:ascii="宋体" w:hAnsi="宋体" w:eastAsia="宋体" w:cs="宋体"/>
                <w:color w:val="auto"/>
                <w:sz w:val="21"/>
                <w:szCs w:val="21"/>
                <w:highlight w:val="none"/>
              </w:rPr>
            </w:pPr>
          </w:p>
        </w:tc>
        <w:tc>
          <w:tcPr>
            <w:tcW w:w="1039" w:type="pct"/>
            <w:vMerge w:val="continue"/>
          </w:tcPr>
          <w:p w14:paraId="4017715A">
            <w:pPr>
              <w:pStyle w:val="20"/>
              <w:spacing w:line="240" w:lineRule="auto"/>
              <w:rPr>
                <w:rFonts w:hint="eastAsia" w:ascii="宋体" w:hAnsi="宋体" w:eastAsia="宋体" w:cs="宋体"/>
                <w:color w:val="auto"/>
                <w:sz w:val="21"/>
                <w:szCs w:val="21"/>
                <w:highlight w:val="none"/>
              </w:rPr>
            </w:pPr>
          </w:p>
        </w:tc>
        <w:tc>
          <w:tcPr>
            <w:tcW w:w="1120" w:type="pct"/>
            <w:vAlign w:val="center"/>
          </w:tcPr>
          <w:p w14:paraId="22545D94">
            <w:pPr>
              <w:pStyle w:val="2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零气发生器</w:t>
            </w:r>
          </w:p>
        </w:tc>
        <w:tc>
          <w:tcPr>
            <w:tcW w:w="699" w:type="pct"/>
            <w:vAlign w:val="center"/>
          </w:tcPr>
          <w:p w14:paraId="4E5CAE3D">
            <w:pPr>
              <w:pStyle w:val="2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聚光科技</w:t>
            </w:r>
          </w:p>
        </w:tc>
        <w:tc>
          <w:tcPr>
            <w:tcW w:w="814" w:type="pct"/>
            <w:vAlign w:val="center"/>
          </w:tcPr>
          <w:p w14:paraId="4E9C1B65">
            <w:pPr>
              <w:pStyle w:val="2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AQMS-100</w:t>
            </w:r>
          </w:p>
        </w:tc>
        <w:tc>
          <w:tcPr>
            <w:tcW w:w="459" w:type="pct"/>
            <w:vAlign w:val="center"/>
          </w:tcPr>
          <w:p w14:paraId="029D3A0A">
            <w:pPr>
              <w:pStyle w:val="2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套</w:t>
            </w:r>
          </w:p>
        </w:tc>
        <w:tc>
          <w:tcPr>
            <w:tcW w:w="459" w:type="pct"/>
            <w:vAlign w:val="center"/>
          </w:tcPr>
          <w:p w14:paraId="52C75EAD">
            <w:pPr>
              <w:pStyle w:val="2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r>
      <w:tr w14:paraId="44E9A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08" w:type="pct"/>
            <w:vMerge w:val="continue"/>
            <w:vAlign w:val="center"/>
          </w:tcPr>
          <w:p w14:paraId="11B22AC3">
            <w:pPr>
              <w:pStyle w:val="20"/>
              <w:spacing w:line="240" w:lineRule="auto"/>
              <w:rPr>
                <w:rFonts w:hint="eastAsia" w:ascii="宋体" w:hAnsi="宋体" w:eastAsia="宋体" w:cs="宋体"/>
                <w:color w:val="auto"/>
                <w:sz w:val="21"/>
                <w:szCs w:val="21"/>
                <w:highlight w:val="none"/>
              </w:rPr>
            </w:pPr>
          </w:p>
        </w:tc>
        <w:tc>
          <w:tcPr>
            <w:tcW w:w="1039" w:type="pct"/>
            <w:vMerge w:val="continue"/>
          </w:tcPr>
          <w:p w14:paraId="4DA5B92E">
            <w:pPr>
              <w:pStyle w:val="20"/>
              <w:spacing w:line="240" w:lineRule="auto"/>
              <w:rPr>
                <w:rFonts w:hint="eastAsia" w:ascii="宋体" w:hAnsi="宋体" w:eastAsia="宋体" w:cs="宋体"/>
                <w:color w:val="auto"/>
                <w:sz w:val="21"/>
                <w:szCs w:val="21"/>
                <w:highlight w:val="none"/>
              </w:rPr>
            </w:pPr>
          </w:p>
        </w:tc>
        <w:tc>
          <w:tcPr>
            <w:tcW w:w="1120" w:type="pct"/>
            <w:vAlign w:val="center"/>
          </w:tcPr>
          <w:p w14:paraId="730E326C">
            <w:pPr>
              <w:pStyle w:val="2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气象五参数</w:t>
            </w:r>
          </w:p>
        </w:tc>
        <w:tc>
          <w:tcPr>
            <w:tcW w:w="699" w:type="pct"/>
            <w:vAlign w:val="center"/>
          </w:tcPr>
          <w:p w14:paraId="45577DE1">
            <w:pPr>
              <w:pStyle w:val="2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智翔宇</w:t>
            </w:r>
          </w:p>
        </w:tc>
        <w:tc>
          <w:tcPr>
            <w:tcW w:w="814" w:type="pct"/>
            <w:vAlign w:val="center"/>
          </w:tcPr>
          <w:p w14:paraId="5AFF7BD2">
            <w:pPr>
              <w:pStyle w:val="2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MULTI-5P</w:t>
            </w:r>
          </w:p>
        </w:tc>
        <w:tc>
          <w:tcPr>
            <w:tcW w:w="459" w:type="pct"/>
            <w:vAlign w:val="center"/>
          </w:tcPr>
          <w:p w14:paraId="718D0A51">
            <w:pPr>
              <w:pStyle w:val="2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套</w:t>
            </w:r>
          </w:p>
        </w:tc>
        <w:tc>
          <w:tcPr>
            <w:tcW w:w="459" w:type="pct"/>
            <w:vAlign w:val="center"/>
          </w:tcPr>
          <w:p w14:paraId="0FAE46C9">
            <w:pPr>
              <w:pStyle w:val="2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r>
      <w:tr w14:paraId="06128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08" w:type="pct"/>
            <w:vMerge w:val="restart"/>
            <w:vAlign w:val="center"/>
          </w:tcPr>
          <w:p w14:paraId="3E302835">
            <w:pPr>
              <w:pStyle w:val="2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039" w:type="pct"/>
            <w:vMerge w:val="restart"/>
          </w:tcPr>
          <w:p w14:paraId="20388B94">
            <w:pPr>
              <w:pStyle w:val="20"/>
              <w:spacing w:line="240" w:lineRule="auto"/>
              <w:ind w:left="0" w:firstLine="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VOCs空气站（站房及配套辅助设施）</w:t>
            </w:r>
          </w:p>
        </w:tc>
        <w:tc>
          <w:tcPr>
            <w:tcW w:w="1120" w:type="pct"/>
            <w:vAlign w:val="center"/>
          </w:tcPr>
          <w:p w14:paraId="64E028BD">
            <w:pPr>
              <w:pStyle w:val="20"/>
              <w:spacing w:line="240" w:lineRule="auto"/>
              <w:ind w:left="0" w:firstLine="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挥发性有机物在线监测系统</w:t>
            </w:r>
          </w:p>
        </w:tc>
        <w:tc>
          <w:tcPr>
            <w:tcW w:w="699" w:type="pct"/>
            <w:vAlign w:val="center"/>
          </w:tcPr>
          <w:p w14:paraId="135AEFA3">
            <w:pPr>
              <w:pStyle w:val="2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谱育科技</w:t>
            </w:r>
          </w:p>
        </w:tc>
        <w:tc>
          <w:tcPr>
            <w:tcW w:w="814" w:type="pct"/>
            <w:vAlign w:val="center"/>
          </w:tcPr>
          <w:p w14:paraId="5338F012">
            <w:pPr>
              <w:pStyle w:val="20"/>
              <w:spacing w:line="240" w:lineRule="auto"/>
              <w:ind w:left="18" w:hanging="1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EXPEC 2000 （规格：315P/315H）</w:t>
            </w:r>
          </w:p>
        </w:tc>
        <w:tc>
          <w:tcPr>
            <w:tcW w:w="459" w:type="pct"/>
            <w:vAlign w:val="center"/>
          </w:tcPr>
          <w:p w14:paraId="1C74E956">
            <w:pPr>
              <w:pStyle w:val="2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套</w:t>
            </w:r>
          </w:p>
        </w:tc>
        <w:tc>
          <w:tcPr>
            <w:tcW w:w="459" w:type="pct"/>
            <w:vAlign w:val="center"/>
          </w:tcPr>
          <w:p w14:paraId="37AE79BE">
            <w:pPr>
              <w:pStyle w:val="2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r>
      <w:tr w14:paraId="38DA8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08" w:type="pct"/>
            <w:vMerge w:val="continue"/>
            <w:vAlign w:val="center"/>
          </w:tcPr>
          <w:p w14:paraId="1D10588F">
            <w:pPr>
              <w:pStyle w:val="20"/>
              <w:spacing w:line="240" w:lineRule="auto"/>
              <w:rPr>
                <w:rFonts w:hint="eastAsia" w:ascii="宋体" w:hAnsi="宋体" w:eastAsia="宋体" w:cs="宋体"/>
                <w:color w:val="auto"/>
                <w:sz w:val="21"/>
                <w:szCs w:val="21"/>
                <w:highlight w:val="none"/>
              </w:rPr>
            </w:pPr>
          </w:p>
        </w:tc>
        <w:tc>
          <w:tcPr>
            <w:tcW w:w="1039" w:type="pct"/>
            <w:vMerge w:val="continue"/>
          </w:tcPr>
          <w:p w14:paraId="6146CA17">
            <w:pPr>
              <w:pStyle w:val="20"/>
              <w:spacing w:line="240" w:lineRule="auto"/>
              <w:rPr>
                <w:rFonts w:hint="eastAsia" w:ascii="宋体" w:hAnsi="宋体" w:eastAsia="宋体" w:cs="宋体"/>
                <w:color w:val="auto"/>
                <w:sz w:val="21"/>
                <w:szCs w:val="21"/>
                <w:highlight w:val="none"/>
              </w:rPr>
            </w:pPr>
          </w:p>
        </w:tc>
        <w:tc>
          <w:tcPr>
            <w:tcW w:w="1120" w:type="pct"/>
            <w:vAlign w:val="center"/>
          </w:tcPr>
          <w:p w14:paraId="47056E5C">
            <w:pPr>
              <w:pStyle w:val="20"/>
              <w:spacing w:line="240" w:lineRule="auto"/>
              <w:ind w:left="0" w:firstLine="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全惰性化精密动态校准仪</w:t>
            </w:r>
          </w:p>
        </w:tc>
        <w:tc>
          <w:tcPr>
            <w:tcW w:w="699" w:type="pct"/>
            <w:vAlign w:val="center"/>
          </w:tcPr>
          <w:p w14:paraId="34CF1228">
            <w:pPr>
              <w:pStyle w:val="2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谱育科技</w:t>
            </w:r>
          </w:p>
        </w:tc>
        <w:tc>
          <w:tcPr>
            <w:tcW w:w="814" w:type="pct"/>
            <w:vAlign w:val="center"/>
          </w:tcPr>
          <w:p w14:paraId="0FD45047">
            <w:pPr>
              <w:pStyle w:val="2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D 3000</w:t>
            </w:r>
          </w:p>
        </w:tc>
        <w:tc>
          <w:tcPr>
            <w:tcW w:w="459" w:type="pct"/>
            <w:vAlign w:val="center"/>
          </w:tcPr>
          <w:p w14:paraId="693E2F6A">
            <w:pPr>
              <w:pStyle w:val="2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套</w:t>
            </w:r>
          </w:p>
        </w:tc>
        <w:tc>
          <w:tcPr>
            <w:tcW w:w="459" w:type="pct"/>
            <w:vAlign w:val="center"/>
          </w:tcPr>
          <w:p w14:paraId="64432B4D">
            <w:pPr>
              <w:pStyle w:val="2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r>
      <w:tr w14:paraId="1FDC2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08" w:type="pct"/>
            <w:vMerge w:val="continue"/>
            <w:vAlign w:val="center"/>
          </w:tcPr>
          <w:p w14:paraId="36F474C4">
            <w:pPr>
              <w:pStyle w:val="20"/>
              <w:spacing w:line="240" w:lineRule="auto"/>
              <w:rPr>
                <w:rFonts w:hint="eastAsia" w:ascii="宋体" w:hAnsi="宋体" w:eastAsia="宋体" w:cs="宋体"/>
                <w:color w:val="auto"/>
                <w:sz w:val="21"/>
                <w:szCs w:val="21"/>
                <w:highlight w:val="none"/>
              </w:rPr>
            </w:pPr>
          </w:p>
        </w:tc>
        <w:tc>
          <w:tcPr>
            <w:tcW w:w="1039" w:type="pct"/>
            <w:vMerge w:val="continue"/>
          </w:tcPr>
          <w:p w14:paraId="5E3BBD3E">
            <w:pPr>
              <w:pStyle w:val="20"/>
              <w:spacing w:line="240" w:lineRule="auto"/>
              <w:rPr>
                <w:rFonts w:hint="eastAsia" w:ascii="宋体" w:hAnsi="宋体" w:eastAsia="宋体" w:cs="宋体"/>
                <w:color w:val="auto"/>
                <w:sz w:val="21"/>
                <w:szCs w:val="21"/>
                <w:highlight w:val="none"/>
              </w:rPr>
            </w:pPr>
          </w:p>
        </w:tc>
        <w:tc>
          <w:tcPr>
            <w:tcW w:w="1120" w:type="pct"/>
            <w:vAlign w:val="center"/>
          </w:tcPr>
          <w:p w14:paraId="1DE3256F">
            <w:pPr>
              <w:pStyle w:val="2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零气发生器</w:t>
            </w:r>
          </w:p>
        </w:tc>
        <w:tc>
          <w:tcPr>
            <w:tcW w:w="699" w:type="pct"/>
            <w:vAlign w:val="center"/>
          </w:tcPr>
          <w:p w14:paraId="5D52BDF9">
            <w:pPr>
              <w:pStyle w:val="2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谱育科技</w:t>
            </w:r>
          </w:p>
        </w:tc>
        <w:tc>
          <w:tcPr>
            <w:tcW w:w="814" w:type="pct"/>
            <w:vAlign w:val="center"/>
          </w:tcPr>
          <w:p w14:paraId="7455B3B7">
            <w:pPr>
              <w:pStyle w:val="2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 710</w:t>
            </w:r>
          </w:p>
        </w:tc>
        <w:tc>
          <w:tcPr>
            <w:tcW w:w="459" w:type="pct"/>
            <w:vAlign w:val="center"/>
          </w:tcPr>
          <w:p w14:paraId="2AEA5104">
            <w:pPr>
              <w:pStyle w:val="2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套</w:t>
            </w:r>
          </w:p>
        </w:tc>
        <w:tc>
          <w:tcPr>
            <w:tcW w:w="459" w:type="pct"/>
            <w:vAlign w:val="center"/>
          </w:tcPr>
          <w:p w14:paraId="66CF5903">
            <w:pPr>
              <w:pStyle w:val="2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r>
      <w:tr w14:paraId="44D6C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08" w:type="pct"/>
            <w:vMerge w:val="continue"/>
            <w:vAlign w:val="center"/>
          </w:tcPr>
          <w:p w14:paraId="66536D54">
            <w:pPr>
              <w:pStyle w:val="20"/>
              <w:spacing w:line="240" w:lineRule="auto"/>
              <w:rPr>
                <w:rFonts w:hint="eastAsia" w:ascii="宋体" w:hAnsi="宋体" w:eastAsia="宋体" w:cs="宋体"/>
                <w:color w:val="auto"/>
                <w:sz w:val="21"/>
                <w:szCs w:val="21"/>
                <w:highlight w:val="none"/>
              </w:rPr>
            </w:pPr>
          </w:p>
        </w:tc>
        <w:tc>
          <w:tcPr>
            <w:tcW w:w="1039" w:type="pct"/>
            <w:vMerge w:val="continue"/>
          </w:tcPr>
          <w:p w14:paraId="4F2BE30F">
            <w:pPr>
              <w:pStyle w:val="20"/>
              <w:spacing w:line="240" w:lineRule="auto"/>
              <w:rPr>
                <w:rFonts w:hint="eastAsia" w:ascii="宋体" w:hAnsi="宋体" w:eastAsia="宋体" w:cs="宋体"/>
                <w:color w:val="auto"/>
                <w:sz w:val="21"/>
                <w:szCs w:val="21"/>
                <w:highlight w:val="none"/>
              </w:rPr>
            </w:pPr>
          </w:p>
        </w:tc>
        <w:tc>
          <w:tcPr>
            <w:tcW w:w="1120" w:type="pct"/>
            <w:vAlign w:val="center"/>
          </w:tcPr>
          <w:p w14:paraId="5261D95E">
            <w:pPr>
              <w:pStyle w:val="2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氢气发生器</w:t>
            </w:r>
          </w:p>
        </w:tc>
        <w:tc>
          <w:tcPr>
            <w:tcW w:w="699" w:type="pct"/>
            <w:vAlign w:val="center"/>
          </w:tcPr>
          <w:p w14:paraId="7E5CBE71">
            <w:pPr>
              <w:pStyle w:val="2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谱育科技</w:t>
            </w:r>
          </w:p>
        </w:tc>
        <w:tc>
          <w:tcPr>
            <w:tcW w:w="814" w:type="pct"/>
            <w:vAlign w:val="center"/>
          </w:tcPr>
          <w:p w14:paraId="021DD0C9">
            <w:pPr>
              <w:pStyle w:val="2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EXPEC 300</w:t>
            </w:r>
          </w:p>
        </w:tc>
        <w:tc>
          <w:tcPr>
            <w:tcW w:w="459" w:type="pct"/>
            <w:vAlign w:val="center"/>
          </w:tcPr>
          <w:p w14:paraId="392DB94F">
            <w:pPr>
              <w:pStyle w:val="2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套</w:t>
            </w:r>
          </w:p>
        </w:tc>
        <w:tc>
          <w:tcPr>
            <w:tcW w:w="459" w:type="pct"/>
            <w:vAlign w:val="center"/>
          </w:tcPr>
          <w:p w14:paraId="4F93A674">
            <w:pPr>
              <w:pStyle w:val="2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r>
      <w:tr w14:paraId="28D02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08" w:type="pct"/>
            <w:vMerge w:val="continue"/>
            <w:vAlign w:val="center"/>
          </w:tcPr>
          <w:p w14:paraId="67BD685B">
            <w:pPr>
              <w:pStyle w:val="20"/>
              <w:spacing w:line="240" w:lineRule="auto"/>
              <w:rPr>
                <w:rFonts w:hint="eastAsia" w:ascii="宋体" w:hAnsi="宋体" w:eastAsia="宋体" w:cs="宋体"/>
                <w:color w:val="auto"/>
                <w:sz w:val="21"/>
                <w:szCs w:val="21"/>
                <w:highlight w:val="none"/>
              </w:rPr>
            </w:pPr>
          </w:p>
        </w:tc>
        <w:tc>
          <w:tcPr>
            <w:tcW w:w="1039" w:type="pct"/>
            <w:vMerge w:val="continue"/>
          </w:tcPr>
          <w:p w14:paraId="3B58AA08">
            <w:pPr>
              <w:pStyle w:val="20"/>
              <w:spacing w:line="240" w:lineRule="auto"/>
              <w:rPr>
                <w:rFonts w:hint="eastAsia" w:ascii="宋体" w:hAnsi="宋体" w:eastAsia="宋体" w:cs="宋体"/>
                <w:color w:val="auto"/>
                <w:sz w:val="21"/>
                <w:szCs w:val="21"/>
                <w:highlight w:val="none"/>
              </w:rPr>
            </w:pPr>
          </w:p>
        </w:tc>
        <w:tc>
          <w:tcPr>
            <w:tcW w:w="1120" w:type="pct"/>
            <w:vAlign w:val="center"/>
          </w:tcPr>
          <w:p w14:paraId="7489F2D4">
            <w:pPr>
              <w:pStyle w:val="2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气象五参数</w:t>
            </w:r>
          </w:p>
        </w:tc>
        <w:tc>
          <w:tcPr>
            <w:tcW w:w="699" w:type="pct"/>
            <w:vAlign w:val="center"/>
          </w:tcPr>
          <w:p w14:paraId="2E195CF1">
            <w:pPr>
              <w:pStyle w:val="2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谱育科技</w:t>
            </w:r>
          </w:p>
        </w:tc>
        <w:tc>
          <w:tcPr>
            <w:tcW w:w="814" w:type="pct"/>
            <w:vAlign w:val="center"/>
          </w:tcPr>
          <w:p w14:paraId="0CD25B6A">
            <w:pPr>
              <w:pStyle w:val="2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QX-200</w:t>
            </w:r>
          </w:p>
        </w:tc>
        <w:tc>
          <w:tcPr>
            <w:tcW w:w="459" w:type="pct"/>
            <w:vAlign w:val="center"/>
          </w:tcPr>
          <w:p w14:paraId="24820AA9">
            <w:pPr>
              <w:pStyle w:val="2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套</w:t>
            </w:r>
          </w:p>
        </w:tc>
        <w:tc>
          <w:tcPr>
            <w:tcW w:w="459" w:type="pct"/>
            <w:vAlign w:val="center"/>
          </w:tcPr>
          <w:p w14:paraId="517529D1">
            <w:pPr>
              <w:pStyle w:val="2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r>
      <w:tr w14:paraId="79284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08" w:type="pct"/>
            <w:vAlign w:val="center"/>
          </w:tcPr>
          <w:p w14:paraId="3F3A37DE">
            <w:pPr>
              <w:pStyle w:val="2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1039" w:type="pct"/>
          </w:tcPr>
          <w:p w14:paraId="1CC5CC58">
            <w:pPr>
              <w:pStyle w:val="20"/>
              <w:spacing w:line="240" w:lineRule="auto"/>
              <w:ind w:left="0" w:firstLine="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微型空气站</w:t>
            </w:r>
          </w:p>
        </w:tc>
        <w:tc>
          <w:tcPr>
            <w:tcW w:w="1120" w:type="pct"/>
            <w:vAlign w:val="center"/>
          </w:tcPr>
          <w:p w14:paraId="7310BBB0">
            <w:pPr>
              <w:pStyle w:val="20"/>
              <w:spacing w:line="240" w:lineRule="auto"/>
              <w:ind w:left="0" w:firstLine="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环境空气质量监测微型站（含太阳能板）</w:t>
            </w:r>
          </w:p>
        </w:tc>
        <w:tc>
          <w:tcPr>
            <w:tcW w:w="699" w:type="pct"/>
            <w:vAlign w:val="center"/>
          </w:tcPr>
          <w:p w14:paraId="15C94EE6">
            <w:pPr>
              <w:pStyle w:val="2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聚光科技</w:t>
            </w:r>
          </w:p>
        </w:tc>
        <w:tc>
          <w:tcPr>
            <w:tcW w:w="814" w:type="pct"/>
            <w:vAlign w:val="center"/>
          </w:tcPr>
          <w:p w14:paraId="7F4EC548">
            <w:pPr>
              <w:pStyle w:val="2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AQMS-3000</w:t>
            </w:r>
          </w:p>
        </w:tc>
        <w:tc>
          <w:tcPr>
            <w:tcW w:w="459" w:type="pct"/>
            <w:vAlign w:val="center"/>
          </w:tcPr>
          <w:p w14:paraId="7DC219CC">
            <w:pPr>
              <w:pStyle w:val="2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套</w:t>
            </w:r>
          </w:p>
        </w:tc>
        <w:tc>
          <w:tcPr>
            <w:tcW w:w="459" w:type="pct"/>
            <w:vAlign w:val="center"/>
          </w:tcPr>
          <w:p w14:paraId="5A475694">
            <w:pPr>
              <w:pStyle w:val="2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26</w:t>
            </w:r>
          </w:p>
        </w:tc>
      </w:tr>
    </w:tbl>
    <w:p w14:paraId="7CB26A5D">
      <w:pPr>
        <w:pStyle w:val="2"/>
        <w:ind w:left="520" w:firstLine="480"/>
        <w:rPr>
          <w:rFonts w:hint="eastAsia" w:ascii="宋体" w:hAnsi="宋体" w:cs="宋体"/>
          <w:color w:val="auto"/>
          <w:sz w:val="24"/>
          <w:highlight w:val="none"/>
        </w:rPr>
      </w:pPr>
    </w:p>
    <w:p w14:paraId="0A4D4784">
      <w:pPr>
        <w:pStyle w:val="2"/>
        <w:spacing w:after="0" w:line="360" w:lineRule="auto"/>
        <w:ind w:left="0" w:leftChars="0" w:firstLine="480"/>
        <w:rPr>
          <w:rFonts w:hint="eastAsia" w:ascii="宋体" w:hAnsi="宋体" w:cs="宋体"/>
          <w:bCs/>
          <w:color w:val="auto"/>
          <w:sz w:val="24"/>
          <w:highlight w:val="none"/>
          <w:lang w:val="zh-CN"/>
        </w:rPr>
      </w:pPr>
      <w:r>
        <w:rPr>
          <w:rFonts w:hint="eastAsia" w:ascii="宋体" w:hAnsi="宋体" w:cs="宋体"/>
          <w:bCs/>
          <w:color w:val="auto"/>
          <w:sz w:val="24"/>
          <w:highlight w:val="none"/>
          <w:lang w:val="zh-CN"/>
        </w:rPr>
        <w:t>2</w:t>
      </w:r>
      <w:r>
        <w:rPr>
          <w:rFonts w:hint="eastAsia" w:ascii="宋体" w:hAnsi="宋体" w:cs="宋体"/>
          <w:bCs/>
          <w:color w:val="auto"/>
          <w:sz w:val="24"/>
          <w:highlight w:val="none"/>
        </w:rPr>
        <w:t>.</w:t>
      </w:r>
      <w:r>
        <w:rPr>
          <w:rFonts w:hint="eastAsia" w:ascii="宋体" w:hAnsi="宋体" w:cs="宋体"/>
          <w:bCs/>
          <w:color w:val="auto"/>
          <w:sz w:val="24"/>
          <w:highlight w:val="none"/>
          <w:lang w:val="zh-CN"/>
        </w:rPr>
        <w:t>下列文件为本合同不可分割部分：</w:t>
      </w:r>
    </w:p>
    <w:p w14:paraId="674745AC">
      <w:pPr>
        <w:pStyle w:val="2"/>
        <w:spacing w:after="0" w:line="360" w:lineRule="auto"/>
        <w:ind w:left="0" w:leftChars="0" w:firstLine="480"/>
        <w:rPr>
          <w:rFonts w:hint="eastAsia" w:ascii="宋体" w:hAnsi="宋体" w:cs="宋体"/>
          <w:bCs/>
          <w:color w:val="auto"/>
          <w:sz w:val="24"/>
          <w:highlight w:val="none"/>
          <w:lang w:val="zh-CN"/>
        </w:rPr>
      </w:pPr>
      <w:r>
        <w:rPr>
          <w:rFonts w:hint="eastAsia" w:ascii="宋体" w:hAnsi="宋体" w:cs="宋体"/>
          <w:bCs/>
          <w:color w:val="auto"/>
          <w:sz w:val="24"/>
          <w:highlight w:val="none"/>
          <w:lang w:val="zh-CN"/>
        </w:rPr>
        <w:t>①中标通知书；</w:t>
      </w:r>
    </w:p>
    <w:p w14:paraId="546C9461">
      <w:pPr>
        <w:pStyle w:val="2"/>
        <w:spacing w:after="0" w:line="360" w:lineRule="auto"/>
        <w:ind w:left="0" w:leftChars="0" w:firstLine="480"/>
        <w:rPr>
          <w:rFonts w:hint="eastAsia" w:ascii="宋体" w:hAnsi="宋体" w:cs="宋体"/>
          <w:bCs/>
          <w:color w:val="auto"/>
          <w:sz w:val="24"/>
          <w:highlight w:val="none"/>
          <w:lang w:val="zh-CN"/>
        </w:rPr>
      </w:pPr>
      <w:r>
        <w:rPr>
          <w:rFonts w:hint="eastAsia" w:ascii="宋体" w:hAnsi="宋体" w:cs="宋体"/>
          <w:bCs/>
          <w:color w:val="auto"/>
          <w:sz w:val="24"/>
          <w:highlight w:val="none"/>
          <w:lang w:val="zh-CN"/>
        </w:rPr>
        <w:t>②招标文件、乙方中标的投标文件；</w:t>
      </w:r>
    </w:p>
    <w:p w14:paraId="26580444">
      <w:pPr>
        <w:pStyle w:val="2"/>
        <w:spacing w:after="0" w:line="360" w:lineRule="auto"/>
        <w:ind w:left="0" w:leftChars="0" w:firstLine="480"/>
        <w:rPr>
          <w:rFonts w:hint="eastAsia" w:ascii="宋体" w:hAnsi="宋体" w:cs="宋体"/>
          <w:bCs/>
          <w:color w:val="auto"/>
          <w:sz w:val="24"/>
          <w:highlight w:val="none"/>
          <w:lang w:val="zh-CN"/>
        </w:rPr>
      </w:pPr>
      <w:r>
        <w:rPr>
          <w:rFonts w:hint="eastAsia" w:ascii="宋体" w:hAnsi="宋体" w:cs="宋体"/>
          <w:bCs/>
          <w:color w:val="auto"/>
          <w:sz w:val="24"/>
          <w:highlight w:val="none"/>
          <w:lang w:val="zh-CN"/>
        </w:rPr>
        <w:t>③乙方在招投标过程中所作的其它承诺、声明、书面澄清等；</w:t>
      </w:r>
    </w:p>
    <w:p w14:paraId="0503AB6C">
      <w:pPr>
        <w:pStyle w:val="2"/>
        <w:spacing w:after="0" w:line="360" w:lineRule="auto"/>
        <w:ind w:left="0" w:leftChars="0" w:firstLine="480"/>
        <w:rPr>
          <w:rFonts w:hint="eastAsia" w:ascii="宋体" w:hAnsi="宋体" w:cs="宋体"/>
          <w:bCs/>
          <w:color w:val="auto"/>
          <w:sz w:val="24"/>
          <w:highlight w:val="none"/>
          <w:lang w:val="zh-CN"/>
        </w:rPr>
      </w:pPr>
      <w:r>
        <w:rPr>
          <w:rFonts w:hint="eastAsia" w:ascii="宋体" w:hAnsi="宋体" w:cs="宋体"/>
          <w:bCs/>
          <w:color w:val="auto"/>
          <w:sz w:val="24"/>
          <w:highlight w:val="none"/>
          <w:lang w:val="zh-CN"/>
        </w:rPr>
        <w:t>3</w:t>
      </w:r>
      <w:r>
        <w:rPr>
          <w:rFonts w:hint="eastAsia" w:ascii="宋体" w:hAnsi="宋体" w:cs="宋体"/>
          <w:bCs/>
          <w:color w:val="auto"/>
          <w:sz w:val="24"/>
          <w:highlight w:val="none"/>
        </w:rPr>
        <w:t>.</w:t>
      </w:r>
      <w:r>
        <w:rPr>
          <w:rFonts w:hint="eastAsia" w:ascii="宋体" w:hAnsi="宋体" w:cs="宋体"/>
          <w:bCs/>
          <w:color w:val="auto"/>
          <w:sz w:val="24"/>
          <w:highlight w:val="none"/>
          <w:lang w:val="zh-CN"/>
        </w:rPr>
        <w:t>乙方工作成果交付：</w:t>
      </w:r>
    </w:p>
    <w:p w14:paraId="075C9A5F">
      <w:pPr>
        <w:pStyle w:val="2"/>
        <w:spacing w:after="0" w:line="360" w:lineRule="auto"/>
        <w:ind w:left="0" w:leftChars="0" w:firstLine="480"/>
        <w:rPr>
          <w:rFonts w:hint="eastAsia" w:ascii="宋体" w:hAnsi="宋体" w:cs="宋体"/>
          <w:bCs/>
          <w:color w:val="auto"/>
          <w:sz w:val="24"/>
          <w:highlight w:val="none"/>
          <w:lang w:val="zh-CN"/>
        </w:rPr>
      </w:pPr>
      <w:r>
        <w:rPr>
          <w:rFonts w:hint="eastAsia" w:ascii="宋体" w:hAnsi="宋体" w:cs="宋体"/>
          <w:bCs/>
          <w:color w:val="auto"/>
          <w:sz w:val="24"/>
          <w:highlight w:val="none"/>
        </w:rPr>
        <w:t>乙方需于2026年2月15日前与甲方本项目原运维单位做好交接工作，对交接中发现的问题及时提出纠正意见，便于本项目原运维单位及时补正，交接完成后视为乙方已认可本项目现状并不持异议，</w:t>
      </w:r>
      <w:r>
        <w:rPr>
          <w:rFonts w:hint="eastAsia" w:ascii="宋体" w:hAnsi="宋体" w:cs="宋体"/>
          <w:bCs/>
          <w:color w:val="auto"/>
          <w:sz w:val="24"/>
          <w:highlight w:val="none"/>
          <w:lang w:val="zh-CN"/>
        </w:rPr>
        <w:t>确保</w:t>
      </w:r>
      <w:r>
        <w:rPr>
          <w:rFonts w:hint="eastAsia" w:ascii="宋体" w:hAnsi="宋体" w:cs="宋体"/>
          <w:bCs/>
          <w:color w:val="auto"/>
          <w:sz w:val="24"/>
          <w:highlight w:val="none"/>
        </w:rPr>
        <w:t>本项目</w:t>
      </w:r>
      <w:r>
        <w:rPr>
          <w:rFonts w:hint="eastAsia" w:ascii="宋体" w:hAnsi="宋体" w:cs="宋体"/>
          <w:bCs/>
          <w:color w:val="auto"/>
          <w:sz w:val="24"/>
          <w:highlight w:val="none"/>
          <w:lang w:val="zh-CN"/>
        </w:rPr>
        <w:t>于合同约定期限内正常有效运行。</w:t>
      </w:r>
    </w:p>
    <w:p w14:paraId="4BC93768">
      <w:pPr>
        <w:pStyle w:val="2"/>
        <w:spacing w:after="0" w:line="360" w:lineRule="auto"/>
        <w:ind w:left="0" w:leftChars="0" w:firstLine="480"/>
        <w:rPr>
          <w:rFonts w:hint="eastAsia" w:ascii="宋体" w:hAnsi="宋体" w:cs="宋体"/>
          <w:bCs/>
          <w:color w:val="auto"/>
          <w:sz w:val="24"/>
          <w:highlight w:val="none"/>
        </w:rPr>
      </w:pPr>
      <w:r>
        <w:rPr>
          <w:rFonts w:hint="eastAsia" w:ascii="宋体" w:hAnsi="宋体" w:cs="宋体"/>
          <w:bCs/>
          <w:color w:val="auto"/>
          <w:sz w:val="24"/>
          <w:highlight w:val="none"/>
        </w:rPr>
        <w:t>4.合同履约期限：本年度合同服务期限为 年 月 日至 年 月 日。</w:t>
      </w:r>
    </w:p>
    <w:p w14:paraId="7A7EA3C9">
      <w:pPr>
        <w:pStyle w:val="23"/>
        <w:spacing w:after="0"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二、合同价款与支付</w:t>
      </w:r>
    </w:p>
    <w:p w14:paraId="5268B900">
      <w:pPr>
        <w:pStyle w:val="2"/>
        <w:spacing w:after="0" w:line="360" w:lineRule="auto"/>
        <w:ind w:left="0" w:leftChars="0" w:firstLine="480"/>
        <w:rPr>
          <w:rFonts w:hint="eastAsia" w:ascii="宋体" w:hAnsi="宋体" w:cs="宋体"/>
          <w:bCs/>
          <w:color w:val="auto"/>
          <w:sz w:val="24"/>
          <w:highlight w:val="none"/>
        </w:rPr>
      </w:pPr>
      <w:r>
        <w:rPr>
          <w:rFonts w:hint="eastAsia" w:ascii="宋体" w:hAnsi="宋体" w:cs="宋体"/>
          <w:bCs/>
          <w:color w:val="auto"/>
          <w:sz w:val="24"/>
          <w:highlight w:val="none"/>
        </w:rPr>
        <w:t>1.合同总价：人民币</w:t>
      </w:r>
      <w:r>
        <w:rPr>
          <w:rFonts w:hint="eastAsia" w:ascii="宋体" w:hAnsi="宋体" w:cs="宋体"/>
          <w:bCs/>
          <w:color w:val="auto"/>
          <w:sz w:val="24"/>
          <w:highlight w:val="none"/>
          <w:u w:val="single"/>
        </w:rPr>
        <w:t xml:space="preserve">    </w:t>
      </w:r>
      <w:r>
        <w:rPr>
          <w:rFonts w:hint="eastAsia" w:ascii="宋体" w:hAnsi="宋体" w:cs="宋体"/>
          <w:bCs/>
          <w:color w:val="auto"/>
          <w:sz w:val="24"/>
          <w:highlight w:val="none"/>
        </w:rPr>
        <w:t>（¥）</w:t>
      </w:r>
      <w:r>
        <w:rPr>
          <w:rFonts w:hint="eastAsia" w:ascii="宋体" w:hAnsi="宋体" w:cs="宋体"/>
          <w:bCs/>
          <w:color w:val="auto"/>
          <w:sz w:val="24"/>
          <w:highlight w:val="none"/>
          <w:u w:val="single"/>
        </w:rPr>
        <w:t xml:space="preserve">   </w:t>
      </w:r>
      <w:r>
        <w:rPr>
          <w:rFonts w:hint="eastAsia" w:ascii="宋体" w:hAnsi="宋体" w:cs="宋体"/>
          <w:bCs/>
          <w:color w:val="auto"/>
          <w:sz w:val="24"/>
          <w:highlight w:val="none"/>
        </w:rPr>
        <w:t>元，该合同价款总价应包括乙方中标后为完成合同约定服务范围的全部工作需支付的一切费用，其应包括但不限于运维服务费、更换耗材费用、税金、电费、网络通讯费、场地租赁费、政策性文件规定及合同包含的所有风险、责任等各项应有费用。</w:t>
      </w:r>
    </w:p>
    <w:p w14:paraId="513A14A8">
      <w:pPr>
        <w:pStyle w:val="2"/>
        <w:spacing w:after="0" w:line="360" w:lineRule="auto"/>
        <w:ind w:left="0" w:leftChars="0" w:firstLine="480"/>
        <w:rPr>
          <w:rFonts w:hint="eastAsia" w:ascii="宋体" w:hAnsi="宋体" w:cs="宋体"/>
          <w:bCs/>
          <w:color w:val="auto"/>
          <w:sz w:val="24"/>
          <w:highlight w:val="none"/>
        </w:rPr>
      </w:pPr>
      <w:r>
        <w:rPr>
          <w:rFonts w:hint="eastAsia" w:ascii="宋体" w:hAnsi="宋体" w:cs="宋体"/>
          <w:bCs/>
          <w:color w:val="auto"/>
          <w:sz w:val="24"/>
          <w:highlight w:val="none"/>
        </w:rPr>
        <w:t>2.付款方式：合同服务期结束后</w:t>
      </w:r>
      <w:r>
        <w:rPr>
          <w:rFonts w:hint="eastAsia" w:ascii="宋体" w:hAnsi="宋体" w:cs="宋体"/>
          <w:bCs/>
          <w:color w:val="auto"/>
          <w:sz w:val="24"/>
          <w:highlight w:val="none"/>
          <w:lang w:val="en-US" w:eastAsia="zh-CN"/>
        </w:rPr>
        <w:t>三十天内</w:t>
      </w:r>
      <w:r>
        <w:rPr>
          <w:rFonts w:hint="eastAsia" w:ascii="宋体" w:hAnsi="宋体" w:cs="宋体"/>
          <w:bCs/>
          <w:color w:val="auto"/>
          <w:sz w:val="24"/>
          <w:highlight w:val="none"/>
        </w:rPr>
        <w:t>，按照考核办法，根据考核结果支付费用，每半年度考核总分低于70分的，不予支付</w:t>
      </w:r>
      <w:r>
        <w:rPr>
          <w:rFonts w:hint="eastAsia" w:ascii="宋体" w:hAnsi="宋体" w:cs="宋体"/>
          <w:bCs/>
          <w:color w:val="auto"/>
          <w:sz w:val="24"/>
          <w:highlight w:val="none"/>
          <w:lang w:val="en-US" w:eastAsia="zh-CN"/>
        </w:rPr>
        <w:t>该半年度对应</w:t>
      </w:r>
      <w:r>
        <w:rPr>
          <w:rFonts w:hint="eastAsia" w:ascii="宋体" w:hAnsi="宋体" w:cs="宋体"/>
          <w:bCs/>
          <w:color w:val="auto"/>
          <w:sz w:val="24"/>
          <w:highlight w:val="none"/>
        </w:rPr>
        <w:t>运维费；绩效考核总分85（含）分以上的为合格，支付</w:t>
      </w:r>
      <w:r>
        <w:rPr>
          <w:rFonts w:hint="eastAsia" w:ascii="宋体" w:hAnsi="宋体" w:cs="宋体"/>
          <w:bCs/>
          <w:color w:val="auto"/>
          <w:sz w:val="24"/>
          <w:highlight w:val="none"/>
          <w:lang w:val="en-US" w:eastAsia="zh-CN"/>
        </w:rPr>
        <w:t>该半年度对应</w:t>
      </w:r>
      <w:r>
        <w:rPr>
          <w:rFonts w:hint="eastAsia" w:ascii="宋体" w:hAnsi="宋体" w:cs="宋体"/>
          <w:bCs/>
          <w:color w:val="auto"/>
          <w:sz w:val="24"/>
          <w:highlight w:val="none"/>
        </w:rPr>
        <w:t>全额运维费；绩效考核总分在70（含）-85分的。</w:t>
      </w:r>
      <w:r>
        <w:rPr>
          <w:rFonts w:hint="eastAsia" w:ascii="宋体" w:hAnsi="宋体" w:cs="宋体"/>
          <w:bCs/>
          <w:color w:val="auto"/>
          <w:sz w:val="24"/>
          <w:highlight w:val="none"/>
          <w:lang w:val="en-US" w:eastAsia="zh-CN"/>
        </w:rPr>
        <w:t>该半年度对应</w:t>
      </w:r>
      <w:r>
        <w:rPr>
          <w:rFonts w:hint="eastAsia" w:ascii="宋体" w:hAnsi="宋体" w:cs="宋体"/>
          <w:bCs/>
          <w:color w:val="auto"/>
          <w:sz w:val="24"/>
          <w:highlight w:val="none"/>
        </w:rPr>
        <w:t>运维费=实际考核得分/100*</w:t>
      </w:r>
      <w:r>
        <w:rPr>
          <w:rFonts w:hint="eastAsia" w:ascii="宋体" w:hAnsi="宋体" w:cs="宋体"/>
          <w:bCs/>
          <w:color w:val="auto"/>
          <w:sz w:val="24"/>
          <w:highlight w:val="none"/>
          <w:lang w:val="en-US" w:eastAsia="zh-CN"/>
        </w:rPr>
        <w:t>该半年度对应</w:t>
      </w:r>
      <w:r>
        <w:rPr>
          <w:rFonts w:hint="eastAsia" w:ascii="宋体" w:hAnsi="宋体" w:cs="宋体"/>
          <w:bCs/>
          <w:color w:val="auto"/>
          <w:sz w:val="24"/>
          <w:highlight w:val="none"/>
        </w:rPr>
        <w:t>全额运维费。每次付款以乙方开具等额发票交甲方财务审核入账为必要条件。</w:t>
      </w:r>
    </w:p>
    <w:p w14:paraId="38D1AEE6">
      <w:pPr>
        <w:pStyle w:val="2"/>
        <w:spacing w:after="0" w:line="360" w:lineRule="auto"/>
        <w:ind w:left="0" w:leftChars="0" w:firstLine="480"/>
        <w:rPr>
          <w:rFonts w:hint="eastAsia" w:ascii="宋体" w:hAnsi="宋体" w:cs="宋体"/>
          <w:bCs/>
          <w:color w:val="auto"/>
          <w:sz w:val="24"/>
          <w:highlight w:val="none"/>
        </w:rPr>
      </w:pPr>
      <w:r>
        <w:rPr>
          <w:rFonts w:hint="eastAsia" w:ascii="宋体" w:hAnsi="宋体" w:cs="宋体"/>
          <w:bCs/>
          <w:color w:val="auto"/>
          <w:sz w:val="24"/>
          <w:highlight w:val="none"/>
        </w:rPr>
        <w:t>3.甲方支付此项合同价款外不再承担其它任何费用。</w:t>
      </w:r>
    </w:p>
    <w:p w14:paraId="007CD8D9">
      <w:pPr>
        <w:pStyle w:val="2"/>
        <w:spacing w:after="0" w:line="360" w:lineRule="auto"/>
        <w:ind w:left="0" w:leftChars="0" w:firstLine="482"/>
        <w:rPr>
          <w:rFonts w:hint="eastAsia" w:ascii="宋体" w:hAnsi="宋体" w:cs="宋体"/>
          <w:b/>
          <w:color w:val="auto"/>
          <w:sz w:val="24"/>
          <w:highlight w:val="none"/>
        </w:rPr>
      </w:pPr>
      <w:r>
        <w:rPr>
          <w:rFonts w:hint="eastAsia" w:ascii="宋体" w:hAnsi="宋体" w:cs="宋体"/>
          <w:b/>
          <w:color w:val="auto"/>
          <w:sz w:val="24"/>
          <w:highlight w:val="none"/>
        </w:rPr>
        <w:t>三、质量与验收</w:t>
      </w:r>
    </w:p>
    <w:p w14:paraId="548C2C2D">
      <w:pPr>
        <w:pStyle w:val="2"/>
        <w:spacing w:after="0" w:line="360" w:lineRule="auto"/>
        <w:ind w:left="0" w:leftChars="0" w:firstLine="480"/>
        <w:rPr>
          <w:rFonts w:hint="eastAsia" w:ascii="宋体" w:hAnsi="宋体" w:cs="宋体"/>
          <w:bCs/>
          <w:color w:val="auto"/>
          <w:sz w:val="24"/>
          <w:highlight w:val="none"/>
        </w:rPr>
      </w:pPr>
      <w:r>
        <w:rPr>
          <w:rFonts w:hint="eastAsia" w:ascii="宋体" w:hAnsi="宋体" w:cs="宋体"/>
          <w:bCs/>
          <w:color w:val="auto"/>
          <w:sz w:val="24"/>
          <w:highlight w:val="none"/>
        </w:rPr>
        <w:t>验收标准以招标文件内容为准。合同期限内所有监测设备均正常运行，并保证数据正常接入市北高新区生态环境综合管理平台，该平台能正常使用。</w:t>
      </w:r>
    </w:p>
    <w:p w14:paraId="26635CD1">
      <w:pPr>
        <w:pStyle w:val="2"/>
        <w:spacing w:after="0" w:line="360" w:lineRule="auto"/>
        <w:ind w:left="0" w:leftChars="0" w:firstLine="480"/>
        <w:rPr>
          <w:rFonts w:hint="eastAsia" w:ascii="宋体" w:hAnsi="宋体" w:cs="宋体"/>
          <w:bCs/>
          <w:color w:val="auto"/>
          <w:sz w:val="24"/>
          <w:highlight w:val="none"/>
        </w:rPr>
      </w:pPr>
      <w:r>
        <w:rPr>
          <w:rFonts w:hint="eastAsia" w:ascii="宋体" w:hAnsi="宋体" w:cs="宋体"/>
          <w:bCs/>
          <w:color w:val="auto"/>
          <w:sz w:val="24"/>
          <w:highlight w:val="none"/>
        </w:rPr>
        <w:t>四、双方的违约责任</w:t>
      </w:r>
    </w:p>
    <w:p w14:paraId="725AE8BA">
      <w:pPr>
        <w:pStyle w:val="2"/>
        <w:spacing w:after="0" w:line="360" w:lineRule="auto"/>
        <w:ind w:left="0" w:leftChars="0" w:firstLine="480"/>
        <w:rPr>
          <w:rFonts w:hint="eastAsia" w:ascii="宋体" w:hAnsi="宋体" w:cs="宋体"/>
          <w:bCs/>
          <w:color w:val="auto"/>
          <w:sz w:val="24"/>
          <w:highlight w:val="none"/>
        </w:rPr>
      </w:pPr>
      <w:r>
        <w:rPr>
          <w:rFonts w:hint="eastAsia" w:ascii="宋体" w:hAnsi="宋体" w:cs="宋体"/>
          <w:bCs/>
          <w:color w:val="auto"/>
          <w:sz w:val="24"/>
          <w:highlight w:val="none"/>
        </w:rPr>
        <w:t>1.甲方违约责任</w:t>
      </w:r>
    </w:p>
    <w:p w14:paraId="3A43225F">
      <w:pPr>
        <w:pStyle w:val="2"/>
        <w:spacing w:after="0" w:line="360" w:lineRule="auto"/>
        <w:ind w:left="0" w:leftChars="0" w:firstLine="480"/>
        <w:rPr>
          <w:rFonts w:hint="eastAsia" w:ascii="宋体" w:hAnsi="宋体" w:cs="宋体"/>
          <w:bCs/>
          <w:color w:val="auto"/>
          <w:sz w:val="24"/>
          <w:highlight w:val="none"/>
        </w:rPr>
      </w:pPr>
      <w:r>
        <w:rPr>
          <w:rFonts w:hint="eastAsia" w:ascii="宋体" w:hAnsi="宋体" w:cs="宋体"/>
          <w:bCs/>
          <w:color w:val="auto"/>
          <w:sz w:val="24"/>
          <w:highlight w:val="none"/>
        </w:rPr>
        <w:t>甲方应按照合同约定的付款进度及时支付合同价款。</w:t>
      </w:r>
    </w:p>
    <w:p w14:paraId="5C231ABC">
      <w:pPr>
        <w:pStyle w:val="2"/>
        <w:spacing w:after="0" w:line="360" w:lineRule="auto"/>
        <w:ind w:left="0" w:leftChars="0" w:firstLine="480"/>
        <w:rPr>
          <w:rFonts w:hint="eastAsia" w:ascii="宋体" w:hAnsi="宋体" w:cs="宋体"/>
          <w:bCs/>
          <w:color w:val="auto"/>
          <w:sz w:val="24"/>
          <w:highlight w:val="none"/>
        </w:rPr>
      </w:pPr>
      <w:r>
        <w:rPr>
          <w:rFonts w:hint="eastAsia" w:ascii="宋体" w:hAnsi="宋体" w:cs="宋体"/>
          <w:bCs/>
          <w:color w:val="auto"/>
          <w:sz w:val="24"/>
          <w:highlight w:val="none"/>
        </w:rPr>
        <w:t>2.乙方违约责任</w:t>
      </w:r>
    </w:p>
    <w:p w14:paraId="769E9206">
      <w:pPr>
        <w:pStyle w:val="2"/>
        <w:spacing w:after="0" w:line="360" w:lineRule="auto"/>
        <w:ind w:left="0" w:leftChars="0" w:firstLine="480"/>
        <w:rPr>
          <w:rFonts w:hint="eastAsia" w:ascii="宋体" w:hAnsi="宋体" w:cs="宋体"/>
          <w:bCs/>
          <w:color w:val="auto"/>
          <w:sz w:val="24"/>
          <w:highlight w:val="none"/>
        </w:rPr>
      </w:pPr>
      <w:r>
        <w:rPr>
          <w:rFonts w:hint="eastAsia" w:ascii="宋体" w:hAnsi="宋体" w:cs="宋体"/>
          <w:bCs/>
          <w:color w:val="auto"/>
          <w:sz w:val="24"/>
          <w:highlight w:val="none"/>
        </w:rPr>
        <w:t>乙方未按合同约定及时履行合同义务的，每逾期一日，应承担合同价款总价2‰的违约金，逾期7日的，甲方有权解除合同，除不予退还乙方履约保证金外，乙方应承担合同价款总价20%的违约金。因乙方原因导致运维设备损坏或不能正常运行，乙方应承担本合同价款总价20%的违约金，并在甲方规定的时间维修好运维设备，逾期甲方有权选择与乙方立即解除本合同。若违约金不足以补偿甲方的直接经济损失的，甲方有权要求乙方承担赔偿甲方的直接经济损失，与此同时甲方有权选择与乙方立即解除本合同。</w:t>
      </w:r>
    </w:p>
    <w:p w14:paraId="59E13F71">
      <w:pPr>
        <w:pStyle w:val="2"/>
        <w:spacing w:after="0" w:line="360" w:lineRule="auto"/>
        <w:ind w:left="0" w:leftChars="0" w:firstLine="482"/>
        <w:rPr>
          <w:rFonts w:hint="eastAsia" w:ascii="宋体" w:hAnsi="宋体" w:cs="宋体"/>
          <w:b/>
          <w:color w:val="auto"/>
          <w:sz w:val="24"/>
          <w:highlight w:val="none"/>
        </w:rPr>
      </w:pPr>
      <w:r>
        <w:rPr>
          <w:rFonts w:hint="eastAsia" w:ascii="宋体" w:hAnsi="宋体" w:cs="宋体"/>
          <w:b/>
          <w:color w:val="auto"/>
          <w:sz w:val="24"/>
          <w:highlight w:val="none"/>
        </w:rPr>
        <w:t>五、争议解决</w:t>
      </w:r>
    </w:p>
    <w:p w14:paraId="4FDF9B57">
      <w:pPr>
        <w:pStyle w:val="2"/>
        <w:spacing w:after="0" w:line="360" w:lineRule="auto"/>
        <w:ind w:left="0" w:leftChars="0" w:firstLine="480"/>
        <w:rPr>
          <w:rFonts w:hint="eastAsia" w:ascii="宋体" w:hAnsi="宋体" w:cs="宋体"/>
          <w:bCs/>
          <w:color w:val="auto"/>
          <w:sz w:val="24"/>
          <w:szCs w:val="24"/>
          <w:highlight w:val="none"/>
        </w:rPr>
      </w:pPr>
      <w:bookmarkStart w:id="4" w:name="_GoBack"/>
      <w:bookmarkEnd w:id="4"/>
      <w:r>
        <w:rPr>
          <w:rFonts w:hint="eastAsia"/>
          <w:color w:val="auto"/>
          <w:sz w:val="24"/>
          <w:szCs w:val="24"/>
          <w:highlight w:val="none"/>
        </w:rPr>
        <w:t>在执行本合同中若发生争议，双方首先应通过友好协商解决。经协商在7天内不能达成协议时，任一方可向南通市崇川区人民法院提起诉讼。</w:t>
      </w:r>
    </w:p>
    <w:p w14:paraId="5ACF93AC">
      <w:pPr>
        <w:pStyle w:val="2"/>
        <w:spacing w:after="0" w:line="360" w:lineRule="auto"/>
        <w:ind w:left="0" w:leftChars="0" w:firstLine="482"/>
        <w:rPr>
          <w:rFonts w:hint="eastAsia" w:ascii="宋体" w:hAnsi="宋体" w:cs="宋体"/>
          <w:b/>
          <w:color w:val="auto"/>
          <w:sz w:val="24"/>
          <w:highlight w:val="none"/>
        </w:rPr>
      </w:pPr>
      <w:r>
        <w:rPr>
          <w:rFonts w:hint="eastAsia" w:ascii="宋体" w:hAnsi="宋体" w:cs="宋体"/>
          <w:b/>
          <w:color w:val="auto"/>
          <w:sz w:val="24"/>
          <w:highlight w:val="none"/>
        </w:rPr>
        <w:t>六、沟通方式</w:t>
      </w:r>
    </w:p>
    <w:p w14:paraId="543359A7">
      <w:pPr>
        <w:pStyle w:val="2"/>
        <w:spacing w:after="0" w:line="360" w:lineRule="auto"/>
        <w:ind w:left="0" w:leftChars="0" w:firstLine="480"/>
        <w:rPr>
          <w:rFonts w:hint="eastAsia" w:ascii="宋体" w:hAnsi="宋体" w:cs="宋体"/>
          <w:bCs/>
          <w:color w:val="auto"/>
          <w:sz w:val="24"/>
          <w:highlight w:val="none"/>
        </w:rPr>
      </w:pPr>
      <w:r>
        <w:rPr>
          <w:rFonts w:hint="eastAsia" w:ascii="宋体" w:hAnsi="宋体" w:cs="宋体"/>
          <w:bCs/>
          <w:color w:val="auto"/>
          <w:sz w:val="24"/>
          <w:highlight w:val="none"/>
        </w:rPr>
        <w:t>双方沟通应以书面的方式进行。有双方当事人签名或单位盖章的原件为正式文件，具有法律效力。其他沟通记录在双方均认同的情况下可作为正式文件使用。</w:t>
      </w:r>
    </w:p>
    <w:p w14:paraId="3627F8B1">
      <w:pPr>
        <w:pStyle w:val="2"/>
        <w:spacing w:after="0" w:line="360" w:lineRule="auto"/>
        <w:ind w:left="0" w:leftChars="0" w:firstLine="482"/>
        <w:rPr>
          <w:rFonts w:hint="eastAsia" w:ascii="宋体" w:hAnsi="宋体" w:cs="宋体"/>
          <w:b/>
          <w:color w:val="auto"/>
          <w:sz w:val="24"/>
          <w:highlight w:val="none"/>
        </w:rPr>
      </w:pPr>
      <w:r>
        <w:rPr>
          <w:rFonts w:hint="eastAsia" w:ascii="宋体" w:hAnsi="宋体" w:cs="宋体"/>
          <w:b/>
          <w:color w:val="auto"/>
          <w:sz w:val="24"/>
          <w:highlight w:val="none"/>
        </w:rPr>
        <w:t>七、合同语言</w:t>
      </w:r>
    </w:p>
    <w:p w14:paraId="25514BB8">
      <w:pPr>
        <w:pStyle w:val="2"/>
        <w:spacing w:after="0" w:line="360" w:lineRule="auto"/>
        <w:ind w:left="0" w:leftChars="0" w:firstLine="480"/>
        <w:rPr>
          <w:rFonts w:hint="eastAsia" w:ascii="宋体" w:hAnsi="宋体" w:cs="宋体"/>
          <w:bCs/>
          <w:color w:val="auto"/>
          <w:sz w:val="24"/>
          <w:highlight w:val="none"/>
        </w:rPr>
      </w:pPr>
      <w:r>
        <w:rPr>
          <w:rFonts w:hint="eastAsia" w:ascii="宋体" w:hAnsi="宋体" w:cs="宋体"/>
          <w:bCs/>
          <w:color w:val="auto"/>
          <w:sz w:val="24"/>
          <w:highlight w:val="none"/>
        </w:rPr>
        <w:t>合同书写应用简体中文。双方所有的来往函电以及与合同有关的文件均应以简体中文书写。</w:t>
      </w:r>
    </w:p>
    <w:p w14:paraId="47CCB2DF">
      <w:pPr>
        <w:pStyle w:val="2"/>
        <w:spacing w:after="0" w:line="360" w:lineRule="auto"/>
        <w:ind w:left="0" w:leftChars="0" w:firstLine="482"/>
        <w:rPr>
          <w:rFonts w:hint="eastAsia" w:ascii="宋体" w:hAnsi="宋体" w:cs="宋体"/>
          <w:b/>
          <w:color w:val="auto"/>
          <w:sz w:val="24"/>
          <w:highlight w:val="none"/>
        </w:rPr>
      </w:pPr>
      <w:r>
        <w:rPr>
          <w:rFonts w:hint="eastAsia" w:ascii="宋体" w:hAnsi="宋体" w:cs="宋体"/>
          <w:b/>
          <w:color w:val="auto"/>
          <w:sz w:val="24"/>
          <w:highlight w:val="none"/>
        </w:rPr>
        <w:t>八、保密及知识产权协议</w:t>
      </w:r>
    </w:p>
    <w:p w14:paraId="52E4F374">
      <w:pPr>
        <w:pStyle w:val="2"/>
        <w:spacing w:after="0" w:line="360" w:lineRule="auto"/>
        <w:ind w:left="0" w:leftChars="0" w:firstLine="480"/>
        <w:rPr>
          <w:rFonts w:hint="eastAsia" w:ascii="宋体" w:hAnsi="宋体" w:cs="宋体"/>
          <w:bCs/>
          <w:color w:val="auto"/>
          <w:sz w:val="24"/>
          <w:highlight w:val="none"/>
        </w:rPr>
      </w:pPr>
      <w:r>
        <w:rPr>
          <w:rFonts w:hint="eastAsia" w:ascii="宋体" w:hAnsi="宋体" w:cs="宋体"/>
          <w:bCs/>
          <w:color w:val="auto"/>
          <w:sz w:val="24"/>
          <w:highlight w:val="none"/>
        </w:rPr>
        <w:t>本合同及合同涉及的其他资料、信息属保密性质，未经双方同意，任何一方不得向第三方泄露。对不属于本方、且受知识产权保护的产品、资料、信息不得用于其他目的。本项目最终成果知识产权归甲乙双方共同所有，同时乙方应保证甲方使用其提供的服务及产品不会产生知识产权侵权等问题，否则，责任一律由乙方承担。</w:t>
      </w:r>
    </w:p>
    <w:p w14:paraId="59994204">
      <w:pPr>
        <w:pStyle w:val="2"/>
        <w:spacing w:after="0" w:line="360" w:lineRule="auto"/>
        <w:ind w:left="0" w:leftChars="0" w:firstLine="482"/>
        <w:rPr>
          <w:rFonts w:hint="eastAsia" w:ascii="宋体" w:hAnsi="宋体" w:cs="宋体"/>
          <w:b/>
          <w:color w:val="auto"/>
          <w:sz w:val="24"/>
          <w:highlight w:val="none"/>
        </w:rPr>
      </w:pPr>
      <w:r>
        <w:rPr>
          <w:rFonts w:hint="eastAsia" w:ascii="宋体" w:hAnsi="宋体" w:cs="宋体"/>
          <w:b/>
          <w:color w:val="auto"/>
          <w:sz w:val="24"/>
          <w:highlight w:val="none"/>
        </w:rPr>
        <w:t>九、不可抗力</w:t>
      </w:r>
    </w:p>
    <w:p w14:paraId="67B0503B">
      <w:pPr>
        <w:pStyle w:val="2"/>
        <w:spacing w:after="0" w:line="360" w:lineRule="auto"/>
        <w:ind w:left="0" w:leftChars="0" w:firstLine="480"/>
        <w:rPr>
          <w:rFonts w:hint="eastAsia" w:ascii="宋体" w:hAnsi="宋体" w:cs="宋体"/>
          <w:bCs/>
          <w:color w:val="auto"/>
          <w:sz w:val="24"/>
          <w:highlight w:val="none"/>
        </w:rPr>
      </w:pPr>
      <w:r>
        <w:rPr>
          <w:rFonts w:hint="eastAsia" w:ascii="宋体" w:hAnsi="宋体" w:cs="宋体"/>
          <w:bCs/>
          <w:color w:val="auto"/>
          <w:sz w:val="24"/>
          <w:highlight w:val="none"/>
        </w:rPr>
        <w:t>1.签约双方任一方由于受诸如战争、严重火灾、洪水、台风、地震等不可抗力事故的影响而不能执行合同时，履行合同的期限应予以延长，延长的期限应相当于事故所影响的时间。不可抗力事故系指买卖双方在缔结合同时所不能预见的，并且它的发生及其后果是无法避免和无法克服的事故。</w:t>
      </w:r>
    </w:p>
    <w:p w14:paraId="697BC1CC">
      <w:pPr>
        <w:pStyle w:val="2"/>
        <w:spacing w:after="0" w:line="360" w:lineRule="auto"/>
        <w:ind w:left="0" w:leftChars="0" w:firstLine="480"/>
        <w:rPr>
          <w:rFonts w:hint="eastAsia" w:ascii="宋体" w:hAnsi="宋体" w:cs="宋体"/>
          <w:bCs/>
          <w:color w:val="auto"/>
          <w:sz w:val="24"/>
          <w:highlight w:val="none"/>
        </w:rPr>
      </w:pPr>
      <w:r>
        <w:rPr>
          <w:rFonts w:hint="eastAsia" w:ascii="宋体" w:hAnsi="宋体" w:cs="宋体"/>
          <w:bCs/>
          <w:color w:val="auto"/>
          <w:sz w:val="24"/>
          <w:highlight w:val="none"/>
        </w:rPr>
        <w:t>2.受阻一方应在不可抗力事故发生后尽快用电报、传真通知对方，并于事故发生后7天内将有关当局出具的证明文件用特快专递或挂号信寄给对方审阅确认。一旦不可抗力事故的影响持续30天以上，双方应通过友好协商在合理的时间内达成进一步履行合同的协议。</w:t>
      </w:r>
    </w:p>
    <w:p w14:paraId="6E1B8D12">
      <w:pPr>
        <w:pStyle w:val="2"/>
        <w:spacing w:after="0" w:line="360" w:lineRule="auto"/>
        <w:ind w:left="0" w:leftChars="0" w:firstLine="482"/>
        <w:rPr>
          <w:rFonts w:hint="eastAsia" w:ascii="宋体" w:hAnsi="宋体" w:cs="宋体"/>
          <w:b/>
          <w:color w:val="auto"/>
          <w:sz w:val="24"/>
          <w:highlight w:val="none"/>
        </w:rPr>
      </w:pPr>
      <w:r>
        <w:rPr>
          <w:rFonts w:hint="eastAsia" w:ascii="宋体" w:hAnsi="宋体" w:cs="宋体"/>
          <w:b/>
          <w:color w:val="auto"/>
          <w:sz w:val="24"/>
          <w:highlight w:val="none"/>
        </w:rPr>
        <w:t>十、合同的解除、转让、修改、补充</w:t>
      </w:r>
    </w:p>
    <w:p w14:paraId="2F282203">
      <w:pPr>
        <w:pStyle w:val="2"/>
        <w:spacing w:after="0" w:line="360" w:lineRule="auto"/>
        <w:ind w:left="0" w:leftChars="0" w:firstLine="480"/>
        <w:rPr>
          <w:rFonts w:hint="eastAsia" w:ascii="宋体" w:hAnsi="宋体" w:cs="宋体"/>
          <w:bCs/>
          <w:color w:val="auto"/>
          <w:sz w:val="24"/>
          <w:highlight w:val="none"/>
        </w:rPr>
      </w:pPr>
      <w:r>
        <w:rPr>
          <w:rFonts w:hint="eastAsia" w:ascii="宋体" w:hAnsi="宋体" w:cs="宋体"/>
          <w:bCs/>
          <w:color w:val="auto"/>
          <w:sz w:val="24"/>
          <w:highlight w:val="none"/>
        </w:rPr>
        <w:t>（一）合同的解除</w:t>
      </w:r>
    </w:p>
    <w:p w14:paraId="1A637AF4">
      <w:pPr>
        <w:pStyle w:val="2"/>
        <w:spacing w:after="0" w:line="360" w:lineRule="auto"/>
        <w:ind w:left="0" w:leftChars="0" w:firstLine="480"/>
        <w:rPr>
          <w:rFonts w:hint="eastAsia" w:ascii="宋体" w:hAnsi="宋体" w:cs="宋体"/>
          <w:bCs/>
          <w:color w:val="auto"/>
          <w:sz w:val="24"/>
          <w:highlight w:val="none"/>
        </w:rPr>
      </w:pPr>
      <w:r>
        <w:rPr>
          <w:rFonts w:hint="eastAsia" w:ascii="宋体" w:hAnsi="宋体" w:cs="宋体"/>
          <w:bCs/>
          <w:color w:val="auto"/>
          <w:sz w:val="24"/>
          <w:highlight w:val="none"/>
        </w:rPr>
        <w:t>1.有下列情形之一，合同一方可以解除合同：</w:t>
      </w:r>
    </w:p>
    <w:p w14:paraId="0CAC2836">
      <w:pPr>
        <w:pStyle w:val="2"/>
        <w:spacing w:after="0" w:line="360" w:lineRule="auto"/>
        <w:ind w:left="0" w:leftChars="0" w:firstLine="480"/>
        <w:rPr>
          <w:rFonts w:hint="eastAsia" w:ascii="宋体" w:hAnsi="宋体" w:cs="宋体"/>
          <w:bCs/>
          <w:color w:val="auto"/>
          <w:sz w:val="24"/>
          <w:highlight w:val="none"/>
        </w:rPr>
      </w:pPr>
      <w:r>
        <w:rPr>
          <w:rFonts w:hint="eastAsia" w:ascii="宋体" w:hAnsi="宋体" w:cs="宋体"/>
          <w:bCs/>
          <w:color w:val="auto"/>
          <w:sz w:val="24"/>
          <w:highlight w:val="none"/>
        </w:rPr>
        <w:t>1.1 因不可抗力致使不能实现合同目的，未受不可抗力影响的一方有权解除合同；</w:t>
      </w:r>
    </w:p>
    <w:p w14:paraId="26F3D666">
      <w:pPr>
        <w:pStyle w:val="2"/>
        <w:spacing w:after="0" w:line="360" w:lineRule="auto"/>
        <w:ind w:left="0" w:leftChars="0" w:firstLine="480"/>
        <w:rPr>
          <w:rFonts w:hint="eastAsia" w:ascii="宋体" w:hAnsi="宋体" w:cs="宋体"/>
          <w:bCs/>
          <w:color w:val="auto"/>
          <w:sz w:val="24"/>
          <w:highlight w:val="none"/>
        </w:rPr>
      </w:pPr>
      <w:r>
        <w:rPr>
          <w:rFonts w:hint="eastAsia" w:ascii="宋体" w:hAnsi="宋体" w:cs="宋体"/>
          <w:bCs/>
          <w:color w:val="auto"/>
          <w:sz w:val="24"/>
          <w:highlight w:val="none"/>
        </w:rPr>
        <w:t>1.2 因合同一方违约导致合同不能履行，另一方有权解除合同；</w:t>
      </w:r>
    </w:p>
    <w:p w14:paraId="35A6C42D">
      <w:pPr>
        <w:pStyle w:val="2"/>
        <w:spacing w:after="0" w:line="360" w:lineRule="auto"/>
        <w:ind w:left="0" w:leftChars="0" w:firstLine="480"/>
        <w:rPr>
          <w:rFonts w:hint="eastAsia" w:ascii="宋体" w:hAnsi="宋体" w:cs="宋体"/>
          <w:bCs/>
          <w:color w:val="auto"/>
          <w:sz w:val="24"/>
          <w:highlight w:val="none"/>
        </w:rPr>
      </w:pPr>
      <w:r>
        <w:rPr>
          <w:rFonts w:hint="eastAsia" w:ascii="宋体" w:hAnsi="宋体" w:cs="宋体"/>
          <w:bCs/>
          <w:color w:val="auto"/>
          <w:sz w:val="24"/>
          <w:highlight w:val="none"/>
        </w:rPr>
        <w:t>2.有权解除合同的一方，应当在违约事实或不可抗力发生之后三十天内书面通知对方以主张解除合同，合同在书面通知到达对方时解除。</w:t>
      </w:r>
    </w:p>
    <w:p w14:paraId="7EBFD351">
      <w:pPr>
        <w:pStyle w:val="2"/>
        <w:spacing w:after="0" w:line="360" w:lineRule="auto"/>
        <w:ind w:left="0" w:leftChars="0" w:firstLine="480"/>
        <w:rPr>
          <w:rFonts w:hint="eastAsia" w:ascii="宋体" w:hAnsi="宋体" w:cs="宋体"/>
          <w:bCs/>
          <w:color w:val="auto"/>
          <w:sz w:val="24"/>
          <w:highlight w:val="none"/>
        </w:rPr>
      </w:pPr>
      <w:r>
        <w:rPr>
          <w:rFonts w:hint="eastAsia" w:ascii="宋体" w:hAnsi="宋体" w:cs="宋体"/>
          <w:bCs/>
          <w:color w:val="auto"/>
          <w:sz w:val="24"/>
          <w:highlight w:val="none"/>
        </w:rPr>
        <w:t>（二）合同的转让</w:t>
      </w:r>
    </w:p>
    <w:p w14:paraId="139531F6">
      <w:pPr>
        <w:pStyle w:val="2"/>
        <w:spacing w:after="0" w:line="360" w:lineRule="auto"/>
        <w:ind w:left="0" w:leftChars="0" w:firstLine="480"/>
        <w:rPr>
          <w:rFonts w:hint="eastAsia" w:ascii="宋体" w:hAnsi="宋体" w:cs="宋体"/>
          <w:bCs/>
          <w:color w:val="auto"/>
          <w:sz w:val="24"/>
          <w:highlight w:val="none"/>
        </w:rPr>
      </w:pPr>
      <w:r>
        <w:rPr>
          <w:rFonts w:hint="eastAsia" w:ascii="宋体" w:hAnsi="宋体" w:cs="宋体"/>
          <w:bCs/>
          <w:color w:val="auto"/>
          <w:sz w:val="24"/>
          <w:highlight w:val="none"/>
        </w:rPr>
        <w:t>合同的部分和全部都不得转让。否则甲方有权解除合同，如造成甲方损失的，乙方应当承担赔偿责任。</w:t>
      </w:r>
    </w:p>
    <w:p w14:paraId="01887D25">
      <w:pPr>
        <w:pStyle w:val="2"/>
        <w:spacing w:after="0" w:line="360" w:lineRule="auto"/>
        <w:ind w:left="0" w:leftChars="0" w:firstLine="480"/>
        <w:rPr>
          <w:rFonts w:hint="eastAsia" w:ascii="宋体" w:hAnsi="宋体" w:cs="宋体"/>
          <w:bCs/>
          <w:color w:val="auto"/>
          <w:sz w:val="24"/>
          <w:highlight w:val="none"/>
        </w:rPr>
      </w:pPr>
      <w:r>
        <w:rPr>
          <w:rFonts w:hint="eastAsia" w:ascii="宋体" w:hAnsi="宋体" w:cs="宋体"/>
          <w:bCs/>
          <w:color w:val="auto"/>
          <w:sz w:val="24"/>
          <w:highlight w:val="none"/>
        </w:rPr>
        <w:t>（三）合同修改、补充</w:t>
      </w:r>
    </w:p>
    <w:p w14:paraId="3147B368">
      <w:pPr>
        <w:pStyle w:val="2"/>
        <w:spacing w:after="0" w:line="360" w:lineRule="auto"/>
        <w:ind w:left="0" w:leftChars="0" w:firstLine="480"/>
        <w:rPr>
          <w:rFonts w:hint="eastAsia" w:ascii="宋体" w:hAnsi="宋体" w:cs="宋体"/>
          <w:bCs/>
          <w:color w:val="auto"/>
          <w:sz w:val="24"/>
          <w:highlight w:val="none"/>
        </w:rPr>
      </w:pPr>
      <w:r>
        <w:rPr>
          <w:rFonts w:hint="eastAsia" w:ascii="宋体" w:hAnsi="宋体" w:cs="宋体"/>
          <w:bCs/>
          <w:color w:val="auto"/>
          <w:sz w:val="24"/>
          <w:highlight w:val="none"/>
        </w:rPr>
        <w:t>合同的修改、补充应事先经双方同意，并签名、盖章确认，作为补充合同。签名、盖章后立即生效。若补充合同与前合同发生冲突，以最新的补充合同为准。</w:t>
      </w:r>
    </w:p>
    <w:p w14:paraId="2E7A1BD2">
      <w:pPr>
        <w:pStyle w:val="2"/>
        <w:spacing w:after="0" w:line="360" w:lineRule="auto"/>
        <w:ind w:left="0" w:leftChars="0" w:firstLine="482"/>
        <w:rPr>
          <w:rFonts w:hint="eastAsia" w:ascii="宋体" w:hAnsi="宋体" w:cs="宋体"/>
          <w:b/>
          <w:color w:val="auto"/>
          <w:sz w:val="24"/>
          <w:highlight w:val="none"/>
        </w:rPr>
      </w:pPr>
      <w:r>
        <w:rPr>
          <w:rFonts w:hint="eastAsia" w:ascii="宋体" w:hAnsi="宋体" w:cs="宋体"/>
          <w:b/>
          <w:color w:val="auto"/>
          <w:sz w:val="24"/>
          <w:highlight w:val="none"/>
        </w:rPr>
        <w:t>十一、附则</w:t>
      </w:r>
    </w:p>
    <w:p w14:paraId="789D9703">
      <w:pPr>
        <w:pStyle w:val="2"/>
        <w:spacing w:after="0" w:line="360" w:lineRule="auto"/>
        <w:ind w:left="0" w:leftChars="0" w:firstLine="480"/>
        <w:rPr>
          <w:rFonts w:hint="eastAsia" w:ascii="宋体" w:hAnsi="宋体" w:cs="宋体"/>
          <w:bCs/>
          <w:color w:val="auto"/>
          <w:sz w:val="24"/>
          <w:highlight w:val="none"/>
        </w:rPr>
      </w:pPr>
      <w:r>
        <w:rPr>
          <w:rFonts w:hint="eastAsia" w:ascii="宋体" w:hAnsi="宋体" w:cs="宋体"/>
          <w:bCs/>
          <w:color w:val="auto"/>
          <w:sz w:val="24"/>
          <w:highlight w:val="none"/>
        </w:rPr>
        <w:t>1.合同份数：本合同一式肆份，甲乙双方各执贰份，均具有同等法律效力。</w:t>
      </w:r>
    </w:p>
    <w:p w14:paraId="109014D2">
      <w:pPr>
        <w:pStyle w:val="2"/>
        <w:spacing w:after="0" w:line="360" w:lineRule="auto"/>
        <w:ind w:left="0" w:leftChars="0" w:firstLine="480"/>
        <w:rPr>
          <w:rFonts w:hint="eastAsia" w:ascii="宋体" w:hAnsi="宋体" w:cs="宋体"/>
          <w:bCs/>
          <w:color w:val="auto"/>
          <w:sz w:val="24"/>
          <w:highlight w:val="none"/>
        </w:rPr>
      </w:pPr>
      <w:r>
        <w:rPr>
          <w:rFonts w:hint="eastAsia" w:ascii="宋体" w:hAnsi="宋体" w:cs="宋体"/>
          <w:bCs/>
          <w:color w:val="auto"/>
          <w:sz w:val="24"/>
          <w:highlight w:val="none"/>
        </w:rPr>
        <w:t>2.未尽事宜：本合同未尽事宜应按照《中华人民共和国民法典》、《中华人民共和国产品质量法》及其相关配套法律法规之规定解释。</w:t>
      </w:r>
    </w:p>
    <w:p w14:paraId="3A3DB34E">
      <w:pPr>
        <w:pStyle w:val="2"/>
        <w:spacing w:after="0" w:line="360" w:lineRule="auto"/>
        <w:ind w:left="0" w:leftChars="0" w:firstLine="480"/>
        <w:rPr>
          <w:rFonts w:hint="eastAsia" w:ascii="宋体" w:hAnsi="宋体" w:cs="宋体"/>
          <w:bCs/>
          <w:color w:val="auto"/>
          <w:sz w:val="24"/>
          <w:highlight w:val="none"/>
        </w:rPr>
      </w:pPr>
      <w:r>
        <w:rPr>
          <w:rFonts w:hint="eastAsia" w:ascii="宋体" w:hAnsi="宋体" w:cs="宋体"/>
          <w:bCs/>
          <w:color w:val="auto"/>
          <w:sz w:val="24"/>
          <w:highlight w:val="none"/>
        </w:rPr>
        <w:t>3.本合同如与合同一般条款有冲突，以合同特殊条款要求为准。</w:t>
      </w:r>
    </w:p>
    <w:p w14:paraId="104B8964">
      <w:pPr>
        <w:pStyle w:val="2"/>
        <w:spacing w:after="0" w:line="360" w:lineRule="auto"/>
        <w:ind w:left="0" w:leftChars="0" w:firstLine="480"/>
        <w:rPr>
          <w:rFonts w:hint="eastAsia" w:ascii="宋体" w:hAnsi="宋体" w:cs="宋体"/>
          <w:bCs/>
          <w:color w:val="auto"/>
          <w:sz w:val="24"/>
          <w:highlight w:val="none"/>
        </w:rPr>
      </w:pPr>
      <w:r>
        <w:rPr>
          <w:rFonts w:hint="eastAsia" w:ascii="宋体" w:hAnsi="宋体" w:cs="宋体"/>
          <w:bCs/>
          <w:color w:val="auto"/>
          <w:sz w:val="24"/>
          <w:highlight w:val="none"/>
        </w:rPr>
        <w:t>4.本合同附件作为合同重要组成部分，与本合同具有同等法律效力。</w:t>
      </w:r>
    </w:p>
    <w:p w14:paraId="2C41CBF5">
      <w:pPr>
        <w:pStyle w:val="2"/>
        <w:spacing w:after="0" w:line="360" w:lineRule="auto"/>
        <w:ind w:left="0" w:leftChars="0" w:firstLine="482"/>
        <w:rPr>
          <w:rFonts w:hint="eastAsia" w:ascii="宋体" w:hAnsi="宋体" w:cs="宋体"/>
          <w:b/>
          <w:color w:val="auto"/>
          <w:sz w:val="24"/>
          <w:highlight w:val="none"/>
        </w:rPr>
      </w:pPr>
      <w:r>
        <w:rPr>
          <w:rFonts w:hint="eastAsia" w:ascii="宋体" w:hAnsi="宋体" w:cs="宋体"/>
          <w:b/>
          <w:color w:val="auto"/>
          <w:sz w:val="24"/>
          <w:highlight w:val="none"/>
        </w:rPr>
        <w:t>十二、合同的生效</w:t>
      </w:r>
    </w:p>
    <w:p w14:paraId="3B86176D">
      <w:pPr>
        <w:pStyle w:val="2"/>
        <w:spacing w:after="0" w:line="360" w:lineRule="auto"/>
        <w:ind w:left="0" w:leftChars="0" w:firstLine="480"/>
        <w:rPr>
          <w:rFonts w:hint="eastAsia" w:ascii="宋体" w:hAnsi="宋体" w:cs="宋体"/>
          <w:bCs/>
          <w:color w:val="auto"/>
          <w:sz w:val="24"/>
          <w:highlight w:val="none"/>
        </w:rPr>
      </w:pPr>
      <w:r>
        <w:rPr>
          <w:rFonts w:hint="eastAsia" w:ascii="宋体" w:hAnsi="宋体" w:cs="宋体"/>
          <w:bCs/>
          <w:color w:val="auto"/>
          <w:sz w:val="24"/>
          <w:highlight w:val="none"/>
        </w:rPr>
        <w:t>本合同在双方盖章、法定代表人或委托代理人签名后生效。</w:t>
      </w:r>
    </w:p>
    <w:p w14:paraId="012678D9">
      <w:pPr>
        <w:spacing w:line="500" w:lineRule="exact"/>
        <w:ind w:firstLine="420"/>
        <w:jc w:val="left"/>
        <w:rPr>
          <w:rFonts w:hint="eastAsia" w:ascii="宋体" w:hAnsi="宋体" w:eastAsia="宋体" w:cs="宋体"/>
          <w:color w:val="auto"/>
          <w:highlight w:val="none"/>
        </w:rPr>
      </w:pPr>
    </w:p>
    <w:p w14:paraId="7C9E0C88">
      <w:pPr>
        <w:spacing w:line="480" w:lineRule="exact"/>
        <w:ind w:left="42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甲方（签章）：                              乙方（签章）：</w:t>
      </w:r>
    </w:p>
    <w:p w14:paraId="72DA2B94">
      <w:pPr>
        <w:spacing w:line="480" w:lineRule="exact"/>
        <w:ind w:left="42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 xml:space="preserve">                                 法定代表人</w:t>
      </w:r>
    </w:p>
    <w:p w14:paraId="355CF79F">
      <w:pPr>
        <w:spacing w:line="480" w:lineRule="exact"/>
        <w:ind w:left="42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或其委托代理人（签名）                      或其委托代理人（签名）</w:t>
      </w:r>
    </w:p>
    <w:p w14:paraId="43D6FF6F">
      <w:pPr>
        <w:spacing w:line="480" w:lineRule="exact"/>
        <w:ind w:left="42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2026年   月   日                           2026年   月   日 </w:t>
      </w:r>
    </w:p>
    <w:p w14:paraId="0C3D1B62">
      <w:pPr>
        <w:pStyle w:val="2"/>
        <w:spacing w:after="0" w:line="360" w:lineRule="auto"/>
        <w:ind w:left="0" w:leftChars="0" w:firstLine="480"/>
        <w:rPr>
          <w:rFonts w:hint="eastAsia" w:ascii="宋体" w:hAnsi="宋体" w:cs="宋体"/>
          <w:bCs/>
          <w:color w:val="auto"/>
          <w:sz w:val="24"/>
          <w:highlight w:val="none"/>
        </w:rPr>
      </w:pPr>
    </w:p>
    <w:p w14:paraId="410B4028">
      <w:pPr>
        <w:pStyle w:val="2"/>
        <w:spacing w:after="0" w:line="360" w:lineRule="auto"/>
        <w:ind w:left="0" w:leftChars="0" w:firstLine="482"/>
        <w:rPr>
          <w:rFonts w:hint="eastAsia" w:ascii="宋体" w:hAnsi="宋体" w:cs="宋体"/>
          <w:b/>
          <w:color w:val="auto"/>
          <w:sz w:val="24"/>
          <w:highlight w:val="none"/>
        </w:rPr>
      </w:pPr>
      <w:r>
        <w:rPr>
          <w:rFonts w:hint="eastAsia" w:ascii="宋体" w:hAnsi="宋体" w:cs="宋体"/>
          <w:b/>
          <w:color w:val="auto"/>
          <w:sz w:val="24"/>
          <w:highlight w:val="none"/>
        </w:rPr>
        <w:t>附件：考核方案</w:t>
      </w:r>
    </w:p>
    <w:p w14:paraId="0C5B4301">
      <w:pPr>
        <w:pStyle w:val="2"/>
        <w:spacing w:after="0" w:line="360" w:lineRule="auto"/>
        <w:ind w:left="0" w:leftChars="0" w:firstLine="480"/>
        <w:rPr>
          <w:rFonts w:hint="eastAsia" w:ascii="宋体" w:hAnsi="宋体" w:cs="宋体"/>
          <w:bCs/>
          <w:color w:val="auto"/>
          <w:sz w:val="24"/>
          <w:highlight w:val="none"/>
        </w:rPr>
      </w:pPr>
      <w:r>
        <w:rPr>
          <w:rFonts w:hint="eastAsia" w:ascii="宋体" w:hAnsi="宋体" w:cs="宋体"/>
          <w:bCs/>
          <w:color w:val="auto"/>
          <w:sz w:val="24"/>
          <w:highlight w:val="none"/>
        </w:rPr>
        <w:t>甲方按半年度对乙方进行考核，考核采取百分制，主要包括两率（设备运行率和数据有效率）、运行维护、数据审核3部分内容。其中两率部分考核占50%，采取单站考核的方式进行；运行维护部分考核占40%，数据审核部分考核占10%，均采取项目整体考核的方式进行。</w:t>
      </w:r>
    </w:p>
    <w:p w14:paraId="3DD5EE2B">
      <w:pPr>
        <w:pStyle w:val="2"/>
        <w:spacing w:after="0" w:line="360" w:lineRule="auto"/>
        <w:ind w:left="0" w:leftChars="0" w:firstLine="480"/>
        <w:rPr>
          <w:rFonts w:hint="eastAsia" w:ascii="宋体" w:hAnsi="宋体" w:cs="宋体"/>
          <w:bCs/>
          <w:color w:val="auto"/>
          <w:sz w:val="24"/>
          <w:highlight w:val="none"/>
        </w:rPr>
      </w:pPr>
      <w:r>
        <w:rPr>
          <w:rFonts w:hint="eastAsia" w:ascii="宋体" w:hAnsi="宋体" w:cs="宋体"/>
          <w:bCs/>
          <w:color w:val="auto"/>
          <w:sz w:val="24"/>
          <w:highlight w:val="none"/>
        </w:rPr>
        <w:t>1.单站考核部分（50%）</w:t>
      </w:r>
    </w:p>
    <w:p w14:paraId="5232B979">
      <w:pPr>
        <w:pStyle w:val="2"/>
        <w:spacing w:after="0" w:line="360" w:lineRule="auto"/>
        <w:ind w:left="0" w:leftChars="0" w:firstLine="480"/>
        <w:rPr>
          <w:rFonts w:hint="eastAsia" w:ascii="宋体" w:hAnsi="宋体" w:cs="宋体"/>
          <w:bCs/>
          <w:color w:val="auto"/>
          <w:sz w:val="24"/>
          <w:highlight w:val="none"/>
        </w:rPr>
      </w:pPr>
      <w:r>
        <w:rPr>
          <w:rFonts w:hint="eastAsia" w:ascii="宋体" w:hAnsi="宋体" w:cs="宋体"/>
          <w:bCs/>
          <w:color w:val="auto"/>
          <w:sz w:val="24"/>
          <w:highlight w:val="none"/>
        </w:rPr>
        <w:t>（1）名词解释</w:t>
      </w:r>
    </w:p>
    <w:p w14:paraId="36F7BDDC">
      <w:pPr>
        <w:pStyle w:val="2"/>
        <w:spacing w:after="0" w:line="360" w:lineRule="auto"/>
        <w:ind w:left="0" w:leftChars="0" w:firstLine="480"/>
        <w:rPr>
          <w:rFonts w:hint="eastAsia" w:ascii="宋体" w:hAnsi="宋体" w:cs="宋体"/>
          <w:bCs/>
          <w:color w:val="auto"/>
          <w:sz w:val="24"/>
          <w:highlight w:val="none"/>
        </w:rPr>
      </w:pPr>
      <w:r>
        <w:rPr>
          <w:rFonts w:hint="eastAsia" w:ascii="宋体" w:hAnsi="宋体" w:cs="宋体"/>
          <w:bCs/>
          <w:color w:val="auto"/>
          <w:sz w:val="24"/>
          <w:highlight w:val="none"/>
        </w:rPr>
        <w:t>设备运行率是指考核时段内各监测项目实际获取的小时值监测数据量总和除以应获得小时值数据量总和。</w:t>
      </w:r>
    </w:p>
    <w:p w14:paraId="5C731509">
      <w:pPr>
        <w:pStyle w:val="2"/>
        <w:spacing w:after="0" w:line="360" w:lineRule="auto"/>
        <w:ind w:left="0" w:leftChars="0" w:firstLine="480"/>
        <w:rPr>
          <w:rFonts w:hint="eastAsia" w:ascii="宋体" w:hAnsi="宋体" w:cs="宋体"/>
          <w:bCs/>
          <w:color w:val="auto"/>
          <w:sz w:val="24"/>
          <w:highlight w:val="none"/>
        </w:rPr>
      </w:pPr>
      <w:r>
        <w:rPr>
          <w:rFonts w:hint="eastAsia" w:ascii="宋体" w:hAnsi="宋体" w:cs="宋体"/>
          <w:bCs/>
          <w:color w:val="auto"/>
          <w:sz w:val="24"/>
          <w:highlight w:val="none"/>
        </w:rPr>
        <w:t>数据有效率是指考核时段内各监测项目实际获取的质控合格的小时值监测数据量总和除以应获得小时值数据量总和。</w:t>
      </w:r>
    </w:p>
    <w:p w14:paraId="6F92CE54">
      <w:pPr>
        <w:pStyle w:val="2"/>
        <w:spacing w:after="0" w:line="360" w:lineRule="auto"/>
        <w:ind w:left="0" w:leftChars="0" w:firstLine="480"/>
        <w:rPr>
          <w:rFonts w:hint="eastAsia" w:ascii="宋体" w:hAnsi="宋体" w:cs="宋体"/>
          <w:bCs/>
          <w:color w:val="auto"/>
          <w:sz w:val="24"/>
          <w:highlight w:val="none"/>
        </w:rPr>
      </w:pPr>
      <w:r>
        <w:rPr>
          <w:rFonts w:hint="eastAsia" w:ascii="宋体" w:hAnsi="宋体" w:cs="宋体"/>
          <w:bCs/>
          <w:color w:val="auto"/>
          <w:sz w:val="24"/>
          <w:highlight w:val="none"/>
        </w:rPr>
        <w:t>每日各项目应获得小时值数据量均按24个计，考核时段天数按考核时段内日历天数计。计算应获得小时值数据量时，应扣除因不可抗力造成的停止监测的小时数。</w:t>
      </w:r>
    </w:p>
    <w:p w14:paraId="78A9FA3F">
      <w:pPr>
        <w:widowControl w:val="0"/>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（2）数据真实性</w:t>
      </w:r>
    </w:p>
    <w:p w14:paraId="27026BFD">
      <w:pPr>
        <w:widowControl w:val="0"/>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单站考核即两率部分考核，包括设备运行率和数据有效率，由乙方按实际情况填写考核时段内的两率考核表，甲方组织抽审，发现弄虚作假行为单站考核计0分。</w:t>
      </w:r>
    </w:p>
    <w:p w14:paraId="6D75D279">
      <w:pPr>
        <w:widowControl w:val="0"/>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（3）数据有效性</w:t>
      </w:r>
    </w:p>
    <w:p w14:paraId="1B488F7C">
      <w:pPr>
        <w:widowControl w:val="0"/>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考核时段内单个站点任一监测项目有效数据量应满足《环境空气质量标准》（GB 3095-2012）中规定的污染物浓度数据有效性的最低要求，否则单站考核计0分。</w:t>
      </w:r>
    </w:p>
    <w:p w14:paraId="06BDF98D">
      <w:pPr>
        <w:widowControl w:val="0"/>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（4）两率考核得分</w:t>
      </w:r>
    </w:p>
    <w:p w14:paraId="5B2AC8C9">
      <w:pPr>
        <w:widowControl w:val="0"/>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当单站设备运行率高于90%(含)时，才能按照以下条款对数据有效率进行考核，否则单站考核计0分。</w:t>
      </w:r>
    </w:p>
    <w:p w14:paraId="4B386301">
      <w:pPr>
        <w:widowControl w:val="0"/>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①单站监测数据有效率高于90%(含)的，两率得分=100；</w:t>
      </w:r>
    </w:p>
    <w:p w14:paraId="027965C5">
      <w:pPr>
        <w:widowControl w:val="0"/>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②有效率在85%(含)-90%的，两率得分=实际有效率×100；</w:t>
      </w:r>
    </w:p>
    <w:p w14:paraId="4E6D9517">
      <w:pPr>
        <w:widowControl w:val="0"/>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③有效率在80%(含)-85%的，两率得分=实际有效率×90%×100。</w:t>
      </w:r>
    </w:p>
    <w:p w14:paraId="02379A84">
      <w:pPr>
        <w:widowControl w:val="0"/>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2.项目整体考核部分（50%）</w:t>
      </w:r>
    </w:p>
    <w:p w14:paraId="516254B0">
      <w:pPr>
        <w:widowControl w:val="0"/>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（1）运行维护部分（40%）</w:t>
      </w:r>
    </w:p>
    <w:p w14:paraId="13787BC3">
      <w:pPr>
        <w:widowControl w:val="0"/>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运行维护部分由甲方组织抽查，采取单站类推整体的方式进行，即检查单站时发现单站存在该项问题即对项目整体予以同等扣分，满分100分，采用扣分制，扣分细则如下表：</w:t>
      </w:r>
    </w:p>
    <w:p w14:paraId="5E64FFD5">
      <w:pPr>
        <w:spacing w:line="480" w:lineRule="exact"/>
        <w:ind w:firstLine="482" w:firstLineChars="200"/>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标准站/VOCs站运维情况考核表</w:t>
      </w:r>
    </w:p>
    <w:p w14:paraId="0BA097E0">
      <w:pPr>
        <w:spacing w:line="48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考核站点：            运维商：                   考核时间：</w:t>
      </w:r>
    </w:p>
    <w:tbl>
      <w:tblPr>
        <w:tblStyle w:val="24"/>
        <w:tblW w:w="96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1671"/>
        <w:gridCol w:w="6004"/>
        <w:gridCol w:w="868"/>
      </w:tblGrid>
      <w:tr w14:paraId="54BBE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2805" w:type="dxa"/>
            <w:gridSpan w:val="2"/>
            <w:tcBorders>
              <w:top w:val="single" w:color="auto" w:sz="4" w:space="0"/>
            </w:tcBorders>
            <w:vAlign w:val="center"/>
          </w:tcPr>
          <w:p w14:paraId="72818397">
            <w:pPr>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考核内容</w:t>
            </w:r>
          </w:p>
        </w:tc>
        <w:tc>
          <w:tcPr>
            <w:tcW w:w="6004" w:type="dxa"/>
            <w:tcBorders>
              <w:top w:val="single" w:color="auto" w:sz="4" w:space="0"/>
            </w:tcBorders>
            <w:vAlign w:val="center"/>
          </w:tcPr>
          <w:p w14:paraId="6417AC3B">
            <w:pPr>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评分细则</w:t>
            </w:r>
          </w:p>
        </w:tc>
        <w:tc>
          <w:tcPr>
            <w:tcW w:w="868" w:type="dxa"/>
            <w:tcBorders>
              <w:top w:val="single" w:color="auto" w:sz="4" w:space="0"/>
            </w:tcBorders>
            <w:vAlign w:val="center"/>
          </w:tcPr>
          <w:p w14:paraId="187BA49B">
            <w:pPr>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得分</w:t>
            </w:r>
          </w:p>
        </w:tc>
      </w:tr>
      <w:tr w14:paraId="4B893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34" w:type="dxa"/>
            <w:vAlign w:val="center"/>
          </w:tcPr>
          <w:p w14:paraId="35F3D0C3">
            <w:pPr>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质量保证与质量控制</w:t>
            </w:r>
          </w:p>
        </w:tc>
        <w:tc>
          <w:tcPr>
            <w:tcW w:w="1671" w:type="dxa"/>
            <w:vAlign w:val="center"/>
          </w:tcPr>
          <w:p w14:paraId="6486B05F">
            <w:pPr>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仪器运维状态核查</w:t>
            </w:r>
          </w:p>
        </w:tc>
        <w:tc>
          <w:tcPr>
            <w:tcW w:w="6004" w:type="dxa"/>
            <w:tcBorders>
              <w:bottom w:val="single" w:color="auto" w:sz="4" w:space="0"/>
            </w:tcBorders>
            <w:vAlign w:val="center"/>
          </w:tcPr>
          <w:p w14:paraId="3171D684">
            <w:pPr>
              <w:spacing w:line="24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标气压力不低于1.5Mpa，且在有效期内；</w:t>
            </w:r>
          </w:p>
          <w:p w14:paraId="115B8339">
            <w:pPr>
              <w:spacing w:line="24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流量计、温湿度计、大气压计超出有效期；</w:t>
            </w:r>
          </w:p>
          <w:p w14:paraId="5C26D67F">
            <w:pPr>
              <w:spacing w:line="24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气态污染物分析仪内部性能参数超过标准要求，如机体内部温度，反应室温度、压力等；</w:t>
            </w:r>
          </w:p>
          <w:p w14:paraId="644FE2F8">
            <w:pPr>
              <w:spacing w:line="24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颗粒物分析仪密封圈缺失，温度、压力偏差，气态污染物分析仪散热风扇故障；</w:t>
            </w:r>
          </w:p>
          <w:p w14:paraId="129C0854">
            <w:pPr>
              <w:spacing w:line="24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零气和校准仪性能参数超过偏差允许范围；</w:t>
            </w:r>
          </w:p>
          <w:p w14:paraId="3BC90724">
            <w:pPr>
              <w:spacing w:line="24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气态污染物或颗粒物分析仪采样流量或标况流量偏差；</w:t>
            </w:r>
          </w:p>
          <w:p w14:paraId="4DA8D9B1">
            <w:pPr>
              <w:spacing w:line="24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气态污染物分析仪零点、20%（或其他点）全幅测试未通过或T</w:t>
            </w:r>
            <w:r>
              <w:rPr>
                <w:rFonts w:hint="eastAsia" w:ascii="宋体" w:hAnsi="宋体" w:eastAsia="宋体" w:cs="宋体"/>
                <w:color w:val="auto"/>
                <w:kern w:val="0"/>
                <w:sz w:val="21"/>
                <w:szCs w:val="21"/>
                <w:highlight w:val="none"/>
                <w:vertAlign w:val="subscript"/>
              </w:rPr>
              <w:t>90</w:t>
            </w:r>
            <w:r>
              <w:rPr>
                <w:rFonts w:hint="eastAsia" w:ascii="宋体" w:hAnsi="宋体" w:eastAsia="宋体" w:cs="宋体"/>
                <w:color w:val="auto"/>
                <w:kern w:val="0"/>
                <w:sz w:val="21"/>
                <w:szCs w:val="21"/>
                <w:highlight w:val="none"/>
              </w:rPr>
              <w:t>响应时间未通过；</w:t>
            </w:r>
          </w:p>
          <w:p w14:paraId="0C9AC426">
            <w:pPr>
              <w:spacing w:line="24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颗粒物分析仪采样斑点有残缺、毛刺或穿孔现象；</w:t>
            </w:r>
          </w:p>
          <w:p w14:paraId="127C18E5">
            <w:pPr>
              <w:spacing w:line="24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颗粒物分析仪采样斑点异常是否及时调整并记录上报。</w:t>
            </w:r>
          </w:p>
          <w:p w14:paraId="635B3FEA">
            <w:pPr>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868" w:type="dxa"/>
            <w:tcBorders>
              <w:bottom w:val="single" w:color="auto" w:sz="4" w:space="0"/>
            </w:tcBorders>
            <w:vAlign w:val="center"/>
          </w:tcPr>
          <w:p w14:paraId="65A2461B">
            <w:pPr>
              <w:spacing w:line="240" w:lineRule="auto"/>
              <w:rPr>
                <w:rFonts w:hint="eastAsia" w:ascii="宋体" w:hAnsi="宋体" w:eastAsia="宋体" w:cs="宋体"/>
                <w:color w:val="auto"/>
                <w:kern w:val="0"/>
                <w:sz w:val="21"/>
                <w:szCs w:val="21"/>
                <w:highlight w:val="none"/>
              </w:rPr>
            </w:pPr>
          </w:p>
        </w:tc>
      </w:tr>
      <w:tr w14:paraId="32A2C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34" w:type="dxa"/>
            <w:vMerge w:val="restart"/>
            <w:vAlign w:val="center"/>
          </w:tcPr>
          <w:p w14:paraId="2B751211">
            <w:pPr>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日常运维</w:t>
            </w:r>
          </w:p>
          <w:p w14:paraId="65FF0476">
            <w:pPr>
              <w:spacing w:line="240" w:lineRule="auto"/>
              <w:jc w:val="center"/>
              <w:rPr>
                <w:rFonts w:hint="eastAsia" w:ascii="宋体" w:hAnsi="宋体" w:eastAsia="宋体" w:cs="宋体"/>
                <w:color w:val="auto"/>
                <w:kern w:val="0"/>
                <w:sz w:val="21"/>
                <w:szCs w:val="21"/>
                <w:highlight w:val="none"/>
              </w:rPr>
            </w:pPr>
          </w:p>
        </w:tc>
        <w:tc>
          <w:tcPr>
            <w:tcW w:w="1671" w:type="dxa"/>
            <w:vAlign w:val="center"/>
          </w:tcPr>
          <w:p w14:paraId="29D4DC92">
            <w:pPr>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站房环境及人员保障情况</w:t>
            </w:r>
          </w:p>
          <w:p w14:paraId="3842D0A3">
            <w:pPr>
              <w:spacing w:line="240" w:lineRule="auto"/>
              <w:jc w:val="center"/>
              <w:rPr>
                <w:rFonts w:hint="eastAsia" w:ascii="宋体" w:hAnsi="宋体" w:eastAsia="宋体" w:cs="宋体"/>
                <w:color w:val="auto"/>
                <w:kern w:val="0"/>
                <w:sz w:val="21"/>
                <w:szCs w:val="21"/>
                <w:highlight w:val="none"/>
              </w:rPr>
            </w:pPr>
          </w:p>
        </w:tc>
        <w:tc>
          <w:tcPr>
            <w:tcW w:w="6004" w:type="dxa"/>
            <w:tcBorders>
              <w:bottom w:val="single" w:color="auto" w:sz="4" w:space="0"/>
            </w:tcBorders>
            <w:vAlign w:val="center"/>
          </w:tcPr>
          <w:p w14:paraId="61CE5226">
            <w:pPr>
              <w:spacing w:line="24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站房卫生整洁，不漏水，物品摆放整齐，无无关设备和杂物等；</w:t>
            </w:r>
          </w:p>
          <w:p w14:paraId="2631A3D0">
            <w:pPr>
              <w:spacing w:line="24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电、通讯、空调、排风、消防等满足要求，保证自动仪器具有良好的运行环境；</w:t>
            </w:r>
          </w:p>
          <w:p w14:paraId="449A7A06">
            <w:pPr>
              <w:spacing w:line="24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门禁、护栏、照明、爬梯等外围设施是否完好；</w:t>
            </w:r>
          </w:p>
          <w:p w14:paraId="4975663B">
            <w:pPr>
              <w:spacing w:line="24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运维人员是否持证上岗，人证一致。</w:t>
            </w:r>
          </w:p>
          <w:p w14:paraId="5BB54DDC">
            <w:pPr>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p w14:paraId="5E7A46EB">
            <w:pPr>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站点每周巡检一次得满分；到站率不足一周一次每次扣  分。</w:t>
            </w:r>
          </w:p>
        </w:tc>
        <w:tc>
          <w:tcPr>
            <w:tcW w:w="868" w:type="dxa"/>
            <w:tcBorders>
              <w:bottom w:val="single" w:color="auto" w:sz="4" w:space="0"/>
            </w:tcBorders>
            <w:vAlign w:val="center"/>
          </w:tcPr>
          <w:p w14:paraId="20A1B479">
            <w:pPr>
              <w:spacing w:line="240" w:lineRule="auto"/>
              <w:rPr>
                <w:rFonts w:hint="eastAsia" w:ascii="宋体" w:hAnsi="宋体" w:eastAsia="宋体" w:cs="宋体"/>
                <w:color w:val="auto"/>
                <w:kern w:val="0"/>
                <w:sz w:val="21"/>
                <w:szCs w:val="21"/>
                <w:highlight w:val="none"/>
              </w:rPr>
            </w:pPr>
          </w:p>
        </w:tc>
      </w:tr>
      <w:tr w14:paraId="3DA1D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34" w:type="dxa"/>
            <w:vMerge w:val="continue"/>
            <w:vAlign w:val="center"/>
          </w:tcPr>
          <w:p w14:paraId="05ADDE48">
            <w:pPr>
              <w:spacing w:line="240" w:lineRule="auto"/>
              <w:jc w:val="center"/>
              <w:rPr>
                <w:rFonts w:hint="eastAsia" w:ascii="宋体" w:hAnsi="宋体" w:eastAsia="宋体" w:cs="宋体"/>
                <w:color w:val="auto"/>
                <w:kern w:val="0"/>
                <w:sz w:val="21"/>
                <w:szCs w:val="21"/>
                <w:highlight w:val="none"/>
              </w:rPr>
            </w:pPr>
          </w:p>
        </w:tc>
        <w:tc>
          <w:tcPr>
            <w:tcW w:w="1671" w:type="dxa"/>
            <w:vAlign w:val="center"/>
          </w:tcPr>
          <w:p w14:paraId="3BEB497C">
            <w:pPr>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采样系统维护效果</w:t>
            </w:r>
          </w:p>
        </w:tc>
        <w:tc>
          <w:tcPr>
            <w:tcW w:w="6004" w:type="dxa"/>
            <w:vAlign w:val="center"/>
          </w:tcPr>
          <w:p w14:paraId="10FA2480">
            <w:pPr>
              <w:spacing w:line="24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切割头、采样管道是否按规定清洁，有无积灰、积水或障碍物；</w:t>
            </w:r>
          </w:p>
          <w:p w14:paraId="5CB312DC">
            <w:pPr>
              <w:spacing w:line="240" w:lineRule="auto"/>
              <w:rPr>
                <w:rFonts w:hint="eastAsia" w:ascii="宋体" w:hAnsi="宋体" w:eastAsia="宋体" w:cs="宋体"/>
                <w:color w:val="auto"/>
                <w:kern w:val="0"/>
                <w:sz w:val="21"/>
                <w:szCs w:val="21"/>
                <w:highlight w:val="none"/>
              </w:rPr>
            </w:pPr>
            <w:r>
              <w:rPr>
                <w:rFonts w:hint="eastAsia" w:ascii="宋体" w:hAnsi="宋体" w:eastAsia="宋体" w:cs="宋体"/>
                <w:bCs/>
                <w:color w:val="auto"/>
                <w:kern w:val="0"/>
                <w:sz w:val="21"/>
                <w:szCs w:val="21"/>
                <w:highlight w:val="none"/>
              </w:rPr>
              <w:t>采样风机、气泵是否正常工作；</w:t>
            </w:r>
          </w:p>
          <w:p w14:paraId="607800E8">
            <w:pPr>
              <w:spacing w:line="24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气态污染物采样支管是否插入采样总管的中心，监测仪器与支管接头连接的管线长度小于3m；</w:t>
            </w:r>
          </w:p>
          <w:p w14:paraId="426D9918">
            <w:pPr>
              <w:spacing w:line="24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采样总管是否有加热装置，加热功能是否正常，支管是否全部加保温套；</w:t>
            </w:r>
          </w:p>
          <w:p w14:paraId="6D2E41E9">
            <w:pPr>
              <w:spacing w:line="24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氮氧化物分析仪硅胶是否及时更换。</w:t>
            </w:r>
          </w:p>
          <w:p w14:paraId="67EE339F">
            <w:pPr>
              <w:spacing w:line="240" w:lineRule="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w:t>
            </w:r>
          </w:p>
        </w:tc>
        <w:tc>
          <w:tcPr>
            <w:tcW w:w="868" w:type="dxa"/>
            <w:vAlign w:val="center"/>
          </w:tcPr>
          <w:p w14:paraId="3EF541D5">
            <w:pPr>
              <w:spacing w:line="240" w:lineRule="auto"/>
              <w:rPr>
                <w:rFonts w:hint="eastAsia" w:ascii="宋体" w:hAnsi="宋体" w:eastAsia="宋体" w:cs="宋体"/>
                <w:color w:val="auto"/>
                <w:kern w:val="0"/>
                <w:sz w:val="21"/>
                <w:szCs w:val="21"/>
                <w:highlight w:val="none"/>
              </w:rPr>
            </w:pPr>
          </w:p>
        </w:tc>
      </w:tr>
      <w:tr w14:paraId="45DA0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34" w:type="dxa"/>
            <w:vMerge w:val="continue"/>
            <w:vAlign w:val="center"/>
          </w:tcPr>
          <w:p w14:paraId="213F8248">
            <w:pPr>
              <w:spacing w:line="240" w:lineRule="auto"/>
              <w:jc w:val="center"/>
              <w:rPr>
                <w:rFonts w:hint="eastAsia" w:ascii="宋体" w:hAnsi="宋体" w:eastAsia="宋体" w:cs="宋体"/>
                <w:color w:val="auto"/>
                <w:kern w:val="0"/>
                <w:sz w:val="21"/>
                <w:szCs w:val="21"/>
                <w:highlight w:val="none"/>
              </w:rPr>
            </w:pPr>
          </w:p>
        </w:tc>
        <w:tc>
          <w:tcPr>
            <w:tcW w:w="1671" w:type="dxa"/>
            <w:vAlign w:val="center"/>
          </w:tcPr>
          <w:p w14:paraId="19B03051">
            <w:pPr>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仪器日常维护效果</w:t>
            </w:r>
          </w:p>
        </w:tc>
        <w:tc>
          <w:tcPr>
            <w:tcW w:w="6004" w:type="dxa"/>
            <w:vAlign w:val="center"/>
          </w:tcPr>
          <w:p w14:paraId="5E1870E9">
            <w:pPr>
              <w:spacing w:line="24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仪器工作状态是否正常，是否存在报警信息；</w:t>
            </w:r>
          </w:p>
          <w:p w14:paraId="753E9D8C">
            <w:pPr>
              <w:spacing w:line="24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仪器过滤膜是否及时更换并留档，散热风扇是否及时清洗；</w:t>
            </w:r>
          </w:p>
          <w:p w14:paraId="6E57C5C4">
            <w:pPr>
              <w:spacing w:line="24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颗粒物采样管加热装置是否工作正常；</w:t>
            </w:r>
          </w:p>
          <w:p w14:paraId="5F168ABB">
            <w:pPr>
              <w:spacing w:line="24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采样泵相关耗材是否及时更换；</w:t>
            </w:r>
          </w:p>
          <w:p w14:paraId="52AC9536">
            <w:pPr>
              <w:spacing w:line="24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采样纸带或滤膜是否及时更换；</w:t>
            </w:r>
          </w:p>
          <w:p w14:paraId="5109BB90">
            <w:pPr>
              <w:spacing w:line="24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零气发生器相关耗材是否及时更换（至少每6个月）。</w:t>
            </w:r>
          </w:p>
          <w:p w14:paraId="44451067">
            <w:pPr>
              <w:spacing w:line="240" w:lineRule="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w:t>
            </w:r>
          </w:p>
        </w:tc>
        <w:tc>
          <w:tcPr>
            <w:tcW w:w="868" w:type="dxa"/>
            <w:vAlign w:val="center"/>
          </w:tcPr>
          <w:p w14:paraId="5A2D4298">
            <w:pPr>
              <w:spacing w:line="240" w:lineRule="auto"/>
              <w:rPr>
                <w:rFonts w:hint="eastAsia" w:ascii="宋体" w:hAnsi="宋体" w:eastAsia="宋体" w:cs="宋体"/>
                <w:color w:val="auto"/>
                <w:kern w:val="0"/>
                <w:sz w:val="21"/>
                <w:szCs w:val="21"/>
                <w:highlight w:val="none"/>
              </w:rPr>
            </w:pPr>
          </w:p>
        </w:tc>
      </w:tr>
      <w:tr w14:paraId="5F72A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34" w:type="dxa"/>
            <w:vMerge w:val="restart"/>
            <w:vAlign w:val="center"/>
          </w:tcPr>
          <w:p w14:paraId="673DB583">
            <w:pPr>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运维响应、保障</w:t>
            </w:r>
          </w:p>
        </w:tc>
        <w:tc>
          <w:tcPr>
            <w:tcW w:w="1671" w:type="dxa"/>
            <w:vAlign w:val="center"/>
          </w:tcPr>
          <w:p w14:paraId="0A0E2563">
            <w:pPr>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应急响应</w:t>
            </w:r>
          </w:p>
        </w:tc>
        <w:tc>
          <w:tcPr>
            <w:tcW w:w="6004" w:type="dxa"/>
            <w:vAlign w:val="center"/>
          </w:tcPr>
          <w:p w14:paraId="3BEDCA0B">
            <w:pPr>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对空气异常响应及时，能够及时判断仪器状态得满分，否则酌情扣分</w:t>
            </w:r>
          </w:p>
        </w:tc>
        <w:tc>
          <w:tcPr>
            <w:tcW w:w="868" w:type="dxa"/>
            <w:vAlign w:val="center"/>
          </w:tcPr>
          <w:p w14:paraId="456F087C">
            <w:pPr>
              <w:spacing w:line="240" w:lineRule="auto"/>
              <w:rPr>
                <w:rFonts w:hint="eastAsia" w:ascii="宋体" w:hAnsi="宋体" w:eastAsia="宋体" w:cs="宋体"/>
                <w:color w:val="auto"/>
                <w:kern w:val="0"/>
                <w:sz w:val="21"/>
                <w:szCs w:val="21"/>
                <w:highlight w:val="none"/>
              </w:rPr>
            </w:pPr>
          </w:p>
        </w:tc>
      </w:tr>
      <w:tr w14:paraId="3B26B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34" w:type="dxa"/>
            <w:vMerge w:val="continue"/>
            <w:vAlign w:val="center"/>
          </w:tcPr>
          <w:p w14:paraId="6CBC6995">
            <w:pPr>
              <w:spacing w:line="240" w:lineRule="auto"/>
              <w:rPr>
                <w:rFonts w:hint="eastAsia" w:ascii="宋体" w:hAnsi="宋体" w:eastAsia="宋体" w:cs="宋体"/>
                <w:color w:val="auto"/>
                <w:kern w:val="0"/>
                <w:sz w:val="21"/>
                <w:szCs w:val="21"/>
                <w:highlight w:val="none"/>
              </w:rPr>
            </w:pPr>
          </w:p>
        </w:tc>
        <w:tc>
          <w:tcPr>
            <w:tcW w:w="1671" w:type="dxa"/>
            <w:vAlign w:val="center"/>
          </w:tcPr>
          <w:p w14:paraId="4E9D9C72">
            <w:pPr>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故障响应</w:t>
            </w:r>
          </w:p>
        </w:tc>
        <w:tc>
          <w:tcPr>
            <w:tcW w:w="6004" w:type="dxa"/>
            <w:vAlign w:val="center"/>
          </w:tcPr>
          <w:p w14:paraId="2728799E">
            <w:pPr>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站点故障时响应迅速，解决及时得满分，否则酌情扣分</w:t>
            </w:r>
          </w:p>
        </w:tc>
        <w:tc>
          <w:tcPr>
            <w:tcW w:w="868" w:type="dxa"/>
            <w:vAlign w:val="center"/>
          </w:tcPr>
          <w:p w14:paraId="252469A4">
            <w:pPr>
              <w:spacing w:line="240" w:lineRule="auto"/>
              <w:rPr>
                <w:rFonts w:hint="eastAsia" w:ascii="宋体" w:hAnsi="宋体" w:eastAsia="宋体" w:cs="宋体"/>
                <w:color w:val="auto"/>
                <w:kern w:val="0"/>
                <w:sz w:val="21"/>
                <w:szCs w:val="21"/>
                <w:highlight w:val="none"/>
              </w:rPr>
            </w:pPr>
          </w:p>
        </w:tc>
      </w:tr>
      <w:tr w14:paraId="2F6AF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34" w:type="dxa"/>
            <w:vMerge w:val="continue"/>
            <w:vAlign w:val="center"/>
          </w:tcPr>
          <w:p w14:paraId="3FC2AA89">
            <w:pPr>
              <w:spacing w:line="240" w:lineRule="auto"/>
              <w:rPr>
                <w:rFonts w:hint="eastAsia" w:ascii="宋体" w:hAnsi="宋体" w:eastAsia="宋体" w:cs="宋体"/>
                <w:color w:val="auto"/>
                <w:kern w:val="0"/>
                <w:sz w:val="21"/>
                <w:szCs w:val="21"/>
                <w:highlight w:val="none"/>
              </w:rPr>
            </w:pPr>
          </w:p>
        </w:tc>
        <w:tc>
          <w:tcPr>
            <w:tcW w:w="1671" w:type="dxa"/>
            <w:vAlign w:val="center"/>
          </w:tcPr>
          <w:p w14:paraId="25A48C50">
            <w:pPr>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反馈信息</w:t>
            </w:r>
          </w:p>
        </w:tc>
        <w:tc>
          <w:tcPr>
            <w:tcW w:w="6004" w:type="dxa"/>
            <w:vAlign w:val="center"/>
          </w:tcPr>
          <w:p w14:paraId="249B7351">
            <w:pPr>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能够及时反应空气、仪器故障信息得满分，否则酌情扣分</w:t>
            </w:r>
          </w:p>
        </w:tc>
        <w:tc>
          <w:tcPr>
            <w:tcW w:w="868" w:type="dxa"/>
            <w:vAlign w:val="center"/>
          </w:tcPr>
          <w:p w14:paraId="6C27A06C">
            <w:pPr>
              <w:spacing w:line="240" w:lineRule="auto"/>
              <w:rPr>
                <w:rFonts w:hint="eastAsia" w:ascii="宋体" w:hAnsi="宋体" w:eastAsia="宋体" w:cs="宋体"/>
                <w:color w:val="auto"/>
                <w:kern w:val="0"/>
                <w:sz w:val="21"/>
                <w:szCs w:val="21"/>
                <w:highlight w:val="none"/>
              </w:rPr>
            </w:pPr>
          </w:p>
        </w:tc>
      </w:tr>
      <w:tr w14:paraId="6649B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34" w:type="dxa"/>
            <w:vMerge w:val="continue"/>
            <w:vAlign w:val="center"/>
          </w:tcPr>
          <w:p w14:paraId="18EB76C2">
            <w:pPr>
              <w:spacing w:line="240" w:lineRule="auto"/>
              <w:rPr>
                <w:rFonts w:hint="eastAsia" w:ascii="宋体" w:hAnsi="宋体" w:eastAsia="宋体" w:cs="宋体"/>
                <w:color w:val="auto"/>
                <w:kern w:val="0"/>
                <w:sz w:val="21"/>
                <w:szCs w:val="21"/>
                <w:highlight w:val="none"/>
              </w:rPr>
            </w:pPr>
          </w:p>
        </w:tc>
        <w:tc>
          <w:tcPr>
            <w:tcW w:w="1671" w:type="dxa"/>
            <w:vAlign w:val="center"/>
          </w:tcPr>
          <w:p w14:paraId="5108121B">
            <w:pPr>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技术保障</w:t>
            </w:r>
          </w:p>
        </w:tc>
        <w:tc>
          <w:tcPr>
            <w:tcW w:w="6004" w:type="dxa"/>
            <w:vAlign w:val="center"/>
          </w:tcPr>
          <w:p w14:paraId="390EBAD1">
            <w:pPr>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人员技术水平高，能及时解决相关故障得满分，否则酌情扣分</w:t>
            </w:r>
          </w:p>
        </w:tc>
        <w:tc>
          <w:tcPr>
            <w:tcW w:w="868" w:type="dxa"/>
            <w:vAlign w:val="center"/>
          </w:tcPr>
          <w:p w14:paraId="79C78C28">
            <w:pPr>
              <w:spacing w:line="240" w:lineRule="auto"/>
              <w:rPr>
                <w:rFonts w:hint="eastAsia" w:ascii="宋体" w:hAnsi="宋体" w:eastAsia="宋体" w:cs="宋体"/>
                <w:color w:val="auto"/>
                <w:kern w:val="0"/>
                <w:sz w:val="21"/>
                <w:szCs w:val="21"/>
                <w:highlight w:val="none"/>
              </w:rPr>
            </w:pPr>
          </w:p>
        </w:tc>
      </w:tr>
      <w:tr w14:paraId="7C87D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34" w:type="dxa"/>
            <w:vMerge w:val="continue"/>
            <w:vAlign w:val="center"/>
          </w:tcPr>
          <w:p w14:paraId="0971C80A">
            <w:pPr>
              <w:spacing w:line="240" w:lineRule="auto"/>
              <w:rPr>
                <w:rFonts w:hint="eastAsia" w:ascii="宋体" w:hAnsi="宋体" w:eastAsia="宋体" w:cs="宋体"/>
                <w:color w:val="auto"/>
                <w:kern w:val="0"/>
                <w:sz w:val="21"/>
                <w:szCs w:val="21"/>
                <w:highlight w:val="none"/>
              </w:rPr>
            </w:pPr>
          </w:p>
        </w:tc>
        <w:tc>
          <w:tcPr>
            <w:tcW w:w="1671" w:type="dxa"/>
            <w:vAlign w:val="center"/>
          </w:tcPr>
          <w:p w14:paraId="30452D2A">
            <w:pPr>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备品备件</w:t>
            </w:r>
          </w:p>
        </w:tc>
        <w:tc>
          <w:tcPr>
            <w:tcW w:w="6004" w:type="dxa"/>
            <w:vAlign w:val="center"/>
          </w:tcPr>
          <w:p w14:paraId="68081D47">
            <w:pPr>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备品备件有安全库存并及时提供得满分，否则酌情扣分</w:t>
            </w:r>
          </w:p>
        </w:tc>
        <w:tc>
          <w:tcPr>
            <w:tcW w:w="868" w:type="dxa"/>
            <w:vAlign w:val="center"/>
          </w:tcPr>
          <w:p w14:paraId="40431059">
            <w:pPr>
              <w:spacing w:line="240" w:lineRule="auto"/>
              <w:rPr>
                <w:rFonts w:hint="eastAsia" w:ascii="宋体" w:hAnsi="宋体" w:eastAsia="宋体" w:cs="宋体"/>
                <w:color w:val="auto"/>
                <w:kern w:val="0"/>
                <w:sz w:val="21"/>
                <w:szCs w:val="21"/>
                <w:highlight w:val="none"/>
              </w:rPr>
            </w:pPr>
          </w:p>
        </w:tc>
      </w:tr>
      <w:tr w14:paraId="71FCB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34" w:type="dxa"/>
            <w:vMerge w:val="continue"/>
            <w:vAlign w:val="center"/>
          </w:tcPr>
          <w:p w14:paraId="4BDFCE8F">
            <w:pPr>
              <w:spacing w:line="240" w:lineRule="auto"/>
              <w:rPr>
                <w:rFonts w:hint="eastAsia" w:ascii="宋体" w:hAnsi="宋体" w:eastAsia="宋体" w:cs="宋体"/>
                <w:color w:val="auto"/>
                <w:kern w:val="0"/>
                <w:sz w:val="21"/>
                <w:szCs w:val="21"/>
                <w:highlight w:val="none"/>
              </w:rPr>
            </w:pPr>
          </w:p>
        </w:tc>
        <w:tc>
          <w:tcPr>
            <w:tcW w:w="1671" w:type="dxa"/>
            <w:vAlign w:val="center"/>
          </w:tcPr>
          <w:p w14:paraId="4E3CAB58">
            <w:pPr>
              <w:spacing w:line="24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视频监控</w:t>
            </w:r>
          </w:p>
        </w:tc>
        <w:tc>
          <w:tcPr>
            <w:tcW w:w="6004" w:type="dxa"/>
            <w:vAlign w:val="center"/>
          </w:tcPr>
          <w:p w14:paraId="39122755">
            <w:pPr>
              <w:spacing w:line="24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真实有效的监控视频信息在环境质量自动监控平台上实时反馈得满分，否则酌情扣分</w:t>
            </w:r>
          </w:p>
        </w:tc>
        <w:tc>
          <w:tcPr>
            <w:tcW w:w="868" w:type="dxa"/>
            <w:vAlign w:val="center"/>
          </w:tcPr>
          <w:p w14:paraId="61B15BEB">
            <w:pPr>
              <w:spacing w:line="240" w:lineRule="auto"/>
              <w:rPr>
                <w:rFonts w:hint="eastAsia" w:ascii="宋体" w:hAnsi="宋体" w:eastAsia="宋体" w:cs="宋体"/>
                <w:color w:val="auto"/>
                <w:kern w:val="0"/>
                <w:sz w:val="21"/>
                <w:szCs w:val="21"/>
                <w:highlight w:val="none"/>
              </w:rPr>
            </w:pPr>
          </w:p>
        </w:tc>
      </w:tr>
      <w:tr w14:paraId="25E16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34" w:type="dxa"/>
            <w:vMerge w:val="continue"/>
            <w:vAlign w:val="center"/>
          </w:tcPr>
          <w:p w14:paraId="45EF24B6">
            <w:pPr>
              <w:spacing w:line="240" w:lineRule="auto"/>
              <w:rPr>
                <w:rFonts w:hint="eastAsia" w:ascii="宋体" w:hAnsi="宋体" w:eastAsia="宋体" w:cs="宋体"/>
                <w:color w:val="auto"/>
                <w:kern w:val="0"/>
                <w:sz w:val="21"/>
                <w:szCs w:val="21"/>
                <w:highlight w:val="none"/>
              </w:rPr>
            </w:pPr>
          </w:p>
        </w:tc>
        <w:tc>
          <w:tcPr>
            <w:tcW w:w="1671" w:type="dxa"/>
            <w:vAlign w:val="center"/>
          </w:tcPr>
          <w:p w14:paraId="2D4F14AC">
            <w:pPr>
              <w:spacing w:line="24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w:t>
            </w:r>
          </w:p>
        </w:tc>
        <w:tc>
          <w:tcPr>
            <w:tcW w:w="6004" w:type="dxa"/>
            <w:vAlign w:val="center"/>
          </w:tcPr>
          <w:p w14:paraId="71AD0720">
            <w:pPr>
              <w:spacing w:line="24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w:t>
            </w:r>
          </w:p>
        </w:tc>
        <w:tc>
          <w:tcPr>
            <w:tcW w:w="868" w:type="dxa"/>
            <w:vAlign w:val="center"/>
          </w:tcPr>
          <w:p w14:paraId="11C5AB6E">
            <w:pPr>
              <w:spacing w:line="240" w:lineRule="auto"/>
              <w:rPr>
                <w:rFonts w:hint="eastAsia" w:ascii="宋体" w:hAnsi="宋体" w:eastAsia="宋体" w:cs="宋体"/>
                <w:color w:val="auto"/>
                <w:kern w:val="0"/>
                <w:sz w:val="21"/>
                <w:szCs w:val="21"/>
                <w:highlight w:val="none"/>
              </w:rPr>
            </w:pPr>
          </w:p>
        </w:tc>
      </w:tr>
      <w:tr w14:paraId="3B2BD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34" w:type="dxa"/>
            <w:vMerge w:val="restart"/>
            <w:vAlign w:val="center"/>
          </w:tcPr>
          <w:p w14:paraId="64369B7C">
            <w:pPr>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记录和数据管理</w:t>
            </w:r>
          </w:p>
          <w:p w14:paraId="21968550">
            <w:pPr>
              <w:spacing w:line="240" w:lineRule="auto"/>
              <w:rPr>
                <w:rFonts w:hint="eastAsia" w:ascii="宋体" w:hAnsi="宋体" w:eastAsia="宋体" w:cs="宋体"/>
                <w:color w:val="auto"/>
                <w:kern w:val="0"/>
                <w:sz w:val="21"/>
                <w:szCs w:val="21"/>
                <w:highlight w:val="none"/>
              </w:rPr>
            </w:pPr>
          </w:p>
        </w:tc>
        <w:tc>
          <w:tcPr>
            <w:tcW w:w="1671" w:type="dxa"/>
            <w:vAlign w:val="center"/>
          </w:tcPr>
          <w:p w14:paraId="7818F743">
            <w:pPr>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运维记录</w:t>
            </w:r>
          </w:p>
          <w:p w14:paraId="67F19EE0">
            <w:pPr>
              <w:spacing w:line="240" w:lineRule="auto"/>
              <w:jc w:val="center"/>
              <w:rPr>
                <w:rFonts w:hint="eastAsia" w:ascii="宋体" w:hAnsi="宋体" w:eastAsia="宋体" w:cs="宋体"/>
                <w:color w:val="auto"/>
                <w:kern w:val="0"/>
                <w:sz w:val="21"/>
                <w:szCs w:val="21"/>
                <w:highlight w:val="none"/>
              </w:rPr>
            </w:pPr>
          </w:p>
        </w:tc>
        <w:tc>
          <w:tcPr>
            <w:tcW w:w="6004" w:type="dxa"/>
            <w:vAlign w:val="center"/>
          </w:tcPr>
          <w:p w14:paraId="5C493D17">
            <w:pPr>
              <w:spacing w:line="24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现场运维每周例行巡检记录完整性，真实性，实时性；</w:t>
            </w:r>
          </w:p>
          <w:p w14:paraId="0AA4DFDF">
            <w:pPr>
              <w:spacing w:line="24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气态污染物质控校准记录（零跨、精度、多点校准）；</w:t>
            </w:r>
          </w:p>
          <w:p w14:paraId="3E9414C6">
            <w:pPr>
              <w:spacing w:line="24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颗粒物质控校准记录（流量、质量传感器/标准膜、温度和压力校准）；</w:t>
            </w:r>
          </w:p>
          <w:p w14:paraId="50B0F588">
            <w:pPr>
              <w:spacing w:line="24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动态校准仪质量流量控制器多点校准记录；</w:t>
            </w:r>
          </w:p>
          <w:p w14:paraId="7C6F985D">
            <w:pPr>
              <w:spacing w:line="24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气态、颗粒物采样管、切割器清洗记录；</w:t>
            </w:r>
          </w:p>
          <w:p w14:paraId="0446EAC0">
            <w:pPr>
              <w:spacing w:line="24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标气使用记录、有效证书；</w:t>
            </w:r>
          </w:p>
          <w:p w14:paraId="0FBCC26A">
            <w:pPr>
              <w:spacing w:line="24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设备维修记录；</w:t>
            </w:r>
          </w:p>
          <w:p w14:paraId="050E83EE">
            <w:pPr>
              <w:spacing w:line="24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耗品耗材更换记录；</w:t>
            </w:r>
          </w:p>
          <w:p w14:paraId="3543CBA3">
            <w:pPr>
              <w:spacing w:line="24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NOx设备钼炉转换率记录；</w:t>
            </w:r>
          </w:p>
          <w:p w14:paraId="7D468452">
            <w:pPr>
              <w:spacing w:line="24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臭氧仪器标准与量值溯源记录；</w:t>
            </w:r>
          </w:p>
          <w:p w14:paraId="03F59F40">
            <w:pPr>
              <w:spacing w:line="24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颗粒物纸带留存记录；</w:t>
            </w:r>
          </w:p>
          <w:p w14:paraId="47DF7D1F">
            <w:pPr>
              <w:spacing w:line="24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过滤膜留存记录；</w:t>
            </w:r>
          </w:p>
          <w:p w14:paraId="15B20A69">
            <w:pPr>
              <w:spacing w:line="24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记录不完整、不规范、不真实、遗漏、错误或涂改有一项扣  分。</w:t>
            </w:r>
          </w:p>
          <w:p w14:paraId="5931AC2E">
            <w:pPr>
              <w:spacing w:line="240" w:lineRule="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w:t>
            </w:r>
          </w:p>
        </w:tc>
        <w:tc>
          <w:tcPr>
            <w:tcW w:w="868" w:type="dxa"/>
            <w:vAlign w:val="center"/>
          </w:tcPr>
          <w:p w14:paraId="7E1311BB">
            <w:pPr>
              <w:spacing w:line="240" w:lineRule="auto"/>
              <w:rPr>
                <w:rFonts w:hint="eastAsia" w:ascii="宋体" w:hAnsi="宋体" w:eastAsia="宋体" w:cs="宋体"/>
                <w:color w:val="auto"/>
                <w:kern w:val="0"/>
                <w:sz w:val="21"/>
                <w:szCs w:val="21"/>
                <w:highlight w:val="none"/>
              </w:rPr>
            </w:pPr>
          </w:p>
        </w:tc>
      </w:tr>
      <w:tr w14:paraId="38D19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34" w:type="dxa"/>
            <w:vMerge w:val="continue"/>
            <w:vAlign w:val="center"/>
          </w:tcPr>
          <w:p w14:paraId="57D57C2A">
            <w:pPr>
              <w:spacing w:line="240" w:lineRule="auto"/>
              <w:rPr>
                <w:rFonts w:hint="eastAsia" w:ascii="宋体" w:hAnsi="宋体" w:eastAsia="宋体" w:cs="宋体"/>
                <w:color w:val="auto"/>
                <w:kern w:val="0"/>
                <w:sz w:val="21"/>
                <w:szCs w:val="21"/>
                <w:highlight w:val="none"/>
              </w:rPr>
            </w:pPr>
          </w:p>
        </w:tc>
        <w:tc>
          <w:tcPr>
            <w:tcW w:w="1671" w:type="dxa"/>
            <w:vAlign w:val="center"/>
          </w:tcPr>
          <w:p w14:paraId="18F70767">
            <w:pPr>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数据一致性</w:t>
            </w:r>
          </w:p>
          <w:p w14:paraId="0406FB95">
            <w:pPr>
              <w:spacing w:line="240" w:lineRule="auto"/>
              <w:jc w:val="center"/>
              <w:rPr>
                <w:rFonts w:hint="eastAsia" w:ascii="宋体" w:hAnsi="宋体" w:eastAsia="宋体" w:cs="宋体"/>
                <w:color w:val="auto"/>
                <w:kern w:val="0"/>
                <w:sz w:val="21"/>
                <w:szCs w:val="21"/>
                <w:highlight w:val="none"/>
              </w:rPr>
            </w:pPr>
          </w:p>
        </w:tc>
        <w:tc>
          <w:tcPr>
            <w:tcW w:w="6004" w:type="dxa"/>
            <w:vAlign w:val="center"/>
          </w:tcPr>
          <w:p w14:paraId="3DFDB7BD">
            <w:pPr>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时钟不一致，数据采集、传输异常，仪器数据与工控机、平台不一致；</w:t>
            </w:r>
          </w:p>
          <w:p w14:paraId="56F99358">
            <w:pPr>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视频监控无法查看或记录不满一个月；</w:t>
            </w:r>
          </w:p>
          <w:p w14:paraId="17C017AE">
            <w:pPr>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摄像头朝向发生自动转动，超过一个周期未维护。</w:t>
            </w:r>
          </w:p>
          <w:p w14:paraId="4B2332FA">
            <w:pPr>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868" w:type="dxa"/>
            <w:vAlign w:val="center"/>
          </w:tcPr>
          <w:p w14:paraId="41DDF5AA">
            <w:pPr>
              <w:spacing w:line="240" w:lineRule="auto"/>
              <w:rPr>
                <w:rFonts w:hint="eastAsia" w:ascii="宋体" w:hAnsi="宋体" w:eastAsia="宋体" w:cs="宋体"/>
                <w:color w:val="auto"/>
                <w:kern w:val="0"/>
                <w:sz w:val="21"/>
                <w:szCs w:val="21"/>
                <w:highlight w:val="none"/>
              </w:rPr>
            </w:pPr>
          </w:p>
        </w:tc>
      </w:tr>
    </w:tbl>
    <w:p w14:paraId="6FC6A1C8">
      <w:pPr>
        <w:widowControl w:val="0"/>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注：1.表中各项按分项进行扣分，分项分数扣完为止，不从总分中扣除；</w:t>
      </w:r>
    </w:p>
    <w:p w14:paraId="6329FD88">
      <w:pPr>
        <w:widowControl w:val="0"/>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2.甲方可以运用环境质量自动监测站质控检查的结果，参考对照酌情扣分。</w:t>
      </w:r>
    </w:p>
    <w:p w14:paraId="6B9CE5E7">
      <w:pPr>
        <w:widowControl w:val="0"/>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（2）数据审核部分（10%）</w:t>
      </w:r>
    </w:p>
    <w:p w14:paraId="2BF54612">
      <w:pPr>
        <w:widowControl w:val="0"/>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乙方安排专人按照数据审核要求对站点数据审核，每日将审核的数据汇总并反馈给甲方。</w:t>
      </w:r>
    </w:p>
    <w:p w14:paraId="4D402303">
      <w:pPr>
        <w:pStyle w:val="2"/>
        <w:spacing w:after="0" w:line="360" w:lineRule="auto"/>
        <w:ind w:left="0" w:leftChars="0" w:firstLine="480"/>
        <w:rPr>
          <w:rStyle w:val="44"/>
          <w:rFonts w:hint="eastAsia" w:ascii="宋体" w:hAnsi="宋体" w:cs="宋体"/>
          <w:b/>
          <w:color w:val="auto"/>
          <w:w w:val="80"/>
          <w:kern w:val="44"/>
          <w:sz w:val="36"/>
          <w:szCs w:val="36"/>
          <w:highlight w:val="none"/>
        </w:rPr>
      </w:pPr>
      <w:r>
        <w:rPr>
          <w:rFonts w:hint="eastAsia" w:ascii="宋体" w:hAnsi="宋体" w:cs="宋体"/>
          <w:color w:val="auto"/>
          <w:sz w:val="24"/>
          <w:highlight w:val="none"/>
        </w:rPr>
        <w:t>数据审核部分考核采用扣分制，满分100分。甲方在考核时段内安排核查与统计，发现1次数据审核不准确或者审核数据反馈不及时扣1分，扣完为止。甲方对数据真实性组织抽审，发现数据弄虚作假等行为，数据审核部分考核直接计0分。</w:t>
      </w:r>
    </w:p>
    <w:p w14:paraId="523ABF69">
      <w:pPr>
        <w:pStyle w:val="2"/>
        <w:spacing w:after="0" w:line="360" w:lineRule="auto"/>
        <w:ind w:left="0" w:leftChars="0" w:firstLine="480"/>
        <w:rPr>
          <w:rFonts w:hint="eastAsia" w:ascii="宋体" w:hAnsi="宋体" w:cs="宋体"/>
          <w:color w:val="auto"/>
          <w:sz w:val="24"/>
          <w:highlight w:val="none"/>
        </w:rPr>
      </w:pPr>
      <w:r>
        <w:rPr>
          <w:rFonts w:hint="eastAsia" w:ascii="宋体" w:hAnsi="宋体" w:cs="宋体"/>
          <w:color w:val="auto"/>
          <w:sz w:val="24"/>
          <w:highlight w:val="none"/>
        </w:rPr>
        <w:t>3.考核总分计算（100分）</w:t>
      </w:r>
    </w:p>
    <w:p w14:paraId="2A70F6E8">
      <w:pPr>
        <w:pStyle w:val="2"/>
        <w:spacing w:after="0" w:line="360" w:lineRule="auto"/>
        <w:ind w:left="0" w:leftChars="0" w:firstLine="480"/>
        <w:rPr>
          <w:rFonts w:hint="eastAsia" w:ascii="宋体" w:hAnsi="宋体" w:cs="宋体"/>
          <w:color w:val="auto"/>
          <w:sz w:val="24"/>
          <w:highlight w:val="none"/>
        </w:rPr>
      </w:pPr>
      <w:r>
        <w:rPr>
          <w:rFonts w:hint="eastAsia" w:ascii="宋体" w:hAnsi="宋体" w:cs="宋体"/>
          <w:color w:val="auto"/>
          <w:sz w:val="24"/>
          <w:highlight w:val="none"/>
        </w:rPr>
        <w:t>考核总分=4个站点两率得分加和/4*50%+运行维护得分*40%+数据审核得分*10%</w:t>
      </w:r>
    </w:p>
    <w:p w14:paraId="1FBFE14B">
      <w:pPr>
        <w:pStyle w:val="2"/>
        <w:spacing w:after="0" w:line="360" w:lineRule="auto"/>
        <w:ind w:left="0" w:leftChars="0" w:firstLine="480"/>
        <w:rPr>
          <w:rFonts w:hint="eastAsia" w:ascii="宋体" w:hAnsi="宋体" w:cs="宋体"/>
          <w:color w:val="auto"/>
          <w:sz w:val="24"/>
          <w:highlight w:val="none"/>
        </w:rPr>
      </w:pPr>
      <w:r>
        <w:rPr>
          <w:rFonts w:hint="eastAsia" w:ascii="宋体" w:hAnsi="宋体" w:cs="宋体"/>
          <w:color w:val="auto"/>
          <w:sz w:val="24"/>
          <w:highlight w:val="none"/>
        </w:rPr>
        <w:t>4.运维费用核算方法</w:t>
      </w:r>
    </w:p>
    <w:p w14:paraId="7D63B5D0">
      <w:pPr>
        <w:pStyle w:val="2"/>
        <w:spacing w:after="0" w:line="360" w:lineRule="auto"/>
        <w:ind w:left="0" w:leftChars="0" w:firstLine="480"/>
        <w:rPr>
          <w:rFonts w:hint="eastAsia" w:ascii="宋体" w:hAnsi="宋体" w:cs="宋体"/>
          <w:color w:val="auto"/>
          <w:sz w:val="24"/>
          <w:highlight w:val="none"/>
        </w:rPr>
      </w:pPr>
      <w:r>
        <w:rPr>
          <w:rFonts w:hint="eastAsia" w:ascii="宋体" w:hAnsi="宋体" w:cs="宋体"/>
          <w:color w:val="auto"/>
          <w:sz w:val="24"/>
          <w:highlight w:val="none"/>
        </w:rPr>
        <w:t>每半年度考核总分低于70分的，不予支付</w:t>
      </w:r>
      <w:r>
        <w:rPr>
          <w:rFonts w:hint="eastAsia" w:ascii="宋体" w:hAnsi="宋体" w:cs="宋体"/>
          <w:bCs/>
          <w:color w:val="auto"/>
          <w:sz w:val="24"/>
          <w:highlight w:val="none"/>
          <w:lang w:val="en-US" w:eastAsia="zh-CN"/>
        </w:rPr>
        <w:t>该半年度对应</w:t>
      </w:r>
      <w:r>
        <w:rPr>
          <w:rFonts w:hint="eastAsia" w:ascii="宋体" w:hAnsi="宋体" w:cs="宋体"/>
          <w:color w:val="auto"/>
          <w:sz w:val="24"/>
          <w:highlight w:val="none"/>
        </w:rPr>
        <w:t>运维费；绩效考核总分85（含）分以上的为合格，支付</w:t>
      </w:r>
      <w:r>
        <w:rPr>
          <w:rFonts w:hint="eastAsia" w:ascii="宋体" w:hAnsi="宋体" w:cs="宋体"/>
          <w:bCs/>
          <w:color w:val="auto"/>
          <w:sz w:val="24"/>
          <w:highlight w:val="none"/>
          <w:lang w:val="en-US" w:eastAsia="zh-CN"/>
        </w:rPr>
        <w:t>该半年度对应</w:t>
      </w:r>
      <w:r>
        <w:rPr>
          <w:rFonts w:hint="eastAsia" w:ascii="宋体" w:hAnsi="宋体" w:cs="宋体"/>
          <w:color w:val="auto"/>
          <w:sz w:val="24"/>
          <w:highlight w:val="none"/>
        </w:rPr>
        <w:t>全额运维费；绩效考核总分在70（含）-85分的。</w:t>
      </w:r>
      <w:r>
        <w:rPr>
          <w:rFonts w:hint="eastAsia" w:ascii="宋体" w:hAnsi="宋体" w:cs="宋体"/>
          <w:bCs/>
          <w:color w:val="auto"/>
          <w:sz w:val="24"/>
          <w:highlight w:val="none"/>
          <w:lang w:val="en-US" w:eastAsia="zh-CN"/>
        </w:rPr>
        <w:t>该半年度对应</w:t>
      </w:r>
      <w:r>
        <w:rPr>
          <w:rFonts w:hint="eastAsia" w:ascii="宋体" w:hAnsi="宋体" w:cs="宋体"/>
          <w:color w:val="auto"/>
          <w:sz w:val="24"/>
          <w:highlight w:val="none"/>
        </w:rPr>
        <w:t>运维费=实际考核得分/100*</w:t>
      </w:r>
      <w:r>
        <w:rPr>
          <w:rFonts w:hint="eastAsia" w:ascii="宋体" w:hAnsi="宋体" w:cs="宋体"/>
          <w:bCs/>
          <w:color w:val="auto"/>
          <w:sz w:val="24"/>
          <w:highlight w:val="none"/>
          <w:lang w:val="en-US" w:eastAsia="zh-CN"/>
        </w:rPr>
        <w:t>该半年度对应</w:t>
      </w:r>
      <w:r>
        <w:rPr>
          <w:rFonts w:hint="eastAsia" w:ascii="宋体" w:hAnsi="宋体" w:cs="宋体"/>
          <w:color w:val="auto"/>
          <w:sz w:val="24"/>
          <w:highlight w:val="none"/>
        </w:rPr>
        <w:t>全额运维费。</w:t>
      </w:r>
    </w:p>
    <w:p w14:paraId="16F2E481">
      <w:pPr>
        <w:rPr>
          <w:rStyle w:val="44"/>
          <w:rFonts w:hint="eastAsia" w:ascii="宋体" w:hAnsi="宋体" w:eastAsia="宋体" w:cs="宋体"/>
          <w:b/>
          <w:color w:val="auto"/>
          <w:w w:val="80"/>
          <w:kern w:val="44"/>
          <w:sz w:val="36"/>
          <w:szCs w:val="36"/>
          <w:highlight w:val="none"/>
        </w:rPr>
      </w:pPr>
      <w:r>
        <w:rPr>
          <w:rStyle w:val="44"/>
          <w:rFonts w:hint="eastAsia" w:ascii="宋体" w:hAnsi="宋体" w:eastAsia="宋体" w:cs="宋体"/>
          <w:b/>
          <w:color w:val="auto"/>
          <w:w w:val="80"/>
          <w:kern w:val="44"/>
          <w:sz w:val="36"/>
          <w:szCs w:val="36"/>
          <w:highlight w:val="none"/>
        </w:rPr>
        <w:br w:type="page"/>
      </w:r>
    </w:p>
    <w:p w14:paraId="255425B4">
      <w:pPr>
        <w:snapToGrid w:val="0"/>
        <w:jc w:val="center"/>
        <w:rPr>
          <w:rStyle w:val="44"/>
          <w:rFonts w:hint="eastAsia" w:ascii="宋体" w:hAnsi="宋体" w:eastAsia="宋体" w:cs="宋体"/>
          <w:b/>
          <w:color w:val="auto"/>
          <w:w w:val="80"/>
          <w:kern w:val="44"/>
          <w:sz w:val="36"/>
          <w:szCs w:val="36"/>
          <w:highlight w:val="none"/>
        </w:rPr>
      </w:pPr>
      <w:r>
        <w:rPr>
          <w:rStyle w:val="44"/>
          <w:rFonts w:hint="eastAsia" w:ascii="宋体" w:hAnsi="宋体" w:eastAsia="宋体" w:cs="宋体"/>
          <w:b/>
          <w:color w:val="auto"/>
          <w:w w:val="80"/>
          <w:kern w:val="44"/>
          <w:sz w:val="36"/>
          <w:szCs w:val="36"/>
          <w:highlight w:val="none"/>
        </w:rPr>
        <w:t>第六章  合同授予</w:t>
      </w:r>
    </w:p>
    <w:p w14:paraId="117C8DFB">
      <w:pPr>
        <w:snapToGrid w:val="0"/>
        <w:spacing w:line="500" w:lineRule="exact"/>
        <w:ind w:firstLine="480" w:firstLineChars="200"/>
        <w:rPr>
          <w:rStyle w:val="44"/>
          <w:rFonts w:hint="eastAsia" w:ascii="宋体" w:hAnsi="宋体" w:eastAsia="宋体" w:cs="宋体"/>
          <w:color w:val="auto"/>
          <w:sz w:val="24"/>
          <w:szCs w:val="21"/>
          <w:highlight w:val="none"/>
        </w:rPr>
      </w:pPr>
      <w:r>
        <w:rPr>
          <w:rStyle w:val="44"/>
          <w:rFonts w:hint="eastAsia" w:ascii="宋体" w:hAnsi="宋体" w:eastAsia="宋体" w:cs="宋体"/>
          <w:color w:val="auto"/>
          <w:sz w:val="24"/>
          <w:szCs w:val="21"/>
          <w:highlight w:val="none"/>
        </w:rPr>
        <w:t>一、</w:t>
      </w:r>
      <w:r>
        <w:rPr>
          <w:rStyle w:val="44"/>
          <w:rFonts w:hint="eastAsia" w:ascii="宋体" w:hAnsi="宋体" w:eastAsia="宋体" w:cs="宋体"/>
          <w:bCs/>
          <w:color w:val="auto"/>
          <w:sz w:val="24"/>
          <w:szCs w:val="24"/>
          <w:highlight w:val="none"/>
        </w:rPr>
        <w:t>自中标通知书发出之日起30日内，中标单位凭“中标通知书”与采购人签订合同。合同一式四份，采购人、供应商各贰份</w:t>
      </w:r>
      <w:r>
        <w:rPr>
          <w:rStyle w:val="44"/>
          <w:rFonts w:hint="eastAsia" w:ascii="宋体" w:hAnsi="宋体" w:eastAsia="宋体" w:cs="宋体"/>
          <w:color w:val="auto"/>
          <w:sz w:val="24"/>
          <w:szCs w:val="21"/>
          <w:highlight w:val="none"/>
        </w:rPr>
        <w:t>。所签合同不得对采购文件作实质性修改。采购人不得向中标单位提出不合理的要求作为签订合同的条件，不得与中标单位私下订立背离采购文件实质性内容的协议。</w:t>
      </w:r>
    </w:p>
    <w:p w14:paraId="5EB80B46">
      <w:pPr>
        <w:snapToGrid w:val="0"/>
        <w:spacing w:line="500" w:lineRule="exact"/>
        <w:ind w:firstLine="480" w:firstLineChars="200"/>
        <w:rPr>
          <w:rStyle w:val="44"/>
          <w:rFonts w:hint="eastAsia" w:ascii="宋体" w:hAnsi="宋体" w:eastAsia="宋体" w:cs="宋体"/>
          <w:color w:val="auto"/>
          <w:sz w:val="24"/>
          <w:szCs w:val="21"/>
          <w:highlight w:val="none"/>
        </w:rPr>
      </w:pPr>
      <w:r>
        <w:rPr>
          <w:rStyle w:val="44"/>
          <w:rFonts w:hint="eastAsia" w:ascii="宋体" w:hAnsi="宋体" w:eastAsia="宋体" w:cs="宋体"/>
          <w:color w:val="auto"/>
          <w:sz w:val="24"/>
          <w:szCs w:val="21"/>
          <w:highlight w:val="none"/>
        </w:rPr>
        <w:t>二、采购人按合同约定积极配合中标单位履约，中标单位履约到位后，请以书面形式向采购人提出验收申请，采购人接到申请后原则上在5个工作日内及时组织相关专业技术人员，必要时邀请质检等部门共同参与验收，并出具验收报告，验收合格的原则上5个工作日内支付相应款项。</w:t>
      </w:r>
    </w:p>
    <w:p w14:paraId="143A380C">
      <w:pPr>
        <w:snapToGrid w:val="0"/>
        <w:spacing w:line="500" w:lineRule="exact"/>
        <w:ind w:firstLine="480" w:firstLineChars="200"/>
        <w:rPr>
          <w:rStyle w:val="44"/>
          <w:rFonts w:hint="eastAsia" w:ascii="宋体" w:hAnsi="宋体" w:eastAsia="宋体" w:cs="宋体"/>
          <w:color w:val="auto"/>
          <w:sz w:val="24"/>
          <w:szCs w:val="21"/>
          <w:highlight w:val="none"/>
        </w:rPr>
      </w:pPr>
      <w:r>
        <w:rPr>
          <w:rStyle w:val="44"/>
          <w:rFonts w:hint="eastAsia" w:ascii="宋体" w:hAnsi="宋体" w:eastAsia="宋体" w:cs="宋体"/>
          <w:color w:val="auto"/>
          <w:sz w:val="24"/>
          <w:szCs w:val="21"/>
          <w:highlight w:val="none"/>
        </w:rPr>
        <w:t>三、采购人故意推迟项目验收时间的，与中标单位串通或要求中标单位通过减少货物数量或降低服务标准的，在履行合同中采取更改配置、调换物品等手段的，要求中标单位出具虚假发票或任意更改销售发票的，谋取不正当利益的，承担相应的法律责任。</w:t>
      </w:r>
    </w:p>
    <w:p w14:paraId="0D2FC551">
      <w:pPr>
        <w:snapToGrid w:val="0"/>
        <w:spacing w:line="500" w:lineRule="exact"/>
        <w:ind w:firstLine="480" w:firstLineChars="200"/>
        <w:rPr>
          <w:rStyle w:val="44"/>
          <w:rFonts w:hint="eastAsia" w:ascii="宋体" w:hAnsi="宋体" w:eastAsia="宋体" w:cs="宋体"/>
          <w:color w:val="auto"/>
          <w:sz w:val="24"/>
          <w:szCs w:val="21"/>
          <w:highlight w:val="none"/>
        </w:rPr>
      </w:pPr>
      <w:r>
        <w:rPr>
          <w:rStyle w:val="44"/>
          <w:rFonts w:hint="eastAsia" w:ascii="宋体" w:hAnsi="宋体" w:eastAsia="宋体" w:cs="宋体"/>
          <w:color w:val="auto"/>
          <w:sz w:val="24"/>
          <w:szCs w:val="21"/>
          <w:highlight w:val="none"/>
        </w:rPr>
        <w:t>四、中标单位出现违约情形，应当及时纠正或补偿；造成损失的，按合同约定追究违约责任；发现有假冒、伪劣、走私产品、商业贿赂等违法情形的，应由采购人移交工商、质监、公安等行政执法部门依法查处。</w:t>
      </w:r>
    </w:p>
    <w:p w14:paraId="0CF9A355">
      <w:pPr>
        <w:snapToGrid w:val="0"/>
        <w:spacing w:line="500" w:lineRule="exact"/>
        <w:ind w:firstLine="480" w:firstLineChars="200"/>
        <w:rPr>
          <w:rStyle w:val="44"/>
          <w:rFonts w:hint="eastAsia" w:ascii="宋体" w:hAnsi="宋体" w:eastAsia="宋体" w:cs="宋体"/>
          <w:color w:val="auto"/>
          <w:sz w:val="24"/>
          <w:szCs w:val="21"/>
          <w:highlight w:val="none"/>
        </w:rPr>
      </w:pPr>
      <w:r>
        <w:rPr>
          <w:rStyle w:val="44"/>
          <w:rFonts w:hint="eastAsia" w:ascii="宋体" w:hAnsi="宋体" w:eastAsia="宋体" w:cs="宋体"/>
          <w:color w:val="auto"/>
          <w:sz w:val="24"/>
          <w:szCs w:val="21"/>
          <w:highlight w:val="none"/>
        </w:rPr>
        <w:t>五、按采购合同约定支付的货款。</w:t>
      </w:r>
    </w:p>
    <w:p w14:paraId="4FEF54E1">
      <w:pPr>
        <w:snapToGrid w:val="0"/>
        <w:spacing w:line="500" w:lineRule="exact"/>
        <w:ind w:firstLine="480" w:firstLineChars="200"/>
        <w:rPr>
          <w:rStyle w:val="44"/>
          <w:rFonts w:hint="eastAsia" w:ascii="宋体" w:hAnsi="宋体" w:eastAsia="宋体" w:cs="宋体"/>
          <w:color w:val="auto"/>
          <w:sz w:val="24"/>
          <w:szCs w:val="21"/>
          <w:highlight w:val="none"/>
        </w:rPr>
      </w:pPr>
      <w:r>
        <w:rPr>
          <w:rStyle w:val="44"/>
          <w:rFonts w:hint="eastAsia" w:ascii="宋体" w:hAnsi="宋体" w:eastAsia="宋体" w:cs="宋体"/>
          <w:color w:val="auto"/>
          <w:sz w:val="24"/>
          <w:szCs w:val="21"/>
          <w:highlight w:val="none"/>
        </w:rPr>
        <w:t>六、不响应付款方式的，视同响应文件无效，按无效投标文件处理。</w:t>
      </w:r>
    </w:p>
    <w:p w14:paraId="2D441705">
      <w:pPr>
        <w:snapToGrid w:val="0"/>
        <w:spacing w:line="500" w:lineRule="exact"/>
        <w:ind w:firstLine="480" w:firstLineChars="200"/>
        <w:rPr>
          <w:rStyle w:val="44"/>
          <w:rFonts w:hint="eastAsia" w:ascii="宋体" w:hAnsi="宋体" w:eastAsia="宋体" w:cs="宋体"/>
          <w:color w:val="auto"/>
          <w:sz w:val="24"/>
          <w:szCs w:val="21"/>
          <w:highlight w:val="none"/>
        </w:rPr>
      </w:pPr>
      <w:r>
        <w:rPr>
          <w:rStyle w:val="44"/>
          <w:rFonts w:hint="eastAsia" w:ascii="宋体" w:hAnsi="宋体" w:eastAsia="宋体" w:cs="宋体"/>
          <w:color w:val="auto"/>
          <w:sz w:val="24"/>
          <w:szCs w:val="21"/>
          <w:highlight w:val="none"/>
        </w:rPr>
        <w:t>七、付款方式详见招标文件第三章，项目款的支付不计息。</w:t>
      </w:r>
    </w:p>
    <w:p w14:paraId="21A2F69A">
      <w:pPr>
        <w:snapToGrid w:val="0"/>
        <w:spacing w:line="500" w:lineRule="exact"/>
        <w:ind w:firstLine="480" w:firstLineChars="200"/>
        <w:rPr>
          <w:rStyle w:val="44"/>
          <w:rFonts w:hint="eastAsia" w:ascii="宋体" w:hAnsi="宋体" w:eastAsia="宋体" w:cs="宋体"/>
          <w:color w:val="auto"/>
          <w:sz w:val="24"/>
          <w:szCs w:val="21"/>
          <w:highlight w:val="none"/>
        </w:rPr>
      </w:pPr>
    </w:p>
    <w:p w14:paraId="5FD25AD5">
      <w:pPr>
        <w:snapToGrid w:val="0"/>
        <w:spacing w:line="500" w:lineRule="exact"/>
        <w:ind w:firstLine="420" w:firstLineChars="200"/>
        <w:rPr>
          <w:rStyle w:val="44"/>
          <w:rFonts w:hint="eastAsia" w:ascii="宋体" w:hAnsi="宋体" w:eastAsia="宋体" w:cs="宋体"/>
          <w:color w:val="auto"/>
          <w:sz w:val="21"/>
          <w:szCs w:val="21"/>
          <w:highlight w:val="none"/>
        </w:rPr>
      </w:pPr>
    </w:p>
    <w:p w14:paraId="271BF906">
      <w:pPr>
        <w:snapToGrid w:val="0"/>
        <w:jc w:val="left"/>
        <w:rPr>
          <w:rStyle w:val="44"/>
          <w:rFonts w:hint="eastAsia" w:ascii="宋体" w:hAnsi="宋体" w:eastAsia="宋体" w:cs="宋体"/>
          <w:b/>
          <w:color w:val="auto"/>
          <w:w w:val="80"/>
          <w:kern w:val="44"/>
          <w:sz w:val="44"/>
          <w:szCs w:val="44"/>
          <w:highlight w:val="none"/>
        </w:rPr>
      </w:pPr>
    </w:p>
    <w:p w14:paraId="17A5BD0A">
      <w:pPr>
        <w:pStyle w:val="80"/>
        <w:snapToGrid w:val="0"/>
        <w:rPr>
          <w:rStyle w:val="44"/>
          <w:rFonts w:hint="eastAsia" w:ascii="宋体" w:hAnsi="宋体" w:eastAsia="宋体" w:cs="宋体"/>
          <w:color w:val="auto"/>
          <w:highlight w:val="none"/>
        </w:rPr>
      </w:pPr>
    </w:p>
    <w:p w14:paraId="1B439F4D">
      <w:pPr>
        <w:snapToGrid w:val="0"/>
        <w:rPr>
          <w:rStyle w:val="44"/>
          <w:rFonts w:hint="eastAsia" w:ascii="宋体" w:hAnsi="宋体" w:eastAsia="宋体" w:cs="宋体"/>
          <w:color w:val="auto"/>
          <w:highlight w:val="none"/>
        </w:rPr>
      </w:pPr>
    </w:p>
    <w:p w14:paraId="089709E9">
      <w:pPr>
        <w:pStyle w:val="80"/>
        <w:snapToGrid w:val="0"/>
        <w:rPr>
          <w:rStyle w:val="44"/>
          <w:rFonts w:hint="eastAsia" w:ascii="宋体" w:hAnsi="宋体" w:eastAsia="宋体" w:cs="宋体"/>
          <w:color w:val="auto"/>
          <w:highlight w:val="none"/>
        </w:rPr>
      </w:pPr>
    </w:p>
    <w:p w14:paraId="508AEE56">
      <w:pPr>
        <w:snapToGrid w:val="0"/>
        <w:spacing w:line="500" w:lineRule="exact"/>
        <w:ind w:firstLine="579" w:firstLineChars="200"/>
        <w:jc w:val="center"/>
        <w:rPr>
          <w:rStyle w:val="44"/>
          <w:rFonts w:hint="eastAsia" w:ascii="宋体" w:hAnsi="宋体" w:eastAsia="宋体" w:cs="宋体"/>
          <w:b/>
          <w:color w:val="auto"/>
          <w:w w:val="80"/>
          <w:kern w:val="44"/>
          <w:sz w:val="36"/>
          <w:szCs w:val="36"/>
          <w:highlight w:val="none"/>
        </w:rPr>
      </w:pPr>
    </w:p>
    <w:p w14:paraId="24560DFC">
      <w:pPr>
        <w:rPr>
          <w:rStyle w:val="44"/>
          <w:rFonts w:hint="eastAsia" w:ascii="宋体" w:hAnsi="宋体" w:eastAsia="宋体" w:cs="宋体"/>
          <w:b/>
          <w:color w:val="auto"/>
          <w:w w:val="80"/>
          <w:kern w:val="44"/>
          <w:sz w:val="36"/>
          <w:szCs w:val="36"/>
          <w:highlight w:val="none"/>
        </w:rPr>
      </w:pPr>
      <w:r>
        <w:rPr>
          <w:rStyle w:val="44"/>
          <w:rFonts w:hint="eastAsia" w:ascii="宋体" w:hAnsi="宋体" w:eastAsia="宋体" w:cs="宋体"/>
          <w:b/>
          <w:color w:val="auto"/>
          <w:w w:val="80"/>
          <w:kern w:val="44"/>
          <w:sz w:val="36"/>
          <w:szCs w:val="36"/>
          <w:highlight w:val="none"/>
        </w:rPr>
        <w:br w:type="page"/>
      </w:r>
    </w:p>
    <w:p w14:paraId="20D3798A">
      <w:pPr>
        <w:snapToGrid w:val="0"/>
        <w:spacing w:line="500" w:lineRule="exact"/>
        <w:ind w:firstLine="579" w:firstLineChars="200"/>
        <w:jc w:val="center"/>
        <w:rPr>
          <w:rStyle w:val="44"/>
          <w:rFonts w:hint="eastAsia" w:ascii="宋体" w:hAnsi="宋体" w:eastAsia="宋体" w:cs="宋体"/>
          <w:b/>
          <w:color w:val="auto"/>
          <w:w w:val="80"/>
          <w:kern w:val="44"/>
          <w:sz w:val="36"/>
          <w:szCs w:val="36"/>
          <w:highlight w:val="none"/>
        </w:rPr>
      </w:pPr>
      <w:r>
        <w:rPr>
          <w:rStyle w:val="44"/>
          <w:rFonts w:hint="eastAsia" w:ascii="宋体" w:hAnsi="宋体" w:eastAsia="宋体" w:cs="宋体"/>
          <w:b/>
          <w:color w:val="auto"/>
          <w:w w:val="80"/>
          <w:kern w:val="44"/>
          <w:sz w:val="36"/>
          <w:szCs w:val="36"/>
          <w:highlight w:val="none"/>
        </w:rPr>
        <w:t>第七章  质疑与投诉</w:t>
      </w:r>
    </w:p>
    <w:p w14:paraId="27B10EA4">
      <w:pPr>
        <w:snapToGrid w:val="0"/>
        <w:spacing w:line="500" w:lineRule="exact"/>
        <w:ind w:firstLine="480" w:firstLineChars="200"/>
        <w:rPr>
          <w:rStyle w:val="44"/>
          <w:rFonts w:hint="eastAsia" w:ascii="宋体" w:hAnsi="宋体" w:eastAsia="宋体" w:cs="宋体"/>
          <w:color w:val="auto"/>
          <w:sz w:val="24"/>
          <w:szCs w:val="21"/>
          <w:highlight w:val="none"/>
        </w:rPr>
      </w:pPr>
      <w:r>
        <w:rPr>
          <w:rStyle w:val="44"/>
          <w:rFonts w:hint="eastAsia" w:ascii="宋体" w:hAnsi="宋体" w:eastAsia="宋体" w:cs="宋体"/>
          <w:color w:val="auto"/>
          <w:sz w:val="24"/>
          <w:szCs w:val="21"/>
          <w:highlight w:val="none"/>
        </w:rPr>
        <w:t>一、质疑的提出</w:t>
      </w:r>
    </w:p>
    <w:p w14:paraId="4C16C278">
      <w:pPr>
        <w:snapToGrid w:val="0"/>
        <w:spacing w:line="500" w:lineRule="exact"/>
        <w:ind w:firstLine="480" w:firstLineChars="200"/>
        <w:rPr>
          <w:rStyle w:val="44"/>
          <w:rFonts w:hint="eastAsia" w:ascii="宋体" w:hAnsi="宋体" w:eastAsia="宋体" w:cs="宋体"/>
          <w:color w:val="auto"/>
          <w:sz w:val="24"/>
          <w:szCs w:val="21"/>
          <w:highlight w:val="none"/>
        </w:rPr>
      </w:pPr>
      <w:r>
        <w:rPr>
          <w:rStyle w:val="44"/>
          <w:rFonts w:hint="eastAsia" w:ascii="宋体" w:hAnsi="宋体" w:eastAsia="宋体" w:cs="宋体"/>
          <w:color w:val="auto"/>
          <w:sz w:val="24"/>
          <w:szCs w:val="21"/>
          <w:highlight w:val="none"/>
        </w:rPr>
        <w:t>1.质疑人必须是直接参加本次投标活动的当事人。</w:t>
      </w:r>
    </w:p>
    <w:p w14:paraId="48766444">
      <w:pPr>
        <w:snapToGrid w:val="0"/>
        <w:spacing w:line="500" w:lineRule="exact"/>
        <w:ind w:firstLine="480" w:firstLineChars="200"/>
        <w:rPr>
          <w:rStyle w:val="44"/>
          <w:rFonts w:hint="eastAsia" w:ascii="宋体" w:hAnsi="宋体" w:eastAsia="宋体" w:cs="宋体"/>
          <w:color w:val="auto"/>
          <w:sz w:val="24"/>
          <w:szCs w:val="21"/>
          <w:highlight w:val="none"/>
        </w:rPr>
      </w:pPr>
      <w:r>
        <w:rPr>
          <w:rStyle w:val="44"/>
          <w:rFonts w:hint="eastAsia" w:ascii="宋体" w:hAnsi="宋体" w:eastAsia="宋体" w:cs="宋体"/>
          <w:color w:val="auto"/>
          <w:sz w:val="24"/>
          <w:szCs w:val="21"/>
          <w:highlight w:val="none"/>
        </w:rPr>
        <w:t>2.获取招标文件的供应商应根据第二章“投标供应商须知”中第一条第4款的约定提出；响应文件接收截止后，供应商未进行投标登记的，不能就响应文件接收截止后的招投标过程、中标结果提出质疑；在投标过程中，凡主持人或评标小组明确提出须由供应商确认的事项，供应商当场无异议的，事后不得提出质疑。</w:t>
      </w:r>
    </w:p>
    <w:p w14:paraId="41F62967">
      <w:pPr>
        <w:snapToGrid w:val="0"/>
        <w:spacing w:line="500" w:lineRule="exact"/>
        <w:ind w:firstLine="480" w:firstLineChars="200"/>
        <w:rPr>
          <w:rStyle w:val="44"/>
          <w:rFonts w:hint="eastAsia" w:ascii="宋体" w:hAnsi="宋体" w:eastAsia="宋体" w:cs="宋体"/>
          <w:color w:val="auto"/>
          <w:sz w:val="24"/>
          <w:szCs w:val="21"/>
          <w:highlight w:val="none"/>
        </w:rPr>
      </w:pPr>
      <w:r>
        <w:rPr>
          <w:rStyle w:val="44"/>
          <w:rFonts w:hint="eastAsia" w:ascii="宋体" w:hAnsi="宋体" w:eastAsia="宋体" w:cs="宋体"/>
          <w:color w:val="auto"/>
          <w:sz w:val="24"/>
          <w:szCs w:val="21"/>
          <w:highlight w:val="none"/>
        </w:rPr>
        <w:t>3.提出质疑时，必须坚持“谁主张，谁举证”“实事求是”的原则，不能臆测。属于须由法定部门调查、侦查或先行作出相关认定的事项，质疑人应当依法申请具有法定职权的部门查清、认定，并将相关结果提供给采购人或代理机构。采购人或代理机构不具有法定调查、认定权限。</w:t>
      </w:r>
    </w:p>
    <w:p w14:paraId="0CA906BE">
      <w:pPr>
        <w:snapToGrid w:val="0"/>
        <w:spacing w:line="500" w:lineRule="exact"/>
        <w:ind w:firstLine="480" w:firstLineChars="200"/>
        <w:rPr>
          <w:rStyle w:val="44"/>
          <w:rFonts w:hint="eastAsia" w:ascii="宋体" w:hAnsi="宋体" w:eastAsia="宋体" w:cs="宋体"/>
          <w:color w:val="auto"/>
          <w:sz w:val="24"/>
          <w:szCs w:val="21"/>
          <w:highlight w:val="none"/>
        </w:rPr>
      </w:pPr>
      <w:r>
        <w:rPr>
          <w:rStyle w:val="44"/>
          <w:rFonts w:hint="eastAsia" w:ascii="宋体" w:hAnsi="宋体" w:eastAsia="宋体" w:cs="宋体"/>
          <w:color w:val="auto"/>
          <w:sz w:val="24"/>
          <w:szCs w:val="21"/>
          <w:highlight w:val="none"/>
        </w:rPr>
        <w:t>4.对本次招标有质疑的，实行实名制，不得进行虚假、恶意质疑。质疑人应在质疑有效期内以书面形式提出《质疑函》《质疑函》内容应包括质疑事项、主要内容、事实依据、适应法规条款、佐证材料等。同时，质疑人应保证其提出的质疑内容及相关佐证材料的真实性及来源的合法性，并承担相应的法律责任。</w:t>
      </w:r>
    </w:p>
    <w:p w14:paraId="4BF89B6C">
      <w:pPr>
        <w:snapToGrid w:val="0"/>
        <w:spacing w:line="500" w:lineRule="exact"/>
        <w:ind w:firstLine="480" w:firstLineChars="200"/>
        <w:rPr>
          <w:rStyle w:val="44"/>
          <w:rFonts w:hint="eastAsia" w:ascii="宋体" w:hAnsi="宋体" w:eastAsia="宋体" w:cs="宋体"/>
          <w:color w:val="auto"/>
          <w:sz w:val="24"/>
          <w:szCs w:val="21"/>
          <w:highlight w:val="none"/>
        </w:rPr>
      </w:pPr>
      <w:r>
        <w:rPr>
          <w:rStyle w:val="44"/>
          <w:rFonts w:hint="eastAsia" w:ascii="宋体" w:hAnsi="宋体" w:eastAsia="宋体" w:cs="宋体"/>
          <w:color w:val="auto"/>
          <w:sz w:val="24"/>
          <w:szCs w:val="21"/>
          <w:highlight w:val="none"/>
        </w:rPr>
        <w:t>对不能提供相关佐证材料的、涉及商业秘密的、非书面形式的、非送达的、匿名的《质疑函》将不予受理。</w:t>
      </w:r>
    </w:p>
    <w:p w14:paraId="689305D2">
      <w:pPr>
        <w:snapToGrid w:val="0"/>
        <w:spacing w:line="500" w:lineRule="exact"/>
        <w:ind w:firstLine="480" w:firstLineChars="200"/>
        <w:rPr>
          <w:rStyle w:val="44"/>
          <w:rFonts w:hint="eastAsia" w:ascii="宋体" w:hAnsi="宋体" w:eastAsia="宋体" w:cs="宋体"/>
          <w:color w:val="auto"/>
          <w:sz w:val="24"/>
          <w:szCs w:val="21"/>
          <w:highlight w:val="none"/>
        </w:rPr>
      </w:pPr>
      <w:r>
        <w:rPr>
          <w:rStyle w:val="44"/>
          <w:rFonts w:hint="eastAsia" w:ascii="宋体" w:hAnsi="宋体" w:eastAsia="宋体" w:cs="宋体"/>
          <w:color w:val="auto"/>
          <w:sz w:val="24"/>
          <w:szCs w:val="21"/>
          <w:highlight w:val="none"/>
        </w:rPr>
        <w:t>相关佐证材料要具备客观性、关联性、合法性，无法查实的（如宣传册、媒体报道、猜测、推理等）不能作为佐证材料。</w:t>
      </w:r>
    </w:p>
    <w:p w14:paraId="2025AC70">
      <w:pPr>
        <w:snapToGrid w:val="0"/>
        <w:spacing w:line="500" w:lineRule="exact"/>
        <w:ind w:firstLine="480" w:firstLineChars="200"/>
        <w:rPr>
          <w:rStyle w:val="44"/>
          <w:rFonts w:hint="eastAsia" w:ascii="宋体" w:hAnsi="宋体" w:eastAsia="宋体" w:cs="宋体"/>
          <w:color w:val="auto"/>
          <w:sz w:val="24"/>
          <w:szCs w:val="21"/>
          <w:highlight w:val="none"/>
        </w:rPr>
      </w:pPr>
      <w:r>
        <w:rPr>
          <w:rStyle w:val="44"/>
          <w:rFonts w:hint="eastAsia" w:ascii="宋体" w:hAnsi="宋体" w:eastAsia="宋体" w:cs="宋体"/>
          <w:color w:val="auto"/>
          <w:sz w:val="24"/>
          <w:szCs w:val="21"/>
          <w:highlight w:val="none"/>
        </w:rPr>
        <w:t>采购人或代理机构不负责搜集相关佐证材料等工作。</w:t>
      </w:r>
    </w:p>
    <w:p w14:paraId="6A2304AC">
      <w:pPr>
        <w:snapToGrid w:val="0"/>
        <w:spacing w:line="500" w:lineRule="exact"/>
        <w:ind w:firstLine="480" w:firstLineChars="200"/>
        <w:rPr>
          <w:rStyle w:val="44"/>
          <w:rFonts w:hint="eastAsia" w:ascii="宋体" w:hAnsi="宋体" w:eastAsia="宋体" w:cs="宋体"/>
          <w:color w:val="auto"/>
          <w:sz w:val="24"/>
          <w:szCs w:val="21"/>
          <w:highlight w:val="none"/>
        </w:rPr>
      </w:pPr>
      <w:r>
        <w:rPr>
          <w:rStyle w:val="44"/>
          <w:rFonts w:hint="eastAsia" w:ascii="宋体" w:hAnsi="宋体" w:eastAsia="宋体" w:cs="宋体"/>
          <w:color w:val="auto"/>
          <w:sz w:val="24"/>
          <w:szCs w:val="21"/>
          <w:highlight w:val="none"/>
        </w:rPr>
        <w:t>二、《质疑函》的受理和回复</w:t>
      </w:r>
    </w:p>
    <w:p w14:paraId="04B9BE42">
      <w:pPr>
        <w:snapToGrid w:val="0"/>
        <w:spacing w:line="500" w:lineRule="exact"/>
        <w:ind w:firstLine="480" w:firstLineChars="200"/>
        <w:rPr>
          <w:rStyle w:val="44"/>
          <w:rFonts w:hint="eastAsia" w:ascii="宋体" w:hAnsi="宋体" w:eastAsia="宋体" w:cs="宋体"/>
          <w:color w:val="auto"/>
          <w:sz w:val="24"/>
          <w:szCs w:val="21"/>
          <w:highlight w:val="none"/>
        </w:rPr>
      </w:pPr>
      <w:r>
        <w:rPr>
          <w:rStyle w:val="44"/>
          <w:rFonts w:hint="eastAsia" w:ascii="宋体" w:hAnsi="宋体" w:eastAsia="宋体" w:cs="宋体"/>
          <w:color w:val="auto"/>
          <w:sz w:val="24"/>
          <w:szCs w:val="21"/>
          <w:highlight w:val="none"/>
        </w:rPr>
        <w:t>1.《质疑函》须由质疑人的法定代表人（或负责人）或参加本次投标授权人送达采购人和代理机构。</w:t>
      </w:r>
    </w:p>
    <w:p w14:paraId="77862C48">
      <w:pPr>
        <w:snapToGrid w:val="0"/>
        <w:spacing w:line="500" w:lineRule="exact"/>
        <w:ind w:firstLine="480" w:firstLineChars="200"/>
        <w:rPr>
          <w:rStyle w:val="44"/>
          <w:rFonts w:hint="eastAsia" w:ascii="宋体" w:hAnsi="宋体" w:eastAsia="宋体" w:cs="宋体"/>
          <w:color w:val="auto"/>
          <w:sz w:val="24"/>
          <w:szCs w:val="21"/>
          <w:highlight w:val="none"/>
        </w:rPr>
      </w:pPr>
      <w:r>
        <w:rPr>
          <w:rStyle w:val="44"/>
          <w:rFonts w:hint="eastAsia" w:ascii="宋体" w:hAnsi="宋体" w:eastAsia="宋体" w:cs="宋体"/>
          <w:color w:val="auto"/>
          <w:sz w:val="24"/>
          <w:szCs w:val="21"/>
          <w:highlight w:val="none"/>
        </w:rPr>
        <w:t>2.对符合提出质疑要求的，采购人、代理机构签收并出具《质疑受理通知书》。在处理过程中，发现需要质疑人进一步补充相关佐证材料的，请质疑人在规定的时间内提供，质疑回复时间相应顺延。质疑人不能按时提供相关佐证材料的，视同放弃质疑。</w:t>
      </w:r>
    </w:p>
    <w:p w14:paraId="38F2DD37">
      <w:pPr>
        <w:snapToGrid w:val="0"/>
        <w:spacing w:line="500" w:lineRule="exact"/>
        <w:ind w:firstLine="480" w:firstLineChars="200"/>
        <w:rPr>
          <w:rStyle w:val="44"/>
          <w:rFonts w:hint="eastAsia" w:ascii="宋体" w:hAnsi="宋体" w:eastAsia="宋体" w:cs="宋体"/>
          <w:color w:val="auto"/>
          <w:sz w:val="24"/>
          <w:szCs w:val="21"/>
          <w:highlight w:val="none"/>
        </w:rPr>
      </w:pPr>
      <w:r>
        <w:rPr>
          <w:rStyle w:val="44"/>
          <w:rFonts w:hint="eastAsia" w:ascii="宋体" w:hAnsi="宋体" w:eastAsia="宋体" w:cs="宋体"/>
          <w:color w:val="auto"/>
          <w:sz w:val="24"/>
          <w:szCs w:val="21"/>
          <w:highlight w:val="none"/>
        </w:rPr>
        <w:t>3.对不符合提出质疑要求的，出具《质疑退回通知书》并提出相关补充材料要求，质疑人未在规定的时间内提供补充佐证材料的，视同放弃质疑。</w:t>
      </w:r>
    </w:p>
    <w:p w14:paraId="0040FD4E">
      <w:pPr>
        <w:snapToGrid w:val="0"/>
        <w:spacing w:line="500" w:lineRule="exact"/>
        <w:ind w:firstLine="480" w:firstLineChars="200"/>
        <w:rPr>
          <w:rStyle w:val="44"/>
          <w:rFonts w:hint="eastAsia" w:ascii="宋体" w:hAnsi="宋体" w:eastAsia="宋体" w:cs="宋体"/>
          <w:color w:val="auto"/>
          <w:sz w:val="24"/>
          <w:szCs w:val="21"/>
          <w:highlight w:val="none"/>
        </w:rPr>
      </w:pPr>
      <w:r>
        <w:rPr>
          <w:rStyle w:val="44"/>
          <w:rFonts w:hint="eastAsia" w:ascii="宋体" w:hAnsi="宋体" w:eastAsia="宋体" w:cs="宋体"/>
          <w:color w:val="auto"/>
          <w:sz w:val="24"/>
          <w:szCs w:val="21"/>
          <w:highlight w:val="none"/>
        </w:rPr>
        <w:t>4.采购单位、代理机构负责将质疑人提出的质疑相关材料提供给相关专家或评标小组审核，并将审核意见回复质疑人。</w:t>
      </w:r>
    </w:p>
    <w:p w14:paraId="43A71D8F">
      <w:pPr>
        <w:snapToGrid w:val="0"/>
        <w:spacing w:line="500" w:lineRule="exact"/>
        <w:ind w:firstLine="480" w:firstLineChars="200"/>
        <w:rPr>
          <w:rStyle w:val="44"/>
          <w:rFonts w:hint="eastAsia" w:ascii="宋体" w:hAnsi="宋体" w:eastAsia="宋体" w:cs="宋体"/>
          <w:color w:val="auto"/>
          <w:sz w:val="24"/>
          <w:szCs w:val="21"/>
          <w:highlight w:val="none"/>
        </w:rPr>
      </w:pPr>
      <w:r>
        <w:rPr>
          <w:rStyle w:val="44"/>
          <w:rFonts w:hint="eastAsia" w:ascii="宋体" w:hAnsi="宋体" w:eastAsia="宋体" w:cs="宋体"/>
          <w:color w:val="auto"/>
          <w:sz w:val="24"/>
          <w:szCs w:val="21"/>
          <w:highlight w:val="none"/>
        </w:rPr>
        <w:t>必要时，可向被质疑人转发《质疑函》及相关佐证材料。被质疑人应当在要求的时间日内，以书面形式作出说明，并提交相关证据。被质疑人在规定时间内，无正当理由未提交相关证据的，视同放弃说明权利，认可被质疑事项。</w:t>
      </w:r>
    </w:p>
    <w:p w14:paraId="0283892B">
      <w:pPr>
        <w:snapToGrid w:val="0"/>
        <w:spacing w:line="500" w:lineRule="exact"/>
        <w:ind w:firstLine="480" w:firstLineChars="200"/>
        <w:rPr>
          <w:rStyle w:val="44"/>
          <w:rFonts w:hint="eastAsia" w:ascii="宋体" w:hAnsi="宋体" w:eastAsia="宋体" w:cs="宋体"/>
          <w:color w:val="auto"/>
          <w:sz w:val="24"/>
          <w:szCs w:val="21"/>
          <w:highlight w:val="none"/>
        </w:rPr>
      </w:pPr>
      <w:r>
        <w:rPr>
          <w:rStyle w:val="44"/>
          <w:rFonts w:hint="eastAsia" w:ascii="宋体" w:hAnsi="宋体" w:eastAsia="宋体" w:cs="宋体"/>
          <w:color w:val="auto"/>
          <w:sz w:val="24"/>
          <w:szCs w:val="21"/>
          <w:highlight w:val="none"/>
        </w:rPr>
        <w:t>5.因质疑情况复杂，组织论证或审查时间较长的，采购单位、代理机构以书面形式通知质疑人，可适当延长质疑回复处理时间。</w:t>
      </w:r>
    </w:p>
    <w:p w14:paraId="341E0C28">
      <w:pPr>
        <w:snapToGrid w:val="0"/>
        <w:spacing w:line="500" w:lineRule="exact"/>
        <w:ind w:firstLine="480" w:firstLineChars="200"/>
        <w:rPr>
          <w:rStyle w:val="44"/>
          <w:rFonts w:hint="eastAsia" w:ascii="宋体" w:hAnsi="宋体" w:eastAsia="宋体" w:cs="宋体"/>
          <w:color w:val="auto"/>
          <w:sz w:val="24"/>
          <w:szCs w:val="21"/>
          <w:highlight w:val="none"/>
        </w:rPr>
      </w:pPr>
      <w:r>
        <w:rPr>
          <w:rStyle w:val="44"/>
          <w:rFonts w:hint="eastAsia" w:ascii="宋体" w:hAnsi="宋体" w:eastAsia="宋体" w:cs="宋体"/>
          <w:color w:val="auto"/>
          <w:sz w:val="24"/>
          <w:szCs w:val="21"/>
          <w:highlight w:val="none"/>
        </w:rPr>
        <w:t>三、质疑处理</w:t>
      </w:r>
    </w:p>
    <w:p w14:paraId="16E7C0EC">
      <w:pPr>
        <w:snapToGrid w:val="0"/>
        <w:spacing w:line="500" w:lineRule="exact"/>
        <w:ind w:firstLine="480" w:firstLineChars="200"/>
        <w:rPr>
          <w:rStyle w:val="44"/>
          <w:rFonts w:hint="eastAsia" w:ascii="宋体" w:hAnsi="宋体" w:eastAsia="宋体" w:cs="宋体"/>
          <w:color w:val="auto"/>
          <w:sz w:val="24"/>
          <w:szCs w:val="21"/>
          <w:highlight w:val="none"/>
        </w:rPr>
      </w:pPr>
      <w:r>
        <w:rPr>
          <w:rStyle w:val="44"/>
          <w:rFonts w:hint="eastAsia" w:ascii="宋体" w:hAnsi="宋体" w:eastAsia="宋体" w:cs="宋体"/>
          <w:color w:val="auto"/>
          <w:sz w:val="24"/>
          <w:szCs w:val="21"/>
          <w:highlight w:val="none"/>
        </w:rPr>
        <w:t>1.质疑成立的处理。采购单位或代理机构终止采购，并建议有关部门给相关当事人予以处理。</w:t>
      </w:r>
    </w:p>
    <w:p w14:paraId="446B71B6">
      <w:pPr>
        <w:snapToGrid w:val="0"/>
        <w:spacing w:line="500" w:lineRule="exact"/>
        <w:ind w:firstLine="480" w:firstLineChars="200"/>
        <w:rPr>
          <w:rStyle w:val="44"/>
          <w:rFonts w:hint="eastAsia" w:ascii="宋体" w:hAnsi="宋体" w:eastAsia="宋体" w:cs="宋体"/>
          <w:color w:val="auto"/>
          <w:sz w:val="24"/>
          <w:szCs w:val="21"/>
          <w:highlight w:val="none"/>
        </w:rPr>
      </w:pPr>
      <w:r>
        <w:rPr>
          <w:rStyle w:val="44"/>
          <w:rFonts w:hint="eastAsia" w:ascii="宋体" w:hAnsi="宋体" w:eastAsia="宋体" w:cs="宋体"/>
          <w:color w:val="auto"/>
          <w:sz w:val="24"/>
          <w:szCs w:val="21"/>
          <w:highlight w:val="none"/>
        </w:rPr>
        <w:t>2.质疑不成立的处理。</w:t>
      </w:r>
    </w:p>
    <w:p w14:paraId="60E0247D">
      <w:pPr>
        <w:snapToGrid w:val="0"/>
        <w:spacing w:line="500" w:lineRule="exact"/>
        <w:ind w:firstLine="480" w:firstLineChars="200"/>
        <w:jc w:val="left"/>
        <w:rPr>
          <w:rStyle w:val="44"/>
          <w:rFonts w:hint="eastAsia" w:ascii="宋体" w:hAnsi="宋体" w:eastAsia="宋体" w:cs="宋体"/>
          <w:color w:val="auto"/>
          <w:sz w:val="24"/>
          <w:szCs w:val="21"/>
          <w:highlight w:val="none"/>
        </w:rPr>
      </w:pPr>
      <w:r>
        <w:rPr>
          <w:rStyle w:val="44"/>
          <w:rFonts w:hint="eastAsia" w:ascii="宋体" w:hAnsi="宋体" w:eastAsia="宋体" w:cs="宋体"/>
          <w:color w:val="auto"/>
          <w:sz w:val="24"/>
          <w:szCs w:val="21"/>
          <w:highlight w:val="none"/>
        </w:rPr>
        <w:t>（1）质疑人书面《申请撤回质疑函》的，不作违约处理。</w:t>
      </w:r>
    </w:p>
    <w:p w14:paraId="5A9B4599">
      <w:pPr>
        <w:snapToGrid w:val="0"/>
        <w:spacing w:line="500" w:lineRule="exact"/>
        <w:ind w:firstLine="480" w:firstLineChars="200"/>
        <w:jc w:val="left"/>
        <w:rPr>
          <w:rStyle w:val="44"/>
          <w:rFonts w:hint="eastAsia" w:ascii="宋体" w:hAnsi="宋体" w:eastAsia="宋体" w:cs="宋体"/>
          <w:color w:val="auto"/>
          <w:sz w:val="24"/>
          <w:szCs w:val="21"/>
          <w:highlight w:val="none"/>
        </w:rPr>
      </w:pPr>
      <w:r>
        <w:rPr>
          <w:rStyle w:val="44"/>
          <w:rFonts w:hint="eastAsia" w:ascii="宋体" w:hAnsi="宋体" w:eastAsia="宋体" w:cs="宋体"/>
          <w:color w:val="auto"/>
          <w:sz w:val="24"/>
          <w:szCs w:val="21"/>
          <w:highlight w:val="none"/>
        </w:rPr>
        <w:t>（2）质疑人在规定的时间内不配合进行质疑调查处理的，按自动撤回《质疑函》处理。</w:t>
      </w:r>
    </w:p>
    <w:p w14:paraId="01117814">
      <w:pPr>
        <w:snapToGrid w:val="0"/>
        <w:spacing w:line="500" w:lineRule="exact"/>
        <w:ind w:firstLine="480" w:firstLineChars="200"/>
        <w:jc w:val="left"/>
        <w:rPr>
          <w:rStyle w:val="44"/>
          <w:rFonts w:hint="eastAsia" w:ascii="宋体" w:hAnsi="宋体" w:eastAsia="宋体" w:cs="宋体"/>
          <w:color w:val="auto"/>
          <w:sz w:val="24"/>
          <w:szCs w:val="21"/>
          <w:highlight w:val="none"/>
        </w:rPr>
      </w:pPr>
      <w:r>
        <w:rPr>
          <w:rStyle w:val="44"/>
          <w:rFonts w:hint="eastAsia" w:ascii="宋体" w:hAnsi="宋体" w:eastAsia="宋体" w:cs="宋体"/>
          <w:color w:val="auto"/>
          <w:sz w:val="24"/>
          <w:szCs w:val="21"/>
          <w:highlight w:val="none"/>
        </w:rPr>
        <w:t>（3）质疑人不按《质疑函》格式就提出质疑的，作违约处理。同时，视情列入不良供应商名单。</w:t>
      </w:r>
    </w:p>
    <w:p w14:paraId="505B9EAA">
      <w:pPr>
        <w:snapToGrid w:val="0"/>
        <w:spacing w:line="500" w:lineRule="exact"/>
        <w:ind w:firstLine="480" w:firstLineChars="200"/>
        <w:jc w:val="left"/>
        <w:rPr>
          <w:rStyle w:val="44"/>
          <w:rFonts w:hint="eastAsia" w:ascii="宋体" w:hAnsi="宋体" w:eastAsia="宋体" w:cs="宋体"/>
          <w:color w:val="auto"/>
          <w:sz w:val="24"/>
          <w:szCs w:val="21"/>
          <w:highlight w:val="none"/>
        </w:rPr>
      </w:pPr>
      <w:r>
        <w:rPr>
          <w:rStyle w:val="44"/>
          <w:rFonts w:hint="eastAsia" w:ascii="宋体" w:hAnsi="宋体" w:eastAsia="宋体" w:cs="宋体"/>
          <w:color w:val="auto"/>
          <w:sz w:val="24"/>
          <w:szCs w:val="21"/>
          <w:highlight w:val="none"/>
        </w:rPr>
        <w:t>（4）质疑人虽提供了相关佐证材料，但不能证明其质疑成立的，采购单位或代理机构请质疑人补充相关佐证材料，仍不能证明其质疑成立的，作违约处理。并将其列入不良供应商名单。</w:t>
      </w:r>
    </w:p>
    <w:p w14:paraId="5C372F8A">
      <w:pPr>
        <w:snapToGrid w:val="0"/>
        <w:spacing w:line="500" w:lineRule="exact"/>
        <w:ind w:firstLine="480" w:firstLineChars="200"/>
        <w:jc w:val="left"/>
        <w:rPr>
          <w:rStyle w:val="44"/>
          <w:rFonts w:hint="eastAsia" w:ascii="宋体" w:hAnsi="宋体" w:eastAsia="宋体" w:cs="宋体"/>
          <w:color w:val="auto"/>
          <w:sz w:val="24"/>
          <w:szCs w:val="21"/>
          <w:highlight w:val="none"/>
        </w:rPr>
      </w:pPr>
      <w:r>
        <w:rPr>
          <w:rStyle w:val="44"/>
          <w:rFonts w:hint="eastAsia" w:ascii="宋体" w:hAnsi="宋体" w:eastAsia="宋体" w:cs="宋体"/>
          <w:color w:val="auto"/>
          <w:sz w:val="24"/>
          <w:szCs w:val="21"/>
          <w:highlight w:val="none"/>
        </w:rPr>
        <w:t>（5）质疑人不能提供相关佐证材料的，采购单位、代理机构已指出，质疑人仍然坚持提出质疑的，作违约处理。同时，列入不良供应商名单。</w:t>
      </w:r>
    </w:p>
    <w:p w14:paraId="1B02B3F8">
      <w:pPr>
        <w:snapToGrid w:val="0"/>
        <w:spacing w:line="500" w:lineRule="exact"/>
        <w:ind w:firstLine="480" w:firstLineChars="200"/>
        <w:jc w:val="left"/>
        <w:rPr>
          <w:rStyle w:val="44"/>
          <w:rFonts w:hint="eastAsia" w:ascii="宋体" w:hAnsi="宋体" w:eastAsia="宋体" w:cs="宋体"/>
          <w:color w:val="auto"/>
          <w:sz w:val="24"/>
          <w:szCs w:val="21"/>
          <w:highlight w:val="none"/>
        </w:rPr>
      </w:pPr>
      <w:r>
        <w:rPr>
          <w:rStyle w:val="44"/>
          <w:rFonts w:hint="eastAsia" w:ascii="宋体" w:hAnsi="宋体" w:eastAsia="宋体" w:cs="宋体"/>
          <w:color w:val="auto"/>
          <w:sz w:val="24"/>
          <w:szCs w:val="21"/>
          <w:highlight w:val="none"/>
        </w:rPr>
        <w:t>（6）对明显有违事实的、经相关专家或评标小组认定无依据的、经其他供应商举证无依据的质疑，作违约处理，列入不良供应商名单；同时，对其中每一项不成立的质疑给予质疑人1年内禁入本区域内的采购活动的违约处理，依次类推；视情在相关媒体予以披露。</w:t>
      </w:r>
    </w:p>
    <w:p w14:paraId="60EF3CFA">
      <w:pPr>
        <w:snapToGrid w:val="0"/>
        <w:spacing w:line="500" w:lineRule="exact"/>
        <w:ind w:firstLine="480" w:firstLineChars="200"/>
        <w:jc w:val="left"/>
        <w:rPr>
          <w:rStyle w:val="44"/>
          <w:rFonts w:hint="eastAsia" w:ascii="宋体" w:hAnsi="宋体" w:eastAsia="宋体" w:cs="宋体"/>
          <w:color w:val="auto"/>
          <w:sz w:val="24"/>
          <w:szCs w:val="21"/>
          <w:highlight w:val="none"/>
        </w:rPr>
      </w:pPr>
      <w:r>
        <w:rPr>
          <w:rStyle w:val="44"/>
          <w:rFonts w:hint="eastAsia" w:ascii="宋体" w:hAnsi="宋体" w:eastAsia="宋体" w:cs="宋体"/>
          <w:color w:val="auto"/>
          <w:sz w:val="24"/>
          <w:szCs w:val="21"/>
          <w:highlight w:val="none"/>
        </w:rPr>
        <w:t>（7）质疑人承担使用虚假材料或恶意方式质疑的法律责任。</w:t>
      </w:r>
    </w:p>
    <w:p w14:paraId="3D432203">
      <w:pPr>
        <w:snapToGrid w:val="0"/>
        <w:spacing w:line="500" w:lineRule="exact"/>
        <w:ind w:firstLine="480" w:firstLineChars="200"/>
        <w:rPr>
          <w:rStyle w:val="44"/>
          <w:rFonts w:hint="eastAsia" w:ascii="宋体" w:hAnsi="宋体" w:eastAsia="宋体" w:cs="宋体"/>
          <w:color w:val="auto"/>
          <w:sz w:val="24"/>
          <w:szCs w:val="21"/>
          <w:highlight w:val="none"/>
        </w:rPr>
      </w:pPr>
      <w:r>
        <w:rPr>
          <w:rStyle w:val="44"/>
          <w:rFonts w:hint="eastAsia" w:ascii="宋体" w:hAnsi="宋体" w:eastAsia="宋体" w:cs="宋体"/>
          <w:color w:val="auto"/>
          <w:sz w:val="24"/>
          <w:szCs w:val="21"/>
          <w:highlight w:val="none"/>
        </w:rPr>
        <w:t>四、无佐证材料的举报作违约处理。供应商不得进行不提供相关佐证材料（含无法查实的如宣传册、媒体报道、猜测、推理等）向有关部门的举报，否则作违约处理。同时对其在1至3年内禁入由采购人组织的采购活动的违约处理。</w:t>
      </w:r>
    </w:p>
    <w:p w14:paraId="02697F0D">
      <w:pPr>
        <w:snapToGrid w:val="0"/>
        <w:spacing w:line="500" w:lineRule="exact"/>
        <w:ind w:firstLine="480" w:firstLineChars="200"/>
        <w:rPr>
          <w:rStyle w:val="44"/>
          <w:rFonts w:hint="eastAsia" w:ascii="宋体" w:hAnsi="宋体" w:eastAsia="宋体" w:cs="宋体"/>
          <w:color w:val="auto"/>
          <w:sz w:val="24"/>
          <w:szCs w:val="21"/>
          <w:highlight w:val="none"/>
        </w:rPr>
      </w:pPr>
      <w:r>
        <w:rPr>
          <w:rStyle w:val="44"/>
          <w:rFonts w:hint="eastAsia" w:ascii="宋体" w:hAnsi="宋体" w:eastAsia="宋体" w:cs="宋体"/>
          <w:color w:val="auto"/>
          <w:sz w:val="24"/>
          <w:szCs w:val="21"/>
          <w:highlight w:val="none"/>
        </w:rPr>
        <w:t>五、投诉不成立的作违约处理。供应商进行质疑后，采购人回复质疑不成立，供应商仍进行投诉的，并最终投诉不成立的，作违约处理。采购人有权对其在1至3年内禁入由采购人组织的采购活动的违约处理。</w:t>
      </w:r>
    </w:p>
    <w:p w14:paraId="4CEB8732">
      <w:pPr>
        <w:snapToGrid w:val="0"/>
        <w:spacing w:line="500" w:lineRule="exact"/>
        <w:ind w:firstLine="480" w:firstLineChars="200"/>
        <w:rPr>
          <w:rStyle w:val="44"/>
          <w:rFonts w:hint="eastAsia" w:ascii="宋体" w:hAnsi="宋体" w:eastAsia="宋体" w:cs="宋体"/>
          <w:color w:val="auto"/>
          <w:sz w:val="24"/>
          <w:szCs w:val="21"/>
          <w:highlight w:val="none"/>
        </w:rPr>
      </w:pPr>
      <w:r>
        <w:rPr>
          <w:rStyle w:val="44"/>
          <w:rFonts w:hint="eastAsia" w:ascii="宋体" w:hAnsi="宋体" w:eastAsia="宋体" w:cs="宋体"/>
          <w:color w:val="auto"/>
          <w:sz w:val="24"/>
          <w:szCs w:val="21"/>
          <w:highlight w:val="none"/>
        </w:rPr>
        <w:t>六、《质疑函》《质疑回复函》，质疑、举报、投诉不成立的等相关情况，视情在相关媒体予以披露。并建议相关机构对该供应商同步实施1至3年内禁入。</w:t>
      </w:r>
    </w:p>
    <w:p w14:paraId="586C8B71">
      <w:pPr>
        <w:snapToGrid w:val="0"/>
        <w:spacing w:line="500" w:lineRule="exact"/>
        <w:ind w:firstLine="480" w:firstLineChars="200"/>
        <w:rPr>
          <w:rStyle w:val="44"/>
          <w:rFonts w:hint="eastAsia" w:ascii="宋体" w:hAnsi="宋体" w:eastAsia="宋体" w:cs="宋体"/>
          <w:color w:val="auto"/>
          <w:sz w:val="24"/>
          <w:szCs w:val="21"/>
          <w:highlight w:val="none"/>
        </w:rPr>
      </w:pPr>
      <w:r>
        <w:rPr>
          <w:rStyle w:val="44"/>
          <w:rFonts w:hint="eastAsia" w:ascii="宋体" w:hAnsi="宋体" w:eastAsia="宋体" w:cs="宋体"/>
          <w:color w:val="auto"/>
          <w:sz w:val="24"/>
          <w:szCs w:val="21"/>
          <w:highlight w:val="none"/>
        </w:rPr>
        <w:t>七、质疑供应商对采购人或代理机构的答复不满意或者采购人或代理机构未在规定的时间内作出答复的，可以在答复期满后15个工作日内向监督管理部门投诉。</w:t>
      </w:r>
    </w:p>
    <w:p w14:paraId="5497A714">
      <w:pPr>
        <w:snapToGrid w:val="0"/>
        <w:spacing w:line="500" w:lineRule="exact"/>
        <w:ind w:firstLine="386" w:firstLineChars="200"/>
        <w:jc w:val="center"/>
        <w:rPr>
          <w:rStyle w:val="44"/>
          <w:rFonts w:hint="eastAsia" w:ascii="宋体" w:hAnsi="宋体" w:eastAsia="宋体" w:cs="宋体"/>
          <w:b/>
          <w:color w:val="auto"/>
          <w:w w:val="80"/>
          <w:kern w:val="44"/>
          <w:sz w:val="24"/>
          <w:szCs w:val="21"/>
          <w:highlight w:val="none"/>
        </w:rPr>
      </w:pPr>
      <w:r>
        <w:rPr>
          <w:rStyle w:val="44"/>
          <w:rFonts w:hint="eastAsia" w:ascii="宋体" w:hAnsi="宋体" w:eastAsia="宋体" w:cs="宋体"/>
          <w:b/>
          <w:color w:val="auto"/>
          <w:w w:val="80"/>
          <w:kern w:val="44"/>
          <w:sz w:val="24"/>
          <w:szCs w:val="21"/>
          <w:highlight w:val="none"/>
        </w:rPr>
        <w:br w:type="textWrapping"/>
      </w:r>
    </w:p>
    <w:p w14:paraId="0F50576F">
      <w:pPr>
        <w:snapToGrid w:val="0"/>
        <w:ind w:firstLine="579" w:firstLineChars="200"/>
        <w:jc w:val="center"/>
        <w:rPr>
          <w:rStyle w:val="44"/>
          <w:rFonts w:hint="eastAsia" w:ascii="宋体" w:hAnsi="宋体" w:eastAsia="宋体" w:cs="宋体"/>
          <w:b/>
          <w:color w:val="auto"/>
          <w:w w:val="80"/>
          <w:kern w:val="44"/>
          <w:sz w:val="36"/>
          <w:szCs w:val="36"/>
          <w:highlight w:val="none"/>
        </w:rPr>
      </w:pPr>
      <w:r>
        <w:rPr>
          <w:rStyle w:val="44"/>
          <w:rFonts w:hint="eastAsia" w:ascii="宋体" w:hAnsi="宋体" w:eastAsia="宋体" w:cs="宋体"/>
          <w:b/>
          <w:color w:val="auto"/>
          <w:w w:val="80"/>
          <w:kern w:val="44"/>
          <w:sz w:val="36"/>
          <w:szCs w:val="36"/>
          <w:highlight w:val="none"/>
        </w:rPr>
        <w:br w:type="page"/>
      </w:r>
      <w:r>
        <w:rPr>
          <w:rStyle w:val="44"/>
          <w:rFonts w:hint="eastAsia" w:ascii="宋体" w:hAnsi="宋体" w:eastAsia="宋体" w:cs="宋体"/>
          <w:b/>
          <w:color w:val="auto"/>
          <w:w w:val="80"/>
          <w:kern w:val="44"/>
          <w:sz w:val="36"/>
          <w:szCs w:val="36"/>
          <w:highlight w:val="none"/>
        </w:rPr>
        <w:t>第八章  投标响应文件组成及格式</w:t>
      </w:r>
    </w:p>
    <w:p w14:paraId="5860775E">
      <w:pPr>
        <w:snapToGrid w:val="0"/>
        <w:ind w:firstLine="482" w:firstLineChars="200"/>
        <w:jc w:val="left"/>
        <w:rPr>
          <w:rStyle w:val="44"/>
          <w:rFonts w:hint="eastAsia" w:ascii="宋体" w:hAnsi="宋体" w:eastAsia="宋体" w:cs="宋体"/>
          <w:b/>
          <w:color w:val="auto"/>
          <w:sz w:val="24"/>
          <w:szCs w:val="21"/>
          <w:highlight w:val="none"/>
        </w:rPr>
      </w:pPr>
      <w:r>
        <w:rPr>
          <w:rStyle w:val="44"/>
          <w:rFonts w:hint="eastAsia" w:ascii="宋体" w:hAnsi="宋体" w:eastAsia="宋体" w:cs="宋体"/>
          <w:b/>
          <w:bCs/>
          <w:color w:val="auto"/>
          <w:sz w:val="24"/>
          <w:szCs w:val="24"/>
          <w:highlight w:val="none"/>
        </w:rPr>
        <w:t>供应商应依照规定提交各类声明函、承诺函，不再同时提供原件备查或提供有关部门出具的相关证明文件。但中标单位应做好提交声明函、承诺函相应原件的核查准备；核查后发现虚假或违背承诺的，依照相关法律法规规定处理。</w:t>
      </w:r>
    </w:p>
    <w:p w14:paraId="79841E4A">
      <w:pPr>
        <w:snapToGrid w:val="0"/>
        <w:ind w:firstLine="482" w:firstLineChars="200"/>
        <w:jc w:val="left"/>
        <w:rPr>
          <w:rStyle w:val="44"/>
          <w:rFonts w:hint="eastAsia" w:ascii="宋体" w:hAnsi="宋体" w:eastAsia="宋体" w:cs="宋体"/>
          <w:b/>
          <w:color w:val="auto"/>
          <w:sz w:val="24"/>
          <w:szCs w:val="21"/>
          <w:highlight w:val="none"/>
        </w:rPr>
      </w:pPr>
      <w:r>
        <w:rPr>
          <w:rStyle w:val="44"/>
          <w:rFonts w:hint="eastAsia" w:ascii="宋体" w:hAnsi="宋体" w:eastAsia="宋体" w:cs="宋体"/>
          <w:b/>
          <w:color w:val="auto"/>
          <w:sz w:val="24"/>
          <w:szCs w:val="21"/>
          <w:highlight w:val="none"/>
        </w:rPr>
        <w:t>一、投标响应文件组成</w:t>
      </w:r>
    </w:p>
    <w:p w14:paraId="2FE24DFC">
      <w:pPr>
        <w:pStyle w:val="97"/>
        <w:snapToGrid w:val="0"/>
        <w:spacing w:line="360" w:lineRule="auto"/>
        <w:ind w:left="0" w:firstLine="480"/>
        <w:rPr>
          <w:rStyle w:val="44"/>
          <w:rFonts w:hint="eastAsia" w:ascii="宋体" w:hAnsi="宋体" w:eastAsia="宋体" w:cs="宋体"/>
          <w:color w:val="auto"/>
          <w:szCs w:val="24"/>
          <w:highlight w:val="none"/>
        </w:rPr>
      </w:pPr>
      <w:r>
        <w:rPr>
          <w:rStyle w:val="44"/>
          <w:rFonts w:hint="eastAsia" w:ascii="宋体" w:hAnsi="宋体" w:eastAsia="宋体" w:cs="宋体"/>
          <w:color w:val="auto"/>
          <w:szCs w:val="24"/>
          <w:highlight w:val="none"/>
        </w:rPr>
        <w:t>投标响应文件由资格审查文件、商务技术文件、报价文件、投标响应文件电子版四部分组成。本次招标应采用资格后审方式，投标供应商须将资格审查文件作为响应文件组成部分，按招标文件要求装订密封后一起递交。</w:t>
      </w:r>
    </w:p>
    <w:p w14:paraId="367D3BC3">
      <w:pPr>
        <w:pStyle w:val="97"/>
        <w:snapToGrid w:val="0"/>
        <w:spacing w:line="360" w:lineRule="auto"/>
        <w:ind w:left="0" w:firstLine="522"/>
        <w:rPr>
          <w:rStyle w:val="44"/>
          <w:rFonts w:hint="eastAsia" w:ascii="宋体" w:hAnsi="宋体" w:eastAsia="宋体" w:cs="宋体"/>
          <w:b/>
          <w:color w:val="auto"/>
          <w:sz w:val="26"/>
          <w:szCs w:val="21"/>
          <w:highlight w:val="none"/>
        </w:rPr>
      </w:pPr>
      <w:r>
        <w:rPr>
          <w:rStyle w:val="44"/>
          <w:rFonts w:hint="eastAsia" w:ascii="宋体" w:hAnsi="宋体" w:eastAsia="宋体" w:cs="宋体"/>
          <w:b/>
          <w:color w:val="auto"/>
          <w:sz w:val="26"/>
          <w:szCs w:val="21"/>
          <w:highlight w:val="none"/>
        </w:rPr>
        <w:t>（一）资格审查文件（单独装订密封）</w:t>
      </w:r>
    </w:p>
    <w:p w14:paraId="54E18FE6">
      <w:pPr>
        <w:snapToGrid w:val="0"/>
        <w:ind w:firstLine="480" w:firstLineChars="200"/>
        <w:rPr>
          <w:rStyle w:val="44"/>
          <w:rFonts w:hint="eastAsia" w:ascii="宋体" w:hAnsi="宋体" w:eastAsia="宋体" w:cs="宋体"/>
          <w:bCs/>
          <w:color w:val="auto"/>
          <w:sz w:val="24"/>
          <w:szCs w:val="24"/>
          <w:highlight w:val="none"/>
        </w:rPr>
      </w:pPr>
      <w:r>
        <w:rPr>
          <w:rStyle w:val="44"/>
          <w:rFonts w:hint="eastAsia" w:ascii="宋体" w:hAnsi="宋体" w:eastAsia="宋体" w:cs="宋体"/>
          <w:bCs/>
          <w:color w:val="auto"/>
          <w:sz w:val="24"/>
          <w:szCs w:val="24"/>
          <w:highlight w:val="none"/>
        </w:rPr>
        <w:t>1.投标供应商提供有效的营业执照等具有独立承担民事责任能力的证明材料复印件。</w:t>
      </w:r>
    </w:p>
    <w:p w14:paraId="74FDBF48">
      <w:pPr>
        <w:snapToGrid w:val="0"/>
        <w:ind w:firstLine="480" w:firstLineChars="200"/>
        <w:rPr>
          <w:rStyle w:val="44"/>
          <w:rFonts w:hint="eastAsia" w:ascii="宋体" w:hAnsi="宋体" w:eastAsia="宋体" w:cs="宋体"/>
          <w:color w:val="auto"/>
          <w:kern w:val="0"/>
          <w:sz w:val="24"/>
          <w:szCs w:val="24"/>
          <w:highlight w:val="none"/>
        </w:rPr>
      </w:pPr>
      <w:r>
        <w:rPr>
          <w:rStyle w:val="44"/>
          <w:rFonts w:hint="eastAsia" w:ascii="宋体" w:hAnsi="宋体" w:eastAsia="宋体" w:cs="宋体"/>
          <w:color w:val="auto"/>
          <w:sz w:val="24"/>
          <w:szCs w:val="24"/>
          <w:highlight w:val="none"/>
        </w:rPr>
        <w:t>2.投标供应商法定代表人参加投标的，必须提供</w:t>
      </w:r>
      <w:r>
        <w:rPr>
          <w:rStyle w:val="44"/>
          <w:rFonts w:hint="eastAsia" w:ascii="宋体" w:hAnsi="宋体" w:eastAsia="宋体" w:cs="宋体"/>
          <w:color w:val="auto"/>
          <w:kern w:val="0"/>
          <w:sz w:val="24"/>
          <w:szCs w:val="24"/>
          <w:highlight w:val="none"/>
        </w:rPr>
        <w:t>法定代表人身份证明及法定代表人本人身份证复印件；非法定代表人参加投标的，必须提供法定代表人签名或盖章的授权委托书及法定代表人和被授权人两个人的身份证复印件（格式参见第八章）。</w:t>
      </w:r>
    </w:p>
    <w:p w14:paraId="0F998FD6">
      <w:pPr>
        <w:snapToGrid w:val="0"/>
        <w:ind w:firstLine="480" w:firstLineChars="200"/>
        <w:rPr>
          <w:rStyle w:val="44"/>
          <w:rFonts w:hint="eastAsia" w:ascii="宋体" w:hAnsi="宋体" w:eastAsia="宋体" w:cs="宋体"/>
          <w:bCs/>
          <w:color w:val="auto"/>
          <w:sz w:val="24"/>
          <w:szCs w:val="24"/>
          <w:highlight w:val="none"/>
        </w:rPr>
      </w:pPr>
      <w:r>
        <w:rPr>
          <w:rStyle w:val="44"/>
          <w:rFonts w:hint="eastAsia" w:ascii="宋体" w:hAnsi="宋体" w:eastAsia="宋体" w:cs="宋体"/>
          <w:bCs/>
          <w:color w:val="auto"/>
          <w:sz w:val="24"/>
          <w:szCs w:val="24"/>
          <w:highlight w:val="none"/>
        </w:rPr>
        <w:t>3.投标供应商须提供参与本次项目采购活动前三年内，在经营活动中没有重大违法记录的书面《无重大违法记录声明函》（格式参见第八章）。</w:t>
      </w:r>
    </w:p>
    <w:p w14:paraId="65266752">
      <w:pPr>
        <w:snapToGrid w:val="0"/>
        <w:ind w:firstLine="480" w:firstLineChars="200"/>
        <w:rPr>
          <w:rStyle w:val="44"/>
          <w:rFonts w:hint="eastAsia" w:ascii="宋体" w:hAnsi="宋体" w:eastAsia="宋体" w:cs="宋体"/>
          <w:bCs/>
          <w:color w:val="auto"/>
          <w:sz w:val="24"/>
          <w:szCs w:val="24"/>
          <w:highlight w:val="none"/>
        </w:rPr>
      </w:pPr>
      <w:r>
        <w:rPr>
          <w:rStyle w:val="44"/>
          <w:rFonts w:hint="eastAsia" w:ascii="宋体" w:hAnsi="宋体" w:eastAsia="宋体" w:cs="宋体"/>
          <w:bCs/>
          <w:color w:val="auto"/>
          <w:sz w:val="24"/>
          <w:szCs w:val="24"/>
          <w:highlight w:val="none"/>
        </w:rPr>
        <w:t>4.关于资格文件的声明函（格式参见第八章）。</w:t>
      </w:r>
    </w:p>
    <w:p w14:paraId="393A502C">
      <w:pPr>
        <w:snapToGrid w:val="0"/>
        <w:ind w:firstLine="482" w:firstLineChars="200"/>
        <w:jc w:val="left"/>
        <w:rPr>
          <w:rStyle w:val="44"/>
          <w:rFonts w:hint="eastAsia" w:ascii="宋体" w:hAnsi="宋体" w:eastAsia="宋体" w:cs="宋体"/>
          <w:b/>
          <w:color w:val="auto"/>
          <w:sz w:val="24"/>
          <w:szCs w:val="21"/>
          <w:highlight w:val="none"/>
        </w:rPr>
      </w:pPr>
      <w:r>
        <w:rPr>
          <w:rStyle w:val="44"/>
          <w:rFonts w:hint="eastAsia" w:ascii="宋体" w:hAnsi="宋体" w:eastAsia="宋体" w:cs="宋体"/>
          <w:b/>
          <w:color w:val="auto"/>
          <w:sz w:val="24"/>
          <w:szCs w:val="21"/>
          <w:highlight w:val="none"/>
        </w:rPr>
        <w:t>注：以上材料如为复印件均需加盖供应商公章</w:t>
      </w:r>
    </w:p>
    <w:p w14:paraId="78A211DD">
      <w:pPr>
        <w:numPr>
          <w:ilvl w:val="0"/>
          <w:numId w:val="6"/>
        </w:numPr>
        <w:snapToGrid w:val="0"/>
        <w:ind w:firstLine="482" w:firstLineChars="200"/>
        <w:rPr>
          <w:rStyle w:val="44"/>
          <w:rFonts w:hint="eastAsia" w:ascii="宋体" w:hAnsi="宋体" w:eastAsia="宋体" w:cs="宋体"/>
          <w:b/>
          <w:color w:val="auto"/>
          <w:sz w:val="24"/>
          <w:szCs w:val="21"/>
          <w:highlight w:val="none"/>
        </w:rPr>
      </w:pPr>
      <w:r>
        <w:rPr>
          <w:rStyle w:val="44"/>
          <w:rFonts w:hint="eastAsia" w:ascii="宋体" w:hAnsi="宋体" w:eastAsia="宋体" w:cs="宋体"/>
          <w:b/>
          <w:color w:val="auto"/>
          <w:sz w:val="24"/>
          <w:szCs w:val="21"/>
          <w:highlight w:val="none"/>
        </w:rPr>
        <w:t>商务技术文件（单独装订密封）</w:t>
      </w:r>
    </w:p>
    <w:p w14:paraId="64A930EB">
      <w:pPr>
        <w:snapToGrid w:val="0"/>
        <w:ind w:firstLine="482" w:firstLineChars="200"/>
        <w:rPr>
          <w:rStyle w:val="44"/>
          <w:rFonts w:hint="eastAsia" w:ascii="宋体" w:hAnsi="宋体" w:eastAsia="宋体" w:cs="宋体"/>
          <w:b/>
          <w:color w:val="auto"/>
          <w:sz w:val="24"/>
          <w:szCs w:val="21"/>
          <w:highlight w:val="none"/>
        </w:rPr>
      </w:pPr>
      <w:r>
        <w:rPr>
          <w:rStyle w:val="44"/>
          <w:rFonts w:hint="eastAsia" w:ascii="宋体" w:hAnsi="宋体" w:eastAsia="宋体" w:cs="宋体"/>
          <w:b/>
          <w:color w:val="auto"/>
          <w:sz w:val="24"/>
          <w:szCs w:val="21"/>
          <w:highlight w:val="none"/>
        </w:rPr>
        <w:t>【特别提醒】以下商务技术文件的内容，不得有缺项或漏项。否则将被视为未实质性响应招标文件要求而作无效投标处理。</w:t>
      </w:r>
    </w:p>
    <w:p w14:paraId="3D782F49">
      <w:pPr>
        <w:snapToGrid w:val="0"/>
        <w:ind w:firstLine="360" w:firstLineChars="150"/>
        <w:jc w:val="left"/>
        <w:rPr>
          <w:rStyle w:val="44"/>
          <w:rFonts w:hint="eastAsia" w:ascii="宋体" w:hAnsi="宋体" w:eastAsia="宋体" w:cs="宋体"/>
          <w:color w:val="auto"/>
          <w:sz w:val="24"/>
          <w:szCs w:val="21"/>
          <w:highlight w:val="none"/>
        </w:rPr>
      </w:pPr>
      <w:r>
        <w:rPr>
          <w:rStyle w:val="44"/>
          <w:rFonts w:hint="eastAsia" w:ascii="宋体" w:hAnsi="宋体" w:eastAsia="宋体" w:cs="宋体"/>
          <w:color w:val="auto"/>
          <w:sz w:val="24"/>
          <w:szCs w:val="21"/>
          <w:highlight w:val="none"/>
        </w:rPr>
        <w:t>1.投标响应函（格式参见第八章）。</w:t>
      </w:r>
    </w:p>
    <w:p w14:paraId="6C93BEF0">
      <w:pPr>
        <w:snapToGrid w:val="0"/>
        <w:ind w:firstLine="360" w:firstLineChars="150"/>
        <w:jc w:val="left"/>
        <w:rPr>
          <w:rStyle w:val="44"/>
          <w:rFonts w:hint="eastAsia" w:ascii="宋体" w:hAnsi="宋体" w:eastAsia="宋体" w:cs="宋体"/>
          <w:color w:val="auto"/>
          <w:sz w:val="24"/>
          <w:szCs w:val="21"/>
          <w:highlight w:val="none"/>
        </w:rPr>
      </w:pPr>
      <w:r>
        <w:rPr>
          <w:rStyle w:val="44"/>
          <w:rFonts w:hint="eastAsia" w:ascii="宋体" w:hAnsi="宋体" w:eastAsia="宋体" w:cs="宋体"/>
          <w:color w:val="auto"/>
          <w:sz w:val="24"/>
          <w:szCs w:val="21"/>
          <w:highlight w:val="none"/>
        </w:rPr>
        <w:t>2.评审评分项技术响应评分中所涉及的事项需提供的所有资料；</w:t>
      </w:r>
    </w:p>
    <w:p w14:paraId="740C59E7">
      <w:pPr>
        <w:snapToGrid w:val="0"/>
        <w:ind w:firstLine="360" w:firstLineChars="150"/>
        <w:jc w:val="left"/>
        <w:rPr>
          <w:rStyle w:val="44"/>
          <w:rFonts w:hint="eastAsia" w:ascii="宋体" w:hAnsi="宋体" w:eastAsia="宋体" w:cs="宋体"/>
          <w:color w:val="auto"/>
          <w:sz w:val="24"/>
          <w:szCs w:val="21"/>
          <w:highlight w:val="none"/>
        </w:rPr>
      </w:pPr>
      <w:r>
        <w:rPr>
          <w:rStyle w:val="44"/>
          <w:rFonts w:hint="eastAsia" w:ascii="宋体" w:hAnsi="宋体" w:eastAsia="宋体" w:cs="宋体"/>
          <w:color w:val="auto"/>
          <w:sz w:val="24"/>
          <w:szCs w:val="21"/>
          <w:highlight w:val="none"/>
        </w:rPr>
        <w:t>3.评审评分项中未涉及的事项，投标供应商认为需要提交的其他资料；</w:t>
      </w:r>
    </w:p>
    <w:p w14:paraId="51BCCC2E">
      <w:pPr>
        <w:snapToGrid w:val="0"/>
        <w:ind w:firstLine="360" w:firstLineChars="150"/>
        <w:jc w:val="left"/>
        <w:rPr>
          <w:rStyle w:val="44"/>
          <w:rFonts w:hint="eastAsia" w:ascii="宋体" w:hAnsi="宋体" w:eastAsia="宋体" w:cs="宋体"/>
          <w:color w:val="auto"/>
          <w:sz w:val="24"/>
          <w:szCs w:val="21"/>
          <w:highlight w:val="none"/>
        </w:rPr>
      </w:pPr>
      <w:r>
        <w:rPr>
          <w:rStyle w:val="44"/>
          <w:rFonts w:hint="eastAsia" w:ascii="宋体" w:hAnsi="宋体" w:eastAsia="宋体" w:cs="宋体"/>
          <w:color w:val="auto"/>
          <w:sz w:val="24"/>
          <w:szCs w:val="21"/>
          <w:highlight w:val="none"/>
        </w:rPr>
        <w:t>4.招标文件中要求提供的其他材料。</w:t>
      </w:r>
    </w:p>
    <w:p w14:paraId="22446D35">
      <w:pPr>
        <w:snapToGrid w:val="0"/>
        <w:ind w:firstLine="360" w:firstLineChars="150"/>
        <w:jc w:val="left"/>
        <w:rPr>
          <w:rStyle w:val="44"/>
          <w:rFonts w:hint="eastAsia" w:ascii="宋体" w:hAnsi="宋体" w:eastAsia="宋体" w:cs="宋体"/>
          <w:color w:val="auto"/>
          <w:sz w:val="24"/>
          <w:szCs w:val="21"/>
          <w:highlight w:val="none"/>
        </w:rPr>
      </w:pPr>
      <w:r>
        <w:rPr>
          <w:rStyle w:val="44"/>
          <w:rFonts w:hint="eastAsia" w:ascii="宋体" w:hAnsi="宋体" w:eastAsia="宋体" w:cs="宋体"/>
          <w:color w:val="auto"/>
          <w:sz w:val="24"/>
          <w:szCs w:val="21"/>
          <w:highlight w:val="none"/>
        </w:rPr>
        <w:t>注：为方便评委评审，请投标供应商按评审评分项中所涉及的事项顺序进行编制，可以补充相关材料。</w:t>
      </w:r>
    </w:p>
    <w:p w14:paraId="12601D58">
      <w:pPr>
        <w:snapToGrid w:val="0"/>
        <w:ind w:firstLine="482" w:firstLineChars="200"/>
        <w:jc w:val="left"/>
        <w:rPr>
          <w:rStyle w:val="44"/>
          <w:rFonts w:hint="eastAsia" w:ascii="宋体" w:hAnsi="宋体" w:eastAsia="宋体" w:cs="宋体"/>
          <w:b/>
          <w:bCs/>
          <w:color w:val="auto"/>
          <w:sz w:val="24"/>
          <w:szCs w:val="21"/>
          <w:highlight w:val="none"/>
        </w:rPr>
      </w:pPr>
      <w:r>
        <w:rPr>
          <w:rStyle w:val="44"/>
          <w:rFonts w:hint="eastAsia" w:ascii="宋体" w:hAnsi="宋体" w:eastAsia="宋体" w:cs="宋体"/>
          <w:b/>
          <w:bCs/>
          <w:color w:val="auto"/>
          <w:sz w:val="24"/>
          <w:szCs w:val="21"/>
          <w:highlight w:val="none"/>
        </w:rPr>
        <w:t>（三）报价文件（单独装订密封）</w:t>
      </w:r>
    </w:p>
    <w:p w14:paraId="3C2CB93C">
      <w:pPr>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1.投标响应报价总表（格式参见第八章）。</w:t>
      </w:r>
    </w:p>
    <w:p w14:paraId="3E919F95">
      <w:pPr>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2.投标响应报价明细表（格式参见第八章）。</w:t>
      </w:r>
    </w:p>
    <w:p w14:paraId="746850CE">
      <w:pPr>
        <w:snapToGrid w:val="0"/>
        <w:ind w:firstLine="482" w:firstLineChars="200"/>
        <w:jc w:val="left"/>
        <w:rPr>
          <w:rStyle w:val="44"/>
          <w:rFonts w:hint="eastAsia" w:ascii="宋体" w:hAnsi="宋体" w:eastAsia="宋体" w:cs="宋体"/>
          <w:b/>
          <w:bCs/>
          <w:color w:val="auto"/>
          <w:sz w:val="24"/>
          <w:szCs w:val="21"/>
          <w:highlight w:val="none"/>
        </w:rPr>
      </w:pPr>
      <w:r>
        <w:rPr>
          <w:rStyle w:val="44"/>
          <w:rFonts w:hint="eastAsia" w:ascii="宋体" w:hAnsi="宋体" w:eastAsia="宋体" w:cs="宋体"/>
          <w:b/>
          <w:bCs/>
          <w:color w:val="auto"/>
          <w:sz w:val="24"/>
          <w:szCs w:val="21"/>
          <w:highlight w:val="none"/>
        </w:rPr>
        <w:t>（四）投标文件电子版（单独密封）</w:t>
      </w:r>
    </w:p>
    <w:p w14:paraId="25005133">
      <w:pPr>
        <w:snapToGrid w:val="0"/>
        <w:ind w:firstLine="480" w:firstLineChars="200"/>
        <w:rPr>
          <w:rStyle w:val="44"/>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投标文件电子版需将资格审查文件、商务技术文件、报价文件的正本盖章后扫描一份存于U盘中，单独密封递交。</w:t>
      </w:r>
      <w:r>
        <w:rPr>
          <w:rFonts w:hint="eastAsia" w:ascii="宋体" w:hAnsi="宋体" w:eastAsia="宋体" w:cs="宋体"/>
          <w:color w:val="auto"/>
          <w:sz w:val="24"/>
          <w:szCs w:val="24"/>
          <w:highlight w:val="none"/>
        </w:rPr>
        <w:br w:type="textWrapping"/>
      </w:r>
    </w:p>
    <w:p w14:paraId="1EF91A87">
      <w:pPr>
        <w:snapToGrid w:val="0"/>
        <w:ind w:firstLine="480" w:firstLineChars="200"/>
        <w:rPr>
          <w:rStyle w:val="44"/>
          <w:rFonts w:hint="eastAsia" w:ascii="宋体" w:hAnsi="宋体" w:eastAsia="宋体" w:cs="宋体"/>
          <w:color w:val="auto"/>
          <w:sz w:val="24"/>
          <w:szCs w:val="24"/>
          <w:highlight w:val="none"/>
        </w:rPr>
      </w:pPr>
      <w:r>
        <w:rPr>
          <w:rStyle w:val="44"/>
          <w:rFonts w:hint="eastAsia" w:ascii="宋体" w:hAnsi="宋体" w:eastAsia="宋体" w:cs="宋体"/>
          <w:bCs/>
          <w:color w:val="auto"/>
          <w:sz w:val="24"/>
          <w:szCs w:val="24"/>
          <w:highlight w:val="none"/>
        </w:rPr>
        <w:br w:type="page"/>
      </w:r>
      <w:r>
        <w:rPr>
          <w:rStyle w:val="44"/>
          <w:rFonts w:hint="eastAsia" w:ascii="宋体" w:hAnsi="宋体" w:eastAsia="宋体" w:cs="宋体"/>
          <w:b/>
          <w:bCs/>
          <w:color w:val="auto"/>
          <w:sz w:val="24"/>
          <w:szCs w:val="21"/>
          <w:highlight w:val="none"/>
        </w:rPr>
        <w:t>附件：相关格式</w:t>
      </w:r>
    </w:p>
    <w:p w14:paraId="740CCD8A">
      <w:pPr>
        <w:tabs>
          <w:tab w:val="center" w:pos="5023"/>
          <w:tab w:val="left" w:pos="8652"/>
        </w:tabs>
        <w:snapToGrid w:val="0"/>
        <w:spacing w:before="360" w:line="400" w:lineRule="exact"/>
        <w:jc w:val="center"/>
        <w:rPr>
          <w:rStyle w:val="44"/>
          <w:rFonts w:hint="eastAsia" w:ascii="宋体" w:hAnsi="宋体" w:eastAsia="宋体" w:cs="宋体"/>
          <w:b/>
          <w:color w:val="auto"/>
          <w:sz w:val="52"/>
          <w:szCs w:val="52"/>
          <w:highlight w:val="none"/>
        </w:rPr>
      </w:pPr>
    </w:p>
    <w:p w14:paraId="7D89E39A">
      <w:pPr>
        <w:snapToGrid w:val="0"/>
        <w:spacing w:line="500" w:lineRule="exact"/>
        <w:rPr>
          <w:rStyle w:val="44"/>
          <w:rFonts w:hint="eastAsia" w:ascii="宋体" w:hAnsi="宋体" w:eastAsia="宋体" w:cs="宋体"/>
          <w:b/>
          <w:bCs/>
          <w:color w:val="auto"/>
          <w:sz w:val="24"/>
          <w:szCs w:val="21"/>
          <w:highlight w:val="none"/>
        </w:rPr>
      </w:pPr>
      <w:r>
        <w:rPr>
          <w:rStyle w:val="44"/>
          <w:rFonts w:hint="eastAsia" w:ascii="宋体" w:hAnsi="宋体" w:eastAsia="宋体" w:cs="宋体"/>
          <w:b/>
          <w:bCs/>
          <w:color w:val="auto"/>
          <w:sz w:val="24"/>
          <w:szCs w:val="21"/>
          <w:highlight w:val="none"/>
        </w:rPr>
        <w:t>A资格审查文件相关的格式文件及表格（单独密封）</w:t>
      </w:r>
    </w:p>
    <w:p w14:paraId="74AED0F4">
      <w:pPr>
        <w:snapToGrid w:val="0"/>
        <w:spacing w:line="500" w:lineRule="exact"/>
        <w:jc w:val="center"/>
        <w:rPr>
          <w:rStyle w:val="44"/>
          <w:rFonts w:hint="eastAsia" w:ascii="宋体" w:hAnsi="宋体" w:eastAsia="宋体" w:cs="宋体"/>
          <w:b/>
          <w:bCs/>
          <w:color w:val="auto"/>
          <w:sz w:val="24"/>
          <w:szCs w:val="21"/>
          <w:highlight w:val="none"/>
        </w:rPr>
      </w:pPr>
    </w:p>
    <w:p w14:paraId="77A05A9C">
      <w:pPr>
        <w:snapToGrid w:val="0"/>
        <w:spacing w:line="500" w:lineRule="exact"/>
        <w:jc w:val="center"/>
        <w:rPr>
          <w:rStyle w:val="44"/>
          <w:rFonts w:hint="eastAsia" w:ascii="宋体" w:hAnsi="宋体" w:eastAsia="宋体" w:cs="宋体"/>
          <w:b/>
          <w:bCs/>
          <w:color w:val="auto"/>
          <w:sz w:val="24"/>
          <w:szCs w:val="21"/>
          <w:highlight w:val="none"/>
        </w:rPr>
      </w:pPr>
      <w:r>
        <w:rPr>
          <w:rStyle w:val="44"/>
          <w:rFonts w:hint="eastAsia" w:ascii="宋体" w:hAnsi="宋体" w:eastAsia="宋体" w:cs="宋体"/>
          <w:b/>
          <w:bCs/>
          <w:color w:val="auto"/>
          <w:sz w:val="24"/>
          <w:szCs w:val="21"/>
          <w:highlight w:val="none"/>
        </w:rPr>
        <w:t>1.法定代表人身份证明</w:t>
      </w:r>
    </w:p>
    <w:p w14:paraId="06B187FF">
      <w:pPr>
        <w:snapToGrid w:val="0"/>
        <w:spacing w:line="500" w:lineRule="exact"/>
        <w:jc w:val="center"/>
        <w:rPr>
          <w:rStyle w:val="44"/>
          <w:rFonts w:hint="eastAsia" w:ascii="宋体" w:hAnsi="宋体" w:eastAsia="宋体" w:cs="宋体"/>
          <w:color w:val="auto"/>
          <w:sz w:val="24"/>
          <w:szCs w:val="21"/>
          <w:highlight w:val="none"/>
          <w:u w:val="single"/>
        </w:rPr>
      </w:pPr>
      <w:r>
        <w:rPr>
          <w:rStyle w:val="44"/>
          <w:rFonts w:hint="eastAsia" w:ascii="宋体" w:hAnsi="宋体" w:eastAsia="宋体" w:cs="宋体"/>
          <w:color w:val="auto"/>
          <w:sz w:val="24"/>
          <w:szCs w:val="21"/>
          <w:highlight w:val="none"/>
          <w:u w:val="single" w:color="000000"/>
        </w:rPr>
        <w:t>（法定代表人参加投标时，须出示此证明）</w:t>
      </w:r>
    </w:p>
    <w:p w14:paraId="1AF0579A">
      <w:pPr>
        <w:snapToGrid w:val="0"/>
        <w:spacing w:line="500" w:lineRule="exact"/>
        <w:jc w:val="center"/>
        <w:rPr>
          <w:rStyle w:val="44"/>
          <w:rFonts w:hint="eastAsia" w:ascii="宋体" w:hAnsi="宋体" w:eastAsia="宋体" w:cs="宋体"/>
          <w:color w:val="auto"/>
          <w:sz w:val="24"/>
          <w:szCs w:val="21"/>
          <w:highlight w:val="none"/>
        </w:rPr>
      </w:pPr>
    </w:p>
    <w:p w14:paraId="03676192">
      <w:pPr>
        <w:snapToGrid w:val="0"/>
        <w:spacing w:line="500" w:lineRule="exact"/>
        <w:rPr>
          <w:rStyle w:val="44"/>
          <w:rFonts w:hint="eastAsia" w:ascii="宋体" w:hAnsi="宋体" w:eastAsia="宋体" w:cs="宋体"/>
          <w:color w:val="auto"/>
          <w:sz w:val="24"/>
          <w:szCs w:val="21"/>
          <w:highlight w:val="none"/>
        </w:rPr>
      </w:pPr>
      <w:r>
        <w:rPr>
          <w:rStyle w:val="44"/>
          <w:rFonts w:hint="eastAsia" w:ascii="宋体" w:hAnsi="宋体" w:eastAsia="宋体" w:cs="宋体"/>
          <w:color w:val="auto"/>
          <w:sz w:val="24"/>
          <w:szCs w:val="21"/>
          <w:highlight w:val="none"/>
          <w:u w:val="single" w:color="000000"/>
        </w:rPr>
        <w:t>江苏省南通市北高新技术产业开发区管理委员会</w:t>
      </w:r>
      <w:r>
        <w:rPr>
          <w:rStyle w:val="44"/>
          <w:rFonts w:hint="eastAsia" w:ascii="宋体" w:hAnsi="宋体" w:eastAsia="宋体" w:cs="宋体"/>
          <w:color w:val="auto"/>
          <w:sz w:val="24"/>
          <w:szCs w:val="21"/>
          <w:highlight w:val="none"/>
        </w:rPr>
        <w:t>：</w:t>
      </w:r>
    </w:p>
    <w:p w14:paraId="52BDBD69">
      <w:pPr>
        <w:snapToGrid w:val="0"/>
        <w:spacing w:line="500" w:lineRule="exact"/>
        <w:ind w:firstLine="480" w:firstLineChars="200"/>
        <w:rPr>
          <w:rStyle w:val="44"/>
          <w:rFonts w:hint="eastAsia" w:ascii="宋体" w:hAnsi="宋体" w:eastAsia="宋体" w:cs="宋体"/>
          <w:color w:val="auto"/>
          <w:sz w:val="24"/>
          <w:szCs w:val="21"/>
          <w:highlight w:val="none"/>
        </w:rPr>
      </w:pPr>
      <w:r>
        <w:rPr>
          <w:rStyle w:val="44"/>
          <w:rFonts w:hint="eastAsia" w:ascii="宋体" w:hAnsi="宋体" w:eastAsia="宋体" w:cs="宋体"/>
          <w:color w:val="auto"/>
          <w:sz w:val="24"/>
          <w:szCs w:val="21"/>
          <w:highlight w:val="none"/>
        </w:rPr>
        <w:t>我公司法定代表人</w:t>
      </w:r>
      <w:r>
        <w:rPr>
          <w:rStyle w:val="44"/>
          <w:rFonts w:hint="eastAsia" w:ascii="宋体" w:hAnsi="宋体" w:eastAsia="宋体" w:cs="宋体"/>
          <w:color w:val="auto"/>
          <w:sz w:val="24"/>
          <w:szCs w:val="21"/>
          <w:highlight w:val="none"/>
          <w:u w:val="single" w:color="000000"/>
        </w:rPr>
        <w:t xml:space="preserve">     　　　   </w:t>
      </w:r>
      <w:r>
        <w:rPr>
          <w:rStyle w:val="44"/>
          <w:rFonts w:hint="eastAsia" w:ascii="宋体" w:hAnsi="宋体" w:eastAsia="宋体" w:cs="宋体"/>
          <w:color w:val="auto"/>
          <w:sz w:val="24"/>
          <w:szCs w:val="21"/>
          <w:highlight w:val="none"/>
        </w:rPr>
        <w:t>参加贵单位组织的</w:t>
      </w:r>
      <w:r>
        <w:rPr>
          <w:rStyle w:val="44"/>
          <w:rFonts w:hint="eastAsia" w:ascii="宋体" w:hAnsi="宋体" w:eastAsia="宋体" w:cs="宋体"/>
          <w:color w:val="auto"/>
          <w:sz w:val="24"/>
          <w:szCs w:val="21"/>
          <w:highlight w:val="none"/>
          <w:u w:val="single" w:color="000000"/>
        </w:rPr>
        <w:t xml:space="preserve">        </w:t>
      </w:r>
      <w:r>
        <w:rPr>
          <w:rStyle w:val="44"/>
          <w:rFonts w:hint="eastAsia" w:ascii="宋体" w:hAnsi="宋体" w:eastAsia="宋体" w:cs="宋体"/>
          <w:color w:val="auto"/>
          <w:sz w:val="24"/>
          <w:szCs w:val="21"/>
          <w:highlight w:val="none"/>
        </w:rPr>
        <w:t>（招标项目名称)的项目投标活动，全权代表我公司处理投标的有关事宜。</w:t>
      </w:r>
    </w:p>
    <w:p w14:paraId="62CAE772">
      <w:pPr>
        <w:snapToGrid w:val="0"/>
        <w:spacing w:line="500" w:lineRule="exact"/>
        <w:rPr>
          <w:rStyle w:val="44"/>
          <w:rFonts w:hint="eastAsia" w:ascii="宋体" w:hAnsi="宋体" w:eastAsia="宋体" w:cs="宋体"/>
          <w:color w:val="auto"/>
          <w:sz w:val="24"/>
          <w:szCs w:val="21"/>
          <w:highlight w:val="none"/>
        </w:rPr>
      </w:pPr>
    </w:p>
    <w:p w14:paraId="4FB86128">
      <w:pPr>
        <w:snapToGrid w:val="0"/>
        <w:spacing w:line="500" w:lineRule="exact"/>
        <w:ind w:firstLine="484" w:firstLineChars="202"/>
        <w:rPr>
          <w:rStyle w:val="44"/>
          <w:rFonts w:hint="eastAsia" w:ascii="宋体" w:hAnsi="宋体" w:eastAsia="宋体" w:cs="宋体"/>
          <w:color w:val="auto"/>
          <w:sz w:val="24"/>
          <w:szCs w:val="21"/>
          <w:highlight w:val="none"/>
        </w:rPr>
      </w:pPr>
      <w:r>
        <w:rPr>
          <w:rStyle w:val="44"/>
          <w:rFonts w:hint="eastAsia" w:ascii="宋体" w:hAnsi="宋体" w:eastAsia="宋体" w:cs="宋体"/>
          <w:color w:val="auto"/>
          <w:sz w:val="24"/>
          <w:szCs w:val="21"/>
          <w:highlight w:val="none"/>
        </w:rPr>
        <w:t>附：法定代表人情况：</w:t>
      </w:r>
    </w:p>
    <w:p w14:paraId="5ECBA984">
      <w:pPr>
        <w:snapToGrid w:val="0"/>
        <w:spacing w:line="500" w:lineRule="exact"/>
        <w:ind w:firstLine="484" w:firstLineChars="202"/>
        <w:rPr>
          <w:rStyle w:val="44"/>
          <w:rFonts w:hint="eastAsia" w:ascii="宋体" w:hAnsi="宋体" w:eastAsia="宋体" w:cs="宋体"/>
          <w:color w:val="auto"/>
          <w:sz w:val="24"/>
          <w:szCs w:val="21"/>
          <w:highlight w:val="none"/>
          <w:u w:val="single"/>
        </w:rPr>
      </w:pPr>
      <w:r>
        <w:rPr>
          <w:rStyle w:val="44"/>
          <w:rFonts w:hint="eastAsia" w:ascii="宋体" w:hAnsi="宋体" w:eastAsia="宋体" w:cs="宋体"/>
          <w:color w:val="auto"/>
          <w:sz w:val="24"/>
          <w:szCs w:val="21"/>
          <w:highlight w:val="none"/>
        </w:rPr>
        <w:t>姓名：</w:t>
      </w:r>
      <w:r>
        <w:rPr>
          <w:rStyle w:val="44"/>
          <w:rFonts w:hint="eastAsia" w:ascii="宋体" w:hAnsi="宋体" w:eastAsia="宋体" w:cs="宋体"/>
          <w:color w:val="auto"/>
          <w:sz w:val="24"/>
          <w:szCs w:val="21"/>
          <w:highlight w:val="none"/>
          <w:u w:val="single" w:color="000000"/>
        </w:rPr>
        <w:t xml:space="preserve">         </w:t>
      </w:r>
      <w:r>
        <w:rPr>
          <w:rStyle w:val="44"/>
          <w:rFonts w:hint="eastAsia" w:ascii="宋体" w:hAnsi="宋体" w:eastAsia="宋体" w:cs="宋体"/>
          <w:color w:val="auto"/>
          <w:sz w:val="24"/>
          <w:szCs w:val="21"/>
          <w:highlight w:val="none"/>
        </w:rPr>
        <w:t>性别：</w:t>
      </w:r>
      <w:r>
        <w:rPr>
          <w:rStyle w:val="44"/>
          <w:rFonts w:hint="eastAsia" w:ascii="宋体" w:hAnsi="宋体" w:eastAsia="宋体" w:cs="宋体"/>
          <w:color w:val="auto"/>
          <w:sz w:val="24"/>
          <w:szCs w:val="21"/>
          <w:highlight w:val="none"/>
          <w:u w:val="single" w:color="000000"/>
        </w:rPr>
        <w:t xml:space="preserve">    </w:t>
      </w:r>
      <w:r>
        <w:rPr>
          <w:rStyle w:val="44"/>
          <w:rFonts w:hint="eastAsia" w:ascii="宋体" w:hAnsi="宋体" w:eastAsia="宋体" w:cs="宋体"/>
          <w:color w:val="auto"/>
          <w:sz w:val="24"/>
          <w:szCs w:val="21"/>
          <w:highlight w:val="none"/>
        </w:rPr>
        <w:t>年龄：</w:t>
      </w:r>
      <w:r>
        <w:rPr>
          <w:rStyle w:val="44"/>
          <w:rFonts w:hint="eastAsia" w:ascii="宋体" w:hAnsi="宋体" w:eastAsia="宋体" w:cs="宋体"/>
          <w:color w:val="auto"/>
          <w:sz w:val="24"/>
          <w:szCs w:val="21"/>
          <w:highlight w:val="none"/>
          <w:u w:val="single" w:color="000000"/>
        </w:rPr>
        <w:t xml:space="preserve">      </w:t>
      </w:r>
      <w:r>
        <w:rPr>
          <w:rStyle w:val="44"/>
          <w:rFonts w:hint="eastAsia" w:ascii="宋体" w:hAnsi="宋体" w:eastAsia="宋体" w:cs="宋体"/>
          <w:color w:val="auto"/>
          <w:sz w:val="24"/>
          <w:szCs w:val="21"/>
          <w:highlight w:val="none"/>
        </w:rPr>
        <w:t>职务：</w:t>
      </w:r>
      <w:r>
        <w:rPr>
          <w:rStyle w:val="44"/>
          <w:rFonts w:hint="eastAsia" w:ascii="宋体" w:hAnsi="宋体" w:eastAsia="宋体" w:cs="宋体"/>
          <w:color w:val="auto"/>
          <w:sz w:val="24"/>
          <w:szCs w:val="21"/>
          <w:highlight w:val="none"/>
          <w:u w:val="single" w:color="000000"/>
        </w:rPr>
        <w:t xml:space="preserve">          </w:t>
      </w:r>
    </w:p>
    <w:p w14:paraId="3DF88AC9">
      <w:pPr>
        <w:snapToGrid w:val="0"/>
        <w:spacing w:line="500" w:lineRule="exact"/>
        <w:ind w:firstLine="484" w:firstLineChars="202"/>
        <w:rPr>
          <w:rStyle w:val="44"/>
          <w:rFonts w:hint="eastAsia" w:ascii="宋体" w:hAnsi="宋体" w:eastAsia="宋体" w:cs="宋体"/>
          <w:color w:val="auto"/>
          <w:sz w:val="24"/>
          <w:szCs w:val="21"/>
          <w:highlight w:val="none"/>
        </w:rPr>
      </w:pPr>
      <w:r>
        <w:rPr>
          <w:rStyle w:val="44"/>
          <w:rFonts w:hint="eastAsia" w:ascii="宋体" w:hAnsi="宋体" w:eastAsia="宋体" w:cs="宋体"/>
          <w:color w:val="auto"/>
          <w:sz w:val="24"/>
          <w:szCs w:val="21"/>
          <w:highlight w:val="none"/>
        </w:rPr>
        <w:t>身份证号码：</w:t>
      </w:r>
      <w:r>
        <w:rPr>
          <w:rStyle w:val="44"/>
          <w:rFonts w:hint="eastAsia" w:ascii="宋体" w:hAnsi="宋体" w:eastAsia="宋体" w:cs="宋体"/>
          <w:color w:val="auto"/>
          <w:sz w:val="24"/>
          <w:szCs w:val="21"/>
          <w:highlight w:val="none"/>
          <w:u w:val="single" w:color="000000"/>
        </w:rPr>
        <w:t xml:space="preserve">                                         </w:t>
      </w:r>
    </w:p>
    <w:p w14:paraId="3B1CD9DF">
      <w:pPr>
        <w:snapToGrid w:val="0"/>
        <w:spacing w:line="500" w:lineRule="exact"/>
        <w:ind w:firstLine="484" w:firstLineChars="202"/>
        <w:rPr>
          <w:rStyle w:val="44"/>
          <w:rFonts w:hint="eastAsia" w:ascii="宋体" w:hAnsi="宋体" w:eastAsia="宋体" w:cs="宋体"/>
          <w:color w:val="auto"/>
          <w:sz w:val="24"/>
          <w:szCs w:val="21"/>
          <w:highlight w:val="none"/>
        </w:rPr>
      </w:pPr>
      <w:r>
        <w:rPr>
          <w:rStyle w:val="44"/>
          <w:rFonts w:hint="eastAsia" w:ascii="宋体" w:hAnsi="宋体" w:eastAsia="宋体" w:cs="宋体"/>
          <w:color w:val="auto"/>
          <w:sz w:val="24"/>
          <w:szCs w:val="21"/>
          <w:highlight w:val="none"/>
        </w:rPr>
        <w:t>手机：</w:t>
      </w:r>
      <w:r>
        <w:rPr>
          <w:rStyle w:val="44"/>
          <w:rFonts w:hint="eastAsia" w:ascii="宋体" w:hAnsi="宋体" w:eastAsia="宋体" w:cs="宋体"/>
          <w:color w:val="auto"/>
          <w:sz w:val="24"/>
          <w:szCs w:val="21"/>
          <w:highlight w:val="none"/>
          <w:u w:val="single" w:color="000000"/>
        </w:rPr>
        <w:t xml:space="preserve">                  </w:t>
      </w:r>
      <w:r>
        <w:rPr>
          <w:rStyle w:val="44"/>
          <w:rFonts w:hint="eastAsia" w:ascii="宋体" w:hAnsi="宋体" w:eastAsia="宋体" w:cs="宋体"/>
          <w:color w:val="auto"/>
          <w:sz w:val="24"/>
          <w:szCs w:val="21"/>
          <w:highlight w:val="none"/>
        </w:rPr>
        <w:t>传真：</w:t>
      </w:r>
      <w:r>
        <w:rPr>
          <w:rStyle w:val="44"/>
          <w:rFonts w:hint="eastAsia" w:ascii="宋体" w:hAnsi="宋体" w:eastAsia="宋体" w:cs="宋体"/>
          <w:color w:val="auto"/>
          <w:sz w:val="24"/>
          <w:szCs w:val="21"/>
          <w:highlight w:val="none"/>
          <w:u w:val="single" w:color="000000"/>
        </w:rPr>
        <w:t xml:space="preserve">                       </w:t>
      </w:r>
    </w:p>
    <w:p w14:paraId="75427489">
      <w:pPr>
        <w:snapToGrid w:val="0"/>
        <w:spacing w:line="500" w:lineRule="exact"/>
        <w:rPr>
          <w:rStyle w:val="44"/>
          <w:rFonts w:hint="eastAsia" w:ascii="宋体" w:hAnsi="宋体" w:eastAsia="宋体" w:cs="宋体"/>
          <w:color w:val="auto"/>
          <w:sz w:val="24"/>
          <w:szCs w:val="21"/>
          <w:highlight w:val="none"/>
        </w:rPr>
      </w:pPr>
      <w:r>
        <w:rPr>
          <w:rStyle w:val="44"/>
          <w:rFonts w:hint="eastAsia" w:ascii="宋体" w:hAnsi="宋体" w:eastAsia="宋体" w:cs="宋体"/>
          <w:color w:val="auto"/>
          <w:sz w:val="24"/>
          <w:szCs w:val="21"/>
          <w:highlight w:val="none"/>
        </w:rPr>
        <w:t> </w:t>
      </w:r>
    </w:p>
    <w:p w14:paraId="5311816F">
      <w:pPr>
        <w:snapToGrid w:val="0"/>
        <w:spacing w:line="500" w:lineRule="exact"/>
        <w:rPr>
          <w:rStyle w:val="44"/>
          <w:rFonts w:hint="eastAsia" w:ascii="宋体" w:hAnsi="宋体" w:eastAsia="宋体" w:cs="宋体"/>
          <w:color w:val="auto"/>
          <w:sz w:val="24"/>
          <w:szCs w:val="21"/>
          <w:highlight w:val="none"/>
        </w:rPr>
      </w:pPr>
    </w:p>
    <w:p w14:paraId="589E7647">
      <w:pPr>
        <w:snapToGrid w:val="0"/>
        <w:spacing w:line="500" w:lineRule="exact"/>
        <w:rPr>
          <w:rStyle w:val="44"/>
          <w:rFonts w:hint="eastAsia" w:ascii="宋体" w:hAnsi="宋体" w:eastAsia="宋体" w:cs="宋体"/>
          <w:color w:val="auto"/>
          <w:sz w:val="24"/>
          <w:szCs w:val="21"/>
          <w:highlight w:val="none"/>
        </w:rPr>
      </w:pPr>
      <w:r>
        <w:rPr>
          <w:rStyle w:val="44"/>
          <w:rFonts w:hint="eastAsia" w:ascii="宋体" w:hAnsi="宋体" w:eastAsia="宋体" w:cs="宋体"/>
          <w:color w:val="auto"/>
          <w:sz w:val="24"/>
          <w:szCs w:val="21"/>
          <w:highlight w:val="none"/>
        </w:rPr>
        <w:t>单位名称（公章）                   法定代表人（签字或盖章）</w:t>
      </w:r>
    </w:p>
    <w:p w14:paraId="7219A1E1">
      <w:pPr>
        <w:snapToGrid w:val="0"/>
        <w:spacing w:line="500" w:lineRule="exact"/>
        <w:ind w:firstLine="1200" w:firstLineChars="500"/>
        <w:rPr>
          <w:rStyle w:val="44"/>
          <w:rFonts w:hint="eastAsia" w:ascii="宋体" w:hAnsi="宋体" w:eastAsia="宋体" w:cs="宋体"/>
          <w:color w:val="auto"/>
          <w:sz w:val="24"/>
          <w:szCs w:val="21"/>
          <w:highlight w:val="none"/>
        </w:rPr>
      </w:pPr>
      <w:r>
        <w:rPr>
          <w:rStyle w:val="44"/>
          <w:rFonts w:hint="eastAsia" w:ascii="宋体" w:hAnsi="宋体" w:eastAsia="宋体" w:cs="宋体"/>
          <w:color w:val="auto"/>
          <w:sz w:val="24"/>
          <w:szCs w:val="21"/>
          <w:highlight w:val="none"/>
        </w:rPr>
        <w:t xml:space="preserve">年   月   日                      年   月    日  </w:t>
      </w:r>
    </w:p>
    <w:p w14:paraId="1B2BE5CA">
      <w:pPr>
        <w:snapToGrid w:val="0"/>
        <w:spacing w:line="500" w:lineRule="exact"/>
        <w:rPr>
          <w:rStyle w:val="44"/>
          <w:rFonts w:hint="eastAsia" w:ascii="宋体" w:hAnsi="宋体" w:eastAsia="宋体" w:cs="宋体"/>
          <w:color w:val="auto"/>
          <w:sz w:val="24"/>
          <w:szCs w:val="21"/>
          <w:highlight w:val="none"/>
        </w:rPr>
      </w:pPr>
    </w:p>
    <w:p w14:paraId="23BE14EB">
      <w:pPr>
        <w:pStyle w:val="97"/>
        <w:snapToGrid w:val="0"/>
        <w:ind w:firstLine="520"/>
        <w:rPr>
          <w:rStyle w:val="44"/>
          <w:rFonts w:hint="eastAsia" w:ascii="宋体" w:hAnsi="宋体" w:eastAsia="宋体" w:cs="宋体"/>
          <w:color w:val="auto"/>
          <w:sz w:val="26"/>
          <w:highlight w:val="none"/>
        </w:rPr>
      </w:pPr>
    </w:p>
    <w:p w14:paraId="0F15B7FD">
      <w:pPr>
        <w:snapToGrid w:val="0"/>
        <w:spacing w:line="500" w:lineRule="exact"/>
        <w:ind w:firstLine="2640" w:firstLineChars="1100"/>
        <w:rPr>
          <w:rStyle w:val="44"/>
          <w:rFonts w:hint="eastAsia" w:ascii="宋体" w:hAnsi="宋体" w:eastAsia="宋体" w:cs="宋体"/>
          <w:color w:val="auto"/>
          <w:sz w:val="24"/>
          <w:szCs w:val="21"/>
          <w:highlight w:val="none"/>
        </w:rPr>
      </w:pPr>
      <w:r>
        <w:rPr>
          <w:rStyle w:val="44"/>
          <w:rFonts w:hint="eastAsia" w:ascii="宋体" w:hAnsi="宋体" w:eastAsia="宋体" w:cs="宋体"/>
          <w:color w:val="auto"/>
          <w:sz w:val="24"/>
          <w:szCs w:val="21"/>
          <w:highlight w:val="none"/>
        </w:rPr>
        <w:t>法定代表人身份证复印件</w:t>
      </w:r>
    </w:p>
    <w:p w14:paraId="7DA8FFD3">
      <w:pPr>
        <w:snapToGrid w:val="0"/>
        <w:spacing w:line="500" w:lineRule="exact"/>
        <w:ind w:firstLine="3000" w:firstLineChars="1250"/>
        <w:rPr>
          <w:rStyle w:val="44"/>
          <w:rFonts w:hint="eastAsia" w:ascii="宋体" w:hAnsi="宋体" w:eastAsia="宋体" w:cs="宋体"/>
          <w:color w:val="auto"/>
          <w:sz w:val="24"/>
          <w:szCs w:val="21"/>
          <w:highlight w:val="none"/>
        </w:rPr>
      </w:pPr>
      <w:r>
        <w:rPr>
          <w:rStyle w:val="44"/>
          <w:rFonts w:hint="eastAsia" w:ascii="宋体" w:hAnsi="宋体" w:eastAsia="宋体" w:cs="宋体"/>
          <w:color w:val="auto"/>
          <w:sz w:val="24"/>
          <w:szCs w:val="21"/>
          <w:highlight w:val="none"/>
        </w:rPr>
        <w:t>（粘贴此处）</w:t>
      </w:r>
    </w:p>
    <w:p w14:paraId="1E304D98">
      <w:pPr>
        <w:snapToGrid w:val="0"/>
        <w:spacing w:line="500" w:lineRule="exact"/>
        <w:ind w:firstLine="2280" w:firstLineChars="950"/>
        <w:rPr>
          <w:rStyle w:val="44"/>
          <w:rFonts w:hint="eastAsia" w:ascii="宋体" w:hAnsi="宋体" w:eastAsia="宋体" w:cs="宋体"/>
          <w:color w:val="auto"/>
          <w:sz w:val="24"/>
          <w:szCs w:val="21"/>
          <w:highlight w:val="none"/>
        </w:rPr>
      </w:pPr>
    </w:p>
    <w:p w14:paraId="4FA567C9">
      <w:pPr>
        <w:snapToGrid w:val="0"/>
        <w:spacing w:line="500" w:lineRule="exact"/>
        <w:rPr>
          <w:rStyle w:val="44"/>
          <w:rFonts w:hint="eastAsia" w:ascii="宋体" w:hAnsi="宋体" w:eastAsia="宋体" w:cs="宋体"/>
          <w:b/>
          <w:bCs/>
          <w:color w:val="auto"/>
          <w:sz w:val="24"/>
          <w:szCs w:val="21"/>
          <w:highlight w:val="none"/>
        </w:rPr>
      </w:pPr>
    </w:p>
    <w:p w14:paraId="4F869076">
      <w:pPr>
        <w:snapToGrid w:val="0"/>
        <w:spacing w:line="500" w:lineRule="exact"/>
        <w:ind w:firstLine="482" w:firstLineChars="200"/>
        <w:rPr>
          <w:rStyle w:val="44"/>
          <w:rFonts w:hint="eastAsia" w:ascii="宋体" w:hAnsi="宋体" w:eastAsia="宋体" w:cs="宋体"/>
          <w:color w:val="auto"/>
          <w:sz w:val="24"/>
          <w:szCs w:val="21"/>
          <w:highlight w:val="none"/>
        </w:rPr>
      </w:pPr>
      <w:r>
        <w:rPr>
          <w:rStyle w:val="44"/>
          <w:rFonts w:hint="eastAsia" w:ascii="宋体" w:hAnsi="宋体" w:eastAsia="宋体" w:cs="宋体"/>
          <w:b/>
          <w:bCs/>
          <w:color w:val="auto"/>
          <w:sz w:val="24"/>
          <w:szCs w:val="21"/>
          <w:highlight w:val="none"/>
        </w:rPr>
        <w:t>注:</w:t>
      </w:r>
      <w:r>
        <w:rPr>
          <w:rStyle w:val="44"/>
          <w:rFonts w:hint="eastAsia" w:ascii="宋体" w:hAnsi="宋体" w:eastAsia="宋体" w:cs="宋体"/>
          <w:color w:val="auto"/>
          <w:sz w:val="24"/>
          <w:szCs w:val="21"/>
          <w:highlight w:val="none"/>
        </w:rPr>
        <w:t>如为法定代表人参加投标时，须将身份证原件带至开标现场备查。</w:t>
      </w:r>
    </w:p>
    <w:p w14:paraId="65C43F62">
      <w:pPr>
        <w:snapToGrid w:val="0"/>
        <w:spacing w:line="500" w:lineRule="exact"/>
        <w:jc w:val="center"/>
        <w:rPr>
          <w:rStyle w:val="44"/>
          <w:rFonts w:hint="eastAsia" w:ascii="宋体" w:hAnsi="宋体" w:eastAsia="宋体" w:cs="宋体"/>
          <w:b/>
          <w:bCs/>
          <w:color w:val="auto"/>
          <w:sz w:val="24"/>
          <w:szCs w:val="21"/>
          <w:highlight w:val="none"/>
        </w:rPr>
      </w:pPr>
    </w:p>
    <w:p w14:paraId="2C41719D">
      <w:pPr>
        <w:snapToGrid w:val="0"/>
        <w:spacing w:line="500" w:lineRule="exact"/>
        <w:jc w:val="center"/>
        <w:rPr>
          <w:rStyle w:val="44"/>
          <w:rFonts w:hint="eastAsia" w:ascii="宋体" w:hAnsi="宋体" w:eastAsia="宋体" w:cs="宋体"/>
          <w:b/>
          <w:bCs/>
          <w:color w:val="auto"/>
          <w:sz w:val="24"/>
          <w:szCs w:val="21"/>
          <w:highlight w:val="none"/>
        </w:rPr>
      </w:pPr>
      <w:r>
        <w:rPr>
          <w:rStyle w:val="44"/>
          <w:rFonts w:hint="eastAsia" w:ascii="宋体" w:hAnsi="宋体" w:eastAsia="宋体" w:cs="宋体"/>
          <w:b/>
          <w:bCs/>
          <w:color w:val="auto"/>
          <w:sz w:val="24"/>
          <w:szCs w:val="21"/>
          <w:highlight w:val="none"/>
        </w:rPr>
        <w:t>2.授权委托书</w:t>
      </w:r>
    </w:p>
    <w:p w14:paraId="46C8F405">
      <w:pPr>
        <w:snapToGrid w:val="0"/>
        <w:spacing w:line="500" w:lineRule="exact"/>
        <w:jc w:val="center"/>
        <w:rPr>
          <w:rStyle w:val="44"/>
          <w:rFonts w:hint="eastAsia" w:ascii="宋体" w:hAnsi="宋体" w:eastAsia="宋体" w:cs="宋体"/>
          <w:color w:val="auto"/>
          <w:sz w:val="24"/>
          <w:szCs w:val="21"/>
          <w:highlight w:val="none"/>
          <w:u w:val="single"/>
        </w:rPr>
      </w:pPr>
      <w:r>
        <w:rPr>
          <w:rStyle w:val="44"/>
          <w:rFonts w:hint="eastAsia" w:ascii="宋体" w:hAnsi="宋体" w:eastAsia="宋体" w:cs="宋体"/>
          <w:color w:val="auto"/>
          <w:sz w:val="24"/>
          <w:szCs w:val="21"/>
          <w:highlight w:val="none"/>
          <w:u w:val="single" w:color="000000"/>
        </w:rPr>
        <w:t>（被授权人参加投标时，须出示此证明）</w:t>
      </w:r>
    </w:p>
    <w:p w14:paraId="489626E9">
      <w:pPr>
        <w:snapToGrid w:val="0"/>
        <w:spacing w:line="500" w:lineRule="exact"/>
        <w:rPr>
          <w:rStyle w:val="44"/>
          <w:rFonts w:hint="eastAsia" w:ascii="宋体" w:hAnsi="宋体" w:eastAsia="宋体" w:cs="宋体"/>
          <w:color w:val="auto"/>
          <w:sz w:val="24"/>
          <w:szCs w:val="21"/>
          <w:highlight w:val="none"/>
        </w:rPr>
      </w:pPr>
      <w:r>
        <w:rPr>
          <w:rStyle w:val="44"/>
          <w:rFonts w:hint="eastAsia" w:ascii="宋体" w:hAnsi="宋体" w:eastAsia="宋体" w:cs="宋体"/>
          <w:color w:val="auto"/>
          <w:sz w:val="24"/>
          <w:szCs w:val="21"/>
          <w:highlight w:val="none"/>
          <w:u w:val="single" w:color="000000"/>
        </w:rPr>
        <w:t>江苏省南通市北高新技术产业开发区管理委员会</w:t>
      </w:r>
      <w:r>
        <w:rPr>
          <w:rStyle w:val="44"/>
          <w:rFonts w:hint="eastAsia" w:ascii="宋体" w:hAnsi="宋体" w:eastAsia="宋体" w:cs="宋体"/>
          <w:color w:val="auto"/>
          <w:sz w:val="24"/>
          <w:szCs w:val="21"/>
          <w:highlight w:val="none"/>
        </w:rPr>
        <w:t>：</w:t>
      </w:r>
    </w:p>
    <w:p w14:paraId="15F3B78F">
      <w:pPr>
        <w:snapToGrid w:val="0"/>
        <w:spacing w:line="500" w:lineRule="exact"/>
        <w:ind w:left="1" w:firstLine="480" w:firstLineChars="200"/>
        <w:rPr>
          <w:rStyle w:val="44"/>
          <w:rFonts w:hint="eastAsia" w:ascii="宋体" w:hAnsi="宋体" w:eastAsia="宋体" w:cs="宋体"/>
          <w:color w:val="auto"/>
          <w:sz w:val="24"/>
          <w:szCs w:val="21"/>
          <w:highlight w:val="none"/>
        </w:rPr>
      </w:pPr>
      <w:r>
        <w:rPr>
          <w:rStyle w:val="44"/>
          <w:rFonts w:hint="eastAsia" w:ascii="宋体" w:hAnsi="宋体" w:eastAsia="宋体" w:cs="宋体"/>
          <w:color w:val="auto"/>
          <w:sz w:val="24"/>
          <w:szCs w:val="21"/>
          <w:highlight w:val="none"/>
        </w:rPr>
        <w:t>兹授权</w:t>
      </w:r>
      <w:r>
        <w:rPr>
          <w:rStyle w:val="44"/>
          <w:rFonts w:hint="eastAsia" w:ascii="宋体" w:hAnsi="宋体" w:eastAsia="宋体" w:cs="宋体"/>
          <w:color w:val="auto"/>
          <w:sz w:val="24"/>
          <w:szCs w:val="21"/>
          <w:highlight w:val="none"/>
          <w:u w:val="single" w:color="000000"/>
        </w:rPr>
        <w:t xml:space="preserve">               （</w:t>
      </w:r>
      <w:r>
        <w:rPr>
          <w:rStyle w:val="44"/>
          <w:rFonts w:hint="eastAsia" w:ascii="宋体" w:hAnsi="宋体" w:eastAsia="宋体" w:cs="宋体"/>
          <w:color w:val="auto"/>
          <w:sz w:val="24"/>
          <w:szCs w:val="21"/>
          <w:highlight w:val="none"/>
        </w:rPr>
        <w:t>被授权人的姓名）代表我公司参加</w:t>
      </w:r>
      <w:r>
        <w:rPr>
          <w:rStyle w:val="44"/>
          <w:rFonts w:hint="eastAsia" w:ascii="宋体" w:hAnsi="宋体" w:eastAsia="宋体" w:cs="宋体"/>
          <w:color w:val="auto"/>
          <w:sz w:val="24"/>
          <w:szCs w:val="21"/>
          <w:highlight w:val="none"/>
          <w:u w:val="single" w:color="000000"/>
        </w:rPr>
        <w:t xml:space="preserve">        </w:t>
      </w:r>
      <w:r>
        <w:rPr>
          <w:rStyle w:val="44"/>
          <w:rFonts w:hint="eastAsia" w:ascii="宋体" w:hAnsi="宋体" w:eastAsia="宋体" w:cs="宋体"/>
          <w:color w:val="auto"/>
          <w:sz w:val="24"/>
          <w:szCs w:val="21"/>
          <w:highlight w:val="none"/>
        </w:rPr>
        <w:t>（招标项目名称)项目的投标活动，全权处理一切与该项目投标有关的事务。其在办理上述事宜过程中所签署的所有文件我公司均予以承认。</w:t>
      </w:r>
    </w:p>
    <w:p w14:paraId="05F30A18">
      <w:pPr>
        <w:snapToGrid w:val="0"/>
        <w:spacing w:line="500" w:lineRule="exact"/>
        <w:ind w:left="1" w:firstLine="480" w:firstLineChars="200"/>
        <w:rPr>
          <w:rStyle w:val="44"/>
          <w:rFonts w:hint="eastAsia" w:ascii="宋体" w:hAnsi="宋体" w:eastAsia="宋体" w:cs="宋体"/>
          <w:color w:val="auto"/>
          <w:sz w:val="24"/>
          <w:szCs w:val="21"/>
          <w:highlight w:val="none"/>
        </w:rPr>
      </w:pPr>
      <w:r>
        <w:rPr>
          <w:rStyle w:val="44"/>
          <w:rFonts w:hint="eastAsia" w:ascii="宋体" w:hAnsi="宋体" w:eastAsia="宋体" w:cs="宋体"/>
          <w:color w:val="auto"/>
          <w:sz w:val="24"/>
          <w:szCs w:val="21"/>
          <w:highlight w:val="none"/>
        </w:rPr>
        <w:t>被授权人无转委托权。特此委托。</w:t>
      </w:r>
    </w:p>
    <w:p w14:paraId="189F60F6">
      <w:pPr>
        <w:snapToGrid w:val="0"/>
        <w:spacing w:line="500" w:lineRule="exact"/>
        <w:rPr>
          <w:rStyle w:val="44"/>
          <w:rFonts w:hint="eastAsia" w:ascii="宋体" w:hAnsi="宋体" w:eastAsia="宋体" w:cs="宋体"/>
          <w:color w:val="auto"/>
          <w:sz w:val="24"/>
          <w:szCs w:val="21"/>
          <w:highlight w:val="none"/>
        </w:rPr>
      </w:pPr>
    </w:p>
    <w:p w14:paraId="3A6A8047">
      <w:pPr>
        <w:snapToGrid w:val="0"/>
        <w:spacing w:line="500" w:lineRule="exact"/>
        <w:rPr>
          <w:rStyle w:val="44"/>
          <w:rFonts w:hint="eastAsia" w:ascii="宋体" w:hAnsi="宋体" w:eastAsia="宋体" w:cs="宋体"/>
          <w:color w:val="auto"/>
          <w:sz w:val="24"/>
          <w:szCs w:val="21"/>
          <w:highlight w:val="none"/>
        </w:rPr>
      </w:pPr>
      <w:r>
        <w:rPr>
          <w:rStyle w:val="44"/>
          <w:rFonts w:hint="eastAsia" w:ascii="宋体" w:hAnsi="宋体" w:eastAsia="宋体" w:cs="宋体"/>
          <w:color w:val="auto"/>
          <w:sz w:val="24"/>
          <w:szCs w:val="21"/>
          <w:highlight w:val="none"/>
        </w:rPr>
        <w:t>附：被授权人情况：</w:t>
      </w:r>
    </w:p>
    <w:p w14:paraId="644EE4CF">
      <w:pPr>
        <w:snapToGrid w:val="0"/>
        <w:spacing w:line="500" w:lineRule="exact"/>
        <w:rPr>
          <w:rStyle w:val="44"/>
          <w:rFonts w:hint="eastAsia" w:ascii="宋体" w:hAnsi="宋体" w:eastAsia="宋体" w:cs="宋体"/>
          <w:color w:val="auto"/>
          <w:sz w:val="24"/>
          <w:szCs w:val="21"/>
          <w:highlight w:val="none"/>
          <w:u w:val="single"/>
        </w:rPr>
      </w:pPr>
      <w:r>
        <w:rPr>
          <w:rStyle w:val="44"/>
          <w:rFonts w:hint="eastAsia" w:ascii="宋体" w:hAnsi="宋体" w:eastAsia="宋体" w:cs="宋体"/>
          <w:color w:val="auto"/>
          <w:sz w:val="24"/>
          <w:szCs w:val="21"/>
          <w:highlight w:val="none"/>
        </w:rPr>
        <w:t>姓名：</w:t>
      </w:r>
      <w:r>
        <w:rPr>
          <w:rStyle w:val="44"/>
          <w:rFonts w:hint="eastAsia" w:ascii="宋体" w:hAnsi="宋体" w:eastAsia="宋体" w:cs="宋体"/>
          <w:color w:val="auto"/>
          <w:sz w:val="24"/>
          <w:szCs w:val="21"/>
          <w:highlight w:val="none"/>
          <w:u w:val="single" w:color="000000"/>
        </w:rPr>
        <w:t xml:space="preserve">         </w:t>
      </w:r>
      <w:r>
        <w:rPr>
          <w:rStyle w:val="44"/>
          <w:rFonts w:hint="eastAsia" w:ascii="宋体" w:hAnsi="宋体" w:eastAsia="宋体" w:cs="宋体"/>
          <w:color w:val="auto"/>
          <w:sz w:val="24"/>
          <w:szCs w:val="21"/>
          <w:highlight w:val="none"/>
        </w:rPr>
        <w:t>性别：</w:t>
      </w:r>
      <w:r>
        <w:rPr>
          <w:rStyle w:val="44"/>
          <w:rFonts w:hint="eastAsia" w:ascii="宋体" w:hAnsi="宋体" w:eastAsia="宋体" w:cs="宋体"/>
          <w:color w:val="auto"/>
          <w:sz w:val="24"/>
          <w:szCs w:val="21"/>
          <w:highlight w:val="none"/>
          <w:u w:val="single" w:color="000000"/>
        </w:rPr>
        <w:t xml:space="preserve">    </w:t>
      </w:r>
      <w:r>
        <w:rPr>
          <w:rStyle w:val="44"/>
          <w:rFonts w:hint="eastAsia" w:ascii="宋体" w:hAnsi="宋体" w:eastAsia="宋体" w:cs="宋体"/>
          <w:color w:val="auto"/>
          <w:sz w:val="24"/>
          <w:szCs w:val="21"/>
          <w:highlight w:val="none"/>
        </w:rPr>
        <w:t>年龄：</w:t>
      </w:r>
      <w:r>
        <w:rPr>
          <w:rStyle w:val="44"/>
          <w:rFonts w:hint="eastAsia" w:ascii="宋体" w:hAnsi="宋体" w:eastAsia="宋体" w:cs="宋体"/>
          <w:color w:val="auto"/>
          <w:sz w:val="24"/>
          <w:szCs w:val="21"/>
          <w:highlight w:val="none"/>
          <w:u w:val="single" w:color="000000"/>
        </w:rPr>
        <w:t xml:space="preserve">      </w:t>
      </w:r>
      <w:r>
        <w:rPr>
          <w:rStyle w:val="44"/>
          <w:rFonts w:hint="eastAsia" w:ascii="宋体" w:hAnsi="宋体" w:eastAsia="宋体" w:cs="宋体"/>
          <w:color w:val="auto"/>
          <w:sz w:val="24"/>
          <w:szCs w:val="21"/>
          <w:highlight w:val="none"/>
        </w:rPr>
        <w:t>职务：</w:t>
      </w:r>
      <w:r>
        <w:rPr>
          <w:rStyle w:val="44"/>
          <w:rFonts w:hint="eastAsia" w:ascii="宋体" w:hAnsi="宋体" w:eastAsia="宋体" w:cs="宋体"/>
          <w:color w:val="auto"/>
          <w:sz w:val="24"/>
          <w:szCs w:val="21"/>
          <w:highlight w:val="none"/>
          <w:u w:val="single" w:color="000000"/>
        </w:rPr>
        <w:t xml:space="preserve">          </w:t>
      </w:r>
    </w:p>
    <w:p w14:paraId="561D70C4">
      <w:pPr>
        <w:snapToGrid w:val="0"/>
        <w:spacing w:line="500" w:lineRule="exact"/>
        <w:rPr>
          <w:rStyle w:val="44"/>
          <w:rFonts w:hint="eastAsia" w:ascii="宋体" w:hAnsi="宋体" w:eastAsia="宋体" w:cs="宋体"/>
          <w:color w:val="auto"/>
          <w:sz w:val="24"/>
          <w:szCs w:val="21"/>
          <w:highlight w:val="none"/>
        </w:rPr>
      </w:pPr>
      <w:r>
        <w:rPr>
          <w:rStyle w:val="44"/>
          <w:rFonts w:hint="eastAsia" w:ascii="宋体" w:hAnsi="宋体" w:eastAsia="宋体" w:cs="宋体"/>
          <w:color w:val="auto"/>
          <w:sz w:val="24"/>
          <w:szCs w:val="21"/>
          <w:highlight w:val="none"/>
        </w:rPr>
        <w:t>身份证号码：</w:t>
      </w:r>
      <w:r>
        <w:rPr>
          <w:rStyle w:val="44"/>
          <w:rFonts w:hint="eastAsia" w:ascii="宋体" w:hAnsi="宋体" w:eastAsia="宋体" w:cs="宋体"/>
          <w:color w:val="auto"/>
          <w:sz w:val="24"/>
          <w:szCs w:val="21"/>
          <w:highlight w:val="none"/>
          <w:u w:val="single" w:color="000000"/>
        </w:rPr>
        <w:t xml:space="preserve">                                         </w:t>
      </w:r>
    </w:p>
    <w:p w14:paraId="1D082E3B">
      <w:pPr>
        <w:snapToGrid w:val="0"/>
        <w:spacing w:line="500" w:lineRule="exact"/>
        <w:rPr>
          <w:rStyle w:val="44"/>
          <w:rFonts w:hint="eastAsia" w:ascii="宋体" w:hAnsi="宋体" w:eastAsia="宋体" w:cs="宋体"/>
          <w:color w:val="auto"/>
          <w:sz w:val="24"/>
          <w:szCs w:val="21"/>
          <w:highlight w:val="none"/>
        </w:rPr>
      </w:pPr>
      <w:r>
        <w:rPr>
          <w:rStyle w:val="44"/>
          <w:rFonts w:hint="eastAsia" w:ascii="宋体" w:hAnsi="宋体" w:eastAsia="宋体" w:cs="宋体"/>
          <w:color w:val="auto"/>
          <w:sz w:val="24"/>
          <w:szCs w:val="21"/>
          <w:highlight w:val="none"/>
        </w:rPr>
        <w:t>手机：</w:t>
      </w:r>
      <w:r>
        <w:rPr>
          <w:rStyle w:val="44"/>
          <w:rFonts w:hint="eastAsia" w:ascii="宋体" w:hAnsi="宋体" w:eastAsia="宋体" w:cs="宋体"/>
          <w:color w:val="auto"/>
          <w:sz w:val="24"/>
          <w:szCs w:val="21"/>
          <w:highlight w:val="none"/>
          <w:u w:val="single" w:color="000000"/>
        </w:rPr>
        <w:t xml:space="preserve">                 </w:t>
      </w:r>
      <w:r>
        <w:rPr>
          <w:rStyle w:val="44"/>
          <w:rFonts w:hint="eastAsia" w:ascii="宋体" w:hAnsi="宋体" w:eastAsia="宋体" w:cs="宋体"/>
          <w:color w:val="auto"/>
          <w:sz w:val="24"/>
          <w:szCs w:val="21"/>
          <w:highlight w:val="none"/>
        </w:rPr>
        <w:t>传真：</w:t>
      </w:r>
      <w:r>
        <w:rPr>
          <w:rStyle w:val="44"/>
          <w:rFonts w:hint="eastAsia" w:ascii="宋体" w:hAnsi="宋体" w:eastAsia="宋体" w:cs="宋体"/>
          <w:color w:val="auto"/>
          <w:sz w:val="24"/>
          <w:szCs w:val="21"/>
          <w:highlight w:val="none"/>
          <w:u w:val="single" w:color="000000"/>
        </w:rPr>
        <w:t xml:space="preserve">                        </w:t>
      </w:r>
    </w:p>
    <w:p w14:paraId="2B24290B">
      <w:pPr>
        <w:snapToGrid w:val="0"/>
        <w:spacing w:line="500" w:lineRule="exact"/>
        <w:rPr>
          <w:rStyle w:val="44"/>
          <w:rFonts w:hint="eastAsia" w:ascii="宋体" w:hAnsi="宋体" w:eastAsia="宋体" w:cs="宋体"/>
          <w:color w:val="auto"/>
          <w:sz w:val="24"/>
          <w:szCs w:val="21"/>
          <w:highlight w:val="none"/>
        </w:rPr>
      </w:pPr>
      <w:r>
        <w:rPr>
          <w:rStyle w:val="44"/>
          <w:rFonts w:hint="eastAsia" w:ascii="宋体" w:hAnsi="宋体" w:eastAsia="宋体" w:cs="宋体"/>
          <w:color w:val="auto"/>
          <w:sz w:val="24"/>
          <w:szCs w:val="21"/>
          <w:highlight w:val="none"/>
        </w:rPr>
        <w:t> </w:t>
      </w:r>
    </w:p>
    <w:p w14:paraId="7D5B4CF1">
      <w:pPr>
        <w:snapToGrid w:val="0"/>
        <w:spacing w:line="500" w:lineRule="exact"/>
        <w:rPr>
          <w:rStyle w:val="44"/>
          <w:rFonts w:hint="eastAsia" w:ascii="宋体" w:hAnsi="宋体" w:eastAsia="宋体" w:cs="宋体"/>
          <w:color w:val="auto"/>
          <w:sz w:val="24"/>
          <w:szCs w:val="21"/>
          <w:highlight w:val="none"/>
        </w:rPr>
      </w:pPr>
      <w:r>
        <w:rPr>
          <w:rStyle w:val="44"/>
          <w:rFonts w:hint="eastAsia" w:ascii="宋体" w:hAnsi="宋体" w:eastAsia="宋体" w:cs="宋体"/>
          <w:color w:val="auto"/>
          <w:sz w:val="24"/>
          <w:szCs w:val="21"/>
          <w:highlight w:val="none"/>
        </w:rPr>
        <w:t>单位名称（公章）                      法定代表人（签字或盖章）</w:t>
      </w:r>
    </w:p>
    <w:p w14:paraId="138FE68B">
      <w:pPr>
        <w:snapToGrid w:val="0"/>
        <w:spacing w:line="500" w:lineRule="exact"/>
        <w:ind w:firstLine="1200" w:firstLineChars="500"/>
        <w:rPr>
          <w:rStyle w:val="44"/>
          <w:rFonts w:hint="eastAsia" w:ascii="宋体" w:hAnsi="宋体" w:eastAsia="宋体" w:cs="宋体"/>
          <w:color w:val="auto"/>
          <w:sz w:val="24"/>
          <w:szCs w:val="21"/>
          <w:highlight w:val="none"/>
        </w:rPr>
      </w:pPr>
      <w:r>
        <w:rPr>
          <w:rStyle w:val="44"/>
          <w:rFonts w:hint="eastAsia" w:ascii="宋体" w:hAnsi="宋体" w:eastAsia="宋体" w:cs="宋体"/>
          <w:color w:val="auto"/>
          <w:sz w:val="24"/>
          <w:szCs w:val="21"/>
          <w:highlight w:val="none"/>
        </w:rPr>
        <w:t>年   月   日                        年   月   日</w:t>
      </w:r>
    </w:p>
    <w:p w14:paraId="3DD12F82">
      <w:pPr>
        <w:snapToGrid w:val="0"/>
        <w:spacing w:line="500" w:lineRule="exact"/>
        <w:rPr>
          <w:rStyle w:val="44"/>
          <w:rFonts w:hint="eastAsia" w:ascii="宋体" w:hAnsi="宋体" w:eastAsia="宋体" w:cs="宋体"/>
          <w:color w:val="auto"/>
          <w:sz w:val="24"/>
          <w:szCs w:val="21"/>
          <w:highlight w:val="none"/>
        </w:rPr>
      </w:pPr>
    </w:p>
    <w:p w14:paraId="4913BD82">
      <w:pPr>
        <w:snapToGrid w:val="0"/>
        <w:spacing w:line="500" w:lineRule="exact"/>
        <w:jc w:val="center"/>
        <w:rPr>
          <w:rStyle w:val="44"/>
          <w:rFonts w:hint="eastAsia" w:ascii="宋体" w:hAnsi="宋体" w:eastAsia="宋体" w:cs="宋体"/>
          <w:color w:val="auto"/>
          <w:sz w:val="24"/>
          <w:szCs w:val="21"/>
          <w:highlight w:val="none"/>
        </w:rPr>
      </w:pPr>
      <w:r>
        <w:rPr>
          <w:rStyle w:val="44"/>
          <w:rFonts w:hint="eastAsia" w:ascii="宋体" w:hAnsi="宋体" w:eastAsia="宋体" w:cs="宋体"/>
          <w:color w:val="auto"/>
          <w:sz w:val="24"/>
          <w:szCs w:val="21"/>
          <w:highlight w:val="none"/>
        </w:rPr>
        <w:t>法定代表人身份证复印件</w:t>
      </w:r>
    </w:p>
    <w:p w14:paraId="1E6F18BA">
      <w:pPr>
        <w:snapToGrid w:val="0"/>
        <w:spacing w:line="500" w:lineRule="exact"/>
        <w:jc w:val="center"/>
        <w:rPr>
          <w:rStyle w:val="44"/>
          <w:rFonts w:hint="eastAsia" w:ascii="宋体" w:hAnsi="宋体" w:eastAsia="宋体" w:cs="宋体"/>
          <w:color w:val="auto"/>
          <w:sz w:val="24"/>
          <w:szCs w:val="21"/>
          <w:highlight w:val="none"/>
        </w:rPr>
      </w:pPr>
      <w:r>
        <w:rPr>
          <w:rStyle w:val="44"/>
          <w:rFonts w:hint="eastAsia" w:ascii="宋体" w:hAnsi="宋体" w:eastAsia="宋体" w:cs="宋体"/>
          <w:color w:val="auto"/>
          <w:sz w:val="24"/>
          <w:szCs w:val="21"/>
          <w:highlight w:val="none"/>
        </w:rPr>
        <w:t>（粘贴此处）</w:t>
      </w:r>
    </w:p>
    <w:p w14:paraId="49748DFF">
      <w:pPr>
        <w:snapToGrid w:val="0"/>
        <w:spacing w:line="500" w:lineRule="exact"/>
        <w:jc w:val="center"/>
        <w:rPr>
          <w:rStyle w:val="44"/>
          <w:rFonts w:hint="eastAsia" w:ascii="宋体" w:hAnsi="宋体" w:eastAsia="宋体" w:cs="宋体"/>
          <w:color w:val="auto"/>
          <w:sz w:val="24"/>
          <w:szCs w:val="21"/>
          <w:highlight w:val="none"/>
        </w:rPr>
      </w:pPr>
    </w:p>
    <w:p w14:paraId="164F536B">
      <w:pPr>
        <w:snapToGrid w:val="0"/>
        <w:spacing w:line="500" w:lineRule="exact"/>
        <w:jc w:val="center"/>
        <w:rPr>
          <w:rStyle w:val="44"/>
          <w:rFonts w:hint="eastAsia" w:ascii="宋体" w:hAnsi="宋体" w:eastAsia="宋体" w:cs="宋体"/>
          <w:color w:val="auto"/>
          <w:sz w:val="24"/>
          <w:szCs w:val="21"/>
          <w:highlight w:val="none"/>
        </w:rPr>
      </w:pPr>
    </w:p>
    <w:p w14:paraId="16456ABF">
      <w:pPr>
        <w:snapToGrid w:val="0"/>
        <w:spacing w:line="500" w:lineRule="exact"/>
        <w:jc w:val="center"/>
        <w:rPr>
          <w:rStyle w:val="44"/>
          <w:rFonts w:hint="eastAsia" w:ascii="宋体" w:hAnsi="宋体" w:eastAsia="宋体" w:cs="宋体"/>
          <w:color w:val="auto"/>
          <w:sz w:val="24"/>
          <w:szCs w:val="21"/>
          <w:highlight w:val="none"/>
        </w:rPr>
      </w:pPr>
      <w:r>
        <w:rPr>
          <w:rStyle w:val="44"/>
          <w:rFonts w:hint="eastAsia" w:ascii="宋体" w:hAnsi="宋体" w:eastAsia="宋体" w:cs="宋体"/>
          <w:color w:val="auto"/>
          <w:sz w:val="24"/>
          <w:szCs w:val="21"/>
          <w:highlight w:val="none"/>
        </w:rPr>
        <w:t>被授权人身份证复印件</w:t>
      </w:r>
    </w:p>
    <w:p w14:paraId="66E1629E">
      <w:pPr>
        <w:snapToGrid w:val="0"/>
        <w:spacing w:line="500" w:lineRule="exact"/>
        <w:jc w:val="center"/>
        <w:rPr>
          <w:rStyle w:val="44"/>
          <w:rFonts w:hint="eastAsia" w:ascii="宋体" w:hAnsi="宋体" w:eastAsia="宋体" w:cs="宋体"/>
          <w:color w:val="auto"/>
          <w:sz w:val="24"/>
          <w:szCs w:val="21"/>
          <w:highlight w:val="none"/>
        </w:rPr>
      </w:pPr>
      <w:r>
        <w:rPr>
          <w:rStyle w:val="44"/>
          <w:rFonts w:hint="eastAsia" w:ascii="宋体" w:hAnsi="宋体" w:eastAsia="宋体" w:cs="宋体"/>
          <w:color w:val="auto"/>
          <w:sz w:val="24"/>
          <w:szCs w:val="21"/>
          <w:highlight w:val="none"/>
        </w:rPr>
        <w:t>（粘贴此处）</w:t>
      </w:r>
    </w:p>
    <w:p w14:paraId="78AF565B">
      <w:pPr>
        <w:snapToGrid w:val="0"/>
        <w:spacing w:line="500" w:lineRule="exact"/>
        <w:ind w:firstLine="482" w:firstLineChars="200"/>
        <w:rPr>
          <w:rStyle w:val="44"/>
          <w:rFonts w:hint="eastAsia" w:ascii="宋体" w:hAnsi="宋体" w:eastAsia="宋体" w:cs="宋体"/>
          <w:b/>
          <w:bCs/>
          <w:color w:val="auto"/>
          <w:sz w:val="24"/>
          <w:szCs w:val="21"/>
          <w:highlight w:val="none"/>
        </w:rPr>
      </w:pPr>
    </w:p>
    <w:p w14:paraId="4B330797">
      <w:pPr>
        <w:snapToGrid w:val="0"/>
        <w:spacing w:line="500" w:lineRule="exact"/>
        <w:ind w:firstLine="482" w:firstLineChars="200"/>
        <w:rPr>
          <w:rStyle w:val="44"/>
          <w:rFonts w:hint="eastAsia" w:ascii="宋体" w:hAnsi="宋体" w:eastAsia="宋体" w:cs="宋体"/>
          <w:color w:val="auto"/>
          <w:sz w:val="24"/>
          <w:szCs w:val="21"/>
          <w:highlight w:val="none"/>
        </w:rPr>
      </w:pPr>
      <w:r>
        <w:rPr>
          <w:rStyle w:val="44"/>
          <w:rFonts w:hint="eastAsia" w:ascii="宋体" w:hAnsi="宋体" w:eastAsia="宋体" w:cs="宋体"/>
          <w:b/>
          <w:bCs/>
          <w:color w:val="auto"/>
          <w:sz w:val="24"/>
          <w:szCs w:val="21"/>
          <w:highlight w:val="none"/>
        </w:rPr>
        <w:t>注:</w:t>
      </w:r>
      <w:r>
        <w:rPr>
          <w:rStyle w:val="44"/>
          <w:rFonts w:hint="eastAsia" w:ascii="宋体" w:hAnsi="宋体" w:eastAsia="宋体" w:cs="宋体"/>
          <w:color w:val="auto"/>
          <w:sz w:val="24"/>
          <w:szCs w:val="21"/>
          <w:highlight w:val="none"/>
        </w:rPr>
        <w:t>如为被授权人参加投标时，须将身份证原件带至开标现场备查。</w:t>
      </w:r>
    </w:p>
    <w:p w14:paraId="6988D5E7">
      <w:pPr>
        <w:pStyle w:val="109"/>
        <w:spacing w:line="520" w:lineRule="exact"/>
        <w:ind w:firstLine="480"/>
        <w:jc w:val="center"/>
        <w:rPr>
          <w:rStyle w:val="44"/>
          <w:rFonts w:hint="eastAsia" w:hAnsi="宋体" w:cs="宋体"/>
          <w:color w:val="auto"/>
          <w:szCs w:val="21"/>
          <w:highlight w:val="none"/>
        </w:rPr>
      </w:pPr>
      <w:r>
        <w:rPr>
          <w:rStyle w:val="44"/>
          <w:rFonts w:hint="eastAsia" w:hAnsi="宋体" w:cs="宋体"/>
          <w:color w:val="auto"/>
          <w:szCs w:val="21"/>
          <w:highlight w:val="none"/>
        </w:rPr>
        <w:br w:type="textWrapping"/>
      </w:r>
    </w:p>
    <w:p w14:paraId="25E04399">
      <w:pPr>
        <w:pStyle w:val="109"/>
        <w:spacing w:line="520" w:lineRule="exact"/>
        <w:ind w:firstLine="482"/>
        <w:jc w:val="center"/>
        <w:rPr>
          <w:rStyle w:val="44"/>
          <w:rFonts w:hint="eastAsia" w:hAnsi="宋体" w:cs="宋体"/>
          <w:b/>
          <w:bCs/>
          <w:color w:val="auto"/>
          <w:szCs w:val="21"/>
          <w:highlight w:val="none"/>
        </w:rPr>
      </w:pPr>
      <w:r>
        <w:rPr>
          <w:rStyle w:val="44"/>
          <w:rFonts w:hint="eastAsia" w:hAnsi="宋体" w:cs="宋体"/>
          <w:b/>
          <w:bCs/>
          <w:color w:val="auto"/>
          <w:szCs w:val="21"/>
          <w:highlight w:val="none"/>
        </w:rPr>
        <w:br w:type="page"/>
      </w:r>
      <w:r>
        <w:rPr>
          <w:rStyle w:val="44"/>
          <w:rFonts w:hint="eastAsia" w:hAnsi="宋体" w:cs="宋体"/>
          <w:b/>
          <w:bCs/>
          <w:color w:val="auto"/>
          <w:szCs w:val="21"/>
          <w:highlight w:val="none"/>
        </w:rPr>
        <w:t>3.无重大违法记录声明函</w:t>
      </w:r>
    </w:p>
    <w:p w14:paraId="6F415AB0">
      <w:pPr>
        <w:snapToGrid w:val="0"/>
        <w:spacing w:line="500" w:lineRule="exact"/>
        <w:rPr>
          <w:rStyle w:val="44"/>
          <w:rFonts w:hint="eastAsia" w:ascii="宋体" w:hAnsi="宋体" w:eastAsia="宋体" w:cs="宋体"/>
          <w:bCs/>
          <w:color w:val="auto"/>
          <w:sz w:val="24"/>
          <w:szCs w:val="21"/>
          <w:highlight w:val="none"/>
        </w:rPr>
      </w:pPr>
      <w:r>
        <w:rPr>
          <w:rStyle w:val="44"/>
          <w:rFonts w:hint="eastAsia" w:ascii="宋体" w:hAnsi="宋体" w:eastAsia="宋体" w:cs="宋体"/>
          <w:color w:val="auto"/>
          <w:sz w:val="24"/>
          <w:szCs w:val="21"/>
          <w:highlight w:val="none"/>
          <w:u w:val="single" w:color="000000"/>
        </w:rPr>
        <w:t>江苏省南通市北高新技术产业开发区管理委员会</w:t>
      </w:r>
      <w:r>
        <w:rPr>
          <w:rStyle w:val="44"/>
          <w:rFonts w:hint="eastAsia" w:ascii="宋体" w:hAnsi="宋体" w:eastAsia="宋体" w:cs="宋体"/>
          <w:bCs/>
          <w:color w:val="auto"/>
          <w:sz w:val="24"/>
          <w:szCs w:val="21"/>
          <w:highlight w:val="none"/>
        </w:rPr>
        <w:t>：</w:t>
      </w:r>
    </w:p>
    <w:p w14:paraId="453C6066">
      <w:pPr>
        <w:snapToGrid w:val="0"/>
        <w:spacing w:line="500" w:lineRule="exact"/>
        <w:rPr>
          <w:rStyle w:val="44"/>
          <w:rFonts w:hint="eastAsia" w:ascii="宋体" w:hAnsi="宋体" w:eastAsia="宋体" w:cs="宋体"/>
          <w:color w:val="auto"/>
          <w:sz w:val="24"/>
          <w:szCs w:val="21"/>
          <w:highlight w:val="none"/>
        </w:rPr>
      </w:pPr>
      <w:r>
        <w:rPr>
          <w:rStyle w:val="44"/>
          <w:rFonts w:hint="eastAsia" w:ascii="宋体" w:hAnsi="宋体" w:eastAsia="宋体" w:cs="宋体"/>
          <w:color w:val="auto"/>
          <w:sz w:val="24"/>
          <w:szCs w:val="21"/>
          <w:highlight w:val="none"/>
        </w:rPr>
        <w:t xml:space="preserve">    我单位</w:t>
      </w:r>
      <w:r>
        <w:rPr>
          <w:rStyle w:val="44"/>
          <w:rFonts w:hint="eastAsia" w:ascii="宋体" w:hAnsi="宋体" w:eastAsia="宋体" w:cs="宋体"/>
          <w:color w:val="auto"/>
          <w:sz w:val="24"/>
          <w:szCs w:val="21"/>
          <w:highlight w:val="none"/>
          <w:u w:val="single" w:color="000000"/>
        </w:rPr>
        <w:t xml:space="preserve">               </w:t>
      </w:r>
      <w:r>
        <w:rPr>
          <w:rStyle w:val="44"/>
          <w:rFonts w:hint="eastAsia" w:ascii="宋体" w:hAnsi="宋体" w:eastAsia="宋体" w:cs="宋体"/>
          <w:color w:val="auto"/>
          <w:sz w:val="24"/>
          <w:szCs w:val="21"/>
          <w:highlight w:val="none"/>
        </w:rPr>
        <w:t>（供应商名称）郑重声明：</w:t>
      </w:r>
    </w:p>
    <w:p w14:paraId="3C37599B">
      <w:pPr>
        <w:snapToGrid w:val="0"/>
        <w:spacing w:line="500" w:lineRule="exact"/>
        <w:rPr>
          <w:rStyle w:val="44"/>
          <w:rFonts w:hint="eastAsia" w:ascii="宋体" w:hAnsi="宋体" w:eastAsia="宋体" w:cs="宋体"/>
          <w:color w:val="auto"/>
          <w:sz w:val="24"/>
          <w:szCs w:val="21"/>
          <w:highlight w:val="none"/>
        </w:rPr>
      </w:pPr>
      <w:r>
        <w:rPr>
          <w:rStyle w:val="44"/>
          <w:rFonts w:hint="eastAsia" w:ascii="宋体" w:hAnsi="宋体" w:eastAsia="宋体" w:cs="宋体"/>
          <w:color w:val="auto"/>
          <w:sz w:val="24"/>
          <w:szCs w:val="21"/>
          <w:highlight w:val="none"/>
        </w:rPr>
        <w:t xml:space="preserve">    参加采购活动前3年内在经营活动中</w:t>
      </w:r>
      <w:r>
        <w:rPr>
          <w:rStyle w:val="44"/>
          <w:rFonts w:hint="eastAsia" w:ascii="宋体" w:hAnsi="宋体" w:eastAsia="宋体" w:cs="宋体"/>
          <w:color w:val="auto"/>
          <w:sz w:val="24"/>
          <w:szCs w:val="21"/>
          <w:highlight w:val="none"/>
          <w:u w:val="single" w:color="000000"/>
        </w:rPr>
        <w:t xml:space="preserve">             </w:t>
      </w:r>
      <w:r>
        <w:rPr>
          <w:rStyle w:val="44"/>
          <w:rFonts w:hint="eastAsia" w:ascii="宋体" w:hAnsi="宋体" w:eastAsia="宋体" w:cs="宋体"/>
          <w:color w:val="auto"/>
          <w:sz w:val="24"/>
          <w:szCs w:val="21"/>
          <w:highlight w:val="none"/>
        </w:rPr>
        <w:t>（在下划线上如实填写：</w:t>
      </w:r>
      <w:r>
        <w:rPr>
          <w:rStyle w:val="44"/>
          <w:rFonts w:hint="eastAsia" w:ascii="宋体" w:hAnsi="宋体" w:eastAsia="宋体" w:cs="宋体"/>
          <w:color w:val="auto"/>
          <w:sz w:val="24"/>
          <w:szCs w:val="21"/>
          <w:highlight w:val="none"/>
          <w:u w:val="single" w:color="000000"/>
        </w:rPr>
        <w:t>有或没有</w:t>
      </w:r>
      <w:r>
        <w:rPr>
          <w:rStyle w:val="44"/>
          <w:rFonts w:hint="eastAsia" w:ascii="宋体" w:hAnsi="宋体" w:eastAsia="宋体" w:cs="宋体"/>
          <w:color w:val="auto"/>
          <w:sz w:val="24"/>
          <w:szCs w:val="21"/>
          <w:highlight w:val="none"/>
        </w:rPr>
        <w:t>）重大违法记录。</w:t>
      </w:r>
    </w:p>
    <w:p w14:paraId="4C21E72C">
      <w:pPr>
        <w:snapToGrid w:val="0"/>
        <w:spacing w:line="500" w:lineRule="exact"/>
        <w:ind w:firstLine="480"/>
        <w:rPr>
          <w:rStyle w:val="44"/>
          <w:rFonts w:hint="eastAsia" w:ascii="宋体" w:hAnsi="宋体" w:eastAsia="宋体" w:cs="宋体"/>
          <w:color w:val="auto"/>
          <w:sz w:val="24"/>
          <w:szCs w:val="21"/>
          <w:highlight w:val="none"/>
        </w:rPr>
      </w:pPr>
      <w:r>
        <w:rPr>
          <w:rStyle w:val="44"/>
          <w:rFonts w:hint="eastAsia" w:ascii="宋体" w:hAnsi="宋体" w:eastAsia="宋体" w:cs="宋体"/>
          <w:color w:val="auto"/>
          <w:sz w:val="24"/>
          <w:szCs w:val="21"/>
          <w:highlight w:val="none"/>
        </w:rPr>
        <w:t>（说明：重大违法记录，是指供应商因违法经营受到刑事处罚或者责令停产停业、吊销许可证或者执照、较大数额罚款等行政处罚。）</w:t>
      </w:r>
    </w:p>
    <w:p w14:paraId="7DF7A0D0">
      <w:pPr>
        <w:snapToGrid w:val="0"/>
        <w:spacing w:line="500" w:lineRule="exact"/>
        <w:rPr>
          <w:rStyle w:val="44"/>
          <w:rFonts w:hint="eastAsia" w:ascii="宋体" w:hAnsi="宋体" w:eastAsia="宋体" w:cs="宋体"/>
          <w:color w:val="auto"/>
          <w:sz w:val="24"/>
          <w:szCs w:val="21"/>
          <w:highlight w:val="none"/>
        </w:rPr>
      </w:pPr>
      <w:r>
        <w:rPr>
          <w:rStyle w:val="44"/>
          <w:rFonts w:hint="eastAsia" w:ascii="宋体" w:hAnsi="宋体" w:eastAsia="宋体" w:cs="宋体"/>
          <w:color w:val="auto"/>
          <w:sz w:val="24"/>
          <w:szCs w:val="21"/>
          <w:highlight w:val="none"/>
        </w:rPr>
        <w:t xml:space="preserve">                                                        声明人：（公章）</w:t>
      </w:r>
    </w:p>
    <w:p w14:paraId="6771B549">
      <w:pPr>
        <w:snapToGrid w:val="0"/>
        <w:spacing w:line="500" w:lineRule="exact"/>
        <w:jc w:val="center"/>
        <w:rPr>
          <w:rStyle w:val="44"/>
          <w:rFonts w:hint="eastAsia" w:ascii="宋体" w:hAnsi="宋体" w:eastAsia="宋体" w:cs="宋体"/>
          <w:color w:val="auto"/>
          <w:sz w:val="24"/>
          <w:szCs w:val="21"/>
          <w:highlight w:val="none"/>
        </w:rPr>
      </w:pPr>
      <w:r>
        <w:rPr>
          <w:rStyle w:val="44"/>
          <w:rFonts w:hint="eastAsia" w:ascii="宋体" w:hAnsi="宋体" w:eastAsia="宋体" w:cs="宋体"/>
          <w:color w:val="auto"/>
          <w:sz w:val="24"/>
          <w:szCs w:val="21"/>
          <w:highlight w:val="none"/>
        </w:rPr>
        <w:t xml:space="preserve">                                                  年     月    日</w:t>
      </w:r>
    </w:p>
    <w:p w14:paraId="6D258413">
      <w:pPr>
        <w:snapToGrid w:val="0"/>
        <w:spacing w:line="500" w:lineRule="exact"/>
        <w:rPr>
          <w:rStyle w:val="44"/>
          <w:rFonts w:hint="eastAsia" w:ascii="宋体" w:hAnsi="宋体" w:eastAsia="宋体" w:cs="宋体"/>
          <w:color w:val="auto"/>
          <w:sz w:val="24"/>
          <w:szCs w:val="21"/>
          <w:highlight w:val="none"/>
        </w:rPr>
      </w:pPr>
    </w:p>
    <w:p w14:paraId="013D283E">
      <w:pPr>
        <w:snapToGrid w:val="0"/>
        <w:spacing w:line="500" w:lineRule="exact"/>
        <w:jc w:val="center"/>
        <w:rPr>
          <w:rStyle w:val="44"/>
          <w:rFonts w:hint="eastAsia" w:ascii="宋体" w:hAnsi="宋体" w:eastAsia="宋体" w:cs="宋体"/>
          <w:b/>
          <w:bCs/>
          <w:color w:val="auto"/>
          <w:sz w:val="24"/>
          <w:szCs w:val="21"/>
          <w:highlight w:val="none"/>
        </w:rPr>
      </w:pPr>
    </w:p>
    <w:p w14:paraId="75567234">
      <w:pPr>
        <w:snapToGrid w:val="0"/>
        <w:spacing w:line="500" w:lineRule="exact"/>
        <w:jc w:val="center"/>
        <w:rPr>
          <w:rStyle w:val="44"/>
          <w:rFonts w:hint="eastAsia" w:ascii="宋体" w:hAnsi="宋体" w:eastAsia="宋体" w:cs="宋体"/>
          <w:b/>
          <w:bCs/>
          <w:color w:val="auto"/>
          <w:sz w:val="24"/>
          <w:szCs w:val="21"/>
          <w:highlight w:val="none"/>
        </w:rPr>
      </w:pPr>
    </w:p>
    <w:p w14:paraId="266F0B64">
      <w:pPr>
        <w:snapToGrid w:val="0"/>
        <w:spacing w:line="500" w:lineRule="exact"/>
        <w:jc w:val="center"/>
        <w:rPr>
          <w:rStyle w:val="44"/>
          <w:rFonts w:hint="eastAsia" w:ascii="宋体" w:hAnsi="宋体" w:eastAsia="宋体" w:cs="宋体"/>
          <w:b/>
          <w:bCs/>
          <w:color w:val="auto"/>
          <w:sz w:val="24"/>
          <w:szCs w:val="21"/>
          <w:highlight w:val="none"/>
        </w:rPr>
      </w:pPr>
    </w:p>
    <w:p w14:paraId="48CB5066">
      <w:pPr>
        <w:snapToGrid w:val="0"/>
        <w:spacing w:line="500" w:lineRule="exact"/>
        <w:jc w:val="center"/>
        <w:rPr>
          <w:rStyle w:val="44"/>
          <w:rFonts w:hint="eastAsia" w:ascii="宋体" w:hAnsi="宋体" w:eastAsia="宋体" w:cs="宋体"/>
          <w:b/>
          <w:bCs/>
          <w:color w:val="auto"/>
          <w:sz w:val="24"/>
          <w:szCs w:val="21"/>
          <w:highlight w:val="none"/>
        </w:rPr>
      </w:pPr>
      <w:r>
        <w:rPr>
          <w:rStyle w:val="44"/>
          <w:rFonts w:hint="eastAsia" w:ascii="宋体" w:hAnsi="宋体" w:eastAsia="宋体" w:cs="宋体"/>
          <w:b/>
          <w:bCs/>
          <w:color w:val="auto"/>
          <w:sz w:val="24"/>
          <w:szCs w:val="21"/>
          <w:highlight w:val="none"/>
        </w:rPr>
        <w:br w:type="textWrapping"/>
      </w:r>
    </w:p>
    <w:p w14:paraId="7724B32F">
      <w:pPr>
        <w:snapToGrid w:val="0"/>
        <w:spacing w:line="500" w:lineRule="exact"/>
        <w:jc w:val="center"/>
        <w:rPr>
          <w:rStyle w:val="44"/>
          <w:rFonts w:hint="eastAsia" w:ascii="宋体" w:hAnsi="宋体" w:eastAsia="宋体" w:cs="宋体"/>
          <w:color w:val="auto"/>
          <w:sz w:val="24"/>
          <w:szCs w:val="21"/>
          <w:highlight w:val="none"/>
        </w:rPr>
      </w:pPr>
      <w:r>
        <w:rPr>
          <w:rStyle w:val="44"/>
          <w:rFonts w:hint="eastAsia" w:ascii="宋体" w:hAnsi="宋体" w:eastAsia="宋体" w:cs="宋体"/>
          <w:b/>
          <w:bCs/>
          <w:color w:val="auto"/>
          <w:sz w:val="24"/>
          <w:szCs w:val="21"/>
          <w:highlight w:val="none"/>
        </w:rPr>
        <w:br w:type="page"/>
      </w:r>
      <w:r>
        <w:rPr>
          <w:rStyle w:val="44"/>
          <w:rFonts w:hint="eastAsia" w:ascii="宋体" w:hAnsi="宋体" w:eastAsia="宋体" w:cs="宋体"/>
          <w:b/>
          <w:bCs/>
          <w:color w:val="auto"/>
          <w:sz w:val="24"/>
          <w:szCs w:val="24"/>
          <w:highlight w:val="none"/>
        </w:rPr>
        <w:t>4.</w:t>
      </w:r>
      <w:r>
        <w:rPr>
          <w:rStyle w:val="44"/>
          <w:rFonts w:hint="eastAsia" w:ascii="宋体" w:hAnsi="宋体" w:eastAsia="宋体" w:cs="宋体"/>
          <w:b/>
          <w:bCs/>
          <w:color w:val="auto"/>
          <w:sz w:val="24"/>
          <w:szCs w:val="21"/>
          <w:highlight w:val="none"/>
        </w:rPr>
        <w:t>关于资格文件的声明函</w:t>
      </w:r>
    </w:p>
    <w:p w14:paraId="0EA79565">
      <w:pPr>
        <w:snapToGrid w:val="0"/>
        <w:spacing w:line="500" w:lineRule="exact"/>
        <w:ind w:firstLine="420"/>
        <w:jc w:val="center"/>
        <w:rPr>
          <w:rStyle w:val="44"/>
          <w:rFonts w:hint="eastAsia" w:ascii="宋体" w:hAnsi="宋体" w:eastAsia="宋体" w:cs="宋体"/>
          <w:color w:val="auto"/>
          <w:sz w:val="24"/>
          <w:szCs w:val="21"/>
          <w:highlight w:val="none"/>
        </w:rPr>
      </w:pPr>
    </w:p>
    <w:p w14:paraId="0654ABDE">
      <w:pPr>
        <w:snapToGrid w:val="0"/>
        <w:spacing w:line="500" w:lineRule="exact"/>
        <w:jc w:val="left"/>
        <w:rPr>
          <w:rStyle w:val="44"/>
          <w:rFonts w:hint="eastAsia" w:ascii="宋体" w:hAnsi="宋体" w:eastAsia="宋体" w:cs="宋体"/>
          <w:color w:val="auto"/>
          <w:sz w:val="24"/>
          <w:szCs w:val="21"/>
          <w:highlight w:val="none"/>
          <w:u w:val="single"/>
        </w:rPr>
      </w:pPr>
      <w:r>
        <w:rPr>
          <w:rStyle w:val="44"/>
          <w:rFonts w:hint="eastAsia" w:ascii="宋体" w:hAnsi="宋体" w:eastAsia="宋体" w:cs="宋体"/>
          <w:color w:val="auto"/>
          <w:sz w:val="24"/>
          <w:szCs w:val="21"/>
          <w:highlight w:val="none"/>
          <w:u w:val="single" w:color="000000"/>
        </w:rPr>
        <w:t>江苏省南通市北高新技术产业开发区管理委员会：</w:t>
      </w:r>
    </w:p>
    <w:p w14:paraId="6EEB4A18">
      <w:pPr>
        <w:snapToGrid w:val="0"/>
        <w:spacing w:line="500" w:lineRule="exact"/>
        <w:ind w:firstLine="660"/>
        <w:jc w:val="left"/>
        <w:rPr>
          <w:rStyle w:val="44"/>
          <w:rFonts w:hint="eastAsia" w:ascii="宋体" w:hAnsi="宋体" w:eastAsia="宋体" w:cs="宋体"/>
          <w:color w:val="auto"/>
          <w:sz w:val="24"/>
          <w:szCs w:val="21"/>
          <w:highlight w:val="none"/>
        </w:rPr>
      </w:pPr>
      <w:r>
        <w:rPr>
          <w:rStyle w:val="44"/>
          <w:rFonts w:hint="eastAsia" w:ascii="宋体" w:hAnsi="宋体" w:eastAsia="宋体" w:cs="宋体"/>
          <w:color w:val="auto"/>
          <w:sz w:val="24"/>
          <w:szCs w:val="21"/>
          <w:highlight w:val="none"/>
        </w:rPr>
        <w:t>本公司愿就由贵单位组织实施的</w:t>
      </w:r>
      <w:r>
        <w:rPr>
          <w:rStyle w:val="44"/>
          <w:rFonts w:hint="eastAsia" w:ascii="宋体" w:hAnsi="宋体" w:eastAsia="宋体" w:cs="宋体"/>
          <w:color w:val="auto"/>
          <w:sz w:val="24"/>
          <w:szCs w:val="21"/>
          <w:highlight w:val="none"/>
          <w:u w:val="single" w:color="000000"/>
        </w:rPr>
        <w:t xml:space="preserve">            </w:t>
      </w:r>
      <w:r>
        <w:rPr>
          <w:rStyle w:val="44"/>
          <w:rFonts w:hint="eastAsia" w:ascii="宋体" w:hAnsi="宋体" w:eastAsia="宋体" w:cs="宋体"/>
          <w:color w:val="auto"/>
          <w:sz w:val="24"/>
          <w:szCs w:val="21"/>
          <w:highlight w:val="none"/>
        </w:rPr>
        <w:t>（招标项目名称)招标活动进行投标。</w:t>
      </w:r>
    </w:p>
    <w:p w14:paraId="6295A47B">
      <w:pPr>
        <w:snapToGrid w:val="0"/>
        <w:spacing w:line="500" w:lineRule="exact"/>
        <w:ind w:firstLine="660"/>
        <w:jc w:val="left"/>
        <w:rPr>
          <w:rStyle w:val="44"/>
          <w:rFonts w:hint="eastAsia" w:ascii="宋体" w:hAnsi="宋体" w:eastAsia="宋体" w:cs="宋体"/>
          <w:color w:val="auto"/>
          <w:sz w:val="24"/>
          <w:szCs w:val="21"/>
          <w:highlight w:val="none"/>
        </w:rPr>
      </w:pPr>
      <w:r>
        <w:rPr>
          <w:rStyle w:val="44"/>
          <w:rFonts w:hint="eastAsia" w:ascii="宋体" w:hAnsi="宋体" w:eastAsia="宋体" w:cs="宋体"/>
          <w:color w:val="auto"/>
          <w:sz w:val="24"/>
          <w:szCs w:val="21"/>
          <w:highlight w:val="none"/>
        </w:rPr>
        <w:t>本公司具有独立承担民事责任的能力；具有良好的商业信誉和健全的财务会计制度；具有履行合同所必需的设备和专业技术能力；有依法缴纳税收和社会保障资金的良好记录；参加采购活动前三年内，在经营活动中没有重大违法记录</w:t>
      </w:r>
    </w:p>
    <w:p w14:paraId="7822A9D8">
      <w:pPr>
        <w:snapToGrid w:val="0"/>
        <w:spacing w:line="500" w:lineRule="exact"/>
        <w:ind w:firstLine="480" w:firstLineChars="200"/>
        <w:jc w:val="left"/>
        <w:rPr>
          <w:rStyle w:val="44"/>
          <w:rFonts w:hint="eastAsia" w:ascii="宋体" w:hAnsi="宋体" w:eastAsia="宋体" w:cs="宋体"/>
          <w:color w:val="auto"/>
          <w:sz w:val="24"/>
          <w:szCs w:val="21"/>
          <w:highlight w:val="none"/>
        </w:rPr>
      </w:pPr>
      <w:r>
        <w:rPr>
          <w:rStyle w:val="44"/>
          <w:rFonts w:hint="eastAsia" w:ascii="宋体" w:hAnsi="宋体" w:eastAsia="宋体" w:cs="宋体"/>
          <w:color w:val="auto"/>
          <w:sz w:val="24"/>
          <w:szCs w:val="21"/>
          <w:highlight w:val="none"/>
        </w:rPr>
        <w:t>本公司所提交的投标文件中所有关于投标资格的文件、证明和陈述均是真实的、准确的。若与真实情况不符，本公司愿意承担由此而产生的一切后果。</w:t>
      </w:r>
    </w:p>
    <w:p w14:paraId="66B738AC">
      <w:pPr>
        <w:snapToGrid w:val="0"/>
        <w:spacing w:line="500" w:lineRule="exact"/>
        <w:ind w:firstLine="420"/>
        <w:jc w:val="left"/>
        <w:rPr>
          <w:rStyle w:val="44"/>
          <w:rFonts w:hint="eastAsia" w:ascii="宋体" w:hAnsi="宋体" w:eastAsia="宋体" w:cs="宋体"/>
          <w:color w:val="auto"/>
          <w:sz w:val="24"/>
          <w:szCs w:val="21"/>
          <w:highlight w:val="none"/>
        </w:rPr>
      </w:pPr>
    </w:p>
    <w:p w14:paraId="706A0CEA">
      <w:pPr>
        <w:snapToGrid w:val="0"/>
        <w:spacing w:line="500" w:lineRule="exact"/>
        <w:ind w:firstLine="420"/>
        <w:jc w:val="left"/>
        <w:rPr>
          <w:rStyle w:val="44"/>
          <w:rFonts w:hint="eastAsia" w:ascii="宋体" w:hAnsi="宋体" w:eastAsia="宋体" w:cs="宋体"/>
          <w:color w:val="auto"/>
          <w:sz w:val="24"/>
          <w:szCs w:val="21"/>
          <w:highlight w:val="none"/>
        </w:rPr>
      </w:pPr>
    </w:p>
    <w:p w14:paraId="55714ECB">
      <w:pPr>
        <w:snapToGrid w:val="0"/>
        <w:spacing w:line="500" w:lineRule="exact"/>
        <w:ind w:firstLine="420"/>
        <w:jc w:val="left"/>
        <w:rPr>
          <w:rStyle w:val="44"/>
          <w:rFonts w:hint="eastAsia" w:ascii="宋体" w:hAnsi="宋体" w:eastAsia="宋体" w:cs="宋体"/>
          <w:color w:val="auto"/>
          <w:sz w:val="24"/>
          <w:szCs w:val="21"/>
          <w:highlight w:val="none"/>
        </w:rPr>
      </w:pPr>
      <w:r>
        <w:rPr>
          <w:rStyle w:val="44"/>
          <w:rFonts w:hint="eastAsia" w:ascii="宋体" w:hAnsi="宋体" w:eastAsia="宋体" w:cs="宋体"/>
          <w:color w:val="auto"/>
          <w:sz w:val="24"/>
          <w:szCs w:val="21"/>
          <w:highlight w:val="none"/>
        </w:rPr>
        <w:t xml:space="preserve"> </w:t>
      </w:r>
      <w:r>
        <w:rPr>
          <w:rStyle w:val="44"/>
          <w:rFonts w:hint="eastAsia" w:ascii="宋体" w:hAnsi="宋体" w:eastAsia="宋体" w:cs="宋体"/>
          <w:color w:val="auto"/>
          <w:sz w:val="24"/>
          <w:szCs w:val="21"/>
          <w:highlight w:val="none"/>
        </w:rPr>
        <w:tab/>
      </w:r>
      <w:r>
        <w:rPr>
          <w:rStyle w:val="44"/>
          <w:rFonts w:hint="eastAsia" w:ascii="宋体" w:hAnsi="宋体" w:eastAsia="宋体" w:cs="宋体"/>
          <w:color w:val="auto"/>
          <w:sz w:val="24"/>
          <w:szCs w:val="21"/>
          <w:highlight w:val="none"/>
        </w:rPr>
        <w:tab/>
      </w:r>
      <w:r>
        <w:rPr>
          <w:rStyle w:val="44"/>
          <w:rFonts w:hint="eastAsia" w:ascii="宋体" w:hAnsi="宋体" w:eastAsia="宋体" w:cs="宋体"/>
          <w:color w:val="auto"/>
          <w:sz w:val="24"/>
          <w:szCs w:val="21"/>
          <w:highlight w:val="none"/>
        </w:rPr>
        <w:tab/>
      </w:r>
      <w:r>
        <w:rPr>
          <w:rStyle w:val="44"/>
          <w:rFonts w:hint="eastAsia" w:ascii="宋体" w:hAnsi="宋体" w:eastAsia="宋体" w:cs="宋体"/>
          <w:color w:val="auto"/>
          <w:sz w:val="24"/>
          <w:szCs w:val="21"/>
          <w:highlight w:val="none"/>
        </w:rPr>
        <w:tab/>
      </w:r>
      <w:r>
        <w:rPr>
          <w:rStyle w:val="44"/>
          <w:rFonts w:hint="eastAsia" w:ascii="宋体" w:hAnsi="宋体" w:eastAsia="宋体" w:cs="宋体"/>
          <w:color w:val="auto"/>
          <w:sz w:val="24"/>
          <w:szCs w:val="21"/>
          <w:highlight w:val="none"/>
        </w:rPr>
        <w:t xml:space="preserve">               （投标供应商）法定代表人（签字或盖章）：</w:t>
      </w:r>
    </w:p>
    <w:p w14:paraId="5172444C">
      <w:pPr>
        <w:snapToGrid w:val="0"/>
        <w:spacing w:line="500" w:lineRule="exact"/>
        <w:ind w:left="1700" w:firstLine="425"/>
        <w:jc w:val="left"/>
        <w:rPr>
          <w:rStyle w:val="44"/>
          <w:rFonts w:hint="eastAsia" w:ascii="宋体" w:hAnsi="宋体" w:eastAsia="宋体" w:cs="宋体"/>
          <w:color w:val="auto"/>
          <w:sz w:val="24"/>
          <w:szCs w:val="21"/>
          <w:highlight w:val="none"/>
        </w:rPr>
      </w:pPr>
      <w:r>
        <w:rPr>
          <w:rStyle w:val="44"/>
          <w:rFonts w:hint="eastAsia" w:ascii="宋体" w:hAnsi="宋体" w:eastAsia="宋体" w:cs="宋体"/>
          <w:color w:val="auto"/>
          <w:sz w:val="24"/>
          <w:szCs w:val="21"/>
          <w:highlight w:val="none"/>
        </w:rPr>
        <w:t xml:space="preserve">                                 （投标供应商）公章：</w:t>
      </w:r>
    </w:p>
    <w:p w14:paraId="4B501EB4">
      <w:pPr>
        <w:snapToGrid w:val="0"/>
        <w:spacing w:line="500" w:lineRule="exact"/>
        <w:ind w:firstLine="420"/>
        <w:jc w:val="left"/>
        <w:rPr>
          <w:rStyle w:val="44"/>
          <w:rFonts w:hint="eastAsia" w:ascii="宋体" w:hAnsi="宋体" w:eastAsia="宋体" w:cs="宋体"/>
          <w:color w:val="auto"/>
          <w:sz w:val="24"/>
          <w:szCs w:val="21"/>
          <w:highlight w:val="none"/>
        </w:rPr>
      </w:pPr>
      <w:r>
        <w:rPr>
          <w:rStyle w:val="44"/>
          <w:rFonts w:hint="eastAsia" w:ascii="宋体" w:hAnsi="宋体" w:eastAsia="宋体" w:cs="宋体"/>
          <w:color w:val="auto"/>
          <w:sz w:val="24"/>
          <w:szCs w:val="21"/>
          <w:highlight w:val="none"/>
        </w:rPr>
        <w:t xml:space="preserve">                                               年</w:t>
      </w:r>
      <w:r>
        <w:rPr>
          <w:rStyle w:val="44"/>
          <w:rFonts w:hint="eastAsia" w:ascii="宋体" w:hAnsi="宋体" w:eastAsia="宋体" w:cs="宋体"/>
          <w:color w:val="auto"/>
          <w:sz w:val="24"/>
          <w:szCs w:val="21"/>
          <w:highlight w:val="none"/>
        </w:rPr>
        <w:tab/>
      </w:r>
      <w:r>
        <w:rPr>
          <w:rStyle w:val="44"/>
          <w:rFonts w:hint="eastAsia" w:ascii="宋体" w:hAnsi="宋体" w:eastAsia="宋体" w:cs="宋体"/>
          <w:color w:val="auto"/>
          <w:sz w:val="24"/>
          <w:szCs w:val="21"/>
          <w:highlight w:val="none"/>
        </w:rPr>
        <w:t xml:space="preserve">   月 </w:t>
      </w:r>
      <w:r>
        <w:rPr>
          <w:rStyle w:val="44"/>
          <w:rFonts w:hint="eastAsia" w:ascii="宋体" w:hAnsi="宋体" w:eastAsia="宋体" w:cs="宋体"/>
          <w:color w:val="auto"/>
          <w:sz w:val="24"/>
          <w:szCs w:val="21"/>
          <w:highlight w:val="none"/>
        </w:rPr>
        <w:tab/>
      </w:r>
      <w:r>
        <w:rPr>
          <w:rStyle w:val="44"/>
          <w:rFonts w:hint="eastAsia" w:ascii="宋体" w:hAnsi="宋体" w:eastAsia="宋体" w:cs="宋体"/>
          <w:color w:val="auto"/>
          <w:sz w:val="24"/>
          <w:szCs w:val="21"/>
          <w:highlight w:val="none"/>
        </w:rPr>
        <w:t xml:space="preserve">  日</w:t>
      </w:r>
    </w:p>
    <w:p w14:paraId="755B3EEA">
      <w:pPr>
        <w:snapToGrid w:val="0"/>
        <w:spacing w:line="440" w:lineRule="exact"/>
        <w:rPr>
          <w:rStyle w:val="44"/>
          <w:rFonts w:hint="eastAsia" w:ascii="宋体" w:hAnsi="宋体" w:eastAsia="宋体" w:cs="宋体"/>
          <w:b/>
          <w:bCs/>
          <w:color w:val="auto"/>
          <w:sz w:val="24"/>
          <w:szCs w:val="21"/>
          <w:highlight w:val="none"/>
        </w:rPr>
      </w:pPr>
      <w:r>
        <w:rPr>
          <w:rStyle w:val="44"/>
          <w:rFonts w:hint="eastAsia" w:ascii="宋体" w:hAnsi="宋体" w:eastAsia="宋体" w:cs="宋体"/>
          <w:b/>
          <w:bCs/>
          <w:color w:val="auto"/>
          <w:sz w:val="24"/>
          <w:szCs w:val="21"/>
          <w:highlight w:val="none"/>
        </w:rPr>
        <w:br w:type="textWrapping"/>
      </w:r>
    </w:p>
    <w:p w14:paraId="34F31A76">
      <w:pPr>
        <w:snapToGrid w:val="0"/>
        <w:spacing w:line="440" w:lineRule="exact"/>
        <w:rPr>
          <w:rStyle w:val="44"/>
          <w:rFonts w:hint="eastAsia" w:ascii="宋体" w:hAnsi="宋体" w:eastAsia="宋体" w:cs="宋体"/>
          <w:b/>
          <w:bCs/>
          <w:color w:val="auto"/>
          <w:sz w:val="24"/>
          <w:szCs w:val="21"/>
          <w:highlight w:val="none"/>
        </w:rPr>
      </w:pPr>
      <w:r>
        <w:rPr>
          <w:rStyle w:val="44"/>
          <w:rFonts w:hint="eastAsia" w:ascii="宋体" w:hAnsi="宋体" w:eastAsia="宋体" w:cs="宋体"/>
          <w:b/>
          <w:bCs/>
          <w:color w:val="auto"/>
          <w:sz w:val="24"/>
          <w:szCs w:val="21"/>
          <w:highlight w:val="none"/>
        </w:rPr>
        <w:br w:type="page"/>
      </w:r>
      <w:r>
        <w:rPr>
          <w:rStyle w:val="44"/>
          <w:rFonts w:hint="eastAsia" w:ascii="宋体" w:hAnsi="宋体" w:eastAsia="宋体" w:cs="宋体"/>
          <w:b/>
          <w:bCs/>
          <w:color w:val="auto"/>
          <w:sz w:val="24"/>
          <w:szCs w:val="21"/>
          <w:highlight w:val="none"/>
        </w:rPr>
        <w:t>B商务技术文件（单独密封）</w:t>
      </w:r>
    </w:p>
    <w:p w14:paraId="6553F06E">
      <w:pPr>
        <w:snapToGrid w:val="0"/>
        <w:spacing w:line="440" w:lineRule="exact"/>
        <w:jc w:val="center"/>
        <w:rPr>
          <w:rStyle w:val="44"/>
          <w:rFonts w:hint="eastAsia" w:ascii="宋体" w:hAnsi="宋体" w:eastAsia="宋体" w:cs="宋体"/>
          <w:b/>
          <w:bCs/>
          <w:color w:val="auto"/>
          <w:sz w:val="24"/>
          <w:szCs w:val="21"/>
          <w:highlight w:val="none"/>
        </w:rPr>
      </w:pPr>
    </w:p>
    <w:p w14:paraId="4991A86B">
      <w:pPr>
        <w:snapToGrid w:val="0"/>
        <w:spacing w:line="440" w:lineRule="exact"/>
        <w:jc w:val="center"/>
        <w:rPr>
          <w:rStyle w:val="44"/>
          <w:rFonts w:hint="eastAsia" w:ascii="宋体" w:hAnsi="宋体" w:eastAsia="宋体" w:cs="宋体"/>
          <w:b/>
          <w:bCs/>
          <w:color w:val="auto"/>
          <w:sz w:val="24"/>
          <w:szCs w:val="21"/>
          <w:highlight w:val="none"/>
        </w:rPr>
      </w:pPr>
      <w:r>
        <w:rPr>
          <w:rStyle w:val="44"/>
          <w:rFonts w:hint="eastAsia" w:ascii="宋体" w:hAnsi="宋体" w:eastAsia="宋体" w:cs="宋体"/>
          <w:b/>
          <w:bCs/>
          <w:color w:val="auto"/>
          <w:sz w:val="24"/>
          <w:szCs w:val="21"/>
          <w:highlight w:val="none"/>
        </w:rPr>
        <w:t>1.投标响应函（</w:t>
      </w:r>
      <w:r>
        <w:rPr>
          <w:rStyle w:val="44"/>
          <w:rFonts w:hint="eastAsia" w:ascii="宋体" w:hAnsi="宋体" w:eastAsia="宋体" w:cs="宋体"/>
          <w:b/>
          <w:bCs/>
          <w:color w:val="auto"/>
          <w:sz w:val="24"/>
          <w:szCs w:val="21"/>
          <w:highlight w:val="none"/>
          <w:u w:val="single" w:color="000000"/>
        </w:rPr>
        <w:t>格式不得变动</w:t>
      </w:r>
      <w:r>
        <w:rPr>
          <w:rStyle w:val="44"/>
          <w:rFonts w:hint="eastAsia" w:ascii="宋体" w:hAnsi="宋体" w:eastAsia="宋体" w:cs="宋体"/>
          <w:b/>
          <w:bCs/>
          <w:color w:val="auto"/>
          <w:sz w:val="24"/>
          <w:szCs w:val="21"/>
          <w:highlight w:val="none"/>
        </w:rPr>
        <w:t>）</w:t>
      </w:r>
    </w:p>
    <w:p w14:paraId="7ED5FCC7">
      <w:pPr>
        <w:snapToGrid w:val="0"/>
        <w:spacing w:line="440" w:lineRule="exact"/>
        <w:jc w:val="left"/>
        <w:rPr>
          <w:rStyle w:val="44"/>
          <w:rFonts w:hint="eastAsia" w:ascii="宋体" w:hAnsi="宋体" w:eastAsia="宋体" w:cs="宋体"/>
          <w:color w:val="auto"/>
          <w:sz w:val="24"/>
          <w:szCs w:val="21"/>
          <w:highlight w:val="none"/>
          <w:u w:val="single" w:color="000000"/>
        </w:rPr>
      </w:pPr>
    </w:p>
    <w:p w14:paraId="30C6DC76">
      <w:pPr>
        <w:snapToGrid w:val="0"/>
        <w:spacing w:line="440" w:lineRule="exact"/>
        <w:jc w:val="left"/>
        <w:rPr>
          <w:rStyle w:val="44"/>
          <w:rFonts w:hint="eastAsia" w:ascii="宋体" w:hAnsi="宋体" w:eastAsia="宋体" w:cs="宋体"/>
          <w:color w:val="auto"/>
          <w:sz w:val="24"/>
          <w:szCs w:val="21"/>
          <w:highlight w:val="none"/>
        </w:rPr>
      </w:pPr>
      <w:r>
        <w:rPr>
          <w:rStyle w:val="44"/>
          <w:rFonts w:hint="eastAsia" w:ascii="宋体" w:hAnsi="宋体" w:eastAsia="宋体" w:cs="宋体"/>
          <w:color w:val="auto"/>
          <w:sz w:val="24"/>
          <w:szCs w:val="21"/>
          <w:highlight w:val="none"/>
          <w:u w:val="single" w:color="000000"/>
        </w:rPr>
        <w:t xml:space="preserve">江苏省南通市北高新技术产业开发区管理委员会  </w:t>
      </w:r>
      <w:r>
        <w:rPr>
          <w:rStyle w:val="44"/>
          <w:rFonts w:hint="eastAsia" w:ascii="宋体" w:hAnsi="宋体" w:eastAsia="宋体" w:cs="宋体"/>
          <w:color w:val="auto"/>
          <w:sz w:val="24"/>
          <w:szCs w:val="21"/>
          <w:highlight w:val="none"/>
        </w:rPr>
        <w:t>：</w:t>
      </w:r>
    </w:p>
    <w:p w14:paraId="569BBD51">
      <w:pPr>
        <w:snapToGrid w:val="0"/>
        <w:spacing w:line="440" w:lineRule="exact"/>
        <w:ind w:firstLine="480" w:firstLineChars="200"/>
        <w:rPr>
          <w:rStyle w:val="44"/>
          <w:rFonts w:hint="eastAsia" w:ascii="宋体" w:hAnsi="宋体" w:eastAsia="宋体" w:cs="宋体"/>
          <w:color w:val="auto"/>
          <w:sz w:val="24"/>
          <w:szCs w:val="21"/>
          <w:highlight w:val="none"/>
        </w:rPr>
      </w:pPr>
      <w:r>
        <w:rPr>
          <w:rStyle w:val="44"/>
          <w:rFonts w:hint="eastAsia" w:ascii="宋体" w:hAnsi="宋体" w:eastAsia="宋体" w:cs="宋体"/>
          <w:color w:val="auto"/>
          <w:sz w:val="24"/>
          <w:szCs w:val="21"/>
          <w:highlight w:val="none"/>
        </w:rPr>
        <w:t>依据贵单位</w:t>
      </w:r>
      <w:r>
        <w:rPr>
          <w:rStyle w:val="44"/>
          <w:rFonts w:hint="eastAsia" w:ascii="宋体" w:hAnsi="宋体" w:eastAsia="宋体" w:cs="宋体"/>
          <w:color w:val="auto"/>
          <w:sz w:val="24"/>
          <w:szCs w:val="21"/>
          <w:highlight w:val="none"/>
          <w:u w:val="single" w:color="000000"/>
        </w:rPr>
        <w:t xml:space="preserve">         </w:t>
      </w:r>
      <w:r>
        <w:rPr>
          <w:rStyle w:val="44"/>
          <w:rFonts w:hint="eastAsia" w:ascii="宋体" w:hAnsi="宋体" w:eastAsia="宋体" w:cs="宋体"/>
          <w:color w:val="auto"/>
          <w:sz w:val="24"/>
          <w:szCs w:val="21"/>
          <w:highlight w:val="none"/>
        </w:rPr>
        <w:t>（招标项目名称)项目公开招标采购的邀请，我方授权</w:t>
      </w:r>
      <w:r>
        <w:rPr>
          <w:rStyle w:val="44"/>
          <w:rFonts w:hint="eastAsia" w:ascii="宋体" w:hAnsi="宋体" w:eastAsia="宋体" w:cs="宋体"/>
          <w:color w:val="auto"/>
          <w:sz w:val="24"/>
          <w:szCs w:val="21"/>
          <w:highlight w:val="none"/>
          <w:u w:val="single" w:color="000000"/>
        </w:rPr>
        <w:t xml:space="preserve">       </w:t>
      </w:r>
      <w:r>
        <w:rPr>
          <w:rStyle w:val="44"/>
          <w:rFonts w:hint="eastAsia" w:ascii="宋体" w:hAnsi="宋体" w:eastAsia="宋体" w:cs="宋体"/>
          <w:color w:val="auto"/>
          <w:sz w:val="24"/>
          <w:szCs w:val="21"/>
          <w:highlight w:val="none"/>
        </w:rPr>
        <w:t>（姓名）</w:t>
      </w:r>
      <w:r>
        <w:rPr>
          <w:rStyle w:val="44"/>
          <w:rFonts w:hint="eastAsia" w:ascii="宋体" w:hAnsi="宋体" w:eastAsia="宋体" w:cs="宋体"/>
          <w:color w:val="auto"/>
          <w:sz w:val="24"/>
          <w:szCs w:val="21"/>
          <w:highlight w:val="none"/>
          <w:u w:val="single" w:color="000000"/>
        </w:rPr>
        <w:t xml:space="preserve">      </w:t>
      </w:r>
      <w:r>
        <w:rPr>
          <w:rStyle w:val="44"/>
          <w:rFonts w:hint="eastAsia" w:ascii="宋体" w:hAnsi="宋体" w:eastAsia="宋体" w:cs="宋体"/>
          <w:color w:val="auto"/>
          <w:sz w:val="24"/>
          <w:szCs w:val="21"/>
          <w:highlight w:val="none"/>
        </w:rPr>
        <w:t>（职务）为全权代表参加该项目的投标工作，全权处理本次投标的有关事宜。同时，我公司声明如下：</w:t>
      </w:r>
    </w:p>
    <w:p w14:paraId="025AF7C6">
      <w:pPr>
        <w:snapToGrid w:val="0"/>
        <w:spacing w:line="440" w:lineRule="exact"/>
        <w:ind w:firstLine="480" w:firstLineChars="200"/>
        <w:rPr>
          <w:rStyle w:val="44"/>
          <w:rFonts w:hint="eastAsia" w:ascii="宋体" w:hAnsi="宋体" w:eastAsia="宋体" w:cs="宋体"/>
          <w:color w:val="auto"/>
          <w:sz w:val="24"/>
          <w:szCs w:val="21"/>
          <w:highlight w:val="none"/>
        </w:rPr>
      </w:pPr>
      <w:r>
        <w:rPr>
          <w:rStyle w:val="44"/>
          <w:rFonts w:hint="eastAsia" w:ascii="宋体" w:hAnsi="宋体" w:eastAsia="宋体" w:cs="宋体"/>
          <w:color w:val="auto"/>
          <w:sz w:val="24"/>
          <w:szCs w:val="21"/>
          <w:highlight w:val="none"/>
        </w:rPr>
        <w:t>1.我方愿意按照招标文件的一切要求，提供完成该项目的全部内容，按公开招标文件的要求提供报价。</w:t>
      </w:r>
    </w:p>
    <w:p w14:paraId="6F98868A">
      <w:pPr>
        <w:snapToGrid w:val="0"/>
        <w:spacing w:line="440" w:lineRule="exact"/>
        <w:ind w:firstLine="480" w:firstLineChars="200"/>
        <w:rPr>
          <w:rStyle w:val="44"/>
          <w:rFonts w:hint="eastAsia" w:ascii="宋体" w:hAnsi="宋体" w:eastAsia="宋体" w:cs="宋体"/>
          <w:color w:val="auto"/>
          <w:sz w:val="24"/>
          <w:szCs w:val="21"/>
          <w:highlight w:val="none"/>
        </w:rPr>
      </w:pPr>
      <w:r>
        <w:rPr>
          <w:rStyle w:val="44"/>
          <w:rFonts w:hint="eastAsia" w:ascii="宋体" w:hAnsi="宋体" w:eastAsia="宋体" w:cs="宋体"/>
          <w:color w:val="auto"/>
          <w:sz w:val="24"/>
          <w:szCs w:val="21"/>
          <w:highlight w:val="none"/>
        </w:rPr>
        <w:t>2.我方已经详细审查了全部招标文件，我方已完全清晰理解招标文件的要求，不存在任何含糊不清和误解之处，同意放弃对这些文件所提出的异议和质疑的权利。</w:t>
      </w:r>
    </w:p>
    <w:p w14:paraId="4F1AEE2A">
      <w:pPr>
        <w:snapToGrid w:val="0"/>
        <w:spacing w:line="440" w:lineRule="exact"/>
        <w:ind w:firstLine="480" w:firstLineChars="200"/>
        <w:rPr>
          <w:rStyle w:val="44"/>
          <w:rFonts w:hint="eastAsia" w:ascii="宋体" w:hAnsi="宋体" w:eastAsia="宋体" w:cs="宋体"/>
          <w:color w:val="auto"/>
          <w:sz w:val="24"/>
          <w:szCs w:val="21"/>
          <w:highlight w:val="none"/>
        </w:rPr>
      </w:pPr>
      <w:r>
        <w:rPr>
          <w:rStyle w:val="44"/>
          <w:rFonts w:hint="eastAsia" w:ascii="宋体" w:hAnsi="宋体" w:eastAsia="宋体" w:cs="宋体"/>
          <w:color w:val="auto"/>
          <w:sz w:val="24"/>
          <w:szCs w:val="21"/>
          <w:highlight w:val="none"/>
        </w:rPr>
        <w:t>3.我方愿意提供采购人在招标文件中要求的所有资料。</w:t>
      </w:r>
    </w:p>
    <w:p w14:paraId="3C3F4E5B">
      <w:pPr>
        <w:snapToGrid w:val="0"/>
        <w:spacing w:line="440" w:lineRule="exact"/>
        <w:ind w:firstLine="480" w:firstLineChars="200"/>
        <w:rPr>
          <w:rStyle w:val="44"/>
          <w:rFonts w:hint="eastAsia" w:ascii="宋体" w:hAnsi="宋体" w:eastAsia="宋体" w:cs="宋体"/>
          <w:color w:val="auto"/>
          <w:sz w:val="24"/>
          <w:szCs w:val="21"/>
          <w:highlight w:val="none"/>
        </w:rPr>
      </w:pPr>
      <w:r>
        <w:rPr>
          <w:rStyle w:val="44"/>
          <w:rFonts w:hint="eastAsia" w:ascii="宋体" w:hAnsi="宋体" w:eastAsia="宋体" w:cs="宋体"/>
          <w:color w:val="auto"/>
          <w:sz w:val="24"/>
          <w:szCs w:val="21"/>
          <w:highlight w:val="none"/>
        </w:rPr>
        <w:t>4.我方承诺在本次招标响应中提供的一切文件，无论是原件还是复印件均真实有效，绝无任何虚假、伪造和夸大的成份。否则，愿承担相应的后果和法律责任。</w:t>
      </w:r>
    </w:p>
    <w:p w14:paraId="1A530673">
      <w:pPr>
        <w:snapToGrid w:val="0"/>
        <w:spacing w:line="440" w:lineRule="exact"/>
        <w:ind w:firstLine="480" w:firstLineChars="200"/>
        <w:rPr>
          <w:rStyle w:val="44"/>
          <w:rFonts w:hint="eastAsia" w:ascii="宋体" w:hAnsi="宋体" w:eastAsia="宋体" w:cs="宋体"/>
          <w:color w:val="auto"/>
          <w:sz w:val="24"/>
          <w:szCs w:val="21"/>
          <w:highlight w:val="none"/>
        </w:rPr>
      </w:pPr>
      <w:r>
        <w:rPr>
          <w:rStyle w:val="44"/>
          <w:rFonts w:hint="eastAsia" w:ascii="宋体" w:hAnsi="宋体" w:eastAsia="宋体" w:cs="宋体"/>
          <w:color w:val="auto"/>
          <w:sz w:val="24"/>
          <w:szCs w:val="21"/>
          <w:highlight w:val="none"/>
        </w:rPr>
        <w:t>5.我方尊重评标小组所作的评定结果，同时也清楚理解到投标报价最低并非意味着必定获得中标资格。</w:t>
      </w:r>
    </w:p>
    <w:p w14:paraId="3B6D206A">
      <w:pPr>
        <w:snapToGrid w:val="0"/>
        <w:spacing w:line="440" w:lineRule="exact"/>
        <w:ind w:firstLine="480" w:firstLineChars="200"/>
        <w:rPr>
          <w:rStyle w:val="44"/>
          <w:rFonts w:hint="eastAsia" w:ascii="宋体" w:hAnsi="宋体" w:eastAsia="宋体" w:cs="宋体"/>
          <w:color w:val="auto"/>
          <w:sz w:val="24"/>
          <w:szCs w:val="21"/>
          <w:highlight w:val="none"/>
        </w:rPr>
      </w:pPr>
      <w:r>
        <w:rPr>
          <w:rStyle w:val="44"/>
          <w:rFonts w:hint="eastAsia" w:ascii="宋体" w:hAnsi="宋体" w:eastAsia="宋体" w:cs="宋体"/>
          <w:color w:val="auto"/>
          <w:sz w:val="24"/>
          <w:szCs w:val="21"/>
          <w:highlight w:val="none"/>
        </w:rPr>
        <w:t xml:space="preserve">6.一旦我方中标，我方将根据招标文件的规定，严格履行招标文件中规定的每一项要求，按期、按质、按量履行合同的义务。 </w:t>
      </w:r>
    </w:p>
    <w:p w14:paraId="35A8AEDB">
      <w:pPr>
        <w:snapToGrid w:val="0"/>
        <w:spacing w:line="440" w:lineRule="exact"/>
        <w:ind w:firstLine="2400" w:firstLineChars="1000"/>
        <w:jc w:val="right"/>
        <w:rPr>
          <w:rStyle w:val="44"/>
          <w:rFonts w:hint="eastAsia" w:ascii="宋体" w:hAnsi="宋体" w:eastAsia="宋体" w:cs="宋体"/>
          <w:color w:val="auto"/>
          <w:sz w:val="24"/>
          <w:szCs w:val="21"/>
          <w:highlight w:val="none"/>
        </w:rPr>
      </w:pPr>
    </w:p>
    <w:p w14:paraId="10267A72">
      <w:pPr>
        <w:snapToGrid w:val="0"/>
        <w:spacing w:line="440" w:lineRule="exact"/>
        <w:ind w:firstLine="2400" w:firstLineChars="1000"/>
        <w:jc w:val="center"/>
        <w:rPr>
          <w:rStyle w:val="44"/>
          <w:rFonts w:hint="eastAsia" w:ascii="宋体" w:hAnsi="宋体" w:eastAsia="宋体" w:cs="宋体"/>
          <w:color w:val="auto"/>
          <w:sz w:val="24"/>
          <w:szCs w:val="21"/>
          <w:highlight w:val="none"/>
        </w:rPr>
      </w:pPr>
      <w:r>
        <w:rPr>
          <w:rStyle w:val="44"/>
          <w:rFonts w:hint="eastAsia" w:ascii="宋体" w:hAnsi="宋体" w:eastAsia="宋体" w:cs="宋体"/>
          <w:color w:val="auto"/>
          <w:sz w:val="24"/>
          <w:szCs w:val="21"/>
          <w:highlight w:val="none"/>
        </w:rPr>
        <w:t xml:space="preserve">         投标供应商：</w:t>
      </w:r>
      <w:r>
        <w:rPr>
          <w:rStyle w:val="44"/>
          <w:rFonts w:hint="eastAsia" w:ascii="宋体" w:hAnsi="宋体" w:eastAsia="宋体" w:cs="宋体"/>
          <w:color w:val="auto"/>
          <w:sz w:val="24"/>
          <w:szCs w:val="21"/>
          <w:highlight w:val="none"/>
          <w:u w:val="single" w:color="000000"/>
        </w:rPr>
        <w:t xml:space="preserve">                    </w:t>
      </w:r>
      <w:r>
        <w:rPr>
          <w:rStyle w:val="44"/>
          <w:rFonts w:hint="eastAsia" w:ascii="宋体" w:hAnsi="宋体" w:eastAsia="宋体" w:cs="宋体"/>
          <w:color w:val="auto"/>
          <w:sz w:val="24"/>
          <w:szCs w:val="21"/>
          <w:highlight w:val="none"/>
        </w:rPr>
        <w:t>（加盖公章）</w:t>
      </w:r>
    </w:p>
    <w:p w14:paraId="60154351">
      <w:pPr>
        <w:snapToGrid w:val="0"/>
        <w:spacing w:line="440" w:lineRule="exact"/>
        <w:ind w:firstLine="2400" w:firstLineChars="1000"/>
        <w:jc w:val="right"/>
        <w:rPr>
          <w:rStyle w:val="44"/>
          <w:rFonts w:hint="eastAsia" w:ascii="宋体" w:hAnsi="宋体" w:eastAsia="宋体" w:cs="宋体"/>
          <w:color w:val="auto"/>
          <w:sz w:val="24"/>
          <w:szCs w:val="21"/>
          <w:highlight w:val="none"/>
        </w:rPr>
      </w:pPr>
      <w:r>
        <w:rPr>
          <w:rStyle w:val="44"/>
          <w:rFonts w:hint="eastAsia" w:ascii="宋体" w:hAnsi="宋体" w:eastAsia="宋体" w:cs="宋体"/>
          <w:color w:val="auto"/>
          <w:sz w:val="24"/>
          <w:szCs w:val="21"/>
          <w:highlight w:val="none"/>
        </w:rPr>
        <w:t>法定代表人或被授权人：</w:t>
      </w:r>
      <w:r>
        <w:rPr>
          <w:rStyle w:val="44"/>
          <w:rFonts w:hint="eastAsia" w:ascii="宋体" w:hAnsi="宋体" w:eastAsia="宋体" w:cs="宋体"/>
          <w:color w:val="auto"/>
          <w:sz w:val="24"/>
          <w:szCs w:val="21"/>
          <w:highlight w:val="none"/>
          <w:u w:val="single" w:color="000000"/>
        </w:rPr>
        <w:t xml:space="preserve">         </w:t>
      </w:r>
      <w:r>
        <w:rPr>
          <w:rStyle w:val="44"/>
          <w:rFonts w:hint="eastAsia" w:ascii="宋体" w:hAnsi="宋体" w:eastAsia="宋体" w:cs="宋体"/>
          <w:color w:val="auto"/>
          <w:sz w:val="24"/>
          <w:szCs w:val="21"/>
          <w:highlight w:val="none"/>
        </w:rPr>
        <w:t>（签字或盖章）</w:t>
      </w:r>
    </w:p>
    <w:p w14:paraId="0B4937C2">
      <w:pPr>
        <w:snapToGrid w:val="0"/>
        <w:spacing w:line="440" w:lineRule="exact"/>
        <w:jc w:val="right"/>
        <w:rPr>
          <w:rStyle w:val="44"/>
          <w:rFonts w:hint="eastAsia" w:ascii="宋体" w:hAnsi="宋体" w:eastAsia="宋体" w:cs="宋体"/>
          <w:b/>
          <w:bCs/>
          <w:color w:val="auto"/>
          <w:sz w:val="24"/>
          <w:szCs w:val="21"/>
          <w:highlight w:val="none"/>
        </w:rPr>
      </w:pPr>
      <w:r>
        <w:rPr>
          <w:rStyle w:val="44"/>
          <w:rFonts w:hint="eastAsia" w:ascii="宋体" w:hAnsi="宋体" w:eastAsia="宋体" w:cs="宋体"/>
          <w:color w:val="auto"/>
          <w:sz w:val="24"/>
          <w:szCs w:val="21"/>
          <w:highlight w:val="none"/>
        </w:rPr>
        <w:t>年      月     日</w:t>
      </w:r>
    </w:p>
    <w:p w14:paraId="21945962">
      <w:pPr>
        <w:snapToGrid w:val="0"/>
        <w:spacing w:after="120" w:line="440" w:lineRule="exact"/>
        <w:jc w:val="center"/>
        <w:rPr>
          <w:rStyle w:val="44"/>
          <w:rFonts w:hint="eastAsia" w:ascii="宋体" w:hAnsi="宋体" w:eastAsia="宋体" w:cs="宋体"/>
          <w:color w:val="auto"/>
          <w:sz w:val="24"/>
          <w:szCs w:val="21"/>
          <w:highlight w:val="none"/>
        </w:rPr>
      </w:pPr>
    </w:p>
    <w:p w14:paraId="6560EE25">
      <w:pPr>
        <w:snapToGrid w:val="0"/>
        <w:spacing w:line="700" w:lineRule="exact"/>
        <w:jc w:val="left"/>
        <w:rPr>
          <w:rStyle w:val="44"/>
          <w:rFonts w:hint="eastAsia" w:ascii="宋体" w:hAnsi="宋体" w:eastAsia="宋体" w:cs="宋体"/>
          <w:b/>
          <w:bCs/>
          <w:color w:val="auto"/>
          <w:sz w:val="24"/>
          <w:szCs w:val="21"/>
          <w:highlight w:val="none"/>
        </w:rPr>
      </w:pPr>
      <w:r>
        <w:rPr>
          <w:rStyle w:val="44"/>
          <w:rFonts w:hint="eastAsia" w:ascii="宋体" w:hAnsi="宋体" w:eastAsia="宋体" w:cs="宋体"/>
          <w:b/>
          <w:bCs/>
          <w:color w:val="auto"/>
          <w:sz w:val="24"/>
          <w:szCs w:val="21"/>
          <w:highlight w:val="none"/>
        </w:rPr>
        <w:br w:type="page"/>
      </w:r>
    </w:p>
    <w:p w14:paraId="093B55C9">
      <w:pPr>
        <w:snapToGrid w:val="0"/>
        <w:spacing w:line="700" w:lineRule="exact"/>
        <w:jc w:val="left"/>
        <w:rPr>
          <w:rStyle w:val="44"/>
          <w:rFonts w:hint="eastAsia" w:ascii="宋体" w:hAnsi="宋体" w:eastAsia="宋体" w:cs="宋体"/>
          <w:b/>
          <w:bCs/>
          <w:color w:val="auto"/>
          <w:sz w:val="24"/>
          <w:szCs w:val="21"/>
          <w:highlight w:val="none"/>
        </w:rPr>
      </w:pPr>
      <w:r>
        <w:rPr>
          <w:rStyle w:val="44"/>
          <w:rFonts w:hint="eastAsia" w:ascii="宋体" w:hAnsi="宋体" w:eastAsia="宋体" w:cs="宋体"/>
          <w:b/>
          <w:bCs/>
          <w:color w:val="auto"/>
          <w:sz w:val="24"/>
          <w:szCs w:val="21"/>
          <w:highlight w:val="none"/>
        </w:rPr>
        <w:t>C报价文件（单独密封）</w:t>
      </w:r>
    </w:p>
    <w:p w14:paraId="63489069">
      <w:pPr>
        <w:snapToGrid w:val="0"/>
        <w:spacing w:line="500" w:lineRule="exact"/>
        <w:rPr>
          <w:rStyle w:val="44"/>
          <w:rFonts w:hint="eastAsia" w:ascii="宋体" w:hAnsi="宋体" w:eastAsia="宋体" w:cs="宋体"/>
          <w:b/>
          <w:bCs/>
          <w:color w:val="auto"/>
          <w:sz w:val="24"/>
          <w:szCs w:val="21"/>
          <w:highlight w:val="none"/>
        </w:rPr>
      </w:pPr>
    </w:p>
    <w:p w14:paraId="007E8682">
      <w:pPr>
        <w:snapToGrid w:val="0"/>
        <w:spacing w:line="500" w:lineRule="exact"/>
        <w:jc w:val="center"/>
        <w:rPr>
          <w:rStyle w:val="44"/>
          <w:rFonts w:hint="eastAsia" w:ascii="宋体" w:hAnsi="宋体" w:eastAsia="宋体" w:cs="宋体"/>
          <w:b/>
          <w:bCs/>
          <w:color w:val="auto"/>
          <w:sz w:val="24"/>
          <w:szCs w:val="21"/>
          <w:highlight w:val="none"/>
        </w:rPr>
      </w:pPr>
      <w:r>
        <w:rPr>
          <w:rStyle w:val="44"/>
          <w:rFonts w:hint="eastAsia" w:ascii="宋体" w:hAnsi="宋体" w:eastAsia="宋体" w:cs="宋体"/>
          <w:b/>
          <w:bCs/>
          <w:color w:val="auto"/>
          <w:sz w:val="24"/>
          <w:szCs w:val="21"/>
          <w:highlight w:val="none"/>
        </w:rPr>
        <w:t>1.投标响应报价表</w:t>
      </w:r>
    </w:p>
    <w:p w14:paraId="08E74DBB">
      <w:pPr>
        <w:snapToGrid w:val="0"/>
        <w:spacing w:line="500" w:lineRule="exact"/>
        <w:rPr>
          <w:rStyle w:val="44"/>
          <w:rFonts w:hint="eastAsia" w:ascii="宋体" w:hAnsi="宋体" w:eastAsia="宋体" w:cs="宋体"/>
          <w:color w:val="auto"/>
          <w:sz w:val="24"/>
          <w:szCs w:val="21"/>
          <w:highlight w:val="none"/>
        </w:rPr>
      </w:pPr>
    </w:p>
    <w:tbl>
      <w:tblPr>
        <w:tblStyle w:val="24"/>
        <w:tblW w:w="905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367"/>
        <w:gridCol w:w="3691"/>
      </w:tblGrid>
      <w:tr w14:paraId="6D593D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3" w:hRule="exact"/>
          <w:jc w:val="center"/>
        </w:trPr>
        <w:tc>
          <w:tcPr>
            <w:tcW w:w="5367" w:type="dxa"/>
            <w:tcBorders>
              <w:top w:val="single" w:color="000000" w:sz="4" w:space="0"/>
              <w:left w:val="single" w:color="000000" w:sz="4" w:space="0"/>
              <w:bottom w:val="single" w:color="auto" w:sz="4" w:space="0"/>
              <w:right w:val="single" w:color="000000" w:sz="4" w:space="0"/>
            </w:tcBorders>
            <w:vAlign w:val="center"/>
          </w:tcPr>
          <w:p w14:paraId="5C88ADB5">
            <w:pPr>
              <w:snapToGrid w:val="0"/>
              <w:spacing w:line="520" w:lineRule="exact"/>
              <w:ind w:left="1" w:firstLine="27" w:firstLineChars="11"/>
              <w:jc w:val="center"/>
              <w:textAlignment w:val="bottom"/>
              <w:rPr>
                <w:rStyle w:val="44"/>
                <w:rFonts w:hint="eastAsia" w:ascii="宋体" w:hAnsi="宋体" w:eastAsia="宋体" w:cs="宋体"/>
                <w:b/>
                <w:color w:val="auto"/>
                <w:kern w:val="0"/>
                <w:sz w:val="24"/>
                <w:szCs w:val="24"/>
                <w:highlight w:val="none"/>
              </w:rPr>
            </w:pPr>
            <w:r>
              <w:rPr>
                <w:rStyle w:val="44"/>
                <w:rFonts w:hint="eastAsia" w:ascii="宋体" w:hAnsi="宋体" w:eastAsia="宋体" w:cs="宋体"/>
                <w:b/>
                <w:color w:val="auto"/>
                <w:kern w:val="0"/>
                <w:sz w:val="24"/>
                <w:szCs w:val="24"/>
                <w:highlight w:val="none"/>
              </w:rPr>
              <w:t>项目名称</w:t>
            </w:r>
          </w:p>
        </w:tc>
        <w:tc>
          <w:tcPr>
            <w:tcW w:w="3691" w:type="dxa"/>
            <w:tcBorders>
              <w:top w:val="single" w:color="000000" w:sz="4" w:space="0"/>
              <w:left w:val="single" w:color="000000" w:sz="4" w:space="0"/>
              <w:bottom w:val="single" w:color="auto" w:sz="4" w:space="0"/>
              <w:right w:val="single" w:color="000000" w:sz="4" w:space="0"/>
            </w:tcBorders>
            <w:vAlign w:val="center"/>
          </w:tcPr>
          <w:p w14:paraId="7A7A7A57">
            <w:pPr>
              <w:snapToGrid w:val="0"/>
              <w:spacing w:line="520" w:lineRule="exact"/>
              <w:ind w:left="1" w:firstLine="27" w:firstLineChars="11"/>
              <w:jc w:val="center"/>
              <w:textAlignment w:val="bottom"/>
              <w:rPr>
                <w:rStyle w:val="44"/>
                <w:rFonts w:hint="eastAsia" w:ascii="宋体" w:hAnsi="宋体" w:eastAsia="宋体" w:cs="宋体"/>
                <w:b/>
                <w:color w:val="auto"/>
                <w:kern w:val="0"/>
                <w:sz w:val="24"/>
                <w:szCs w:val="24"/>
                <w:highlight w:val="none"/>
              </w:rPr>
            </w:pPr>
            <w:r>
              <w:rPr>
                <w:rStyle w:val="44"/>
                <w:rFonts w:hint="eastAsia" w:ascii="宋体" w:hAnsi="宋体" w:eastAsia="宋体" w:cs="宋体"/>
                <w:b/>
                <w:color w:val="auto"/>
                <w:sz w:val="24"/>
                <w:szCs w:val="24"/>
                <w:highlight w:val="none"/>
              </w:rPr>
              <w:t>投标报价</w:t>
            </w:r>
          </w:p>
        </w:tc>
      </w:tr>
      <w:tr w14:paraId="570EA1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86" w:hRule="exact"/>
          <w:jc w:val="center"/>
        </w:trPr>
        <w:tc>
          <w:tcPr>
            <w:tcW w:w="5367" w:type="dxa"/>
            <w:tcBorders>
              <w:top w:val="single" w:color="auto" w:sz="4" w:space="0"/>
              <w:left w:val="single" w:color="auto" w:sz="4" w:space="0"/>
              <w:bottom w:val="single" w:color="auto" w:sz="4" w:space="0"/>
              <w:right w:val="single" w:color="000000" w:sz="4" w:space="0"/>
            </w:tcBorders>
            <w:vAlign w:val="center"/>
          </w:tcPr>
          <w:p w14:paraId="645B6563">
            <w:pPr>
              <w:snapToGrid w:val="0"/>
              <w:jc w:val="center"/>
              <w:rPr>
                <w:rStyle w:val="44"/>
                <w:rFonts w:hint="eastAsia" w:ascii="宋体" w:hAnsi="宋体" w:eastAsia="宋体" w:cs="宋体"/>
                <w:color w:val="auto"/>
                <w:kern w:val="0"/>
                <w:sz w:val="20"/>
                <w:highlight w:val="none"/>
              </w:rPr>
            </w:pPr>
          </w:p>
        </w:tc>
        <w:tc>
          <w:tcPr>
            <w:tcW w:w="3691" w:type="dxa"/>
            <w:tcBorders>
              <w:top w:val="single" w:color="auto" w:sz="4" w:space="0"/>
              <w:left w:val="single" w:color="000000" w:sz="4" w:space="0"/>
              <w:bottom w:val="single" w:color="auto" w:sz="4" w:space="0"/>
              <w:right w:val="single" w:color="auto" w:sz="4" w:space="0"/>
            </w:tcBorders>
            <w:vAlign w:val="center"/>
          </w:tcPr>
          <w:p w14:paraId="6A027FD9">
            <w:pPr>
              <w:snapToGrid w:val="0"/>
              <w:jc w:val="center"/>
              <w:rPr>
                <w:rStyle w:val="44"/>
                <w:rFonts w:hint="eastAsia" w:ascii="宋体" w:hAnsi="宋体" w:eastAsia="宋体" w:cs="宋体"/>
                <w:color w:val="auto"/>
                <w:kern w:val="0"/>
                <w:sz w:val="20"/>
                <w:highlight w:val="none"/>
              </w:rPr>
            </w:pPr>
            <w:r>
              <w:rPr>
                <w:rStyle w:val="44"/>
                <w:rFonts w:hint="eastAsia" w:ascii="宋体" w:hAnsi="宋体" w:eastAsia="宋体" w:cs="宋体"/>
                <w:color w:val="auto"/>
                <w:kern w:val="0"/>
                <w:sz w:val="20"/>
                <w:highlight w:val="none"/>
              </w:rPr>
              <w:t>____________元</w:t>
            </w:r>
          </w:p>
          <w:p w14:paraId="2E8576E3">
            <w:pPr>
              <w:snapToGrid w:val="0"/>
              <w:jc w:val="center"/>
              <w:rPr>
                <w:rStyle w:val="44"/>
                <w:rFonts w:hint="eastAsia" w:ascii="宋体" w:hAnsi="宋体" w:eastAsia="宋体" w:cs="宋体"/>
                <w:color w:val="auto"/>
                <w:kern w:val="0"/>
                <w:sz w:val="20"/>
                <w:highlight w:val="none"/>
              </w:rPr>
            </w:pPr>
            <w:r>
              <w:rPr>
                <w:rStyle w:val="44"/>
                <w:rFonts w:hint="eastAsia" w:ascii="宋体" w:hAnsi="宋体" w:eastAsia="宋体" w:cs="宋体"/>
                <w:color w:val="auto"/>
                <w:kern w:val="0"/>
                <w:sz w:val="20"/>
                <w:highlight w:val="none"/>
              </w:rPr>
              <w:t>人民币大写：____________</w:t>
            </w:r>
          </w:p>
        </w:tc>
      </w:tr>
    </w:tbl>
    <w:p w14:paraId="1D48C69F">
      <w:pPr>
        <w:snapToGrid w:val="0"/>
        <w:spacing w:line="500" w:lineRule="exact"/>
        <w:rPr>
          <w:rStyle w:val="44"/>
          <w:rFonts w:hint="eastAsia" w:ascii="宋体" w:hAnsi="宋体" w:eastAsia="宋体" w:cs="宋体"/>
          <w:color w:val="auto"/>
          <w:sz w:val="24"/>
          <w:szCs w:val="21"/>
          <w:highlight w:val="none"/>
        </w:rPr>
      </w:pPr>
    </w:p>
    <w:p w14:paraId="3E23FF69">
      <w:pPr>
        <w:snapToGrid w:val="0"/>
        <w:spacing w:line="500" w:lineRule="exact"/>
        <w:rPr>
          <w:rStyle w:val="44"/>
          <w:rFonts w:hint="eastAsia" w:ascii="宋体" w:hAnsi="宋体" w:eastAsia="宋体" w:cs="宋体"/>
          <w:color w:val="auto"/>
          <w:sz w:val="24"/>
          <w:szCs w:val="21"/>
          <w:highlight w:val="none"/>
        </w:rPr>
      </w:pPr>
      <w:r>
        <w:rPr>
          <w:rStyle w:val="44"/>
          <w:rFonts w:hint="eastAsia" w:ascii="宋体" w:hAnsi="宋体" w:eastAsia="宋体" w:cs="宋体"/>
          <w:color w:val="auto"/>
          <w:sz w:val="24"/>
          <w:szCs w:val="21"/>
          <w:highlight w:val="none"/>
        </w:rPr>
        <w:t xml:space="preserve">投标供应商：（盖章）             </w:t>
      </w:r>
    </w:p>
    <w:p w14:paraId="4B7E6D99">
      <w:pPr>
        <w:snapToGrid w:val="0"/>
        <w:spacing w:line="500" w:lineRule="exact"/>
        <w:rPr>
          <w:rStyle w:val="44"/>
          <w:rFonts w:hint="eastAsia" w:ascii="宋体" w:hAnsi="宋体" w:eastAsia="宋体" w:cs="宋体"/>
          <w:color w:val="auto"/>
          <w:sz w:val="24"/>
          <w:szCs w:val="21"/>
          <w:highlight w:val="none"/>
        </w:rPr>
      </w:pPr>
      <w:r>
        <w:rPr>
          <w:rStyle w:val="44"/>
          <w:rFonts w:hint="eastAsia" w:ascii="宋体" w:hAnsi="宋体" w:eastAsia="宋体" w:cs="宋体"/>
          <w:color w:val="auto"/>
          <w:sz w:val="24"/>
          <w:szCs w:val="21"/>
          <w:highlight w:val="none"/>
        </w:rPr>
        <w:t>法定代表人或被授权人（签字或盖章）：</w:t>
      </w:r>
    </w:p>
    <w:p w14:paraId="0034CFE6">
      <w:pPr>
        <w:snapToGrid w:val="0"/>
        <w:spacing w:line="500" w:lineRule="exact"/>
        <w:rPr>
          <w:rStyle w:val="44"/>
          <w:rFonts w:hint="eastAsia" w:ascii="宋体" w:hAnsi="宋体" w:eastAsia="宋体" w:cs="宋体"/>
          <w:color w:val="auto"/>
          <w:sz w:val="24"/>
          <w:szCs w:val="21"/>
          <w:highlight w:val="none"/>
        </w:rPr>
      </w:pPr>
      <w:r>
        <w:rPr>
          <w:rStyle w:val="44"/>
          <w:rFonts w:hint="eastAsia" w:ascii="宋体" w:hAnsi="宋体" w:eastAsia="宋体" w:cs="宋体"/>
          <w:color w:val="auto"/>
          <w:sz w:val="24"/>
          <w:szCs w:val="21"/>
          <w:highlight w:val="none"/>
        </w:rPr>
        <w:t>日期：</w:t>
      </w:r>
    </w:p>
    <w:p w14:paraId="78DEEBFF">
      <w:pPr>
        <w:rPr>
          <w:rStyle w:val="44"/>
          <w:rFonts w:hint="eastAsia" w:ascii="宋体" w:hAnsi="宋体" w:eastAsia="宋体" w:cs="宋体"/>
          <w:b/>
          <w:bCs/>
          <w:color w:val="auto"/>
          <w:sz w:val="24"/>
          <w:szCs w:val="21"/>
          <w:highlight w:val="none"/>
        </w:rPr>
      </w:pPr>
      <w:r>
        <w:rPr>
          <w:rStyle w:val="44"/>
          <w:rFonts w:hint="eastAsia" w:ascii="宋体" w:hAnsi="宋体" w:eastAsia="宋体" w:cs="宋体"/>
          <w:b/>
          <w:bCs/>
          <w:color w:val="auto"/>
          <w:sz w:val="24"/>
          <w:szCs w:val="21"/>
          <w:highlight w:val="none"/>
        </w:rPr>
        <w:br w:type="page"/>
      </w:r>
    </w:p>
    <w:p w14:paraId="64A06F71">
      <w:pPr>
        <w:snapToGrid w:val="0"/>
        <w:spacing w:line="500" w:lineRule="exact"/>
        <w:jc w:val="center"/>
        <w:rPr>
          <w:rStyle w:val="44"/>
          <w:rFonts w:hint="eastAsia" w:ascii="宋体" w:hAnsi="宋体" w:eastAsia="宋体" w:cs="宋体"/>
          <w:b/>
          <w:color w:val="auto"/>
          <w:sz w:val="24"/>
          <w:szCs w:val="21"/>
          <w:highlight w:val="none"/>
        </w:rPr>
      </w:pPr>
      <w:r>
        <w:rPr>
          <w:rStyle w:val="44"/>
          <w:rFonts w:hint="eastAsia" w:ascii="宋体" w:hAnsi="宋体" w:eastAsia="宋体" w:cs="宋体"/>
          <w:b/>
          <w:bCs/>
          <w:color w:val="auto"/>
          <w:sz w:val="24"/>
          <w:szCs w:val="21"/>
          <w:highlight w:val="none"/>
        </w:rPr>
        <w:t>2.</w:t>
      </w:r>
      <w:r>
        <w:rPr>
          <w:rStyle w:val="44"/>
          <w:rFonts w:hint="eastAsia" w:ascii="宋体" w:hAnsi="宋体" w:eastAsia="宋体" w:cs="宋体"/>
          <w:b/>
          <w:color w:val="auto"/>
          <w:sz w:val="24"/>
          <w:szCs w:val="21"/>
          <w:highlight w:val="none"/>
        </w:rPr>
        <w:t>投标报价明细表</w:t>
      </w:r>
    </w:p>
    <w:p w14:paraId="09A161C9">
      <w:pPr>
        <w:pStyle w:val="2"/>
        <w:ind w:left="0" w:leftChars="0" w:firstLine="0" w:firstLineChars="0"/>
        <w:rPr>
          <w:rFonts w:hint="eastAsia" w:ascii="宋体" w:hAnsi="宋体" w:cs="宋体"/>
          <w:color w:val="auto"/>
          <w:sz w:val="24"/>
          <w:highlight w:val="none"/>
        </w:rPr>
      </w:pPr>
      <w:r>
        <w:rPr>
          <w:rFonts w:hint="eastAsia" w:ascii="宋体" w:hAnsi="宋体" w:cs="宋体"/>
          <w:color w:val="auto"/>
          <w:sz w:val="24"/>
          <w:highlight w:val="none"/>
        </w:rPr>
        <w:t>项目名称：</w:t>
      </w:r>
    </w:p>
    <w:tbl>
      <w:tblPr>
        <w:tblStyle w:val="24"/>
        <w:tblW w:w="90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1274"/>
        <w:gridCol w:w="1288"/>
        <w:gridCol w:w="924"/>
        <w:gridCol w:w="1203"/>
        <w:gridCol w:w="1618"/>
        <w:gridCol w:w="1798"/>
      </w:tblGrid>
      <w:tr w14:paraId="42219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4" w:hRule="atLeast"/>
          <w:jc w:val="center"/>
        </w:trPr>
        <w:tc>
          <w:tcPr>
            <w:tcW w:w="948" w:type="dxa"/>
            <w:vMerge w:val="restart"/>
            <w:vAlign w:val="center"/>
          </w:tcPr>
          <w:p w14:paraId="6478C785">
            <w:pPr>
              <w:spacing w:line="0" w:lineRule="atLeas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1274" w:type="dxa"/>
            <w:vAlign w:val="center"/>
          </w:tcPr>
          <w:p w14:paraId="29FE4BF2">
            <w:pPr>
              <w:spacing w:line="0" w:lineRule="atLeas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c>
          <w:tcPr>
            <w:tcW w:w="1288" w:type="dxa"/>
            <w:vAlign w:val="center"/>
          </w:tcPr>
          <w:p w14:paraId="61320C19">
            <w:pPr>
              <w:spacing w:line="0" w:lineRule="atLeas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p>
        </w:tc>
        <w:tc>
          <w:tcPr>
            <w:tcW w:w="924" w:type="dxa"/>
            <w:vAlign w:val="center"/>
          </w:tcPr>
          <w:p w14:paraId="558AFFA2">
            <w:pPr>
              <w:spacing w:line="0" w:lineRule="atLeas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p>
        </w:tc>
        <w:tc>
          <w:tcPr>
            <w:tcW w:w="1203" w:type="dxa"/>
            <w:vAlign w:val="center"/>
          </w:tcPr>
          <w:p w14:paraId="7915FEBF">
            <w:pPr>
              <w:spacing w:line="0" w:lineRule="atLeas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4</w:t>
            </w:r>
          </w:p>
        </w:tc>
        <w:tc>
          <w:tcPr>
            <w:tcW w:w="1618" w:type="dxa"/>
            <w:vAlign w:val="center"/>
          </w:tcPr>
          <w:p w14:paraId="6E001E84">
            <w:pPr>
              <w:spacing w:line="0" w:lineRule="atLeas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5</w:t>
            </w:r>
          </w:p>
        </w:tc>
        <w:tc>
          <w:tcPr>
            <w:tcW w:w="1798" w:type="dxa"/>
            <w:vAlign w:val="center"/>
          </w:tcPr>
          <w:p w14:paraId="1D117C72">
            <w:pPr>
              <w:spacing w:line="0" w:lineRule="atLeas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6</w:t>
            </w:r>
          </w:p>
        </w:tc>
      </w:tr>
      <w:tr w14:paraId="6C809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948" w:type="dxa"/>
            <w:vMerge w:val="continue"/>
            <w:vAlign w:val="center"/>
          </w:tcPr>
          <w:p w14:paraId="03CD3437">
            <w:pPr>
              <w:spacing w:line="0" w:lineRule="atLeast"/>
              <w:jc w:val="center"/>
              <w:rPr>
                <w:rFonts w:hint="eastAsia" w:ascii="宋体" w:hAnsi="宋体" w:eastAsia="宋体" w:cs="宋体"/>
                <w:color w:val="auto"/>
                <w:sz w:val="24"/>
                <w:highlight w:val="none"/>
              </w:rPr>
            </w:pPr>
          </w:p>
        </w:tc>
        <w:tc>
          <w:tcPr>
            <w:tcW w:w="1274" w:type="dxa"/>
            <w:vAlign w:val="center"/>
          </w:tcPr>
          <w:p w14:paraId="2EA391A1">
            <w:pPr>
              <w:spacing w:line="0" w:lineRule="atLeas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分项服务名称</w:t>
            </w:r>
          </w:p>
        </w:tc>
        <w:tc>
          <w:tcPr>
            <w:tcW w:w="1288" w:type="dxa"/>
            <w:vAlign w:val="center"/>
          </w:tcPr>
          <w:p w14:paraId="56A780E7">
            <w:pPr>
              <w:spacing w:line="0" w:lineRule="atLeas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交付期</w:t>
            </w:r>
          </w:p>
        </w:tc>
        <w:tc>
          <w:tcPr>
            <w:tcW w:w="924" w:type="dxa"/>
            <w:vAlign w:val="center"/>
          </w:tcPr>
          <w:p w14:paraId="6C859D67">
            <w:pPr>
              <w:spacing w:line="0" w:lineRule="atLeas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分项单位</w:t>
            </w:r>
          </w:p>
        </w:tc>
        <w:tc>
          <w:tcPr>
            <w:tcW w:w="1203" w:type="dxa"/>
            <w:vAlign w:val="center"/>
          </w:tcPr>
          <w:p w14:paraId="69F22EE3">
            <w:pPr>
              <w:spacing w:line="0" w:lineRule="atLeas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数量</w:t>
            </w:r>
          </w:p>
        </w:tc>
        <w:tc>
          <w:tcPr>
            <w:tcW w:w="1618" w:type="dxa"/>
            <w:vAlign w:val="center"/>
          </w:tcPr>
          <w:p w14:paraId="6B8BFFFC">
            <w:pPr>
              <w:spacing w:line="0" w:lineRule="atLeas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分项</w:t>
            </w:r>
          </w:p>
          <w:p w14:paraId="6E0D4726">
            <w:pPr>
              <w:spacing w:line="0" w:lineRule="atLeas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单价</w:t>
            </w:r>
          </w:p>
        </w:tc>
        <w:tc>
          <w:tcPr>
            <w:tcW w:w="1798" w:type="dxa"/>
            <w:vAlign w:val="center"/>
          </w:tcPr>
          <w:p w14:paraId="7B79A721">
            <w:pPr>
              <w:spacing w:line="0" w:lineRule="atLeas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分项</w:t>
            </w:r>
          </w:p>
          <w:p w14:paraId="7DC91FEE">
            <w:pPr>
              <w:spacing w:line="0" w:lineRule="atLeas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总价</w:t>
            </w:r>
          </w:p>
        </w:tc>
      </w:tr>
      <w:tr w14:paraId="5146A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4" w:hRule="atLeast"/>
          <w:jc w:val="center"/>
        </w:trPr>
        <w:tc>
          <w:tcPr>
            <w:tcW w:w="948" w:type="dxa"/>
            <w:vAlign w:val="center"/>
          </w:tcPr>
          <w:p w14:paraId="15D6E0D9">
            <w:pPr>
              <w:spacing w:line="0" w:lineRule="atLeas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c>
          <w:tcPr>
            <w:tcW w:w="1274" w:type="dxa"/>
            <w:vAlign w:val="center"/>
          </w:tcPr>
          <w:p w14:paraId="7776A450">
            <w:pPr>
              <w:spacing w:line="0" w:lineRule="atLeast"/>
              <w:jc w:val="center"/>
              <w:rPr>
                <w:rFonts w:hint="eastAsia" w:ascii="宋体" w:hAnsi="宋体" w:eastAsia="宋体" w:cs="宋体"/>
                <w:color w:val="auto"/>
                <w:sz w:val="24"/>
                <w:highlight w:val="none"/>
              </w:rPr>
            </w:pPr>
          </w:p>
        </w:tc>
        <w:tc>
          <w:tcPr>
            <w:tcW w:w="1288" w:type="dxa"/>
            <w:vAlign w:val="center"/>
          </w:tcPr>
          <w:p w14:paraId="1BB15810">
            <w:pPr>
              <w:spacing w:line="0" w:lineRule="atLeast"/>
              <w:jc w:val="center"/>
              <w:rPr>
                <w:rFonts w:hint="eastAsia" w:ascii="宋体" w:hAnsi="宋体" w:eastAsia="宋体" w:cs="宋体"/>
                <w:color w:val="auto"/>
                <w:sz w:val="24"/>
                <w:highlight w:val="none"/>
              </w:rPr>
            </w:pPr>
          </w:p>
        </w:tc>
        <w:tc>
          <w:tcPr>
            <w:tcW w:w="924" w:type="dxa"/>
            <w:vAlign w:val="center"/>
          </w:tcPr>
          <w:p w14:paraId="5B8CE96B">
            <w:pPr>
              <w:spacing w:line="0" w:lineRule="atLeast"/>
              <w:jc w:val="center"/>
              <w:rPr>
                <w:rFonts w:hint="eastAsia" w:ascii="宋体" w:hAnsi="宋体" w:eastAsia="宋体" w:cs="宋体"/>
                <w:color w:val="auto"/>
                <w:sz w:val="24"/>
                <w:highlight w:val="none"/>
              </w:rPr>
            </w:pPr>
          </w:p>
        </w:tc>
        <w:tc>
          <w:tcPr>
            <w:tcW w:w="1203" w:type="dxa"/>
            <w:vAlign w:val="center"/>
          </w:tcPr>
          <w:p w14:paraId="2A91A412">
            <w:pPr>
              <w:spacing w:line="0" w:lineRule="atLeast"/>
              <w:jc w:val="center"/>
              <w:rPr>
                <w:rFonts w:hint="eastAsia" w:ascii="宋体" w:hAnsi="宋体" w:eastAsia="宋体" w:cs="宋体"/>
                <w:color w:val="auto"/>
                <w:sz w:val="24"/>
                <w:highlight w:val="none"/>
              </w:rPr>
            </w:pPr>
          </w:p>
        </w:tc>
        <w:tc>
          <w:tcPr>
            <w:tcW w:w="1618" w:type="dxa"/>
            <w:vAlign w:val="center"/>
          </w:tcPr>
          <w:p w14:paraId="3D5B53F5">
            <w:pPr>
              <w:spacing w:line="0" w:lineRule="atLeast"/>
              <w:jc w:val="center"/>
              <w:rPr>
                <w:rFonts w:hint="eastAsia" w:ascii="宋体" w:hAnsi="宋体" w:eastAsia="宋体" w:cs="宋体"/>
                <w:color w:val="auto"/>
                <w:sz w:val="24"/>
                <w:highlight w:val="none"/>
              </w:rPr>
            </w:pPr>
          </w:p>
        </w:tc>
        <w:tc>
          <w:tcPr>
            <w:tcW w:w="1798" w:type="dxa"/>
            <w:vAlign w:val="center"/>
          </w:tcPr>
          <w:p w14:paraId="5B29B9E2">
            <w:pPr>
              <w:spacing w:line="0" w:lineRule="atLeast"/>
              <w:jc w:val="center"/>
              <w:rPr>
                <w:rFonts w:hint="eastAsia" w:ascii="宋体" w:hAnsi="宋体" w:eastAsia="宋体" w:cs="宋体"/>
                <w:color w:val="auto"/>
                <w:sz w:val="24"/>
                <w:highlight w:val="none"/>
              </w:rPr>
            </w:pPr>
          </w:p>
        </w:tc>
      </w:tr>
      <w:tr w14:paraId="3C0EE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4" w:hRule="atLeast"/>
          <w:jc w:val="center"/>
        </w:trPr>
        <w:tc>
          <w:tcPr>
            <w:tcW w:w="948" w:type="dxa"/>
            <w:vAlign w:val="center"/>
          </w:tcPr>
          <w:p w14:paraId="6B0FD152">
            <w:pPr>
              <w:spacing w:line="0" w:lineRule="atLeas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p>
        </w:tc>
        <w:tc>
          <w:tcPr>
            <w:tcW w:w="1274" w:type="dxa"/>
            <w:vAlign w:val="center"/>
          </w:tcPr>
          <w:p w14:paraId="3D204790">
            <w:pPr>
              <w:spacing w:line="0" w:lineRule="atLeast"/>
              <w:jc w:val="center"/>
              <w:rPr>
                <w:rFonts w:hint="eastAsia" w:ascii="宋体" w:hAnsi="宋体" w:eastAsia="宋体" w:cs="宋体"/>
                <w:color w:val="auto"/>
                <w:sz w:val="24"/>
                <w:highlight w:val="none"/>
              </w:rPr>
            </w:pPr>
          </w:p>
        </w:tc>
        <w:tc>
          <w:tcPr>
            <w:tcW w:w="1288" w:type="dxa"/>
            <w:vAlign w:val="center"/>
          </w:tcPr>
          <w:p w14:paraId="5A340692">
            <w:pPr>
              <w:spacing w:line="0" w:lineRule="atLeast"/>
              <w:jc w:val="center"/>
              <w:rPr>
                <w:rFonts w:hint="eastAsia" w:ascii="宋体" w:hAnsi="宋体" w:eastAsia="宋体" w:cs="宋体"/>
                <w:color w:val="auto"/>
                <w:sz w:val="24"/>
                <w:highlight w:val="none"/>
              </w:rPr>
            </w:pPr>
          </w:p>
        </w:tc>
        <w:tc>
          <w:tcPr>
            <w:tcW w:w="924" w:type="dxa"/>
            <w:vAlign w:val="center"/>
          </w:tcPr>
          <w:p w14:paraId="601F027C">
            <w:pPr>
              <w:spacing w:line="0" w:lineRule="atLeast"/>
              <w:jc w:val="center"/>
              <w:rPr>
                <w:rFonts w:hint="eastAsia" w:ascii="宋体" w:hAnsi="宋体" w:eastAsia="宋体" w:cs="宋体"/>
                <w:color w:val="auto"/>
                <w:sz w:val="24"/>
                <w:highlight w:val="none"/>
              </w:rPr>
            </w:pPr>
          </w:p>
        </w:tc>
        <w:tc>
          <w:tcPr>
            <w:tcW w:w="1203" w:type="dxa"/>
            <w:vAlign w:val="center"/>
          </w:tcPr>
          <w:p w14:paraId="77B70021">
            <w:pPr>
              <w:spacing w:line="0" w:lineRule="atLeast"/>
              <w:jc w:val="center"/>
              <w:rPr>
                <w:rFonts w:hint="eastAsia" w:ascii="宋体" w:hAnsi="宋体" w:eastAsia="宋体" w:cs="宋体"/>
                <w:color w:val="auto"/>
                <w:sz w:val="24"/>
                <w:highlight w:val="none"/>
              </w:rPr>
            </w:pPr>
          </w:p>
        </w:tc>
        <w:tc>
          <w:tcPr>
            <w:tcW w:w="1618" w:type="dxa"/>
            <w:vAlign w:val="center"/>
          </w:tcPr>
          <w:p w14:paraId="288EAFF9">
            <w:pPr>
              <w:spacing w:line="0" w:lineRule="atLeast"/>
              <w:jc w:val="center"/>
              <w:rPr>
                <w:rFonts w:hint="eastAsia" w:ascii="宋体" w:hAnsi="宋体" w:eastAsia="宋体" w:cs="宋体"/>
                <w:color w:val="auto"/>
                <w:sz w:val="24"/>
                <w:highlight w:val="none"/>
              </w:rPr>
            </w:pPr>
          </w:p>
        </w:tc>
        <w:tc>
          <w:tcPr>
            <w:tcW w:w="1798" w:type="dxa"/>
            <w:vAlign w:val="center"/>
          </w:tcPr>
          <w:p w14:paraId="7A22031E">
            <w:pPr>
              <w:spacing w:line="0" w:lineRule="atLeast"/>
              <w:jc w:val="center"/>
              <w:rPr>
                <w:rFonts w:hint="eastAsia" w:ascii="宋体" w:hAnsi="宋体" w:eastAsia="宋体" w:cs="宋体"/>
                <w:color w:val="auto"/>
                <w:sz w:val="24"/>
                <w:highlight w:val="none"/>
              </w:rPr>
            </w:pPr>
          </w:p>
        </w:tc>
      </w:tr>
      <w:tr w14:paraId="4A0B8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4" w:hRule="atLeast"/>
          <w:jc w:val="center"/>
        </w:trPr>
        <w:tc>
          <w:tcPr>
            <w:tcW w:w="948" w:type="dxa"/>
            <w:vAlign w:val="center"/>
          </w:tcPr>
          <w:p w14:paraId="3B086DEA">
            <w:pPr>
              <w:spacing w:line="0" w:lineRule="atLeas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p>
        </w:tc>
        <w:tc>
          <w:tcPr>
            <w:tcW w:w="1274" w:type="dxa"/>
            <w:vAlign w:val="center"/>
          </w:tcPr>
          <w:p w14:paraId="3AFA59DB">
            <w:pPr>
              <w:spacing w:line="0" w:lineRule="atLeast"/>
              <w:jc w:val="center"/>
              <w:rPr>
                <w:rFonts w:hint="eastAsia" w:ascii="宋体" w:hAnsi="宋体" w:eastAsia="宋体" w:cs="宋体"/>
                <w:color w:val="auto"/>
                <w:sz w:val="24"/>
                <w:highlight w:val="none"/>
              </w:rPr>
            </w:pPr>
          </w:p>
        </w:tc>
        <w:tc>
          <w:tcPr>
            <w:tcW w:w="1288" w:type="dxa"/>
            <w:vAlign w:val="center"/>
          </w:tcPr>
          <w:p w14:paraId="0B203A9C">
            <w:pPr>
              <w:spacing w:line="0" w:lineRule="atLeast"/>
              <w:jc w:val="center"/>
              <w:rPr>
                <w:rFonts w:hint="eastAsia" w:ascii="宋体" w:hAnsi="宋体" w:eastAsia="宋体" w:cs="宋体"/>
                <w:color w:val="auto"/>
                <w:sz w:val="24"/>
                <w:highlight w:val="none"/>
              </w:rPr>
            </w:pPr>
          </w:p>
        </w:tc>
        <w:tc>
          <w:tcPr>
            <w:tcW w:w="924" w:type="dxa"/>
            <w:vAlign w:val="center"/>
          </w:tcPr>
          <w:p w14:paraId="5CB025D9">
            <w:pPr>
              <w:spacing w:line="0" w:lineRule="atLeast"/>
              <w:jc w:val="center"/>
              <w:rPr>
                <w:rFonts w:hint="eastAsia" w:ascii="宋体" w:hAnsi="宋体" w:eastAsia="宋体" w:cs="宋体"/>
                <w:color w:val="auto"/>
                <w:sz w:val="24"/>
                <w:highlight w:val="none"/>
              </w:rPr>
            </w:pPr>
          </w:p>
        </w:tc>
        <w:tc>
          <w:tcPr>
            <w:tcW w:w="1203" w:type="dxa"/>
            <w:vAlign w:val="center"/>
          </w:tcPr>
          <w:p w14:paraId="2398CB76">
            <w:pPr>
              <w:spacing w:line="0" w:lineRule="atLeast"/>
              <w:jc w:val="center"/>
              <w:rPr>
                <w:rFonts w:hint="eastAsia" w:ascii="宋体" w:hAnsi="宋体" w:eastAsia="宋体" w:cs="宋体"/>
                <w:color w:val="auto"/>
                <w:sz w:val="24"/>
                <w:highlight w:val="none"/>
              </w:rPr>
            </w:pPr>
          </w:p>
        </w:tc>
        <w:tc>
          <w:tcPr>
            <w:tcW w:w="1618" w:type="dxa"/>
            <w:vAlign w:val="center"/>
          </w:tcPr>
          <w:p w14:paraId="102C63AE">
            <w:pPr>
              <w:spacing w:line="0" w:lineRule="atLeast"/>
              <w:jc w:val="center"/>
              <w:rPr>
                <w:rFonts w:hint="eastAsia" w:ascii="宋体" w:hAnsi="宋体" w:eastAsia="宋体" w:cs="宋体"/>
                <w:color w:val="auto"/>
                <w:sz w:val="24"/>
                <w:highlight w:val="none"/>
              </w:rPr>
            </w:pPr>
          </w:p>
        </w:tc>
        <w:tc>
          <w:tcPr>
            <w:tcW w:w="1798" w:type="dxa"/>
            <w:vAlign w:val="center"/>
          </w:tcPr>
          <w:p w14:paraId="52C22484">
            <w:pPr>
              <w:spacing w:line="0" w:lineRule="atLeast"/>
              <w:jc w:val="center"/>
              <w:rPr>
                <w:rFonts w:hint="eastAsia" w:ascii="宋体" w:hAnsi="宋体" w:eastAsia="宋体" w:cs="宋体"/>
                <w:color w:val="auto"/>
                <w:sz w:val="24"/>
                <w:highlight w:val="none"/>
              </w:rPr>
            </w:pPr>
          </w:p>
        </w:tc>
      </w:tr>
      <w:tr w14:paraId="24161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4" w:hRule="atLeast"/>
          <w:jc w:val="center"/>
        </w:trPr>
        <w:tc>
          <w:tcPr>
            <w:tcW w:w="948" w:type="dxa"/>
            <w:vAlign w:val="center"/>
          </w:tcPr>
          <w:p w14:paraId="5A48490D">
            <w:pPr>
              <w:spacing w:line="0" w:lineRule="atLeas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p>
        </w:tc>
        <w:tc>
          <w:tcPr>
            <w:tcW w:w="1274" w:type="dxa"/>
            <w:vAlign w:val="center"/>
          </w:tcPr>
          <w:p w14:paraId="63D52FD1">
            <w:pPr>
              <w:spacing w:line="0" w:lineRule="atLeas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p>
        </w:tc>
        <w:tc>
          <w:tcPr>
            <w:tcW w:w="1288" w:type="dxa"/>
            <w:vAlign w:val="center"/>
          </w:tcPr>
          <w:p w14:paraId="40F529DD">
            <w:pPr>
              <w:spacing w:line="0" w:lineRule="atLeast"/>
              <w:jc w:val="center"/>
              <w:rPr>
                <w:rFonts w:hint="eastAsia" w:ascii="宋体" w:hAnsi="宋体" w:eastAsia="宋体" w:cs="宋体"/>
                <w:color w:val="auto"/>
                <w:sz w:val="24"/>
                <w:highlight w:val="none"/>
              </w:rPr>
            </w:pPr>
          </w:p>
        </w:tc>
        <w:tc>
          <w:tcPr>
            <w:tcW w:w="924" w:type="dxa"/>
            <w:vAlign w:val="center"/>
          </w:tcPr>
          <w:p w14:paraId="4E12D6CF">
            <w:pPr>
              <w:spacing w:line="0" w:lineRule="atLeast"/>
              <w:jc w:val="center"/>
              <w:rPr>
                <w:rFonts w:hint="eastAsia" w:ascii="宋体" w:hAnsi="宋体" w:eastAsia="宋体" w:cs="宋体"/>
                <w:color w:val="auto"/>
                <w:sz w:val="24"/>
                <w:highlight w:val="none"/>
              </w:rPr>
            </w:pPr>
          </w:p>
        </w:tc>
        <w:tc>
          <w:tcPr>
            <w:tcW w:w="1203" w:type="dxa"/>
            <w:vAlign w:val="center"/>
          </w:tcPr>
          <w:p w14:paraId="299F245E">
            <w:pPr>
              <w:spacing w:line="0" w:lineRule="atLeast"/>
              <w:jc w:val="center"/>
              <w:rPr>
                <w:rFonts w:hint="eastAsia" w:ascii="宋体" w:hAnsi="宋体" w:eastAsia="宋体" w:cs="宋体"/>
                <w:color w:val="auto"/>
                <w:sz w:val="24"/>
                <w:highlight w:val="none"/>
              </w:rPr>
            </w:pPr>
          </w:p>
        </w:tc>
        <w:tc>
          <w:tcPr>
            <w:tcW w:w="1618" w:type="dxa"/>
            <w:vAlign w:val="center"/>
          </w:tcPr>
          <w:p w14:paraId="38860828">
            <w:pPr>
              <w:spacing w:line="0" w:lineRule="atLeast"/>
              <w:jc w:val="center"/>
              <w:rPr>
                <w:rFonts w:hint="eastAsia" w:ascii="宋体" w:hAnsi="宋体" w:eastAsia="宋体" w:cs="宋体"/>
                <w:color w:val="auto"/>
                <w:sz w:val="24"/>
                <w:highlight w:val="none"/>
              </w:rPr>
            </w:pPr>
          </w:p>
        </w:tc>
        <w:tc>
          <w:tcPr>
            <w:tcW w:w="1798" w:type="dxa"/>
            <w:vAlign w:val="center"/>
          </w:tcPr>
          <w:p w14:paraId="096C484B">
            <w:pPr>
              <w:spacing w:line="0" w:lineRule="atLeast"/>
              <w:jc w:val="center"/>
              <w:rPr>
                <w:rFonts w:hint="eastAsia" w:ascii="宋体" w:hAnsi="宋体" w:eastAsia="宋体" w:cs="宋体"/>
                <w:color w:val="auto"/>
                <w:sz w:val="24"/>
                <w:highlight w:val="none"/>
              </w:rPr>
            </w:pPr>
          </w:p>
        </w:tc>
      </w:tr>
      <w:tr w14:paraId="28D84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7" w:hRule="atLeast"/>
          <w:jc w:val="center"/>
        </w:trPr>
        <w:tc>
          <w:tcPr>
            <w:tcW w:w="7255" w:type="dxa"/>
            <w:gridSpan w:val="6"/>
            <w:vAlign w:val="center"/>
          </w:tcPr>
          <w:p w14:paraId="557407C0">
            <w:pPr>
              <w:spacing w:line="0" w:lineRule="atLeas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总报价（人民币：元）</w:t>
            </w:r>
          </w:p>
        </w:tc>
        <w:tc>
          <w:tcPr>
            <w:tcW w:w="1798" w:type="dxa"/>
          </w:tcPr>
          <w:p w14:paraId="75F97CB7">
            <w:pPr>
              <w:spacing w:line="0" w:lineRule="atLeast"/>
              <w:rPr>
                <w:rFonts w:hint="eastAsia" w:ascii="宋体" w:hAnsi="宋体" w:eastAsia="宋体" w:cs="宋体"/>
                <w:color w:val="auto"/>
                <w:sz w:val="24"/>
                <w:highlight w:val="none"/>
              </w:rPr>
            </w:pPr>
          </w:p>
        </w:tc>
      </w:tr>
    </w:tbl>
    <w:p w14:paraId="391BB391">
      <w:pPr>
        <w:snapToGrid w:val="0"/>
        <w:spacing w:line="500" w:lineRule="exact"/>
        <w:rPr>
          <w:rStyle w:val="44"/>
          <w:rFonts w:hint="eastAsia" w:ascii="宋体" w:hAnsi="宋体" w:eastAsia="宋体" w:cs="宋体"/>
          <w:color w:val="auto"/>
          <w:sz w:val="24"/>
          <w:szCs w:val="21"/>
          <w:highlight w:val="none"/>
        </w:rPr>
      </w:pPr>
    </w:p>
    <w:p w14:paraId="21361308">
      <w:pPr>
        <w:snapToGrid w:val="0"/>
        <w:spacing w:line="500" w:lineRule="exact"/>
        <w:rPr>
          <w:rStyle w:val="44"/>
          <w:rFonts w:hint="eastAsia" w:ascii="宋体" w:hAnsi="宋体" w:eastAsia="宋体" w:cs="宋体"/>
          <w:color w:val="auto"/>
          <w:sz w:val="24"/>
          <w:szCs w:val="21"/>
          <w:highlight w:val="none"/>
        </w:rPr>
      </w:pPr>
    </w:p>
    <w:p w14:paraId="53B415C2">
      <w:pPr>
        <w:snapToGrid w:val="0"/>
        <w:spacing w:line="500" w:lineRule="exact"/>
        <w:rPr>
          <w:rStyle w:val="44"/>
          <w:rFonts w:hint="eastAsia" w:ascii="宋体" w:hAnsi="宋体" w:eastAsia="宋体" w:cs="宋体"/>
          <w:color w:val="auto"/>
          <w:sz w:val="24"/>
          <w:szCs w:val="21"/>
          <w:highlight w:val="none"/>
        </w:rPr>
      </w:pPr>
      <w:r>
        <w:rPr>
          <w:rStyle w:val="44"/>
          <w:rFonts w:hint="eastAsia" w:ascii="宋体" w:hAnsi="宋体" w:eastAsia="宋体" w:cs="宋体"/>
          <w:color w:val="auto"/>
          <w:sz w:val="24"/>
          <w:szCs w:val="21"/>
          <w:highlight w:val="none"/>
        </w:rPr>
        <w:t xml:space="preserve">投标供应商：（盖章）             </w:t>
      </w:r>
    </w:p>
    <w:p w14:paraId="7B5A0349">
      <w:pPr>
        <w:snapToGrid w:val="0"/>
        <w:spacing w:line="500" w:lineRule="exact"/>
        <w:rPr>
          <w:rStyle w:val="44"/>
          <w:rFonts w:hint="eastAsia" w:ascii="宋体" w:hAnsi="宋体" w:eastAsia="宋体" w:cs="宋体"/>
          <w:color w:val="auto"/>
          <w:sz w:val="24"/>
          <w:szCs w:val="21"/>
          <w:highlight w:val="none"/>
        </w:rPr>
      </w:pPr>
      <w:r>
        <w:rPr>
          <w:rStyle w:val="44"/>
          <w:rFonts w:hint="eastAsia" w:ascii="宋体" w:hAnsi="宋体" w:eastAsia="宋体" w:cs="宋体"/>
          <w:color w:val="auto"/>
          <w:sz w:val="24"/>
          <w:szCs w:val="21"/>
          <w:highlight w:val="none"/>
        </w:rPr>
        <w:t>法定代表人或被授权人（签字或盖章）：</w:t>
      </w:r>
    </w:p>
    <w:p w14:paraId="143DE665">
      <w:pPr>
        <w:snapToGrid w:val="0"/>
        <w:spacing w:line="500" w:lineRule="exact"/>
        <w:rPr>
          <w:rStyle w:val="44"/>
          <w:rFonts w:hint="eastAsia" w:ascii="宋体" w:hAnsi="宋体" w:eastAsia="宋体" w:cs="宋体"/>
          <w:color w:val="auto"/>
          <w:sz w:val="24"/>
          <w:szCs w:val="21"/>
          <w:highlight w:val="none"/>
        </w:rPr>
      </w:pPr>
      <w:r>
        <w:rPr>
          <w:rStyle w:val="44"/>
          <w:rFonts w:hint="eastAsia" w:ascii="宋体" w:hAnsi="宋体" w:eastAsia="宋体" w:cs="宋体"/>
          <w:color w:val="auto"/>
          <w:sz w:val="24"/>
          <w:szCs w:val="21"/>
          <w:highlight w:val="none"/>
        </w:rPr>
        <w:t>日期：</w:t>
      </w:r>
    </w:p>
    <w:p w14:paraId="78A739AB">
      <w:pPr>
        <w:snapToGrid w:val="0"/>
        <w:jc w:val="center"/>
        <w:rPr>
          <w:rStyle w:val="44"/>
          <w:rFonts w:hint="eastAsia" w:ascii="宋体" w:hAnsi="宋体" w:eastAsia="宋体" w:cs="宋体"/>
          <w:color w:val="auto"/>
          <w:sz w:val="24"/>
          <w:szCs w:val="21"/>
          <w:highlight w:val="none"/>
        </w:rPr>
      </w:pPr>
      <w:r>
        <w:rPr>
          <w:rStyle w:val="44"/>
          <w:rFonts w:hint="eastAsia" w:ascii="宋体" w:hAnsi="宋体" w:eastAsia="宋体" w:cs="宋体"/>
          <w:color w:val="auto"/>
          <w:sz w:val="24"/>
          <w:szCs w:val="21"/>
          <w:highlight w:val="none"/>
        </w:rPr>
        <w:br w:type="textWrapping"/>
      </w:r>
    </w:p>
    <w:p w14:paraId="6DA2787D">
      <w:pPr>
        <w:snapToGrid w:val="0"/>
        <w:rPr>
          <w:rStyle w:val="44"/>
          <w:rFonts w:hint="eastAsia" w:ascii="宋体" w:hAnsi="宋体" w:eastAsia="宋体" w:cs="宋体"/>
          <w:color w:val="auto"/>
          <w:sz w:val="24"/>
          <w:szCs w:val="24"/>
          <w:highlight w:val="none"/>
        </w:rPr>
      </w:pPr>
    </w:p>
    <w:sectPr>
      <w:headerReference r:id="rId13" w:type="first"/>
      <w:footerReference r:id="rId14" w:type="first"/>
      <w:headerReference r:id="rId12" w:type="default"/>
      <w:pgSz w:w="11906" w:h="16838"/>
      <w:pgMar w:top="1418" w:right="1418" w:bottom="1418" w:left="1418" w:header="851" w:footer="992" w:gutter="0"/>
      <w:cols w:space="720" w:num="1"/>
      <w:docGrid w:type="lines"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仿宋简体">
    <w:altName w:val="微软雅黑"/>
    <w:panose1 w:val="02000000000000000000"/>
    <w:charset w:val="86"/>
    <w:family w:val="auto"/>
    <w:pitch w:val="default"/>
    <w:sig w:usb0="00000000" w:usb1="00000000" w:usb2="00000012" w:usb3="00000000" w:csb0="00040001" w:csb1="00000000"/>
  </w:font>
  <w:font w:name="微软雅黑">
    <w:panose1 w:val="020B0503020204020204"/>
    <w:charset w:val="86"/>
    <w:family w:val="auto"/>
    <w:pitch w:val="default"/>
    <w:sig w:usb0="80000287" w:usb1="2ACF3C50" w:usb2="00000016" w:usb3="00000000" w:csb0="0004001F" w:csb1="00000000"/>
  </w:font>
  <w:font w:name="创艺简仿宋">
    <w:altName w:val="仿宋"/>
    <w:panose1 w:val="00000000000000000000"/>
    <w:charset w:val="86"/>
    <w:family w:val="auto"/>
    <w:pitch w:val="default"/>
    <w:sig w:usb0="00000000" w:usb1="00000000" w:usb2="00000010" w:usb3="00000000" w:csb0="00040000" w:csb1="00000000"/>
  </w:font>
  <w:font w:name="Menlo">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新宋体">
    <w:panose1 w:val="02010609030101010101"/>
    <w:charset w:val="86"/>
    <w:family w:val="modern"/>
    <w:pitch w:val="default"/>
    <w:sig w:usb0="00000203" w:usb1="288F0000" w:usb2="00000006" w:usb3="00000000" w:csb0="00040001" w:csb1="00000000"/>
  </w:font>
  <w:font w:name="KSOF025BBAAE">
    <w:panose1 w:val="020B0503020204020204"/>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0E0021">
    <w:pPr>
      <w:pStyle w:val="76"/>
      <w:rPr>
        <w:rStyle w:val="44"/>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6F7A70">
                          <w:pPr>
                            <w:pStyle w:val="16"/>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14:paraId="376F7A70">
                    <w:pPr>
                      <w:pStyle w:val="16"/>
                    </w:pPr>
                    <w:r>
                      <w:fldChar w:fldCharType="begin"/>
                    </w:r>
                    <w:r>
                      <w:instrText xml:space="preserve"> PAGE  \* MERGEFORMAT </w:instrText>
                    </w:r>
                    <w:r>
                      <w:fldChar w:fldCharType="separate"/>
                    </w:r>
                    <w:r>
                      <w:t>2</w:t>
                    </w:r>
                    <w:r>
                      <w:fldChar w:fldCharType="end"/>
                    </w:r>
                  </w:p>
                </w:txbxContent>
              </v:textbox>
            </v:shape>
          </w:pict>
        </mc:Fallback>
      </mc:AlternateContent>
    </w:r>
    <w:r>
      <w:rPr>
        <w:rStyle w:val="44"/>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409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426BE180">
                          <w:pPr>
                            <w:pStyle w:val="76"/>
                            <w:rPr>
                              <w:rStyle w:val="44"/>
                            </w:rPr>
                          </w:pPr>
                        </w:p>
                        <w:p w14:paraId="5C6F2923">
                          <w:pPr>
                            <w:rPr>
                              <w:rStyle w:val="44"/>
                            </w:rPr>
                          </w:pPr>
                        </w:p>
                      </w:txbxContent>
                    </wps:txbx>
                    <wps:bodyPr lIns="0" tIns="0" rIns="0" bIns="0" upright="1"/>
                  </wps:wsp>
                </a:graphicData>
              </a:graphic>
            </wp:anchor>
          </w:drawing>
        </mc:Choice>
        <mc:Fallback>
          <w:pict>
            <v:shape id="4098" o:spid="_x0000_s1026" o:spt="202" type="#_x0000_t202" style="position:absolute;left:0pt;margin-top:0pt;height:144pt;width:144pt;mso-position-horizontal:center;mso-position-horizontal-relative:margin;z-index:251661312;mso-width-relative:page;mso-height-relative:page;" filled="f" stroked="f" coordsize="21600,21600" o:gfxdata="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D97uOX0gAAAAUBAAAP&#10;AAAAAAAAAAEAIAAAACIAAABkcnMvZG93bnJldi54bWxQSwECFAAUAAAACACHTuJA4wx8DawBAAB2&#10;AwAADgAAAAAAAAABACAAAAAhAQAAZHJzL2Uyb0RvYy54bWxQSwUGAAAAAAYABgBZAQAAPwUAAAAA&#10;">
              <v:fill on="f" focussize="0,0"/>
              <v:stroke on="f" weight="1.25pt"/>
              <v:imagedata o:title=""/>
              <o:lock v:ext="edit" aspectratio="f"/>
              <v:textbox inset="0mm,0mm,0mm,0mm">
                <w:txbxContent>
                  <w:p w14:paraId="426BE180">
                    <w:pPr>
                      <w:pStyle w:val="76"/>
                      <w:rPr>
                        <w:rStyle w:val="44"/>
                      </w:rPr>
                    </w:pPr>
                  </w:p>
                  <w:p w14:paraId="5C6F2923">
                    <w:pPr>
                      <w:rPr>
                        <w:rStyle w:val="44"/>
                      </w:rPr>
                    </w:pPr>
                  </w:p>
                </w:txbxContent>
              </v:textbox>
            </v:shape>
          </w:pict>
        </mc:Fallback>
      </mc:AlternateContent>
    </w:r>
    <w:r>
      <w:rPr>
        <w:rStyle w:val="44"/>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972185" cy="147955"/>
              <wp:effectExtent l="0" t="0" r="0" b="0"/>
              <wp:wrapNone/>
              <wp:docPr id="4" name="4099"/>
              <wp:cNvGraphicFramePr/>
              <a:graphic xmlns:a="http://schemas.openxmlformats.org/drawingml/2006/main">
                <a:graphicData uri="http://schemas.microsoft.com/office/word/2010/wordprocessingShape">
                  <wps:wsp>
                    <wps:cNvSpPr txBox="1"/>
                    <wps:spPr>
                      <a:xfrm>
                        <a:off x="0" y="0"/>
                        <a:ext cx="972185" cy="147955"/>
                      </a:xfrm>
                      <a:prstGeom prst="rect">
                        <a:avLst/>
                      </a:prstGeom>
                      <a:noFill/>
                      <a:ln>
                        <a:noFill/>
                      </a:ln>
                    </wps:spPr>
                    <wps:txbx>
                      <w:txbxContent>
                        <w:p w14:paraId="2D5489A8">
                          <w:pPr>
                            <w:snapToGrid w:val="0"/>
                            <w:rPr>
                              <w:rStyle w:val="44"/>
                              <w:sz w:val="18"/>
                            </w:rPr>
                          </w:pPr>
                        </w:p>
                        <w:p w14:paraId="14C0F245">
                          <w:pPr>
                            <w:rPr>
                              <w:rStyle w:val="44"/>
                            </w:rPr>
                          </w:pPr>
                        </w:p>
                      </w:txbxContent>
                    </wps:txbx>
                    <wps:bodyPr lIns="0" tIns="0" rIns="0" bIns="0" upright="1"/>
                  </wps:wsp>
                </a:graphicData>
              </a:graphic>
            </wp:anchor>
          </w:drawing>
        </mc:Choice>
        <mc:Fallback>
          <w:pict>
            <v:shape id="4099" o:spid="_x0000_s1026" o:spt="202" type="#_x0000_t202" style="position:absolute;left:0pt;margin-top:0pt;height:11.65pt;width:76.55pt;mso-position-horizontal:center;mso-position-horizontal-relative:margin;z-index:251662336;mso-width-relative:page;mso-height-relative:page;" filled="f" stroked="f" coordsize="21600,21600" o:gfxdata="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">
              <v:fill on="f" focussize="0,0"/>
              <v:stroke on="f"/>
              <v:imagedata o:title=""/>
              <o:lock v:ext="edit" aspectratio="f"/>
              <v:textbox inset="0mm,0mm,0mm,0mm">
                <w:txbxContent>
                  <w:p w14:paraId="2D5489A8">
                    <w:pPr>
                      <w:snapToGrid w:val="0"/>
                      <w:rPr>
                        <w:rStyle w:val="44"/>
                        <w:sz w:val="18"/>
                      </w:rPr>
                    </w:pPr>
                  </w:p>
                  <w:p w14:paraId="14C0F245">
                    <w:pPr>
                      <w:rPr>
                        <w:rStyle w:val="44"/>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55CAB4">
    <w:pPr>
      <w:pStyle w:val="76"/>
      <w:framePr w:wrap="around" w:vAnchor="margin" w:hAnchor="text" w:xAlign="right" w:y="1"/>
      <w:rPr>
        <w:rStyle w:val="100"/>
      </w:rPr>
    </w:pPr>
  </w:p>
  <w:p w14:paraId="1C367071">
    <w:pPr>
      <w:pStyle w:val="76"/>
      <w:ind w:right="360" w:firstLine="360"/>
      <w:rPr>
        <w:rStyle w:val="4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F8FD00">
    <w:pPr>
      <w:pStyle w:val="76"/>
      <w:jc w:val="center"/>
      <w:rPr>
        <w:rStyle w:val="44"/>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426530">
                          <w:pPr>
                            <w:pStyle w:val="1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66C/ssAgAAV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nroL+ywCAABVBAAADgAAAAAAAAABACAAAAAfAQAAZHJzL2Uyb0RvYy54bWxQSwUGAAAAAAYA&#10;BgBZAQAAvQUAAAAA&#10;">
              <v:fill on="f" focussize="0,0"/>
              <v:stroke on="f" weight="0.5pt"/>
              <v:imagedata o:title=""/>
              <o:lock v:ext="edit" aspectratio="f"/>
              <v:textbox inset="0mm,0mm,0mm,0mm" style="mso-fit-shape-to-text:t;">
                <w:txbxContent>
                  <w:p w14:paraId="21426530">
                    <w:pPr>
                      <w:pStyle w:val="16"/>
                    </w:pPr>
                    <w:r>
                      <w:fldChar w:fldCharType="begin"/>
                    </w:r>
                    <w:r>
                      <w:instrText xml:space="preserve"> PAGE  \* MERGEFORMAT </w:instrText>
                    </w:r>
                    <w:r>
                      <w:fldChar w:fldCharType="separate"/>
                    </w:r>
                    <w:r>
                      <w:t>1</w:t>
                    </w:r>
                    <w:r>
                      <w:fldChar w:fldCharType="end"/>
                    </w:r>
                  </w:p>
                </w:txbxContent>
              </v:textbox>
            </v:shape>
          </w:pict>
        </mc:Fallback>
      </mc:AlternateContent>
    </w:r>
    <w:r>
      <w:rPr>
        <w:rStyle w:val="4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410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357E2779">
                          <w:pPr>
                            <w:pStyle w:val="76"/>
                            <w:rPr>
                              <w:rStyle w:val="44"/>
                            </w:rPr>
                          </w:pPr>
                        </w:p>
                        <w:p w14:paraId="3804B693">
                          <w:pPr>
                            <w:rPr>
                              <w:rStyle w:val="44"/>
                            </w:rPr>
                          </w:pPr>
                        </w:p>
                      </w:txbxContent>
                    </wps:txbx>
                    <wps:bodyPr lIns="0" tIns="0" rIns="0" bIns="0" upright="1"/>
                  </wps:wsp>
                </a:graphicData>
              </a:graphic>
            </wp:anchor>
          </w:drawing>
        </mc:Choice>
        <mc:Fallback>
          <w:pict>
            <v:shape id="4100" o:spid="_x0000_s1026" o:spt="202" type="#_x0000_t202" style="position:absolute;left:0pt;margin-top:0pt;height:144pt;width:144pt;mso-position-horizontal:center;mso-position-horizontal-relative:margin;z-index:251659264;mso-width-relative:page;mso-height-relative:page;" filled="f" stroked="f" coordsize="21600,21600" o:gfxdata="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">
              <v:fill on="f" focussize="0,0"/>
              <v:stroke on="f" weight="1.25pt"/>
              <v:imagedata o:title=""/>
              <o:lock v:ext="edit" aspectratio="f"/>
              <v:textbox inset="0mm,0mm,0mm,0mm">
                <w:txbxContent>
                  <w:p w14:paraId="357E2779">
                    <w:pPr>
                      <w:pStyle w:val="76"/>
                      <w:rPr>
                        <w:rStyle w:val="44"/>
                      </w:rPr>
                    </w:pPr>
                  </w:p>
                  <w:p w14:paraId="3804B693">
                    <w:pPr>
                      <w:rPr>
                        <w:rStyle w:val="44"/>
                      </w:rPr>
                    </w:pPr>
                  </w:p>
                </w:txbxContent>
              </v:textbox>
            </v:shape>
          </w:pict>
        </mc:Fallback>
      </mc:AlternateContent>
    </w:r>
    <w:r>
      <w:rPr>
        <w:rStyle w:val="4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857885" cy="147955"/>
              <wp:effectExtent l="0" t="0" r="0" b="0"/>
              <wp:wrapNone/>
              <wp:docPr id="2" name="4101"/>
              <wp:cNvGraphicFramePr/>
              <a:graphic xmlns:a="http://schemas.openxmlformats.org/drawingml/2006/main">
                <a:graphicData uri="http://schemas.microsoft.com/office/word/2010/wordprocessingShape">
                  <wps:wsp>
                    <wps:cNvSpPr txBox="1"/>
                    <wps:spPr>
                      <a:xfrm>
                        <a:off x="0" y="0"/>
                        <a:ext cx="857885" cy="147955"/>
                      </a:xfrm>
                      <a:prstGeom prst="rect">
                        <a:avLst/>
                      </a:prstGeom>
                      <a:noFill/>
                      <a:ln>
                        <a:noFill/>
                      </a:ln>
                    </wps:spPr>
                    <wps:txbx>
                      <w:txbxContent>
                        <w:p w14:paraId="5F46F0A0">
                          <w:pPr>
                            <w:snapToGrid w:val="0"/>
                            <w:rPr>
                              <w:rStyle w:val="44"/>
                              <w:sz w:val="18"/>
                            </w:rPr>
                          </w:pPr>
                        </w:p>
                        <w:p w14:paraId="2B6C7406">
                          <w:pPr>
                            <w:rPr>
                              <w:rStyle w:val="44"/>
                            </w:rPr>
                          </w:pPr>
                        </w:p>
                      </w:txbxContent>
                    </wps:txbx>
                    <wps:bodyPr lIns="0" tIns="0" rIns="0" bIns="0" upright="1"/>
                  </wps:wsp>
                </a:graphicData>
              </a:graphic>
            </wp:anchor>
          </w:drawing>
        </mc:Choice>
        <mc:Fallback>
          <w:pict>
            <v:shape id="4101" o:spid="_x0000_s1026" o:spt="202" type="#_x0000_t202" style="position:absolute;left:0pt;margin-top:0pt;height:11.65pt;width:67.55pt;mso-position-horizontal:center;mso-position-horizontal-relative:margin;z-index:251660288;mso-width-relative:page;mso-height-relative:page;" filled="f" stroked="f" coordsize="21600,21600" o:gfxdata="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">
              <v:fill on="f" focussize="0,0"/>
              <v:stroke on="f"/>
              <v:imagedata o:title=""/>
              <o:lock v:ext="edit" aspectratio="f"/>
              <v:textbox inset="0mm,0mm,0mm,0mm">
                <w:txbxContent>
                  <w:p w14:paraId="5F46F0A0">
                    <w:pPr>
                      <w:snapToGrid w:val="0"/>
                      <w:rPr>
                        <w:rStyle w:val="44"/>
                        <w:sz w:val="18"/>
                      </w:rPr>
                    </w:pPr>
                  </w:p>
                  <w:p w14:paraId="2B6C7406">
                    <w:pPr>
                      <w:rPr>
                        <w:rStyle w:val="44"/>
                      </w:rPr>
                    </w:pP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4484F5">
    <w:pPr>
      <w:pStyle w:val="76"/>
      <w:ind w:right="180"/>
      <w:jc w:val="center"/>
      <w:rPr>
        <w:rStyle w:val="44"/>
      </w:rPr>
    </w:pPr>
    <w:r>
      <w:rPr>
        <w:rStyle w:val="44"/>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022985" cy="189865"/>
              <wp:effectExtent l="0" t="0" r="0" b="0"/>
              <wp:wrapNone/>
              <wp:docPr id="5" name="4102"/>
              <wp:cNvGraphicFramePr/>
              <a:graphic xmlns:a="http://schemas.openxmlformats.org/drawingml/2006/main">
                <a:graphicData uri="http://schemas.microsoft.com/office/word/2010/wordprocessingShape">
                  <wps:wsp>
                    <wps:cNvSpPr txBox="1"/>
                    <wps:spPr>
                      <a:xfrm>
                        <a:off x="0" y="0"/>
                        <a:ext cx="1022985" cy="189865"/>
                      </a:xfrm>
                      <a:prstGeom prst="rect">
                        <a:avLst/>
                      </a:prstGeom>
                      <a:noFill/>
                      <a:ln>
                        <a:noFill/>
                      </a:ln>
                    </wps:spPr>
                    <wps:txbx>
                      <w:txbxContent>
                        <w:p w14:paraId="7F4D6A0E">
                          <w:pPr>
                            <w:snapToGrid w:val="0"/>
                            <w:rPr>
                              <w:rStyle w:val="44"/>
                              <w:sz w:val="18"/>
                            </w:rPr>
                          </w:pPr>
                          <w:r>
                            <w:rPr>
                              <w:rStyle w:val="44"/>
                              <w:sz w:val="18"/>
                            </w:rPr>
                            <w:t>第  页 共 29 页</w:t>
                          </w:r>
                        </w:p>
                        <w:p w14:paraId="640765A2">
                          <w:pPr>
                            <w:rPr>
                              <w:rStyle w:val="44"/>
                            </w:rPr>
                          </w:pPr>
                        </w:p>
                      </w:txbxContent>
                    </wps:txbx>
                    <wps:bodyPr lIns="0" tIns="0" rIns="0" bIns="0" upright="1"/>
                  </wps:wsp>
                </a:graphicData>
              </a:graphic>
            </wp:anchor>
          </w:drawing>
        </mc:Choice>
        <mc:Fallback>
          <w:pict>
            <v:shape id="4102" o:spid="_x0000_s1026" o:spt="202" type="#_x0000_t202" style="position:absolute;left:0pt;margin-top:0pt;height:14.95pt;width:80.55pt;mso-position-horizontal:center;mso-position-horizontal-relative:margin;z-index:251662336;mso-width-relative:page;mso-height-relative:page;" filled="f" stroked="f" coordsize="21600,21600" o:gfxdata="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">
              <v:fill on="f" focussize="0,0"/>
              <v:stroke on="f"/>
              <v:imagedata o:title=""/>
              <o:lock v:ext="edit" aspectratio="f"/>
              <v:textbox inset="0mm,0mm,0mm,0mm">
                <w:txbxContent>
                  <w:p w14:paraId="7F4D6A0E">
                    <w:pPr>
                      <w:snapToGrid w:val="0"/>
                      <w:rPr>
                        <w:rStyle w:val="44"/>
                        <w:sz w:val="18"/>
                      </w:rPr>
                    </w:pPr>
                    <w:r>
                      <w:rPr>
                        <w:rStyle w:val="44"/>
                        <w:sz w:val="18"/>
                      </w:rPr>
                      <w:t>第  页 共 29 页</w:t>
                    </w:r>
                  </w:p>
                  <w:p w14:paraId="640765A2">
                    <w:pPr>
                      <w:rPr>
                        <w:rStyle w:val="44"/>
                      </w:rPr>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760CBE">
    <w:pPr>
      <w:pStyle w:val="78"/>
      <w:rPr>
        <w:rStyle w:val="44"/>
      </w:rPr>
    </w:pPr>
    <w:r>
      <w:rPr>
        <w:rStyle w:val="44"/>
      </w:rPr>
      <w:t>南</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2B865A">
    <w:pPr>
      <w:pStyle w:val="78"/>
      <w:rPr>
        <w:rStyle w:val="4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28F022">
    <w:pPr>
      <w:tabs>
        <w:tab w:val="left" w:pos="6300"/>
      </w:tabs>
      <w:snapToGrid w:val="0"/>
      <w:spacing w:line="300" w:lineRule="auto"/>
      <w:rPr>
        <w:rStyle w:val="44"/>
        <w:b/>
        <w:color w:val="00000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E5E752">
    <w:pPr>
      <w:pStyle w:val="78"/>
      <w:pBdr>
        <w:bottom w:val="none" w:color="auto" w:sz="0" w:space="0"/>
      </w:pBdr>
      <w:tabs>
        <w:tab w:val="left" w:pos="540"/>
      </w:tabs>
      <w:jc w:val="both"/>
      <w:rPr>
        <w:rStyle w:val="44"/>
      </w:rPr>
    </w:pPr>
    <w:r>
      <w:rPr>
        <w:rStyle w:val="44"/>
      </w:rPr>
      <w:tab/>
    </w:r>
    <w:r>
      <w:rPr>
        <w:rStyle w:val="44"/>
      </w:rPr>
      <w:tab/>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C7397B">
    <w:pPr>
      <w:tabs>
        <w:tab w:val="left" w:pos="6300"/>
      </w:tabs>
      <w:snapToGrid w:val="0"/>
      <w:spacing w:line="300" w:lineRule="auto"/>
      <w:rPr>
        <w:rStyle w:val="44"/>
      </w:rPr>
    </w:pPr>
    <w:r>
      <w:rPr>
        <w:rStyle w:val="44"/>
        <w:b/>
        <w:color w:val="000000"/>
      </w:rPr>
      <w:t xml:space="preserve">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598B35">
    <w:pPr>
      <w:tabs>
        <w:tab w:val="left" w:pos="6300"/>
      </w:tabs>
      <w:snapToGrid w:val="0"/>
      <w:spacing w:line="300" w:lineRule="auto"/>
      <w:rPr>
        <w:rStyle w:val="4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959152A"/>
    <w:multiLevelType w:val="singleLevel"/>
    <w:tmpl w:val="C959152A"/>
    <w:lvl w:ilvl="0" w:tentative="0">
      <w:start w:val="1"/>
      <w:numFmt w:val="bullet"/>
      <w:pStyle w:val="33"/>
      <w:lvlText w:val=""/>
      <w:lvlJc w:val="left"/>
      <w:pPr>
        <w:tabs>
          <w:tab w:val="left" w:pos="780"/>
        </w:tabs>
        <w:ind w:left="780" w:hanging="360"/>
      </w:pPr>
      <w:rPr>
        <w:rFonts w:ascii="Wingdings" w:hAnsi="Wingdings"/>
      </w:rPr>
    </w:lvl>
  </w:abstractNum>
  <w:abstractNum w:abstractNumId="1">
    <w:nsid w:val="D7573C3E"/>
    <w:multiLevelType w:val="singleLevel"/>
    <w:tmpl w:val="D7573C3E"/>
    <w:lvl w:ilvl="0" w:tentative="0">
      <w:start w:val="1"/>
      <w:numFmt w:val="decimal"/>
      <w:pStyle w:val="14"/>
      <w:lvlText w:val="%1."/>
      <w:lvlJc w:val="left"/>
      <w:pPr>
        <w:tabs>
          <w:tab w:val="left" w:pos="2040"/>
        </w:tabs>
        <w:ind w:left="2040" w:hanging="360"/>
      </w:pPr>
    </w:lvl>
  </w:abstractNum>
  <w:abstractNum w:abstractNumId="2">
    <w:nsid w:val="00000005"/>
    <w:multiLevelType w:val="singleLevel"/>
    <w:tmpl w:val="00000005"/>
    <w:lvl w:ilvl="0" w:tentative="0">
      <w:start w:val="2"/>
      <w:numFmt w:val="chineseCounting"/>
      <w:suff w:val="nothing"/>
      <w:lvlText w:val="（%1）"/>
      <w:lvlJc w:val="left"/>
      <w:pPr>
        <w:textAlignment w:val="baseline"/>
      </w:pPr>
    </w:lvl>
  </w:abstractNum>
  <w:abstractNum w:abstractNumId="3">
    <w:nsid w:val="00000006"/>
    <w:multiLevelType w:val="singleLevel"/>
    <w:tmpl w:val="00000006"/>
    <w:lvl w:ilvl="0" w:tentative="0">
      <w:start w:val="1"/>
      <w:numFmt w:val="chineseCounting"/>
      <w:suff w:val="space"/>
      <w:lvlText w:val="第%1章"/>
      <w:lvlJc w:val="left"/>
      <w:rPr>
        <w:rFonts w:hint="eastAsia"/>
      </w:rPr>
    </w:lvl>
  </w:abstractNum>
  <w:abstractNum w:abstractNumId="4">
    <w:nsid w:val="0000000F"/>
    <w:multiLevelType w:val="multilevel"/>
    <w:tmpl w:val="0000000F"/>
    <w:lvl w:ilvl="0" w:tentative="0">
      <w:start w:val="1"/>
      <w:numFmt w:val="chineseCountingThousand"/>
      <w:pStyle w:val="4"/>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00000010"/>
    <w:multiLevelType w:val="multilevel"/>
    <w:tmpl w:val="00000010"/>
    <w:lvl w:ilvl="0" w:tentative="0">
      <w:start w:val="1"/>
      <w:numFmt w:val="chineseCountingThousand"/>
      <w:pStyle w:val="5"/>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4"/>
  </w:num>
  <w:num w:numId="2">
    <w:abstractNumId w:val="5"/>
  </w:num>
  <w:num w:numId="3">
    <w:abstractNumId w:val="1"/>
  </w:num>
  <w:num w:numId="4">
    <w:abstractNumId w:val="0"/>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cumentProtection w:enforcement="0"/>
  <w:defaultTabStop w:val="425"/>
  <w:doNotUseMarginsForDrawingGridOrigin w:val="1"/>
  <w:drawingGridHorizontalOrigin w:val="1800"/>
  <w:drawingGridVerticalOrigin w:val="1440"/>
  <w:noPunctuationKerning w:val="1"/>
  <w:characterSpacingControl w:val="doNotCompress"/>
  <w:footnotePr>
    <w:footnote w:id="0"/>
    <w:footnote w:id="1"/>
  </w:footnotePr>
  <w:endnotePr>
    <w:endnote w:id="0"/>
    <w:endnote w:id="1"/>
  </w:endnotePr>
  <w:compat>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ZhMDgzZWU2Njk2YWFmOTg0NzQzMDU2NTE2ODQyYzAifQ=="/>
  </w:docVars>
  <w:rsids>
    <w:rsidRoot w:val="00172A27"/>
    <w:rsid w:val="00172A27"/>
    <w:rsid w:val="00364CEA"/>
    <w:rsid w:val="00530E82"/>
    <w:rsid w:val="0064672E"/>
    <w:rsid w:val="00757B9E"/>
    <w:rsid w:val="00765B3D"/>
    <w:rsid w:val="00775738"/>
    <w:rsid w:val="00842896"/>
    <w:rsid w:val="00E6076F"/>
    <w:rsid w:val="00FD28AC"/>
    <w:rsid w:val="01260E98"/>
    <w:rsid w:val="01377292"/>
    <w:rsid w:val="01CA4716"/>
    <w:rsid w:val="01D4523A"/>
    <w:rsid w:val="028D4436"/>
    <w:rsid w:val="02B6125B"/>
    <w:rsid w:val="03483348"/>
    <w:rsid w:val="034F2E93"/>
    <w:rsid w:val="035A307B"/>
    <w:rsid w:val="03637B35"/>
    <w:rsid w:val="0387006A"/>
    <w:rsid w:val="03C72B80"/>
    <w:rsid w:val="03D031B4"/>
    <w:rsid w:val="03DD40E2"/>
    <w:rsid w:val="04090D29"/>
    <w:rsid w:val="041E32B7"/>
    <w:rsid w:val="04AC4469"/>
    <w:rsid w:val="04CE043A"/>
    <w:rsid w:val="04E31A4C"/>
    <w:rsid w:val="04FA7115"/>
    <w:rsid w:val="057F184B"/>
    <w:rsid w:val="05A607FA"/>
    <w:rsid w:val="05A82B67"/>
    <w:rsid w:val="05C55124"/>
    <w:rsid w:val="05DD3877"/>
    <w:rsid w:val="05DE136C"/>
    <w:rsid w:val="05ED1BE1"/>
    <w:rsid w:val="0622640F"/>
    <w:rsid w:val="062C1654"/>
    <w:rsid w:val="06755150"/>
    <w:rsid w:val="06986941"/>
    <w:rsid w:val="06B70F10"/>
    <w:rsid w:val="06F76370"/>
    <w:rsid w:val="075B2A05"/>
    <w:rsid w:val="0761419A"/>
    <w:rsid w:val="07632E46"/>
    <w:rsid w:val="07F10452"/>
    <w:rsid w:val="07F73F14"/>
    <w:rsid w:val="08150B96"/>
    <w:rsid w:val="082476FC"/>
    <w:rsid w:val="082D6FB0"/>
    <w:rsid w:val="08343B75"/>
    <w:rsid w:val="087523D5"/>
    <w:rsid w:val="08B2796D"/>
    <w:rsid w:val="08E81CF0"/>
    <w:rsid w:val="099E48D1"/>
    <w:rsid w:val="09DB3168"/>
    <w:rsid w:val="0A0C05B1"/>
    <w:rsid w:val="0A3B48B9"/>
    <w:rsid w:val="0A9A1D9C"/>
    <w:rsid w:val="0ADF52ED"/>
    <w:rsid w:val="0AE45D1C"/>
    <w:rsid w:val="0B420FC5"/>
    <w:rsid w:val="0BC11EE9"/>
    <w:rsid w:val="0C200CCA"/>
    <w:rsid w:val="0C367B35"/>
    <w:rsid w:val="0C4E1E1A"/>
    <w:rsid w:val="0C5C2550"/>
    <w:rsid w:val="0C9615C8"/>
    <w:rsid w:val="0D0C0CD0"/>
    <w:rsid w:val="0D7758B2"/>
    <w:rsid w:val="0E744EB4"/>
    <w:rsid w:val="0E99353B"/>
    <w:rsid w:val="0ED65CAC"/>
    <w:rsid w:val="0F024913"/>
    <w:rsid w:val="0F1A350D"/>
    <w:rsid w:val="0F264E85"/>
    <w:rsid w:val="0F344D93"/>
    <w:rsid w:val="0F423341"/>
    <w:rsid w:val="0F760A24"/>
    <w:rsid w:val="0FC1070A"/>
    <w:rsid w:val="10196798"/>
    <w:rsid w:val="1057164E"/>
    <w:rsid w:val="108959FA"/>
    <w:rsid w:val="10A4789A"/>
    <w:rsid w:val="10BE5C37"/>
    <w:rsid w:val="10C01072"/>
    <w:rsid w:val="11683CF4"/>
    <w:rsid w:val="11867E5D"/>
    <w:rsid w:val="119D51A7"/>
    <w:rsid w:val="11FC5EC4"/>
    <w:rsid w:val="12057B1E"/>
    <w:rsid w:val="12270DDE"/>
    <w:rsid w:val="123B37FA"/>
    <w:rsid w:val="123C49B5"/>
    <w:rsid w:val="125448F2"/>
    <w:rsid w:val="12605473"/>
    <w:rsid w:val="12614426"/>
    <w:rsid w:val="12665599"/>
    <w:rsid w:val="12751495"/>
    <w:rsid w:val="127E28E2"/>
    <w:rsid w:val="128B4FFF"/>
    <w:rsid w:val="12AB389D"/>
    <w:rsid w:val="12B83E18"/>
    <w:rsid w:val="12DA1AE3"/>
    <w:rsid w:val="12FD5DF9"/>
    <w:rsid w:val="13113A7C"/>
    <w:rsid w:val="137E6302"/>
    <w:rsid w:val="13D17672"/>
    <w:rsid w:val="13D754E4"/>
    <w:rsid w:val="13F6266A"/>
    <w:rsid w:val="14432035"/>
    <w:rsid w:val="144724C3"/>
    <w:rsid w:val="1467582C"/>
    <w:rsid w:val="14D44347"/>
    <w:rsid w:val="152466FE"/>
    <w:rsid w:val="157707EC"/>
    <w:rsid w:val="15C0438C"/>
    <w:rsid w:val="15C92298"/>
    <w:rsid w:val="16310600"/>
    <w:rsid w:val="16674B8C"/>
    <w:rsid w:val="166D339A"/>
    <w:rsid w:val="16885A42"/>
    <w:rsid w:val="16F03802"/>
    <w:rsid w:val="17223FB8"/>
    <w:rsid w:val="177B7D38"/>
    <w:rsid w:val="178D71FC"/>
    <w:rsid w:val="17B66205"/>
    <w:rsid w:val="17BE19D3"/>
    <w:rsid w:val="1821051F"/>
    <w:rsid w:val="1821451A"/>
    <w:rsid w:val="183028D1"/>
    <w:rsid w:val="185D2F9A"/>
    <w:rsid w:val="19356E47"/>
    <w:rsid w:val="193B4DF8"/>
    <w:rsid w:val="195844C8"/>
    <w:rsid w:val="19C12D1B"/>
    <w:rsid w:val="1A920163"/>
    <w:rsid w:val="1AF028AF"/>
    <w:rsid w:val="1BB222C0"/>
    <w:rsid w:val="1BDA45A3"/>
    <w:rsid w:val="1BDD1408"/>
    <w:rsid w:val="1C132598"/>
    <w:rsid w:val="1C19367C"/>
    <w:rsid w:val="1C4E1577"/>
    <w:rsid w:val="1CD02107"/>
    <w:rsid w:val="1CDD6D9F"/>
    <w:rsid w:val="1D023A97"/>
    <w:rsid w:val="1D0646D0"/>
    <w:rsid w:val="1D0A0D4D"/>
    <w:rsid w:val="1D1C1676"/>
    <w:rsid w:val="1D1F4CC2"/>
    <w:rsid w:val="1D290FE7"/>
    <w:rsid w:val="1D530F42"/>
    <w:rsid w:val="1E5C06AF"/>
    <w:rsid w:val="1E5E7A6C"/>
    <w:rsid w:val="1ED63E9A"/>
    <w:rsid w:val="1F0C4E90"/>
    <w:rsid w:val="1F354FC8"/>
    <w:rsid w:val="1F840693"/>
    <w:rsid w:val="1FCA131A"/>
    <w:rsid w:val="1FED0191"/>
    <w:rsid w:val="1FF64400"/>
    <w:rsid w:val="205B0707"/>
    <w:rsid w:val="207459D3"/>
    <w:rsid w:val="208C62EB"/>
    <w:rsid w:val="20A3083C"/>
    <w:rsid w:val="20C42BDF"/>
    <w:rsid w:val="21244F9D"/>
    <w:rsid w:val="213C0A60"/>
    <w:rsid w:val="214C7B3F"/>
    <w:rsid w:val="215C0B1F"/>
    <w:rsid w:val="217A2058"/>
    <w:rsid w:val="21933ED0"/>
    <w:rsid w:val="21D146CE"/>
    <w:rsid w:val="21F6732A"/>
    <w:rsid w:val="22D70707"/>
    <w:rsid w:val="22EA6095"/>
    <w:rsid w:val="23DC1B5F"/>
    <w:rsid w:val="244509F9"/>
    <w:rsid w:val="244E37C0"/>
    <w:rsid w:val="245A1ED5"/>
    <w:rsid w:val="246A1531"/>
    <w:rsid w:val="24AE0F3E"/>
    <w:rsid w:val="24FF741B"/>
    <w:rsid w:val="25207829"/>
    <w:rsid w:val="2550492B"/>
    <w:rsid w:val="25506B93"/>
    <w:rsid w:val="26587A0C"/>
    <w:rsid w:val="26F90B93"/>
    <w:rsid w:val="27933A2F"/>
    <w:rsid w:val="27B400B3"/>
    <w:rsid w:val="27C50C1A"/>
    <w:rsid w:val="27D55071"/>
    <w:rsid w:val="27F751B9"/>
    <w:rsid w:val="28100259"/>
    <w:rsid w:val="28C54A49"/>
    <w:rsid w:val="28F65823"/>
    <w:rsid w:val="29030196"/>
    <w:rsid w:val="29087C0B"/>
    <w:rsid w:val="292F6A67"/>
    <w:rsid w:val="29314D6E"/>
    <w:rsid w:val="29453680"/>
    <w:rsid w:val="295757E3"/>
    <w:rsid w:val="295E5E8B"/>
    <w:rsid w:val="297D0F61"/>
    <w:rsid w:val="2A1619CB"/>
    <w:rsid w:val="2A685EFA"/>
    <w:rsid w:val="2AB32EED"/>
    <w:rsid w:val="2ADB0124"/>
    <w:rsid w:val="2B1F0692"/>
    <w:rsid w:val="2B3E2ABE"/>
    <w:rsid w:val="2B7814FB"/>
    <w:rsid w:val="2BF61963"/>
    <w:rsid w:val="2D8D7A26"/>
    <w:rsid w:val="2E016643"/>
    <w:rsid w:val="2E0C1888"/>
    <w:rsid w:val="2E1A4A99"/>
    <w:rsid w:val="2E2A2DB4"/>
    <w:rsid w:val="2E6B113D"/>
    <w:rsid w:val="2E6E7857"/>
    <w:rsid w:val="2EFE7B1A"/>
    <w:rsid w:val="2FAD3E3B"/>
    <w:rsid w:val="2FCF7117"/>
    <w:rsid w:val="2FDC1157"/>
    <w:rsid w:val="2FE949C1"/>
    <w:rsid w:val="304E3828"/>
    <w:rsid w:val="306B7B89"/>
    <w:rsid w:val="30785DA3"/>
    <w:rsid w:val="30935189"/>
    <w:rsid w:val="30AE058D"/>
    <w:rsid w:val="3128669C"/>
    <w:rsid w:val="313308E4"/>
    <w:rsid w:val="314221DE"/>
    <w:rsid w:val="31927D00"/>
    <w:rsid w:val="32681EA9"/>
    <w:rsid w:val="3290268C"/>
    <w:rsid w:val="329A05D0"/>
    <w:rsid w:val="33823918"/>
    <w:rsid w:val="33BA05EA"/>
    <w:rsid w:val="33C65265"/>
    <w:rsid w:val="34366B61"/>
    <w:rsid w:val="346E1088"/>
    <w:rsid w:val="3522630E"/>
    <w:rsid w:val="353F5AA9"/>
    <w:rsid w:val="357928FA"/>
    <w:rsid w:val="358E5AF3"/>
    <w:rsid w:val="35F74A58"/>
    <w:rsid w:val="365057FE"/>
    <w:rsid w:val="36653C36"/>
    <w:rsid w:val="36AE1B85"/>
    <w:rsid w:val="36EA770A"/>
    <w:rsid w:val="377E3F53"/>
    <w:rsid w:val="37AE43DE"/>
    <w:rsid w:val="380D2E43"/>
    <w:rsid w:val="38891B84"/>
    <w:rsid w:val="388C6E31"/>
    <w:rsid w:val="389D5322"/>
    <w:rsid w:val="38CE3F70"/>
    <w:rsid w:val="38DA279F"/>
    <w:rsid w:val="39216B01"/>
    <w:rsid w:val="39CE1AF2"/>
    <w:rsid w:val="3A0476F8"/>
    <w:rsid w:val="3A103EB8"/>
    <w:rsid w:val="3A655FB2"/>
    <w:rsid w:val="3A886145"/>
    <w:rsid w:val="3AEC0481"/>
    <w:rsid w:val="3B037579"/>
    <w:rsid w:val="3B1A032C"/>
    <w:rsid w:val="3BAB4B50"/>
    <w:rsid w:val="3BB1758A"/>
    <w:rsid w:val="3BBC4A99"/>
    <w:rsid w:val="3BD6467A"/>
    <w:rsid w:val="3C0F2B69"/>
    <w:rsid w:val="3C89758D"/>
    <w:rsid w:val="3CAC606F"/>
    <w:rsid w:val="3CB851B6"/>
    <w:rsid w:val="3CBC3E83"/>
    <w:rsid w:val="3CDA58EE"/>
    <w:rsid w:val="3CE04016"/>
    <w:rsid w:val="3D0D40C6"/>
    <w:rsid w:val="3D504A3E"/>
    <w:rsid w:val="3D6702AE"/>
    <w:rsid w:val="3D7D1865"/>
    <w:rsid w:val="3D8E3295"/>
    <w:rsid w:val="3DD07904"/>
    <w:rsid w:val="3E27295E"/>
    <w:rsid w:val="3E361C09"/>
    <w:rsid w:val="3E857011"/>
    <w:rsid w:val="3E8E22C6"/>
    <w:rsid w:val="3EF36F4F"/>
    <w:rsid w:val="3F221BF5"/>
    <w:rsid w:val="3FD634AE"/>
    <w:rsid w:val="3FEA39D1"/>
    <w:rsid w:val="40253294"/>
    <w:rsid w:val="403A096C"/>
    <w:rsid w:val="4080228C"/>
    <w:rsid w:val="40925627"/>
    <w:rsid w:val="409C653F"/>
    <w:rsid w:val="40B26434"/>
    <w:rsid w:val="40C9061E"/>
    <w:rsid w:val="40DE6ABE"/>
    <w:rsid w:val="412B7679"/>
    <w:rsid w:val="414D641A"/>
    <w:rsid w:val="41546D80"/>
    <w:rsid w:val="420D71AC"/>
    <w:rsid w:val="42202600"/>
    <w:rsid w:val="42644DA1"/>
    <w:rsid w:val="42C6700E"/>
    <w:rsid w:val="43073CDD"/>
    <w:rsid w:val="431D7B20"/>
    <w:rsid w:val="434D1CD9"/>
    <w:rsid w:val="44760DBC"/>
    <w:rsid w:val="44B32010"/>
    <w:rsid w:val="44C10425"/>
    <w:rsid w:val="44C61F7F"/>
    <w:rsid w:val="44EC107E"/>
    <w:rsid w:val="4504286C"/>
    <w:rsid w:val="45435142"/>
    <w:rsid w:val="464051BE"/>
    <w:rsid w:val="469814BD"/>
    <w:rsid w:val="46A614B6"/>
    <w:rsid w:val="47357BCE"/>
    <w:rsid w:val="478704A5"/>
    <w:rsid w:val="47CD234C"/>
    <w:rsid w:val="47D36574"/>
    <w:rsid w:val="482A7F9C"/>
    <w:rsid w:val="4875666D"/>
    <w:rsid w:val="489D6874"/>
    <w:rsid w:val="48CA4C16"/>
    <w:rsid w:val="49014440"/>
    <w:rsid w:val="490E3CB9"/>
    <w:rsid w:val="49272384"/>
    <w:rsid w:val="49AA655D"/>
    <w:rsid w:val="49D63B69"/>
    <w:rsid w:val="4A8C74D4"/>
    <w:rsid w:val="4A9449E8"/>
    <w:rsid w:val="4AC26B09"/>
    <w:rsid w:val="4AD87C28"/>
    <w:rsid w:val="4AFD2109"/>
    <w:rsid w:val="4B074E64"/>
    <w:rsid w:val="4B10171C"/>
    <w:rsid w:val="4B307F16"/>
    <w:rsid w:val="4B5A6AA9"/>
    <w:rsid w:val="4B612F69"/>
    <w:rsid w:val="4B683330"/>
    <w:rsid w:val="4B8C5D51"/>
    <w:rsid w:val="4BFC73B7"/>
    <w:rsid w:val="4C60332D"/>
    <w:rsid w:val="4C630A67"/>
    <w:rsid w:val="4CAF79D3"/>
    <w:rsid w:val="4CB050E1"/>
    <w:rsid w:val="4CFF75D5"/>
    <w:rsid w:val="4D163C3E"/>
    <w:rsid w:val="4D1928EF"/>
    <w:rsid w:val="4D31441A"/>
    <w:rsid w:val="4D6640C3"/>
    <w:rsid w:val="4DD16DEF"/>
    <w:rsid w:val="4E1D0B00"/>
    <w:rsid w:val="4E9756D6"/>
    <w:rsid w:val="4EF51D77"/>
    <w:rsid w:val="4EF86F9D"/>
    <w:rsid w:val="4EFA5B5A"/>
    <w:rsid w:val="4F3A01B4"/>
    <w:rsid w:val="4F716D4F"/>
    <w:rsid w:val="4F9B0FCB"/>
    <w:rsid w:val="4FC74BC1"/>
    <w:rsid w:val="4FCC3F86"/>
    <w:rsid w:val="4FD176D0"/>
    <w:rsid w:val="4FEB6B02"/>
    <w:rsid w:val="4FFC425C"/>
    <w:rsid w:val="50246BE6"/>
    <w:rsid w:val="50371D47"/>
    <w:rsid w:val="50485D02"/>
    <w:rsid w:val="50E0049D"/>
    <w:rsid w:val="51081672"/>
    <w:rsid w:val="51DF79C1"/>
    <w:rsid w:val="520D07C9"/>
    <w:rsid w:val="52F6132D"/>
    <w:rsid w:val="53312A7E"/>
    <w:rsid w:val="537A4340"/>
    <w:rsid w:val="53EA1D40"/>
    <w:rsid w:val="54285E64"/>
    <w:rsid w:val="548E0DEC"/>
    <w:rsid w:val="54B211D4"/>
    <w:rsid w:val="551D09CF"/>
    <w:rsid w:val="55D532B1"/>
    <w:rsid w:val="55DB3175"/>
    <w:rsid w:val="55DF0EB7"/>
    <w:rsid w:val="56010E2D"/>
    <w:rsid w:val="56633896"/>
    <w:rsid w:val="57186900"/>
    <w:rsid w:val="57430FD1"/>
    <w:rsid w:val="578D0B02"/>
    <w:rsid w:val="57AE2799"/>
    <w:rsid w:val="57F30293"/>
    <w:rsid w:val="58366D88"/>
    <w:rsid w:val="58791C73"/>
    <w:rsid w:val="589B222D"/>
    <w:rsid w:val="591C1ADA"/>
    <w:rsid w:val="59390824"/>
    <w:rsid w:val="5958305D"/>
    <w:rsid w:val="59D52B06"/>
    <w:rsid w:val="59D80DBD"/>
    <w:rsid w:val="5A094754"/>
    <w:rsid w:val="5A0C69EA"/>
    <w:rsid w:val="5A310251"/>
    <w:rsid w:val="5A321CC1"/>
    <w:rsid w:val="5AD6429E"/>
    <w:rsid w:val="5ADB7D2A"/>
    <w:rsid w:val="5AF30F60"/>
    <w:rsid w:val="5B1971B8"/>
    <w:rsid w:val="5BC52D15"/>
    <w:rsid w:val="5BDE240E"/>
    <w:rsid w:val="5C01084E"/>
    <w:rsid w:val="5C1C2D39"/>
    <w:rsid w:val="5C47642E"/>
    <w:rsid w:val="5C6739B4"/>
    <w:rsid w:val="5C7562EE"/>
    <w:rsid w:val="5CD82122"/>
    <w:rsid w:val="5CEF0F84"/>
    <w:rsid w:val="5D0861E2"/>
    <w:rsid w:val="5D26083B"/>
    <w:rsid w:val="5D9B1B67"/>
    <w:rsid w:val="5DB16073"/>
    <w:rsid w:val="5DE66B5A"/>
    <w:rsid w:val="5E15134E"/>
    <w:rsid w:val="5E224037"/>
    <w:rsid w:val="5E2F7DE1"/>
    <w:rsid w:val="5E714CB3"/>
    <w:rsid w:val="5EAE1426"/>
    <w:rsid w:val="5FB009D6"/>
    <w:rsid w:val="5FD40C2B"/>
    <w:rsid w:val="5FFD572B"/>
    <w:rsid w:val="602F2A3B"/>
    <w:rsid w:val="604326ED"/>
    <w:rsid w:val="604C124A"/>
    <w:rsid w:val="60FD0443"/>
    <w:rsid w:val="60FE1CD8"/>
    <w:rsid w:val="610953C5"/>
    <w:rsid w:val="61433833"/>
    <w:rsid w:val="61910C38"/>
    <w:rsid w:val="61B067C2"/>
    <w:rsid w:val="61C13B66"/>
    <w:rsid w:val="61D90EB0"/>
    <w:rsid w:val="61E450E3"/>
    <w:rsid w:val="61F12073"/>
    <w:rsid w:val="61F93300"/>
    <w:rsid w:val="620677CB"/>
    <w:rsid w:val="620969A3"/>
    <w:rsid w:val="621A10E7"/>
    <w:rsid w:val="623A18A0"/>
    <w:rsid w:val="624422AE"/>
    <w:rsid w:val="62DE3973"/>
    <w:rsid w:val="636E4ABC"/>
    <w:rsid w:val="63EE385C"/>
    <w:rsid w:val="64072D2D"/>
    <w:rsid w:val="641939D4"/>
    <w:rsid w:val="642E704C"/>
    <w:rsid w:val="645B0306"/>
    <w:rsid w:val="64C011E4"/>
    <w:rsid w:val="64C554BE"/>
    <w:rsid w:val="64D67929"/>
    <w:rsid w:val="65214C94"/>
    <w:rsid w:val="65263C38"/>
    <w:rsid w:val="653765C2"/>
    <w:rsid w:val="65405B73"/>
    <w:rsid w:val="65DD51A9"/>
    <w:rsid w:val="65F04A1A"/>
    <w:rsid w:val="661B513C"/>
    <w:rsid w:val="66762DFC"/>
    <w:rsid w:val="66776BA1"/>
    <w:rsid w:val="66FF241D"/>
    <w:rsid w:val="67095D94"/>
    <w:rsid w:val="670F7BDD"/>
    <w:rsid w:val="675D75AB"/>
    <w:rsid w:val="678E6299"/>
    <w:rsid w:val="67B02D79"/>
    <w:rsid w:val="681311C1"/>
    <w:rsid w:val="683E219B"/>
    <w:rsid w:val="685A568A"/>
    <w:rsid w:val="68D47E36"/>
    <w:rsid w:val="69207E48"/>
    <w:rsid w:val="69407425"/>
    <w:rsid w:val="69D6143A"/>
    <w:rsid w:val="6A1F2764"/>
    <w:rsid w:val="6A2D47F2"/>
    <w:rsid w:val="6A404CF3"/>
    <w:rsid w:val="6A556BF7"/>
    <w:rsid w:val="6A6A2BB1"/>
    <w:rsid w:val="6ABC4ECB"/>
    <w:rsid w:val="6AC0284E"/>
    <w:rsid w:val="6AFA7EFE"/>
    <w:rsid w:val="6B234F4A"/>
    <w:rsid w:val="6B2D5DC9"/>
    <w:rsid w:val="6B3C7DBA"/>
    <w:rsid w:val="6B6478B5"/>
    <w:rsid w:val="6B755662"/>
    <w:rsid w:val="6BEE7306"/>
    <w:rsid w:val="6C2457DF"/>
    <w:rsid w:val="6C2C60FD"/>
    <w:rsid w:val="6C2D0B34"/>
    <w:rsid w:val="6C4C5660"/>
    <w:rsid w:val="6D9A57B3"/>
    <w:rsid w:val="6DB80D3C"/>
    <w:rsid w:val="6EE60768"/>
    <w:rsid w:val="6EF238B8"/>
    <w:rsid w:val="6EFF612B"/>
    <w:rsid w:val="6F222A1D"/>
    <w:rsid w:val="6F993367"/>
    <w:rsid w:val="6FA216FF"/>
    <w:rsid w:val="6FB91E90"/>
    <w:rsid w:val="705F07D2"/>
    <w:rsid w:val="70A6797C"/>
    <w:rsid w:val="70D25448"/>
    <w:rsid w:val="70DF2FD7"/>
    <w:rsid w:val="710D6480"/>
    <w:rsid w:val="7115424D"/>
    <w:rsid w:val="71765292"/>
    <w:rsid w:val="71C34D91"/>
    <w:rsid w:val="71CD3E62"/>
    <w:rsid w:val="71DC5E53"/>
    <w:rsid w:val="721F0505"/>
    <w:rsid w:val="728A58AF"/>
    <w:rsid w:val="73237CE3"/>
    <w:rsid w:val="733F48EB"/>
    <w:rsid w:val="73504D4A"/>
    <w:rsid w:val="73C81195"/>
    <w:rsid w:val="74026044"/>
    <w:rsid w:val="742A7349"/>
    <w:rsid w:val="74463EA9"/>
    <w:rsid w:val="74AB66DC"/>
    <w:rsid w:val="74B41A9A"/>
    <w:rsid w:val="758346D2"/>
    <w:rsid w:val="75D553EC"/>
    <w:rsid w:val="75F82031"/>
    <w:rsid w:val="75FB28E7"/>
    <w:rsid w:val="762A270D"/>
    <w:rsid w:val="762C5A1A"/>
    <w:rsid w:val="767825F7"/>
    <w:rsid w:val="769A01C1"/>
    <w:rsid w:val="76FC0093"/>
    <w:rsid w:val="77017364"/>
    <w:rsid w:val="77A33A0D"/>
    <w:rsid w:val="77EB0F66"/>
    <w:rsid w:val="781438F7"/>
    <w:rsid w:val="782B298A"/>
    <w:rsid w:val="78623556"/>
    <w:rsid w:val="78656868"/>
    <w:rsid w:val="788E21BB"/>
    <w:rsid w:val="78AC47D1"/>
    <w:rsid w:val="78F53323"/>
    <w:rsid w:val="79050385"/>
    <w:rsid w:val="79311E8F"/>
    <w:rsid w:val="79325A7C"/>
    <w:rsid w:val="795C5BDE"/>
    <w:rsid w:val="79607369"/>
    <w:rsid w:val="796B5EF3"/>
    <w:rsid w:val="79846CED"/>
    <w:rsid w:val="799040F2"/>
    <w:rsid w:val="799D7C8F"/>
    <w:rsid w:val="79C74517"/>
    <w:rsid w:val="79D31B8D"/>
    <w:rsid w:val="79E24E87"/>
    <w:rsid w:val="7A2F6267"/>
    <w:rsid w:val="7A382419"/>
    <w:rsid w:val="7A5A200A"/>
    <w:rsid w:val="7AD033D5"/>
    <w:rsid w:val="7AD15DB2"/>
    <w:rsid w:val="7AEA7832"/>
    <w:rsid w:val="7B684125"/>
    <w:rsid w:val="7B694BFB"/>
    <w:rsid w:val="7BA15A37"/>
    <w:rsid w:val="7BF307FA"/>
    <w:rsid w:val="7BF449E1"/>
    <w:rsid w:val="7C3F0477"/>
    <w:rsid w:val="7CCF494C"/>
    <w:rsid w:val="7D1C2A51"/>
    <w:rsid w:val="7D424CD4"/>
    <w:rsid w:val="7D7839AE"/>
    <w:rsid w:val="7DAB7DD2"/>
    <w:rsid w:val="7E9712AE"/>
    <w:rsid w:val="7E9A5566"/>
    <w:rsid w:val="7F0F1F7E"/>
    <w:rsid w:val="7F27738B"/>
    <w:rsid w:val="7F4C3BFA"/>
    <w:rsid w:val="7F744D66"/>
    <w:rsid w:val="7F761D48"/>
    <w:rsid w:val="7FDB7F04"/>
    <w:rsid w:val="AF5B881B"/>
    <w:rsid w:val="B8FE01C3"/>
    <w:rsid w:val="F43EC7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iPriority="99"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qFormat="1" w:unhideWhenUsed="0" w:uiPriority="0" w:semiHidden="0" w:name="List Number 5"/>
    <w:lsdException w:qFormat="1" w:unhideWhenUsed="0" w:uiPriority="0" w:semiHidden="0" w:name="Title"/>
    <w:lsdException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line="360" w:lineRule="auto"/>
      <w:jc w:val="both"/>
      <w:textAlignment w:val="baseline"/>
    </w:pPr>
    <w:rPr>
      <w:rFonts w:ascii="Times New Roman" w:hAnsi="Times New Roman" w:eastAsia="楷体_GB2312" w:cs="Times New Roman"/>
      <w:kern w:val="2"/>
      <w:sz w:val="26"/>
      <w:lang w:val="en-US" w:eastAsia="zh-CN" w:bidi="ar-SA"/>
    </w:rPr>
  </w:style>
  <w:style w:type="paragraph" w:styleId="4">
    <w:name w:val="heading 1"/>
    <w:basedOn w:val="1"/>
    <w:next w:val="1"/>
    <w:qFormat/>
    <w:uiPriority w:val="0"/>
    <w:pPr>
      <w:keepNext/>
      <w:keepLines/>
      <w:numPr>
        <w:ilvl w:val="0"/>
        <w:numId w:val="1"/>
      </w:numPr>
      <w:spacing w:before="340" w:after="330" w:line="578" w:lineRule="auto"/>
      <w:outlineLvl w:val="0"/>
    </w:pPr>
    <w:rPr>
      <w:b/>
      <w:bCs/>
      <w:kern w:val="44"/>
      <w:sz w:val="44"/>
      <w:szCs w:val="44"/>
    </w:rPr>
  </w:style>
  <w:style w:type="paragraph" w:styleId="5">
    <w:name w:val="heading 2"/>
    <w:basedOn w:val="1"/>
    <w:next w:val="1"/>
    <w:qFormat/>
    <w:uiPriority w:val="0"/>
    <w:pPr>
      <w:keepNext/>
      <w:keepLines/>
      <w:numPr>
        <w:ilvl w:val="0"/>
        <w:numId w:val="2"/>
      </w:numPr>
      <w:spacing w:before="260" w:after="260" w:line="415" w:lineRule="auto"/>
      <w:outlineLvl w:val="1"/>
    </w:pPr>
    <w:rPr>
      <w:rFonts w:ascii="Arial" w:hAnsi="Arial" w:eastAsia="黑体"/>
      <w:b/>
      <w:bCs/>
      <w:sz w:val="32"/>
      <w:szCs w:val="32"/>
    </w:rPr>
  </w:style>
  <w:style w:type="paragraph" w:styleId="6">
    <w:name w:val="heading 3"/>
    <w:basedOn w:val="1"/>
    <w:next w:val="1"/>
    <w:unhideWhenUsed/>
    <w:qFormat/>
    <w:uiPriority w:val="0"/>
    <w:pPr>
      <w:keepNext/>
      <w:keepLines/>
      <w:spacing w:before="260" w:after="260" w:line="413" w:lineRule="auto"/>
      <w:outlineLvl w:val="2"/>
    </w:pPr>
    <w:rPr>
      <w:b/>
      <w:sz w:val="32"/>
    </w:rPr>
  </w:style>
  <w:style w:type="paragraph" w:styleId="7">
    <w:name w:val="heading 4"/>
    <w:basedOn w:val="1"/>
    <w:next w:val="1"/>
    <w:qFormat/>
    <w:uiPriority w:val="0"/>
    <w:pPr>
      <w:keepNext/>
      <w:keepLines/>
      <w:spacing w:before="280" w:after="290" w:line="372" w:lineRule="auto"/>
      <w:ind w:firstLine="200" w:firstLineChars="200"/>
      <w:outlineLvl w:val="3"/>
    </w:pPr>
    <w:rPr>
      <w:rFonts w:ascii="Arial" w:hAnsi="Arial" w:eastAsia="黑体"/>
      <w:b/>
      <w:kern w:val="0"/>
      <w:sz w:val="28"/>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99"/>
    <w:pPr>
      <w:spacing w:line="240" w:lineRule="auto"/>
      <w:ind w:firstLine="200" w:firstLineChars="200"/>
    </w:pPr>
  </w:style>
  <w:style w:type="paragraph" w:styleId="3">
    <w:name w:val="Body Text Indent"/>
    <w:basedOn w:val="1"/>
    <w:qFormat/>
    <w:uiPriority w:val="99"/>
    <w:pPr>
      <w:spacing w:after="120"/>
      <w:ind w:left="420" w:leftChars="200"/>
    </w:pPr>
    <w:rPr>
      <w:rFonts w:eastAsia="宋体"/>
      <w:sz w:val="21"/>
      <w:szCs w:val="24"/>
    </w:rPr>
  </w:style>
  <w:style w:type="paragraph" w:styleId="8">
    <w:name w:val="Normal Indent"/>
    <w:basedOn w:val="1"/>
    <w:next w:val="1"/>
    <w:qFormat/>
    <w:uiPriority w:val="0"/>
    <w:pPr>
      <w:ind w:firstLine="200" w:firstLineChars="200"/>
    </w:pPr>
  </w:style>
  <w:style w:type="paragraph" w:styleId="9">
    <w:name w:val="annotation text"/>
    <w:basedOn w:val="1"/>
    <w:link w:val="258"/>
    <w:qFormat/>
    <w:uiPriority w:val="0"/>
    <w:pPr>
      <w:jc w:val="left"/>
    </w:pPr>
  </w:style>
  <w:style w:type="paragraph" w:styleId="10">
    <w:name w:val="Body Text"/>
    <w:basedOn w:val="1"/>
    <w:next w:val="1"/>
    <w:qFormat/>
    <w:uiPriority w:val="0"/>
    <w:pPr>
      <w:spacing w:after="120"/>
    </w:pPr>
  </w:style>
  <w:style w:type="paragraph" w:styleId="11">
    <w:name w:val="Block Text"/>
    <w:basedOn w:val="1"/>
    <w:unhideWhenUsed/>
    <w:qFormat/>
    <w:uiPriority w:val="0"/>
    <w:pPr>
      <w:spacing w:after="120"/>
      <w:ind w:left="1440" w:right="1440"/>
    </w:pPr>
  </w:style>
  <w:style w:type="paragraph" w:styleId="12">
    <w:name w:val="index 4"/>
    <w:basedOn w:val="1"/>
    <w:next w:val="1"/>
    <w:unhideWhenUsed/>
    <w:qFormat/>
    <w:uiPriority w:val="99"/>
    <w:pPr>
      <w:ind w:left="600" w:leftChars="600"/>
    </w:pPr>
  </w:style>
  <w:style w:type="paragraph" w:styleId="13">
    <w:name w:val="Plain Text"/>
    <w:basedOn w:val="1"/>
    <w:next w:val="14"/>
    <w:qFormat/>
    <w:uiPriority w:val="0"/>
    <w:rPr>
      <w:rFonts w:ascii="宋体" w:hAnsi="Courier New"/>
    </w:rPr>
  </w:style>
  <w:style w:type="paragraph" w:styleId="14">
    <w:name w:val="List Number 5"/>
    <w:basedOn w:val="1"/>
    <w:qFormat/>
    <w:uiPriority w:val="0"/>
    <w:pPr>
      <w:numPr>
        <w:ilvl w:val="0"/>
        <w:numId w:val="3"/>
      </w:numPr>
    </w:pPr>
  </w:style>
  <w:style w:type="paragraph" w:styleId="15">
    <w:name w:val="Date"/>
    <w:basedOn w:val="1"/>
    <w:next w:val="1"/>
    <w:link w:val="72"/>
    <w:qFormat/>
    <w:uiPriority w:val="0"/>
    <w:rPr>
      <w:rFonts w:ascii="宋体" w:hAnsi="宋体"/>
      <w:sz w:val="24"/>
    </w:rPr>
  </w:style>
  <w:style w:type="paragraph" w:styleId="16">
    <w:name w:val="footer"/>
    <w:basedOn w:val="1"/>
    <w:qFormat/>
    <w:uiPriority w:val="0"/>
    <w:pPr>
      <w:tabs>
        <w:tab w:val="center" w:pos="4153"/>
        <w:tab w:val="right" w:pos="8306"/>
      </w:tabs>
      <w:snapToGrid w:val="0"/>
      <w:jc w:val="left"/>
    </w:pPr>
    <w:rPr>
      <w:sz w:val="18"/>
    </w:rPr>
  </w:style>
  <w:style w:type="paragraph" w:styleId="17">
    <w:name w:val="envelope return"/>
    <w:basedOn w:val="1"/>
    <w:qFormat/>
    <w:uiPriority w:val="99"/>
    <w:pPr>
      <w:snapToGrid w:val="0"/>
    </w:pPr>
    <w:rPr>
      <w:rFonts w:ascii="Arial" w:hAnsi="Arial"/>
    </w:rPr>
  </w:style>
  <w:style w:type="paragraph" w:styleId="18">
    <w:name w:val="Signature"/>
    <w:basedOn w:val="1"/>
    <w:qFormat/>
    <w:uiPriority w:val="0"/>
    <w:pPr>
      <w:spacing w:after="600" w:line="312" w:lineRule="atLeast"/>
      <w:jc w:val="center"/>
    </w:pPr>
    <w:rPr>
      <w:rFonts w:eastAsia="仿宋_GB2312"/>
      <w:kern w:val="0"/>
      <w:sz w:val="24"/>
    </w:rPr>
  </w:style>
  <w:style w:type="paragraph" w:styleId="19">
    <w:name w:val="toc 1"/>
    <w:basedOn w:val="1"/>
    <w:next w:val="1"/>
    <w:qFormat/>
    <w:uiPriority w:val="0"/>
  </w:style>
  <w:style w:type="paragraph" w:styleId="20">
    <w:name w:val="table of figures"/>
    <w:basedOn w:val="1"/>
    <w:next w:val="1"/>
    <w:qFormat/>
    <w:uiPriority w:val="0"/>
    <w:pPr>
      <w:adjustRightInd w:val="0"/>
      <w:ind w:left="420" w:hanging="420"/>
      <w:jc w:val="left"/>
    </w:pPr>
    <w:rPr>
      <w:smallCaps/>
      <w:sz w:val="24"/>
    </w:rPr>
  </w:style>
  <w:style w:type="paragraph" w:styleId="21">
    <w:name w:val="Normal (Web)"/>
    <w:basedOn w:val="1"/>
    <w:qFormat/>
    <w:uiPriority w:val="99"/>
    <w:pPr>
      <w:spacing w:before="100" w:beforeAutospacing="1" w:after="100" w:afterAutospacing="1"/>
      <w:jc w:val="left"/>
    </w:pPr>
    <w:rPr>
      <w:kern w:val="0"/>
      <w:sz w:val="24"/>
    </w:rPr>
  </w:style>
  <w:style w:type="paragraph" w:styleId="22">
    <w:name w:val="annotation subject"/>
    <w:basedOn w:val="9"/>
    <w:next w:val="9"/>
    <w:link w:val="259"/>
    <w:qFormat/>
    <w:uiPriority w:val="0"/>
    <w:rPr>
      <w:b/>
      <w:bCs/>
    </w:rPr>
  </w:style>
  <w:style w:type="paragraph" w:styleId="23">
    <w:name w:val="Body Text First Indent"/>
    <w:basedOn w:val="10"/>
    <w:next w:val="1"/>
    <w:qFormat/>
    <w:uiPriority w:val="0"/>
    <w:pPr>
      <w:spacing w:line="240" w:lineRule="auto"/>
      <w:ind w:firstLine="420" w:firstLineChars="100"/>
    </w:pPr>
    <w:rPr>
      <w:rFonts w:ascii="Calibri"/>
    </w:rPr>
  </w:style>
  <w:style w:type="table" w:styleId="25">
    <w:name w:val="Table Grid"/>
    <w:basedOn w:val="24"/>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Strong"/>
    <w:basedOn w:val="26"/>
    <w:qFormat/>
    <w:uiPriority w:val="0"/>
    <w:rPr>
      <w:b/>
    </w:rPr>
  </w:style>
  <w:style w:type="character" w:styleId="28">
    <w:name w:val="FollowedHyperlink"/>
    <w:qFormat/>
    <w:uiPriority w:val="0"/>
    <w:rPr>
      <w:color w:val="333333"/>
    </w:rPr>
  </w:style>
  <w:style w:type="character" w:styleId="29">
    <w:name w:val="Emphasis"/>
    <w:qFormat/>
    <w:uiPriority w:val="0"/>
    <w:rPr>
      <w:i/>
      <w:iCs/>
    </w:rPr>
  </w:style>
  <w:style w:type="character" w:styleId="30">
    <w:name w:val="Hyperlink"/>
    <w:qFormat/>
    <w:uiPriority w:val="0"/>
    <w:rPr>
      <w:color w:val="333333"/>
    </w:rPr>
  </w:style>
  <w:style w:type="character" w:styleId="31">
    <w:name w:val="annotation reference"/>
    <w:basedOn w:val="26"/>
    <w:qFormat/>
    <w:uiPriority w:val="0"/>
    <w:rPr>
      <w:sz w:val="21"/>
      <w:szCs w:val="21"/>
    </w:rPr>
  </w:style>
  <w:style w:type="paragraph" w:customStyle="1" w:styleId="32">
    <w:name w:val="Default"/>
    <w:qFormat/>
    <w:uiPriority w:val="0"/>
    <w:pPr>
      <w:widowControl w:val="0"/>
      <w:autoSpaceDE w:val="0"/>
      <w:autoSpaceDN w:val="0"/>
      <w:adjustRightInd w:val="0"/>
    </w:pPr>
    <w:rPr>
      <w:rFonts w:ascii="仿宋" w:hAnsi="仿宋" w:eastAsia="宋体" w:cs="仿宋"/>
      <w:color w:val="000000"/>
      <w:sz w:val="24"/>
      <w:szCs w:val="24"/>
      <w:lang w:val="en-US" w:eastAsia="zh-CN" w:bidi="ar-SA"/>
    </w:rPr>
  </w:style>
  <w:style w:type="paragraph" w:customStyle="1" w:styleId="33">
    <w:name w:val="ListBullet2"/>
    <w:basedOn w:val="1"/>
    <w:qFormat/>
    <w:uiPriority w:val="99"/>
    <w:pPr>
      <w:numPr>
        <w:ilvl w:val="0"/>
        <w:numId w:val="4"/>
      </w:numPr>
    </w:pPr>
  </w:style>
  <w:style w:type="paragraph" w:customStyle="1" w:styleId="34">
    <w:name w:val="NormalIndent"/>
    <w:basedOn w:val="1"/>
    <w:link w:val="46"/>
    <w:qFormat/>
    <w:uiPriority w:val="0"/>
    <w:pPr>
      <w:ind w:firstLine="420"/>
      <w:jc w:val="left"/>
    </w:pPr>
    <w:rPr>
      <w:sz w:val="24"/>
    </w:rPr>
  </w:style>
  <w:style w:type="paragraph" w:customStyle="1" w:styleId="35">
    <w:name w:val="Heading1"/>
    <w:basedOn w:val="1"/>
    <w:next w:val="1"/>
    <w:link w:val="47"/>
    <w:qFormat/>
    <w:uiPriority w:val="0"/>
    <w:pPr>
      <w:keepNext/>
      <w:keepLines/>
      <w:spacing w:before="340" w:after="330" w:line="578" w:lineRule="auto"/>
    </w:pPr>
    <w:rPr>
      <w:b/>
      <w:kern w:val="44"/>
      <w:sz w:val="44"/>
    </w:rPr>
  </w:style>
  <w:style w:type="paragraph" w:customStyle="1" w:styleId="36">
    <w:name w:val="Heading2"/>
    <w:basedOn w:val="1"/>
    <w:next w:val="1"/>
    <w:link w:val="48"/>
    <w:qFormat/>
    <w:uiPriority w:val="0"/>
    <w:pPr>
      <w:keepNext/>
      <w:keepLines/>
      <w:jc w:val="left"/>
    </w:pPr>
    <w:rPr>
      <w:rFonts w:ascii="宋体" w:hAnsi="宋体"/>
      <w:b/>
    </w:rPr>
  </w:style>
  <w:style w:type="paragraph" w:customStyle="1" w:styleId="37">
    <w:name w:val="Heading3"/>
    <w:basedOn w:val="1"/>
    <w:next w:val="1"/>
    <w:link w:val="49"/>
    <w:qFormat/>
    <w:uiPriority w:val="0"/>
    <w:pPr>
      <w:keepNext/>
      <w:keepLines/>
      <w:jc w:val="left"/>
    </w:pPr>
    <w:rPr>
      <w:b/>
    </w:rPr>
  </w:style>
  <w:style w:type="paragraph" w:customStyle="1" w:styleId="38">
    <w:name w:val="Heading4"/>
    <w:basedOn w:val="1"/>
    <w:next w:val="1"/>
    <w:link w:val="50"/>
    <w:qFormat/>
    <w:uiPriority w:val="0"/>
    <w:pPr>
      <w:keepNext/>
      <w:keepLines/>
      <w:spacing w:before="280" w:after="290" w:line="372" w:lineRule="auto"/>
      <w:ind w:firstLine="200" w:firstLineChars="200"/>
    </w:pPr>
    <w:rPr>
      <w:rFonts w:ascii="Arial" w:hAnsi="Arial" w:eastAsia="黑体"/>
      <w:b/>
      <w:kern w:val="0"/>
      <w:sz w:val="28"/>
    </w:rPr>
  </w:style>
  <w:style w:type="paragraph" w:customStyle="1" w:styleId="39">
    <w:name w:val="Heading5"/>
    <w:basedOn w:val="1"/>
    <w:next w:val="34"/>
    <w:qFormat/>
    <w:uiPriority w:val="0"/>
    <w:pPr>
      <w:keepNext/>
      <w:keepLines/>
      <w:tabs>
        <w:tab w:val="left" w:pos="1008"/>
      </w:tabs>
      <w:spacing w:before="280" w:after="290" w:line="376" w:lineRule="auto"/>
      <w:ind w:left="1008" w:hanging="1008"/>
    </w:pPr>
    <w:rPr>
      <w:rFonts w:ascii="宋体" w:eastAsia="宋体"/>
      <w:b/>
      <w:spacing w:val="-2"/>
      <w:position w:val="-6"/>
      <w:sz w:val="28"/>
    </w:rPr>
  </w:style>
  <w:style w:type="paragraph" w:customStyle="1" w:styleId="40">
    <w:name w:val="Heading6"/>
    <w:basedOn w:val="1"/>
    <w:next w:val="34"/>
    <w:qFormat/>
    <w:uiPriority w:val="0"/>
    <w:pPr>
      <w:keepNext/>
      <w:keepLines/>
      <w:tabs>
        <w:tab w:val="left" w:pos="1152"/>
      </w:tabs>
      <w:spacing w:before="240" w:after="64" w:line="320" w:lineRule="auto"/>
      <w:ind w:left="1152" w:hanging="1152"/>
    </w:pPr>
    <w:rPr>
      <w:rFonts w:ascii="Arial" w:hAnsi="Arial" w:eastAsia="黑体"/>
      <w:b/>
      <w:spacing w:val="-2"/>
      <w:position w:val="-6"/>
      <w:sz w:val="24"/>
    </w:rPr>
  </w:style>
  <w:style w:type="paragraph" w:customStyle="1" w:styleId="41">
    <w:name w:val="Heading7"/>
    <w:basedOn w:val="1"/>
    <w:next w:val="34"/>
    <w:qFormat/>
    <w:uiPriority w:val="0"/>
    <w:pPr>
      <w:keepNext/>
      <w:keepLines/>
      <w:tabs>
        <w:tab w:val="left" w:pos="1296"/>
      </w:tabs>
      <w:spacing w:before="240" w:after="64" w:line="320" w:lineRule="auto"/>
      <w:ind w:left="1296" w:hanging="1296"/>
    </w:pPr>
    <w:rPr>
      <w:rFonts w:ascii="宋体" w:eastAsia="宋体"/>
      <w:b/>
      <w:spacing w:val="-2"/>
      <w:position w:val="-6"/>
      <w:sz w:val="24"/>
    </w:rPr>
  </w:style>
  <w:style w:type="paragraph" w:customStyle="1" w:styleId="42">
    <w:name w:val="Heading8"/>
    <w:basedOn w:val="1"/>
    <w:next w:val="34"/>
    <w:qFormat/>
    <w:uiPriority w:val="0"/>
    <w:pPr>
      <w:keepNext/>
      <w:keepLines/>
      <w:tabs>
        <w:tab w:val="left" w:pos="1440"/>
      </w:tabs>
      <w:spacing w:before="240" w:after="64" w:line="320" w:lineRule="auto"/>
      <w:ind w:left="1440" w:hanging="1440"/>
    </w:pPr>
    <w:rPr>
      <w:rFonts w:ascii="Arial" w:hAnsi="Arial" w:eastAsia="黑体"/>
      <w:spacing w:val="-2"/>
      <w:position w:val="-6"/>
      <w:sz w:val="24"/>
    </w:rPr>
  </w:style>
  <w:style w:type="paragraph" w:customStyle="1" w:styleId="43">
    <w:name w:val="Heading9"/>
    <w:basedOn w:val="1"/>
    <w:next w:val="34"/>
    <w:qFormat/>
    <w:uiPriority w:val="0"/>
    <w:pPr>
      <w:keepNext/>
      <w:keepLines/>
      <w:tabs>
        <w:tab w:val="left" w:pos="1584"/>
      </w:tabs>
      <w:spacing w:before="240" w:after="64" w:line="320" w:lineRule="auto"/>
      <w:ind w:left="1584" w:hanging="1584"/>
    </w:pPr>
    <w:rPr>
      <w:rFonts w:ascii="Arial" w:hAnsi="Arial" w:eastAsia="黑体"/>
      <w:spacing w:val="-2"/>
      <w:position w:val="-6"/>
      <w:sz w:val="28"/>
    </w:rPr>
  </w:style>
  <w:style w:type="character" w:customStyle="1" w:styleId="44">
    <w:name w:val="NormalCharacter"/>
    <w:qFormat/>
    <w:uiPriority w:val="0"/>
  </w:style>
  <w:style w:type="table" w:customStyle="1" w:styleId="45">
    <w:name w:val="TableNormal"/>
    <w:qFormat/>
    <w:uiPriority w:val="0"/>
    <w:tblPr>
      <w:tblCellMar>
        <w:top w:w="0" w:type="dxa"/>
        <w:left w:w="0" w:type="dxa"/>
        <w:bottom w:w="0" w:type="dxa"/>
        <w:right w:w="0" w:type="dxa"/>
      </w:tblCellMar>
    </w:tblPr>
  </w:style>
  <w:style w:type="character" w:customStyle="1" w:styleId="46">
    <w:name w:val="UserStyle_0"/>
    <w:link w:val="34"/>
    <w:qFormat/>
    <w:uiPriority w:val="0"/>
    <w:rPr>
      <w:rFonts w:eastAsia="楷体_GB2312"/>
      <w:kern w:val="2"/>
      <w:sz w:val="24"/>
      <w:lang w:val="en-US" w:eastAsia="zh-CN" w:bidi="ar-SA"/>
    </w:rPr>
  </w:style>
  <w:style w:type="character" w:customStyle="1" w:styleId="47">
    <w:name w:val="UserStyle_1"/>
    <w:link w:val="35"/>
    <w:qFormat/>
    <w:uiPriority w:val="0"/>
    <w:rPr>
      <w:rFonts w:eastAsia="楷体_GB2312"/>
      <w:b/>
      <w:kern w:val="44"/>
      <w:sz w:val="44"/>
    </w:rPr>
  </w:style>
  <w:style w:type="character" w:customStyle="1" w:styleId="48">
    <w:name w:val="UserStyle_2"/>
    <w:link w:val="36"/>
    <w:qFormat/>
    <w:uiPriority w:val="0"/>
    <w:rPr>
      <w:rFonts w:ascii="宋体" w:hAnsi="宋体" w:eastAsia="楷体_GB2312"/>
      <w:b/>
      <w:kern w:val="2"/>
      <w:sz w:val="26"/>
      <w:lang w:val="en-US" w:eastAsia="zh-CN" w:bidi="ar-SA"/>
    </w:rPr>
  </w:style>
  <w:style w:type="character" w:customStyle="1" w:styleId="49">
    <w:name w:val="UserStyle_3"/>
    <w:link w:val="37"/>
    <w:qFormat/>
    <w:uiPriority w:val="0"/>
    <w:rPr>
      <w:rFonts w:eastAsia="楷体_GB2312"/>
      <w:b/>
      <w:kern w:val="2"/>
      <w:sz w:val="26"/>
    </w:rPr>
  </w:style>
  <w:style w:type="character" w:customStyle="1" w:styleId="50">
    <w:name w:val="UserStyle_4"/>
    <w:link w:val="38"/>
    <w:qFormat/>
    <w:uiPriority w:val="0"/>
    <w:rPr>
      <w:rFonts w:ascii="Arial" w:hAnsi="Arial" w:eastAsia="黑体"/>
      <w:b/>
      <w:sz w:val="28"/>
    </w:rPr>
  </w:style>
  <w:style w:type="paragraph" w:customStyle="1" w:styleId="51">
    <w:name w:val="TOC7"/>
    <w:basedOn w:val="1"/>
    <w:next w:val="1"/>
    <w:qFormat/>
    <w:uiPriority w:val="0"/>
    <w:pPr>
      <w:ind w:left="2520"/>
    </w:pPr>
  </w:style>
  <w:style w:type="paragraph" w:customStyle="1" w:styleId="52">
    <w:name w:val="Index8"/>
    <w:basedOn w:val="1"/>
    <w:next w:val="1"/>
    <w:qFormat/>
    <w:uiPriority w:val="0"/>
    <w:pPr>
      <w:ind w:left="2940"/>
    </w:pPr>
  </w:style>
  <w:style w:type="paragraph" w:customStyle="1" w:styleId="53">
    <w:name w:val="Index5"/>
    <w:basedOn w:val="1"/>
    <w:next w:val="1"/>
    <w:qFormat/>
    <w:uiPriority w:val="0"/>
    <w:pPr>
      <w:ind w:left="1680"/>
    </w:pPr>
  </w:style>
  <w:style w:type="paragraph" w:customStyle="1" w:styleId="54">
    <w:name w:val="NavPane"/>
    <w:basedOn w:val="1"/>
    <w:link w:val="55"/>
    <w:qFormat/>
    <w:uiPriority w:val="0"/>
    <w:pPr>
      <w:shd w:val="clear" w:color="auto" w:fill="000080"/>
    </w:pPr>
  </w:style>
  <w:style w:type="character" w:customStyle="1" w:styleId="55">
    <w:name w:val="UserStyle_5"/>
    <w:link w:val="54"/>
    <w:qFormat/>
    <w:uiPriority w:val="0"/>
    <w:rPr>
      <w:rFonts w:eastAsia="楷体_GB2312"/>
      <w:kern w:val="2"/>
      <w:sz w:val="26"/>
      <w:shd w:val="clear" w:color="auto" w:fill="000080"/>
    </w:rPr>
  </w:style>
  <w:style w:type="paragraph" w:customStyle="1" w:styleId="56">
    <w:name w:val="AnnotationText"/>
    <w:basedOn w:val="1"/>
    <w:link w:val="57"/>
    <w:qFormat/>
    <w:uiPriority w:val="0"/>
    <w:pPr>
      <w:jc w:val="left"/>
    </w:pPr>
  </w:style>
  <w:style w:type="character" w:customStyle="1" w:styleId="57">
    <w:name w:val="UserStyle_6"/>
    <w:link w:val="56"/>
    <w:qFormat/>
    <w:uiPriority w:val="0"/>
    <w:rPr>
      <w:rFonts w:eastAsia="楷体_GB2312"/>
      <w:kern w:val="2"/>
      <w:sz w:val="26"/>
    </w:rPr>
  </w:style>
  <w:style w:type="paragraph" w:customStyle="1" w:styleId="58">
    <w:name w:val="Index6"/>
    <w:basedOn w:val="1"/>
    <w:next w:val="1"/>
    <w:qFormat/>
    <w:uiPriority w:val="0"/>
    <w:pPr>
      <w:ind w:left="2100"/>
    </w:pPr>
  </w:style>
  <w:style w:type="paragraph" w:customStyle="1" w:styleId="59">
    <w:name w:val="BodyText"/>
    <w:basedOn w:val="1"/>
    <w:next w:val="60"/>
    <w:qFormat/>
    <w:uiPriority w:val="0"/>
    <w:pPr>
      <w:spacing w:line="400" w:lineRule="exact"/>
    </w:pPr>
    <w:rPr>
      <w:rFonts w:ascii="楷体_GB2312"/>
      <w:sz w:val="28"/>
    </w:rPr>
  </w:style>
  <w:style w:type="paragraph" w:customStyle="1" w:styleId="60">
    <w:name w:val="UserStyle_7"/>
    <w:qFormat/>
    <w:uiPriority w:val="0"/>
    <w:pPr>
      <w:spacing w:line="360" w:lineRule="auto"/>
      <w:textAlignment w:val="baseline"/>
    </w:pPr>
    <w:rPr>
      <w:rFonts w:ascii="仿宋" w:hAnsi="仿宋" w:eastAsia="宋体" w:cs="Times New Roman"/>
      <w:color w:val="000000"/>
      <w:sz w:val="24"/>
      <w:szCs w:val="24"/>
      <w:lang w:val="en-US" w:eastAsia="zh-CN" w:bidi="ar-SA"/>
    </w:rPr>
  </w:style>
  <w:style w:type="paragraph" w:customStyle="1" w:styleId="61">
    <w:name w:val="BodyTextIndent"/>
    <w:basedOn w:val="1"/>
    <w:next w:val="62"/>
    <w:link w:val="63"/>
    <w:qFormat/>
    <w:uiPriority w:val="0"/>
    <w:pPr>
      <w:spacing w:line="520" w:lineRule="exact"/>
      <w:ind w:left="570"/>
    </w:pPr>
    <w:rPr>
      <w:rFonts w:ascii="方正仿宋简体" w:hAnsi="创艺简仿宋" w:eastAsia="方正仿宋简体"/>
      <w:sz w:val="24"/>
    </w:rPr>
  </w:style>
  <w:style w:type="paragraph" w:customStyle="1" w:styleId="62">
    <w:name w:val="EnvelopeReturn"/>
    <w:basedOn w:val="1"/>
    <w:qFormat/>
    <w:uiPriority w:val="0"/>
    <w:pPr>
      <w:snapToGrid w:val="0"/>
    </w:pPr>
    <w:rPr>
      <w:rFonts w:ascii="Arial" w:hAnsi="Arial"/>
    </w:rPr>
  </w:style>
  <w:style w:type="character" w:customStyle="1" w:styleId="63">
    <w:name w:val="UserStyle_8"/>
    <w:link w:val="61"/>
    <w:qFormat/>
    <w:uiPriority w:val="0"/>
    <w:rPr>
      <w:rFonts w:ascii="楷体_GB2312" w:eastAsia="楷体_GB2312"/>
      <w:kern w:val="2"/>
      <w:sz w:val="26"/>
    </w:rPr>
  </w:style>
  <w:style w:type="paragraph" w:customStyle="1" w:styleId="64">
    <w:name w:val="Index4"/>
    <w:basedOn w:val="1"/>
    <w:next w:val="1"/>
    <w:qFormat/>
    <w:uiPriority w:val="0"/>
    <w:pPr>
      <w:ind w:left="1260"/>
    </w:pPr>
  </w:style>
  <w:style w:type="paragraph" w:customStyle="1" w:styleId="65">
    <w:name w:val="TOC5"/>
    <w:basedOn w:val="1"/>
    <w:next w:val="1"/>
    <w:qFormat/>
    <w:uiPriority w:val="0"/>
    <w:pPr>
      <w:ind w:left="1680"/>
    </w:pPr>
  </w:style>
  <w:style w:type="paragraph" w:customStyle="1" w:styleId="66">
    <w:name w:val="TOC3"/>
    <w:basedOn w:val="1"/>
    <w:next w:val="1"/>
    <w:link w:val="67"/>
    <w:qFormat/>
    <w:uiPriority w:val="0"/>
    <w:pPr>
      <w:ind w:left="840"/>
    </w:pPr>
  </w:style>
  <w:style w:type="character" w:customStyle="1" w:styleId="67">
    <w:name w:val="UserStyle_9"/>
    <w:link w:val="66"/>
    <w:qFormat/>
    <w:uiPriority w:val="0"/>
    <w:rPr>
      <w:rFonts w:eastAsia="楷体_GB2312"/>
      <w:kern w:val="2"/>
      <w:sz w:val="26"/>
    </w:rPr>
  </w:style>
  <w:style w:type="paragraph" w:customStyle="1" w:styleId="68">
    <w:name w:val="PlainText"/>
    <w:basedOn w:val="1"/>
    <w:link w:val="69"/>
    <w:qFormat/>
    <w:uiPriority w:val="0"/>
    <w:rPr>
      <w:rFonts w:ascii="宋体" w:hAnsi="Courier New"/>
    </w:rPr>
  </w:style>
  <w:style w:type="character" w:customStyle="1" w:styleId="69">
    <w:name w:val="UserStyle_10"/>
    <w:link w:val="68"/>
    <w:qFormat/>
    <w:uiPriority w:val="0"/>
    <w:rPr>
      <w:rFonts w:ascii="宋体" w:hAnsi="Courier New" w:eastAsia="楷体_GB2312"/>
      <w:kern w:val="2"/>
      <w:sz w:val="26"/>
      <w:lang w:val="en-US" w:eastAsia="zh-CN" w:bidi="ar-SA"/>
    </w:rPr>
  </w:style>
  <w:style w:type="paragraph" w:customStyle="1" w:styleId="70">
    <w:name w:val="TOC8"/>
    <w:basedOn w:val="1"/>
    <w:next w:val="1"/>
    <w:qFormat/>
    <w:uiPriority w:val="0"/>
    <w:pPr>
      <w:ind w:left="2940"/>
    </w:pPr>
  </w:style>
  <w:style w:type="paragraph" w:customStyle="1" w:styleId="71">
    <w:name w:val="Index3"/>
    <w:basedOn w:val="1"/>
    <w:next w:val="1"/>
    <w:qFormat/>
    <w:uiPriority w:val="0"/>
    <w:pPr>
      <w:ind w:left="840"/>
    </w:pPr>
  </w:style>
  <w:style w:type="character" w:customStyle="1" w:styleId="72">
    <w:name w:val="日期 字符"/>
    <w:link w:val="15"/>
    <w:qFormat/>
    <w:uiPriority w:val="0"/>
    <w:rPr>
      <w:rFonts w:ascii="宋体" w:hAnsi="宋体" w:eastAsia="楷体_GB2312"/>
      <w:kern w:val="2"/>
      <w:sz w:val="24"/>
    </w:rPr>
  </w:style>
  <w:style w:type="paragraph" w:customStyle="1" w:styleId="73">
    <w:name w:val="BodyTextIndent2"/>
    <w:basedOn w:val="1"/>
    <w:qFormat/>
    <w:uiPriority w:val="0"/>
    <w:pPr>
      <w:tabs>
        <w:tab w:val="left" w:pos="0"/>
      </w:tabs>
      <w:ind w:firstLine="502" w:firstLineChars="209"/>
    </w:pPr>
    <w:rPr>
      <w:rFonts w:ascii="宋体" w:eastAsia="宋体"/>
      <w:b/>
      <w:bCs/>
      <w:sz w:val="24"/>
    </w:rPr>
  </w:style>
  <w:style w:type="paragraph" w:customStyle="1" w:styleId="74">
    <w:name w:val="Acetate"/>
    <w:basedOn w:val="1"/>
    <w:link w:val="75"/>
    <w:qFormat/>
    <w:uiPriority w:val="0"/>
    <w:rPr>
      <w:sz w:val="18"/>
      <w:szCs w:val="18"/>
    </w:rPr>
  </w:style>
  <w:style w:type="character" w:customStyle="1" w:styleId="75">
    <w:name w:val="UserStyle_12"/>
    <w:link w:val="74"/>
    <w:qFormat/>
    <w:uiPriority w:val="0"/>
    <w:rPr>
      <w:rFonts w:eastAsia="楷体_GB2312"/>
      <w:kern w:val="2"/>
      <w:sz w:val="18"/>
      <w:szCs w:val="18"/>
    </w:rPr>
  </w:style>
  <w:style w:type="paragraph" w:customStyle="1" w:styleId="76">
    <w:name w:val="页脚1"/>
    <w:basedOn w:val="1"/>
    <w:link w:val="77"/>
    <w:qFormat/>
    <w:uiPriority w:val="0"/>
    <w:pPr>
      <w:tabs>
        <w:tab w:val="center" w:pos="4153"/>
        <w:tab w:val="right" w:pos="8306"/>
      </w:tabs>
      <w:snapToGrid w:val="0"/>
      <w:jc w:val="left"/>
    </w:pPr>
    <w:rPr>
      <w:sz w:val="18"/>
    </w:rPr>
  </w:style>
  <w:style w:type="character" w:customStyle="1" w:styleId="77">
    <w:name w:val="UserStyle_13"/>
    <w:link w:val="76"/>
    <w:qFormat/>
    <w:uiPriority w:val="0"/>
    <w:rPr>
      <w:rFonts w:eastAsia="楷体_GB2312"/>
      <w:kern w:val="2"/>
      <w:sz w:val="18"/>
    </w:rPr>
  </w:style>
  <w:style w:type="paragraph" w:customStyle="1" w:styleId="78">
    <w:name w:val="页眉1"/>
    <w:basedOn w:val="1"/>
    <w:link w:val="79"/>
    <w:qFormat/>
    <w:uiPriority w:val="0"/>
    <w:pPr>
      <w:pBdr>
        <w:bottom w:val="single" w:color="000000" w:sz="6" w:space="1"/>
      </w:pBdr>
      <w:tabs>
        <w:tab w:val="center" w:pos="4153"/>
        <w:tab w:val="right" w:pos="8306"/>
      </w:tabs>
      <w:snapToGrid w:val="0"/>
      <w:jc w:val="center"/>
    </w:pPr>
    <w:rPr>
      <w:sz w:val="18"/>
    </w:rPr>
  </w:style>
  <w:style w:type="character" w:customStyle="1" w:styleId="79">
    <w:name w:val="UserStyle_14"/>
    <w:link w:val="78"/>
    <w:qFormat/>
    <w:uiPriority w:val="0"/>
    <w:rPr>
      <w:rFonts w:eastAsia="楷体_GB2312"/>
      <w:kern w:val="2"/>
      <w:sz w:val="18"/>
    </w:rPr>
  </w:style>
  <w:style w:type="paragraph" w:customStyle="1" w:styleId="80">
    <w:name w:val="TOC1"/>
    <w:basedOn w:val="1"/>
    <w:next w:val="1"/>
    <w:qFormat/>
    <w:uiPriority w:val="0"/>
    <w:pPr>
      <w:jc w:val="left"/>
    </w:pPr>
    <w:rPr>
      <w:sz w:val="24"/>
    </w:rPr>
  </w:style>
  <w:style w:type="paragraph" w:customStyle="1" w:styleId="81">
    <w:name w:val="TOC4"/>
    <w:basedOn w:val="1"/>
    <w:next w:val="1"/>
    <w:qFormat/>
    <w:uiPriority w:val="0"/>
    <w:pPr>
      <w:ind w:left="1260"/>
    </w:pPr>
  </w:style>
  <w:style w:type="paragraph" w:customStyle="1" w:styleId="82">
    <w:name w:val="IndexHeading"/>
    <w:basedOn w:val="1"/>
    <w:next w:val="83"/>
    <w:qFormat/>
    <w:uiPriority w:val="0"/>
  </w:style>
  <w:style w:type="paragraph" w:customStyle="1" w:styleId="83">
    <w:name w:val="Index1"/>
    <w:basedOn w:val="1"/>
    <w:next w:val="1"/>
    <w:qFormat/>
    <w:uiPriority w:val="0"/>
  </w:style>
  <w:style w:type="paragraph" w:customStyle="1" w:styleId="84">
    <w:name w:val="FootnoteText"/>
    <w:basedOn w:val="1"/>
    <w:qFormat/>
    <w:uiPriority w:val="0"/>
    <w:pPr>
      <w:snapToGrid w:val="0"/>
      <w:jc w:val="left"/>
    </w:pPr>
    <w:rPr>
      <w:sz w:val="18"/>
    </w:rPr>
  </w:style>
  <w:style w:type="paragraph" w:customStyle="1" w:styleId="85">
    <w:name w:val="TOC6"/>
    <w:basedOn w:val="1"/>
    <w:next w:val="1"/>
    <w:qFormat/>
    <w:uiPriority w:val="0"/>
    <w:pPr>
      <w:ind w:left="2100"/>
    </w:pPr>
  </w:style>
  <w:style w:type="paragraph" w:customStyle="1" w:styleId="86">
    <w:name w:val="BodyTextIndent3"/>
    <w:basedOn w:val="1"/>
    <w:qFormat/>
    <w:uiPriority w:val="0"/>
    <w:pPr>
      <w:ind w:firstLine="617" w:firstLineChars="257"/>
    </w:pPr>
    <w:rPr>
      <w:rFonts w:eastAsia="宋体"/>
      <w:sz w:val="24"/>
      <w:szCs w:val="24"/>
    </w:rPr>
  </w:style>
  <w:style w:type="paragraph" w:customStyle="1" w:styleId="87">
    <w:name w:val="Index7"/>
    <w:basedOn w:val="1"/>
    <w:next w:val="1"/>
    <w:qFormat/>
    <w:uiPriority w:val="0"/>
    <w:pPr>
      <w:ind w:left="2520"/>
    </w:pPr>
  </w:style>
  <w:style w:type="paragraph" w:customStyle="1" w:styleId="88">
    <w:name w:val="Index9"/>
    <w:basedOn w:val="1"/>
    <w:next w:val="1"/>
    <w:qFormat/>
    <w:uiPriority w:val="0"/>
    <w:pPr>
      <w:ind w:left="3360"/>
    </w:pPr>
  </w:style>
  <w:style w:type="paragraph" w:customStyle="1" w:styleId="89">
    <w:name w:val="ToCaption"/>
    <w:basedOn w:val="1"/>
    <w:next w:val="1"/>
    <w:qFormat/>
    <w:uiPriority w:val="0"/>
    <w:pPr>
      <w:ind w:left="420" w:hanging="420"/>
      <w:jc w:val="left"/>
    </w:pPr>
    <w:rPr>
      <w:smallCaps/>
      <w:sz w:val="24"/>
    </w:rPr>
  </w:style>
  <w:style w:type="paragraph" w:customStyle="1" w:styleId="90">
    <w:name w:val="TOC2"/>
    <w:basedOn w:val="1"/>
    <w:next w:val="1"/>
    <w:qFormat/>
    <w:uiPriority w:val="0"/>
    <w:pPr>
      <w:ind w:left="420"/>
    </w:pPr>
  </w:style>
  <w:style w:type="paragraph" w:customStyle="1" w:styleId="91">
    <w:name w:val="TOC9"/>
    <w:basedOn w:val="1"/>
    <w:next w:val="1"/>
    <w:qFormat/>
    <w:uiPriority w:val="0"/>
    <w:pPr>
      <w:ind w:left="3360"/>
    </w:pPr>
  </w:style>
  <w:style w:type="paragraph" w:customStyle="1" w:styleId="92">
    <w:name w:val="HtmlPre"/>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rPr>
  </w:style>
  <w:style w:type="paragraph" w:customStyle="1" w:styleId="93">
    <w:name w:val="HtmlNormal"/>
    <w:basedOn w:val="1"/>
    <w:link w:val="94"/>
    <w:qFormat/>
    <w:uiPriority w:val="0"/>
    <w:rPr>
      <w:sz w:val="24"/>
      <w:szCs w:val="24"/>
    </w:rPr>
  </w:style>
  <w:style w:type="character" w:customStyle="1" w:styleId="94">
    <w:name w:val="UserStyle_15"/>
    <w:link w:val="93"/>
    <w:qFormat/>
    <w:uiPriority w:val="0"/>
    <w:rPr>
      <w:rFonts w:eastAsia="楷体_GB2312"/>
      <w:kern w:val="2"/>
      <w:sz w:val="24"/>
      <w:szCs w:val="24"/>
    </w:rPr>
  </w:style>
  <w:style w:type="paragraph" w:customStyle="1" w:styleId="95">
    <w:name w:val="Index2"/>
    <w:basedOn w:val="1"/>
    <w:next w:val="1"/>
    <w:qFormat/>
    <w:uiPriority w:val="0"/>
    <w:pPr>
      <w:ind w:left="420"/>
    </w:pPr>
  </w:style>
  <w:style w:type="paragraph" w:customStyle="1" w:styleId="96">
    <w:name w:val="AnnotationSubject"/>
    <w:basedOn w:val="56"/>
    <w:next w:val="56"/>
    <w:qFormat/>
    <w:uiPriority w:val="0"/>
    <w:rPr>
      <w:b/>
      <w:bCs/>
    </w:rPr>
  </w:style>
  <w:style w:type="paragraph" w:customStyle="1" w:styleId="97">
    <w:name w:val="BodyText1I2"/>
    <w:basedOn w:val="61"/>
    <w:link w:val="98"/>
    <w:qFormat/>
    <w:uiPriority w:val="0"/>
    <w:pPr>
      <w:ind w:firstLine="420" w:firstLineChars="200"/>
    </w:pPr>
  </w:style>
  <w:style w:type="character" w:customStyle="1" w:styleId="98">
    <w:name w:val="UserStyle_16"/>
    <w:link w:val="97"/>
    <w:qFormat/>
    <w:uiPriority w:val="0"/>
    <w:rPr>
      <w:rFonts w:ascii="楷体_GB2312" w:eastAsia="楷体_GB2312"/>
      <w:kern w:val="2"/>
      <w:sz w:val="26"/>
    </w:rPr>
  </w:style>
  <w:style w:type="table" w:customStyle="1" w:styleId="99">
    <w:name w:val="TableGrid"/>
    <w:basedOn w:val="45"/>
    <w:qFormat/>
    <w:uiPriority w:val="0"/>
  </w:style>
  <w:style w:type="character" w:customStyle="1" w:styleId="100">
    <w:name w:val="PageNumber"/>
    <w:qFormat/>
    <w:uiPriority w:val="0"/>
  </w:style>
  <w:style w:type="character" w:customStyle="1" w:styleId="101">
    <w:name w:val="LineNumber"/>
    <w:qFormat/>
    <w:uiPriority w:val="0"/>
  </w:style>
  <w:style w:type="character" w:customStyle="1" w:styleId="102">
    <w:name w:val="HtmlDfn"/>
    <w:qFormat/>
    <w:uiPriority w:val="0"/>
    <w:rPr>
      <w:i/>
    </w:rPr>
  </w:style>
  <w:style w:type="character" w:customStyle="1" w:styleId="103">
    <w:name w:val="HtmlCode"/>
    <w:qFormat/>
    <w:uiPriority w:val="0"/>
    <w:rPr>
      <w:rFonts w:ascii="Menlo" w:hAnsi="Menlo" w:eastAsia="Menlo"/>
      <w:color w:val="C7254E"/>
      <w:sz w:val="21"/>
      <w:szCs w:val="21"/>
      <w:shd w:val="clear" w:color="auto" w:fill="F9F2F4"/>
    </w:rPr>
  </w:style>
  <w:style w:type="character" w:customStyle="1" w:styleId="104">
    <w:name w:val="AnnotationReference"/>
    <w:qFormat/>
    <w:uiPriority w:val="0"/>
    <w:rPr>
      <w:sz w:val="21"/>
      <w:szCs w:val="21"/>
    </w:rPr>
  </w:style>
  <w:style w:type="character" w:customStyle="1" w:styleId="105">
    <w:name w:val="HtmlCite"/>
    <w:qFormat/>
    <w:uiPriority w:val="0"/>
  </w:style>
  <w:style w:type="character" w:customStyle="1" w:styleId="106">
    <w:name w:val="FootnoteReference"/>
    <w:qFormat/>
    <w:uiPriority w:val="0"/>
    <w:rPr>
      <w:vertAlign w:val="superscript"/>
    </w:rPr>
  </w:style>
  <w:style w:type="character" w:customStyle="1" w:styleId="107">
    <w:name w:val="HtmlKbd"/>
    <w:qFormat/>
    <w:uiPriority w:val="0"/>
    <w:rPr>
      <w:rFonts w:ascii="Menlo" w:hAnsi="Menlo" w:eastAsia="Menlo"/>
      <w:sz w:val="21"/>
      <w:szCs w:val="21"/>
    </w:rPr>
  </w:style>
  <w:style w:type="character" w:customStyle="1" w:styleId="108">
    <w:name w:val="htmlSamp"/>
    <w:qFormat/>
    <w:uiPriority w:val="0"/>
    <w:rPr>
      <w:rFonts w:ascii="Menlo" w:hAnsi="Menlo" w:eastAsia="Menlo"/>
      <w:sz w:val="21"/>
      <w:szCs w:val="21"/>
    </w:rPr>
  </w:style>
  <w:style w:type="paragraph" w:customStyle="1" w:styleId="109">
    <w:name w:val="UserStyle_17"/>
    <w:next w:val="1"/>
    <w:qFormat/>
    <w:uiPriority w:val="0"/>
    <w:pPr>
      <w:snapToGrid w:val="0"/>
      <w:spacing w:line="360" w:lineRule="auto"/>
      <w:ind w:firstLine="200" w:firstLineChars="200"/>
      <w:jc w:val="both"/>
      <w:textAlignment w:val="baseline"/>
    </w:pPr>
    <w:rPr>
      <w:rFonts w:ascii="宋体" w:hAnsi="Times New Roman" w:eastAsia="宋体" w:cs="Times New Roman"/>
      <w:sz w:val="24"/>
      <w:szCs w:val="22"/>
      <w:lang w:val="en-US" w:eastAsia="zh-CN" w:bidi="ar-SA"/>
    </w:rPr>
  </w:style>
  <w:style w:type="character" w:customStyle="1" w:styleId="110">
    <w:name w:val="UserStyle_18"/>
    <w:qFormat/>
    <w:uiPriority w:val="0"/>
    <w:rPr>
      <w:rFonts w:ascii="方正仿宋简体" w:hAnsi="创艺简仿宋" w:eastAsia="方正仿宋简体"/>
      <w:kern w:val="2"/>
      <w:sz w:val="24"/>
      <w:lang w:val="en-US" w:eastAsia="zh-CN" w:bidi="ar-SA"/>
    </w:rPr>
  </w:style>
  <w:style w:type="character" w:customStyle="1" w:styleId="111">
    <w:name w:val="UserStyle_19"/>
    <w:qFormat/>
    <w:uiPriority w:val="0"/>
    <w:rPr>
      <w:b/>
      <w:color w:val="FFFFFF"/>
      <w:sz w:val="19"/>
      <w:szCs w:val="19"/>
    </w:rPr>
  </w:style>
  <w:style w:type="character" w:customStyle="1" w:styleId="112">
    <w:name w:val="UserStyle_20"/>
    <w:qFormat/>
    <w:uiPriority w:val="0"/>
  </w:style>
  <w:style w:type="character" w:customStyle="1" w:styleId="113">
    <w:name w:val="UserStyle_21"/>
    <w:qFormat/>
    <w:uiPriority w:val="0"/>
    <w:rPr>
      <w:color w:val="FFFFFF"/>
      <w:shd w:val="clear" w:color="auto" w:fill="776666"/>
    </w:rPr>
  </w:style>
  <w:style w:type="character" w:customStyle="1" w:styleId="114">
    <w:name w:val="UserStyle_22"/>
    <w:qFormat/>
    <w:uiPriority w:val="0"/>
  </w:style>
  <w:style w:type="character" w:customStyle="1" w:styleId="115">
    <w:name w:val="UserStyle_23"/>
    <w:qFormat/>
    <w:uiPriority w:val="0"/>
    <w:rPr>
      <w:rFonts w:ascii="宋体" w:hAnsi="宋体" w:eastAsia="楷体_GB2312"/>
      <w:b/>
      <w:kern w:val="2"/>
      <w:sz w:val="26"/>
      <w:lang w:val="en-US" w:eastAsia="zh-CN" w:bidi="ar-SA"/>
    </w:rPr>
  </w:style>
  <w:style w:type="character" w:customStyle="1" w:styleId="116">
    <w:name w:val="UserStyle_24"/>
    <w:qFormat/>
    <w:uiPriority w:val="0"/>
    <w:rPr>
      <w:shd w:val="clear" w:color="auto" w:fill="FF0000"/>
    </w:rPr>
  </w:style>
  <w:style w:type="character" w:customStyle="1" w:styleId="117">
    <w:name w:val="UserStyle_25"/>
    <w:qFormat/>
    <w:uiPriority w:val="0"/>
    <w:rPr>
      <w:rFonts w:ascii="宋体" w:hAnsi="宋体" w:eastAsia="宋体"/>
      <w:color w:val="FF0000"/>
      <w:sz w:val="20"/>
      <w:szCs w:val="20"/>
    </w:rPr>
  </w:style>
  <w:style w:type="character" w:customStyle="1" w:styleId="118">
    <w:name w:val="UserStyle_26"/>
    <w:qFormat/>
    <w:uiPriority w:val="0"/>
  </w:style>
  <w:style w:type="character" w:customStyle="1" w:styleId="119">
    <w:name w:val="UserStyle_27"/>
    <w:qFormat/>
    <w:uiPriority w:val="0"/>
  </w:style>
  <w:style w:type="character" w:customStyle="1" w:styleId="120">
    <w:name w:val="UserStyle_28"/>
    <w:qFormat/>
    <w:uiPriority w:val="0"/>
    <w:rPr>
      <w:rFonts w:ascii="宋体" w:hAnsi="宋体" w:eastAsia="宋体"/>
    </w:rPr>
  </w:style>
  <w:style w:type="character" w:customStyle="1" w:styleId="121">
    <w:name w:val="UserStyle_29"/>
    <w:qFormat/>
    <w:uiPriority w:val="0"/>
    <w:rPr>
      <w:rFonts w:ascii="宋体" w:hAnsi="宋体" w:eastAsia="宋体"/>
    </w:rPr>
  </w:style>
  <w:style w:type="character" w:customStyle="1" w:styleId="122">
    <w:name w:val="UserStyle_30"/>
    <w:qFormat/>
    <w:uiPriority w:val="0"/>
  </w:style>
  <w:style w:type="character" w:customStyle="1" w:styleId="123">
    <w:name w:val="UserStyle_31"/>
    <w:qFormat/>
    <w:uiPriority w:val="0"/>
    <w:rPr>
      <w:color w:val="FFFFFF"/>
      <w:shd w:val="clear" w:color="auto" w:fill="776666"/>
    </w:rPr>
  </w:style>
  <w:style w:type="character" w:customStyle="1" w:styleId="124">
    <w:name w:val="UserStyle_32"/>
    <w:link w:val="125"/>
    <w:qFormat/>
    <w:uiPriority w:val="0"/>
    <w:rPr>
      <w:rFonts w:ascii="仿宋_GB2312" w:hAnsi="宋体" w:eastAsia="仿宋_GB2312"/>
      <w:kern w:val="2"/>
      <w:sz w:val="31"/>
      <w:szCs w:val="28"/>
    </w:rPr>
  </w:style>
  <w:style w:type="paragraph" w:customStyle="1" w:styleId="125">
    <w:name w:val="UserStyle_33"/>
    <w:basedOn w:val="1"/>
    <w:link w:val="124"/>
    <w:qFormat/>
    <w:uiPriority w:val="0"/>
    <w:pPr>
      <w:spacing w:line="600" w:lineRule="exact"/>
      <w:ind w:firstLine="639" w:firstLineChars="206"/>
    </w:pPr>
    <w:rPr>
      <w:rFonts w:ascii="仿宋_GB2312" w:hAnsi="宋体" w:eastAsia="仿宋_GB2312"/>
      <w:sz w:val="31"/>
      <w:szCs w:val="28"/>
    </w:rPr>
  </w:style>
  <w:style w:type="character" w:customStyle="1" w:styleId="126">
    <w:name w:val="UserStyle_34"/>
    <w:qFormat/>
    <w:uiPriority w:val="0"/>
  </w:style>
  <w:style w:type="character" w:customStyle="1" w:styleId="127">
    <w:name w:val="UserStyle_35"/>
    <w:qFormat/>
    <w:uiPriority w:val="0"/>
  </w:style>
  <w:style w:type="character" w:customStyle="1" w:styleId="128">
    <w:name w:val="UserStyle_36"/>
    <w:qFormat/>
    <w:uiPriority w:val="0"/>
    <w:rPr>
      <w:rFonts w:ascii="宋体" w:hAnsi="宋体" w:eastAsia="宋体"/>
      <w:b/>
      <w:color w:val="000000"/>
      <w:sz w:val="20"/>
      <w:szCs w:val="20"/>
    </w:rPr>
  </w:style>
  <w:style w:type="character" w:customStyle="1" w:styleId="129">
    <w:name w:val="UserStyle_37"/>
    <w:qFormat/>
    <w:uiPriority w:val="0"/>
    <w:rPr>
      <w:b/>
      <w:color w:val="FFFFFF"/>
      <w:sz w:val="21"/>
      <w:szCs w:val="21"/>
    </w:rPr>
  </w:style>
  <w:style w:type="character" w:customStyle="1" w:styleId="130">
    <w:name w:val="UserStyle_38"/>
    <w:qFormat/>
    <w:uiPriority w:val="0"/>
    <w:rPr>
      <w:color w:val="00FF00"/>
      <w:shd w:val="clear" w:color="auto" w:fill="000000"/>
    </w:rPr>
  </w:style>
  <w:style w:type="character" w:customStyle="1" w:styleId="131">
    <w:name w:val="UserStyle_39"/>
    <w:qFormat/>
    <w:uiPriority w:val="0"/>
    <w:rPr>
      <w:rFonts w:ascii="宋体" w:hAnsi="宋体" w:eastAsia="宋体"/>
      <w:color w:val="000000"/>
      <w:sz w:val="20"/>
      <w:szCs w:val="20"/>
    </w:rPr>
  </w:style>
  <w:style w:type="character" w:customStyle="1" w:styleId="132">
    <w:name w:val="UserStyle_40"/>
    <w:qFormat/>
    <w:uiPriority w:val="0"/>
  </w:style>
  <w:style w:type="character" w:customStyle="1" w:styleId="133">
    <w:name w:val="UserStyle_41"/>
    <w:qFormat/>
    <w:uiPriority w:val="0"/>
  </w:style>
  <w:style w:type="character" w:customStyle="1" w:styleId="134">
    <w:name w:val="UserStyle_42"/>
    <w:qFormat/>
    <w:uiPriority w:val="0"/>
    <w:rPr>
      <w:color w:val="00FF00"/>
      <w:shd w:val="clear" w:color="auto" w:fill="000000"/>
    </w:rPr>
  </w:style>
  <w:style w:type="paragraph" w:customStyle="1" w:styleId="135">
    <w:name w:val="UserStyle_43"/>
    <w:basedOn w:val="1"/>
    <w:qFormat/>
    <w:uiPriority w:val="0"/>
    <w:pPr>
      <w:ind w:firstLine="420" w:firstLineChars="200"/>
    </w:pPr>
    <w:rPr>
      <w:rFonts w:ascii="Calibri" w:hAnsi="Calibri" w:eastAsia="宋体"/>
      <w:szCs w:val="22"/>
    </w:rPr>
  </w:style>
  <w:style w:type="paragraph" w:customStyle="1" w:styleId="136">
    <w:name w:val="UserStyle_44"/>
    <w:basedOn w:val="1"/>
    <w:qFormat/>
    <w:uiPriority w:val="0"/>
    <w:rPr>
      <w:rFonts w:eastAsia="宋体"/>
      <w:kern w:val="0"/>
      <w:sz w:val="21"/>
      <w:szCs w:val="21"/>
    </w:rPr>
  </w:style>
  <w:style w:type="paragraph" w:customStyle="1" w:styleId="137">
    <w:name w:val="179"/>
    <w:basedOn w:val="1"/>
    <w:link w:val="138"/>
    <w:qFormat/>
    <w:uiPriority w:val="0"/>
    <w:pPr>
      <w:ind w:firstLine="420" w:firstLineChars="200"/>
    </w:pPr>
    <w:rPr>
      <w:rFonts w:eastAsia="宋体"/>
      <w:sz w:val="21"/>
      <w:szCs w:val="24"/>
    </w:rPr>
  </w:style>
  <w:style w:type="character" w:customStyle="1" w:styleId="138">
    <w:name w:val="UserStyle_45"/>
    <w:link w:val="137"/>
    <w:qFormat/>
    <w:uiPriority w:val="0"/>
    <w:rPr>
      <w:kern w:val="2"/>
      <w:sz w:val="21"/>
      <w:szCs w:val="24"/>
    </w:rPr>
  </w:style>
  <w:style w:type="paragraph" w:customStyle="1" w:styleId="139">
    <w:name w:val="UserStyle_46"/>
    <w:basedOn w:val="1"/>
    <w:qFormat/>
    <w:uiPriority w:val="0"/>
    <w:rPr>
      <w:rFonts w:ascii="宋体" w:hAnsi="Courier New"/>
      <w:sz w:val="28"/>
    </w:rPr>
  </w:style>
  <w:style w:type="paragraph" w:customStyle="1" w:styleId="140">
    <w:name w:val="UserStyle_47"/>
    <w:basedOn w:val="54"/>
    <w:qFormat/>
    <w:uiPriority w:val="0"/>
    <w:pPr>
      <w:snapToGrid w:val="0"/>
    </w:pPr>
    <w:rPr>
      <w:rFonts w:ascii="Tahoma" w:hAnsi="Tahoma" w:eastAsia="宋体"/>
      <w:sz w:val="24"/>
      <w:szCs w:val="24"/>
    </w:rPr>
  </w:style>
  <w:style w:type="paragraph" w:customStyle="1" w:styleId="141">
    <w:name w:val="UserStyle_48"/>
    <w:basedOn w:val="1"/>
    <w:qFormat/>
    <w:uiPriority w:val="0"/>
    <w:rPr>
      <w:rFonts w:ascii="Tahoma" w:hAnsi="Tahoma"/>
      <w:sz w:val="24"/>
    </w:rPr>
  </w:style>
  <w:style w:type="paragraph" w:customStyle="1" w:styleId="142">
    <w:name w:val="UserStyle_49"/>
    <w:basedOn w:val="1"/>
    <w:qFormat/>
    <w:uiPriority w:val="0"/>
    <w:pPr>
      <w:spacing w:after="160" w:line="240" w:lineRule="exact"/>
      <w:jc w:val="left"/>
    </w:pPr>
    <w:rPr>
      <w:rFonts w:ascii="Verdana" w:hAnsi="Verdana" w:eastAsia="宋体"/>
      <w:kern w:val="0"/>
      <w:sz w:val="21"/>
      <w:lang w:eastAsia="en-US"/>
    </w:rPr>
  </w:style>
  <w:style w:type="paragraph" w:customStyle="1" w:styleId="143">
    <w:name w:val="UserStyle_50"/>
    <w:basedOn w:val="1"/>
    <w:qFormat/>
    <w:uiPriority w:val="0"/>
    <w:rPr>
      <w:rFonts w:ascii="Tahoma" w:hAnsi="Tahoma" w:eastAsia="宋体"/>
      <w:sz w:val="24"/>
    </w:rPr>
  </w:style>
  <w:style w:type="paragraph" w:customStyle="1" w:styleId="144">
    <w:name w:val="UserStyle_51"/>
    <w:basedOn w:val="1"/>
    <w:qFormat/>
    <w:uiPriority w:val="0"/>
    <w:pPr>
      <w:keepNext/>
      <w:spacing w:before="60" w:after="60" w:line="300" w:lineRule="auto"/>
      <w:jc w:val="center"/>
      <w:textAlignment w:val="center"/>
    </w:pPr>
    <w:rPr>
      <w:rFonts w:eastAsia="宋体"/>
      <w:spacing w:val="20"/>
      <w:kern w:val="0"/>
      <w:sz w:val="24"/>
    </w:rPr>
  </w:style>
  <w:style w:type="paragraph" w:customStyle="1" w:styleId="145">
    <w:name w:val="UserStyle_52"/>
    <w:basedOn w:val="1"/>
    <w:qFormat/>
    <w:uiPriority w:val="0"/>
    <w:rPr>
      <w:rFonts w:ascii="宋体" w:hAnsi="Courier New"/>
    </w:rPr>
  </w:style>
  <w:style w:type="paragraph" w:customStyle="1" w:styleId="146">
    <w:name w:val="UserStyle_53"/>
    <w:basedOn w:val="1"/>
    <w:qFormat/>
    <w:uiPriority w:val="0"/>
    <w:rPr>
      <w:rFonts w:ascii="仿宋" w:hAnsi="仿宋" w:eastAsia="仿宋"/>
      <w:sz w:val="21"/>
      <w:szCs w:val="22"/>
      <w:lang w:val="zh-CN" w:bidi="zh-CN"/>
    </w:rPr>
  </w:style>
  <w:style w:type="character" w:customStyle="1" w:styleId="147">
    <w:name w:val="UserStyle_54"/>
    <w:qFormat/>
    <w:uiPriority w:val="0"/>
    <w:rPr>
      <w:rFonts w:ascii="宋体" w:hAnsi="宋体" w:eastAsia="宋体"/>
      <w:color w:val="000000"/>
      <w:sz w:val="20"/>
      <w:szCs w:val="20"/>
    </w:rPr>
  </w:style>
  <w:style w:type="character" w:customStyle="1" w:styleId="148">
    <w:name w:val="UserStyle_55"/>
    <w:qFormat/>
    <w:uiPriority w:val="0"/>
    <w:rPr>
      <w:rFonts w:ascii="宋体" w:hAnsi="宋体" w:eastAsia="宋体"/>
      <w:color w:val="000000"/>
      <w:sz w:val="28"/>
    </w:rPr>
  </w:style>
  <w:style w:type="character" w:customStyle="1" w:styleId="149">
    <w:name w:val="UserStyle_56"/>
    <w:qFormat/>
    <w:uiPriority w:val="0"/>
    <w:rPr>
      <w:rFonts w:ascii="宋体" w:hAnsi="宋体" w:eastAsia="宋体"/>
      <w:b/>
      <w:color w:val="000000"/>
      <w:sz w:val="18"/>
    </w:rPr>
  </w:style>
  <w:style w:type="character" w:customStyle="1" w:styleId="150">
    <w:name w:val="UserStyle_57"/>
    <w:qFormat/>
    <w:uiPriority w:val="0"/>
    <w:rPr>
      <w:rFonts w:ascii="宋体" w:hAnsi="宋体" w:eastAsia="宋体"/>
      <w:color w:val="000000"/>
      <w:sz w:val="20"/>
      <w:szCs w:val="20"/>
      <w:vertAlign w:val="superscript"/>
    </w:rPr>
  </w:style>
  <w:style w:type="character" w:customStyle="1" w:styleId="151">
    <w:name w:val="UserStyle_58"/>
    <w:qFormat/>
    <w:uiPriority w:val="0"/>
    <w:rPr>
      <w:rFonts w:eastAsia="楷体_GB2312"/>
      <w:kern w:val="2"/>
      <w:sz w:val="26"/>
    </w:rPr>
  </w:style>
  <w:style w:type="character" w:customStyle="1" w:styleId="152">
    <w:name w:val="UserStyle_59"/>
    <w:qFormat/>
    <w:uiPriority w:val="0"/>
    <w:rPr>
      <w:rFonts w:ascii="微软雅黑" w:hAnsi="微软雅黑" w:eastAsia="微软雅黑"/>
      <w:color w:val="000000"/>
      <w:sz w:val="20"/>
      <w:szCs w:val="20"/>
      <w:vertAlign w:val="superscript"/>
    </w:rPr>
  </w:style>
  <w:style w:type="character" w:customStyle="1" w:styleId="153">
    <w:name w:val="UserStyle_60"/>
    <w:qFormat/>
    <w:uiPriority w:val="0"/>
    <w:rPr>
      <w:rFonts w:eastAsia="楷体_GB2312"/>
      <w:kern w:val="2"/>
      <w:sz w:val="26"/>
      <w:szCs w:val="26"/>
    </w:rPr>
  </w:style>
  <w:style w:type="character" w:customStyle="1" w:styleId="154">
    <w:name w:val="UserStyle_61"/>
    <w:qFormat/>
    <w:uiPriority w:val="0"/>
    <w:rPr>
      <w:rFonts w:eastAsia="宋体"/>
      <w:kern w:val="2"/>
      <w:sz w:val="18"/>
      <w:lang w:val="en-US" w:eastAsia="zh-CN"/>
    </w:rPr>
  </w:style>
  <w:style w:type="character" w:customStyle="1" w:styleId="155">
    <w:name w:val="UserStyle_62"/>
    <w:qFormat/>
    <w:uiPriority w:val="0"/>
    <w:rPr>
      <w:rFonts w:ascii="宋体" w:hAnsi="宋体" w:eastAsia="宋体"/>
      <w:b/>
      <w:color w:val="000000"/>
      <w:sz w:val="20"/>
      <w:szCs w:val="20"/>
    </w:rPr>
  </w:style>
  <w:style w:type="character" w:customStyle="1" w:styleId="156">
    <w:name w:val="UserStyle_63"/>
    <w:qFormat/>
    <w:uiPriority w:val="0"/>
    <w:rPr>
      <w:rFonts w:ascii="宋体" w:hAnsi="宋体" w:eastAsia="宋体"/>
      <w:color w:val="000000"/>
      <w:sz w:val="20"/>
    </w:rPr>
  </w:style>
  <w:style w:type="character" w:customStyle="1" w:styleId="157">
    <w:name w:val="UserStyle_64"/>
    <w:qFormat/>
    <w:uiPriority w:val="0"/>
    <w:rPr>
      <w:rFonts w:ascii="方正仿宋简体" w:hAnsi="创艺简仿宋" w:eastAsia="方正仿宋简体"/>
      <w:kern w:val="2"/>
      <w:sz w:val="24"/>
    </w:rPr>
  </w:style>
  <w:style w:type="character" w:customStyle="1" w:styleId="158">
    <w:name w:val="UserStyle_65"/>
    <w:qFormat/>
    <w:uiPriority w:val="0"/>
    <w:rPr>
      <w:rFonts w:eastAsia="楷体_GB2312"/>
      <w:kern w:val="2"/>
      <w:sz w:val="18"/>
    </w:rPr>
  </w:style>
  <w:style w:type="character" w:customStyle="1" w:styleId="159">
    <w:name w:val="UserStyle_66"/>
    <w:qFormat/>
    <w:uiPriority w:val="0"/>
    <w:rPr>
      <w:kern w:val="2"/>
      <w:sz w:val="18"/>
    </w:rPr>
  </w:style>
  <w:style w:type="character" w:customStyle="1" w:styleId="160">
    <w:name w:val="UserStyle_67"/>
    <w:qFormat/>
    <w:uiPriority w:val="0"/>
    <w:rPr>
      <w:rFonts w:eastAsia="楷体_GB2312"/>
      <w:kern w:val="2"/>
      <w:sz w:val="26"/>
      <w:szCs w:val="26"/>
    </w:rPr>
  </w:style>
  <w:style w:type="paragraph" w:customStyle="1" w:styleId="161">
    <w:name w:val="UserStyle_68"/>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Courier New" w:hAnsi="Courier New" w:eastAsia="宋体"/>
      <w:kern w:val="0"/>
      <w:sz w:val="20"/>
    </w:rPr>
  </w:style>
  <w:style w:type="paragraph" w:customStyle="1" w:styleId="162">
    <w:name w:val="UserStyle_69"/>
    <w:basedOn w:val="1"/>
    <w:qFormat/>
    <w:uiPriority w:val="0"/>
    <w:pPr>
      <w:spacing w:before="100" w:beforeAutospacing="1" w:after="100" w:afterAutospacing="1"/>
      <w:jc w:val="left"/>
    </w:pPr>
    <w:rPr>
      <w:rFonts w:ascii="宋体" w:hAnsi="宋体" w:eastAsia="宋体"/>
      <w:kern w:val="0"/>
      <w:sz w:val="18"/>
      <w:szCs w:val="18"/>
    </w:rPr>
  </w:style>
  <w:style w:type="paragraph" w:customStyle="1" w:styleId="163">
    <w:name w:val="UserStyle_70"/>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Courier New" w:hAnsi="Courier New" w:eastAsia="宋体"/>
      <w:kern w:val="0"/>
      <w:sz w:val="20"/>
    </w:rPr>
  </w:style>
  <w:style w:type="paragraph" w:customStyle="1" w:styleId="164">
    <w:name w:val="UserStyle_71"/>
    <w:basedOn w:val="1"/>
    <w:qFormat/>
    <w:uiPriority w:val="0"/>
    <w:pPr>
      <w:spacing w:before="100" w:beforeAutospacing="1" w:after="100" w:afterAutospacing="1"/>
      <w:jc w:val="left"/>
    </w:pPr>
    <w:rPr>
      <w:rFonts w:ascii="宋体" w:hAnsi="宋体" w:eastAsia="宋体"/>
      <w:kern w:val="0"/>
      <w:sz w:val="18"/>
      <w:szCs w:val="18"/>
    </w:rPr>
  </w:style>
  <w:style w:type="paragraph" w:customStyle="1" w:styleId="165">
    <w:name w:val="UserStyle_72"/>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Courier New" w:hAnsi="Courier New" w:eastAsia="宋体"/>
      <w:color w:val="000000"/>
      <w:kern w:val="0"/>
      <w:sz w:val="20"/>
    </w:rPr>
  </w:style>
  <w:style w:type="paragraph" w:customStyle="1" w:styleId="166">
    <w:name w:val="UserStyle_73"/>
    <w:basedOn w:val="1"/>
    <w:qFormat/>
    <w:uiPriority w:val="0"/>
    <w:pPr>
      <w:spacing w:before="100" w:beforeAutospacing="1" w:after="100" w:afterAutospacing="1"/>
      <w:jc w:val="left"/>
    </w:pPr>
    <w:rPr>
      <w:rFonts w:ascii="宋体" w:hAnsi="宋体" w:eastAsia="宋体"/>
      <w:kern w:val="0"/>
      <w:sz w:val="18"/>
      <w:szCs w:val="18"/>
    </w:rPr>
  </w:style>
  <w:style w:type="paragraph" w:customStyle="1" w:styleId="167">
    <w:name w:val="UserStyle_74"/>
    <w:basedOn w:val="1"/>
    <w:qFormat/>
    <w:uiPriority w:val="0"/>
    <w:pPr>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left"/>
    </w:pPr>
    <w:rPr>
      <w:rFonts w:ascii="Courier New" w:hAnsi="Courier New" w:eastAsia="宋体"/>
      <w:color w:val="000000"/>
      <w:kern w:val="0"/>
      <w:sz w:val="20"/>
    </w:rPr>
  </w:style>
  <w:style w:type="paragraph" w:customStyle="1" w:styleId="168">
    <w:name w:val="UserStyle_75"/>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Courier New" w:hAnsi="Courier New" w:eastAsia="宋体" w:cs="Courier New"/>
      <w:b/>
      <w:bCs/>
      <w:kern w:val="0"/>
      <w:sz w:val="20"/>
    </w:rPr>
  </w:style>
  <w:style w:type="paragraph" w:customStyle="1" w:styleId="169">
    <w:name w:val="UserStyle_76"/>
    <w:basedOn w:val="1"/>
    <w:qFormat/>
    <w:uiPriority w:val="0"/>
    <w:pPr>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pPr>
    <w:rPr>
      <w:rFonts w:ascii="Courier New" w:hAnsi="Courier New" w:eastAsia="宋体"/>
      <w:kern w:val="0"/>
      <w:sz w:val="20"/>
    </w:rPr>
  </w:style>
  <w:style w:type="paragraph" w:customStyle="1" w:styleId="170">
    <w:name w:val="UserStyle_77"/>
    <w:basedOn w:val="1"/>
    <w:qFormat/>
    <w:uiPriority w:val="0"/>
    <w:pPr>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pPr>
    <w:rPr>
      <w:rFonts w:ascii="Courier New" w:hAnsi="Courier New" w:eastAsia="宋体"/>
      <w:kern w:val="0"/>
      <w:sz w:val="20"/>
    </w:rPr>
  </w:style>
  <w:style w:type="paragraph" w:customStyle="1" w:styleId="171">
    <w:name w:val="UserStyle_78"/>
    <w:basedOn w:val="1"/>
    <w:qFormat/>
    <w:uiPriority w:val="0"/>
    <w:pPr>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pPr>
    <w:rPr>
      <w:rFonts w:ascii="仿宋" w:hAnsi="仿宋" w:eastAsia="仿宋"/>
      <w:kern w:val="0"/>
      <w:sz w:val="20"/>
    </w:rPr>
  </w:style>
  <w:style w:type="paragraph" w:customStyle="1" w:styleId="172">
    <w:name w:val="UserStyle_79"/>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Courier New" w:hAnsi="Courier New" w:eastAsia="宋体"/>
      <w:kern w:val="0"/>
      <w:sz w:val="20"/>
    </w:rPr>
  </w:style>
  <w:style w:type="paragraph" w:customStyle="1" w:styleId="173">
    <w:name w:val="UserStyle_80"/>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仿宋" w:hAnsi="仿宋" w:eastAsia="仿宋"/>
      <w:kern w:val="0"/>
      <w:sz w:val="20"/>
    </w:rPr>
  </w:style>
  <w:style w:type="paragraph" w:customStyle="1" w:styleId="174">
    <w:name w:val="UserStyle_81"/>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仿宋" w:hAnsi="仿宋" w:eastAsia="仿宋"/>
      <w:kern w:val="0"/>
      <w:sz w:val="20"/>
    </w:rPr>
  </w:style>
  <w:style w:type="paragraph" w:customStyle="1" w:styleId="175">
    <w:name w:val="UserStyle_82"/>
    <w:basedOn w:val="1"/>
    <w:qFormat/>
    <w:uiPriority w:val="0"/>
    <w:pPr>
      <w:spacing w:before="100" w:beforeAutospacing="1" w:after="100" w:afterAutospacing="1"/>
      <w:jc w:val="left"/>
    </w:pPr>
    <w:rPr>
      <w:rFonts w:ascii="宋体" w:hAnsi="宋体" w:eastAsia="宋体"/>
      <w:kern w:val="0"/>
      <w:sz w:val="18"/>
      <w:szCs w:val="18"/>
    </w:rPr>
  </w:style>
  <w:style w:type="paragraph" w:customStyle="1" w:styleId="176">
    <w:name w:val="UserStyle_83"/>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Courier New" w:hAnsi="Courier New" w:eastAsia="宋体"/>
      <w:kern w:val="0"/>
      <w:sz w:val="20"/>
    </w:rPr>
  </w:style>
  <w:style w:type="paragraph" w:customStyle="1" w:styleId="177">
    <w:name w:val="UserStyle_84"/>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仿宋" w:hAnsi="仿宋" w:eastAsia="仿宋"/>
      <w:kern w:val="0"/>
      <w:sz w:val="20"/>
    </w:rPr>
  </w:style>
  <w:style w:type="paragraph" w:customStyle="1" w:styleId="178">
    <w:name w:val="UserStyle_85"/>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仿宋" w:hAnsi="仿宋" w:eastAsia="仿宋"/>
      <w:kern w:val="0"/>
      <w:sz w:val="20"/>
    </w:rPr>
  </w:style>
  <w:style w:type="paragraph" w:customStyle="1" w:styleId="179">
    <w:name w:val="UserStyle_86"/>
    <w:basedOn w:val="1"/>
    <w:qFormat/>
    <w:uiPriority w:val="0"/>
    <w:pPr>
      <w:spacing w:before="100" w:beforeAutospacing="1" w:after="100" w:afterAutospacing="1"/>
      <w:jc w:val="left"/>
    </w:pPr>
    <w:rPr>
      <w:rFonts w:ascii="宋体" w:hAnsi="宋体" w:eastAsia="宋体"/>
      <w:kern w:val="0"/>
      <w:sz w:val="18"/>
      <w:szCs w:val="18"/>
    </w:rPr>
  </w:style>
  <w:style w:type="paragraph" w:customStyle="1" w:styleId="180">
    <w:name w:val="UserStyle_87"/>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仿宋" w:hAnsi="仿宋" w:eastAsia="仿宋"/>
      <w:kern w:val="0"/>
      <w:sz w:val="20"/>
    </w:rPr>
  </w:style>
  <w:style w:type="paragraph" w:customStyle="1" w:styleId="181">
    <w:name w:val="UserStyle_88"/>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仿宋" w:hAnsi="仿宋" w:eastAsia="仿宋"/>
      <w:kern w:val="0"/>
      <w:sz w:val="20"/>
    </w:rPr>
  </w:style>
  <w:style w:type="paragraph" w:customStyle="1" w:styleId="182">
    <w:name w:val="UserStyle_89"/>
    <w:basedOn w:val="1"/>
    <w:qFormat/>
    <w:uiPriority w:val="0"/>
    <w:pPr>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pPr>
    <w:rPr>
      <w:rFonts w:ascii="仿宋" w:hAnsi="仿宋" w:eastAsia="仿宋"/>
      <w:kern w:val="0"/>
      <w:sz w:val="20"/>
    </w:rPr>
  </w:style>
  <w:style w:type="paragraph" w:customStyle="1" w:styleId="183">
    <w:name w:val="UserStyle_90"/>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Courier New" w:hAnsi="Courier New" w:eastAsia="宋体"/>
      <w:kern w:val="0"/>
      <w:sz w:val="20"/>
    </w:rPr>
  </w:style>
  <w:style w:type="paragraph" w:customStyle="1" w:styleId="184">
    <w:name w:val="UserStyle_91"/>
    <w:basedOn w:val="1"/>
    <w:qFormat/>
    <w:uiPriority w:val="0"/>
    <w:pPr>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pPr>
    <w:rPr>
      <w:rFonts w:ascii="Courier New" w:hAnsi="Courier New" w:eastAsia="宋体"/>
      <w:kern w:val="0"/>
      <w:sz w:val="20"/>
    </w:rPr>
  </w:style>
  <w:style w:type="paragraph" w:customStyle="1" w:styleId="185">
    <w:name w:val="UserStyle_92"/>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Courier New" w:hAnsi="Courier New" w:eastAsia="宋体" w:cs="Courier New"/>
      <w:b/>
      <w:bCs/>
      <w:kern w:val="0"/>
      <w:sz w:val="20"/>
    </w:rPr>
  </w:style>
  <w:style w:type="paragraph" w:customStyle="1" w:styleId="186">
    <w:name w:val="UserStyle_93"/>
    <w:basedOn w:val="1"/>
    <w:qFormat/>
    <w:uiPriority w:val="0"/>
    <w:pPr>
      <w:ind w:firstLine="420" w:firstLineChars="200"/>
    </w:pPr>
    <w:rPr>
      <w:rFonts w:ascii="Calibri" w:hAnsi="Calibri" w:eastAsia="宋体"/>
      <w:szCs w:val="26"/>
    </w:rPr>
  </w:style>
  <w:style w:type="paragraph" w:customStyle="1" w:styleId="187">
    <w:name w:val="UserStyle_94"/>
    <w:basedOn w:val="1"/>
    <w:qFormat/>
    <w:uiPriority w:val="0"/>
    <w:pPr>
      <w:spacing w:before="100" w:beforeAutospacing="1" w:after="100" w:afterAutospacing="1"/>
      <w:jc w:val="left"/>
    </w:pPr>
    <w:rPr>
      <w:rFonts w:ascii="宋体" w:hAnsi="宋体" w:eastAsia="宋体"/>
      <w:kern w:val="0"/>
      <w:sz w:val="18"/>
      <w:szCs w:val="18"/>
    </w:rPr>
  </w:style>
  <w:style w:type="paragraph" w:customStyle="1" w:styleId="188">
    <w:name w:val="UserStyle_95"/>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仿宋" w:hAnsi="仿宋" w:eastAsia="仿宋"/>
      <w:kern w:val="0"/>
      <w:sz w:val="20"/>
    </w:rPr>
  </w:style>
  <w:style w:type="paragraph" w:customStyle="1" w:styleId="189">
    <w:name w:val="UserStyle_96"/>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仿宋" w:hAnsi="仿宋" w:eastAsia="仿宋" w:cs="宋体"/>
      <w:b/>
      <w:bCs/>
      <w:kern w:val="0"/>
      <w:sz w:val="20"/>
    </w:rPr>
  </w:style>
  <w:style w:type="paragraph" w:customStyle="1" w:styleId="190">
    <w:name w:val="UserStyle_97"/>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Courier New" w:hAnsi="Courier New" w:eastAsia="宋体" w:cs="Courier New"/>
      <w:b/>
      <w:bCs/>
      <w:kern w:val="0"/>
      <w:sz w:val="20"/>
    </w:rPr>
  </w:style>
  <w:style w:type="paragraph" w:customStyle="1" w:styleId="191">
    <w:name w:val="UserStyle_98"/>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仿宋" w:hAnsi="仿宋" w:eastAsia="仿宋"/>
      <w:kern w:val="0"/>
      <w:sz w:val="20"/>
    </w:rPr>
  </w:style>
  <w:style w:type="paragraph" w:customStyle="1" w:styleId="192">
    <w:name w:val="UserStyle_99"/>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Courier New" w:hAnsi="Courier New" w:eastAsia="宋体"/>
      <w:kern w:val="0"/>
      <w:sz w:val="20"/>
    </w:rPr>
  </w:style>
  <w:style w:type="paragraph" w:customStyle="1" w:styleId="193">
    <w:name w:val="UserStyle_100"/>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仿宋" w:hAnsi="仿宋" w:eastAsia="仿宋"/>
      <w:color w:val="000000"/>
      <w:kern w:val="0"/>
      <w:sz w:val="20"/>
    </w:rPr>
  </w:style>
  <w:style w:type="paragraph" w:customStyle="1" w:styleId="194">
    <w:name w:val="UserStyle_101"/>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仿宋" w:hAnsi="仿宋" w:eastAsia="仿宋"/>
      <w:color w:val="000000"/>
      <w:kern w:val="0"/>
      <w:sz w:val="20"/>
    </w:rPr>
  </w:style>
  <w:style w:type="paragraph" w:customStyle="1" w:styleId="195">
    <w:name w:val="UserStyle_102"/>
    <w:basedOn w:val="1"/>
    <w:qFormat/>
    <w:uiPriority w:val="0"/>
    <w:pPr>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pPr>
    <w:rPr>
      <w:rFonts w:ascii="仿宋" w:hAnsi="仿宋" w:eastAsia="仿宋"/>
      <w:kern w:val="0"/>
      <w:sz w:val="20"/>
    </w:rPr>
  </w:style>
  <w:style w:type="paragraph" w:customStyle="1" w:styleId="196">
    <w:name w:val="UserStyle_103"/>
    <w:basedOn w:val="1"/>
    <w:qFormat/>
    <w:uiPriority w:val="0"/>
    <w:pPr>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pPr>
    <w:rPr>
      <w:rFonts w:ascii="Courier New" w:hAnsi="Courier New" w:eastAsia="宋体"/>
      <w:kern w:val="0"/>
      <w:sz w:val="20"/>
    </w:rPr>
  </w:style>
  <w:style w:type="paragraph" w:customStyle="1" w:styleId="197">
    <w:name w:val="UserStyle_104"/>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Courier New" w:hAnsi="Courier New" w:eastAsia="宋体"/>
      <w:kern w:val="0"/>
      <w:sz w:val="20"/>
    </w:rPr>
  </w:style>
  <w:style w:type="paragraph" w:customStyle="1" w:styleId="198">
    <w:name w:val="UserStyle_105"/>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仿宋" w:hAnsi="仿宋" w:eastAsia="仿宋"/>
      <w:color w:val="000000"/>
      <w:kern w:val="0"/>
      <w:sz w:val="20"/>
    </w:rPr>
  </w:style>
  <w:style w:type="paragraph" w:customStyle="1" w:styleId="199">
    <w:name w:val="UserStyle_106"/>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Courier New" w:hAnsi="Courier New" w:eastAsia="宋体"/>
      <w:kern w:val="0"/>
      <w:sz w:val="20"/>
    </w:rPr>
  </w:style>
  <w:style w:type="paragraph" w:customStyle="1" w:styleId="200">
    <w:name w:val="UserStyle_107"/>
    <w:basedOn w:val="1"/>
    <w:qFormat/>
    <w:uiPriority w:val="0"/>
    <w:pPr>
      <w:spacing w:before="100" w:beforeAutospacing="1" w:after="100" w:afterAutospacing="1"/>
      <w:jc w:val="left"/>
    </w:pPr>
    <w:rPr>
      <w:rFonts w:ascii="宋体" w:hAnsi="宋体" w:eastAsia="宋体"/>
      <w:kern w:val="0"/>
      <w:sz w:val="18"/>
      <w:szCs w:val="18"/>
    </w:rPr>
  </w:style>
  <w:style w:type="paragraph" w:customStyle="1" w:styleId="201">
    <w:name w:val="UserStyle_108"/>
    <w:qFormat/>
    <w:uiPriority w:val="0"/>
    <w:pPr>
      <w:spacing w:before="120" w:after="240" w:line="360" w:lineRule="auto"/>
      <w:jc w:val="both"/>
      <w:textAlignment w:val="baseline"/>
    </w:pPr>
    <w:rPr>
      <w:rFonts w:ascii="Times New Roman" w:hAnsi="Times New Roman" w:eastAsia="Calibri" w:cs="Times New Roman"/>
      <w:sz w:val="22"/>
      <w:szCs w:val="22"/>
      <w:lang w:val="ru-RU" w:eastAsia="en-US" w:bidi="ar-SA"/>
    </w:rPr>
  </w:style>
  <w:style w:type="paragraph" w:customStyle="1" w:styleId="202">
    <w:name w:val="UserStyle_109"/>
    <w:basedOn w:val="1"/>
    <w:qFormat/>
    <w:uiPriority w:val="0"/>
    <w:pPr>
      <w:ind w:firstLine="420" w:firstLineChars="200"/>
    </w:pPr>
    <w:rPr>
      <w:rFonts w:eastAsia="宋体"/>
      <w:szCs w:val="26"/>
    </w:rPr>
  </w:style>
  <w:style w:type="paragraph" w:customStyle="1" w:styleId="203">
    <w:name w:val="UserStyle_110"/>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Courier New" w:hAnsi="Courier New" w:eastAsia="宋体"/>
      <w:kern w:val="0"/>
      <w:sz w:val="20"/>
    </w:rPr>
  </w:style>
  <w:style w:type="paragraph" w:customStyle="1" w:styleId="204">
    <w:name w:val="UserStyle_111"/>
    <w:basedOn w:val="1"/>
    <w:qFormat/>
    <w:uiPriority w:val="0"/>
    <w:pPr>
      <w:spacing w:before="100" w:beforeAutospacing="1" w:after="100" w:afterAutospacing="1"/>
      <w:jc w:val="left"/>
    </w:pPr>
    <w:rPr>
      <w:rFonts w:ascii="宋体" w:hAnsi="宋体" w:eastAsia="宋体"/>
      <w:kern w:val="0"/>
      <w:sz w:val="18"/>
      <w:szCs w:val="18"/>
    </w:rPr>
  </w:style>
  <w:style w:type="paragraph" w:customStyle="1" w:styleId="205">
    <w:name w:val="UserStyle_112"/>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Courier New" w:hAnsi="Courier New" w:eastAsia="宋体" w:cs="Courier New"/>
      <w:b/>
      <w:bCs/>
      <w:color w:val="000000"/>
      <w:kern w:val="0"/>
      <w:sz w:val="20"/>
    </w:rPr>
  </w:style>
  <w:style w:type="paragraph" w:customStyle="1" w:styleId="206">
    <w:name w:val="UserStyle_113"/>
    <w:basedOn w:val="1"/>
    <w:qFormat/>
    <w:uiPriority w:val="0"/>
    <w:pPr>
      <w:spacing w:before="100" w:beforeAutospacing="1" w:after="100" w:afterAutospacing="1"/>
      <w:jc w:val="center"/>
    </w:pPr>
    <w:rPr>
      <w:rFonts w:ascii="Courier New" w:hAnsi="Courier New" w:eastAsia="宋体"/>
      <w:color w:val="000000"/>
      <w:kern w:val="0"/>
      <w:sz w:val="20"/>
    </w:rPr>
  </w:style>
  <w:style w:type="paragraph" w:customStyle="1" w:styleId="207">
    <w:name w:val="UserStyle_114"/>
    <w:next w:val="1"/>
    <w:qFormat/>
    <w:uiPriority w:val="0"/>
    <w:pPr>
      <w:spacing w:line="360" w:lineRule="auto"/>
      <w:jc w:val="both"/>
      <w:textAlignment w:val="baseline"/>
    </w:pPr>
    <w:rPr>
      <w:rFonts w:ascii="Times New Roman" w:hAnsi="Times New Roman" w:eastAsia="楷体_GB2312" w:cs="Times New Roman"/>
      <w:kern w:val="2"/>
      <w:sz w:val="26"/>
      <w:szCs w:val="26"/>
      <w:lang w:val="en-US" w:eastAsia="zh-CN" w:bidi="ar-SA"/>
    </w:rPr>
  </w:style>
  <w:style w:type="paragraph" w:customStyle="1" w:styleId="208">
    <w:name w:val="UserStyle_115"/>
    <w:basedOn w:val="35"/>
    <w:next w:val="1"/>
    <w:qFormat/>
    <w:uiPriority w:val="0"/>
    <w:pPr>
      <w:spacing w:line="240" w:lineRule="auto"/>
      <w:jc w:val="center"/>
    </w:pPr>
    <w:rPr>
      <w:rFonts w:ascii="仿宋_GB2312" w:hAnsi="宋体" w:eastAsia="仿宋_GB2312" w:cs="宋体"/>
      <w:bCs/>
      <w:szCs w:val="44"/>
    </w:rPr>
  </w:style>
  <w:style w:type="paragraph" w:customStyle="1" w:styleId="209">
    <w:name w:val="UserStyle_116"/>
    <w:qFormat/>
    <w:uiPriority w:val="0"/>
    <w:pPr>
      <w:spacing w:line="240" w:lineRule="atLeast"/>
      <w:ind w:firstLine="200" w:firstLineChars="200"/>
      <w:jc w:val="both"/>
      <w:textAlignment w:val="baseline"/>
    </w:pPr>
    <w:rPr>
      <w:rFonts w:ascii="Times New Roman" w:hAnsi="Times New Roman" w:eastAsia="宋体" w:cs="Times New Roman"/>
      <w:kern w:val="2"/>
      <w:sz w:val="21"/>
      <w:szCs w:val="21"/>
      <w:lang w:val="en-US" w:eastAsia="zh-CN" w:bidi="ar-SA"/>
    </w:rPr>
  </w:style>
  <w:style w:type="paragraph" w:customStyle="1" w:styleId="210">
    <w:name w:val="UserStyle_117"/>
    <w:basedOn w:val="1"/>
    <w:qFormat/>
    <w:uiPriority w:val="0"/>
    <w:pPr>
      <w:spacing w:before="100" w:beforeAutospacing="1" w:after="100" w:afterAutospacing="1"/>
      <w:jc w:val="left"/>
    </w:pPr>
    <w:rPr>
      <w:rFonts w:ascii="宋体" w:hAnsi="宋体" w:eastAsia="宋体"/>
      <w:kern w:val="0"/>
      <w:sz w:val="18"/>
      <w:szCs w:val="18"/>
    </w:rPr>
  </w:style>
  <w:style w:type="paragraph" w:customStyle="1" w:styleId="211">
    <w:name w:val="UserStyle_118"/>
    <w:basedOn w:val="1"/>
    <w:qFormat/>
    <w:uiPriority w:val="0"/>
    <w:pPr>
      <w:spacing w:before="100" w:beforeAutospacing="1" w:after="100" w:afterAutospacing="1"/>
      <w:jc w:val="left"/>
    </w:pPr>
    <w:rPr>
      <w:rFonts w:ascii="Courier New" w:hAnsi="Courier New" w:eastAsia="宋体"/>
      <w:color w:val="000000"/>
      <w:kern w:val="0"/>
      <w:sz w:val="20"/>
    </w:rPr>
  </w:style>
  <w:style w:type="paragraph" w:customStyle="1" w:styleId="212">
    <w:name w:val="UserStyle_119"/>
    <w:basedOn w:val="1"/>
    <w:qFormat/>
    <w:uiPriority w:val="0"/>
    <w:pPr>
      <w:spacing w:before="100" w:beforeAutospacing="1" w:after="100" w:afterAutospacing="1"/>
      <w:jc w:val="left"/>
    </w:pPr>
    <w:rPr>
      <w:rFonts w:ascii="宋体" w:hAnsi="宋体" w:eastAsia="宋体"/>
      <w:kern w:val="0"/>
      <w:sz w:val="18"/>
      <w:szCs w:val="18"/>
    </w:rPr>
  </w:style>
  <w:style w:type="paragraph" w:customStyle="1" w:styleId="213">
    <w:name w:val="UserStyle_120"/>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Courier New" w:hAnsi="Courier New" w:eastAsia="宋体"/>
      <w:color w:val="000000"/>
      <w:kern w:val="0"/>
      <w:sz w:val="20"/>
    </w:rPr>
  </w:style>
  <w:style w:type="paragraph" w:customStyle="1" w:styleId="214">
    <w:name w:val="UserStyle_121"/>
    <w:basedOn w:val="1"/>
    <w:qFormat/>
    <w:uiPriority w:val="0"/>
    <w:pPr>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pPr>
    <w:rPr>
      <w:rFonts w:ascii="Courier New" w:hAnsi="Courier New" w:eastAsia="宋体"/>
      <w:kern w:val="0"/>
      <w:sz w:val="20"/>
    </w:rPr>
  </w:style>
  <w:style w:type="paragraph" w:customStyle="1" w:styleId="215">
    <w:name w:val="UserStyle_122"/>
    <w:basedOn w:val="1"/>
    <w:qFormat/>
    <w:uiPriority w:val="0"/>
    <w:pPr>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left"/>
      <w:textAlignment w:val="top"/>
    </w:pPr>
    <w:rPr>
      <w:rFonts w:ascii="仿宋" w:hAnsi="仿宋" w:eastAsia="仿宋"/>
      <w:kern w:val="0"/>
      <w:sz w:val="20"/>
    </w:rPr>
  </w:style>
  <w:style w:type="paragraph" w:customStyle="1" w:styleId="216">
    <w:name w:val="UserStyle_123"/>
    <w:basedOn w:val="1"/>
    <w:qFormat/>
    <w:uiPriority w:val="0"/>
    <w:pPr>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pPr>
    <w:rPr>
      <w:rFonts w:ascii="仿宋" w:hAnsi="仿宋" w:eastAsia="仿宋"/>
      <w:kern w:val="0"/>
      <w:sz w:val="20"/>
    </w:rPr>
  </w:style>
  <w:style w:type="paragraph" w:customStyle="1" w:styleId="217">
    <w:name w:val="UserStyle_124"/>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Courier New" w:hAnsi="Courier New" w:eastAsia="宋体"/>
      <w:kern w:val="0"/>
      <w:sz w:val="20"/>
    </w:rPr>
  </w:style>
  <w:style w:type="paragraph" w:customStyle="1" w:styleId="218">
    <w:name w:val="UserStyle_125"/>
    <w:basedOn w:val="1"/>
    <w:qFormat/>
    <w:uiPriority w:val="0"/>
    <w:pPr>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left"/>
    </w:pPr>
    <w:rPr>
      <w:rFonts w:ascii="仿宋" w:hAnsi="仿宋" w:eastAsia="仿宋"/>
      <w:kern w:val="0"/>
      <w:sz w:val="20"/>
    </w:rPr>
  </w:style>
  <w:style w:type="paragraph" w:customStyle="1" w:styleId="219">
    <w:name w:val="UserStyle_126"/>
    <w:basedOn w:val="1"/>
    <w:qFormat/>
    <w:uiPriority w:val="0"/>
    <w:pPr>
      <w:spacing w:before="100" w:beforeAutospacing="1" w:after="100" w:afterAutospacing="1"/>
      <w:jc w:val="left"/>
    </w:pPr>
    <w:rPr>
      <w:rFonts w:ascii="宋体" w:hAnsi="宋体" w:eastAsia="宋体"/>
      <w:kern w:val="0"/>
      <w:sz w:val="18"/>
      <w:szCs w:val="18"/>
    </w:rPr>
  </w:style>
  <w:style w:type="paragraph" w:customStyle="1" w:styleId="220">
    <w:name w:val="UserStyle_127"/>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仿宋" w:hAnsi="仿宋" w:eastAsia="仿宋"/>
      <w:kern w:val="0"/>
      <w:sz w:val="20"/>
    </w:rPr>
  </w:style>
  <w:style w:type="paragraph" w:customStyle="1" w:styleId="221">
    <w:name w:val="UserStyle_128"/>
    <w:basedOn w:val="1"/>
    <w:qFormat/>
    <w:uiPriority w:val="0"/>
    <w:pPr>
      <w:spacing w:before="100" w:beforeAutospacing="1" w:after="100" w:afterAutospacing="1"/>
      <w:jc w:val="left"/>
    </w:pPr>
    <w:rPr>
      <w:rFonts w:ascii="Courier New" w:hAnsi="Courier New" w:eastAsia="宋体"/>
      <w:color w:val="000000"/>
      <w:kern w:val="0"/>
      <w:sz w:val="20"/>
    </w:rPr>
  </w:style>
  <w:style w:type="paragraph" w:customStyle="1" w:styleId="222">
    <w:name w:val="UserStyle_129"/>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仿宋" w:hAnsi="仿宋" w:eastAsia="仿宋"/>
      <w:kern w:val="0"/>
      <w:sz w:val="20"/>
    </w:rPr>
  </w:style>
  <w:style w:type="paragraph" w:customStyle="1" w:styleId="223">
    <w:name w:val="UserStyle_130"/>
    <w:basedOn w:val="1"/>
    <w:qFormat/>
    <w:uiPriority w:val="0"/>
    <w:pPr>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left"/>
    </w:pPr>
    <w:rPr>
      <w:rFonts w:ascii="仿宋" w:hAnsi="仿宋" w:eastAsia="仿宋"/>
      <w:kern w:val="0"/>
      <w:sz w:val="20"/>
    </w:rPr>
  </w:style>
  <w:style w:type="paragraph" w:customStyle="1" w:styleId="224">
    <w:name w:val="UserStyle_131"/>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仿宋" w:hAnsi="仿宋" w:eastAsia="仿宋"/>
      <w:kern w:val="0"/>
      <w:sz w:val="20"/>
    </w:rPr>
  </w:style>
  <w:style w:type="paragraph" w:customStyle="1" w:styleId="225">
    <w:name w:val="UserStyle_132"/>
    <w:basedOn w:val="1"/>
    <w:qFormat/>
    <w:uiPriority w:val="0"/>
    <w:pPr>
      <w:spacing w:before="100" w:beforeAutospacing="1" w:after="100" w:afterAutospacing="1"/>
      <w:jc w:val="left"/>
    </w:pPr>
    <w:rPr>
      <w:rFonts w:ascii="宋体" w:hAnsi="宋体" w:eastAsia="宋体"/>
      <w:kern w:val="0"/>
      <w:sz w:val="18"/>
      <w:szCs w:val="18"/>
    </w:rPr>
  </w:style>
  <w:style w:type="paragraph" w:customStyle="1" w:styleId="226">
    <w:name w:val="UserStyle_133"/>
    <w:basedOn w:val="1"/>
    <w:qFormat/>
    <w:uiPriority w:val="0"/>
    <w:pPr>
      <w:spacing w:before="100" w:beforeAutospacing="1" w:after="100" w:afterAutospacing="1"/>
      <w:jc w:val="left"/>
    </w:pPr>
    <w:rPr>
      <w:rFonts w:ascii="宋体" w:hAnsi="宋体" w:eastAsia="宋体"/>
      <w:kern w:val="0"/>
      <w:sz w:val="18"/>
      <w:szCs w:val="18"/>
    </w:rPr>
  </w:style>
  <w:style w:type="paragraph" w:customStyle="1" w:styleId="227">
    <w:name w:val="UserStyle_134"/>
    <w:basedOn w:val="1"/>
    <w:qFormat/>
    <w:uiPriority w:val="0"/>
    <w:pPr>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left"/>
    </w:pPr>
    <w:rPr>
      <w:rFonts w:ascii="仿宋" w:hAnsi="仿宋" w:eastAsia="仿宋" w:cs="宋体"/>
      <w:b/>
      <w:bCs/>
      <w:kern w:val="0"/>
      <w:sz w:val="20"/>
    </w:rPr>
  </w:style>
  <w:style w:type="paragraph" w:customStyle="1" w:styleId="228">
    <w:name w:val="UserStyle_135"/>
    <w:basedOn w:val="1"/>
    <w:qFormat/>
    <w:uiPriority w:val="0"/>
    <w:pPr>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left"/>
    </w:pPr>
    <w:rPr>
      <w:rFonts w:ascii="仿宋" w:hAnsi="仿宋" w:eastAsia="仿宋"/>
      <w:kern w:val="0"/>
      <w:sz w:val="20"/>
    </w:rPr>
  </w:style>
  <w:style w:type="paragraph" w:customStyle="1" w:styleId="229">
    <w:name w:val="UserStyle_136"/>
    <w:basedOn w:val="1"/>
    <w:qFormat/>
    <w:uiPriority w:val="0"/>
    <w:pPr>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pPr>
    <w:rPr>
      <w:rFonts w:ascii="仿宋" w:hAnsi="仿宋" w:eastAsia="仿宋"/>
      <w:kern w:val="0"/>
      <w:sz w:val="20"/>
    </w:rPr>
  </w:style>
  <w:style w:type="paragraph" w:customStyle="1" w:styleId="230">
    <w:name w:val="UserStyle_137"/>
    <w:basedOn w:val="1"/>
    <w:qFormat/>
    <w:uiPriority w:val="0"/>
    <w:pPr>
      <w:spacing w:before="100" w:beforeAutospacing="1" w:after="100" w:afterAutospacing="1"/>
      <w:jc w:val="left"/>
    </w:pPr>
    <w:rPr>
      <w:rFonts w:ascii="宋体" w:hAnsi="宋体" w:eastAsia="宋体"/>
      <w:kern w:val="0"/>
      <w:sz w:val="18"/>
      <w:szCs w:val="18"/>
    </w:rPr>
  </w:style>
  <w:style w:type="paragraph" w:customStyle="1" w:styleId="231">
    <w:name w:val="UserStyle_138"/>
    <w:basedOn w:val="1"/>
    <w:qFormat/>
    <w:uiPriority w:val="0"/>
    <w:pPr>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left"/>
    </w:pPr>
    <w:rPr>
      <w:rFonts w:ascii="Courier New" w:hAnsi="Courier New" w:eastAsia="宋体" w:cs="Courier New"/>
      <w:b/>
      <w:bCs/>
      <w:kern w:val="0"/>
      <w:sz w:val="20"/>
    </w:rPr>
  </w:style>
  <w:style w:type="paragraph" w:customStyle="1" w:styleId="232">
    <w:name w:val="UserStyle_139"/>
    <w:basedOn w:val="1"/>
    <w:qFormat/>
    <w:uiPriority w:val="0"/>
    <w:pPr>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pPr>
    <w:rPr>
      <w:rFonts w:ascii="仿宋" w:hAnsi="仿宋" w:eastAsia="仿宋"/>
      <w:kern w:val="0"/>
      <w:sz w:val="20"/>
    </w:rPr>
  </w:style>
  <w:style w:type="paragraph" w:customStyle="1" w:styleId="233">
    <w:name w:val="UserStyle_140"/>
    <w:basedOn w:val="1"/>
    <w:qFormat/>
    <w:uiPriority w:val="0"/>
    <w:pPr>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pPr>
    <w:rPr>
      <w:rFonts w:ascii="Courier New" w:hAnsi="Courier New" w:eastAsia="宋体"/>
      <w:kern w:val="0"/>
      <w:sz w:val="20"/>
    </w:rPr>
  </w:style>
  <w:style w:type="paragraph" w:customStyle="1" w:styleId="234">
    <w:name w:val="UserStyle_141"/>
    <w:basedOn w:val="1"/>
    <w:qFormat/>
    <w:uiPriority w:val="0"/>
    <w:pPr>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pPr>
    <w:rPr>
      <w:rFonts w:ascii="Courier New" w:hAnsi="Courier New" w:eastAsia="宋体"/>
      <w:kern w:val="0"/>
      <w:sz w:val="20"/>
    </w:rPr>
  </w:style>
  <w:style w:type="paragraph" w:customStyle="1" w:styleId="235">
    <w:name w:val="UserStyle_142"/>
    <w:basedOn w:val="1"/>
    <w:qFormat/>
    <w:uiPriority w:val="0"/>
    <w:pPr>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pPr>
    <w:rPr>
      <w:rFonts w:ascii="Courier New" w:hAnsi="Courier New" w:eastAsia="宋体"/>
      <w:color w:val="000000"/>
      <w:kern w:val="0"/>
      <w:sz w:val="20"/>
    </w:rPr>
  </w:style>
  <w:style w:type="paragraph" w:customStyle="1" w:styleId="236">
    <w:name w:val="UserStyle_143"/>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Courier New" w:hAnsi="Courier New" w:eastAsia="宋体"/>
      <w:kern w:val="0"/>
      <w:sz w:val="20"/>
    </w:rPr>
  </w:style>
  <w:style w:type="paragraph" w:customStyle="1" w:styleId="237">
    <w:name w:val="UserStyle_144"/>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Courier New" w:hAnsi="Courier New" w:eastAsia="宋体"/>
      <w:color w:val="000000"/>
      <w:kern w:val="0"/>
      <w:sz w:val="20"/>
    </w:rPr>
  </w:style>
  <w:style w:type="paragraph" w:customStyle="1" w:styleId="238">
    <w:name w:val="UserStyle_145"/>
    <w:basedOn w:val="1"/>
    <w:qFormat/>
    <w:uiPriority w:val="0"/>
    <w:pPr>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left"/>
    </w:pPr>
    <w:rPr>
      <w:rFonts w:ascii="Courier New" w:hAnsi="Courier New" w:eastAsia="宋体"/>
      <w:kern w:val="0"/>
      <w:sz w:val="20"/>
    </w:rPr>
  </w:style>
  <w:style w:type="paragraph" w:customStyle="1" w:styleId="239">
    <w:name w:val="UserStyle_146"/>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仿宋" w:hAnsi="仿宋" w:eastAsia="仿宋"/>
      <w:kern w:val="0"/>
      <w:sz w:val="20"/>
    </w:rPr>
  </w:style>
  <w:style w:type="paragraph" w:customStyle="1" w:styleId="240">
    <w:name w:val="UserStyle_147"/>
    <w:basedOn w:val="1"/>
    <w:qFormat/>
    <w:uiPriority w:val="0"/>
    <w:pPr>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pPr>
    <w:rPr>
      <w:rFonts w:ascii="仿宋" w:hAnsi="仿宋" w:eastAsia="仿宋"/>
      <w:kern w:val="0"/>
      <w:sz w:val="20"/>
    </w:rPr>
  </w:style>
  <w:style w:type="paragraph" w:customStyle="1" w:styleId="241">
    <w:name w:val="UserStyle_148"/>
    <w:basedOn w:val="1"/>
    <w:qFormat/>
    <w:uiPriority w:val="0"/>
    <w:pPr>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pPr>
    <w:rPr>
      <w:rFonts w:ascii="仿宋" w:hAnsi="仿宋" w:eastAsia="仿宋"/>
      <w:kern w:val="0"/>
      <w:sz w:val="20"/>
    </w:rPr>
  </w:style>
  <w:style w:type="paragraph" w:customStyle="1" w:styleId="242">
    <w:name w:val="UserStyle_149"/>
    <w:basedOn w:val="1"/>
    <w:qFormat/>
    <w:uiPriority w:val="0"/>
    <w:pPr>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left"/>
    </w:pPr>
    <w:rPr>
      <w:rFonts w:ascii="仿宋" w:hAnsi="仿宋" w:eastAsia="仿宋"/>
      <w:kern w:val="0"/>
      <w:sz w:val="20"/>
    </w:rPr>
  </w:style>
  <w:style w:type="paragraph" w:customStyle="1" w:styleId="243">
    <w:name w:val="UserStyle_150"/>
    <w:basedOn w:val="1"/>
    <w:qFormat/>
    <w:uiPriority w:val="0"/>
    <w:pPr>
      <w:spacing w:before="100" w:beforeAutospacing="1" w:after="100" w:afterAutospacing="1"/>
      <w:jc w:val="left"/>
    </w:pPr>
    <w:rPr>
      <w:rFonts w:ascii="宋体" w:hAnsi="宋体" w:eastAsia="宋体"/>
      <w:kern w:val="0"/>
      <w:sz w:val="18"/>
      <w:szCs w:val="18"/>
    </w:rPr>
  </w:style>
  <w:style w:type="paragraph" w:customStyle="1" w:styleId="244">
    <w:name w:val="UserStyle_151"/>
    <w:basedOn w:val="1"/>
    <w:qFormat/>
    <w:uiPriority w:val="0"/>
    <w:pPr>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pPr>
    <w:rPr>
      <w:rFonts w:ascii="Courier New" w:hAnsi="Courier New" w:eastAsia="宋体"/>
      <w:kern w:val="0"/>
      <w:sz w:val="20"/>
    </w:rPr>
  </w:style>
  <w:style w:type="paragraph" w:customStyle="1" w:styleId="245">
    <w:name w:val="UserStyle_152"/>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仿宋" w:hAnsi="仿宋" w:eastAsia="仿宋"/>
      <w:kern w:val="0"/>
      <w:sz w:val="20"/>
    </w:rPr>
  </w:style>
  <w:style w:type="paragraph" w:customStyle="1" w:styleId="246">
    <w:name w:val="UserStyle_153"/>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Courier New" w:hAnsi="Courier New" w:eastAsia="宋体"/>
      <w:kern w:val="0"/>
      <w:sz w:val="20"/>
    </w:rPr>
  </w:style>
  <w:style w:type="table" w:customStyle="1" w:styleId="247">
    <w:name w:val="UserStyle_154"/>
    <w:basedOn w:val="45"/>
    <w:qFormat/>
    <w:uiPriority w:val="0"/>
  </w:style>
  <w:style w:type="character" w:customStyle="1" w:styleId="248">
    <w:name w:val="UserStyle_155"/>
    <w:qFormat/>
    <w:uiPriority w:val="0"/>
  </w:style>
  <w:style w:type="paragraph" w:customStyle="1" w:styleId="249">
    <w:name w:val="Null"/>
    <w:qFormat/>
    <w:uiPriority w:val="0"/>
    <w:pPr>
      <w:spacing w:line="360" w:lineRule="auto"/>
      <w:jc w:val="both"/>
      <w:textAlignment w:val="baseline"/>
    </w:pPr>
    <w:rPr>
      <w:rFonts w:ascii="Times New Roman" w:hAnsi="Times New Roman" w:eastAsia="楷体_GB2312" w:cs="Times New Roman"/>
      <w:kern w:val="2"/>
      <w:sz w:val="26"/>
      <w:lang w:val="en-US" w:eastAsia="zh-CN" w:bidi="ar-SA"/>
    </w:rPr>
  </w:style>
  <w:style w:type="paragraph" w:customStyle="1" w:styleId="250">
    <w:name w:val="UserStyle_156"/>
    <w:basedOn w:val="1"/>
    <w:qFormat/>
    <w:uiPriority w:val="0"/>
    <w:pPr>
      <w:ind w:firstLine="480" w:firstLineChars="200"/>
    </w:pPr>
    <w:rPr>
      <w:lang w:val="zh-CN"/>
    </w:rPr>
  </w:style>
  <w:style w:type="paragraph" w:customStyle="1" w:styleId="251">
    <w:name w:val="UserStyle_157"/>
    <w:basedOn w:val="1"/>
    <w:qFormat/>
    <w:uiPriority w:val="0"/>
    <w:pPr>
      <w:spacing w:before="100" w:beforeAutospacing="1" w:after="100" w:afterAutospacing="1"/>
    </w:pPr>
    <w:rPr>
      <w:rFonts w:ascii="宋体" w:hAnsi="宋体" w:eastAsia="仿宋_GB2312"/>
      <w:sz w:val="32"/>
    </w:rPr>
  </w:style>
  <w:style w:type="character" w:customStyle="1" w:styleId="252">
    <w:name w:val="UserStyle_158"/>
    <w:qFormat/>
    <w:uiPriority w:val="0"/>
  </w:style>
  <w:style w:type="paragraph" w:customStyle="1" w:styleId="253">
    <w:name w:val="列表段落1"/>
    <w:basedOn w:val="1"/>
    <w:qFormat/>
    <w:uiPriority w:val="0"/>
    <w:pPr>
      <w:ind w:firstLine="420" w:firstLineChars="200"/>
    </w:pPr>
    <w:rPr>
      <w:rFonts w:ascii="Calibri" w:hAnsi="Calibri"/>
    </w:rPr>
  </w:style>
  <w:style w:type="paragraph" w:customStyle="1" w:styleId="254">
    <w:name w:val="列出段落1"/>
    <w:basedOn w:val="1"/>
    <w:qFormat/>
    <w:uiPriority w:val="0"/>
    <w:pPr>
      <w:ind w:firstLine="420" w:firstLineChars="200"/>
    </w:pPr>
    <w:rPr>
      <w:rFonts w:ascii="Calibri" w:hAnsi="Calibri" w:eastAsia="宋体" w:cs="黑体"/>
      <w:sz w:val="21"/>
      <w:szCs w:val="22"/>
    </w:rPr>
  </w:style>
  <w:style w:type="paragraph" w:customStyle="1" w:styleId="255">
    <w:name w:val="Table Paragraph"/>
    <w:basedOn w:val="1"/>
    <w:qFormat/>
    <w:uiPriority w:val="1"/>
    <w:pPr>
      <w:spacing w:before="31"/>
      <w:ind w:left="107"/>
    </w:pPr>
    <w:rPr>
      <w:rFonts w:ascii="微软雅黑" w:hAnsi="微软雅黑" w:eastAsia="微软雅黑" w:cs="微软雅黑"/>
    </w:rPr>
  </w:style>
  <w:style w:type="paragraph" w:customStyle="1" w:styleId="256">
    <w:name w:val="正文首行缩进1"/>
    <w:basedOn w:val="257"/>
    <w:qFormat/>
    <w:uiPriority w:val="0"/>
    <w:pPr>
      <w:ind w:firstLine="200"/>
    </w:pPr>
    <w:rPr>
      <w:rFonts w:ascii="仿宋_GB2312" w:eastAsia="仿宋_GB2312"/>
      <w:sz w:val="30"/>
      <w:szCs w:val="30"/>
    </w:rPr>
  </w:style>
  <w:style w:type="paragraph" w:customStyle="1" w:styleId="257">
    <w:name w:val="正文文本11"/>
    <w:basedOn w:val="1"/>
    <w:next w:val="1"/>
    <w:qFormat/>
    <w:uiPriority w:val="0"/>
    <w:rPr>
      <w:rFonts w:ascii="楷体_GB2312" w:hAnsi="Arial"/>
      <w:sz w:val="28"/>
      <w:szCs w:val="28"/>
    </w:rPr>
  </w:style>
  <w:style w:type="character" w:customStyle="1" w:styleId="258">
    <w:name w:val="批注文字 字符"/>
    <w:basedOn w:val="26"/>
    <w:link w:val="9"/>
    <w:qFormat/>
    <w:uiPriority w:val="0"/>
    <w:rPr>
      <w:rFonts w:eastAsia="楷体_GB2312"/>
      <w:kern w:val="2"/>
      <w:sz w:val="26"/>
    </w:rPr>
  </w:style>
  <w:style w:type="character" w:customStyle="1" w:styleId="259">
    <w:name w:val="批注主题 字符"/>
    <w:basedOn w:val="258"/>
    <w:link w:val="22"/>
    <w:qFormat/>
    <w:uiPriority w:val="0"/>
    <w:rPr>
      <w:rFonts w:eastAsia="楷体_GB2312"/>
      <w:b/>
      <w:bCs/>
      <w:kern w:val="2"/>
      <w:sz w:val="26"/>
    </w:rPr>
  </w:style>
  <w:style w:type="paragraph" w:customStyle="1" w:styleId="260">
    <w:name w:val="Revision"/>
    <w:hidden/>
    <w:unhideWhenUsed/>
    <w:qFormat/>
    <w:uiPriority w:val="99"/>
    <w:rPr>
      <w:rFonts w:ascii="Times New Roman" w:hAnsi="Times New Roman" w:eastAsia="楷体_GB2312" w:cs="Times New Roman"/>
      <w:kern w:val="2"/>
      <w:sz w:val="26"/>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4.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59</Pages>
  <Words>20812</Words>
  <Characters>21698</Characters>
  <Lines>260</Lines>
  <Paragraphs>73</Paragraphs>
  <TotalTime>1</TotalTime>
  <ScaleCrop>false</ScaleCrop>
  <LinksUpToDate>false</LinksUpToDate>
  <CharactersWithSpaces>21840</CharactersWithSpaces>
  <Application>WPS Office_12.1.0.24655_F1E327BC-269C-435d-A152-05C5408002CA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2021-08-17T17:36:00Z</dcterms:created>
  <dc:creator>正扬</dc:creator>
  <cp:lastModifiedBy>le</cp:lastModifiedBy>
  <dcterms:modified xsi:type="dcterms:W3CDTF">2026-01-15T07:24:33Z</dcterms:modified>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2052-12.1.0.24655</vt:lpwstr>
  </property>
  <property fmtid="{D5CDD505-2E9C-101B-9397-08002B2CF9AE}" pid="3" name="ICV">
    <vt:lpwstr>71882B9F9C204403A439489065A6738E_13</vt:lpwstr>
  </property>
  <property fmtid="{D5CDD505-2E9C-101B-9397-08002B2CF9AE}" pid="4" name="KSOTemplateDocerSaveRecord">
    <vt:lpwstr>eyJoZGlkIjoiNzc3NGZiODMwZWIxNGQ1ZGM3NzU3NzM0MzJmZjJlOWYiLCJ1c2VySWQiOiIxMjY5NzgzNzg4In0=</vt:lpwstr>
  </property>
</Properties>
</file>