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themeColor="text1"/>
          <w:spacing w:val="6"/>
          <w:kern w:val="2"/>
          <w:sz w:val="44"/>
          <w:szCs w:val="44"/>
          <w:lang w:eastAsia="zh-CN" w:bidi="ar-SA"/>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kern w:val="2"/>
          <w:sz w:val="44"/>
          <w:szCs w:val="44"/>
          <w:lang w:eastAsia="zh-CN" w:bidi="ar-SA"/>
          <w14:textFill>
            <w14:solidFill>
              <w14:schemeClr w14:val="tx1"/>
            </w14:solidFill>
          </w14:textFill>
        </w:rPr>
        <w:t>表</w:t>
      </w:r>
      <w:r>
        <w:rPr>
          <w:rFonts w:hint="eastAsia" w:ascii="方正小标宋简体" w:hAnsi="方正小标宋简体" w:eastAsia="方正小标宋简体" w:cs="方正小标宋简体"/>
          <w:bCs/>
          <w:color w:val="000000" w:themeColor="text1"/>
          <w:spacing w:val="6"/>
          <w:kern w:val="2"/>
          <w:sz w:val="44"/>
          <w:szCs w:val="44"/>
          <w:lang w:val="en-US" w:eastAsia="zh-CN" w:bidi="ar-SA"/>
          <w14:textFill>
            <w14:solidFill>
              <w14:schemeClr w14:val="tx1"/>
            </w14:solidFill>
          </w14:textFill>
        </w:rPr>
        <w:t xml:space="preserve">1-3  </w:t>
      </w:r>
      <w:r>
        <w:rPr>
          <w:rFonts w:hint="eastAsia" w:ascii="方正小标宋简体" w:hAnsi="方正小标宋简体" w:eastAsia="方正小标宋简体" w:cs="方正小标宋简体"/>
          <w:bCs/>
          <w:color w:val="000000" w:themeColor="text1"/>
          <w:spacing w:val="6"/>
          <w:kern w:val="2"/>
          <w:sz w:val="44"/>
          <w:szCs w:val="44"/>
          <w:lang w:eastAsia="zh-CN" w:bidi="ar-SA"/>
          <w14:textFill>
            <w14:solidFill>
              <w14:schemeClr w14:val="tx1"/>
            </w14:solidFill>
          </w14:textFill>
        </w:rPr>
        <w:t>餐饮服务监督检查要点表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color w:val="000000" w:themeColor="text1"/>
          <w:kern w:val="2"/>
          <w:sz w:val="24"/>
          <w:szCs w:val="24"/>
          <w:lang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方正楷体_GBK" w:hAnsi="方正楷体_GBK" w:eastAsia="方正楷体_GBK" w:cs="方正楷体_GBK"/>
          <w:b/>
          <w:bCs/>
          <w:color w:val="000000" w:themeColor="text1"/>
          <w:kern w:val="2"/>
          <w:sz w:val="28"/>
          <w:szCs w:val="28"/>
          <w:lang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28"/>
          <w:szCs w:val="28"/>
          <w:lang w:eastAsia="zh-CN" w:bidi="ar-SA"/>
          <w14:textFill>
            <w14:solidFill>
              <w14:schemeClr w14:val="tx1"/>
            </w14:solidFill>
          </w14:textFill>
        </w:rPr>
        <w:t>检查项目：重点项（*）</w:t>
      </w:r>
      <w:r>
        <w:rPr>
          <w:rFonts w:hint="eastAsia" w:ascii="方正楷体_GBK" w:hAnsi="方正楷体_GBK" w:eastAsia="方正楷体_GBK" w:cs="方正楷体_GBK"/>
          <w:color w:val="000000" w:themeColor="text1"/>
          <w:kern w:val="2"/>
          <w:sz w:val="28"/>
          <w:szCs w:val="28"/>
          <w:lang w:val="en-US" w:eastAsia="zh-CN" w:bidi="ar-SA"/>
          <w14:textFill>
            <w14:solidFill>
              <w14:schemeClr w14:val="tx1"/>
            </w14:solidFill>
          </w14:textFill>
        </w:rPr>
        <w:t>19</w:t>
      </w:r>
      <w:r>
        <w:rPr>
          <w:rFonts w:hint="eastAsia" w:ascii="方正楷体_GBK" w:hAnsi="方正楷体_GBK" w:eastAsia="方正楷体_GBK" w:cs="方正楷体_GBK"/>
          <w:color w:val="000000" w:themeColor="text1"/>
          <w:kern w:val="2"/>
          <w:sz w:val="28"/>
          <w:szCs w:val="28"/>
          <w:lang w:eastAsia="zh-CN" w:bidi="ar-SA"/>
          <w14:textFill>
            <w14:solidFill>
              <w14:schemeClr w14:val="tx1"/>
            </w14:solidFill>
          </w14:textFill>
        </w:rPr>
        <w:t>项，一般项</w:t>
      </w:r>
      <w:r>
        <w:rPr>
          <w:rFonts w:hint="eastAsia" w:ascii="方正楷体_GBK" w:hAnsi="方正楷体_GBK" w:eastAsia="方正楷体_GBK" w:cs="方正楷体_GBK"/>
          <w:color w:val="000000" w:themeColor="text1"/>
          <w:kern w:val="2"/>
          <w:sz w:val="28"/>
          <w:szCs w:val="28"/>
          <w:lang w:val="en-US" w:eastAsia="zh-CN" w:bidi="ar-SA"/>
          <w14:textFill>
            <w14:solidFill>
              <w14:schemeClr w14:val="tx1"/>
            </w14:solidFill>
          </w14:textFill>
        </w:rPr>
        <w:t>37</w:t>
      </w:r>
      <w:r>
        <w:rPr>
          <w:rFonts w:hint="eastAsia" w:ascii="方正楷体_GBK" w:hAnsi="方正楷体_GBK" w:eastAsia="方正楷体_GBK" w:cs="方正楷体_GBK"/>
          <w:color w:val="000000" w:themeColor="text1"/>
          <w:kern w:val="2"/>
          <w:sz w:val="28"/>
          <w:szCs w:val="28"/>
          <w:lang w:eastAsia="zh-CN" w:bidi="ar-SA"/>
          <w14:textFill>
            <w14:solidFill>
              <w14:schemeClr w14:val="tx1"/>
            </w14:solidFill>
          </w14:textFill>
        </w:rPr>
        <w:t>项，共</w:t>
      </w:r>
      <w:r>
        <w:rPr>
          <w:rFonts w:hint="eastAsia" w:ascii="方正楷体_GBK" w:hAnsi="方正楷体_GBK" w:eastAsia="方正楷体_GBK" w:cs="方正楷体_GBK"/>
          <w:color w:val="000000" w:themeColor="text1"/>
          <w:kern w:val="2"/>
          <w:sz w:val="28"/>
          <w:szCs w:val="28"/>
          <w:lang w:val="en-US" w:eastAsia="zh-CN" w:bidi="ar-SA"/>
          <w14:textFill>
            <w14:solidFill>
              <w14:schemeClr w14:val="tx1"/>
            </w14:solidFill>
          </w14:textFill>
        </w:rPr>
        <w:t>56</w:t>
      </w:r>
      <w:r>
        <w:rPr>
          <w:rFonts w:hint="eastAsia" w:ascii="方正楷体_GBK" w:hAnsi="方正楷体_GBK" w:eastAsia="方正楷体_GBK" w:cs="方正楷体_GBK"/>
          <w:color w:val="000000" w:themeColor="text1"/>
          <w:kern w:val="2"/>
          <w:sz w:val="28"/>
          <w:szCs w:val="28"/>
          <w:lang w:eastAsia="zh-CN" w:bidi="ar-SA"/>
          <w14:textFill>
            <w14:solidFill>
              <w14:schemeClr w14:val="tx1"/>
            </w14:solidFill>
          </w14:textFill>
        </w:rPr>
        <w:t>项</w:t>
      </w:r>
    </w:p>
    <w:tbl>
      <w:tblPr>
        <w:tblStyle w:val="2"/>
        <w:tblW w:w="145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8"/>
        <w:gridCol w:w="975"/>
        <w:gridCol w:w="8416"/>
        <w:gridCol w:w="1408"/>
        <w:gridCol w:w="23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6" w:hRule="atLeast"/>
          <w:jc w:val="center"/>
        </w:trPr>
        <w:tc>
          <w:tcPr>
            <w:tcW w:w="142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黑体" w:hAnsi="黑体" w:eastAsia="黑体" w:cs="黑体"/>
                <w:color w:val="000000" w:themeColor="text1"/>
                <w:kern w:val="2"/>
                <w:sz w:val="24"/>
                <w:szCs w:val="24"/>
                <w:lang w:eastAsia="zh-CN" w:bidi="ar-SA"/>
                <w14:textFill>
                  <w14:solidFill>
                    <w14:schemeClr w14:val="tx1"/>
                  </w14:solidFill>
                </w14:textFill>
              </w:rPr>
            </w:pPr>
            <w:r>
              <w:rPr>
                <w:rFonts w:hint="eastAsia" w:ascii="黑体" w:hAnsi="黑体" w:eastAsia="黑体" w:cs="黑体"/>
                <w:color w:val="000000" w:themeColor="text1"/>
                <w:kern w:val="2"/>
                <w:sz w:val="24"/>
                <w:szCs w:val="24"/>
                <w:lang w:eastAsia="zh-CN" w:bidi="ar-SA"/>
                <w14:textFill>
                  <w14:solidFill>
                    <w14:schemeClr w14:val="tx1"/>
                  </w14:solidFill>
                </w14:textFill>
              </w:rPr>
              <w:t>检查项目</w:t>
            </w: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黑体" w:hAnsi="黑体" w:eastAsia="黑体" w:cs="黑体"/>
                <w:color w:val="000000" w:themeColor="text1"/>
                <w:kern w:val="2"/>
                <w:sz w:val="24"/>
                <w:szCs w:val="24"/>
                <w:lang w:eastAsia="zh-CN" w:bidi="ar-SA"/>
                <w14:textFill>
                  <w14:solidFill>
                    <w14:schemeClr w14:val="tx1"/>
                  </w14:solidFill>
                </w14:textFill>
              </w:rPr>
            </w:pPr>
            <w:r>
              <w:rPr>
                <w:rFonts w:hint="eastAsia" w:ascii="黑体" w:hAnsi="黑体" w:eastAsia="黑体" w:cs="黑体"/>
                <w:color w:val="000000" w:themeColor="text1"/>
                <w:kern w:val="2"/>
                <w:sz w:val="24"/>
                <w:szCs w:val="24"/>
                <w:lang w:eastAsia="zh-CN" w:bidi="ar-SA"/>
                <w14:textFill>
                  <w14:solidFill>
                    <w14:schemeClr w14:val="tx1"/>
                  </w14:solidFill>
                </w14:textFill>
              </w:rPr>
              <w:t>序号</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黑体" w:hAnsi="黑体" w:eastAsia="黑体" w:cs="黑体"/>
                <w:color w:val="000000" w:themeColor="text1"/>
                <w:kern w:val="2"/>
                <w:sz w:val="24"/>
                <w:szCs w:val="24"/>
                <w:lang w:eastAsia="zh-CN" w:bidi="ar-SA"/>
                <w14:textFill>
                  <w14:solidFill>
                    <w14:schemeClr w14:val="tx1"/>
                  </w14:solidFill>
                </w14:textFill>
              </w:rPr>
            </w:pPr>
            <w:r>
              <w:rPr>
                <w:rFonts w:hint="eastAsia" w:ascii="黑体" w:hAnsi="黑体" w:eastAsia="黑体" w:cs="黑体"/>
                <w:color w:val="000000" w:themeColor="text1"/>
                <w:kern w:val="2"/>
                <w:sz w:val="24"/>
                <w:szCs w:val="24"/>
                <w:lang w:eastAsia="zh-CN" w:bidi="ar-SA"/>
                <w14:textFill>
                  <w14:solidFill>
                    <w14:schemeClr w14:val="tx1"/>
                  </w14:solidFill>
                </w14:textFill>
              </w:rPr>
              <w:t>检查内容</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黑体" w:hAnsi="黑体" w:eastAsia="黑体" w:cs="黑体"/>
                <w:color w:val="000000" w:themeColor="text1"/>
                <w:kern w:val="2"/>
                <w:sz w:val="24"/>
                <w:szCs w:val="24"/>
                <w:lang w:eastAsia="zh-CN" w:bidi="ar-SA"/>
                <w14:textFill>
                  <w14:solidFill>
                    <w14:schemeClr w14:val="tx1"/>
                  </w14:solidFill>
                </w14:textFill>
              </w:rPr>
            </w:pPr>
            <w:r>
              <w:rPr>
                <w:rFonts w:hint="eastAsia" w:ascii="黑体" w:hAnsi="黑体" w:eastAsia="黑体" w:cs="黑体"/>
                <w:color w:val="000000" w:themeColor="text1"/>
                <w:kern w:val="2"/>
                <w:sz w:val="24"/>
                <w:szCs w:val="24"/>
                <w:lang w:eastAsia="zh-CN" w:bidi="ar-SA"/>
                <w14:textFill>
                  <w14:solidFill>
                    <w14:schemeClr w14:val="tx1"/>
                  </w14:solidFill>
                </w14:textFill>
              </w:rPr>
              <w:t>检查结果</w:t>
            </w:r>
          </w:p>
        </w:tc>
        <w:tc>
          <w:tcPr>
            <w:tcW w:w="231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黑体" w:hAnsi="黑体" w:eastAsia="黑体" w:cs="黑体"/>
                <w:color w:val="000000" w:themeColor="text1"/>
                <w:kern w:val="2"/>
                <w:sz w:val="24"/>
                <w:szCs w:val="24"/>
                <w:lang w:eastAsia="zh-CN" w:bidi="ar-SA"/>
                <w14:textFill>
                  <w14:solidFill>
                    <w14:schemeClr w14:val="tx1"/>
                  </w14:solidFill>
                </w14:textFill>
              </w:rPr>
            </w:pPr>
            <w:r>
              <w:rPr>
                <w:rFonts w:hint="eastAsia" w:ascii="黑体" w:hAnsi="黑体" w:eastAsia="黑体" w:cs="黑体"/>
                <w:color w:val="000000" w:themeColor="text1"/>
                <w:kern w:val="2"/>
                <w:sz w:val="24"/>
                <w:szCs w:val="24"/>
                <w:lang w:eastAsia="zh-CN" w:bidi="ar-SA"/>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5" w:hRule="atLeast"/>
          <w:jc w:val="center"/>
        </w:trPr>
        <w:tc>
          <w:tcPr>
            <w:tcW w:w="1428" w:type="dxa"/>
            <w:vMerge w:val="restar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w:t>
            </w: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餐饮服务提供者资质</w:t>
            </w:r>
          </w:p>
        </w:tc>
        <w:tc>
          <w:tcPr>
            <w:tcW w:w="975"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*1.1</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食品经营许可证合法有效、与经营场所（实体门店）地址一致。</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1.2</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未超出许可经营项目开展餐饮服务活动。</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1" w:hRule="atLeast"/>
          <w:jc w:val="center"/>
        </w:trPr>
        <w:tc>
          <w:tcPr>
            <w:tcW w:w="1428" w:type="dxa"/>
            <w:vMerge w:val="restart"/>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2.信息公示</w:t>
            </w: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2.1</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在经营场所的显著位置悬挂或者摆放食品经营许可证正本，或以电子形式公示。</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5"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2.2</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曾开展过日常监督检查的餐饮服务提供者，按规定在经营场所醒目位置张贴或者公开展示对消费者有重要影响的监督检查结果记录表。</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2.3</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公示从事接触直接入口食品工作的从业人员的有效健康证明。</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2.4</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入网餐饮服务提供者</w:t>
            </w:r>
            <w:r>
              <w:rPr>
                <w:rFonts w:hint="eastAsia" w:ascii="方正仿宋_GBK" w:hAnsi="方正仿宋_GBK" w:eastAsia="方正仿宋_GBK" w:cs="方正仿宋_GBK"/>
                <w:color w:val="000000" w:themeColor="text1"/>
                <w:kern w:val="2"/>
                <w:sz w:val="24"/>
                <w:szCs w:val="24"/>
                <w:highlight w:val="none"/>
                <w:lang w:eastAsia="zh-CN" w:bidi="ar-SA"/>
                <w14:textFill>
                  <w14:solidFill>
                    <w14:schemeClr w14:val="tx1"/>
                  </w14:solidFill>
                </w14:textFill>
              </w:rPr>
              <w:t>在线上经</w:t>
            </w: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营活动主页面公示餐饮服务提供者名称、地址、食品经营许可证等信息，公示信息真实，及时更新。</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8" w:hRule="atLeast"/>
          <w:jc w:val="center"/>
        </w:trPr>
        <w:tc>
          <w:tcPr>
            <w:tcW w:w="1428" w:type="dxa"/>
            <w:vMerge w:val="restart"/>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3.从业人员健康管理</w:t>
            </w: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3.1</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制定从业人员健康管理制度。</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3.2</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餐饮服务企业对各岗位从业人员进行相应的食品安全知识培训，做好培训记录。</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*3.3</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有每日健康检查（晨检）记录。从事接触直接入口食品工作的从业人员持有有效的健康证明，未患有碍食品安全病症或手部有伤口。</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3.4</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t>在岗从业人员保持良好个人卫生，手部清洁，无留长指甲、涂指甲油、饰物外露等情形。</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3.5</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在岗从业人员穿戴洁净的工作衣帽。专间、专用操作区和其他操作区的从业人员工作服有明显区分。</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3.6</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专间及专用操作区内的从业人员操作时，佩戴清洁的口罩，口罩遮住口鼻。</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9" w:hRule="atLeast"/>
          <w:jc w:val="center"/>
        </w:trPr>
        <w:tc>
          <w:tcPr>
            <w:tcW w:w="1428" w:type="dxa"/>
            <w:vMerge w:val="restar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w:t>
            </w: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原料控制（含食品添加剂、食品相关产品）</w:t>
            </w: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4.1</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随机抽查的餐饮服务提供者的食品、食品添加剂、食品相关产品有进货查验记录和合格证明文件。</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4.2</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食品贮存区不存在食品与非食品混放情形，未存放有毒有害物质；食品贮存符合分类、分架、离墙、离地、有标识等要求。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*4.3</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需冷冻（藏）的食品原料、半成品和成品及时按要求进行冷冻（藏）。冷冻（藏）设施中的食品不存在原料、半成品、成品混放等情形；冷冻（藏）设施设有可正确显示内部温度的测温装置，冷冻（藏）温度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*4.4</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现场未查见无标签标识、无法说明来源以及其他明令禁止生产经营的物质。</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5"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4.5</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特定餐饮服务提供者建立供货者评价和退出机制，自行或委托第三方机构定期对供货者食品安全状况进行现场评价。</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4.6</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在加工间和贮存设施内随机抽查的食品原料感官性状无异常、食品包装和标签标识符合要求。未采购、贮存、使用散装食盐。</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4.7</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对变质、超过保质期或者回收的食品进行显著标示或者单独存放在有明确标志的场所，及时进行无害化处理、销毁等，并如实记录。</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5"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*4.8</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食品加工用水水质符合生活饮用水卫生标准。加工制作现榨果蔬汁和食用冰等直接入口食品的用水通过净水设施处理，或使用预包装饮用水、煮沸冷却后的生活饮用水。</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9" w:hRule="atLeast"/>
          <w:jc w:val="center"/>
        </w:trPr>
        <w:tc>
          <w:tcPr>
            <w:tcW w:w="1428" w:type="dxa"/>
            <w:vMerge w:val="restart"/>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val="en-US" w:eastAsia="zh-CN" w:bidi="ar-SA"/>
                <w14:textFill>
                  <w14:solidFill>
                    <w14:schemeClr w14:val="tx1"/>
                  </w14:solidFill>
                </w14:textFill>
              </w:rPr>
              <w:t>5.</w:t>
            </w:r>
            <w:r>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t>加工制作过程</w:t>
            </w: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5.1</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t>具有与其加工制作的食品品种、数量相适应的加工场所及设施设备等。</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7" w:hRule="atLeast"/>
          <w:jc w:val="center"/>
        </w:trPr>
        <w:tc>
          <w:tcPr>
            <w:tcW w:w="1428" w:type="dxa"/>
            <w:vMerge w:val="continue"/>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*5.2</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t>原料、半成品、成品及其盛放容器和加工制作工具区分标识明显、分开放置和使用；防止食品交叉污染的措施有效。</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8" w:hRule="atLeast"/>
          <w:jc w:val="center"/>
        </w:trPr>
        <w:tc>
          <w:tcPr>
            <w:tcW w:w="1428" w:type="dxa"/>
            <w:vMerge w:val="continue"/>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*5.3</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t>不存在《食品安全法》等法律、法规禁止的行为。</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5"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5.4</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食品原料洗净后使用。各类水池有明显标识标明用途，分类清洗动物性食品、植物性食品和水产品。未经清洁的禽蛋使用前清洁外壳。</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5.5</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盛放调味料的容器保持清洁，加盖存放。煎炸油的色泽、气味、状态无异常，必要时进行检测。油炸类食品、烧烤类食品、火锅类食品、糕点类食品、自制饮品等加工过程符合要求。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3"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*5.6</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专间及专用操作区的标识、设施、人员及操作符合要求。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5.7</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学校（含托幼机构）食堂、养老机构食堂、医疗机构食堂、建筑工地食堂等集中用餐单位的食堂以及中央厨房、集体用餐配送单位、一次性集体聚餐人数超过100人或为重大活动供餐的餐饮服务提供者，按规定留样。</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*5.8</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中小学、幼儿园食堂未制售冷荤类食品、生食类食品、裱花蛋糕，未加工制作四季豆、鲜黄花菜、野生蘑菇、发芽土豆等高风险食品，未设置酒销售点。</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0" w:hRule="atLeast"/>
          <w:jc w:val="center"/>
        </w:trPr>
        <w:tc>
          <w:tcPr>
            <w:tcW w:w="1428" w:type="dxa"/>
            <w:vMerge w:val="restart"/>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6.食品添加剂使用管理</w:t>
            </w: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6.1</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食品添加剂存放、使用、管理符合要求。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2"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*6.2</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未采购、贮存、使用亚硝酸盐等国家禁止在餐饮业使用的品种。</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4" w:hRule="atLeast"/>
          <w:jc w:val="center"/>
        </w:trPr>
        <w:tc>
          <w:tcPr>
            <w:tcW w:w="1428" w:type="dxa"/>
            <w:vMerge w:val="restart"/>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7.</w:t>
            </w: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备餐、供餐与配送</w:t>
            </w: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*7.1</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备餐场所、备餐人员个人卫生、盛装食品成品的容器和分派菜肴整理造型的工具、菜肴围边和盘花符合要求。食品存放温度和时间符合要求。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7.2</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采取有效措施，防止供餐过程中食品受到污染。学校食堂就餐区或者就餐区附近应当设置供用餐者清洗手部以及餐具、饮具的用水设施。</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7.3</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具备符合贮存、运输要求的设施设备。食品的传送电梯、配送车辆、存放食品的车厢或配送箱（包）、与食品直接接触的配送容器符合要求。食品配送过程符合要求。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7.4</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中央厨房配送过程中，食品的包装或盛放符合要求，包装或盛放容器上标注的信息符合要求。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7.5</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集体用餐配送单位配送过程中，食品的盛放容器密闭，食品容器上标注的信息符合要求。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2"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7.6</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外卖送餐人员保持个人卫生、配送箱（包）保持清洁。配送箱（包）中，直接入口食品和非直接入口食品、需低温保存的食品和热食品分隔放置，并保证食品温度符合食品安全要求。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2" w:hRule="atLeast"/>
          <w:jc w:val="center"/>
        </w:trPr>
        <w:tc>
          <w:tcPr>
            <w:tcW w:w="1428" w:type="dxa"/>
            <w:vMerge w:val="restart"/>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val="en-US" w:eastAsia="zh-CN" w:bidi="ar-SA"/>
                <w14:textFill>
                  <w14:solidFill>
                    <w14:schemeClr w14:val="tx1"/>
                  </w14:solidFill>
                </w14:textFill>
              </w:rPr>
              <w:t>8.</w:t>
            </w:r>
            <w:r>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t>场所和设备设施清洁维护</w:t>
            </w: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bCs/>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8.1</w:t>
            </w:r>
          </w:p>
        </w:tc>
        <w:tc>
          <w:tcPr>
            <w:tcW w:w="8416" w:type="dxa"/>
            <w:tcBorders>
              <w:tl2br w:val="nil"/>
              <w:tr2bl w:val="nil"/>
            </w:tcBorders>
            <w:noWrap w:val="0"/>
            <w:vAlign w:val="center"/>
          </w:tcPr>
          <w:p>
            <w:pPr>
              <w:keepNext w:val="0"/>
              <w:keepLines w:val="0"/>
              <w:pageBreakBefore w:val="0"/>
              <w:kinsoku/>
              <w:wordWrap/>
              <w:overflowPunct w:val="0"/>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未在餐饮经营场所内饲养、暂养和宰杀畜禽；场所及设施设备布局合理。</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2"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8.2</w:t>
            </w:r>
          </w:p>
        </w:tc>
        <w:tc>
          <w:tcPr>
            <w:tcW w:w="8416" w:type="dxa"/>
            <w:tcBorders>
              <w:tl2br w:val="nil"/>
              <w:tr2bl w:val="nil"/>
            </w:tcBorders>
            <w:noWrap w:val="0"/>
            <w:vAlign w:val="center"/>
          </w:tcPr>
          <w:p>
            <w:pPr>
              <w:keepNext w:val="0"/>
              <w:keepLines w:val="0"/>
              <w:pageBreakBefore w:val="0"/>
              <w:widowControl/>
              <w:shd w:val="clear" w:color="auto" w:fill="auto"/>
              <w:kinsoku/>
              <w:wordWrap/>
              <w:overflowPunct w:val="0"/>
              <w:topLinePunct w:val="0"/>
              <w:autoSpaceDE/>
              <w:autoSpaceDN/>
              <w:bidi w:val="0"/>
              <w:snapToGrid/>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shd w:val="clear" w:color="auto" w:fill="auto"/>
                <w:lang w:eastAsia="zh-CN" w:bidi="ar-SA"/>
                <w14:textFill>
                  <w14:solidFill>
                    <w14:schemeClr w14:val="tx1"/>
                  </w14:solidFill>
                </w14:textFill>
              </w:rPr>
              <w:t>保持餐饮经营场所环境清洁，墙壁、天花板、门窗、地面、排水沟、操作台、食品加工用具等无破损、霉斑、积油、积水、污垢等。</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2"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*8.3</w:t>
            </w:r>
          </w:p>
        </w:tc>
        <w:tc>
          <w:tcPr>
            <w:tcW w:w="8416" w:type="dxa"/>
            <w:tcBorders>
              <w:tl2br w:val="nil"/>
              <w:tr2bl w:val="nil"/>
            </w:tcBorders>
            <w:noWrap w:val="0"/>
            <w:vAlign w:val="center"/>
          </w:tcPr>
          <w:p>
            <w:pPr>
              <w:keepNext w:val="0"/>
              <w:keepLines w:val="0"/>
              <w:pageBreakBefore w:val="0"/>
              <w:kinsoku/>
              <w:wordWrap/>
              <w:overflowPunct w:val="0"/>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冷冻（藏）、保温、陈列、采光、通风、洗手、消毒、三防等设施设备能正常使用。特定餐饮服务提供者具有设施设备维护记录。</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2"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*8.4</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有害生物防治措施有效，不存在明显的有害生物活动迹象。餐饮服务企业、中央厨房、集体用餐配送单位、学校（含托幼机构）食堂、养老机构食堂、医疗机构食堂有定期除虫灭害记录。</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2"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8.5</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卫生间设置位置符合要求，能够保持清洁。</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2"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8.6</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餐厨废弃物的存放及清理符合要求。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9" w:hRule="atLeast"/>
          <w:jc w:val="center"/>
        </w:trPr>
        <w:tc>
          <w:tcPr>
            <w:tcW w:w="1428" w:type="dxa"/>
            <w:vMerge w:val="restart"/>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9.</w:t>
            </w: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餐饮具清洗消毒</w:t>
            </w: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9.1</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spacing w:val="10"/>
                <w:kern w:val="2"/>
                <w:sz w:val="24"/>
                <w:szCs w:val="24"/>
                <w:lang w:eastAsia="zh-CN" w:bidi="ar-SA"/>
                <w14:textFill>
                  <w14:solidFill>
                    <w14:schemeClr w14:val="tx1"/>
                  </w14:solidFill>
                </w14:textFill>
              </w:rPr>
              <w:t>餐用具清洗水池专用，标有明显标识，满足清洗需要。使用的洗涤剂符合食品安全国家标准，包装标识齐全。</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9.2</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采用物理消毒的，消毒设施（包括一体化洗碗消毒机）运转正常并能满足消毒需要。采用化学消毒的，使用的消毒剂为正规产品，消毒液使用、配制等符合要求。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3"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9.3</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保洁设施符合相关要求，保洁设施内存放的餐饮具保持清洁。</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0"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9.4</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使用集中清洗消毒餐饮具的，查验、留存集中消毒服务单位的营业执照复印件和消毒合格证明。餐饮具包装无破损、标识符合要求、在使用期限内。</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kern w:val="2"/>
                <w:sz w:val="24"/>
                <w:szCs w:val="24"/>
                <w:lang w:val="en-US" w:eastAsia="zh-CN" w:bidi="ar-SA"/>
                <w14:textFill>
                  <w14:solidFill>
                    <w14:schemeClr w14:val="tx1"/>
                  </w14:solidFill>
                </w14:textFill>
              </w:rPr>
              <w:t>*9.5</w:t>
            </w:r>
          </w:p>
        </w:tc>
        <w:tc>
          <w:tcPr>
            <w:tcW w:w="8416"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未发现使用未经清洗消毒的餐饮具、重复使用一次性餐饮具。</w:t>
            </w:r>
          </w:p>
        </w:tc>
        <w:tc>
          <w:tcPr>
            <w:tcW w:w="1408" w:type="dxa"/>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adjustRightInd w:val="0"/>
              <w:snapToGrid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28" w:type="dxa"/>
            <w:vMerge w:val="restart"/>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bCs/>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t>10.</w:t>
            </w: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食品安全管理</w:t>
            </w: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10.1</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spacing w:val="-11"/>
                <w:kern w:val="0"/>
                <w:sz w:val="24"/>
                <w:szCs w:val="24"/>
                <w:lang w:eastAsia="zh-CN" w:bidi="ar-SA"/>
                <w14:textFill>
                  <w14:solidFill>
                    <w14:schemeClr w14:val="tx1"/>
                  </w14:solidFill>
                </w14:textFill>
              </w:rPr>
              <w:t>建立并不断完善健全食品安全管理制度</w:t>
            </w:r>
            <w:r>
              <w:rPr>
                <w:rFonts w:hint="eastAsia" w:ascii="方正仿宋_GBK" w:hAnsi="方正仿宋_GBK" w:eastAsia="方正仿宋_GBK" w:cs="方正仿宋_GBK"/>
                <w:color w:val="000000" w:themeColor="text1"/>
                <w:spacing w:val="-11"/>
                <w:kern w:val="2"/>
                <w:sz w:val="24"/>
                <w:szCs w:val="24"/>
                <w:lang w:eastAsia="zh-CN" w:bidi="ar-SA"/>
                <w14:textFill>
                  <w14:solidFill>
                    <w14:schemeClr w14:val="tx1"/>
                  </w14:solidFill>
                </w14:textFill>
              </w:rPr>
              <w:t>，特定餐饮服务提供者制定加工操作规程。中央厨房、集体用餐配送</w:t>
            </w:r>
            <w:r>
              <w:rPr>
                <w:rFonts w:hint="eastAsia" w:ascii="方正仿宋_GBK" w:hAnsi="方正仿宋_GBK" w:eastAsia="方正仿宋_GBK" w:cs="方正仿宋_GBK"/>
                <w:color w:val="000000" w:themeColor="text1"/>
                <w:spacing w:val="-11"/>
                <w:kern w:val="0"/>
                <w:sz w:val="24"/>
                <w:szCs w:val="24"/>
                <w:lang w:eastAsia="zh-CN" w:bidi="ar-SA"/>
                <w14:textFill>
                  <w14:solidFill>
                    <w14:schemeClr w14:val="tx1"/>
                  </w14:solidFill>
                </w14:textFill>
              </w:rPr>
              <w:t>单位、连锁餐饮企业总部、网络餐饮服务第三方平台提供者设立食品安全管理机构。</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jc w:val="center"/>
        </w:trPr>
        <w:tc>
          <w:tcPr>
            <w:tcW w:w="1428" w:type="dxa"/>
            <w:vMerge w:val="continue"/>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10.2</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餐饮服务企业、网络餐饮服务第三方平台提供者、学校（含托幼机构）食堂、养老机构食堂、医疗机构食堂配备专职或兼职食品安全管理人员，留存食品安全管理人员任职文件等证明资料。</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28" w:type="dxa"/>
            <w:vMerge w:val="continue"/>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*10.3</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随机对食品安全管理人员抽查考核食品安全知识，结果符合要求。</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10.4</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餐饮服务企业、网络餐饮服务第三方平台提供者、学校（含托幼机构）食堂、养老机构食堂、医疗机构食堂有食品安全事故处置方案。</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5"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*10.5</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建立食品安全自查制度，定期对食品安全状况进行检查评价，有食品安全自查记录，自查频次和内容符合相关规定。自查内容真实反映管理现状，及时整改发现的问题。</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w:t>
            </w:r>
            <w: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□否</w:t>
            </w:r>
          </w:p>
        </w:tc>
        <w:tc>
          <w:tcPr>
            <w:tcW w:w="2318" w:type="dxa"/>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9"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10.6</w:t>
            </w:r>
          </w:p>
        </w:tc>
        <w:tc>
          <w:tcPr>
            <w:tcW w:w="8416" w:type="dxa"/>
            <w:tcBorders>
              <w:tl2br w:val="nil"/>
              <w:tr2bl w:val="nil"/>
            </w:tcBorders>
            <w:noWrap w:val="0"/>
            <w:vAlign w:val="center"/>
          </w:tcPr>
          <w:p>
            <w:pPr>
              <w:keepNext w:val="0"/>
              <w:keepLines w:val="0"/>
              <w:pageBreakBefore w:val="0"/>
              <w:shd w:val="clear" w:color="auto" w:fill="auto"/>
              <w:kinsoku/>
              <w:wordWrap/>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spacing w:val="-11"/>
                <w:kern w:val="2"/>
                <w:sz w:val="24"/>
                <w:szCs w:val="24"/>
                <w:lang w:eastAsia="zh-CN" w:bidi="ar-SA"/>
                <w14:textFill>
                  <w14:solidFill>
                    <w14:schemeClr w14:val="tx1"/>
                  </w14:solidFill>
                </w14:textFill>
              </w:rPr>
              <w:t>中央厨房和集体用餐配送单位自行或委托具有资质的第三方机构定期对大宗食品原料、加工制作环境进行检验检测，有检验检测结果记录。</w:t>
            </w:r>
          </w:p>
        </w:tc>
        <w:tc>
          <w:tcPr>
            <w:tcW w:w="1408" w:type="dxa"/>
            <w:tcBorders>
              <w:tl2br w:val="nil"/>
              <w:tr2bl w:val="nil"/>
            </w:tcBorders>
            <w:noWrap w:val="0"/>
            <w:vAlign w:val="center"/>
          </w:tcPr>
          <w:p>
            <w:pPr>
              <w:keepNext w:val="0"/>
              <w:keepLines w:val="0"/>
              <w:pageBreakBefore w:val="0"/>
              <w:widowControl/>
              <w:shd w:val="clear" w:color="auto" w:fill="auto"/>
              <w:kinsoku/>
              <w:wordWrap/>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w:t>
            </w: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是</w:t>
            </w: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 xml:space="preserve"> </w:t>
            </w:r>
            <w:bookmarkStart w:id="0" w:name="_GoBack"/>
            <w:bookmarkEnd w:id="0"/>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□否</w:t>
            </w:r>
          </w:p>
        </w:tc>
        <w:tc>
          <w:tcPr>
            <w:tcW w:w="2318" w:type="dxa"/>
            <w:tcBorders>
              <w:tl2br w:val="nil"/>
              <w:tr2bl w:val="nil"/>
            </w:tcBorders>
            <w:noWrap w:val="0"/>
            <w:vAlign w:val="top"/>
          </w:tcPr>
          <w:p>
            <w:pPr>
              <w:keepNext w:val="0"/>
              <w:keepLines w:val="0"/>
              <w:pageBreakBefore w:val="0"/>
              <w:widowControl/>
              <w:shd w:val="clear" w:color="auto" w:fill="auto"/>
              <w:kinsoku/>
              <w:wordWrap/>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0" w:hRule="atLeast"/>
          <w:jc w:val="center"/>
        </w:trPr>
        <w:tc>
          <w:tcPr>
            <w:tcW w:w="1428" w:type="dxa"/>
            <w:vMerge w:val="restart"/>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11.</w:t>
            </w: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制止餐饮浪费</w:t>
            </w: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11.1</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t>主动对消费者进行防止食品浪费提示提醒。</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vMerge w:val="restart"/>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11.2</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t>未发现诱导、误导消费者超量点餐造成明显浪费。</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vMerge w:val="continue"/>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8" w:hRule="atLeast"/>
          <w:jc w:val="center"/>
        </w:trPr>
        <w:tc>
          <w:tcPr>
            <w:tcW w:w="1428" w:type="dxa"/>
            <w:vMerge w:val="continue"/>
            <w:tcBorders>
              <w:tl2br w:val="nil"/>
              <w:tr2bl w:val="nil"/>
            </w:tcBorders>
            <w:noWrap w:val="0"/>
            <w:vAlign w:val="center"/>
          </w:tcPr>
          <w:p>
            <w:pPr>
              <w:keepNext w:val="0"/>
              <w:keepLines w:val="0"/>
              <w:pageBreakBefore w:val="0"/>
              <w:widowControl/>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pPr>
          </w:p>
        </w:tc>
        <w:tc>
          <w:tcPr>
            <w:tcW w:w="975"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*11.3</w:t>
            </w:r>
          </w:p>
        </w:tc>
        <w:tc>
          <w:tcPr>
            <w:tcW w:w="8416"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SA"/>
                <w14:textFill>
                  <w14:solidFill>
                    <w14:schemeClr w14:val="tx1"/>
                  </w14:solidFill>
                </w14:textFill>
              </w:rPr>
              <w:t>未发现经营过程中存在严重浪费。</w:t>
            </w:r>
          </w:p>
        </w:tc>
        <w:tc>
          <w:tcPr>
            <w:tcW w:w="1408" w:type="dxa"/>
            <w:tcBorders>
              <w:tl2br w:val="nil"/>
              <w:tr2bl w:val="nil"/>
            </w:tcBorders>
            <w:noWrap w:val="0"/>
            <w:vAlign w:val="center"/>
          </w:tcPr>
          <w:p>
            <w:pPr>
              <w:keepNext w:val="0"/>
              <w:keepLines w:val="0"/>
              <w:pageBreakBefore w:val="0"/>
              <w:kinsoku/>
              <w:wordWrap/>
              <w:topLinePunct w:val="0"/>
              <w:autoSpaceDE/>
              <w:autoSpaceDN/>
              <w:bidi w:val="0"/>
              <w:spacing w:line="300" w:lineRule="exact"/>
              <w:jc w:val="center"/>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t>□是 □否</w:t>
            </w:r>
          </w:p>
        </w:tc>
        <w:tc>
          <w:tcPr>
            <w:tcW w:w="2318" w:type="dxa"/>
            <w:vMerge w:val="continue"/>
            <w:tcBorders>
              <w:tl2br w:val="nil"/>
              <w:tr2bl w:val="nil"/>
            </w:tcBorders>
            <w:noWrap w:val="0"/>
            <w:vAlign w:val="top"/>
          </w:tcPr>
          <w:p>
            <w:pPr>
              <w:keepNext w:val="0"/>
              <w:keepLines w:val="0"/>
              <w:pageBreakBefore w:val="0"/>
              <w:kinsoku/>
              <w:wordWrap/>
              <w:topLinePunct w:val="0"/>
              <w:autoSpaceDE/>
              <w:autoSpaceDN/>
              <w:bidi w:val="0"/>
              <w:spacing w:line="300" w:lineRule="exact"/>
              <w:jc w:val="left"/>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18" w:hRule="atLeast"/>
          <w:jc w:val="center"/>
        </w:trPr>
        <w:tc>
          <w:tcPr>
            <w:tcW w:w="14545" w:type="dxa"/>
            <w:gridSpan w:val="5"/>
            <w:tcBorders>
              <w:tl2br w:val="nil"/>
              <w:tr2bl w:val="nil"/>
            </w:tcBorders>
            <w:noWrap w:val="0"/>
            <w:vAlign w:val="top"/>
          </w:tcPr>
          <w:p>
            <w:pPr>
              <w:keepNext w:val="0"/>
              <w:keepLines w:val="0"/>
              <w:pageBreakBefore w:val="0"/>
              <w:kinsoku/>
              <w:wordWrap/>
              <w:topLinePunct w:val="0"/>
              <w:autoSpaceDE/>
              <w:autoSpaceDN/>
              <w:bidi w:val="0"/>
              <w:spacing w:line="300" w:lineRule="exact"/>
              <w:jc w:val="both"/>
              <w:textAlignment w:val="auto"/>
              <w:rPr>
                <w:rFonts w:hint="eastAsia" w:ascii="方正仿宋_GBK" w:hAnsi="方正仿宋_GBK" w:eastAsia="方正仿宋_GBK" w:cs="方正仿宋_GBK"/>
                <w:color w:val="000000" w:themeColor="text1"/>
                <w:kern w:val="0"/>
                <w:sz w:val="24"/>
                <w:szCs w:val="24"/>
                <w:lang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2"/>
                <w:sz w:val="24"/>
                <w:szCs w:val="24"/>
                <w:lang w:eastAsia="zh-CN" w:bidi="ar-SA"/>
                <w14:textFill>
                  <w14:solidFill>
                    <w14:schemeClr w14:val="tx1"/>
                  </w14:solidFill>
                </w14:textFill>
              </w:rPr>
              <w:t>其他需要记录的问题：</w:t>
            </w:r>
          </w:p>
        </w:tc>
      </w:tr>
    </w:tbl>
    <w:p>
      <w:pPr>
        <w:keepNext w:val="0"/>
        <w:keepLines w:val="0"/>
        <w:pageBreakBefore w:val="0"/>
        <w:widowControl w:val="0"/>
        <w:kinsoku/>
        <w:wordWrap/>
        <w:overflowPunct/>
        <w:topLinePunct w:val="0"/>
        <w:autoSpaceDE/>
        <w:autoSpaceDN/>
        <w:bidi w:val="0"/>
        <w:adjustRightInd/>
        <w:snapToGrid/>
        <w:spacing w:before="109" w:beforeLines="30" w:line="240" w:lineRule="auto"/>
        <w:jc w:val="both"/>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t>说明：</w:t>
      </w:r>
      <w:r>
        <w:rPr>
          <w:rFonts w:hint="eastAsia" w:ascii="方正仿宋_GBK" w:hAnsi="方正仿宋_GBK" w:eastAsia="方正仿宋_GBK" w:cs="方正仿宋_GBK"/>
          <w:color w:val="000000" w:themeColor="text1"/>
          <w:kern w:val="2"/>
          <w:sz w:val="24"/>
          <w:szCs w:val="24"/>
          <w:lang w:eastAsia="zh-CN" w:bidi="ar-SA"/>
          <w14:textFill>
            <w14:solidFill>
              <w14:schemeClr w14:val="tx1"/>
            </w14:solidFill>
          </w14:textFill>
        </w:rPr>
        <w:t>如果检查项目存在合理缺项，该项无需勾选“是”与“否”，并在备注中说明，不计入否项数。</w:t>
      </w:r>
    </w:p>
    <w:sectPr>
      <w:footerReference r:id="rId3" w:type="default"/>
      <w:footerReference r:id="rId4" w:type="even"/>
      <w:pgSz w:w="16840" w:h="11900" w:orient="landscape"/>
      <w:pgMar w:top="1134" w:right="1247" w:bottom="1134" w:left="1247" w:header="0" w:footer="3" w:gutter="0"/>
      <w:pgBorders>
        <w:top w:val="none" w:sz="0" w:space="0"/>
        <w:left w:val="none" w:sz="0" w:space="0"/>
        <w:bottom w:val="none" w:sz="0" w:space="0"/>
        <w:right w:val="none" w:sz="0" w:space="0"/>
      </w:pgBorders>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01040" cy="11874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pPr>
                            <w:pStyle w:val="4"/>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9.35pt;width:55.2pt;mso-position-horizontal:right;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c3SrRAAAA&#10;BAEAAA8AAAAAAAAAAQAgAAAAIgAAAGRycy9kb3ducmV2LnhtbFBLAQIUABQAAAAIAIdO4kAf86Vt&#10;sgEAAE0DAAAOAAAAAAAAAAEAIAAAACABAABkcnMvZTJvRG9jLnhtbFBLBQYAAAAABgAGAFkBAABE&#10;BQAAAAA=&#10;">
              <v:fill on="f" focussize="0,0"/>
              <v:stroke on="f"/>
              <v:imagedata o:title=""/>
              <o:lock v:ext="edit" aspectratio="f"/>
              <v:textbox inset="0mm,0mm,0mm,0mm" style="mso-fit-shape-to-text:t;">
                <w:txbxContent>
                  <w:p>
                    <w:pPr>
                      <w:pStyle w:val="4"/>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215" cy="1187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pPr>
                            <w:pStyle w:val="4"/>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9.35pt;width:55.45pt;mso-position-horizontal:right;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TqS59EA&#10;AAAEAQAADwAAAAAAAAABACAAAAAiAAAAZHJzL2Rvd25yZXYueG1sUEsBAhQAFAAAAAgAh07iQOFs&#10;qmG0AQAATQMAAA4AAAAAAAAAAQAgAAAAIAEAAGRycy9lMm9Eb2MueG1sUEsFBgAAAAAGAAYAWQEA&#10;AEYFAAAAAA==&#10;">
              <v:fill on="f" focussize="0,0"/>
              <v:stroke on="f"/>
              <v:imagedata o:title=""/>
              <o:lock v:ext="edit" aspectratio="f"/>
              <v:textbox inset="0mm,0mm,0mm,0mm" style="mso-fit-shape-to-text:t;">
                <w:txbxContent>
                  <w:p>
                    <w:pPr>
                      <w:pStyle w:val="4"/>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75B7E"/>
    <w:rsid w:val="0752469F"/>
    <w:rsid w:val="0ED30453"/>
    <w:rsid w:val="19C12CE4"/>
    <w:rsid w:val="2E6C5418"/>
    <w:rsid w:val="409D7113"/>
    <w:rsid w:val="45D45D8B"/>
    <w:rsid w:val="47975B7E"/>
    <w:rsid w:val="5820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Header or footer|1"/>
    <w:basedOn w:val="1"/>
    <w:qFormat/>
    <w:uiPriority w:val="0"/>
    <w:pPr>
      <w:jc w:val="right"/>
    </w:pPr>
    <w:rPr>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3253</Words>
  <Characters>3413</Characters>
  <Lines>0</Lines>
  <Paragraphs>0</Paragraphs>
  <TotalTime>10</TotalTime>
  <ScaleCrop>false</ScaleCrop>
  <LinksUpToDate>false</LinksUpToDate>
  <CharactersWithSpaces>3471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2022-03-13T08:20:00Z</dcterms:created>
  <dc:creator>Administrator</dc:creator>
  <cp:lastModifiedBy>Administrator</cp:lastModifiedBy>
  <cp:lastPrinted>2022-03-14T06:30:00Z</cp:lastPrinted>
  <dcterms:modified xsi:type="dcterms:W3CDTF">2022-05-13T05:46:43Z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F2BD90F6BAA64C688030DB5B2ACE4B6C</vt:lpwstr>
  </property>
</Properties>
</file>