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南通市崇川区市场监督管理局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2020</w:t>
      </w:r>
      <w:r>
        <w:rPr>
          <w:rFonts w:hint="eastAsia" w:ascii="方正小标宋简体" w:hAnsi="方正小标宋简体" w:eastAsia="方正小标宋简体" w:cs="方正小标宋简体"/>
          <w:sz w:val="44"/>
          <w:szCs w:val="44"/>
        </w:rPr>
        <w:t>年政府信息公开工作年度报告</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eastAsia="zh-CN"/>
        </w:rPr>
      </w:pPr>
      <w:r>
        <w:rPr>
          <w:rFonts w:hint="eastAsia" w:ascii="仿宋_GB2312" w:hAnsi="仿宋_GB2312" w:eastAsia="仿宋_GB2312" w:cs="仿宋_GB2312"/>
          <w:sz w:val="32"/>
          <w:szCs w:val="32"/>
          <w:lang w:val="en-US" w:eastAsia="zh-CN"/>
        </w:rPr>
        <w:t>为深入贯彻</w:t>
      </w:r>
      <w:r>
        <w:rPr>
          <w:rFonts w:hint="eastAsia" w:ascii="仿宋_GB2312" w:hAnsi="仿宋_GB2312" w:eastAsia="仿宋_GB2312" w:cs="仿宋_GB2312"/>
          <w:b w:val="0"/>
          <w:color w:val="000000"/>
          <w:sz w:val="32"/>
          <w:szCs w:val="32"/>
          <w:shd w:val="clear" w:color="auto" w:fill="FFFFFF"/>
        </w:rPr>
        <w:t>《中华人民共和国政府信息公开条例》</w:t>
      </w:r>
      <w:r>
        <w:rPr>
          <w:rFonts w:hint="eastAsia" w:ascii="仿宋_GB2312" w:hAnsi="仿宋_GB2312" w:eastAsia="仿宋_GB2312" w:cs="仿宋_GB2312"/>
          <w:b w:val="0"/>
          <w:color w:val="000000"/>
          <w:sz w:val="32"/>
          <w:szCs w:val="32"/>
          <w:shd w:val="clear" w:color="auto" w:fill="FFFFFF"/>
          <w:lang w:eastAsia="zh-CN"/>
        </w:rPr>
        <w:t>，</w:t>
      </w:r>
      <w:r>
        <w:rPr>
          <w:rFonts w:hint="eastAsia" w:ascii="仿宋_GB2312" w:hAnsi="仿宋_GB2312" w:eastAsia="仿宋_GB2312" w:cs="仿宋_GB2312"/>
          <w:b w:val="0"/>
          <w:color w:val="000000"/>
          <w:sz w:val="32"/>
          <w:szCs w:val="32"/>
          <w:shd w:val="clear" w:color="auto" w:fill="FFFFFF"/>
          <w:lang w:val="en-US" w:eastAsia="zh-CN"/>
        </w:rPr>
        <w:t>认真做好政府信息公开工作，提高行政执法工作的透明度，促进依法行政，保障好相关政府信息的服务作用，</w:t>
      </w:r>
      <w:r>
        <w:rPr>
          <w:rFonts w:hint="eastAsia" w:ascii="仿宋_GB2312" w:hAnsi="仿宋_GB2312" w:eastAsia="仿宋_GB2312" w:cs="仿宋_GB2312"/>
          <w:b w:val="0"/>
          <w:color w:val="000000"/>
          <w:sz w:val="32"/>
          <w:szCs w:val="32"/>
          <w:shd w:val="clear" w:color="auto" w:fill="FFFFFF"/>
          <w:lang w:eastAsia="zh-CN"/>
        </w:rPr>
        <w:t>根据省、市、区切实做好政府信息公开工作年度报告编制工作的要求，特编制本报告。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sz w:val="32"/>
          <w:szCs w:val="32"/>
          <w:shd w:val="clear" w:color="auto" w:fill="FFFFFF"/>
          <w:lang w:eastAsia="zh-CN"/>
        </w:rPr>
      </w:pPr>
      <w:r>
        <w:rPr>
          <w:rFonts w:hint="eastAsia" w:ascii="楷体_GB2312" w:hAnsi="楷体_GB2312" w:eastAsia="楷体_GB2312" w:cs="楷体_GB2312"/>
          <w:b/>
          <w:bCs/>
          <w:color w:val="000000"/>
          <w:sz w:val="32"/>
          <w:szCs w:val="32"/>
          <w:shd w:val="clear" w:color="auto" w:fill="FFFFFF"/>
          <w:lang w:eastAsia="zh-CN"/>
        </w:rPr>
        <w:t>（一）《政府信息公开条例》宣传</w:t>
      </w:r>
      <w:r>
        <w:rPr>
          <w:rFonts w:hint="eastAsia" w:ascii="楷体_GB2312" w:hAnsi="楷体_GB2312" w:eastAsia="楷体_GB2312" w:cs="楷体_GB2312"/>
          <w:b/>
          <w:bCs/>
          <w:color w:val="000000"/>
          <w:sz w:val="32"/>
          <w:szCs w:val="32"/>
          <w:shd w:val="clear" w:color="auto" w:fill="FFFFFF"/>
          <w:lang w:val="en-US" w:eastAsia="zh-CN"/>
        </w:rPr>
        <w:t>贯彻落实</w:t>
      </w:r>
      <w:r>
        <w:rPr>
          <w:rFonts w:hint="eastAsia" w:ascii="楷体_GB2312" w:hAnsi="楷体_GB2312" w:eastAsia="楷体_GB2312" w:cs="楷体_GB2312"/>
          <w:b/>
          <w:bCs/>
          <w:color w:val="000000"/>
          <w:sz w:val="32"/>
          <w:szCs w:val="32"/>
          <w:shd w:val="clear" w:color="auto" w:fill="FFFFFF"/>
          <w:lang w:eastAsia="zh-CN"/>
        </w:rPr>
        <w:t>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加强全局信息公开工作的组织领导，及时成立了由局z主要领导为组长的信息公开领导小组。根据《条例》新要求对全局信息公开工作进行对标找差，修订完善全局《信息公开制度》，将信息公开工作进行责任分解，明确分工到具体科室，并落实到具体责任人，进一步明确了信息公开的范围、程序和方式，有效保证了信息公开的质量，确保应公开尽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组织分管局长、各科室负责人及各科室具体负责人员开展专题培训2次，集中学习《政府信息公开条例》和《信息公开制度》，使全局人员对信息公开工作重要性和必要性有了新的认识。同时，依托“崇川市监在行动”、局微信公众号等媒体和网络平台，结合普法“六进”活动的开展，积极向市民宣传政府信息公开工作及相关法律法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（二）主动公开情况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1.规章、规范性文件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本年度未以我局名义制定规章、规范性文件。2015年我局组建以来，也未以我局名义制定规章、规范性文件。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2.行政许可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本年度我局新增行政许可事项1项，开展的行政许可主要有个体工商户设立登记、食品经营许可、特种设备登记。全年共发放个体工商户营业执照12367件、食品经营许可证3384件（含小作坊登记证）、特种设备使用登记3690台，合计19441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3.行政处罚与行政强制。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本年度我局共实施行政处罚713件、行政强制150件。所有行政处罚结果均通过全国企业信用信息平台和区公共信用信息平台予以公示。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4.其他对外管理服务事项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本年度我局取消行政确认1项。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5.行政事业性收费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我局无行政事业性收费项目。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6.政府集中采购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本年度政府集中采购1件，采购金额为405029.51元；政府分散采购433件，采购金额为10217889元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（三）依申请公开办理情况。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本年度共收到依申请公开件10件，均依法按期办结。10件均为自然人申请，其中7件通过邮寄提交，1件现场提交，2件网络提交；其中6件予以公开，2件属于企业登记档案查询，1件属行政执法案卷。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（四）政府信息公开平台建设情况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我局主要通过崇川区政府网站信息公开栏目、江苏省政务服务网、全国企业信用信息查询系统、崇川区公告信用信息平台、全国食品经营许可查询网站、南通市食品经营许可网站等平台进行信息公开。此外，我局还积极通过电视、报纸等传统媒体以及微信公众号等网络媒体，向社会公众及时公开我局各项工作的开展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（五）政府信息公开监督保障情况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全年政务信息公开工作在区级机关年度综合考核中未被扣分。本年度政府信息公开未有被行政复议的情况，被行政诉讼1件（结果维持），未败诉。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6"/>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19441件</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31</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957</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713</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56</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150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405029.51元</w:t>
            </w:r>
          </w:p>
        </w:tc>
      </w:tr>
    </w:tbl>
    <w:p>
      <w:pPr>
        <w:rPr>
          <w:rFonts w:hint="eastAsia" w:ascii="仿宋_GB2312" w:eastAsia="仿宋_GB2312"/>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三、收到和处理政府信息公开申请情况</w:t>
      </w:r>
    </w:p>
    <w:tbl>
      <w:tblPr>
        <w:tblStyle w:val="6"/>
        <w:tblW w:w="9346" w:type="dxa"/>
        <w:jc w:val="center"/>
        <w:tblLayout w:type="autofit"/>
        <w:tblCellMar>
          <w:top w:w="0" w:type="dxa"/>
          <w:left w:w="0" w:type="dxa"/>
          <w:bottom w:w="0" w:type="dxa"/>
          <w:right w:w="0" w:type="dxa"/>
        </w:tblCellMar>
      </w:tblPr>
      <w:tblGrid>
        <w:gridCol w:w="616"/>
        <w:gridCol w:w="816"/>
        <w:gridCol w:w="2119"/>
        <w:gridCol w:w="830"/>
        <w:gridCol w:w="827"/>
        <w:gridCol w:w="827"/>
        <w:gridCol w:w="827"/>
        <w:gridCol w:w="827"/>
        <w:gridCol w:w="827"/>
        <w:gridCol w:w="830"/>
      </w:tblGrid>
      <w:tr>
        <w:tblPrEx>
          <w:tblCellMar>
            <w:top w:w="0" w:type="dxa"/>
            <w:left w:w="0" w:type="dxa"/>
            <w:bottom w:w="0" w:type="dxa"/>
            <w:right w:w="0" w:type="dxa"/>
          </w:tblCellMar>
        </w:tblPrEx>
        <w:trPr>
          <w:jc w:val="center"/>
        </w:trPr>
        <w:tc>
          <w:tcPr>
            <w:tcW w:w="3551"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79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551"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3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13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83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551"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30"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 企业</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 机构</w:t>
            </w:r>
          </w:p>
        </w:tc>
        <w:tc>
          <w:tcPr>
            <w:tcW w:w="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83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355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0"/>
                <w:szCs w:val="20"/>
                <w:lang w:val="en-US" w:eastAsia="zh-CN"/>
              </w:rPr>
              <w:t>10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10</w:t>
            </w:r>
          </w:p>
        </w:tc>
      </w:tr>
      <w:tr>
        <w:tblPrEx>
          <w:tblCellMar>
            <w:top w:w="0" w:type="dxa"/>
            <w:left w:w="0" w:type="dxa"/>
            <w:bottom w:w="0" w:type="dxa"/>
            <w:right w:w="0" w:type="dxa"/>
          </w:tblCellMar>
        </w:tblPrEx>
        <w:trPr>
          <w:trHeight w:val="90" w:hRule="atLeast"/>
          <w:jc w:val="center"/>
        </w:trPr>
        <w:tc>
          <w:tcPr>
            <w:tcW w:w="355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3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0"/>
                <w:szCs w:val="20"/>
                <w:lang w:val="en-US" w:eastAsia="zh-CN"/>
              </w:rPr>
              <w:t>6</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0"/>
                <w:szCs w:val="20"/>
                <w:lang w:val="en-US" w:eastAsia="zh-CN"/>
              </w:rPr>
              <w:t>6</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3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c>
          <w:tcPr>
            <w:tcW w:w="8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0"/>
                <w:szCs w:val="20"/>
                <w:lang w:val="en-US" w:eastAsia="zh-CN"/>
              </w:rPr>
              <w:t>1</w:t>
            </w:r>
            <w:r>
              <w:rPr>
                <w:rFonts w:hint="default" w:ascii="Times New Roman" w:hAnsi="Times New Roman" w:eastAsia="宋体" w:cs="Times New Roman"/>
                <w:kern w:val="0"/>
                <w:sz w:val="20"/>
                <w:szCs w:val="20"/>
              </w:rPr>
              <w:t> </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0"/>
                <w:szCs w:val="20"/>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0"/>
                <w:szCs w:val="20"/>
                <w:lang w:val="en-US" w:eastAsia="zh-CN"/>
              </w:rPr>
              <w:t>2</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0"/>
                <w:szCs w:val="20"/>
                <w:lang w:val="en-US" w:eastAsia="zh-CN"/>
              </w:rPr>
              <w:t>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3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3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0"/>
                <w:szCs w:val="20"/>
                <w:lang w:val="en-US" w:eastAsia="zh-CN"/>
              </w:rPr>
              <w:t>9</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0"/>
                <w:szCs w:val="20"/>
                <w:lang w:val="en-US" w:eastAsia="zh-CN"/>
              </w:rPr>
              <w:t>9</w:t>
            </w:r>
          </w:p>
        </w:tc>
      </w:tr>
      <w:tr>
        <w:tblPrEx>
          <w:tblCellMar>
            <w:top w:w="0" w:type="dxa"/>
            <w:left w:w="0" w:type="dxa"/>
            <w:bottom w:w="0" w:type="dxa"/>
            <w:right w:w="0" w:type="dxa"/>
          </w:tblCellMar>
        </w:tblPrEx>
        <w:trPr>
          <w:jc w:val="center"/>
        </w:trPr>
        <w:tc>
          <w:tcPr>
            <w:tcW w:w="355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w:t>
            </w:r>
          </w:p>
        </w:tc>
      </w:tr>
    </w:tbl>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四、政府信息公开行政复议、行政诉讼情况</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r>
    </w:tbl>
    <w:p>
      <w:pPr>
        <w:rPr>
          <w:rFonts w:hint="eastAsia" w:ascii="仿宋_GB2312" w:eastAsia="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ind w:firstLine="643" w:firstLineChars="200"/>
        <w:rPr>
          <w:rFonts w:hint="eastAsia"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（一）尚有公众不知晓信息公开的查询和申请途径</w:t>
      </w:r>
    </w:p>
    <w:p>
      <w:pPr>
        <w:ind w:firstLine="640" w:firstLineChars="200"/>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一方面，我局作出的行政许可及行政处罚等信息均依法依规在全国企业信用信息公示系统、全国食品经营许可查询网站、南通市食品经营许可网站及崇川区公告信用信息平台等政府指定网站进行了公开公示。但相关公众对此类信息查询途径缺乏知晓，在需要查询个体工商户登记信息、行政处罚相关信息时仍然习惯于向政府部门申请政府信息公开。另一方面，我局作为便民服务部门，主动向社会公布投诉举报热线，方便群众在遇到问题时快速便捷的进行投诉举报，及时有效处理好群众的身边事。但相关公众在需要申请政府信息公开时，并不清楚通过何种途径进行申请，而是通过投诉举报和信访等形式进行信息公开。下一步，我局将充分利用电视、网站等宣传媒体加大政府信息公开工作的宣传力度，重点向群众宣传如何利用政府信息公开网站获取已主动公开的信息和通过何种方式申请政府信息公开，进一步扩大了政府信息公开工作的知晓率。</w:t>
      </w:r>
    </w:p>
    <w:p>
      <w:pPr>
        <w:ind w:firstLine="643" w:firstLineChars="200"/>
        <w:rPr>
          <w:rFonts w:hint="eastAsia" w:ascii="楷体_GB2312" w:hAnsi="楷体_GB2312" w:eastAsia="楷体_GB2312" w:cs="楷体_GB2312"/>
          <w:b/>
          <w:bCs/>
          <w:color w:val="000000"/>
          <w:sz w:val="32"/>
          <w:szCs w:val="32"/>
          <w:shd w:val="clear" w:color="auto" w:fill="FFFFFF"/>
          <w:lang w:val="en-US" w:eastAsia="zh-CN"/>
        </w:rPr>
      </w:pPr>
      <w:r>
        <w:rPr>
          <w:rFonts w:hint="eastAsia" w:ascii="楷体_GB2312" w:hAnsi="楷体_GB2312" w:eastAsia="楷体_GB2312" w:cs="楷体_GB2312"/>
          <w:b/>
          <w:bCs/>
          <w:color w:val="000000"/>
          <w:sz w:val="32"/>
          <w:szCs w:val="32"/>
          <w:shd w:val="clear" w:color="auto" w:fill="FFFFFF"/>
          <w:lang w:val="en-US" w:eastAsia="zh-CN"/>
        </w:rPr>
        <w:t>（二）信息公开意识尚需提高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仿宋_GB2312" w:eastAsia="仿宋_GB2312" w:cs="仿宋_GB2312"/>
          <w:b w:val="0"/>
          <w:color w:val="000000"/>
          <w:sz w:val="32"/>
          <w:szCs w:val="32"/>
          <w:shd w:val="clear" w:color="auto" w:fill="FFFFFF"/>
          <w:lang w:val="en-US" w:eastAsia="zh-CN"/>
        </w:rPr>
        <w:t>对履职过程中形成的信息是否属政府信息公开范围、通过何种方式公开没有把握</w:t>
      </w:r>
      <w:bookmarkStart w:id="0" w:name="_GoBack"/>
      <w:bookmarkEnd w:id="0"/>
      <w:r>
        <w:rPr>
          <w:rFonts w:hint="eastAsia" w:ascii="仿宋_GB2312" w:hAnsi="仿宋_GB2312" w:eastAsia="仿宋_GB2312" w:cs="仿宋_GB2312"/>
          <w:b w:val="0"/>
          <w:color w:val="000000"/>
          <w:sz w:val="32"/>
          <w:szCs w:val="32"/>
          <w:shd w:val="clear" w:color="auto" w:fill="FFFFFF"/>
          <w:lang w:val="en-US" w:eastAsia="zh-CN"/>
        </w:rPr>
        <w:t>。下一步，我局将进一步健全政府信息公开内容审查和更新维护、考核评估、监督检查评议、培训宣传等工作制度，同时加大对《条例》的学习、宣贯力度，提升全局人员的信息公开意识，将政府信息公开的各项工作落到了实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sz w:val="32"/>
          <w:szCs w:val="32"/>
          <w:shd w:val="clear" w:color="auto" w:fill="FFFFFF"/>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我局无其他需要报告的事项。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53EC"/>
    <w:rsid w:val="00383393"/>
    <w:rsid w:val="003B27AB"/>
    <w:rsid w:val="006D2C51"/>
    <w:rsid w:val="007853EC"/>
    <w:rsid w:val="007F7AE4"/>
    <w:rsid w:val="00A870AD"/>
    <w:rsid w:val="00BC4749"/>
    <w:rsid w:val="00D05CA5"/>
    <w:rsid w:val="00EE66BD"/>
    <w:rsid w:val="01A77C54"/>
    <w:rsid w:val="02AA7324"/>
    <w:rsid w:val="032D6A09"/>
    <w:rsid w:val="03B34688"/>
    <w:rsid w:val="082228CD"/>
    <w:rsid w:val="0E1B16CC"/>
    <w:rsid w:val="14A03651"/>
    <w:rsid w:val="15AF71BB"/>
    <w:rsid w:val="17924231"/>
    <w:rsid w:val="1B284252"/>
    <w:rsid w:val="1B691E5C"/>
    <w:rsid w:val="1C187C5A"/>
    <w:rsid w:val="20D317E6"/>
    <w:rsid w:val="2B3F7DF0"/>
    <w:rsid w:val="2DE8013E"/>
    <w:rsid w:val="2FC019CA"/>
    <w:rsid w:val="2FE679D4"/>
    <w:rsid w:val="39BB6F46"/>
    <w:rsid w:val="3BEE528F"/>
    <w:rsid w:val="3F1E2312"/>
    <w:rsid w:val="3F946708"/>
    <w:rsid w:val="408F6DA2"/>
    <w:rsid w:val="42E1784B"/>
    <w:rsid w:val="479D0ECA"/>
    <w:rsid w:val="496A4ED0"/>
    <w:rsid w:val="4A434AFD"/>
    <w:rsid w:val="4F0A059B"/>
    <w:rsid w:val="508B7AB5"/>
    <w:rsid w:val="53CD39C9"/>
    <w:rsid w:val="54F4128B"/>
    <w:rsid w:val="553F015B"/>
    <w:rsid w:val="5B932823"/>
    <w:rsid w:val="5F6F0E35"/>
    <w:rsid w:val="60957198"/>
    <w:rsid w:val="611D7682"/>
    <w:rsid w:val="61C31171"/>
    <w:rsid w:val="62336A13"/>
    <w:rsid w:val="66670B6E"/>
    <w:rsid w:val="674E28DE"/>
    <w:rsid w:val="698271A8"/>
    <w:rsid w:val="6FC86C8B"/>
    <w:rsid w:val="72BC3F7A"/>
    <w:rsid w:val="74DF3E59"/>
    <w:rsid w:val="76EC3C02"/>
    <w:rsid w:val="7F56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195</Words>
  <Characters>1117</Characters>
  <Lines>9</Lines>
  <Paragraphs>2</Paragraphs>
  <TotalTime>1</TotalTime>
  <ScaleCrop>false</ScaleCrop>
  <LinksUpToDate>false</LinksUpToDate>
  <CharactersWithSpaces>1310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2019-12-26T07:37:00Z</dcterms:created>
  <dc:creator>系统管理员</dc:creator>
  <cp:lastModifiedBy>淅沥淅沥淅他爸</cp:lastModifiedBy>
  <cp:lastPrinted>2021-02-02T07:21:00Z</cp:lastPrinted>
  <dcterms:modified xsi:type="dcterms:W3CDTF">2021-02-05T09:22:02Z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343918316_cloud</vt:lpwstr>
  </property>
</Properties>
</file>