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4"/>
        <w:spacing w:before="42" w:line="22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1"/>
        </w:rPr>
        <w:t>附表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28</w:t>
      </w:r>
    </w:p>
    <w:p>
      <w:pPr>
        <w:ind w:left="1259"/>
        <w:spacing w:before="28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2023</w:t>
      </w:r>
      <w:r>
        <w:rPr>
          <w:rFonts w:ascii="SimSun" w:hAnsi="SimSun" w:eastAsia="SimSun" w:cs="SimSun"/>
          <w:sz w:val="30"/>
          <w:szCs w:val="30"/>
        </w:rPr>
        <w:t>年崇川区地方政府债务发行及还本付息情况表</w:t>
      </w:r>
    </w:p>
    <w:p>
      <w:pPr>
        <w:ind w:left="7800"/>
        <w:spacing w:before="183" w:line="22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9"/>
        </w:rPr>
        <w:t>金额单位：亿元</w:t>
      </w:r>
    </w:p>
    <w:p>
      <w:pPr>
        <w:spacing w:line="25" w:lineRule="exact"/>
        <w:rPr/>
      </w:pPr>
      <w:r/>
    </w:p>
    <w:tbl>
      <w:tblPr>
        <w:tblStyle w:val="TableNormal"/>
        <w:tblW w:w="915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7"/>
        <w:gridCol w:w="2953"/>
      </w:tblGrid>
      <w:tr>
        <w:trPr>
          <w:trHeight w:val="519" w:hRule="atLeast"/>
        </w:trPr>
        <w:tc>
          <w:tcPr>
            <w:tcW w:w="6197" w:type="dxa"/>
            <w:vAlign w:val="top"/>
          </w:tcPr>
          <w:p>
            <w:pPr>
              <w:ind w:left="2915"/>
              <w:spacing w:before="175" w:line="229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项目</w:t>
            </w:r>
          </w:p>
        </w:tc>
        <w:tc>
          <w:tcPr>
            <w:tcW w:w="2953" w:type="dxa"/>
            <w:vAlign w:val="top"/>
          </w:tcPr>
          <w:p>
            <w:pPr>
              <w:ind w:left="1293"/>
              <w:spacing w:before="175" w:line="229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金额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pStyle w:val="TableText"/>
              <w:ind w:left="40"/>
              <w:spacing w:before="116"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b/>
                <w:bCs/>
                <w:spacing w:val="6"/>
              </w:rPr>
              <w:t>一、</w:t>
            </w:r>
            <w:r>
              <w:rPr>
                <w:b/>
                <w:bCs/>
                <w:spacing w:val="6"/>
              </w:rPr>
              <w:t>2022</w:t>
            </w:r>
            <w:r>
              <w:rPr>
                <w:rFonts w:ascii="SimSun" w:hAnsi="SimSun" w:eastAsia="SimSun" w:cs="SimSun"/>
                <w:b/>
                <w:bCs/>
                <w:spacing w:val="6"/>
              </w:rPr>
              <w:t>年末地方政府债务余额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26"/>
              <w:spacing w:before="149" w:line="194" w:lineRule="auto"/>
              <w:rPr/>
            </w:pPr>
            <w:r>
              <w:rPr>
                <w:b/>
                <w:bCs/>
                <w:spacing w:val="2"/>
              </w:rPr>
              <w:t>171.73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131"/>
              <w:spacing w:before="113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</w:rPr>
              <w:t>其中：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</w:rPr>
              <w:t>一般债务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70"/>
              <w:spacing w:before="147" w:line="194" w:lineRule="auto"/>
              <w:rPr/>
            </w:pPr>
            <w:r>
              <w:rPr>
                <w:spacing w:val="2"/>
              </w:rPr>
              <w:t>54.90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804"/>
              <w:spacing w:before="114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专项债务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35"/>
              <w:spacing w:before="148" w:line="194" w:lineRule="auto"/>
              <w:rPr/>
            </w:pPr>
            <w:r>
              <w:rPr/>
              <w:t>116.83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pStyle w:val="TableText"/>
              <w:ind w:left="40"/>
              <w:spacing w:before="119"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b/>
                <w:bCs/>
                <w:spacing w:val="6"/>
              </w:rPr>
              <w:t>二、</w:t>
            </w:r>
            <w:r>
              <w:rPr>
                <w:b/>
                <w:bCs/>
                <w:spacing w:val="6"/>
              </w:rPr>
              <w:t>2022</w:t>
            </w:r>
            <w:r>
              <w:rPr>
                <w:rFonts w:ascii="SimSun" w:hAnsi="SimSun" w:eastAsia="SimSun" w:cs="SimSun"/>
                <w:b/>
                <w:bCs/>
                <w:spacing w:val="6"/>
              </w:rPr>
              <w:t>年地方政府债务限额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26"/>
              <w:spacing w:before="151" w:line="194" w:lineRule="auto"/>
              <w:rPr/>
            </w:pPr>
            <w:r>
              <w:rPr>
                <w:b/>
                <w:bCs/>
                <w:spacing w:val="2"/>
              </w:rPr>
              <w:t>179.42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131"/>
              <w:spacing w:before="115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</w:rPr>
              <w:t>其中：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</w:rPr>
              <w:t>一般债务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70"/>
              <w:spacing w:before="149" w:line="194" w:lineRule="auto"/>
              <w:rPr/>
            </w:pPr>
            <w:r>
              <w:rPr>
                <w:spacing w:val="2"/>
              </w:rPr>
              <w:t>56.63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804"/>
              <w:spacing w:before="116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专项债务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35"/>
              <w:spacing w:before="148" w:line="194" w:lineRule="auto"/>
              <w:rPr/>
            </w:pPr>
            <w:r>
              <w:rPr/>
              <w:t>122.79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pStyle w:val="TableText"/>
              <w:ind w:left="37"/>
              <w:spacing w:before="121"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b/>
                <w:bCs/>
                <w:spacing w:val="7"/>
              </w:rPr>
              <w:t>三、</w:t>
            </w:r>
            <w:r>
              <w:rPr>
                <w:b/>
                <w:bCs/>
                <w:spacing w:val="7"/>
              </w:rPr>
              <w:t>2023</w:t>
            </w:r>
            <w:r>
              <w:rPr>
                <w:rFonts w:ascii="SimSun" w:hAnsi="SimSun" w:eastAsia="SimSun" w:cs="SimSun"/>
                <w:b/>
                <w:bCs/>
                <w:spacing w:val="7"/>
              </w:rPr>
              <w:t>年地方政府债券发行决算数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67"/>
              <w:spacing w:before="153" w:line="194" w:lineRule="auto"/>
              <w:rPr/>
            </w:pPr>
            <w:r>
              <w:rPr>
                <w:b/>
                <w:bCs/>
                <w:spacing w:val="2"/>
              </w:rPr>
              <w:t>54.63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278"/>
              <w:spacing w:before="118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新增一般债券发行额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316"/>
              <w:spacing w:before="152" w:line="194" w:lineRule="auto"/>
              <w:rPr/>
            </w:pPr>
            <w:r>
              <w:rPr>
                <w:spacing w:val="2"/>
              </w:rPr>
              <w:t>0.50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279"/>
              <w:spacing w:before="118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再融资一般债券发行额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83"/>
              <w:spacing w:before="153" w:line="194" w:lineRule="auto"/>
              <w:rPr/>
            </w:pPr>
            <w:r>
              <w:rPr>
                <w:spacing w:val="-1"/>
              </w:rPr>
              <w:t>17.95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278"/>
              <w:spacing w:before="120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新增专项债券发行额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331"/>
              <w:spacing w:before="153" w:line="194" w:lineRule="auto"/>
              <w:rPr/>
            </w:pPr>
            <w:r>
              <w:rPr>
                <w:spacing w:val="-2"/>
              </w:rPr>
              <w:t>1.09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279"/>
              <w:spacing w:before="120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再融资专项债券发行额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69"/>
              <w:spacing w:before="152" w:line="194" w:lineRule="auto"/>
              <w:rPr/>
            </w:pPr>
            <w:r>
              <w:rPr>
                <w:spacing w:val="2"/>
              </w:rPr>
              <w:t>35.09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pStyle w:val="TableText"/>
              <w:ind w:left="55"/>
              <w:spacing w:before="125"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b/>
                <w:bCs/>
                <w:spacing w:val="6"/>
              </w:rPr>
              <w:t>四、</w:t>
            </w:r>
            <w:r>
              <w:rPr>
                <w:b/>
                <w:bCs/>
                <w:spacing w:val="6"/>
              </w:rPr>
              <w:t>2023</w:t>
            </w:r>
            <w:r>
              <w:rPr>
                <w:rFonts w:ascii="SimSun" w:hAnsi="SimSun" w:eastAsia="SimSun" w:cs="SimSun"/>
                <w:b/>
                <w:bCs/>
                <w:spacing w:val="6"/>
              </w:rPr>
              <w:t>年地方政府债务还本决算数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66"/>
              <w:spacing w:before="157" w:line="194" w:lineRule="auto"/>
              <w:rPr/>
            </w:pPr>
            <w:r>
              <w:rPr>
                <w:b/>
                <w:bCs/>
                <w:spacing w:val="3"/>
              </w:rPr>
              <w:t>42.76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286"/>
              <w:spacing w:before="122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一般债务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83"/>
              <w:spacing w:before="154" w:line="194" w:lineRule="auto"/>
              <w:rPr/>
            </w:pPr>
            <w:r>
              <w:rPr>
                <w:spacing w:val="-1"/>
              </w:rPr>
              <w:t>12.48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280"/>
              <w:spacing w:before="122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专项债务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69"/>
              <w:spacing w:before="157" w:line="194" w:lineRule="auto"/>
              <w:rPr/>
            </w:pPr>
            <w:r>
              <w:rPr>
                <w:spacing w:val="2"/>
              </w:rPr>
              <w:t>30.28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pStyle w:val="TableText"/>
              <w:ind w:left="40"/>
              <w:spacing w:before="128"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b/>
                <w:bCs/>
                <w:spacing w:val="7"/>
              </w:rPr>
              <w:t>五、</w:t>
            </w:r>
            <w:r>
              <w:rPr>
                <w:b/>
                <w:bCs/>
                <w:spacing w:val="7"/>
              </w:rPr>
              <w:t>2023</w:t>
            </w:r>
            <w:r>
              <w:rPr>
                <w:rFonts w:ascii="SimSun" w:hAnsi="SimSun" w:eastAsia="SimSun" w:cs="SimSun"/>
                <w:b/>
                <w:bCs/>
                <w:spacing w:val="7"/>
              </w:rPr>
              <w:t>年地方政府债务付息决算数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316"/>
              <w:spacing w:before="160" w:line="194" w:lineRule="auto"/>
              <w:rPr/>
            </w:pPr>
            <w:r>
              <w:rPr>
                <w:b/>
                <w:bCs/>
                <w:spacing w:val="2"/>
              </w:rPr>
              <w:t>6.07</w:t>
            </w:r>
          </w:p>
        </w:tc>
      </w:tr>
      <w:tr>
        <w:trPr>
          <w:trHeight w:val="434" w:hRule="atLeast"/>
        </w:trPr>
        <w:tc>
          <w:tcPr>
            <w:tcW w:w="6197" w:type="dxa"/>
            <w:vAlign w:val="top"/>
          </w:tcPr>
          <w:p>
            <w:pPr>
              <w:ind w:left="286"/>
              <w:spacing w:before="124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一般债务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331"/>
              <w:spacing w:before="156" w:line="194" w:lineRule="auto"/>
              <w:rPr/>
            </w:pPr>
            <w:r>
              <w:rPr>
                <w:spacing w:val="-2"/>
              </w:rPr>
              <w:t>1.93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280"/>
              <w:spacing w:before="123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专项债务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312"/>
              <w:spacing w:before="158" w:line="194" w:lineRule="auto"/>
              <w:rPr/>
            </w:pPr>
            <w:r>
              <w:rPr>
                <w:spacing w:val="3"/>
              </w:rPr>
              <w:t>4.14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pStyle w:val="TableText"/>
              <w:ind w:left="39"/>
              <w:spacing w:before="129"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b/>
                <w:bCs/>
                <w:spacing w:val="7"/>
              </w:rPr>
              <w:t>六、</w:t>
            </w:r>
            <w:r>
              <w:rPr>
                <w:b/>
                <w:bCs/>
                <w:spacing w:val="7"/>
              </w:rPr>
              <w:t>2023</w:t>
            </w:r>
            <w:r>
              <w:rPr>
                <w:rFonts w:ascii="SimSun" w:hAnsi="SimSun" w:eastAsia="SimSun" w:cs="SimSun"/>
                <w:b/>
                <w:bCs/>
                <w:spacing w:val="7"/>
              </w:rPr>
              <w:t>年末地方政府债务余额决算数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26"/>
              <w:spacing w:before="161" w:line="194" w:lineRule="auto"/>
              <w:rPr/>
            </w:pPr>
            <w:r>
              <w:rPr>
                <w:b/>
                <w:bCs/>
                <w:spacing w:val="2"/>
              </w:rPr>
              <w:t>183.60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131"/>
              <w:spacing w:before="125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</w:rPr>
              <w:t>其中：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</w:rPr>
              <w:t>一般债务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69"/>
              <w:spacing w:before="160" w:line="194" w:lineRule="auto"/>
              <w:rPr/>
            </w:pPr>
            <w:r>
              <w:rPr>
                <w:spacing w:val="2"/>
              </w:rPr>
              <w:t>60.87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ind w:left="804"/>
              <w:spacing w:before="127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专项债务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35"/>
              <w:spacing w:before="160" w:line="194" w:lineRule="auto"/>
              <w:rPr/>
            </w:pPr>
            <w:r>
              <w:rPr/>
              <w:t>122.73</w:t>
            </w:r>
          </w:p>
        </w:tc>
      </w:tr>
      <w:tr>
        <w:trPr>
          <w:trHeight w:val="433" w:hRule="atLeast"/>
        </w:trPr>
        <w:tc>
          <w:tcPr>
            <w:tcW w:w="6197" w:type="dxa"/>
            <w:vAlign w:val="top"/>
          </w:tcPr>
          <w:p>
            <w:pPr>
              <w:pStyle w:val="TableText"/>
              <w:ind w:left="36"/>
              <w:spacing w:before="131"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b/>
                <w:bCs/>
                <w:spacing w:val="7"/>
              </w:rPr>
              <w:t>七、</w:t>
            </w:r>
            <w:r>
              <w:rPr>
                <w:b/>
                <w:bCs/>
                <w:spacing w:val="7"/>
              </w:rPr>
              <w:t>2023</w:t>
            </w:r>
            <w:r>
              <w:rPr>
                <w:rFonts w:ascii="SimSun" w:hAnsi="SimSun" w:eastAsia="SimSun" w:cs="SimSun"/>
                <w:b/>
                <w:bCs/>
                <w:spacing w:val="7"/>
              </w:rPr>
              <w:t>年地方政府债务限额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26"/>
              <w:spacing w:before="163" w:line="194" w:lineRule="auto"/>
              <w:rPr/>
            </w:pPr>
            <w:r>
              <w:rPr>
                <w:b/>
                <w:bCs/>
                <w:spacing w:val="2"/>
              </w:rPr>
              <w:t>186.22</w:t>
            </w:r>
          </w:p>
        </w:tc>
      </w:tr>
      <w:tr>
        <w:trPr>
          <w:trHeight w:val="434" w:hRule="atLeast"/>
        </w:trPr>
        <w:tc>
          <w:tcPr>
            <w:tcW w:w="6197" w:type="dxa"/>
            <w:vAlign w:val="top"/>
          </w:tcPr>
          <w:p>
            <w:pPr>
              <w:ind w:left="131"/>
              <w:spacing w:before="128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</w:rPr>
              <w:t>其中：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</w:rPr>
              <w:t>一般债务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69"/>
              <w:spacing w:before="162" w:line="194" w:lineRule="auto"/>
              <w:rPr/>
            </w:pPr>
            <w:r>
              <w:rPr>
                <w:spacing w:val="2"/>
              </w:rPr>
              <w:t>61.00</w:t>
            </w:r>
          </w:p>
        </w:tc>
      </w:tr>
      <w:tr>
        <w:trPr>
          <w:trHeight w:val="442" w:hRule="atLeast"/>
        </w:trPr>
        <w:tc>
          <w:tcPr>
            <w:tcW w:w="6197" w:type="dxa"/>
            <w:vAlign w:val="top"/>
          </w:tcPr>
          <w:p>
            <w:pPr>
              <w:ind w:left="804"/>
              <w:spacing w:before="128" w:line="22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专项债务</w:t>
            </w:r>
          </w:p>
        </w:tc>
        <w:tc>
          <w:tcPr>
            <w:tcW w:w="2953" w:type="dxa"/>
            <w:vAlign w:val="top"/>
          </w:tcPr>
          <w:p>
            <w:pPr>
              <w:pStyle w:val="TableText"/>
              <w:ind w:left="1235"/>
              <w:spacing w:before="159" w:line="194" w:lineRule="auto"/>
              <w:rPr/>
            </w:pPr>
            <w:r>
              <w:rPr/>
              <w:t>125.22</w:t>
            </w:r>
          </w:p>
        </w:tc>
      </w:tr>
    </w:tbl>
    <w:p>
      <w:pPr>
        <w:spacing w:line="289" w:lineRule="auto"/>
        <w:rPr>
          <w:rFonts w:ascii="Arial"/>
          <w:sz w:val="21"/>
        </w:rPr>
      </w:pPr>
      <w:r/>
    </w:p>
    <w:p>
      <w:pPr>
        <w:ind w:left="456" w:right="5183" w:hanging="404"/>
        <w:spacing w:before="58" w:line="28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4"/>
        </w:rPr>
        <w:t>注：我区无下属独立乡镇级政府</w:t>
      </w:r>
      <w:r>
        <w:rPr>
          <w:rFonts w:ascii="SimSun" w:hAnsi="SimSun" w:eastAsia="SimSun" w:cs="SimSun"/>
          <w:sz w:val="18"/>
          <w:szCs w:val="18"/>
          <w:spacing w:val="-26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4"/>
        </w:rPr>
        <w:t>，所辖即全辖。</w:t>
      </w:r>
      <w:r>
        <w:rPr>
          <w:rFonts w:ascii="SimSun" w:hAnsi="SimSun" w:eastAsia="SimSun" w:cs="SimSun"/>
          <w:sz w:val="18"/>
          <w:szCs w:val="18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5"/>
        </w:rPr>
        <w:t>以上还本不包含置换债券。</w:t>
      </w:r>
    </w:p>
    <w:sectPr>
      <w:pgSz w:w="11905" w:h="16837"/>
      <w:pgMar w:top="1167" w:right="1377" w:bottom="0" w:left="136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2024-11-14T17:19:47</vt:filetime>
  </property>
</Properties>
</file>