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1F22B">
      <w:pPr>
        <w:pStyle w:val="3"/>
        <w:widowControl/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36"/>
        </w:rPr>
      </w:pPr>
      <w:bookmarkStart w:id="2" w:name="_GoBack"/>
      <w:bookmarkEnd w:id="2"/>
      <w:bookmarkStart w:id="0" w:name="_Toc14832598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36"/>
        </w:rPr>
        <w:t>南通市崇川区国土空间总体规划</w:t>
      </w:r>
    </w:p>
    <w:p w14:paraId="2704797A">
      <w:pPr>
        <w:pStyle w:val="3"/>
        <w:widowControl/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36"/>
        </w:rPr>
        <w:t>编制说明</w:t>
      </w:r>
    </w:p>
    <w:p w14:paraId="2E36373E">
      <w:pPr>
        <w:pStyle w:val="3"/>
        <w:widowControl/>
        <w:numPr>
          <w:ilvl w:val="0"/>
          <w:numId w:val="0"/>
        </w:numPr>
        <w:spacing w:before="0" w:after="0" w:line="590" w:lineRule="exact"/>
        <w:ind w:left="200" w:firstLine="320" w:firstLineChars="100"/>
        <w:jc w:val="left"/>
        <w:rPr>
          <w:color w:val="000000" w:themeColor="text1"/>
        </w:rPr>
      </w:pPr>
      <w:r>
        <w:rPr>
          <w:rFonts w:hint="eastAsia" w:cs="黑体"/>
          <w:color w:val="000000" w:themeColor="text1"/>
        </w:rPr>
        <w:t>一、编制背景</w:t>
      </w:r>
      <w:bookmarkEnd w:id="0"/>
    </w:p>
    <w:p w14:paraId="100F980E">
      <w:pPr>
        <w:pStyle w:val="4"/>
        <w:numPr>
          <w:ilvl w:val="0"/>
          <w:numId w:val="0"/>
        </w:numPr>
        <w:spacing w:line="590" w:lineRule="exact"/>
        <w:ind w:left="6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</w:t>
      </w:r>
      <w:r>
        <w:rPr>
          <w:rFonts w:ascii="楷体" w:hAnsi="楷体" w:eastAsia="楷体"/>
        </w:rPr>
        <w:t>落实国家和</w:t>
      </w:r>
      <w:r>
        <w:rPr>
          <w:rFonts w:hint="eastAsia" w:ascii="楷体" w:hAnsi="楷体" w:eastAsia="楷体"/>
        </w:rPr>
        <w:t>江苏省</w:t>
      </w:r>
      <w:r>
        <w:rPr>
          <w:rFonts w:ascii="楷体" w:hAnsi="楷体" w:eastAsia="楷体"/>
        </w:rPr>
        <w:t>统一政策要求</w:t>
      </w:r>
    </w:p>
    <w:p w14:paraId="4C27937D">
      <w:pPr>
        <w:pStyle w:val="10"/>
        <w:spacing w:line="590" w:lineRule="exact"/>
        <w:ind w:firstLine="640"/>
      </w:pPr>
      <w:r>
        <w:t>2019年5月，国务院正式印发《关于建立国土空间规划体系并监督实施的若干意见》，提出要建立国土空间规划体系，将主体功能区规划、土地利用规划、城乡规划等空间规划融合为统一的国土空间规划。同时，自然资源部印发《关于全面开展国土空间规划工作的通知》，全面启动国土空间规划编制工作。2019年10月，江苏省人民政府印发了《关于建立全省国土空间规划体系并监督实施的意见》，对全省建立国土空间规划体系并监督实施提出了具体要求。根据国家、江苏省、</w:t>
      </w:r>
      <w:r>
        <w:rPr>
          <w:rFonts w:hint="eastAsia"/>
        </w:rPr>
        <w:t>南通</w:t>
      </w:r>
      <w:r>
        <w:t>市的统一部署，按照“多规合一”的要求，</w:t>
      </w:r>
      <w:r>
        <w:rPr>
          <w:rFonts w:hint="eastAsia"/>
        </w:rPr>
        <w:t>崇川区</w:t>
      </w:r>
      <w:r>
        <w:t>人民政府组织</w:t>
      </w:r>
      <w:r>
        <w:rPr>
          <w:rFonts w:hint="eastAsia"/>
          <w:lang w:val="en-US" w:eastAsia="zh-CN"/>
        </w:rPr>
        <w:t>南通市自然资源和规划局崇川分局牵头</w:t>
      </w:r>
      <w:r>
        <w:t>编制国土空间规划。</w:t>
      </w:r>
    </w:p>
    <w:p w14:paraId="7D910162">
      <w:pPr>
        <w:pStyle w:val="4"/>
        <w:numPr>
          <w:ilvl w:val="0"/>
          <w:numId w:val="0"/>
        </w:numPr>
        <w:spacing w:line="590" w:lineRule="exact"/>
        <w:ind w:left="6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</w:t>
      </w:r>
      <w:r>
        <w:rPr>
          <w:rFonts w:ascii="楷体" w:hAnsi="楷体" w:eastAsia="楷体"/>
        </w:rPr>
        <w:t>满足自身高质量发展诉求</w:t>
      </w:r>
    </w:p>
    <w:p w14:paraId="72DAE993">
      <w:pPr>
        <w:pStyle w:val="10"/>
        <w:spacing w:line="590" w:lineRule="exact"/>
        <w:ind w:firstLine="640"/>
      </w:pPr>
      <w:r>
        <w:rPr>
          <w:rFonts w:hint="eastAsia"/>
        </w:rPr>
        <w:t>崇川区位于长江经济带、长三角一体化等多重国家战略叠加区域。近年来，崇川区</w:t>
      </w:r>
      <w:r>
        <w:t>经济社会</w:t>
      </w:r>
      <w:r>
        <w:rPr>
          <w:rFonts w:hint="eastAsia"/>
        </w:rPr>
        <w:t>各项事业发展不断</w:t>
      </w:r>
      <w:r>
        <w:t>迈上新台阶、实现新跨越</w:t>
      </w:r>
      <w:r>
        <w:rPr>
          <w:rFonts w:hint="eastAsia"/>
        </w:rPr>
        <w:t>，</w:t>
      </w:r>
      <w:r>
        <w:t>但是</w:t>
      </w:r>
      <w:r>
        <w:rPr>
          <w:rFonts w:hint="eastAsia"/>
        </w:rPr>
        <w:t>，</w:t>
      </w:r>
      <w:r>
        <w:t>目前全</w:t>
      </w:r>
      <w:r>
        <w:rPr>
          <w:rFonts w:hint="eastAsia"/>
        </w:rPr>
        <w:t>区</w:t>
      </w:r>
      <w:r>
        <w:t>经济社会发展不平衡不充分问题仍然突出。为精准把握国家“两个一百年”交汇的新发展阶段</w:t>
      </w:r>
      <w:r>
        <w:rPr>
          <w:rFonts w:hint="eastAsia"/>
        </w:rPr>
        <w:t>，完整、准确、全面贯彻</w:t>
      </w:r>
      <w:r>
        <w:t>新发展理念，全面</w:t>
      </w:r>
      <w:r>
        <w:rPr>
          <w:rFonts w:hint="eastAsia"/>
        </w:rPr>
        <w:t>落实</w:t>
      </w:r>
      <w:r>
        <w:rPr>
          <w:rFonts w:hint="eastAsia"/>
          <w:lang w:eastAsia="zh-CN"/>
        </w:rPr>
        <w:t>党的二十大|中共二十大</w:t>
      </w:r>
      <w:r>
        <w:t>精神和江苏省“</w:t>
      </w:r>
      <w:r>
        <w:rPr>
          <w:rFonts w:hint="eastAsia"/>
        </w:rPr>
        <w:t>为推进中国式现代化走在前、做示范</w:t>
      </w:r>
      <w:r>
        <w:t>”使命、“强富美高”目标，深入推进中国式现代化新征程，谋划全域国土空间开发保护新格局，引领高质量可持续发展，</w:t>
      </w:r>
      <w:r>
        <w:rPr>
          <w:rFonts w:hint="eastAsia"/>
          <w:lang w:val="en-US" w:eastAsia="zh-CN"/>
        </w:rPr>
        <w:t>南通市自然资源和规划局崇川分局牵头</w:t>
      </w:r>
      <w:r>
        <w:t>编制了《</w:t>
      </w:r>
      <w:r>
        <w:rPr>
          <w:rFonts w:hint="eastAsia"/>
        </w:rPr>
        <w:t>南通</w:t>
      </w:r>
      <w:r>
        <w:t>市</w:t>
      </w:r>
      <w:r>
        <w:rPr>
          <w:rFonts w:hint="eastAsia"/>
        </w:rPr>
        <w:t>崇川区</w:t>
      </w:r>
      <w:r>
        <w:t>国土空间总体规划（2021-2035年）》。</w:t>
      </w:r>
    </w:p>
    <w:p w14:paraId="792F0D72">
      <w:pPr>
        <w:pStyle w:val="3"/>
        <w:numPr>
          <w:ilvl w:val="0"/>
          <w:numId w:val="0"/>
        </w:numPr>
        <w:spacing w:before="0" w:after="0" w:line="590" w:lineRule="exact"/>
        <w:ind w:firstLine="640" w:firstLineChars="200"/>
        <w:jc w:val="left"/>
      </w:pPr>
      <w:bookmarkStart w:id="1" w:name="_Toc148325982"/>
      <w:r>
        <w:rPr>
          <w:rFonts w:hint="eastAsia"/>
        </w:rPr>
        <w:t>二、编制过程与采用数据</w:t>
      </w:r>
      <w:bookmarkEnd w:id="1"/>
    </w:p>
    <w:p w14:paraId="149330EC">
      <w:pPr>
        <w:pStyle w:val="4"/>
        <w:numPr>
          <w:ilvl w:val="0"/>
          <w:numId w:val="0"/>
        </w:numPr>
        <w:spacing w:line="590" w:lineRule="exact"/>
        <w:ind w:left="6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</w:t>
      </w:r>
      <w:r>
        <w:rPr>
          <w:rFonts w:ascii="楷体" w:hAnsi="楷体" w:eastAsia="楷体"/>
        </w:rPr>
        <w:t>编制过程</w:t>
      </w:r>
    </w:p>
    <w:p w14:paraId="6073B493">
      <w:pPr>
        <w:pStyle w:val="10"/>
        <w:spacing w:line="590" w:lineRule="exact"/>
        <w:ind w:firstLine="640"/>
      </w:pPr>
      <w:r>
        <w:t>20</w:t>
      </w:r>
      <w:r>
        <w:rPr>
          <w:rFonts w:hint="eastAsia"/>
        </w:rPr>
        <w:t>22年1月，崇川区全面启动国土空间总体规划的编制。自工作开展以来，积极衔接国家和省政策要求，区级各部门紧密配合，与各板块上下联动，在充分征求意见后形成规划成果</w:t>
      </w:r>
      <w:r>
        <w:t>。</w:t>
      </w:r>
    </w:p>
    <w:p w14:paraId="59F0ED31">
      <w:pPr>
        <w:pStyle w:val="10"/>
        <w:spacing w:line="590" w:lineRule="exact"/>
        <w:ind w:firstLine="640"/>
      </w:pPr>
      <w:r>
        <w:rPr>
          <w:rFonts w:hint="eastAsia"/>
        </w:rPr>
        <w:t>在省、市的统一部署下，经过前期调研，规划成果逐步完善。</w:t>
      </w:r>
      <w:r>
        <w:t>2022</w:t>
      </w:r>
      <w:r>
        <w:rPr>
          <w:rFonts w:hint="eastAsia"/>
        </w:rPr>
        <w:t>年，</w:t>
      </w:r>
      <w:r>
        <w:t>“</w:t>
      </w:r>
      <w:r>
        <w:rPr>
          <w:rFonts w:hint="eastAsia"/>
        </w:rPr>
        <w:t>三区三线</w:t>
      </w:r>
      <w:r>
        <w:t>”</w:t>
      </w:r>
      <w:r>
        <w:rPr>
          <w:rFonts w:hint="eastAsia"/>
        </w:rPr>
        <w:t>划定方案经过</w:t>
      </w:r>
      <w:r>
        <w:t>多</w:t>
      </w:r>
      <w:r>
        <w:rPr>
          <w:rFonts w:hint="eastAsia"/>
        </w:rPr>
        <w:t>轮修改上报自然资源部，并于</w:t>
      </w:r>
      <w:r>
        <w:rPr>
          <w:rFonts w:hint="eastAsia"/>
          <w:lang w:val="en-US" w:eastAsia="zh-CN"/>
        </w:rPr>
        <w:t>当年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>
        <w:t>获</w:t>
      </w:r>
      <w:r>
        <w:rPr>
          <w:rFonts w:hint="eastAsia"/>
        </w:rPr>
        <w:t>自然资源部批复启用。《南通市崇川区国土空间总体规划（2021-2035年）》</w:t>
      </w:r>
      <w:r>
        <w:t>已于202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22</w:t>
      </w:r>
      <w:r>
        <w:t>日至</w:t>
      </w:r>
      <w:r>
        <w:rPr>
          <w:rFonts w:hint="eastAsia"/>
        </w:rPr>
        <w:t>5</w:t>
      </w:r>
      <w:r>
        <w:t>月</w:t>
      </w:r>
      <w:r>
        <w:rPr>
          <w:rFonts w:hint="eastAsia"/>
        </w:rPr>
        <w:t>21</w:t>
      </w:r>
      <w:r>
        <w:t>日按规定</w:t>
      </w:r>
      <w:r>
        <w:rPr>
          <w:rFonts w:hint="eastAsia"/>
        </w:rPr>
        <w:t>在区政府网站进行</w:t>
      </w:r>
      <w:r>
        <w:t>公示</w:t>
      </w:r>
      <w:r>
        <w:rPr>
          <w:rFonts w:hint="eastAsia"/>
        </w:rPr>
        <w:t>征求社会公众意见，2</w:t>
      </w:r>
      <w:r>
        <w:t>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6月2</w:t>
      </w:r>
      <w:r>
        <w:t>0日通过</w:t>
      </w:r>
      <w:r>
        <w:rPr>
          <w:rFonts w:hint="eastAsia"/>
        </w:rPr>
        <w:t>南通市</w:t>
      </w:r>
      <w:r>
        <w:t>自然资源</w:t>
      </w:r>
      <w:r>
        <w:rPr>
          <w:rFonts w:hint="eastAsia"/>
        </w:rPr>
        <w:t>和规划局崇川分局、南通市住房和城乡建设局共同</w:t>
      </w:r>
      <w:r>
        <w:t>组织的专家论证会评审，现已编制完成。</w:t>
      </w:r>
    </w:p>
    <w:p w14:paraId="57A29AAC">
      <w:pPr>
        <w:pStyle w:val="4"/>
        <w:numPr>
          <w:ilvl w:val="0"/>
          <w:numId w:val="0"/>
        </w:numPr>
        <w:spacing w:line="590" w:lineRule="exact"/>
        <w:ind w:left="6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</w:t>
      </w:r>
      <w:r>
        <w:rPr>
          <w:rFonts w:ascii="楷体" w:hAnsi="楷体" w:eastAsia="楷体"/>
        </w:rPr>
        <w:t>采用数据</w:t>
      </w:r>
    </w:p>
    <w:p w14:paraId="791F85FC">
      <w:pPr>
        <w:pStyle w:val="10"/>
        <w:spacing w:line="590" w:lineRule="exact"/>
        <w:ind w:firstLine="640"/>
      </w:pPr>
      <w:r>
        <w:t>本规划采用的数据均来源于国家、省、市、县（市</w:t>
      </w:r>
      <w:r>
        <w:rPr>
          <w:rFonts w:hint="eastAsia"/>
        </w:rPr>
        <w:t>、区</w:t>
      </w:r>
      <w:r>
        <w:t>）政府及下属相关部门的权威发布。自然地理环境、国土资源要素及已有相关规划、评估等数据由自然资源、水利水务、生态环境、农业农村、交通运输等相关部门统一提供。国土空间开发利用现状底数和底图采用2020年度国土变更调查成果，</w:t>
      </w:r>
      <w:r>
        <w:rPr>
          <w:rFonts w:hint="eastAsia"/>
        </w:rPr>
        <w:t>统一采用</w:t>
      </w:r>
      <w:r>
        <w:t>2000</w:t>
      </w:r>
      <w:r>
        <w:rPr>
          <w:rFonts w:hint="eastAsia"/>
        </w:rPr>
        <w:t>国家大地坐标系和</w:t>
      </w:r>
      <w:r>
        <w:t>1985</w:t>
      </w:r>
      <w:r>
        <w:rPr>
          <w:rFonts w:hint="eastAsia"/>
        </w:rPr>
        <w:t>国家高程基准作为空间定位基础；</w:t>
      </w:r>
      <w:r>
        <w:t>社会经济数据来源于各级政府统计年鉴、国民经济和社会发展统计公报等。</w:t>
      </w:r>
    </w:p>
    <w:p w14:paraId="4C153F8E">
      <w:pPr>
        <w:pStyle w:val="3"/>
        <w:numPr>
          <w:ilvl w:val="0"/>
          <w:numId w:val="0"/>
        </w:numPr>
        <w:spacing w:before="0" w:after="0" w:line="590" w:lineRule="exact"/>
        <w:ind w:firstLine="640" w:firstLineChars="200"/>
        <w:jc w:val="left"/>
      </w:pPr>
      <w:r>
        <w:rPr>
          <w:rFonts w:hint="eastAsia"/>
        </w:rPr>
        <w:t>三、主要内容</w:t>
      </w:r>
    </w:p>
    <w:p w14:paraId="4636BF36">
      <w:pPr>
        <w:pStyle w:val="10"/>
        <w:ind w:firstLine="640"/>
      </w:pPr>
      <w:r>
        <w:t>本规划</w:t>
      </w:r>
      <w:r>
        <w:rPr>
          <w:rFonts w:hint="eastAsia"/>
        </w:rPr>
        <w:t>参照江苏省市县国土空间总体规划编制指南（试行）编制，坚持生态优先、底线思维、完善功能、强化中心、以人为本、提升品质、集约高效、内涵发展原则，落实《南通市国土空间总体规划（2021-2035年）》中崇川区功能定位、空间格局与分区引导要求，落实耕地和永久基本农田保护任务、生态保护红线任务，</w:t>
      </w:r>
      <w:r>
        <w:t>落实</w:t>
      </w:r>
      <w:r>
        <w:rPr>
          <w:rFonts w:hint="eastAsia"/>
        </w:rPr>
        <w:t>南通市发展</w:t>
      </w:r>
      <w:r>
        <w:t>要求，将崇川建设成为创新发展引领区、美丽名城典范区、民生幸福样板区、安全韧性标杆区。</w:t>
      </w:r>
    </w:p>
    <w:p w14:paraId="7ECEEE50">
      <w:pPr>
        <w:pStyle w:val="10"/>
        <w:spacing w:line="590" w:lineRule="exact"/>
        <w:ind w:firstLine="640"/>
        <w:rPr>
          <w:szCs w:val="32"/>
        </w:rPr>
      </w:pPr>
      <w:r>
        <w:rPr>
          <w:rFonts w:hint="eastAsia"/>
        </w:rPr>
        <w:t>本规划提出崇川区近期、远期目标定位，从资源要素保护与利用、空间布局优化、历史文化与特色风貌、综合交通、安全韧性、生态修复和国土综合整治、规划实施等多方面，</w:t>
      </w:r>
      <w:r>
        <w:rPr>
          <w:szCs w:val="32"/>
        </w:rPr>
        <w:t>将三区三线、城市控制线、建设用地、各类设施等重要管控要素指标系统传导分解，对全区的目标定位、规划分区、用地布局、城市控制线、公共服务、交通、水利、能源、防灾减灾等各类设施布局、重点项目清单进行深化、细化。</w:t>
      </w:r>
    </w:p>
    <w:p w14:paraId="22787A08">
      <w:pPr>
        <w:pStyle w:val="10"/>
        <w:spacing w:line="590" w:lineRule="exact"/>
        <w:ind w:firstLine="640"/>
        <w:rPr>
          <w:szCs w:val="32"/>
        </w:rPr>
      </w:pPr>
    </w:p>
    <w:p w14:paraId="55D8D0ED">
      <w:pPr>
        <w:pStyle w:val="10"/>
        <w:spacing w:line="590" w:lineRule="exact"/>
        <w:ind w:firstLine="640"/>
        <w:rPr>
          <w:szCs w:val="32"/>
        </w:rPr>
      </w:pPr>
    </w:p>
    <w:p w14:paraId="25C3A735">
      <w:pPr>
        <w:pStyle w:val="10"/>
        <w:spacing w:line="590" w:lineRule="exact"/>
        <w:ind w:firstLine="640"/>
      </w:pPr>
      <w:r>
        <w:rPr>
          <w:rFonts w:hint="eastAsia"/>
          <w:szCs w:val="32"/>
        </w:rPr>
        <w:t xml:space="preserve">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E371E"/>
    <w:multiLevelType w:val="multilevel"/>
    <w:tmpl w:val="713E371E"/>
    <w:lvl w:ilvl="0" w:tentative="0">
      <w:start w:val="1"/>
      <w:numFmt w:val="chineseCountingThousand"/>
      <w:pStyle w:val="2"/>
      <w:suff w:val="space"/>
      <w:lvlText w:val="第%1章 "/>
      <w:lvlJc w:val="left"/>
      <w:pPr>
        <w:ind w:left="2552" w:firstLine="0"/>
      </w:pPr>
      <w:rPr>
        <w:rFonts w:hint="eastAsia" w:ascii="方正小标宋_GBK" w:eastAsia="方正小标宋_GBK"/>
        <w:b w:val="0"/>
        <w:i w:val="0"/>
        <w:sz w:val="36"/>
        <w:szCs w:val="36"/>
      </w:rPr>
    </w:lvl>
    <w:lvl w:ilvl="1" w:tentative="0">
      <w:start w:val="1"/>
      <w:numFmt w:val="chineseCountingThousand"/>
      <w:pStyle w:val="3"/>
      <w:suff w:val="space"/>
      <w:lvlText w:val="第%2节 "/>
      <w:lvlJc w:val="left"/>
      <w:pPr>
        <w:ind w:left="200" w:firstLine="0"/>
      </w:pPr>
      <w:rPr>
        <w:rFonts w:hint="eastAsia" w:ascii="黑体" w:hAnsi="黑体" w:eastAsia="黑体"/>
        <w:b w:val="0"/>
        <w:i w:val="0"/>
        <w:sz w:val="32"/>
        <w:szCs w:val="32"/>
      </w:rPr>
    </w:lvl>
    <w:lvl w:ilvl="2" w:tentative="0">
      <w:start w:val="1"/>
      <w:numFmt w:val="chineseCountingThousand"/>
      <w:pStyle w:val="4"/>
      <w:suff w:val="nothing"/>
      <w:lvlText w:val="%3、"/>
      <w:lvlJc w:val="left"/>
      <w:pPr>
        <w:ind w:left="228" w:firstLine="482"/>
      </w:pPr>
      <w:rPr>
        <w:rFonts w:hint="eastAsia" w:ascii="黑体" w:hAnsi="黑体" w:eastAsia="黑体"/>
        <w:b w:val="0"/>
        <w:i w:val="0"/>
        <w:sz w:val="32"/>
        <w:szCs w:val="32"/>
        <w:lang w:val="en-US"/>
      </w:rPr>
    </w:lvl>
    <w:lvl w:ilvl="3" w:tentative="0">
      <w:start w:val="1"/>
      <w:numFmt w:val="chineseCountingThousand"/>
      <w:pStyle w:val="5"/>
      <w:suff w:val="nothing"/>
      <w:lvlText w:val="（%4）"/>
      <w:lvlJc w:val="left"/>
      <w:pPr>
        <w:ind w:left="86" w:firstLine="482"/>
      </w:pPr>
      <w:rPr>
        <w:rFonts w:hint="eastAsia" w:ascii="楷体_GB2312" w:eastAsia="楷体_GB2312"/>
        <w:b w:val="0"/>
        <w:i w:val="0"/>
        <w:sz w:val="32"/>
        <w:szCs w:val="32"/>
        <w:lang w:val="en-US"/>
      </w:rPr>
    </w:lvl>
    <w:lvl w:ilvl="4" w:tentative="0">
      <w:start w:val="1"/>
      <w:numFmt w:val="decimal"/>
      <w:pStyle w:val="6"/>
      <w:suff w:val="nothing"/>
      <w:lvlText w:val="%5、"/>
      <w:lvlJc w:val="left"/>
      <w:pPr>
        <w:ind w:left="511" w:firstLine="482"/>
      </w:pPr>
      <w:rPr>
        <w:rFonts w:hint="default" w:ascii="Times New Roman" w:hAnsi="Times New Roman" w:eastAsia="仿宋_GB2312" w:cs="Times New Roman"/>
        <w:b w:val="0"/>
        <w:i w:val="0"/>
        <w:sz w:val="32"/>
        <w:szCs w:val="28"/>
      </w:rPr>
    </w:lvl>
    <w:lvl w:ilvl="5" w:tentative="0">
      <w:start w:val="1"/>
      <w:numFmt w:val="decimal"/>
      <w:pStyle w:val="7"/>
      <w:suff w:val="nothing"/>
      <w:lvlText w:val="（%6）"/>
      <w:lvlJc w:val="left"/>
      <w:pPr>
        <w:ind w:left="652" w:firstLine="48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lvlRestart w:val="1"/>
      <w:pStyle w:val="8"/>
      <w:isLgl/>
      <w:suff w:val="nothing"/>
      <w:lvlText w:val="表%1-%7    "/>
      <w:lvlJc w:val="center"/>
      <w:pPr>
        <w:ind w:left="568" w:firstLine="567"/>
      </w:pPr>
      <w:rPr>
        <w:rFonts w:hint="eastAsia"/>
        <w:lang w:val="en-US"/>
      </w:rPr>
    </w:lvl>
    <w:lvl w:ilvl="7" w:tentative="0">
      <w:start w:val="1"/>
      <w:numFmt w:val="decimal"/>
      <w:lvlRestart w:val="1"/>
      <w:pStyle w:val="9"/>
      <w:isLgl/>
      <w:suff w:val="nothing"/>
      <w:lvlText w:val="图%1-%8    "/>
      <w:lvlJc w:val="center"/>
      <w:pPr>
        <w:ind w:left="1135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0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UwNmZkNDQxZTk1MjIzMDk3MmJlZmIyYWI1ODA2MzIifQ=="/>
  </w:docVars>
  <w:rsids>
    <w:rsidRoot w:val="00D31D50"/>
    <w:rsid w:val="00104287"/>
    <w:rsid w:val="00181336"/>
    <w:rsid w:val="0019002D"/>
    <w:rsid w:val="001D3573"/>
    <w:rsid w:val="00323B43"/>
    <w:rsid w:val="003D37D8"/>
    <w:rsid w:val="00426133"/>
    <w:rsid w:val="004358AB"/>
    <w:rsid w:val="006140D8"/>
    <w:rsid w:val="00830968"/>
    <w:rsid w:val="008B7726"/>
    <w:rsid w:val="008C0A22"/>
    <w:rsid w:val="009C0CB0"/>
    <w:rsid w:val="009C7C71"/>
    <w:rsid w:val="00B015A6"/>
    <w:rsid w:val="00B84C01"/>
    <w:rsid w:val="00BC758A"/>
    <w:rsid w:val="00D31D50"/>
    <w:rsid w:val="00D33854"/>
    <w:rsid w:val="00E062D3"/>
    <w:rsid w:val="00E609C9"/>
    <w:rsid w:val="25830ADE"/>
    <w:rsid w:val="41B14E54"/>
    <w:rsid w:val="4317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 w:val="0"/>
      <w:numPr>
        <w:ilvl w:val="0"/>
        <w:numId w:val="1"/>
      </w:numPr>
      <w:adjustRightInd/>
      <w:snapToGrid/>
      <w:spacing w:before="160" w:after="120" w:line="560" w:lineRule="exact"/>
      <w:ind w:left="0"/>
      <w:jc w:val="center"/>
      <w:outlineLvl w:val="0"/>
    </w:pPr>
    <w:rPr>
      <w:rFonts w:ascii="黑体" w:hAnsi="Times New Roman" w:eastAsia="方正小标宋_GBK" w:cs="Times New Roman"/>
      <w:bCs/>
      <w:kern w:val="44"/>
      <w:sz w:val="36"/>
      <w:szCs w:val="28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widowControl w:val="0"/>
      <w:numPr>
        <w:ilvl w:val="1"/>
        <w:numId w:val="1"/>
      </w:numPr>
      <w:adjustRightInd/>
      <w:snapToGrid/>
      <w:spacing w:before="100" w:after="100" w:line="560" w:lineRule="exact"/>
      <w:ind w:left="0"/>
      <w:jc w:val="center"/>
      <w:outlineLvl w:val="1"/>
    </w:pPr>
    <w:rPr>
      <w:rFonts w:ascii="Arial" w:hAnsi="Arial" w:eastAsia="黑体" w:cs="Times New Roman"/>
      <w:bCs/>
      <w:kern w:val="2"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widowControl w:val="0"/>
      <w:numPr>
        <w:ilvl w:val="2"/>
        <w:numId w:val="1"/>
      </w:numPr>
      <w:tabs>
        <w:tab w:val="left" w:pos="5040"/>
      </w:tabs>
      <w:adjustRightInd/>
      <w:snapToGrid/>
      <w:spacing w:after="0" w:line="560" w:lineRule="exact"/>
      <w:jc w:val="both"/>
      <w:outlineLvl w:val="2"/>
    </w:pPr>
    <w:rPr>
      <w:rFonts w:ascii="Times New Roman" w:hAnsi="Times New Roman" w:eastAsia="黑体" w:cs="Times New Roman"/>
      <w:bCs/>
      <w:kern w:val="2"/>
      <w:sz w:val="32"/>
      <w:szCs w:val="32"/>
    </w:rPr>
  </w:style>
  <w:style w:type="paragraph" w:styleId="5">
    <w:name w:val="heading 4"/>
    <w:next w:val="1"/>
    <w:link w:val="18"/>
    <w:qFormat/>
    <w:uiPriority w:val="0"/>
    <w:pPr>
      <w:numPr>
        <w:ilvl w:val="3"/>
        <w:numId w:val="1"/>
      </w:numPr>
      <w:spacing w:after="0" w:line="560" w:lineRule="exact"/>
      <w:ind w:left="0" w:firstLine="200" w:firstLineChars="200"/>
      <w:jc w:val="both"/>
      <w:outlineLvl w:val="3"/>
    </w:pPr>
    <w:rPr>
      <w:rFonts w:ascii="Times New Roman" w:hAnsi="Times New Roman" w:eastAsia="楷体_GB2312" w:cs="Times New Roman"/>
      <w:bCs/>
      <w:sz w:val="32"/>
      <w:szCs w:val="28"/>
      <w:lang w:val="en-US" w:eastAsia="zh-CN" w:bidi="ar-SA"/>
    </w:rPr>
  </w:style>
  <w:style w:type="paragraph" w:styleId="6">
    <w:name w:val="heading 5"/>
    <w:basedOn w:val="1"/>
    <w:next w:val="1"/>
    <w:link w:val="19"/>
    <w:qFormat/>
    <w:uiPriority w:val="0"/>
    <w:pPr>
      <w:widowControl w:val="0"/>
      <w:numPr>
        <w:ilvl w:val="4"/>
        <w:numId w:val="1"/>
      </w:numPr>
      <w:tabs>
        <w:tab w:val="left" w:pos="5040"/>
      </w:tabs>
      <w:adjustRightInd/>
      <w:snapToGrid/>
      <w:spacing w:after="0" w:line="560" w:lineRule="exact"/>
      <w:ind w:left="0" w:firstLine="200" w:firstLineChars="200"/>
      <w:jc w:val="both"/>
      <w:outlineLvl w:val="4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7">
    <w:name w:val="heading 6"/>
    <w:basedOn w:val="1"/>
    <w:next w:val="1"/>
    <w:link w:val="20"/>
    <w:qFormat/>
    <w:uiPriority w:val="0"/>
    <w:pPr>
      <w:widowControl w:val="0"/>
      <w:numPr>
        <w:ilvl w:val="5"/>
        <w:numId w:val="1"/>
      </w:numPr>
      <w:tabs>
        <w:tab w:val="left" w:pos="5040"/>
      </w:tabs>
      <w:adjustRightInd/>
      <w:snapToGrid/>
      <w:spacing w:after="0" w:line="600" w:lineRule="exact"/>
      <w:ind w:left="0" w:firstLine="200" w:firstLineChars="200"/>
      <w:outlineLvl w:val="5"/>
    </w:pPr>
    <w:rPr>
      <w:rFonts w:ascii="Times New Roman" w:hAnsi="Times New Roman" w:eastAsia="仿宋_GB2312" w:cs="Times New Roman"/>
      <w:bCs/>
      <w:kern w:val="2"/>
      <w:sz w:val="32"/>
      <w:szCs w:val="24"/>
    </w:rPr>
  </w:style>
  <w:style w:type="paragraph" w:styleId="8">
    <w:name w:val="heading 7"/>
    <w:basedOn w:val="1"/>
    <w:next w:val="1"/>
    <w:link w:val="21"/>
    <w:qFormat/>
    <w:uiPriority w:val="0"/>
    <w:pPr>
      <w:keepNext/>
      <w:keepLines/>
      <w:widowControl w:val="0"/>
      <w:numPr>
        <w:ilvl w:val="6"/>
        <w:numId w:val="1"/>
      </w:numPr>
      <w:adjustRightInd/>
      <w:snapToGrid/>
      <w:spacing w:after="0"/>
      <w:ind w:firstLine="0"/>
      <w:jc w:val="center"/>
      <w:outlineLvl w:val="6"/>
    </w:pPr>
    <w:rPr>
      <w:rFonts w:ascii="Times New Roman" w:hAnsi="Times New Roman" w:eastAsia="黑体" w:cs="Times New Roman"/>
      <w:sz w:val="30"/>
      <w:szCs w:val="24"/>
    </w:rPr>
  </w:style>
  <w:style w:type="paragraph" w:styleId="9">
    <w:name w:val="heading 8"/>
    <w:basedOn w:val="8"/>
    <w:next w:val="1"/>
    <w:link w:val="22"/>
    <w:qFormat/>
    <w:uiPriority w:val="0"/>
    <w:pPr>
      <w:keepNext w:val="0"/>
      <w:keepLines w:val="0"/>
      <w:numPr>
        <w:ilvl w:val="7"/>
      </w:numPr>
      <w:ind w:left="0"/>
      <w:outlineLvl w:val="7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"/>
    <w:basedOn w:val="1"/>
    <w:link w:val="23"/>
    <w:qFormat/>
    <w:uiPriority w:val="0"/>
    <w:pPr>
      <w:widowControl w:val="0"/>
      <w:adjustRightInd/>
      <w:snapToGrid/>
      <w:spacing w:after="0"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1"/>
    </w:rPr>
  </w:style>
  <w:style w:type="paragraph" w:styleId="11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5">
    <w:name w:val="标题 1 Char"/>
    <w:basedOn w:val="14"/>
    <w:link w:val="2"/>
    <w:qFormat/>
    <w:uiPriority w:val="0"/>
    <w:rPr>
      <w:rFonts w:ascii="黑体" w:hAnsi="Times New Roman" w:eastAsia="方正小标宋_GBK" w:cs="Times New Roman"/>
      <w:bCs/>
      <w:kern w:val="44"/>
      <w:sz w:val="36"/>
      <w:szCs w:val="28"/>
    </w:rPr>
  </w:style>
  <w:style w:type="character" w:customStyle="1" w:styleId="16">
    <w:name w:val="标题 2 Char"/>
    <w:basedOn w:val="14"/>
    <w:link w:val="3"/>
    <w:qFormat/>
    <w:uiPriority w:val="0"/>
    <w:rPr>
      <w:rFonts w:ascii="Arial" w:hAnsi="Arial" w:eastAsia="黑体" w:cs="Times New Roman"/>
      <w:bCs/>
      <w:kern w:val="2"/>
      <w:sz w:val="32"/>
      <w:szCs w:val="32"/>
    </w:rPr>
  </w:style>
  <w:style w:type="character" w:customStyle="1" w:styleId="17">
    <w:name w:val="标题 3 Char"/>
    <w:basedOn w:val="14"/>
    <w:link w:val="4"/>
    <w:qFormat/>
    <w:uiPriority w:val="0"/>
    <w:rPr>
      <w:rFonts w:ascii="Times New Roman" w:hAnsi="Times New Roman" w:eastAsia="黑体" w:cs="Times New Roman"/>
      <w:bCs/>
      <w:kern w:val="2"/>
      <w:sz w:val="32"/>
      <w:szCs w:val="32"/>
    </w:rPr>
  </w:style>
  <w:style w:type="character" w:customStyle="1" w:styleId="18">
    <w:name w:val="标题 4 Char"/>
    <w:basedOn w:val="14"/>
    <w:link w:val="5"/>
    <w:qFormat/>
    <w:uiPriority w:val="0"/>
    <w:rPr>
      <w:rFonts w:ascii="Times New Roman" w:hAnsi="Times New Roman" w:eastAsia="楷体_GB2312" w:cs="Times New Roman"/>
      <w:bCs/>
      <w:sz w:val="32"/>
      <w:szCs w:val="28"/>
    </w:rPr>
  </w:style>
  <w:style w:type="character" w:customStyle="1" w:styleId="19">
    <w:name w:val="标题 5 Char"/>
    <w:basedOn w:val="14"/>
    <w:link w:val="6"/>
    <w:qFormat/>
    <w:uiPriority w:val="0"/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20">
    <w:name w:val="标题 6 Char"/>
    <w:basedOn w:val="14"/>
    <w:link w:val="7"/>
    <w:qFormat/>
    <w:uiPriority w:val="0"/>
    <w:rPr>
      <w:rFonts w:ascii="Times New Roman" w:hAnsi="Times New Roman" w:eastAsia="仿宋_GB2312" w:cs="Times New Roman"/>
      <w:bCs/>
      <w:kern w:val="2"/>
      <w:sz w:val="32"/>
      <w:szCs w:val="24"/>
    </w:rPr>
  </w:style>
  <w:style w:type="character" w:customStyle="1" w:styleId="21">
    <w:name w:val="标题 7 Char"/>
    <w:basedOn w:val="14"/>
    <w:link w:val="8"/>
    <w:qFormat/>
    <w:uiPriority w:val="0"/>
    <w:rPr>
      <w:rFonts w:ascii="Times New Roman" w:hAnsi="Times New Roman" w:eastAsia="黑体" w:cs="Times New Roman"/>
      <w:sz w:val="30"/>
      <w:szCs w:val="24"/>
    </w:rPr>
  </w:style>
  <w:style w:type="character" w:customStyle="1" w:styleId="22">
    <w:name w:val="标题 8 Char"/>
    <w:basedOn w:val="14"/>
    <w:link w:val="9"/>
    <w:uiPriority w:val="0"/>
    <w:rPr>
      <w:rFonts w:ascii="Times New Roman" w:hAnsi="Times New Roman" w:eastAsia="黑体" w:cs="Times New Roman"/>
      <w:sz w:val="30"/>
      <w:szCs w:val="24"/>
    </w:rPr>
  </w:style>
  <w:style w:type="character" w:customStyle="1" w:styleId="23">
    <w:name w:val="正文文本缩进 Char"/>
    <w:basedOn w:val="14"/>
    <w:link w:val="10"/>
    <w:qFormat/>
    <w:uiPriority w:val="0"/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页眉 Char"/>
    <w:basedOn w:val="14"/>
    <w:link w:val="12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页脚 Char"/>
    <w:basedOn w:val="14"/>
    <w:link w:val="11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1425</Words>
  <Characters>1482</Characters>
  <Lines>11</Lines>
  <Paragraphs>3</Paragraphs>
  <TotalTime>4</TotalTime>
  <ScaleCrop>false</ScaleCrop>
  <LinksUpToDate>false</LinksUpToDate>
  <CharactersWithSpaces>1515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0803</cp:lastModifiedBy>
  <dcterms:modified xsi:type="dcterms:W3CDTF">2024-08-09T06:38:01Z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68A5744DBD9B45A7AD13138E307DFBE9</vt:lpwstr>
  </property>
</Properties>
</file>