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60" w:lineRule="auto"/>
        <w:jc w:val="left"/>
        <w:rPr>
          <w:rFonts w:hAnsi="宋体"/>
          <w:sz w:val="44"/>
          <w:szCs w:val="44"/>
        </w:rPr>
      </w:pPr>
      <w:r>
        <w:rPr>
          <w:rFonts w:hint="eastAsia" w:hAnsi="宋体"/>
          <w:sz w:val="44"/>
          <w:szCs w:val="44"/>
        </w:rPr>
        <w:t xml:space="preserve"> </w:t>
      </w:r>
    </w:p>
    <w:p>
      <w:pPr>
        <w:pStyle w:val="2"/>
        <w:ind w:firstLine="420"/>
      </w:pPr>
    </w:p>
    <w:p>
      <w:pPr>
        <w:tabs>
          <w:tab w:val="left" w:pos="5760"/>
          <w:tab w:val="left" w:pos="6300"/>
        </w:tabs>
        <w:snapToGrid w:val="0"/>
        <w:spacing w:line="360" w:lineRule="auto"/>
        <w:jc w:val="left"/>
        <w:rPr>
          <w:rFonts w:hAnsi="宋体"/>
          <w:sz w:val="44"/>
          <w:szCs w:val="44"/>
        </w:rPr>
      </w:pPr>
    </w:p>
    <w:p>
      <w:pPr>
        <w:tabs>
          <w:tab w:val="left" w:pos="5760"/>
          <w:tab w:val="left" w:pos="6300"/>
        </w:tabs>
        <w:snapToGrid w:val="0"/>
        <w:spacing w:line="360" w:lineRule="auto"/>
        <w:jc w:val="left"/>
        <w:rPr>
          <w:rFonts w:hAnsi="宋体"/>
          <w:sz w:val="44"/>
          <w:szCs w:val="44"/>
        </w:rPr>
      </w:pPr>
      <w:r>
        <w:rPr>
          <w:rFonts w:hint="eastAsia" w:hAnsi="宋体"/>
          <w:sz w:val="44"/>
          <w:szCs w:val="44"/>
        </w:rPr>
        <w:t xml:space="preserve">   </w:t>
      </w:r>
      <w:r>
        <w:rPr>
          <w:rFonts w:hAnsi="宋体"/>
          <w:sz w:val="44"/>
          <w:szCs w:val="44"/>
        </w:rPr>
        <w:tab/>
      </w:r>
    </w:p>
    <w:p>
      <w:pPr>
        <w:tabs>
          <w:tab w:val="left" w:pos="6300"/>
        </w:tabs>
        <w:snapToGrid w:val="0"/>
        <w:spacing w:line="360" w:lineRule="auto"/>
        <w:jc w:val="center"/>
        <w:rPr>
          <w:rFonts w:hint="eastAsia" w:ascii="宋体" w:hAnsi="宋体" w:cs="宋体"/>
          <w:b/>
          <w:bCs/>
          <w:sz w:val="44"/>
          <w:szCs w:val="44"/>
        </w:rPr>
      </w:pPr>
      <w:r>
        <w:rPr>
          <w:rFonts w:hint="eastAsia" w:ascii="宋体" w:hAnsi="宋体" w:cs="宋体"/>
          <w:b/>
          <w:bCs/>
          <w:sz w:val="44"/>
          <w:szCs w:val="44"/>
        </w:rPr>
        <w:t>南通市崇川区商务局</w:t>
      </w:r>
    </w:p>
    <w:p>
      <w:pPr>
        <w:tabs>
          <w:tab w:val="left" w:pos="6300"/>
        </w:tabs>
        <w:snapToGrid w:val="0"/>
        <w:spacing w:line="360" w:lineRule="auto"/>
        <w:jc w:val="center"/>
        <w:rPr>
          <w:rFonts w:ascii="宋体" w:hAnsi="宋体" w:cs="宋体"/>
          <w:b/>
          <w:bCs/>
          <w:sz w:val="44"/>
          <w:szCs w:val="44"/>
        </w:rPr>
      </w:pPr>
      <w:r>
        <w:rPr>
          <w:rFonts w:hint="eastAsia" w:ascii="宋体" w:hAnsi="宋体" w:cs="宋体"/>
          <w:b/>
          <w:bCs/>
          <w:sz w:val="44"/>
          <w:szCs w:val="44"/>
        </w:rPr>
        <w:t>加油站点安全、环保监管项目</w:t>
      </w:r>
    </w:p>
    <w:p>
      <w:pPr>
        <w:tabs>
          <w:tab w:val="left" w:pos="6300"/>
        </w:tabs>
        <w:snapToGrid w:val="0"/>
        <w:spacing w:line="360" w:lineRule="auto"/>
        <w:jc w:val="center"/>
        <w:rPr>
          <w:rFonts w:hAnsi="宋体"/>
          <w:w w:val="80"/>
          <w:sz w:val="84"/>
        </w:rPr>
      </w:pPr>
    </w:p>
    <w:p>
      <w:pPr>
        <w:spacing w:line="360" w:lineRule="auto"/>
        <w:jc w:val="center"/>
        <w:rPr>
          <w:rFonts w:hAnsi="宋体"/>
          <w:b/>
          <w:sz w:val="52"/>
          <w:szCs w:val="52"/>
        </w:rPr>
      </w:pPr>
      <w:r>
        <w:rPr>
          <w:rFonts w:hAnsi="宋体"/>
          <w:b/>
          <w:sz w:val="52"/>
          <w:szCs w:val="52"/>
        </w:rPr>
        <w:t>竞争性磋商文件</w:t>
      </w:r>
    </w:p>
    <w:p>
      <w:pPr>
        <w:snapToGrid w:val="0"/>
        <w:spacing w:line="360" w:lineRule="auto"/>
        <w:jc w:val="center"/>
        <w:rPr>
          <w:rFonts w:hAnsi="宋体"/>
          <w:b/>
          <w:sz w:val="36"/>
        </w:rPr>
      </w:pPr>
      <w:r>
        <w:rPr>
          <w:rFonts w:hint="eastAsia" w:hAnsi="宋体"/>
          <w:b/>
          <w:sz w:val="44"/>
          <w:szCs w:val="44"/>
        </w:rPr>
        <w:t xml:space="preserve"> </w:t>
      </w:r>
    </w:p>
    <w:p>
      <w:pPr>
        <w:snapToGrid w:val="0"/>
        <w:spacing w:line="360" w:lineRule="auto"/>
        <w:jc w:val="center"/>
        <w:rPr>
          <w:rFonts w:hAnsi="宋体"/>
          <w:b/>
          <w:sz w:val="36"/>
        </w:rPr>
      </w:pPr>
    </w:p>
    <w:p>
      <w:pPr>
        <w:snapToGrid w:val="0"/>
        <w:spacing w:line="360" w:lineRule="auto"/>
        <w:rPr>
          <w:rFonts w:hAnsi="宋体"/>
          <w:b/>
          <w:sz w:val="36"/>
        </w:rPr>
      </w:pPr>
    </w:p>
    <w:p>
      <w:pPr>
        <w:snapToGrid w:val="0"/>
        <w:spacing w:line="360" w:lineRule="auto"/>
        <w:jc w:val="center"/>
        <w:rPr>
          <w:rFonts w:hint="eastAsia" w:hAnsi="宋体" w:eastAsia="宋体"/>
          <w:b/>
          <w:sz w:val="36"/>
          <w:lang w:val="en-US" w:eastAsia="zh-CN"/>
        </w:rPr>
      </w:pPr>
    </w:p>
    <w:p>
      <w:pPr>
        <w:snapToGrid w:val="0"/>
        <w:spacing w:line="360" w:lineRule="auto"/>
        <w:jc w:val="center"/>
        <w:rPr>
          <w:rFonts w:hAnsi="宋体"/>
          <w:b/>
          <w:sz w:val="36"/>
        </w:rPr>
      </w:pPr>
    </w:p>
    <w:p>
      <w:pPr>
        <w:pStyle w:val="2"/>
        <w:spacing w:line="360" w:lineRule="auto"/>
        <w:ind w:firstLine="723"/>
        <w:rPr>
          <w:rFonts w:hAnsi="宋体"/>
          <w:b/>
          <w:sz w:val="36"/>
        </w:rPr>
      </w:pPr>
    </w:p>
    <w:p>
      <w:pPr>
        <w:snapToGrid w:val="0"/>
        <w:spacing w:line="360" w:lineRule="auto"/>
        <w:jc w:val="center"/>
        <w:rPr>
          <w:rFonts w:hAnsi="宋体"/>
          <w:b/>
          <w:sz w:val="36"/>
        </w:rPr>
      </w:pP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采购单位：南通市崇川区商务局</w:t>
      </w: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代理机构：上海申邑工程咨询有限公司</w:t>
      </w:r>
    </w:p>
    <w:p>
      <w:pPr>
        <w:adjustRightInd w:val="0"/>
        <w:snapToGrid w:val="0"/>
        <w:spacing w:line="360" w:lineRule="auto"/>
        <w:ind w:firstLine="1500" w:firstLineChars="500"/>
        <w:rPr>
          <w:rFonts w:hAnsi="宋体" w:cs="宋体"/>
          <w:b/>
          <w:sz w:val="30"/>
          <w:szCs w:val="30"/>
        </w:rPr>
      </w:pPr>
      <w:r>
        <w:rPr>
          <w:rFonts w:hint="eastAsia" w:hAnsi="宋体" w:cs="宋体"/>
          <w:b/>
          <w:sz w:val="30"/>
          <w:szCs w:val="30"/>
        </w:rPr>
        <w:t>日    期：二〇二二年</w:t>
      </w:r>
      <w:r>
        <w:rPr>
          <w:rFonts w:hint="eastAsia" w:hAnsi="宋体" w:cs="宋体"/>
          <w:b/>
          <w:sz w:val="30"/>
          <w:szCs w:val="30"/>
          <w:lang w:val="en-US" w:eastAsia="zh-CN"/>
        </w:rPr>
        <w:t>五</w:t>
      </w:r>
      <w:r>
        <w:rPr>
          <w:rFonts w:hint="eastAsia" w:hAnsi="宋体" w:cs="宋体"/>
          <w:b/>
          <w:sz w:val="30"/>
          <w:szCs w:val="30"/>
        </w:rPr>
        <w:t>月</w:t>
      </w:r>
    </w:p>
    <w:p>
      <w:pPr>
        <w:adjustRightInd w:val="0"/>
        <w:snapToGrid w:val="0"/>
        <w:spacing w:line="360" w:lineRule="auto"/>
        <w:ind w:firstLine="1500" w:firstLineChars="500"/>
        <w:jc w:val="center"/>
        <w:rPr>
          <w:rFonts w:hAnsi="宋体"/>
          <w:b/>
          <w:sz w:val="44"/>
          <w:szCs w:val="44"/>
        </w:rPr>
      </w:pPr>
      <w:r>
        <w:rPr>
          <w:rFonts w:hint="eastAsia" w:hAnsi="宋体" w:cs="宋体"/>
          <w:b/>
          <w:sz w:val="30"/>
          <w:szCs w:val="30"/>
        </w:rPr>
        <w:br w:type="page"/>
      </w:r>
      <w:r>
        <w:rPr>
          <w:rFonts w:hint="eastAsia" w:hAnsi="宋体"/>
          <w:b/>
          <w:sz w:val="44"/>
          <w:szCs w:val="44"/>
        </w:rPr>
        <w:t>目  录</w:t>
      </w:r>
    </w:p>
    <w:p>
      <w:pPr>
        <w:pStyle w:val="9"/>
        <w:overflowPunct w:val="0"/>
        <w:spacing w:line="360" w:lineRule="auto"/>
        <w:ind w:firstLine="0"/>
        <w:jc w:val="center"/>
        <w:rPr>
          <w:rFonts w:hAnsi="宋体" w:eastAsia="宋体"/>
          <w:sz w:val="30"/>
        </w:rPr>
      </w:pPr>
    </w:p>
    <w:p>
      <w:pPr>
        <w:pStyle w:val="18"/>
        <w:tabs>
          <w:tab w:val="right" w:leader="dot" w:pos="9528"/>
        </w:tabs>
        <w:spacing w:line="360" w:lineRule="auto"/>
        <w:ind w:firstLine="360" w:firstLineChars="100"/>
        <w:rPr>
          <w:rFonts w:hAnsi="宋体" w:eastAsia="宋体"/>
          <w:sz w:val="32"/>
          <w:szCs w:val="32"/>
        </w:rPr>
      </w:pPr>
      <w:r>
        <w:rPr>
          <w:rFonts w:hAnsi="宋体" w:eastAsia="宋体"/>
          <w:b/>
          <w:bCs/>
          <w:sz w:val="36"/>
          <w:szCs w:val="36"/>
        </w:rPr>
        <w:fldChar w:fldCharType="begin"/>
      </w:r>
      <w:r>
        <w:rPr>
          <w:rFonts w:hAnsi="宋体" w:eastAsia="宋体"/>
          <w:b/>
          <w:bCs/>
          <w:sz w:val="36"/>
          <w:szCs w:val="36"/>
        </w:rPr>
        <w:instrText xml:space="preserve"> TOC \o "1-1" </w:instrText>
      </w:r>
      <w:r>
        <w:rPr>
          <w:rFonts w:hAnsi="宋体" w:eastAsia="宋体"/>
          <w:b/>
          <w:bCs/>
          <w:sz w:val="36"/>
          <w:szCs w:val="36"/>
        </w:rPr>
        <w:fldChar w:fldCharType="separate"/>
      </w:r>
      <w:r>
        <w:rPr>
          <w:rFonts w:hAnsi="宋体" w:eastAsia="宋体"/>
          <w:sz w:val="32"/>
          <w:szCs w:val="32"/>
        </w:rPr>
        <w:t xml:space="preserve">第一章 </w:t>
      </w:r>
      <w:r>
        <w:rPr>
          <w:rFonts w:hint="eastAsia" w:hAnsi="宋体" w:eastAsia="宋体"/>
          <w:sz w:val="32"/>
          <w:szCs w:val="32"/>
        </w:rPr>
        <w:t>竞争性磋商公告</w:t>
      </w:r>
    </w:p>
    <w:p>
      <w:pPr>
        <w:pStyle w:val="18"/>
        <w:tabs>
          <w:tab w:val="right" w:leader="dot" w:pos="9528"/>
        </w:tabs>
        <w:spacing w:line="360" w:lineRule="auto"/>
        <w:ind w:firstLine="320" w:firstLineChars="100"/>
        <w:rPr>
          <w:rFonts w:hAnsi="宋体" w:eastAsia="宋体"/>
          <w:sz w:val="32"/>
          <w:szCs w:val="32"/>
        </w:rPr>
      </w:pPr>
      <w:r>
        <w:rPr>
          <w:rFonts w:hAnsi="宋体" w:eastAsia="宋体"/>
          <w:sz w:val="32"/>
          <w:szCs w:val="32"/>
        </w:rPr>
        <w:t>第二章 磋商</w:t>
      </w:r>
      <w:r>
        <w:rPr>
          <w:rFonts w:hint="eastAsia" w:hAnsi="宋体" w:eastAsia="宋体"/>
          <w:sz w:val="32"/>
          <w:szCs w:val="32"/>
        </w:rPr>
        <w:t>供应商</w:t>
      </w:r>
      <w:r>
        <w:rPr>
          <w:rFonts w:hAnsi="宋体" w:eastAsia="宋体"/>
          <w:sz w:val="32"/>
          <w:szCs w:val="32"/>
        </w:rPr>
        <w:t>须知</w:t>
      </w:r>
    </w:p>
    <w:p>
      <w:pPr>
        <w:pStyle w:val="18"/>
        <w:tabs>
          <w:tab w:val="right" w:leader="dot" w:pos="9528"/>
        </w:tabs>
        <w:spacing w:line="360" w:lineRule="auto"/>
        <w:ind w:firstLine="320" w:firstLineChars="100"/>
        <w:rPr>
          <w:rFonts w:hAnsi="宋体" w:eastAsia="宋体"/>
          <w:sz w:val="32"/>
          <w:szCs w:val="32"/>
        </w:rPr>
      </w:pPr>
      <w:r>
        <w:rPr>
          <w:rFonts w:hAnsi="宋体" w:eastAsia="宋体"/>
          <w:sz w:val="32"/>
          <w:szCs w:val="32"/>
        </w:rPr>
        <w:t>第三章 项目需求</w:t>
      </w:r>
    </w:p>
    <w:p>
      <w:pPr>
        <w:pStyle w:val="18"/>
        <w:tabs>
          <w:tab w:val="right" w:leader="dot" w:pos="9528"/>
        </w:tabs>
        <w:spacing w:line="360" w:lineRule="auto"/>
        <w:ind w:firstLine="320" w:firstLineChars="100"/>
        <w:rPr>
          <w:rFonts w:hAnsi="宋体" w:eastAsia="宋体"/>
          <w:sz w:val="32"/>
          <w:szCs w:val="32"/>
        </w:rPr>
      </w:pPr>
      <w:r>
        <w:rPr>
          <w:rFonts w:hAnsi="宋体" w:eastAsia="宋体"/>
          <w:sz w:val="32"/>
          <w:szCs w:val="32"/>
        </w:rPr>
        <w:t>第</w:t>
      </w:r>
      <w:r>
        <w:rPr>
          <w:rFonts w:hint="eastAsia" w:hAnsi="宋体" w:eastAsia="宋体"/>
          <w:sz w:val="32"/>
          <w:szCs w:val="32"/>
        </w:rPr>
        <w:t>四</w:t>
      </w:r>
      <w:r>
        <w:rPr>
          <w:rFonts w:hAnsi="宋体" w:eastAsia="宋体"/>
          <w:sz w:val="32"/>
          <w:szCs w:val="32"/>
        </w:rPr>
        <w:t xml:space="preserve">章 </w:t>
      </w:r>
      <w:r>
        <w:rPr>
          <w:rFonts w:hint="eastAsia" w:hAnsi="宋体" w:eastAsia="宋体"/>
          <w:sz w:val="32"/>
          <w:szCs w:val="32"/>
        </w:rPr>
        <w:t>评审方法和程序</w:t>
      </w:r>
    </w:p>
    <w:p>
      <w:pPr>
        <w:pStyle w:val="18"/>
        <w:tabs>
          <w:tab w:val="right" w:leader="dot" w:pos="9528"/>
        </w:tabs>
        <w:spacing w:line="360" w:lineRule="auto"/>
        <w:ind w:firstLine="320" w:firstLineChars="100"/>
        <w:rPr>
          <w:rFonts w:hAnsi="宋体" w:eastAsia="宋体"/>
          <w:sz w:val="32"/>
          <w:szCs w:val="32"/>
        </w:rPr>
      </w:pPr>
      <w:r>
        <w:rPr>
          <w:rFonts w:hAnsi="宋体" w:eastAsia="宋体"/>
          <w:sz w:val="32"/>
          <w:szCs w:val="32"/>
        </w:rPr>
        <w:t>第</w:t>
      </w:r>
      <w:r>
        <w:rPr>
          <w:rFonts w:hint="eastAsia" w:hAnsi="宋体" w:eastAsia="宋体"/>
          <w:sz w:val="32"/>
          <w:szCs w:val="32"/>
        </w:rPr>
        <w:t>五</w:t>
      </w:r>
      <w:r>
        <w:rPr>
          <w:rFonts w:hAnsi="宋体" w:eastAsia="宋体"/>
          <w:sz w:val="32"/>
          <w:szCs w:val="32"/>
        </w:rPr>
        <w:t xml:space="preserve">章 </w:t>
      </w:r>
      <w:r>
        <w:rPr>
          <w:rFonts w:hint="eastAsia" w:hAnsi="宋体" w:eastAsia="宋体"/>
          <w:sz w:val="32"/>
          <w:szCs w:val="32"/>
        </w:rPr>
        <w:t>合同授予</w:t>
      </w:r>
    </w:p>
    <w:p>
      <w:pPr>
        <w:spacing w:line="360" w:lineRule="auto"/>
        <w:ind w:firstLine="320" w:firstLineChars="100"/>
        <w:rPr>
          <w:rFonts w:hAnsi="宋体"/>
          <w:sz w:val="32"/>
          <w:szCs w:val="32"/>
        </w:rPr>
      </w:pPr>
      <w:r>
        <w:rPr>
          <w:rFonts w:hAnsi="宋体"/>
          <w:sz w:val="32"/>
          <w:szCs w:val="32"/>
        </w:rPr>
        <w:t>第</w:t>
      </w:r>
      <w:r>
        <w:rPr>
          <w:rFonts w:hint="eastAsia" w:hAnsi="宋体"/>
          <w:sz w:val="32"/>
          <w:szCs w:val="32"/>
        </w:rPr>
        <w:t>六</w:t>
      </w:r>
      <w:r>
        <w:rPr>
          <w:rFonts w:hAnsi="宋体"/>
          <w:sz w:val="32"/>
          <w:szCs w:val="32"/>
        </w:rPr>
        <w:t>章</w:t>
      </w:r>
      <w:r>
        <w:rPr>
          <w:rFonts w:hint="eastAsia" w:hAnsi="宋体"/>
          <w:sz w:val="32"/>
          <w:szCs w:val="32"/>
        </w:rPr>
        <w:t xml:space="preserve"> 质疑提出和处理</w:t>
      </w:r>
    </w:p>
    <w:p>
      <w:pPr>
        <w:spacing w:line="360" w:lineRule="auto"/>
        <w:ind w:firstLine="320" w:firstLineChars="100"/>
        <w:rPr>
          <w:rFonts w:hAnsi="宋体"/>
          <w:sz w:val="36"/>
          <w:szCs w:val="36"/>
        </w:rPr>
      </w:pPr>
      <w:r>
        <w:rPr>
          <w:rFonts w:hAnsi="宋体"/>
          <w:sz w:val="32"/>
          <w:szCs w:val="32"/>
        </w:rPr>
        <w:t>第</w:t>
      </w:r>
      <w:r>
        <w:rPr>
          <w:rFonts w:hint="eastAsia" w:hAnsi="宋体"/>
          <w:sz w:val="32"/>
          <w:szCs w:val="32"/>
        </w:rPr>
        <w:t>七</w:t>
      </w:r>
      <w:r>
        <w:rPr>
          <w:rFonts w:hAnsi="宋体"/>
          <w:sz w:val="32"/>
          <w:szCs w:val="32"/>
        </w:rPr>
        <w:t>章</w:t>
      </w:r>
      <w:r>
        <w:rPr>
          <w:rFonts w:hint="eastAsia" w:hAnsi="宋体"/>
          <w:sz w:val="32"/>
          <w:szCs w:val="32"/>
        </w:rPr>
        <w:t xml:space="preserve"> 响应文件组成及格式</w:t>
      </w:r>
    </w:p>
    <w:p>
      <w:pPr>
        <w:spacing w:line="360" w:lineRule="auto"/>
        <w:rPr>
          <w:rFonts w:hAnsi="宋体"/>
          <w:b/>
          <w:bCs/>
          <w:sz w:val="36"/>
          <w:szCs w:val="36"/>
        </w:rPr>
      </w:pPr>
      <w:r>
        <w:rPr>
          <w:rFonts w:hAnsi="宋体"/>
          <w:b/>
          <w:bCs/>
          <w:sz w:val="36"/>
          <w:szCs w:val="36"/>
        </w:rPr>
        <w:fldChar w:fldCharType="end"/>
      </w:r>
    </w:p>
    <w:p>
      <w:pPr>
        <w:pStyle w:val="2"/>
        <w:ind w:left="0" w:leftChars="0" w:firstLine="0" w:firstLineChars="0"/>
        <w:rPr>
          <w:rFonts w:hAnsi="宋体" w:cs="宋体"/>
          <w:b/>
          <w:sz w:val="24"/>
        </w:rPr>
        <w:sectPr>
          <w:headerReference r:id="rId3" w:type="default"/>
          <w:footerReference r:id="rId5" w:type="default"/>
          <w:headerReference r:id="rId4" w:type="even"/>
          <w:pgSz w:w="11906" w:h="16838"/>
          <w:pgMar w:top="1134" w:right="1191" w:bottom="1134" w:left="1191" w:header="851" w:footer="992" w:gutter="0"/>
          <w:pgNumType w:fmt="decimal" w:start="1"/>
          <w:cols w:space="720" w:num="1"/>
          <w:docGrid w:type="linesAndChars" w:linePitch="312" w:charSpace="0"/>
        </w:sectPr>
      </w:pPr>
    </w:p>
    <w:p>
      <w:pPr>
        <w:pStyle w:val="2"/>
        <w:ind w:left="0" w:leftChars="0" w:firstLine="0" w:firstLineChars="0"/>
        <w:rPr>
          <w:rFonts w:hAnsi="宋体" w:cs="宋体"/>
          <w:b/>
          <w:sz w:val="24"/>
        </w:rPr>
      </w:pPr>
      <w:r>
        <w:rPr>
          <w:rFonts w:hint="eastAsia" w:hAnsi="宋体" w:cs="宋体"/>
          <w:b/>
          <w:sz w:val="24"/>
        </w:rPr>
        <w:t>尊敬的磋商响应供应商：</w:t>
      </w:r>
    </w:p>
    <w:p>
      <w:pPr>
        <w:pStyle w:val="6"/>
        <w:keepNext w:val="0"/>
        <w:keepLines w:val="0"/>
        <w:adjustRightInd w:val="0"/>
        <w:snapToGrid w:val="0"/>
        <w:spacing w:before="0" w:after="0" w:line="240" w:lineRule="auto"/>
        <w:ind w:firstLine="482" w:firstLineChars="200"/>
        <w:jc w:val="left"/>
        <w:textAlignment w:val="baseline"/>
        <w:rPr>
          <w:rFonts w:ascii="宋体" w:hAnsi="宋体" w:eastAsia="宋体"/>
          <w:w w:val="80"/>
          <w:sz w:val="24"/>
          <w:szCs w:val="24"/>
        </w:rPr>
      </w:pPr>
      <w:r>
        <w:rPr>
          <w:rFonts w:hint="eastAsia" w:ascii="宋体" w:hAnsi="宋体" w:eastAsia="宋体" w:cs="宋体"/>
          <w:kern w:val="2"/>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6"/>
        <w:keepNext w:val="0"/>
        <w:keepLines w:val="0"/>
        <w:adjustRightInd w:val="0"/>
        <w:snapToGrid w:val="0"/>
        <w:spacing w:before="0" w:after="0" w:line="240" w:lineRule="auto"/>
        <w:jc w:val="center"/>
        <w:textAlignment w:val="baseline"/>
        <w:rPr>
          <w:rFonts w:ascii="宋体" w:hAnsi="宋体" w:eastAsia="宋体"/>
          <w:w w:val="80"/>
          <w:szCs w:val="44"/>
        </w:rPr>
      </w:pPr>
      <w:r>
        <w:rPr>
          <w:rFonts w:hint="eastAsia" w:ascii="宋体" w:hAnsi="宋体" w:eastAsia="宋体"/>
          <w:w w:val="80"/>
          <w:szCs w:val="44"/>
        </w:rPr>
        <w:t>第一章  竞争性磋商公告</w:t>
      </w:r>
    </w:p>
    <w:p>
      <w:pPr>
        <w:spacing w:line="360" w:lineRule="auto"/>
        <w:ind w:firstLine="480" w:firstLineChars="200"/>
        <w:rPr>
          <w:rFonts w:ascii="宋体" w:hAnsi="宋体" w:cs="宋体"/>
          <w:sz w:val="24"/>
          <w:szCs w:val="24"/>
        </w:rPr>
      </w:pPr>
      <w:r>
        <w:rPr>
          <w:rFonts w:hint="eastAsia" w:ascii="宋体" w:hAnsi="宋体" w:cs="宋体"/>
          <w:sz w:val="24"/>
          <w:szCs w:val="24"/>
          <w:u w:val="single"/>
        </w:rPr>
        <w:t>上海申邑工程咨询有限公司</w:t>
      </w:r>
      <w:r>
        <w:rPr>
          <w:rFonts w:hint="eastAsia" w:ascii="宋体" w:hAnsi="宋体" w:cs="宋体"/>
          <w:sz w:val="24"/>
          <w:szCs w:val="24"/>
        </w:rPr>
        <w:t>（以下称代理机构）受</w:t>
      </w:r>
      <w:r>
        <w:rPr>
          <w:rFonts w:hint="eastAsia" w:ascii="宋体" w:hAnsi="宋体" w:cs="宋体"/>
          <w:sz w:val="24"/>
          <w:szCs w:val="24"/>
          <w:u w:val="single"/>
        </w:rPr>
        <w:t>南通市崇川区商务局（以下称采购人）的委托，就南通市崇川区商务局加油站点安全、环保监管项目</w:t>
      </w:r>
      <w:r>
        <w:rPr>
          <w:rFonts w:hint="eastAsia" w:ascii="宋体" w:hAnsi="宋体" w:cs="宋体"/>
          <w:sz w:val="24"/>
          <w:szCs w:val="24"/>
        </w:rPr>
        <w:t>组织竞争性磋商采购，诚邀符合条件的潜在供应商参加该项目的竞争性磋商。</w:t>
      </w:r>
    </w:p>
    <w:p>
      <w:pPr>
        <w:spacing w:line="360" w:lineRule="auto"/>
        <w:ind w:firstLine="480" w:firstLineChars="200"/>
        <w:rPr>
          <w:rFonts w:ascii="宋体" w:hAnsi="宋体" w:cs="宋体"/>
          <w:sz w:val="24"/>
          <w:szCs w:val="24"/>
        </w:rPr>
      </w:pPr>
      <w:r>
        <w:rPr>
          <w:rFonts w:hint="eastAsia" w:ascii="宋体" w:hAnsi="宋体" w:cs="宋体"/>
          <w:sz w:val="24"/>
          <w:szCs w:val="24"/>
        </w:rPr>
        <w:t>一、项目名称：南通市崇川区商务局加油站点安全、环保监管项目；</w:t>
      </w:r>
    </w:p>
    <w:p>
      <w:pPr>
        <w:spacing w:line="360" w:lineRule="auto"/>
        <w:ind w:firstLine="480" w:firstLineChars="200"/>
        <w:rPr>
          <w:rFonts w:ascii="宋体" w:hAnsi="宋体" w:cs="宋体"/>
          <w:sz w:val="24"/>
          <w:szCs w:val="24"/>
        </w:rPr>
      </w:pPr>
      <w:r>
        <w:rPr>
          <w:rFonts w:hint="eastAsia" w:ascii="宋体" w:hAnsi="宋体" w:cs="宋体"/>
          <w:sz w:val="24"/>
          <w:szCs w:val="24"/>
        </w:rPr>
        <w:t>二、项目编号：CCSWJ202204-01</w:t>
      </w:r>
    </w:p>
    <w:p>
      <w:pPr>
        <w:spacing w:line="360" w:lineRule="auto"/>
        <w:ind w:firstLine="480" w:firstLineChars="200"/>
        <w:rPr>
          <w:rFonts w:ascii="宋体" w:hAnsi="宋体" w:cs="宋体"/>
          <w:sz w:val="24"/>
          <w:szCs w:val="24"/>
        </w:rPr>
      </w:pPr>
      <w:r>
        <w:rPr>
          <w:rFonts w:hint="eastAsia" w:ascii="宋体" w:hAnsi="宋体" w:cs="宋体"/>
          <w:sz w:val="24"/>
          <w:szCs w:val="24"/>
        </w:rPr>
        <w:t>三、项目预算：人民币40万元</w:t>
      </w:r>
    </w:p>
    <w:p>
      <w:pPr>
        <w:spacing w:line="360" w:lineRule="auto"/>
        <w:ind w:firstLine="480" w:firstLineChars="200"/>
        <w:rPr>
          <w:rFonts w:ascii="宋体" w:hAnsi="宋体" w:cs="宋体"/>
          <w:sz w:val="24"/>
          <w:szCs w:val="24"/>
        </w:rPr>
      </w:pPr>
      <w:r>
        <w:rPr>
          <w:rFonts w:hint="eastAsia" w:ascii="宋体" w:hAnsi="宋体" w:cs="宋体"/>
          <w:sz w:val="24"/>
          <w:szCs w:val="24"/>
        </w:rPr>
        <w:t>四、项目需求：详见招标文件第三章</w:t>
      </w:r>
    </w:p>
    <w:p>
      <w:pPr>
        <w:spacing w:line="360" w:lineRule="auto"/>
        <w:ind w:firstLine="480" w:firstLineChars="200"/>
        <w:rPr>
          <w:rFonts w:ascii="宋体" w:hAnsi="宋体" w:cs="宋体"/>
          <w:sz w:val="24"/>
          <w:szCs w:val="24"/>
        </w:rPr>
      </w:pPr>
      <w:r>
        <w:rPr>
          <w:rFonts w:hint="eastAsia" w:ascii="宋体" w:hAnsi="宋体" w:cs="宋体"/>
          <w:sz w:val="24"/>
          <w:szCs w:val="24"/>
        </w:rPr>
        <w:t>五、潜在的供应商资格要求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480" w:firstLineChars="200"/>
        <w:rPr>
          <w:rFonts w:ascii="宋体" w:hAnsi="宋体" w:cs="宋体"/>
          <w:sz w:val="24"/>
          <w:szCs w:val="24"/>
        </w:rPr>
      </w:pPr>
      <w:r>
        <w:rPr>
          <w:rFonts w:hint="eastAsia" w:ascii="宋体" w:hAnsi="宋体" w:cs="宋体"/>
          <w:sz w:val="24"/>
          <w:szCs w:val="24"/>
        </w:rPr>
        <w:t>2、投标供应商必须是有能力按本磋商文件规定的要求提供相关服务的独立法人或其他组织，提供有效的营业执照等证明文件。</w:t>
      </w:r>
    </w:p>
    <w:p>
      <w:pPr>
        <w:spacing w:line="360" w:lineRule="auto"/>
        <w:ind w:firstLine="480" w:firstLineChars="200"/>
        <w:rPr>
          <w:rFonts w:ascii="宋体" w:hAnsi="宋体" w:cs="宋体"/>
          <w:sz w:val="24"/>
          <w:szCs w:val="24"/>
        </w:rPr>
      </w:pPr>
      <w:r>
        <w:rPr>
          <w:rFonts w:hint="eastAsia" w:ascii="宋体" w:hAnsi="宋体" w:cs="宋体"/>
          <w:sz w:val="24"/>
          <w:szCs w:val="24"/>
        </w:rPr>
        <w:t>3、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投标供应商须提供参与本次项目采购活动前三年内，在经营活动中没有重大违法记录的书面《无重大违法记录声明函》（格式参见</w:t>
      </w:r>
      <w:r>
        <w:rPr>
          <w:rFonts w:hint="eastAsia" w:ascii="宋体" w:hAnsi="宋体" w:cs="宋体"/>
          <w:sz w:val="24"/>
          <w:szCs w:val="24"/>
        </w:rPr>
        <w:t>附件</w:t>
      </w:r>
      <w:r>
        <w:rPr>
          <w:rFonts w:hint="eastAsia" w:ascii="宋体" w:hAnsi="宋体" w:cs="宋体"/>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、关于资格文件的声明函（格式参见</w:t>
      </w:r>
      <w:r>
        <w:rPr>
          <w:rFonts w:hint="eastAsia" w:ascii="宋体" w:hAnsi="宋体" w:cs="宋体"/>
          <w:sz w:val="24"/>
          <w:szCs w:val="24"/>
        </w:rPr>
        <w:t>附件</w:t>
      </w:r>
      <w:r>
        <w:rPr>
          <w:rFonts w:hint="eastAsia" w:ascii="宋体" w:hAnsi="宋体" w:cs="宋体"/>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、本项目不接受任何形式的联合体投标。</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7、具体资格要求详见第八章中的“资格审查文件”。 </w:t>
      </w:r>
    </w:p>
    <w:p>
      <w:pPr>
        <w:spacing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具体详见本招标文件《第八章　投标文件组成及格式》中的资格审查文件要求。</w:t>
      </w:r>
    </w:p>
    <w:p>
      <w:pPr>
        <w:spacing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并报财政部门后将其列入政府采购黑名单，视情公布在崇川区人民政府网。</w:t>
      </w:r>
    </w:p>
    <w:p>
      <w:pPr>
        <w:spacing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中标，采购人有权取消其中标资格，并由该投标供应商承担由此带来可能的一切责任和损失。</w:t>
      </w:r>
    </w:p>
    <w:p>
      <w:pPr>
        <w:spacing w:line="360" w:lineRule="auto"/>
        <w:ind w:firstLine="480" w:firstLineChars="200"/>
        <w:rPr>
          <w:rFonts w:ascii="宋体" w:hAnsi="宋体" w:cs="宋体"/>
          <w:sz w:val="24"/>
          <w:szCs w:val="24"/>
        </w:rPr>
      </w:pPr>
      <w:r>
        <w:rPr>
          <w:rFonts w:hint="eastAsia" w:ascii="宋体" w:hAnsi="宋体" w:cs="宋体"/>
          <w:sz w:val="24"/>
          <w:szCs w:val="24"/>
        </w:rPr>
        <w:t>六、磋商文件的获取</w:t>
      </w:r>
    </w:p>
    <w:p>
      <w:pPr>
        <w:spacing w:line="360" w:lineRule="auto"/>
        <w:ind w:firstLine="480" w:firstLineChars="200"/>
        <w:rPr>
          <w:rFonts w:ascii="宋体" w:hAnsi="宋体" w:cs="宋体"/>
          <w:sz w:val="24"/>
          <w:szCs w:val="24"/>
        </w:rPr>
      </w:pPr>
      <w:r>
        <w:rPr>
          <w:rFonts w:hint="eastAsia" w:ascii="宋体" w:hAnsi="宋体" w:cs="宋体"/>
          <w:sz w:val="24"/>
          <w:szCs w:val="24"/>
        </w:rPr>
        <w:t>本项目磋商文件请在南通市崇川区人民政府网（</w:t>
      </w:r>
      <w:r>
        <w:fldChar w:fldCharType="begin"/>
      </w:r>
      <w:r>
        <w:instrText xml:space="preserve"> HYPERLINK "http://222.184.252.155:90/net/index.jsp" </w:instrText>
      </w:r>
      <w:r>
        <w:fldChar w:fldCharType="separate"/>
      </w:r>
      <w:r>
        <w:rPr>
          <w:rFonts w:hint="eastAsia" w:ascii="宋体" w:hAnsi="宋体" w:cs="宋体"/>
          <w:sz w:val="24"/>
          <w:szCs w:val="24"/>
        </w:rPr>
        <w:t>http://www.chongchuan.gov.cn/</w:t>
      </w:r>
      <w:r>
        <w:rPr>
          <w:rFonts w:hint="eastAsia" w:ascii="宋体" w:hAnsi="宋体" w:cs="宋体"/>
          <w:sz w:val="24"/>
          <w:szCs w:val="24"/>
        </w:rPr>
        <w:fldChar w:fldCharType="end"/>
      </w:r>
      <w:r>
        <w:rPr>
          <w:rFonts w:hint="eastAsia" w:ascii="宋体" w:hAnsi="宋体" w:cs="宋体"/>
          <w:sz w:val="24"/>
          <w:szCs w:val="24"/>
        </w:rPr>
        <w:t>）→公示公告栏下载。</w:t>
      </w:r>
    </w:p>
    <w:p>
      <w:pPr>
        <w:spacing w:line="360" w:lineRule="auto"/>
        <w:ind w:firstLine="480" w:firstLineChars="200"/>
        <w:jc w:val="left"/>
        <w:rPr>
          <w:color w:val="auto"/>
          <w:sz w:val="24"/>
        </w:rPr>
      </w:pPr>
      <w:r>
        <w:rPr>
          <w:rFonts w:hint="eastAsia"/>
          <w:color w:val="auto"/>
          <w:sz w:val="24"/>
          <w:lang w:val="en-US" w:eastAsia="zh-CN"/>
        </w:rPr>
        <w:t>七</w:t>
      </w:r>
      <w:r>
        <w:rPr>
          <w:color w:val="auto"/>
          <w:sz w:val="24"/>
        </w:rPr>
        <w:t>、响应文件提交</w:t>
      </w:r>
    </w:p>
    <w:p>
      <w:pPr>
        <w:widowControl/>
        <w:spacing w:line="360" w:lineRule="auto"/>
        <w:ind w:firstLine="480" w:firstLineChars="200"/>
        <w:jc w:val="left"/>
        <w:rPr>
          <w:b/>
          <w:color w:val="auto"/>
          <w:sz w:val="24"/>
          <w:u w:val="single"/>
        </w:rPr>
      </w:pPr>
      <w:r>
        <w:rPr>
          <w:color w:val="auto"/>
          <w:kern w:val="0"/>
          <w:sz w:val="24"/>
        </w:rPr>
        <w:t>1、</w:t>
      </w:r>
      <w:r>
        <w:rPr>
          <w:rFonts w:hint="eastAsia"/>
          <w:color w:val="auto"/>
          <w:kern w:val="0"/>
          <w:sz w:val="24"/>
          <w:lang w:val="en-US" w:eastAsia="zh-CN"/>
        </w:rPr>
        <w:t>磋商响应文件接收</w:t>
      </w:r>
      <w:r>
        <w:rPr>
          <w:color w:val="auto"/>
          <w:kern w:val="0"/>
          <w:sz w:val="24"/>
        </w:rPr>
        <w:t>截止时间：</w:t>
      </w:r>
      <w:r>
        <w:rPr>
          <w:b/>
          <w:color w:val="auto"/>
          <w:kern w:val="0"/>
          <w:sz w:val="24"/>
          <w:u w:val="single"/>
        </w:rPr>
        <w:t xml:space="preserve"> </w:t>
      </w:r>
      <w:r>
        <w:rPr>
          <w:b/>
          <w:color w:val="auto"/>
          <w:sz w:val="24"/>
          <w:u w:val="single"/>
        </w:rPr>
        <w:t>2022年</w:t>
      </w:r>
      <w:r>
        <w:rPr>
          <w:rFonts w:hint="eastAsia"/>
          <w:b/>
          <w:color w:val="auto"/>
          <w:sz w:val="24"/>
          <w:u w:val="single"/>
        </w:rPr>
        <w:t>0</w:t>
      </w:r>
      <w:r>
        <w:rPr>
          <w:rFonts w:hint="eastAsia"/>
          <w:b/>
          <w:color w:val="auto"/>
          <w:sz w:val="24"/>
          <w:u w:val="single"/>
          <w:lang w:val="en-US" w:eastAsia="zh-CN"/>
        </w:rPr>
        <w:t>6</w:t>
      </w:r>
      <w:r>
        <w:rPr>
          <w:b/>
          <w:color w:val="auto"/>
          <w:sz w:val="24"/>
          <w:u w:val="single"/>
        </w:rPr>
        <w:t>月</w:t>
      </w:r>
      <w:r>
        <w:rPr>
          <w:rFonts w:hint="eastAsia"/>
          <w:b/>
          <w:color w:val="auto"/>
          <w:sz w:val="24"/>
          <w:u w:val="single"/>
          <w:lang w:val="en-US" w:eastAsia="zh-CN"/>
        </w:rPr>
        <w:t>07</w:t>
      </w:r>
      <w:r>
        <w:rPr>
          <w:b/>
          <w:color w:val="auto"/>
          <w:sz w:val="24"/>
          <w:u w:val="single"/>
        </w:rPr>
        <w:t>日</w:t>
      </w:r>
      <w:r>
        <w:rPr>
          <w:rFonts w:hint="eastAsia"/>
          <w:b/>
          <w:color w:val="auto"/>
          <w:sz w:val="24"/>
          <w:u w:val="single"/>
          <w:lang w:val="en-US" w:eastAsia="zh-CN"/>
        </w:rPr>
        <w:t>上午</w:t>
      </w:r>
      <w:r>
        <w:rPr>
          <w:rFonts w:hint="eastAsia"/>
          <w:b/>
          <w:color w:val="auto"/>
          <w:sz w:val="24"/>
          <w:u w:val="single"/>
        </w:rPr>
        <w:t>1</w:t>
      </w:r>
      <w:r>
        <w:rPr>
          <w:rFonts w:hint="eastAsia"/>
          <w:b/>
          <w:color w:val="auto"/>
          <w:sz w:val="24"/>
          <w:u w:val="single"/>
          <w:lang w:val="en-US" w:eastAsia="zh-CN"/>
        </w:rPr>
        <w:t>1</w:t>
      </w:r>
      <w:r>
        <w:rPr>
          <w:b/>
          <w:color w:val="auto"/>
          <w:sz w:val="24"/>
          <w:u w:val="single"/>
        </w:rPr>
        <w:t>时</w:t>
      </w:r>
      <w:r>
        <w:rPr>
          <w:rFonts w:hint="eastAsia"/>
          <w:b/>
          <w:color w:val="auto"/>
          <w:sz w:val="24"/>
          <w:u w:val="single"/>
          <w:lang w:val="en-US" w:eastAsia="zh-CN"/>
        </w:rPr>
        <w:t>30分</w:t>
      </w:r>
      <w:r>
        <w:rPr>
          <w:color w:val="auto"/>
          <w:sz w:val="24"/>
        </w:rPr>
        <w:t>；</w:t>
      </w:r>
    </w:p>
    <w:p>
      <w:pPr>
        <w:widowControl/>
        <w:spacing w:line="360" w:lineRule="auto"/>
        <w:ind w:firstLine="480" w:firstLineChars="200"/>
        <w:jc w:val="left"/>
        <w:rPr>
          <w:color w:val="auto"/>
          <w:kern w:val="0"/>
          <w:sz w:val="24"/>
          <w:u w:val="single"/>
        </w:rPr>
      </w:pPr>
      <w:r>
        <w:rPr>
          <w:color w:val="auto"/>
          <w:kern w:val="0"/>
          <w:sz w:val="24"/>
        </w:rPr>
        <w:t>2、地点：</w:t>
      </w:r>
      <w:r>
        <w:rPr>
          <w:rFonts w:hint="eastAsia"/>
          <w:b/>
          <w:color w:val="auto"/>
          <w:sz w:val="24"/>
          <w:u w:val="single"/>
          <w:lang w:eastAsia="zh-CN"/>
        </w:rPr>
        <w:t>南通市崇川区桃坞路2号友谊大厦10楼</w:t>
      </w:r>
      <w:r>
        <w:rPr>
          <w:color w:val="auto"/>
          <w:sz w:val="24"/>
        </w:rPr>
        <w:t>；</w:t>
      </w:r>
    </w:p>
    <w:p>
      <w:pPr>
        <w:spacing w:line="360" w:lineRule="auto"/>
        <w:ind w:firstLine="480" w:firstLineChars="200"/>
        <w:rPr>
          <w:rFonts w:hint="eastAsia" w:ascii="宋体" w:hAnsi="宋体" w:cs="宋体"/>
          <w:color w:val="auto"/>
          <w:sz w:val="24"/>
          <w:szCs w:val="24"/>
        </w:rPr>
      </w:pPr>
      <w:r>
        <w:rPr>
          <w:color w:val="auto"/>
          <w:kern w:val="0"/>
          <w:sz w:val="24"/>
        </w:rPr>
        <w:t>3、逾期送达或者未送达指定地点的响应文件，采购人不予受理。</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lang w:val="en-US" w:eastAsia="zh-CN"/>
        </w:rPr>
        <w:t>注：</w:t>
      </w:r>
      <w:r>
        <w:rPr>
          <w:rFonts w:hint="eastAsia" w:ascii="宋体" w:hAnsi="宋体"/>
          <w:color w:val="auto"/>
          <w:sz w:val="24"/>
          <w:szCs w:val="24"/>
        </w:rPr>
        <w:t>因疫情防控原因，本项目将采用不见面开标形式进行，参与本项目的供应商须将响应文件在开标截止时</w:t>
      </w:r>
      <w:r>
        <w:rPr>
          <w:rFonts w:hint="eastAsia" w:ascii="宋体" w:hAnsi="宋体" w:eastAsia="宋体" w:cs="Times New Roman"/>
          <w:color w:val="auto"/>
          <w:sz w:val="24"/>
          <w:szCs w:val="24"/>
        </w:rPr>
        <w:t>间</w:t>
      </w:r>
      <w:r>
        <w:rPr>
          <w:rFonts w:hint="eastAsia" w:ascii="宋体" w:hAnsi="宋体" w:eastAsia="宋体" w:cs="Times New Roman"/>
          <w:color w:val="auto"/>
          <w:sz w:val="24"/>
          <w:szCs w:val="24"/>
          <w:lang w:eastAsia="zh-CN"/>
        </w:rPr>
        <w:t>（2022年</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月</w:t>
      </w: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日</w:t>
      </w:r>
      <w:r>
        <w:rPr>
          <w:rFonts w:hint="eastAsia" w:ascii="宋体" w:hAnsi="宋体" w:eastAsia="宋体" w:cs="Times New Roman"/>
          <w:color w:val="auto"/>
          <w:sz w:val="24"/>
          <w:szCs w:val="24"/>
          <w:lang w:val="en-US" w:eastAsia="zh-CN"/>
        </w:rPr>
        <w:t>上</w:t>
      </w:r>
      <w:r>
        <w:rPr>
          <w:rFonts w:hint="eastAsia" w:ascii="宋体" w:hAnsi="宋体" w:eastAsia="宋体" w:cs="Times New Roman"/>
          <w:color w:val="auto"/>
          <w:sz w:val="24"/>
          <w:szCs w:val="24"/>
        </w:rPr>
        <w:t>午</w:t>
      </w:r>
      <w:r>
        <w:rPr>
          <w:rFonts w:hint="eastAsia" w:ascii="宋体" w:hAnsi="宋体" w:eastAsia="宋体" w:cs="Times New Roman"/>
          <w:color w:val="auto"/>
          <w:sz w:val="24"/>
          <w:szCs w:val="24"/>
          <w:lang w:val="en-US" w:eastAsia="zh-CN"/>
        </w:rPr>
        <w:t>11</w:t>
      </w:r>
      <w:r>
        <w:rPr>
          <w:rFonts w:hint="eastAsia" w:ascii="宋体" w:hAnsi="宋体" w:eastAsia="宋体" w:cs="Times New Roman"/>
          <w:color w:val="auto"/>
          <w:sz w:val="24"/>
          <w:szCs w:val="24"/>
        </w:rPr>
        <w:t>时30分</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rPr>
        <w:t>前</w:t>
      </w:r>
      <w:r>
        <w:rPr>
          <w:rFonts w:hint="eastAsia" w:ascii="宋体" w:hAnsi="宋体" w:eastAsia="宋体" w:cs="Times New Roman"/>
          <w:color w:val="auto"/>
          <w:sz w:val="24"/>
          <w:szCs w:val="24"/>
          <w:lang w:val="en-US" w:eastAsia="zh-CN"/>
        </w:rPr>
        <w:t>送至或</w:t>
      </w:r>
      <w:r>
        <w:rPr>
          <w:rFonts w:hint="eastAsia" w:ascii="宋体" w:hAnsi="宋体" w:eastAsia="宋体" w:cs="Times New Roman"/>
          <w:color w:val="auto"/>
          <w:sz w:val="24"/>
          <w:szCs w:val="24"/>
        </w:rPr>
        <w:t>寄至代理机构（地址：南通市崇川区桃坞路2号友谊大厦 10楼招标部；收件人：顾工；联系电话：151</w:t>
      </w:r>
      <w:r>
        <w:rPr>
          <w:rFonts w:ascii="宋体" w:hAnsi="宋体" w:cs="宋体"/>
          <w:color w:val="auto"/>
          <w:sz w:val="24"/>
          <w:szCs w:val="24"/>
        </w:rPr>
        <w:t>52885716</w:t>
      </w:r>
      <w:r>
        <w:rPr>
          <w:rFonts w:hint="eastAsia" w:ascii="宋体" w:hAnsi="宋体"/>
          <w:color w:val="auto"/>
          <w:sz w:val="24"/>
          <w:szCs w:val="24"/>
        </w:rPr>
        <w:t>），</w:t>
      </w:r>
      <w:r>
        <w:rPr>
          <w:rFonts w:hint="eastAsia" w:ascii="宋体" w:hAnsi="宋体"/>
          <w:color w:val="auto"/>
          <w:sz w:val="24"/>
          <w:szCs w:val="24"/>
          <w:lang w:val="en-US" w:eastAsia="zh-CN"/>
        </w:rPr>
        <w:t>投标人如采用邮寄方式，应充分考虑快递的时效性和不可预见性，</w:t>
      </w:r>
      <w:r>
        <w:rPr>
          <w:rFonts w:hint="eastAsia" w:ascii="宋体" w:hAnsi="宋体"/>
          <w:color w:val="auto"/>
          <w:sz w:val="24"/>
          <w:szCs w:val="24"/>
        </w:rPr>
        <w:t>逾期</w:t>
      </w:r>
      <w:r>
        <w:rPr>
          <w:rFonts w:hint="eastAsia" w:ascii="宋体" w:hAnsi="宋体"/>
          <w:color w:val="auto"/>
          <w:sz w:val="24"/>
          <w:szCs w:val="24"/>
          <w:lang w:val="en-US" w:eastAsia="zh-CN"/>
        </w:rPr>
        <w:t>的投标文件</w:t>
      </w:r>
      <w:r>
        <w:rPr>
          <w:rFonts w:hint="eastAsia" w:ascii="宋体" w:hAnsi="宋体"/>
          <w:color w:val="auto"/>
          <w:sz w:val="24"/>
          <w:szCs w:val="24"/>
        </w:rPr>
        <w:t>不予接收，响应供应商人员无需到达开标现场。未到达现场参与开标会的响应供应商，均视为认可本项目的开评标过程及成交结果，且事后不质疑。   </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后续如疫情防控有变更，采购单位可根据最新要求以“补充公告”形式发布，请各</w:t>
      </w:r>
      <w:r>
        <w:rPr>
          <w:rFonts w:hint="eastAsia" w:ascii="宋体" w:hAnsi="宋体"/>
          <w:color w:val="auto"/>
          <w:sz w:val="24"/>
          <w:szCs w:val="24"/>
          <w:lang w:val="en-US" w:eastAsia="zh-CN"/>
        </w:rPr>
        <w:t>磋商</w:t>
      </w:r>
      <w:r>
        <w:rPr>
          <w:rFonts w:hint="eastAsia" w:ascii="宋体" w:hAnsi="宋体"/>
          <w:color w:val="auto"/>
          <w:sz w:val="24"/>
          <w:szCs w:val="24"/>
        </w:rPr>
        <w:t>响应供应商及时关注网上信息。</w:t>
      </w:r>
    </w:p>
    <w:p>
      <w:pPr>
        <w:spacing w:line="360" w:lineRule="auto"/>
        <w:ind w:firstLine="480" w:firstLineChars="200"/>
        <w:jc w:val="left"/>
        <w:rPr>
          <w:rFonts w:hint="default" w:eastAsia="宋体"/>
          <w:color w:val="auto"/>
          <w:sz w:val="24"/>
          <w:lang w:val="en-US" w:eastAsia="zh-CN"/>
        </w:rPr>
      </w:pPr>
      <w:r>
        <w:rPr>
          <w:rFonts w:hint="eastAsia"/>
          <w:color w:val="auto"/>
          <w:sz w:val="24"/>
          <w:lang w:val="en-US" w:eastAsia="zh-CN"/>
        </w:rPr>
        <w:t>八</w:t>
      </w:r>
      <w:r>
        <w:rPr>
          <w:color w:val="auto"/>
          <w:sz w:val="24"/>
        </w:rPr>
        <w:t>、</w:t>
      </w:r>
      <w:r>
        <w:rPr>
          <w:rFonts w:hint="eastAsia"/>
          <w:color w:val="auto"/>
          <w:sz w:val="24"/>
          <w:lang w:val="en-US" w:eastAsia="zh-CN"/>
        </w:rPr>
        <w:t>磋商文件</w:t>
      </w:r>
      <w:r>
        <w:rPr>
          <w:color w:val="auto"/>
          <w:sz w:val="24"/>
        </w:rPr>
        <w:t>开启</w:t>
      </w:r>
      <w:r>
        <w:rPr>
          <w:rFonts w:hint="eastAsia"/>
          <w:color w:val="auto"/>
          <w:sz w:val="24"/>
          <w:lang w:val="en-US" w:eastAsia="zh-CN"/>
        </w:rPr>
        <w:t>及评审时间</w:t>
      </w:r>
    </w:p>
    <w:p>
      <w:pPr>
        <w:widowControl/>
        <w:spacing w:line="360" w:lineRule="auto"/>
        <w:ind w:firstLine="480" w:firstLineChars="200"/>
        <w:jc w:val="left"/>
        <w:rPr>
          <w:color w:val="auto"/>
          <w:kern w:val="0"/>
          <w:sz w:val="24"/>
        </w:rPr>
      </w:pPr>
      <w:r>
        <w:rPr>
          <w:rFonts w:hint="eastAsia"/>
          <w:color w:val="auto"/>
          <w:kern w:val="0"/>
          <w:sz w:val="24"/>
          <w:lang w:val="en-US" w:eastAsia="zh-CN"/>
        </w:rPr>
        <w:t>磋商响应文件开启及评审磋商开始</w:t>
      </w:r>
      <w:r>
        <w:rPr>
          <w:color w:val="auto"/>
          <w:kern w:val="0"/>
          <w:sz w:val="24"/>
        </w:rPr>
        <w:t>时间：</w:t>
      </w:r>
      <w:r>
        <w:rPr>
          <w:b/>
          <w:color w:val="auto"/>
          <w:sz w:val="24"/>
          <w:u w:val="single"/>
        </w:rPr>
        <w:t>2022年</w:t>
      </w:r>
      <w:r>
        <w:rPr>
          <w:rFonts w:hint="eastAsia"/>
          <w:b/>
          <w:color w:val="auto"/>
          <w:sz w:val="24"/>
          <w:u w:val="single"/>
        </w:rPr>
        <w:t>0</w:t>
      </w:r>
      <w:r>
        <w:rPr>
          <w:rFonts w:hint="eastAsia"/>
          <w:b/>
          <w:color w:val="auto"/>
          <w:sz w:val="24"/>
          <w:u w:val="single"/>
          <w:lang w:val="en-US" w:eastAsia="zh-CN"/>
        </w:rPr>
        <w:t>6</w:t>
      </w:r>
      <w:r>
        <w:rPr>
          <w:b/>
          <w:color w:val="auto"/>
          <w:sz w:val="24"/>
          <w:u w:val="single"/>
        </w:rPr>
        <w:t>月</w:t>
      </w:r>
      <w:r>
        <w:rPr>
          <w:rFonts w:hint="eastAsia"/>
          <w:b/>
          <w:color w:val="auto"/>
          <w:sz w:val="24"/>
          <w:u w:val="single"/>
          <w:lang w:val="en-US" w:eastAsia="zh-CN"/>
        </w:rPr>
        <w:t xml:space="preserve">07 </w:t>
      </w:r>
      <w:r>
        <w:rPr>
          <w:b/>
          <w:color w:val="auto"/>
          <w:sz w:val="24"/>
          <w:u w:val="single"/>
        </w:rPr>
        <w:t>日</w:t>
      </w:r>
      <w:r>
        <w:rPr>
          <w:rFonts w:hint="eastAsia"/>
          <w:b/>
          <w:color w:val="auto"/>
          <w:sz w:val="24"/>
          <w:u w:val="single"/>
        </w:rPr>
        <w:t>1</w:t>
      </w:r>
      <w:r>
        <w:rPr>
          <w:rFonts w:hint="eastAsia"/>
          <w:b/>
          <w:color w:val="auto"/>
          <w:sz w:val="24"/>
          <w:u w:val="single"/>
          <w:lang w:val="en-US" w:eastAsia="zh-CN"/>
        </w:rPr>
        <w:t>4</w:t>
      </w:r>
      <w:r>
        <w:rPr>
          <w:b/>
          <w:color w:val="auto"/>
          <w:sz w:val="24"/>
          <w:u w:val="single"/>
        </w:rPr>
        <w:t>时</w:t>
      </w:r>
      <w:r>
        <w:rPr>
          <w:rFonts w:hint="eastAsia"/>
          <w:b/>
          <w:color w:val="auto"/>
          <w:sz w:val="24"/>
          <w:u w:val="single"/>
          <w:lang w:val="en-US" w:eastAsia="zh-CN"/>
        </w:rPr>
        <w:t xml:space="preserve">30分 </w:t>
      </w:r>
      <w:r>
        <w:rPr>
          <w:color w:val="auto"/>
          <w:kern w:val="0"/>
          <w:sz w:val="24"/>
        </w:rPr>
        <w:t>；</w:t>
      </w:r>
    </w:p>
    <w:p>
      <w:pPr>
        <w:pStyle w:val="19"/>
        <w:shd w:val="clear" w:color="auto" w:fill="FFFFFF"/>
        <w:spacing w:beforeAutospacing="0" w:afterAutospacing="0" w:line="320" w:lineRule="exact"/>
        <w:ind w:firstLine="480" w:firstLineChars="200"/>
        <w:jc w:val="both"/>
        <w:rPr>
          <w:rFonts w:hint="eastAsia" w:ascii="宋体" w:hAnsi="宋体" w:cs="宋体"/>
          <w:color w:val="auto"/>
          <w:sz w:val="24"/>
          <w:szCs w:val="24"/>
        </w:rPr>
      </w:pPr>
      <w:r>
        <w:rPr>
          <w:rFonts w:hint="eastAsia" w:ascii="Times New Roman" w:hAnsi="Times New Roman" w:cs="Times New Roman"/>
          <w:color w:val="auto"/>
          <w:kern w:val="0"/>
          <w:sz w:val="24"/>
          <w:szCs w:val="24"/>
          <w:lang w:val="en-US" w:eastAsia="zh-CN" w:bidi="ar-SA"/>
        </w:rPr>
        <w:t>开标</w:t>
      </w:r>
      <w:r>
        <w:rPr>
          <w:rFonts w:hint="eastAsia" w:ascii="Times New Roman" w:hAnsi="Times New Roman" w:eastAsia="宋体" w:cs="Times New Roman"/>
          <w:color w:val="auto"/>
          <w:kern w:val="0"/>
          <w:sz w:val="24"/>
          <w:szCs w:val="24"/>
          <w:lang w:val="en-US" w:eastAsia="zh-CN" w:bidi="ar-SA"/>
        </w:rPr>
        <w:t>地点：</w:t>
      </w:r>
      <w:r>
        <w:rPr>
          <w:rFonts w:hint="eastAsia" w:ascii="Times New Roman" w:hAnsi="Times New Roman" w:eastAsia="宋体" w:cs="Times New Roman"/>
          <w:b/>
          <w:color w:val="auto"/>
          <w:kern w:val="2"/>
          <w:sz w:val="24"/>
          <w:szCs w:val="24"/>
          <w:u w:val="single"/>
          <w:lang w:val="en-US" w:eastAsia="zh-CN" w:bidi="ar-SA"/>
        </w:rPr>
        <w:t>投标供应商自行选择任意地点参加远程开标会，无需亲临开标现场 。</w:t>
      </w:r>
    </w:p>
    <w:p>
      <w:pPr>
        <w:spacing w:line="360" w:lineRule="auto"/>
        <w:ind w:firstLine="480" w:firstLineChars="200"/>
        <w:rPr>
          <w:rFonts w:hint="eastAsia"/>
          <w:color w:val="auto"/>
        </w:rPr>
      </w:pPr>
      <w:r>
        <w:rPr>
          <w:rFonts w:hint="eastAsia" w:ascii="宋体" w:hAnsi="宋体" w:cs="宋体"/>
          <w:color w:val="auto"/>
          <w:sz w:val="24"/>
          <w:szCs w:val="24"/>
          <w:lang w:val="en-US" w:eastAsia="zh-CN"/>
        </w:rPr>
        <w:t>评审地点</w:t>
      </w:r>
      <w:r>
        <w:rPr>
          <w:rFonts w:hint="eastAsia" w:ascii="宋体" w:hAnsi="宋体" w:cs="宋体"/>
          <w:color w:val="auto"/>
          <w:sz w:val="24"/>
          <w:szCs w:val="24"/>
        </w:rPr>
        <w:t>：南通市跃龙路38号国际大厦</w:t>
      </w:r>
      <w:r>
        <w:rPr>
          <w:rFonts w:hint="eastAsia" w:ascii="宋体" w:hAnsi="宋体" w:cs="宋体"/>
          <w:color w:val="auto"/>
          <w:sz w:val="24"/>
          <w:szCs w:val="24"/>
          <w:lang w:val="en-US" w:eastAsia="zh-CN"/>
        </w:rPr>
        <w:t>26楼</w:t>
      </w:r>
      <w:r>
        <w:rPr>
          <w:rFonts w:hint="eastAsia" w:ascii="宋体" w:hAnsi="宋体" w:cs="宋体"/>
          <w:color w:val="auto"/>
          <w:sz w:val="24"/>
          <w:szCs w:val="24"/>
        </w:rPr>
        <w:t>会议室，如有变动另行通知。</w:t>
      </w:r>
    </w:p>
    <w:p>
      <w:pPr>
        <w:spacing w:line="420" w:lineRule="exact"/>
        <w:ind w:firstLine="424" w:firstLineChars="177"/>
        <w:rPr>
          <w:rFonts w:ascii="宋体" w:hAnsi="宋体" w:cs="宋体"/>
          <w:color w:val="auto"/>
          <w:sz w:val="24"/>
          <w:szCs w:val="24"/>
        </w:rPr>
      </w:pPr>
      <w:r>
        <w:rPr>
          <w:rFonts w:hint="eastAsia" w:ascii="宋体" w:hAnsi="宋体" w:cs="宋体"/>
          <w:color w:val="auto"/>
          <w:sz w:val="24"/>
          <w:szCs w:val="24"/>
          <w:lang w:val="en-US" w:eastAsia="zh-CN"/>
        </w:rPr>
        <w:t>九</w:t>
      </w:r>
      <w:r>
        <w:rPr>
          <w:rFonts w:hint="eastAsia" w:ascii="宋体" w:hAnsi="宋体" w:cs="宋体"/>
          <w:color w:val="auto"/>
          <w:sz w:val="24"/>
          <w:szCs w:val="24"/>
        </w:rPr>
        <w:t>、联系方式</w:t>
      </w:r>
    </w:p>
    <w:p>
      <w:pPr>
        <w:spacing w:line="420" w:lineRule="exact"/>
        <w:ind w:firstLine="424" w:firstLineChars="177"/>
        <w:rPr>
          <w:rFonts w:ascii="宋体" w:hAnsi="宋体" w:cs="宋体"/>
          <w:sz w:val="24"/>
          <w:szCs w:val="24"/>
        </w:rPr>
      </w:pPr>
      <w:r>
        <w:rPr>
          <w:rFonts w:hint="eastAsia" w:ascii="宋体" w:hAnsi="宋体" w:cs="宋体"/>
          <w:sz w:val="24"/>
          <w:szCs w:val="24"/>
        </w:rPr>
        <w:t>1.采购人</w:t>
      </w:r>
    </w:p>
    <w:p>
      <w:pPr>
        <w:spacing w:line="420" w:lineRule="exact"/>
        <w:ind w:firstLine="424" w:firstLineChars="177"/>
        <w:rPr>
          <w:rFonts w:ascii="宋体" w:hAnsi="宋体" w:cs="宋体"/>
          <w:sz w:val="24"/>
          <w:szCs w:val="24"/>
        </w:rPr>
      </w:pPr>
      <w:r>
        <w:rPr>
          <w:rFonts w:hint="eastAsia" w:ascii="宋体" w:hAnsi="宋体" w:cs="宋体"/>
          <w:sz w:val="24"/>
          <w:szCs w:val="24"/>
        </w:rPr>
        <w:t>单位：南通市崇川区商务局；</w:t>
      </w:r>
    </w:p>
    <w:p>
      <w:pPr>
        <w:spacing w:line="420" w:lineRule="exact"/>
        <w:ind w:firstLine="424" w:firstLineChars="177"/>
        <w:rPr>
          <w:rFonts w:ascii="宋体" w:hAnsi="宋体" w:cs="宋体"/>
          <w:sz w:val="24"/>
          <w:szCs w:val="24"/>
        </w:rPr>
      </w:pPr>
      <w:r>
        <w:rPr>
          <w:rFonts w:hint="eastAsia" w:ascii="宋体" w:hAnsi="宋体" w:cs="宋体"/>
          <w:sz w:val="24"/>
          <w:szCs w:val="24"/>
        </w:rPr>
        <w:t>项目联系人：夏科</w:t>
      </w:r>
      <w:r>
        <w:rPr>
          <w:rFonts w:hint="eastAsia" w:ascii="宋体" w:hAnsi="宋体" w:cs="宋体"/>
          <w:sz w:val="24"/>
          <w:szCs w:val="24"/>
        </w:rPr>
        <w:tab/>
      </w:r>
    </w:p>
    <w:p>
      <w:pPr>
        <w:spacing w:line="420" w:lineRule="exact"/>
        <w:ind w:firstLine="424" w:firstLineChars="177"/>
        <w:rPr>
          <w:rFonts w:ascii="宋体" w:hAnsi="宋体" w:cs="宋体"/>
          <w:sz w:val="24"/>
          <w:szCs w:val="24"/>
        </w:rPr>
      </w:pPr>
      <w:r>
        <w:rPr>
          <w:rFonts w:hint="eastAsia" w:ascii="宋体" w:hAnsi="宋体" w:cs="宋体"/>
          <w:sz w:val="24"/>
          <w:szCs w:val="24"/>
        </w:rPr>
        <w:t>联系电话：18051388900</w:t>
      </w:r>
    </w:p>
    <w:p>
      <w:pPr>
        <w:spacing w:line="420" w:lineRule="exact"/>
        <w:ind w:firstLine="424" w:firstLineChars="177"/>
        <w:rPr>
          <w:rFonts w:ascii="宋体" w:hAnsi="宋体" w:cs="宋体"/>
          <w:sz w:val="24"/>
          <w:szCs w:val="24"/>
        </w:rPr>
      </w:pPr>
      <w:r>
        <w:rPr>
          <w:rFonts w:hint="eastAsia" w:ascii="宋体" w:hAnsi="宋体" w:cs="宋体"/>
          <w:sz w:val="24"/>
          <w:szCs w:val="24"/>
        </w:rPr>
        <w:t>2.采购代理机构</w:t>
      </w:r>
    </w:p>
    <w:p>
      <w:pPr>
        <w:spacing w:line="420" w:lineRule="exact"/>
        <w:ind w:firstLine="424" w:firstLineChars="177"/>
        <w:rPr>
          <w:rFonts w:ascii="宋体" w:hAnsi="宋体" w:cs="宋体"/>
          <w:sz w:val="24"/>
          <w:szCs w:val="24"/>
        </w:rPr>
      </w:pPr>
      <w:r>
        <w:rPr>
          <w:rFonts w:hint="eastAsia" w:ascii="宋体" w:hAnsi="宋体" w:cs="宋体"/>
          <w:sz w:val="24"/>
          <w:szCs w:val="24"/>
        </w:rPr>
        <w:t>单位：上海申邑工程咨询有限公司；</w:t>
      </w:r>
    </w:p>
    <w:p>
      <w:pPr>
        <w:spacing w:line="420" w:lineRule="exact"/>
        <w:ind w:firstLine="424" w:firstLineChars="177"/>
        <w:rPr>
          <w:rFonts w:ascii="宋体" w:hAnsi="宋体" w:cs="宋体"/>
          <w:sz w:val="24"/>
          <w:szCs w:val="24"/>
        </w:rPr>
      </w:pPr>
      <w:r>
        <w:rPr>
          <w:rFonts w:hint="eastAsia" w:ascii="宋体" w:hAnsi="宋体" w:cs="宋体"/>
          <w:sz w:val="24"/>
          <w:szCs w:val="24"/>
        </w:rPr>
        <w:t>地址：南通市桃坞路2号友谊大厦10楼；</w:t>
      </w:r>
    </w:p>
    <w:p>
      <w:pPr>
        <w:spacing w:line="420" w:lineRule="exact"/>
        <w:ind w:firstLine="424" w:firstLineChars="177"/>
        <w:rPr>
          <w:rFonts w:ascii="宋体" w:hAnsi="宋体" w:cs="宋体"/>
          <w:sz w:val="24"/>
          <w:szCs w:val="24"/>
        </w:rPr>
      </w:pPr>
      <w:r>
        <w:rPr>
          <w:rFonts w:hint="eastAsia" w:ascii="宋体" w:hAnsi="宋体" w:cs="宋体"/>
          <w:sz w:val="24"/>
          <w:szCs w:val="24"/>
        </w:rPr>
        <w:t>联系人：顾工；</w:t>
      </w:r>
    </w:p>
    <w:p>
      <w:pPr>
        <w:spacing w:line="420" w:lineRule="exact"/>
        <w:ind w:firstLine="424" w:firstLineChars="177"/>
        <w:rPr>
          <w:rFonts w:ascii="宋体" w:hAnsi="宋体" w:cs="宋体"/>
          <w:sz w:val="24"/>
          <w:szCs w:val="24"/>
        </w:rPr>
      </w:pPr>
      <w:r>
        <w:rPr>
          <w:rFonts w:hint="eastAsia" w:ascii="宋体" w:hAnsi="宋体" w:cs="宋体"/>
          <w:sz w:val="24"/>
          <w:szCs w:val="24"/>
        </w:rPr>
        <w:t>联系电话：0513-89011009、15152885716；</w:t>
      </w:r>
    </w:p>
    <w:p>
      <w:pPr>
        <w:spacing w:line="420" w:lineRule="exact"/>
        <w:ind w:firstLine="424" w:firstLineChars="177"/>
        <w:rPr>
          <w:rFonts w:ascii="宋体" w:hAnsi="宋体" w:cs="宋体"/>
          <w:sz w:val="24"/>
          <w:szCs w:val="24"/>
        </w:rPr>
      </w:pPr>
      <w:r>
        <w:rPr>
          <w:rFonts w:hint="eastAsia" w:ascii="宋体" w:hAnsi="宋体" w:cs="宋体"/>
          <w:sz w:val="24"/>
          <w:szCs w:val="24"/>
        </w:rPr>
        <w:t>传真：0513-85518108；</w:t>
      </w:r>
    </w:p>
    <w:p>
      <w:pPr>
        <w:spacing w:line="420" w:lineRule="exact"/>
        <w:ind w:firstLine="424" w:firstLineChars="177"/>
        <w:rPr>
          <w:rFonts w:ascii="宋体" w:hAnsi="宋体" w:cs="宋体"/>
          <w:sz w:val="24"/>
          <w:szCs w:val="24"/>
        </w:rPr>
      </w:pPr>
      <w:r>
        <w:rPr>
          <w:rFonts w:hint="eastAsia" w:ascii="宋体" w:hAnsi="宋体" w:cs="宋体"/>
          <w:sz w:val="24"/>
          <w:szCs w:val="24"/>
        </w:rPr>
        <w:t>邮箱：sitc.js@vip.163.com。</w:t>
      </w:r>
    </w:p>
    <w:p>
      <w:pPr>
        <w:spacing w:line="420" w:lineRule="exact"/>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南通市崇川区商务局</w:t>
      </w:r>
    </w:p>
    <w:p>
      <w:pPr>
        <w:spacing w:line="360" w:lineRule="auto"/>
        <w:jc w:val="right"/>
        <w:rPr>
          <w:rFonts w:ascii="宋体" w:hAnsi="宋体" w:cs="宋体"/>
          <w:sz w:val="24"/>
          <w:szCs w:val="24"/>
        </w:rPr>
      </w:pPr>
      <w:r>
        <w:rPr>
          <w:rFonts w:hint="eastAsia" w:ascii="宋体" w:hAnsi="宋体" w:cs="宋体"/>
          <w:sz w:val="24"/>
          <w:szCs w:val="24"/>
        </w:rPr>
        <w:t>上海申邑工程咨询有限公司</w:t>
      </w:r>
    </w:p>
    <w:p>
      <w:pPr>
        <w:spacing w:line="360" w:lineRule="auto"/>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 xml:space="preserve"> 日</w:t>
      </w:r>
    </w:p>
    <w:p>
      <w:pPr>
        <w:pStyle w:val="6"/>
        <w:keepNext w:val="0"/>
        <w:keepLines w:val="0"/>
        <w:adjustRightInd w:val="0"/>
        <w:snapToGrid w:val="0"/>
        <w:spacing w:before="0" w:after="0" w:line="360" w:lineRule="auto"/>
        <w:jc w:val="right"/>
        <w:textAlignment w:val="baseline"/>
        <w:rPr>
          <w:rFonts w:ascii="宋体" w:hAnsi="宋体" w:eastAsia="宋体" w:cs="宋体"/>
          <w:b w:val="0"/>
          <w:bCs/>
          <w:sz w:val="24"/>
          <w:szCs w:val="24"/>
        </w:rPr>
      </w:pPr>
    </w:p>
    <w:p>
      <w:pPr>
        <w:pStyle w:val="6"/>
        <w:keepNext w:val="0"/>
        <w:keepLines w:val="0"/>
        <w:adjustRightInd w:val="0"/>
        <w:snapToGrid w:val="0"/>
        <w:spacing w:before="0" w:after="0" w:line="360" w:lineRule="auto"/>
        <w:jc w:val="center"/>
        <w:textAlignment w:val="baseline"/>
        <w:rPr>
          <w:rFonts w:ascii="宋体" w:hAnsi="宋体" w:eastAsia="宋体"/>
          <w:w w:val="80"/>
          <w:szCs w:val="44"/>
        </w:rPr>
      </w:pPr>
      <w:r>
        <w:rPr>
          <w:rFonts w:hint="eastAsia" w:ascii="宋体" w:hAnsi="宋体" w:eastAsia="宋体" w:cs="宋体"/>
          <w:b w:val="0"/>
          <w:bCs/>
          <w:w w:val="80"/>
          <w:sz w:val="24"/>
          <w:szCs w:val="24"/>
        </w:rPr>
        <w:br w:type="page"/>
      </w:r>
      <w:r>
        <w:rPr>
          <w:rFonts w:hint="eastAsia" w:ascii="宋体" w:hAnsi="宋体" w:eastAsia="宋体"/>
          <w:w w:val="80"/>
          <w:szCs w:val="44"/>
        </w:rPr>
        <w:t>第二章  磋商供应商须知</w:t>
      </w:r>
    </w:p>
    <w:p>
      <w:pPr>
        <w:snapToGrid w:val="0"/>
        <w:spacing w:line="480" w:lineRule="exact"/>
        <w:ind w:firstLine="482" w:firstLineChars="200"/>
        <w:outlineLvl w:val="1"/>
        <w:rPr>
          <w:rFonts w:ascii="宋体" w:hAnsi="宋体" w:cs="宋体"/>
          <w:b/>
          <w:bCs/>
          <w:sz w:val="24"/>
          <w:szCs w:val="24"/>
        </w:rPr>
      </w:pPr>
      <w:bookmarkStart w:id="0" w:name="_Toc12670504"/>
      <w:bookmarkEnd w:id="0"/>
      <w:bookmarkStart w:id="1" w:name="_Toc521201598"/>
      <w:bookmarkEnd w:id="1"/>
      <w:bookmarkStart w:id="2" w:name="_Toc94544871"/>
      <w:bookmarkEnd w:id="2"/>
      <w:bookmarkStart w:id="3" w:name="_Toc8895740"/>
      <w:bookmarkEnd w:id="3"/>
      <w:bookmarkStart w:id="4" w:name="_Toc521203419"/>
      <w:bookmarkEnd w:id="4"/>
      <w:bookmarkStart w:id="5" w:name="_Toc11499585"/>
      <w:bookmarkEnd w:id="5"/>
      <w:bookmarkStart w:id="6" w:name="_Toc11799"/>
      <w:bookmarkEnd w:id="6"/>
      <w:bookmarkStart w:id="7" w:name="_Toc22937"/>
      <w:bookmarkEnd w:id="7"/>
      <w:bookmarkStart w:id="8" w:name="_Toc11500281"/>
      <w:bookmarkEnd w:id="8"/>
      <w:bookmarkStart w:id="9" w:name="_Toc11554640"/>
      <w:bookmarkEnd w:id="9"/>
      <w:bookmarkStart w:id="10" w:name="_Toc94585341"/>
      <w:bookmarkEnd w:id="10"/>
      <w:bookmarkStart w:id="11" w:name="_Toc94544745"/>
      <w:bookmarkStart w:id="12" w:name="_Toc432763305"/>
      <w:r>
        <w:rPr>
          <w:rFonts w:hint="eastAsia" w:ascii="宋体" w:hAnsi="宋体" w:cs="宋体"/>
          <w:b/>
          <w:bCs/>
          <w:sz w:val="24"/>
          <w:szCs w:val="24"/>
          <w:lang w:bidi="ar"/>
        </w:rPr>
        <w:t>一、说明</w:t>
      </w:r>
      <w:bookmarkEnd w:id="11"/>
    </w:p>
    <w:p>
      <w:pPr>
        <w:snapToGrid w:val="0"/>
        <w:spacing w:line="480" w:lineRule="exact"/>
        <w:ind w:left="357" w:leftChars="170"/>
        <w:rPr>
          <w:rFonts w:ascii="宋体" w:hAnsi="宋体" w:cs="宋体"/>
          <w:sz w:val="24"/>
          <w:szCs w:val="24"/>
        </w:rPr>
      </w:pPr>
      <w:r>
        <w:rPr>
          <w:rFonts w:hint="eastAsia" w:ascii="宋体" w:hAnsi="宋体" w:cs="宋体"/>
          <w:sz w:val="24"/>
          <w:szCs w:val="24"/>
          <w:lang w:bidi="ar"/>
        </w:rPr>
        <w:t>1、本竞争性磋商文件仅适用于上海申邑工程咨询有限公司组织的竞争性磋商采购活动。</w:t>
      </w:r>
      <w:r>
        <w:rPr>
          <w:rFonts w:hint="eastAsia" w:ascii="宋体" w:hAnsi="宋体" w:cs="宋体"/>
          <w:sz w:val="24"/>
          <w:szCs w:val="24"/>
          <w:lang w:bidi="ar"/>
        </w:rPr>
        <w:br w:type="textWrapping"/>
      </w:r>
      <w:r>
        <w:rPr>
          <w:rFonts w:hint="eastAsia" w:ascii="宋体" w:hAnsi="宋体" w:cs="宋体"/>
          <w:sz w:val="24"/>
          <w:szCs w:val="24"/>
          <w:lang w:bidi="ar"/>
        </w:rPr>
        <w:t>2、竞争性磋商活动及因本次磋商产生的合同受中国法律制约和保护。</w:t>
      </w:r>
      <w:r>
        <w:rPr>
          <w:rFonts w:hint="eastAsia" w:ascii="宋体" w:hAnsi="宋体" w:cs="宋体"/>
          <w:sz w:val="24"/>
          <w:szCs w:val="24"/>
          <w:lang w:bidi="ar"/>
        </w:rPr>
        <w:br w:type="textWrapping"/>
      </w:r>
      <w:r>
        <w:rPr>
          <w:rFonts w:hint="eastAsia" w:ascii="宋体" w:hAnsi="宋体" w:cs="宋体"/>
          <w:sz w:val="24"/>
          <w:szCs w:val="24"/>
          <w:lang w:bidi="ar"/>
        </w:rPr>
        <w:t>3、竞争性磋商文件的解释权属于上海申邑工程咨询有限公司。</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4、投标供应商在知道或应当知道本项目招标公告及招标文件中的所有内容：如内容或页码短缺、资格要求和技术参数出现倾向性或排他性等表述的，</w:t>
      </w:r>
      <w:r>
        <w:rPr>
          <w:rFonts w:hint="eastAsia" w:ascii="宋体" w:hAnsi="宋体" w:cs="宋体"/>
          <w:b/>
          <w:sz w:val="24"/>
          <w:szCs w:val="24"/>
          <w:u w:val="thick" w:color="FF0000"/>
          <w:lang w:bidi="ar"/>
        </w:rPr>
        <w:t>应在本项目招标公告期限及期限届满之日后的7个工作日内提出询问或以书面实名制形式提出质疑；</w:t>
      </w:r>
      <w:r>
        <w:rPr>
          <w:rFonts w:hint="eastAsia" w:ascii="宋体" w:hAnsi="宋体" w:cs="宋体"/>
          <w:sz w:val="24"/>
          <w:szCs w:val="24"/>
          <w:lang w:bidi="ar"/>
        </w:rPr>
        <w:t>未提出询问、质疑或是未在规定期间内提出询问、质疑的，视作供应商接受本项目招标公告及招标文件中的全部内容；投标供应商不得在招标活动期间及招标结束后针对本项目招标公告及招标文件中的所有内容提出质疑、投诉。</w:t>
      </w:r>
      <w:r>
        <w:rPr>
          <w:rFonts w:hint="eastAsia" w:ascii="宋体" w:hAnsi="宋体" w:cs="宋体"/>
          <w:b/>
          <w:bCs/>
          <w:sz w:val="24"/>
          <w:szCs w:val="24"/>
          <w:lang w:bidi="ar"/>
        </w:rPr>
        <w:t>非书面形式的不作为日后质疑提出的依据。</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hAnsi="宋体" w:cs="宋体"/>
          <w:b/>
          <w:bCs/>
          <w:sz w:val="24"/>
          <w:szCs w:val="24"/>
        </w:rPr>
      </w:pPr>
      <w:r>
        <w:rPr>
          <w:rFonts w:hint="eastAsia" w:ascii="宋体" w:hAnsi="宋体" w:cs="宋体"/>
          <w:b/>
          <w:bCs/>
          <w:sz w:val="24"/>
          <w:szCs w:val="24"/>
          <w:lang w:bidi="ar"/>
        </w:rPr>
        <w:t>二、磋商文件的澄清、修改、答疑</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1、代理机构有权对发出的磋商文件进行必要的澄清、修改或补充。</w:t>
      </w:r>
    </w:p>
    <w:p>
      <w:pPr>
        <w:snapToGrid w:val="0"/>
        <w:spacing w:line="480" w:lineRule="exact"/>
        <w:ind w:firstLine="480" w:firstLineChars="200"/>
        <w:jc w:val="left"/>
        <w:rPr>
          <w:rFonts w:ascii="宋体" w:hAnsi="宋体" w:cs="宋体"/>
          <w:sz w:val="24"/>
          <w:szCs w:val="24"/>
        </w:rPr>
      </w:pPr>
      <w:r>
        <w:rPr>
          <w:rFonts w:hint="eastAsia" w:ascii="宋体" w:hAnsi="宋体" w:cs="宋体"/>
          <w:sz w:val="24"/>
          <w:szCs w:val="24"/>
          <w:lang w:bidi="ar"/>
        </w:rPr>
        <w:t>2、磋商文件的澄清、修改、补充等内容均以书面明确的形式发布，并以南通市崇川区人民政府网（http://www.chongchuan.gov.cn/）→公示公告栏发布的信息为准。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3、代理机构对磋商文件的澄清、修改将构成磋商文件的一部分，对响应磋商的供应商具有约束力。</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4、补充说明、澄清或修改的内容可能影响到竞争性磋商响应文件编制的，采购代理机构将在首次提交竞争性磋商响应文件截止日5天前，发布补充说明、澄清或修改公告。不足5日的，应当顺延首次提交竞争性磋商响应文件截止之日。</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6、采购单位视情组织答疑会。如有产生答疑且对磋商文件内容有修改，代理机构将按照本须知有关规定，以补充通知（公告）的方式发出。</w:t>
      </w:r>
    </w:p>
    <w:p>
      <w:pPr>
        <w:pStyle w:val="7"/>
        <w:widowControl/>
        <w:ind w:firstLine="482"/>
        <w:rPr>
          <w:rFonts w:ascii="宋体" w:hAnsi="宋体" w:eastAsia="宋体" w:cs="宋体"/>
          <w:bCs w:val="0"/>
          <w:sz w:val="24"/>
          <w:szCs w:val="24"/>
        </w:rPr>
      </w:pPr>
      <w:bookmarkStart w:id="13" w:name="_Toc17829"/>
      <w:bookmarkEnd w:id="13"/>
      <w:bookmarkStart w:id="14" w:name="_Toc32650"/>
      <w:bookmarkEnd w:id="14"/>
      <w:r>
        <w:rPr>
          <w:rFonts w:hint="eastAsia" w:ascii="宋体" w:hAnsi="宋体" w:eastAsia="宋体" w:cs="宋体"/>
          <w:bCs w:val="0"/>
          <w:sz w:val="24"/>
          <w:szCs w:val="24"/>
        </w:rPr>
        <w:t>三、投标项目涉及到的现场勘察</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招标文件所提供的项目相关数据仅做参考，根据自身需要，投标供应商可在投标文件递交之日前对有关现场和周围环境进行勘察，以获取编制投标文件和签署合同所需的信息。勘察现场所发生的费用由投标供应商自己承担。</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2、采购单位向投标供应商提供的有关现场的资料和数据，是采购单位现有的并认为能使投标供应商可利用的资料。采购人对投标供应商由此而做出的推论、理解和结论概不负责。</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3、经采购人允许，投标供应商可为勘察目的进入采购人的项目现场，但投标供应商不得因此使采购人承担有关的责任和蒙受损失。投标供应商应承担勘察现场的责任和风险。</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4、投标供应商应认真踏勘现场。在现场勘察时，熟悉园区现有工业企业布局及产业布局规划，以获得一切可能影响其投标的直接资料。投标供应商中标后，不得以不完全了解现场情况为理由而向采购人提出任何索赔的要求，对此采购人不承担任何责任并将不作任何答复与考虑。</w:t>
      </w:r>
    </w:p>
    <w:p>
      <w:pPr>
        <w:snapToGrid w:val="0"/>
        <w:spacing w:line="480" w:lineRule="exact"/>
        <w:ind w:firstLine="482" w:firstLineChars="200"/>
        <w:rPr>
          <w:rFonts w:ascii="宋体" w:hAnsi="宋体" w:cs="宋体"/>
          <w:b/>
          <w:sz w:val="24"/>
          <w:szCs w:val="24"/>
        </w:rPr>
      </w:pPr>
      <w:bookmarkStart w:id="15" w:name="_Toc6849"/>
      <w:bookmarkEnd w:id="15"/>
      <w:bookmarkStart w:id="16" w:name="_Toc27767"/>
      <w:r>
        <w:rPr>
          <w:rFonts w:hint="eastAsia" w:ascii="宋体" w:hAnsi="宋体" w:cs="宋体"/>
          <w:b/>
          <w:sz w:val="24"/>
          <w:szCs w:val="24"/>
          <w:lang w:bidi="ar"/>
        </w:rPr>
        <w:t>四、响应文件的编制及装订</w:t>
      </w:r>
      <w:bookmarkEnd w:id="16"/>
    </w:p>
    <w:p>
      <w:pPr>
        <w:snapToGrid w:val="0"/>
        <w:spacing w:line="480" w:lineRule="exact"/>
        <w:ind w:firstLine="480" w:firstLineChars="200"/>
        <w:rPr>
          <w:rFonts w:ascii="宋体" w:hAnsi="宋体" w:cs="宋体"/>
          <w:sz w:val="24"/>
          <w:szCs w:val="24"/>
        </w:rPr>
      </w:pPr>
      <w:r>
        <w:rPr>
          <w:rFonts w:hint="eastAsia" w:ascii="宋体" w:hAnsi="宋体" w:cs="宋体"/>
          <w:sz w:val="24"/>
          <w:szCs w:val="24"/>
          <w:lang w:bidi="ar"/>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lang w:bidi="ar"/>
        </w:rPr>
        <w:t>五、响应文件的份数和签署</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1、响应文件由：①资格审查文件、②技术响应文件、③商务报价响应文件，共3部分组成（以下由文件序号代称）。</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lang w:bidi="ar"/>
        </w:rPr>
        <w:t>2、响应文件均为一式叁份，其中“正本”壹份和“副本”贰份。</w:t>
      </w:r>
    </w:p>
    <w:p>
      <w:pPr>
        <w:snapToGrid w:val="0"/>
        <w:spacing w:line="360" w:lineRule="auto"/>
        <w:ind w:firstLine="470" w:firstLineChars="196"/>
        <w:rPr>
          <w:rFonts w:ascii="宋体" w:hAnsi="宋体" w:cs="宋体"/>
          <w:sz w:val="24"/>
          <w:szCs w:val="24"/>
        </w:rPr>
      </w:pPr>
      <w:r>
        <w:rPr>
          <w:rFonts w:hint="eastAsia" w:ascii="宋体" w:hAnsi="宋体" w:cs="宋体"/>
          <w:sz w:val="24"/>
          <w:szCs w:val="24"/>
          <w:lang w:bidi="ar"/>
        </w:rPr>
        <w:t>3、在每份响应文件上要明确标注项目名称、项目编号、对应的响应文件名称、供应商的全称、日期、“正本”、“副本”字样。“正本”和“副本”若有差异，概以“正本”为准。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hAnsi="宋体" w:cs="宋体"/>
          <w:sz w:val="24"/>
          <w:szCs w:val="24"/>
        </w:rPr>
      </w:pPr>
      <w:r>
        <w:rPr>
          <w:rFonts w:hint="eastAsia" w:ascii="宋体" w:hAnsi="宋体" w:cs="宋体"/>
          <w:sz w:val="24"/>
          <w:szCs w:val="24"/>
          <w:lang w:bidi="ar"/>
        </w:rPr>
        <w:t>4、供应商可将响应文件正副本统一密封或分别密封，如正本和副本分别密封的，应在封袋上标明正、副本字样。</w:t>
      </w:r>
    </w:p>
    <w:p>
      <w:pPr>
        <w:snapToGrid w:val="0"/>
        <w:spacing w:line="360" w:lineRule="auto"/>
        <w:ind w:firstLine="470" w:firstLineChars="196"/>
        <w:rPr>
          <w:rFonts w:ascii="宋体" w:hAnsi="宋体" w:cs="宋体"/>
          <w:sz w:val="24"/>
          <w:szCs w:val="24"/>
        </w:rPr>
      </w:pPr>
      <w:r>
        <w:rPr>
          <w:rFonts w:hint="eastAsia" w:ascii="宋体" w:hAnsi="宋体" w:cs="宋体"/>
          <w:sz w:val="24"/>
          <w:szCs w:val="24"/>
          <w:lang w:bidi="ar"/>
        </w:rPr>
        <w:t>5、响应文件中的所有“正本”，其正文内容须按磋商文件要求由供应商法定代表人或被授权人签字（或盖章）并加盖单位公章。“副本”可复印，但须加盖单位公章。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hAnsi="宋体" w:cs="宋体"/>
          <w:b/>
          <w:bCs/>
          <w:sz w:val="24"/>
          <w:szCs w:val="24"/>
        </w:rPr>
      </w:pPr>
      <w:r>
        <w:rPr>
          <w:rFonts w:hint="eastAsia" w:ascii="宋体" w:hAnsi="宋体" w:cs="宋体"/>
          <w:b/>
          <w:bCs/>
          <w:sz w:val="24"/>
          <w:szCs w:val="24"/>
          <w:lang w:bidi="ar"/>
        </w:rPr>
        <w:t>六、响应文件的密封及标记</w:t>
      </w:r>
    </w:p>
    <w:p>
      <w:pPr>
        <w:snapToGrid w:val="0"/>
        <w:spacing w:line="360" w:lineRule="auto"/>
        <w:ind w:firstLine="480" w:firstLineChars="200"/>
        <w:rPr>
          <w:rFonts w:ascii="宋体" w:hAnsi="宋体" w:cs="宋体"/>
          <w:sz w:val="24"/>
          <w:szCs w:val="24"/>
          <w:u w:val="single"/>
        </w:rPr>
      </w:pPr>
      <w:r>
        <w:rPr>
          <w:rFonts w:hint="eastAsia" w:ascii="宋体" w:hAnsi="宋体" w:cs="宋体"/>
          <w:sz w:val="24"/>
          <w:szCs w:val="24"/>
          <w:lang w:bidi="ar"/>
        </w:rPr>
        <w:t>1、供应商须将本项目响应文件：①、②、③</w:t>
      </w:r>
      <w:r>
        <w:rPr>
          <w:rFonts w:hint="eastAsia" w:ascii="宋体" w:hAnsi="宋体" w:cs="宋体"/>
          <w:b/>
          <w:bCs/>
          <w:sz w:val="24"/>
          <w:szCs w:val="24"/>
          <w:lang w:bidi="ar"/>
        </w:rPr>
        <w:t>单独密封</w:t>
      </w:r>
      <w:r>
        <w:rPr>
          <w:rFonts w:hint="eastAsia" w:ascii="宋体" w:hAnsi="宋体" w:cs="宋体"/>
          <w:sz w:val="24"/>
          <w:szCs w:val="24"/>
          <w:lang w:bidi="ar"/>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2、密封后，应在每一密封的响应文件上明确标注磋商项目名称、项目编号、响应文件各自对应的名称、供应商的全称及日期。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3、在边缝处加盖供应商公章或骑缝签字。</w:t>
      </w:r>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lang w:bidi="ar"/>
        </w:rPr>
        <w:t>【特别提醒】</w:t>
      </w:r>
      <w:r>
        <w:rPr>
          <w:rFonts w:hint="eastAsia" w:ascii="宋体" w:hAnsi="宋体" w:cs="宋体"/>
          <w:sz w:val="24"/>
          <w:szCs w:val="24"/>
          <w:lang w:bidi="ar"/>
        </w:rPr>
        <w:t>响应文件中的①和②的“正本”或“副本”中，均不得含有商务报价响应文件中报价表（报价单）内的任何项目价格，否则作无效投标处理。</w:t>
      </w:r>
    </w:p>
    <w:p>
      <w:pPr>
        <w:pStyle w:val="7"/>
        <w:widowControl/>
        <w:ind w:firstLine="482"/>
        <w:rPr>
          <w:rFonts w:ascii="宋体" w:hAnsi="宋体" w:eastAsia="宋体" w:cs="宋体"/>
          <w:bCs w:val="0"/>
          <w:sz w:val="24"/>
          <w:szCs w:val="24"/>
        </w:rPr>
      </w:pPr>
      <w:bookmarkStart w:id="17" w:name="_Toc5219"/>
      <w:bookmarkEnd w:id="17"/>
      <w:bookmarkStart w:id="18" w:name="_Toc13979"/>
      <w:bookmarkEnd w:id="18"/>
      <w:r>
        <w:rPr>
          <w:rFonts w:hint="eastAsia" w:ascii="宋体" w:hAnsi="宋体" w:eastAsia="宋体" w:cs="宋体"/>
          <w:bCs w:val="0"/>
          <w:sz w:val="24"/>
          <w:szCs w:val="24"/>
        </w:rPr>
        <w:t>七、投标报价</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1、本项目不接受任何有选择的报价。</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2、磋商报价均以人民币为报价的币种。</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3、磋商报价表必须加盖单位公章且必须经法定代表人或被授权人签字或盖章。报价表中的大写金额与小写金额、总价金额与按单价汇总金额，若有差异，将执行财政部公布第87号令《政府采购货物和服务招标投标管理办法》第59条的规定。</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4、磋商结束后，供应商就所投项目的所有内容进行最后报价。最后报价应包含：包括但不限于人员费用（工资、福利、培训、社会保险等）、专用设备及其备品、备件、易耗品耗材、通讯和专用工具费用、税费、运输、保险、检测验收、技术评审、售后服务及管理费用、利润、税金、政策性文件规定及合同包含的所有风险、责任等各项应有费用。</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5、最低的磋商报价是成交的重要条件，但不是成交的唯一条件。</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6、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pStyle w:val="7"/>
        <w:widowControl/>
        <w:ind w:firstLine="482"/>
        <w:rPr>
          <w:rFonts w:ascii="宋体" w:hAnsi="宋体" w:eastAsia="宋体" w:cs="宋体"/>
          <w:bCs w:val="0"/>
          <w:kern w:val="0"/>
          <w:sz w:val="24"/>
          <w:szCs w:val="24"/>
        </w:rPr>
      </w:pPr>
      <w:bookmarkStart w:id="19" w:name="_Toc21563"/>
      <w:bookmarkEnd w:id="19"/>
      <w:bookmarkStart w:id="20" w:name="_Toc1673"/>
      <w:r>
        <w:rPr>
          <w:rFonts w:hint="eastAsia" w:ascii="宋体" w:hAnsi="宋体" w:eastAsia="宋体" w:cs="宋体"/>
          <w:bCs w:val="0"/>
          <w:kern w:val="0"/>
          <w:sz w:val="24"/>
          <w:szCs w:val="24"/>
        </w:rPr>
        <w:t>八、联合体参与磋商</w:t>
      </w:r>
      <w:bookmarkEnd w:id="20"/>
    </w:p>
    <w:p>
      <w:pPr>
        <w:spacing w:line="360" w:lineRule="auto"/>
        <w:ind w:firstLine="480" w:firstLineChars="200"/>
        <w:rPr>
          <w:rFonts w:ascii="宋体" w:hAnsi="宋体" w:cs="宋体"/>
          <w:sz w:val="24"/>
          <w:szCs w:val="24"/>
        </w:rPr>
      </w:pPr>
      <w:bookmarkStart w:id="21" w:name="_Toc31050"/>
      <w:bookmarkEnd w:id="21"/>
      <w:r>
        <w:rPr>
          <w:rFonts w:hint="eastAsia" w:ascii="宋体" w:hAnsi="宋体" w:cs="宋体"/>
          <w:sz w:val="24"/>
          <w:szCs w:val="24"/>
          <w:lang w:bidi="ar"/>
        </w:rPr>
        <w:t>不接受任何形式的联合体参与本项目的竞争性磋商。</w:t>
      </w:r>
    </w:p>
    <w:p>
      <w:pPr>
        <w:pStyle w:val="7"/>
        <w:widowControl/>
        <w:ind w:firstLine="482"/>
        <w:rPr>
          <w:rFonts w:ascii="宋体" w:hAnsi="宋体" w:eastAsia="宋体" w:cs="宋体"/>
          <w:bCs w:val="0"/>
          <w:kern w:val="0"/>
          <w:sz w:val="24"/>
          <w:szCs w:val="24"/>
        </w:rPr>
      </w:pPr>
      <w:bookmarkStart w:id="22" w:name="_Toc28631"/>
      <w:bookmarkEnd w:id="22"/>
      <w:bookmarkStart w:id="23" w:name="_Toc24869"/>
      <w:r>
        <w:rPr>
          <w:rFonts w:hint="eastAsia" w:ascii="宋体" w:hAnsi="宋体" w:eastAsia="宋体" w:cs="宋体"/>
          <w:bCs w:val="0"/>
          <w:kern w:val="0"/>
          <w:sz w:val="24"/>
          <w:szCs w:val="24"/>
        </w:rPr>
        <w:t>九、响应文件及磋商费用</w:t>
      </w:r>
      <w:bookmarkEnd w:id="23"/>
    </w:p>
    <w:p>
      <w:pPr>
        <w:spacing w:line="360" w:lineRule="auto"/>
        <w:ind w:firstLine="480" w:firstLineChars="200"/>
        <w:rPr>
          <w:rFonts w:ascii="宋体" w:hAnsi="宋体" w:cs="宋体"/>
          <w:sz w:val="24"/>
          <w:szCs w:val="24"/>
        </w:rPr>
      </w:pPr>
      <w:r>
        <w:rPr>
          <w:rFonts w:hint="eastAsia" w:ascii="宋体" w:hAnsi="宋体" w:cs="宋体"/>
          <w:sz w:val="24"/>
          <w:szCs w:val="24"/>
          <w:lang w:bidi="ar"/>
        </w:rPr>
        <w:t>1、磋商程序顺利进行后，除供应商的原件可退回外，其余所有的响应文件都将作为档案保存，不论成交与否，代理机构均不退回（未拆封的除外）。</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2、无论磋商过程和结果如何，参加项目磋商的供应商自行承担与本次项目磋商有关的全部费用。</w:t>
      </w:r>
    </w:p>
    <w:p>
      <w:pPr>
        <w:pStyle w:val="19"/>
        <w:spacing w:before="0" w:after="156" w:afterAutospacing="0" w:line="360" w:lineRule="auto"/>
        <w:ind w:firstLine="480" w:firstLineChars="200"/>
        <w:jc w:val="both"/>
        <w:rPr>
          <w:kern w:val="2"/>
          <w:szCs w:val="24"/>
        </w:rPr>
      </w:pPr>
      <w:r>
        <w:rPr>
          <w:rFonts w:hint="eastAsia" w:ascii="宋体" w:hAnsi="宋体" w:cs="宋体"/>
          <w:kern w:val="2"/>
          <w:szCs w:val="24"/>
          <w:lang w:bidi="ar"/>
        </w:rPr>
        <w:t>磋商文件</w:t>
      </w:r>
      <w:r>
        <w:rPr>
          <w:kern w:val="2"/>
          <w:szCs w:val="24"/>
          <w:lang w:bidi="ar"/>
        </w:rPr>
        <w:t>300.00</w:t>
      </w:r>
      <w:r>
        <w:rPr>
          <w:rFonts w:hint="eastAsia" w:ascii="宋体" w:hAnsi="宋体" w:cs="宋体"/>
          <w:kern w:val="2"/>
          <w:szCs w:val="24"/>
          <w:lang w:bidi="ar"/>
        </w:rPr>
        <w:t>元</w:t>
      </w:r>
      <w:r>
        <w:rPr>
          <w:kern w:val="2"/>
          <w:szCs w:val="24"/>
          <w:lang w:bidi="ar"/>
        </w:rPr>
        <w:t>/</w:t>
      </w:r>
      <w:r>
        <w:rPr>
          <w:rFonts w:hint="eastAsia" w:ascii="宋体" w:hAnsi="宋体" w:cs="宋体"/>
          <w:kern w:val="2"/>
          <w:szCs w:val="24"/>
          <w:lang w:bidi="ar"/>
        </w:rPr>
        <w:t>份，该磋商文件费用无论是否成交均不予退回。</w:t>
      </w:r>
    </w:p>
    <w:p>
      <w:pPr>
        <w:snapToGrid w:val="0"/>
        <w:spacing w:line="360" w:lineRule="auto"/>
        <w:ind w:firstLine="482" w:firstLineChars="200"/>
        <w:outlineLvl w:val="1"/>
        <w:rPr>
          <w:rFonts w:hAnsi="宋体" w:cs="宋体"/>
          <w:b/>
          <w:bCs/>
          <w:sz w:val="24"/>
          <w:szCs w:val="24"/>
        </w:rPr>
      </w:pPr>
      <w:bookmarkStart w:id="24" w:name="_Toc29506"/>
      <w:bookmarkEnd w:id="24"/>
      <w:bookmarkStart w:id="25" w:name="_Toc31857"/>
      <w:r>
        <w:rPr>
          <w:rFonts w:hint="eastAsia" w:ascii="宋体" w:hAnsi="宋体" w:cs="宋体"/>
          <w:b/>
          <w:bCs/>
          <w:sz w:val="24"/>
          <w:szCs w:val="24"/>
          <w:lang w:bidi="ar"/>
        </w:rPr>
        <w:t>十、磋商响应文件的有效期</w:t>
      </w:r>
      <w:bookmarkEnd w:id="25"/>
    </w:p>
    <w:p>
      <w:pPr>
        <w:snapToGrid w:val="0"/>
        <w:spacing w:line="360" w:lineRule="auto"/>
        <w:ind w:firstLine="460" w:firstLineChars="192"/>
        <w:rPr>
          <w:rFonts w:hAnsi="宋体" w:cs="宋体"/>
          <w:sz w:val="24"/>
          <w:szCs w:val="24"/>
        </w:rPr>
      </w:pPr>
      <w:r>
        <w:rPr>
          <w:sz w:val="24"/>
          <w:szCs w:val="24"/>
          <w:lang w:bidi="ar"/>
        </w:rPr>
        <w:t>1</w:t>
      </w:r>
      <w:r>
        <w:rPr>
          <w:rFonts w:hint="eastAsia" w:ascii="宋体" w:hAnsi="宋体" w:cs="宋体"/>
          <w:sz w:val="24"/>
          <w:szCs w:val="24"/>
          <w:lang w:bidi="ar"/>
        </w:rPr>
        <w:t>.从磋商响应文件接收截止之日算起，</w:t>
      </w:r>
      <w:r>
        <w:rPr>
          <w:sz w:val="24"/>
          <w:szCs w:val="24"/>
          <w:lang w:bidi="ar"/>
        </w:rPr>
        <w:t>45</w:t>
      </w:r>
      <w:r>
        <w:rPr>
          <w:rFonts w:hint="eastAsia" w:ascii="宋体" w:hAnsi="宋体" w:cs="宋体"/>
          <w:sz w:val="24"/>
          <w:szCs w:val="24"/>
          <w:lang w:bidi="ar"/>
        </w:rPr>
        <w:t>个“日历天”内响应文件应保持有效。有效期短于这个规定期限的磋商，将被拒绝。</w:t>
      </w:r>
    </w:p>
    <w:p>
      <w:pPr>
        <w:snapToGrid w:val="0"/>
        <w:spacing w:line="360" w:lineRule="auto"/>
        <w:ind w:firstLine="460" w:firstLineChars="192"/>
        <w:rPr>
          <w:rFonts w:hAnsi="宋体" w:cs="宋体"/>
          <w:sz w:val="24"/>
          <w:szCs w:val="24"/>
        </w:rPr>
      </w:pPr>
      <w:r>
        <w:rPr>
          <w:sz w:val="24"/>
          <w:szCs w:val="24"/>
          <w:lang w:bidi="ar"/>
        </w:rPr>
        <w:t>2</w:t>
      </w:r>
      <w:r>
        <w:rPr>
          <w:rFonts w:hint="eastAsia" w:ascii="宋体" w:hAnsi="宋体" w:cs="宋体"/>
          <w:sz w:val="24"/>
          <w:szCs w:val="24"/>
          <w:lang w:bidi="ar"/>
        </w:rPr>
        <w:t>.在特殊情况下，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napToGrid w:val="0"/>
        <w:spacing w:line="360" w:lineRule="auto"/>
        <w:ind w:firstLine="482" w:firstLineChars="200"/>
        <w:outlineLvl w:val="1"/>
        <w:rPr>
          <w:rFonts w:eastAsia="仿宋_GB2312"/>
          <w:b/>
          <w:sz w:val="24"/>
          <w:szCs w:val="24"/>
        </w:rPr>
      </w:pPr>
      <w:r>
        <w:rPr>
          <w:rFonts w:hint="eastAsia" w:ascii="宋体" w:hAnsi="宋体" w:cs="宋体"/>
          <w:b/>
          <w:sz w:val="24"/>
          <w:szCs w:val="24"/>
          <w:lang w:bidi="ar"/>
        </w:rPr>
        <w:t>十一、代理服务费</w:t>
      </w:r>
    </w:p>
    <w:p>
      <w:pPr>
        <w:snapToGrid w:val="0"/>
        <w:spacing w:line="360" w:lineRule="auto"/>
        <w:ind w:firstLine="494" w:firstLineChars="206"/>
        <w:rPr>
          <w:rFonts w:ascii="宋体" w:hAnsi="宋体" w:cs="宋体"/>
          <w:bCs/>
          <w:sz w:val="24"/>
          <w:szCs w:val="24"/>
        </w:rPr>
      </w:pPr>
      <w:r>
        <w:rPr>
          <w:sz w:val="24"/>
          <w:szCs w:val="24"/>
          <w:lang w:bidi="ar"/>
        </w:rPr>
        <w:t>1.</w:t>
      </w:r>
      <w:r>
        <w:rPr>
          <w:rFonts w:hint="eastAsia" w:ascii="宋体" w:hAnsi="宋体" w:cs="宋体"/>
          <w:bCs/>
          <w:sz w:val="24"/>
          <w:szCs w:val="24"/>
          <w:lang w:bidi="ar"/>
        </w:rPr>
        <w:t>本项目招标代理费及评审费由成交供应商承担，请参加磋商的投标供应商在成本中自行考虑。</w:t>
      </w:r>
    </w:p>
    <w:p>
      <w:pPr>
        <w:snapToGrid w:val="0"/>
        <w:spacing w:line="360" w:lineRule="auto"/>
        <w:ind w:firstLine="494" w:firstLineChars="206"/>
        <w:rPr>
          <w:rFonts w:ascii="宋体" w:hAnsi="宋体" w:cs="宋体"/>
          <w:bCs/>
          <w:sz w:val="24"/>
          <w:szCs w:val="24"/>
        </w:rPr>
      </w:pPr>
      <w:r>
        <w:rPr>
          <w:rFonts w:hint="eastAsia" w:ascii="宋体" w:hAnsi="宋体" w:cs="宋体"/>
          <w:bCs/>
          <w:sz w:val="24"/>
          <w:szCs w:val="24"/>
          <w:lang w:bidi="ar"/>
        </w:rPr>
        <w:t>代理费收取标准以最终中标（成交）价为基数。代理服务费不足¥3000.00元的，以¥3000.00元计收。</w:t>
      </w:r>
      <w:r>
        <w:rPr>
          <w:rFonts w:hint="eastAsia" w:ascii="宋体" w:hAnsi="宋体" w:cs="宋体"/>
          <w:sz w:val="24"/>
          <w:szCs w:val="24"/>
          <w:lang w:bidi="ar"/>
        </w:rPr>
        <w:t>评审费按实际发生结算。</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lang w:bidi="ar"/>
        </w:rPr>
        <w:t>政府采购代理费率标准：</w:t>
      </w:r>
    </w:p>
    <w:tbl>
      <w:tblPr>
        <w:tblStyle w:val="21"/>
        <w:tblW w:w="5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34" w:firstLineChars="14"/>
              <w:jc w:val="center"/>
              <w:rPr>
                <w:rFonts w:ascii="宋体" w:hAnsi="宋体" w:cs="仿宋"/>
                <w:b/>
                <w:bCs/>
                <w:sz w:val="24"/>
                <w:szCs w:val="24"/>
              </w:rPr>
            </w:pPr>
            <w:r>
              <w:rPr>
                <w:rFonts w:hint="eastAsia" w:ascii="宋体" w:hAnsi="宋体" w:cs="宋体"/>
                <w:b/>
                <w:bCs/>
                <w:sz w:val="24"/>
                <w:szCs w:val="24"/>
                <w:lang w:bidi="ar"/>
              </w:rPr>
              <w:t>中标金额</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2" w:firstLineChars="200"/>
              <w:jc w:val="center"/>
              <w:rPr>
                <w:rFonts w:ascii="宋体" w:hAnsi="宋体" w:cs="仿宋"/>
                <w:b/>
                <w:bCs/>
                <w:sz w:val="24"/>
                <w:szCs w:val="24"/>
              </w:rPr>
            </w:pPr>
            <w:r>
              <w:rPr>
                <w:rFonts w:hint="eastAsia" w:ascii="宋体" w:hAnsi="宋体" w:cs="宋体"/>
                <w:b/>
                <w:bCs/>
                <w:sz w:val="24"/>
                <w:szCs w:val="24"/>
                <w:lang w:bidi="ar"/>
              </w:rPr>
              <w:t>招标代理收费费率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szCs w:val="24"/>
              </w:rPr>
            </w:pPr>
            <w:r>
              <w:rPr>
                <w:rFonts w:hint="eastAsia" w:ascii="宋体" w:hAnsi="宋体" w:cs="宋体"/>
                <w:sz w:val="24"/>
                <w:szCs w:val="24"/>
                <w:lang w:bidi="ar"/>
              </w:rPr>
              <w:t>50万元以下的项目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sz w:val="24"/>
                <w:szCs w:val="24"/>
              </w:rPr>
            </w:pPr>
            <w:r>
              <w:rPr>
                <w:rFonts w:hint="eastAsia" w:ascii="宋体" w:hAnsi="宋体" w:cs="宋体"/>
                <w:sz w:val="24"/>
                <w:szCs w:val="24"/>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color w:val="auto"/>
                <w:sz w:val="24"/>
                <w:szCs w:val="24"/>
              </w:rPr>
            </w:pPr>
            <w:r>
              <w:rPr>
                <w:rFonts w:hint="eastAsia" w:ascii="宋体" w:hAnsi="宋体" w:cs="宋体"/>
                <w:color w:val="auto"/>
                <w:sz w:val="24"/>
                <w:szCs w:val="24"/>
                <w:lang w:bidi="ar"/>
              </w:rPr>
              <w:t>50-100万元的项目</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94" w:firstLineChars="206"/>
              <w:jc w:val="center"/>
              <w:rPr>
                <w:rFonts w:ascii="宋体" w:hAnsi="宋体" w:cs="仿宋"/>
                <w:color w:val="auto"/>
                <w:sz w:val="24"/>
                <w:szCs w:val="24"/>
              </w:rPr>
            </w:pPr>
            <w:r>
              <w:rPr>
                <w:rFonts w:hint="eastAsia" w:ascii="宋体" w:hAnsi="宋体" w:cs="宋体"/>
                <w:color w:val="auto"/>
                <w:sz w:val="24"/>
                <w:szCs w:val="24"/>
                <w:lang w:bidi="ar"/>
              </w:rPr>
              <w:t>0.8%</w:t>
            </w:r>
          </w:p>
        </w:tc>
      </w:tr>
    </w:tbl>
    <w:p>
      <w:pPr>
        <w:snapToGrid w:val="0"/>
        <w:spacing w:line="360" w:lineRule="auto"/>
        <w:ind w:firstLine="482" w:firstLineChars="200"/>
        <w:outlineLvl w:val="1"/>
        <w:rPr>
          <w:rFonts w:hAnsi="宋体" w:cs="宋体"/>
          <w:b/>
          <w:color w:val="auto"/>
          <w:sz w:val="24"/>
          <w:szCs w:val="24"/>
          <w:highlight w:val="none"/>
        </w:rPr>
      </w:pPr>
      <w:r>
        <w:rPr>
          <w:rFonts w:hint="eastAsia" w:ascii="宋体" w:hAnsi="宋体" w:cs="宋体"/>
          <w:b/>
          <w:color w:val="auto"/>
          <w:sz w:val="24"/>
          <w:szCs w:val="24"/>
          <w:lang w:bidi="ar"/>
        </w:rPr>
        <w:t>十二、项目服务期</w:t>
      </w:r>
    </w:p>
    <w:p>
      <w:pPr>
        <w:snapToGrid w:val="0"/>
        <w:spacing w:line="360" w:lineRule="auto"/>
        <w:ind w:firstLine="494" w:firstLineChars="206"/>
        <w:rPr>
          <w:rFonts w:hAnsi="宋体" w:cs="宋体"/>
          <w:color w:val="auto"/>
          <w:sz w:val="24"/>
          <w:szCs w:val="24"/>
          <w:highlight w:val="none"/>
        </w:rPr>
      </w:pPr>
      <w:r>
        <w:rPr>
          <w:rFonts w:hint="eastAsia" w:ascii="宋体" w:hAnsi="宋体" w:cs="宋体"/>
          <w:color w:val="auto"/>
          <w:sz w:val="24"/>
          <w:szCs w:val="24"/>
          <w:highlight w:val="none"/>
          <w:lang w:bidi="ar"/>
        </w:rPr>
        <w:t>服务期限为</w:t>
      </w:r>
      <w:r>
        <w:rPr>
          <w:rFonts w:hint="eastAsia" w:ascii="宋体" w:hAnsi="宋体" w:cs="宋体"/>
          <w:color w:val="auto"/>
          <w:sz w:val="24"/>
          <w:szCs w:val="24"/>
          <w:highlight w:val="none"/>
        </w:rPr>
        <w:t>合同签订生效起</w:t>
      </w:r>
      <w:r>
        <w:rPr>
          <w:rFonts w:hint="eastAsia" w:ascii="宋体" w:hAnsi="宋体" w:cs="宋体"/>
          <w:color w:val="auto"/>
          <w:sz w:val="24"/>
          <w:szCs w:val="24"/>
          <w:highlight w:val="none"/>
          <w:lang w:val="en-US" w:eastAsia="zh-CN"/>
        </w:rPr>
        <w:t>一年</w:t>
      </w:r>
      <w:r>
        <w:rPr>
          <w:rFonts w:hint="eastAsia" w:ascii="宋体" w:hAnsi="宋体" w:cs="宋体"/>
          <w:color w:val="auto"/>
          <w:sz w:val="24"/>
          <w:szCs w:val="24"/>
          <w:highlight w:val="none"/>
          <w:lang w:bidi="ar"/>
        </w:rPr>
        <w:t>。</w:t>
      </w:r>
    </w:p>
    <w:p>
      <w:pPr>
        <w:snapToGrid w:val="0"/>
        <w:spacing w:line="360" w:lineRule="auto"/>
        <w:ind w:firstLine="482" w:firstLineChars="200"/>
        <w:outlineLvl w:val="1"/>
        <w:rPr>
          <w:rFonts w:hAnsi="宋体" w:cs="宋体"/>
          <w:b/>
          <w:color w:val="auto"/>
          <w:sz w:val="24"/>
          <w:szCs w:val="24"/>
        </w:rPr>
      </w:pPr>
      <w:r>
        <w:rPr>
          <w:rFonts w:hint="eastAsia" w:ascii="宋体" w:hAnsi="宋体" w:cs="宋体"/>
          <w:b/>
          <w:color w:val="auto"/>
          <w:sz w:val="24"/>
          <w:szCs w:val="24"/>
          <w:lang w:bidi="ar"/>
        </w:rPr>
        <w:t>十三、付款方式</w:t>
      </w:r>
      <w:r>
        <w:rPr>
          <w:rFonts w:hint="eastAsia" w:hAnsi="宋体" w:cs="宋体"/>
          <w:b/>
          <w:color w:val="auto"/>
          <w:sz w:val="24"/>
          <w:szCs w:val="24"/>
          <w:lang w:bidi="ar"/>
        </w:rPr>
        <w:t xml:space="preserve"> </w:t>
      </w:r>
    </w:p>
    <w:p>
      <w:pPr>
        <w:snapToGrid w:val="0"/>
        <w:spacing w:line="360" w:lineRule="auto"/>
        <w:ind w:firstLine="480" w:firstLineChars="200"/>
        <w:rPr>
          <w:rFonts w:ascii="黑体" w:hAnsi="宋体" w:eastAsia="黑体" w:cs="黑体"/>
          <w:color w:val="auto"/>
          <w:sz w:val="24"/>
          <w:szCs w:val="24"/>
        </w:rPr>
      </w:pPr>
      <w:r>
        <w:rPr>
          <w:rFonts w:hint="eastAsia" w:ascii="黑体" w:hAnsi="宋体" w:eastAsia="黑体" w:cs="黑体"/>
          <w:color w:val="auto"/>
          <w:sz w:val="24"/>
          <w:szCs w:val="24"/>
          <w:lang w:bidi="ar"/>
        </w:rPr>
        <w:t>【特别提醒】付款方式不接受负偏离及任何意图改变付款方式的意图表达，否则作无效投标处理。</w:t>
      </w:r>
    </w:p>
    <w:p>
      <w:pPr>
        <w:pStyle w:val="8"/>
        <w:widowControl/>
        <w:spacing w:line="360" w:lineRule="auto"/>
        <w:ind w:firstLine="480" w:firstLineChars="200"/>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1、合同签订后10个工作日内支付合同总价的30%作为启动经费，每季度结束后10个工作日内支付服务费用的15%</w:t>
      </w:r>
      <w:r>
        <w:rPr>
          <w:rFonts w:hint="eastAsia" w:ascii="宋体" w:hAnsi="宋体" w:eastAsia="宋体" w:cs="宋体"/>
          <w:b w:val="0"/>
          <w:color w:val="auto"/>
          <w:kern w:val="2"/>
          <w:sz w:val="24"/>
          <w:szCs w:val="24"/>
        </w:rPr>
        <w:t>，最后一个月完成现场检查、现场检查记录、季度台账且经</w:t>
      </w:r>
      <w:r>
        <w:rPr>
          <w:rFonts w:hint="eastAsia" w:ascii="宋体" w:hAnsi="宋体" w:eastAsia="宋体" w:cs="宋体"/>
          <w:b w:val="0"/>
          <w:color w:val="auto"/>
          <w:kern w:val="2"/>
          <w:sz w:val="24"/>
          <w:szCs w:val="24"/>
          <w:lang w:val="en-US" w:eastAsia="zh-CN"/>
        </w:rPr>
        <w:t>采购人</w:t>
      </w:r>
      <w:r>
        <w:rPr>
          <w:rFonts w:hint="eastAsia" w:ascii="宋体" w:hAnsi="宋体" w:eastAsia="宋体" w:cs="宋体"/>
          <w:b w:val="0"/>
          <w:color w:val="auto"/>
          <w:kern w:val="2"/>
          <w:sz w:val="24"/>
          <w:szCs w:val="24"/>
        </w:rPr>
        <w:t>确认后一次性付清尾款</w:t>
      </w:r>
      <w:r>
        <w:rPr>
          <w:rFonts w:hint="eastAsia" w:ascii="宋体" w:hAnsi="宋体" w:eastAsia="宋体" w:cs="宋体"/>
          <w:b w:val="0"/>
          <w:color w:val="auto"/>
          <w:kern w:val="2"/>
          <w:sz w:val="24"/>
          <w:szCs w:val="24"/>
          <w:lang w:eastAsia="zh-CN"/>
        </w:rPr>
        <w:t>。</w:t>
      </w:r>
      <w:bookmarkStart w:id="55" w:name="_GoBack"/>
      <w:bookmarkEnd w:id="55"/>
    </w:p>
    <w:p>
      <w:pPr>
        <w:pStyle w:val="8"/>
        <w:widowControl/>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b w:val="0"/>
          <w:color w:val="auto"/>
          <w:kern w:val="2"/>
          <w:sz w:val="24"/>
          <w:szCs w:val="24"/>
        </w:rPr>
        <w:t>2、最终以双方签订的政府采购合同内确定的条款为准。</w:t>
      </w:r>
    </w:p>
    <w:p>
      <w:pPr>
        <w:pStyle w:val="7"/>
        <w:widowControl/>
        <w:ind w:firstLine="482"/>
        <w:rPr>
          <w:rFonts w:ascii="宋体" w:hAnsi="宋体" w:eastAsia="宋体" w:cs="宋体"/>
          <w:bCs w:val="0"/>
          <w:color w:val="auto"/>
          <w:kern w:val="0"/>
          <w:sz w:val="24"/>
          <w:szCs w:val="24"/>
        </w:rPr>
      </w:pPr>
      <w:r>
        <w:rPr>
          <w:rFonts w:hint="eastAsia" w:ascii="宋体" w:hAnsi="宋体" w:eastAsia="宋体" w:cs="宋体"/>
          <w:bCs w:val="0"/>
          <w:color w:val="auto"/>
          <w:kern w:val="0"/>
          <w:sz w:val="24"/>
          <w:szCs w:val="24"/>
        </w:rPr>
        <w:t>十四、未尽事宜</w:t>
      </w:r>
    </w:p>
    <w:p>
      <w:pPr>
        <w:spacing w:line="360" w:lineRule="auto"/>
        <w:ind w:firstLine="480" w:firstLineChars="200"/>
        <w:rPr>
          <w:rFonts w:ascii="宋体" w:hAnsi="宋体" w:cs="宋体"/>
          <w:sz w:val="28"/>
          <w:szCs w:val="28"/>
        </w:rPr>
        <w:sectPr>
          <w:footerReference r:id="rId6" w:type="default"/>
          <w:pgSz w:w="11906" w:h="16838"/>
          <w:pgMar w:top="1134" w:right="907" w:bottom="1134" w:left="1134" w:header="851" w:footer="992" w:gutter="0"/>
          <w:pgNumType w:fmt="decimal"/>
          <w:cols w:space="720" w:num="1"/>
          <w:docGrid w:type="lines" w:linePitch="312" w:charSpace="0"/>
        </w:sectPr>
      </w:pPr>
      <w:r>
        <w:rPr>
          <w:rFonts w:hint="eastAsia" w:ascii="宋体" w:hAnsi="宋体" w:cs="宋体"/>
          <w:color w:val="auto"/>
          <w:sz w:val="24"/>
          <w:szCs w:val="24"/>
          <w:lang w:bidi="ar"/>
        </w:rPr>
        <w:t>按《中华人民共和国政府采购法》、《政府采购竞争性磋商采购方</w:t>
      </w:r>
      <w:r>
        <w:rPr>
          <w:rFonts w:hint="eastAsia" w:ascii="宋体" w:hAnsi="宋体" w:cs="宋体"/>
          <w:sz w:val="24"/>
          <w:szCs w:val="24"/>
          <w:lang w:bidi="ar"/>
        </w:rPr>
        <w:t>式管理暂行办法》及其他有关法律法规的规定执行。</w:t>
      </w:r>
      <w:bookmarkStart w:id="26" w:name="_Toc363573855"/>
      <w:bookmarkEnd w:id="26"/>
    </w:p>
    <w:p>
      <w:pPr>
        <w:pStyle w:val="6"/>
        <w:keepNext w:val="0"/>
        <w:keepLines w:val="0"/>
        <w:adjustRightInd w:val="0"/>
        <w:snapToGrid w:val="0"/>
        <w:spacing w:before="0" w:after="0" w:line="360" w:lineRule="auto"/>
        <w:jc w:val="center"/>
        <w:textAlignment w:val="baseline"/>
        <w:rPr>
          <w:rFonts w:ascii="宋体" w:hAnsi="宋体" w:eastAsia="宋体" w:cs="宋体"/>
          <w:color w:val="auto"/>
          <w:w w:val="80"/>
          <w:szCs w:val="44"/>
        </w:rPr>
      </w:pPr>
      <w:r>
        <w:rPr>
          <w:rFonts w:hint="eastAsia" w:ascii="宋体" w:hAnsi="宋体" w:eastAsia="宋体" w:cs="宋体"/>
          <w:color w:val="auto"/>
          <w:w w:val="80"/>
          <w:szCs w:val="44"/>
        </w:rPr>
        <w:t>第三章  项目需求</w:t>
      </w:r>
      <w:bookmarkEnd w:id="12"/>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为进一步加强崇川区加油站点安全、环保监管工作，更好地履行加油站点安全、环保监管职责，促进加油站点安全、环保生产主体责任落实，发挥专业技术人员在安全环保检查中的作用，特制定2022年南通市崇川区加油站点安全、环保监管方案，具体内容如下。</w:t>
      </w:r>
    </w:p>
    <w:p>
      <w:pPr>
        <w:numPr>
          <w:ilvl w:val="0"/>
          <w:numId w:val="1"/>
        </w:num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工作目的</w:t>
      </w:r>
    </w:p>
    <w:p>
      <w:pPr>
        <w:pStyle w:val="2"/>
        <w:spacing w:line="360" w:lineRule="auto"/>
        <w:ind w:left="0" w:leftChars="0" w:firstLine="480"/>
        <w:rPr>
          <w:rFonts w:ascii="宋体" w:hAnsi="宋体" w:cs="宋体"/>
          <w:color w:val="auto"/>
          <w:sz w:val="24"/>
        </w:rPr>
      </w:pPr>
      <w:r>
        <w:rPr>
          <w:rFonts w:hint="eastAsia" w:ascii="宋体" w:hAnsi="宋体" w:cs="宋体"/>
          <w:color w:val="auto"/>
          <w:sz w:val="24"/>
        </w:rPr>
        <w:t>为深入推进崇川区加油站点安全、环保监管工作，需加强辖区内加油站点安全、环境管理。崇川区行业监管部门安全、环保检查队伍人员有限，但现场安全、环保检查任务重、专业要求高，为提加油站点安全、环保检查质量及效率，拟采购崇川区加油站点安全、环保监管第三方服务。</w:t>
      </w:r>
    </w:p>
    <w:p>
      <w:pPr>
        <w:spacing w:line="360"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二、工作内容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1、对辖区内各家加油站点开展安全、环保检查，现场检查人员须具备相关资质，每季度检查一次，形成现场检查记录；</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2、对加油站点现场安全环保检查结果进行分析，对发现的安全、环保问题提出相应整改措施和整改要求，同时对上一季度检查存在的问题整改情况进行跟踪、复查，督促企业及时落实到位；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3、每季度现场检查后一周时间内形成季度台账资料，年度检查完成后健全2022年崇川区加油站点安全、环保台账资料；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4、协助完成上级单位交办的相关安全生产文件落实工作并及时归档；</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5、对于上级单位临时下达的加油站安全、环保整治工作，协助开展对接、检查工作并提出整改意见、治理方案，配合定期回访督查。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三、服务期限、地点：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1、本次采购服务时间：本次服务期限为同签订生效起</w:t>
      </w:r>
      <w:r>
        <w:rPr>
          <w:rFonts w:hint="eastAsia" w:ascii="宋体" w:hAnsi="宋体" w:cs="宋体"/>
          <w:color w:val="auto"/>
          <w:sz w:val="24"/>
          <w:szCs w:val="24"/>
          <w:lang w:val="en-US" w:eastAsia="zh-CN"/>
        </w:rPr>
        <w:t>一年</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2、服务地点和事项：采购人指定的办公场所和服务项目。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四、第三方要求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1、熟悉加油站点作业过程，掌握安全、环保现场检查要点；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2、具有安全、环保专家团队；</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3、具有长期稳定合作的检验检测机构。</w:t>
      </w:r>
    </w:p>
    <w:p>
      <w:pPr>
        <w:spacing w:line="360" w:lineRule="auto"/>
        <w:ind w:firstLine="482" w:firstLineChars="200"/>
        <w:outlineLvl w:val="1"/>
        <w:rPr>
          <w:rFonts w:ascii="宋体" w:hAnsi="宋体" w:cs="宋体"/>
          <w:bCs/>
          <w:color w:val="auto"/>
          <w:sz w:val="24"/>
          <w:szCs w:val="24"/>
        </w:rPr>
      </w:pPr>
      <w:r>
        <w:rPr>
          <w:rFonts w:hint="eastAsia" w:ascii="宋体" w:hAnsi="宋体" w:cs="宋体"/>
          <w:b/>
          <w:color w:val="auto"/>
          <w:sz w:val="24"/>
          <w:szCs w:val="24"/>
        </w:rPr>
        <w:t>五、其他要求</w:t>
      </w:r>
    </w:p>
    <w:p>
      <w:pPr>
        <w:snapToGrid w:val="0"/>
        <w:spacing w:line="360" w:lineRule="auto"/>
        <w:ind w:firstLine="494" w:firstLineChars="206"/>
        <w:rPr>
          <w:rFonts w:ascii="宋体" w:hAnsi="宋体" w:cs="宋体"/>
          <w:bCs/>
          <w:color w:val="auto"/>
          <w:sz w:val="24"/>
          <w:szCs w:val="24"/>
        </w:rPr>
      </w:pPr>
      <w:r>
        <w:rPr>
          <w:rFonts w:hint="eastAsia" w:ascii="宋体" w:hAnsi="宋体" w:cs="宋体"/>
          <w:bCs/>
          <w:color w:val="auto"/>
          <w:sz w:val="24"/>
          <w:szCs w:val="24"/>
        </w:rPr>
        <w:t>1、采购人将视情组织对服务机构及其服务人员工作质量进行评估，并对评估结果予以通报，服务质量直接与服务费挂钩。</w:t>
      </w:r>
    </w:p>
    <w:p>
      <w:pPr>
        <w:snapToGrid w:val="0"/>
        <w:spacing w:line="360" w:lineRule="auto"/>
        <w:ind w:firstLine="494" w:firstLineChars="206"/>
        <w:rPr>
          <w:rFonts w:ascii="宋体" w:hAnsi="宋体" w:cs="宋体"/>
          <w:bCs/>
          <w:color w:val="auto"/>
          <w:sz w:val="24"/>
          <w:szCs w:val="24"/>
        </w:rPr>
      </w:pPr>
      <w:r>
        <w:rPr>
          <w:rFonts w:hint="eastAsia" w:ascii="宋体" w:hAnsi="宋体" w:cs="宋体"/>
          <w:bCs/>
          <w:color w:val="auto"/>
          <w:sz w:val="24"/>
          <w:szCs w:val="24"/>
        </w:rPr>
        <w:t>2、采购人对服务机构及其服务人员有权进行监管，对于在监管服务检查或抽查中，隐瞒重大事故隐患并造成严重后果的，将列入“黑名单”，上报相关主管部门依法处理。</w:t>
      </w:r>
    </w:p>
    <w:p>
      <w:pPr>
        <w:snapToGrid w:val="0"/>
        <w:spacing w:line="360" w:lineRule="auto"/>
        <w:ind w:firstLine="494" w:firstLineChars="206"/>
        <w:rPr>
          <w:rFonts w:ascii="宋体" w:hAnsi="宋体" w:cs="宋体"/>
          <w:bCs/>
          <w:color w:val="auto"/>
          <w:sz w:val="24"/>
          <w:szCs w:val="24"/>
        </w:rPr>
      </w:pPr>
      <w:r>
        <w:rPr>
          <w:rFonts w:hint="eastAsia" w:ascii="宋体" w:hAnsi="宋体" w:cs="宋体"/>
          <w:bCs/>
          <w:color w:val="auto"/>
          <w:sz w:val="24"/>
          <w:szCs w:val="24"/>
        </w:rPr>
        <w:t>3、出现严重不履行合同或不适当履行合同的，采购人有权单方面解除合同。</w:t>
      </w:r>
    </w:p>
    <w:p>
      <w:pPr>
        <w:snapToGrid w:val="0"/>
        <w:spacing w:line="360" w:lineRule="auto"/>
        <w:ind w:firstLine="494" w:firstLineChars="206"/>
        <w:rPr>
          <w:rFonts w:ascii="宋体" w:hAnsi="宋体" w:cs="宋体"/>
          <w:bCs/>
          <w:sz w:val="24"/>
          <w:szCs w:val="24"/>
        </w:rPr>
      </w:pPr>
    </w:p>
    <w:p>
      <w:pPr>
        <w:pStyle w:val="2"/>
        <w:ind w:left="0" w:leftChars="0" w:firstLine="0" w:firstLineChars="0"/>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rPr>
          <w:rFonts w:ascii="宋体" w:hAnsi="宋体" w:cs="宋体"/>
          <w:b/>
          <w:w w:val="80"/>
          <w:kern w:val="44"/>
          <w:sz w:val="44"/>
          <w:szCs w:val="44"/>
        </w:rPr>
      </w:pPr>
    </w:p>
    <w:p>
      <w:pPr>
        <w:pStyle w:val="2"/>
        <w:ind w:left="0" w:leftChars="0" w:firstLine="0" w:firstLineChars="0"/>
        <w:jc w:val="center"/>
        <w:rPr>
          <w:rFonts w:ascii="宋体" w:hAnsi="宋体" w:cs="宋体"/>
          <w:b/>
          <w:w w:val="80"/>
          <w:kern w:val="44"/>
          <w:sz w:val="44"/>
          <w:szCs w:val="44"/>
        </w:rPr>
      </w:pPr>
      <w:r>
        <w:rPr>
          <w:rFonts w:hint="eastAsia" w:ascii="宋体" w:hAnsi="宋体" w:cs="宋体"/>
          <w:b/>
          <w:w w:val="80"/>
          <w:kern w:val="44"/>
          <w:sz w:val="44"/>
          <w:szCs w:val="44"/>
        </w:rPr>
        <w:t xml:space="preserve">第四章  </w:t>
      </w:r>
      <w:bookmarkStart w:id="27" w:name="_Toc37322565"/>
      <w:bookmarkStart w:id="28" w:name="_Toc182848996"/>
      <w:bookmarkStart w:id="29" w:name="_Toc43217893"/>
      <w:bookmarkStart w:id="30" w:name="_Toc85627670"/>
      <w:bookmarkStart w:id="31" w:name="_Toc38121794"/>
      <w:r>
        <w:rPr>
          <w:rFonts w:hint="eastAsia" w:ascii="宋体" w:hAnsi="宋体" w:cs="宋体"/>
          <w:b/>
          <w:w w:val="80"/>
          <w:kern w:val="44"/>
          <w:sz w:val="44"/>
          <w:szCs w:val="44"/>
        </w:rPr>
        <w:t>评审方法和程序</w:t>
      </w:r>
    </w:p>
    <w:bookmarkEnd w:id="27"/>
    <w:bookmarkEnd w:id="28"/>
    <w:bookmarkEnd w:id="29"/>
    <w:bookmarkEnd w:id="30"/>
    <w:bookmarkEnd w:id="31"/>
    <w:p>
      <w:pPr>
        <w:snapToGrid w:val="0"/>
        <w:spacing w:line="360" w:lineRule="auto"/>
        <w:ind w:firstLine="482" w:firstLineChars="200"/>
        <w:outlineLvl w:val="1"/>
        <w:rPr>
          <w:rFonts w:hAnsi="宋体" w:cs="宋体"/>
          <w:b/>
          <w:sz w:val="24"/>
          <w:szCs w:val="24"/>
        </w:rPr>
      </w:pPr>
      <w:bookmarkStart w:id="32" w:name="_Toc363573857"/>
      <w:bookmarkEnd w:id="32"/>
      <w:r>
        <w:rPr>
          <w:rFonts w:hint="eastAsia" w:hAnsi="宋体" w:cs="宋体"/>
          <w:b/>
          <w:sz w:val="24"/>
          <w:szCs w:val="24"/>
        </w:rPr>
        <w:t>一、代理机构组织磋商</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本次竞争性磋商依据《中华人民共和国政府采购法》、《政府采购竞争性磋商采购方式管理暂行办法》及有关法规成立磋商小组。磋商小组由采购单位代表共3人以上单数组成。</w:t>
      </w:r>
    </w:p>
    <w:p>
      <w:pPr>
        <w:snapToGrid w:val="0"/>
        <w:spacing w:line="360" w:lineRule="auto"/>
        <w:ind w:firstLine="480" w:firstLineChars="200"/>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磋商小组的职责：</w:t>
      </w:r>
    </w:p>
    <w:p>
      <w:pPr>
        <w:snapToGrid w:val="0"/>
        <w:spacing w:line="360" w:lineRule="auto"/>
        <w:ind w:firstLine="480" w:firstLineChars="200"/>
        <w:rPr>
          <w:rFonts w:hAnsi="宋体" w:cs="宋体"/>
          <w:sz w:val="24"/>
          <w:szCs w:val="24"/>
        </w:rPr>
      </w:pPr>
      <w:r>
        <w:rPr>
          <w:rFonts w:hint="eastAsia" w:hAnsi="宋体" w:cs="宋体"/>
          <w:sz w:val="24"/>
          <w:szCs w:val="24"/>
        </w:rPr>
        <w:t>（1）磋商小组成员应当按照客观、公正、审慎的原则，根据磋商文件规定的评审程序、评审方法和评审标准进行独立评审。</w:t>
      </w:r>
    </w:p>
    <w:p>
      <w:pPr>
        <w:snapToGrid w:val="0"/>
        <w:spacing w:line="360" w:lineRule="auto"/>
        <w:ind w:firstLine="480" w:firstLineChars="200"/>
        <w:rPr>
          <w:rFonts w:hAnsi="宋体" w:cs="宋体"/>
          <w:sz w:val="24"/>
          <w:szCs w:val="24"/>
        </w:rPr>
      </w:pPr>
      <w:r>
        <w:rPr>
          <w:rFonts w:hint="eastAsia" w:hAnsi="宋体" w:cs="宋体"/>
          <w:sz w:val="24"/>
          <w:szCs w:val="24"/>
        </w:rPr>
        <w:t>（2）磋商小组成员应当遵守评审工作纪律，不得泄露评审情况和评审中获悉的商业秘密，对个人的评审意见承担法律责任；</w:t>
      </w:r>
    </w:p>
    <w:p>
      <w:pPr>
        <w:snapToGrid w:val="0"/>
        <w:spacing w:line="360" w:lineRule="auto"/>
        <w:ind w:firstLine="480" w:firstLineChars="200"/>
        <w:rPr>
          <w:rFonts w:hAnsi="宋体" w:cs="宋体"/>
          <w:sz w:val="24"/>
          <w:szCs w:val="24"/>
        </w:rPr>
      </w:pPr>
      <w:r>
        <w:rPr>
          <w:rFonts w:hint="eastAsia" w:hAnsi="宋体" w:cs="宋体"/>
          <w:sz w:val="24"/>
          <w:szCs w:val="24"/>
        </w:rPr>
        <w:t>（3）磋商小组成员在评审过程中发现供应商有行贿、提供虚假材料或者串通等违法行为的，应当及时向财政部门报告。</w:t>
      </w:r>
    </w:p>
    <w:p>
      <w:pPr>
        <w:snapToGrid w:val="0"/>
        <w:spacing w:line="360" w:lineRule="auto"/>
        <w:ind w:firstLine="480" w:firstLineChars="200"/>
        <w:rPr>
          <w:rFonts w:hAnsi="宋体" w:cs="宋体"/>
          <w:sz w:val="24"/>
          <w:szCs w:val="24"/>
        </w:rPr>
      </w:pPr>
      <w:r>
        <w:rPr>
          <w:rFonts w:hint="eastAsia" w:hAnsi="宋体" w:cs="宋体"/>
          <w:sz w:val="24"/>
          <w:szCs w:val="24"/>
        </w:rPr>
        <w:t>（4）磋商小组成员在评审过程中受到非法干涉的，应当及时向财政、监察等部门举报。</w:t>
      </w:r>
    </w:p>
    <w:p>
      <w:pPr>
        <w:snapToGrid w:val="0"/>
        <w:spacing w:line="360" w:lineRule="auto"/>
        <w:ind w:firstLine="480" w:firstLineChars="200"/>
        <w:rPr>
          <w:rFonts w:hAnsi="宋体" w:cs="宋体"/>
          <w:sz w:val="24"/>
          <w:szCs w:val="24"/>
        </w:rPr>
      </w:pPr>
      <w:r>
        <w:rPr>
          <w:rFonts w:hint="eastAsia" w:hAnsi="宋体" w:cs="宋体"/>
          <w:sz w:val="24"/>
          <w:szCs w:val="24"/>
        </w:rPr>
        <w:t>（5）配合采购单位答复供应商提出的质疑；配合财政部门的投诉处理和监督检查工作。</w:t>
      </w:r>
    </w:p>
    <w:p>
      <w:pPr>
        <w:snapToGrid w:val="0"/>
        <w:spacing w:line="360" w:lineRule="auto"/>
        <w:ind w:firstLine="480" w:firstLineChars="200"/>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评审有关记录由磋商小组成员签名，存档备查。</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供应商的法定代表人或被授权人须持身份证准时参加磋商开标会。</w:t>
      </w:r>
    </w:p>
    <w:p>
      <w:pPr>
        <w:snapToGrid w:val="0"/>
        <w:spacing w:line="360" w:lineRule="auto"/>
        <w:ind w:firstLine="482" w:firstLineChars="200"/>
        <w:outlineLvl w:val="1"/>
        <w:rPr>
          <w:rFonts w:hAnsi="宋体" w:cs="宋体"/>
          <w:b/>
          <w:sz w:val="24"/>
          <w:szCs w:val="24"/>
        </w:rPr>
      </w:pPr>
      <w:r>
        <w:rPr>
          <w:rFonts w:hint="eastAsia" w:hAnsi="宋体" w:cs="宋体"/>
          <w:b/>
          <w:sz w:val="24"/>
          <w:szCs w:val="24"/>
        </w:rPr>
        <w:t>二、磋商的原则及方法</w:t>
      </w:r>
    </w:p>
    <w:p>
      <w:pPr>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ascii="宋体" w:hAnsi="宋体" w:cs="宋体"/>
          <w:sz w:val="24"/>
          <w:szCs w:val="24"/>
        </w:rPr>
        <w:t>.</w:t>
      </w:r>
      <w:r>
        <w:rPr>
          <w:rFonts w:hint="eastAsia"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hAnsi="宋体" w:cs="宋体"/>
          <w:sz w:val="24"/>
          <w:szCs w:val="24"/>
        </w:rPr>
      </w:pPr>
      <w:r>
        <w:rPr>
          <w:rFonts w:hint="eastAsia" w:hAnsi="宋体" w:cs="宋体"/>
          <w:sz w:val="24"/>
          <w:szCs w:val="24"/>
        </w:rPr>
        <w:t>2</w:t>
      </w:r>
      <w:r>
        <w:rPr>
          <w:rFonts w:hint="eastAsia" w:ascii="宋体" w:hAnsi="宋体" w:cs="宋体"/>
          <w:sz w:val="24"/>
          <w:szCs w:val="24"/>
        </w:rPr>
        <w:t>.</w:t>
      </w:r>
      <w:r>
        <w:rPr>
          <w:rFonts w:hint="eastAsia" w:hAnsi="宋体" w:cs="宋体"/>
          <w:sz w:val="24"/>
          <w:szCs w:val="24"/>
        </w:rPr>
        <w:t>磋商小组将按照竞争性磋商文件的规定，独立对每个进入打分程序的有效响应供应商的响应文件的技术、商务部分以打分的形式进行评审和评价。技术分取算术平均值（计算结果均四舍五入保留两位小数）。</w:t>
      </w:r>
    </w:p>
    <w:p>
      <w:pPr>
        <w:snapToGrid w:val="0"/>
        <w:spacing w:line="360" w:lineRule="auto"/>
        <w:ind w:firstLine="484" w:firstLineChars="202"/>
        <w:rPr>
          <w:rFonts w:hAnsi="宋体" w:cs="宋体"/>
          <w:sz w:val="24"/>
          <w:szCs w:val="24"/>
        </w:rPr>
      </w:pPr>
      <w:r>
        <w:rPr>
          <w:rFonts w:hint="eastAsia" w:hAnsi="宋体" w:cs="宋体"/>
          <w:sz w:val="24"/>
          <w:szCs w:val="24"/>
        </w:rPr>
        <w:t>3</w:t>
      </w:r>
      <w:r>
        <w:rPr>
          <w:rFonts w:hint="eastAsia" w:ascii="宋体" w:hAnsi="宋体" w:cs="宋体"/>
          <w:sz w:val="24"/>
          <w:szCs w:val="24"/>
        </w:rPr>
        <w:t>.</w:t>
      </w:r>
      <w:r>
        <w:rPr>
          <w:rFonts w:hint="eastAsia"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hAnsi="宋体" w:cs="宋体"/>
          <w:sz w:val="24"/>
          <w:szCs w:val="24"/>
        </w:rPr>
      </w:pPr>
      <w:r>
        <w:rPr>
          <w:rFonts w:hint="eastAsia" w:hAnsi="宋体" w:cs="宋体"/>
          <w:sz w:val="24"/>
          <w:szCs w:val="24"/>
        </w:rPr>
        <w:t>4</w:t>
      </w:r>
      <w:r>
        <w:rPr>
          <w:rFonts w:hint="eastAsia" w:ascii="宋体" w:hAnsi="宋体" w:cs="宋体"/>
          <w:sz w:val="24"/>
          <w:szCs w:val="24"/>
        </w:rPr>
        <w:t>.</w:t>
      </w:r>
      <w:r>
        <w:rPr>
          <w:rFonts w:hint="eastAsia"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hAnsi="宋体" w:cs="宋体"/>
          <w:sz w:val="24"/>
          <w:szCs w:val="24"/>
        </w:rPr>
      </w:pPr>
      <w:r>
        <w:rPr>
          <w:rFonts w:hint="eastAsia" w:hAnsi="宋体" w:cs="宋体"/>
          <w:sz w:val="24"/>
          <w:szCs w:val="24"/>
        </w:rPr>
        <w:t>5</w:t>
      </w:r>
      <w:r>
        <w:rPr>
          <w:rFonts w:hint="eastAsia" w:ascii="宋体" w:hAnsi="宋体" w:cs="宋体"/>
          <w:sz w:val="24"/>
          <w:szCs w:val="24"/>
        </w:rPr>
        <w:t>.</w:t>
      </w:r>
      <w:r>
        <w:rPr>
          <w:rFonts w:hint="eastAsia"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hAnsi="宋体" w:cs="宋体"/>
          <w:sz w:val="24"/>
          <w:szCs w:val="24"/>
        </w:rPr>
      </w:pPr>
      <w:r>
        <w:rPr>
          <w:rFonts w:hint="eastAsia" w:hAnsi="宋体" w:cs="宋体"/>
          <w:sz w:val="24"/>
          <w:szCs w:val="24"/>
        </w:rPr>
        <w:t>6</w:t>
      </w:r>
      <w:r>
        <w:rPr>
          <w:rFonts w:hint="eastAsia" w:ascii="宋体" w:hAnsi="宋体" w:cs="宋体"/>
          <w:sz w:val="24"/>
          <w:szCs w:val="24"/>
        </w:rPr>
        <w:t>.</w:t>
      </w:r>
      <w:r>
        <w:rPr>
          <w:rFonts w:hint="eastAsia"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hAnsi="宋体" w:cs="宋体"/>
          <w:sz w:val="24"/>
          <w:szCs w:val="24"/>
        </w:rPr>
      </w:pPr>
      <w:r>
        <w:rPr>
          <w:rFonts w:hint="eastAsia" w:hAnsi="宋体" w:cs="宋体"/>
          <w:sz w:val="24"/>
          <w:szCs w:val="24"/>
        </w:rPr>
        <w:t>7</w:t>
      </w:r>
      <w:r>
        <w:rPr>
          <w:rFonts w:hint="eastAsia" w:ascii="宋体" w:hAnsi="宋体" w:cs="宋体"/>
          <w:sz w:val="24"/>
          <w:szCs w:val="24"/>
        </w:rPr>
        <w:t>.</w:t>
      </w:r>
      <w:r>
        <w:rPr>
          <w:rFonts w:hint="eastAsia"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8、经磋商确定最终采购需求和提交最后报价的供应商：磋商文件能够详细列明采购标的的技术、服务要求的，磋商结束后，磋商小组应当要求所有实质性响应的供应商在规定时间内提交最后报价。</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宋体" w:hAnsi="宋体" w:cs="宋体"/>
          <w:b/>
          <w:bCs/>
          <w:sz w:val="24"/>
          <w:szCs w:val="24"/>
        </w:rPr>
      </w:pPr>
      <w:r>
        <w:rPr>
          <w:rFonts w:hint="eastAsia" w:ascii="宋体" w:hAnsi="宋体" w:cs="宋体"/>
          <w:sz w:val="24"/>
          <w:szCs w:val="24"/>
          <w:lang w:bidi="ar"/>
        </w:rPr>
        <w:t>10、除非在磋商中磋商小组对采购单位需求内容作了调整增加，或对采购内容作了实质性变更，否则</w:t>
      </w:r>
      <w:r>
        <w:rPr>
          <w:rFonts w:hint="eastAsia" w:ascii="宋体" w:hAnsi="宋体" w:cs="宋体"/>
          <w:b/>
          <w:bCs/>
          <w:sz w:val="24"/>
          <w:szCs w:val="24"/>
          <w:lang w:bidi="ar"/>
        </w:rPr>
        <w:t>采购单位不接受供应商高于自己前一轮的磋商报价。</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11、对于在磋商顺利开始后至最终报价前，根据磋商情况退出磋商的供应商，须以书面形式说明退出磋商的原因，经磋商小组同意可以退出磋商。</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12、在磋商中，磋商的任何一方不得透露与磋商有关的其他响应磋商的供应商的技术资料、价格及其他信息。</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13、凡两家或以上公司同一法人代表或其中一家公司为另一家公司单一最大股东的，不能同时参与同一采购项目的磋商采购活动，一经发现，将视同串标处理。</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lang w:bidi="ar"/>
        </w:rPr>
        <w:t>三、评估步骤</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lang w:bidi="ar"/>
        </w:rPr>
        <w:t>1、评估步骤规定：</w:t>
      </w: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lang w:bidi="ar"/>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第一阶段：磋商小组对每个供应商的资格进行审查。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第二阶段：磋商小组对每个符合资格要求的供应商的技术标进行评估。主要审查技术标提交的内容是否齐全，技术方案及项目实施是否完全满足采购文件的要求。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w:t>
      </w:r>
      <w:r>
        <w:rPr>
          <w:rFonts w:hint="eastAsia" w:ascii="宋体" w:hAnsi="宋体" w:cs="宋体"/>
          <w:sz w:val="24"/>
          <w:szCs w:val="24"/>
          <w:lang w:val="en-US" w:eastAsia="zh-CN" w:bidi="ar"/>
        </w:rPr>
        <w:t>磋商</w:t>
      </w:r>
      <w:r>
        <w:rPr>
          <w:rFonts w:hint="eastAsia" w:ascii="宋体" w:hAnsi="宋体" w:cs="宋体"/>
          <w:sz w:val="24"/>
          <w:szCs w:val="24"/>
          <w:lang w:bidi="ar"/>
        </w:rPr>
        <w:t>文件要求，并能完全响应磋商内容后，要求其二次报价。如磋商内容导致竞争性磋商文件有实质性变动的，磋商小组应当以书面形式通知所有供应商。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第四阶段：单一分别磋商结束后，磋商小组告知所有供应商的项目二次报价，并要求所有作出实质性响应的有效供应商在规定的时间内，在磋商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第五阶段：磋商小组对供应商的最终报价进行评议和比较，在实质性响应竞争性磋商文件，技术标和价格标部分都能满足竞争性磋商文件的前提下，磋商小组将校核后的各供应商的报价从低到高排序（明显低于成本的，且供应商不能合理说明或者不能提供相关证明材料的报价除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2、在磋商过程中，供应商提交的澄清文件和最终报价文件，由供应商法定代表人或被授权人签字盖章后生效，供应商受其约束。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lang w:bidi="ar"/>
        </w:rPr>
        <w:t>四、磋商评定结果的方法</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w:t>
      </w:r>
      <w:r>
        <w:rPr>
          <w:rFonts w:hint="eastAsia" w:ascii="宋体" w:hAnsi="宋体" w:cs="宋体"/>
          <w:b/>
          <w:bCs/>
          <w:sz w:val="24"/>
          <w:szCs w:val="24"/>
          <w:u w:val="single"/>
          <w:lang w:bidi="ar"/>
        </w:rPr>
        <w:t>经磋商确定最终采购需求和提交最后报价的供应商后，</w:t>
      </w:r>
      <w:r>
        <w:rPr>
          <w:rFonts w:hint="eastAsia" w:ascii="宋体" w:hAnsi="宋体" w:cs="宋体"/>
          <w:sz w:val="24"/>
          <w:szCs w:val="24"/>
          <w:lang w:bidi="ar"/>
        </w:rPr>
        <w:t>由磋商小组采用综合评分法</w:t>
      </w:r>
      <w:r>
        <w:rPr>
          <w:rFonts w:hint="eastAsia" w:ascii="宋体" w:hAnsi="宋体" w:cs="宋体"/>
          <w:b/>
          <w:bCs/>
          <w:sz w:val="24"/>
          <w:szCs w:val="24"/>
          <w:u w:val="single"/>
          <w:lang w:bidi="ar"/>
        </w:rPr>
        <w:t>对提交最后报价的供应商的响应文件和最后报价</w:t>
      </w:r>
      <w:r>
        <w:rPr>
          <w:rFonts w:hint="eastAsia" w:ascii="宋体" w:hAnsi="宋体" w:cs="宋体"/>
          <w:sz w:val="24"/>
          <w:szCs w:val="24"/>
          <w:lang w:bidi="ar"/>
        </w:rPr>
        <w:t>进行综合评分。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3、本次项目磋商的技术</w:t>
      </w:r>
      <w:r>
        <w:rPr>
          <w:rFonts w:hint="eastAsia" w:ascii="宋体" w:hAnsi="宋体" w:cs="宋体"/>
          <w:kern w:val="0"/>
          <w:sz w:val="24"/>
          <w:szCs w:val="24"/>
          <w:lang w:bidi="ar"/>
        </w:rPr>
        <w:t>响应文件</w:t>
      </w:r>
      <w:r>
        <w:rPr>
          <w:rFonts w:hint="eastAsia" w:ascii="宋体" w:hAnsi="宋体" w:cs="宋体"/>
          <w:sz w:val="24"/>
          <w:szCs w:val="24"/>
          <w:lang w:bidi="ar"/>
        </w:rPr>
        <w:t>和商务报价</w:t>
      </w:r>
      <w:r>
        <w:rPr>
          <w:rFonts w:hint="eastAsia" w:ascii="宋体" w:hAnsi="宋体" w:cs="宋体"/>
          <w:kern w:val="0"/>
          <w:sz w:val="24"/>
          <w:szCs w:val="24"/>
          <w:lang w:bidi="ar"/>
        </w:rPr>
        <w:t>响应文件</w:t>
      </w:r>
      <w:r>
        <w:rPr>
          <w:rFonts w:hint="eastAsia" w:ascii="宋体" w:hAnsi="宋体" w:cs="宋体"/>
          <w:sz w:val="24"/>
          <w:szCs w:val="24"/>
          <w:lang w:bidi="ar"/>
        </w:rPr>
        <w:t>评估总分值为100分。两部分评估因素比重如下：</w:t>
      </w:r>
    </w:p>
    <w:p>
      <w:pPr>
        <w:snapToGrid w:val="0"/>
        <w:spacing w:line="480" w:lineRule="exact"/>
        <w:ind w:firstLine="480" w:firstLineChars="200"/>
        <w:rPr>
          <w:rFonts w:ascii="宋体" w:hAnsi="宋体" w:cs="宋体"/>
          <w:color w:val="auto"/>
          <w:kern w:val="0"/>
          <w:sz w:val="24"/>
          <w:szCs w:val="24"/>
        </w:rPr>
      </w:pPr>
      <w:r>
        <w:rPr>
          <w:rFonts w:hint="eastAsia" w:ascii="宋体" w:hAnsi="宋体" w:cs="宋体"/>
          <w:kern w:val="0"/>
          <w:sz w:val="24"/>
          <w:szCs w:val="24"/>
        </w:rPr>
        <w:t>技术响应文件分值占总分值的比</w:t>
      </w:r>
      <w:r>
        <w:rPr>
          <w:rFonts w:hint="eastAsia" w:ascii="宋体" w:hAnsi="宋体" w:cs="宋体"/>
          <w:color w:val="auto"/>
          <w:kern w:val="0"/>
          <w:sz w:val="24"/>
          <w:szCs w:val="24"/>
        </w:rPr>
        <w:t>重为9</w:t>
      </w:r>
      <w:r>
        <w:rPr>
          <w:rFonts w:hint="eastAsia" w:ascii="宋体" w:hAnsi="宋体" w:cs="宋体"/>
          <w:color w:val="auto"/>
          <w:kern w:val="0"/>
          <w:sz w:val="24"/>
          <w:szCs w:val="24"/>
          <w:u w:val="single"/>
        </w:rPr>
        <w:t>0%（权重）</w:t>
      </w:r>
      <w:r>
        <w:rPr>
          <w:rFonts w:hint="eastAsia" w:ascii="宋体" w:hAnsi="宋体" w:cs="宋体"/>
          <w:color w:val="auto"/>
          <w:kern w:val="0"/>
          <w:sz w:val="24"/>
          <w:szCs w:val="24"/>
        </w:rPr>
        <w:t>（四舍五入保留两位小数）；</w:t>
      </w:r>
    </w:p>
    <w:p>
      <w:pPr>
        <w:snapToGrid w:val="0"/>
        <w:spacing w:line="48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商务报价响应文件分值占总分值的比重为1</w:t>
      </w:r>
      <w:r>
        <w:rPr>
          <w:rFonts w:hint="eastAsia" w:ascii="宋体" w:hAnsi="宋体" w:cs="宋体"/>
          <w:color w:val="auto"/>
          <w:kern w:val="0"/>
          <w:sz w:val="24"/>
          <w:szCs w:val="24"/>
          <w:u w:val="single"/>
        </w:rPr>
        <w:t>0%（权重）</w:t>
      </w:r>
      <w:r>
        <w:rPr>
          <w:rFonts w:hint="eastAsia" w:ascii="宋体" w:hAnsi="宋体" w:cs="宋体"/>
          <w:color w:val="auto"/>
          <w:kern w:val="0"/>
          <w:sz w:val="24"/>
          <w:szCs w:val="24"/>
        </w:rPr>
        <w:t>（四舍五入保留两位小数）。</w:t>
      </w:r>
    </w:p>
    <w:p>
      <w:pPr>
        <w:snapToGrid w:val="0"/>
        <w:spacing w:line="480" w:lineRule="exact"/>
        <w:ind w:firstLine="480" w:firstLineChars="200"/>
        <w:rPr>
          <w:rFonts w:ascii="宋体" w:hAnsi="宋体" w:cs="宋体"/>
          <w:dstrike/>
          <w:color w:val="auto"/>
          <w:sz w:val="24"/>
          <w:szCs w:val="24"/>
        </w:rPr>
      </w:pPr>
      <w:r>
        <w:rPr>
          <w:rFonts w:hint="eastAsia" w:ascii="宋体" w:hAnsi="宋体" w:cs="宋体"/>
          <w:color w:val="auto"/>
          <w:sz w:val="24"/>
          <w:szCs w:val="24"/>
        </w:rPr>
        <w:t>4、技术</w:t>
      </w:r>
      <w:r>
        <w:rPr>
          <w:rFonts w:hint="eastAsia" w:ascii="宋体" w:hAnsi="宋体" w:cs="宋体"/>
          <w:color w:val="auto"/>
          <w:kern w:val="0"/>
          <w:sz w:val="24"/>
          <w:szCs w:val="24"/>
        </w:rPr>
        <w:t>响应文件分值为所有评委打分的算术平均值，计算</w:t>
      </w:r>
      <w:r>
        <w:rPr>
          <w:rFonts w:hint="eastAsia" w:ascii="宋体" w:hAnsi="宋体" w:cs="宋体"/>
          <w:color w:val="auto"/>
          <w:sz w:val="24"/>
          <w:szCs w:val="24"/>
        </w:rPr>
        <w:t>结果均四舍五入保留两位小数。</w:t>
      </w:r>
    </w:p>
    <w:p>
      <w:pPr>
        <w:snapToGrid w:val="0"/>
        <w:spacing w:line="480" w:lineRule="exact"/>
        <w:ind w:firstLine="480" w:firstLineChars="200"/>
        <w:rPr>
          <w:rFonts w:ascii="宋体" w:hAnsi="宋体" w:cs="宋体"/>
          <w:sz w:val="24"/>
          <w:szCs w:val="24"/>
        </w:rPr>
      </w:pPr>
      <w:r>
        <w:rPr>
          <w:rFonts w:hint="eastAsia" w:ascii="宋体" w:hAnsi="宋体" w:cs="宋体"/>
          <w:color w:val="auto"/>
          <w:sz w:val="24"/>
          <w:szCs w:val="24"/>
        </w:rPr>
        <w:t>5、商务报价</w:t>
      </w:r>
      <w:r>
        <w:rPr>
          <w:rFonts w:hint="eastAsia" w:ascii="宋体" w:hAnsi="宋体" w:cs="宋体"/>
          <w:color w:val="auto"/>
          <w:kern w:val="0"/>
          <w:sz w:val="24"/>
          <w:szCs w:val="24"/>
        </w:rPr>
        <w:t>响应文件</w:t>
      </w:r>
      <w:r>
        <w:rPr>
          <w:rFonts w:hint="eastAsia" w:ascii="宋体" w:hAnsi="宋体" w:cs="宋体"/>
          <w:color w:val="auto"/>
          <w:sz w:val="24"/>
          <w:szCs w:val="24"/>
        </w:rPr>
        <w:t>分值统一采用低价优先法计算直接取得，与</w:t>
      </w:r>
      <w:r>
        <w:rPr>
          <w:rFonts w:hint="eastAsia" w:ascii="宋体" w:hAnsi="宋体" w:cs="宋体"/>
          <w:sz w:val="24"/>
          <w:szCs w:val="24"/>
        </w:rPr>
        <w:t>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480" w:lineRule="exact"/>
        <w:ind w:firstLine="460" w:firstLineChars="192"/>
        <w:rPr>
          <w:rFonts w:ascii="宋体" w:hAnsi="宋体" w:cs="宋体"/>
          <w:kern w:val="0"/>
          <w:sz w:val="24"/>
          <w:szCs w:val="24"/>
        </w:rPr>
      </w:pPr>
      <w:r>
        <w:rPr>
          <w:rFonts w:hint="eastAsia" w:ascii="宋体" w:hAnsi="宋体" w:cs="宋体"/>
          <w:sz w:val="24"/>
          <w:szCs w:val="24"/>
        </w:rPr>
        <w:t>6、</w:t>
      </w:r>
      <w:r>
        <w:rPr>
          <w:rFonts w:hint="eastAsia" w:ascii="宋体" w:hAnsi="宋体" w:cs="宋体"/>
          <w:kern w:val="0"/>
          <w:sz w:val="24"/>
          <w:szCs w:val="24"/>
        </w:rPr>
        <w:t>综合得分最高的供应商推荐为项目预成交供应商并出具评审磋商报告。</w:t>
      </w:r>
    </w:p>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7、确定成交候选人的特殊情况处理：</w:t>
      </w:r>
    </w:p>
    <w:p>
      <w:pPr>
        <w:snapToGrid w:val="0"/>
        <w:spacing w:line="480" w:lineRule="exact"/>
        <w:ind w:firstLine="480" w:firstLineChars="200"/>
        <w:outlineLvl w:val="1"/>
        <w:rPr>
          <w:rFonts w:ascii="宋体" w:hAnsi="宋体" w:cs="宋体"/>
          <w:sz w:val="24"/>
          <w:szCs w:val="24"/>
        </w:rPr>
      </w:pPr>
      <w:r>
        <w:rPr>
          <w:rFonts w:hint="eastAsia" w:ascii="宋体" w:hAnsi="宋体" w:cs="宋体"/>
          <w:sz w:val="24"/>
          <w:szCs w:val="24"/>
        </w:rPr>
        <w:t>（1）若总分相同，则按最终技术磋商响应评审得分高者优先中标。</w:t>
      </w:r>
    </w:p>
    <w:p>
      <w:pPr>
        <w:snapToGrid w:val="0"/>
        <w:spacing w:line="480" w:lineRule="exact"/>
        <w:ind w:firstLine="480" w:firstLineChars="200"/>
        <w:outlineLvl w:val="1"/>
        <w:rPr>
          <w:rFonts w:ascii="宋体" w:hAnsi="宋体" w:cs="宋体"/>
          <w:dstrike/>
          <w:sz w:val="24"/>
          <w:szCs w:val="24"/>
        </w:rPr>
      </w:pPr>
      <w:r>
        <w:rPr>
          <w:rFonts w:hint="eastAsia" w:ascii="宋体" w:hAnsi="宋体" w:cs="宋体"/>
          <w:sz w:val="24"/>
          <w:szCs w:val="24"/>
        </w:rPr>
        <w:t>（2）若总分且最终报价得分相同，则采取现场抽签的方式确定（由供应商按递交响应文件签到顺序号抽签确定）。</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8、磋商评审时，评委对评审的细则若有争议，由磋商小组集体讨论确定，并对未尽情况有最终解释权。</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9、对落标的供应商不做落标原因的解释。</w:t>
      </w:r>
    </w:p>
    <w:p>
      <w:pPr>
        <w:pStyle w:val="8"/>
      </w:pPr>
    </w:p>
    <w:p>
      <w:pPr>
        <w:spacing w:line="360" w:lineRule="auto"/>
        <w:ind w:firstLine="482" w:firstLineChars="200"/>
        <w:rPr>
          <w:rFonts w:ascii="宋体"/>
          <w:b/>
          <w:bCs/>
          <w:sz w:val="24"/>
          <w:szCs w:val="24"/>
        </w:rPr>
      </w:pPr>
      <w:r>
        <w:rPr>
          <w:rFonts w:hint="eastAsia" w:ascii="宋体" w:hAnsi="宋体" w:cs="宋体"/>
          <w:b/>
          <w:bCs/>
          <w:sz w:val="24"/>
          <w:szCs w:val="24"/>
        </w:rPr>
        <w:t>五、综合评分评审标准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（一）技术磋商响应评审：（9</w:t>
      </w:r>
      <w:r>
        <w:rPr>
          <w:rFonts w:ascii="宋体" w:hAnsi="宋体" w:cs="宋体"/>
          <w:b/>
          <w:bCs/>
          <w:sz w:val="24"/>
          <w:szCs w:val="24"/>
        </w:rPr>
        <w:t>0</w:t>
      </w:r>
      <w:r>
        <w:rPr>
          <w:rFonts w:hint="eastAsia" w:ascii="宋体" w:hAnsi="宋体" w:cs="宋体"/>
          <w:b/>
          <w:bCs/>
          <w:sz w:val="24"/>
          <w:szCs w:val="24"/>
        </w:rPr>
        <w:t>分）</w:t>
      </w:r>
    </w:p>
    <w:p>
      <w:pPr>
        <w:pStyle w:val="2"/>
        <w:ind w:firstLine="482"/>
        <w:rPr>
          <w:rFonts w:ascii="宋体" w:hAnsi="宋体" w:cs="宋体"/>
          <w:b/>
          <w:bCs/>
          <w:sz w:val="24"/>
        </w:rPr>
      </w:pPr>
    </w:p>
    <w:tbl>
      <w:tblPr>
        <w:tblStyle w:val="21"/>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264"/>
        <w:gridCol w:w="680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10" w:type="dxa"/>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序号</w:t>
            </w:r>
          </w:p>
        </w:tc>
        <w:tc>
          <w:tcPr>
            <w:tcW w:w="1264" w:type="dxa"/>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评分</w:t>
            </w:r>
          </w:p>
          <w:p>
            <w:pPr>
              <w:widowControl/>
              <w:snapToGrid w:val="0"/>
              <w:jc w:val="center"/>
              <w:rPr>
                <w:rFonts w:ascii="宋体" w:hAnsi="宋体" w:cs="宋体"/>
                <w:b/>
                <w:bCs/>
                <w:kern w:val="0"/>
                <w:sz w:val="24"/>
                <w:szCs w:val="24"/>
              </w:rPr>
            </w:pPr>
            <w:r>
              <w:rPr>
                <w:rFonts w:hint="eastAsia" w:ascii="宋体" w:hAnsi="宋体" w:cs="宋体"/>
                <w:b/>
                <w:bCs/>
                <w:kern w:val="0"/>
                <w:sz w:val="24"/>
                <w:szCs w:val="24"/>
              </w:rPr>
              <w:t>因素</w:t>
            </w:r>
          </w:p>
        </w:tc>
        <w:tc>
          <w:tcPr>
            <w:tcW w:w="6804" w:type="dxa"/>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评审标准</w:t>
            </w:r>
          </w:p>
        </w:tc>
        <w:tc>
          <w:tcPr>
            <w:tcW w:w="895" w:type="dxa"/>
            <w:vAlign w:val="center"/>
          </w:tcPr>
          <w:p>
            <w:pPr>
              <w:widowControl/>
              <w:snapToGrid w:val="0"/>
              <w:jc w:val="center"/>
              <w:rPr>
                <w:rFonts w:ascii="宋体" w:hAnsi="宋体" w:cs="宋体"/>
                <w:b/>
                <w:bCs/>
                <w:kern w:val="0"/>
                <w:sz w:val="24"/>
                <w:szCs w:val="24"/>
              </w:rPr>
            </w:pPr>
            <w:r>
              <w:rPr>
                <w:rFonts w:hint="eastAsia" w:ascii="宋体" w:hAnsi="宋体" w:cs="宋体"/>
                <w:b/>
                <w:bCs/>
                <w:kern w:val="0"/>
                <w:sz w:val="24"/>
                <w:szCs w:val="24"/>
              </w:rPr>
              <w:t>满分</w:t>
            </w:r>
          </w:p>
          <w:p>
            <w:pPr>
              <w:pStyle w:val="11"/>
              <w:snapToGrid w:val="0"/>
              <w:jc w:val="center"/>
              <w:rPr>
                <w:rFonts w:ascii="宋体" w:hAnsi="宋体" w:cs="宋体"/>
                <w:sz w:val="24"/>
                <w:szCs w:val="24"/>
              </w:rPr>
            </w:pPr>
            <w:r>
              <w:rPr>
                <w:rFonts w:hint="eastAsia" w:ascii="宋体" w:hAnsi="宋体" w:cs="宋体"/>
                <w:b/>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trPr>
        <w:tc>
          <w:tcPr>
            <w:tcW w:w="510" w:type="dxa"/>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1</w:t>
            </w:r>
          </w:p>
        </w:tc>
        <w:tc>
          <w:tcPr>
            <w:tcW w:w="1264"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企业资质</w:t>
            </w:r>
          </w:p>
        </w:tc>
        <w:tc>
          <w:tcPr>
            <w:tcW w:w="6804" w:type="dxa"/>
            <w:vAlign w:val="center"/>
          </w:tcPr>
          <w:p>
            <w:pPr>
              <w:spacing w:line="360" w:lineRule="exact"/>
              <w:rPr>
                <w:rFonts w:ascii="宋体" w:hAnsi="宋体" w:cs="宋体"/>
                <w:sz w:val="24"/>
                <w:szCs w:val="24"/>
              </w:rPr>
            </w:pPr>
            <w:r>
              <w:rPr>
                <w:rFonts w:hint="eastAsia" w:ascii="宋体" w:hAnsi="宋体" w:cs="宋体"/>
                <w:sz w:val="24"/>
                <w:szCs w:val="24"/>
              </w:rPr>
              <w:t>（1）具有国家行业协会颁发的服务等级为一级认证的环境咨询（环保管家）服务认证证书，具有9个服务项目（环境规划与区划服务、排污许可服务、环境问题排查诊断与解决方案服务、生态环境工程监理服务、竣工环境保护验收服务、生态环境修复调查与方案服务、损害鉴别与法律服务、清洁生产服务和排污权交易服务）中任意1-3个服务项目一级认证的得3分，任意4-6个服务项目一级认证的得6分，任意7-9个服务项目一级认证的得9分，其他情况不得分。本项最高得9分。</w:t>
            </w:r>
          </w:p>
          <w:p>
            <w:pPr>
              <w:spacing w:line="360" w:lineRule="exact"/>
              <w:rPr>
                <w:rFonts w:ascii="宋体" w:hAnsi="宋体" w:cs="宋体"/>
                <w:sz w:val="24"/>
                <w:szCs w:val="24"/>
              </w:rPr>
            </w:pPr>
            <w:r>
              <w:rPr>
                <w:rFonts w:hint="eastAsia" w:ascii="宋体" w:hAnsi="宋体" w:cs="宋体"/>
                <w:sz w:val="24"/>
                <w:szCs w:val="24"/>
              </w:rPr>
              <w:t>（2）具有有效期内的ISO 9001质量管理体系证书、ISO 14001环境管理体系证书、OHSAS18001职业健康安全管理体系证书，一个得1分，满分3分。</w:t>
            </w:r>
          </w:p>
          <w:p>
            <w:pPr>
              <w:spacing w:line="360" w:lineRule="exact"/>
              <w:rPr>
                <w:rFonts w:ascii="宋体" w:hAnsi="宋体" w:cs="宋体"/>
                <w:sz w:val="24"/>
                <w:szCs w:val="24"/>
              </w:rPr>
            </w:pPr>
            <w:r>
              <w:rPr>
                <w:rFonts w:hint="eastAsia" w:ascii="宋体" w:hAnsi="宋体" w:cs="宋体"/>
                <w:sz w:val="24"/>
                <w:szCs w:val="24"/>
              </w:rPr>
              <w:t>（3）提供信用评级机构出具的信用评级报告为AAA级的得3分，AA级的得2分，A级的得1分，没有的不得分，满分3分。</w:t>
            </w:r>
          </w:p>
          <w:p>
            <w:pPr>
              <w:spacing w:line="360" w:lineRule="exact"/>
              <w:rPr>
                <w:rFonts w:ascii="宋体" w:hAnsi="宋体" w:cs="宋体"/>
                <w:sz w:val="24"/>
                <w:szCs w:val="24"/>
              </w:rPr>
            </w:pPr>
            <w:r>
              <w:rPr>
                <w:rFonts w:hint="eastAsia" w:ascii="宋体" w:hAnsi="宋体" w:cs="宋体"/>
                <w:sz w:val="24"/>
                <w:szCs w:val="24"/>
              </w:rPr>
              <w:t>（4）供应商自有（或子公司）检测的实验室具备检验检测机构计量认证（CMA）资质且具备水、气、声、土壤、固废检测能力，得10分。有签订长期合作检测机构且预备上述资质及检测能力的，得5分。检测机构检测能力中缺少水、气、声、土壤、固废检测能力中任意一项的不得分。</w:t>
            </w:r>
          </w:p>
          <w:p>
            <w:pPr>
              <w:spacing w:line="360" w:lineRule="exact"/>
              <w:rPr>
                <w:rFonts w:ascii="宋体" w:hAnsi="宋体" w:cs="宋体"/>
                <w:sz w:val="24"/>
                <w:szCs w:val="24"/>
              </w:rPr>
            </w:pPr>
            <w:r>
              <w:rPr>
                <w:rFonts w:hint="eastAsia" w:ascii="宋体" w:hAnsi="宋体" w:cs="宋体"/>
                <w:sz w:val="24"/>
                <w:szCs w:val="24"/>
              </w:rPr>
              <w:t>注：如供应商自有实验室的，则提供资质证书扫描件或复印件，并加盖供应商公章，原件备查。长期合作检测机构的，需提供检测机构资质及检测能力证明文件，并提供长期合作合同复印件，并加盖供应商公章，原件备查。</w:t>
            </w:r>
          </w:p>
          <w:p>
            <w:pPr>
              <w:pStyle w:val="11"/>
              <w:rPr>
                <w:rFonts w:ascii="宋体" w:hAnsi="宋体" w:cs="宋体"/>
                <w:b/>
                <w:sz w:val="24"/>
                <w:szCs w:val="24"/>
              </w:rPr>
            </w:pPr>
            <w:r>
              <w:rPr>
                <w:rFonts w:hint="eastAsia" w:ascii="宋体" w:hAnsi="宋体" w:cs="宋体"/>
                <w:b/>
                <w:sz w:val="24"/>
                <w:szCs w:val="24"/>
              </w:rPr>
              <w:t>提供资质证书的复印件并提供原件备查。</w:t>
            </w:r>
          </w:p>
        </w:tc>
        <w:tc>
          <w:tcPr>
            <w:tcW w:w="895" w:type="dxa"/>
            <w:vAlign w:val="center"/>
          </w:tcPr>
          <w:p>
            <w:pPr>
              <w:spacing w:line="360" w:lineRule="exact"/>
              <w:jc w:val="center"/>
              <w:rPr>
                <w:rFonts w:ascii="宋体" w:hAnsi="宋体" w:cs="宋体"/>
                <w:sz w:val="24"/>
                <w:szCs w:val="24"/>
              </w:rPr>
            </w:pPr>
            <w:r>
              <w:rPr>
                <w:rFonts w:hint="eastAsia" w:ascii="宋体" w:hAnsi="宋体" w:cs="宋体"/>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10"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2</w:t>
            </w:r>
          </w:p>
        </w:tc>
        <w:tc>
          <w:tcPr>
            <w:tcW w:w="1264"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企业业绩</w:t>
            </w:r>
          </w:p>
        </w:tc>
        <w:tc>
          <w:tcPr>
            <w:tcW w:w="6804" w:type="dxa"/>
            <w:vAlign w:val="center"/>
          </w:tcPr>
          <w:p>
            <w:pPr>
              <w:spacing w:line="360" w:lineRule="exact"/>
              <w:rPr>
                <w:rFonts w:ascii="宋体" w:hAnsi="宋体" w:cs="宋体"/>
                <w:sz w:val="24"/>
                <w:szCs w:val="24"/>
              </w:rPr>
            </w:pPr>
            <w:r>
              <w:rPr>
                <w:rFonts w:hint="eastAsia" w:ascii="宋体" w:hAnsi="宋体" w:cs="宋体"/>
                <w:sz w:val="24"/>
                <w:szCs w:val="24"/>
              </w:rPr>
              <w:t>供应商自2019年1月1日以来（以合同签订时间为准）开展过国家级园区核查排查类、监管监理类、环保管家类项目的业绩，得5分；本项最多得5分。</w:t>
            </w:r>
          </w:p>
          <w:p>
            <w:pPr>
              <w:spacing w:line="360" w:lineRule="exact"/>
              <w:rPr>
                <w:rFonts w:ascii="宋体" w:hAnsi="宋体" w:cs="宋体"/>
                <w:sz w:val="24"/>
                <w:szCs w:val="24"/>
              </w:rPr>
            </w:pPr>
            <w:r>
              <w:rPr>
                <w:rFonts w:hint="eastAsia" w:ascii="宋体" w:hAnsi="宋体" w:cs="宋体"/>
                <w:sz w:val="24"/>
                <w:szCs w:val="24"/>
              </w:rPr>
              <w:t>开展过市级、区级或街道核查排查类、监管监理类、环保管家类项目的业绩，每有一个得2分；本项最多得4分。</w:t>
            </w:r>
          </w:p>
          <w:p>
            <w:pPr>
              <w:spacing w:line="360" w:lineRule="exact"/>
              <w:rPr>
                <w:rFonts w:ascii="宋体" w:hAnsi="宋体" w:cs="宋体"/>
                <w:sz w:val="24"/>
                <w:szCs w:val="24"/>
              </w:rPr>
            </w:pPr>
            <w:r>
              <w:rPr>
                <w:rFonts w:hint="eastAsia" w:ascii="宋体" w:hAnsi="宋体" w:cs="宋体"/>
                <w:sz w:val="24"/>
                <w:szCs w:val="24"/>
              </w:rPr>
              <w:t>开展过企业核查排查类、监管监理类、环保管家类项目的业绩，得2分；本项最多得6分。</w:t>
            </w:r>
          </w:p>
          <w:p>
            <w:pPr>
              <w:widowControl/>
              <w:adjustRightInd w:val="0"/>
              <w:snapToGrid w:val="0"/>
              <w:spacing w:line="276" w:lineRule="auto"/>
              <w:rPr>
                <w:rFonts w:ascii="宋体" w:hAnsi="宋体" w:cs="宋体"/>
                <w:b/>
                <w:sz w:val="24"/>
                <w:szCs w:val="24"/>
              </w:rPr>
            </w:pPr>
            <w:r>
              <w:rPr>
                <w:rFonts w:hint="eastAsia" w:ascii="宋体" w:hAnsi="宋体" w:cs="宋体"/>
                <w:b/>
                <w:sz w:val="24"/>
                <w:szCs w:val="24"/>
              </w:rPr>
              <w:t>提供合同或中标通知书复印件等证明材料，提供原件备查。</w:t>
            </w:r>
          </w:p>
        </w:tc>
        <w:tc>
          <w:tcPr>
            <w:tcW w:w="895" w:type="dxa"/>
            <w:vAlign w:val="center"/>
          </w:tcPr>
          <w:p>
            <w:pPr>
              <w:spacing w:line="360" w:lineRule="exact"/>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510"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3</w:t>
            </w:r>
          </w:p>
        </w:tc>
        <w:tc>
          <w:tcPr>
            <w:tcW w:w="1264"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专家团实力</w:t>
            </w:r>
          </w:p>
        </w:tc>
        <w:tc>
          <w:tcPr>
            <w:tcW w:w="6804" w:type="dxa"/>
            <w:vAlign w:val="center"/>
          </w:tcPr>
          <w:p>
            <w:pPr>
              <w:snapToGrid w:val="0"/>
              <w:spacing w:line="276" w:lineRule="auto"/>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根据供应商是否具有专业安全、环保专家团队进行综合评审，</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（1）拟派项目负责人具有注册安全工程师或注册环评工程师证书且为高级工程师的，得5分；</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（2）项目组成员具有注册安全工程师或注册环评工程师（以证书为准），每个得1分，最多5分。</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b/>
                <w:bCs/>
                <w:color w:val="000000" w:themeColor="text1"/>
                <w:sz w:val="24"/>
                <w:szCs w:val="24"/>
                <w14:textFill>
                  <w14:solidFill>
                    <w14:schemeClr w14:val="tx1"/>
                  </w14:solidFill>
                </w14:textFill>
              </w:rPr>
              <w:t>(注：项目负责人必须为本公司正式职员，需提供近6个月社保证明；项目组人员可外聘，提供证明材料。)</w:t>
            </w:r>
            <w:r>
              <w:rPr>
                <w:rFonts w:hint="eastAsia" w:ascii="宋体" w:hAnsi="宋体" w:cs="宋体"/>
                <w:color w:val="000000" w:themeColor="text1"/>
                <w:sz w:val="24"/>
                <w:szCs w:val="24"/>
                <w14:textFill>
                  <w14:solidFill>
                    <w14:schemeClr w14:val="tx1"/>
                  </w14:solidFill>
                </w14:textFill>
              </w:rPr>
              <w:t>10分。</w:t>
            </w:r>
          </w:p>
        </w:tc>
        <w:tc>
          <w:tcPr>
            <w:tcW w:w="895" w:type="dxa"/>
            <w:vAlign w:val="center"/>
          </w:tcPr>
          <w:p>
            <w:pPr>
              <w:spacing w:line="340" w:lineRule="exact"/>
              <w:jc w:val="center"/>
              <w:rPr>
                <w:rFonts w:ascii="宋体" w:hAnsi="宋体" w:cs="宋体"/>
                <w:sz w:val="24"/>
                <w:szCs w:val="24"/>
              </w:rPr>
            </w:pPr>
            <w:r>
              <w:rPr>
                <w:rFonts w:hint="eastAsia" w:ascii="宋体" w:hAnsi="宋体" w:cs="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510"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4</w:t>
            </w:r>
          </w:p>
        </w:tc>
        <w:tc>
          <w:tcPr>
            <w:tcW w:w="1264" w:type="dxa"/>
            <w:vAlign w:val="center"/>
          </w:tcPr>
          <w:p>
            <w:pPr>
              <w:widowControl/>
              <w:spacing w:line="360" w:lineRule="exact"/>
              <w:jc w:val="center"/>
              <w:rPr>
                <w:rFonts w:ascii="宋体" w:hAnsi="宋体" w:cs="宋体"/>
                <w:sz w:val="24"/>
                <w:szCs w:val="24"/>
              </w:rPr>
            </w:pPr>
            <w:r>
              <w:rPr>
                <w:rFonts w:hint="eastAsia" w:ascii="宋体" w:hAnsi="宋体" w:cs="宋体"/>
                <w:sz w:val="24"/>
                <w:szCs w:val="24"/>
              </w:rPr>
              <w:t>技术方案</w:t>
            </w:r>
          </w:p>
        </w:tc>
        <w:tc>
          <w:tcPr>
            <w:tcW w:w="6804" w:type="dxa"/>
            <w:vAlign w:val="center"/>
          </w:tcPr>
          <w:p>
            <w:pPr>
              <w:spacing w:line="36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针对供应商提供响应本项目的服务方案，根据供应商基本情况、熟悉加油站点生产作业过程，掌握安全、环保现场检查要点、资质荣誉等说明进行综合评审。（优秀得21-30分，良好得11-20分，一般得1-10分）30分。</w:t>
            </w:r>
          </w:p>
        </w:tc>
        <w:tc>
          <w:tcPr>
            <w:tcW w:w="895" w:type="dxa"/>
            <w:vAlign w:val="center"/>
          </w:tcPr>
          <w:p>
            <w:pPr>
              <w:spacing w:line="360" w:lineRule="exact"/>
              <w:jc w:val="center"/>
              <w:rPr>
                <w:rFonts w:ascii="宋体" w:hAnsi="宋体" w:cs="宋体"/>
                <w:sz w:val="24"/>
                <w:szCs w:val="24"/>
              </w:rPr>
            </w:pPr>
            <w:r>
              <w:rPr>
                <w:rFonts w:hint="eastAsia" w:ascii="宋体" w:hAnsi="宋体" w:cs="宋体"/>
                <w:sz w:val="24"/>
                <w:szCs w:val="24"/>
              </w:rPr>
              <w:t>3</w:t>
            </w:r>
            <w:r>
              <w:rPr>
                <w:rFonts w:ascii="宋体"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510" w:type="dxa"/>
            <w:vAlign w:val="center"/>
          </w:tcPr>
          <w:p>
            <w:pPr>
              <w:spacing w:line="276" w:lineRule="auto"/>
              <w:jc w:val="center"/>
              <w:rPr>
                <w:rFonts w:ascii="宋体" w:hAnsi="宋体" w:cs="Calibri"/>
                <w:bCs/>
                <w:color w:val="000000" w:themeColor="text1"/>
                <w:sz w:val="24"/>
                <w:szCs w:val="24"/>
                <w14:textFill>
                  <w14:solidFill>
                    <w14:schemeClr w14:val="tx1"/>
                  </w14:solidFill>
                </w14:textFill>
              </w:rPr>
            </w:pPr>
            <w:r>
              <w:rPr>
                <w:rFonts w:hint="eastAsia" w:ascii="宋体" w:hAnsi="宋体" w:cs="Calibri"/>
                <w:bCs/>
                <w:color w:val="000000" w:themeColor="text1"/>
                <w:sz w:val="24"/>
                <w:szCs w:val="24"/>
                <w14:textFill>
                  <w14:solidFill>
                    <w14:schemeClr w14:val="tx1"/>
                  </w14:solidFill>
                </w14:textFill>
              </w:rPr>
              <w:t>5</w:t>
            </w:r>
          </w:p>
        </w:tc>
        <w:tc>
          <w:tcPr>
            <w:tcW w:w="1264" w:type="dxa"/>
            <w:vAlign w:val="center"/>
          </w:tcPr>
          <w:p>
            <w:pPr>
              <w:spacing w:line="276" w:lineRule="auto"/>
              <w:rPr>
                <w:rFonts w:ascii="宋体" w:hAnsi="宋体" w:cs="Calibri"/>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科研实力</w:t>
            </w:r>
          </w:p>
        </w:tc>
        <w:tc>
          <w:tcPr>
            <w:tcW w:w="6804" w:type="dxa"/>
            <w:vAlign w:val="center"/>
          </w:tcPr>
          <w:p>
            <w:pPr>
              <w:snapToGrid w:val="0"/>
              <w:spacing w:line="360" w:lineRule="auto"/>
              <w:jc w:val="left"/>
              <w:outlineLvl w:val="2"/>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科研能力强，具有与双一流高校签定的长期合作培训协议，提供协议复印件加盖公章。10分。</w:t>
            </w:r>
          </w:p>
        </w:tc>
        <w:tc>
          <w:tcPr>
            <w:tcW w:w="895" w:type="dxa"/>
            <w:vAlign w:val="center"/>
          </w:tcPr>
          <w:p>
            <w:pPr>
              <w:spacing w:line="360" w:lineRule="exact"/>
              <w:jc w:val="center"/>
              <w:rPr>
                <w:rFonts w:ascii="宋体" w:hAnsi="宋体" w:cs="宋体"/>
                <w:sz w:val="24"/>
                <w:szCs w:val="24"/>
              </w:rPr>
            </w:pPr>
            <w:r>
              <w:rPr>
                <w:rFonts w:hint="eastAsia" w:ascii="宋体" w:hAnsi="宋体" w:cs="宋体"/>
                <w:sz w:val="24"/>
                <w:szCs w:val="24"/>
              </w:rPr>
              <w:t>10</w:t>
            </w:r>
          </w:p>
        </w:tc>
      </w:tr>
    </w:tbl>
    <w:p>
      <w:pPr>
        <w:pStyle w:val="2"/>
        <w:ind w:firstLine="482"/>
        <w:rPr>
          <w:rFonts w:ascii="宋体" w:hAnsi="宋体" w:cs="宋体"/>
          <w:b/>
          <w:bCs/>
          <w:sz w:val="24"/>
        </w:rPr>
      </w:pPr>
    </w:p>
    <w:p>
      <w:pPr>
        <w:snapToGrid w:val="0"/>
        <w:spacing w:line="480" w:lineRule="exact"/>
        <w:ind w:firstLine="482" w:firstLineChars="200"/>
        <w:rPr>
          <w:rFonts w:ascii="宋体"/>
          <w:b/>
          <w:bCs/>
          <w:sz w:val="24"/>
          <w:szCs w:val="24"/>
        </w:rPr>
      </w:pPr>
      <w:r>
        <w:rPr>
          <w:rFonts w:hint="eastAsia" w:ascii="宋体" w:hAnsi="宋体" w:cs="宋体"/>
          <w:b/>
          <w:bCs/>
          <w:sz w:val="24"/>
          <w:szCs w:val="24"/>
        </w:rPr>
        <w:t>（二）商务报价响应评分：（1</w:t>
      </w:r>
      <w:r>
        <w:rPr>
          <w:rFonts w:ascii="宋体" w:cs="宋体"/>
          <w:b/>
          <w:bCs/>
          <w:sz w:val="24"/>
          <w:szCs w:val="24"/>
        </w:rPr>
        <w:t>0</w:t>
      </w:r>
      <w:r>
        <w:rPr>
          <w:rFonts w:hint="eastAsia" w:ascii="宋体" w:hAnsi="宋体" w:cs="宋体"/>
          <w:b/>
          <w:bCs/>
          <w:sz w:val="24"/>
          <w:szCs w:val="24"/>
        </w:rPr>
        <w:t>分）</w:t>
      </w:r>
    </w:p>
    <w:p>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、本次项目采购预算为</w:t>
      </w:r>
      <w:r>
        <w:rPr>
          <w:rFonts w:hint="eastAsia" w:ascii="宋体" w:hAnsi="宋体" w:cs="宋体"/>
          <w:sz w:val="24"/>
          <w:szCs w:val="24"/>
          <w:u w:val="single"/>
        </w:rPr>
        <w:t xml:space="preserve"> 40 </w:t>
      </w:r>
      <w:r>
        <w:rPr>
          <w:rFonts w:hint="eastAsia" w:ascii="宋体" w:hAnsi="宋体" w:cs="宋体"/>
          <w:sz w:val="24"/>
          <w:szCs w:val="24"/>
        </w:rPr>
        <w:t>万元，投标报价超过采购预算的作无效投标处理。</w:t>
      </w:r>
    </w:p>
    <w:p>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、满足招标文件要求且投标报价最低的报价为评标基准价，其商务标得分为满分1</w:t>
      </w:r>
      <w:r>
        <w:rPr>
          <w:rFonts w:ascii="宋体" w:hAnsi="宋体" w:cs="宋体"/>
          <w:sz w:val="24"/>
          <w:szCs w:val="24"/>
        </w:rPr>
        <w:t>0</w:t>
      </w:r>
      <w:r>
        <w:rPr>
          <w:rFonts w:hint="eastAsia" w:ascii="宋体" w:hAnsi="宋体" w:cs="宋体"/>
          <w:sz w:val="24"/>
          <w:szCs w:val="24"/>
        </w:rPr>
        <w:t>分。</w:t>
      </w:r>
    </w:p>
    <w:p>
      <w:pPr>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、其他投标供应商的商务标得分按照下列公式计算：</w:t>
      </w:r>
    </w:p>
    <w:p>
      <w:pPr>
        <w:snapToGrid w:val="0"/>
        <w:spacing w:line="480" w:lineRule="exact"/>
        <w:ind w:firstLine="480" w:firstLineChars="200"/>
        <w:rPr>
          <w:rFonts w:ascii="宋体"/>
          <w:sz w:val="24"/>
          <w:szCs w:val="24"/>
        </w:rPr>
      </w:pPr>
      <w:r>
        <w:rPr>
          <w:rFonts w:hint="eastAsia" w:ascii="宋体" w:hAnsi="宋体" w:cs="宋体"/>
          <w:sz w:val="24"/>
          <w:szCs w:val="24"/>
        </w:rPr>
        <w:t>商务标得分</w:t>
      </w:r>
      <w:r>
        <w:rPr>
          <w:rFonts w:ascii="宋体" w:hAnsi="宋体" w:cs="宋体"/>
          <w:sz w:val="24"/>
          <w:szCs w:val="24"/>
        </w:rPr>
        <w:t xml:space="preserve"> =</w:t>
      </w:r>
      <w:r>
        <w:rPr>
          <w:rFonts w:hint="eastAsia" w:ascii="宋体" w:hAnsi="宋体" w:cs="宋体"/>
          <w:sz w:val="24"/>
          <w:szCs w:val="24"/>
        </w:rPr>
        <w:t>（评标基准价</w:t>
      </w:r>
      <w:r>
        <w:rPr>
          <w:rFonts w:ascii="宋体" w:hAnsi="宋体" w:cs="宋体"/>
          <w:sz w:val="24"/>
          <w:szCs w:val="24"/>
        </w:rPr>
        <w:t>/</w:t>
      </w:r>
      <w:r>
        <w:rPr>
          <w:rFonts w:hint="eastAsia" w:ascii="宋体" w:hAnsi="宋体" w:cs="宋体"/>
          <w:sz w:val="24"/>
          <w:szCs w:val="24"/>
        </w:rPr>
        <w:t>磋商最后报价）×1</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100</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注：以上几项设得分上限，评委依据磋商文件载明的方法评分，评分四舍五入精确到小数点后两位。所需证明材料均要提供原件备查。</w:t>
      </w:r>
    </w:p>
    <w:p>
      <w:pPr>
        <w:adjustRightInd w:val="0"/>
        <w:spacing w:before="120" w:after="120" w:line="360" w:lineRule="auto"/>
        <w:ind w:left="-2" w:right="120" w:firstLine="482" w:firstLineChars="200"/>
        <w:textAlignment w:val="baseline"/>
        <w:rPr>
          <w:rFonts w:ascii="宋体" w:hAnsi="宋体" w:cs="宋体"/>
          <w:b/>
          <w:sz w:val="24"/>
          <w:szCs w:val="24"/>
        </w:rPr>
      </w:pPr>
      <w:bookmarkStart w:id="33" w:name="_Toc28714"/>
      <w:bookmarkStart w:id="34" w:name="_Toc562"/>
      <w:r>
        <w:rPr>
          <w:rFonts w:hint="eastAsia" w:ascii="宋体" w:hAnsi="宋体" w:cs="宋体"/>
          <w:b/>
          <w:kern w:val="0"/>
          <w:sz w:val="24"/>
          <w:szCs w:val="24"/>
        </w:rPr>
        <w:t>六</w:t>
      </w:r>
      <w:r>
        <w:rPr>
          <w:rFonts w:hint="eastAsia" w:ascii="宋体" w:hAnsi="宋体" w:cs="宋体"/>
          <w:kern w:val="0"/>
          <w:sz w:val="24"/>
          <w:szCs w:val="24"/>
        </w:rPr>
        <w:t>、</w:t>
      </w:r>
      <w:r>
        <w:rPr>
          <w:rFonts w:hint="eastAsia" w:ascii="宋体" w:hAnsi="宋体" w:cs="宋体"/>
          <w:b/>
          <w:sz w:val="24"/>
          <w:szCs w:val="24"/>
        </w:rPr>
        <w:t>政府采购政策功能落实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1、小微型企业价格扣除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（1）本项目对小型和微型企业产品给予10%的扣除价格，用扣除后的价格参与评审。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（2）供应商需按照采购文件的要求提供相应的《小型、微型企业声明函》。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（3）企业标准请参照《关于印发中小企业划型标准规定的通知》（工信部联企业[2011]300号）文件规定自行填写。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2、残疾人福利单位价格扣除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（1）本项目对残疾人福利性单位视同小型、微型企业，给予6%的价格扣除，用扣除后的价格参与评审。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（2）残疾人福利单位需按照采购文件的要求提供《残疾人福利性单位声明函》。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（3）残疾人福利单位标准请参照《关于促进残疾人就业政府采购政策的通知》（财库〔2017〕141号）。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3、监狱和戒毒企业价格扣除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（1）本项目对监狱和戒毒企业（简称监狱企业）视同小型、微型企业，给予6%的价格扣除，用扣除后的价格参与评审。</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（3）监狱企业标准请参照《关于政府采购支持监狱企业发展有关问题的通知》（财库[2014]68号）。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4、残疾人福利单位、监狱企业属于小型、微型企业的，不重复享受政策。</w:t>
      </w:r>
    </w:p>
    <w:p>
      <w:pPr>
        <w:snapToGrid w:val="0"/>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、根据《江苏省政府采购信用管理暂行办法》的规定，对有失信行为的供应商将根据信用评价结果按规定予以扣分或价格加成。</w:t>
      </w:r>
    </w:p>
    <w:p>
      <w:pPr>
        <w:keepNext/>
        <w:keepLines/>
        <w:adjustRightInd w:val="0"/>
        <w:spacing w:before="260" w:after="260" w:line="360" w:lineRule="auto"/>
        <w:ind w:firstLine="482" w:firstLineChars="200"/>
        <w:textAlignment w:val="baseline"/>
        <w:outlineLvl w:val="1"/>
        <w:rPr>
          <w:rFonts w:ascii="宋体" w:hAnsi="宋体" w:cs="宋体"/>
          <w:b/>
          <w:kern w:val="0"/>
          <w:sz w:val="24"/>
          <w:szCs w:val="24"/>
        </w:rPr>
      </w:pPr>
      <w:r>
        <w:rPr>
          <w:rFonts w:hint="eastAsia" w:ascii="宋体" w:hAnsi="宋体" w:cs="宋体"/>
          <w:b/>
          <w:kern w:val="0"/>
          <w:sz w:val="24"/>
          <w:szCs w:val="24"/>
        </w:rPr>
        <w:t>七、出现下列情形之一的，作无效标处理</w:t>
      </w:r>
      <w:bookmarkEnd w:id="33"/>
      <w:bookmarkEnd w:id="34"/>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1、响应文件未按磋商文件要求装订、密封、签署、盖章及主要资料不齐全的；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2、响应文件的资料有虚报或者谎报的；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3、响应文件中资格审查文件及技术响应文件出现磋商报价的内容；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4、不具备磋商文件规定的资格要求的；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5、响应文件有重大漏项或重大不合理的；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6、项目技术、方案不满足项目需求中的要求，有重大偏离或保留的；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7、磋商响应报价超出项目预算的；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8、被认定为低于成本报价磋商竞标的；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9、供应商的磋商报价高于自己前一轮的；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10、不符合法律、法规和磋商文件中规定的其他实质性响应要求的；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11、磋商小组依据法律法规可以认定为无效投标的其他情况。</w:t>
      </w:r>
    </w:p>
    <w:p>
      <w:pPr>
        <w:keepNext/>
        <w:keepLines/>
        <w:adjustRightInd w:val="0"/>
        <w:spacing w:before="260" w:after="260" w:line="360" w:lineRule="auto"/>
        <w:ind w:firstLine="482" w:firstLineChars="200"/>
        <w:textAlignment w:val="baseline"/>
        <w:outlineLvl w:val="1"/>
        <w:rPr>
          <w:rFonts w:ascii="宋体" w:hAnsi="宋体" w:cs="宋体"/>
          <w:b/>
          <w:kern w:val="0"/>
          <w:sz w:val="24"/>
          <w:szCs w:val="24"/>
        </w:rPr>
      </w:pPr>
      <w:bookmarkStart w:id="35" w:name="_Toc20317"/>
      <w:bookmarkStart w:id="36" w:name="_Toc14073"/>
      <w:r>
        <w:rPr>
          <w:rFonts w:hint="eastAsia" w:ascii="宋体" w:hAnsi="宋体" w:cs="宋体"/>
          <w:b/>
          <w:kern w:val="0"/>
          <w:sz w:val="24"/>
          <w:szCs w:val="24"/>
        </w:rPr>
        <w:t>八、出现下列情形之一的，作废标处理</w:t>
      </w:r>
      <w:bookmarkEnd w:id="35"/>
      <w:bookmarkEnd w:id="36"/>
    </w:p>
    <w:p>
      <w:pPr>
        <w:spacing w:line="360" w:lineRule="auto"/>
        <w:ind w:firstLine="480" w:firstLineChars="200"/>
        <w:rPr>
          <w:rFonts w:ascii="宋体" w:hAnsi="宋体" w:cs="宋体"/>
          <w:sz w:val="24"/>
          <w:szCs w:val="24"/>
        </w:rPr>
      </w:pPr>
      <w:r>
        <w:rPr>
          <w:rFonts w:hint="eastAsia" w:ascii="宋体" w:hAnsi="宋体" w:cs="宋体"/>
          <w:sz w:val="24"/>
          <w:szCs w:val="24"/>
        </w:rPr>
        <w:t>1、供应商的报价均超出了采购预算；</w:t>
      </w:r>
    </w:p>
    <w:p>
      <w:pPr>
        <w:spacing w:line="360" w:lineRule="auto"/>
        <w:ind w:firstLine="480" w:firstLineChars="200"/>
        <w:rPr>
          <w:rFonts w:ascii="宋体" w:hAnsi="宋体" w:cs="宋体"/>
          <w:sz w:val="24"/>
          <w:szCs w:val="24"/>
        </w:rPr>
      </w:pPr>
      <w:r>
        <w:rPr>
          <w:rFonts w:hint="eastAsia" w:ascii="宋体" w:hAnsi="宋体" w:cs="宋体"/>
          <w:sz w:val="24"/>
          <w:szCs w:val="24"/>
        </w:rPr>
        <w:t>2、因情况变化，不再符合规定的竞争性磋商采购方式所适用情形的；</w:t>
      </w:r>
    </w:p>
    <w:p>
      <w:pPr>
        <w:spacing w:line="360" w:lineRule="auto"/>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pPr>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auto"/>
        <w:ind w:firstLine="480" w:firstLineChars="200"/>
        <w:rPr>
          <w:rFonts w:ascii="宋体" w:hAnsi="宋体" w:cs="宋体"/>
          <w:sz w:val="24"/>
          <w:szCs w:val="24"/>
        </w:rPr>
      </w:pPr>
      <w:r>
        <w:rPr>
          <w:rFonts w:hint="eastAsia" w:ascii="宋体" w:hAnsi="宋体" w:cs="宋体"/>
          <w:sz w:val="24"/>
          <w:szCs w:val="24"/>
        </w:rPr>
        <w:t>5、磋商小组依据法律法规可以认定为废标的其他情况。</w:t>
      </w:r>
    </w:p>
    <w:p>
      <w:pPr>
        <w:keepNext/>
        <w:keepLines/>
        <w:adjustRightInd w:val="0"/>
        <w:spacing w:before="260" w:after="260" w:line="360" w:lineRule="auto"/>
        <w:ind w:firstLine="482" w:firstLineChars="200"/>
        <w:textAlignment w:val="baseline"/>
        <w:outlineLvl w:val="1"/>
        <w:rPr>
          <w:rFonts w:ascii="宋体" w:hAnsi="宋体" w:cs="宋体"/>
          <w:b/>
          <w:kern w:val="0"/>
          <w:sz w:val="24"/>
          <w:szCs w:val="24"/>
        </w:rPr>
      </w:pPr>
      <w:bookmarkStart w:id="37" w:name="_Toc5822"/>
      <w:bookmarkStart w:id="38" w:name="_Toc30393"/>
      <w:r>
        <w:rPr>
          <w:rFonts w:hint="eastAsia" w:ascii="宋体" w:hAnsi="宋体" w:cs="宋体"/>
          <w:b/>
          <w:kern w:val="0"/>
          <w:sz w:val="24"/>
          <w:szCs w:val="24"/>
        </w:rPr>
        <w:t>九、成交通知</w:t>
      </w:r>
      <w:bookmarkEnd w:id="37"/>
      <w:bookmarkEnd w:id="38"/>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1、开标结束后，采购人自中标人确定之日起2个工作日内在指定媒体上公告中标结果。</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2、中标公告期限为1个工作日，期限结束后向中标人发出《中标通知书》。</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3、《中标通知书》一经发出，即具有法律效力。采购人、中标人依法承担法律责任。</w:t>
      </w:r>
    </w:p>
    <w:p>
      <w:pPr>
        <w:snapToGrid w:val="0"/>
        <w:spacing w:line="360" w:lineRule="auto"/>
        <w:ind w:firstLine="354" w:firstLineChars="147"/>
        <w:outlineLvl w:val="2"/>
        <w:rPr>
          <w:rFonts w:hAnsi="宋体" w:cs="宋体"/>
          <w:b/>
          <w:sz w:val="24"/>
          <w:szCs w:val="24"/>
        </w:rPr>
      </w:pPr>
    </w:p>
    <w:p>
      <w:pPr>
        <w:snapToGrid w:val="0"/>
        <w:spacing w:line="360" w:lineRule="auto"/>
        <w:ind w:firstLine="573"/>
        <w:jc w:val="center"/>
        <w:rPr>
          <w:rFonts w:hAnsi="宋体"/>
          <w:b/>
          <w:w w:val="80"/>
          <w:kern w:val="44"/>
          <w:sz w:val="44"/>
          <w:szCs w:val="44"/>
        </w:rPr>
      </w:pPr>
      <w:r>
        <w:rPr>
          <w:kern w:val="0"/>
          <w:sz w:val="24"/>
          <w:szCs w:val="24"/>
        </w:rPr>
        <w:br w:type="page"/>
      </w:r>
    </w:p>
    <w:p>
      <w:pPr>
        <w:tabs>
          <w:tab w:val="left" w:pos="3108"/>
        </w:tabs>
        <w:spacing w:line="360" w:lineRule="auto"/>
        <w:jc w:val="center"/>
        <w:rPr>
          <w:rFonts w:hAnsi="宋体" w:cs="宋体"/>
          <w:sz w:val="44"/>
          <w:szCs w:val="44"/>
        </w:rPr>
      </w:pPr>
      <w:bookmarkStart w:id="39" w:name="_Toc30985"/>
      <w:bookmarkStart w:id="40" w:name="_Toc8121"/>
      <w:r>
        <w:rPr>
          <w:rFonts w:hint="eastAsia"/>
          <w:sz w:val="44"/>
          <w:szCs w:val="44"/>
        </w:rPr>
        <w:t>第五章  合同主要条款</w:t>
      </w:r>
      <w:bookmarkEnd w:id="39"/>
      <w:bookmarkEnd w:id="40"/>
    </w:p>
    <w:p>
      <w:pPr>
        <w:ind w:firstLine="480"/>
        <w:jc w:val="center"/>
        <w:rPr>
          <w:rFonts w:ascii="黑体" w:hAnsi="黑体" w:eastAsia="黑体"/>
          <w:sz w:val="32"/>
          <w:szCs w:val="32"/>
        </w:rPr>
      </w:pPr>
    </w:p>
    <w:p>
      <w:pPr>
        <w:ind w:firstLine="480"/>
        <w:jc w:val="center"/>
        <w:rPr>
          <w:rFonts w:ascii="黑体" w:hAnsi="黑体" w:eastAsia="黑体"/>
          <w:sz w:val="36"/>
          <w:szCs w:val="36"/>
        </w:rPr>
      </w:pPr>
      <w:r>
        <w:rPr>
          <w:rFonts w:hint="eastAsia" w:ascii="黑体" w:hAnsi="黑体" w:eastAsia="黑体"/>
          <w:sz w:val="36"/>
          <w:szCs w:val="36"/>
        </w:rPr>
        <w:t>服务合同</w:t>
      </w:r>
    </w:p>
    <w:p>
      <w:pPr>
        <w:pStyle w:val="8"/>
        <w:rPr>
          <w:rFonts w:hint="eastAsia"/>
          <w:sz w:val="24"/>
          <w:szCs w:val="24"/>
        </w:rPr>
      </w:pPr>
    </w:p>
    <w:p>
      <w:pPr>
        <w:spacing w:line="360" w:lineRule="auto"/>
        <w:ind w:firstLine="480"/>
        <w:rPr>
          <w:sz w:val="24"/>
          <w:szCs w:val="24"/>
        </w:rPr>
      </w:pPr>
      <w:r>
        <w:rPr>
          <w:rFonts w:hint="eastAsia"/>
          <w:sz w:val="24"/>
          <w:szCs w:val="24"/>
        </w:rPr>
        <w:t>采购单位（全称）：</w:t>
      </w:r>
      <w:r>
        <w:rPr>
          <w:rFonts w:hint="eastAsia"/>
          <w:sz w:val="24"/>
          <w:szCs w:val="24"/>
          <w:u w:val="single"/>
        </w:rPr>
        <w:t xml:space="preserve">                               </w:t>
      </w:r>
      <w:r>
        <w:rPr>
          <w:rFonts w:hint="eastAsia"/>
          <w:sz w:val="24"/>
          <w:szCs w:val="24"/>
        </w:rPr>
        <w:t>（简称甲方）</w:t>
      </w:r>
    </w:p>
    <w:p>
      <w:pPr>
        <w:spacing w:line="360" w:lineRule="auto"/>
        <w:ind w:firstLine="480"/>
        <w:rPr>
          <w:sz w:val="24"/>
          <w:szCs w:val="24"/>
        </w:rPr>
      </w:pPr>
      <w:r>
        <w:rPr>
          <w:rFonts w:hint="eastAsia"/>
          <w:sz w:val="24"/>
          <w:szCs w:val="24"/>
        </w:rPr>
        <w:t>中 标 人（全称）：</w:t>
      </w:r>
      <w:r>
        <w:rPr>
          <w:rFonts w:hint="eastAsia"/>
          <w:sz w:val="24"/>
          <w:szCs w:val="24"/>
          <w:u w:val="single"/>
        </w:rPr>
        <w:t xml:space="preserve">                               </w:t>
      </w:r>
      <w:r>
        <w:rPr>
          <w:rFonts w:hint="eastAsia"/>
          <w:sz w:val="24"/>
          <w:szCs w:val="24"/>
        </w:rPr>
        <w:t>（简称乙方）</w:t>
      </w:r>
    </w:p>
    <w:p>
      <w:pPr>
        <w:spacing w:line="360" w:lineRule="auto"/>
        <w:ind w:firstLine="480" w:firstLineChars="200"/>
        <w:rPr>
          <w:rFonts w:eastAsiaTheme="majorEastAsia"/>
          <w:sz w:val="24"/>
          <w:szCs w:val="24"/>
        </w:rPr>
      </w:pPr>
      <w:r>
        <w:rPr>
          <w:rFonts w:hint="eastAsia"/>
          <w:sz w:val="24"/>
          <w:szCs w:val="24"/>
        </w:rPr>
        <w:t>依照《中华人民共和国政府采购法》、《中华人民共和国民法典》及其他有关法律、行政法规，遵循平等、自愿、公平和诚实信用的原则，双方就</w:t>
      </w:r>
      <w:r>
        <w:rPr>
          <w:rFonts w:eastAsiaTheme="majorEastAsia"/>
          <w:sz w:val="24"/>
          <w:szCs w:val="24"/>
          <w:u w:val="single"/>
        </w:rPr>
        <w:t>南通市</w:t>
      </w:r>
      <w:r>
        <w:rPr>
          <w:rFonts w:hint="eastAsia" w:eastAsiaTheme="majorEastAsia"/>
          <w:sz w:val="24"/>
          <w:szCs w:val="24"/>
          <w:u w:val="single"/>
        </w:rPr>
        <w:t>崇川区商务局加油站点安全、环保监管项目，甲方购买乙方服务</w:t>
      </w:r>
      <w:r>
        <w:rPr>
          <w:rFonts w:hint="eastAsia"/>
          <w:sz w:val="24"/>
          <w:szCs w:val="24"/>
        </w:rPr>
        <w:t>相关事项协商一致，达成如下合同条款：</w:t>
      </w:r>
    </w:p>
    <w:p>
      <w:pPr>
        <w:spacing w:line="450" w:lineRule="exact"/>
        <w:ind w:firstLine="480" w:firstLineChars="200"/>
        <w:rPr>
          <w:rFonts w:eastAsiaTheme="majorEastAsia"/>
          <w:sz w:val="24"/>
          <w:szCs w:val="24"/>
        </w:rPr>
      </w:pPr>
      <w:r>
        <w:rPr>
          <w:rFonts w:eastAsiaTheme="majorEastAsia"/>
          <w:sz w:val="24"/>
          <w:szCs w:val="24"/>
        </w:rPr>
        <w:t>一、</w:t>
      </w:r>
      <w:r>
        <w:rPr>
          <w:rFonts w:hint="eastAsia" w:eastAsiaTheme="majorEastAsia"/>
          <w:sz w:val="24"/>
          <w:szCs w:val="24"/>
        </w:rPr>
        <w:t>服务</w:t>
      </w:r>
      <w:r>
        <w:rPr>
          <w:rFonts w:eastAsiaTheme="majorEastAsia"/>
          <w:sz w:val="24"/>
          <w:szCs w:val="24"/>
        </w:rPr>
        <w:t>范围</w:t>
      </w:r>
    </w:p>
    <w:p>
      <w:pPr>
        <w:spacing w:line="450" w:lineRule="exact"/>
        <w:ind w:firstLine="480" w:firstLineChars="200"/>
        <w:rPr>
          <w:rFonts w:eastAsiaTheme="majorEastAsia"/>
          <w:sz w:val="24"/>
          <w:szCs w:val="24"/>
        </w:rPr>
      </w:pPr>
      <w:r>
        <w:rPr>
          <w:rFonts w:eastAsiaTheme="majorEastAsia"/>
          <w:sz w:val="24"/>
          <w:szCs w:val="24"/>
        </w:rPr>
        <w:t>为</w:t>
      </w:r>
      <w:r>
        <w:rPr>
          <w:rFonts w:hint="eastAsia" w:eastAsiaTheme="majorEastAsia"/>
          <w:sz w:val="24"/>
          <w:szCs w:val="24"/>
        </w:rPr>
        <w:t>南通市崇川区商务局</w:t>
      </w:r>
      <w:r>
        <w:rPr>
          <w:rFonts w:eastAsiaTheme="majorEastAsia"/>
          <w:sz w:val="24"/>
          <w:szCs w:val="24"/>
        </w:rPr>
        <w:t>提供加油站点</w:t>
      </w:r>
      <w:r>
        <w:rPr>
          <w:rFonts w:hint="eastAsia" w:eastAsiaTheme="majorEastAsia"/>
          <w:sz w:val="24"/>
          <w:szCs w:val="24"/>
        </w:rPr>
        <w:t>（站点名单附后）</w:t>
      </w:r>
      <w:r>
        <w:rPr>
          <w:rFonts w:eastAsiaTheme="majorEastAsia"/>
          <w:sz w:val="24"/>
          <w:szCs w:val="24"/>
        </w:rPr>
        <w:t>安全、环保检查技术咨询</w:t>
      </w:r>
      <w:r>
        <w:rPr>
          <w:rFonts w:hint="eastAsia" w:eastAsiaTheme="majorEastAsia"/>
          <w:sz w:val="24"/>
          <w:szCs w:val="24"/>
        </w:rPr>
        <w:t>。</w:t>
      </w:r>
    </w:p>
    <w:p>
      <w:pPr>
        <w:spacing w:line="450" w:lineRule="exact"/>
        <w:ind w:firstLine="480" w:firstLineChars="200"/>
        <w:rPr>
          <w:rFonts w:eastAsiaTheme="majorEastAsia"/>
          <w:sz w:val="24"/>
          <w:szCs w:val="24"/>
        </w:rPr>
      </w:pPr>
      <w:r>
        <w:rPr>
          <w:rFonts w:eastAsiaTheme="majorEastAsia"/>
          <w:sz w:val="24"/>
          <w:szCs w:val="24"/>
        </w:rPr>
        <w:t>二、</w:t>
      </w:r>
      <w:r>
        <w:rPr>
          <w:rFonts w:hint="eastAsia" w:eastAsiaTheme="majorEastAsia"/>
          <w:sz w:val="24"/>
          <w:szCs w:val="24"/>
        </w:rPr>
        <w:t>服务</w:t>
      </w:r>
      <w:r>
        <w:rPr>
          <w:rFonts w:eastAsiaTheme="majorEastAsia"/>
          <w:sz w:val="24"/>
          <w:szCs w:val="24"/>
        </w:rPr>
        <w:t>内容</w:t>
      </w:r>
    </w:p>
    <w:p>
      <w:pPr>
        <w:spacing w:line="450" w:lineRule="exact"/>
        <w:ind w:firstLine="480" w:firstLineChars="200"/>
        <w:rPr>
          <w:rFonts w:eastAsiaTheme="majorEastAsia"/>
          <w:sz w:val="24"/>
          <w:szCs w:val="24"/>
        </w:rPr>
      </w:pPr>
      <w:r>
        <w:rPr>
          <w:rFonts w:eastAsiaTheme="majorEastAsia"/>
          <w:sz w:val="24"/>
          <w:szCs w:val="24"/>
        </w:rPr>
        <w:t>1、每月根据</w:t>
      </w:r>
      <w:r>
        <w:rPr>
          <w:rFonts w:hint="eastAsia" w:eastAsiaTheme="majorEastAsia"/>
          <w:sz w:val="24"/>
          <w:szCs w:val="24"/>
        </w:rPr>
        <w:t>南通市崇川区商务局</w:t>
      </w:r>
      <w:r>
        <w:rPr>
          <w:rFonts w:eastAsiaTheme="majorEastAsia"/>
          <w:sz w:val="24"/>
          <w:szCs w:val="24"/>
        </w:rPr>
        <w:t>的要求，安排安全、环保专家陪同商务局工作人员对崇川区加油站点进行检查，每季度需完成对区内所有加油站点的全覆盖；</w:t>
      </w:r>
    </w:p>
    <w:p>
      <w:pPr>
        <w:spacing w:line="450" w:lineRule="exact"/>
        <w:ind w:firstLine="480" w:firstLineChars="200"/>
        <w:rPr>
          <w:rFonts w:eastAsiaTheme="majorEastAsia"/>
          <w:sz w:val="24"/>
          <w:szCs w:val="24"/>
        </w:rPr>
      </w:pPr>
      <w:r>
        <w:rPr>
          <w:rFonts w:eastAsiaTheme="majorEastAsia"/>
          <w:sz w:val="24"/>
          <w:szCs w:val="24"/>
        </w:rPr>
        <w:t>2、将在陪同</w:t>
      </w:r>
      <w:r>
        <w:rPr>
          <w:rFonts w:hint="eastAsia" w:eastAsiaTheme="majorEastAsia"/>
          <w:sz w:val="24"/>
          <w:szCs w:val="24"/>
        </w:rPr>
        <w:t>南通市崇川区商务局</w:t>
      </w:r>
      <w:r>
        <w:rPr>
          <w:rFonts w:eastAsiaTheme="majorEastAsia"/>
          <w:sz w:val="24"/>
          <w:szCs w:val="24"/>
        </w:rPr>
        <w:t>工作人员加油站点现场检查过程中发现的安全、环保问题反馈给</w:t>
      </w:r>
      <w:r>
        <w:rPr>
          <w:rFonts w:hint="eastAsia" w:eastAsiaTheme="majorEastAsia"/>
          <w:sz w:val="24"/>
          <w:szCs w:val="24"/>
        </w:rPr>
        <w:t>南通市崇川区商务局</w:t>
      </w:r>
      <w:r>
        <w:rPr>
          <w:rFonts w:eastAsiaTheme="majorEastAsia"/>
          <w:sz w:val="24"/>
          <w:szCs w:val="24"/>
        </w:rPr>
        <w:t>工作人员，并做好相关记录；</w:t>
      </w:r>
    </w:p>
    <w:p>
      <w:pPr>
        <w:spacing w:line="450" w:lineRule="exact"/>
        <w:ind w:firstLine="480" w:firstLineChars="200"/>
        <w:rPr>
          <w:rFonts w:eastAsiaTheme="majorEastAsia"/>
          <w:sz w:val="24"/>
          <w:szCs w:val="24"/>
        </w:rPr>
      </w:pPr>
      <w:r>
        <w:rPr>
          <w:rFonts w:eastAsiaTheme="majorEastAsia"/>
          <w:sz w:val="24"/>
          <w:szCs w:val="24"/>
        </w:rPr>
        <w:t>3、配合</w:t>
      </w:r>
      <w:r>
        <w:rPr>
          <w:rFonts w:hint="eastAsia" w:eastAsiaTheme="majorEastAsia"/>
          <w:sz w:val="24"/>
          <w:szCs w:val="24"/>
        </w:rPr>
        <w:t>南通市崇川区商务局</w:t>
      </w:r>
      <w:r>
        <w:rPr>
          <w:rFonts w:eastAsiaTheme="majorEastAsia"/>
          <w:sz w:val="24"/>
          <w:szCs w:val="24"/>
        </w:rPr>
        <w:t>工作人员做好问题整改复查工作，对整改是否达到要求向甲方提出技术意见；</w:t>
      </w:r>
    </w:p>
    <w:p>
      <w:pPr>
        <w:spacing w:line="450" w:lineRule="exact"/>
        <w:ind w:firstLine="480" w:firstLineChars="200"/>
        <w:rPr>
          <w:rFonts w:eastAsiaTheme="majorEastAsia"/>
          <w:sz w:val="24"/>
          <w:szCs w:val="24"/>
        </w:rPr>
      </w:pPr>
      <w:r>
        <w:rPr>
          <w:rFonts w:eastAsiaTheme="majorEastAsia"/>
          <w:sz w:val="24"/>
          <w:szCs w:val="24"/>
        </w:rPr>
        <w:t>4、协助</w:t>
      </w:r>
      <w:r>
        <w:rPr>
          <w:rFonts w:hint="eastAsia" w:eastAsiaTheme="majorEastAsia"/>
          <w:sz w:val="24"/>
          <w:szCs w:val="24"/>
        </w:rPr>
        <w:t>南通市崇川区商务局</w:t>
      </w:r>
      <w:r>
        <w:rPr>
          <w:rFonts w:eastAsiaTheme="majorEastAsia"/>
          <w:sz w:val="24"/>
          <w:szCs w:val="24"/>
        </w:rPr>
        <w:t>工作人员检查后，一周内健全崇川区加油站点安全、环保检查台账资料并向甲方提供；</w:t>
      </w:r>
    </w:p>
    <w:p>
      <w:pPr>
        <w:spacing w:line="450" w:lineRule="exact"/>
        <w:ind w:firstLine="480" w:firstLineChars="200"/>
        <w:rPr>
          <w:rFonts w:eastAsiaTheme="majorEastAsia"/>
          <w:sz w:val="24"/>
          <w:szCs w:val="24"/>
        </w:rPr>
      </w:pPr>
      <w:r>
        <w:rPr>
          <w:rFonts w:eastAsiaTheme="majorEastAsia"/>
          <w:sz w:val="24"/>
          <w:szCs w:val="24"/>
        </w:rPr>
        <w:t>5、完成</w:t>
      </w:r>
      <w:r>
        <w:rPr>
          <w:rFonts w:hint="eastAsia" w:eastAsiaTheme="majorEastAsia"/>
          <w:sz w:val="24"/>
          <w:szCs w:val="24"/>
        </w:rPr>
        <w:t>一年</w:t>
      </w:r>
      <w:r>
        <w:rPr>
          <w:rFonts w:eastAsiaTheme="majorEastAsia"/>
          <w:sz w:val="24"/>
          <w:szCs w:val="24"/>
        </w:rPr>
        <w:t>协助检查工作后对协助检查情况进行梳理总结，分析存在的共性问题，提出针对性建议，为主管部门加强行业监管提供相关咨询。</w:t>
      </w:r>
    </w:p>
    <w:p>
      <w:pPr>
        <w:spacing w:line="450" w:lineRule="exact"/>
        <w:ind w:firstLine="480" w:firstLineChars="200"/>
        <w:rPr>
          <w:rFonts w:eastAsiaTheme="majorEastAsia"/>
          <w:sz w:val="24"/>
          <w:szCs w:val="24"/>
        </w:rPr>
      </w:pPr>
      <w:r>
        <w:rPr>
          <w:rFonts w:eastAsiaTheme="majorEastAsia"/>
          <w:sz w:val="24"/>
          <w:szCs w:val="24"/>
        </w:rPr>
        <w:t>三、工作要求</w:t>
      </w:r>
    </w:p>
    <w:p>
      <w:pPr>
        <w:spacing w:line="450" w:lineRule="exact"/>
        <w:ind w:firstLine="480" w:firstLineChars="200"/>
        <w:rPr>
          <w:rFonts w:eastAsiaTheme="majorEastAsia"/>
          <w:sz w:val="24"/>
          <w:szCs w:val="24"/>
        </w:rPr>
      </w:pPr>
      <w:r>
        <w:rPr>
          <w:rFonts w:eastAsiaTheme="majorEastAsia"/>
          <w:sz w:val="24"/>
          <w:szCs w:val="24"/>
        </w:rPr>
        <w:t>1、甲方将视情组织对乙方及其服务人员工作质量进行评估，并对评估结果予以通报，服务质量直接与服务费挂钩。</w:t>
      </w:r>
    </w:p>
    <w:p>
      <w:pPr>
        <w:spacing w:line="450" w:lineRule="exact"/>
        <w:ind w:firstLine="480" w:firstLineChars="200"/>
        <w:rPr>
          <w:rFonts w:eastAsiaTheme="majorEastAsia"/>
          <w:sz w:val="24"/>
          <w:szCs w:val="24"/>
        </w:rPr>
      </w:pPr>
      <w:r>
        <w:rPr>
          <w:rFonts w:eastAsiaTheme="majorEastAsia"/>
          <w:sz w:val="24"/>
          <w:szCs w:val="24"/>
        </w:rPr>
        <w:t>2、甲方对乙方及其服务人员有权进行监管，对于在协助监管服务检查或抽查中，隐瞒发现的重大事故隐患并造成严重后果的，将列入“黑名单”，上报相关主管部门依法处理。</w:t>
      </w:r>
    </w:p>
    <w:p>
      <w:pPr>
        <w:spacing w:line="450" w:lineRule="exact"/>
        <w:ind w:firstLine="480" w:firstLineChars="200"/>
        <w:rPr>
          <w:rFonts w:eastAsiaTheme="majorEastAsia"/>
          <w:sz w:val="24"/>
          <w:szCs w:val="24"/>
        </w:rPr>
      </w:pPr>
      <w:r>
        <w:rPr>
          <w:rFonts w:eastAsiaTheme="majorEastAsia"/>
          <w:sz w:val="24"/>
          <w:szCs w:val="24"/>
        </w:rPr>
        <w:t>3、出现严重不履行合同或不适当履行合同的，甲方有权单方面解除合同。</w:t>
      </w:r>
    </w:p>
    <w:p>
      <w:pPr>
        <w:spacing w:line="450" w:lineRule="exact"/>
        <w:ind w:firstLine="480" w:firstLineChars="200"/>
        <w:rPr>
          <w:rFonts w:eastAsiaTheme="majorEastAsia"/>
          <w:sz w:val="24"/>
          <w:szCs w:val="24"/>
        </w:rPr>
      </w:pPr>
      <w:r>
        <w:rPr>
          <w:rFonts w:eastAsiaTheme="majorEastAsia"/>
          <w:sz w:val="24"/>
          <w:szCs w:val="24"/>
        </w:rPr>
        <w:t>4、乙方派出的工作人员应熟悉加油站点作业过程，掌握安全、环保现场检查要点；</w:t>
      </w:r>
    </w:p>
    <w:p>
      <w:pPr>
        <w:spacing w:line="450" w:lineRule="exact"/>
        <w:ind w:firstLine="480" w:firstLineChars="200"/>
        <w:rPr>
          <w:rFonts w:eastAsiaTheme="majorEastAsia"/>
          <w:sz w:val="24"/>
          <w:szCs w:val="24"/>
        </w:rPr>
      </w:pPr>
      <w:r>
        <w:rPr>
          <w:rFonts w:eastAsiaTheme="majorEastAsia"/>
          <w:sz w:val="24"/>
          <w:szCs w:val="24"/>
        </w:rPr>
        <w:t>5、乙方应当具有安全、环保专家团队；</w:t>
      </w:r>
    </w:p>
    <w:p>
      <w:pPr>
        <w:spacing w:line="450" w:lineRule="exact"/>
        <w:ind w:firstLine="480" w:firstLineChars="200"/>
        <w:rPr>
          <w:rFonts w:eastAsiaTheme="majorEastAsia"/>
          <w:sz w:val="24"/>
          <w:szCs w:val="24"/>
        </w:rPr>
      </w:pPr>
      <w:r>
        <w:rPr>
          <w:rFonts w:eastAsiaTheme="majorEastAsia"/>
          <w:sz w:val="24"/>
          <w:szCs w:val="24"/>
        </w:rPr>
        <w:t>6、乙方应当具有长期稳定合作的检验检测机构。</w:t>
      </w:r>
    </w:p>
    <w:p>
      <w:pPr>
        <w:spacing w:line="450" w:lineRule="exact"/>
        <w:ind w:firstLine="480" w:firstLineChars="200"/>
        <w:rPr>
          <w:rFonts w:eastAsiaTheme="majorEastAsia"/>
          <w:sz w:val="24"/>
          <w:szCs w:val="24"/>
        </w:rPr>
      </w:pPr>
      <w:r>
        <w:rPr>
          <w:rFonts w:eastAsiaTheme="majorEastAsia"/>
          <w:sz w:val="24"/>
          <w:szCs w:val="24"/>
        </w:rPr>
        <w:t>四、服务期限及费用</w:t>
      </w:r>
    </w:p>
    <w:p>
      <w:pPr>
        <w:spacing w:line="450" w:lineRule="exact"/>
        <w:ind w:firstLine="480" w:firstLineChars="200"/>
        <w:rPr>
          <w:rFonts w:eastAsiaTheme="majorEastAsia"/>
          <w:sz w:val="24"/>
          <w:szCs w:val="24"/>
        </w:rPr>
      </w:pPr>
      <w:r>
        <w:rPr>
          <w:rFonts w:eastAsiaTheme="majorEastAsia"/>
          <w:sz w:val="24"/>
          <w:szCs w:val="24"/>
        </w:rPr>
        <w:t>（1）服务期限：</w:t>
      </w:r>
    </w:p>
    <w:p>
      <w:pPr>
        <w:spacing w:line="450" w:lineRule="exact"/>
        <w:ind w:firstLine="480" w:firstLineChars="200"/>
        <w:rPr>
          <w:rFonts w:eastAsiaTheme="majorEastAsia"/>
          <w:sz w:val="24"/>
          <w:szCs w:val="24"/>
          <w:highlight w:val="none"/>
        </w:rPr>
      </w:pPr>
      <w:r>
        <w:rPr>
          <w:rFonts w:eastAsiaTheme="majorEastAsia"/>
          <w:sz w:val="24"/>
          <w:szCs w:val="24"/>
        </w:rPr>
        <w:t>本次服务期</w:t>
      </w:r>
      <w:r>
        <w:rPr>
          <w:rFonts w:eastAsiaTheme="majorEastAsia"/>
          <w:sz w:val="24"/>
          <w:szCs w:val="24"/>
          <w:highlight w:val="none"/>
        </w:rPr>
        <w:t>限</w:t>
      </w:r>
      <w:r>
        <w:rPr>
          <w:rFonts w:hint="eastAsia" w:eastAsiaTheme="majorEastAsia"/>
          <w:sz w:val="24"/>
          <w:szCs w:val="24"/>
          <w:highlight w:val="none"/>
        </w:rPr>
        <w:t>：</w:t>
      </w:r>
      <w:r>
        <w:rPr>
          <w:rFonts w:eastAsiaTheme="majorEastAsia"/>
          <w:sz w:val="24"/>
          <w:szCs w:val="24"/>
          <w:highlight w:val="none"/>
        </w:rPr>
        <w:t>合同签订生效后起</w:t>
      </w:r>
      <w:r>
        <w:rPr>
          <w:rFonts w:hint="eastAsia" w:eastAsiaTheme="majorEastAsia"/>
          <w:sz w:val="24"/>
          <w:szCs w:val="24"/>
          <w:highlight w:val="none"/>
          <w:lang w:val="en-US" w:eastAsia="zh-CN"/>
        </w:rPr>
        <w:t>一年，即</w:t>
      </w:r>
      <w:r>
        <w:rPr>
          <w:rFonts w:eastAsiaTheme="majorEastAsia"/>
          <w:sz w:val="24"/>
          <w:szCs w:val="24"/>
          <w:highlight w:val="none"/>
        </w:rPr>
        <w:t>20</w:t>
      </w:r>
      <w:r>
        <w:rPr>
          <w:rFonts w:hint="eastAsia" w:eastAsiaTheme="majorEastAsia"/>
          <w:sz w:val="24"/>
          <w:szCs w:val="24"/>
          <w:highlight w:val="none"/>
          <w:lang w:val="en-US" w:eastAsia="zh-CN"/>
        </w:rPr>
        <w:t xml:space="preserve"> </w:t>
      </w:r>
      <w:r>
        <w:rPr>
          <w:rFonts w:eastAsiaTheme="majorEastAsia"/>
          <w:sz w:val="24"/>
          <w:szCs w:val="24"/>
          <w:highlight w:val="none"/>
        </w:rPr>
        <w:t>年</w:t>
      </w:r>
      <w:r>
        <w:rPr>
          <w:rFonts w:hint="eastAsia" w:eastAsiaTheme="majorEastAsia"/>
          <w:sz w:val="24"/>
          <w:szCs w:val="24"/>
          <w:highlight w:val="none"/>
          <w:lang w:val="en-US" w:eastAsia="zh-CN"/>
        </w:rPr>
        <w:t xml:space="preserve"> </w:t>
      </w:r>
      <w:r>
        <w:rPr>
          <w:rFonts w:eastAsiaTheme="majorEastAsia"/>
          <w:sz w:val="24"/>
          <w:szCs w:val="24"/>
          <w:highlight w:val="none"/>
        </w:rPr>
        <w:t xml:space="preserve"> 月</w:t>
      </w:r>
      <w:r>
        <w:rPr>
          <w:rFonts w:hint="eastAsia" w:eastAsiaTheme="majorEastAsia"/>
          <w:sz w:val="24"/>
          <w:szCs w:val="24"/>
          <w:highlight w:val="none"/>
          <w:lang w:val="en-US" w:eastAsia="zh-CN"/>
        </w:rPr>
        <w:t xml:space="preserve"> </w:t>
      </w:r>
      <w:r>
        <w:rPr>
          <w:rFonts w:eastAsiaTheme="majorEastAsia"/>
          <w:sz w:val="24"/>
          <w:szCs w:val="24"/>
          <w:highlight w:val="none"/>
        </w:rPr>
        <w:t>日</w:t>
      </w:r>
      <w:r>
        <w:rPr>
          <w:rFonts w:hint="eastAsia" w:eastAsiaTheme="majorEastAsia"/>
          <w:sz w:val="24"/>
          <w:szCs w:val="24"/>
          <w:highlight w:val="none"/>
          <w:lang w:eastAsia="zh-CN"/>
        </w:rPr>
        <w:t>——</w:t>
      </w:r>
      <w:r>
        <w:rPr>
          <w:rFonts w:eastAsiaTheme="majorEastAsia"/>
          <w:sz w:val="24"/>
          <w:szCs w:val="24"/>
          <w:highlight w:val="none"/>
        </w:rPr>
        <w:t>20</w:t>
      </w:r>
      <w:r>
        <w:rPr>
          <w:rFonts w:hint="eastAsia" w:eastAsiaTheme="majorEastAsia"/>
          <w:sz w:val="24"/>
          <w:szCs w:val="24"/>
          <w:highlight w:val="none"/>
          <w:lang w:val="en-US" w:eastAsia="zh-CN"/>
        </w:rPr>
        <w:t xml:space="preserve"> </w:t>
      </w:r>
      <w:r>
        <w:rPr>
          <w:rFonts w:eastAsiaTheme="majorEastAsia"/>
          <w:sz w:val="24"/>
          <w:szCs w:val="24"/>
          <w:highlight w:val="none"/>
        </w:rPr>
        <w:t>年</w:t>
      </w:r>
      <w:r>
        <w:rPr>
          <w:rFonts w:hint="eastAsia" w:eastAsiaTheme="majorEastAsia"/>
          <w:sz w:val="24"/>
          <w:szCs w:val="24"/>
          <w:highlight w:val="none"/>
          <w:lang w:val="en-US" w:eastAsia="zh-CN"/>
        </w:rPr>
        <w:t xml:space="preserve"> </w:t>
      </w:r>
      <w:r>
        <w:rPr>
          <w:rFonts w:eastAsiaTheme="majorEastAsia"/>
          <w:sz w:val="24"/>
          <w:szCs w:val="24"/>
          <w:highlight w:val="none"/>
        </w:rPr>
        <w:t xml:space="preserve"> 月</w:t>
      </w:r>
      <w:r>
        <w:rPr>
          <w:rFonts w:hint="eastAsia" w:eastAsiaTheme="majorEastAsia"/>
          <w:sz w:val="24"/>
          <w:szCs w:val="24"/>
          <w:highlight w:val="none"/>
          <w:lang w:val="en-US" w:eastAsia="zh-CN"/>
        </w:rPr>
        <w:t xml:space="preserve"> </w:t>
      </w:r>
      <w:r>
        <w:rPr>
          <w:rFonts w:eastAsiaTheme="majorEastAsia"/>
          <w:sz w:val="24"/>
          <w:szCs w:val="24"/>
          <w:highlight w:val="none"/>
        </w:rPr>
        <w:t>日截止。</w:t>
      </w:r>
    </w:p>
    <w:p>
      <w:pPr>
        <w:spacing w:line="450" w:lineRule="exact"/>
        <w:ind w:firstLine="480" w:firstLineChars="200"/>
        <w:rPr>
          <w:rFonts w:eastAsiaTheme="majorEastAsia"/>
          <w:sz w:val="24"/>
          <w:szCs w:val="24"/>
        </w:rPr>
      </w:pPr>
      <w:r>
        <w:rPr>
          <w:rFonts w:eastAsiaTheme="majorEastAsia"/>
          <w:sz w:val="24"/>
          <w:szCs w:val="24"/>
        </w:rPr>
        <w:t>（2）服务费用：总价</w:t>
      </w:r>
      <w:r>
        <w:rPr>
          <w:rFonts w:hint="eastAsia" w:eastAsiaTheme="majorEastAsia"/>
          <w:b/>
          <w:sz w:val="24"/>
          <w:szCs w:val="24"/>
          <w:u w:val="single"/>
        </w:rPr>
        <w:t xml:space="preserve"> </w:t>
      </w:r>
      <w:r>
        <w:rPr>
          <w:rFonts w:eastAsiaTheme="majorEastAsia"/>
          <w:b/>
          <w:sz w:val="24"/>
          <w:szCs w:val="24"/>
          <w:u w:val="single"/>
        </w:rPr>
        <w:t xml:space="preserve">                  </w:t>
      </w:r>
      <w:r>
        <w:rPr>
          <w:rFonts w:eastAsiaTheme="majorEastAsia"/>
          <w:sz w:val="24"/>
          <w:szCs w:val="24"/>
        </w:rPr>
        <w:t>元整（￥</w:t>
      </w:r>
      <w:r>
        <w:rPr>
          <w:rFonts w:eastAsiaTheme="majorEastAsia"/>
          <w:b/>
          <w:bCs/>
          <w:sz w:val="24"/>
          <w:szCs w:val="24"/>
          <w:u w:val="single"/>
        </w:rPr>
        <w:t xml:space="preserve">               </w:t>
      </w:r>
      <w:r>
        <w:rPr>
          <w:rFonts w:eastAsiaTheme="majorEastAsia"/>
          <w:sz w:val="24"/>
          <w:szCs w:val="24"/>
        </w:rPr>
        <w:t>元）；</w:t>
      </w:r>
    </w:p>
    <w:p>
      <w:pPr>
        <w:spacing w:line="450" w:lineRule="exact"/>
        <w:ind w:firstLine="480" w:firstLineChars="200"/>
        <w:rPr>
          <w:rFonts w:eastAsiaTheme="majorEastAsia"/>
          <w:sz w:val="24"/>
          <w:szCs w:val="24"/>
        </w:rPr>
      </w:pPr>
      <w:r>
        <w:rPr>
          <w:rFonts w:eastAsiaTheme="majorEastAsia"/>
          <w:sz w:val="24"/>
          <w:szCs w:val="24"/>
        </w:rPr>
        <w:t>五、支付方式</w:t>
      </w:r>
    </w:p>
    <w:p>
      <w:pPr>
        <w:spacing w:line="450" w:lineRule="exact"/>
        <w:ind w:firstLine="480" w:firstLineChars="200"/>
        <w:rPr>
          <w:rFonts w:eastAsiaTheme="majorEastAsia"/>
          <w:sz w:val="24"/>
          <w:szCs w:val="24"/>
        </w:rPr>
      </w:pPr>
      <w:r>
        <w:rPr>
          <w:rFonts w:hint="eastAsia" w:eastAsiaTheme="majorEastAsia"/>
          <w:sz w:val="24"/>
          <w:szCs w:val="24"/>
        </w:rPr>
        <w:t>本协议生效后1</w:t>
      </w:r>
      <w:r>
        <w:rPr>
          <w:rFonts w:eastAsiaTheme="majorEastAsia"/>
          <w:sz w:val="24"/>
          <w:szCs w:val="24"/>
        </w:rPr>
        <w:t>0</w:t>
      </w:r>
      <w:r>
        <w:rPr>
          <w:rFonts w:hint="eastAsia" w:eastAsiaTheme="majorEastAsia"/>
          <w:sz w:val="24"/>
          <w:szCs w:val="24"/>
        </w:rPr>
        <w:t>个工作日内甲方向乙方支付服务费用的3</w:t>
      </w:r>
      <w:r>
        <w:rPr>
          <w:rFonts w:eastAsiaTheme="majorEastAsia"/>
          <w:sz w:val="24"/>
          <w:szCs w:val="24"/>
        </w:rPr>
        <w:t>0%，</w:t>
      </w:r>
      <w:r>
        <w:rPr>
          <w:rFonts w:hint="eastAsia" w:eastAsiaTheme="majorEastAsia"/>
          <w:sz w:val="24"/>
          <w:szCs w:val="24"/>
        </w:rPr>
        <w:t>此后每季度结束后1</w:t>
      </w:r>
      <w:r>
        <w:rPr>
          <w:rFonts w:eastAsiaTheme="majorEastAsia"/>
          <w:sz w:val="24"/>
          <w:szCs w:val="24"/>
        </w:rPr>
        <w:t>0</w:t>
      </w:r>
      <w:r>
        <w:rPr>
          <w:rFonts w:hint="eastAsia" w:eastAsiaTheme="majorEastAsia"/>
          <w:sz w:val="24"/>
          <w:szCs w:val="24"/>
        </w:rPr>
        <w:t>个工作日内支付服务费用的1</w:t>
      </w:r>
      <w:r>
        <w:rPr>
          <w:rFonts w:eastAsiaTheme="majorEastAsia"/>
          <w:sz w:val="24"/>
          <w:szCs w:val="24"/>
        </w:rPr>
        <w:t>5%</w:t>
      </w:r>
      <w:r>
        <w:rPr>
          <w:rFonts w:hint="eastAsia" w:eastAsiaTheme="majorEastAsia"/>
          <w:sz w:val="24"/>
          <w:szCs w:val="24"/>
        </w:rPr>
        <w:t>，</w:t>
      </w:r>
      <w:r>
        <w:rPr>
          <w:rFonts w:eastAsiaTheme="majorEastAsia"/>
          <w:sz w:val="24"/>
          <w:szCs w:val="24"/>
        </w:rPr>
        <w:t>最后一个月完成现场检查、现场检查记录、季度台账且经甲方确认后一次性付清尾款。</w:t>
      </w:r>
    </w:p>
    <w:p>
      <w:pPr>
        <w:spacing w:line="450" w:lineRule="exact"/>
        <w:ind w:firstLine="480" w:firstLineChars="200"/>
        <w:rPr>
          <w:rFonts w:eastAsiaTheme="majorEastAsia"/>
          <w:sz w:val="24"/>
          <w:szCs w:val="24"/>
        </w:rPr>
      </w:pPr>
      <w:r>
        <w:rPr>
          <w:rFonts w:eastAsiaTheme="majorEastAsia"/>
          <w:sz w:val="24"/>
          <w:szCs w:val="24"/>
        </w:rPr>
        <w:t>六、甲、乙双方权利和义务</w:t>
      </w:r>
    </w:p>
    <w:p>
      <w:pPr>
        <w:spacing w:line="450" w:lineRule="exact"/>
        <w:ind w:firstLine="480" w:firstLineChars="200"/>
        <w:rPr>
          <w:rFonts w:eastAsiaTheme="majorEastAsia"/>
          <w:sz w:val="24"/>
          <w:szCs w:val="24"/>
        </w:rPr>
      </w:pPr>
      <w:r>
        <w:rPr>
          <w:rFonts w:eastAsiaTheme="majorEastAsia"/>
          <w:sz w:val="24"/>
          <w:szCs w:val="24"/>
        </w:rPr>
        <w:t>1、甲方权利和义务</w:t>
      </w:r>
    </w:p>
    <w:p>
      <w:pPr>
        <w:spacing w:line="450" w:lineRule="exact"/>
        <w:ind w:firstLine="480" w:firstLineChars="200"/>
        <w:rPr>
          <w:rFonts w:eastAsiaTheme="majorEastAsia"/>
          <w:sz w:val="24"/>
          <w:szCs w:val="24"/>
        </w:rPr>
      </w:pPr>
      <w:r>
        <w:rPr>
          <w:rFonts w:eastAsiaTheme="majorEastAsia"/>
          <w:sz w:val="24"/>
          <w:szCs w:val="24"/>
        </w:rPr>
        <w:t>（1）甲方应当支持、配合乙方及人员开展服务工作，向乙方人员提供工作便利，提供与服务相关的现有文件、通知、记录和档案等资料；</w:t>
      </w:r>
    </w:p>
    <w:p>
      <w:pPr>
        <w:spacing w:line="450" w:lineRule="exact"/>
        <w:ind w:firstLine="480" w:firstLineChars="200"/>
        <w:rPr>
          <w:rFonts w:eastAsiaTheme="majorEastAsia"/>
          <w:sz w:val="24"/>
          <w:szCs w:val="24"/>
        </w:rPr>
      </w:pPr>
      <w:r>
        <w:rPr>
          <w:rFonts w:eastAsiaTheme="majorEastAsia"/>
          <w:sz w:val="24"/>
          <w:szCs w:val="24"/>
        </w:rPr>
        <w:t>（2）甲方不得违反规定要求乙方对服务成果进行弄虚作假，出具虚假服务报告；</w:t>
      </w:r>
    </w:p>
    <w:p>
      <w:pPr>
        <w:spacing w:line="450" w:lineRule="exact"/>
        <w:ind w:firstLine="480" w:firstLineChars="200"/>
        <w:rPr>
          <w:rFonts w:eastAsiaTheme="majorEastAsia"/>
          <w:sz w:val="24"/>
          <w:szCs w:val="24"/>
        </w:rPr>
      </w:pPr>
      <w:r>
        <w:rPr>
          <w:rFonts w:eastAsiaTheme="majorEastAsia"/>
          <w:sz w:val="24"/>
          <w:szCs w:val="24"/>
        </w:rPr>
        <w:t>（3）甲方按协议约定向乙方及时支付工作费用。</w:t>
      </w:r>
    </w:p>
    <w:p>
      <w:pPr>
        <w:spacing w:line="450" w:lineRule="exact"/>
        <w:ind w:firstLine="480" w:firstLineChars="200"/>
        <w:rPr>
          <w:rFonts w:eastAsiaTheme="majorEastAsia"/>
          <w:sz w:val="24"/>
          <w:szCs w:val="24"/>
        </w:rPr>
      </w:pPr>
      <w:r>
        <w:rPr>
          <w:rFonts w:eastAsiaTheme="majorEastAsia"/>
          <w:sz w:val="24"/>
          <w:szCs w:val="24"/>
        </w:rPr>
        <w:t>2、乙方权利和义务</w:t>
      </w:r>
    </w:p>
    <w:p>
      <w:pPr>
        <w:spacing w:line="450" w:lineRule="exact"/>
        <w:ind w:firstLine="480" w:firstLineChars="200"/>
        <w:rPr>
          <w:rFonts w:eastAsiaTheme="majorEastAsia"/>
          <w:sz w:val="24"/>
          <w:szCs w:val="24"/>
        </w:rPr>
      </w:pPr>
      <w:r>
        <w:rPr>
          <w:rFonts w:eastAsiaTheme="majorEastAsia"/>
          <w:sz w:val="24"/>
          <w:szCs w:val="24"/>
        </w:rPr>
        <w:t>（1）乙方需严格按照国家相关的法律、法规、行业自律要求开展服务工作，对其服务内容负责；</w:t>
      </w:r>
    </w:p>
    <w:p>
      <w:pPr>
        <w:spacing w:line="450" w:lineRule="exact"/>
        <w:ind w:firstLine="480" w:firstLineChars="200"/>
        <w:rPr>
          <w:rFonts w:eastAsiaTheme="majorEastAsia"/>
          <w:sz w:val="24"/>
          <w:szCs w:val="24"/>
        </w:rPr>
      </w:pPr>
      <w:r>
        <w:rPr>
          <w:rFonts w:eastAsiaTheme="majorEastAsia"/>
          <w:sz w:val="24"/>
          <w:szCs w:val="24"/>
        </w:rPr>
        <w:t>（2）乙方对甲方提供的资料及人员信息、过程等做好保密工作，乙方及其人员在从事服务活动中，应当恪守职业道德，遵循诚实守信的原则，不得泄露甲方委托服务的技术、商业秘密；</w:t>
      </w:r>
    </w:p>
    <w:p>
      <w:pPr>
        <w:spacing w:line="450" w:lineRule="exact"/>
        <w:ind w:firstLine="480" w:firstLineChars="200"/>
        <w:rPr>
          <w:rFonts w:eastAsiaTheme="majorEastAsia"/>
          <w:sz w:val="24"/>
          <w:szCs w:val="24"/>
        </w:rPr>
      </w:pPr>
      <w:r>
        <w:rPr>
          <w:rFonts w:eastAsiaTheme="majorEastAsia"/>
          <w:sz w:val="24"/>
          <w:szCs w:val="24"/>
        </w:rPr>
        <w:t>（3）乙方及时将甲方委托的服务范围内工作情况书面提交至甲方，包括但不限于推进进展、存在问题、工作方案等方面情况；</w:t>
      </w:r>
    </w:p>
    <w:p>
      <w:pPr>
        <w:spacing w:line="450" w:lineRule="exact"/>
        <w:ind w:firstLine="480" w:firstLineChars="200"/>
        <w:rPr>
          <w:rFonts w:eastAsiaTheme="majorEastAsia"/>
          <w:sz w:val="24"/>
          <w:szCs w:val="24"/>
        </w:rPr>
      </w:pPr>
      <w:r>
        <w:rPr>
          <w:rFonts w:eastAsiaTheme="majorEastAsia"/>
          <w:sz w:val="24"/>
          <w:szCs w:val="24"/>
        </w:rPr>
        <w:t>（4）乙方制定严密的工作计划，成立专业的服务团队，采取有效的技术措施和手段，确保服务工作顺利实施。</w:t>
      </w:r>
    </w:p>
    <w:p>
      <w:pPr>
        <w:spacing w:line="450" w:lineRule="exact"/>
        <w:ind w:firstLine="480" w:firstLineChars="200"/>
        <w:rPr>
          <w:rFonts w:eastAsiaTheme="majorEastAsia"/>
          <w:sz w:val="24"/>
          <w:szCs w:val="24"/>
        </w:rPr>
      </w:pPr>
      <w:r>
        <w:rPr>
          <w:rFonts w:eastAsiaTheme="majorEastAsia"/>
          <w:sz w:val="24"/>
          <w:szCs w:val="24"/>
        </w:rPr>
        <w:t>（5）乙方应讲究职业道德，不得接受影响公正性的吃请或馈赠。</w:t>
      </w:r>
    </w:p>
    <w:p>
      <w:pPr>
        <w:spacing w:line="450" w:lineRule="exact"/>
        <w:ind w:firstLine="480" w:firstLineChars="200"/>
        <w:rPr>
          <w:rFonts w:eastAsiaTheme="majorEastAsia"/>
          <w:sz w:val="24"/>
          <w:szCs w:val="24"/>
        </w:rPr>
      </w:pPr>
      <w:r>
        <w:rPr>
          <w:rFonts w:eastAsiaTheme="majorEastAsia"/>
          <w:sz w:val="24"/>
          <w:szCs w:val="24"/>
        </w:rPr>
        <w:t>（6）乙方应根据现场检查结果向甲方出具公正性的服务报告，不得弄虚作假、隐瞒发现的隐患或问题。</w:t>
      </w:r>
    </w:p>
    <w:p>
      <w:pPr>
        <w:spacing w:line="450" w:lineRule="exact"/>
        <w:ind w:firstLine="480" w:firstLineChars="200"/>
        <w:rPr>
          <w:rFonts w:eastAsiaTheme="majorEastAsia"/>
          <w:sz w:val="24"/>
          <w:szCs w:val="24"/>
        </w:rPr>
      </w:pPr>
      <w:r>
        <w:rPr>
          <w:rFonts w:eastAsiaTheme="majorEastAsia"/>
          <w:sz w:val="24"/>
          <w:szCs w:val="24"/>
        </w:rPr>
        <w:t>（7）乙方自行负责自身人员人身和财产安全。</w:t>
      </w:r>
    </w:p>
    <w:p>
      <w:pPr>
        <w:spacing w:line="450" w:lineRule="exact"/>
        <w:ind w:firstLine="480" w:firstLineChars="200"/>
        <w:rPr>
          <w:rFonts w:eastAsiaTheme="majorEastAsia"/>
          <w:sz w:val="24"/>
          <w:szCs w:val="24"/>
        </w:rPr>
      </w:pPr>
      <w:r>
        <w:rPr>
          <w:rFonts w:eastAsiaTheme="majorEastAsia"/>
          <w:sz w:val="24"/>
          <w:szCs w:val="24"/>
        </w:rPr>
        <w:t>七、违约责任</w:t>
      </w:r>
    </w:p>
    <w:p>
      <w:pPr>
        <w:spacing w:line="450" w:lineRule="exact"/>
        <w:ind w:firstLine="480" w:firstLineChars="200"/>
        <w:rPr>
          <w:rFonts w:eastAsiaTheme="majorEastAsia"/>
          <w:sz w:val="24"/>
          <w:szCs w:val="24"/>
        </w:rPr>
      </w:pPr>
      <w:r>
        <w:rPr>
          <w:rFonts w:eastAsiaTheme="majorEastAsia"/>
          <w:sz w:val="24"/>
          <w:szCs w:val="24"/>
        </w:rPr>
        <w:t>1、甲方违约责任</w:t>
      </w:r>
    </w:p>
    <w:p>
      <w:pPr>
        <w:spacing w:line="450" w:lineRule="exact"/>
        <w:ind w:firstLine="480" w:firstLineChars="200"/>
        <w:rPr>
          <w:rFonts w:eastAsiaTheme="majorEastAsia"/>
          <w:sz w:val="24"/>
          <w:szCs w:val="24"/>
        </w:rPr>
      </w:pPr>
      <w:r>
        <w:rPr>
          <w:rFonts w:eastAsiaTheme="majorEastAsia"/>
          <w:sz w:val="24"/>
          <w:szCs w:val="24"/>
        </w:rPr>
        <w:t>（1）甲方未按本协议书约定支付应予支付的费用，应当如数支付，同时乙方有权暂停开展相关工作。</w:t>
      </w:r>
    </w:p>
    <w:p>
      <w:pPr>
        <w:spacing w:line="450" w:lineRule="exact"/>
        <w:ind w:firstLine="480" w:firstLineChars="200"/>
        <w:rPr>
          <w:rFonts w:eastAsiaTheme="majorEastAsia"/>
          <w:sz w:val="24"/>
          <w:szCs w:val="24"/>
        </w:rPr>
      </w:pPr>
      <w:r>
        <w:rPr>
          <w:rFonts w:eastAsiaTheme="majorEastAsia"/>
          <w:sz w:val="24"/>
          <w:szCs w:val="24"/>
        </w:rPr>
        <w:t>（2）因不可抗力导致甲方工作无法正常开展，免除甲方责任。</w:t>
      </w:r>
    </w:p>
    <w:p>
      <w:pPr>
        <w:spacing w:line="450" w:lineRule="exact"/>
        <w:ind w:firstLine="480" w:firstLineChars="200"/>
        <w:rPr>
          <w:rFonts w:eastAsiaTheme="majorEastAsia"/>
          <w:sz w:val="24"/>
          <w:szCs w:val="24"/>
        </w:rPr>
      </w:pPr>
      <w:r>
        <w:rPr>
          <w:rFonts w:eastAsiaTheme="majorEastAsia"/>
          <w:sz w:val="24"/>
          <w:szCs w:val="24"/>
        </w:rPr>
        <w:t>2、乙方违约责任</w:t>
      </w:r>
    </w:p>
    <w:p>
      <w:pPr>
        <w:spacing w:line="450" w:lineRule="exact"/>
        <w:ind w:firstLine="480" w:firstLineChars="200"/>
        <w:rPr>
          <w:rFonts w:eastAsiaTheme="majorEastAsia"/>
          <w:sz w:val="24"/>
          <w:szCs w:val="24"/>
        </w:rPr>
      </w:pPr>
      <w:r>
        <w:rPr>
          <w:rFonts w:eastAsiaTheme="majorEastAsia"/>
          <w:sz w:val="24"/>
          <w:szCs w:val="24"/>
        </w:rPr>
        <w:t>（1）未按本协议书约定履行服务工作要求的，甲方有权解除合同，同时除乙方已经开展的工作且经甲方确认的费用外，甲方不再支付其他剩余费用。</w:t>
      </w:r>
    </w:p>
    <w:p>
      <w:pPr>
        <w:spacing w:line="450" w:lineRule="exact"/>
        <w:ind w:firstLine="480" w:firstLineChars="200"/>
        <w:rPr>
          <w:rFonts w:eastAsiaTheme="majorEastAsia"/>
          <w:sz w:val="24"/>
          <w:szCs w:val="24"/>
        </w:rPr>
      </w:pPr>
      <w:r>
        <w:rPr>
          <w:rFonts w:eastAsiaTheme="majorEastAsia"/>
          <w:sz w:val="24"/>
          <w:szCs w:val="24"/>
        </w:rPr>
        <w:t>（2）因不可抗力导致乙方工作无法正常开展，免除乙方责任。</w:t>
      </w:r>
    </w:p>
    <w:p>
      <w:pPr>
        <w:spacing w:line="450" w:lineRule="exact"/>
        <w:ind w:firstLine="480" w:firstLineChars="200"/>
        <w:rPr>
          <w:rFonts w:eastAsiaTheme="majorEastAsia"/>
          <w:sz w:val="24"/>
          <w:szCs w:val="24"/>
        </w:rPr>
      </w:pPr>
      <w:r>
        <w:rPr>
          <w:rFonts w:eastAsiaTheme="majorEastAsia"/>
          <w:sz w:val="24"/>
          <w:szCs w:val="24"/>
        </w:rPr>
        <w:t>八、项目联系人</w:t>
      </w:r>
    </w:p>
    <w:p>
      <w:pPr>
        <w:spacing w:line="450" w:lineRule="exact"/>
        <w:ind w:firstLine="480" w:firstLineChars="200"/>
        <w:rPr>
          <w:rFonts w:eastAsiaTheme="majorEastAsia"/>
          <w:sz w:val="24"/>
          <w:szCs w:val="24"/>
        </w:rPr>
      </w:pPr>
      <w:r>
        <w:rPr>
          <w:rFonts w:eastAsiaTheme="majorEastAsia"/>
          <w:sz w:val="24"/>
          <w:szCs w:val="24"/>
        </w:rPr>
        <w:t>在托管服务期间，甲方指定</w:t>
      </w:r>
      <w:r>
        <w:rPr>
          <w:rFonts w:hint="eastAsia" w:eastAsiaTheme="majorEastAsia"/>
          <w:sz w:val="24"/>
          <w:szCs w:val="24"/>
          <w:u w:val="single"/>
        </w:rPr>
        <w:t xml:space="preserve"> </w:t>
      </w:r>
      <w:r>
        <w:rPr>
          <w:rFonts w:eastAsiaTheme="majorEastAsia"/>
          <w:sz w:val="24"/>
          <w:szCs w:val="24"/>
          <w:u w:val="single"/>
        </w:rPr>
        <w:t xml:space="preserve">       </w:t>
      </w:r>
      <w:r>
        <w:rPr>
          <w:rFonts w:eastAsiaTheme="majorEastAsia"/>
          <w:sz w:val="24"/>
          <w:szCs w:val="24"/>
        </w:rPr>
        <w:t>为甲方项目联系人，乙方指定</w:t>
      </w:r>
      <w:r>
        <w:rPr>
          <w:rFonts w:eastAsiaTheme="majorEastAsia"/>
          <w:sz w:val="24"/>
          <w:szCs w:val="24"/>
          <w:u w:val="single"/>
        </w:rPr>
        <w:t xml:space="preserve"> </w:t>
      </w:r>
      <w:r>
        <w:rPr>
          <w:rFonts w:hint="eastAsia" w:eastAsiaTheme="majorEastAsia"/>
          <w:sz w:val="24"/>
          <w:szCs w:val="24"/>
          <w:u w:val="single"/>
        </w:rPr>
        <w:t xml:space="preserve"> </w:t>
      </w:r>
      <w:r>
        <w:rPr>
          <w:rFonts w:eastAsiaTheme="majorEastAsia"/>
          <w:sz w:val="24"/>
          <w:szCs w:val="24"/>
          <w:u w:val="single"/>
        </w:rPr>
        <w:t xml:space="preserve">            </w:t>
      </w:r>
      <w:r>
        <w:rPr>
          <w:rFonts w:eastAsiaTheme="majorEastAsia"/>
          <w:sz w:val="24"/>
          <w:szCs w:val="24"/>
        </w:rPr>
        <w:t>为乙方项目联系人。项目联系人承担以下责任：</w:t>
      </w:r>
    </w:p>
    <w:p>
      <w:pPr>
        <w:spacing w:line="450" w:lineRule="exact"/>
        <w:ind w:firstLine="480" w:firstLineChars="200"/>
        <w:rPr>
          <w:rFonts w:eastAsiaTheme="majorEastAsia"/>
          <w:sz w:val="24"/>
          <w:szCs w:val="24"/>
        </w:rPr>
      </w:pPr>
      <w:r>
        <w:rPr>
          <w:rFonts w:eastAsiaTheme="majorEastAsia"/>
          <w:sz w:val="24"/>
          <w:szCs w:val="24"/>
        </w:rPr>
        <w:t>1、及时沟通有关信息；</w:t>
      </w:r>
    </w:p>
    <w:p>
      <w:pPr>
        <w:spacing w:line="450" w:lineRule="exact"/>
        <w:ind w:firstLine="480" w:firstLineChars="200"/>
        <w:rPr>
          <w:rFonts w:eastAsiaTheme="majorEastAsia"/>
          <w:sz w:val="24"/>
          <w:szCs w:val="24"/>
        </w:rPr>
      </w:pPr>
      <w:r>
        <w:rPr>
          <w:rFonts w:eastAsiaTheme="majorEastAsia"/>
          <w:sz w:val="24"/>
          <w:szCs w:val="24"/>
        </w:rPr>
        <w:t>2、负责本服务工作的具体对接、联络和反馈；</w:t>
      </w:r>
    </w:p>
    <w:p>
      <w:pPr>
        <w:spacing w:line="450" w:lineRule="exact"/>
        <w:ind w:firstLine="480" w:firstLineChars="200"/>
        <w:rPr>
          <w:rFonts w:eastAsiaTheme="majorEastAsia"/>
          <w:sz w:val="24"/>
          <w:szCs w:val="24"/>
        </w:rPr>
      </w:pPr>
      <w:r>
        <w:rPr>
          <w:rFonts w:eastAsiaTheme="majorEastAsia"/>
          <w:sz w:val="24"/>
          <w:szCs w:val="24"/>
        </w:rPr>
        <w:t>3、为双方开展工作提供必要的条件。</w:t>
      </w:r>
    </w:p>
    <w:p>
      <w:pPr>
        <w:spacing w:line="450" w:lineRule="exact"/>
        <w:ind w:firstLine="480" w:firstLineChars="200"/>
        <w:rPr>
          <w:rFonts w:eastAsiaTheme="majorEastAsia"/>
          <w:sz w:val="24"/>
          <w:szCs w:val="24"/>
        </w:rPr>
      </w:pPr>
      <w:r>
        <w:rPr>
          <w:rFonts w:eastAsiaTheme="majorEastAsia"/>
          <w:sz w:val="24"/>
          <w:szCs w:val="24"/>
        </w:rPr>
        <w:t>九、技术成果</w:t>
      </w:r>
    </w:p>
    <w:p>
      <w:pPr>
        <w:spacing w:line="450" w:lineRule="exact"/>
        <w:ind w:firstLine="480" w:firstLineChars="200"/>
        <w:rPr>
          <w:rFonts w:eastAsiaTheme="majorEastAsia"/>
          <w:sz w:val="24"/>
          <w:szCs w:val="24"/>
        </w:rPr>
      </w:pPr>
      <w:r>
        <w:rPr>
          <w:rFonts w:eastAsiaTheme="majorEastAsia"/>
          <w:sz w:val="24"/>
          <w:szCs w:val="24"/>
        </w:rPr>
        <w:t>在本协议有效期内，乙方所完成的服务成果，归甲方所有。</w:t>
      </w:r>
    </w:p>
    <w:p>
      <w:pPr>
        <w:spacing w:line="450" w:lineRule="exact"/>
        <w:ind w:firstLine="480" w:firstLineChars="200"/>
        <w:rPr>
          <w:rFonts w:eastAsiaTheme="majorEastAsia"/>
          <w:sz w:val="24"/>
          <w:szCs w:val="24"/>
        </w:rPr>
      </w:pPr>
      <w:r>
        <w:rPr>
          <w:rFonts w:eastAsiaTheme="majorEastAsia"/>
          <w:sz w:val="24"/>
          <w:szCs w:val="24"/>
        </w:rPr>
        <w:t>十、其他条款</w:t>
      </w:r>
    </w:p>
    <w:p>
      <w:pPr>
        <w:spacing w:line="450" w:lineRule="exact"/>
        <w:ind w:firstLine="480" w:firstLineChars="200"/>
        <w:rPr>
          <w:rFonts w:eastAsiaTheme="majorEastAsia"/>
          <w:sz w:val="24"/>
          <w:szCs w:val="24"/>
        </w:rPr>
      </w:pPr>
      <w:r>
        <w:rPr>
          <w:rFonts w:eastAsiaTheme="majorEastAsia"/>
          <w:sz w:val="24"/>
          <w:szCs w:val="24"/>
        </w:rPr>
        <w:t>1、保险</w:t>
      </w:r>
    </w:p>
    <w:p>
      <w:pPr>
        <w:spacing w:line="450" w:lineRule="exact"/>
        <w:ind w:firstLine="480" w:firstLineChars="200"/>
        <w:rPr>
          <w:rFonts w:eastAsiaTheme="majorEastAsia"/>
          <w:sz w:val="24"/>
          <w:szCs w:val="24"/>
        </w:rPr>
      </w:pPr>
      <w:r>
        <w:rPr>
          <w:rFonts w:eastAsiaTheme="majorEastAsia"/>
          <w:sz w:val="24"/>
          <w:szCs w:val="24"/>
        </w:rPr>
        <w:t>关于保险的约定：乙方投保内容须至少包含职工</w:t>
      </w:r>
      <w:r>
        <w:rPr>
          <w:rFonts w:hint="eastAsia" w:eastAsiaTheme="majorEastAsia"/>
          <w:sz w:val="24"/>
          <w:szCs w:val="24"/>
        </w:rPr>
        <w:t>工伤保险、提供</w:t>
      </w:r>
      <w:r>
        <w:rPr>
          <w:rFonts w:eastAsiaTheme="majorEastAsia"/>
          <w:sz w:val="24"/>
          <w:szCs w:val="24"/>
        </w:rPr>
        <w:t>服务人员的意外伤害险、机械设备财产险、</w:t>
      </w:r>
      <w:r>
        <w:rPr>
          <w:rFonts w:hint="eastAsia" w:eastAsiaTheme="majorEastAsia"/>
          <w:sz w:val="24"/>
          <w:szCs w:val="24"/>
        </w:rPr>
        <w:t>对</w:t>
      </w:r>
      <w:r>
        <w:rPr>
          <w:rFonts w:eastAsiaTheme="majorEastAsia"/>
          <w:sz w:val="24"/>
          <w:szCs w:val="24"/>
        </w:rPr>
        <w:t>第三方</w:t>
      </w:r>
      <w:r>
        <w:rPr>
          <w:rFonts w:hint="eastAsia" w:eastAsiaTheme="majorEastAsia"/>
          <w:sz w:val="24"/>
          <w:szCs w:val="24"/>
        </w:rPr>
        <w:t>责任险</w:t>
      </w:r>
      <w:r>
        <w:rPr>
          <w:rFonts w:eastAsiaTheme="majorEastAsia"/>
          <w:sz w:val="24"/>
          <w:szCs w:val="24"/>
        </w:rPr>
        <w:t xml:space="preserve">等。 </w:t>
      </w:r>
    </w:p>
    <w:p>
      <w:pPr>
        <w:spacing w:line="450" w:lineRule="exact"/>
        <w:ind w:firstLine="480" w:firstLineChars="200"/>
        <w:jc w:val="left"/>
        <w:rPr>
          <w:rFonts w:eastAsiaTheme="majorEastAsia"/>
          <w:sz w:val="24"/>
          <w:szCs w:val="24"/>
        </w:rPr>
      </w:pPr>
      <w:r>
        <w:rPr>
          <w:rFonts w:eastAsiaTheme="majorEastAsia"/>
          <w:sz w:val="24"/>
          <w:szCs w:val="24"/>
        </w:rPr>
        <w:t>2、知识产权担保：乙方保证其为完成本协议所提供的服务及使用的物品、材料、软件、工艺等均无侵犯他人的知识产权，否则愿承担全部的侵权责任；如果由于乙方侵权造成甲方任何损失，乙方负责赔偿。</w:t>
      </w:r>
    </w:p>
    <w:p>
      <w:pPr>
        <w:spacing w:line="450" w:lineRule="exact"/>
        <w:ind w:firstLine="480" w:firstLineChars="200"/>
        <w:jc w:val="left"/>
        <w:rPr>
          <w:rFonts w:eastAsiaTheme="majorEastAsia"/>
          <w:sz w:val="24"/>
          <w:szCs w:val="24"/>
        </w:rPr>
      </w:pPr>
      <w:r>
        <w:rPr>
          <w:rFonts w:eastAsiaTheme="majorEastAsia"/>
          <w:sz w:val="24"/>
          <w:szCs w:val="24"/>
        </w:rPr>
        <w:t>3、通信方式：双方按照本协议约定的住所、电话，采用通知、函件、传真、电子邮件或口头方式联络。所有书面函件、通知等通过挂号信邮寄至约定住所或当面送达至甲/乙方联系人即为有效送达。</w:t>
      </w:r>
    </w:p>
    <w:p>
      <w:pPr>
        <w:spacing w:line="450" w:lineRule="exact"/>
        <w:ind w:firstLine="480" w:firstLineChars="200"/>
        <w:rPr>
          <w:rFonts w:eastAsiaTheme="majorEastAsia"/>
          <w:sz w:val="24"/>
          <w:szCs w:val="24"/>
        </w:rPr>
      </w:pPr>
      <w:r>
        <w:rPr>
          <w:rFonts w:eastAsiaTheme="majorEastAsia"/>
          <w:sz w:val="24"/>
          <w:szCs w:val="24"/>
        </w:rPr>
        <w:t>十一、不可抗力</w:t>
      </w:r>
    </w:p>
    <w:p>
      <w:pPr>
        <w:spacing w:line="450" w:lineRule="exact"/>
        <w:ind w:firstLine="480" w:firstLineChars="200"/>
        <w:rPr>
          <w:rFonts w:eastAsiaTheme="majorEastAsia"/>
          <w:sz w:val="24"/>
          <w:szCs w:val="24"/>
        </w:rPr>
      </w:pPr>
      <w:r>
        <w:rPr>
          <w:rFonts w:eastAsiaTheme="majorEastAsia"/>
          <w:sz w:val="24"/>
          <w:szCs w:val="24"/>
        </w:rPr>
        <w:t>1、不可抗力指本协议签订后发生的一方无法合理控制的、阻止并妨碍该方全部或部分履行其在本协议项下义务的任何事件；</w:t>
      </w:r>
    </w:p>
    <w:p>
      <w:pPr>
        <w:spacing w:line="450" w:lineRule="exact"/>
        <w:ind w:firstLine="480" w:firstLineChars="200"/>
        <w:rPr>
          <w:rFonts w:eastAsiaTheme="majorEastAsia"/>
          <w:sz w:val="24"/>
          <w:szCs w:val="24"/>
        </w:rPr>
      </w:pPr>
      <w:r>
        <w:rPr>
          <w:rFonts w:eastAsiaTheme="majorEastAsia"/>
          <w:sz w:val="24"/>
          <w:szCs w:val="24"/>
        </w:rPr>
        <w:t>2、因协议一方迟延履行协议后发生不可抗力的，不能免除迟延履行方的相应责任。</w:t>
      </w:r>
    </w:p>
    <w:p>
      <w:pPr>
        <w:spacing w:line="450" w:lineRule="exact"/>
        <w:ind w:firstLine="480" w:firstLineChars="200"/>
        <w:rPr>
          <w:rFonts w:eastAsiaTheme="majorEastAsia"/>
          <w:sz w:val="24"/>
          <w:szCs w:val="24"/>
        </w:rPr>
      </w:pPr>
      <w:r>
        <w:rPr>
          <w:rFonts w:eastAsiaTheme="majorEastAsia"/>
          <w:sz w:val="24"/>
          <w:szCs w:val="24"/>
        </w:rPr>
        <w:t>十二、争议的解决方法：</w:t>
      </w:r>
    </w:p>
    <w:p>
      <w:pPr>
        <w:spacing w:line="450" w:lineRule="exact"/>
        <w:ind w:firstLine="480" w:firstLineChars="200"/>
        <w:rPr>
          <w:rFonts w:eastAsiaTheme="majorEastAsia"/>
          <w:sz w:val="24"/>
          <w:szCs w:val="24"/>
        </w:rPr>
      </w:pPr>
      <w:r>
        <w:rPr>
          <w:rFonts w:eastAsiaTheme="majorEastAsia"/>
          <w:sz w:val="24"/>
          <w:szCs w:val="24"/>
        </w:rPr>
        <w:t>双方在协议履行过程中发生争议或纠纷，应当通过友好协商办法解决。协商不成时，可向甲方所在地人民法院提起诉讼。</w:t>
      </w:r>
    </w:p>
    <w:p>
      <w:pPr>
        <w:spacing w:line="450" w:lineRule="exact"/>
        <w:ind w:firstLine="480" w:firstLineChars="200"/>
        <w:rPr>
          <w:rFonts w:eastAsiaTheme="majorEastAsia"/>
          <w:sz w:val="24"/>
          <w:szCs w:val="24"/>
        </w:rPr>
      </w:pPr>
      <w:r>
        <w:rPr>
          <w:rFonts w:eastAsiaTheme="majorEastAsia"/>
          <w:sz w:val="24"/>
          <w:szCs w:val="24"/>
        </w:rPr>
        <w:t>十三、协议效力</w:t>
      </w:r>
    </w:p>
    <w:p>
      <w:pPr>
        <w:spacing w:line="450" w:lineRule="exact"/>
        <w:ind w:firstLine="480" w:firstLineChars="200"/>
        <w:rPr>
          <w:rFonts w:eastAsiaTheme="majorEastAsia"/>
          <w:sz w:val="24"/>
          <w:szCs w:val="24"/>
        </w:rPr>
      </w:pPr>
      <w:r>
        <w:rPr>
          <w:rFonts w:eastAsiaTheme="majorEastAsia"/>
          <w:sz w:val="24"/>
          <w:szCs w:val="24"/>
        </w:rPr>
        <w:t>1、本协议执行过程中的未尽事宜，双方应本着实事求是、友好协商的态度加以解决。双方协商一致的签订补充协议。补充协议与本协议具有同等效力。</w:t>
      </w:r>
    </w:p>
    <w:p>
      <w:pPr>
        <w:spacing w:line="450" w:lineRule="exact"/>
        <w:ind w:firstLine="480" w:firstLineChars="200"/>
        <w:rPr>
          <w:rFonts w:eastAsiaTheme="majorEastAsia"/>
          <w:sz w:val="24"/>
          <w:szCs w:val="24"/>
        </w:rPr>
      </w:pPr>
      <w:r>
        <w:rPr>
          <w:rFonts w:eastAsiaTheme="majorEastAsia"/>
          <w:sz w:val="24"/>
          <w:szCs w:val="24"/>
        </w:rPr>
        <w:t>2、本协议经双方法定代表人或委托代理人签字、加盖公章后生效，双方履行全部协议书义务后效力终止。</w:t>
      </w:r>
    </w:p>
    <w:p>
      <w:pPr>
        <w:spacing w:line="450" w:lineRule="exact"/>
        <w:ind w:firstLine="480" w:firstLineChars="200"/>
        <w:rPr>
          <w:rFonts w:eastAsiaTheme="majorEastAsia"/>
          <w:sz w:val="24"/>
          <w:szCs w:val="24"/>
        </w:rPr>
      </w:pPr>
      <w:r>
        <w:rPr>
          <w:rFonts w:eastAsiaTheme="majorEastAsia"/>
          <w:sz w:val="24"/>
          <w:szCs w:val="24"/>
        </w:rPr>
        <w:t>3、本协议一式肆份，甲乙双方各执贰份。</w:t>
      </w:r>
    </w:p>
    <w:p>
      <w:pPr>
        <w:pStyle w:val="62"/>
        <w:rPr>
          <w:rFonts w:eastAsiaTheme="majorEastAsia"/>
        </w:rPr>
      </w:pPr>
    </w:p>
    <w:tbl>
      <w:tblPr>
        <w:tblStyle w:val="21"/>
        <w:tblW w:w="5000" w:type="pct"/>
        <w:tblInd w:w="0" w:type="dxa"/>
        <w:tblLayout w:type="autofit"/>
        <w:tblCellMar>
          <w:top w:w="0" w:type="dxa"/>
          <w:left w:w="108" w:type="dxa"/>
          <w:bottom w:w="0" w:type="dxa"/>
          <w:right w:w="108" w:type="dxa"/>
        </w:tblCellMar>
      </w:tblPr>
      <w:tblGrid>
        <w:gridCol w:w="4967"/>
        <w:gridCol w:w="4433"/>
      </w:tblGrid>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szCs w:val="24"/>
              </w:rPr>
              <w:t>甲方（盖章）：南通市</w:t>
            </w:r>
            <w:r>
              <w:rPr>
                <w:rFonts w:hint="eastAsia" w:eastAsiaTheme="majorEastAsia"/>
                <w:szCs w:val="24"/>
              </w:rPr>
              <w:t>南通市崇川区商务局</w:t>
            </w:r>
          </w:p>
        </w:tc>
        <w:tc>
          <w:tcPr>
            <w:tcW w:w="2358" w:type="pct"/>
          </w:tcPr>
          <w:p>
            <w:pPr>
              <w:pStyle w:val="62"/>
              <w:spacing w:line="302" w:lineRule="auto"/>
              <w:ind w:left="1440" w:hanging="1440" w:hangingChars="600"/>
              <w:rPr>
                <w:rFonts w:eastAsiaTheme="majorEastAsia"/>
              </w:rPr>
            </w:pPr>
            <w:r>
              <w:rPr>
                <w:rFonts w:eastAsiaTheme="majorEastAsia"/>
                <w:szCs w:val="24"/>
              </w:rPr>
              <w:t>乙方（盖章）：</w:t>
            </w:r>
            <w:r>
              <w:rPr>
                <w:rFonts w:eastAsiaTheme="majorEastAsia"/>
              </w:rPr>
              <w:t xml:space="preserve"> </w:t>
            </w:r>
          </w:p>
        </w:tc>
      </w:tr>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szCs w:val="24"/>
              </w:rPr>
              <w:t>单位地址：</w:t>
            </w:r>
          </w:p>
        </w:tc>
        <w:tc>
          <w:tcPr>
            <w:tcW w:w="2358" w:type="pct"/>
          </w:tcPr>
          <w:p>
            <w:pPr>
              <w:pStyle w:val="62"/>
              <w:spacing w:line="302" w:lineRule="auto"/>
              <w:rPr>
                <w:rFonts w:eastAsiaTheme="majorEastAsia"/>
              </w:rPr>
            </w:pPr>
            <w:r>
              <w:rPr>
                <w:rFonts w:eastAsiaTheme="majorEastAsia"/>
                <w:szCs w:val="24"/>
              </w:rPr>
              <w:t>单位地址：</w:t>
            </w:r>
          </w:p>
        </w:tc>
      </w:tr>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szCs w:val="24"/>
              </w:rPr>
              <w:t>法定代表人（或委托代理人）：</w:t>
            </w:r>
          </w:p>
        </w:tc>
        <w:tc>
          <w:tcPr>
            <w:tcW w:w="2358" w:type="pct"/>
          </w:tcPr>
          <w:p>
            <w:pPr>
              <w:pStyle w:val="62"/>
              <w:spacing w:line="302" w:lineRule="auto"/>
              <w:rPr>
                <w:rFonts w:eastAsiaTheme="majorEastAsia"/>
              </w:rPr>
            </w:pPr>
            <w:r>
              <w:rPr>
                <w:rFonts w:eastAsiaTheme="majorEastAsia"/>
                <w:szCs w:val="24"/>
              </w:rPr>
              <w:t>法定代表人（或委托代理人）：</w:t>
            </w:r>
          </w:p>
        </w:tc>
      </w:tr>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rPr>
              <w:t>联系电话：</w:t>
            </w:r>
          </w:p>
        </w:tc>
        <w:tc>
          <w:tcPr>
            <w:tcW w:w="2358" w:type="pct"/>
          </w:tcPr>
          <w:p>
            <w:pPr>
              <w:pStyle w:val="62"/>
              <w:spacing w:line="302" w:lineRule="auto"/>
              <w:rPr>
                <w:rFonts w:eastAsiaTheme="majorEastAsia"/>
              </w:rPr>
            </w:pPr>
            <w:r>
              <w:rPr>
                <w:rFonts w:eastAsiaTheme="majorEastAsia"/>
              </w:rPr>
              <w:t>联系电话：</w:t>
            </w:r>
          </w:p>
        </w:tc>
      </w:tr>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szCs w:val="24"/>
              </w:rPr>
              <w:t>开户银行：</w:t>
            </w:r>
          </w:p>
        </w:tc>
        <w:tc>
          <w:tcPr>
            <w:tcW w:w="2358" w:type="pct"/>
          </w:tcPr>
          <w:p>
            <w:pPr>
              <w:pStyle w:val="62"/>
              <w:spacing w:line="302" w:lineRule="auto"/>
              <w:rPr>
                <w:rFonts w:eastAsiaTheme="majorEastAsia"/>
              </w:rPr>
            </w:pPr>
            <w:r>
              <w:rPr>
                <w:rFonts w:eastAsiaTheme="majorEastAsia"/>
                <w:szCs w:val="24"/>
              </w:rPr>
              <w:t>开户银行：</w:t>
            </w:r>
          </w:p>
        </w:tc>
      </w:tr>
      <w:tr>
        <w:tblPrEx>
          <w:tblCellMar>
            <w:top w:w="0" w:type="dxa"/>
            <w:left w:w="108" w:type="dxa"/>
            <w:bottom w:w="0" w:type="dxa"/>
            <w:right w:w="108" w:type="dxa"/>
          </w:tblCellMar>
        </w:tblPrEx>
        <w:tc>
          <w:tcPr>
            <w:tcW w:w="2642" w:type="pct"/>
          </w:tcPr>
          <w:p>
            <w:pPr>
              <w:pStyle w:val="62"/>
              <w:spacing w:line="302" w:lineRule="auto"/>
              <w:rPr>
                <w:rFonts w:eastAsiaTheme="majorEastAsia"/>
              </w:rPr>
            </w:pPr>
            <w:r>
              <w:rPr>
                <w:rFonts w:eastAsiaTheme="majorEastAsia"/>
                <w:szCs w:val="24"/>
              </w:rPr>
              <w:t>账号：</w:t>
            </w:r>
          </w:p>
        </w:tc>
        <w:tc>
          <w:tcPr>
            <w:tcW w:w="2358" w:type="pct"/>
          </w:tcPr>
          <w:p>
            <w:pPr>
              <w:pStyle w:val="62"/>
              <w:spacing w:line="302" w:lineRule="auto"/>
              <w:rPr>
                <w:rFonts w:eastAsiaTheme="majorEastAsia"/>
              </w:rPr>
            </w:pPr>
            <w:r>
              <w:rPr>
                <w:rFonts w:eastAsiaTheme="majorEastAsia"/>
                <w:szCs w:val="24"/>
              </w:rPr>
              <w:t>账号：</w:t>
            </w:r>
          </w:p>
        </w:tc>
      </w:tr>
      <w:tr>
        <w:tblPrEx>
          <w:tblCellMar>
            <w:top w:w="0" w:type="dxa"/>
            <w:left w:w="108" w:type="dxa"/>
            <w:bottom w:w="0" w:type="dxa"/>
            <w:right w:w="108" w:type="dxa"/>
          </w:tblCellMar>
        </w:tblPrEx>
        <w:tc>
          <w:tcPr>
            <w:tcW w:w="2642" w:type="pct"/>
          </w:tcPr>
          <w:p>
            <w:pPr>
              <w:pStyle w:val="62"/>
              <w:spacing w:line="302" w:lineRule="auto"/>
              <w:rPr>
                <w:rFonts w:eastAsiaTheme="majorEastAsia"/>
                <w:szCs w:val="24"/>
              </w:rPr>
            </w:pPr>
            <w:r>
              <w:rPr>
                <w:rFonts w:eastAsiaTheme="majorEastAsia"/>
                <w:szCs w:val="24"/>
              </w:rPr>
              <w:t>日期：</w:t>
            </w:r>
          </w:p>
        </w:tc>
        <w:tc>
          <w:tcPr>
            <w:tcW w:w="2358" w:type="pct"/>
          </w:tcPr>
          <w:p>
            <w:pPr>
              <w:pStyle w:val="62"/>
              <w:spacing w:line="302" w:lineRule="auto"/>
              <w:rPr>
                <w:rFonts w:eastAsiaTheme="majorEastAsia"/>
                <w:szCs w:val="24"/>
              </w:rPr>
            </w:pPr>
            <w:r>
              <w:rPr>
                <w:rFonts w:eastAsiaTheme="majorEastAsia"/>
                <w:szCs w:val="24"/>
              </w:rPr>
              <w:t>日期：</w:t>
            </w:r>
          </w:p>
        </w:tc>
      </w:tr>
    </w:tbl>
    <w:p>
      <w:pPr>
        <w:spacing w:line="450" w:lineRule="exact"/>
        <w:rPr>
          <w:rFonts w:eastAsia="仿宋_GB2312"/>
          <w:sz w:val="24"/>
          <w:szCs w:val="24"/>
        </w:rPr>
      </w:pPr>
    </w:p>
    <w:p>
      <w:pPr>
        <w:pStyle w:val="12"/>
        <w:tabs>
          <w:tab w:val="left" w:pos="1050"/>
          <w:tab w:val="right" w:leader="dot" w:pos="9402"/>
        </w:tabs>
        <w:ind w:left="0" w:leftChars="0"/>
        <w:jc w:val="center"/>
        <w:outlineLvl w:val="0"/>
        <w:rPr>
          <w:rFonts w:ascii="宋体" w:hAnsi="宋体" w:cs="宋体"/>
          <w:b/>
          <w:i/>
          <w:color w:val="000000"/>
          <w:kern w:val="44"/>
          <w:sz w:val="24"/>
          <w:szCs w:val="24"/>
        </w:rPr>
      </w:pPr>
      <w:r>
        <w:rPr>
          <w:rFonts w:hAnsi="宋体" w:cs="宋体"/>
          <w:kern w:val="0"/>
          <w:sz w:val="28"/>
          <w:szCs w:val="28"/>
        </w:rPr>
        <w:br w:type="page"/>
      </w:r>
      <w:bookmarkStart w:id="41" w:name="_Toc16466"/>
      <w:bookmarkStart w:id="42" w:name="_Toc29533"/>
      <w:r>
        <w:rPr>
          <w:rFonts w:hint="eastAsia"/>
          <w:b/>
          <w:kern w:val="44"/>
          <w:sz w:val="44"/>
          <w:szCs w:val="44"/>
        </w:rPr>
        <w:t>第七章 质疑提出和处理</w:t>
      </w:r>
      <w:bookmarkEnd w:id="41"/>
      <w:bookmarkEnd w:id="42"/>
    </w:p>
    <w:p>
      <w:pPr>
        <w:spacing w:line="360" w:lineRule="auto"/>
        <w:ind w:firstLine="480" w:firstLineChars="200"/>
        <w:rPr>
          <w:sz w:val="24"/>
          <w:szCs w:val="24"/>
        </w:rPr>
      </w:pPr>
      <w:r>
        <w:rPr>
          <w:rFonts w:hint="eastAsia"/>
          <w:sz w:val="24"/>
          <w:szCs w:val="24"/>
        </w:rPr>
        <w:t>一、质疑的提出</w:t>
      </w:r>
    </w:p>
    <w:p>
      <w:pPr>
        <w:spacing w:line="360" w:lineRule="auto"/>
        <w:ind w:firstLine="480" w:firstLineChars="200"/>
        <w:rPr>
          <w:sz w:val="24"/>
          <w:szCs w:val="24"/>
        </w:rPr>
      </w:pPr>
      <w:r>
        <w:rPr>
          <w:rFonts w:hint="eastAsia"/>
          <w:sz w:val="24"/>
          <w:szCs w:val="24"/>
        </w:rPr>
        <w:t>1、质疑人必须是直接参加本次磋商活动的当事人。</w:t>
      </w:r>
    </w:p>
    <w:p>
      <w:pPr>
        <w:spacing w:line="360" w:lineRule="auto"/>
        <w:ind w:firstLine="480" w:firstLineChars="200"/>
        <w:rPr>
          <w:sz w:val="24"/>
          <w:szCs w:val="24"/>
        </w:rPr>
      </w:pPr>
      <w:r>
        <w:rPr>
          <w:rFonts w:hint="eastAsia"/>
          <w:sz w:val="24"/>
          <w:szCs w:val="24"/>
        </w:rPr>
        <w:t xml:space="preserve">2、下载磋商文件的供应商应根据第二章“磋商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spacing w:line="360" w:lineRule="auto"/>
        <w:ind w:firstLine="480" w:firstLineChars="200"/>
        <w:rPr>
          <w:sz w:val="24"/>
          <w:szCs w:val="24"/>
        </w:rPr>
      </w:pPr>
      <w:r>
        <w:rPr>
          <w:rFonts w:hint="eastAsia"/>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rPr>
          <w:sz w:val="24"/>
          <w:szCs w:val="24"/>
        </w:rPr>
      </w:pPr>
      <w:r>
        <w:rPr>
          <w:rFonts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rPr>
          <w:sz w:val="24"/>
          <w:szCs w:val="24"/>
        </w:rPr>
      </w:pPr>
      <w:r>
        <w:rPr>
          <w:rFonts w:hint="eastAsia"/>
          <w:sz w:val="24"/>
          <w:szCs w:val="24"/>
        </w:rPr>
        <w:t>对不能提供相关佐证材料的、涉及商业秘密的、非书面形式的、非送达的、匿名的《质疑函》将不予受理。</w:t>
      </w:r>
    </w:p>
    <w:p>
      <w:pPr>
        <w:spacing w:line="360" w:lineRule="auto"/>
        <w:ind w:firstLine="480" w:firstLineChars="200"/>
        <w:rPr>
          <w:sz w:val="24"/>
          <w:szCs w:val="24"/>
        </w:rPr>
      </w:pPr>
      <w:r>
        <w:rPr>
          <w:rFonts w:hint="eastAsia"/>
          <w:sz w:val="24"/>
          <w:szCs w:val="24"/>
        </w:rPr>
        <w:t>相关佐证材料要具备客观性、关联性、合法性，无法查实的（如宣传册、媒体报道、猜测、推理等）不能作为佐证材料。</w:t>
      </w:r>
    </w:p>
    <w:p>
      <w:pPr>
        <w:spacing w:line="360" w:lineRule="auto"/>
        <w:ind w:firstLine="480" w:firstLineChars="200"/>
        <w:rPr>
          <w:sz w:val="24"/>
          <w:szCs w:val="24"/>
        </w:rPr>
      </w:pPr>
      <w:r>
        <w:rPr>
          <w:rFonts w:hint="eastAsia"/>
          <w:sz w:val="24"/>
          <w:szCs w:val="24"/>
        </w:rPr>
        <w:t>采购单位或采购代理机构不负责搜集相关佐证材料等工作。</w:t>
      </w:r>
    </w:p>
    <w:p>
      <w:pPr>
        <w:spacing w:line="360" w:lineRule="auto"/>
        <w:ind w:firstLine="480" w:firstLineChars="200"/>
        <w:rPr>
          <w:sz w:val="24"/>
          <w:szCs w:val="24"/>
        </w:rPr>
      </w:pPr>
      <w:r>
        <w:rPr>
          <w:rFonts w:hint="eastAsia"/>
          <w:sz w:val="24"/>
          <w:szCs w:val="24"/>
        </w:rPr>
        <w:t>二、《质疑函》的受理和回复</w:t>
      </w:r>
    </w:p>
    <w:p>
      <w:pPr>
        <w:spacing w:line="360" w:lineRule="auto"/>
        <w:ind w:firstLine="480" w:firstLineChars="200"/>
        <w:rPr>
          <w:sz w:val="24"/>
          <w:szCs w:val="24"/>
        </w:rPr>
      </w:pPr>
      <w:r>
        <w:rPr>
          <w:rFonts w:hint="eastAsia"/>
          <w:sz w:val="24"/>
          <w:szCs w:val="24"/>
        </w:rPr>
        <w:t>1、《质疑函》须由质疑人的法定代表人或参加本次磋商被授权人送达采购单位和采购代理机构。</w:t>
      </w:r>
    </w:p>
    <w:p>
      <w:pPr>
        <w:spacing w:line="360" w:lineRule="auto"/>
        <w:ind w:firstLine="480" w:firstLineChars="200"/>
        <w:rPr>
          <w:sz w:val="24"/>
          <w:szCs w:val="24"/>
        </w:rPr>
      </w:pPr>
      <w:r>
        <w:rPr>
          <w:rFonts w:hint="eastAsia"/>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rPr>
          <w:sz w:val="24"/>
          <w:szCs w:val="24"/>
        </w:rPr>
      </w:pPr>
      <w:r>
        <w:rPr>
          <w:rFonts w:hint="eastAsia"/>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rPr>
          <w:sz w:val="24"/>
          <w:szCs w:val="24"/>
        </w:rPr>
      </w:pPr>
      <w:r>
        <w:rPr>
          <w:rFonts w:hint="eastAsia"/>
          <w:sz w:val="24"/>
          <w:szCs w:val="24"/>
        </w:rPr>
        <w:t>4、采购单位、采购代理机构负责将质疑人提出的质疑相关材料提供给相关专家或评审小组审核，并将审核意见回复质疑人。</w:t>
      </w:r>
    </w:p>
    <w:p>
      <w:pPr>
        <w:spacing w:line="360" w:lineRule="auto"/>
        <w:ind w:firstLine="480" w:firstLineChars="200"/>
        <w:rPr>
          <w:sz w:val="24"/>
          <w:szCs w:val="24"/>
        </w:rPr>
      </w:pPr>
      <w:r>
        <w:rPr>
          <w:rFonts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rPr>
          <w:sz w:val="24"/>
          <w:szCs w:val="24"/>
        </w:rPr>
      </w:pPr>
      <w:r>
        <w:rPr>
          <w:rFonts w:hint="eastAsia"/>
          <w:sz w:val="24"/>
          <w:szCs w:val="24"/>
        </w:rPr>
        <w:t>5、因质疑情况复杂，组织论证或审查时间较长的，采购单位、采购代理机构以书面形式通知质疑人，可适当延长质疑回复处理时间。</w:t>
      </w:r>
    </w:p>
    <w:p>
      <w:pPr>
        <w:spacing w:line="360" w:lineRule="auto"/>
        <w:ind w:firstLine="480" w:firstLineChars="200"/>
        <w:rPr>
          <w:sz w:val="24"/>
          <w:szCs w:val="24"/>
        </w:rPr>
      </w:pPr>
      <w:r>
        <w:rPr>
          <w:rFonts w:hint="eastAsia"/>
          <w:sz w:val="24"/>
          <w:szCs w:val="24"/>
        </w:rPr>
        <w:t>三、质疑处理</w:t>
      </w:r>
    </w:p>
    <w:p>
      <w:pPr>
        <w:spacing w:line="360" w:lineRule="auto"/>
        <w:ind w:firstLine="480" w:firstLineChars="200"/>
        <w:rPr>
          <w:sz w:val="24"/>
          <w:szCs w:val="24"/>
        </w:rPr>
      </w:pPr>
      <w:r>
        <w:rPr>
          <w:rFonts w:hint="eastAsia"/>
          <w:sz w:val="24"/>
          <w:szCs w:val="24"/>
        </w:rPr>
        <w:t>1、质疑成立的处理。采购单位或采购代理机构终止采购，并建议有关部门给相关当事人予以处理。</w:t>
      </w:r>
    </w:p>
    <w:p>
      <w:pPr>
        <w:spacing w:line="360" w:lineRule="auto"/>
        <w:ind w:firstLine="480" w:firstLineChars="200"/>
        <w:rPr>
          <w:sz w:val="24"/>
          <w:szCs w:val="24"/>
        </w:rPr>
      </w:pPr>
      <w:r>
        <w:rPr>
          <w:rFonts w:hint="eastAsia"/>
          <w:sz w:val="24"/>
          <w:szCs w:val="24"/>
        </w:rPr>
        <w:t>2、质疑不成立的处理。</w:t>
      </w:r>
    </w:p>
    <w:p>
      <w:pPr>
        <w:spacing w:line="360" w:lineRule="auto"/>
        <w:ind w:firstLine="480" w:firstLineChars="200"/>
        <w:rPr>
          <w:sz w:val="24"/>
          <w:szCs w:val="24"/>
        </w:rPr>
      </w:pPr>
      <w:r>
        <w:rPr>
          <w:rFonts w:hint="eastAsia"/>
          <w:sz w:val="24"/>
          <w:szCs w:val="24"/>
        </w:rPr>
        <w:t>1）质疑人书面《申请撤回质疑函》的，不作违约处理。</w:t>
      </w:r>
    </w:p>
    <w:p>
      <w:pPr>
        <w:spacing w:line="360" w:lineRule="auto"/>
        <w:ind w:firstLine="480" w:firstLineChars="200"/>
        <w:rPr>
          <w:sz w:val="24"/>
          <w:szCs w:val="24"/>
        </w:rPr>
      </w:pPr>
      <w:r>
        <w:rPr>
          <w:rFonts w:hint="eastAsia"/>
          <w:sz w:val="24"/>
          <w:szCs w:val="24"/>
        </w:rPr>
        <w:t>2）质疑人在规定的时间内不配合进行质疑调查处理的，按自动撤回《质疑函》处理。</w:t>
      </w:r>
    </w:p>
    <w:p>
      <w:pPr>
        <w:spacing w:line="360" w:lineRule="auto"/>
        <w:ind w:firstLine="480" w:firstLineChars="200"/>
        <w:rPr>
          <w:sz w:val="24"/>
          <w:szCs w:val="24"/>
        </w:rPr>
      </w:pPr>
      <w:r>
        <w:rPr>
          <w:rFonts w:hint="eastAsia"/>
          <w:sz w:val="24"/>
          <w:szCs w:val="24"/>
        </w:rPr>
        <w:t>3）质疑人不按《质疑函》格式就提出质疑的，作违约处理。同时，视情列入不良供应商名单。</w:t>
      </w:r>
    </w:p>
    <w:p>
      <w:pPr>
        <w:spacing w:line="360" w:lineRule="auto"/>
        <w:ind w:firstLine="480" w:firstLineChars="200"/>
        <w:rPr>
          <w:sz w:val="24"/>
          <w:szCs w:val="24"/>
        </w:rPr>
      </w:pPr>
      <w:r>
        <w:rPr>
          <w:rFonts w:hint="eastAsia"/>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rPr>
          <w:sz w:val="24"/>
          <w:szCs w:val="24"/>
        </w:rPr>
      </w:pPr>
      <w:r>
        <w:rPr>
          <w:rFonts w:hint="eastAsia"/>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rPr>
          <w:sz w:val="24"/>
          <w:szCs w:val="24"/>
        </w:rPr>
      </w:pPr>
      <w:r>
        <w:rPr>
          <w:rFonts w:hint="eastAsia"/>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市、省、国家级相关媒体予以披露。</w:t>
      </w:r>
    </w:p>
    <w:p>
      <w:pPr>
        <w:spacing w:line="360" w:lineRule="auto"/>
        <w:ind w:firstLine="480" w:firstLineChars="200"/>
        <w:rPr>
          <w:sz w:val="24"/>
          <w:szCs w:val="24"/>
        </w:rPr>
      </w:pPr>
      <w:r>
        <w:rPr>
          <w:rFonts w:hint="eastAsia"/>
          <w:sz w:val="24"/>
          <w:szCs w:val="24"/>
        </w:rPr>
        <w:t>7）质疑人承担使用虚假材料或恶意方式质疑的法律责任。</w:t>
      </w:r>
    </w:p>
    <w:p>
      <w:pPr>
        <w:spacing w:line="360" w:lineRule="auto"/>
        <w:ind w:firstLine="480" w:firstLineChars="200"/>
        <w:rPr>
          <w:sz w:val="24"/>
          <w:szCs w:val="24"/>
        </w:rPr>
      </w:pPr>
      <w:r>
        <w:rPr>
          <w:rFonts w:hint="eastAsia"/>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rPr>
          <w:sz w:val="24"/>
          <w:szCs w:val="24"/>
        </w:rPr>
      </w:pPr>
      <w:r>
        <w:rPr>
          <w:rFonts w:hint="eastAsia"/>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rPr>
          <w:sz w:val="24"/>
          <w:szCs w:val="24"/>
        </w:rPr>
      </w:pPr>
      <w:r>
        <w:rPr>
          <w:rFonts w:hint="eastAsia"/>
          <w:sz w:val="24"/>
          <w:szCs w:val="24"/>
        </w:rPr>
        <w:t>六、《质疑函》、《质疑回复函》，质疑、举报、投诉不成立的等相关情况，视情在市、省、国家级等相关媒体予以披露。并建议相关政府采购机构对该供应商同步实施1至3年内禁入。</w:t>
      </w:r>
    </w:p>
    <w:p>
      <w:pPr>
        <w:spacing w:line="360" w:lineRule="auto"/>
        <w:ind w:firstLine="480" w:firstLineChars="200"/>
        <w:rPr>
          <w:sz w:val="24"/>
          <w:szCs w:val="24"/>
        </w:rPr>
      </w:pPr>
      <w:r>
        <w:rPr>
          <w:rFonts w:hint="eastAsia"/>
          <w:sz w:val="24"/>
          <w:szCs w:val="24"/>
        </w:rPr>
        <w:t>七、质疑供应商对采购单位或代理机构的答复不满意或者采购单位或代理机构未在规定的时间内作出答复的，可以在答复期满后15个工作日内向政府采购监督管理部门投诉。</w:t>
      </w:r>
    </w:p>
    <w:p>
      <w:pPr>
        <w:snapToGrid w:val="0"/>
        <w:spacing w:line="360" w:lineRule="auto"/>
        <w:jc w:val="center"/>
        <w:rPr>
          <w:rFonts w:hAnsi="宋体"/>
          <w:bCs/>
          <w:sz w:val="24"/>
          <w:szCs w:val="24"/>
        </w:rPr>
      </w:pPr>
      <w:r>
        <w:rPr>
          <w:rFonts w:hAnsi="宋体"/>
          <w:bCs/>
          <w:sz w:val="24"/>
          <w:szCs w:val="24"/>
        </w:rPr>
        <w:t xml:space="preserve"> </w:t>
      </w:r>
    </w:p>
    <w:p>
      <w:pPr>
        <w:pStyle w:val="6"/>
        <w:keepNext w:val="0"/>
        <w:keepLines w:val="0"/>
        <w:adjustRightInd w:val="0"/>
        <w:snapToGrid w:val="0"/>
        <w:spacing w:before="0" w:after="0" w:line="360" w:lineRule="auto"/>
        <w:jc w:val="center"/>
        <w:textAlignment w:val="baseline"/>
        <w:rPr>
          <w:rFonts w:ascii="宋体" w:hAnsi="宋体" w:eastAsia="宋体"/>
          <w:w w:val="80"/>
          <w:szCs w:val="44"/>
        </w:rPr>
      </w:pPr>
      <w:r>
        <w:rPr>
          <w:rFonts w:ascii="宋体" w:hAnsi="宋体" w:eastAsia="宋体"/>
          <w:w w:val="80"/>
          <w:szCs w:val="44"/>
        </w:rPr>
        <w:br w:type="page"/>
      </w:r>
    </w:p>
    <w:p>
      <w:pPr>
        <w:adjustRightInd w:val="0"/>
        <w:snapToGrid w:val="0"/>
        <w:spacing w:line="360" w:lineRule="auto"/>
        <w:jc w:val="center"/>
        <w:rPr>
          <w:rFonts w:hAnsi="宋体" w:cs="宋体"/>
          <w:b/>
          <w:bCs/>
          <w:sz w:val="44"/>
          <w:szCs w:val="44"/>
        </w:rPr>
      </w:pPr>
      <w:bookmarkStart w:id="43" w:name="_Toc13065"/>
      <w:bookmarkStart w:id="44" w:name="_Toc31004"/>
      <w:r>
        <w:rPr>
          <w:rFonts w:hint="eastAsia"/>
          <w:sz w:val="44"/>
          <w:szCs w:val="44"/>
        </w:rPr>
        <w:t>第八章  响应文件组成及格式</w:t>
      </w:r>
      <w:bookmarkEnd w:id="43"/>
      <w:bookmarkEnd w:id="44"/>
    </w:p>
    <w:p>
      <w:pPr>
        <w:adjustRightInd w:val="0"/>
        <w:snapToGrid w:val="0"/>
        <w:spacing w:line="360" w:lineRule="auto"/>
        <w:ind w:firstLine="487" w:firstLineChars="202"/>
        <w:jc w:val="left"/>
        <w:rPr>
          <w:rFonts w:hAnsi="宋体" w:cs="宋体"/>
          <w:b/>
          <w:bCs/>
          <w:sz w:val="24"/>
          <w:szCs w:val="24"/>
        </w:rPr>
      </w:pPr>
      <w:r>
        <w:rPr>
          <w:rFonts w:hint="eastAsia" w:hAnsi="宋体" w:cs="宋体"/>
          <w:b/>
          <w:bCs/>
          <w:sz w:val="24"/>
          <w:szCs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adjustRightInd w:val="0"/>
        <w:snapToGrid w:val="0"/>
        <w:spacing w:line="360" w:lineRule="auto"/>
        <w:ind w:firstLine="487" w:firstLineChars="202"/>
        <w:jc w:val="left"/>
        <w:outlineLvl w:val="1"/>
        <w:rPr>
          <w:rFonts w:hAnsi="宋体" w:cs="宋体"/>
          <w:b/>
          <w:bCs/>
          <w:sz w:val="24"/>
          <w:szCs w:val="24"/>
        </w:rPr>
      </w:pPr>
      <w:r>
        <w:rPr>
          <w:rFonts w:hint="eastAsia" w:hAnsi="宋体" w:cs="宋体"/>
          <w:b/>
          <w:bCs/>
          <w:sz w:val="24"/>
          <w:szCs w:val="24"/>
        </w:rPr>
        <w:t>一、资格审查文件（单独密封）：</w:t>
      </w:r>
    </w:p>
    <w:p>
      <w:pPr>
        <w:ind w:firstLine="480"/>
        <w:rPr>
          <w:rFonts w:ascii="宋体" w:hAnsi="宋体" w:cs="宋体"/>
          <w:sz w:val="24"/>
          <w:szCs w:val="24"/>
        </w:rPr>
      </w:pPr>
      <w:r>
        <w:rPr>
          <w:rFonts w:hint="eastAsia" w:ascii="宋体" w:hAnsi="宋体" w:cs="宋体"/>
          <w:sz w:val="24"/>
          <w:szCs w:val="24"/>
        </w:rPr>
        <w:t>1、投标供应商必须有能力按本招标文件规定的要求提供相关服务，提供</w:t>
      </w:r>
      <w:r>
        <w:rPr>
          <w:rFonts w:hint="eastAsia" w:ascii="宋体" w:hAnsi="宋体"/>
          <w:sz w:val="24"/>
        </w:rPr>
        <w:t>法人或其他组织的营业执照等证明文件（须在有效期内）</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投标供应商须提供参与本次项目采购活动前三年内，在经营活动中没有重大违法记录的书面《无重大违法记录声明函》（格式参见</w:t>
      </w:r>
      <w:r>
        <w:rPr>
          <w:rFonts w:hint="eastAsia" w:ascii="宋体" w:hAnsi="宋体" w:cs="宋体"/>
          <w:sz w:val="24"/>
          <w:szCs w:val="24"/>
        </w:rPr>
        <w:t>附件</w:t>
      </w:r>
      <w:r>
        <w:rPr>
          <w:rFonts w:hint="eastAsia" w:ascii="宋体" w:hAnsi="宋体" w:cs="宋体"/>
          <w:sz w:val="24"/>
          <w:szCs w:val="24"/>
          <w:lang w:val="zh-CN"/>
        </w:rPr>
        <w:t>）。</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、关于资格文件的声明函（格式参见</w:t>
      </w:r>
      <w:r>
        <w:rPr>
          <w:rFonts w:hint="eastAsia" w:ascii="宋体" w:hAnsi="宋体" w:cs="宋体"/>
          <w:sz w:val="24"/>
          <w:szCs w:val="24"/>
        </w:rPr>
        <w:t>附件</w:t>
      </w:r>
      <w:r>
        <w:rPr>
          <w:rFonts w:hint="eastAsia" w:ascii="宋体" w:hAnsi="宋体" w:cs="宋体"/>
          <w:sz w:val="24"/>
          <w:szCs w:val="24"/>
          <w:lang w:val="zh-CN"/>
        </w:rPr>
        <w:t>）。</w:t>
      </w:r>
    </w:p>
    <w:p>
      <w:pPr>
        <w:pStyle w:val="20"/>
        <w:ind w:left="0" w:leftChars="0"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en-US" w:eastAsia="zh-CN" w:bidi="ar-SA"/>
        </w:rPr>
        <w:t>5、不见面开标</w:t>
      </w:r>
      <w:r>
        <w:rPr>
          <w:rFonts w:hint="eastAsia" w:ascii="宋体" w:hAnsi="宋体" w:eastAsia="宋体" w:cs="宋体"/>
          <w:kern w:val="2"/>
          <w:sz w:val="24"/>
          <w:szCs w:val="24"/>
          <w:lang w:val="zh-CN" w:eastAsia="zh-CN" w:bidi="ar-SA"/>
        </w:rPr>
        <w:t>承诺函</w:t>
      </w:r>
      <w:r>
        <w:rPr>
          <w:rFonts w:hint="eastAsia" w:ascii="宋体" w:hAnsi="宋体" w:cs="宋体"/>
          <w:sz w:val="24"/>
          <w:szCs w:val="24"/>
          <w:lang w:val="zh-CN"/>
        </w:rPr>
        <w:t>（格式参见</w:t>
      </w:r>
      <w:r>
        <w:rPr>
          <w:rFonts w:hint="eastAsia" w:ascii="宋体" w:hAnsi="宋体" w:cs="宋体"/>
          <w:sz w:val="24"/>
          <w:szCs w:val="24"/>
        </w:rPr>
        <w:t>附件</w:t>
      </w:r>
      <w:r>
        <w:rPr>
          <w:rFonts w:hint="eastAsia" w:ascii="宋体" w:hAnsi="宋体" w:cs="宋体"/>
          <w:sz w:val="24"/>
          <w:szCs w:val="24"/>
          <w:lang w:val="zh-CN"/>
        </w:rPr>
        <w:t>）。</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en-US" w:eastAsia="zh-CN"/>
        </w:rPr>
        <w:t>6</w:t>
      </w:r>
      <w:r>
        <w:rPr>
          <w:rFonts w:hint="eastAsia" w:ascii="宋体" w:hAnsi="宋体" w:cs="宋体"/>
          <w:sz w:val="24"/>
          <w:szCs w:val="24"/>
          <w:lang w:val="zh-CN"/>
        </w:rPr>
        <w:t>、本项目不接受任何形式的联合体投标。</w:t>
      </w:r>
    </w:p>
    <w:p>
      <w:pPr>
        <w:spacing w:line="360" w:lineRule="auto"/>
        <w:rPr>
          <w:rFonts w:hAnsi="宋体"/>
          <w:b/>
          <w:sz w:val="24"/>
          <w:szCs w:val="24"/>
        </w:rPr>
      </w:pPr>
      <w:r>
        <w:rPr>
          <w:rFonts w:hint="eastAsia" w:hAnsi="宋体"/>
          <w:b/>
          <w:sz w:val="24"/>
          <w:szCs w:val="24"/>
        </w:rPr>
        <w:t>以上材料复印件均需加盖磋商响应供应商的公章。</w:t>
      </w:r>
    </w:p>
    <w:p>
      <w:pPr>
        <w:keepNext/>
        <w:keepLines/>
        <w:adjustRightInd w:val="0"/>
        <w:spacing w:before="260" w:after="260" w:line="416" w:lineRule="atLeast"/>
        <w:ind w:firstLine="482" w:firstLineChars="200"/>
        <w:textAlignment w:val="baseline"/>
        <w:outlineLvl w:val="1"/>
        <w:rPr>
          <w:rFonts w:ascii="宋体" w:hAnsi="宋体" w:cs="宋体"/>
          <w:b/>
          <w:kern w:val="0"/>
          <w:sz w:val="24"/>
          <w:szCs w:val="24"/>
        </w:rPr>
      </w:pPr>
      <w:bookmarkStart w:id="45" w:name="_Toc11584"/>
      <w:bookmarkStart w:id="46" w:name="_Toc8881"/>
      <w:r>
        <w:rPr>
          <w:rFonts w:hint="eastAsia" w:ascii="宋体" w:hAnsi="宋体" w:cs="宋体"/>
          <w:b/>
          <w:kern w:val="0"/>
          <w:sz w:val="24"/>
          <w:szCs w:val="24"/>
        </w:rPr>
        <w:t>二、技术响应文件</w:t>
      </w:r>
      <w:bookmarkEnd w:id="45"/>
      <w:bookmarkEnd w:id="46"/>
    </w:p>
    <w:p>
      <w:pPr>
        <w:spacing w:line="360" w:lineRule="auto"/>
        <w:ind w:firstLine="480" w:firstLineChars="200"/>
        <w:rPr>
          <w:rFonts w:ascii="宋体" w:hAnsi="宋体" w:cs="宋体"/>
          <w:sz w:val="24"/>
          <w:szCs w:val="24"/>
        </w:rPr>
      </w:pPr>
      <w:r>
        <w:rPr>
          <w:rFonts w:hint="eastAsia" w:ascii="宋体" w:hAnsi="宋体" w:cs="宋体"/>
          <w:sz w:val="24"/>
          <w:szCs w:val="24"/>
        </w:rPr>
        <w:t>1、竞争性磋商响应函；（格式参见附件）</w:t>
      </w:r>
    </w:p>
    <w:p>
      <w:pPr>
        <w:spacing w:line="360" w:lineRule="auto"/>
        <w:ind w:firstLine="480" w:firstLineChars="200"/>
        <w:rPr>
          <w:rFonts w:ascii="宋体" w:hAnsi="宋体" w:cs="宋体"/>
          <w:sz w:val="24"/>
          <w:szCs w:val="24"/>
        </w:rPr>
      </w:pPr>
      <w:r>
        <w:rPr>
          <w:rFonts w:hint="eastAsia" w:ascii="宋体" w:hAnsi="宋体" w:cs="宋体"/>
          <w:sz w:val="24"/>
          <w:szCs w:val="24"/>
        </w:rPr>
        <w:t>2、供应商一般情况表；（格式参见附件）</w:t>
      </w:r>
    </w:p>
    <w:p>
      <w:pPr>
        <w:spacing w:line="360" w:lineRule="auto"/>
        <w:ind w:firstLine="480" w:firstLineChars="200"/>
        <w:rPr>
          <w:rFonts w:ascii="宋体" w:hAnsi="宋体" w:cs="宋体"/>
          <w:sz w:val="24"/>
          <w:szCs w:val="24"/>
        </w:rPr>
      </w:pPr>
      <w:r>
        <w:rPr>
          <w:rFonts w:hint="eastAsia" w:ascii="宋体" w:hAnsi="宋体" w:cs="宋体"/>
          <w:sz w:val="24"/>
          <w:szCs w:val="24"/>
        </w:rPr>
        <w:t>3、评标办法中所涉及的事项需提供的所有资料；</w:t>
      </w:r>
    </w:p>
    <w:p>
      <w:pPr>
        <w:spacing w:line="360" w:lineRule="auto"/>
        <w:ind w:firstLine="480" w:firstLineChars="200"/>
        <w:rPr>
          <w:rFonts w:ascii="宋体" w:hAnsi="宋体" w:cs="宋体"/>
          <w:sz w:val="24"/>
          <w:szCs w:val="24"/>
        </w:rPr>
      </w:pPr>
      <w:r>
        <w:rPr>
          <w:rFonts w:hint="eastAsia" w:ascii="宋体" w:hAnsi="宋体" w:cs="宋体"/>
          <w:sz w:val="24"/>
          <w:szCs w:val="24"/>
        </w:rPr>
        <w:t>4、评标办法中未涉及的事项，投标供应商认为需要提交的其他资料；</w:t>
      </w:r>
    </w:p>
    <w:p>
      <w:pPr>
        <w:spacing w:line="360" w:lineRule="auto"/>
        <w:ind w:firstLine="480" w:firstLineChars="200"/>
        <w:rPr>
          <w:rFonts w:ascii="宋体" w:hAnsi="宋体" w:cs="宋体"/>
          <w:sz w:val="24"/>
          <w:szCs w:val="24"/>
        </w:rPr>
      </w:pPr>
      <w:r>
        <w:rPr>
          <w:rFonts w:hint="eastAsia" w:ascii="宋体" w:hAnsi="宋体" w:cs="宋体"/>
          <w:sz w:val="24"/>
          <w:szCs w:val="24"/>
        </w:rPr>
        <w:t>5、招标文件中要求提供的其他材料。</w:t>
      </w:r>
    </w:p>
    <w:p>
      <w:pPr>
        <w:spacing w:line="360" w:lineRule="auto"/>
        <w:ind w:firstLine="480" w:firstLineChars="200"/>
        <w:rPr>
          <w:rFonts w:ascii="宋体" w:hAnsi="宋体" w:cs="宋体"/>
          <w:sz w:val="24"/>
          <w:szCs w:val="24"/>
        </w:rPr>
      </w:pPr>
      <w:r>
        <w:rPr>
          <w:rFonts w:hint="eastAsia" w:ascii="宋体" w:hAnsi="宋体" w:cs="宋体"/>
          <w:sz w:val="24"/>
          <w:szCs w:val="24"/>
        </w:rPr>
        <w:t>注：为方便评委评审，请投标供应商按评标办法中所涉及的事项顺序进行编制，可以补充相关材料。</w:t>
      </w:r>
    </w:p>
    <w:p>
      <w:pPr>
        <w:keepNext/>
        <w:keepLines/>
        <w:adjustRightInd w:val="0"/>
        <w:spacing w:before="260" w:after="260" w:line="416" w:lineRule="atLeast"/>
        <w:ind w:firstLine="482" w:firstLineChars="200"/>
        <w:textAlignment w:val="baseline"/>
        <w:outlineLvl w:val="1"/>
        <w:rPr>
          <w:rFonts w:ascii="宋体" w:hAnsi="宋体" w:cs="宋体"/>
          <w:b/>
          <w:kern w:val="0"/>
          <w:sz w:val="24"/>
          <w:szCs w:val="24"/>
          <w:lang w:val="zh-CN"/>
        </w:rPr>
      </w:pPr>
      <w:bookmarkStart w:id="47" w:name="_Toc449"/>
      <w:bookmarkStart w:id="48" w:name="_Toc12191"/>
      <w:r>
        <w:rPr>
          <w:rFonts w:hint="eastAsia" w:ascii="宋体" w:hAnsi="宋体" w:cs="宋体"/>
          <w:b/>
          <w:kern w:val="0"/>
          <w:sz w:val="24"/>
          <w:szCs w:val="24"/>
          <w:lang w:val="zh-CN"/>
        </w:rPr>
        <w:t>三、</w:t>
      </w:r>
      <w:r>
        <w:rPr>
          <w:rFonts w:hint="eastAsia" w:ascii="宋体" w:hAnsi="宋体" w:cs="宋体"/>
          <w:b/>
          <w:kern w:val="0"/>
          <w:sz w:val="24"/>
          <w:szCs w:val="24"/>
        </w:rPr>
        <w:t>商务报价响应文件</w:t>
      </w:r>
      <w:bookmarkEnd w:id="47"/>
      <w:bookmarkEnd w:id="48"/>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磋商响应报价总表；（格式参见附件）</w:t>
      </w:r>
    </w:p>
    <w:p>
      <w:pPr>
        <w:ind w:firstLine="480" w:firstLineChars="200"/>
        <w:jc w:val="left"/>
        <w:rPr>
          <w:rFonts w:ascii="宋体" w:hAnsi="宋体" w:cs="宋体"/>
          <w:color w:val="000000"/>
          <w:sz w:val="24"/>
          <w:szCs w:val="24"/>
        </w:rPr>
      </w:pPr>
      <w:r>
        <w:rPr>
          <w:rFonts w:hint="eastAsia" w:ascii="宋体" w:hAnsi="宋体" w:cs="宋体"/>
          <w:sz w:val="24"/>
          <w:szCs w:val="24"/>
        </w:rPr>
        <w:t>2、磋商响应报价明细表；格式自拟</w:t>
      </w:r>
    </w:p>
    <w:p>
      <w:pPr>
        <w:pStyle w:val="2"/>
        <w:ind w:firstLine="420"/>
        <w:rPr>
          <w:b/>
          <w:bCs/>
        </w:rPr>
      </w:pPr>
      <w:r>
        <w:rPr>
          <w:rFonts w:cs="宋体"/>
        </w:rPr>
        <w:br w:type="page"/>
      </w:r>
      <w:r>
        <w:rPr>
          <w:rFonts w:hint="eastAsia"/>
          <w:b/>
          <w:bCs/>
        </w:rPr>
        <w:t>附件:</w:t>
      </w:r>
    </w:p>
    <w:p>
      <w:pPr>
        <w:snapToGrid w:val="0"/>
        <w:spacing w:line="360" w:lineRule="auto"/>
        <w:jc w:val="center"/>
        <w:outlineLvl w:val="4"/>
        <w:rPr>
          <w:rFonts w:hAnsi="宋体" w:cs="宋体"/>
          <w:b/>
          <w:bCs/>
          <w:sz w:val="24"/>
          <w:szCs w:val="24"/>
        </w:rPr>
      </w:pPr>
      <w:r>
        <w:rPr>
          <w:rFonts w:hint="eastAsia" w:hAnsi="宋体" w:cs="宋体"/>
          <w:b/>
          <w:bCs/>
          <w:sz w:val="24"/>
          <w:szCs w:val="24"/>
        </w:rPr>
        <w:t>1</w:t>
      </w:r>
      <w:r>
        <w:rPr>
          <w:rFonts w:hint="eastAsia" w:ascii="宋体" w:hAnsi="宋体" w:cs="宋体"/>
          <w:sz w:val="24"/>
          <w:szCs w:val="24"/>
        </w:rPr>
        <w:t>.</w:t>
      </w:r>
      <w:r>
        <w:rPr>
          <w:rFonts w:hint="eastAsia" w:hAnsi="宋体" w:cs="宋体"/>
          <w:b/>
          <w:bCs/>
          <w:sz w:val="24"/>
          <w:szCs w:val="24"/>
        </w:rPr>
        <w:t>法定代表人身份证明</w:t>
      </w:r>
    </w:p>
    <w:p>
      <w:pPr>
        <w:snapToGrid w:val="0"/>
        <w:spacing w:line="360" w:lineRule="auto"/>
        <w:jc w:val="center"/>
        <w:rPr>
          <w:rFonts w:hAnsi="宋体" w:cs="宋体"/>
          <w:sz w:val="24"/>
          <w:szCs w:val="24"/>
        </w:rPr>
      </w:pPr>
      <w:r>
        <w:rPr>
          <w:rFonts w:hint="eastAsia" w:hAnsi="宋体" w:cs="宋体"/>
          <w:sz w:val="24"/>
          <w:szCs w:val="24"/>
        </w:rPr>
        <w:t>（法定代表人参加磋商，须出示此证明）</w:t>
      </w:r>
    </w:p>
    <w:p>
      <w:pPr>
        <w:snapToGrid w:val="0"/>
        <w:spacing w:line="360" w:lineRule="auto"/>
        <w:jc w:val="center"/>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u w:val="single"/>
        </w:rPr>
        <w:t>南通市崇川区商务局</w:t>
      </w:r>
      <w:r>
        <w:rPr>
          <w:rFonts w:hint="eastAsia" w:hAnsi="宋体" w:cs="宋体"/>
          <w:sz w:val="24"/>
          <w:szCs w:val="24"/>
        </w:rPr>
        <w:t>：</w:t>
      </w:r>
    </w:p>
    <w:p>
      <w:pPr>
        <w:snapToGrid w:val="0"/>
        <w:spacing w:line="360" w:lineRule="auto"/>
        <w:ind w:firstLine="480" w:firstLineChars="200"/>
        <w:rPr>
          <w:rFonts w:hAnsi="宋体" w:cs="宋体"/>
          <w:sz w:val="24"/>
          <w:szCs w:val="24"/>
        </w:rPr>
      </w:pPr>
      <w:r>
        <w:rPr>
          <w:rFonts w:hint="eastAsia" w:hAnsi="宋体" w:cs="宋体"/>
          <w:sz w:val="24"/>
          <w:szCs w:val="24"/>
        </w:rPr>
        <w:t>我公司法定代表人</w:t>
      </w:r>
      <w:r>
        <w:rPr>
          <w:rFonts w:hint="eastAsia" w:hAnsi="宋体" w:cs="宋体"/>
          <w:sz w:val="24"/>
          <w:szCs w:val="24"/>
          <w:u w:val="single"/>
        </w:rPr>
        <w:t xml:space="preserve">     　　　   </w:t>
      </w:r>
      <w:r>
        <w:rPr>
          <w:rFonts w:hint="eastAsia" w:hAnsi="宋体" w:cs="宋体"/>
          <w:sz w:val="24"/>
          <w:szCs w:val="24"/>
        </w:rPr>
        <w:t>参加贵单位组织的</w:t>
      </w:r>
      <w:r>
        <w:rPr>
          <w:rFonts w:hint="eastAsia" w:hAnsi="宋体" w:cs="宋体"/>
          <w:sz w:val="24"/>
          <w:szCs w:val="24"/>
          <w:u w:val="single"/>
        </w:rPr>
        <w:t xml:space="preserve">     </w:t>
      </w:r>
      <w:r>
        <w:rPr>
          <w:rFonts w:hint="eastAsia" w:hAnsi="宋体" w:cs="宋体"/>
          <w:sz w:val="24"/>
          <w:szCs w:val="24"/>
        </w:rPr>
        <w:t>（竞争性磋商项目名称)项目的磋商活动，全权代表我公司处理该磋商活动的有关事宜。</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附：法定代表人情况：</w:t>
      </w:r>
    </w:p>
    <w:p>
      <w:pPr>
        <w:snapToGrid w:val="0"/>
        <w:spacing w:line="360" w:lineRule="auto"/>
        <w:rPr>
          <w:rFonts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手机：</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 </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单位名称（公章）             法定代表人（签字或盖章）</w:t>
      </w:r>
    </w:p>
    <w:p>
      <w:pPr>
        <w:snapToGrid w:val="0"/>
        <w:spacing w:line="360" w:lineRule="auto"/>
        <w:ind w:firstLine="1200" w:firstLineChars="500"/>
        <w:rPr>
          <w:rFonts w:hAnsi="宋体" w:cs="宋体"/>
          <w:sz w:val="24"/>
          <w:szCs w:val="24"/>
        </w:rPr>
      </w:pPr>
      <w:r>
        <w:rPr>
          <w:rFonts w:hint="eastAsia" w:hAnsi="宋体" w:cs="宋体"/>
          <w:sz w:val="24"/>
          <w:szCs w:val="24"/>
        </w:rPr>
        <w:t xml:space="preserve">年   月   日                 年   月    日  </w:t>
      </w: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法定代表人身份证复印件</w:t>
      </w:r>
    </w:p>
    <w:p>
      <w:pPr>
        <w:snapToGrid w:val="0"/>
        <w:spacing w:line="360" w:lineRule="auto"/>
        <w:rPr>
          <w:rFonts w:hAnsi="宋体" w:cs="宋体"/>
          <w:sz w:val="24"/>
          <w:szCs w:val="24"/>
        </w:rPr>
      </w:pPr>
    </w:p>
    <w:p>
      <w:pPr>
        <w:snapToGrid w:val="0"/>
        <w:spacing w:line="360" w:lineRule="auto"/>
        <w:rPr>
          <w:rFonts w:hAnsi="宋体" w:cs="宋体"/>
          <w:sz w:val="24"/>
          <w:szCs w:val="24"/>
        </w:rPr>
      </w:pPr>
    </w:p>
    <w:p>
      <w:pPr>
        <w:snapToGrid w:val="0"/>
        <w:spacing w:line="360" w:lineRule="auto"/>
        <w:ind w:firstLine="2280" w:firstLineChars="950"/>
        <w:rPr>
          <w:rFonts w:hAnsi="宋体" w:cs="宋体"/>
          <w:sz w:val="24"/>
          <w:szCs w:val="24"/>
        </w:rPr>
      </w:pPr>
      <w:r>
        <w:rPr>
          <w:rFonts w:hint="eastAsia" w:hAnsi="宋体" w:cs="宋体"/>
          <w:sz w:val="24"/>
          <w:szCs w:val="24"/>
        </w:rPr>
        <w:t>（粘贴此处）</w:t>
      </w:r>
    </w:p>
    <w:p>
      <w:pPr>
        <w:snapToGrid w:val="0"/>
        <w:spacing w:line="360" w:lineRule="auto"/>
        <w:ind w:firstLine="482" w:firstLineChars="200"/>
        <w:rPr>
          <w:rFonts w:hAnsi="宋体" w:cs="宋体"/>
          <w:b/>
          <w:bCs/>
          <w:sz w:val="24"/>
          <w:szCs w:val="24"/>
        </w:rPr>
      </w:pPr>
      <w:r>
        <w:rPr>
          <w:rFonts w:hint="eastAsia" w:hAnsi="宋体" w:cs="宋体"/>
          <w:b/>
          <w:bCs/>
          <w:sz w:val="24"/>
          <w:szCs w:val="24"/>
        </w:rPr>
        <w:t>注:参加磋商活动时法定代表人将身份证原件带至开标现场备查。</w:t>
      </w:r>
    </w:p>
    <w:p>
      <w:pPr>
        <w:snapToGrid w:val="0"/>
        <w:spacing w:line="360" w:lineRule="auto"/>
        <w:jc w:val="center"/>
        <w:outlineLvl w:val="4"/>
        <w:rPr>
          <w:rFonts w:hAnsi="宋体" w:cs="宋体"/>
          <w:b/>
          <w:bCs/>
          <w:sz w:val="24"/>
          <w:szCs w:val="24"/>
        </w:rPr>
      </w:pPr>
      <w:r>
        <w:rPr>
          <w:rFonts w:hint="eastAsia" w:hAnsi="宋体" w:cs="宋体"/>
          <w:b/>
          <w:bCs/>
          <w:sz w:val="24"/>
          <w:szCs w:val="24"/>
        </w:rPr>
        <w:br w:type="page"/>
      </w:r>
      <w:r>
        <w:rPr>
          <w:rFonts w:hint="eastAsia" w:hAnsi="宋体" w:cs="宋体"/>
          <w:b/>
          <w:bCs/>
          <w:sz w:val="24"/>
          <w:szCs w:val="24"/>
        </w:rPr>
        <w:t>2</w:t>
      </w:r>
      <w:r>
        <w:rPr>
          <w:rFonts w:hint="eastAsia" w:ascii="宋体" w:hAnsi="宋体" w:cs="宋体"/>
          <w:sz w:val="24"/>
          <w:szCs w:val="24"/>
        </w:rPr>
        <w:t>.</w:t>
      </w:r>
      <w:r>
        <w:rPr>
          <w:rFonts w:hint="eastAsia" w:hAnsi="宋体" w:cs="宋体"/>
          <w:b/>
          <w:bCs/>
          <w:sz w:val="24"/>
          <w:szCs w:val="24"/>
        </w:rPr>
        <w:t>授权委托书</w:t>
      </w:r>
    </w:p>
    <w:p>
      <w:pPr>
        <w:snapToGrid w:val="0"/>
        <w:spacing w:line="360" w:lineRule="auto"/>
        <w:jc w:val="center"/>
        <w:rPr>
          <w:rFonts w:hAnsi="宋体" w:cs="宋体"/>
          <w:sz w:val="24"/>
          <w:szCs w:val="24"/>
        </w:rPr>
      </w:pPr>
      <w:r>
        <w:rPr>
          <w:rFonts w:hint="eastAsia" w:hAnsi="宋体" w:cs="宋体"/>
          <w:sz w:val="24"/>
          <w:szCs w:val="24"/>
        </w:rPr>
        <w:t>（委托代理人参加磋商，须出示此证明）</w:t>
      </w:r>
    </w:p>
    <w:p>
      <w:pPr>
        <w:snapToGrid w:val="0"/>
        <w:spacing w:line="360" w:lineRule="auto"/>
        <w:rPr>
          <w:rFonts w:hAnsi="宋体" w:cs="宋体"/>
          <w:bCs/>
          <w:sz w:val="24"/>
          <w:szCs w:val="24"/>
        </w:rPr>
      </w:pPr>
      <w:r>
        <w:rPr>
          <w:rFonts w:hint="eastAsia" w:hAnsi="宋体" w:cs="宋体"/>
          <w:sz w:val="24"/>
          <w:szCs w:val="24"/>
          <w:u w:val="single"/>
        </w:rPr>
        <w:t>南通市崇川区商务局</w:t>
      </w:r>
      <w:r>
        <w:rPr>
          <w:rFonts w:hint="eastAsia" w:hAnsi="宋体" w:cs="宋体"/>
          <w:sz w:val="24"/>
          <w:szCs w:val="24"/>
        </w:rPr>
        <w:t>：</w:t>
      </w:r>
    </w:p>
    <w:p>
      <w:pPr>
        <w:snapToGrid w:val="0"/>
        <w:spacing w:line="360" w:lineRule="auto"/>
        <w:ind w:left="1" w:firstLine="480" w:firstLineChars="200"/>
        <w:rPr>
          <w:rFonts w:hAnsi="宋体" w:cs="宋体"/>
          <w:sz w:val="24"/>
          <w:szCs w:val="24"/>
        </w:rPr>
      </w:pPr>
      <w:r>
        <w:rPr>
          <w:rFonts w:hint="eastAsia" w:hAnsi="宋体" w:cs="宋体"/>
          <w:sz w:val="24"/>
          <w:szCs w:val="24"/>
        </w:rPr>
        <w:t>兹授权</w:t>
      </w:r>
      <w:r>
        <w:rPr>
          <w:rFonts w:hint="eastAsia" w:hAnsi="宋体" w:cs="宋体"/>
          <w:sz w:val="24"/>
          <w:szCs w:val="24"/>
          <w:u w:val="single"/>
        </w:rPr>
        <w:t xml:space="preserve">               （</w:t>
      </w:r>
      <w:r>
        <w:rPr>
          <w:rFonts w:hint="eastAsia" w:hAnsi="宋体" w:cs="宋体"/>
          <w:sz w:val="24"/>
          <w:szCs w:val="24"/>
        </w:rPr>
        <w:t>被授权人的姓名）代表我公司参加</w:t>
      </w:r>
      <w:r>
        <w:rPr>
          <w:rFonts w:hint="eastAsia" w:hAnsi="宋体" w:cs="宋体"/>
          <w:sz w:val="24"/>
          <w:szCs w:val="24"/>
          <w:u w:val="single"/>
        </w:rPr>
        <w:t xml:space="preserve">     </w:t>
      </w:r>
      <w:r>
        <w:rPr>
          <w:rFonts w:hint="eastAsia" w:hAnsi="宋体" w:cs="宋体"/>
          <w:sz w:val="24"/>
          <w:szCs w:val="24"/>
        </w:rPr>
        <w:t>（竞争性磋商项目名称)项目的磋商活动，全权处理一切与该项目磋商有关的事务。其在办理上述事宜过程中所签署的所有文件我公司均予以承认。</w:t>
      </w:r>
    </w:p>
    <w:p>
      <w:pPr>
        <w:snapToGrid w:val="0"/>
        <w:spacing w:line="360" w:lineRule="auto"/>
        <w:ind w:left="1" w:firstLine="480" w:firstLineChars="200"/>
        <w:rPr>
          <w:rFonts w:hAnsi="宋体"/>
          <w:sz w:val="24"/>
          <w:szCs w:val="24"/>
        </w:rPr>
      </w:pPr>
      <w:r>
        <w:rPr>
          <w:rFonts w:hint="eastAsia" w:hAnsi="宋体" w:cs="宋体"/>
          <w:sz w:val="24"/>
          <w:szCs w:val="24"/>
        </w:rPr>
        <w:t>被授权人无转委托权。特此委托。</w:t>
      </w:r>
    </w:p>
    <w:p>
      <w:pPr>
        <w:snapToGrid w:val="0"/>
        <w:spacing w:line="360" w:lineRule="auto"/>
        <w:ind w:left="1" w:firstLine="480" w:firstLineChars="200"/>
        <w:rPr>
          <w:rFonts w:hAnsi="宋体" w:cs="宋体"/>
          <w:sz w:val="24"/>
          <w:szCs w:val="24"/>
        </w:rPr>
      </w:pPr>
    </w:p>
    <w:p>
      <w:pPr>
        <w:snapToGrid w:val="0"/>
        <w:spacing w:line="360" w:lineRule="auto"/>
        <w:rPr>
          <w:rFonts w:hAnsi="宋体" w:cs="宋体"/>
          <w:sz w:val="24"/>
          <w:szCs w:val="24"/>
        </w:rPr>
      </w:pPr>
    </w:p>
    <w:p>
      <w:pPr>
        <w:snapToGrid w:val="0"/>
        <w:spacing w:line="360" w:lineRule="auto"/>
        <w:rPr>
          <w:rFonts w:hAnsi="宋体" w:cs="宋体"/>
          <w:sz w:val="24"/>
          <w:szCs w:val="24"/>
        </w:rPr>
      </w:pPr>
      <w:r>
        <w:rPr>
          <w:rFonts w:hint="eastAsia" w:hAnsi="宋体" w:cs="宋体"/>
          <w:sz w:val="24"/>
          <w:szCs w:val="24"/>
        </w:rPr>
        <w:t>附：被授权人情况：</w:t>
      </w:r>
    </w:p>
    <w:p>
      <w:pPr>
        <w:snapToGrid w:val="0"/>
        <w:spacing w:line="360" w:lineRule="auto"/>
        <w:rPr>
          <w:rFonts w:hAnsi="宋体" w:cs="宋体"/>
          <w:sz w:val="24"/>
          <w:szCs w:val="24"/>
          <w:u w:val="single"/>
        </w:rPr>
      </w:pPr>
      <w:r>
        <w:rPr>
          <w:rFonts w:hint="eastAsia" w:hAnsi="宋体" w:cs="宋体"/>
          <w:sz w:val="24"/>
          <w:szCs w:val="24"/>
        </w:rPr>
        <w:t>姓名：</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年龄：</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身份证号码：</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color w:val="FFFFFF" w:themeColor="background1"/>
          <w:sz w:val="24"/>
          <w:szCs w:val="24"/>
          <w:u w:val="single"/>
          <w14:textFill>
            <w14:solidFill>
              <w14:schemeClr w14:val="bg1"/>
            </w14:solidFill>
          </w14:textFill>
        </w:rPr>
        <w:t>。</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手机：</w:t>
      </w:r>
      <w:r>
        <w:rPr>
          <w:rFonts w:hint="eastAsia" w:hAnsi="宋体" w:cs="宋体"/>
          <w:sz w:val="24"/>
          <w:szCs w:val="24"/>
          <w:u w:val="single"/>
        </w:rPr>
        <w:t xml:space="preserve">                 </w:t>
      </w:r>
      <w:r>
        <w:rPr>
          <w:rFonts w:hint="eastAsia" w:hAnsi="宋体" w:cs="宋体"/>
          <w:sz w:val="24"/>
          <w:szCs w:val="24"/>
        </w:rPr>
        <w:t>传真：</w:t>
      </w:r>
      <w:r>
        <w:rPr>
          <w:rFonts w:hint="eastAsia" w:hAnsi="宋体" w:cs="宋体"/>
          <w:sz w:val="24"/>
          <w:szCs w:val="24"/>
          <w:u w:val="single"/>
        </w:rPr>
        <w:t xml:space="preserve">               </w:t>
      </w:r>
      <w:r>
        <w:rPr>
          <w:rFonts w:hint="eastAsia" w:hAnsi="宋体" w:cs="宋体"/>
          <w:color w:val="FFFFFF" w:themeColor="background1"/>
          <w:sz w:val="24"/>
          <w:szCs w:val="24"/>
          <w:u w:val="single"/>
          <w14:textFill>
            <w14:solidFill>
              <w14:schemeClr w14:val="bg1"/>
            </w14:solidFill>
          </w14:textFill>
        </w:rPr>
        <w:t>。</w:t>
      </w:r>
      <w:r>
        <w:rPr>
          <w:rFonts w:hint="eastAsia" w:hAnsi="宋体" w:cs="宋体"/>
          <w:sz w:val="24"/>
          <w:szCs w:val="24"/>
          <w:u w:val="single"/>
        </w:rPr>
        <w:t xml:space="preserve">         </w:t>
      </w:r>
    </w:p>
    <w:p>
      <w:pPr>
        <w:snapToGrid w:val="0"/>
        <w:spacing w:line="360" w:lineRule="auto"/>
        <w:rPr>
          <w:rFonts w:hAnsi="宋体" w:cs="宋体"/>
          <w:sz w:val="24"/>
          <w:szCs w:val="24"/>
        </w:rPr>
      </w:pPr>
      <w:r>
        <w:rPr>
          <w:rFonts w:hint="eastAsia" w:hAnsi="宋体" w:cs="宋体"/>
          <w:sz w:val="24"/>
          <w:szCs w:val="24"/>
        </w:rPr>
        <w:t>单位名称（公章）             法定代表人（签字或盖章）</w:t>
      </w:r>
    </w:p>
    <w:p>
      <w:pPr>
        <w:snapToGrid w:val="0"/>
        <w:spacing w:line="360" w:lineRule="auto"/>
        <w:ind w:firstLine="1200" w:firstLineChars="500"/>
        <w:rPr>
          <w:rFonts w:hAnsi="宋体" w:cs="宋体"/>
          <w:sz w:val="24"/>
          <w:szCs w:val="24"/>
        </w:rPr>
      </w:pPr>
      <w:r>
        <w:rPr>
          <w:rFonts w:hint="eastAsia" w:hAnsi="宋体" w:cs="宋体"/>
          <w:sz w:val="24"/>
          <w:szCs w:val="24"/>
        </w:rPr>
        <w:t xml:space="preserve">年   月   日                 年   月    日  </w:t>
      </w:r>
    </w:p>
    <w:p>
      <w:pPr>
        <w:snapToGrid w:val="0"/>
        <w:spacing w:line="360" w:lineRule="auto"/>
        <w:rPr>
          <w:rFonts w:hAnsi="宋体" w:cs="宋体"/>
          <w:sz w:val="24"/>
          <w:szCs w:val="24"/>
        </w:rPr>
      </w:pPr>
    </w:p>
    <w:p>
      <w:pPr>
        <w:ind w:firstLine="480"/>
        <w:rPr>
          <w:rFonts w:ascii="宋体" w:hAnsi="宋体" w:cs="宋体"/>
          <w:sz w:val="24"/>
          <w:szCs w:val="24"/>
        </w:rPr>
      </w:pPr>
      <w:r>
        <w:rPr>
          <w:rFonts w:hint="eastAsia" w:ascii="宋体" w:hAnsi="宋体" w:cs="宋体"/>
          <w:sz w:val="24"/>
          <w:szCs w:val="24"/>
        </w:rPr>
        <w:t>法定代表人本人身份证复印件</w:t>
      </w:r>
    </w:p>
    <w:p>
      <w:pPr>
        <w:ind w:firstLine="480"/>
        <w:jc w:val="center"/>
        <w:rPr>
          <w:rFonts w:ascii="宋体" w:hAnsi="宋体" w:cs="宋体"/>
          <w:sz w:val="24"/>
          <w:szCs w:val="24"/>
        </w:rPr>
      </w:pPr>
      <w:r>
        <w:rPr>
          <w:rFonts w:hint="eastAsia" w:ascii="宋体" w:hAnsi="宋体" w:cs="宋体"/>
          <w:sz w:val="24"/>
          <w:szCs w:val="24"/>
        </w:rPr>
        <w:t>（粘贴此处）</w:t>
      </w:r>
    </w:p>
    <w:p>
      <w:pPr>
        <w:ind w:firstLine="480"/>
        <w:rPr>
          <w:rFonts w:ascii="宋体" w:hAnsi="宋体" w:cs="宋体"/>
          <w:sz w:val="24"/>
          <w:szCs w:val="24"/>
        </w:rPr>
      </w:pPr>
      <w:r>
        <w:rPr>
          <w:rFonts w:hint="eastAsia" w:ascii="宋体" w:hAnsi="宋体" w:cs="宋体"/>
          <w:sz w:val="24"/>
          <w:szCs w:val="24"/>
        </w:rPr>
        <w:t>被授权人身份证复印件</w:t>
      </w:r>
    </w:p>
    <w:p>
      <w:pPr>
        <w:ind w:firstLine="480"/>
        <w:jc w:val="center"/>
        <w:rPr>
          <w:rFonts w:ascii="宋体" w:hAnsi="宋体" w:cs="宋体"/>
          <w:sz w:val="24"/>
          <w:szCs w:val="24"/>
        </w:rPr>
      </w:pPr>
      <w:r>
        <w:rPr>
          <w:rFonts w:hint="eastAsia" w:ascii="宋体" w:hAnsi="宋体" w:cs="宋体"/>
          <w:sz w:val="24"/>
          <w:szCs w:val="24"/>
        </w:rPr>
        <w:t>（粘贴此处）</w:t>
      </w:r>
    </w:p>
    <w:p>
      <w:pPr>
        <w:snapToGrid w:val="0"/>
        <w:spacing w:line="360" w:lineRule="auto"/>
        <w:rPr>
          <w:rFonts w:hAnsi="宋体" w:cs="宋体"/>
          <w:sz w:val="24"/>
          <w:szCs w:val="24"/>
        </w:rPr>
      </w:pPr>
    </w:p>
    <w:p>
      <w:pPr>
        <w:snapToGrid w:val="0"/>
        <w:spacing w:line="360" w:lineRule="auto"/>
        <w:rPr>
          <w:rFonts w:hAnsi="宋体" w:cs="宋体"/>
          <w:b/>
          <w:bCs/>
          <w:sz w:val="24"/>
          <w:szCs w:val="24"/>
        </w:rPr>
      </w:pPr>
    </w:p>
    <w:p>
      <w:pPr>
        <w:snapToGrid w:val="0"/>
        <w:spacing w:line="360" w:lineRule="auto"/>
        <w:ind w:firstLine="482" w:firstLineChars="200"/>
        <w:jc w:val="center"/>
        <w:rPr>
          <w:rFonts w:hAnsi="宋体" w:cs="宋体"/>
          <w:b/>
          <w:bCs/>
          <w:sz w:val="24"/>
          <w:szCs w:val="24"/>
        </w:rPr>
      </w:pPr>
      <w:r>
        <w:rPr>
          <w:rFonts w:hint="eastAsia" w:hAnsi="宋体" w:cs="宋体"/>
          <w:b/>
          <w:bCs/>
          <w:sz w:val="24"/>
          <w:szCs w:val="24"/>
        </w:rPr>
        <w:t>注:参加磋商活动时被授权人将身份证原件带至开标现场备查。</w:t>
      </w:r>
    </w:p>
    <w:p>
      <w:pPr>
        <w:pStyle w:val="7"/>
        <w:ind w:firstLine="482"/>
        <w:jc w:val="center"/>
        <w:rPr>
          <w:rFonts w:ascii="宋体" w:hAnsi="宋体" w:eastAsia="宋体" w:cs="宋体"/>
          <w:b w:val="0"/>
          <w:kern w:val="0"/>
          <w:sz w:val="24"/>
          <w:szCs w:val="24"/>
        </w:rPr>
      </w:pPr>
      <w:r>
        <w:rPr>
          <w:rFonts w:hint="eastAsia" w:hAnsi="宋体" w:cs="宋体"/>
          <w:sz w:val="28"/>
          <w:szCs w:val="28"/>
        </w:rPr>
        <w:br w:type="page"/>
      </w:r>
      <w:bookmarkStart w:id="49" w:name="_Toc7751"/>
      <w:bookmarkStart w:id="50" w:name="_Toc10904"/>
      <w:r>
        <w:rPr>
          <w:rFonts w:hint="eastAsia" w:ascii="宋体" w:hAnsi="宋体" w:eastAsia="宋体" w:cs="宋体"/>
          <w:bCs w:val="0"/>
          <w:kern w:val="0"/>
          <w:sz w:val="24"/>
          <w:szCs w:val="24"/>
        </w:rPr>
        <w:t>3、无重大违法记录声明</w:t>
      </w:r>
      <w:bookmarkEnd w:id="49"/>
      <w:bookmarkEnd w:id="50"/>
    </w:p>
    <w:p>
      <w:pPr>
        <w:snapToGrid w:val="0"/>
        <w:spacing w:line="360" w:lineRule="auto"/>
        <w:ind w:firstLine="480" w:firstLineChars="200"/>
        <w:rPr>
          <w:rFonts w:ascii="宋体" w:hAnsi="宋体" w:cs="宋体"/>
          <w:sz w:val="24"/>
          <w:szCs w:val="24"/>
          <w:u w:val="single"/>
        </w:rPr>
      </w:pP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u w:val="single"/>
        </w:rPr>
        <w:t>崇川区发展和改革委员会</w:t>
      </w:r>
      <w:r>
        <w:rPr>
          <w:rFonts w:hint="eastAsia" w:ascii="宋体" w:hAnsi="宋体" w:cs="宋体"/>
          <w:bCs/>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（供应商名称）郑重声明：</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参加政府采购活动前3年内在经营活动中</w:t>
      </w:r>
      <w:r>
        <w:rPr>
          <w:rFonts w:hint="eastAsia" w:ascii="宋体" w:hAnsi="宋体" w:cs="宋体"/>
          <w:color w:val="000000"/>
          <w:sz w:val="24"/>
          <w:szCs w:val="24"/>
          <w:u w:val="single"/>
        </w:rPr>
        <w:t xml:space="preserve">        </w:t>
      </w:r>
      <w:r>
        <w:rPr>
          <w:rFonts w:hint="eastAsia" w:ascii="宋体" w:hAnsi="宋体" w:cs="宋体"/>
          <w:color w:val="000000"/>
          <w:sz w:val="24"/>
          <w:szCs w:val="24"/>
        </w:rPr>
        <w:t>（在下划线上如实填写：有或没有）重大违法记录。</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声明人：（公章）</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年     月    日</w:t>
      </w:r>
    </w:p>
    <w:p>
      <w:pPr>
        <w:spacing w:line="360" w:lineRule="auto"/>
        <w:jc w:val="center"/>
        <w:rPr>
          <w:rFonts w:ascii="宋体" w:hAnsi="宋体" w:cs="宋体"/>
          <w:sz w:val="24"/>
        </w:rPr>
      </w:pPr>
    </w:p>
    <w:p>
      <w:pPr>
        <w:spacing w:line="360" w:lineRule="auto"/>
        <w:jc w:val="center"/>
        <w:rPr>
          <w:rFonts w:hAnsi="宋体" w:cs="宋体"/>
          <w:b/>
          <w:bCs/>
          <w:sz w:val="24"/>
          <w:szCs w:val="24"/>
        </w:rPr>
      </w:pPr>
    </w:p>
    <w:p>
      <w:pPr>
        <w:snapToGrid w:val="0"/>
        <w:spacing w:line="360" w:lineRule="auto"/>
        <w:ind w:firstLine="482" w:firstLineChars="200"/>
        <w:jc w:val="center"/>
        <w:rPr>
          <w:rFonts w:hAnsi="宋体" w:cs="宋体"/>
          <w:b/>
          <w:bCs/>
          <w:sz w:val="24"/>
          <w:szCs w:val="24"/>
        </w:rPr>
      </w:pPr>
      <w:r>
        <w:rPr>
          <w:rFonts w:hint="eastAsia" w:hAnsi="宋体" w:cs="宋体"/>
          <w:b/>
          <w:bCs/>
          <w:sz w:val="24"/>
          <w:szCs w:val="24"/>
        </w:rPr>
        <w:br w:type="page"/>
      </w:r>
    </w:p>
    <w:p>
      <w:pPr>
        <w:keepNext/>
        <w:keepLines/>
        <w:adjustRightInd w:val="0"/>
        <w:spacing w:before="260" w:after="260" w:line="416" w:lineRule="atLeast"/>
        <w:ind w:firstLine="482" w:firstLineChars="200"/>
        <w:jc w:val="center"/>
        <w:textAlignment w:val="baseline"/>
        <w:outlineLvl w:val="1"/>
        <w:rPr>
          <w:rFonts w:ascii="宋体" w:hAnsi="宋体" w:cs="宋体"/>
          <w:bCs/>
          <w:kern w:val="0"/>
          <w:sz w:val="24"/>
          <w:szCs w:val="24"/>
        </w:rPr>
      </w:pPr>
      <w:bookmarkStart w:id="51" w:name="_Toc9431"/>
      <w:bookmarkStart w:id="52" w:name="_Toc28368"/>
      <w:r>
        <w:rPr>
          <w:rFonts w:hint="eastAsia" w:ascii="宋体" w:hAnsi="宋体" w:cs="宋体"/>
          <w:b/>
          <w:kern w:val="0"/>
          <w:sz w:val="24"/>
          <w:szCs w:val="24"/>
        </w:rPr>
        <w:t>4、关于资格文件的声明函</w:t>
      </w:r>
      <w:bookmarkEnd w:id="51"/>
      <w:bookmarkEnd w:id="52"/>
    </w:p>
    <w:p>
      <w:pPr>
        <w:overflowPunct w:val="0"/>
        <w:spacing w:line="520" w:lineRule="exact"/>
        <w:ind w:firstLine="480" w:firstLineChars="200"/>
        <w:jc w:val="center"/>
        <w:rPr>
          <w:rFonts w:ascii="宋体" w:hAnsi="宋体" w:cs="宋体"/>
          <w:sz w:val="24"/>
          <w:szCs w:val="24"/>
        </w:rPr>
      </w:pPr>
    </w:p>
    <w:p>
      <w:pPr>
        <w:overflowPunct w:val="0"/>
        <w:spacing w:line="520" w:lineRule="exact"/>
        <w:ind w:firstLine="480" w:firstLineChars="200"/>
        <w:rPr>
          <w:rFonts w:ascii="宋体" w:hAnsi="宋体" w:cs="宋体"/>
          <w:sz w:val="24"/>
          <w:szCs w:val="24"/>
        </w:rPr>
      </w:pPr>
      <w:r>
        <w:rPr>
          <w:rFonts w:hint="eastAsia" w:hAnsi="宋体" w:cs="宋体"/>
          <w:sz w:val="24"/>
          <w:szCs w:val="24"/>
          <w:u w:val="single"/>
        </w:rPr>
        <w:t>南通市崇川区商务局</w:t>
      </w:r>
      <w:r>
        <w:rPr>
          <w:rFonts w:hint="eastAsia" w:ascii="宋体" w:hAnsi="宋体" w:cs="宋体"/>
          <w:sz w:val="24"/>
          <w:szCs w:val="24"/>
        </w:rPr>
        <w:t>：</w:t>
      </w:r>
    </w:p>
    <w:p>
      <w:pPr>
        <w:overflowPunct w:val="0"/>
        <w:spacing w:line="520" w:lineRule="exact"/>
        <w:ind w:firstLine="480" w:firstLineChars="200"/>
        <w:rPr>
          <w:rFonts w:ascii="宋体" w:hAnsi="宋体" w:cs="宋体"/>
          <w:sz w:val="24"/>
          <w:szCs w:val="24"/>
        </w:rPr>
      </w:pPr>
      <w:r>
        <w:rPr>
          <w:rFonts w:hint="eastAsia" w:ascii="宋体" w:hAnsi="宋体" w:cs="宋体"/>
          <w:sz w:val="24"/>
          <w:szCs w:val="24"/>
        </w:rPr>
        <w:t>本公司愿就由贵单位组织实施的</w:t>
      </w:r>
      <w:r>
        <w:rPr>
          <w:rFonts w:hint="eastAsia" w:ascii="宋体" w:hAnsi="宋体" w:cs="宋体"/>
          <w:sz w:val="24"/>
          <w:szCs w:val="24"/>
          <w:u w:val="single"/>
        </w:rPr>
        <w:t xml:space="preserve">            </w:t>
      </w:r>
      <w:r>
        <w:rPr>
          <w:rFonts w:hint="eastAsia" w:ascii="宋体" w:hAnsi="宋体" w:cs="宋体"/>
          <w:sz w:val="24"/>
          <w:szCs w:val="24"/>
        </w:rPr>
        <w:t>（招标项目名称及项目编号)招标活动进行投标。本公司所提交的投标文件中所有关于投标资格的文件、证明和陈述均是真实的、准确的。若与真实情况不符，本公司愿意承担由此而产生的一切后果。</w:t>
      </w:r>
    </w:p>
    <w:p>
      <w:pPr>
        <w:overflowPunct w:val="0"/>
        <w:spacing w:line="520" w:lineRule="exact"/>
        <w:ind w:firstLine="480" w:firstLineChars="200"/>
        <w:rPr>
          <w:rFonts w:ascii="宋体" w:hAnsi="宋体" w:cs="宋体"/>
          <w:sz w:val="24"/>
          <w:szCs w:val="24"/>
        </w:rPr>
      </w:pPr>
    </w:p>
    <w:p>
      <w:pPr>
        <w:overflowPunct w:val="0"/>
        <w:spacing w:line="520" w:lineRule="exact"/>
        <w:ind w:firstLine="480" w:firstLineChars="200"/>
        <w:rPr>
          <w:rFonts w:ascii="宋体" w:hAnsi="宋体" w:cs="宋体"/>
          <w:sz w:val="24"/>
          <w:szCs w:val="24"/>
        </w:rPr>
      </w:pPr>
    </w:p>
    <w:p>
      <w:pPr>
        <w:overflowPunct w:val="0"/>
        <w:spacing w:line="520" w:lineRule="exact"/>
        <w:ind w:firstLine="480" w:firstLineChars="200"/>
        <w:rPr>
          <w:rFonts w:ascii="宋体" w:hAnsi="宋体" w:cs="宋体"/>
          <w:sz w:val="24"/>
          <w:szCs w:val="24"/>
        </w:rPr>
      </w:pPr>
    </w:p>
    <w:p>
      <w:pPr>
        <w:overflowPunct w:val="0"/>
        <w:spacing w:line="520" w:lineRule="exact"/>
        <w:ind w:firstLine="480" w:firstLineChars="20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（投标供应商）法定代表人（签字或盖章）：</w:t>
      </w:r>
    </w:p>
    <w:p>
      <w:pPr>
        <w:overflowPunct w:val="0"/>
        <w:spacing w:line="520" w:lineRule="exact"/>
        <w:ind w:left="1700" w:firstLine="480" w:firstLineChars="200"/>
        <w:rPr>
          <w:rFonts w:ascii="宋体" w:hAnsi="宋体" w:cs="宋体"/>
          <w:sz w:val="24"/>
          <w:szCs w:val="24"/>
        </w:rPr>
      </w:pPr>
    </w:p>
    <w:p>
      <w:pPr>
        <w:overflowPunct w:val="0"/>
        <w:spacing w:line="520" w:lineRule="exact"/>
        <w:ind w:left="1700" w:firstLine="480" w:firstLineChars="200"/>
        <w:rPr>
          <w:rFonts w:ascii="宋体" w:hAnsi="宋体" w:cs="宋体"/>
          <w:sz w:val="24"/>
          <w:szCs w:val="24"/>
        </w:rPr>
      </w:pPr>
      <w:r>
        <w:rPr>
          <w:rFonts w:hint="eastAsia" w:ascii="宋体" w:hAnsi="宋体" w:cs="宋体"/>
          <w:sz w:val="24"/>
          <w:szCs w:val="24"/>
        </w:rPr>
        <w:t xml:space="preserve">             （投标供应商）公章：</w:t>
      </w:r>
    </w:p>
    <w:p>
      <w:pPr>
        <w:overflowPunct w:val="0"/>
        <w:spacing w:line="520" w:lineRule="exact"/>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jc w:val="center"/>
        <w:rPr>
          <w:rFonts w:hAnsi="宋体" w:cs="宋体"/>
          <w:b/>
          <w:bCs/>
          <w:sz w:val="24"/>
          <w:szCs w:val="24"/>
        </w:rPr>
      </w:pPr>
      <w:r>
        <w:rPr>
          <w:rFonts w:hint="eastAsia" w:ascii="宋体" w:hAnsi="宋体" w:cs="宋体"/>
          <w:sz w:val="24"/>
          <w:szCs w:val="24"/>
        </w:rPr>
        <w:t xml:space="preserve">                                       年  </w:t>
      </w:r>
      <w:r>
        <w:rPr>
          <w:rFonts w:hint="eastAsia" w:ascii="宋体" w:hAnsi="宋体" w:cs="宋体"/>
          <w:sz w:val="24"/>
          <w:szCs w:val="24"/>
        </w:rPr>
        <w:tab/>
      </w:r>
      <w:r>
        <w:rPr>
          <w:rFonts w:hint="eastAsia" w:ascii="宋体" w:hAnsi="宋体" w:cs="宋体"/>
          <w:sz w:val="24"/>
          <w:szCs w:val="24"/>
        </w:rPr>
        <w:t xml:space="preserve"> 月 </w:t>
      </w:r>
      <w:r>
        <w:rPr>
          <w:rFonts w:hint="eastAsia" w:ascii="宋体" w:hAnsi="宋体" w:cs="宋体"/>
          <w:sz w:val="24"/>
          <w:szCs w:val="24"/>
        </w:rPr>
        <w:tab/>
      </w:r>
      <w:r>
        <w:rPr>
          <w:rFonts w:hint="eastAsia" w:ascii="宋体" w:hAnsi="宋体" w:cs="宋体"/>
          <w:sz w:val="24"/>
          <w:szCs w:val="24"/>
        </w:rPr>
        <w:t>日</w:t>
      </w:r>
    </w:p>
    <w:p>
      <w:pPr>
        <w:widowControl/>
        <w:jc w:val="left"/>
        <w:rPr>
          <w:rFonts w:hAnsi="宋体" w:cs="宋体"/>
          <w:b/>
          <w:bCs/>
          <w:sz w:val="24"/>
          <w:szCs w:val="24"/>
        </w:rPr>
      </w:pPr>
      <w:r>
        <w:rPr>
          <w:rFonts w:hAnsi="宋体" w:cs="宋体"/>
          <w:b/>
          <w:bCs/>
          <w:sz w:val="24"/>
          <w:szCs w:val="24"/>
        </w:rPr>
        <w:br w:type="page"/>
      </w:r>
    </w:p>
    <w:p>
      <w:pPr>
        <w:snapToGrid w:val="0"/>
        <w:spacing w:line="360" w:lineRule="auto"/>
        <w:ind w:firstLine="482" w:firstLineChars="200"/>
        <w:jc w:val="center"/>
        <w:rPr>
          <w:rFonts w:hAnsi="宋体" w:cs="宋体"/>
          <w:b/>
          <w:bCs/>
          <w:sz w:val="24"/>
          <w:szCs w:val="24"/>
        </w:rPr>
      </w:pPr>
      <w:r>
        <w:rPr>
          <w:rFonts w:hint="eastAsia" w:hAnsi="宋体" w:cs="宋体"/>
          <w:b/>
          <w:bCs/>
          <w:sz w:val="24"/>
          <w:szCs w:val="24"/>
        </w:rPr>
        <w:t>5</w:t>
      </w:r>
      <w:r>
        <w:rPr>
          <w:rFonts w:hint="eastAsia" w:ascii="宋体" w:hAnsi="宋体" w:cs="宋体"/>
          <w:sz w:val="24"/>
          <w:szCs w:val="24"/>
        </w:rPr>
        <w:t>.</w:t>
      </w:r>
      <w:r>
        <w:rPr>
          <w:rFonts w:hint="eastAsia" w:hAnsi="宋体" w:cs="宋体"/>
          <w:b/>
          <w:bCs/>
          <w:sz w:val="24"/>
          <w:szCs w:val="24"/>
        </w:rPr>
        <w:t>竞争性磋商响应函</w:t>
      </w:r>
    </w:p>
    <w:p>
      <w:pPr>
        <w:snapToGrid w:val="0"/>
        <w:spacing w:line="360" w:lineRule="auto"/>
        <w:rPr>
          <w:rFonts w:hAnsi="宋体" w:cs="宋体"/>
          <w:sz w:val="24"/>
          <w:szCs w:val="24"/>
        </w:rPr>
      </w:pPr>
      <w:r>
        <w:rPr>
          <w:rFonts w:hint="eastAsia" w:hAnsi="宋体" w:cs="宋体"/>
          <w:sz w:val="24"/>
          <w:szCs w:val="24"/>
          <w:u w:val="single"/>
        </w:rPr>
        <w:t>南通市崇川区商务局</w:t>
      </w:r>
      <w:r>
        <w:rPr>
          <w:rFonts w:hint="eastAsia" w:hAnsi="宋体" w:cs="宋体"/>
          <w:sz w:val="24"/>
          <w:szCs w:val="24"/>
        </w:rPr>
        <w:t>：</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依据贵单位委托代理机构组织的</w:t>
      </w:r>
      <w:r>
        <w:rPr>
          <w:rFonts w:hint="eastAsia" w:ascii="宋体" w:hAnsi="宋体" w:cs="宋体"/>
          <w:color w:val="000000"/>
          <w:sz w:val="24"/>
          <w:szCs w:val="24"/>
          <w:u w:val="single"/>
        </w:rPr>
        <w:t xml:space="preserve">               </w:t>
      </w:r>
      <w:r>
        <w:rPr>
          <w:rFonts w:hint="eastAsia" w:ascii="宋体" w:hAnsi="宋体" w:cs="宋体"/>
          <w:color w:val="000000"/>
          <w:sz w:val="24"/>
          <w:szCs w:val="24"/>
        </w:rPr>
        <w:t>（磋商项目名称及项目编号)项目竞争性磋商的邀请，我方授权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3、我公司已毫无保留地向贵方提供一切所需的证明材料。</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5、一旦成交，我方承诺无正当理由拒绝签订合同，将被贵方取消成交资格，同意贵方将磋商保证金作为违约金全额不予退还的处理。</w:t>
      </w:r>
    </w:p>
    <w:p>
      <w:pPr>
        <w:snapToGrid w:val="0"/>
        <w:spacing w:line="520" w:lineRule="exact"/>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b/>
          <w:color w:val="000000"/>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cs="宋体"/>
          <w:color w:val="000000"/>
          <w:sz w:val="24"/>
          <w:szCs w:val="24"/>
        </w:rPr>
      </w:pPr>
    </w:p>
    <w:p>
      <w:pPr>
        <w:snapToGrid w:val="0"/>
        <w:spacing w:line="520" w:lineRule="exact"/>
        <w:ind w:firstLine="480" w:firstLineChars="200"/>
        <w:jc w:val="right"/>
        <w:rPr>
          <w:rFonts w:ascii="宋体" w:hAnsi="宋体" w:cs="宋体"/>
          <w:color w:val="000000"/>
          <w:sz w:val="24"/>
          <w:szCs w:val="24"/>
        </w:rPr>
      </w:pPr>
      <w:r>
        <w:rPr>
          <w:rFonts w:hint="eastAsia" w:ascii="宋体" w:hAnsi="宋体" w:cs="宋体"/>
          <w:color w:val="000000"/>
          <w:sz w:val="24"/>
          <w:szCs w:val="24"/>
        </w:rPr>
        <w:t>竞争性磋商响应单位：</w:t>
      </w:r>
      <w:r>
        <w:rPr>
          <w:rFonts w:hint="eastAsia" w:ascii="宋体" w:hAnsi="宋体" w:cs="宋体"/>
          <w:color w:val="000000"/>
          <w:sz w:val="24"/>
          <w:szCs w:val="24"/>
          <w:u w:val="single"/>
        </w:rPr>
        <w:t xml:space="preserve">                    </w:t>
      </w:r>
      <w:r>
        <w:rPr>
          <w:rFonts w:hint="eastAsia" w:ascii="宋体" w:hAnsi="宋体" w:cs="宋体"/>
          <w:color w:val="000000"/>
          <w:sz w:val="24"/>
          <w:szCs w:val="24"/>
        </w:rPr>
        <w:t>（加盖公章）</w:t>
      </w:r>
    </w:p>
    <w:p>
      <w:pPr>
        <w:snapToGrid w:val="0"/>
        <w:spacing w:line="520" w:lineRule="exact"/>
        <w:ind w:firstLine="2400" w:firstLineChars="1000"/>
        <w:jc w:val="right"/>
        <w:rPr>
          <w:rFonts w:ascii="宋体" w:hAnsi="宋体" w:cs="宋体"/>
          <w:color w:val="000000"/>
          <w:sz w:val="24"/>
          <w:szCs w:val="24"/>
        </w:rPr>
      </w:pPr>
      <w:r>
        <w:rPr>
          <w:rFonts w:hint="eastAsia" w:ascii="宋体" w:hAnsi="宋体" w:cs="宋体"/>
          <w:color w:val="000000"/>
          <w:sz w:val="24"/>
          <w:szCs w:val="24"/>
        </w:rPr>
        <w:t>法定代表人或被授权人：</w:t>
      </w:r>
      <w:r>
        <w:rPr>
          <w:rFonts w:hint="eastAsia" w:ascii="宋体" w:hAnsi="宋体" w:cs="宋体"/>
          <w:color w:val="000000"/>
          <w:sz w:val="24"/>
          <w:szCs w:val="24"/>
          <w:u w:val="single"/>
        </w:rPr>
        <w:t xml:space="preserve">         </w:t>
      </w:r>
      <w:r>
        <w:rPr>
          <w:rFonts w:hint="eastAsia" w:ascii="宋体" w:hAnsi="宋体" w:cs="宋体"/>
          <w:color w:val="000000"/>
          <w:sz w:val="24"/>
          <w:szCs w:val="24"/>
        </w:rPr>
        <w:t>（签字或盖章）</w:t>
      </w:r>
    </w:p>
    <w:p>
      <w:pPr>
        <w:snapToGrid w:val="0"/>
        <w:spacing w:line="360" w:lineRule="auto"/>
        <w:jc w:val="right"/>
        <w:outlineLvl w:val="3"/>
        <w:rPr>
          <w:rFonts w:hAnsi="宋体" w:cs="宋体"/>
          <w:sz w:val="24"/>
          <w:szCs w:val="24"/>
        </w:rPr>
      </w:pPr>
      <w:r>
        <w:rPr>
          <w:rFonts w:hint="eastAsia" w:ascii="宋体" w:hAnsi="宋体" w:cs="宋体"/>
          <w:color w:val="000000"/>
          <w:sz w:val="24"/>
          <w:szCs w:val="24"/>
        </w:rPr>
        <w:t xml:space="preserve"> 年      月     日</w:t>
      </w:r>
      <w:r>
        <w:rPr>
          <w:rFonts w:hint="eastAsia" w:hAnsi="宋体" w:cs="宋体"/>
          <w:sz w:val="24"/>
          <w:szCs w:val="24"/>
        </w:rPr>
        <w:t xml:space="preserve"> </w:t>
      </w:r>
    </w:p>
    <w:p>
      <w:pPr>
        <w:spacing w:line="420" w:lineRule="exact"/>
        <w:jc w:val="center"/>
        <w:outlineLvl w:val="3"/>
        <w:rPr>
          <w:rFonts w:ascii="宋体" w:hAnsi="宋体"/>
          <w:b/>
          <w:sz w:val="24"/>
          <w:szCs w:val="24"/>
        </w:rPr>
      </w:pPr>
      <w:r>
        <w:rPr>
          <w:rFonts w:hint="eastAsia" w:hAnsi="宋体" w:cs="宋体"/>
          <w:b/>
          <w:sz w:val="24"/>
          <w:szCs w:val="24"/>
        </w:rPr>
        <w:br w:type="page"/>
      </w:r>
    </w:p>
    <w:p>
      <w:pPr>
        <w:keepNext/>
        <w:keepLines/>
        <w:adjustRightInd w:val="0"/>
        <w:spacing w:before="260" w:after="260" w:line="416" w:lineRule="atLeast"/>
        <w:jc w:val="center"/>
        <w:textAlignment w:val="baseline"/>
        <w:outlineLvl w:val="1"/>
        <w:rPr>
          <w:rFonts w:ascii="宋体" w:hAnsi="宋体" w:cs="宋体"/>
          <w:color w:val="000000"/>
          <w:kern w:val="0"/>
          <w:sz w:val="24"/>
          <w:szCs w:val="24"/>
        </w:rPr>
      </w:pPr>
      <w:bookmarkStart w:id="53" w:name="_Toc2921"/>
      <w:bookmarkStart w:id="54" w:name="_Toc18017"/>
      <w:r>
        <w:rPr>
          <w:rFonts w:hint="eastAsia" w:ascii="宋体" w:hAnsi="宋体" w:cs="宋体"/>
          <w:b/>
          <w:kern w:val="0"/>
          <w:sz w:val="24"/>
          <w:szCs w:val="24"/>
        </w:rPr>
        <w:t>6、供应商一般情况表</w:t>
      </w:r>
      <w:bookmarkEnd w:id="53"/>
      <w:bookmarkEnd w:id="5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tcPr>
          <w:p>
            <w:pPr>
              <w:tabs>
                <w:tab w:val="left" w:pos="993"/>
              </w:tabs>
              <w:spacing w:line="520" w:lineRule="exact"/>
              <w:rPr>
                <w:rFonts w:ascii="宋体" w:hAnsi="宋体" w:cs="宋体"/>
                <w:color w:val="000000"/>
                <w:sz w:val="24"/>
                <w:szCs w:val="24"/>
              </w:rPr>
            </w:pPr>
          </w:p>
        </w:tc>
        <w:tc>
          <w:tcPr>
            <w:tcW w:w="1875" w:type="dxa"/>
            <w:gridSpan w:val="2"/>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联系人</w:t>
            </w:r>
          </w:p>
        </w:tc>
        <w:tc>
          <w:tcPr>
            <w:tcW w:w="2946" w:type="dxa"/>
            <w:gridSpan w:val="3"/>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tcPr>
          <w:p>
            <w:pPr>
              <w:tabs>
                <w:tab w:val="left" w:pos="993"/>
              </w:tabs>
              <w:spacing w:line="520" w:lineRule="exact"/>
              <w:rPr>
                <w:rFonts w:ascii="宋体" w:hAnsi="宋体" w:cs="宋体"/>
                <w:color w:val="000000"/>
                <w:sz w:val="24"/>
                <w:szCs w:val="24"/>
              </w:rPr>
            </w:pPr>
          </w:p>
        </w:tc>
        <w:tc>
          <w:tcPr>
            <w:tcW w:w="1875" w:type="dxa"/>
            <w:gridSpan w:val="2"/>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电子邮件</w:t>
            </w:r>
          </w:p>
        </w:tc>
        <w:tc>
          <w:tcPr>
            <w:tcW w:w="2946" w:type="dxa"/>
            <w:gridSpan w:val="3"/>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tcPr>
          <w:p>
            <w:pPr>
              <w:tabs>
                <w:tab w:val="left" w:pos="993"/>
              </w:tabs>
              <w:spacing w:line="520" w:lineRule="exact"/>
              <w:rPr>
                <w:rFonts w:ascii="宋体" w:hAnsi="宋体" w:cs="宋体"/>
                <w:color w:val="000000"/>
                <w:sz w:val="24"/>
                <w:szCs w:val="24"/>
              </w:rPr>
            </w:pPr>
          </w:p>
        </w:tc>
        <w:tc>
          <w:tcPr>
            <w:tcW w:w="1875" w:type="dxa"/>
            <w:gridSpan w:val="2"/>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注册年份</w:t>
            </w:r>
          </w:p>
        </w:tc>
        <w:tc>
          <w:tcPr>
            <w:tcW w:w="2946" w:type="dxa"/>
            <w:gridSpan w:val="3"/>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公司具备的相关资质等级及相应的证书号</w:t>
            </w:r>
          </w:p>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公司</w:t>
            </w:r>
            <w:r>
              <w:rPr>
                <w:rFonts w:hint="eastAsia" w:ascii="宋体" w:hAnsi="宋体" w:cs="宋体"/>
                <w:color w:val="000000"/>
                <w:sz w:val="24"/>
                <w:szCs w:val="24"/>
                <w:u w:val="single"/>
              </w:rPr>
              <w:t xml:space="preserve">   （是否通过，何种）   </w:t>
            </w:r>
            <w:r>
              <w:rPr>
                <w:rFonts w:hint="eastAsia" w:ascii="宋体" w:hAnsi="宋体" w:cs="宋体"/>
                <w:color w:val="000000"/>
                <w:sz w:val="24"/>
                <w:szCs w:val="24"/>
              </w:rPr>
              <w:t>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tcPr>
          <w:p>
            <w:pPr>
              <w:tabs>
                <w:tab w:val="left" w:pos="993"/>
              </w:tabs>
              <w:spacing w:line="520" w:lineRule="exact"/>
              <w:jc w:val="center"/>
              <w:rPr>
                <w:rFonts w:ascii="宋体" w:hAnsi="宋体" w:cs="宋体"/>
                <w:color w:val="000000"/>
                <w:sz w:val="24"/>
                <w:szCs w:val="24"/>
              </w:rPr>
            </w:pPr>
          </w:p>
        </w:tc>
        <w:tc>
          <w:tcPr>
            <w:tcW w:w="1417" w:type="dxa"/>
            <w:gridSpan w:val="2"/>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tcPr>
          <w:p>
            <w:pPr>
              <w:tabs>
                <w:tab w:val="left" w:pos="993"/>
              </w:tabs>
              <w:spacing w:line="520" w:lineRule="exact"/>
              <w:jc w:val="center"/>
              <w:rPr>
                <w:rFonts w:ascii="宋体" w:hAnsi="宋体" w:cs="宋体"/>
                <w:color w:val="000000"/>
                <w:sz w:val="24"/>
                <w:szCs w:val="24"/>
              </w:rPr>
            </w:pPr>
          </w:p>
        </w:tc>
        <w:tc>
          <w:tcPr>
            <w:tcW w:w="1320" w:type="dxa"/>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性别</w:t>
            </w:r>
          </w:p>
        </w:tc>
        <w:tc>
          <w:tcPr>
            <w:tcW w:w="1467" w:type="dxa"/>
          </w:tcPr>
          <w:p>
            <w:pPr>
              <w:tabs>
                <w:tab w:val="left" w:pos="993"/>
              </w:tabs>
              <w:spacing w:line="52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tcPr>
          <w:p>
            <w:pPr>
              <w:tabs>
                <w:tab w:val="left" w:pos="993"/>
              </w:tabs>
              <w:spacing w:line="520" w:lineRule="exact"/>
              <w:rPr>
                <w:rFonts w:ascii="宋体" w:hAnsi="宋体" w:cs="宋体"/>
                <w:color w:val="000000"/>
                <w:sz w:val="24"/>
                <w:szCs w:val="24"/>
              </w:rPr>
            </w:pPr>
          </w:p>
        </w:tc>
        <w:tc>
          <w:tcPr>
            <w:tcW w:w="1466" w:type="dxa"/>
            <w:gridSpan w:val="2"/>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trPr>
        <w:tc>
          <w:tcPr>
            <w:tcW w:w="2235" w:type="dxa"/>
            <w:vAlign w:val="center"/>
          </w:tcPr>
          <w:p>
            <w:pPr>
              <w:tabs>
                <w:tab w:val="left" w:pos="993"/>
              </w:tabs>
              <w:spacing w:line="520" w:lineRule="exact"/>
              <w:jc w:val="center"/>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营业执照载明：</w:t>
            </w:r>
          </w:p>
          <w:p>
            <w:pPr>
              <w:tabs>
                <w:tab w:val="left" w:pos="993"/>
              </w:tabs>
              <w:spacing w:line="520" w:lineRule="exact"/>
              <w:rPr>
                <w:rFonts w:ascii="宋体" w:hAnsi="宋体" w:cs="宋体"/>
                <w:color w:val="000000"/>
                <w:sz w:val="24"/>
                <w:szCs w:val="24"/>
                <w:u w:val="single"/>
              </w:rPr>
            </w:pPr>
            <w:r>
              <w:rPr>
                <w:rFonts w:hint="eastAsia" w:ascii="宋体" w:hAnsi="宋体" w:cs="宋体"/>
                <w:color w:val="000000"/>
                <w:sz w:val="24"/>
                <w:szCs w:val="24"/>
              </w:rPr>
              <w:t>1.</w:t>
            </w:r>
            <w:r>
              <w:rPr>
                <w:rFonts w:hint="eastAsia" w:ascii="宋体" w:hAnsi="宋体" w:cs="宋体"/>
                <w:color w:val="000000"/>
                <w:sz w:val="24"/>
                <w:szCs w:val="24"/>
                <w:u w:val="single"/>
              </w:rPr>
              <w:t xml:space="preserve">                                               </w:t>
            </w:r>
          </w:p>
          <w:p>
            <w:pPr>
              <w:tabs>
                <w:tab w:val="left" w:pos="993"/>
              </w:tabs>
              <w:spacing w:line="520" w:lineRule="exact"/>
              <w:rPr>
                <w:rFonts w:ascii="宋体" w:hAnsi="宋体" w:cs="宋体"/>
                <w:color w:val="000000"/>
                <w:sz w:val="24"/>
                <w:szCs w:val="24"/>
                <w:u w:val="single"/>
              </w:rPr>
            </w:pPr>
            <w:r>
              <w:rPr>
                <w:rFonts w:hint="eastAsia" w:ascii="宋体" w:hAnsi="宋体" w:cs="宋体"/>
                <w:color w:val="000000"/>
                <w:sz w:val="24"/>
                <w:szCs w:val="24"/>
              </w:rPr>
              <w:t>2.</w:t>
            </w:r>
            <w:r>
              <w:rPr>
                <w:rFonts w:hint="eastAsia" w:ascii="宋体" w:hAnsi="宋体" w:cs="宋体"/>
                <w:color w:val="000000"/>
                <w:sz w:val="24"/>
                <w:szCs w:val="24"/>
                <w:u w:val="single"/>
              </w:rPr>
              <w:t xml:space="preserve">                                               </w:t>
            </w:r>
          </w:p>
          <w:p>
            <w:pPr>
              <w:tabs>
                <w:tab w:val="left" w:pos="993"/>
              </w:tabs>
              <w:spacing w:line="520" w:lineRule="exact"/>
              <w:rPr>
                <w:rFonts w:ascii="宋体" w:hAnsi="宋体" w:cs="宋体"/>
                <w:color w:val="000000"/>
                <w:sz w:val="24"/>
                <w:szCs w:val="24"/>
                <w:u w:val="single"/>
              </w:rPr>
            </w:pPr>
            <w:r>
              <w:rPr>
                <w:rFonts w:hint="eastAsia" w:ascii="宋体" w:hAnsi="宋体" w:cs="宋体"/>
                <w:color w:val="000000"/>
                <w:sz w:val="24"/>
                <w:szCs w:val="24"/>
              </w:rPr>
              <w:t>3.</w:t>
            </w:r>
            <w:r>
              <w:rPr>
                <w:rFonts w:hint="eastAsia" w:ascii="宋体" w:hAnsi="宋体" w:cs="宋体"/>
                <w:color w:val="000000"/>
                <w:sz w:val="24"/>
                <w:szCs w:val="24"/>
                <w:u w:val="single"/>
              </w:rPr>
              <w:t xml:space="preserve">                                               </w:t>
            </w:r>
          </w:p>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943" w:type="dxa"/>
            <w:gridSpan w:val="2"/>
            <w:vAlign w:val="center"/>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从事类似相关项目的经历及年数</w:t>
            </w:r>
          </w:p>
        </w:tc>
        <w:tc>
          <w:tcPr>
            <w:tcW w:w="6521" w:type="dxa"/>
            <w:gridSpan w:val="7"/>
          </w:tcPr>
          <w:p>
            <w:pPr>
              <w:tabs>
                <w:tab w:val="left" w:pos="993"/>
              </w:tabs>
              <w:spacing w:line="520" w:lineRule="exact"/>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943" w:type="dxa"/>
            <w:gridSpan w:val="2"/>
            <w:vAlign w:val="center"/>
          </w:tcPr>
          <w:p>
            <w:pPr>
              <w:tabs>
                <w:tab w:val="left" w:pos="993"/>
              </w:tabs>
              <w:spacing w:line="520" w:lineRule="exact"/>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pPr>
              <w:tabs>
                <w:tab w:val="left" w:pos="993"/>
              </w:tabs>
              <w:spacing w:line="520" w:lineRule="exact"/>
              <w:rPr>
                <w:rFonts w:ascii="宋体" w:hAnsi="宋体" w:cs="宋体"/>
                <w:color w:val="000000"/>
                <w:sz w:val="24"/>
                <w:szCs w:val="24"/>
              </w:rPr>
            </w:pPr>
          </w:p>
        </w:tc>
      </w:tr>
    </w:tbl>
    <w:p>
      <w:pPr>
        <w:snapToGrid w:val="0"/>
        <w:spacing w:line="520" w:lineRule="exact"/>
        <w:ind w:firstLine="480" w:firstLineChars="200"/>
        <w:rPr>
          <w:rFonts w:ascii="宋体" w:hAnsi="宋体" w:cs="宋体"/>
          <w:bCs/>
          <w:color w:val="000000"/>
          <w:sz w:val="24"/>
          <w:szCs w:val="24"/>
        </w:rPr>
      </w:pPr>
      <w:r>
        <w:rPr>
          <w:rFonts w:hint="eastAsia" w:ascii="宋体" w:hAnsi="宋体" w:cs="宋体"/>
          <w:color w:val="000000"/>
          <w:sz w:val="24"/>
          <w:szCs w:val="24"/>
        </w:rPr>
        <w:t>竞争性磋商响应单位</w:t>
      </w:r>
      <w:r>
        <w:rPr>
          <w:rFonts w:hint="eastAsia" w:ascii="宋体" w:hAnsi="宋体" w:cs="宋体"/>
          <w:bCs/>
          <w:color w:val="000000"/>
          <w:sz w:val="24"/>
          <w:szCs w:val="24"/>
        </w:rPr>
        <w:t xml:space="preserve">：（盖章）             </w:t>
      </w:r>
    </w:p>
    <w:p>
      <w:pPr>
        <w:snapToGrid w:val="0"/>
        <w:spacing w:line="52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 xml:space="preserve">法定代表人或被授权人（签字或盖章）：  </w:t>
      </w:r>
    </w:p>
    <w:p>
      <w:pPr>
        <w:snapToGrid w:val="0"/>
        <w:spacing w:line="5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日期：</w:t>
      </w:r>
    </w:p>
    <w:p>
      <w:pPr>
        <w:spacing w:line="500" w:lineRule="exact"/>
        <w:ind w:left="420" w:leftChars="200"/>
        <w:jc w:val="center"/>
        <w:outlineLvl w:val="3"/>
        <w:rPr>
          <w:rFonts w:hAnsi="宋体" w:cs="宋体"/>
          <w:b/>
          <w:color w:val="auto"/>
          <w:sz w:val="24"/>
          <w:szCs w:val="24"/>
          <w:highlight w:val="none"/>
        </w:rPr>
      </w:pPr>
      <w:r>
        <w:rPr>
          <w:rFonts w:hint="eastAsia" w:hAnsi="宋体" w:cs="宋体"/>
          <w:b/>
          <w:bCs/>
          <w:color w:val="auto"/>
          <w:sz w:val="24"/>
          <w:szCs w:val="24"/>
          <w:highlight w:val="none"/>
          <w:lang w:val="en-US" w:eastAsia="zh-CN"/>
        </w:rPr>
        <w:t>7</w:t>
      </w:r>
      <w:r>
        <w:rPr>
          <w:rFonts w:hint="eastAsia" w:hAnsi="宋体" w:cs="宋体"/>
          <w:b/>
          <w:bCs/>
          <w:color w:val="auto"/>
          <w:sz w:val="24"/>
          <w:szCs w:val="24"/>
          <w:highlight w:val="none"/>
        </w:rPr>
        <w:t>、</w:t>
      </w:r>
      <w:r>
        <w:rPr>
          <w:rFonts w:hint="eastAsia" w:hAnsi="宋体" w:cs="宋体"/>
          <w:b/>
          <w:bCs/>
          <w:color w:val="auto"/>
          <w:sz w:val="24"/>
          <w:szCs w:val="24"/>
          <w:highlight w:val="none"/>
          <w:lang w:val="en-US" w:eastAsia="zh-CN"/>
        </w:rPr>
        <w:t>不见面开标</w:t>
      </w:r>
      <w:r>
        <w:rPr>
          <w:rFonts w:hint="eastAsia" w:hAnsi="宋体" w:cs="宋体"/>
          <w:b/>
          <w:bCs/>
          <w:color w:val="auto"/>
          <w:sz w:val="24"/>
          <w:szCs w:val="24"/>
          <w:highlight w:val="none"/>
        </w:rPr>
        <w:t>承诺函</w:t>
      </w:r>
    </w:p>
    <w:p>
      <w:pPr>
        <w:snapToGrid w:val="0"/>
        <w:spacing w:line="360" w:lineRule="auto"/>
        <w:rPr>
          <w:rFonts w:ascii="方正仿宋_GBK"/>
          <w:color w:val="auto"/>
          <w:sz w:val="24"/>
          <w:szCs w:val="24"/>
          <w:highlight w:val="none"/>
          <w:u w:val="single"/>
        </w:rPr>
      </w:pPr>
    </w:p>
    <w:p>
      <w:pPr>
        <w:snapToGrid w:val="0"/>
        <w:spacing w:line="360" w:lineRule="auto"/>
        <w:rPr>
          <w:rFonts w:hAnsi="宋体" w:cs="宋体"/>
          <w:bCs/>
          <w:color w:val="auto"/>
          <w:sz w:val="24"/>
          <w:szCs w:val="24"/>
          <w:highlight w:val="none"/>
        </w:rPr>
      </w:pPr>
      <w:r>
        <w:rPr>
          <w:rFonts w:hint="eastAsia" w:ascii="宋体" w:hAnsi="宋体" w:cs="宋体"/>
          <w:color w:val="auto"/>
          <w:sz w:val="24"/>
          <w:szCs w:val="24"/>
          <w:highlight w:val="none"/>
        </w:rPr>
        <w:t>南通市崇川区商务局</w:t>
      </w:r>
      <w:r>
        <w:rPr>
          <w:rFonts w:hint="eastAsia" w:hAnsi="宋体" w:cs="宋体"/>
          <w:bCs/>
          <w:color w:val="auto"/>
          <w:sz w:val="24"/>
          <w:szCs w:val="24"/>
          <w:highlight w:val="none"/>
        </w:rPr>
        <w:t>：</w:t>
      </w:r>
    </w:p>
    <w:p>
      <w:pPr>
        <w:spacing w:line="360" w:lineRule="auto"/>
        <w:rPr>
          <w:rFonts w:hAnsi="宋体" w:cs="宋体"/>
          <w:color w:val="auto"/>
          <w:sz w:val="24"/>
          <w:szCs w:val="24"/>
          <w:highlight w:val="none"/>
        </w:rPr>
      </w:pPr>
      <w:r>
        <w:rPr>
          <w:rFonts w:hint="eastAsia" w:hAnsi="宋体" w:cs="宋体"/>
          <w:color w:val="auto"/>
          <w:sz w:val="24"/>
          <w:szCs w:val="24"/>
          <w:highlight w:val="none"/>
        </w:rPr>
        <w:t xml:space="preserve">    我单位（供应商名称）郑重声明：</w:t>
      </w:r>
    </w:p>
    <w:p>
      <w:pPr>
        <w:tabs>
          <w:tab w:val="left" w:pos="6300"/>
        </w:tabs>
        <w:snapToGrid w:val="0"/>
        <w:spacing w:line="360" w:lineRule="auto"/>
        <w:ind w:firstLine="480" w:firstLineChars="200"/>
        <w:rPr>
          <w:rFonts w:hAnsi="宋体" w:cs="宋体"/>
          <w:color w:val="auto"/>
          <w:sz w:val="44"/>
          <w:szCs w:val="44"/>
          <w:highlight w:val="none"/>
        </w:rPr>
      </w:pPr>
      <w:r>
        <w:rPr>
          <w:rFonts w:hint="eastAsia" w:hAnsi="宋体" w:cs="宋体"/>
          <w:color w:val="auto"/>
          <w:sz w:val="24"/>
          <w:szCs w:val="24"/>
          <w:highlight w:val="none"/>
        </w:rPr>
        <w:t>参加项目的磋商活动，因疫情防控原因，本项目采用不见面开标形式，响应供应商人员无需到达开标现场。对此我单位认可本项目的开评标程序及评标结果，事后不质疑投诉。</w:t>
      </w:r>
    </w:p>
    <w:p>
      <w:pPr>
        <w:spacing w:line="360" w:lineRule="auto"/>
        <w:ind w:firstLine="480"/>
        <w:rPr>
          <w:rFonts w:hAnsi="宋体" w:cs="宋体"/>
          <w:color w:val="auto"/>
          <w:sz w:val="24"/>
          <w:szCs w:val="24"/>
          <w:highlight w:val="none"/>
        </w:rPr>
      </w:pPr>
    </w:p>
    <w:p>
      <w:pPr>
        <w:kinsoku w:val="0"/>
        <w:topLinePunct/>
        <w:snapToGrid w:val="0"/>
        <w:spacing w:line="520" w:lineRule="exact"/>
        <w:ind w:firstLine="480" w:firstLineChars="200"/>
        <w:rPr>
          <w:rFonts w:hAnsi="宋体" w:cs="宋体"/>
          <w:color w:val="auto"/>
          <w:sz w:val="24"/>
          <w:szCs w:val="24"/>
          <w:highlight w:val="none"/>
        </w:rPr>
      </w:pPr>
    </w:p>
    <w:p>
      <w:pPr>
        <w:kinsoku w:val="0"/>
        <w:topLinePunct/>
        <w:snapToGrid w:val="0"/>
        <w:spacing w:line="520" w:lineRule="exact"/>
        <w:ind w:firstLine="480" w:firstLineChars="200"/>
        <w:rPr>
          <w:rFonts w:hAnsi="宋体" w:cs="宋体"/>
          <w:color w:val="auto"/>
          <w:sz w:val="24"/>
          <w:szCs w:val="24"/>
          <w:highlight w:val="none"/>
        </w:rPr>
      </w:pPr>
    </w:p>
    <w:p>
      <w:pPr>
        <w:kinsoku w:val="0"/>
        <w:topLinePunct/>
        <w:snapToGrid w:val="0"/>
        <w:spacing w:line="520" w:lineRule="exact"/>
        <w:ind w:firstLine="5040" w:firstLineChars="2100"/>
        <w:rPr>
          <w:rFonts w:ascii="方正仿宋_GBK"/>
          <w:color w:val="auto"/>
          <w:sz w:val="24"/>
          <w:szCs w:val="24"/>
          <w:highlight w:val="none"/>
        </w:rPr>
      </w:pPr>
      <w:r>
        <w:rPr>
          <w:rFonts w:hint="eastAsia" w:ascii="方正仿宋_GBK"/>
          <w:color w:val="auto"/>
          <w:sz w:val="24"/>
          <w:szCs w:val="24"/>
          <w:highlight w:val="none"/>
        </w:rPr>
        <w:t>供应商</w:t>
      </w:r>
      <w:r>
        <w:rPr>
          <w:rFonts w:hint="eastAsia" w:hAnsi="宋体" w:cs="宋体"/>
          <w:color w:val="auto"/>
          <w:sz w:val="24"/>
          <w:szCs w:val="24"/>
          <w:highlight w:val="none"/>
        </w:rPr>
        <w:t>（加盖公章）</w:t>
      </w:r>
      <w:r>
        <w:rPr>
          <w:rFonts w:hint="eastAsia" w:ascii="方正仿宋_GBK"/>
          <w:color w:val="auto"/>
          <w:sz w:val="24"/>
          <w:szCs w:val="24"/>
          <w:highlight w:val="none"/>
        </w:rPr>
        <w:t xml:space="preserve">：             </w:t>
      </w:r>
    </w:p>
    <w:p>
      <w:pPr>
        <w:kinsoku w:val="0"/>
        <w:topLinePunct/>
        <w:snapToGrid w:val="0"/>
        <w:spacing w:line="520" w:lineRule="exact"/>
        <w:ind w:firstLine="5040" w:firstLineChars="2100"/>
        <w:rPr>
          <w:rFonts w:ascii="方正仿宋_GBK"/>
          <w:color w:val="auto"/>
          <w:sz w:val="24"/>
          <w:szCs w:val="24"/>
          <w:highlight w:val="none"/>
        </w:rPr>
      </w:pPr>
      <w:r>
        <w:rPr>
          <w:rFonts w:hint="eastAsia" w:ascii="方正仿宋_GBK"/>
          <w:color w:val="auto"/>
          <w:sz w:val="24"/>
          <w:szCs w:val="24"/>
          <w:highlight w:val="none"/>
        </w:rPr>
        <w:t>法定代表人（签字或盖章）：</w:t>
      </w:r>
    </w:p>
    <w:p>
      <w:pPr>
        <w:spacing w:line="360" w:lineRule="auto"/>
        <w:jc w:val="center"/>
        <w:rPr>
          <w:rFonts w:hAnsi="宋体" w:cs="宋体"/>
          <w:color w:val="auto"/>
          <w:sz w:val="24"/>
          <w:szCs w:val="24"/>
          <w:highlight w:val="none"/>
        </w:rPr>
      </w:pPr>
      <w:r>
        <w:rPr>
          <w:rFonts w:hint="eastAsia" w:ascii="方正仿宋_GBK"/>
          <w:color w:val="auto"/>
          <w:sz w:val="24"/>
          <w:szCs w:val="24"/>
          <w:highlight w:val="none"/>
        </w:rPr>
        <w:t xml:space="preserve">             日期：</w:t>
      </w:r>
    </w:p>
    <w:p>
      <w:pPr>
        <w:pStyle w:val="20"/>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hint="eastAsia" w:ascii="宋体" w:hAnsi="宋体"/>
          <w:b/>
          <w:sz w:val="24"/>
          <w:szCs w:val="24"/>
          <w:lang w:val="en-US" w:eastAsia="zh-CN"/>
        </w:rPr>
      </w:pPr>
    </w:p>
    <w:p>
      <w:pPr>
        <w:spacing w:line="420" w:lineRule="exact"/>
        <w:ind w:firstLine="487" w:firstLineChars="202"/>
        <w:jc w:val="center"/>
        <w:rPr>
          <w:rFonts w:ascii="宋体" w:hAnsi="宋体"/>
          <w:b/>
          <w:sz w:val="24"/>
          <w:szCs w:val="24"/>
        </w:rPr>
      </w:pPr>
      <w:r>
        <w:rPr>
          <w:rFonts w:hint="eastAsia" w:ascii="宋体" w:hAnsi="宋体"/>
          <w:b/>
          <w:sz w:val="24"/>
          <w:szCs w:val="24"/>
          <w:lang w:val="en-US" w:eastAsia="zh-CN"/>
        </w:rPr>
        <w:t>8</w:t>
      </w:r>
      <w:r>
        <w:rPr>
          <w:rFonts w:hint="eastAsia" w:ascii="宋体" w:hAnsi="宋体"/>
          <w:b/>
          <w:sz w:val="24"/>
          <w:szCs w:val="24"/>
        </w:rPr>
        <w:t>.磋商响应报价（首次）总表</w:t>
      </w:r>
    </w:p>
    <w:p>
      <w:pPr>
        <w:snapToGrid w:val="0"/>
        <w:spacing w:line="360" w:lineRule="auto"/>
        <w:jc w:val="left"/>
        <w:rPr>
          <w:rFonts w:ascii="宋体" w:hAnsi="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t>项目名称：南通市崇川区商务局加油站点安全、环保监管项目</w:t>
      </w:r>
    </w:p>
    <w:tbl>
      <w:tblPr>
        <w:tblStyle w:val="2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4961"/>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tblHeader/>
        </w:trPr>
        <w:tc>
          <w:tcPr>
            <w:tcW w:w="297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cs="宋体"/>
                <w:sz w:val="24"/>
                <w:szCs w:val="24"/>
              </w:rPr>
            </w:pPr>
            <w:r>
              <w:rPr>
                <w:rFonts w:hint="eastAsia" w:ascii="宋体" w:hAnsi="宋体" w:cs="宋体"/>
                <w:sz w:val="24"/>
                <w:szCs w:val="24"/>
              </w:rPr>
              <w:t>项目名称</w:t>
            </w:r>
          </w:p>
        </w:tc>
        <w:tc>
          <w:tcPr>
            <w:tcW w:w="4961"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cs="宋体"/>
                <w:sz w:val="24"/>
                <w:szCs w:val="24"/>
              </w:rPr>
            </w:pPr>
            <w:r>
              <w:rPr>
                <w:rFonts w:hint="eastAsia" w:ascii="宋体" w:hAnsi="宋体" w:cs="宋体"/>
                <w:sz w:val="24"/>
                <w:szCs w:val="24"/>
              </w:rPr>
              <w:t>磋商响应报价（元）</w:t>
            </w:r>
          </w:p>
        </w:tc>
        <w:tc>
          <w:tcPr>
            <w:tcW w:w="198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cs="宋体"/>
                <w:sz w:val="24"/>
                <w:szCs w:val="24"/>
              </w:rPr>
            </w:pPr>
            <w:r>
              <w:rPr>
                <w:rFonts w:hint="eastAsia" w:ascii="宋体" w:hAnsi="宋体" w:cs="宋体"/>
                <w:sz w:val="24"/>
                <w:szCs w:val="24"/>
              </w:rPr>
              <w:t>项目完成时间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90" w:hRule="atLeast"/>
        </w:trPr>
        <w:tc>
          <w:tcPr>
            <w:tcW w:w="297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center"/>
              <w:rPr>
                <w:rFonts w:ascii="宋体" w:hAnsi="宋体" w:cs="宋体"/>
                <w:bCs/>
                <w:sz w:val="24"/>
                <w:szCs w:val="24"/>
              </w:rPr>
            </w:pPr>
            <w:r>
              <w:rPr>
                <w:rFonts w:hint="eastAsia" w:ascii="宋体" w:hAnsi="宋体" w:cs="宋体"/>
                <w:sz w:val="24"/>
                <w:szCs w:val="24"/>
              </w:rPr>
              <w:t>南通市崇川区商务局加油站点安全、环保监管项目</w:t>
            </w:r>
          </w:p>
        </w:tc>
        <w:tc>
          <w:tcPr>
            <w:tcW w:w="4961"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jc w:val="left"/>
              <w:rPr>
                <w:rFonts w:ascii="宋体" w:hAnsi="宋体" w:cs="宋体"/>
                <w:sz w:val="24"/>
                <w:szCs w:val="24"/>
              </w:rPr>
            </w:pPr>
            <w:r>
              <w:rPr>
                <w:rFonts w:hint="eastAsia" w:ascii="宋体" w:hAnsi="宋体" w:cs="宋体"/>
                <w:sz w:val="24"/>
                <w:szCs w:val="24"/>
              </w:rPr>
              <w:t>大写：</w:t>
            </w:r>
          </w:p>
          <w:p>
            <w:pPr>
              <w:pStyle w:val="2"/>
              <w:ind w:firstLine="420"/>
              <w:rPr>
                <w:rFonts w:ascii="宋体" w:hAnsi="宋体" w:cs="宋体"/>
              </w:rPr>
            </w:pPr>
          </w:p>
          <w:p>
            <w:pPr>
              <w:kinsoku w:val="0"/>
              <w:topLinePunct/>
              <w:snapToGrid w:val="0"/>
              <w:spacing w:line="420" w:lineRule="exact"/>
              <w:jc w:val="left"/>
              <w:rPr>
                <w:rFonts w:ascii="宋体" w:hAnsi="宋体" w:cs="宋体"/>
                <w:sz w:val="24"/>
                <w:szCs w:val="24"/>
              </w:rPr>
            </w:pPr>
            <w:r>
              <w:rPr>
                <w:rFonts w:hint="eastAsia" w:ascii="宋体" w:hAnsi="宋体" w:cs="宋体"/>
                <w:sz w:val="24"/>
                <w:szCs w:val="24"/>
              </w:rPr>
              <w:t>小写：</w:t>
            </w:r>
          </w:p>
        </w:tc>
        <w:tc>
          <w:tcPr>
            <w:tcW w:w="198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420" w:lineRule="exact"/>
              <w:rPr>
                <w:rFonts w:ascii="宋体" w:hAnsi="宋体" w:cs="宋体"/>
                <w:sz w:val="24"/>
                <w:szCs w:val="24"/>
              </w:rPr>
            </w:pPr>
            <w:r>
              <w:rPr>
                <w:rFonts w:hint="eastAsia" w:ascii="宋体" w:hAnsi="宋体" w:cs="宋体"/>
                <w:sz w:val="24"/>
                <w:szCs w:val="24"/>
              </w:rPr>
              <w:t>完全响应磋商文件要求</w:t>
            </w:r>
          </w:p>
        </w:tc>
      </w:tr>
    </w:tbl>
    <w:p>
      <w:pPr>
        <w:kinsoku w:val="0"/>
        <w:topLinePunct/>
        <w:snapToGrid w:val="0"/>
        <w:spacing w:line="360" w:lineRule="auto"/>
        <w:rPr>
          <w:rFonts w:ascii="宋体" w:hAnsi="宋体" w:cs="宋体"/>
          <w:sz w:val="24"/>
          <w:szCs w:val="24"/>
        </w:rPr>
      </w:pPr>
    </w:p>
    <w:p>
      <w:pPr>
        <w:kinsoku w:val="0"/>
        <w:topLinePunct/>
        <w:snapToGrid w:val="0"/>
        <w:spacing w:line="360" w:lineRule="auto"/>
        <w:ind w:firstLine="480" w:firstLineChars="200"/>
        <w:rPr>
          <w:rFonts w:ascii="方正仿宋_GBK"/>
          <w:sz w:val="24"/>
          <w:szCs w:val="24"/>
        </w:rPr>
      </w:pPr>
    </w:p>
    <w:p>
      <w:pPr>
        <w:kinsoku w:val="0"/>
        <w:topLinePunct/>
        <w:snapToGrid w:val="0"/>
        <w:spacing w:line="360" w:lineRule="auto"/>
        <w:ind w:firstLine="480" w:firstLineChars="200"/>
        <w:rPr>
          <w:rFonts w:ascii="方正仿宋_GBK"/>
          <w:sz w:val="24"/>
          <w:szCs w:val="24"/>
        </w:rPr>
      </w:pPr>
      <w:r>
        <w:rPr>
          <w:rFonts w:hint="eastAsia" w:ascii="方正仿宋_GBK"/>
          <w:sz w:val="24"/>
          <w:szCs w:val="24"/>
        </w:rPr>
        <w:t>供应商</w:t>
      </w:r>
      <w:r>
        <w:rPr>
          <w:rFonts w:hint="eastAsia" w:hAnsi="宋体" w:cs="宋体"/>
          <w:sz w:val="24"/>
          <w:szCs w:val="24"/>
        </w:rPr>
        <w:t>（加盖公章）</w:t>
      </w:r>
      <w:r>
        <w:rPr>
          <w:rFonts w:hint="eastAsia" w:ascii="方正仿宋_GBK"/>
          <w:sz w:val="24"/>
          <w:szCs w:val="24"/>
        </w:rPr>
        <w:t xml:space="preserve">：             </w:t>
      </w:r>
    </w:p>
    <w:p>
      <w:pPr>
        <w:kinsoku w:val="0"/>
        <w:topLinePunct/>
        <w:snapToGrid w:val="0"/>
        <w:spacing w:line="360" w:lineRule="auto"/>
        <w:ind w:firstLine="480" w:firstLineChars="200"/>
        <w:rPr>
          <w:rFonts w:ascii="方正仿宋_GBK"/>
          <w:sz w:val="24"/>
          <w:szCs w:val="24"/>
        </w:rPr>
      </w:pPr>
      <w:r>
        <w:rPr>
          <w:rFonts w:hint="eastAsia" w:ascii="方正仿宋_GBK"/>
          <w:sz w:val="24"/>
          <w:szCs w:val="24"/>
        </w:rPr>
        <w:t>法定代表人或被授权人（签字或盖章）：</w:t>
      </w:r>
    </w:p>
    <w:p>
      <w:pPr>
        <w:kinsoku w:val="0"/>
        <w:topLinePunct/>
        <w:snapToGrid w:val="0"/>
        <w:spacing w:line="360" w:lineRule="auto"/>
        <w:ind w:firstLine="480" w:firstLineChars="200"/>
        <w:rPr>
          <w:rFonts w:ascii="方正仿宋_GBK"/>
          <w:sz w:val="24"/>
          <w:szCs w:val="24"/>
        </w:rPr>
      </w:pPr>
      <w:r>
        <w:rPr>
          <w:rFonts w:hint="eastAsia" w:ascii="方正仿宋_GBK"/>
          <w:sz w:val="24"/>
          <w:szCs w:val="24"/>
        </w:rPr>
        <w:t>日期：</w:t>
      </w:r>
    </w:p>
    <w:p>
      <w:pPr>
        <w:snapToGrid w:val="0"/>
        <w:spacing w:line="360" w:lineRule="auto"/>
        <w:ind w:firstLine="482" w:firstLineChars="200"/>
        <w:rPr>
          <w:rFonts w:ascii="宋体" w:hAnsi="宋体"/>
          <w:b/>
          <w:bCs/>
          <w:sz w:val="24"/>
          <w:szCs w:val="24"/>
        </w:rPr>
      </w:pPr>
    </w:p>
    <w:p>
      <w:pPr>
        <w:snapToGrid w:val="0"/>
        <w:spacing w:line="360" w:lineRule="auto"/>
        <w:ind w:firstLine="482" w:firstLineChars="200"/>
        <w:rPr>
          <w:rFonts w:ascii="宋体" w:hAnsi="宋体"/>
          <w:sz w:val="24"/>
          <w:szCs w:val="24"/>
        </w:rPr>
      </w:pPr>
      <w:r>
        <w:rPr>
          <w:rFonts w:hint="eastAsia" w:ascii="宋体" w:hAnsi="宋体"/>
          <w:b/>
          <w:bCs/>
          <w:sz w:val="24"/>
          <w:szCs w:val="24"/>
        </w:rPr>
        <w:t>注：</w:t>
      </w:r>
      <w:r>
        <w:rPr>
          <w:rFonts w:hint="eastAsia" w:ascii="宋体" w:hAnsi="宋体"/>
          <w:sz w:val="24"/>
          <w:szCs w:val="24"/>
        </w:rPr>
        <w:t>（1）本表格式，不得自行改动。</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方正仿宋_GBK"/>
          <w:b/>
          <w:sz w:val="24"/>
          <w:szCs w:val="24"/>
        </w:rPr>
        <w:t>第二次（最终）报价将在开标后提供，响应文件密封提交时只需填写磋商报价总计（首次）。第二次报价（最终）时，磋商响应报价明细表按同比例下浮</w:t>
      </w:r>
      <w:r>
        <w:rPr>
          <w:rFonts w:hint="eastAsia" w:ascii="宋体" w:hAnsi="宋体"/>
          <w:sz w:val="24"/>
          <w:szCs w:val="24"/>
        </w:rPr>
        <w:t>。</w:t>
      </w:r>
    </w:p>
    <w:p>
      <w:pPr>
        <w:tabs>
          <w:tab w:val="center" w:pos="4153"/>
          <w:tab w:val="right" w:pos="8306"/>
        </w:tabs>
        <w:snapToGrid w:val="0"/>
        <w:spacing w:line="360" w:lineRule="auto"/>
        <w:ind w:firstLine="482" w:firstLineChars="200"/>
        <w:jc w:val="left"/>
        <w:rPr>
          <w:rFonts w:ascii="方正仿宋_GBK"/>
          <w:b/>
          <w:sz w:val="24"/>
          <w:szCs w:val="24"/>
        </w:rPr>
      </w:pPr>
      <w:r>
        <w:rPr>
          <w:rFonts w:hint="eastAsia" w:ascii="方正仿宋_GBK"/>
          <w:b/>
          <w:color w:val="FF0000"/>
          <w:sz w:val="24"/>
          <w:szCs w:val="24"/>
          <w:highlight w:val="yellow"/>
        </w:rPr>
        <w:t>（3）因本项目采用不见面开标方式，</w:t>
      </w:r>
      <w:r>
        <w:rPr>
          <w:rFonts w:hint="eastAsia" w:ascii="方正仿宋_GBK"/>
          <w:b/>
          <w:color w:val="FF0000"/>
          <w:sz w:val="24"/>
          <w:szCs w:val="24"/>
          <w:highlight w:val="yellow"/>
          <w:lang w:val="en-US" w:eastAsia="zh-CN"/>
        </w:rPr>
        <w:t>本项目</w:t>
      </w:r>
      <w:r>
        <w:rPr>
          <w:rFonts w:hint="eastAsia" w:ascii="方正仿宋_GBK"/>
          <w:b/>
          <w:color w:val="FF0000"/>
          <w:sz w:val="24"/>
          <w:szCs w:val="24"/>
          <w:highlight w:val="yellow"/>
        </w:rPr>
        <w:t>授权委托人必须在开评标期间内保持手机畅通，在二次（最终）报价时通过视频通话进行现场报价，并将经法定代表人或被授权人签字或盖章的二次（最终）报价表电子版扫描发给代理机构。</w:t>
      </w:r>
    </w:p>
    <w:p>
      <w:pPr>
        <w:pStyle w:val="20"/>
        <w:spacing w:before="164"/>
        <w:ind w:firstLine="602"/>
        <w:rPr>
          <w:rFonts w:ascii="方正仿宋_GBK"/>
          <w:b/>
          <w:color w:val="FF0000"/>
          <w:highlight w:val="yellow"/>
        </w:rPr>
      </w:pPr>
      <w:r>
        <w:rPr>
          <w:rFonts w:hint="eastAsia" w:ascii="方正仿宋_GBK"/>
          <w:b/>
          <w:color w:val="FF0000"/>
          <w:highlight w:val="yellow"/>
        </w:rPr>
        <w:t>（4）第二次（最终）报价表格式详见磋商文件第</w:t>
      </w:r>
      <w:r>
        <w:rPr>
          <w:rFonts w:hint="eastAsia" w:ascii="方正仿宋_GBK"/>
          <w:b/>
          <w:color w:val="FF0000"/>
          <w:highlight w:val="yellow"/>
          <w:lang w:val="en-US" w:eastAsia="zh-CN"/>
        </w:rPr>
        <w:t>八</w:t>
      </w:r>
      <w:r>
        <w:rPr>
          <w:rFonts w:hint="eastAsia" w:ascii="方正仿宋_GBK"/>
          <w:b/>
          <w:color w:val="FF0000"/>
          <w:highlight w:val="yellow"/>
        </w:rPr>
        <w:t>章表1</w:t>
      </w:r>
      <w:r>
        <w:rPr>
          <w:rFonts w:hint="eastAsia" w:ascii="方正仿宋_GBK"/>
          <w:b/>
          <w:color w:val="FF0000"/>
          <w:highlight w:val="yellow"/>
          <w:lang w:val="en-US" w:eastAsia="zh-CN"/>
        </w:rPr>
        <w:t>0</w:t>
      </w:r>
      <w:r>
        <w:rPr>
          <w:rFonts w:hint="eastAsia" w:ascii="方正仿宋_GBK"/>
          <w:b/>
          <w:color w:val="FF0000"/>
          <w:highlight w:val="yellow"/>
        </w:rPr>
        <w:t>，供应商自行下载打印，用于开标当天填写。</w:t>
      </w:r>
    </w:p>
    <w:p>
      <w:pPr>
        <w:pStyle w:val="2"/>
        <w:ind w:firstLine="420"/>
      </w:pPr>
    </w:p>
    <w:p>
      <w:pPr>
        <w:widowControl/>
        <w:jc w:val="left"/>
        <w:rPr>
          <w:rFonts w:ascii="宋体" w:hAnsi="宋体"/>
          <w:sz w:val="24"/>
          <w:szCs w:val="24"/>
        </w:rPr>
      </w:pPr>
      <w:r>
        <w:rPr>
          <w:rFonts w:ascii="宋体" w:hAnsi="宋体"/>
          <w:sz w:val="24"/>
          <w:szCs w:val="24"/>
        </w:rPr>
        <w:br w:type="page"/>
      </w:r>
    </w:p>
    <w:p>
      <w:pPr>
        <w:snapToGrid w:val="0"/>
        <w:ind w:firstLine="482"/>
        <w:jc w:val="center"/>
        <w:outlineLvl w:val="2"/>
        <w:rPr>
          <w:rFonts w:ascii="宋体" w:hAnsi="宋体" w:cs="宋体"/>
          <w:b/>
          <w:bCs/>
          <w:sz w:val="24"/>
          <w:szCs w:val="24"/>
        </w:rPr>
      </w:pPr>
      <w:r>
        <w:rPr>
          <w:rFonts w:hint="eastAsia" w:ascii="宋体" w:hAnsi="宋体" w:cs="宋体"/>
          <w:b/>
          <w:bCs/>
          <w:sz w:val="24"/>
          <w:szCs w:val="24"/>
          <w:lang w:val="en-US" w:eastAsia="zh-CN"/>
        </w:rPr>
        <w:t>9</w:t>
      </w:r>
      <w:r>
        <w:rPr>
          <w:rFonts w:hint="eastAsia" w:ascii="宋体" w:hAnsi="宋体" w:cs="宋体"/>
          <w:b/>
          <w:bCs/>
          <w:sz w:val="24"/>
          <w:szCs w:val="24"/>
        </w:rPr>
        <w:t>．磋商响应报价明细表（供应商自拟）</w:t>
      </w:r>
    </w:p>
    <w:p>
      <w:pPr>
        <w:ind w:firstLine="424" w:firstLineChars="202"/>
        <w:rPr>
          <w:rFonts w:ascii="宋体" w:hAnsi="宋体" w:cs="宋体"/>
          <w:szCs w:val="21"/>
        </w:rPr>
      </w:pPr>
    </w:p>
    <w:p>
      <w:pPr>
        <w:snapToGrid w:val="0"/>
        <w:ind w:left="1133" w:hanging="1132" w:hangingChars="472"/>
        <w:jc w:val="left"/>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Times New Roman" w:hAnsi="宋体" w:cs="宋体"/>
          <w:sz w:val="24"/>
          <w:szCs w:val="24"/>
          <w:u w:val="single"/>
          <w:lang w:eastAsia="zh-CN"/>
        </w:rPr>
        <w:t>南通市崇川区商务局加油站点安全、环保监管项目</w:t>
      </w:r>
    </w:p>
    <w:p>
      <w:pPr>
        <w:snapToGrid w:val="0"/>
        <w:ind w:left="1133" w:hanging="1132" w:hangingChars="472"/>
        <w:jc w:val="left"/>
        <w:rPr>
          <w:rFonts w:ascii="宋体" w:hAnsi="宋体" w:cs="宋体"/>
          <w:sz w:val="24"/>
          <w:szCs w:val="24"/>
        </w:rPr>
      </w:pPr>
    </w:p>
    <w:p>
      <w:pPr>
        <w:kinsoku w:val="0"/>
        <w:topLinePunct/>
        <w:snapToGrid w:val="0"/>
        <w:ind w:firstLine="480"/>
        <w:jc w:val="left"/>
        <w:rPr>
          <w:rFonts w:ascii="宋体" w:hAnsi="宋体" w:cs="宋体"/>
          <w:sz w:val="24"/>
          <w:szCs w:val="24"/>
        </w:rPr>
      </w:pPr>
      <w:r>
        <w:rPr>
          <w:rFonts w:hint="eastAsia" w:ascii="宋体" w:hAnsi="宋体" w:cs="宋体"/>
          <w:sz w:val="24"/>
          <w:szCs w:val="24"/>
        </w:rPr>
        <w:t xml:space="preserve">供应商：（盖章）             </w:t>
      </w:r>
    </w:p>
    <w:p>
      <w:pPr>
        <w:kinsoku w:val="0"/>
        <w:topLinePunct/>
        <w:snapToGrid w:val="0"/>
        <w:ind w:firstLine="480"/>
        <w:jc w:val="left"/>
        <w:rPr>
          <w:rFonts w:ascii="宋体" w:hAnsi="宋体" w:cs="宋体"/>
          <w:sz w:val="24"/>
          <w:szCs w:val="24"/>
        </w:rPr>
      </w:pPr>
      <w:r>
        <w:rPr>
          <w:rFonts w:hint="eastAsia" w:ascii="宋体" w:hAnsi="宋体" w:cs="宋体"/>
          <w:sz w:val="24"/>
          <w:szCs w:val="24"/>
        </w:rPr>
        <w:t>法定代表人或授权人（签字）：</w:t>
      </w:r>
    </w:p>
    <w:p>
      <w:pPr>
        <w:kinsoku w:val="0"/>
        <w:topLinePunct/>
        <w:snapToGrid w:val="0"/>
        <w:ind w:firstLine="480"/>
        <w:jc w:val="left"/>
        <w:rPr>
          <w:rFonts w:hint="eastAsia" w:ascii="宋体" w:hAnsi="宋体" w:cs="宋体"/>
          <w:sz w:val="24"/>
          <w:szCs w:val="24"/>
        </w:rPr>
      </w:pPr>
      <w:r>
        <w:rPr>
          <w:rFonts w:hint="eastAsia" w:ascii="宋体" w:hAnsi="宋体" w:cs="宋体"/>
          <w:sz w:val="24"/>
          <w:szCs w:val="24"/>
        </w:rPr>
        <w:t>日期：</w:t>
      </w:r>
    </w:p>
    <w:p>
      <w:pPr>
        <w:pStyle w:val="8"/>
        <w:rPr>
          <w:rFonts w:hint="eastAsia" w:ascii="宋体" w:hAnsi="宋体" w:cs="宋体"/>
          <w:sz w:val="24"/>
          <w:szCs w:val="24"/>
        </w:rPr>
      </w:pPr>
    </w:p>
    <w:p>
      <w:pPr>
        <w:rPr>
          <w:rFonts w:hint="eastAsia" w:ascii="宋体" w:hAnsi="宋体" w:cs="宋体"/>
          <w:sz w:val="24"/>
          <w:szCs w:val="24"/>
        </w:rPr>
      </w:pPr>
    </w:p>
    <w:p>
      <w:pPr>
        <w:pStyle w:val="8"/>
        <w:rPr>
          <w:rFonts w:hint="eastAsia" w:ascii="宋体" w:hAnsi="宋体" w:cs="宋体"/>
          <w:sz w:val="24"/>
          <w:szCs w:val="24"/>
        </w:rPr>
      </w:pPr>
    </w:p>
    <w:p>
      <w:pPr>
        <w:rPr>
          <w:rFonts w:hint="eastAsia" w:ascii="宋体" w:hAnsi="宋体" w:cs="宋体"/>
          <w:sz w:val="24"/>
          <w:szCs w:val="24"/>
        </w:rPr>
      </w:pPr>
    </w:p>
    <w:p>
      <w:pPr>
        <w:pStyle w:val="8"/>
        <w:rPr>
          <w:rFonts w:hint="eastAsia" w:ascii="宋体" w:hAnsi="宋体" w:cs="宋体"/>
          <w:sz w:val="24"/>
          <w:szCs w:val="24"/>
        </w:rPr>
      </w:pPr>
    </w:p>
    <w:p>
      <w:pPr>
        <w:rPr>
          <w:rFonts w:hint="eastAsia" w:ascii="宋体" w:hAnsi="宋体" w:cs="宋体"/>
          <w:sz w:val="24"/>
          <w:szCs w:val="24"/>
        </w:rPr>
      </w:pPr>
    </w:p>
    <w:p>
      <w:pPr>
        <w:snapToGrid w:val="0"/>
        <w:spacing w:line="360" w:lineRule="exact"/>
        <w:jc w:val="center"/>
        <w:outlineLvl w:val="3"/>
        <w:rPr>
          <w:rFonts w:ascii="Calibri" w:hAnsi="Calibri" w:eastAsia="仿宋_GB2312"/>
          <w:b/>
          <w:sz w:val="24"/>
          <w:szCs w:val="24"/>
        </w:rPr>
      </w:pPr>
      <w:r>
        <w:rPr>
          <w:rFonts w:hint="eastAsia" w:ascii="Calibri" w:hAnsi="Calibri" w:eastAsia="仿宋_GB2312"/>
          <w:b/>
          <w:sz w:val="32"/>
          <w:szCs w:val="32"/>
        </w:rPr>
        <w:t>1</w:t>
      </w:r>
      <w:r>
        <w:rPr>
          <w:rFonts w:hint="eastAsia" w:ascii="Calibri" w:hAnsi="Calibri" w:eastAsia="仿宋_GB2312"/>
          <w:b/>
          <w:sz w:val="32"/>
          <w:szCs w:val="32"/>
          <w:lang w:val="en-US" w:eastAsia="zh-CN"/>
        </w:rPr>
        <w:t>0</w:t>
      </w:r>
      <w:r>
        <w:rPr>
          <w:rFonts w:hint="eastAsia" w:ascii="Calibri" w:hAnsi="Calibri" w:eastAsia="仿宋_GB2312"/>
          <w:b/>
          <w:sz w:val="32"/>
          <w:szCs w:val="32"/>
        </w:rPr>
        <w:t>、磋商响应报价（最终）总表</w:t>
      </w:r>
    </w:p>
    <w:p>
      <w:pPr>
        <w:snapToGrid w:val="0"/>
        <w:spacing w:line="360" w:lineRule="exact"/>
        <w:ind w:left="1214" w:hanging="1214" w:hangingChars="506"/>
        <w:rPr>
          <w:rFonts w:ascii="仿宋_GB2312" w:hAnsi="宋体" w:eastAsia="仿宋_GB2312"/>
          <w:sz w:val="24"/>
          <w:szCs w:val="24"/>
        </w:rPr>
      </w:pPr>
    </w:p>
    <w:p>
      <w:pPr>
        <w:snapToGrid w:val="0"/>
        <w:spacing w:line="360" w:lineRule="exact"/>
        <w:ind w:left="1417" w:hanging="1416" w:hangingChars="506"/>
        <w:rPr>
          <w:rFonts w:ascii="仿宋_GB2312" w:hAnsi="宋体" w:eastAsia="仿宋_GB2312"/>
          <w:sz w:val="28"/>
          <w:szCs w:val="28"/>
        </w:rPr>
      </w:pPr>
      <w:r>
        <w:rPr>
          <w:rFonts w:hint="eastAsia" w:ascii="仿宋_GB2312" w:hAnsi="宋体" w:eastAsia="仿宋_GB2312"/>
          <w:sz w:val="28"/>
          <w:szCs w:val="28"/>
        </w:rPr>
        <w:t>项目名称：</w:t>
      </w:r>
      <w:r>
        <w:rPr>
          <w:rFonts w:hint="eastAsia" w:ascii="仿宋_GB2312" w:hAnsi="宋体" w:eastAsia="仿宋_GB2312" w:cs="Times New Roman"/>
          <w:sz w:val="28"/>
          <w:szCs w:val="28"/>
        </w:rPr>
        <w:t>南通市崇川区商务局加油站点安全、环保监管项</w:t>
      </w:r>
      <w:r>
        <w:rPr>
          <w:rFonts w:hint="eastAsia" w:ascii="仿宋_GB2312" w:hAnsi="宋体" w:eastAsia="仿宋_GB2312"/>
          <w:sz w:val="28"/>
          <w:szCs w:val="28"/>
        </w:rPr>
        <w:t>目</w:t>
      </w:r>
    </w:p>
    <w:p>
      <w:pPr>
        <w:snapToGrid w:val="0"/>
        <w:spacing w:line="360" w:lineRule="exact"/>
        <w:ind w:left="1417" w:hanging="1416" w:hangingChars="506"/>
        <w:rPr>
          <w:rFonts w:ascii="仿宋_GB2312" w:hAnsi="宋体" w:eastAsia="仿宋_GB2312"/>
          <w:sz w:val="28"/>
          <w:szCs w:val="28"/>
        </w:rPr>
      </w:pPr>
    </w:p>
    <w:p>
      <w:pPr>
        <w:snapToGrid w:val="0"/>
        <w:spacing w:line="360" w:lineRule="exact"/>
        <w:ind w:left="1518" w:hanging="1517" w:hangingChars="506"/>
        <w:rPr>
          <w:rFonts w:ascii="仿宋_GB2312" w:hAnsi="仿宋_GB2312" w:eastAsia="仿宋_GB2312" w:cs="仿宋_GB2312"/>
          <w:sz w:val="30"/>
          <w:szCs w:val="30"/>
        </w:rPr>
      </w:pPr>
    </w:p>
    <w:tbl>
      <w:tblPr>
        <w:tblStyle w:val="21"/>
        <w:tblW w:w="96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3033"/>
        <w:gridCol w:w="1740"/>
        <w:gridCol w:w="24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项目名称</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磋商响应报价（元）</w:t>
            </w:r>
          </w:p>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（最终）</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项目完成时间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5"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仿宋_GB2312"/>
                <w:bCs/>
                <w:kern w:val="0"/>
                <w:sz w:val="24"/>
                <w:szCs w:val="24"/>
              </w:rPr>
            </w:pPr>
            <w:r>
              <w:rPr>
                <w:rFonts w:hint="eastAsia" w:ascii="宋体" w:hAnsi="宋体" w:eastAsia="仿宋_GB2312" w:cs="Times New Roman"/>
                <w:bCs/>
                <w:kern w:val="0"/>
                <w:sz w:val="24"/>
                <w:szCs w:val="24"/>
              </w:rPr>
              <w:t>南通市崇川区商务局加油站点安全、环保监管项</w:t>
            </w:r>
            <w:r>
              <w:rPr>
                <w:rFonts w:hint="eastAsia" w:ascii="宋体" w:hAnsi="宋体" w:eastAsia="仿宋_GB2312"/>
                <w:bCs/>
                <w:kern w:val="0"/>
                <w:sz w:val="24"/>
                <w:szCs w:val="24"/>
              </w:rPr>
              <w:t>目</w:t>
            </w:r>
          </w:p>
        </w:tc>
        <w:tc>
          <w:tcPr>
            <w:tcW w:w="3033"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left"/>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大写：</w:t>
            </w:r>
          </w:p>
          <w:p>
            <w:pPr>
              <w:spacing w:line="360" w:lineRule="exact"/>
              <w:ind w:left="1" w:firstLine="26" w:firstLineChars="11"/>
              <w:jc w:val="left"/>
              <w:textAlignment w:val="bottom"/>
              <w:rPr>
                <w:rFonts w:ascii="宋体" w:hAnsi="宋体" w:eastAsia="仿宋_GB2312"/>
                <w:bCs/>
                <w:kern w:val="0"/>
                <w:sz w:val="24"/>
                <w:szCs w:val="24"/>
              </w:rPr>
            </w:pPr>
          </w:p>
          <w:p>
            <w:pPr>
              <w:spacing w:line="360" w:lineRule="exact"/>
              <w:ind w:left="1" w:firstLine="26" w:firstLineChars="11"/>
              <w:jc w:val="left"/>
              <w:textAlignment w:val="bottom"/>
              <w:rPr>
                <w:rFonts w:ascii="宋体" w:hAnsi="宋体" w:eastAsia="仿宋_GB2312"/>
                <w:bCs/>
                <w:kern w:val="0"/>
                <w:sz w:val="24"/>
                <w:szCs w:val="24"/>
                <w:lang w:eastAsia="en-US"/>
              </w:rPr>
            </w:pPr>
            <w:r>
              <w:rPr>
                <w:rFonts w:hint="eastAsia" w:ascii="宋体" w:hAnsi="宋体" w:eastAsia="仿宋_GB2312"/>
                <w:bCs/>
                <w:kern w:val="0"/>
                <w:sz w:val="24"/>
                <w:szCs w:val="24"/>
              </w:rPr>
              <w:t>小写：</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exact"/>
              <w:ind w:left="1" w:firstLine="26" w:firstLineChars="1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完全响应招标文件要求的时间</w:t>
            </w:r>
          </w:p>
        </w:tc>
        <w:tc>
          <w:tcPr>
            <w:tcW w:w="2456" w:type="dxa"/>
            <w:tcBorders>
              <w:top w:val="single" w:color="auto" w:sz="4" w:space="0"/>
              <w:left w:val="single" w:color="auto" w:sz="4" w:space="0"/>
              <w:bottom w:val="single" w:color="auto" w:sz="4" w:space="0"/>
              <w:right w:val="single" w:color="auto" w:sz="4" w:space="0"/>
            </w:tcBorders>
            <w:vAlign w:val="center"/>
          </w:tcPr>
          <w:p>
            <w:pPr>
              <w:spacing w:line="360" w:lineRule="exact"/>
              <w:ind w:left="1"/>
              <w:jc w:val="center"/>
              <w:textAlignment w:val="bottom"/>
              <w:rPr>
                <w:rFonts w:ascii="宋体" w:hAnsi="宋体" w:eastAsia="仿宋_GB2312"/>
                <w:bCs/>
                <w:kern w:val="0"/>
                <w:sz w:val="24"/>
                <w:szCs w:val="24"/>
              </w:rPr>
            </w:pPr>
            <w:r>
              <w:rPr>
                <w:rFonts w:hint="eastAsia" w:ascii="宋体" w:hAnsi="宋体" w:eastAsia="仿宋_GB2312"/>
                <w:bCs/>
                <w:kern w:val="0"/>
                <w:sz w:val="24"/>
                <w:szCs w:val="24"/>
              </w:rPr>
              <w:t>完全响应招标文件要求的付款方式</w:t>
            </w:r>
          </w:p>
        </w:tc>
      </w:tr>
    </w:tbl>
    <w:p>
      <w:pPr>
        <w:kinsoku w:val="0"/>
        <w:topLinePunct/>
        <w:snapToGrid w:val="0"/>
        <w:spacing w:line="360" w:lineRule="exact"/>
        <w:rPr>
          <w:rFonts w:ascii="仿宋_GB2312" w:hAnsi="宋体" w:eastAsia="仿宋_GB2312"/>
          <w:szCs w:val="21"/>
        </w:rPr>
      </w:pP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 xml:space="preserve">磋商供应商：          </w:t>
      </w: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法定代表人或被委托授权人（签字）：</w:t>
      </w:r>
    </w:p>
    <w:p>
      <w:pPr>
        <w:kinsoku w:val="0"/>
        <w:topLinePunct/>
        <w:snapToGrid w:val="0"/>
        <w:spacing w:line="360" w:lineRule="auto"/>
        <w:rPr>
          <w:rFonts w:ascii="仿宋_GB2312" w:hAnsi="宋体" w:eastAsia="仿宋_GB2312"/>
          <w:sz w:val="24"/>
          <w:szCs w:val="24"/>
        </w:rPr>
      </w:pPr>
      <w:r>
        <w:rPr>
          <w:rFonts w:hint="eastAsia" w:ascii="仿宋_GB2312" w:hAnsi="宋体" w:eastAsia="仿宋_GB2312"/>
          <w:sz w:val="24"/>
          <w:szCs w:val="24"/>
        </w:rPr>
        <w:t>日期：</w:t>
      </w:r>
    </w:p>
    <w:p>
      <w:pPr>
        <w:pStyle w:val="8"/>
        <w:rPr>
          <w:rFonts w:hint="eastAsia" w:ascii="宋体" w:hAnsi="宋体" w:cs="宋体"/>
          <w:sz w:val="24"/>
          <w:szCs w:val="24"/>
        </w:rPr>
      </w:pPr>
    </w:p>
    <w:p>
      <w:pPr>
        <w:rPr>
          <w:rFonts w:hint="eastAsia" w:ascii="宋体" w:hAnsi="宋体" w:cs="宋体"/>
          <w:sz w:val="24"/>
          <w:szCs w:val="24"/>
        </w:rPr>
      </w:pPr>
    </w:p>
    <w:p>
      <w:pPr>
        <w:pStyle w:val="8"/>
        <w:rPr>
          <w:rFonts w:hint="eastAsia" w:ascii="宋体" w:hAnsi="宋体" w:cs="宋体"/>
          <w:sz w:val="24"/>
          <w:szCs w:val="24"/>
        </w:rPr>
      </w:pPr>
    </w:p>
    <w:p>
      <w:pPr>
        <w:rPr>
          <w:rFonts w:hint="eastAsia" w:ascii="宋体" w:hAnsi="宋体" w:cs="宋体"/>
          <w:sz w:val="24"/>
          <w:szCs w:val="24"/>
        </w:rPr>
      </w:pPr>
    </w:p>
    <w:p>
      <w:pPr>
        <w:pStyle w:val="8"/>
        <w:rPr>
          <w:rFonts w:hint="eastAsia" w:ascii="宋体" w:hAnsi="宋体" w:cs="宋体"/>
          <w:sz w:val="24"/>
          <w:szCs w:val="24"/>
        </w:rPr>
      </w:pPr>
    </w:p>
    <w:p>
      <w:pPr>
        <w:rPr>
          <w:rFonts w:hint="eastAsia" w:ascii="宋体" w:hAnsi="宋体" w:cs="宋体"/>
          <w:sz w:val="24"/>
          <w:szCs w:val="24"/>
        </w:rPr>
      </w:pPr>
    </w:p>
    <w:p>
      <w:pPr>
        <w:pStyle w:val="8"/>
        <w:rPr>
          <w:rFonts w:hint="eastAsia"/>
          <w:lang w:eastAsia="zh-CN"/>
        </w:rPr>
      </w:pPr>
    </w:p>
    <w:p>
      <w:pPr>
        <w:widowControl/>
        <w:spacing w:line="360" w:lineRule="auto"/>
        <w:ind w:firstLine="723" w:firstLineChars="200"/>
        <w:jc w:val="center"/>
        <w:rPr>
          <w:rFonts w:hAnsi="宋体" w:cs="宋体"/>
          <w:color w:val="000000"/>
          <w:sz w:val="24"/>
        </w:rPr>
      </w:pPr>
      <w:r>
        <w:rPr>
          <w:rFonts w:hint="eastAsia" w:ascii="宋体" w:hAnsi="宋体" w:cs="宋体"/>
          <w:b/>
          <w:bCs/>
          <w:kern w:val="0"/>
          <w:sz w:val="36"/>
          <w:szCs w:val="36"/>
          <w:lang w:bidi="ar"/>
        </w:rPr>
        <w:t>中小企业声明函</w:t>
      </w:r>
    </w:p>
    <w:p>
      <w:pPr>
        <w:snapToGrid w:val="0"/>
        <w:spacing w:line="360" w:lineRule="exact"/>
        <w:ind w:firstLine="643" w:firstLineChars="200"/>
        <w:jc w:val="center"/>
        <w:outlineLvl w:val="3"/>
        <w:rPr>
          <w:rFonts w:ascii="Calibri" w:hAnsi="Calibri" w:eastAsia="仿宋_GB2312"/>
          <w:b/>
          <w:sz w:val="32"/>
          <w:szCs w:val="32"/>
        </w:rPr>
      </w:pP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本公司（联合体）郑重声明，根据《政府采购促进中小 企业发展管理办法》（财库﹝2020﹞46 号）的规定，本公司 （联合体）参加</w:t>
      </w:r>
      <w:r>
        <w:rPr>
          <w:rFonts w:hint="eastAsia" w:ascii="宋体" w:hAnsi="宋体" w:cs="宋体"/>
          <w:kern w:val="0"/>
          <w:sz w:val="24"/>
          <w:szCs w:val="24"/>
          <w:u w:val="single"/>
          <w:lang w:bidi="ar"/>
        </w:rPr>
        <w:t>（单位名称）</w:t>
      </w:r>
      <w:r>
        <w:rPr>
          <w:rFonts w:hint="eastAsia" w:ascii="宋体" w:hAnsi="宋体" w:cs="宋体"/>
          <w:kern w:val="0"/>
          <w:sz w:val="24"/>
          <w:szCs w:val="24"/>
          <w:lang w:bidi="ar"/>
        </w:rPr>
        <w:t>的</w:t>
      </w:r>
      <w:r>
        <w:rPr>
          <w:rFonts w:hint="eastAsia" w:ascii="宋体" w:hAnsi="宋体" w:cs="宋体"/>
          <w:kern w:val="0"/>
          <w:sz w:val="24"/>
          <w:szCs w:val="24"/>
          <w:u w:val="single"/>
          <w:lang w:bidi="ar"/>
        </w:rPr>
        <w:t>（项目名称）</w:t>
      </w:r>
      <w:r>
        <w:rPr>
          <w:rFonts w:hint="eastAsia" w:ascii="宋体" w:hAnsi="宋体" w:cs="宋体"/>
          <w:kern w:val="0"/>
          <w:sz w:val="24"/>
          <w:szCs w:val="24"/>
          <w:lang w:bidi="ar"/>
        </w:rPr>
        <w:t xml:space="preserve">采购活动，提供的货物全部由符合政策要求的中小企业制造。相关企业（含联合体中的中小企业、签订分包意向协议的中小企业） 的具体情况如下： </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1.</w:t>
      </w:r>
      <w:r>
        <w:rPr>
          <w:rFonts w:hint="eastAsia" w:ascii="宋体" w:hAnsi="宋体" w:cs="宋体"/>
          <w:kern w:val="0"/>
          <w:sz w:val="24"/>
          <w:szCs w:val="24"/>
          <w:u w:val="single"/>
          <w:lang w:bidi="ar"/>
        </w:rPr>
        <w:t>（标的名称）</w:t>
      </w:r>
      <w:r>
        <w:rPr>
          <w:rFonts w:hint="eastAsia" w:ascii="宋体" w:hAnsi="宋体" w:cs="宋体"/>
          <w:kern w:val="0"/>
          <w:sz w:val="24"/>
          <w:szCs w:val="24"/>
          <w:lang w:bidi="ar"/>
        </w:rPr>
        <w:t xml:space="preserve"> ，属于</w:t>
      </w:r>
      <w:r>
        <w:rPr>
          <w:rFonts w:hint="eastAsia" w:ascii="宋体" w:hAnsi="宋体" w:cs="宋体"/>
          <w:kern w:val="0"/>
          <w:sz w:val="24"/>
          <w:szCs w:val="24"/>
          <w:u w:val="single"/>
          <w:lang w:bidi="ar"/>
        </w:rPr>
        <w:t>（采购文件中明确的所属行业）</w:t>
      </w:r>
      <w:r>
        <w:rPr>
          <w:rFonts w:hint="eastAsia" w:ascii="宋体" w:hAnsi="宋体" w:cs="宋体"/>
          <w:kern w:val="0"/>
          <w:sz w:val="24"/>
          <w:szCs w:val="24"/>
          <w:lang w:bidi="ar"/>
        </w:rPr>
        <w:t>行业；制造商为</w:t>
      </w:r>
      <w:r>
        <w:rPr>
          <w:rFonts w:hint="eastAsia" w:ascii="宋体" w:hAnsi="宋体" w:cs="宋体"/>
          <w:kern w:val="0"/>
          <w:sz w:val="24"/>
          <w:szCs w:val="24"/>
          <w:u w:val="single"/>
          <w:lang w:bidi="ar"/>
        </w:rPr>
        <w:t>（企业名称）</w:t>
      </w:r>
      <w:r>
        <w:rPr>
          <w:rFonts w:hint="eastAsia" w:ascii="宋体" w:hAnsi="宋体" w:cs="宋体"/>
          <w:kern w:val="0"/>
          <w:sz w:val="24"/>
          <w:szCs w:val="24"/>
          <w:lang w:bidi="ar"/>
        </w:rPr>
        <w:t>，从业人员</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万元，资产总额为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（中型企业、小型企业、微型企业）</w:t>
      </w:r>
      <w:r>
        <w:rPr>
          <w:rFonts w:hint="eastAsia" w:ascii="宋体" w:hAnsi="宋体" w:cs="宋体"/>
          <w:kern w:val="0"/>
          <w:sz w:val="24"/>
          <w:szCs w:val="24"/>
          <w:lang w:bidi="ar"/>
        </w:rPr>
        <w:t xml:space="preserve">； </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 xml:space="preserve">2. </w:t>
      </w:r>
      <w:r>
        <w:rPr>
          <w:rFonts w:hint="eastAsia" w:ascii="宋体" w:hAnsi="宋体" w:cs="宋体"/>
          <w:kern w:val="0"/>
          <w:sz w:val="24"/>
          <w:szCs w:val="24"/>
          <w:u w:val="single"/>
          <w:lang w:bidi="ar"/>
        </w:rPr>
        <w:t>（标的名称）</w:t>
      </w:r>
      <w:r>
        <w:rPr>
          <w:rFonts w:hint="eastAsia" w:ascii="宋体" w:hAnsi="宋体" w:cs="宋体"/>
          <w:kern w:val="0"/>
          <w:sz w:val="24"/>
          <w:szCs w:val="24"/>
          <w:lang w:bidi="ar"/>
        </w:rPr>
        <w:t xml:space="preserve"> ，属于（</w:t>
      </w:r>
      <w:r>
        <w:rPr>
          <w:rFonts w:hint="eastAsia" w:ascii="宋体" w:hAnsi="宋体" w:cs="宋体"/>
          <w:kern w:val="0"/>
          <w:sz w:val="24"/>
          <w:szCs w:val="24"/>
          <w:u w:val="single"/>
          <w:lang w:bidi="ar"/>
        </w:rPr>
        <w:t>采购文件中明确的所属行业）</w:t>
      </w:r>
      <w:r>
        <w:rPr>
          <w:rFonts w:hint="eastAsia" w:ascii="宋体" w:hAnsi="宋体" w:cs="宋体"/>
          <w:kern w:val="0"/>
          <w:sz w:val="24"/>
          <w:szCs w:val="24"/>
          <w:lang w:bidi="ar"/>
        </w:rPr>
        <w:t xml:space="preserve"> 行业；制造商为</w:t>
      </w:r>
      <w:r>
        <w:rPr>
          <w:rFonts w:hint="eastAsia" w:ascii="宋体" w:hAnsi="宋体" w:cs="宋体"/>
          <w:kern w:val="0"/>
          <w:sz w:val="24"/>
          <w:szCs w:val="24"/>
          <w:u w:val="single"/>
          <w:lang w:bidi="ar"/>
        </w:rPr>
        <w:t xml:space="preserve">       （企业名称）</w:t>
      </w:r>
      <w:r>
        <w:rPr>
          <w:rFonts w:hint="eastAsia" w:ascii="宋体" w:hAnsi="宋体" w:cs="宋体"/>
          <w:kern w:val="0"/>
          <w:sz w:val="24"/>
          <w:szCs w:val="24"/>
          <w:lang w:bidi="ar"/>
        </w:rPr>
        <w:t xml:space="preserve">，从业人员 </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人，营业收入为</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 xml:space="preserve"> 万元，资产总额为 </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万元，属于</w:t>
      </w:r>
      <w:r>
        <w:rPr>
          <w:rFonts w:hint="eastAsia" w:ascii="宋体" w:hAnsi="宋体" w:cs="宋体"/>
          <w:kern w:val="0"/>
          <w:sz w:val="24"/>
          <w:szCs w:val="24"/>
          <w:u w:val="single"/>
          <w:lang w:bidi="ar"/>
        </w:rPr>
        <w:t xml:space="preserve">       </w:t>
      </w:r>
      <w:r>
        <w:rPr>
          <w:rFonts w:hint="eastAsia" w:ascii="宋体" w:hAnsi="宋体" w:cs="宋体"/>
          <w:kern w:val="0"/>
          <w:sz w:val="24"/>
          <w:szCs w:val="24"/>
          <w:lang w:bidi="ar"/>
        </w:rPr>
        <w:t xml:space="preserve">（中型企业、小型 企业、微型企业）； </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以上企业，不属于大企业的分支机构，不存在控股股东为大企业的情形，也不存在与大企业的负责人为同一人的情形。</w:t>
      </w:r>
    </w:p>
    <w:p>
      <w:pPr>
        <w:widowControl/>
        <w:spacing w:line="480" w:lineRule="exact"/>
        <w:ind w:firstLine="480" w:firstLineChars="200"/>
        <w:jc w:val="left"/>
        <w:rPr>
          <w:rFonts w:ascii="宋体" w:hAnsi="宋体" w:cs="宋体"/>
          <w:sz w:val="24"/>
          <w:szCs w:val="24"/>
        </w:rPr>
      </w:pPr>
      <w:r>
        <w:rPr>
          <w:rFonts w:hint="eastAsia" w:ascii="宋体" w:hAnsi="宋体" w:cs="宋体"/>
          <w:kern w:val="0"/>
          <w:sz w:val="24"/>
          <w:szCs w:val="24"/>
          <w:lang w:bidi="ar"/>
        </w:rPr>
        <w:t xml:space="preserve">本企业对上述声明内容的真实性负责。如有虚假，将依法承担相应责任。 </w:t>
      </w:r>
    </w:p>
    <w:p>
      <w:pPr>
        <w:widowControl/>
        <w:spacing w:line="480" w:lineRule="exact"/>
        <w:ind w:firstLine="480" w:firstLineChars="200"/>
        <w:jc w:val="right"/>
        <w:rPr>
          <w:rFonts w:ascii="宋体" w:hAnsi="宋体" w:cs="宋体"/>
          <w:kern w:val="0"/>
          <w:sz w:val="24"/>
          <w:szCs w:val="24"/>
          <w:lang w:bidi="ar"/>
        </w:rPr>
      </w:pPr>
    </w:p>
    <w:p>
      <w:pPr>
        <w:widowControl/>
        <w:spacing w:line="480" w:lineRule="exact"/>
        <w:ind w:firstLine="480" w:firstLineChars="200"/>
        <w:jc w:val="right"/>
        <w:rPr>
          <w:rFonts w:ascii="宋体" w:hAnsi="宋体" w:cs="宋体"/>
          <w:kern w:val="0"/>
          <w:sz w:val="24"/>
          <w:szCs w:val="24"/>
          <w:lang w:bidi="ar"/>
        </w:rPr>
      </w:pPr>
    </w:p>
    <w:p>
      <w:pPr>
        <w:widowControl/>
        <w:spacing w:line="480" w:lineRule="exact"/>
        <w:ind w:firstLine="480" w:firstLineChars="200"/>
        <w:jc w:val="right"/>
        <w:rPr>
          <w:rFonts w:ascii="宋体" w:hAnsi="宋体" w:cs="宋体"/>
          <w:sz w:val="24"/>
          <w:szCs w:val="24"/>
        </w:rPr>
      </w:pPr>
      <w:r>
        <w:rPr>
          <w:rFonts w:hint="eastAsia" w:ascii="宋体" w:hAnsi="宋体" w:cs="宋体"/>
          <w:kern w:val="0"/>
          <w:sz w:val="24"/>
          <w:szCs w:val="24"/>
          <w:lang w:bidi="ar"/>
        </w:rPr>
        <w:t xml:space="preserve">企业名称（盖章）： </w:t>
      </w:r>
    </w:p>
    <w:p>
      <w:pPr>
        <w:widowControl/>
        <w:spacing w:line="480" w:lineRule="exact"/>
        <w:ind w:firstLine="480" w:firstLineChars="200"/>
        <w:jc w:val="right"/>
        <w:rPr>
          <w:rFonts w:ascii="宋体" w:hAnsi="宋体" w:cs="宋体"/>
          <w:kern w:val="0"/>
          <w:sz w:val="24"/>
          <w:szCs w:val="24"/>
          <w:lang w:bidi="ar"/>
        </w:rPr>
      </w:pPr>
      <w:r>
        <w:rPr>
          <w:rFonts w:hint="eastAsia" w:ascii="宋体" w:hAnsi="宋体" w:cs="宋体"/>
          <w:kern w:val="0"/>
          <w:sz w:val="24"/>
          <w:szCs w:val="24"/>
          <w:lang w:bidi="ar"/>
        </w:rPr>
        <w:t xml:space="preserve">日 期： </w:t>
      </w:r>
    </w:p>
    <w:p>
      <w:pPr>
        <w:widowControl/>
        <w:spacing w:line="480" w:lineRule="exact"/>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注：</w:t>
      </w:r>
      <w:r>
        <w:rPr>
          <w:rFonts w:ascii="宋体" w:hAnsi="宋体" w:cs="宋体"/>
          <w:kern w:val="0"/>
          <w:sz w:val="24"/>
          <w:szCs w:val="24"/>
          <w:lang w:bidi="ar"/>
        </w:rPr>
        <w:t>1</w:t>
      </w:r>
      <w:r>
        <w:rPr>
          <w:rFonts w:hint="eastAsia" w:ascii="宋体" w:hAnsi="宋体" w:cs="宋体"/>
          <w:kern w:val="0"/>
          <w:sz w:val="24"/>
          <w:szCs w:val="24"/>
          <w:lang w:bidi="ar"/>
        </w:rPr>
        <w:t>从业人员、营业收入、资产总额填报上一年度数据，无上一年度数据的新成立企业可不填报。</w:t>
      </w: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exact"/>
        <w:ind w:firstLine="643" w:firstLineChars="200"/>
        <w:jc w:val="center"/>
        <w:outlineLvl w:val="3"/>
        <w:rPr>
          <w:rFonts w:ascii="Calibri" w:hAnsi="Calibri" w:eastAsia="仿宋_GB2312"/>
          <w:b/>
          <w:sz w:val="32"/>
          <w:szCs w:val="32"/>
        </w:rPr>
      </w:pPr>
    </w:p>
    <w:p>
      <w:pPr>
        <w:snapToGrid w:val="0"/>
        <w:spacing w:line="360" w:lineRule="auto"/>
        <w:rPr>
          <w:rFonts w:hAnsi="宋体" w:cs="宋体"/>
          <w:bCs/>
          <w:sz w:val="24"/>
        </w:rPr>
      </w:pPr>
    </w:p>
    <w:sectPr>
      <w:pgSz w:w="11906" w:h="16838"/>
      <w:pgMar w:top="1361" w:right="1361" w:bottom="1361" w:left="1361" w:header="851" w:footer="992" w:gutter="0"/>
      <w:pgNumType w:fmt="decimal"/>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20B0604020202020204"/>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8306077"/>
                          </w:sdtPr>
                          <w:sdtContent>
                            <w:p>
                              <w:pPr>
                                <w:pStyle w:val="16"/>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68306077"/>
                    </w:sdtPr>
                    <w:sdtContent>
                      <w:p>
                        <w:pPr>
                          <w:pStyle w:val="16"/>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8"/>
                    </w:pP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484AF"/>
    <w:multiLevelType w:val="singleLevel"/>
    <w:tmpl w:val="1B2484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9774A2"/>
    <w:rsid w:val="000002DB"/>
    <w:rsid w:val="00001D82"/>
    <w:rsid w:val="00002A52"/>
    <w:rsid w:val="000042EC"/>
    <w:rsid w:val="00015F72"/>
    <w:rsid w:val="000166B6"/>
    <w:rsid w:val="00017FD8"/>
    <w:rsid w:val="00023623"/>
    <w:rsid w:val="00025A99"/>
    <w:rsid w:val="00027B39"/>
    <w:rsid w:val="0003051F"/>
    <w:rsid w:val="00030DA8"/>
    <w:rsid w:val="00036009"/>
    <w:rsid w:val="00036EEA"/>
    <w:rsid w:val="00043AC5"/>
    <w:rsid w:val="00044DBE"/>
    <w:rsid w:val="0005215C"/>
    <w:rsid w:val="00055240"/>
    <w:rsid w:val="00055A45"/>
    <w:rsid w:val="000566C9"/>
    <w:rsid w:val="00070FF0"/>
    <w:rsid w:val="0007455F"/>
    <w:rsid w:val="00081220"/>
    <w:rsid w:val="00085D89"/>
    <w:rsid w:val="00090447"/>
    <w:rsid w:val="00091EFF"/>
    <w:rsid w:val="00093884"/>
    <w:rsid w:val="000948F0"/>
    <w:rsid w:val="00094B1C"/>
    <w:rsid w:val="00097FC6"/>
    <w:rsid w:val="000A0A46"/>
    <w:rsid w:val="000A0E99"/>
    <w:rsid w:val="000A1298"/>
    <w:rsid w:val="000A17E8"/>
    <w:rsid w:val="000A340B"/>
    <w:rsid w:val="000A5DE3"/>
    <w:rsid w:val="000A7B6C"/>
    <w:rsid w:val="000B1163"/>
    <w:rsid w:val="000B5EAE"/>
    <w:rsid w:val="000C0D5B"/>
    <w:rsid w:val="000C4C1D"/>
    <w:rsid w:val="000C5659"/>
    <w:rsid w:val="000C5D7C"/>
    <w:rsid w:val="000D06E6"/>
    <w:rsid w:val="000D227A"/>
    <w:rsid w:val="000D23CA"/>
    <w:rsid w:val="000D4087"/>
    <w:rsid w:val="000E0921"/>
    <w:rsid w:val="000E3384"/>
    <w:rsid w:val="000E4DC9"/>
    <w:rsid w:val="000E6A5E"/>
    <w:rsid w:val="000E789F"/>
    <w:rsid w:val="000F190C"/>
    <w:rsid w:val="000F1B53"/>
    <w:rsid w:val="000F4059"/>
    <w:rsid w:val="000F48C2"/>
    <w:rsid w:val="000F5E9E"/>
    <w:rsid w:val="000F7321"/>
    <w:rsid w:val="00101F12"/>
    <w:rsid w:val="00102434"/>
    <w:rsid w:val="00102BAB"/>
    <w:rsid w:val="00102EAB"/>
    <w:rsid w:val="00103D95"/>
    <w:rsid w:val="001059B2"/>
    <w:rsid w:val="00106FD4"/>
    <w:rsid w:val="0011120C"/>
    <w:rsid w:val="00113ACE"/>
    <w:rsid w:val="00116F02"/>
    <w:rsid w:val="00117380"/>
    <w:rsid w:val="00117F46"/>
    <w:rsid w:val="001262ED"/>
    <w:rsid w:val="00127016"/>
    <w:rsid w:val="00130447"/>
    <w:rsid w:val="00131D11"/>
    <w:rsid w:val="0013260E"/>
    <w:rsid w:val="00133E95"/>
    <w:rsid w:val="001400FF"/>
    <w:rsid w:val="00140EFC"/>
    <w:rsid w:val="00145127"/>
    <w:rsid w:val="00150846"/>
    <w:rsid w:val="00150C7E"/>
    <w:rsid w:val="001551D7"/>
    <w:rsid w:val="001572B3"/>
    <w:rsid w:val="001579F1"/>
    <w:rsid w:val="0016062F"/>
    <w:rsid w:val="001612A8"/>
    <w:rsid w:val="00161A25"/>
    <w:rsid w:val="0016779B"/>
    <w:rsid w:val="001715EA"/>
    <w:rsid w:val="0017211A"/>
    <w:rsid w:val="00177DBA"/>
    <w:rsid w:val="00182B7C"/>
    <w:rsid w:val="0018482C"/>
    <w:rsid w:val="001900BC"/>
    <w:rsid w:val="00192F55"/>
    <w:rsid w:val="001949FA"/>
    <w:rsid w:val="001963A4"/>
    <w:rsid w:val="001A125D"/>
    <w:rsid w:val="001A3E1E"/>
    <w:rsid w:val="001A6497"/>
    <w:rsid w:val="001B06C8"/>
    <w:rsid w:val="001B278D"/>
    <w:rsid w:val="001B5F39"/>
    <w:rsid w:val="001B73D9"/>
    <w:rsid w:val="001C102B"/>
    <w:rsid w:val="001C1862"/>
    <w:rsid w:val="001C42A5"/>
    <w:rsid w:val="001C5E57"/>
    <w:rsid w:val="001D008D"/>
    <w:rsid w:val="001D4250"/>
    <w:rsid w:val="001E0E9D"/>
    <w:rsid w:val="001E1862"/>
    <w:rsid w:val="001E368C"/>
    <w:rsid w:val="001E36DE"/>
    <w:rsid w:val="001E3B85"/>
    <w:rsid w:val="001E5A0D"/>
    <w:rsid w:val="001E5DE8"/>
    <w:rsid w:val="001E7C30"/>
    <w:rsid w:val="001E7E35"/>
    <w:rsid w:val="001F4BCF"/>
    <w:rsid w:val="001F5230"/>
    <w:rsid w:val="001F664D"/>
    <w:rsid w:val="002009DC"/>
    <w:rsid w:val="002033B2"/>
    <w:rsid w:val="0020402B"/>
    <w:rsid w:val="00205E39"/>
    <w:rsid w:val="00211FD8"/>
    <w:rsid w:val="00213953"/>
    <w:rsid w:val="00217E90"/>
    <w:rsid w:val="00222BEF"/>
    <w:rsid w:val="00224505"/>
    <w:rsid w:val="00225634"/>
    <w:rsid w:val="00225ED7"/>
    <w:rsid w:val="002309AC"/>
    <w:rsid w:val="002343CF"/>
    <w:rsid w:val="002349FC"/>
    <w:rsid w:val="0023578F"/>
    <w:rsid w:val="00237330"/>
    <w:rsid w:val="00243B82"/>
    <w:rsid w:val="00243D1F"/>
    <w:rsid w:val="00244D5C"/>
    <w:rsid w:val="00245287"/>
    <w:rsid w:val="002468C1"/>
    <w:rsid w:val="00246D2A"/>
    <w:rsid w:val="00250ECD"/>
    <w:rsid w:val="00251CC5"/>
    <w:rsid w:val="00253D9C"/>
    <w:rsid w:val="00256AA5"/>
    <w:rsid w:val="0026244A"/>
    <w:rsid w:val="00262B10"/>
    <w:rsid w:val="0026515A"/>
    <w:rsid w:val="0027245F"/>
    <w:rsid w:val="0027608C"/>
    <w:rsid w:val="0028234A"/>
    <w:rsid w:val="0028429C"/>
    <w:rsid w:val="00287D32"/>
    <w:rsid w:val="0029025C"/>
    <w:rsid w:val="002911D9"/>
    <w:rsid w:val="002A0845"/>
    <w:rsid w:val="002A1E94"/>
    <w:rsid w:val="002A30EA"/>
    <w:rsid w:val="002A60DA"/>
    <w:rsid w:val="002B0DF7"/>
    <w:rsid w:val="002B1B4B"/>
    <w:rsid w:val="002B3932"/>
    <w:rsid w:val="002B4E4D"/>
    <w:rsid w:val="002C2AD3"/>
    <w:rsid w:val="002C427E"/>
    <w:rsid w:val="002C72B7"/>
    <w:rsid w:val="002D00FA"/>
    <w:rsid w:val="002D1AE3"/>
    <w:rsid w:val="002D7CBB"/>
    <w:rsid w:val="002E03F8"/>
    <w:rsid w:val="002E358E"/>
    <w:rsid w:val="002E3BB6"/>
    <w:rsid w:val="002E5D42"/>
    <w:rsid w:val="002E7B2E"/>
    <w:rsid w:val="002F1519"/>
    <w:rsid w:val="002F36AC"/>
    <w:rsid w:val="002F5F02"/>
    <w:rsid w:val="00304DC0"/>
    <w:rsid w:val="00305179"/>
    <w:rsid w:val="003057F8"/>
    <w:rsid w:val="00307C58"/>
    <w:rsid w:val="003105D9"/>
    <w:rsid w:val="003157AA"/>
    <w:rsid w:val="003178C0"/>
    <w:rsid w:val="00322A65"/>
    <w:rsid w:val="00324B5A"/>
    <w:rsid w:val="003255ED"/>
    <w:rsid w:val="003279CB"/>
    <w:rsid w:val="0033133D"/>
    <w:rsid w:val="00331869"/>
    <w:rsid w:val="00332FE1"/>
    <w:rsid w:val="003336C6"/>
    <w:rsid w:val="00334475"/>
    <w:rsid w:val="00334FF9"/>
    <w:rsid w:val="003352A8"/>
    <w:rsid w:val="003359EA"/>
    <w:rsid w:val="00335D00"/>
    <w:rsid w:val="00336951"/>
    <w:rsid w:val="00336F93"/>
    <w:rsid w:val="003375EB"/>
    <w:rsid w:val="00341D13"/>
    <w:rsid w:val="0034407C"/>
    <w:rsid w:val="00346147"/>
    <w:rsid w:val="00347233"/>
    <w:rsid w:val="00347700"/>
    <w:rsid w:val="003477CE"/>
    <w:rsid w:val="003532F0"/>
    <w:rsid w:val="00353452"/>
    <w:rsid w:val="003541F9"/>
    <w:rsid w:val="00361FA3"/>
    <w:rsid w:val="00362F99"/>
    <w:rsid w:val="00366E25"/>
    <w:rsid w:val="00370CE1"/>
    <w:rsid w:val="0037430A"/>
    <w:rsid w:val="00375AB5"/>
    <w:rsid w:val="003802D0"/>
    <w:rsid w:val="00382229"/>
    <w:rsid w:val="003825F9"/>
    <w:rsid w:val="00382688"/>
    <w:rsid w:val="00382879"/>
    <w:rsid w:val="00386F43"/>
    <w:rsid w:val="0038761C"/>
    <w:rsid w:val="00390768"/>
    <w:rsid w:val="00392F53"/>
    <w:rsid w:val="003973D3"/>
    <w:rsid w:val="003A0173"/>
    <w:rsid w:val="003A07FB"/>
    <w:rsid w:val="003A1057"/>
    <w:rsid w:val="003A3B64"/>
    <w:rsid w:val="003A40DD"/>
    <w:rsid w:val="003A4ED8"/>
    <w:rsid w:val="003A592A"/>
    <w:rsid w:val="003A5CA9"/>
    <w:rsid w:val="003A71DA"/>
    <w:rsid w:val="003A7B17"/>
    <w:rsid w:val="003A7F0E"/>
    <w:rsid w:val="003B765A"/>
    <w:rsid w:val="003B77B5"/>
    <w:rsid w:val="003B7E43"/>
    <w:rsid w:val="003C3486"/>
    <w:rsid w:val="003C4210"/>
    <w:rsid w:val="003C54AD"/>
    <w:rsid w:val="003D20E9"/>
    <w:rsid w:val="003D2C0F"/>
    <w:rsid w:val="003D2F37"/>
    <w:rsid w:val="003D33F4"/>
    <w:rsid w:val="003D4DFF"/>
    <w:rsid w:val="003D680C"/>
    <w:rsid w:val="003E1F03"/>
    <w:rsid w:val="003E2815"/>
    <w:rsid w:val="003E33A4"/>
    <w:rsid w:val="003E578F"/>
    <w:rsid w:val="003F2D13"/>
    <w:rsid w:val="003F6982"/>
    <w:rsid w:val="003F7E8F"/>
    <w:rsid w:val="00400527"/>
    <w:rsid w:val="004007D5"/>
    <w:rsid w:val="00401030"/>
    <w:rsid w:val="00401BA6"/>
    <w:rsid w:val="004061F1"/>
    <w:rsid w:val="00407EB5"/>
    <w:rsid w:val="00417A77"/>
    <w:rsid w:val="00420759"/>
    <w:rsid w:val="004212EC"/>
    <w:rsid w:val="00422DF4"/>
    <w:rsid w:val="004243A1"/>
    <w:rsid w:val="00424BEC"/>
    <w:rsid w:val="004258AB"/>
    <w:rsid w:val="00426495"/>
    <w:rsid w:val="00430DEC"/>
    <w:rsid w:val="00433E05"/>
    <w:rsid w:val="00440B93"/>
    <w:rsid w:val="0044436C"/>
    <w:rsid w:val="00445A94"/>
    <w:rsid w:val="004460AC"/>
    <w:rsid w:val="004465B8"/>
    <w:rsid w:val="0044686A"/>
    <w:rsid w:val="00450F01"/>
    <w:rsid w:val="00451AA3"/>
    <w:rsid w:val="00452730"/>
    <w:rsid w:val="004539B8"/>
    <w:rsid w:val="00456F00"/>
    <w:rsid w:val="004636BC"/>
    <w:rsid w:val="00463958"/>
    <w:rsid w:val="00464169"/>
    <w:rsid w:val="004668F3"/>
    <w:rsid w:val="00466E01"/>
    <w:rsid w:val="004710DE"/>
    <w:rsid w:val="00471929"/>
    <w:rsid w:val="00473582"/>
    <w:rsid w:val="0047417D"/>
    <w:rsid w:val="0047437C"/>
    <w:rsid w:val="00476466"/>
    <w:rsid w:val="00480617"/>
    <w:rsid w:val="004821F7"/>
    <w:rsid w:val="004842D2"/>
    <w:rsid w:val="00484D23"/>
    <w:rsid w:val="00484FBC"/>
    <w:rsid w:val="00485371"/>
    <w:rsid w:val="00486A1C"/>
    <w:rsid w:val="00486BFE"/>
    <w:rsid w:val="00491E48"/>
    <w:rsid w:val="00492985"/>
    <w:rsid w:val="0049437D"/>
    <w:rsid w:val="004A0084"/>
    <w:rsid w:val="004A3E59"/>
    <w:rsid w:val="004A58A6"/>
    <w:rsid w:val="004A68D6"/>
    <w:rsid w:val="004A76C1"/>
    <w:rsid w:val="004B0461"/>
    <w:rsid w:val="004B1E65"/>
    <w:rsid w:val="004B296E"/>
    <w:rsid w:val="004B2AE2"/>
    <w:rsid w:val="004B5A97"/>
    <w:rsid w:val="004C1264"/>
    <w:rsid w:val="004C1AEE"/>
    <w:rsid w:val="004C1D04"/>
    <w:rsid w:val="004C3C2A"/>
    <w:rsid w:val="004C3DAA"/>
    <w:rsid w:val="004C7C5C"/>
    <w:rsid w:val="004D0230"/>
    <w:rsid w:val="004D07DE"/>
    <w:rsid w:val="004D0E44"/>
    <w:rsid w:val="004D2D60"/>
    <w:rsid w:val="004D54A8"/>
    <w:rsid w:val="004D6390"/>
    <w:rsid w:val="004D7782"/>
    <w:rsid w:val="004D7D62"/>
    <w:rsid w:val="004E17FB"/>
    <w:rsid w:val="004E6989"/>
    <w:rsid w:val="004E7156"/>
    <w:rsid w:val="004F1BB0"/>
    <w:rsid w:val="004F2B00"/>
    <w:rsid w:val="004F4E05"/>
    <w:rsid w:val="004F728F"/>
    <w:rsid w:val="0050136A"/>
    <w:rsid w:val="00502098"/>
    <w:rsid w:val="0051369E"/>
    <w:rsid w:val="00514318"/>
    <w:rsid w:val="00514F33"/>
    <w:rsid w:val="005155E4"/>
    <w:rsid w:val="005159F8"/>
    <w:rsid w:val="005162DA"/>
    <w:rsid w:val="0053021E"/>
    <w:rsid w:val="00533173"/>
    <w:rsid w:val="005360B9"/>
    <w:rsid w:val="00540E58"/>
    <w:rsid w:val="00543070"/>
    <w:rsid w:val="005439D8"/>
    <w:rsid w:val="00545C0B"/>
    <w:rsid w:val="00546D53"/>
    <w:rsid w:val="0055280C"/>
    <w:rsid w:val="0056359D"/>
    <w:rsid w:val="00563C7D"/>
    <w:rsid w:val="00567CE9"/>
    <w:rsid w:val="00571B54"/>
    <w:rsid w:val="00571FC2"/>
    <w:rsid w:val="005731A9"/>
    <w:rsid w:val="00573E92"/>
    <w:rsid w:val="005743F5"/>
    <w:rsid w:val="005757A4"/>
    <w:rsid w:val="0057584B"/>
    <w:rsid w:val="005760EC"/>
    <w:rsid w:val="00576EF0"/>
    <w:rsid w:val="00580908"/>
    <w:rsid w:val="00580AD8"/>
    <w:rsid w:val="00580BDB"/>
    <w:rsid w:val="00581813"/>
    <w:rsid w:val="00581873"/>
    <w:rsid w:val="00586644"/>
    <w:rsid w:val="00586D2D"/>
    <w:rsid w:val="00593295"/>
    <w:rsid w:val="00593330"/>
    <w:rsid w:val="00593F64"/>
    <w:rsid w:val="005A1DCE"/>
    <w:rsid w:val="005A4CC3"/>
    <w:rsid w:val="005B0434"/>
    <w:rsid w:val="005B20A0"/>
    <w:rsid w:val="005B3394"/>
    <w:rsid w:val="005B3D11"/>
    <w:rsid w:val="005C00A2"/>
    <w:rsid w:val="005C2F7A"/>
    <w:rsid w:val="005C3E4F"/>
    <w:rsid w:val="005D2094"/>
    <w:rsid w:val="005D41E3"/>
    <w:rsid w:val="005D5673"/>
    <w:rsid w:val="005D6ACE"/>
    <w:rsid w:val="005D710C"/>
    <w:rsid w:val="005E0A42"/>
    <w:rsid w:val="005E1AED"/>
    <w:rsid w:val="005E1D4C"/>
    <w:rsid w:val="005E20E6"/>
    <w:rsid w:val="005E3380"/>
    <w:rsid w:val="005E341D"/>
    <w:rsid w:val="005E6B5D"/>
    <w:rsid w:val="005F1D4E"/>
    <w:rsid w:val="005F4171"/>
    <w:rsid w:val="005F4E5D"/>
    <w:rsid w:val="00601E9D"/>
    <w:rsid w:val="0060533C"/>
    <w:rsid w:val="00607ECD"/>
    <w:rsid w:val="0061231E"/>
    <w:rsid w:val="006128CA"/>
    <w:rsid w:val="00613932"/>
    <w:rsid w:val="00615A55"/>
    <w:rsid w:val="00617E4D"/>
    <w:rsid w:val="00623B76"/>
    <w:rsid w:val="00625A64"/>
    <w:rsid w:val="00626B2D"/>
    <w:rsid w:val="00630E43"/>
    <w:rsid w:val="00630F20"/>
    <w:rsid w:val="0063102F"/>
    <w:rsid w:val="00632C09"/>
    <w:rsid w:val="006337B8"/>
    <w:rsid w:val="006359E3"/>
    <w:rsid w:val="0063687D"/>
    <w:rsid w:val="006400B1"/>
    <w:rsid w:val="00641EA9"/>
    <w:rsid w:val="00643A1B"/>
    <w:rsid w:val="006441D6"/>
    <w:rsid w:val="00646E60"/>
    <w:rsid w:val="00646ED1"/>
    <w:rsid w:val="00647E28"/>
    <w:rsid w:val="006501DB"/>
    <w:rsid w:val="006566C3"/>
    <w:rsid w:val="0066647B"/>
    <w:rsid w:val="0066670E"/>
    <w:rsid w:val="00667482"/>
    <w:rsid w:val="00676ACB"/>
    <w:rsid w:val="00677B13"/>
    <w:rsid w:val="00677FCA"/>
    <w:rsid w:val="006803E3"/>
    <w:rsid w:val="00684222"/>
    <w:rsid w:val="00684C9E"/>
    <w:rsid w:val="00684E4A"/>
    <w:rsid w:val="006917A6"/>
    <w:rsid w:val="00692153"/>
    <w:rsid w:val="00694CD5"/>
    <w:rsid w:val="00696DC8"/>
    <w:rsid w:val="006A2421"/>
    <w:rsid w:val="006A4DBB"/>
    <w:rsid w:val="006A5232"/>
    <w:rsid w:val="006A6632"/>
    <w:rsid w:val="006B4E33"/>
    <w:rsid w:val="006B67A7"/>
    <w:rsid w:val="006C25D0"/>
    <w:rsid w:val="006C74C1"/>
    <w:rsid w:val="006D3280"/>
    <w:rsid w:val="006D61C4"/>
    <w:rsid w:val="006D7004"/>
    <w:rsid w:val="006E1195"/>
    <w:rsid w:val="006E1F56"/>
    <w:rsid w:val="006E521A"/>
    <w:rsid w:val="006E554E"/>
    <w:rsid w:val="006F00B9"/>
    <w:rsid w:val="006F3B42"/>
    <w:rsid w:val="006F3EBB"/>
    <w:rsid w:val="006F7A47"/>
    <w:rsid w:val="00704F20"/>
    <w:rsid w:val="00707C4A"/>
    <w:rsid w:val="00711EF4"/>
    <w:rsid w:val="007151F8"/>
    <w:rsid w:val="007177DF"/>
    <w:rsid w:val="00717F43"/>
    <w:rsid w:val="00720097"/>
    <w:rsid w:val="00720C81"/>
    <w:rsid w:val="00727BB5"/>
    <w:rsid w:val="00733168"/>
    <w:rsid w:val="00737A4D"/>
    <w:rsid w:val="00740293"/>
    <w:rsid w:val="00741A25"/>
    <w:rsid w:val="00742C90"/>
    <w:rsid w:val="007446C7"/>
    <w:rsid w:val="0074766D"/>
    <w:rsid w:val="00752290"/>
    <w:rsid w:val="007538B8"/>
    <w:rsid w:val="00754F63"/>
    <w:rsid w:val="00760351"/>
    <w:rsid w:val="00761E36"/>
    <w:rsid w:val="0076208E"/>
    <w:rsid w:val="00763BBA"/>
    <w:rsid w:val="00765655"/>
    <w:rsid w:val="00765D55"/>
    <w:rsid w:val="00780A8F"/>
    <w:rsid w:val="007826DA"/>
    <w:rsid w:val="00784C74"/>
    <w:rsid w:val="0078556D"/>
    <w:rsid w:val="00787FDA"/>
    <w:rsid w:val="007916D1"/>
    <w:rsid w:val="00791874"/>
    <w:rsid w:val="0079334F"/>
    <w:rsid w:val="007974C4"/>
    <w:rsid w:val="007976BA"/>
    <w:rsid w:val="007A14CD"/>
    <w:rsid w:val="007A285F"/>
    <w:rsid w:val="007A3C7D"/>
    <w:rsid w:val="007A7103"/>
    <w:rsid w:val="007B0544"/>
    <w:rsid w:val="007B2D61"/>
    <w:rsid w:val="007B4171"/>
    <w:rsid w:val="007B494D"/>
    <w:rsid w:val="007B6009"/>
    <w:rsid w:val="007B66D3"/>
    <w:rsid w:val="007C034C"/>
    <w:rsid w:val="007C48EB"/>
    <w:rsid w:val="007D1423"/>
    <w:rsid w:val="007E249C"/>
    <w:rsid w:val="007E3220"/>
    <w:rsid w:val="007F0DFE"/>
    <w:rsid w:val="007F156D"/>
    <w:rsid w:val="007F31D1"/>
    <w:rsid w:val="00801FF9"/>
    <w:rsid w:val="0080235F"/>
    <w:rsid w:val="00803C63"/>
    <w:rsid w:val="0080669E"/>
    <w:rsid w:val="00806CEA"/>
    <w:rsid w:val="00807D6A"/>
    <w:rsid w:val="00807FB4"/>
    <w:rsid w:val="008101FA"/>
    <w:rsid w:val="008139CA"/>
    <w:rsid w:val="00815094"/>
    <w:rsid w:val="00817A61"/>
    <w:rsid w:val="00820EC1"/>
    <w:rsid w:val="00821AD3"/>
    <w:rsid w:val="00825DE2"/>
    <w:rsid w:val="00830B3D"/>
    <w:rsid w:val="008417C4"/>
    <w:rsid w:val="00841A9B"/>
    <w:rsid w:val="0084254F"/>
    <w:rsid w:val="008431D8"/>
    <w:rsid w:val="00843411"/>
    <w:rsid w:val="00851CC9"/>
    <w:rsid w:val="0085254D"/>
    <w:rsid w:val="008537EA"/>
    <w:rsid w:val="0085477C"/>
    <w:rsid w:val="0085492E"/>
    <w:rsid w:val="00855247"/>
    <w:rsid w:val="00860B29"/>
    <w:rsid w:val="00861068"/>
    <w:rsid w:val="008613B2"/>
    <w:rsid w:val="008617BA"/>
    <w:rsid w:val="0086181A"/>
    <w:rsid w:val="0086246F"/>
    <w:rsid w:val="008668DB"/>
    <w:rsid w:val="0086707B"/>
    <w:rsid w:val="00872481"/>
    <w:rsid w:val="00874E04"/>
    <w:rsid w:val="00877B20"/>
    <w:rsid w:val="0088323E"/>
    <w:rsid w:val="00885031"/>
    <w:rsid w:val="0088669D"/>
    <w:rsid w:val="00887962"/>
    <w:rsid w:val="00891E70"/>
    <w:rsid w:val="0089566B"/>
    <w:rsid w:val="00896D22"/>
    <w:rsid w:val="00897F6E"/>
    <w:rsid w:val="008A17DE"/>
    <w:rsid w:val="008A29F9"/>
    <w:rsid w:val="008A35B6"/>
    <w:rsid w:val="008A491B"/>
    <w:rsid w:val="008A5A30"/>
    <w:rsid w:val="008A64A0"/>
    <w:rsid w:val="008A65D1"/>
    <w:rsid w:val="008B0B71"/>
    <w:rsid w:val="008B2351"/>
    <w:rsid w:val="008B32EE"/>
    <w:rsid w:val="008B425D"/>
    <w:rsid w:val="008B5B3E"/>
    <w:rsid w:val="008C1094"/>
    <w:rsid w:val="008C3310"/>
    <w:rsid w:val="008C4CE7"/>
    <w:rsid w:val="008D32BF"/>
    <w:rsid w:val="008D3434"/>
    <w:rsid w:val="008D60F5"/>
    <w:rsid w:val="008E1ED8"/>
    <w:rsid w:val="008E292C"/>
    <w:rsid w:val="008E2DD1"/>
    <w:rsid w:val="008E68A4"/>
    <w:rsid w:val="008F2299"/>
    <w:rsid w:val="008F309C"/>
    <w:rsid w:val="008F3315"/>
    <w:rsid w:val="008F64B0"/>
    <w:rsid w:val="00901A58"/>
    <w:rsid w:val="009045A8"/>
    <w:rsid w:val="009056D3"/>
    <w:rsid w:val="009100E7"/>
    <w:rsid w:val="009122CE"/>
    <w:rsid w:val="00913846"/>
    <w:rsid w:val="00917047"/>
    <w:rsid w:val="00917B6C"/>
    <w:rsid w:val="0092196A"/>
    <w:rsid w:val="00923750"/>
    <w:rsid w:val="00930400"/>
    <w:rsid w:val="00930637"/>
    <w:rsid w:val="00931C21"/>
    <w:rsid w:val="00944233"/>
    <w:rsid w:val="0094566F"/>
    <w:rsid w:val="00945CE4"/>
    <w:rsid w:val="009474A5"/>
    <w:rsid w:val="009475F3"/>
    <w:rsid w:val="009478DB"/>
    <w:rsid w:val="00950288"/>
    <w:rsid w:val="00950A5D"/>
    <w:rsid w:val="009525D6"/>
    <w:rsid w:val="00954535"/>
    <w:rsid w:val="00962629"/>
    <w:rsid w:val="00970B9A"/>
    <w:rsid w:val="00971BB0"/>
    <w:rsid w:val="00971E3A"/>
    <w:rsid w:val="009721F8"/>
    <w:rsid w:val="009755FA"/>
    <w:rsid w:val="0097569D"/>
    <w:rsid w:val="00975EA6"/>
    <w:rsid w:val="009774A2"/>
    <w:rsid w:val="00980B47"/>
    <w:rsid w:val="0098246A"/>
    <w:rsid w:val="009829D7"/>
    <w:rsid w:val="009840C2"/>
    <w:rsid w:val="00984251"/>
    <w:rsid w:val="0098574C"/>
    <w:rsid w:val="0098595B"/>
    <w:rsid w:val="009863B0"/>
    <w:rsid w:val="009869BF"/>
    <w:rsid w:val="00987707"/>
    <w:rsid w:val="00991DB5"/>
    <w:rsid w:val="009927AE"/>
    <w:rsid w:val="00992F44"/>
    <w:rsid w:val="009A2BD6"/>
    <w:rsid w:val="009B0077"/>
    <w:rsid w:val="009B23D1"/>
    <w:rsid w:val="009B2883"/>
    <w:rsid w:val="009B2CA6"/>
    <w:rsid w:val="009B450C"/>
    <w:rsid w:val="009B6C6D"/>
    <w:rsid w:val="009B728B"/>
    <w:rsid w:val="009C46A2"/>
    <w:rsid w:val="009C6CDA"/>
    <w:rsid w:val="009C712F"/>
    <w:rsid w:val="009C7A26"/>
    <w:rsid w:val="009D1FB1"/>
    <w:rsid w:val="009D2724"/>
    <w:rsid w:val="009D66CF"/>
    <w:rsid w:val="009E1A26"/>
    <w:rsid w:val="009E42AE"/>
    <w:rsid w:val="009E780B"/>
    <w:rsid w:val="009F02C4"/>
    <w:rsid w:val="009F1021"/>
    <w:rsid w:val="009F1362"/>
    <w:rsid w:val="009F15E9"/>
    <w:rsid w:val="009F33DB"/>
    <w:rsid w:val="009F494B"/>
    <w:rsid w:val="009F6993"/>
    <w:rsid w:val="009F7155"/>
    <w:rsid w:val="00A01726"/>
    <w:rsid w:val="00A0605C"/>
    <w:rsid w:val="00A06E35"/>
    <w:rsid w:val="00A07EB7"/>
    <w:rsid w:val="00A15259"/>
    <w:rsid w:val="00A17F0F"/>
    <w:rsid w:val="00A22054"/>
    <w:rsid w:val="00A23372"/>
    <w:rsid w:val="00A256CD"/>
    <w:rsid w:val="00A2577F"/>
    <w:rsid w:val="00A27AA3"/>
    <w:rsid w:val="00A369E2"/>
    <w:rsid w:val="00A40652"/>
    <w:rsid w:val="00A41BBB"/>
    <w:rsid w:val="00A43CBC"/>
    <w:rsid w:val="00A45EA5"/>
    <w:rsid w:val="00A47A47"/>
    <w:rsid w:val="00A511FC"/>
    <w:rsid w:val="00A514FC"/>
    <w:rsid w:val="00A52058"/>
    <w:rsid w:val="00A547CC"/>
    <w:rsid w:val="00A5509B"/>
    <w:rsid w:val="00A602F5"/>
    <w:rsid w:val="00A63EF0"/>
    <w:rsid w:val="00A65098"/>
    <w:rsid w:val="00A71F32"/>
    <w:rsid w:val="00A81AB5"/>
    <w:rsid w:val="00A82345"/>
    <w:rsid w:val="00A8391C"/>
    <w:rsid w:val="00A83D14"/>
    <w:rsid w:val="00A868A7"/>
    <w:rsid w:val="00A86E42"/>
    <w:rsid w:val="00A8704E"/>
    <w:rsid w:val="00A90FF0"/>
    <w:rsid w:val="00A94528"/>
    <w:rsid w:val="00A95317"/>
    <w:rsid w:val="00A97D13"/>
    <w:rsid w:val="00AA08FE"/>
    <w:rsid w:val="00AA199B"/>
    <w:rsid w:val="00AA3E61"/>
    <w:rsid w:val="00AA4B9F"/>
    <w:rsid w:val="00AB16C2"/>
    <w:rsid w:val="00AB1873"/>
    <w:rsid w:val="00AB4019"/>
    <w:rsid w:val="00AB4ACE"/>
    <w:rsid w:val="00AB76CB"/>
    <w:rsid w:val="00AC019A"/>
    <w:rsid w:val="00AC1ABF"/>
    <w:rsid w:val="00AC3F62"/>
    <w:rsid w:val="00AD1271"/>
    <w:rsid w:val="00AD4648"/>
    <w:rsid w:val="00AE01AE"/>
    <w:rsid w:val="00AE0A7E"/>
    <w:rsid w:val="00AE3FFC"/>
    <w:rsid w:val="00AE6058"/>
    <w:rsid w:val="00AF0B28"/>
    <w:rsid w:val="00AF191D"/>
    <w:rsid w:val="00AF427A"/>
    <w:rsid w:val="00AF5F6A"/>
    <w:rsid w:val="00B00714"/>
    <w:rsid w:val="00B013D1"/>
    <w:rsid w:val="00B01A17"/>
    <w:rsid w:val="00B02F46"/>
    <w:rsid w:val="00B03E15"/>
    <w:rsid w:val="00B10F12"/>
    <w:rsid w:val="00B1169D"/>
    <w:rsid w:val="00B130CC"/>
    <w:rsid w:val="00B15BE6"/>
    <w:rsid w:val="00B15EFA"/>
    <w:rsid w:val="00B177D6"/>
    <w:rsid w:val="00B17986"/>
    <w:rsid w:val="00B2115E"/>
    <w:rsid w:val="00B22F5D"/>
    <w:rsid w:val="00B233D7"/>
    <w:rsid w:val="00B2350F"/>
    <w:rsid w:val="00B3111F"/>
    <w:rsid w:val="00B31285"/>
    <w:rsid w:val="00B31D9B"/>
    <w:rsid w:val="00B31FDF"/>
    <w:rsid w:val="00B35FB1"/>
    <w:rsid w:val="00B370DB"/>
    <w:rsid w:val="00B40B17"/>
    <w:rsid w:val="00B40B53"/>
    <w:rsid w:val="00B41E47"/>
    <w:rsid w:val="00B41E98"/>
    <w:rsid w:val="00B45AF6"/>
    <w:rsid w:val="00B4775B"/>
    <w:rsid w:val="00B50B09"/>
    <w:rsid w:val="00B53E43"/>
    <w:rsid w:val="00B56400"/>
    <w:rsid w:val="00B62F3B"/>
    <w:rsid w:val="00B65FD7"/>
    <w:rsid w:val="00B66A58"/>
    <w:rsid w:val="00B66F9A"/>
    <w:rsid w:val="00B7011A"/>
    <w:rsid w:val="00B7123F"/>
    <w:rsid w:val="00B72CCC"/>
    <w:rsid w:val="00B76AE4"/>
    <w:rsid w:val="00B81F79"/>
    <w:rsid w:val="00B832BA"/>
    <w:rsid w:val="00B84C6F"/>
    <w:rsid w:val="00B91AAF"/>
    <w:rsid w:val="00B91B9C"/>
    <w:rsid w:val="00B92989"/>
    <w:rsid w:val="00B93CEF"/>
    <w:rsid w:val="00BA083E"/>
    <w:rsid w:val="00BA6231"/>
    <w:rsid w:val="00BA6D81"/>
    <w:rsid w:val="00BA78FF"/>
    <w:rsid w:val="00BA7C39"/>
    <w:rsid w:val="00BA7C55"/>
    <w:rsid w:val="00BB150C"/>
    <w:rsid w:val="00BC6323"/>
    <w:rsid w:val="00BC6F22"/>
    <w:rsid w:val="00BD11E7"/>
    <w:rsid w:val="00BD2353"/>
    <w:rsid w:val="00BD4CA1"/>
    <w:rsid w:val="00BD6734"/>
    <w:rsid w:val="00BD71AB"/>
    <w:rsid w:val="00BE4B74"/>
    <w:rsid w:val="00BE6736"/>
    <w:rsid w:val="00BE7EB0"/>
    <w:rsid w:val="00BF02D7"/>
    <w:rsid w:val="00BF508D"/>
    <w:rsid w:val="00BF6568"/>
    <w:rsid w:val="00C00477"/>
    <w:rsid w:val="00C01B48"/>
    <w:rsid w:val="00C041F6"/>
    <w:rsid w:val="00C04934"/>
    <w:rsid w:val="00C04EB0"/>
    <w:rsid w:val="00C075C8"/>
    <w:rsid w:val="00C078F6"/>
    <w:rsid w:val="00C07FC9"/>
    <w:rsid w:val="00C13F2B"/>
    <w:rsid w:val="00C222D8"/>
    <w:rsid w:val="00C23D72"/>
    <w:rsid w:val="00C2402A"/>
    <w:rsid w:val="00C25396"/>
    <w:rsid w:val="00C26263"/>
    <w:rsid w:val="00C314EB"/>
    <w:rsid w:val="00C31A64"/>
    <w:rsid w:val="00C35C06"/>
    <w:rsid w:val="00C37587"/>
    <w:rsid w:val="00C4535A"/>
    <w:rsid w:val="00C469B6"/>
    <w:rsid w:val="00C511A7"/>
    <w:rsid w:val="00C515D6"/>
    <w:rsid w:val="00C52AD7"/>
    <w:rsid w:val="00C52F77"/>
    <w:rsid w:val="00C5356D"/>
    <w:rsid w:val="00C5573C"/>
    <w:rsid w:val="00C57AD5"/>
    <w:rsid w:val="00C625CD"/>
    <w:rsid w:val="00C659BB"/>
    <w:rsid w:val="00C6639F"/>
    <w:rsid w:val="00C71850"/>
    <w:rsid w:val="00C72278"/>
    <w:rsid w:val="00C7697E"/>
    <w:rsid w:val="00C769FF"/>
    <w:rsid w:val="00C817D5"/>
    <w:rsid w:val="00C8235B"/>
    <w:rsid w:val="00C83A8E"/>
    <w:rsid w:val="00C8540C"/>
    <w:rsid w:val="00C93B9A"/>
    <w:rsid w:val="00C95DEE"/>
    <w:rsid w:val="00C973AC"/>
    <w:rsid w:val="00C97464"/>
    <w:rsid w:val="00CA15BC"/>
    <w:rsid w:val="00CA2E07"/>
    <w:rsid w:val="00CA7936"/>
    <w:rsid w:val="00CB2CCB"/>
    <w:rsid w:val="00CB7351"/>
    <w:rsid w:val="00CC263C"/>
    <w:rsid w:val="00CC26B1"/>
    <w:rsid w:val="00CC4CCE"/>
    <w:rsid w:val="00CD1729"/>
    <w:rsid w:val="00CD2F81"/>
    <w:rsid w:val="00CD6164"/>
    <w:rsid w:val="00CE0264"/>
    <w:rsid w:val="00CE1475"/>
    <w:rsid w:val="00CE148F"/>
    <w:rsid w:val="00CE191C"/>
    <w:rsid w:val="00CE1F67"/>
    <w:rsid w:val="00CE3861"/>
    <w:rsid w:val="00CE3C85"/>
    <w:rsid w:val="00CE3C96"/>
    <w:rsid w:val="00CE4CF2"/>
    <w:rsid w:val="00CE671B"/>
    <w:rsid w:val="00CE7F6D"/>
    <w:rsid w:val="00CF2EB7"/>
    <w:rsid w:val="00CF6530"/>
    <w:rsid w:val="00D04BFA"/>
    <w:rsid w:val="00D13898"/>
    <w:rsid w:val="00D143F8"/>
    <w:rsid w:val="00D15C10"/>
    <w:rsid w:val="00D15CFD"/>
    <w:rsid w:val="00D23F89"/>
    <w:rsid w:val="00D30C5C"/>
    <w:rsid w:val="00D30EA1"/>
    <w:rsid w:val="00D32C83"/>
    <w:rsid w:val="00D35727"/>
    <w:rsid w:val="00D42CE9"/>
    <w:rsid w:val="00D45E66"/>
    <w:rsid w:val="00D56F47"/>
    <w:rsid w:val="00D6404A"/>
    <w:rsid w:val="00D64069"/>
    <w:rsid w:val="00D64411"/>
    <w:rsid w:val="00D662B0"/>
    <w:rsid w:val="00D669CD"/>
    <w:rsid w:val="00D70791"/>
    <w:rsid w:val="00D70C38"/>
    <w:rsid w:val="00D72E5D"/>
    <w:rsid w:val="00D7385F"/>
    <w:rsid w:val="00D73FCC"/>
    <w:rsid w:val="00D7444F"/>
    <w:rsid w:val="00D763E0"/>
    <w:rsid w:val="00D77F5F"/>
    <w:rsid w:val="00D83F53"/>
    <w:rsid w:val="00D84ED6"/>
    <w:rsid w:val="00D85BE3"/>
    <w:rsid w:val="00D86627"/>
    <w:rsid w:val="00D866E4"/>
    <w:rsid w:val="00D87D1C"/>
    <w:rsid w:val="00D87E40"/>
    <w:rsid w:val="00D9045F"/>
    <w:rsid w:val="00D9268E"/>
    <w:rsid w:val="00D93345"/>
    <w:rsid w:val="00D95DC9"/>
    <w:rsid w:val="00D9757B"/>
    <w:rsid w:val="00DA0244"/>
    <w:rsid w:val="00DA26BE"/>
    <w:rsid w:val="00DB1540"/>
    <w:rsid w:val="00DB5C92"/>
    <w:rsid w:val="00DB5E14"/>
    <w:rsid w:val="00DB7A99"/>
    <w:rsid w:val="00DC033C"/>
    <w:rsid w:val="00DD5A6D"/>
    <w:rsid w:val="00DD6D95"/>
    <w:rsid w:val="00DE057F"/>
    <w:rsid w:val="00DE25C9"/>
    <w:rsid w:val="00DE3F43"/>
    <w:rsid w:val="00DE5789"/>
    <w:rsid w:val="00DF0E5D"/>
    <w:rsid w:val="00DF4A73"/>
    <w:rsid w:val="00DF5547"/>
    <w:rsid w:val="00DF5784"/>
    <w:rsid w:val="00DF6839"/>
    <w:rsid w:val="00E02840"/>
    <w:rsid w:val="00E05866"/>
    <w:rsid w:val="00E06B70"/>
    <w:rsid w:val="00E12C41"/>
    <w:rsid w:val="00E1394D"/>
    <w:rsid w:val="00E153BF"/>
    <w:rsid w:val="00E16CA3"/>
    <w:rsid w:val="00E20200"/>
    <w:rsid w:val="00E211B4"/>
    <w:rsid w:val="00E22826"/>
    <w:rsid w:val="00E22E1F"/>
    <w:rsid w:val="00E23252"/>
    <w:rsid w:val="00E243DD"/>
    <w:rsid w:val="00E25B1F"/>
    <w:rsid w:val="00E26421"/>
    <w:rsid w:val="00E27FD9"/>
    <w:rsid w:val="00E34EB7"/>
    <w:rsid w:val="00E35C36"/>
    <w:rsid w:val="00E36C98"/>
    <w:rsid w:val="00E37462"/>
    <w:rsid w:val="00E422EB"/>
    <w:rsid w:val="00E45F0B"/>
    <w:rsid w:val="00E474FA"/>
    <w:rsid w:val="00E51503"/>
    <w:rsid w:val="00E51A04"/>
    <w:rsid w:val="00E52B73"/>
    <w:rsid w:val="00E546FA"/>
    <w:rsid w:val="00E54975"/>
    <w:rsid w:val="00E55B9D"/>
    <w:rsid w:val="00E628C2"/>
    <w:rsid w:val="00E62E9C"/>
    <w:rsid w:val="00E71AF3"/>
    <w:rsid w:val="00E75136"/>
    <w:rsid w:val="00E75F5E"/>
    <w:rsid w:val="00E823D4"/>
    <w:rsid w:val="00E8468A"/>
    <w:rsid w:val="00E84A9D"/>
    <w:rsid w:val="00E860FD"/>
    <w:rsid w:val="00E876BE"/>
    <w:rsid w:val="00E9003B"/>
    <w:rsid w:val="00E93A99"/>
    <w:rsid w:val="00E93CBF"/>
    <w:rsid w:val="00E942A7"/>
    <w:rsid w:val="00E95A4D"/>
    <w:rsid w:val="00E96697"/>
    <w:rsid w:val="00E974F7"/>
    <w:rsid w:val="00EA0A7C"/>
    <w:rsid w:val="00EA2970"/>
    <w:rsid w:val="00EA3B72"/>
    <w:rsid w:val="00EB05A4"/>
    <w:rsid w:val="00EB0F3C"/>
    <w:rsid w:val="00EB1169"/>
    <w:rsid w:val="00EB12FA"/>
    <w:rsid w:val="00EB1FAA"/>
    <w:rsid w:val="00EB4108"/>
    <w:rsid w:val="00EB4F4C"/>
    <w:rsid w:val="00EB7919"/>
    <w:rsid w:val="00EB7BDE"/>
    <w:rsid w:val="00EC16FD"/>
    <w:rsid w:val="00EC3A4F"/>
    <w:rsid w:val="00EC50B8"/>
    <w:rsid w:val="00EC7700"/>
    <w:rsid w:val="00ED1079"/>
    <w:rsid w:val="00ED18D4"/>
    <w:rsid w:val="00ED236C"/>
    <w:rsid w:val="00ED746B"/>
    <w:rsid w:val="00EE02C9"/>
    <w:rsid w:val="00EE1644"/>
    <w:rsid w:val="00EE35C9"/>
    <w:rsid w:val="00EE5A87"/>
    <w:rsid w:val="00EE71B8"/>
    <w:rsid w:val="00EF6CEE"/>
    <w:rsid w:val="00EF6E60"/>
    <w:rsid w:val="00EF77AC"/>
    <w:rsid w:val="00F00191"/>
    <w:rsid w:val="00F01329"/>
    <w:rsid w:val="00F01D21"/>
    <w:rsid w:val="00F030AB"/>
    <w:rsid w:val="00F03BFB"/>
    <w:rsid w:val="00F040A6"/>
    <w:rsid w:val="00F043D8"/>
    <w:rsid w:val="00F10654"/>
    <w:rsid w:val="00F1583F"/>
    <w:rsid w:val="00F21DB8"/>
    <w:rsid w:val="00F2300D"/>
    <w:rsid w:val="00F2425C"/>
    <w:rsid w:val="00F2616E"/>
    <w:rsid w:val="00F274E2"/>
    <w:rsid w:val="00F302AB"/>
    <w:rsid w:val="00F31767"/>
    <w:rsid w:val="00F31A7A"/>
    <w:rsid w:val="00F32D32"/>
    <w:rsid w:val="00F3551A"/>
    <w:rsid w:val="00F41454"/>
    <w:rsid w:val="00F4209B"/>
    <w:rsid w:val="00F50BB3"/>
    <w:rsid w:val="00F5190D"/>
    <w:rsid w:val="00F52E0B"/>
    <w:rsid w:val="00F54DB3"/>
    <w:rsid w:val="00F57180"/>
    <w:rsid w:val="00F641F7"/>
    <w:rsid w:val="00F65693"/>
    <w:rsid w:val="00F6616D"/>
    <w:rsid w:val="00F67BE5"/>
    <w:rsid w:val="00F72621"/>
    <w:rsid w:val="00F736C5"/>
    <w:rsid w:val="00F73B5E"/>
    <w:rsid w:val="00F74C4C"/>
    <w:rsid w:val="00F77596"/>
    <w:rsid w:val="00F8028B"/>
    <w:rsid w:val="00F807AE"/>
    <w:rsid w:val="00F8147C"/>
    <w:rsid w:val="00F829D8"/>
    <w:rsid w:val="00F82A63"/>
    <w:rsid w:val="00F82F4F"/>
    <w:rsid w:val="00F835D9"/>
    <w:rsid w:val="00F836FA"/>
    <w:rsid w:val="00F83BAE"/>
    <w:rsid w:val="00F853AA"/>
    <w:rsid w:val="00F856CB"/>
    <w:rsid w:val="00F928FC"/>
    <w:rsid w:val="00F92C36"/>
    <w:rsid w:val="00F95FAA"/>
    <w:rsid w:val="00F97E44"/>
    <w:rsid w:val="00FA103D"/>
    <w:rsid w:val="00FA1649"/>
    <w:rsid w:val="00FA3D15"/>
    <w:rsid w:val="00FA440A"/>
    <w:rsid w:val="00FA4FB9"/>
    <w:rsid w:val="00FB172D"/>
    <w:rsid w:val="00FB365D"/>
    <w:rsid w:val="00FB3D83"/>
    <w:rsid w:val="00FB4FA9"/>
    <w:rsid w:val="00FB5F69"/>
    <w:rsid w:val="00FB5FCF"/>
    <w:rsid w:val="00FB642A"/>
    <w:rsid w:val="00FB6508"/>
    <w:rsid w:val="00FD0B50"/>
    <w:rsid w:val="00FD4620"/>
    <w:rsid w:val="00FE02F1"/>
    <w:rsid w:val="00FE1AB1"/>
    <w:rsid w:val="00FE4345"/>
    <w:rsid w:val="00FE4394"/>
    <w:rsid w:val="00FE4F9D"/>
    <w:rsid w:val="00FE5C66"/>
    <w:rsid w:val="00FF18D8"/>
    <w:rsid w:val="00FF407C"/>
    <w:rsid w:val="00FF7065"/>
    <w:rsid w:val="010336F4"/>
    <w:rsid w:val="01041823"/>
    <w:rsid w:val="01066A48"/>
    <w:rsid w:val="01070D72"/>
    <w:rsid w:val="010F589C"/>
    <w:rsid w:val="013E3D43"/>
    <w:rsid w:val="01697289"/>
    <w:rsid w:val="016A7C3E"/>
    <w:rsid w:val="0184495F"/>
    <w:rsid w:val="018E7867"/>
    <w:rsid w:val="01CA4491"/>
    <w:rsid w:val="01DA6007"/>
    <w:rsid w:val="023A5140"/>
    <w:rsid w:val="02774660"/>
    <w:rsid w:val="02814708"/>
    <w:rsid w:val="028A6BE1"/>
    <w:rsid w:val="02A8304A"/>
    <w:rsid w:val="02CB1CF7"/>
    <w:rsid w:val="02D179BF"/>
    <w:rsid w:val="02F56CA3"/>
    <w:rsid w:val="03145214"/>
    <w:rsid w:val="033D3C53"/>
    <w:rsid w:val="035455A2"/>
    <w:rsid w:val="037B46E6"/>
    <w:rsid w:val="0381496C"/>
    <w:rsid w:val="03AB2463"/>
    <w:rsid w:val="03EC2141"/>
    <w:rsid w:val="04063189"/>
    <w:rsid w:val="041122EF"/>
    <w:rsid w:val="04204476"/>
    <w:rsid w:val="04356F0E"/>
    <w:rsid w:val="04416CBF"/>
    <w:rsid w:val="044C0471"/>
    <w:rsid w:val="044D662D"/>
    <w:rsid w:val="04722FB4"/>
    <w:rsid w:val="04797DA8"/>
    <w:rsid w:val="04837A5D"/>
    <w:rsid w:val="04871B46"/>
    <w:rsid w:val="049B0308"/>
    <w:rsid w:val="049C218A"/>
    <w:rsid w:val="04CB5FDF"/>
    <w:rsid w:val="04D96538"/>
    <w:rsid w:val="052A208A"/>
    <w:rsid w:val="054E09DA"/>
    <w:rsid w:val="055311BD"/>
    <w:rsid w:val="05563298"/>
    <w:rsid w:val="05575AC4"/>
    <w:rsid w:val="05DC1669"/>
    <w:rsid w:val="05E5373F"/>
    <w:rsid w:val="06037ECC"/>
    <w:rsid w:val="06181323"/>
    <w:rsid w:val="064405AD"/>
    <w:rsid w:val="066F3883"/>
    <w:rsid w:val="067C6A9F"/>
    <w:rsid w:val="068E2826"/>
    <w:rsid w:val="068F3DBA"/>
    <w:rsid w:val="069A5C0C"/>
    <w:rsid w:val="06E83EDB"/>
    <w:rsid w:val="072A4A2A"/>
    <w:rsid w:val="07526F5D"/>
    <w:rsid w:val="0765110E"/>
    <w:rsid w:val="07786AE2"/>
    <w:rsid w:val="079367BD"/>
    <w:rsid w:val="080E5677"/>
    <w:rsid w:val="0858402D"/>
    <w:rsid w:val="08832778"/>
    <w:rsid w:val="08CD32CD"/>
    <w:rsid w:val="090225FA"/>
    <w:rsid w:val="091F6537"/>
    <w:rsid w:val="09421824"/>
    <w:rsid w:val="0949172C"/>
    <w:rsid w:val="09A759A1"/>
    <w:rsid w:val="09D9539A"/>
    <w:rsid w:val="09E803E2"/>
    <w:rsid w:val="0A5371A2"/>
    <w:rsid w:val="0A7608D9"/>
    <w:rsid w:val="0A8825F5"/>
    <w:rsid w:val="0A8F150A"/>
    <w:rsid w:val="0A9E3E55"/>
    <w:rsid w:val="0AB54868"/>
    <w:rsid w:val="0ABB316A"/>
    <w:rsid w:val="0AD03E72"/>
    <w:rsid w:val="0AE07F2C"/>
    <w:rsid w:val="0AE43531"/>
    <w:rsid w:val="0AF33C99"/>
    <w:rsid w:val="0AFF3957"/>
    <w:rsid w:val="0B4B374B"/>
    <w:rsid w:val="0B7A62F0"/>
    <w:rsid w:val="0B9F66E0"/>
    <w:rsid w:val="0BC37DC1"/>
    <w:rsid w:val="0BE425C1"/>
    <w:rsid w:val="0BE669AA"/>
    <w:rsid w:val="0BE91558"/>
    <w:rsid w:val="0C047E63"/>
    <w:rsid w:val="0C117D13"/>
    <w:rsid w:val="0C3B1C9C"/>
    <w:rsid w:val="0C8939BB"/>
    <w:rsid w:val="0C8E57DD"/>
    <w:rsid w:val="0CCB473F"/>
    <w:rsid w:val="0CD43E9E"/>
    <w:rsid w:val="0D425C03"/>
    <w:rsid w:val="0D491420"/>
    <w:rsid w:val="0D590B07"/>
    <w:rsid w:val="0D7F4558"/>
    <w:rsid w:val="0D8701A0"/>
    <w:rsid w:val="0DAE6BD0"/>
    <w:rsid w:val="0DBD3257"/>
    <w:rsid w:val="0DC37A75"/>
    <w:rsid w:val="0DC567F3"/>
    <w:rsid w:val="0E226FE1"/>
    <w:rsid w:val="0E287205"/>
    <w:rsid w:val="0E363F9F"/>
    <w:rsid w:val="0E4530B5"/>
    <w:rsid w:val="0EAC748A"/>
    <w:rsid w:val="0EDF6FAE"/>
    <w:rsid w:val="0F042344"/>
    <w:rsid w:val="0F276E77"/>
    <w:rsid w:val="0F34036D"/>
    <w:rsid w:val="0F3B5A00"/>
    <w:rsid w:val="0F672B35"/>
    <w:rsid w:val="0F75449C"/>
    <w:rsid w:val="0F8F406F"/>
    <w:rsid w:val="0FB56A0A"/>
    <w:rsid w:val="0FBB35AD"/>
    <w:rsid w:val="0FC72E29"/>
    <w:rsid w:val="0FEC356E"/>
    <w:rsid w:val="0FFE2AE7"/>
    <w:rsid w:val="10186361"/>
    <w:rsid w:val="10243B86"/>
    <w:rsid w:val="102C7CD0"/>
    <w:rsid w:val="102E6135"/>
    <w:rsid w:val="103A0EA6"/>
    <w:rsid w:val="108B3A3D"/>
    <w:rsid w:val="10967DE9"/>
    <w:rsid w:val="109D022F"/>
    <w:rsid w:val="10AC0CCD"/>
    <w:rsid w:val="10AC58FA"/>
    <w:rsid w:val="10B4328E"/>
    <w:rsid w:val="10D845EC"/>
    <w:rsid w:val="10E239D3"/>
    <w:rsid w:val="10EA1F58"/>
    <w:rsid w:val="112525A3"/>
    <w:rsid w:val="11393EB1"/>
    <w:rsid w:val="11433ADF"/>
    <w:rsid w:val="115A75AE"/>
    <w:rsid w:val="115B577F"/>
    <w:rsid w:val="117F6ACF"/>
    <w:rsid w:val="11A20F9A"/>
    <w:rsid w:val="11C24C0D"/>
    <w:rsid w:val="11D975B4"/>
    <w:rsid w:val="120711D0"/>
    <w:rsid w:val="12351C69"/>
    <w:rsid w:val="125B3F30"/>
    <w:rsid w:val="12612C4F"/>
    <w:rsid w:val="12677355"/>
    <w:rsid w:val="12980181"/>
    <w:rsid w:val="12A87A1B"/>
    <w:rsid w:val="12AC7703"/>
    <w:rsid w:val="12BE7183"/>
    <w:rsid w:val="12C92511"/>
    <w:rsid w:val="12C946D7"/>
    <w:rsid w:val="12CD54C5"/>
    <w:rsid w:val="12D762BE"/>
    <w:rsid w:val="12E84200"/>
    <w:rsid w:val="130A35DB"/>
    <w:rsid w:val="1337388B"/>
    <w:rsid w:val="1339376F"/>
    <w:rsid w:val="135261E6"/>
    <w:rsid w:val="138458CC"/>
    <w:rsid w:val="13953F0A"/>
    <w:rsid w:val="13C9243C"/>
    <w:rsid w:val="13CA0F9E"/>
    <w:rsid w:val="13ED1EFB"/>
    <w:rsid w:val="14082C48"/>
    <w:rsid w:val="14094DCF"/>
    <w:rsid w:val="14264FE0"/>
    <w:rsid w:val="144C4D0E"/>
    <w:rsid w:val="14800207"/>
    <w:rsid w:val="148D468A"/>
    <w:rsid w:val="14AB7BDB"/>
    <w:rsid w:val="14C23BC4"/>
    <w:rsid w:val="14DE6FA1"/>
    <w:rsid w:val="14EA7061"/>
    <w:rsid w:val="14F7571D"/>
    <w:rsid w:val="15007F26"/>
    <w:rsid w:val="150D59C4"/>
    <w:rsid w:val="15107A3E"/>
    <w:rsid w:val="151D2A4B"/>
    <w:rsid w:val="15290DC2"/>
    <w:rsid w:val="153B59C1"/>
    <w:rsid w:val="15544194"/>
    <w:rsid w:val="15614D0C"/>
    <w:rsid w:val="156264EB"/>
    <w:rsid w:val="15657A4D"/>
    <w:rsid w:val="1568351C"/>
    <w:rsid w:val="157E7B70"/>
    <w:rsid w:val="15831609"/>
    <w:rsid w:val="159E37AF"/>
    <w:rsid w:val="15B34497"/>
    <w:rsid w:val="162D6C06"/>
    <w:rsid w:val="165F6ECF"/>
    <w:rsid w:val="166F2CAA"/>
    <w:rsid w:val="16A12ABB"/>
    <w:rsid w:val="16A363AF"/>
    <w:rsid w:val="16B010AD"/>
    <w:rsid w:val="16B57DA5"/>
    <w:rsid w:val="16D76DDF"/>
    <w:rsid w:val="16F912D4"/>
    <w:rsid w:val="171B0892"/>
    <w:rsid w:val="173E75F9"/>
    <w:rsid w:val="17456E3C"/>
    <w:rsid w:val="174D4137"/>
    <w:rsid w:val="175667AA"/>
    <w:rsid w:val="17951183"/>
    <w:rsid w:val="17A47DCF"/>
    <w:rsid w:val="17B056E0"/>
    <w:rsid w:val="17B92D93"/>
    <w:rsid w:val="17BA75FC"/>
    <w:rsid w:val="17CA0378"/>
    <w:rsid w:val="17D2719F"/>
    <w:rsid w:val="17EA6DDC"/>
    <w:rsid w:val="17EC599E"/>
    <w:rsid w:val="180908CB"/>
    <w:rsid w:val="181A6985"/>
    <w:rsid w:val="18212CC3"/>
    <w:rsid w:val="182E5CE4"/>
    <w:rsid w:val="18413065"/>
    <w:rsid w:val="1851727C"/>
    <w:rsid w:val="18565AD4"/>
    <w:rsid w:val="187825D1"/>
    <w:rsid w:val="18856DFA"/>
    <w:rsid w:val="188F273C"/>
    <w:rsid w:val="18D00FAE"/>
    <w:rsid w:val="18D455A5"/>
    <w:rsid w:val="18E979DE"/>
    <w:rsid w:val="18EE0096"/>
    <w:rsid w:val="19031D93"/>
    <w:rsid w:val="192415F9"/>
    <w:rsid w:val="192C4943"/>
    <w:rsid w:val="19511200"/>
    <w:rsid w:val="19546A7D"/>
    <w:rsid w:val="196B3C24"/>
    <w:rsid w:val="196B45A2"/>
    <w:rsid w:val="19965906"/>
    <w:rsid w:val="19A651BC"/>
    <w:rsid w:val="1A0031AB"/>
    <w:rsid w:val="1A0F7277"/>
    <w:rsid w:val="1A436CEA"/>
    <w:rsid w:val="1A6A3022"/>
    <w:rsid w:val="1A752A27"/>
    <w:rsid w:val="1A760F34"/>
    <w:rsid w:val="1A7D2124"/>
    <w:rsid w:val="1AB44171"/>
    <w:rsid w:val="1AD57C7E"/>
    <w:rsid w:val="1ADB7038"/>
    <w:rsid w:val="1AF56684"/>
    <w:rsid w:val="1B055DED"/>
    <w:rsid w:val="1B110C27"/>
    <w:rsid w:val="1B4E56E4"/>
    <w:rsid w:val="1B5D63FA"/>
    <w:rsid w:val="1B857B57"/>
    <w:rsid w:val="1B9E39E2"/>
    <w:rsid w:val="1BA061D2"/>
    <w:rsid w:val="1BB53962"/>
    <w:rsid w:val="1BB85B33"/>
    <w:rsid w:val="1C242C78"/>
    <w:rsid w:val="1C861AD4"/>
    <w:rsid w:val="1C9D0969"/>
    <w:rsid w:val="1C9F37AD"/>
    <w:rsid w:val="1CF3509D"/>
    <w:rsid w:val="1D2C6FF4"/>
    <w:rsid w:val="1D637110"/>
    <w:rsid w:val="1D6F60DF"/>
    <w:rsid w:val="1D856B1F"/>
    <w:rsid w:val="1DA417A6"/>
    <w:rsid w:val="1DF068F3"/>
    <w:rsid w:val="1E88394B"/>
    <w:rsid w:val="1E8A0830"/>
    <w:rsid w:val="1EA50FCC"/>
    <w:rsid w:val="1EA616CF"/>
    <w:rsid w:val="1EAA4F8C"/>
    <w:rsid w:val="1EB015AF"/>
    <w:rsid w:val="1ECF5B0F"/>
    <w:rsid w:val="1EEB09D9"/>
    <w:rsid w:val="1EEE2B9E"/>
    <w:rsid w:val="1F41520F"/>
    <w:rsid w:val="1F8D7B1B"/>
    <w:rsid w:val="1FA411FB"/>
    <w:rsid w:val="1FA81D94"/>
    <w:rsid w:val="1FC216C1"/>
    <w:rsid w:val="1FE33FD1"/>
    <w:rsid w:val="200642EC"/>
    <w:rsid w:val="20076EAB"/>
    <w:rsid w:val="200C2E85"/>
    <w:rsid w:val="2056143A"/>
    <w:rsid w:val="205D3861"/>
    <w:rsid w:val="20A939B9"/>
    <w:rsid w:val="20E034E5"/>
    <w:rsid w:val="21383798"/>
    <w:rsid w:val="214B5DE8"/>
    <w:rsid w:val="21547C45"/>
    <w:rsid w:val="2193228F"/>
    <w:rsid w:val="21980475"/>
    <w:rsid w:val="21995A35"/>
    <w:rsid w:val="21DD2BDF"/>
    <w:rsid w:val="21ED68F6"/>
    <w:rsid w:val="220628F4"/>
    <w:rsid w:val="22151077"/>
    <w:rsid w:val="222205E8"/>
    <w:rsid w:val="224514A8"/>
    <w:rsid w:val="22534F71"/>
    <w:rsid w:val="225553BA"/>
    <w:rsid w:val="22A76DE4"/>
    <w:rsid w:val="22B56D1E"/>
    <w:rsid w:val="22F5184E"/>
    <w:rsid w:val="231C2DF2"/>
    <w:rsid w:val="231E1CD4"/>
    <w:rsid w:val="2322550C"/>
    <w:rsid w:val="23315C03"/>
    <w:rsid w:val="23481387"/>
    <w:rsid w:val="234E2DA6"/>
    <w:rsid w:val="236B2A0F"/>
    <w:rsid w:val="23750C12"/>
    <w:rsid w:val="23891C4F"/>
    <w:rsid w:val="23981D4A"/>
    <w:rsid w:val="23B35297"/>
    <w:rsid w:val="23E27E11"/>
    <w:rsid w:val="23FB19FC"/>
    <w:rsid w:val="24173070"/>
    <w:rsid w:val="242C169D"/>
    <w:rsid w:val="2438569A"/>
    <w:rsid w:val="245A2A47"/>
    <w:rsid w:val="2461572D"/>
    <w:rsid w:val="24750FB9"/>
    <w:rsid w:val="24830FBE"/>
    <w:rsid w:val="24AE2D16"/>
    <w:rsid w:val="24C04FDC"/>
    <w:rsid w:val="24CA196B"/>
    <w:rsid w:val="24D34D10"/>
    <w:rsid w:val="24ED06C1"/>
    <w:rsid w:val="250072F2"/>
    <w:rsid w:val="25047136"/>
    <w:rsid w:val="250F6497"/>
    <w:rsid w:val="25302162"/>
    <w:rsid w:val="254B245E"/>
    <w:rsid w:val="25630175"/>
    <w:rsid w:val="25767E99"/>
    <w:rsid w:val="25A84EC0"/>
    <w:rsid w:val="25B55DE5"/>
    <w:rsid w:val="25D53129"/>
    <w:rsid w:val="2605612D"/>
    <w:rsid w:val="269A5854"/>
    <w:rsid w:val="26AC3A6A"/>
    <w:rsid w:val="26AE40E4"/>
    <w:rsid w:val="26C67E71"/>
    <w:rsid w:val="26E77D88"/>
    <w:rsid w:val="26F522F7"/>
    <w:rsid w:val="26F9775C"/>
    <w:rsid w:val="270F34D8"/>
    <w:rsid w:val="27200AD1"/>
    <w:rsid w:val="27335F39"/>
    <w:rsid w:val="27473793"/>
    <w:rsid w:val="27683775"/>
    <w:rsid w:val="277A6073"/>
    <w:rsid w:val="28401771"/>
    <w:rsid w:val="2842631F"/>
    <w:rsid w:val="284B7DC1"/>
    <w:rsid w:val="285B13AE"/>
    <w:rsid w:val="28774D96"/>
    <w:rsid w:val="288F0D2D"/>
    <w:rsid w:val="2892116C"/>
    <w:rsid w:val="28A16CF8"/>
    <w:rsid w:val="28A5531F"/>
    <w:rsid w:val="28AD0B93"/>
    <w:rsid w:val="28D370D8"/>
    <w:rsid w:val="290C2BB6"/>
    <w:rsid w:val="290E0884"/>
    <w:rsid w:val="292A61FD"/>
    <w:rsid w:val="29511CE6"/>
    <w:rsid w:val="29514701"/>
    <w:rsid w:val="29613068"/>
    <w:rsid w:val="29925035"/>
    <w:rsid w:val="29A51FC3"/>
    <w:rsid w:val="29AC53EE"/>
    <w:rsid w:val="29B860C9"/>
    <w:rsid w:val="29CA4185"/>
    <w:rsid w:val="29CE5AA6"/>
    <w:rsid w:val="2A067BAE"/>
    <w:rsid w:val="2A0C174B"/>
    <w:rsid w:val="2A4B4DB9"/>
    <w:rsid w:val="2A4D4FFA"/>
    <w:rsid w:val="2A5C638F"/>
    <w:rsid w:val="2A6217A1"/>
    <w:rsid w:val="2AA91242"/>
    <w:rsid w:val="2AE7592A"/>
    <w:rsid w:val="2B0C4C00"/>
    <w:rsid w:val="2B117770"/>
    <w:rsid w:val="2B2814FA"/>
    <w:rsid w:val="2B5D71AD"/>
    <w:rsid w:val="2B713C9C"/>
    <w:rsid w:val="2BAE4FD0"/>
    <w:rsid w:val="2BB47A96"/>
    <w:rsid w:val="2BD420D6"/>
    <w:rsid w:val="2BF1507F"/>
    <w:rsid w:val="2C491D5B"/>
    <w:rsid w:val="2C694CBC"/>
    <w:rsid w:val="2C75218B"/>
    <w:rsid w:val="2C882DDE"/>
    <w:rsid w:val="2CA12D1D"/>
    <w:rsid w:val="2D043AA6"/>
    <w:rsid w:val="2D087520"/>
    <w:rsid w:val="2D3848D1"/>
    <w:rsid w:val="2D4F4E2A"/>
    <w:rsid w:val="2D7E1ADD"/>
    <w:rsid w:val="2D831A06"/>
    <w:rsid w:val="2D86564C"/>
    <w:rsid w:val="2DC21851"/>
    <w:rsid w:val="2DDF2739"/>
    <w:rsid w:val="2E21648D"/>
    <w:rsid w:val="2E3956B7"/>
    <w:rsid w:val="2E445159"/>
    <w:rsid w:val="2E517C18"/>
    <w:rsid w:val="2E8E3B5D"/>
    <w:rsid w:val="2EA43203"/>
    <w:rsid w:val="2EAC33FC"/>
    <w:rsid w:val="2EAF7A41"/>
    <w:rsid w:val="2EE36180"/>
    <w:rsid w:val="2F032695"/>
    <w:rsid w:val="2F26341E"/>
    <w:rsid w:val="2F60331F"/>
    <w:rsid w:val="2F796FA5"/>
    <w:rsid w:val="2F9A6BE2"/>
    <w:rsid w:val="2FAE48A9"/>
    <w:rsid w:val="2FD63586"/>
    <w:rsid w:val="2FD84031"/>
    <w:rsid w:val="2FEE4526"/>
    <w:rsid w:val="2FF32C4B"/>
    <w:rsid w:val="30124F05"/>
    <w:rsid w:val="30430331"/>
    <w:rsid w:val="30475A66"/>
    <w:rsid w:val="304C67A9"/>
    <w:rsid w:val="306E7FE2"/>
    <w:rsid w:val="308F7D1E"/>
    <w:rsid w:val="309F63EE"/>
    <w:rsid w:val="30AD4AD0"/>
    <w:rsid w:val="30B55C78"/>
    <w:rsid w:val="30BE5EDB"/>
    <w:rsid w:val="30C300BA"/>
    <w:rsid w:val="30DC7DC1"/>
    <w:rsid w:val="30FB255C"/>
    <w:rsid w:val="316F2E56"/>
    <w:rsid w:val="31C475C1"/>
    <w:rsid w:val="31C5787B"/>
    <w:rsid w:val="31C65706"/>
    <w:rsid w:val="31E347EC"/>
    <w:rsid w:val="31ED3466"/>
    <w:rsid w:val="321021D4"/>
    <w:rsid w:val="32154FA9"/>
    <w:rsid w:val="321E0772"/>
    <w:rsid w:val="32546D64"/>
    <w:rsid w:val="32AE3FC3"/>
    <w:rsid w:val="32B44CE8"/>
    <w:rsid w:val="32B931D3"/>
    <w:rsid w:val="33224442"/>
    <w:rsid w:val="332C4855"/>
    <w:rsid w:val="33611959"/>
    <w:rsid w:val="33745910"/>
    <w:rsid w:val="33C26689"/>
    <w:rsid w:val="33C94D59"/>
    <w:rsid w:val="33E32FF5"/>
    <w:rsid w:val="33F63120"/>
    <w:rsid w:val="341C085B"/>
    <w:rsid w:val="344E3357"/>
    <w:rsid w:val="34552C77"/>
    <w:rsid w:val="346A5E82"/>
    <w:rsid w:val="3484127C"/>
    <w:rsid w:val="34A91170"/>
    <w:rsid w:val="34AE2919"/>
    <w:rsid w:val="34B5478B"/>
    <w:rsid w:val="34BE6475"/>
    <w:rsid w:val="34C3423F"/>
    <w:rsid w:val="34C62F1C"/>
    <w:rsid w:val="34ED5231"/>
    <w:rsid w:val="34FD4FFB"/>
    <w:rsid w:val="352271E4"/>
    <w:rsid w:val="353A4937"/>
    <w:rsid w:val="353F1C93"/>
    <w:rsid w:val="356B2B4B"/>
    <w:rsid w:val="356F2A1D"/>
    <w:rsid w:val="35730ECB"/>
    <w:rsid w:val="35770995"/>
    <w:rsid w:val="35E81E8F"/>
    <w:rsid w:val="36183A39"/>
    <w:rsid w:val="36590287"/>
    <w:rsid w:val="366A4B80"/>
    <w:rsid w:val="36852DE9"/>
    <w:rsid w:val="36A34C8A"/>
    <w:rsid w:val="36C55837"/>
    <w:rsid w:val="36CB602C"/>
    <w:rsid w:val="36E27034"/>
    <w:rsid w:val="36E65DD7"/>
    <w:rsid w:val="375E7A18"/>
    <w:rsid w:val="37606731"/>
    <w:rsid w:val="378D5A81"/>
    <w:rsid w:val="37B63F71"/>
    <w:rsid w:val="37B87D95"/>
    <w:rsid w:val="37C5629A"/>
    <w:rsid w:val="386D3EEE"/>
    <w:rsid w:val="386D4BCC"/>
    <w:rsid w:val="38712C0D"/>
    <w:rsid w:val="38834DE9"/>
    <w:rsid w:val="38893429"/>
    <w:rsid w:val="38A653F3"/>
    <w:rsid w:val="38F17F44"/>
    <w:rsid w:val="38F95061"/>
    <w:rsid w:val="38FB391E"/>
    <w:rsid w:val="39175FD6"/>
    <w:rsid w:val="3922761E"/>
    <w:rsid w:val="392E2B86"/>
    <w:rsid w:val="393F076E"/>
    <w:rsid w:val="394071B4"/>
    <w:rsid w:val="394551CF"/>
    <w:rsid w:val="395D5708"/>
    <w:rsid w:val="3963267C"/>
    <w:rsid w:val="396940F9"/>
    <w:rsid w:val="397F3226"/>
    <w:rsid w:val="399D1F7A"/>
    <w:rsid w:val="39BA1EC9"/>
    <w:rsid w:val="39CA58D9"/>
    <w:rsid w:val="39EA4A27"/>
    <w:rsid w:val="3A066D9F"/>
    <w:rsid w:val="3A243761"/>
    <w:rsid w:val="3A447A46"/>
    <w:rsid w:val="3A487725"/>
    <w:rsid w:val="3A494F77"/>
    <w:rsid w:val="3A4B6EF6"/>
    <w:rsid w:val="3A4D554F"/>
    <w:rsid w:val="3A6F5A33"/>
    <w:rsid w:val="3AE2539A"/>
    <w:rsid w:val="3B015BD8"/>
    <w:rsid w:val="3B205823"/>
    <w:rsid w:val="3B230CBB"/>
    <w:rsid w:val="3B3E59AF"/>
    <w:rsid w:val="3B582D57"/>
    <w:rsid w:val="3B975C94"/>
    <w:rsid w:val="3BA9528B"/>
    <w:rsid w:val="3BC179E2"/>
    <w:rsid w:val="3C284E7D"/>
    <w:rsid w:val="3C3758D7"/>
    <w:rsid w:val="3C591CBC"/>
    <w:rsid w:val="3C5E715D"/>
    <w:rsid w:val="3C7624A0"/>
    <w:rsid w:val="3C827F96"/>
    <w:rsid w:val="3C843F88"/>
    <w:rsid w:val="3CB816DE"/>
    <w:rsid w:val="3CFB4907"/>
    <w:rsid w:val="3D122A34"/>
    <w:rsid w:val="3D203305"/>
    <w:rsid w:val="3D265426"/>
    <w:rsid w:val="3D3629BE"/>
    <w:rsid w:val="3D367751"/>
    <w:rsid w:val="3D541CC3"/>
    <w:rsid w:val="3D5F4EC1"/>
    <w:rsid w:val="3D6A6CFE"/>
    <w:rsid w:val="3D6E0931"/>
    <w:rsid w:val="3D7872A9"/>
    <w:rsid w:val="3D8E3824"/>
    <w:rsid w:val="3E023613"/>
    <w:rsid w:val="3E095B49"/>
    <w:rsid w:val="3E167032"/>
    <w:rsid w:val="3E263B40"/>
    <w:rsid w:val="3E442DAF"/>
    <w:rsid w:val="3E4D2CE9"/>
    <w:rsid w:val="3E593015"/>
    <w:rsid w:val="3E631E14"/>
    <w:rsid w:val="3E891EA8"/>
    <w:rsid w:val="3E952BDE"/>
    <w:rsid w:val="3EB25D0E"/>
    <w:rsid w:val="3EB6730E"/>
    <w:rsid w:val="3EC10015"/>
    <w:rsid w:val="3EC242D8"/>
    <w:rsid w:val="3ED7061A"/>
    <w:rsid w:val="3ED96F6F"/>
    <w:rsid w:val="3EF773BF"/>
    <w:rsid w:val="3F1057A0"/>
    <w:rsid w:val="3F2623A8"/>
    <w:rsid w:val="3F2F518A"/>
    <w:rsid w:val="3F5465F5"/>
    <w:rsid w:val="3F6F13BE"/>
    <w:rsid w:val="3F8347E1"/>
    <w:rsid w:val="3FC2620B"/>
    <w:rsid w:val="400E76F1"/>
    <w:rsid w:val="40124A6F"/>
    <w:rsid w:val="40171C89"/>
    <w:rsid w:val="40251D40"/>
    <w:rsid w:val="40595698"/>
    <w:rsid w:val="40E95BCB"/>
    <w:rsid w:val="40EB6816"/>
    <w:rsid w:val="410E24A9"/>
    <w:rsid w:val="412838BB"/>
    <w:rsid w:val="413619BB"/>
    <w:rsid w:val="413C49AD"/>
    <w:rsid w:val="41444F6C"/>
    <w:rsid w:val="414B5C5B"/>
    <w:rsid w:val="417105DD"/>
    <w:rsid w:val="417D4DCC"/>
    <w:rsid w:val="41924CC5"/>
    <w:rsid w:val="41BB0F30"/>
    <w:rsid w:val="41C746DC"/>
    <w:rsid w:val="41D521B5"/>
    <w:rsid w:val="41DB630E"/>
    <w:rsid w:val="42415557"/>
    <w:rsid w:val="424C2BD8"/>
    <w:rsid w:val="427240B6"/>
    <w:rsid w:val="42852082"/>
    <w:rsid w:val="428915B4"/>
    <w:rsid w:val="42903AEE"/>
    <w:rsid w:val="429C6FBF"/>
    <w:rsid w:val="42C65DA1"/>
    <w:rsid w:val="42E36DDF"/>
    <w:rsid w:val="42F35E76"/>
    <w:rsid w:val="42F85062"/>
    <w:rsid w:val="43003A42"/>
    <w:rsid w:val="433266D3"/>
    <w:rsid w:val="43787F9E"/>
    <w:rsid w:val="43B904BA"/>
    <w:rsid w:val="43DE522B"/>
    <w:rsid w:val="43ED2D8C"/>
    <w:rsid w:val="43F07E32"/>
    <w:rsid w:val="44190B04"/>
    <w:rsid w:val="44245845"/>
    <w:rsid w:val="44302676"/>
    <w:rsid w:val="44306937"/>
    <w:rsid w:val="44525D70"/>
    <w:rsid w:val="445857BB"/>
    <w:rsid w:val="445F1BE2"/>
    <w:rsid w:val="445F2BFB"/>
    <w:rsid w:val="447769DF"/>
    <w:rsid w:val="449965CB"/>
    <w:rsid w:val="449D459A"/>
    <w:rsid w:val="44A80A04"/>
    <w:rsid w:val="44B577C6"/>
    <w:rsid w:val="44D04182"/>
    <w:rsid w:val="44F56185"/>
    <w:rsid w:val="450864E7"/>
    <w:rsid w:val="45097E82"/>
    <w:rsid w:val="45105DC0"/>
    <w:rsid w:val="455C0DF5"/>
    <w:rsid w:val="459F18CA"/>
    <w:rsid w:val="45BC5429"/>
    <w:rsid w:val="45F70C94"/>
    <w:rsid w:val="45FA1728"/>
    <w:rsid w:val="461A4EAF"/>
    <w:rsid w:val="461B6666"/>
    <w:rsid w:val="462D3D8F"/>
    <w:rsid w:val="4651202D"/>
    <w:rsid w:val="468D6E89"/>
    <w:rsid w:val="46917AAF"/>
    <w:rsid w:val="46B113B2"/>
    <w:rsid w:val="46ED1AC1"/>
    <w:rsid w:val="47095319"/>
    <w:rsid w:val="47105583"/>
    <w:rsid w:val="471F7E3B"/>
    <w:rsid w:val="473D25C6"/>
    <w:rsid w:val="476907B7"/>
    <w:rsid w:val="47BF152F"/>
    <w:rsid w:val="47C606F7"/>
    <w:rsid w:val="47F60983"/>
    <w:rsid w:val="47F6247F"/>
    <w:rsid w:val="4826403F"/>
    <w:rsid w:val="485C0157"/>
    <w:rsid w:val="48725693"/>
    <w:rsid w:val="48752FD8"/>
    <w:rsid w:val="48CD368B"/>
    <w:rsid w:val="48DB2225"/>
    <w:rsid w:val="48EF0EB7"/>
    <w:rsid w:val="49093068"/>
    <w:rsid w:val="49172284"/>
    <w:rsid w:val="4933053F"/>
    <w:rsid w:val="495B2252"/>
    <w:rsid w:val="495C4CF8"/>
    <w:rsid w:val="496338FD"/>
    <w:rsid w:val="496A73DA"/>
    <w:rsid w:val="4971342D"/>
    <w:rsid w:val="49793828"/>
    <w:rsid w:val="49970A72"/>
    <w:rsid w:val="49AC2C30"/>
    <w:rsid w:val="4A214080"/>
    <w:rsid w:val="4A257B9E"/>
    <w:rsid w:val="4A2A318C"/>
    <w:rsid w:val="4A5818F3"/>
    <w:rsid w:val="4A591471"/>
    <w:rsid w:val="4A7265E5"/>
    <w:rsid w:val="4A881A1C"/>
    <w:rsid w:val="4A975D3F"/>
    <w:rsid w:val="4AAE4882"/>
    <w:rsid w:val="4AB17BEF"/>
    <w:rsid w:val="4ABF6FBB"/>
    <w:rsid w:val="4AFD4E1F"/>
    <w:rsid w:val="4B1668C5"/>
    <w:rsid w:val="4B8616DA"/>
    <w:rsid w:val="4B8A1D1C"/>
    <w:rsid w:val="4B9C3266"/>
    <w:rsid w:val="4BAD220D"/>
    <w:rsid w:val="4BCF1CA6"/>
    <w:rsid w:val="4C14364F"/>
    <w:rsid w:val="4C1C18BC"/>
    <w:rsid w:val="4C1D191B"/>
    <w:rsid w:val="4C417527"/>
    <w:rsid w:val="4C840448"/>
    <w:rsid w:val="4CB44857"/>
    <w:rsid w:val="4CB66B41"/>
    <w:rsid w:val="4CBC3C0E"/>
    <w:rsid w:val="4CD85B9F"/>
    <w:rsid w:val="4CDA0124"/>
    <w:rsid w:val="4CDB1553"/>
    <w:rsid w:val="4CF1194E"/>
    <w:rsid w:val="4CF874BA"/>
    <w:rsid w:val="4D067BD8"/>
    <w:rsid w:val="4D6069E9"/>
    <w:rsid w:val="4D760514"/>
    <w:rsid w:val="4D7A0DA7"/>
    <w:rsid w:val="4DD81AC0"/>
    <w:rsid w:val="4E517AD8"/>
    <w:rsid w:val="4E5C1022"/>
    <w:rsid w:val="4E614D37"/>
    <w:rsid w:val="4E702A20"/>
    <w:rsid w:val="4EC57CED"/>
    <w:rsid w:val="4EE846F4"/>
    <w:rsid w:val="4F036CD0"/>
    <w:rsid w:val="4F272254"/>
    <w:rsid w:val="4F3532F9"/>
    <w:rsid w:val="4F472054"/>
    <w:rsid w:val="4F497DC1"/>
    <w:rsid w:val="4F4D7B54"/>
    <w:rsid w:val="4F7A5E9D"/>
    <w:rsid w:val="4F813561"/>
    <w:rsid w:val="4F967BD1"/>
    <w:rsid w:val="4F9A5C3D"/>
    <w:rsid w:val="4FA03979"/>
    <w:rsid w:val="4FAD452D"/>
    <w:rsid w:val="4FAF246B"/>
    <w:rsid w:val="4FEB35B1"/>
    <w:rsid w:val="4FFE003C"/>
    <w:rsid w:val="502F5680"/>
    <w:rsid w:val="505029E8"/>
    <w:rsid w:val="50AE6021"/>
    <w:rsid w:val="50D040C7"/>
    <w:rsid w:val="50E2044D"/>
    <w:rsid w:val="51143E36"/>
    <w:rsid w:val="512D4D4F"/>
    <w:rsid w:val="514C31D7"/>
    <w:rsid w:val="516219F6"/>
    <w:rsid w:val="517131C2"/>
    <w:rsid w:val="517E3F8E"/>
    <w:rsid w:val="51B23D49"/>
    <w:rsid w:val="51D57278"/>
    <w:rsid w:val="52591684"/>
    <w:rsid w:val="526D72F5"/>
    <w:rsid w:val="528E1CA4"/>
    <w:rsid w:val="52CD5D13"/>
    <w:rsid w:val="52CF5275"/>
    <w:rsid w:val="52EB212D"/>
    <w:rsid w:val="52FD270C"/>
    <w:rsid w:val="5369149D"/>
    <w:rsid w:val="537075DA"/>
    <w:rsid w:val="5387166D"/>
    <w:rsid w:val="53D81A42"/>
    <w:rsid w:val="53F36F74"/>
    <w:rsid w:val="54107C9B"/>
    <w:rsid w:val="5413381A"/>
    <w:rsid w:val="54184B65"/>
    <w:rsid w:val="546053EB"/>
    <w:rsid w:val="54637ED9"/>
    <w:rsid w:val="54897A0F"/>
    <w:rsid w:val="54B850AC"/>
    <w:rsid w:val="54C75489"/>
    <w:rsid w:val="54D50F73"/>
    <w:rsid w:val="54EC519C"/>
    <w:rsid w:val="5509636C"/>
    <w:rsid w:val="55326FB7"/>
    <w:rsid w:val="553270F5"/>
    <w:rsid w:val="55455E6C"/>
    <w:rsid w:val="555C0D43"/>
    <w:rsid w:val="55676C2B"/>
    <w:rsid w:val="556A6363"/>
    <w:rsid w:val="5583486A"/>
    <w:rsid w:val="558565C7"/>
    <w:rsid w:val="55AA3630"/>
    <w:rsid w:val="55D9032F"/>
    <w:rsid w:val="55D970B0"/>
    <w:rsid w:val="55F456C2"/>
    <w:rsid w:val="55FB5E9E"/>
    <w:rsid w:val="561F0775"/>
    <w:rsid w:val="56281673"/>
    <w:rsid w:val="56424E79"/>
    <w:rsid w:val="564866EC"/>
    <w:rsid w:val="56595D23"/>
    <w:rsid w:val="565F22B2"/>
    <w:rsid w:val="567B37F3"/>
    <w:rsid w:val="569C1D2E"/>
    <w:rsid w:val="56A20E9A"/>
    <w:rsid w:val="56A6319F"/>
    <w:rsid w:val="56AF7221"/>
    <w:rsid w:val="56CF240B"/>
    <w:rsid w:val="56DA12D1"/>
    <w:rsid w:val="56FB01DB"/>
    <w:rsid w:val="56FB2A9D"/>
    <w:rsid w:val="575D439C"/>
    <w:rsid w:val="577E6C33"/>
    <w:rsid w:val="57B555E5"/>
    <w:rsid w:val="57C32112"/>
    <w:rsid w:val="581462A7"/>
    <w:rsid w:val="585E353C"/>
    <w:rsid w:val="58667FE6"/>
    <w:rsid w:val="587109E5"/>
    <w:rsid w:val="58B35ADF"/>
    <w:rsid w:val="594525FB"/>
    <w:rsid w:val="59770351"/>
    <w:rsid w:val="598E25C1"/>
    <w:rsid w:val="59A9405A"/>
    <w:rsid w:val="59B76FF2"/>
    <w:rsid w:val="59B81155"/>
    <w:rsid w:val="59DB7C5F"/>
    <w:rsid w:val="59F622AA"/>
    <w:rsid w:val="5A0239C3"/>
    <w:rsid w:val="5A2515BE"/>
    <w:rsid w:val="5A4507F7"/>
    <w:rsid w:val="5A485C1B"/>
    <w:rsid w:val="5A54118A"/>
    <w:rsid w:val="5A751D09"/>
    <w:rsid w:val="5A8817D3"/>
    <w:rsid w:val="5B01732A"/>
    <w:rsid w:val="5B226B8B"/>
    <w:rsid w:val="5B5C277B"/>
    <w:rsid w:val="5B6259DE"/>
    <w:rsid w:val="5B7D6216"/>
    <w:rsid w:val="5B962DF5"/>
    <w:rsid w:val="5BA0247D"/>
    <w:rsid w:val="5BBB7DD3"/>
    <w:rsid w:val="5BC847B9"/>
    <w:rsid w:val="5BEB0666"/>
    <w:rsid w:val="5BFA28CE"/>
    <w:rsid w:val="5C1D0583"/>
    <w:rsid w:val="5C2028F2"/>
    <w:rsid w:val="5C5614D9"/>
    <w:rsid w:val="5C6137AB"/>
    <w:rsid w:val="5C6E63EC"/>
    <w:rsid w:val="5C887B49"/>
    <w:rsid w:val="5CC11C7F"/>
    <w:rsid w:val="5D2E578A"/>
    <w:rsid w:val="5D455560"/>
    <w:rsid w:val="5D7550C9"/>
    <w:rsid w:val="5DB70023"/>
    <w:rsid w:val="5DBB5BEF"/>
    <w:rsid w:val="5DC3510D"/>
    <w:rsid w:val="5DEC51E3"/>
    <w:rsid w:val="5DEE43FC"/>
    <w:rsid w:val="5E021ADF"/>
    <w:rsid w:val="5E1216F2"/>
    <w:rsid w:val="5E231A98"/>
    <w:rsid w:val="5E6C0372"/>
    <w:rsid w:val="5E787DEC"/>
    <w:rsid w:val="5E8C144E"/>
    <w:rsid w:val="5E9B16F3"/>
    <w:rsid w:val="5EA615F5"/>
    <w:rsid w:val="5EFC4913"/>
    <w:rsid w:val="5F08322C"/>
    <w:rsid w:val="5F094BE9"/>
    <w:rsid w:val="5F0C324D"/>
    <w:rsid w:val="5F2F5281"/>
    <w:rsid w:val="5F475AE5"/>
    <w:rsid w:val="5F4F214F"/>
    <w:rsid w:val="5F7415C4"/>
    <w:rsid w:val="5F847527"/>
    <w:rsid w:val="5F860DF2"/>
    <w:rsid w:val="5F8E5506"/>
    <w:rsid w:val="5F99175B"/>
    <w:rsid w:val="5FA372AA"/>
    <w:rsid w:val="5FB0783B"/>
    <w:rsid w:val="5FBD2D1A"/>
    <w:rsid w:val="5FDA4382"/>
    <w:rsid w:val="5FEF7C3E"/>
    <w:rsid w:val="5FFA4030"/>
    <w:rsid w:val="60434D17"/>
    <w:rsid w:val="605C6E6F"/>
    <w:rsid w:val="60701042"/>
    <w:rsid w:val="607E13CA"/>
    <w:rsid w:val="60951B1F"/>
    <w:rsid w:val="60A1439E"/>
    <w:rsid w:val="60D32348"/>
    <w:rsid w:val="60D41911"/>
    <w:rsid w:val="61010D42"/>
    <w:rsid w:val="61046C94"/>
    <w:rsid w:val="61300818"/>
    <w:rsid w:val="613100ED"/>
    <w:rsid w:val="61490338"/>
    <w:rsid w:val="614F2236"/>
    <w:rsid w:val="615E3BD6"/>
    <w:rsid w:val="61636566"/>
    <w:rsid w:val="616C5578"/>
    <w:rsid w:val="61895A68"/>
    <w:rsid w:val="61980CE2"/>
    <w:rsid w:val="619A7266"/>
    <w:rsid w:val="619C3BA2"/>
    <w:rsid w:val="61D00221"/>
    <w:rsid w:val="61DD18C5"/>
    <w:rsid w:val="61ED0DBF"/>
    <w:rsid w:val="62074FA9"/>
    <w:rsid w:val="622623CB"/>
    <w:rsid w:val="62301936"/>
    <w:rsid w:val="62632A28"/>
    <w:rsid w:val="62654DC1"/>
    <w:rsid w:val="62795971"/>
    <w:rsid w:val="629A5BCD"/>
    <w:rsid w:val="62A479C3"/>
    <w:rsid w:val="62AC763D"/>
    <w:rsid w:val="62C71B8D"/>
    <w:rsid w:val="62DA0FC9"/>
    <w:rsid w:val="62E96E44"/>
    <w:rsid w:val="62F37C45"/>
    <w:rsid w:val="63177258"/>
    <w:rsid w:val="63232AEB"/>
    <w:rsid w:val="63433435"/>
    <w:rsid w:val="6360794F"/>
    <w:rsid w:val="637051B0"/>
    <w:rsid w:val="6387066C"/>
    <w:rsid w:val="63921A8F"/>
    <w:rsid w:val="639256AC"/>
    <w:rsid w:val="639934BF"/>
    <w:rsid w:val="63A467E0"/>
    <w:rsid w:val="63BB4555"/>
    <w:rsid w:val="63EC4F30"/>
    <w:rsid w:val="63F7159C"/>
    <w:rsid w:val="64062CAE"/>
    <w:rsid w:val="64122133"/>
    <w:rsid w:val="645F3520"/>
    <w:rsid w:val="646D6650"/>
    <w:rsid w:val="648A3B09"/>
    <w:rsid w:val="64F24B5B"/>
    <w:rsid w:val="650B6F5E"/>
    <w:rsid w:val="6526176E"/>
    <w:rsid w:val="654D4BBF"/>
    <w:rsid w:val="654D6DAF"/>
    <w:rsid w:val="65717652"/>
    <w:rsid w:val="658C10DC"/>
    <w:rsid w:val="65AF5949"/>
    <w:rsid w:val="65B33929"/>
    <w:rsid w:val="65D31999"/>
    <w:rsid w:val="65EC0046"/>
    <w:rsid w:val="661E0C9D"/>
    <w:rsid w:val="662F1133"/>
    <w:rsid w:val="66406067"/>
    <w:rsid w:val="66575BD9"/>
    <w:rsid w:val="66693707"/>
    <w:rsid w:val="66AD46B9"/>
    <w:rsid w:val="66BB5C6B"/>
    <w:rsid w:val="66C457B2"/>
    <w:rsid w:val="67147074"/>
    <w:rsid w:val="6719308A"/>
    <w:rsid w:val="67256946"/>
    <w:rsid w:val="675126F8"/>
    <w:rsid w:val="676E19E3"/>
    <w:rsid w:val="67761E3C"/>
    <w:rsid w:val="67873252"/>
    <w:rsid w:val="679D4A0B"/>
    <w:rsid w:val="67B20106"/>
    <w:rsid w:val="67D34F1C"/>
    <w:rsid w:val="681A18DB"/>
    <w:rsid w:val="681E5CB9"/>
    <w:rsid w:val="68637A5A"/>
    <w:rsid w:val="686E1D4E"/>
    <w:rsid w:val="688E56F1"/>
    <w:rsid w:val="68AB40CD"/>
    <w:rsid w:val="68D46445"/>
    <w:rsid w:val="69572F91"/>
    <w:rsid w:val="6989172E"/>
    <w:rsid w:val="6990319E"/>
    <w:rsid w:val="69B41833"/>
    <w:rsid w:val="69C30866"/>
    <w:rsid w:val="69C72A98"/>
    <w:rsid w:val="6A4A2C88"/>
    <w:rsid w:val="6A50548D"/>
    <w:rsid w:val="6A660C78"/>
    <w:rsid w:val="6A8219B9"/>
    <w:rsid w:val="6AB227E1"/>
    <w:rsid w:val="6ACF15CD"/>
    <w:rsid w:val="6AD7008E"/>
    <w:rsid w:val="6ADA5291"/>
    <w:rsid w:val="6B020F32"/>
    <w:rsid w:val="6B2574EA"/>
    <w:rsid w:val="6B311CF8"/>
    <w:rsid w:val="6B354301"/>
    <w:rsid w:val="6B6426A8"/>
    <w:rsid w:val="6B893B3B"/>
    <w:rsid w:val="6BA435C3"/>
    <w:rsid w:val="6BC118FB"/>
    <w:rsid w:val="6BC302A6"/>
    <w:rsid w:val="6BD014E8"/>
    <w:rsid w:val="6BD66662"/>
    <w:rsid w:val="6C192C03"/>
    <w:rsid w:val="6C2D7B0A"/>
    <w:rsid w:val="6C465394"/>
    <w:rsid w:val="6C497551"/>
    <w:rsid w:val="6C594DEE"/>
    <w:rsid w:val="6C5F59C4"/>
    <w:rsid w:val="6C603666"/>
    <w:rsid w:val="6C625EC0"/>
    <w:rsid w:val="6C68182A"/>
    <w:rsid w:val="6C70488E"/>
    <w:rsid w:val="6C757FD4"/>
    <w:rsid w:val="6C9E7C1D"/>
    <w:rsid w:val="6CEC765E"/>
    <w:rsid w:val="6CFA66CD"/>
    <w:rsid w:val="6D1013FE"/>
    <w:rsid w:val="6D1D1B78"/>
    <w:rsid w:val="6D25144D"/>
    <w:rsid w:val="6D3F6637"/>
    <w:rsid w:val="6D54588F"/>
    <w:rsid w:val="6DA751E6"/>
    <w:rsid w:val="6DA9017B"/>
    <w:rsid w:val="6DB71A02"/>
    <w:rsid w:val="6DC64509"/>
    <w:rsid w:val="6DDF355E"/>
    <w:rsid w:val="6E0547C4"/>
    <w:rsid w:val="6E15750C"/>
    <w:rsid w:val="6E2D3173"/>
    <w:rsid w:val="6E3A7A30"/>
    <w:rsid w:val="6E481B97"/>
    <w:rsid w:val="6E781A51"/>
    <w:rsid w:val="6E794E49"/>
    <w:rsid w:val="6E8E3743"/>
    <w:rsid w:val="6E924EA8"/>
    <w:rsid w:val="6EA76CEE"/>
    <w:rsid w:val="6EC36CEE"/>
    <w:rsid w:val="6EDD55B5"/>
    <w:rsid w:val="6F3E591B"/>
    <w:rsid w:val="6F620D37"/>
    <w:rsid w:val="6F6808C4"/>
    <w:rsid w:val="6F8B5FEC"/>
    <w:rsid w:val="6FBF1D28"/>
    <w:rsid w:val="6FC551B5"/>
    <w:rsid w:val="6FCF2A35"/>
    <w:rsid w:val="6FDE7FA3"/>
    <w:rsid w:val="6FF41840"/>
    <w:rsid w:val="6FFA140A"/>
    <w:rsid w:val="70141A45"/>
    <w:rsid w:val="701D50BD"/>
    <w:rsid w:val="7080682B"/>
    <w:rsid w:val="70952214"/>
    <w:rsid w:val="70DF190E"/>
    <w:rsid w:val="70EE3302"/>
    <w:rsid w:val="70F42876"/>
    <w:rsid w:val="710857DE"/>
    <w:rsid w:val="710A4E9D"/>
    <w:rsid w:val="71306BD6"/>
    <w:rsid w:val="713C04FE"/>
    <w:rsid w:val="713D03D9"/>
    <w:rsid w:val="717161A4"/>
    <w:rsid w:val="719369CD"/>
    <w:rsid w:val="719A4052"/>
    <w:rsid w:val="71A14E1B"/>
    <w:rsid w:val="71B63A9A"/>
    <w:rsid w:val="71C7293B"/>
    <w:rsid w:val="71ED6502"/>
    <w:rsid w:val="72067412"/>
    <w:rsid w:val="72116193"/>
    <w:rsid w:val="72315E88"/>
    <w:rsid w:val="729D3834"/>
    <w:rsid w:val="72AF1D8D"/>
    <w:rsid w:val="72BD2C05"/>
    <w:rsid w:val="72D21752"/>
    <w:rsid w:val="73175CCA"/>
    <w:rsid w:val="731F646D"/>
    <w:rsid w:val="73345F42"/>
    <w:rsid w:val="7336749D"/>
    <w:rsid w:val="736478B9"/>
    <w:rsid w:val="7370666F"/>
    <w:rsid w:val="737A2EF4"/>
    <w:rsid w:val="739704F9"/>
    <w:rsid w:val="73A26E87"/>
    <w:rsid w:val="73F1293B"/>
    <w:rsid w:val="73FA7225"/>
    <w:rsid w:val="73FC5B1B"/>
    <w:rsid w:val="740D387E"/>
    <w:rsid w:val="74317715"/>
    <w:rsid w:val="743F6CB7"/>
    <w:rsid w:val="7446460E"/>
    <w:rsid w:val="74575414"/>
    <w:rsid w:val="745D73FD"/>
    <w:rsid w:val="74992E2F"/>
    <w:rsid w:val="74C94EAF"/>
    <w:rsid w:val="74D22149"/>
    <w:rsid w:val="74D95849"/>
    <w:rsid w:val="750520C4"/>
    <w:rsid w:val="75227E6F"/>
    <w:rsid w:val="753551D8"/>
    <w:rsid w:val="7546010E"/>
    <w:rsid w:val="75984ACD"/>
    <w:rsid w:val="759F1699"/>
    <w:rsid w:val="75F21FF3"/>
    <w:rsid w:val="761E1C63"/>
    <w:rsid w:val="76316E03"/>
    <w:rsid w:val="76560F1B"/>
    <w:rsid w:val="76826429"/>
    <w:rsid w:val="76BC20DD"/>
    <w:rsid w:val="76CC3E90"/>
    <w:rsid w:val="76D0517D"/>
    <w:rsid w:val="76E6530B"/>
    <w:rsid w:val="771B10DC"/>
    <w:rsid w:val="77557901"/>
    <w:rsid w:val="777172F3"/>
    <w:rsid w:val="77961ACF"/>
    <w:rsid w:val="77A37CD5"/>
    <w:rsid w:val="77CE17C2"/>
    <w:rsid w:val="77DA7229"/>
    <w:rsid w:val="77DF6EE7"/>
    <w:rsid w:val="77F6560C"/>
    <w:rsid w:val="77F67B0B"/>
    <w:rsid w:val="780D5D95"/>
    <w:rsid w:val="784A2BB2"/>
    <w:rsid w:val="786F66E7"/>
    <w:rsid w:val="78CE4108"/>
    <w:rsid w:val="78DA66CC"/>
    <w:rsid w:val="79110AD8"/>
    <w:rsid w:val="79246F85"/>
    <w:rsid w:val="793973C5"/>
    <w:rsid w:val="79540870"/>
    <w:rsid w:val="79884464"/>
    <w:rsid w:val="799130BA"/>
    <w:rsid w:val="79C142AC"/>
    <w:rsid w:val="79F05E90"/>
    <w:rsid w:val="7A127B1B"/>
    <w:rsid w:val="7A434CC1"/>
    <w:rsid w:val="7A8D4DEC"/>
    <w:rsid w:val="7ACE21F4"/>
    <w:rsid w:val="7AE26719"/>
    <w:rsid w:val="7B1303D9"/>
    <w:rsid w:val="7B1C039B"/>
    <w:rsid w:val="7B581A57"/>
    <w:rsid w:val="7B603B52"/>
    <w:rsid w:val="7B741572"/>
    <w:rsid w:val="7B756D67"/>
    <w:rsid w:val="7BA67062"/>
    <w:rsid w:val="7BAD30B2"/>
    <w:rsid w:val="7BBC5617"/>
    <w:rsid w:val="7BC42875"/>
    <w:rsid w:val="7BD92EE3"/>
    <w:rsid w:val="7C2D2773"/>
    <w:rsid w:val="7C6A7E59"/>
    <w:rsid w:val="7C8A32C0"/>
    <w:rsid w:val="7CA419A7"/>
    <w:rsid w:val="7CB4149D"/>
    <w:rsid w:val="7CBC687A"/>
    <w:rsid w:val="7CBE71B0"/>
    <w:rsid w:val="7CC076A5"/>
    <w:rsid w:val="7CC11DB9"/>
    <w:rsid w:val="7CC218C1"/>
    <w:rsid w:val="7CCB528C"/>
    <w:rsid w:val="7CDD7929"/>
    <w:rsid w:val="7D09210C"/>
    <w:rsid w:val="7D0C4CB4"/>
    <w:rsid w:val="7D907BDA"/>
    <w:rsid w:val="7D98285A"/>
    <w:rsid w:val="7D9876E9"/>
    <w:rsid w:val="7DA31BDB"/>
    <w:rsid w:val="7DB146D5"/>
    <w:rsid w:val="7DEF1CF9"/>
    <w:rsid w:val="7E0D64C2"/>
    <w:rsid w:val="7E10783C"/>
    <w:rsid w:val="7E5A7DBA"/>
    <w:rsid w:val="7E74157D"/>
    <w:rsid w:val="7E8C11BB"/>
    <w:rsid w:val="7E941F8F"/>
    <w:rsid w:val="7EA02192"/>
    <w:rsid w:val="7ED70E8B"/>
    <w:rsid w:val="7EE03201"/>
    <w:rsid w:val="7EE51E91"/>
    <w:rsid w:val="7F017F10"/>
    <w:rsid w:val="7F0F7A5D"/>
    <w:rsid w:val="7F3D1F0B"/>
    <w:rsid w:val="7F4C207C"/>
    <w:rsid w:val="7F4D1C39"/>
    <w:rsid w:val="7F5A11C4"/>
    <w:rsid w:val="7F5C66D4"/>
    <w:rsid w:val="7F5F61C6"/>
    <w:rsid w:val="7F6F6531"/>
    <w:rsid w:val="7F764270"/>
    <w:rsid w:val="7F92671C"/>
    <w:rsid w:val="7FCD2538"/>
    <w:rsid w:val="7FCD2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0"/>
    <w:qFormat/>
    <w:uiPriority w:val="0"/>
    <w:pPr>
      <w:keepNext/>
      <w:keepLines/>
      <w:spacing w:before="340" w:after="330" w:line="578" w:lineRule="auto"/>
      <w:outlineLvl w:val="0"/>
    </w:pPr>
    <w:rPr>
      <w:rFonts w:eastAsia="楷体_GB2312"/>
      <w:b/>
      <w:kern w:val="44"/>
      <w:sz w:val="44"/>
    </w:rPr>
  </w:style>
  <w:style w:type="paragraph" w:styleId="7">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8">
    <w:name w:val="heading 4"/>
    <w:basedOn w:val="1"/>
    <w:next w:val="1"/>
    <w:qFormat/>
    <w:uiPriority w:val="0"/>
    <w:pPr>
      <w:keepNext/>
      <w:keepLines/>
      <w:spacing w:before="120" w:after="120"/>
      <w:outlineLvl w:val="3"/>
    </w:pPr>
    <w:rPr>
      <w:rFonts w:ascii="Arial" w:hAnsi="Arial" w:eastAsia="黑体"/>
      <w:b/>
      <w:kern w:val="0"/>
      <w:sz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200" w:firstLineChars="200"/>
    </w:pPr>
  </w:style>
  <w:style w:type="paragraph" w:styleId="3">
    <w:name w:val="Body Text Indent"/>
    <w:basedOn w:val="1"/>
    <w:next w:val="4"/>
    <w:unhideWhenUsed/>
    <w:qFormat/>
    <w:uiPriority w:val="99"/>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after="120"/>
      <w:ind w:left="420" w:leftChars="200"/>
    </w:pPr>
    <w:rPr>
      <w:kern w:val="0"/>
      <w:sz w:val="16"/>
      <w:szCs w:val="16"/>
    </w:rPr>
  </w:style>
  <w:style w:type="paragraph" w:styleId="9">
    <w:name w:val="Normal Indent"/>
    <w:basedOn w:val="1"/>
    <w:link w:val="53"/>
    <w:qFormat/>
    <w:uiPriority w:val="0"/>
    <w:pPr>
      <w:adjustRightInd w:val="0"/>
      <w:ind w:firstLine="420"/>
      <w:jc w:val="left"/>
      <w:textAlignment w:val="baseline"/>
    </w:pPr>
    <w:rPr>
      <w:rFonts w:eastAsia="楷体_GB2312"/>
      <w:kern w:val="0"/>
      <w:sz w:val="24"/>
    </w:rPr>
  </w:style>
  <w:style w:type="paragraph" w:styleId="10">
    <w:name w:val="annotation text"/>
    <w:basedOn w:val="1"/>
    <w:unhideWhenUsed/>
    <w:qFormat/>
    <w:uiPriority w:val="99"/>
    <w:pPr>
      <w:jc w:val="left"/>
    </w:pPr>
  </w:style>
  <w:style w:type="paragraph" w:styleId="11">
    <w:name w:val="Body Text"/>
    <w:basedOn w:val="1"/>
    <w:link w:val="56"/>
    <w:unhideWhenUsed/>
    <w:qFormat/>
    <w:uiPriority w:val="99"/>
    <w:pPr>
      <w:spacing w:after="120"/>
    </w:pPr>
  </w:style>
  <w:style w:type="paragraph" w:styleId="12">
    <w:name w:val="toc 3"/>
    <w:basedOn w:val="1"/>
    <w:next w:val="1"/>
    <w:qFormat/>
    <w:uiPriority w:val="0"/>
    <w:pPr>
      <w:ind w:left="840" w:leftChars="400"/>
    </w:pPr>
  </w:style>
  <w:style w:type="paragraph" w:styleId="13">
    <w:name w:val="Date"/>
    <w:basedOn w:val="1"/>
    <w:next w:val="1"/>
    <w:link w:val="54"/>
    <w:qFormat/>
    <w:uiPriority w:val="0"/>
    <w:pPr>
      <w:ind w:left="100" w:leftChars="2500"/>
    </w:pPr>
    <w:rPr>
      <w:kern w:val="0"/>
      <w:sz w:val="20"/>
      <w:szCs w:val="24"/>
    </w:rPr>
  </w:style>
  <w:style w:type="paragraph" w:styleId="14">
    <w:name w:val="Body Text Indent 2"/>
    <w:basedOn w:val="1"/>
    <w:unhideWhenUsed/>
    <w:qFormat/>
    <w:uiPriority w:val="99"/>
    <w:pPr>
      <w:spacing w:line="420" w:lineRule="exact"/>
      <w:ind w:firstLine="525"/>
    </w:pPr>
    <w:rPr>
      <w:kern w:val="0"/>
      <w:sz w:val="24"/>
    </w:rPr>
  </w:style>
  <w:style w:type="paragraph" w:styleId="15">
    <w:name w:val="Balloon Text"/>
    <w:basedOn w:val="1"/>
    <w:link w:val="48"/>
    <w:unhideWhenUsed/>
    <w:qFormat/>
    <w:uiPriority w:val="99"/>
    <w:rPr>
      <w:kern w:val="0"/>
      <w:sz w:val="18"/>
      <w:szCs w:val="18"/>
    </w:rPr>
  </w:style>
  <w:style w:type="paragraph" w:styleId="16">
    <w:name w:val="footer"/>
    <w:basedOn w:val="1"/>
    <w:link w:val="59"/>
    <w:qFormat/>
    <w:uiPriority w:val="99"/>
    <w:pPr>
      <w:tabs>
        <w:tab w:val="center" w:pos="4153"/>
        <w:tab w:val="right" w:pos="8306"/>
      </w:tabs>
      <w:snapToGrid w:val="0"/>
      <w:jc w:val="left"/>
    </w:pPr>
    <w:rPr>
      <w:kern w:val="0"/>
      <w:sz w:val="18"/>
      <w:szCs w:val="18"/>
    </w:rPr>
  </w:style>
  <w:style w:type="paragraph" w:styleId="17">
    <w:name w:val="header"/>
    <w:basedOn w:val="1"/>
    <w:link w:val="5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0"/>
    <w:pPr>
      <w:adjustRightInd w:val="0"/>
      <w:jc w:val="left"/>
      <w:textAlignment w:val="baseline"/>
    </w:pPr>
    <w:rPr>
      <w:rFonts w:eastAsia="楷体_GB2312"/>
      <w:sz w:val="24"/>
    </w:rPr>
  </w:style>
  <w:style w:type="paragraph" w:styleId="19">
    <w:name w:val="Normal (Web)"/>
    <w:basedOn w:val="1"/>
    <w:unhideWhenUsed/>
    <w:qFormat/>
    <w:uiPriority w:val="99"/>
    <w:pPr>
      <w:spacing w:before="100" w:beforeAutospacing="1" w:after="100" w:afterAutospacing="1"/>
      <w:jc w:val="left"/>
    </w:pPr>
    <w:rPr>
      <w:kern w:val="0"/>
      <w:sz w:val="24"/>
    </w:rPr>
  </w:style>
  <w:style w:type="paragraph" w:styleId="20">
    <w:name w:val="Body Text First Indent"/>
    <w:basedOn w:val="11"/>
    <w:qFormat/>
    <w:uiPriority w:val="0"/>
    <w:pPr>
      <w:spacing w:beforeLines="50" w:line="300" w:lineRule="auto"/>
      <w:ind w:firstLine="420" w:firstLineChars="250"/>
    </w:pPr>
    <w:rPr>
      <w:sz w:val="24"/>
      <w:szCs w:val="24"/>
    </w:rPr>
  </w:style>
  <w:style w:type="character" w:styleId="23">
    <w:name w:val="Strong"/>
    <w:qFormat/>
    <w:uiPriority w:val="22"/>
  </w:style>
  <w:style w:type="character" w:styleId="24">
    <w:name w:val="page number"/>
    <w:basedOn w:val="22"/>
    <w:qFormat/>
    <w:uiPriority w:val="0"/>
  </w:style>
  <w:style w:type="character" w:styleId="25">
    <w:name w:val="FollowedHyperlink"/>
    <w:unhideWhenUsed/>
    <w:qFormat/>
    <w:uiPriority w:val="99"/>
    <w:rPr>
      <w:color w:val="000000"/>
      <w:sz w:val="18"/>
      <w:szCs w:val="18"/>
      <w:u w:val="none"/>
    </w:rPr>
  </w:style>
  <w:style w:type="character" w:styleId="26">
    <w:name w:val="Emphasis"/>
    <w:qFormat/>
    <w:uiPriority w:val="20"/>
  </w:style>
  <w:style w:type="character" w:styleId="27">
    <w:name w:val="HTML Definition"/>
    <w:unhideWhenUsed/>
    <w:qFormat/>
    <w:uiPriority w:val="99"/>
    <w:rPr>
      <w:u w:val="none"/>
    </w:rPr>
  </w:style>
  <w:style w:type="character" w:styleId="28">
    <w:name w:val="HTML Typewriter"/>
    <w:unhideWhenUsed/>
    <w:qFormat/>
    <w:uiPriority w:val="99"/>
    <w:rPr>
      <w:rFonts w:ascii="monospace" w:hAnsi="monospace" w:eastAsia="monospace" w:cs="monospace"/>
      <w:sz w:val="20"/>
    </w:rPr>
  </w:style>
  <w:style w:type="character" w:styleId="29">
    <w:name w:val="HTML Acronym"/>
    <w:basedOn w:val="22"/>
    <w:unhideWhenUsed/>
    <w:qFormat/>
    <w:uiPriority w:val="99"/>
  </w:style>
  <w:style w:type="character" w:styleId="30">
    <w:name w:val="HTML Variable"/>
    <w:unhideWhenUsed/>
    <w:qFormat/>
    <w:uiPriority w:val="99"/>
  </w:style>
  <w:style w:type="character" w:styleId="31">
    <w:name w:val="Hyperlink"/>
    <w:qFormat/>
    <w:uiPriority w:val="0"/>
    <w:rPr>
      <w:color w:val="333333"/>
      <w:u w:val="none"/>
    </w:rPr>
  </w:style>
  <w:style w:type="character" w:styleId="32">
    <w:name w:val="HTML Code"/>
    <w:unhideWhenUsed/>
    <w:qFormat/>
    <w:uiPriority w:val="99"/>
    <w:rPr>
      <w:rFonts w:hint="default" w:ascii="monospace" w:hAnsi="monospace" w:eastAsia="monospace" w:cs="monospace"/>
      <w:sz w:val="20"/>
    </w:rPr>
  </w:style>
  <w:style w:type="character" w:styleId="33">
    <w:name w:val="HTML Cite"/>
    <w:unhideWhenUsed/>
    <w:qFormat/>
    <w:uiPriority w:val="99"/>
  </w:style>
  <w:style w:type="character" w:styleId="34">
    <w:name w:val="HTML Keyboard"/>
    <w:unhideWhenUsed/>
    <w:qFormat/>
    <w:uiPriority w:val="99"/>
    <w:rPr>
      <w:rFonts w:hint="default" w:ascii="monospace" w:hAnsi="monospace" w:eastAsia="monospace" w:cs="monospace"/>
      <w:sz w:val="20"/>
    </w:rPr>
  </w:style>
  <w:style w:type="character" w:styleId="35">
    <w:name w:val="HTML Sample"/>
    <w:unhideWhenUsed/>
    <w:qFormat/>
    <w:uiPriority w:val="99"/>
    <w:rPr>
      <w:rFonts w:hint="default" w:ascii="monospace" w:hAnsi="monospace" w:eastAsia="monospace" w:cs="monospace"/>
    </w:rPr>
  </w:style>
  <w:style w:type="paragraph" w:customStyle="1" w:styleId="3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37">
    <w:name w:val="_Style 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列出段落21"/>
    <w:basedOn w:val="1"/>
    <w:qFormat/>
    <w:uiPriority w:val="34"/>
    <w:pPr>
      <w:adjustRightInd w:val="0"/>
      <w:snapToGrid w:val="0"/>
      <w:ind w:firstLine="420" w:firstLineChars="200"/>
    </w:pPr>
  </w:style>
  <w:style w:type="paragraph" w:customStyle="1" w:styleId="39">
    <w:name w:val="列出段落2"/>
    <w:basedOn w:val="1"/>
    <w:qFormat/>
    <w:uiPriority w:val="34"/>
    <w:pPr>
      <w:adjustRightInd w:val="0"/>
      <w:snapToGrid w:val="0"/>
      <w:ind w:firstLine="420" w:firstLineChars="200"/>
    </w:pPr>
  </w:style>
  <w:style w:type="paragraph" w:customStyle="1" w:styleId="40">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41">
    <w:name w:val="张勋－节格式－居中"/>
    <w:basedOn w:val="1"/>
    <w:qFormat/>
    <w:uiPriority w:val="0"/>
    <w:pPr>
      <w:jc w:val="center"/>
      <w:textAlignment w:val="center"/>
      <w:outlineLvl w:val="0"/>
    </w:pPr>
    <w:rPr>
      <w:rFonts w:ascii="宋体" w:hAnsi="宋体" w:cs="宋体"/>
      <w:b/>
      <w:bCs/>
      <w:sz w:val="28"/>
      <w:szCs w:val="28"/>
    </w:rPr>
  </w:style>
  <w:style w:type="paragraph" w:customStyle="1" w:styleId="42">
    <w:name w:val="正文2"/>
    <w:basedOn w:val="1"/>
    <w:link w:val="49"/>
    <w:qFormat/>
    <w:uiPriority w:val="0"/>
    <w:pPr>
      <w:adjustRightInd w:val="0"/>
      <w:snapToGrid w:val="0"/>
      <w:spacing w:line="360" w:lineRule="auto"/>
      <w:ind w:firstLine="480" w:firstLineChars="200"/>
    </w:pPr>
    <w:rPr>
      <w:rFonts w:ascii="华文中宋" w:hAnsi="华文中宋" w:eastAsia="华文中宋"/>
      <w:kern w:val="0"/>
      <w:sz w:val="24"/>
      <w:szCs w:val="24"/>
    </w:rPr>
  </w:style>
  <w:style w:type="paragraph" w:customStyle="1" w:styleId="43">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customStyle="1" w:styleId="44">
    <w:name w:val="Item List"/>
    <w:link w:val="52"/>
    <w:qFormat/>
    <w:uiPriority w:val="0"/>
    <w:pPr>
      <w:tabs>
        <w:tab w:val="left" w:pos="2126"/>
      </w:tabs>
      <w:adjustRightInd w:val="0"/>
      <w:snapToGrid w:val="0"/>
      <w:spacing w:before="80" w:after="80" w:line="240" w:lineRule="atLeast"/>
      <w:ind w:left="2126" w:hanging="425"/>
    </w:pPr>
    <w:rPr>
      <w:rFonts w:ascii="Times New Roman" w:hAnsi="Times New Roman" w:eastAsia="宋体" w:cs="Times New Roman"/>
      <w:kern w:val="2"/>
      <w:sz w:val="21"/>
      <w:szCs w:val="21"/>
      <w:lang w:val="en-US" w:eastAsia="zh-CN" w:bidi="ar-SA"/>
    </w:rPr>
  </w:style>
  <w:style w:type="paragraph" w:customStyle="1" w:styleId="45">
    <w:name w:val="列出段落1"/>
    <w:basedOn w:val="1"/>
    <w:qFormat/>
    <w:uiPriority w:val="0"/>
    <w:pPr>
      <w:ind w:firstLine="420" w:firstLineChars="200"/>
    </w:pPr>
  </w:style>
  <w:style w:type="paragraph" w:customStyle="1" w:styleId="46">
    <w:name w:val="报告正文"/>
    <w:basedOn w:val="1"/>
    <w:qFormat/>
    <w:uiPriority w:val="0"/>
    <w:pPr>
      <w:suppressAutoHyphens/>
      <w:adjustRightInd w:val="0"/>
      <w:snapToGrid w:val="0"/>
      <w:spacing w:line="312" w:lineRule="auto"/>
      <w:ind w:left="2600"/>
    </w:pPr>
    <w:rPr>
      <w:rFonts w:ascii="华文细黑" w:eastAsia="华文细黑"/>
      <w:sz w:val="20"/>
    </w:rPr>
  </w:style>
  <w:style w:type="character" w:customStyle="1" w:styleId="47">
    <w:name w:val="页眉 Char1"/>
    <w:semiHidden/>
    <w:qFormat/>
    <w:uiPriority w:val="99"/>
    <w:rPr>
      <w:rFonts w:ascii="Times New Roman" w:hAnsi="Times New Roman" w:eastAsia="宋体" w:cs="Times New Roman"/>
      <w:sz w:val="18"/>
      <w:szCs w:val="18"/>
    </w:rPr>
  </w:style>
  <w:style w:type="character" w:customStyle="1" w:styleId="48">
    <w:name w:val="批注框文本 字符"/>
    <w:link w:val="15"/>
    <w:semiHidden/>
    <w:qFormat/>
    <w:uiPriority w:val="99"/>
    <w:rPr>
      <w:rFonts w:ascii="Times New Roman" w:hAnsi="Times New Roman" w:eastAsia="宋体" w:cs="Times New Roman"/>
      <w:sz w:val="18"/>
      <w:szCs w:val="18"/>
    </w:rPr>
  </w:style>
  <w:style w:type="character" w:customStyle="1" w:styleId="49">
    <w:name w:val="正文2 Char"/>
    <w:link w:val="42"/>
    <w:qFormat/>
    <w:uiPriority w:val="0"/>
    <w:rPr>
      <w:rFonts w:ascii="华文中宋" w:hAnsi="华文中宋" w:eastAsia="华文中宋"/>
      <w:sz w:val="24"/>
      <w:szCs w:val="24"/>
    </w:rPr>
  </w:style>
  <w:style w:type="character" w:customStyle="1" w:styleId="50">
    <w:name w:val="标题 1 字符"/>
    <w:link w:val="6"/>
    <w:qFormat/>
    <w:uiPriority w:val="0"/>
    <w:rPr>
      <w:rFonts w:ascii="Times New Roman" w:hAnsi="Times New Roman" w:eastAsia="楷体_GB2312" w:cs="Times New Roman"/>
      <w:b/>
      <w:kern w:val="44"/>
      <w:sz w:val="44"/>
      <w:szCs w:val="20"/>
    </w:rPr>
  </w:style>
  <w:style w:type="character" w:customStyle="1" w:styleId="51">
    <w:name w:val="页眉 字符"/>
    <w:link w:val="17"/>
    <w:qFormat/>
    <w:uiPriority w:val="0"/>
    <w:rPr>
      <w:sz w:val="18"/>
      <w:szCs w:val="18"/>
    </w:rPr>
  </w:style>
  <w:style w:type="character" w:customStyle="1" w:styleId="52">
    <w:name w:val="Item List Char1"/>
    <w:link w:val="44"/>
    <w:qFormat/>
    <w:uiPriority w:val="0"/>
    <w:rPr>
      <w:kern w:val="2"/>
      <w:sz w:val="21"/>
      <w:szCs w:val="21"/>
      <w:lang w:val="en-US" w:eastAsia="zh-CN" w:bidi="ar-SA"/>
    </w:rPr>
  </w:style>
  <w:style w:type="character" w:customStyle="1" w:styleId="53">
    <w:name w:val="正文缩进 字符"/>
    <w:link w:val="9"/>
    <w:qFormat/>
    <w:uiPriority w:val="0"/>
    <w:rPr>
      <w:rFonts w:eastAsia="楷体_GB2312"/>
      <w:sz w:val="24"/>
    </w:rPr>
  </w:style>
  <w:style w:type="character" w:customStyle="1" w:styleId="54">
    <w:name w:val="日期 字符"/>
    <w:link w:val="13"/>
    <w:qFormat/>
    <w:uiPriority w:val="0"/>
    <w:rPr>
      <w:szCs w:val="24"/>
    </w:rPr>
  </w:style>
  <w:style w:type="character" w:customStyle="1" w:styleId="55">
    <w:name w:val="NormalCharacter"/>
    <w:semiHidden/>
    <w:qFormat/>
    <w:uiPriority w:val="0"/>
  </w:style>
  <w:style w:type="character" w:customStyle="1" w:styleId="56">
    <w:name w:val="正文文本 字符"/>
    <w:link w:val="11"/>
    <w:qFormat/>
    <w:uiPriority w:val="99"/>
    <w:rPr>
      <w:kern w:val="2"/>
      <w:sz w:val="21"/>
    </w:rPr>
  </w:style>
  <w:style w:type="character" w:customStyle="1" w:styleId="57">
    <w:name w:val="页脚 Char1"/>
    <w:semiHidden/>
    <w:qFormat/>
    <w:uiPriority w:val="99"/>
    <w:rPr>
      <w:rFonts w:ascii="Times New Roman" w:hAnsi="Times New Roman" w:eastAsia="宋体" w:cs="Times New Roman"/>
      <w:sz w:val="18"/>
      <w:szCs w:val="18"/>
    </w:rPr>
  </w:style>
  <w:style w:type="character" w:customStyle="1" w:styleId="58">
    <w:name w:val="日期 Char1"/>
    <w:semiHidden/>
    <w:qFormat/>
    <w:uiPriority w:val="99"/>
    <w:rPr>
      <w:rFonts w:ascii="Times New Roman" w:hAnsi="Times New Roman" w:eastAsia="宋体" w:cs="Times New Roman"/>
      <w:szCs w:val="20"/>
    </w:rPr>
  </w:style>
  <w:style w:type="character" w:customStyle="1" w:styleId="59">
    <w:name w:val="页脚 字符"/>
    <w:link w:val="16"/>
    <w:qFormat/>
    <w:uiPriority w:val="99"/>
    <w:rPr>
      <w:sz w:val="18"/>
      <w:szCs w:val="18"/>
    </w:rPr>
  </w:style>
  <w:style w:type="paragraph" w:customStyle="1" w:styleId="60">
    <w:name w:val="列表段落1"/>
    <w:basedOn w:val="1"/>
    <w:unhideWhenUsed/>
    <w:qFormat/>
    <w:uiPriority w:val="0"/>
    <w:pPr>
      <w:ind w:firstLine="420" w:firstLineChars="200"/>
    </w:pPr>
    <w:rPr>
      <w:szCs w:val="24"/>
    </w:rPr>
  </w:style>
  <w:style w:type="paragraph" w:customStyle="1" w:styleId="61">
    <w:name w:val="列表段落2"/>
    <w:basedOn w:val="1"/>
    <w:qFormat/>
    <w:uiPriority w:val="0"/>
    <w:pPr>
      <w:ind w:firstLine="420" w:firstLineChars="200"/>
    </w:pPr>
    <w:rPr>
      <w:rFonts w:ascii="Calibri" w:hAnsi="Calibri" w:cs="黑体"/>
      <w:szCs w:val="22"/>
    </w:rPr>
  </w:style>
  <w:style w:type="paragraph" w:customStyle="1" w:styleId="62">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CC61C-2BFF-CF42-9BD1-A5842578576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3012</Words>
  <Characters>17169</Characters>
  <Lines>143</Lines>
  <Paragraphs>40</Paragraphs>
  <TotalTime>1</TotalTime>
  <ScaleCrop>false</ScaleCrop>
  <LinksUpToDate>false</LinksUpToDate>
  <CharactersWithSpaces>20141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2022-04-22T07:37:00Z</dcterms:created>
  <dc:creator>何花</dc:creator>
  <cp:lastModifiedBy>顾芸瑄</cp:lastModifiedBy>
  <cp:lastPrinted>2020-06-01T09:20:00Z</cp:lastPrinted>
  <dcterms:modified xsi:type="dcterms:W3CDTF">2022-05-24T05:10:31Z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4CDBC43DC9CC4B6FBD23F77513FE1AE6</vt:lpwstr>
  </property>
</Properties>
</file>