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1A0F3C">
      <w:pPr>
        <w:spacing w:line="360" w:lineRule="auto"/>
        <w:rPr>
          <w:rFonts w:hint="eastAsia"/>
          <w:b/>
          <w:bCs/>
          <w:color w:val="auto"/>
          <w:sz w:val="52"/>
          <w:szCs w:val="52"/>
          <w:highlight w:val="none"/>
          <w:u w:val="single"/>
        </w:rPr>
      </w:pPr>
    </w:p>
    <w:p w14:paraId="411B022E">
      <w:pPr>
        <w:spacing w:line="360" w:lineRule="auto"/>
        <w:jc w:val="center"/>
        <w:rPr>
          <w:rFonts w:hint="eastAsia" w:hAnsi="宋体" w:eastAsia="宋体"/>
          <w:b/>
          <w:bCs/>
          <w:color w:val="auto"/>
          <w:sz w:val="44"/>
          <w:szCs w:val="44"/>
          <w:highlight w:val="none"/>
          <w:lang w:eastAsia="zh-CN"/>
        </w:rPr>
      </w:pPr>
      <w:r>
        <w:rPr>
          <w:rFonts w:hint="eastAsia" w:hAnsi="宋体"/>
          <w:b/>
          <w:bCs/>
          <w:color w:val="auto"/>
          <w:sz w:val="44"/>
          <w:szCs w:val="44"/>
          <w:highlight w:val="none"/>
          <w:lang w:eastAsia="zh-CN"/>
        </w:rPr>
        <w:t>鑫乾国际广场室外非机动车棚及地下非机动车库加装消防喷淋设施改造</w:t>
      </w:r>
    </w:p>
    <w:p w14:paraId="2BD98C6F">
      <w:pPr>
        <w:spacing w:line="360" w:lineRule="auto"/>
        <w:jc w:val="center"/>
        <w:rPr>
          <w:rFonts w:hAnsi="宋体"/>
          <w:b/>
          <w:bCs/>
          <w:color w:val="auto"/>
          <w:sz w:val="36"/>
          <w:szCs w:val="36"/>
          <w:highlight w:val="none"/>
        </w:rPr>
      </w:pPr>
    </w:p>
    <w:p w14:paraId="57B17590">
      <w:pPr>
        <w:spacing w:line="360" w:lineRule="auto"/>
        <w:jc w:val="center"/>
        <w:rPr>
          <w:rFonts w:hint="eastAsia"/>
          <w:b/>
          <w:bCs/>
          <w:color w:val="auto"/>
          <w:sz w:val="52"/>
          <w:szCs w:val="52"/>
          <w:highlight w:val="none"/>
        </w:rPr>
      </w:pPr>
    </w:p>
    <w:p w14:paraId="5EF8FF77">
      <w:pPr>
        <w:pStyle w:val="64"/>
        <w:rPr>
          <w:rFonts w:hint="eastAsia"/>
          <w:color w:val="auto"/>
          <w:highlight w:val="none"/>
        </w:rPr>
      </w:pPr>
    </w:p>
    <w:p w14:paraId="3051B23A">
      <w:pPr>
        <w:spacing w:line="360" w:lineRule="auto"/>
        <w:jc w:val="center"/>
        <w:rPr>
          <w:b/>
          <w:bCs/>
          <w:color w:val="auto"/>
          <w:sz w:val="52"/>
          <w:szCs w:val="52"/>
          <w:highlight w:val="none"/>
          <w:u w:val="single"/>
        </w:rPr>
      </w:pPr>
      <w:r>
        <w:rPr>
          <w:rFonts w:hAnsi="宋体"/>
          <w:b/>
          <w:bCs/>
          <w:color w:val="auto"/>
          <w:sz w:val="52"/>
          <w:szCs w:val="52"/>
          <w:highlight w:val="none"/>
        </w:rPr>
        <w:t>招标文件</w:t>
      </w:r>
    </w:p>
    <w:p w14:paraId="1F52E63A">
      <w:pPr>
        <w:spacing w:line="360" w:lineRule="auto"/>
        <w:jc w:val="center"/>
        <w:rPr>
          <w:color w:val="auto"/>
          <w:sz w:val="36"/>
          <w:szCs w:val="36"/>
          <w:highlight w:val="none"/>
        </w:rPr>
      </w:pPr>
      <w:r>
        <w:rPr>
          <w:rFonts w:hAnsi="宋体"/>
          <w:color w:val="auto"/>
          <w:sz w:val="36"/>
          <w:szCs w:val="36"/>
          <w:highlight w:val="none"/>
        </w:rPr>
        <w:t>（工程量清单计价）</w:t>
      </w:r>
    </w:p>
    <w:p w14:paraId="05C810A7">
      <w:pPr>
        <w:spacing w:line="360" w:lineRule="auto"/>
        <w:jc w:val="center"/>
        <w:rPr>
          <w:rFonts w:hint="eastAsia" w:hAnsi="宋体"/>
          <w:color w:val="auto"/>
          <w:sz w:val="28"/>
          <w:szCs w:val="28"/>
          <w:highlight w:val="none"/>
        </w:rPr>
      </w:pPr>
    </w:p>
    <w:p w14:paraId="2CBC7DC2">
      <w:pPr>
        <w:spacing w:line="360" w:lineRule="auto"/>
        <w:jc w:val="center"/>
        <w:rPr>
          <w:rFonts w:hAnsi="宋体"/>
          <w:color w:val="auto"/>
          <w:sz w:val="28"/>
          <w:szCs w:val="28"/>
          <w:highlight w:val="none"/>
        </w:rPr>
      </w:pPr>
      <w:r>
        <w:rPr>
          <w:rFonts w:hint="eastAsia" w:hAnsi="宋体"/>
          <w:color w:val="auto"/>
          <w:sz w:val="28"/>
          <w:szCs w:val="28"/>
          <w:highlight w:val="none"/>
        </w:rPr>
        <w:t xml:space="preserve"> </w:t>
      </w:r>
    </w:p>
    <w:p w14:paraId="2575C5A1">
      <w:pPr>
        <w:spacing w:line="360" w:lineRule="auto"/>
        <w:jc w:val="center"/>
        <w:rPr>
          <w:color w:val="auto"/>
          <w:sz w:val="25"/>
          <w:highlight w:val="none"/>
        </w:rPr>
      </w:pPr>
    </w:p>
    <w:p w14:paraId="454F0222">
      <w:pPr>
        <w:spacing w:line="360" w:lineRule="auto"/>
        <w:jc w:val="center"/>
        <w:rPr>
          <w:color w:val="auto"/>
          <w:sz w:val="25"/>
          <w:highlight w:val="none"/>
        </w:rPr>
      </w:pPr>
    </w:p>
    <w:p w14:paraId="77342D52">
      <w:pPr>
        <w:spacing w:line="360" w:lineRule="auto"/>
        <w:jc w:val="center"/>
        <w:rPr>
          <w:color w:val="auto"/>
          <w:sz w:val="25"/>
          <w:highlight w:val="none"/>
        </w:rPr>
      </w:pPr>
    </w:p>
    <w:p w14:paraId="2E83BEF2">
      <w:pPr>
        <w:spacing w:line="360" w:lineRule="auto"/>
        <w:jc w:val="center"/>
        <w:rPr>
          <w:rFonts w:hint="eastAsia"/>
          <w:color w:val="auto"/>
          <w:sz w:val="25"/>
          <w:highlight w:val="none"/>
        </w:rPr>
      </w:pPr>
    </w:p>
    <w:p w14:paraId="03937217">
      <w:pPr>
        <w:pStyle w:val="64"/>
        <w:ind w:firstLine="500"/>
        <w:rPr>
          <w:rFonts w:hint="eastAsia"/>
          <w:color w:val="auto"/>
          <w:highlight w:val="none"/>
        </w:rPr>
      </w:pPr>
    </w:p>
    <w:p w14:paraId="40896479">
      <w:pPr>
        <w:pStyle w:val="64"/>
        <w:ind w:firstLine="500"/>
        <w:rPr>
          <w:rFonts w:hint="eastAsia"/>
          <w:color w:val="auto"/>
          <w:highlight w:val="none"/>
        </w:rPr>
      </w:pPr>
    </w:p>
    <w:p w14:paraId="7B5A86C3">
      <w:pPr>
        <w:pStyle w:val="64"/>
        <w:ind w:firstLine="500"/>
        <w:rPr>
          <w:rFonts w:hint="eastAsia"/>
          <w:color w:val="auto"/>
          <w:highlight w:val="none"/>
        </w:rPr>
      </w:pPr>
    </w:p>
    <w:p w14:paraId="1050AEB4">
      <w:pPr>
        <w:spacing w:line="360" w:lineRule="auto"/>
        <w:jc w:val="center"/>
        <w:rPr>
          <w:color w:val="auto"/>
          <w:sz w:val="25"/>
          <w:highlight w:val="none"/>
        </w:rPr>
      </w:pPr>
    </w:p>
    <w:p w14:paraId="74A172BA">
      <w:pPr>
        <w:spacing w:line="360" w:lineRule="auto"/>
        <w:jc w:val="center"/>
        <w:rPr>
          <w:color w:val="auto"/>
          <w:sz w:val="25"/>
          <w:highlight w:val="none"/>
        </w:rPr>
      </w:pPr>
    </w:p>
    <w:p w14:paraId="678EF0DF">
      <w:pPr>
        <w:spacing w:line="360" w:lineRule="auto"/>
        <w:jc w:val="center"/>
        <w:rPr>
          <w:color w:val="auto"/>
          <w:sz w:val="25"/>
          <w:highlight w:val="none"/>
        </w:rPr>
      </w:pPr>
    </w:p>
    <w:p w14:paraId="187F6365">
      <w:pPr>
        <w:spacing w:line="360" w:lineRule="auto"/>
        <w:ind w:firstLine="803" w:firstLineChars="250"/>
        <w:rPr>
          <w:rFonts w:hint="eastAsia" w:hAnsi="宋体" w:eastAsia="宋体"/>
          <w:b/>
          <w:bCs/>
          <w:color w:val="auto"/>
          <w:sz w:val="32"/>
          <w:szCs w:val="32"/>
          <w:highlight w:val="none"/>
          <w:lang w:eastAsia="zh-CN"/>
        </w:rPr>
      </w:pPr>
      <w:r>
        <w:rPr>
          <w:rFonts w:hAnsi="宋体"/>
          <w:b/>
          <w:bCs/>
          <w:color w:val="auto"/>
          <w:sz w:val="32"/>
          <w:szCs w:val="32"/>
          <w:highlight w:val="none"/>
        </w:rPr>
        <w:t>招　标　人：</w:t>
      </w:r>
      <w:r>
        <w:rPr>
          <w:rFonts w:hint="eastAsia" w:hAnsi="宋体"/>
          <w:b/>
          <w:bCs/>
          <w:color w:val="auto"/>
          <w:sz w:val="32"/>
          <w:szCs w:val="32"/>
          <w:highlight w:val="none"/>
          <w:lang w:eastAsia="zh-CN"/>
        </w:rPr>
        <w:t>江苏乾坤物业管理有限公司</w:t>
      </w:r>
    </w:p>
    <w:p w14:paraId="045FDE34">
      <w:pPr>
        <w:spacing w:line="360" w:lineRule="auto"/>
        <w:ind w:firstLine="790" w:firstLineChars="246"/>
        <w:rPr>
          <w:rFonts w:hint="eastAsia" w:eastAsia="宋体"/>
          <w:b/>
          <w:bCs/>
          <w:color w:val="auto"/>
          <w:sz w:val="32"/>
          <w:szCs w:val="32"/>
          <w:highlight w:val="none"/>
          <w:lang w:eastAsia="zh-CN"/>
        </w:rPr>
      </w:pPr>
      <w:r>
        <w:rPr>
          <w:rFonts w:hAnsi="宋体"/>
          <w:b/>
          <w:bCs/>
          <w:color w:val="auto"/>
          <w:sz w:val="32"/>
          <w:szCs w:val="32"/>
          <w:highlight w:val="none"/>
        </w:rPr>
        <w:t>招标代理人：</w:t>
      </w:r>
      <w:r>
        <w:rPr>
          <w:rFonts w:hint="eastAsia" w:hAnsi="宋体"/>
          <w:b/>
          <w:bCs/>
          <w:color w:val="auto"/>
          <w:sz w:val="32"/>
          <w:szCs w:val="32"/>
          <w:highlight w:val="none"/>
          <w:lang w:eastAsia="zh-CN"/>
        </w:rPr>
        <w:t>南通通城建设工程项目管理有限公司</w:t>
      </w:r>
    </w:p>
    <w:p w14:paraId="0B64C73E">
      <w:pPr>
        <w:pStyle w:val="37"/>
        <w:spacing w:before="120" w:beforeLines="50" w:line="360" w:lineRule="auto"/>
        <w:ind w:left="99" w:leftChars="47" w:firstLine="2715" w:firstLineChars="845"/>
        <w:rPr>
          <w:b/>
          <w:color w:val="auto"/>
          <w:sz w:val="32"/>
          <w:szCs w:val="32"/>
          <w:highlight w:val="none"/>
        </w:rPr>
      </w:pPr>
      <w:r>
        <w:rPr>
          <w:rFonts w:hAnsi="宋体"/>
          <w:b/>
          <w:color w:val="auto"/>
          <w:sz w:val="32"/>
          <w:szCs w:val="32"/>
          <w:highlight w:val="none"/>
        </w:rPr>
        <w:t>二</w:t>
      </w:r>
      <w:r>
        <w:rPr>
          <w:rFonts w:hint="eastAsia" w:hAnsi="宋体"/>
          <w:b/>
          <w:color w:val="auto"/>
          <w:sz w:val="32"/>
          <w:szCs w:val="32"/>
          <w:highlight w:val="none"/>
        </w:rPr>
        <w:t>〇二五</w:t>
      </w:r>
      <w:r>
        <w:rPr>
          <w:rFonts w:hAnsi="宋体"/>
          <w:b/>
          <w:color w:val="auto"/>
          <w:sz w:val="32"/>
          <w:szCs w:val="32"/>
          <w:highlight w:val="none"/>
        </w:rPr>
        <w:t>年</w:t>
      </w:r>
      <w:r>
        <w:rPr>
          <w:rFonts w:hint="eastAsia" w:hAnsi="宋体"/>
          <w:b/>
          <w:color w:val="auto"/>
          <w:sz w:val="32"/>
          <w:szCs w:val="32"/>
          <w:highlight w:val="none"/>
          <w:lang w:val="en-US" w:eastAsia="zh-CN"/>
        </w:rPr>
        <w:t>七</w:t>
      </w:r>
      <w:r>
        <w:rPr>
          <w:rFonts w:hint="eastAsia" w:hAnsi="宋体"/>
          <w:b/>
          <w:color w:val="auto"/>
          <w:sz w:val="32"/>
          <w:szCs w:val="32"/>
          <w:highlight w:val="none"/>
        </w:rPr>
        <w:t>月</w:t>
      </w:r>
    </w:p>
    <w:p w14:paraId="5D5843EE">
      <w:pPr>
        <w:rPr>
          <w:color w:val="auto"/>
          <w:highlight w:val="none"/>
        </w:rPr>
      </w:pPr>
    </w:p>
    <w:p w14:paraId="6292F660">
      <w:pPr>
        <w:pStyle w:val="4"/>
        <w:jc w:val="center"/>
        <w:rPr>
          <w:b w:val="0"/>
          <w:color w:val="auto"/>
          <w:sz w:val="36"/>
          <w:highlight w:val="none"/>
        </w:rPr>
      </w:pPr>
      <w:bookmarkStart w:id="0" w:name="_Toc380681010"/>
      <w:bookmarkStart w:id="1" w:name="_Toc465181333"/>
      <w:bookmarkStart w:id="2" w:name="_Toc380681229"/>
      <w:bookmarkStart w:id="3" w:name="_Toc380680177"/>
      <w:bookmarkStart w:id="4" w:name="_Toc380680817"/>
      <w:r>
        <w:rPr>
          <w:rFonts w:hAnsi="宋体"/>
          <w:b w:val="0"/>
          <w:color w:val="auto"/>
          <w:sz w:val="36"/>
          <w:highlight w:val="none"/>
        </w:rPr>
        <w:t>工程招标文件备案表</w:t>
      </w:r>
      <w:bookmarkEnd w:id="0"/>
      <w:bookmarkEnd w:id="1"/>
      <w:bookmarkEnd w:id="2"/>
      <w:bookmarkEnd w:id="3"/>
      <w:bookmarkEnd w:id="4"/>
    </w:p>
    <w:tbl>
      <w:tblPr>
        <w:tblStyle w:val="65"/>
        <w:tblW w:w="0" w:type="auto"/>
        <w:tblInd w:w="392"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89"/>
      </w:tblGrid>
      <w:tr w14:paraId="449EA82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795" w:hRule="atLeast"/>
        </w:trPr>
        <w:tc>
          <w:tcPr>
            <w:tcW w:w="8589" w:type="dxa"/>
            <w:tcBorders>
              <w:top w:val="single" w:color="auto" w:sz="4" w:space="0"/>
              <w:left w:val="single" w:color="auto" w:sz="4" w:space="0"/>
              <w:bottom w:val="single" w:color="auto" w:sz="4" w:space="0"/>
              <w:right w:val="single" w:color="auto" w:sz="4" w:space="0"/>
            </w:tcBorders>
            <w:noWrap w:val="0"/>
            <w:vAlign w:val="top"/>
          </w:tcPr>
          <w:p w14:paraId="505E474B">
            <w:pPr>
              <w:spacing w:line="360" w:lineRule="auto"/>
              <w:rPr>
                <w:color w:val="auto"/>
                <w:sz w:val="25"/>
                <w:highlight w:val="none"/>
              </w:rPr>
            </w:pPr>
          </w:p>
          <w:p w14:paraId="618B249D">
            <w:pPr>
              <w:spacing w:line="360" w:lineRule="auto"/>
              <w:ind w:firstLine="700" w:firstLineChars="250"/>
              <w:rPr>
                <w:rFonts w:hint="eastAsia"/>
                <w:color w:val="auto"/>
                <w:sz w:val="28"/>
                <w:szCs w:val="28"/>
                <w:highlight w:val="none"/>
              </w:rPr>
            </w:pPr>
            <w:r>
              <w:rPr>
                <w:color w:val="auto"/>
                <w:sz w:val="28"/>
                <w:szCs w:val="28"/>
                <w:highlight w:val="none"/>
              </w:rPr>
              <w:t xml:space="preserve">编制人： </w:t>
            </w:r>
          </w:p>
          <w:p w14:paraId="29CAC87B">
            <w:pPr>
              <w:spacing w:line="360" w:lineRule="auto"/>
              <w:ind w:firstLine="700" w:firstLineChars="250"/>
              <w:rPr>
                <w:rFonts w:hint="eastAsia"/>
                <w:color w:val="auto"/>
                <w:sz w:val="28"/>
                <w:szCs w:val="28"/>
                <w:highlight w:val="none"/>
              </w:rPr>
            </w:pPr>
          </w:p>
          <w:p w14:paraId="2E7CC86B">
            <w:pPr>
              <w:spacing w:line="360" w:lineRule="auto"/>
              <w:ind w:firstLine="700" w:firstLineChars="250"/>
              <w:rPr>
                <w:color w:val="auto"/>
                <w:sz w:val="28"/>
                <w:szCs w:val="28"/>
                <w:highlight w:val="none"/>
              </w:rPr>
            </w:pPr>
          </w:p>
          <w:p w14:paraId="0770CA09">
            <w:pPr>
              <w:spacing w:line="360" w:lineRule="auto"/>
              <w:jc w:val="center"/>
              <w:rPr>
                <w:color w:val="auto"/>
                <w:sz w:val="28"/>
                <w:szCs w:val="28"/>
                <w:highlight w:val="none"/>
              </w:rPr>
            </w:pPr>
            <w:r>
              <w:rPr>
                <w:rFonts w:hint="eastAsia"/>
                <w:color w:val="auto"/>
                <w:sz w:val="28"/>
                <w:szCs w:val="28"/>
                <w:highlight w:val="none"/>
                <w:lang w:val="en-US" w:eastAsia="zh-CN"/>
              </w:rPr>
              <w:t xml:space="preserve">               </w:t>
            </w:r>
            <w:r>
              <w:rPr>
                <w:color w:val="auto"/>
                <w:sz w:val="28"/>
                <w:szCs w:val="28"/>
                <w:highlight w:val="none"/>
              </w:rPr>
              <w:t>日  期：20</w:t>
            </w:r>
            <w:r>
              <w:rPr>
                <w:rFonts w:hint="eastAsia"/>
                <w:color w:val="auto"/>
                <w:sz w:val="28"/>
                <w:szCs w:val="28"/>
                <w:highlight w:val="none"/>
              </w:rPr>
              <w:t>2</w:t>
            </w:r>
            <w:r>
              <w:rPr>
                <w:rFonts w:hint="eastAsia"/>
                <w:color w:val="auto"/>
                <w:sz w:val="28"/>
                <w:szCs w:val="28"/>
                <w:highlight w:val="none"/>
                <w:lang w:val="en-US" w:eastAsia="zh-CN"/>
              </w:rPr>
              <w:t>5</w:t>
            </w:r>
            <w:r>
              <w:rPr>
                <w:color w:val="auto"/>
                <w:sz w:val="28"/>
                <w:szCs w:val="28"/>
                <w:highlight w:val="none"/>
              </w:rPr>
              <w:t>年</w:t>
            </w:r>
            <w:bookmarkStart w:id="585" w:name="_GoBack"/>
            <w:r>
              <w:rPr>
                <w:rFonts w:hint="eastAsia"/>
                <w:color w:val="auto"/>
                <w:sz w:val="28"/>
                <w:szCs w:val="28"/>
                <w:highlight w:val="none"/>
                <w:lang w:val="en-US" w:eastAsia="zh-CN"/>
              </w:rPr>
              <w:t>7</w:t>
            </w:r>
            <w:bookmarkEnd w:id="585"/>
            <w:r>
              <w:rPr>
                <w:color w:val="auto"/>
                <w:sz w:val="28"/>
                <w:szCs w:val="28"/>
                <w:highlight w:val="none"/>
              </w:rPr>
              <w:t>月</w:t>
            </w:r>
            <w:r>
              <w:rPr>
                <w:rFonts w:hint="eastAsia"/>
                <w:color w:val="auto"/>
                <w:sz w:val="28"/>
                <w:szCs w:val="28"/>
                <w:highlight w:val="none"/>
                <w:lang w:val="en-US" w:eastAsia="zh-CN"/>
              </w:rPr>
              <w:t>18</w:t>
            </w:r>
            <w:r>
              <w:rPr>
                <w:color w:val="auto"/>
                <w:sz w:val="28"/>
                <w:szCs w:val="28"/>
                <w:highlight w:val="none"/>
              </w:rPr>
              <w:t>日</w:t>
            </w:r>
          </w:p>
        </w:tc>
      </w:tr>
      <w:tr w14:paraId="03B349B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945" w:hRule="atLeast"/>
        </w:trPr>
        <w:tc>
          <w:tcPr>
            <w:tcW w:w="8589" w:type="dxa"/>
            <w:tcBorders>
              <w:top w:val="single" w:color="auto" w:sz="4" w:space="0"/>
              <w:left w:val="single" w:color="auto" w:sz="4" w:space="0"/>
              <w:bottom w:val="single" w:color="auto" w:sz="4" w:space="0"/>
              <w:right w:val="single" w:color="auto" w:sz="4" w:space="0"/>
            </w:tcBorders>
            <w:noWrap w:val="0"/>
            <w:vAlign w:val="top"/>
          </w:tcPr>
          <w:p w14:paraId="5268CA4A">
            <w:pPr>
              <w:spacing w:line="360" w:lineRule="auto"/>
              <w:rPr>
                <w:color w:val="auto"/>
                <w:sz w:val="28"/>
                <w:szCs w:val="28"/>
                <w:highlight w:val="none"/>
              </w:rPr>
            </w:pPr>
          </w:p>
          <w:p w14:paraId="0F116E9D">
            <w:pPr>
              <w:spacing w:line="360" w:lineRule="auto"/>
              <w:rPr>
                <w:rFonts w:hint="eastAsia"/>
                <w:color w:val="auto"/>
                <w:sz w:val="28"/>
                <w:szCs w:val="28"/>
                <w:highlight w:val="none"/>
              </w:rPr>
            </w:pPr>
            <w:r>
              <w:rPr>
                <w:color w:val="auto"/>
                <w:sz w:val="28"/>
                <w:szCs w:val="28"/>
                <w:highlight w:val="none"/>
              </w:rPr>
              <w:t xml:space="preserve">     </w:t>
            </w:r>
          </w:p>
          <w:p w14:paraId="42980C97">
            <w:pPr>
              <w:spacing w:line="360" w:lineRule="auto"/>
              <w:ind w:firstLine="700" w:firstLineChars="250"/>
              <w:rPr>
                <w:color w:val="auto"/>
                <w:sz w:val="28"/>
                <w:szCs w:val="28"/>
                <w:highlight w:val="none"/>
              </w:rPr>
            </w:pPr>
            <w:r>
              <w:rPr>
                <w:color w:val="auto"/>
                <w:sz w:val="28"/>
                <w:szCs w:val="28"/>
                <w:highlight w:val="none"/>
              </w:rPr>
              <w:t xml:space="preserve"> 招标人（盖章）             　法定代表人（签字或盖章）</w:t>
            </w:r>
          </w:p>
          <w:p w14:paraId="18E74C38">
            <w:pPr>
              <w:spacing w:line="360" w:lineRule="auto"/>
              <w:ind w:firstLine="840" w:firstLineChars="300"/>
              <w:rPr>
                <w:rFonts w:hint="eastAsia"/>
                <w:color w:val="auto"/>
                <w:sz w:val="28"/>
                <w:szCs w:val="28"/>
                <w:highlight w:val="none"/>
              </w:rPr>
            </w:pPr>
          </w:p>
          <w:p w14:paraId="1CA83333">
            <w:pPr>
              <w:spacing w:line="360" w:lineRule="auto"/>
              <w:ind w:firstLine="840" w:firstLineChars="300"/>
              <w:rPr>
                <w:color w:val="auto"/>
                <w:sz w:val="28"/>
                <w:szCs w:val="28"/>
                <w:highlight w:val="none"/>
              </w:rPr>
            </w:pPr>
          </w:p>
          <w:p w14:paraId="27F28AE1">
            <w:pPr>
              <w:spacing w:line="360" w:lineRule="auto"/>
              <w:ind w:firstLine="840" w:firstLineChars="300"/>
              <w:rPr>
                <w:color w:val="auto"/>
                <w:sz w:val="28"/>
                <w:szCs w:val="28"/>
                <w:highlight w:val="none"/>
              </w:rPr>
            </w:pPr>
          </w:p>
          <w:p w14:paraId="053C7826">
            <w:pPr>
              <w:spacing w:line="360" w:lineRule="auto"/>
              <w:ind w:firstLine="840" w:firstLineChars="300"/>
              <w:rPr>
                <w:rFonts w:hint="eastAsia" w:eastAsia="宋体"/>
                <w:color w:val="auto"/>
                <w:sz w:val="28"/>
                <w:szCs w:val="28"/>
                <w:highlight w:val="none"/>
                <w:lang w:val="en-US" w:eastAsia="zh-CN"/>
              </w:rPr>
            </w:pPr>
            <w:r>
              <w:rPr>
                <w:rFonts w:hint="eastAsia"/>
                <w:color w:val="auto"/>
                <w:sz w:val="28"/>
                <w:szCs w:val="28"/>
                <w:highlight w:val="none"/>
                <w:lang w:val="en-US" w:eastAsia="zh-CN"/>
              </w:rPr>
              <w:t xml:space="preserve"> </w:t>
            </w:r>
          </w:p>
          <w:p w14:paraId="19199807">
            <w:pPr>
              <w:spacing w:line="360" w:lineRule="auto"/>
              <w:ind w:right="1400"/>
              <w:jc w:val="center"/>
              <w:rPr>
                <w:color w:val="auto"/>
                <w:sz w:val="28"/>
                <w:szCs w:val="28"/>
                <w:highlight w:val="none"/>
              </w:rPr>
            </w:pPr>
            <w:r>
              <w:rPr>
                <w:rFonts w:hint="eastAsia"/>
                <w:color w:val="auto"/>
                <w:sz w:val="28"/>
                <w:szCs w:val="28"/>
                <w:highlight w:val="none"/>
              </w:rPr>
              <w:t xml:space="preserve">          </w:t>
            </w:r>
            <w:r>
              <w:rPr>
                <w:rFonts w:hint="eastAsia"/>
                <w:color w:val="auto"/>
                <w:sz w:val="28"/>
                <w:szCs w:val="28"/>
                <w:highlight w:val="none"/>
                <w:lang w:val="en-US" w:eastAsia="zh-CN"/>
              </w:rPr>
              <w:t xml:space="preserve">                 </w:t>
            </w:r>
            <w:r>
              <w:rPr>
                <w:color w:val="auto"/>
                <w:sz w:val="28"/>
                <w:szCs w:val="28"/>
                <w:highlight w:val="none"/>
              </w:rPr>
              <w:t>日  期：20</w:t>
            </w:r>
            <w:r>
              <w:rPr>
                <w:rFonts w:hint="eastAsia"/>
                <w:color w:val="auto"/>
                <w:sz w:val="28"/>
                <w:szCs w:val="28"/>
                <w:highlight w:val="none"/>
              </w:rPr>
              <w:t>2</w:t>
            </w:r>
            <w:r>
              <w:rPr>
                <w:rFonts w:hint="eastAsia"/>
                <w:color w:val="auto"/>
                <w:sz w:val="28"/>
                <w:szCs w:val="28"/>
                <w:highlight w:val="none"/>
                <w:lang w:val="en-US" w:eastAsia="zh-CN"/>
              </w:rPr>
              <w:t>5</w:t>
            </w:r>
            <w:r>
              <w:rPr>
                <w:color w:val="auto"/>
                <w:sz w:val="28"/>
                <w:szCs w:val="28"/>
                <w:highlight w:val="none"/>
              </w:rPr>
              <w:t>年</w:t>
            </w:r>
            <w:r>
              <w:rPr>
                <w:rFonts w:hint="eastAsia"/>
                <w:color w:val="auto"/>
                <w:sz w:val="28"/>
                <w:szCs w:val="28"/>
                <w:highlight w:val="none"/>
                <w:lang w:val="en-US" w:eastAsia="zh-CN"/>
              </w:rPr>
              <w:t>7</w:t>
            </w:r>
            <w:r>
              <w:rPr>
                <w:color w:val="auto"/>
                <w:sz w:val="28"/>
                <w:szCs w:val="28"/>
                <w:highlight w:val="none"/>
              </w:rPr>
              <w:t>月</w:t>
            </w:r>
            <w:r>
              <w:rPr>
                <w:rFonts w:hint="eastAsia"/>
                <w:color w:val="auto"/>
                <w:sz w:val="28"/>
                <w:szCs w:val="28"/>
                <w:highlight w:val="none"/>
                <w:lang w:val="en-US" w:eastAsia="zh-CN"/>
              </w:rPr>
              <w:t>18</w:t>
            </w:r>
            <w:r>
              <w:rPr>
                <w:color w:val="auto"/>
                <w:sz w:val="28"/>
                <w:szCs w:val="28"/>
                <w:highlight w:val="none"/>
              </w:rPr>
              <w:t>日</w:t>
            </w:r>
          </w:p>
        </w:tc>
      </w:tr>
      <w:tr w14:paraId="29DFDEA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212" w:hRule="atLeast"/>
        </w:trPr>
        <w:tc>
          <w:tcPr>
            <w:tcW w:w="8589" w:type="dxa"/>
            <w:tcBorders>
              <w:top w:val="single" w:color="auto" w:sz="4" w:space="0"/>
              <w:left w:val="single" w:color="auto" w:sz="4" w:space="0"/>
              <w:bottom w:val="single" w:color="auto" w:sz="4" w:space="0"/>
              <w:right w:val="single" w:color="auto" w:sz="4" w:space="0"/>
            </w:tcBorders>
            <w:noWrap w:val="0"/>
            <w:vAlign w:val="top"/>
          </w:tcPr>
          <w:p w14:paraId="5C9267FB">
            <w:pPr>
              <w:spacing w:line="360" w:lineRule="auto"/>
              <w:rPr>
                <w:color w:val="auto"/>
                <w:sz w:val="28"/>
                <w:szCs w:val="28"/>
                <w:highlight w:val="none"/>
              </w:rPr>
            </w:pPr>
          </w:p>
          <w:p w14:paraId="7F040275">
            <w:pPr>
              <w:spacing w:line="360" w:lineRule="auto"/>
              <w:rPr>
                <w:color w:val="auto"/>
                <w:sz w:val="28"/>
                <w:szCs w:val="28"/>
                <w:highlight w:val="none"/>
              </w:rPr>
            </w:pPr>
          </w:p>
          <w:p w14:paraId="20295EF3">
            <w:pPr>
              <w:spacing w:line="360" w:lineRule="auto"/>
              <w:ind w:firstLine="840" w:firstLineChars="300"/>
              <w:rPr>
                <w:rFonts w:hint="eastAsia"/>
                <w:color w:val="auto"/>
                <w:sz w:val="28"/>
                <w:szCs w:val="28"/>
                <w:highlight w:val="none"/>
              </w:rPr>
            </w:pPr>
            <w:r>
              <w:rPr>
                <w:color w:val="auto"/>
                <w:sz w:val="28"/>
                <w:szCs w:val="28"/>
                <w:highlight w:val="none"/>
              </w:rPr>
              <w:t>招标代理机构（盖章）         法定代表人（签字或盖章）</w:t>
            </w:r>
          </w:p>
          <w:p w14:paraId="2F07A2DA">
            <w:pPr>
              <w:spacing w:line="360" w:lineRule="auto"/>
              <w:ind w:firstLine="840" w:firstLineChars="300"/>
              <w:rPr>
                <w:rFonts w:hint="eastAsia"/>
                <w:color w:val="auto"/>
                <w:sz w:val="28"/>
                <w:szCs w:val="28"/>
                <w:highlight w:val="none"/>
              </w:rPr>
            </w:pPr>
          </w:p>
          <w:p w14:paraId="42A24236">
            <w:pPr>
              <w:spacing w:line="360" w:lineRule="auto"/>
              <w:ind w:firstLine="840" w:firstLineChars="300"/>
              <w:rPr>
                <w:rFonts w:hint="eastAsia"/>
                <w:color w:val="auto"/>
                <w:sz w:val="28"/>
                <w:szCs w:val="28"/>
                <w:highlight w:val="none"/>
              </w:rPr>
            </w:pPr>
          </w:p>
          <w:p w14:paraId="68F086A1">
            <w:pPr>
              <w:spacing w:line="360" w:lineRule="auto"/>
              <w:ind w:firstLine="840" w:firstLineChars="300"/>
              <w:rPr>
                <w:rFonts w:hint="eastAsia"/>
                <w:color w:val="auto"/>
                <w:sz w:val="28"/>
                <w:szCs w:val="28"/>
                <w:highlight w:val="none"/>
              </w:rPr>
            </w:pPr>
          </w:p>
          <w:p w14:paraId="7B2ACA9D">
            <w:pPr>
              <w:spacing w:line="360" w:lineRule="auto"/>
              <w:ind w:firstLine="840" w:firstLineChars="300"/>
              <w:rPr>
                <w:color w:val="auto"/>
                <w:sz w:val="28"/>
                <w:szCs w:val="28"/>
                <w:highlight w:val="none"/>
              </w:rPr>
            </w:pPr>
          </w:p>
          <w:p w14:paraId="2A50EF5E">
            <w:pPr>
              <w:spacing w:line="360" w:lineRule="auto"/>
              <w:jc w:val="center"/>
              <w:rPr>
                <w:color w:val="auto"/>
                <w:sz w:val="28"/>
                <w:szCs w:val="28"/>
                <w:highlight w:val="none"/>
              </w:rPr>
            </w:pPr>
            <w:r>
              <w:rPr>
                <w:rFonts w:hint="eastAsia"/>
                <w:color w:val="auto"/>
                <w:sz w:val="28"/>
                <w:szCs w:val="28"/>
                <w:highlight w:val="none"/>
              </w:rPr>
              <w:t xml:space="preserve">         </w:t>
            </w:r>
            <w:r>
              <w:rPr>
                <w:rFonts w:hint="eastAsia"/>
                <w:color w:val="auto"/>
                <w:sz w:val="28"/>
                <w:szCs w:val="28"/>
                <w:highlight w:val="none"/>
                <w:lang w:val="en-US" w:eastAsia="zh-CN"/>
              </w:rPr>
              <w:t xml:space="preserve">      </w:t>
            </w:r>
            <w:r>
              <w:rPr>
                <w:rFonts w:hint="eastAsia"/>
                <w:color w:val="auto"/>
                <w:sz w:val="28"/>
                <w:szCs w:val="28"/>
                <w:highlight w:val="none"/>
              </w:rPr>
              <w:t xml:space="preserve"> </w:t>
            </w:r>
            <w:r>
              <w:rPr>
                <w:color w:val="auto"/>
                <w:sz w:val="28"/>
                <w:szCs w:val="28"/>
                <w:highlight w:val="none"/>
              </w:rPr>
              <w:t>日  期：20</w:t>
            </w:r>
            <w:r>
              <w:rPr>
                <w:rFonts w:hint="eastAsia"/>
                <w:color w:val="auto"/>
                <w:sz w:val="28"/>
                <w:szCs w:val="28"/>
                <w:highlight w:val="none"/>
              </w:rPr>
              <w:t>2</w:t>
            </w:r>
            <w:r>
              <w:rPr>
                <w:rFonts w:hint="eastAsia"/>
                <w:color w:val="auto"/>
                <w:sz w:val="28"/>
                <w:szCs w:val="28"/>
                <w:highlight w:val="none"/>
                <w:lang w:val="en-US" w:eastAsia="zh-CN"/>
              </w:rPr>
              <w:t>5</w:t>
            </w:r>
            <w:r>
              <w:rPr>
                <w:color w:val="auto"/>
                <w:sz w:val="28"/>
                <w:szCs w:val="28"/>
                <w:highlight w:val="none"/>
              </w:rPr>
              <w:t>年</w:t>
            </w:r>
            <w:r>
              <w:rPr>
                <w:rFonts w:hint="eastAsia"/>
                <w:color w:val="auto"/>
                <w:sz w:val="28"/>
                <w:szCs w:val="28"/>
                <w:highlight w:val="none"/>
                <w:lang w:val="en-US" w:eastAsia="zh-CN"/>
              </w:rPr>
              <w:t>7</w:t>
            </w:r>
            <w:r>
              <w:rPr>
                <w:color w:val="auto"/>
                <w:sz w:val="28"/>
                <w:szCs w:val="28"/>
                <w:highlight w:val="none"/>
              </w:rPr>
              <w:t>月</w:t>
            </w:r>
            <w:r>
              <w:rPr>
                <w:rFonts w:hint="eastAsia"/>
                <w:color w:val="auto"/>
                <w:sz w:val="28"/>
                <w:szCs w:val="28"/>
                <w:highlight w:val="none"/>
                <w:lang w:val="en-US" w:eastAsia="zh-CN"/>
              </w:rPr>
              <w:t>18</w:t>
            </w:r>
            <w:r>
              <w:rPr>
                <w:color w:val="auto"/>
                <w:sz w:val="28"/>
                <w:szCs w:val="28"/>
                <w:highlight w:val="none"/>
              </w:rPr>
              <w:t xml:space="preserve">日            </w:t>
            </w:r>
          </w:p>
          <w:p w14:paraId="7020349B">
            <w:pPr>
              <w:spacing w:line="360" w:lineRule="auto"/>
              <w:jc w:val="center"/>
              <w:rPr>
                <w:color w:val="auto"/>
                <w:sz w:val="28"/>
                <w:szCs w:val="28"/>
                <w:highlight w:val="none"/>
              </w:rPr>
            </w:pPr>
          </w:p>
        </w:tc>
      </w:tr>
    </w:tbl>
    <w:p w14:paraId="72F7D40B">
      <w:pPr>
        <w:pStyle w:val="4"/>
        <w:spacing w:before="100" w:beforeAutospacing="1" w:after="100" w:afterAutospacing="1"/>
        <w:ind w:firstLine="1428" w:firstLineChars="395"/>
        <w:rPr>
          <w:color w:val="auto"/>
          <w:sz w:val="36"/>
          <w:highlight w:val="none"/>
        </w:rPr>
      </w:pPr>
      <w:r>
        <w:rPr>
          <w:color w:val="auto"/>
          <w:sz w:val="36"/>
          <w:highlight w:val="none"/>
        </w:rPr>
        <w:br w:type="page"/>
      </w:r>
      <w:bookmarkStart w:id="5" w:name="_Toc380681011"/>
      <w:bookmarkStart w:id="6" w:name="_Toc380681230"/>
      <w:bookmarkStart w:id="7" w:name="_Toc380680178"/>
      <w:bookmarkStart w:id="8" w:name="_Toc465181334"/>
      <w:bookmarkStart w:id="9" w:name="_Toc380680818"/>
      <w:r>
        <w:rPr>
          <w:rFonts w:hAnsi="宋体"/>
          <w:color w:val="auto"/>
          <w:sz w:val="36"/>
          <w:highlight w:val="none"/>
        </w:rPr>
        <w:t>第一章</w:t>
      </w:r>
      <w:r>
        <w:rPr>
          <w:color w:val="auto"/>
          <w:sz w:val="36"/>
          <w:highlight w:val="none"/>
        </w:rPr>
        <w:t xml:space="preserve"> </w:t>
      </w:r>
      <w:r>
        <w:rPr>
          <w:rFonts w:hAnsi="宋体"/>
          <w:color w:val="auto"/>
          <w:sz w:val="36"/>
          <w:highlight w:val="none"/>
        </w:rPr>
        <w:t>投标人须知及投标人须知前附表</w:t>
      </w:r>
      <w:bookmarkEnd w:id="5"/>
      <w:bookmarkEnd w:id="6"/>
      <w:bookmarkEnd w:id="7"/>
      <w:bookmarkEnd w:id="8"/>
      <w:bookmarkEnd w:id="9"/>
    </w:p>
    <w:p w14:paraId="34A53CA0">
      <w:pPr>
        <w:pStyle w:val="5"/>
        <w:jc w:val="center"/>
        <w:rPr>
          <w:rFonts w:ascii="Times New Roman" w:hAnsi="Times New Roman" w:eastAsia="宋体"/>
          <w:color w:val="auto"/>
          <w:sz w:val="25"/>
          <w:highlight w:val="none"/>
        </w:rPr>
      </w:pPr>
      <w:bookmarkStart w:id="10" w:name="_Toc380681231"/>
      <w:bookmarkStart w:id="11" w:name="_Toc380680179"/>
      <w:bookmarkStart w:id="12" w:name="_Toc380680819"/>
      <w:bookmarkStart w:id="13" w:name="_Toc380681012"/>
      <w:r>
        <w:rPr>
          <w:rFonts w:ascii="Times New Roman" w:hAnsi="宋体" w:eastAsia="宋体"/>
          <w:color w:val="auto"/>
          <w:sz w:val="30"/>
          <w:highlight w:val="none"/>
        </w:rPr>
        <w:t>一、投标人须知前附表</w:t>
      </w:r>
      <w:bookmarkEnd w:id="10"/>
      <w:bookmarkEnd w:id="11"/>
      <w:bookmarkEnd w:id="12"/>
      <w:bookmarkEnd w:id="13"/>
    </w:p>
    <w:tbl>
      <w:tblPr>
        <w:tblStyle w:val="65"/>
        <w:tblW w:w="93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5"/>
        <w:gridCol w:w="990"/>
        <w:gridCol w:w="1840"/>
        <w:gridCol w:w="5783"/>
      </w:tblGrid>
      <w:tr w14:paraId="2D911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jc w:val="center"/>
        </w:trPr>
        <w:tc>
          <w:tcPr>
            <w:tcW w:w="765" w:type="dxa"/>
            <w:noWrap w:val="0"/>
            <w:vAlign w:val="center"/>
          </w:tcPr>
          <w:p w14:paraId="59C627CC">
            <w:pPr>
              <w:ind w:left="23" w:hanging="23" w:hangingChars="11"/>
              <w:jc w:val="center"/>
              <w:rPr>
                <w:rFonts w:ascii="宋体" w:hAnsi="宋体"/>
                <w:b/>
                <w:color w:val="auto"/>
                <w:szCs w:val="21"/>
                <w:highlight w:val="none"/>
              </w:rPr>
            </w:pPr>
            <w:r>
              <w:rPr>
                <w:rFonts w:ascii="宋体" w:hAnsi="宋体"/>
                <w:b/>
                <w:color w:val="auto"/>
                <w:szCs w:val="21"/>
                <w:highlight w:val="none"/>
              </w:rPr>
              <w:t>项号</w:t>
            </w:r>
          </w:p>
        </w:tc>
        <w:tc>
          <w:tcPr>
            <w:tcW w:w="990" w:type="dxa"/>
            <w:noWrap w:val="0"/>
            <w:vAlign w:val="center"/>
          </w:tcPr>
          <w:p w14:paraId="548134F5">
            <w:pPr>
              <w:jc w:val="center"/>
              <w:rPr>
                <w:rFonts w:ascii="宋体" w:hAnsi="宋体"/>
                <w:b/>
                <w:color w:val="auto"/>
                <w:szCs w:val="21"/>
                <w:highlight w:val="none"/>
              </w:rPr>
            </w:pPr>
            <w:r>
              <w:rPr>
                <w:rFonts w:ascii="宋体" w:hAnsi="宋体"/>
                <w:b/>
                <w:color w:val="auto"/>
                <w:szCs w:val="21"/>
                <w:highlight w:val="none"/>
              </w:rPr>
              <w:t>条款号</w:t>
            </w:r>
          </w:p>
        </w:tc>
        <w:tc>
          <w:tcPr>
            <w:tcW w:w="1840" w:type="dxa"/>
            <w:noWrap w:val="0"/>
            <w:vAlign w:val="center"/>
          </w:tcPr>
          <w:p w14:paraId="4604825E">
            <w:pPr>
              <w:jc w:val="center"/>
              <w:rPr>
                <w:rFonts w:ascii="宋体" w:hAnsi="宋体"/>
                <w:b/>
                <w:color w:val="auto"/>
                <w:szCs w:val="21"/>
                <w:highlight w:val="none"/>
              </w:rPr>
            </w:pPr>
            <w:r>
              <w:rPr>
                <w:rFonts w:ascii="宋体" w:hAnsi="宋体"/>
                <w:b/>
                <w:color w:val="auto"/>
                <w:szCs w:val="21"/>
                <w:highlight w:val="none"/>
              </w:rPr>
              <w:t>内    容</w:t>
            </w:r>
          </w:p>
        </w:tc>
        <w:tc>
          <w:tcPr>
            <w:tcW w:w="5783" w:type="dxa"/>
            <w:noWrap w:val="0"/>
            <w:vAlign w:val="center"/>
          </w:tcPr>
          <w:p w14:paraId="18709D7A">
            <w:pPr>
              <w:jc w:val="center"/>
              <w:rPr>
                <w:rFonts w:ascii="宋体" w:hAnsi="宋体"/>
                <w:b/>
                <w:color w:val="auto"/>
                <w:szCs w:val="21"/>
                <w:highlight w:val="none"/>
              </w:rPr>
            </w:pPr>
            <w:r>
              <w:rPr>
                <w:rFonts w:ascii="宋体" w:hAnsi="宋体"/>
                <w:b/>
                <w:color w:val="auto"/>
                <w:szCs w:val="21"/>
                <w:highlight w:val="none"/>
              </w:rPr>
              <w:t>说 明 与 要 求</w:t>
            </w:r>
          </w:p>
        </w:tc>
      </w:tr>
      <w:tr w14:paraId="2BBE4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65" w:type="dxa"/>
            <w:noWrap w:val="0"/>
            <w:vAlign w:val="center"/>
          </w:tcPr>
          <w:p w14:paraId="0B55902F">
            <w:pPr>
              <w:jc w:val="center"/>
              <w:rPr>
                <w:rFonts w:ascii="宋体" w:hAnsi="宋体"/>
                <w:color w:val="auto"/>
                <w:szCs w:val="21"/>
                <w:highlight w:val="none"/>
              </w:rPr>
            </w:pPr>
            <w:bookmarkStart w:id="14" w:name="_Hlk186635802"/>
            <w:r>
              <w:rPr>
                <w:rFonts w:ascii="宋体" w:hAnsi="宋体"/>
                <w:color w:val="auto"/>
                <w:szCs w:val="21"/>
                <w:highlight w:val="none"/>
              </w:rPr>
              <w:t>1</w:t>
            </w:r>
          </w:p>
        </w:tc>
        <w:tc>
          <w:tcPr>
            <w:tcW w:w="990" w:type="dxa"/>
            <w:noWrap w:val="0"/>
            <w:vAlign w:val="center"/>
          </w:tcPr>
          <w:p w14:paraId="196156F8">
            <w:pPr>
              <w:jc w:val="center"/>
              <w:rPr>
                <w:rFonts w:ascii="宋体" w:hAnsi="宋体"/>
                <w:color w:val="auto"/>
                <w:szCs w:val="21"/>
                <w:highlight w:val="none"/>
              </w:rPr>
            </w:pPr>
            <w:r>
              <w:rPr>
                <w:rFonts w:ascii="宋体" w:hAnsi="宋体"/>
                <w:color w:val="auto"/>
                <w:szCs w:val="21"/>
                <w:highlight w:val="none"/>
              </w:rPr>
              <w:t>1.1</w:t>
            </w:r>
          </w:p>
        </w:tc>
        <w:tc>
          <w:tcPr>
            <w:tcW w:w="1840" w:type="dxa"/>
            <w:noWrap w:val="0"/>
            <w:vAlign w:val="center"/>
          </w:tcPr>
          <w:p w14:paraId="3D4C428D">
            <w:pPr>
              <w:jc w:val="center"/>
              <w:rPr>
                <w:rFonts w:ascii="宋体" w:hAnsi="宋体"/>
                <w:color w:val="auto"/>
                <w:szCs w:val="21"/>
                <w:highlight w:val="none"/>
              </w:rPr>
            </w:pPr>
            <w:r>
              <w:rPr>
                <w:rFonts w:ascii="宋体" w:hAnsi="宋体"/>
                <w:color w:val="auto"/>
                <w:szCs w:val="21"/>
                <w:highlight w:val="none"/>
              </w:rPr>
              <w:t>工程名称</w:t>
            </w:r>
          </w:p>
        </w:tc>
        <w:tc>
          <w:tcPr>
            <w:tcW w:w="5783" w:type="dxa"/>
            <w:noWrap w:val="0"/>
            <w:vAlign w:val="center"/>
          </w:tcPr>
          <w:p w14:paraId="104B282A">
            <w:pPr>
              <w:rPr>
                <w:rFonts w:hint="eastAsia" w:ascii="宋体" w:hAnsi="宋体" w:eastAsia="宋体"/>
                <w:b/>
                <w:bCs/>
                <w:color w:val="auto"/>
                <w:szCs w:val="21"/>
                <w:highlight w:val="none"/>
                <w:u w:val="single"/>
                <w:lang w:eastAsia="zh-CN"/>
              </w:rPr>
            </w:pPr>
            <w:r>
              <w:rPr>
                <w:rFonts w:hint="eastAsia" w:ascii="宋体" w:hAnsi="宋体"/>
                <w:color w:val="auto"/>
                <w:szCs w:val="21"/>
                <w:highlight w:val="none"/>
                <w:lang w:eastAsia="zh-CN"/>
              </w:rPr>
              <w:t>鑫乾国际广场室外非机动车棚及地下非机动车库加装消防喷淋设施改造</w:t>
            </w:r>
          </w:p>
        </w:tc>
      </w:tr>
      <w:bookmarkEnd w:id="14"/>
      <w:tr w14:paraId="28C85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65" w:type="dxa"/>
            <w:noWrap w:val="0"/>
            <w:vAlign w:val="center"/>
          </w:tcPr>
          <w:p w14:paraId="7997D1A3">
            <w:pPr>
              <w:jc w:val="center"/>
              <w:rPr>
                <w:rFonts w:ascii="宋体" w:hAnsi="宋体"/>
                <w:color w:val="auto"/>
                <w:szCs w:val="21"/>
                <w:highlight w:val="none"/>
              </w:rPr>
            </w:pPr>
            <w:r>
              <w:rPr>
                <w:rFonts w:ascii="宋体" w:hAnsi="宋体"/>
                <w:color w:val="auto"/>
                <w:szCs w:val="21"/>
                <w:highlight w:val="none"/>
              </w:rPr>
              <w:t>2</w:t>
            </w:r>
          </w:p>
        </w:tc>
        <w:tc>
          <w:tcPr>
            <w:tcW w:w="990" w:type="dxa"/>
            <w:noWrap w:val="0"/>
            <w:vAlign w:val="center"/>
          </w:tcPr>
          <w:p w14:paraId="25A3A9D4">
            <w:pPr>
              <w:jc w:val="center"/>
              <w:rPr>
                <w:rFonts w:ascii="宋体" w:hAnsi="宋体"/>
                <w:color w:val="auto"/>
                <w:szCs w:val="21"/>
                <w:highlight w:val="none"/>
              </w:rPr>
            </w:pPr>
            <w:r>
              <w:rPr>
                <w:rFonts w:ascii="宋体" w:hAnsi="宋体"/>
                <w:color w:val="auto"/>
                <w:szCs w:val="21"/>
                <w:highlight w:val="none"/>
              </w:rPr>
              <w:t>1.1</w:t>
            </w:r>
          </w:p>
        </w:tc>
        <w:tc>
          <w:tcPr>
            <w:tcW w:w="1840" w:type="dxa"/>
            <w:noWrap w:val="0"/>
            <w:vAlign w:val="center"/>
          </w:tcPr>
          <w:p w14:paraId="3F1B4484">
            <w:pPr>
              <w:jc w:val="center"/>
              <w:rPr>
                <w:rFonts w:ascii="宋体" w:hAnsi="宋体"/>
                <w:color w:val="auto"/>
                <w:szCs w:val="21"/>
                <w:highlight w:val="none"/>
              </w:rPr>
            </w:pPr>
            <w:r>
              <w:rPr>
                <w:rFonts w:ascii="宋体" w:hAnsi="宋体"/>
                <w:color w:val="auto"/>
                <w:szCs w:val="21"/>
                <w:highlight w:val="none"/>
              </w:rPr>
              <w:t>建设地点</w:t>
            </w:r>
          </w:p>
        </w:tc>
        <w:tc>
          <w:tcPr>
            <w:tcW w:w="5783" w:type="dxa"/>
            <w:noWrap w:val="0"/>
            <w:vAlign w:val="center"/>
          </w:tcPr>
          <w:p w14:paraId="43AE9E1A">
            <w:pPr>
              <w:rPr>
                <w:rFonts w:hint="eastAsia" w:ascii="宋体" w:hAnsi="宋体"/>
                <w:color w:val="auto"/>
                <w:szCs w:val="21"/>
                <w:highlight w:val="none"/>
              </w:rPr>
            </w:pPr>
            <w:r>
              <w:rPr>
                <w:rFonts w:hint="eastAsia" w:ascii="宋体" w:hAnsi="宋体"/>
                <w:color w:val="auto"/>
                <w:szCs w:val="21"/>
                <w:highlight w:val="none"/>
              </w:rPr>
              <w:t>南通市崇川区</w:t>
            </w:r>
          </w:p>
        </w:tc>
      </w:tr>
      <w:tr w14:paraId="24C68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65" w:type="dxa"/>
            <w:noWrap w:val="0"/>
            <w:vAlign w:val="center"/>
          </w:tcPr>
          <w:p w14:paraId="7F9B846E">
            <w:pPr>
              <w:jc w:val="center"/>
              <w:rPr>
                <w:rFonts w:ascii="宋体" w:hAnsi="宋体"/>
                <w:color w:val="auto"/>
                <w:szCs w:val="21"/>
                <w:highlight w:val="none"/>
              </w:rPr>
            </w:pPr>
            <w:r>
              <w:rPr>
                <w:rFonts w:ascii="宋体" w:hAnsi="宋体"/>
                <w:color w:val="auto"/>
                <w:szCs w:val="21"/>
                <w:highlight w:val="none"/>
              </w:rPr>
              <w:t>3</w:t>
            </w:r>
          </w:p>
        </w:tc>
        <w:tc>
          <w:tcPr>
            <w:tcW w:w="990" w:type="dxa"/>
            <w:noWrap w:val="0"/>
            <w:vAlign w:val="center"/>
          </w:tcPr>
          <w:p w14:paraId="57A9F4C1">
            <w:pPr>
              <w:jc w:val="center"/>
              <w:rPr>
                <w:rFonts w:ascii="宋体" w:hAnsi="宋体"/>
                <w:color w:val="auto"/>
                <w:szCs w:val="21"/>
                <w:highlight w:val="none"/>
              </w:rPr>
            </w:pPr>
            <w:r>
              <w:rPr>
                <w:rFonts w:ascii="宋体" w:hAnsi="宋体"/>
                <w:color w:val="auto"/>
                <w:szCs w:val="21"/>
                <w:highlight w:val="none"/>
              </w:rPr>
              <w:t>1.1</w:t>
            </w:r>
          </w:p>
        </w:tc>
        <w:tc>
          <w:tcPr>
            <w:tcW w:w="1840" w:type="dxa"/>
            <w:noWrap w:val="0"/>
            <w:vAlign w:val="center"/>
          </w:tcPr>
          <w:p w14:paraId="4186994A">
            <w:pPr>
              <w:jc w:val="center"/>
              <w:rPr>
                <w:rFonts w:ascii="宋体" w:hAnsi="宋体"/>
                <w:color w:val="auto"/>
                <w:szCs w:val="21"/>
                <w:highlight w:val="none"/>
              </w:rPr>
            </w:pPr>
            <w:r>
              <w:rPr>
                <w:rFonts w:ascii="宋体" w:hAnsi="宋体"/>
                <w:color w:val="auto"/>
                <w:szCs w:val="21"/>
                <w:highlight w:val="none"/>
              </w:rPr>
              <w:t>建设规模</w:t>
            </w:r>
          </w:p>
        </w:tc>
        <w:tc>
          <w:tcPr>
            <w:tcW w:w="5783" w:type="dxa"/>
            <w:noWrap w:val="0"/>
            <w:vAlign w:val="center"/>
          </w:tcPr>
          <w:p w14:paraId="0A8015B0">
            <w:pPr>
              <w:rPr>
                <w:rFonts w:ascii="宋体" w:hAnsi="宋体"/>
                <w:color w:val="auto"/>
                <w:szCs w:val="21"/>
                <w:highlight w:val="none"/>
              </w:rPr>
            </w:pPr>
            <w:bookmarkStart w:id="15" w:name="_Hlk186633613"/>
            <w:r>
              <w:rPr>
                <w:rFonts w:ascii="宋体" w:hAnsi="宋体"/>
                <w:color w:val="auto"/>
                <w:szCs w:val="21"/>
                <w:highlight w:val="none"/>
              </w:rPr>
              <w:t>约</w:t>
            </w:r>
            <w:r>
              <w:rPr>
                <w:rFonts w:hint="eastAsia" w:ascii="宋体" w:hAnsi="宋体"/>
                <w:color w:val="auto"/>
                <w:szCs w:val="21"/>
                <w:highlight w:val="none"/>
                <w:lang w:val="en-US" w:eastAsia="zh-CN"/>
              </w:rPr>
              <w:t>11.3</w:t>
            </w:r>
            <w:r>
              <w:rPr>
                <w:rFonts w:hint="eastAsia" w:ascii="宋体" w:hAnsi="宋体"/>
                <w:color w:val="auto"/>
                <w:szCs w:val="21"/>
                <w:highlight w:val="none"/>
              </w:rPr>
              <w:t>万元</w:t>
            </w:r>
            <w:bookmarkEnd w:id="15"/>
          </w:p>
        </w:tc>
      </w:tr>
      <w:tr w14:paraId="4BAE6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65" w:type="dxa"/>
            <w:noWrap w:val="0"/>
            <w:vAlign w:val="center"/>
          </w:tcPr>
          <w:p w14:paraId="4BE15CCE">
            <w:pPr>
              <w:jc w:val="center"/>
              <w:rPr>
                <w:rFonts w:ascii="宋体" w:hAnsi="宋体"/>
                <w:color w:val="auto"/>
                <w:szCs w:val="21"/>
                <w:highlight w:val="none"/>
              </w:rPr>
            </w:pPr>
            <w:r>
              <w:rPr>
                <w:rFonts w:ascii="宋体" w:hAnsi="宋体"/>
                <w:color w:val="auto"/>
                <w:szCs w:val="21"/>
                <w:highlight w:val="none"/>
              </w:rPr>
              <w:t>4</w:t>
            </w:r>
          </w:p>
        </w:tc>
        <w:tc>
          <w:tcPr>
            <w:tcW w:w="990" w:type="dxa"/>
            <w:noWrap w:val="0"/>
            <w:vAlign w:val="center"/>
          </w:tcPr>
          <w:p w14:paraId="099EE3A7">
            <w:pPr>
              <w:jc w:val="center"/>
              <w:rPr>
                <w:rFonts w:ascii="宋体" w:hAnsi="宋体"/>
                <w:color w:val="auto"/>
                <w:szCs w:val="21"/>
                <w:highlight w:val="none"/>
              </w:rPr>
            </w:pPr>
            <w:r>
              <w:rPr>
                <w:rFonts w:ascii="宋体" w:hAnsi="宋体"/>
                <w:color w:val="auto"/>
                <w:szCs w:val="21"/>
                <w:highlight w:val="none"/>
              </w:rPr>
              <w:t>1.1</w:t>
            </w:r>
          </w:p>
        </w:tc>
        <w:tc>
          <w:tcPr>
            <w:tcW w:w="1840" w:type="dxa"/>
            <w:noWrap w:val="0"/>
            <w:vAlign w:val="center"/>
          </w:tcPr>
          <w:p w14:paraId="28631FBA">
            <w:pPr>
              <w:jc w:val="center"/>
              <w:rPr>
                <w:rFonts w:ascii="宋体" w:hAnsi="宋体"/>
                <w:color w:val="auto"/>
                <w:szCs w:val="21"/>
                <w:highlight w:val="none"/>
              </w:rPr>
            </w:pPr>
            <w:r>
              <w:rPr>
                <w:rFonts w:ascii="宋体" w:hAnsi="宋体"/>
                <w:color w:val="auto"/>
                <w:szCs w:val="21"/>
                <w:highlight w:val="none"/>
              </w:rPr>
              <w:t>承包方式</w:t>
            </w:r>
          </w:p>
        </w:tc>
        <w:tc>
          <w:tcPr>
            <w:tcW w:w="5783" w:type="dxa"/>
            <w:noWrap w:val="0"/>
            <w:vAlign w:val="center"/>
          </w:tcPr>
          <w:p w14:paraId="0DD50A17">
            <w:pPr>
              <w:rPr>
                <w:rFonts w:ascii="宋体" w:hAnsi="宋体"/>
                <w:color w:val="auto"/>
                <w:szCs w:val="21"/>
                <w:highlight w:val="none"/>
              </w:rPr>
            </w:pPr>
            <w:r>
              <w:rPr>
                <w:rFonts w:ascii="宋体" w:hAnsi="宋体"/>
                <w:color w:val="auto"/>
                <w:szCs w:val="21"/>
                <w:highlight w:val="none"/>
              </w:rPr>
              <w:t>包工包料</w:t>
            </w:r>
          </w:p>
        </w:tc>
      </w:tr>
      <w:tr w14:paraId="5D0B3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65" w:type="dxa"/>
            <w:noWrap w:val="0"/>
            <w:vAlign w:val="center"/>
          </w:tcPr>
          <w:p w14:paraId="400DC536">
            <w:pPr>
              <w:jc w:val="center"/>
              <w:rPr>
                <w:rFonts w:ascii="宋体" w:hAnsi="宋体"/>
                <w:color w:val="auto"/>
                <w:szCs w:val="21"/>
                <w:highlight w:val="none"/>
              </w:rPr>
            </w:pPr>
            <w:r>
              <w:rPr>
                <w:rFonts w:ascii="宋体" w:hAnsi="宋体"/>
                <w:color w:val="auto"/>
                <w:szCs w:val="21"/>
                <w:highlight w:val="none"/>
              </w:rPr>
              <w:t>5</w:t>
            </w:r>
          </w:p>
        </w:tc>
        <w:tc>
          <w:tcPr>
            <w:tcW w:w="990" w:type="dxa"/>
            <w:noWrap w:val="0"/>
            <w:vAlign w:val="center"/>
          </w:tcPr>
          <w:p w14:paraId="4D4487F1">
            <w:pPr>
              <w:jc w:val="center"/>
              <w:rPr>
                <w:rFonts w:ascii="宋体" w:hAnsi="宋体"/>
                <w:color w:val="auto"/>
                <w:szCs w:val="21"/>
                <w:highlight w:val="none"/>
              </w:rPr>
            </w:pPr>
            <w:r>
              <w:rPr>
                <w:rFonts w:ascii="宋体" w:hAnsi="宋体"/>
                <w:color w:val="auto"/>
                <w:szCs w:val="21"/>
                <w:highlight w:val="none"/>
              </w:rPr>
              <w:t>1.1</w:t>
            </w:r>
          </w:p>
        </w:tc>
        <w:tc>
          <w:tcPr>
            <w:tcW w:w="1840" w:type="dxa"/>
            <w:noWrap w:val="0"/>
            <w:vAlign w:val="center"/>
          </w:tcPr>
          <w:p w14:paraId="448B7E3C">
            <w:pPr>
              <w:jc w:val="center"/>
              <w:rPr>
                <w:rFonts w:ascii="宋体" w:hAnsi="宋体"/>
                <w:color w:val="auto"/>
                <w:szCs w:val="21"/>
                <w:highlight w:val="none"/>
              </w:rPr>
            </w:pPr>
            <w:r>
              <w:rPr>
                <w:rFonts w:ascii="宋体" w:hAnsi="宋体"/>
                <w:color w:val="auto"/>
                <w:szCs w:val="21"/>
                <w:highlight w:val="none"/>
              </w:rPr>
              <w:t>质量标准</w:t>
            </w:r>
          </w:p>
        </w:tc>
        <w:tc>
          <w:tcPr>
            <w:tcW w:w="5783" w:type="dxa"/>
            <w:noWrap w:val="0"/>
            <w:vAlign w:val="center"/>
          </w:tcPr>
          <w:p w14:paraId="383046FE">
            <w:pPr>
              <w:jc w:val="left"/>
              <w:rPr>
                <w:rFonts w:ascii="宋体" w:hAnsi="宋体"/>
                <w:color w:val="auto"/>
                <w:szCs w:val="21"/>
                <w:highlight w:val="none"/>
              </w:rPr>
            </w:pPr>
            <w:r>
              <w:rPr>
                <w:rFonts w:ascii="宋体" w:hAnsi="宋体"/>
                <w:color w:val="auto"/>
                <w:szCs w:val="21"/>
                <w:highlight w:val="none"/>
              </w:rPr>
              <w:t>合格</w:t>
            </w:r>
          </w:p>
        </w:tc>
      </w:tr>
      <w:tr w14:paraId="3E89A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765" w:type="dxa"/>
            <w:noWrap w:val="0"/>
            <w:vAlign w:val="center"/>
          </w:tcPr>
          <w:p w14:paraId="7B4F46DE">
            <w:pPr>
              <w:jc w:val="center"/>
              <w:rPr>
                <w:rFonts w:ascii="宋体" w:hAnsi="宋体"/>
                <w:color w:val="auto"/>
                <w:szCs w:val="21"/>
                <w:highlight w:val="none"/>
              </w:rPr>
            </w:pPr>
            <w:r>
              <w:rPr>
                <w:rFonts w:ascii="宋体" w:hAnsi="宋体"/>
                <w:color w:val="auto"/>
                <w:szCs w:val="21"/>
                <w:highlight w:val="none"/>
              </w:rPr>
              <w:t>6</w:t>
            </w:r>
          </w:p>
        </w:tc>
        <w:tc>
          <w:tcPr>
            <w:tcW w:w="990" w:type="dxa"/>
            <w:noWrap w:val="0"/>
            <w:vAlign w:val="center"/>
          </w:tcPr>
          <w:p w14:paraId="6254CA21">
            <w:pPr>
              <w:jc w:val="center"/>
              <w:rPr>
                <w:rFonts w:ascii="宋体" w:hAnsi="宋体"/>
                <w:color w:val="auto"/>
                <w:szCs w:val="21"/>
                <w:highlight w:val="none"/>
              </w:rPr>
            </w:pPr>
            <w:r>
              <w:rPr>
                <w:rFonts w:ascii="宋体" w:hAnsi="宋体"/>
                <w:color w:val="auto"/>
                <w:szCs w:val="21"/>
                <w:highlight w:val="none"/>
              </w:rPr>
              <w:t>1.1</w:t>
            </w:r>
          </w:p>
        </w:tc>
        <w:tc>
          <w:tcPr>
            <w:tcW w:w="1840" w:type="dxa"/>
            <w:noWrap w:val="0"/>
            <w:vAlign w:val="center"/>
          </w:tcPr>
          <w:p w14:paraId="75B4388A">
            <w:pPr>
              <w:jc w:val="center"/>
              <w:rPr>
                <w:rFonts w:ascii="宋体" w:hAnsi="宋体"/>
                <w:color w:val="auto"/>
                <w:szCs w:val="21"/>
                <w:highlight w:val="none"/>
              </w:rPr>
            </w:pPr>
            <w:r>
              <w:rPr>
                <w:rFonts w:ascii="宋体" w:hAnsi="宋体"/>
                <w:color w:val="auto"/>
                <w:szCs w:val="21"/>
                <w:highlight w:val="none"/>
              </w:rPr>
              <w:t>工期要求</w:t>
            </w:r>
          </w:p>
        </w:tc>
        <w:tc>
          <w:tcPr>
            <w:tcW w:w="5783" w:type="dxa"/>
            <w:noWrap w:val="0"/>
            <w:vAlign w:val="center"/>
          </w:tcPr>
          <w:p w14:paraId="7100FFE0">
            <w:pPr>
              <w:rPr>
                <w:rFonts w:ascii="宋体" w:hAnsi="宋体"/>
                <w:color w:val="auto"/>
                <w:szCs w:val="21"/>
                <w:highlight w:val="none"/>
              </w:rPr>
            </w:pPr>
            <w:r>
              <w:rPr>
                <w:rFonts w:ascii="宋体" w:hAnsi="宋体"/>
                <w:color w:val="auto"/>
                <w:szCs w:val="21"/>
                <w:highlight w:val="none"/>
              </w:rPr>
              <w:t>施工总工期</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 xml:space="preserve"> 20</w:t>
            </w:r>
            <w:r>
              <w:rPr>
                <w:rFonts w:hint="eastAsia" w:ascii="宋体" w:hAnsi="宋体"/>
                <w:color w:val="auto"/>
                <w:szCs w:val="21"/>
                <w:highlight w:val="none"/>
                <w:u w:val="single"/>
              </w:rPr>
              <w:t xml:space="preserve"> </w:t>
            </w:r>
            <w:r>
              <w:rPr>
                <w:rFonts w:ascii="宋体" w:hAnsi="宋体"/>
                <w:color w:val="auto"/>
                <w:szCs w:val="21"/>
                <w:highlight w:val="none"/>
              </w:rPr>
              <w:t>日历天</w:t>
            </w:r>
          </w:p>
          <w:p w14:paraId="573614F8">
            <w:pPr>
              <w:rPr>
                <w:rFonts w:ascii="宋体" w:hAnsi="宋体"/>
                <w:color w:val="auto"/>
                <w:szCs w:val="21"/>
                <w:highlight w:val="none"/>
              </w:rPr>
            </w:pPr>
            <w:r>
              <w:rPr>
                <w:rFonts w:ascii="宋体" w:hAnsi="宋体"/>
                <w:color w:val="auto"/>
                <w:szCs w:val="21"/>
                <w:highlight w:val="none"/>
              </w:rPr>
              <w:t>（具体开工时间以发包人签发的开工通知书为准）</w:t>
            </w:r>
          </w:p>
        </w:tc>
      </w:tr>
      <w:tr w14:paraId="20132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65" w:type="dxa"/>
            <w:noWrap w:val="0"/>
            <w:vAlign w:val="center"/>
          </w:tcPr>
          <w:p w14:paraId="22378828">
            <w:pPr>
              <w:jc w:val="center"/>
              <w:rPr>
                <w:rFonts w:ascii="宋体" w:hAnsi="宋体"/>
                <w:color w:val="auto"/>
                <w:szCs w:val="21"/>
                <w:highlight w:val="none"/>
              </w:rPr>
            </w:pPr>
            <w:r>
              <w:rPr>
                <w:rFonts w:ascii="宋体" w:hAnsi="宋体"/>
                <w:color w:val="auto"/>
                <w:szCs w:val="21"/>
                <w:highlight w:val="none"/>
              </w:rPr>
              <w:t>7</w:t>
            </w:r>
          </w:p>
        </w:tc>
        <w:tc>
          <w:tcPr>
            <w:tcW w:w="990" w:type="dxa"/>
            <w:noWrap w:val="0"/>
            <w:vAlign w:val="center"/>
          </w:tcPr>
          <w:p w14:paraId="7CF8FD0C">
            <w:pPr>
              <w:jc w:val="center"/>
              <w:rPr>
                <w:rFonts w:ascii="宋体" w:hAnsi="宋体"/>
                <w:color w:val="auto"/>
                <w:szCs w:val="21"/>
                <w:highlight w:val="none"/>
              </w:rPr>
            </w:pPr>
            <w:r>
              <w:rPr>
                <w:rFonts w:ascii="宋体" w:hAnsi="宋体"/>
                <w:color w:val="auto"/>
                <w:szCs w:val="21"/>
                <w:highlight w:val="none"/>
              </w:rPr>
              <w:t>1.4</w:t>
            </w:r>
          </w:p>
        </w:tc>
        <w:tc>
          <w:tcPr>
            <w:tcW w:w="1840" w:type="dxa"/>
            <w:noWrap w:val="0"/>
            <w:vAlign w:val="center"/>
          </w:tcPr>
          <w:p w14:paraId="33AC35D2">
            <w:pPr>
              <w:jc w:val="center"/>
              <w:rPr>
                <w:rFonts w:ascii="宋体" w:hAnsi="宋体"/>
                <w:color w:val="auto"/>
                <w:kern w:val="0"/>
                <w:szCs w:val="21"/>
                <w:highlight w:val="none"/>
              </w:rPr>
            </w:pPr>
            <w:r>
              <w:rPr>
                <w:rFonts w:ascii="宋体" w:hAnsi="宋体"/>
                <w:color w:val="auto"/>
                <w:kern w:val="0"/>
                <w:szCs w:val="21"/>
                <w:highlight w:val="none"/>
              </w:rPr>
              <w:t>资金来源</w:t>
            </w:r>
          </w:p>
        </w:tc>
        <w:tc>
          <w:tcPr>
            <w:tcW w:w="5783" w:type="dxa"/>
            <w:noWrap w:val="0"/>
            <w:vAlign w:val="center"/>
          </w:tcPr>
          <w:p w14:paraId="6AB1C719">
            <w:pPr>
              <w:rPr>
                <w:rFonts w:ascii="宋体" w:hAnsi="宋体"/>
                <w:color w:val="auto"/>
                <w:kern w:val="0"/>
                <w:szCs w:val="21"/>
                <w:highlight w:val="none"/>
              </w:rPr>
            </w:pPr>
            <w:r>
              <w:rPr>
                <w:rFonts w:hint="eastAsia" w:ascii="宋体" w:hAnsi="宋体"/>
                <w:color w:val="auto"/>
                <w:kern w:val="0"/>
                <w:szCs w:val="21"/>
                <w:highlight w:val="none"/>
              </w:rPr>
              <w:t>住宅专项维修资金</w:t>
            </w:r>
          </w:p>
        </w:tc>
      </w:tr>
      <w:tr w14:paraId="777E2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765" w:type="dxa"/>
            <w:noWrap w:val="0"/>
            <w:vAlign w:val="center"/>
          </w:tcPr>
          <w:p w14:paraId="49313CBF">
            <w:pPr>
              <w:jc w:val="center"/>
              <w:rPr>
                <w:rFonts w:ascii="宋体" w:hAnsi="宋体"/>
                <w:color w:val="auto"/>
                <w:kern w:val="0"/>
                <w:szCs w:val="21"/>
                <w:highlight w:val="none"/>
              </w:rPr>
            </w:pPr>
            <w:r>
              <w:rPr>
                <w:rFonts w:ascii="宋体" w:hAnsi="宋体"/>
                <w:color w:val="auto"/>
                <w:kern w:val="0"/>
                <w:szCs w:val="21"/>
                <w:highlight w:val="none"/>
              </w:rPr>
              <w:t>8</w:t>
            </w:r>
          </w:p>
        </w:tc>
        <w:tc>
          <w:tcPr>
            <w:tcW w:w="990" w:type="dxa"/>
            <w:noWrap w:val="0"/>
            <w:vAlign w:val="center"/>
          </w:tcPr>
          <w:p w14:paraId="64D30BB9">
            <w:pPr>
              <w:jc w:val="center"/>
              <w:rPr>
                <w:rFonts w:ascii="宋体" w:hAnsi="宋体"/>
                <w:color w:val="auto"/>
                <w:kern w:val="0"/>
                <w:szCs w:val="21"/>
                <w:highlight w:val="none"/>
              </w:rPr>
            </w:pPr>
            <w:r>
              <w:rPr>
                <w:rFonts w:ascii="宋体" w:hAnsi="宋体"/>
                <w:color w:val="auto"/>
                <w:kern w:val="0"/>
                <w:szCs w:val="21"/>
                <w:highlight w:val="none"/>
              </w:rPr>
              <w:t>2.1</w:t>
            </w:r>
          </w:p>
        </w:tc>
        <w:tc>
          <w:tcPr>
            <w:tcW w:w="1840" w:type="dxa"/>
            <w:noWrap w:val="0"/>
            <w:vAlign w:val="center"/>
          </w:tcPr>
          <w:p w14:paraId="6BB488FC">
            <w:pPr>
              <w:spacing w:line="280" w:lineRule="exact"/>
              <w:jc w:val="center"/>
              <w:rPr>
                <w:rFonts w:ascii="宋体" w:hAnsi="宋体"/>
                <w:color w:val="auto"/>
                <w:kern w:val="0"/>
                <w:szCs w:val="21"/>
                <w:highlight w:val="none"/>
              </w:rPr>
            </w:pPr>
            <w:r>
              <w:rPr>
                <w:rFonts w:ascii="宋体" w:hAnsi="宋体"/>
                <w:color w:val="auto"/>
                <w:kern w:val="0"/>
                <w:szCs w:val="21"/>
                <w:highlight w:val="none"/>
              </w:rPr>
              <w:t>招标范围</w:t>
            </w:r>
          </w:p>
        </w:tc>
        <w:tc>
          <w:tcPr>
            <w:tcW w:w="5783" w:type="dxa"/>
            <w:noWrap w:val="0"/>
            <w:vAlign w:val="center"/>
          </w:tcPr>
          <w:p w14:paraId="62DB4F17">
            <w:pPr>
              <w:widowControl/>
              <w:adjustRightInd w:val="0"/>
              <w:spacing w:line="280" w:lineRule="exact"/>
              <w:contextualSpacing/>
              <w:rPr>
                <w:rFonts w:ascii="宋体" w:hAnsi="宋体"/>
                <w:color w:val="auto"/>
                <w:szCs w:val="21"/>
                <w:highlight w:val="none"/>
              </w:rPr>
            </w:pPr>
            <w:r>
              <w:rPr>
                <w:rFonts w:hint="eastAsia" w:ascii="宋体" w:hAnsi="宋体"/>
                <w:color w:val="auto"/>
                <w:szCs w:val="21"/>
                <w:highlight w:val="none"/>
                <w:lang w:eastAsia="zh-CN"/>
              </w:rPr>
              <w:t>鑫乾国际广场室外非机动车棚及地下非机动车库加装消防喷淋设施改造</w:t>
            </w:r>
            <w:r>
              <w:rPr>
                <w:rFonts w:hint="eastAsia" w:ascii="宋体" w:hAnsi="宋体"/>
                <w:color w:val="auto"/>
                <w:szCs w:val="21"/>
                <w:highlight w:val="none"/>
              </w:rPr>
              <w:t>共分一个标段，具体详见施工图纸</w:t>
            </w:r>
            <w:r>
              <w:rPr>
                <w:rFonts w:ascii="宋体" w:hAnsi="宋体"/>
                <w:color w:val="auto"/>
                <w:szCs w:val="21"/>
                <w:highlight w:val="none"/>
              </w:rPr>
              <w:t>及</w:t>
            </w:r>
            <w:r>
              <w:rPr>
                <w:rFonts w:hint="eastAsia" w:ascii="宋体" w:hAnsi="宋体"/>
                <w:color w:val="auto"/>
                <w:szCs w:val="21"/>
                <w:highlight w:val="none"/>
              </w:rPr>
              <w:t>工程量清单</w:t>
            </w:r>
          </w:p>
        </w:tc>
      </w:tr>
      <w:tr w14:paraId="090DC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65" w:type="dxa"/>
            <w:noWrap w:val="0"/>
            <w:vAlign w:val="center"/>
          </w:tcPr>
          <w:p w14:paraId="24087DFC">
            <w:pPr>
              <w:jc w:val="center"/>
              <w:rPr>
                <w:rFonts w:ascii="宋体" w:hAnsi="宋体"/>
                <w:color w:val="auto"/>
                <w:szCs w:val="21"/>
                <w:highlight w:val="none"/>
              </w:rPr>
            </w:pPr>
            <w:r>
              <w:rPr>
                <w:rFonts w:ascii="宋体" w:hAnsi="宋体"/>
                <w:color w:val="auto"/>
                <w:szCs w:val="21"/>
                <w:highlight w:val="none"/>
              </w:rPr>
              <w:t>9</w:t>
            </w:r>
          </w:p>
        </w:tc>
        <w:tc>
          <w:tcPr>
            <w:tcW w:w="990" w:type="dxa"/>
            <w:noWrap w:val="0"/>
            <w:vAlign w:val="center"/>
          </w:tcPr>
          <w:p w14:paraId="4DF83826">
            <w:pPr>
              <w:jc w:val="center"/>
              <w:rPr>
                <w:rFonts w:ascii="宋体" w:hAnsi="宋体"/>
                <w:color w:val="auto"/>
                <w:szCs w:val="21"/>
                <w:highlight w:val="none"/>
              </w:rPr>
            </w:pPr>
            <w:r>
              <w:rPr>
                <w:rFonts w:ascii="宋体" w:hAnsi="宋体"/>
                <w:color w:val="auto"/>
                <w:szCs w:val="21"/>
                <w:highlight w:val="none"/>
              </w:rPr>
              <w:t>16</w:t>
            </w:r>
          </w:p>
        </w:tc>
        <w:tc>
          <w:tcPr>
            <w:tcW w:w="1840" w:type="dxa"/>
            <w:noWrap w:val="0"/>
            <w:vAlign w:val="center"/>
          </w:tcPr>
          <w:p w14:paraId="7074B27C">
            <w:pPr>
              <w:jc w:val="center"/>
              <w:rPr>
                <w:rFonts w:ascii="宋体" w:hAnsi="宋体"/>
                <w:color w:val="auto"/>
                <w:szCs w:val="21"/>
                <w:highlight w:val="none"/>
              </w:rPr>
            </w:pPr>
            <w:r>
              <w:rPr>
                <w:rFonts w:ascii="宋体" w:hAnsi="宋体"/>
                <w:color w:val="auto"/>
                <w:szCs w:val="21"/>
                <w:highlight w:val="none"/>
              </w:rPr>
              <w:t>工程报价方式</w:t>
            </w:r>
          </w:p>
        </w:tc>
        <w:tc>
          <w:tcPr>
            <w:tcW w:w="5783" w:type="dxa"/>
            <w:noWrap w:val="0"/>
            <w:vAlign w:val="center"/>
          </w:tcPr>
          <w:p w14:paraId="584F9AE4">
            <w:pPr>
              <w:jc w:val="left"/>
              <w:rPr>
                <w:rFonts w:ascii="宋体" w:hAnsi="宋体"/>
                <w:color w:val="auto"/>
                <w:szCs w:val="21"/>
                <w:highlight w:val="none"/>
              </w:rPr>
            </w:pPr>
            <w:r>
              <w:rPr>
                <w:rFonts w:ascii="宋体" w:hAnsi="宋体"/>
                <w:color w:val="auto"/>
                <w:szCs w:val="21"/>
                <w:highlight w:val="none"/>
              </w:rPr>
              <w:t>固定单价报价</w:t>
            </w:r>
          </w:p>
        </w:tc>
      </w:tr>
      <w:tr w14:paraId="35DF9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65" w:type="dxa"/>
            <w:noWrap w:val="0"/>
            <w:vAlign w:val="center"/>
          </w:tcPr>
          <w:p w14:paraId="433DD50D">
            <w:pPr>
              <w:jc w:val="center"/>
              <w:rPr>
                <w:rFonts w:ascii="宋体" w:hAnsi="宋体"/>
                <w:color w:val="auto"/>
                <w:szCs w:val="21"/>
                <w:highlight w:val="none"/>
              </w:rPr>
            </w:pPr>
            <w:r>
              <w:rPr>
                <w:rFonts w:ascii="宋体" w:hAnsi="宋体"/>
                <w:color w:val="auto"/>
                <w:szCs w:val="21"/>
                <w:highlight w:val="none"/>
              </w:rPr>
              <w:t>10</w:t>
            </w:r>
          </w:p>
        </w:tc>
        <w:tc>
          <w:tcPr>
            <w:tcW w:w="990" w:type="dxa"/>
            <w:noWrap w:val="0"/>
            <w:vAlign w:val="center"/>
          </w:tcPr>
          <w:p w14:paraId="35548739">
            <w:pPr>
              <w:jc w:val="center"/>
              <w:rPr>
                <w:rFonts w:ascii="宋体" w:hAnsi="宋体"/>
                <w:color w:val="auto"/>
                <w:szCs w:val="21"/>
                <w:highlight w:val="none"/>
              </w:rPr>
            </w:pPr>
            <w:r>
              <w:rPr>
                <w:rFonts w:ascii="宋体" w:hAnsi="宋体"/>
                <w:color w:val="auto"/>
                <w:szCs w:val="21"/>
                <w:highlight w:val="none"/>
              </w:rPr>
              <w:t>12</w:t>
            </w:r>
          </w:p>
        </w:tc>
        <w:tc>
          <w:tcPr>
            <w:tcW w:w="1840" w:type="dxa"/>
            <w:noWrap w:val="0"/>
            <w:vAlign w:val="center"/>
          </w:tcPr>
          <w:p w14:paraId="5A195494">
            <w:pPr>
              <w:jc w:val="center"/>
              <w:rPr>
                <w:rFonts w:ascii="宋体" w:hAnsi="宋体"/>
                <w:color w:val="auto"/>
                <w:szCs w:val="21"/>
                <w:highlight w:val="none"/>
              </w:rPr>
            </w:pPr>
            <w:r>
              <w:rPr>
                <w:rFonts w:ascii="宋体" w:hAnsi="宋体"/>
                <w:color w:val="auto"/>
                <w:szCs w:val="21"/>
                <w:highlight w:val="none"/>
              </w:rPr>
              <w:t>投标有效期</w:t>
            </w:r>
          </w:p>
        </w:tc>
        <w:tc>
          <w:tcPr>
            <w:tcW w:w="5783" w:type="dxa"/>
            <w:noWrap w:val="0"/>
            <w:vAlign w:val="center"/>
          </w:tcPr>
          <w:p w14:paraId="5A300413">
            <w:pPr>
              <w:jc w:val="left"/>
              <w:rPr>
                <w:rFonts w:ascii="宋体" w:hAnsi="宋体"/>
                <w:color w:val="auto"/>
                <w:szCs w:val="21"/>
                <w:highlight w:val="none"/>
              </w:rPr>
            </w:pPr>
            <w:r>
              <w:rPr>
                <w:rFonts w:ascii="宋体" w:hAnsi="宋体"/>
                <w:color w:val="auto"/>
                <w:szCs w:val="21"/>
                <w:highlight w:val="none"/>
                <w:u w:val="single"/>
              </w:rPr>
              <w:t xml:space="preserve">  45  </w:t>
            </w:r>
            <w:r>
              <w:rPr>
                <w:rFonts w:ascii="宋体" w:hAnsi="宋体"/>
                <w:color w:val="auto"/>
                <w:szCs w:val="21"/>
                <w:highlight w:val="none"/>
              </w:rPr>
              <w:t>日历天（从投标截止之日算起）</w:t>
            </w:r>
          </w:p>
        </w:tc>
      </w:tr>
      <w:tr w14:paraId="50B89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3" w:hRule="atLeast"/>
          <w:jc w:val="center"/>
        </w:trPr>
        <w:tc>
          <w:tcPr>
            <w:tcW w:w="765" w:type="dxa"/>
            <w:noWrap w:val="0"/>
            <w:vAlign w:val="center"/>
          </w:tcPr>
          <w:p w14:paraId="79E499FE">
            <w:pPr>
              <w:jc w:val="center"/>
              <w:rPr>
                <w:rFonts w:ascii="宋体" w:hAnsi="宋体"/>
                <w:color w:val="auto"/>
                <w:szCs w:val="21"/>
                <w:highlight w:val="none"/>
              </w:rPr>
            </w:pPr>
            <w:r>
              <w:rPr>
                <w:rFonts w:ascii="宋体" w:hAnsi="宋体"/>
                <w:color w:val="auto"/>
                <w:szCs w:val="21"/>
                <w:highlight w:val="none"/>
              </w:rPr>
              <w:t>11</w:t>
            </w:r>
          </w:p>
        </w:tc>
        <w:tc>
          <w:tcPr>
            <w:tcW w:w="990" w:type="dxa"/>
            <w:noWrap w:val="0"/>
            <w:vAlign w:val="center"/>
          </w:tcPr>
          <w:p w14:paraId="5C006294">
            <w:pPr>
              <w:jc w:val="center"/>
              <w:rPr>
                <w:rFonts w:ascii="宋体" w:hAnsi="宋体"/>
                <w:color w:val="auto"/>
                <w:szCs w:val="21"/>
                <w:highlight w:val="none"/>
              </w:rPr>
            </w:pPr>
            <w:r>
              <w:rPr>
                <w:rFonts w:ascii="宋体" w:hAnsi="宋体"/>
                <w:color w:val="auto"/>
                <w:szCs w:val="21"/>
                <w:highlight w:val="none"/>
              </w:rPr>
              <w:t>14</w:t>
            </w:r>
          </w:p>
        </w:tc>
        <w:tc>
          <w:tcPr>
            <w:tcW w:w="1840" w:type="dxa"/>
            <w:noWrap w:val="0"/>
            <w:vAlign w:val="center"/>
          </w:tcPr>
          <w:p w14:paraId="615ADB35">
            <w:pPr>
              <w:jc w:val="center"/>
              <w:rPr>
                <w:rFonts w:ascii="宋体" w:hAnsi="宋体"/>
                <w:color w:val="auto"/>
                <w:szCs w:val="21"/>
                <w:highlight w:val="none"/>
              </w:rPr>
            </w:pPr>
            <w:r>
              <w:rPr>
                <w:rFonts w:ascii="宋体" w:hAnsi="宋体"/>
                <w:color w:val="auto"/>
                <w:szCs w:val="21"/>
                <w:highlight w:val="none"/>
              </w:rPr>
              <w:t>投标保证金额</w:t>
            </w:r>
          </w:p>
        </w:tc>
        <w:tc>
          <w:tcPr>
            <w:tcW w:w="5783" w:type="dxa"/>
            <w:noWrap w:val="0"/>
            <w:vAlign w:val="center"/>
          </w:tcPr>
          <w:p w14:paraId="5F59039B">
            <w:pPr>
              <w:adjustRightInd w:val="0"/>
              <w:snapToGrid w:val="0"/>
              <w:jc w:val="left"/>
              <w:rPr>
                <w:rFonts w:hint="eastAsia" w:ascii="宋体" w:hAnsi="宋体"/>
                <w:b/>
                <w:color w:val="auto"/>
                <w:szCs w:val="21"/>
                <w:highlight w:val="none"/>
              </w:rPr>
            </w:pPr>
            <w:r>
              <w:rPr>
                <w:rFonts w:ascii="宋体" w:hAnsi="宋体"/>
                <w:b/>
                <w:color w:val="auto"/>
                <w:szCs w:val="21"/>
                <w:highlight w:val="none"/>
              </w:rPr>
              <w:t>人民币</w:t>
            </w:r>
            <w:r>
              <w:rPr>
                <w:rFonts w:hint="eastAsia" w:ascii="宋体" w:hAnsi="宋体"/>
                <w:b/>
                <w:color w:val="auto"/>
                <w:szCs w:val="21"/>
                <w:highlight w:val="none"/>
                <w:u w:val="single"/>
                <w:lang w:val="en-US" w:eastAsia="zh-CN"/>
              </w:rPr>
              <w:t>2000</w:t>
            </w:r>
            <w:r>
              <w:rPr>
                <w:rFonts w:ascii="宋体" w:hAnsi="宋体"/>
                <w:b/>
                <w:color w:val="auto"/>
                <w:szCs w:val="21"/>
                <w:highlight w:val="none"/>
                <w:u w:val="single"/>
              </w:rPr>
              <w:t>元</w:t>
            </w:r>
            <w:r>
              <w:rPr>
                <w:rFonts w:hint="eastAsia" w:ascii="宋体" w:hAnsi="宋体"/>
                <w:b/>
                <w:color w:val="auto"/>
                <w:szCs w:val="21"/>
                <w:highlight w:val="none"/>
                <w:u w:val="single"/>
              </w:rPr>
              <w:t>（递交方式：银行汇票或银行保函或保险机构的保单，并非将保证金打入指定账户，在开标时和投标文件同时递交，请勿和投标文件密封）</w:t>
            </w:r>
          </w:p>
        </w:tc>
      </w:tr>
      <w:tr w14:paraId="65ADC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0" w:hRule="atLeast"/>
          <w:jc w:val="center"/>
        </w:trPr>
        <w:tc>
          <w:tcPr>
            <w:tcW w:w="765" w:type="dxa"/>
            <w:noWrap w:val="0"/>
            <w:vAlign w:val="center"/>
          </w:tcPr>
          <w:p w14:paraId="01DA0EEE">
            <w:pPr>
              <w:jc w:val="center"/>
              <w:rPr>
                <w:rFonts w:ascii="宋体" w:hAnsi="宋体"/>
                <w:color w:val="auto"/>
                <w:szCs w:val="21"/>
                <w:highlight w:val="none"/>
              </w:rPr>
            </w:pPr>
            <w:r>
              <w:rPr>
                <w:rFonts w:ascii="宋体" w:hAnsi="宋体"/>
                <w:color w:val="auto"/>
                <w:szCs w:val="21"/>
                <w:highlight w:val="none"/>
              </w:rPr>
              <w:t>12</w:t>
            </w:r>
          </w:p>
        </w:tc>
        <w:tc>
          <w:tcPr>
            <w:tcW w:w="990" w:type="dxa"/>
            <w:noWrap w:val="0"/>
            <w:vAlign w:val="center"/>
          </w:tcPr>
          <w:p w14:paraId="736F7C1F">
            <w:pPr>
              <w:jc w:val="center"/>
              <w:rPr>
                <w:rFonts w:ascii="宋体" w:hAnsi="宋体"/>
                <w:color w:val="auto"/>
                <w:szCs w:val="21"/>
                <w:highlight w:val="none"/>
              </w:rPr>
            </w:pPr>
            <w:r>
              <w:rPr>
                <w:rFonts w:ascii="宋体" w:hAnsi="宋体"/>
                <w:color w:val="auto"/>
                <w:szCs w:val="21"/>
                <w:highlight w:val="none"/>
              </w:rPr>
              <w:t>6.2</w:t>
            </w:r>
          </w:p>
        </w:tc>
        <w:tc>
          <w:tcPr>
            <w:tcW w:w="1840" w:type="dxa"/>
            <w:noWrap w:val="0"/>
            <w:vAlign w:val="center"/>
          </w:tcPr>
          <w:p w14:paraId="0AB66BF2">
            <w:pPr>
              <w:jc w:val="center"/>
              <w:rPr>
                <w:rFonts w:ascii="宋体" w:hAnsi="宋体"/>
                <w:color w:val="auto"/>
                <w:szCs w:val="21"/>
                <w:highlight w:val="none"/>
              </w:rPr>
            </w:pPr>
            <w:r>
              <w:rPr>
                <w:rFonts w:ascii="宋体" w:hAnsi="宋体"/>
                <w:color w:val="auto"/>
                <w:szCs w:val="21"/>
                <w:highlight w:val="none"/>
              </w:rPr>
              <w:t>提交疑问材料</w:t>
            </w:r>
          </w:p>
          <w:p w14:paraId="207869AE">
            <w:pPr>
              <w:jc w:val="center"/>
              <w:rPr>
                <w:rFonts w:ascii="宋体" w:hAnsi="宋体"/>
                <w:color w:val="auto"/>
                <w:kern w:val="0"/>
                <w:szCs w:val="21"/>
                <w:highlight w:val="none"/>
              </w:rPr>
            </w:pPr>
            <w:r>
              <w:rPr>
                <w:rFonts w:ascii="宋体" w:hAnsi="宋体"/>
                <w:color w:val="auto"/>
                <w:szCs w:val="21"/>
                <w:highlight w:val="none"/>
              </w:rPr>
              <w:t>时间及方式</w:t>
            </w:r>
          </w:p>
        </w:tc>
        <w:tc>
          <w:tcPr>
            <w:tcW w:w="5783" w:type="dxa"/>
            <w:noWrap w:val="0"/>
            <w:vAlign w:val="center"/>
          </w:tcPr>
          <w:p w14:paraId="3734A93A">
            <w:pPr>
              <w:adjustRightInd w:val="0"/>
              <w:snapToGrid w:val="0"/>
              <w:rPr>
                <w:rFonts w:ascii="宋体" w:hAnsi="宋体"/>
                <w:color w:val="auto"/>
                <w:szCs w:val="21"/>
                <w:highlight w:val="none"/>
              </w:rPr>
            </w:pPr>
            <w:r>
              <w:rPr>
                <w:rFonts w:ascii="宋体" w:hAnsi="宋体"/>
                <w:color w:val="auto"/>
                <w:szCs w:val="21"/>
                <w:highlight w:val="none"/>
              </w:rPr>
              <w:t>如有疑问需要招标人澄清应在</w:t>
            </w:r>
            <w:r>
              <w:rPr>
                <w:rFonts w:ascii="宋体" w:hAnsi="宋体"/>
                <w:color w:val="auto"/>
                <w:szCs w:val="21"/>
                <w:highlight w:val="none"/>
                <w:u w:val="single"/>
              </w:rPr>
              <w:t>202</w:t>
            </w:r>
            <w:r>
              <w:rPr>
                <w:rFonts w:hint="eastAsia" w:ascii="宋体" w:hAnsi="宋体"/>
                <w:color w:val="auto"/>
                <w:szCs w:val="21"/>
                <w:highlight w:val="none"/>
                <w:u w:val="single"/>
              </w:rPr>
              <w:t>5</w:t>
            </w:r>
            <w:r>
              <w:rPr>
                <w:rFonts w:ascii="宋体" w:hAnsi="宋体"/>
                <w:color w:val="auto"/>
                <w:szCs w:val="21"/>
                <w:highlight w:val="none"/>
                <w:u w:val="single"/>
              </w:rPr>
              <w:t>年</w:t>
            </w:r>
            <w:r>
              <w:rPr>
                <w:rFonts w:hint="eastAsia" w:ascii="宋体" w:hAnsi="宋体"/>
                <w:color w:val="auto"/>
                <w:szCs w:val="21"/>
                <w:highlight w:val="none"/>
                <w:u w:val="single"/>
                <w:lang w:val="en-US" w:eastAsia="zh-CN"/>
              </w:rPr>
              <w:t>7</w:t>
            </w:r>
            <w:r>
              <w:rPr>
                <w:rFonts w:ascii="宋体" w:hAnsi="宋体"/>
                <w:color w:val="auto"/>
                <w:szCs w:val="21"/>
                <w:highlight w:val="none"/>
                <w:u w:val="single"/>
              </w:rPr>
              <w:t>月</w:t>
            </w:r>
            <w:r>
              <w:rPr>
                <w:rFonts w:hint="eastAsia" w:ascii="宋体" w:hAnsi="宋体"/>
                <w:color w:val="auto"/>
                <w:szCs w:val="21"/>
                <w:highlight w:val="none"/>
                <w:u w:val="single"/>
                <w:lang w:val="en-US" w:eastAsia="zh-CN"/>
              </w:rPr>
              <w:t>23</w:t>
            </w:r>
            <w:r>
              <w:rPr>
                <w:rFonts w:ascii="宋体" w:hAnsi="宋体"/>
                <w:color w:val="auto"/>
                <w:szCs w:val="21"/>
                <w:highlight w:val="none"/>
                <w:u w:val="single"/>
              </w:rPr>
              <w:t>日17时</w:t>
            </w:r>
            <w:r>
              <w:rPr>
                <w:rFonts w:ascii="宋体" w:hAnsi="宋体"/>
                <w:color w:val="auto"/>
                <w:szCs w:val="21"/>
                <w:highlight w:val="none"/>
              </w:rPr>
              <w:t>前以电子文件形式（不具单位名称、不加盖单位公章）发送至指定邮箱</w:t>
            </w:r>
            <w:r>
              <w:rPr>
                <w:rFonts w:ascii="宋体" w:hAnsi="宋体"/>
                <w:color w:val="auto"/>
                <w:szCs w:val="21"/>
                <w:highlight w:val="none"/>
                <w:u w:val="single"/>
              </w:rPr>
              <w:t>（</w:t>
            </w:r>
            <w:r>
              <w:rPr>
                <w:rFonts w:hint="eastAsia" w:ascii="宋体" w:hAnsi="宋体"/>
                <w:color w:val="auto"/>
                <w:szCs w:val="21"/>
                <w:highlight w:val="none"/>
                <w:u w:val="single"/>
                <w:lang w:eastAsia="zh-CN"/>
              </w:rPr>
              <w:t>1346702320</w:t>
            </w:r>
            <w:r>
              <w:rPr>
                <w:rFonts w:hint="eastAsia" w:ascii="宋体" w:hAnsi="宋体"/>
                <w:color w:val="auto"/>
                <w:szCs w:val="21"/>
                <w:highlight w:val="none"/>
                <w:u w:val="single"/>
              </w:rPr>
              <w:t>@qq.com</w:t>
            </w:r>
            <w:r>
              <w:rPr>
                <w:rFonts w:ascii="宋体" w:hAnsi="宋体"/>
                <w:color w:val="auto"/>
                <w:szCs w:val="21"/>
                <w:highlight w:val="none"/>
                <w:u w:val="single"/>
              </w:rPr>
              <w:t>）</w:t>
            </w:r>
            <w:r>
              <w:rPr>
                <w:rFonts w:ascii="宋体" w:hAnsi="宋体"/>
                <w:color w:val="auto"/>
                <w:szCs w:val="21"/>
                <w:highlight w:val="none"/>
              </w:rPr>
              <w:t>向招标人提出，招标人予以解答，解答的内容将在</w:t>
            </w:r>
            <w:r>
              <w:rPr>
                <w:rFonts w:hint="eastAsia" w:ascii="宋体" w:hAnsi="宋体"/>
                <w:color w:val="auto"/>
                <w:szCs w:val="21"/>
                <w:highlight w:val="none"/>
                <w:lang w:eastAsia="zh-CN"/>
              </w:rPr>
              <w:t>南通市崇川区人民政府网－公告公示栏</w:t>
            </w:r>
            <w:r>
              <w:rPr>
                <w:rFonts w:ascii="宋体" w:hAnsi="宋体"/>
                <w:color w:val="auto"/>
                <w:szCs w:val="21"/>
                <w:highlight w:val="none"/>
              </w:rPr>
              <w:t>公布。</w:t>
            </w:r>
          </w:p>
        </w:tc>
      </w:tr>
      <w:tr w14:paraId="58DE3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765" w:type="dxa"/>
            <w:noWrap w:val="0"/>
            <w:vAlign w:val="center"/>
          </w:tcPr>
          <w:p w14:paraId="2B100F4B">
            <w:pPr>
              <w:jc w:val="center"/>
              <w:rPr>
                <w:rFonts w:ascii="宋体" w:hAnsi="宋体"/>
                <w:color w:val="auto"/>
                <w:szCs w:val="21"/>
                <w:highlight w:val="none"/>
              </w:rPr>
            </w:pPr>
            <w:r>
              <w:rPr>
                <w:rFonts w:ascii="宋体" w:hAnsi="宋体"/>
                <w:color w:val="auto"/>
                <w:szCs w:val="21"/>
                <w:highlight w:val="none"/>
              </w:rPr>
              <w:t>13</w:t>
            </w:r>
          </w:p>
        </w:tc>
        <w:tc>
          <w:tcPr>
            <w:tcW w:w="990" w:type="dxa"/>
            <w:noWrap w:val="0"/>
            <w:vAlign w:val="center"/>
          </w:tcPr>
          <w:p w14:paraId="4138D454">
            <w:pPr>
              <w:jc w:val="center"/>
              <w:rPr>
                <w:rFonts w:ascii="宋体" w:hAnsi="宋体"/>
                <w:color w:val="auto"/>
                <w:szCs w:val="21"/>
                <w:highlight w:val="none"/>
              </w:rPr>
            </w:pPr>
            <w:r>
              <w:rPr>
                <w:rFonts w:ascii="宋体" w:hAnsi="宋体"/>
                <w:color w:val="auto"/>
                <w:szCs w:val="21"/>
                <w:highlight w:val="none"/>
              </w:rPr>
              <w:t>13.1</w:t>
            </w:r>
          </w:p>
        </w:tc>
        <w:tc>
          <w:tcPr>
            <w:tcW w:w="1840" w:type="dxa"/>
            <w:noWrap w:val="0"/>
            <w:vAlign w:val="center"/>
          </w:tcPr>
          <w:p w14:paraId="2E17F187">
            <w:pPr>
              <w:jc w:val="center"/>
              <w:rPr>
                <w:rFonts w:hint="eastAsia" w:ascii="宋体" w:hAnsi="宋体"/>
                <w:color w:val="auto"/>
                <w:szCs w:val="21"/>
                <w:highlight w:val="none"/>
              </w:rPr>
            </w:pPr>
            <w:r>
              <w:rPr>
                <w:rFonts w:ascii="宋体" w:hAnsi="宋体"/>
                <w:color w:val="auto"/>
                <w:szCs w:val="21"/>
                <w:highlight w:val="none"/>
              </w:rPr>
              <w:t>踏勘现场</w:t>
            </w:r>
          </w:p>
          <w:p w14:paraId="7E20B036">
            <w:pPr>
              <w:jc w:val="center"/>
              <w:rPr>
                <w:rFonts w:ascii="宋体" w:hAnsi="宋体"/>
                <w:color w:val="auto"/>
                <w:szCs w:val="21"/>
                <w:highlight w:val="none"/>
              </w:rPr>
            </w:pPr>
            <w:r>
              <w:rPr>
                <w:rFonts w:ascii="宋体" w:hAnsi="宋体"/>
                <w:color w:val="auto"/>
                <w:szCs w:val="21"/>
                <w:highlight w:val="none"/>
              </w:rPr>
              <w:t>答疑时间</w:t>
            </w:r>
          </w:p>
        </w:tc>
        <w:tc>
          <w:tcPr>
            <w:tcW w:w="5783" w:type="dxa"/>
            <w:noWrap w:val="0"/>
            <w:vAlign w:val="center"/>
          </w:tcPr>
          <w:p w14:paraId="45BB9B8A">
            <w:pPr>
              <w:jc w:val="left"/>
              <w:rPr>
                <w:rFonts w:hint="eastAsia" w:ascii="宋体" w:hAnsi="宋体"/>
                <w:color w:val="auto"/>
                <w:szCs w:val="21"/>
                <w:highlight w:val="none"/>
              </w:rPr>
            </w:pPr>
            <w:r>
              <w:rPr>
                <w:rFonts w:ascii="宋体" w:hAnsi="宋体"/>
                <w:color w:val="auto"/>
                <w:szCs w:val="21"/>
                <w:highlight w:val="none"/>
              </w:rPr>
              <w:t>投标人自行踏勘现场</w:t>
            </w:r>
          </w:p>
          <w:p w14:paraId="5A49B12B">
            <w:pPr>
              <w:jc w:val="left"/>
              <w:rPr>
                <w:rFonts w:ascii="宋体" w:hAnsi="宋体"/>
                <w:color w:val="auto"/>
                <w:szCs w:val="21"/>
                <w:highlight w:val="none"/>
              </w:rPr>
            </w:pPr>
            <w:r>
              <w:rPr>
                <w:rFonts w:ascii="宋体" w:hAnsi="宋体"/>
                <w:color w:val="auto"/>
                <w:szCs w:val="21"/>
                <w:highlight w:val="none"/>
              </w:rPr>
              <w:t>答疑</w:t>
            </w:r>
            <w:r>
              <w:rPr>
                <w:rFonts w:hint="eastAsia" w:ascii="宋体" w:hAnsi="宋体"/>
                <w:color w:val="auto"/>
                <w:szCs w:val="21"/>
                <w:highlight w:val="none"/>
              </w:rPr>
              <w:t>提交截止</w:t>
            </w:r>
            <w:r>
              <w:rPr>
                <w:rFonts w:ascii="宋体" w:hAnsi="宋体"/>
                <w:color w:val="auto"/>
                <w:szCs w:val="21"/>
                <w:highlight w:val="none"/>
              </w:rPr>
              <w:t>时间：</w:t>
            </w:r>
            <w:r>
              <w:rPr>
                <w:rFonts w:ascii="宋体" w:hAnsi="宋体"/>
                <w:color w:val="auto"/>
                <w:szCs w:val="21"/>
                <w:highlight w:val="none"/>
                <w:u w:val="single"/>
              </w:rPr>
              <w:t>202</w:t>
            </w:r>
            <w:r>
              <w:rPr>
                <w:rFonts w:hint="eastAsia" w:ascii="宋体" w:hAnsi="宋体"/>
                <w:color w:val="auto"/>
                <w:szCs w:val="21"/>
                <w:highlight w:val="none"/>
                <w:u w:val="single"/>
              </w:rPr>
              <w:t>5</w:t>
            </w:r>
            <w:r>
              <w:rPr>
                <w:rFonts w:ascii="宋体" w:hAnsi="宋体"/>
                <w:color w:val="auto"/>
                <w:szCs w:val="21"/>
                <w:highlight w:val="none"/>
                <w:u w:val="single"/>
              </w:rPr>
              <w:t>年</w:t>
            </w:r>
            <w:r>
              <w:rPr>
                <w:rFonts w:hint="eastAsia" w:ascii="宋体" w:hAnsi="宋体"/>
                <w:color w:val="auto"/>
                <w:szCs w:val="21"/>
                <w:highlight w:val="none"/>
                <w:u w:val="single"/>
                <w:lang w:val="en-US" w:eastAsia="zh-CN"/>
              </w:rPr>
              <w:t>7</w:t>
            </w:r>
            <w:r>
              <w:rPr>
                <w:rFonts w:ascii="宋体" w:hAnsi="宋体"/>
                <w:color w:val="auto"/>
                <w:szCs w:val="21"/>
                <w:highlight w:val="none"/>
                <w:u w:val="single"/>
              </w:rPr>
              <w:t>月</w:t>
            </w:r>
            <w:r>
              <w:rPr>
                <w:rFonts w:hint="eastAsia" w:ascii="宋体" w:hAnsi="宋体"/>
                <w:color w:val="auto"/>
                <w:szCs w:val="21"/>
                <w:highlight w:val="none"/>
                <w:u w:val="single"/>
                <w:lang w:val="en-US" w:eastAsia="zh-CN"/>
              </w:rPr>
              <w:t>23</w:t>
            </w:r>
            <w:r>
              <w:rPr>
                <w:rFonts w:ascii="宋体" w:hAnsi="宋体"/>
                <w:color w:val="auto"/>
                <w:szCs w:val="21"/>
                <w:highlight w:val="none"/>
                <w:u w:val="single"/>
              </w:rPr>
              <w:t>日17时</w:t>
            </w:r>
          </w:p>
        </w:tc>
      </w:tr>
      <w:tr w14:paraId="0677C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6" w:hRule="atLeast"/>
          <w:jc w:val="center"/>
        </w:trPr>
        <w:tc>
          <w:tcPr>
            <w:tcW w:w="765" w:type="dxa"/>
            <w:noWrap w:val="0"/>
            <w:vAlign w:val="center"/>
          </w:tcPr>
          <w:p w14:paraId="7583D072">
            <w:pPr>
              <w:jc w:val="center"/>
              <w:rPr>
                <w:rFonts w:ascii="宋体" w:hAnsi="宋体"/>
                <w:color w:val="auto"/>
                <w:szCs w:val="21"/>
                <w:highlight w:val="none"/>
              </w:rPr>
            </w:pPr>
            <w:r>
              <w:rPr>
                <w:rFonts w:ascii="宋体" w:hAnsi="宋体"/>
                <w:color w:val="auto"/>
                <w:szCs w:val="21"/>
                <w:highlight w:val="none"/>
              </w:rPr>
              <w:t>14</w:t>
            </w:r>
          </w:p>
        </w:tc>
        <w:tc>
          <w:tcPr>
            <w:tcW w:w="990" w:type="dxa"/>
            <w:noWrap w:val="0"/>
            <w:vAlign w:val="center"/>
          </w:tcPr>
          <w:p w14:paraId="22A86765">
            <w:pPr>
              <w:jc w:val="center"/>
              <w:rPr>
                <w:rFonts w:ascii="宋体" w:hAnsi="宋体"/>
                <w:color w:val="auto"/>
                <w:szCs w:val="21"/>
                <w:highlight w:val="none"/>
              </w:rPr>
            </w:pPr>
            <w:r>
              <w:rPr>
                <w:rFonts w:ascii="宋体" w:hAnsi="宋体"/>
                <w:color w:val="auto"/>
                <w:szCs w:val="21"/>
                <w:highlight w:val="none"/>
              </w:rPr>
              <w:t>18.2</w:t>
            </w:r>
          </w:p>
        </w:tc>
        <w:tc>
          <w:tcPr>
            <w:tcW w:w="1840" w:type="dxa"/>
            <w:noWrap w:val="0"/>
            <w:vAlign w:val="center"/>
          </w:tcPr>
          <w:p w14:paraId="3A782D92">
            <w:pPr>
              <w:jc w:val="center"/>
              <w:rPr>
                <w:rFonts w:ascii="宋体" w:hAnsi="宋体"/>
                <w:color w:val="auto"/>
                <w:szCs w:val="21"/>
                <w:highlight w:val="none"/>
              </w:rPr>
            </w:pPr>
            <w:r>
              <w:rPr>
                <w:rFonts w:ascii="宋体" w:hAnsi="宋体"/>
                <w:color w:val="auto"/>
                <w:szCs w:val="21"/>
                <w:highlight w:val="none"/>
              </w:rPr>
              <w:t>招标控制价编制依据</w:t>
            </w:r>
          </w:p>
        </w:tc>
        <w:tc>
          <w:tcPr>
            <w:tcW w:w="5783" w:type="dxa"/>
            <w:noWrap w:val="0"/>
            <w:vAlign w:val="center"/>
          </w:tcPr>
          <w:p w14:paraId="3F3B5761">
            <w:pPr>
              <w:adjustRightInd w:val="0"/>
              <w:snapToGrid w:val="0"/>
              <w:jc w:val="left"/>
              <w:rPr>
                <w:rFonts w:ascii="宋体" w:hAnsi="宋体"/>
                <w:color w:val="auto"/>
                <w:kern w:val="0"/>
                <w:szCs w:val="21"/>
                <w:highlight w:val="none"/>
              </w:rPr>
            </w:pPr>
            <w:r>
              <w:rPr>
                <w:rFonts w:ascii="宋体" w:hAnsi="宋体"/>
                <w:color w:val="auto"/>
                <w:szCs w:val="21"/>
                <w:highlight w:val="none"/>
              </w:rPr>
              <w:t>招标控制价编制执行：</w:t>
            </w:r>
          </w:p>
          <w:p w14:paraId="299AE4D6">
            <w:pPr>
              <w:adjustRightInd w:val="0"/>
              <w:snapToGrid w:val="0"/>
              <w:jc w:val="left"/>
              <w:rPr>
                <w:rFonts w:ascii="宋体" w:hAnsi="宋体"/>
                <w:color w:val="auto"/>
                <w:kern w:val="0"/>
                <w:szCs w:val="21"/>
                <w:highlight w:val="none"/>
              </w:rPr>
            </w:pPr>
            <w:r>
              <w:rPr>
                <w:rFonts w:ascii="宋体" w:hAnsi="宋体"/>
                <w:color w:val="auto"/>
                <w:kern w:val="0"/>
                <w:szCs w:val="21"/>
                <w:highlight w:val="none"/>
              </w:rPr>
              <w:t>（1）本工程施工图</w:t>
            </w:r>
            <w:r>
              <w:rPr>
                <w:rFonts w:hint="eastAsia" w:ascii="宋体" w:hAnsi="宋体"/>
                <w:color w:val="auto"/>
                <w:kern w:val="0"/>
                <w:szCs w:val="21"/>
                <w:highlight w:val="none"/>
                <w:lang w:eastAsia="zh-CN"/>
              </w:rPr>
              <w:t>及</w:t>
            </w:r>
            <w:r>
              <w:rPr>
                <w:rFonts w:ascii="宋体" w:hAnsi="宋体"/>
                <w:color w:val="auto"/>
                <w:kern w:val="0"/>
                <w:szCs w:val="21"/>
                <w:highlight w:val="none"/>
              </w:rPr>
              <w:t>工程量清单；</w:t>
            </w:r>
          </w:p>
          <w:p w14:paraId="2E989E8D">
            <w:pPr>
              <w:adjustRightInd w:val="0"/>
              <w:snapToGrid w:val="0"/>
              <w:jc w:val="left"/>
              <w:rPr>
                <w:rFonts w:ascii="宋体" w:hAnsi="宋体"/>
                <w:color w:val="auto"/>
                <w:szCs w:val="21"/>
                <w:highlight w:val="none"/>
              </w:rPr>
            </w:pPr>
            <w:r>
              <w:rPr>
                <w:rFonts w:ascii="宋体" w:hAnsi="宋体"/>
                <w:color w:val="auto"/>
                <w:szCs w:val="21"/>
                <w:highlight w:val="none"/>
              </w:rPr>
              <w:t>（2）</w:t>
            </w:r>
            <w:r>
              <w:rPr>
                <w:rFonts w:hint="eastAsia" w:ascii="宋体" w:hAnsi="宋体"/>
                <w:color w:val="auto"/>
                <w:szCs w:val="21"/>
                <w:highlight w:val="none"/>
              </w:rPr>
              <w:t>《建设工程工程量清单计价规范》（GB50500-2013）、《江苏省建设工程工程量清单计价项目指引》</w:t>
            </w:r>
            <w:r>
              <w:rPr>
                <w:rFonts w:hint="eastAsia" w:ascii="宋体" w:hAnsi="宋体"/>
                <w:color w:val="auto"/>
                <w:szCs w:val="21"/>
                <w:highlight w:val="none"/>
                <w:lang w:eastAsia="zh-CN"/>
              </w:rPr>
              <w:t>（</w:t>
            </w:r>
            <w:r>
              <w:rPr>
                <w:rFonts w:hint="eastAsia" w:ascii="宋体" w:hAnsi="宋体"/>
                <w:color w:val="auto"/>
                <w:szCs w:val="21"/>
                <w:highlight w:val="none"/>
              </w:rPr>
              <w:t>江苏省建设厅</w:t>
            </w:r>
            <w:r>
              <w:rPr>
                <w:rFonts w:hint="eastAsia" w:ascii="宋体" w:hAnsi="宋体"/>
                <w:color w:val="auto"/>
                <w:szCs w:val="21"/>
                <w:highlight w:val="none"/>
                <w:lang w:eastAsia="zh-CN"/>
              </w:rPr>
              <w:t>）</w:t>
            </w:r>
            <w:r>
              <w:rPr>
                <w:rFonts w:ascii="宋体" w:hAnsi="宋体"/>
                <w:color w:val="auto"/>
                <w:szCs w:val="21"/>
                <w:highlight w:val="none"/>
              </w:rPr>
              <w:t>；</w:t>
            </w:r>
          </w:p>
          <w:p w14:paraId="3172D5A4">
            <w:pPr>
              <w:adjustRightInd w:val="0"/>
              <w:snapToGrid w:val="0"/>
              <w:jc w:val="left"/>
              <w:rPr>
                <w:rFonts w:hint="eastAsia" w:ascii="宋体" w:hAnsi="宋体"/>
                <w:color w:val="auto"/>
                <w:szCs w:val="21"/>
                <w:highlight w:val="none"/>
              </w:rPr>
            </w:pPr>
            <w:r>
              <w:rPr>
                <w:rFonts w:ascii="宋体" w:hAnsi="宋体"/>
                <w:color w:val="auto"/>
                <w:szCs w:val="21"/>
                <w:highlight w:val="none"/>
              </w:rPr>
              <w:t>（3）</w:t>
            </w:r>
            <w:r>
              <w:rPr>
                <w:rFonts w:hint="eastAsia" w:ascii="宋体" w:hAnsi="宋体"/>
                <w:color w:val="auto"/>
                <w:szCs w:val="21"/>
                <w:highlight w:val="none"/>
              </w:rPr>
              <w:t>《江苏省建筑与装饰工程计价定额》（2014）、《江苏省房屋修缮工程计价表》（2009年版）；</w:t>
            </w:r>
          </w:p>
          <w:p w14:paraId="54485888">
            <w:pPr>
              <w:adjustRightInd w:val="0"/>
              <w:snapToGrid w:val="0"/>
              <w:jc w:val="left"/>
              <w:rPr>
                <w:rFonts w:ascii="宋体" w:hAnsi="宋体"/>
                <w:color w:val="auto"/>
                <w:szCs w:val="21"/>
                <w:highlight w:val="none"/>
              </w:rPr>
            </w:pPr>
            <w:r>
              <w:rPr>
                <w:rFonts w:ascii="宋体" w:hAnsi="宋体"/>
                <w:color w:val="auto"/>
                <w:szCs w:val="21"/>
                <w:highlight w:val="none"/>
              </w:rPr>
              <w:t>（4）《江苏省建设工程费用定额》2014年版；</w:t>
            </w:r>
          </w:p>
          <w:p w14:paraId="5960BA0B">
            <w:pPr>
              <w:adjustRightInd w:val="0"/>
              <w:snapToGrid w:val="0"/>
              <w:jc w:val="left"/>
              <w:rPr>
                <w:rFonts w:ascii="宋体" w:hAnsi="宋体"/>
                <w:color w:val="auto"/>
                <w:szCs w:val="21"/>
                <w:highlight w:val="none"/>
              </w:rPr>
            </w:pPr>
            <w:r>
              <w:rPr>
                <w:rFonts w:ascii="宋体" w:hAnsi="宋体"/>
                <w:color w:val="auto"/>
                <w:szCs w:val="21"/>
                <w:highlight w:val="none"/>
              </w:rPr>
              <w:t>（5）</w:t>
            </w:r>
            <w:r>
              <w:rPr>
                <w:rFonts w:hint="eastAsia" w:ascii="宋体" w:hAnsi="宋体"/>
                <w:color w:val="auto"/>
                <w:szCs w:val="21"/>
                <w:highlight w:val="none"/>
              </w:rPr>
              <w:t>人工工资按《省住房和城乡建设厅关于发布2024年下半年建设工程人工工资指导价的通知》（苏建函价〔2025〕66号）</w:t>
            </w:r>
            <w:r>
              <w:rPr>
                <w:rFonts w:ascii="宋体" w:hAnsi="宋体"/>
                <w:color w:val="auto"/>
                <w:szCs w:val="21"/>
                <w:highlight w:val="none"/>
              </w:rPr>
              <w:t>；</w:t>
            </w:r>
          </w:p>
          <w:p w14:paraId="2C90D4A6">
            <w:pPr>
              <w:adjustRightInd w:val="0"/>
              <w:snapToGrid w:val="0"/>
              <w:jc w:val="left"/>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6</w:t>
            </w:r>
            <w:r>
              <w:rPr>
                <w:rFonts w:ascii="宋体" w:hAnsi="宋体"/>
                <w:color w:val="auto"/>
                <w:szCs w:val="21"/>
                <w:highlight w:val="none"/>
              </w:rPr>
              <w:t>）“省住房和城乡建设厅关于建筑业实施营改增后江苏省建设工程计价依据调整的通知”苏建价</w:t>
            </w:r>
            <w:r>
              <w:rPr>
                <w:rFonts w:hint="eastAsia" w:ascii="宋体" w:hAnsi="宋体"/>
                <w:color w:val="auto"/>
                <w:szCs w:val="21"/>
                <w:highlight w:val="none"/>
                <w:lang w:eastAsia="zh-CN"/>
              </w:rPr>
              <w:t>〔2016〕154号</w:t>
            </w:r>
            <w:r>
              <w:rPr>
                <w:rFonts w:ascii="宋体" w:hAnsi="宋体"/>
                <w:color w:val="auto"/>
                <w:szCs w:val="21"/>
                <w:highlight w:val="none"/>
              </w:rPr>
              <w:t>文；</w:t>
            </w:r>
          </w:p>
          <w:p w14:paraId="67BF6B6A">
            <w:pPr>
              <w:adjustRightInd w:val="0"/>
              <w:snapToGrid w:val="0"/>
              <w:jc w:val="left"/>
              <w:rPr>
                <w:rFonts w:ascii="宋体" w:hAnsi="宋体"/>
                <w:color w:val="auto"/>
                <w:szCs w:val="21"/>
                <w:highlight w:val="none"/>
              </w:rPr>
            </w:pPr>
            <w:r>
              <w:rPr>
                <w:rFonts w:hint="eastAsia" w:ascii="宋体" w:hAnsi="宋体"/>
                <w:color w:val="auto"/>
                <w:szCs w:val="21"/>
                <w:highlight w:val="none"/>
              </w:rPr>
              <w:t>（7）《省住房城乡建设厅关于调整建设工程计价增值税税率的通知》 苏建函价〔2019〕178号文；</w:t>
            </w:r>
          </w:p>
          <w:p w14:paraId="59A05030">
            <w:pPr>
              <w:adjustRightInd w:val="0"/>
              <w:snapToGrid w:val="0"/>
              <w:jc w:val="left"/>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8</w:t>
            </w:r>
            <w:r>
              <w:rPr>
                <w:rFonts w:ascii="宋体" w:hAnsi="宋体"/>
                <w:color w:val="auto"/>
                <w:szCs w:val="21"/>
                <w:highlight w:val="none"/>
              </w:rPr>
              <w:t>）</w:t>
            </w:r>
            <w:r>
              <w:rPr>
                <w:rFonts w:hint="eastAsia" w:ascii="宋体" w:hAnsi="宋体"/>
                <w:color w:val="auto"/>
                <w:szCs w:val="21"/>
                <w:highlight w:val="none"/>
              </w:rPr>
              <w:t>《省住房城乡建设厅关于调整建设工程按质论价等费用计取方法的公告》（</w:t>
            </w:r>
            <w:r>
              <w:rPr>
                <w:rFonts w:hint="eastAsia" w:ascii="宋体" w:hAnsi="宋体"/>
                <w:color w:val="auto"/>
                <w:szCs w:val="21"/>
                <w:highlight w:val="none"/>
                <w:lang w:eastAsia="zh-CN"/>
              </w:rPr>
              <w:t>〔2018〕24号</w:t>
            </w:r>
            <w:r>
              <w:rPr>
                <w:rFonts w:hint="eastAsia" w:ascii="宋体" w:hAnsi="宋体"/>
                <w:color w:val="auto"/>
                <w:szCs w:val="21"/>
                <w:highlight w:val="none"/>
              </w:rPr>
              <w:t>）；</w:t>
            </w:r>
          </w:p>
          <w:p w14:paraId="13ADEA01">
            <w:pPr>
              <w:adjustRightInd w:val="0"/>
              <w:snapToGrid w:val="0"/>
              <w:jc w:val="left"/>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9</w:t>
            </w:r>
            <w:r>
              <w:rPr>
                <w:rFonts w:ascii="宋体" w:hAnsi="宋体"/>
                <w:color w:val="auto"/>
                <w:szCs w:val="21"/>
                <w:highlight w:val="none"/>
              </w:rPr>
              <w:t>）材料价格参照20</w:t>
            </w:r>
            <w:r>
              <w:rPr>
                <w:rFonts w:hint="eastAsia" w:ascii="宋体" w:hAnsi="宋体"/>
                <w:color w:val="auto"/>
                <w:szCs w:val="21"/>
                <w:highlight w:val="none"/>
              </w:rPr>
              <w:t>25</w:t>
            </w:r>
            <w:r>
              <w:rPr>
                <w:rFonts w:ascii="宋体" w:hAnsi="宋体"/>
                <w:color w:val="auto"/>
                <w:szCs w:val="21"/>
                <w:highlight w:val="none"/>
              </w:rPr>
              <w:t>年第</w:t>
            </w:r>
            <w:r>
              <w:rPr>
                <w:rFonts w:hint="eastAsia" w:ascii="宋体" w:hAnsi="宋体"/>
                <w:color w:val="auto"/>
                <w:szCs w:val="21"/>
                <w:highlight w:val="none"/>
                <w:lang w:val="en-US" w:eastAsia="zh-CN"/>
              </w:rPr>
              <w:t>6</w:t>
            </w:r>
            <w:r>
              <w:rPr>
                <w:rFonts w:ascii="宋体" w:hAnsi="宋体"/>
                <w:color w:val="auto"/>
                <w:szCs w:val="21"/>
                <w:highlight w:val="none"/>
              </w:rPr>
              <w:t>期《南通建设工程造价信息》中的</w:t>
            </w:r>
            <w:r>
              <w:rPr>
                <w:rFonts w:hint="eastAsia" w:ascii="宋体" w:hAnsi="宋体"/>
                <w:color w:val="auto"/>
                <w:szCs w:val="21"/>
                <w:highlight w:val="none"/>
              </w:rPr>
              <w:t>信息</w:t>
            </w:r>
            <w:r>
              <w:rPr>
                <w:rFonts w:ascii="宋体" w:hAnsi="宋体"/>
                <w:color w:val="auto"/>
                <w:szCs w:val="21"/>
                <w:highlight w:val="none"/>
              </w:rPr>
              <w:t>价及市场价。</w:t>
            </w:r>
            <w:r>
              <w:rPr>
                <w:rFonts w:hint="eastAsia" w:ascii="宋体" w:hAnsi="宋体"/>
                <w:color w:val="auto"/>
                <w:szCs w:val="21"/>
                <w:highlight w:val="none"/>
              </w:rPr>
              <w:t>该价格已考虑营改增的调整内容，材料按信息价中含税价格除税，征税方法采用一般计税法；</w:t>
            </w:r>
          </w:p>
          <w:p w14:paraId="665883B1">
            <w:pPr>
              <w:adjustRightInd w:val="0"/>
              <w:snapToGrid w:val="0"/>
              <w:jc w:val="left"/>
              <w:rPr>
                <w:rFonts w:ascii="宋体" w:hAnsi="宋体"/>
                <w:color w:val="auto"/>
                <w:kern w:val="0"/>
                <w:szCs w:val="21"/>
                <w:highlight w:val="none"/>
              </w:rPr>
            </w:pPr>
            <w:r>
              <w:rPr>
                <w:rFonts w:ascii="宋体" w:hAnsi="宋体"/>
                <w:color w:val="auto"/>
                <w:szCs w:val="21"/>
                <w:highlight w:val="none"/>
              </w:rPr>
              <w:t>（</w:t>
            </w:r>
            <w:r>
              <w:rPr>
                <w:rFonts w:hint="eastAsia" w:ascii="宋体" w:hAnsi="宋体"/>
                <w:color w:val="auto"/>
                <w:szCs w:val="21"/>
                <w:highlight w:val="none"/>
              </w:rPr>
              <w:t>10</w:t>
            </w:r>
            <w:r>
              <w:rPr>
                <w:rFonts w:ascii="宋体" w:hAnsi="宋体"/>
                <w:color w:val="auto"/>
                <w:szCs w:val="21"/>
                <w:highlight w:val="none"/>
              </w:rPr>
              <w:t>）答疑、补充通知或澄清文件</w:t>
            </w:r>
            <w:r>
              <w:rPr>
                <w:rFonts w:hint="eastAsia" w:ascii="宋体" w:hAnsi="宋体"/>
                <w:color w:val="auto"/>
                <w:szCs w:val="21"/>
                <w:highlight w:val="none"/>
              </w:rPr>
              <w:t>。</w:t>
            </w:r>
          </w:p>
        </w:tc>
      </w:tr>
      <w:tr w14:paraId="3641E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765" w:type="dxa"/>
            <w:noWrap w:val="0"/>
            <w:vAlign w:val="center"/>
          </w:tcPr>
          <w:p w14:paraId="3782E7B0">
            <w:pPr>
              <w:jc w:val="center"/>
              <w:rPr>
                <w:rFonts w:ascii="宋体" w:hAnsi="宋体"/>
                <w:color w:val="auto"/>
                <w:szCs w:val="21"/>
                <w:highlight w:val="none"/>
              </w:rPr>
            </w:pPr>
            <w:r>
              <w:rPr>
                <w:rFonts w:ascii="宋体" w:hAnsi="宋体"/>
                <w:color w:val="auto"/>
                <w:szCs w:val="21"/>
                <w:highlight w:val="none"/>
              </w:rPr>
              <w:t>15</w:t>
            </w:r>
          </w:p>
        </w:tc>
        <w:tc>
          <w:tcPr>
            <w:tcW w:w="990" w:type="dxa"/>
            <w:noWrap w:val="0"/>
            <w:vAlign w:val="center"/>
          </w:tcPr>
          <w:p w14:paraId="53E906E1">
            <w:pPr>
              <w:jc w:val="center"/>
              <w:rPr>
                <w:rFonts w:ascii="宋体" w:hAnsi="宋体"/>
                <w:color w:val="auto"/>
                <w:szCs w:val="21"/>
                <w:highlight w:val="none"/>
              </w:rPr>
            </w:pPr>
            <w:r>
              <w:rPr>
                <w:rFonts w:ascii="宋体" w:hAnsi="宋体"/>
                <w:color w:val="auto"/>
                <w:szCs w:val="21"/>
                <w:highlight w:val="none"/>
              </w:rPr>
              <w:t>18.3</w:t>
            </w:r>
          </w:p>
        </w:tc>
        <w:tc>
          <w:tcPr>
            <w:tcW w:w="1840" w:type="dxa"/>
            <w:noWrap w:val="0"/>
            <w:vAlign w:val="center"/>
          </w:tcPr>
          <w:p w14:paraId="333746CF">
            <w:pPr>
              <w:jc w:val="center"/>
              <w:rPr>
                <w:rFonts w:ascii="宋体" w:hAnsi="宋体"/>
                <w:color w:val="auto"/>
                <w:szCs w:val="21"/>
                <w:highlight w:val="none"/>
              </w:rPr>
            </w:pPr>
            <w:r>
              <w:rPr>
                <w:rFonts w:ascii="宋体" w:hAnsi="宋体"/>
                <w:color w:val="auto"/>
                <w:szCs w:val="21"/>
                <w:highlight w:val="none"/>
              </w:rPr>
              <w:t>公布的招标控制价文件组成</w:t>
            </w:r>
          </w:p>
        </w:tc>
        <w:tc>
          <w:tcPr>
            <w:tcW w:w="5783" w:type="dxa"/>
            <w:noWrap w:val="0"/>
            <w:vAlign w:val="center"/>
          </w:tcPr>
          <w:p w14:paraId="74EF3B91">
            <w:pPr>
              <w:jc w:val="left"/>
              <w:rPr>
                <w:rFonts w:ascii="宋体" w:hAnsi="宋体"/>
                <w:color w:val="auto"/>
                <w:szCs w:val="21"/>
                <w:highlight w:val="none"/>
              </w:rPr>
            </w:pPr>
            <w:r>
              <w:rPr>
                <w:rFonts w:ascii="宋体" w:hAnsi="宋体"/>
                <w:color w:val="auto"/>
                <w:szCs w:val="21"/>
                <w:highlight w:val="none"/>
              </w:rPr>
              <w:t>建设项目招标控制价汇总表、分部分项工程和单价措施项目清单与计价表、材料价格表……</w:t>
            </w:r>
          </w:p>
        </w:tc>
      </w:tr>
      <w:tr w14:paraId="6739B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atLeast"/>
          <w:jc w:val="center"/>
        </w:trPr>
        <w:tc>
          <w:tcPr>
            <w:tcW w:w="765" w:type="dxa"/>
            <w:noWrap w:val="0"/>
            <w:vAlign w:val="center"/>
          </w:tcPr>
          <w:p w14:paraId="32AE4048">
            <w:pPr>
              <w:jc w:val="center"/>
              <w:rPr>
                <w:rFonts w:ascii="宋体" w:hAnsi="宋体"/>
                <w:color w:val="auto"/>
                <w:szCs w:val="21"/>
                <w:highlight w:val="none"/>
              </w:rPr>
            </w:pPr>
            <w:r>
              <w:rPr>
                <w:rFonts w:ascii="宋体" w:hAnsi="宋体"/>
                <w:color w:val="auto"/>
                <w:szCs w:val="21"/>
                <w:highlight w:val="none"/>
              </w:rPr>
              <w:t>16</w:t>
            </w:r>
          </w:p>
        </w:tc>
        <w:tc>
          <w:tcPr>
            <w:tcW w:w="990" w:type="dxa"/>
            <w:noWrap w:val="0"/>
            <w:vAlign w:val="center"/>
          </w:tcPr>
          <w:p w14:paraId="08FF3990">
            <w:pPr>
              <w:jc w:val="center"/>
              <w:rPr>
                <w:rFonts w:ascii="宋体" w:hAnsi="宋体"/>
                <w:color w:val="auto"/>
                <w:szCs w:val="21"/>
                <w:highlight w:val="none"/>
              </w:rPr>
            </w:pPr>
            <w:r>
              <w:rPr>
                <w:rFonts w:ascii="宋体" w:hAnsi="宋体"/>
                <w:color w:val="auto"/>
                <w:szCs w:val="21"/>
                <w:highlight w:val="none"/>
              </w:rPr>
              <w:t>18.4</w:t>
            </w:r>
          </w:p>
        </w:tc>
        <w:tc>
          <w:tcPr>
            <w:tcW w:w="1840" w:type="dxa"/>
            <w:noWrap w:val="0"/>
            <w:vAlign w:val="center"/>
          </w:tcPr>
          <w:p w14:paraId="38EB3727">
            <w:pPr>
              <w:jc w:val="center"/>
              <w:rPr>
                <w:rFonts w:ascii="宋体" w:hAnsi="宋体"/>
                <w:color w:val="auto"/>
                <w:szCs w:val="21"/>
                <w:highlight w:val="none"/>
              </w:rPr>
            </w:pPr>
            <w:r>
              <w:rPr>
                <w:rFonts w:ascii="宋体" w:hAnsi="宋体"/>
                <w:color w:val="auto"/>
                <w:szCs w:val="21"/>
                <w:highlight w:val="none"/>
              </w:rPr>
              <w:t>招标控制价公布时间</w:t>
            </w:r>
          </w:p>
        </w:tc>
        <w:tc>
          <w:tcPr>
            <w:tcW w:w="5783" w:type="dxa"/>
            <w:noWrap w:val="0"/>
            <w:vAlign w:val="center"/>
          </w:tcPr>
          <w:p w14:paraId="5B59F407">
            <w:pPr>
              <w:jc w:val="left"/>
              <w:rPr>
                <w:rFonts w:hint="eastAsia" w:ascii="宋体" w:hAnsi="宋体"/>
                <w:b/>
                <w:bCs/>
                <w:color w:val="auto"/>
                <w:szCs w:val="21"/>
                <w:highlight w:val="none"/>
              </w:rPr>
            </w:pPr>
            <w:r>
              <w:rPr>
                <w:rFonts w:ascii="宋体" w:hAnsi="宋体"/>
                <w:b/>
                <w:bCs/>
                <w:color w:val="auto"/>
                <w:szCs w:val="21"/>
                <w:highlight w:val="none"/>
              </w:rPr>
              <w:t>本工程招标控制价：</w:t>
            </w:r>
            <w:r>
              <w:rPr>
                <w:rFonts w:hint="eastAsia" w:ascii="宋体" w:hAnsi="宋体"/>
                <w:b/>
                <w:bCs/>
                <w:color w:val="auto"/>
                <w:szCs w:val="21"/>
                <w:highlight w:val="none"/>
              </w:rPr>
              <w:t>112990.82</w:t>
            </w:r>
            <w:r>
              <w:rPr>
                <w:rFonts w:ascii="宋体" w:hAnsi="宋体"/>
                <w:b/>
                <w:bCs/>
                <w:color w:val="auto"/>
                <w:szCs w:val="21"/>
                <w:highlight w:val="none"/>
              </w:rPr>
              <w:t>元</w:t>
            </w:r>
            <w:r>
              <w:rPr>
                <w:rFonts w:hint="eastAsia" w:ascii="宋体" w:hAnsi="宋体"/>
                <w:b/>
                <w:bCs/>
                <w:color w:val="auto"/>
                <w:szCs w:val="21"/>
                <w:highlight w:val="none"/>
              </w:rPr>
              <w:t>。</w:t>
            </w:r>
          </w:p>
          <w:p w14:paraId="565F7A57">
            <w:pPr>
              <w:jc w:val="left"/>
              <w:rPr>
                <w:rFonts w:ascii="宋体" w:hAnsi="宋体"/>
                <w:color w:val="auto"/>
                <w:szCs w:val="21"/>
                <w:highlight w:val="none"/>
              </w:rPr>
            </w:pPr>
            <w:r>
              <w:rPr>
                <w:rFonts w:ascii="宋体" w:hAnsi="宋体"/>
                <w:color w:val="auto"/>
                <w:szCs w:val="21"/>
                <w:highlight w:val="none"/>
              </w:rPr>
              <w:t>招标控制价、标底等文件同招标文件同时在</w:t>
            </w:r>
            <w:r>
              <w:rPr>
                <w:rFonts w:hint="eastAsia" w:ascii="宋体" w:hAnsi="宋体"/>
                <w:color w:val="auto"/>
                <w:szCs w:val="21"/>
                <w:highlight w:val="none"/>
                <w:lang w:eastAsia="zh-CN"/>
              </w:rPr>
              <w:t>南通市崇川区人民政府网－公告公示栏</w:t>
            </w:r>
            <w:r>
              <w:rPr>
                <w:rFonts w:ascii="宋体" w:hAnsi="宋体"/>
                <w:color w:val="auto"/>
                <w:szCs w:val="21"/>
                <w:highlight w:val="none"/>
              </w:rPr>
              <w:t>中发布</w:t>
            </w:r>
          </w:p>
        </w:tc>
      </w:tr>
      <w:tr w14:paraId="5DBF3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jc w:val="center"/>
        </w:trPr>
        <w:tc>
          <w:tcPr>
            <w:tcW w:w="765" w:type="dxa"/>
            <w:noWrap w:val="0"/>
            <w:vAlign w:val="center"/>
          </w:tcPr>
          <w:p w14:paraId="60FC6C9D">
            <w:pPr>
              <w:jc w:val="center"/>
              <w:rPr>
                <w:rFonts w:ascii="宋体" w:hAnsi="宋体"/>
                <w:color w:val="auto"/>
                <w:szCs w:val="21"/>
                <w:highlight w:val="none"/>
              </w:rPr>
            </w:pPr>
            <w:r>
              <w:rPr>
                <w:rFonts w:ascii="宋体" w:hAnsi="宋体"/>
                <w:color w:val="auto"/>
                <w:szCs w:val="21"/>
                <w:highlight w:val="none"/>
              </w:rPr>
              <w:t>17</w:t>
            </w:r>
          </w:p>
        </w:tc>
        <w:tc>
          <w:tcPr>
            <w:tcW w:w="990" w:type="dxa"/>
            <w:noWrap w:val="0"/>
            <w:vAlign w:val="center"/>
          </w:tcPr>
          <w:p w14:paraId="1482E638">
            <w:pPr>
              <w:jc w:val="center"/>
              <w:rPr>
                <w:rFonts w:ascii="宋体" w:hAnsi="宋体"/>
                <w:color w:val="auto"/>
                <w:szCs w:val="21"/>
                <w:highlight w:val="none"/>
              </w:rPr>
            </w:pPr>
            <w:r>
              <w:rPr>
                <w:rFonts w:ascii="宋体" w:hAnsi="宋体"/>
                <w:color w:val="auto"/>
                <w:szCs w:val="21"/>
                <w:highlight w:val="none"/>
              </w:rPr>
              <w:t>20.1</w:t>
            </w:r>
          </w:p>
        </w:tc>
        <w:tc>
          <w:tcPr>
            <w:tcW w:w="1840" w:type="dxa"/>
            <w:noWrap w:val="0"/>
            <w:vAlign w:val="center"/>
          </w:tcPr>
          <w:p w14:paraId="4884E377">
            <w:pPr>
              <w:jc w:val="center"/>
              <w:rPr>
                <w:rFonts w:ascii="宋体" w:hAnsi="宋体"/>
                <w:color w:val="auto"/>
                <w:szCs w:val="21"/>
                <w:highlight w:val="none"/>
              </w:rPr>
            </w:pPr>
            <w:r>
              <w:rPr>
                <w:rFonts w:ascii="宋体" w:hAnsi="宋体"/>
                <w:color w:val="auto"/>
                <w:szCs w:val="21"/>
                <w:highlight w:val="none"/>
              </w:rPr>
              <w:t>投标文件份数</w:t>
            </w:r>
          </w:p>
        </w:tc>
        <w:tc>
          <w:tcPr>
            <w:tcW w:w="5783" w:type="dxa"/>
            <w:noWrap w:val="0"/>
            <w:vAlign w:val="center"/>
          </w:tcPr>
          <w:p w14:paraId="5946817C">
            <w:pPr>
              <w:jc w:val="left"/>
              <w:rPr>
                <w:rFonts w:ascii="宋体" w:hAnsi="宋体"/>
                <w:b/>
                <w:snapToGrid w:val="0"/>
                <w:color w:val="auto"/>
                <w:kern w:val="0"/>
                <w:szCs w:val="21"/>
                <w:highlight w:val="none"/>
              </w:rPr>
            </w:pPr>
            <w:r>
              <w:rPr>
                <w:rFonts w:hint="eastAsia" w:ascii="宋体"/>
                <w:b/>
                <w:snapToGrid w:val="0"/>
                <w:color w:val="auto"/>
                <w:kern w:val="0"/>
                <w:sz w:val="21"/>
                <w:szCs w:val="21"/>
                <w:highlight w:val="none"/>
              </w:rPr>
              <w:t>纸质文件，</w:t>
            </w:r>
            <w:r>
              <w:rPr>
                <w:rFonts w:hint="eastAsia" w:ascii="宋体"/>
                <w:snapToGrid w:val="0"/>
                <w:color w:val="auto"/>
                <w:kern w:val="0"/>
                <w:sz w:val="21"/>
                <w:szCs w:val="21"/>
                <w:highlight w:val="none"/>
              </w:rPr>
              <w:t>正本</w:t>
            </w:r>
            <w:r>
              <w:rPr>
                <w:rFonts w:hint="eastAsia" w:ascii="宋体"/>
                <w:snapToGrid w:val="0"/>
                <w:color w:val="auto"/>
                <w:kern w:val="0"/>
                <w:sz w:val="21"/>
                <w:szCs w:val="21"/>
                <w:highlight w:val="none"/>
                <w:u w:val="single"/>
              </w:rPr>
              <w:t xml:space="preserve">  壹  </w:t>
            </w:r>
            <w:r>
              <w:rPr>
                <w:rFonts w:hint="eastAsia" w:ascii="宋体"/>
                <w:snapToGrid w:val="0"/>
                <w:color w:val="auto"/>
                <w:kern w:val="0"/>
                <w:sz w:val="21"/>
                <w:szCs w:val="21"/>
                <w:highlight w:val="none"/>
              </w:rPr>
              <w:t>份，副本</w:t>
            </w:r>
            <w:r>
              <w:rPr>
                <w:rFonts w:hint="eastAsia" w:ascii="宋体"/>
                <w:snapToGrid w:val="0"/>
                <w:color w:val="auto"/>
                <w:kern w:val="0"/>
                <w:sz w:val="21"/>
                <w:szCs w:val="21"/>
                <w:highlight w:val="none"/>
                <w:u w:val="single"/>
              </w:rPr>
              <w:t xml:space="preserve">  贰  </w:t>
            </w:r>
            <w:r>
              <w:rPr>
                <w:rFonts w:hint="eastAsia" w:ascii="宋体"/>
                <w:snapToGrid w:val="0"/>
                <w:color w:val="auto"/>
                <w:kern w:val="0"/>
                <w:sz w:val="21"/>
                <w:szCs w:val="21"/>
                <w:highlight w:val="none"/>
              </w:rPr>
              <w:t>份</w:t>
            </w:r>
          </w:p>
        </w:tc>
      </w:tr>
      <w:tr w14:paraId="023EA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3" w:hRule="atLeast"/>
          <w:jc w:val="center"/>
        </w:trPr>
        <w:tc>
          <w:tcPr>
            <w:tcW w:w="765" w:type="dxa"/>
            <w:noWrap w:val="0"/>
            <w:vAlign w:val="center"/>
          </w:tcPr>
          <w:p w14:paraId="2F016B4F">
            <w:pPr>
              <w:jc w:val="center"/>
              <w:rPr>
                <w:rFonts w:ascii="宋体" w:hAnsi="宋体"/>
                <w:color w:val="auto"/>
                <w:szCs w:val="21"/>
                <w:highlight w:val="none"/>
              </w:rPr>
            </w:pPr>
            <w:r>
              <w:rPr>
                <w:rFonts w:ascii="宋体" w:hAnsi="宋体"/>
                <w:color w:val="auto"/>
                <w:szCs w:val="21"/>
                <w:highlight w:val="none"/>
              </w:rPr>
              <w:t>18</w:t>
            </w:r>
          </w:p>
        </w:tc>
        <w:tc>
          <w:tcPr>
            <w:tcW w:w="990" w:type="dxa"/>
            <w:noWrap w:val="0"/>
            <w:vAlign w:val="center"/>
          </w:tcPr>
          <w:p w14:paraId="322CC551">
            <w:pPr>
              <w:jc w:val="center"/>
              <w:rPr>
                <w:rFonts w:ascii="宋体" w:hAnsi="宋体"/>
                <w:color w:val="auto"/>
                <w:szCs w:val="21"/>
                <w:highlight w:val="none"/>
              </w:rPr>
            </w:pPr>
            <w:r>
              <w:rPr>
                <w:rFonts w:ascii="宋体" w:hAnsi="宋体"/>
                <w:color w:val="auto"/>
                <w:szCs w:val="21"/>
                <w:highlight w:val="none"/>
              </w:rPr>
              <w:t>21</w:t>
            </w:r>
          </w:p>
        </w:tc>
        <w:tc>
          <w:tcPr>
            <w:tcW w:w="1840" w:type="dxa"/>
            <w:noWrap w:val="0"/>
            <w:vAlign w:val="center"/>
          </w:tcPr>
          <w:p w14:paraId="11C5DCC0">
            <w:pPr>
              <w:jc w:val="center"/>
              <w:rPr>
                <w:rFonts w:ascii="宋体" w:hAnsi="宋体"/>
                <w:color w:val="auto"/>
                <w:szCs w:val="21"/>
                <w:highlight w:val="none"/>
              </w:rPr>
            </w:pPr>
            <w:r>
              <w:rPr>
                <w:rFonts w:ascii="宋体" w:hAnsi="宋体"/>
                <w:color w:val="auto"/>
                <w:szCs w:val="21"/>
                <w:highlight w:val="none"/>
              </w:rPr>
              <w:t>投标文件提交地点及截止时间</w:t>
            </w:r>
          </w:p>
        </w:tc>
        <w:tc>
          <w:tcPr>
            <w:tcW w:w="5783" w:type="dxa"/>
            <w:noWrap w:val="0"/>
            <w:vAlign w:val="center"/>
          </w:tcPr>
          <w:p w14:paraId="70BAB01E">
            <w:pPr>
              <w:jc w:val="left"/>
              <w:rPr>
                <w:rFonts w:hint="eastAsia" w:ascii="宋体" w:hAnsi="宋体" w:eastAsia="宋体"/>
                <w:color w:val="auto"/>
                <w:szCs w:val="21"/>
                <w:highlight w:val="none"/>
                <w:lang w:eastAsia="zh-CN"/>
              </w:rPr>
            </w:pPr>
            <w:r>
              <w:rPr>
                <w:rFonts w:ascii="宋体" w:hAnsi="宋体"/>
                <w:b/>
                <w:color w:val="auto"/>
                <w:szCs w:val="21"/>
                <w:highlight w:val="none"/>
              </w:rPr>
              <w:t>收件人：</w:t>
            </w:r>
            <w:r>
              <w:rPr>
                <w:rFonts w:hint="eastAsia" w:ascii="宋体" w:hAnsi="宋体"/>
                <w:color w:val="auto"/>
                <w:szCs w:val="21"/>
                <w:highlight w:val="none"/>
                <w:u w:val="single"/>
                <w:lang w:eastAsia="zh-CN"/>
              </w:rPr>
              <w:t>南通通城建设工程项目管理有限公司</w:t>
            </w:r>
          </w:p>
          <w:p w14:paraId="38B6B784">
            <w:pPr>
              <w:jc w:val="left"/>
              <w:rPr>
                <w:rFonts w:ascii="宋体" w:hAnsi="宋体"/>
                <w:color w:val="auto"/>
                <w:szCs w:val="21"/>
                <w:highlight w:val="none"/>
                <w:u w:val="single"/>
              </w:rPr>
            </w:pPr>
            <w:r>
              <w:rPr>
                <w:rFonts w:ascii="宋体" w:hAnsi="宋体"/>
                <w:b/>
                <w:color w:val="auto"/>
                <w:szCs w:val="21"/>
                <w:highlight w:val="none"/>
              </w:rPr>
              <w:t>截止时间：</w:t>
            </w:r>
            <w:r>
              <w:rPr>
                <w:rFonts w:ascii="宋体" w:hAnsi="宋体"/>
                <w:b/>
                <w:color w:val="auto"/>
                <w:szCs w:val="21"/>
                <w:highlight w:val="none"/>
                <w:u w:val="single"/>
              </w:rPr>
              <w:t>202</w:t>
            </w:r>
            <w:r>
              <w:rPr>
                <w:rFonts w:hint="eastAsia" w:ascii="宋体" w:hAnsi="宋体"/>
                <w:b/>
                <w:color w:val="auto"/>
                <w:szCs w:val="21"/>
                <w:highlight w:val="none"/>
                <w:u w:val="single"/>
              </w:rPr>
              <w:t>5</w:t>
            </w:r>
            <w:r>
              <w:rPr>
                <w:rFonts w:ascii="宋体" w:hAnsi="宋体"/>
                <w:b/>
                <w:color w:val="auto"/>
                <w:szCs w:val="21"/>
                <w:highlight w:val="none"/>
                <w:u w:val="single"/>
              </w:rPr>
              <w:t>年</w:t>
            </w:r>
            <w:r>
              <w:rPr>
                <w:rFonts w:hint="eastAsia" w:ascii="宋体" w:hAnsi="宋体"/>
                <w:b/>
                <w:color w:val="auto"/>
                <w:szCs w:val="21"/>
                <w:highlight w:val="none"/>
                <w:u w:val="single"/>
                <w:lang w:val="en-US" w:eastAsia="zh-CN"/>
              </w:rPr>
              <w:t>7</w:t>
            </w:r>
            <w:r>
              <w:rPr>
                <w:rFonts w:ascii="宋体" w:hAnsi="宋体"/>
                <w:b/>
                <w:color w:val="auto"/>
                <w:szCs w:val="21"/>
                <w:highlight w:val="none"/>
                <w:u w:val="single"/>
              </w:rPr>
              <w:t>月</w:t>
            </w:r>
            <w:r>
              <w:rPr>
                <w:rFonts w:hint="eastAsia" w:ascii="宋体" w:hAnsi="宋体"/>
                <w:b/>
                <w:color w:val="auto"/>
                <w:szCs w:val="21"/>
                <w:highlight w:val="none"/>
                <w:u w:val="single"/>
                <w:lang w:val="en-US" w:eastAsia="zh-CN"/>
              </w:rPr>
              <w:t>29</w:t>
            </w:r>
            <w:r>
              <w:rPr>
                <w:rFonts w:ascii="宋体" w:hAnsi="宋体"/>
                <w:b/>
                <w:color w:val="auto"/>
                <w:szCs w:val="21"/>
                <w:highlight w:val="none"/>
                <w:u w:val="single"/>
              </w:rPr>
              <w:t>日</w:t>
            </w:r>
            <w:r>
              <w:rPr>
                <w:rFonts w:hint="eastAsia" w:ascii="宋体" w:hAnsi="宋体"/>
                <w:b/>
                <w:color w:val="auto"/>
                <w:szCs w:val="21"/>
                <w:highlight w:val="none"/>
                <w:u w:val="single"/>
              </w:rPr>
              <w:t>14</w:t>
            </w:r>
            <w:r>
              <w:rPr>
                <w:rFonts w:ascii="宋体" w:hAnsi="宋体"/>
                <w:b/>
                <w:color w:val="auto"/>
                <w:szCs w:val="21"/>
                <w:highlight w:val="none"/>
                <w:u w:val="single"/>
              </w:rPr>
              <w:t>时</w:t>
            </w:r>
            <w:r>
              <w:rPr>
                <w:rFonts w:hint="eastAsia" w:ascii="宋体" w:hAnsi="宋体"/>
                <w:b/>
                <w:color w:val="auto"/>
                <w:szCs w:val="21"/>
                <w:highlight w:val="none"/>
                <w:u w:val="single"/>
              </w:rPr>
              <w:t>00</w:t>
            </w:r>
            <w:r>
              <w:rPr>
                <w:rFonts w:ascii="宋体" w:hAnsi="宋体"/>
                <w:b/>
                <w:color w:val="auto"/>
                <w:szCs w:val="21"/>
                <w:highlight w:val="none"/>
                <w:u w:val="single"/>
              </w:rPr>
              <w:t>分</w:t>
            </w:r>
          </w:p>
          <w:p w14:paraId="15EBCF90">
            <w:pPr>
              <w:jc w:val="left"/>
              <w:rPr>
                <w:rFonts w:hint="eastAsia" w:ascii="宋体" w:hAnsi="宋体" w:eastAsia="宋体"/>
                <w:color w:val="auto"/>
                <w:szCs w:val="21"/>
                <w:highlight w:val="none"/>
                <w:u w:val="single"/>
                <w:lang w:eastAsia="zh-CN"/>
              </w:rPr>
            </w:pPr>
            <w:r>
              <w:rPr>
                <w:rFonts w:ascii="宋体" w:hAnsi="宋体"/>
                <w:b/>
                <w:color w:val="auto"/>
                <w:szCs w:val="21"/>
                <w:highlight w:val="none"/>
              </w:rPr>
              <w:t>提交地点：</w:t>
            </w:r>
            <w:r>
              <w:rPr>
                <w:rFonts w:hint="eastAsia" w:ascii="宋体" w:hAnsi="宋体"/>
                <w:b/>
                <w:snapToGrid w:val="0"/>
                <w:color w:val="auto"/>
                <w:kern w:val="0"/>
                <w:szCs w:val="21"/>
                <w:highlight w:val="none"/>
                <w:lang w:eastAsia="zh-CN"/>
              </w:rPr>
              <w:t>南通市崇川区文峰街道五一社区党群服务中心105会议室，如有变动另行通知。</w:t>
            </w:r>
          </w:p>
        </w:tc>
      </w:tr>
      <w:tr w14:paraId="1A7D6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2" w:hRule="atLeast"/>
          <w:jc w:val="center"/>
        </w:trPr>
        <w:tc>
          <w:tcPr>
            <w:tcW w:w="765" w:type="dxa"/>
            <w:noWrap w:val="0"/>
            <w:vAlign w:val="center"/>
          </w:tcPr>
          <w:p w14:paraId="7C79D4D1">
            <w:pPr>
              <w:jc w:val="center"/>
              <w:rPr>
                <w:rFonts w:ascii="宋体" w:hAnsi="宋体"/>
                <w:color w:val="auto"/>
                <w:szCs w:val="21"/>
                <w:highlight w:val="none"/>
              </w:rPr>
            </w:pPr>
            <w:r>
              <w:rPr>
                <w:rFonts w:ascii="宋体" w:hAnsi="宋体"/>
                <w:color w:val="auto"/>
                <w:szCs w:val="21"/>
                <w:highlight w:val="none"/>
              </w:rPr>
              <w:t>19</w:t>
            </w:r>
          </w:p>
        </w:tc>
        <w:tc>
          <w:tcPr>
            <w:tcW w:w="990" w:type="dxa"/>
            <w:noWrap w:val="0"/>
            <w:vAlign w:val="center"/>
          </w:tcPr>
          <w:p w14:paraId="3A7546E6">
            <w:pPr>
              <w:jc w:val="center"/>
              <w:rPr>
                <w:rFonts w:ascii="宋体" w:hAnsi="宋体"/>
                <w:color w:val="auto"/>
                <w:szCs w:val="21"/>
                <w:highlight w:val="none"/>
              </w:rPr>
            </w:pPr>
            <w:r>
              <w:rPr>
                <w:rFonts w:ascii="宋体" w:hAnsi="宋体"/>
                <w:color w:val="auto"/>
                <w:szCs w:val="21"/>
                <w:highlight w:val="none"/>
              </w:rPr>
              <w:t>24</w:t>
            </w:r>
          </w:p>
        </w:tc>
        <w:tc>
          <w:tcPr>
            <w:tcW w:w="1840" w:type="dxa"/>
            <w:noWrap w:val="0"/>
            <w:vAlign w:val="center"/>
          </w:tcPr>
          <w:p w14:paraId="6D5CDA00">
            <w:pPr>
              <w:jc w:val="center"/>
              <w:rPr>
                <w:rFonts w:ascii="宋体" w:hAnsi="宋体"/>
                <w:color w:val="auto"/>
                <w:szCs w:val="21"/>
                <w:highlight w:val="none"/>
              </w:rPr>
            </w:pPr>
            <w:r>
              <w:rPr>
                <w:rFonts w:ascii="宋体" w:hAnsi="宋体"/>
                <w:color w:val="auto"/>
                <w:szCs w:val="21"/>
                <w:highlight w:val="none"/>
              </w:rPr>
              <w:t>开   标</w:t>
            </w:r>
          </w:p>
        </w:tc>
        <w:tc>
          <w:tcPr>
            <w:tcW w:w="5783" w:type="dxa"/>
            <w:noWrap w:val="0"/>
            <w:vAlign w:val="center"/>
          </w:tcPr>
          <w:p w14:paraId="55DD6889">
            <w:pPr>
              <w:jc w:val="left"/>
              <w:rPr>
                <w:rFonts w:ascii="宋体" w:hAnsi="宋体"/>
                <w:color w:val="auto"/>
                <w:szCs w:val="21"/>
                <w:highlight w:val="none"/>
                <w:u w:val="single"/>
              </w:rPr>
            </w:pPr>
            <w:r>
              <w:rPr>
                <w:rFonts w:ascii="宋体" w:hAnsi="宋体"/>
                <w:b/>
                <w:color w:val="auto"/>
                <w:szCs w:val="21"/>
                <w:highlight w:val="none"/>
              </w:rPr>
              <w:t>开标时间：</w:t>
            </w:r>
            <w:r>
              <w:rPr>
                <w:rFonts w:ascii="宋体" w:hAnsi="宋体"/>
                <w:b/>
                <w:color w:val="auto"/>
                <w:szCs w:val="21"/>
                <w:highlight w:val="none"/>
                <w:u w:val="single"/>
              </w:rPr>
              <w:t>202</w:t>
            </w:r>
            <w:r>
              <w:rPr>
                <w:rFonts w:hint="eastAsia" w:ascii="宋体" w:hAnsi="宋体"/>
                <w:b/>
                <w:color w:val="auto"/>
                <w:szCs w:val="21"/>
                <w:highlight w:val="none"/>
                <w:u w:val="single"/>
              </w:rPr>
              <w:t>5</w:t>
            </w:r>
            <w:r>
              <w:rPr>
                <w:rFonts w:ascii="宋体" w:hAnsi="宋体"/>
                <w:b/>
                <w:color w:val="auto"/>
                <w:szCs w:val="21"/>
                <w:highlight w:val="none"/>
                <w:u w:val="single"/>
              </w:rPr>
              <w:t>年</w:t>
            </w:r>
            <w:r>
              <w:rPr>
                <w:rFonts w:hint="eastAsia" w:ascii="宋体" w:hAnsi="宋体"/>
                <w:b/>
                <w:color w:val="auto"/>
                <w:szCs w:val="21"/>
                <w:highlight w:val="none"/>
                <w:u w:val="single"/>
                <w:lang w:val="en-US" w:eastAsia="zh-CN"/>
              </w:rPr>
              <w:t>7</w:t>
            </w:r>
            <w:r>
              <w:rPr>
                <w:rFonts w:ascii="宋体" w:hAnsi="宋体"/>
                <w:b/>
                <w:color w:val="auto"/>
                <w:szCs w:val="21"/>
                <w:highlight w:val="none"/>
                <w:u w:val="single"/>
              </w:rPr>
              <w:t>月</w:t>
            </w:r>
            <w:r>
              <w:rPr>
                <w:rFonts w:hint="eastAsia" w:ascii="宋体" w:hAnsi="宋体"/>
                <w:b/>
                <w:color w:val="auto"/>
                <w:szCs w:val="21"/>
                <w:highlight w:val="none"/>
                <w:u w:val="single"/>
                <w:lang w:val="en-US" w:eastAsia="zh-CN"/>
              </w:rPr>
              <w:t>29</w:t>
            </w:r>
            <w:r>
              <w:rPr>
                <w:rFonts w:ascii="宋体" w:hAnsi="宋体"/>
                <w:b/>
                <w:color w:val="auto"/>
                <w:szCs w:val="21"/>
                <w:highlight w:val="none"/>
                <w:u w:val="single"/>
              </w:rPr>
              <w:t>日</w:t>
            </w:r>
            <w:r>
              <w:rPr>
                <w:rFonts w:hint="eastAsia" w:ascii="宋体" w:hAnsi="宋体"/>
                <w:b/>
                <w:color w:val="auto"/>
                <w:szCs w:val="21"/>
                <w:highlight w:val="none"/>
                <w:u w:val="single"/>
              </w:rPr>
              <w:t>14</w:t>
            </w:r>
            <w:r>
              <w:rPr>
                <w:rFonts w:ascii="宋体" w:hAnsi="宋体"/>
                <w:b/>
                <w:color w:val="auto"/>
                <w:szCs w:val="21"/>
                <w:highlight w:val="none"/>
                <w:u w:val="single"/>
              </w:rPr>
              <w:t>时</w:t>
            </w:r>
            <w:r>
              <w:rPr>
                <w:rFonts w:hint="eastAsia" w:ascii="宋体" w:hAnsi="宋体"/>
                <w:b/>
                <w:color w:val="auto"/>
                <w:szCs w:val="21"/>
                <w:highlight w:val="none"/>
                <w:u w:val="single"/>
              </w:rPr>
              <w:t>00</w:t>
            </w:r>
            <w:r>
              <w:rPr>
                <w:rFonts w:ascii="宋体" w:hAnsi="宋体"/>
                <w:b/>
                <w:color w:val="auto"/>
                <w:szCs w:val="21"/>
                <w:highlight w:val="none"/>
                <w:u w:val="single"/>
              </w:rPr>
              <w:t>分</w:t>
            </w:r>
            <w:r>
              <w:rPr>
                <w:rFonts w:ascii="宋体" w:hAnsi="宋体"/>
                <w:color w:val="auto"/>
                <w:szCs w:val="21"/>
                <w:highlight w:val="none"/>
                <w:u w:val="single"/>
              </w:rPr>
              <w:t>（以</w:t>
            </w:r>
            <w:r>
              <w:rPr>
                <w:rFonts w:hint="eastAsia" w:ascii="宋体" w:hAnsi="宋体"/>
                <w:color w:val="auto"/>
                <w:szCs w:val="21"/>
                <w:highlight w:val="none"/>
                <w:u w:val="single"/>
                <w:lang w:val="en-US" w:eastAsia="zh-CN"/>
              </w:rPr>
              <w:t>北京</w:t>
            </w:r>
            <w:r>
              <w:rPr>
                <w:rFonts w:ascii="宋体" w:hAnsi="宋体"/>
                <w:color w:val="auto"/>
                <w:szCs w:val="21"/>
                <w:highlight w:val="none"/>
                <w:u w:val="single"/>
              </w:rPr>
              <w:t>时间为准）</w:t>
            </w:r>
          </w:p>
          <w:p w14:paraId="2CB4A80B">
            <w:pPr>
              <w:jc w:val="left"/>
              <w:rPr>
                <w:rFonts w:hint="eastAsia" w:ascii="宋体" w:hAnsi="宋体" w:eastAsia="宋体"/>
                <w:color w:val="auto"/>
                <w:szCs w:val="21"/>
                <w:highlight w:val="none"/>
                <w:lang w:eastAsia="zh-CN"/>
              </w:rPr>
            </w:pPr>
            <w:r>
              <w:rPr>
                <w:rFonts w:ascii="宋体" w:hAnsi="宋体"/>
                <w:b/>
                <w:color w:val="auto"/>
                <w:szCs w:val="21"/>
                <w:highlight w:val="none"/>
              </w:rPr>
              <w:t>开标地点：</w:t>
            </w:r>
            <w:r>
              <w:rPr>
                <w:rFonts w:hint="eastAsia" w:ascii="宋体" w:hAnsi="宋体"/>
                <w:b/>
                <w:snapToGrid w:val="0"/>
                <w:color w:val="auto"/>
                <w:kern w:val="0"/>
                <w:szCs w:val="21"/>
                <w:highlight w:val="none"/>
                <w:lang w:eastAsia="zh-CN"/>
              </w:rPr>
              <w:t>南通市崇川区文峰街道五一社区党群服务中心105会议室，如有变动另行通知。</w:t>
            </w:r>
          </w:p>
        </w:tc>
      </w:tr>
      <w:tr w14:paraId="460D4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765" w:type="dxa"/>
            <w:noWrap w:val="0"/>
            <w:vAlign w:val="center"/>
          </w:tcPr>
          <w:p w14:paraId="4C1EBF90">
            <w:pPr>
              <w:jc w:val="center"/>
              <w:rPr>
                <w:rFonts w:ascii="宋体" w:hAnsi="宋体"/>
                <w:color w:val="auto"/>
                <w:szCs w:val="21"/>
                <w:highlight w:val="none"/>
              </w:rPr>
            </w:pPr>
            <w:r>
              <w:rPr>
                <w:rFonts w:ascii="宋体" w:hAnsi="宋体"/>
                <w:color w:val="auto"/>
                <w:szCs w:val="21"/>
                <w:highlight w:val="none"/>
              </w:rPr>
              <w:t>20</w:t>
            </w:r>
          </w:p>
        </w:tc>
        <w:tc>
          <w:tcPr>
            <w:tcW w:w="990" w:type="dxa"/>
            <w:noWrap w:val="0"/>
            <w:vAlign w:val="center"/>
          </w:tcPr>
          <w:p w14:paraId="1FDD0FFE">
            <w:pPr>
              <w:jc w:val="center"/>
              <w:rPr>
                <w:rFonts w:ascii="宋体" w:hAnsi="宋体"/>
                <w:color w:val="auto"/>
                <w:szCs w:val="21"/>
                <w:highlight w:val="none"/>
              </w:rPr>
            </w:pPr>
            <w:r>
              <w:rPr>
                <w:rFonts w:ascii="宋体" w:hAnsi="宋体"/>
                <w:color w:val="auto"/>
                <w:szCs w:val="21"/>
                <w:highlight w:val="none"/>
              </w:rPr>
              <w:t>25</w:t>
            </w:r>
          </w:p>
        </w:tc>
        <w:tc>
          <w:tcPr>
            <w:tcW w:w="1840" w:type="dxa"/>
            <w:noWrap w:val="0"/>
            <w:vAlign w:val="center"/>
          </w:tcPr>
          <w:p w14:paraId="317D3C49">
            <w:pPr>
              <w:jc w:val="center"/>
              <w:rPr>
                <w:rFonts w:ascii="宋体" w:hAnsi="宋体"/>
                <w:color w:val="auto"/>
                <w:szCs w:val="21"/>
                <w:highlight w:val="none"/>
              </w:rPr>
            </w:pPr>
            <w:r>
              <w:rPr>
                <w:rFonts w:ascii="宋体" w:hAnsi="宋体"/>
                <w:color w:val="auto"/>
                <w:szCs w:val="21"/>
                <w:highlight w:val="none"/>
              </w:rPr>
              <w:t>评标委员会</w:t>
            </w:r>
          </w:p>
        </w:tc>
        <w:tc>
          <w:tcPr>
            <w:tcW w:w="5783" w:type="dxa"/>
            <w:noWrap w:val="0"/>
            <w:vAlign w:val="center"/>
          </w:tcPr>
          <w:p w14:paraId="1980BAF6">
            <w:pPr>
              <w:jc w:val="left"/>
              <w:rPr>
                <w:rFonts w:ascii="宋体" w:hAnsi="宋体"/>
                <w:color w:val="auto"/>
                <w:szCs w:val="21"/>
                <w:highlight w:val="none"/>
              </w:rPr>
            </w:pPr>
            <w:r>
              <w:rPr>
                <w:rFonts w:ascii="宋体" w:hAnsi="宋体"/>
                <w:color w:val="auto"/>
                <w:szCs w:val="21"/>
                <w:highlight w:val="none"/>
              </w:rPr>
              <w:t>评标专家确定方式：</w:t>
            </w:r>
            <w:r>
              <w:rPr>
                <w:rFonts w:hint="eastAsia" w:ascii="宋体" w:hAnsi="宋体"/>
                <w:color w:val="auto"/>
                <w:szCs w:val="21"/>
                <w:highlight w:val="none"/>
              </w:rPr>
              <w:t>招标人依法组建。</w:t>
            </w:r>
          </w:p>
        </w:tc>
      </w:tr>
      <w:tr w14:paraId="6CC2B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jc w:val="center"/>
        </w:trPr>
        <w:tc>
          <w:tcPr>
            <w:tcW w:w="765" w:type="dxa"/>
            <w:noWrap w:val="0"/>
            <w:vAlign w:val="center"/>
          </w:tcPr>
          <w:p w14:paraId="4C2E4FA4">
            <w:pPr>
              <w:jc w:val="center"/>
              <w:rPr>
                <w:rFonts w:ascii="宋体" w:hAnsi="宋体"/>
                <w:color w:val="auto"/>
                <w:szCs w:val="21"/>
                <w:highlight w:val="none"/>
              </w:rPr>
            </w:pPr>
            <w:r>
              <w:rPr>
                <w:rFonts w:ascii="宋体" w:hAnsi="宋体"/>
                <w:color w:val="auto"/>
                <w:szCs w:val="21"/>
                <w:highlight w:val="none"/>
              </w:rPr>
              <w:t>21</w:t>
            </w:r>
          </w:p>
        </w:tc>
        <w:tc>
          <w:tcPr>
            <w:tcW w:w="990" w:type="dxa"/>
            <w:noWrap w:val="0"/>
            <w:vAlign w:val="center"/>
          </w:tcPr>
          <w:p w14:paraId="5E6280AA">
            <w:pPr>
              <w:jc w:val="center"/>
              <w:rPr>
                <w:rFonts w:ascii="宋体" w:hAnsi="宋体"/>
                <w:color w:val="auto"/>
                <w:szCs w:val="21"/>
                <w:highlight w:val="none"/>
              </w:rPr>
            </w:pPr>
            <w:r>
              <w:rPr>
                <w:rFonts w:ascii="宋体" w:hAnsi="宋体"/>
                <w:color w:val="auto"/>
                <w:szCs w:val="21"/>
                <w:highlight w:val="none"/>
              </w:rPr>
              <w:t>35</w:t>
            </w:r>
          </w:p>
        </w:tc>
        <w:tc>
          <w:tcPr>
            <w:tcW w:w="1840" w:type="dxa"/>
            <w:noWrap w:val="0"/>
            <w:vAlign w:val="center"/>
          </w:tcPr>
          <w:p w14:paraId="77457334">
            <w:pPr>
              <w:jc w:val="center"/>
              <w:rPr>
                <w:rFonts w:ascii="宋体" w:hAnsi="宋体"/>
                <w:color w:val="auto"/>
                <w:szCs w:val="21"/>
                <w:highlight w:val="none"/>
              </w:rPr>
            </w:pPr>
            <w:r>
              <w:rPr>
                <w:rFonts w:ascii="宋体" w:hAnsi="宋体"/>
                <w:color w:val="auto"/>
                <w:szCs w:val="21"/>
                <w:highlight w:val="none"/>
              </w:rPr>
              <w:t>履约担保</w:t>
            </w:r>
            <w:r>
              <w:rPr>
                <w:rFonts w:hint="eastAsia" w:ascii="宋体" w:hAnsi="宋体"/>
                <w:color w:val="auto"/>
                <w:szCs w:val="21"/>
                <w:highlight w:val="none"/>
              </w:rPr>
              <w:t>及</w:t>
            </w:r>
            <w:r>
              <w:rPr>
                <w:rFonts w:ascii="宋体" w:hAnsi="宋体"/>
                <w:color w:val="auto"/>
                <w:szCs w:val="21"/>
                <w:highlight w:val="none"/>
              </w:rPr>
              <w:t>农民工</w:t>
            </w:r>
            <w:r>
              <w:rPr>
                <w:rFonts w:hint="eastAsia" w:ascii="宋体" w:hAnsi="宋体"/>
                <w:color w:val="auto"/>
                <w:szCs w:val="21"/>
                <w:highlight w:val="none"/>
              </w:rPr>
              <w:t>工资</w:t>
            </w:r>
            <w:r>
              <w:rPr>
                <w:rFonts w:ascii="宋体" w:hAnsi="宋体"/>
                <w:color w:val="auto"/>
                <w:szCs w:val="21"/>
                <w:highlight w:val="none"/>
              </w:rPr>
              <w:t>保证金金额</w:t>
            </w:r>
          </w:p>
        </w:tc>
        <w:tc>
          <w:tcPr>
            <w:tcW w:w="5783" w:type="dxa"/>
            <w:noWrap w:val="0"/>
            <w:vAlign w:val="center"/>
          </w:tcPr>
          <w:p w14:paraId="0EFFDE68">
            <w:pPr>
              <w:adjustRightInd w:val="0"/>
              <w:snapToGrid w:val="0"/>
              <w:spacing w:line="360" w:lineRule="exact"/>
              <w:rPr>
                <w:rFonts w:hint="eastAsia"/>
                <w:color w:val="auto"/>
                <w:highlight w:val="none"/>
              </w:rPr>
            </w:pPr>
            <w:r>
              <w:rPr>
                <w:rFonts w:hint="eastAsia" w:ascii="宋体" w:hAnsi="宋体" w:cs="宋体"/>
                <w:color w:val="auto"/>
                <w:szCs w:val="21"/>
                <w:highlight w:val="none"/>
              </w:rPr>
              <w:t>履约保证金的形式：</w:t>
            </w:r>
            <w:r>
              <w:rPr>
                <w:rFonts w:hint="eastAsia" w:ascii="宋体" w:hAnsi="宋体" w:cs="宋体"/>
                <w:color w:val="auto"/>
                <w:szCs w:val="21"/>
                <w:highlight w:val="none"/>
                <w:lang w:eastAsia="zh-CN"/>
              </w:rPr>
              <w:t>银行转账</w:t>
            </w:r>
            <w:r>
              <w:rPr>
                <w:rFonts w:hint="eastAsia" w:ascii="宋体" w:hAnsi="宋体" w:cs="宋体"/>
                <w:b/>
                <w:color w:val="auto"/>
                <w:szCs w:val="21"/>
                <w:highlight w:val="none"/>
                <w:u w:val="single"/>
              </w:rPr>
              <w:t>或银行</w:t>
            </w:r>
            <w:r>
              <w:rPr>
                <w:rFonts w:ascii="宋体" w:hAnsi="宋体" w:cs="宋体"/>
                <w:b/>
                <w:color w:val="auto"/>
                <w:szCs w:val="21"/>
                <w:highlight w:val="none"/>
                <w:u w:val="single"/>
              </w:rPr>
              <w:t>保函</w:t>
            </w:r>
          </w:p>
          <w:p w14:paraId="1F6BA520">
            <w:pPr>
              <w:adjustRightInd w:val="0"/>
              <w:snapToGrid w:val="0"/>
              <w:spacing w:line="360" w:lineRule="exact"/>
              <w:rPr>
                <w:rFonts w:hint="eastAsia" w:ascii="宋体" w:hAnsi="宋体"/>
                <w:color w:val="auto"/>
                <w:szCs w:val="21"/>
                <w:highlight w:val="none"/>
              </w:rPr>
            </w:pPr>
            <w:r>
              <w:rPr>
                <w:color w:val="auto"/>
                <w:highlight w:val="none"/>
              </w:rPr>
              <w:t>履约保证金：</w:t>
            </w:r>
            <w:r>
              <w:rPr>
                <w:rFonts w:hint="eastAsia"/>
                <w:color w:val="auto"/>
                <w:highlight w:val="none"/>
              </w:rPr>
              <w:t>投标人提供的履约保证金为合同价的10%</w:t>
            </w:r>
          </w:p>
        </w:tc>
      </w:tr>
      <w:tr w14:paraId="5D0FA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11" w:hRule="atLeast"/>
          <w:jc w:val="center"/>
        </w:trPr>
        <w:tc>
          <w:tcPr>
            <w:tcW w:w="765" w:type="dxa"/>
            <w:tcBorders>
              <w:left w:val="single" w:color="auto" w:sz="4" w:space="0"/>
              <w:bottom w:val="single" w:color="auto" w:sz="4" w:space="0"/>
              <w:right w:val="single" w:color="auto" w:sz="4" w:space="0"/>
            </w:tcBorders>
            <w:noWrap w:val="0"/>
            <w:vAlign w:val="center"/>
          </w:tcPr>
          <w:p w14:paraId="3031C737">
            <w:pPr>
              <w:jc w:val="center"/>
              <w:rPr>
                <w:rFonts w:ascii="宋体" w:hAnsi="宋体"/>
                <w:color w:val="auto"/>
                <w:szCs w:val="21"/>
                <w:highlight w:val="none"/>
              </w:rPr>
            </w:pPr>
            <w:r>
              <w:rPr>
                <w:rFonts w:ascii="宋体" w:hAnsi="宋体"/>
                <w:color w:val="auto"/>
                <w:szCs w:val="21"/>
                <w:highlight w:val="none"/>
              </w:rPr>
              <w:t>22</w:t>
            </w:r>
          </w:p>
        </w:tc>
        <w:tc>
          <w:tcPr>
            <w:tcW w:w="2830" w:type="dxa"/>
            <w:gridSpan w:val="2"/>
            <w:tcBorders>
              <w:left w:val="single" w:color="auto" w:sz="4" w:space="0"/>
              <w:bottom w:val="single" w:color="auto" w:sz="4" w:space="0"/>
              <w:right w:val="single" w:color="auto" w:sz="4" w:space="0"/>
            </w:tcBorders>
            <w:noWrap w:val="0"/>
            <w:vAlign w:val="center"/>
          </w:tcPr>
          <w:p w14:paraId="0840E4F7">
            <w:pPr>
              <w:jc w:val="center"/>
              <w:rPr>
                <w:rFonts w:ascii="宋体" w:hAnsi="宋体"/>
                <w:color w:val="auto"/>
                <w:szCs w:val="21"/>
                <w:highlight w:val="none"/>
              </w:rPr>
            </w:pPr>
            <w:r>
              <w:rPr>
                <w:rFonts w:ascii="宋体" w:hAnsi="宋体"/>
                <w:color w:val="auto"/>
                <w:szCs w:val="21"/>
                <w:highlight w:val="none"/>
              </w:rPr>
              <w:t>招标单位</w:t>
            </w:r>
          </w:p>
        </w:tc>
        <w:tc>
          <w:tcPr>
            <w:tcW w:w="5783" w:type="dxa"/>
            <w:tcBorders>
              <w:top w:val="single" w:color="auto" w:sz="4" w:space="0"/>
              <w:left w:val="single" w:color="auto" w:sz="4" w:space="0"/>
              <w:bottom w:val="single" w:color="auto" w:sz="4" w:space="0"/>
              <w:right w:val="single" w:color="auto" w:sz="4" w:space="0"/>
            </w:tcBorders>
            <w:noWrap w:val="0"/>
            <w:vAlign w:val="center"/>
          </w:tcPr>
          <w:p w14:paraId="05FF44C2">
            <w:pPr>
              <w:spacing w:line="360" w:lineRule="exact"/>
              <w:rPr>
                <w:rFonts w:hint="eastAsia"/>
                <w:color w:val="auto"/>
                <w:highlight w:val="none"/>
              </w:rPr>
            </w:pPr>
            <w:r>
              <w:rPr>
                <w:rFonts w:hint="eastAsia"/>
                <w:color w:val="auto"/>
                <w:highlight w:val="none"/>
              </w:rPr>
              <w:t>名称：</w:t>
            </w:r>
            <w:r>
              <w:rPr>
                <w:rFonts w:hint="eastAsia"/>
                <w:color w:val="auto"/>
                <w:highlight w:val="none"/>
                <w:lang w:eastAsia="zh-CN"/>
              </w:rPr>
              <w:t>江苏乾坤物业管理有限公司</w:t>
            </w:r>
          </w:p>
          <w:p w14:paraId="1613EE3D">
            <w:pPr>
              <w:adjustRightInd w:val="0"/>
              <w:snapToGrid w:val="0"/>
              <w:spacing w:line="360" w:lineRule="exact"/>
              <w:rPr>
                <w:rFonts w:hint="eastAsia"/>
                <w:color w:val="auto"/>
                <w:highlight w:val="none"/>
              </w:rPr>
            </w:pPr>
            <w:r>
              <w:rPr>
                <w:rFonts w:hint="eastAsia"/>
                <w:color w:val="auto"/>
                <w:highlight w:val="none"/>
              </w:rPr>
              <w:t>地址：南通市崇川区工农南路156号</w:t>
            </w:r>
          </w:p>
          <w:p w14:paraId="419C9489">
            <w:pPr>
              <w:adjustRightInd w:val="0"/>
              <w:snapToGrid w:val="0"/>
              <w:spacing w:line="360" w:lineRule="exact"/>
              <w:rPr>
                <w:rFonts w:hint="eastAsia"/>
                <w:color w:val="auto"/>
                <w:highlight w:val="none"/>
              </w:rPr>
            </w:pPr>
            <w:r>
              <w:rPr>
                <w:rFonts w:hint="eastAsia"/>
                <w:color w:val="auto"/>
                <w:highlight w:val="none"/>
              </w:rPr>
              <w:t>联系人：顾先生</w:t>
            </w:r>
          </w:p>
          <w:p w14:paraId="2B6075D0">
            <w:pPr>
              <w:adjustRightInd w:val="0"/>
              <w:snapToGrid w:val="0"/>
              <w:spacing w:line="360" w:lineRule="exact"/>
              <w:rPr>
                <w:color w:val="auto"/>
                <w:highlight w:val="none"/>
              </w:rPr>
            </w:pPr>
            <w:r>
              <w:rPr>
                <w:rFonts w:hint="eastAsia"/>
                <w:color w:val="auto"/>
                <w:highlight w:val="none"/>
              </w:rPr>
              <w:t>联系电话：15262765208</w:t>
            </w:r>
          </w:p>
        </w:tc>
      </w:tr>
      <w:tr w14:paraId="06062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11" w:hRule="atLeast"/>
          <w:jc w:val="center"/>
        </w:trPr>
        <w:tc>
          <w:tcPr>
            <w:tcW w:w="765" w:type="dxa"/>
            <w:tcBorders>
              <w:left w:val="single" w:color="auto" w:sz="4" w:space="0"/>
              <w:bottom w:val="single" w:color="auto" w:sz="4" w:space="0"/>
              <w:right w:val="single" w:color="auto" w:sz="4" w:space="0"/>
            </w:tcBorders>
            <w:noWrap w:val="0"/>
            <w:vAlign w:val="center"/>
          </w:tcPr>
          <w:p w14:paraId="750AD912">
            <w:pPr>
              <w:jc w:val="center"/>
              <w:rPr>
                <w:rFonts w:ascii="宋体" w:hAnsi="宋体"/>
                <w:color w:val="auto"/>
                <w:szCs w:val="21"/>
                <w:highlight w:val="none"/>
              </w:rPr>
            </w:pPr>
            <w:r>
              <w:rPr>
                <w:rFonts w:ascii="宋体" w:hAnsi="宋体"/>
                <w:color w:val="auto"/>
                <w:szCs w:val="21"/>
                <w:highlight w:val="none"/>
              </w:rPr>
              <w:t>23</w:t>
            </w:r>
          </w:p>
        </w:tc>
        <w:tc>
          <w:tcPr>
            <w:tcW w:w="2830" w:type="dxa"/>
            <w:gridSpan w:val="2"/>
            <w:tcBorders>
              <w:left w:val="single" w:color="auto" w:sz="4" w:space="0"/>
              <w:bottom w:val="single" w:color="auto" w:sz="4" w:space="0"/>
              <w:right w:val="single" w:color="auto" w:sz="4" w:space="0"/>
            </w:tcBorders>
            <w:noWrap w:val="0"/>
            <w:vAlign w:val="center"/>
          </w:tcPr>
          <w:p w14:paraId="3BF2B670">
            <w:pPr>
              <w:jc w:val="center"/>
              <w:rPr>
                <w:rFonts w:ascii="宋体" w:hAnsi="宋体"/>
                <w:color w:val="auto"/>
                <w:szCs w:val="21"/>
                <w:highlight w:val="none"/>
              </w:rPr>
            </w:pPr>
            <w:r>
              <w:rPr>
                <w:rFonts w:ascii="宋体" w:hAnsi="宋体"/>
                <w:color w:val="auto"/>
                <w:szCs w:val="21"/>
                <w:highlight w:val="none"/>
              </w:rPr>
              <w:t>招标代理单位</w:t>
            </w:r>
          </w:p>
        </w:tc>
        <w:tc>
          <w:tcPr>
            <w:tcW w:w="5783" w:type="dxa"/>
            <w:tcBorders>
              <w:top w:val="single" w:color="auto" w:sz="4" w:space="0"/>
              <w:left w:val="single" w:color="auto" w:sz="4" w:space="0"/>
              <w:bottom w:val="single" w:color="auto" w:sz="4" w:space="0"/>
              <w:right w:val="single" w:color="auto" w:sz="4" w:space="0"/>
            </w:tcBorders>
            <w:noWrap w:val="0"/>
            <w:vAlign w:val="center"/>
          </w:tcPr>
          <w:p w14:paraId="3F29EFE2">
            <w:pPr>
              <w:adjustRightInd w:val="0"/>
              <w:snapToGrid w:val="0"/>
              <w:spacing w:line="360" w:lineRule="exact"/>
              <w:rPr>
                <w:rFonts w:hint="eastAsia" w:eastAsia="宋体"/>
                <w:color w:val="auto"/>
                <w:highlight w:val="none"/>
                <w:lang w:eastAsia="zh-CN"/>
              </w:rPr>
            </w:pPr>
            <w:r>
              <w:rPr>
                <w:rFonts w:hint="eastAsia"/>
                <w:color w:val="auto"/>
                <w:highlight w:val="none"/>
              </w:rPr>
              <w:t>名称：</w:t>
            </w:r>
            <w:r>
              <w:rPr>
                <w:rFonts w:hint="eastAsia"/>
                <w:color w:val="auto"/>
                <w:highlight w:val="none"/>
                <w:lang w:eastAsia="zh-CN"/>
              </w:rPr>
              <w:t>南通通城建设工程项目管理有限公司</w:t>
            </w:r>
          </w:p>
          <w:p w14:paraId="02D19E35">
            <w:pPr>
              <w:adjustRightInd w:val="0"/>
              <w:snapToGrid w:val="0"/>
              <w:spacing w:line="360" w:lineRule="exact"/>
              <w:rPr>
                <w:rFonts w:hint="eastAsia" w:eastAsia="宋体"/>
                <w:color w:val="auto"/>
                <w:highlight w:val="none"/>
                <w:lang w:eastAsia="zh-CN"/>
              </w:rPr>
            </w:pPr>
            <w:r>
              <w:rPr>
                <w:rFonts w:hint="eastAsia"/>
                <w:color w:val="auto"/>
                <w:highlight w:val="none"/>
              </w:rPr>
              <w:t>地址：</w:t>
            </w:r>
            <w:r>
              <w:rPr>
                <w:rFonts w:hint="eastAsia" w:ascii="宋体" w:hAnsi="宋体" w:cs="宋体"/>
                <w:color w:val="auto"/>
                <w:kern w:val="0"/>
                <w:szCs w:val="21"/>
                <w:highlight w:val="none"/>
                <w:lang w:eastAsia="zh-CN"/>
              </w:rPr>
              <w:t>南通市工农南路156号鑫乾广场A座2202室</w:t>
            </w:r>
          </w:p>
          <w:p w14:paraId="6BE2B74C">
            <w:pPr>
              <w:adjustRightInd w:val="0"/>
              <w:snapToGrid w:val="0"/>
              <w:spacing w:line="360" w:lineRule="exact"/>
              <w:rPr>
                <w:rFonts w:hint="eastAsia" w:eastAsia="宋体"/>
                <w:color w:val="auto"/>
                <w:highlight w:val="none"/>
                <w:lang w:eastAsia="zh-CN"/>
              </w:rPr>
            </w:pPr>
            <w:r>
              <w:rPr>
                <w:rFonts w:hint="eastAsia"/>
                <w:color w:val="auto"/>
                <w:highlight w:val="none"/>
              </w:rPr>
              <w:t>联系人：</w:t>
            </w:r>
            <w:r>
              <w:rPr>
                <w:rFonts w:hint="eastAsia"/>
                <w:color w:val="auto"/>
                <w:highlight w:val="none"/>
                <w:lang w:eastAsia="zh-CN"/>
              </w:rPr>
              <w:t>崔永振</w:t>
            </w:r>
          </w:p>
          <w:p w14:paraId="5776E3A5">
            <w:pPr>
              <w:adjustRightInd w:val="0"/>
              <w:snapToGrid w:val="0"/>
              <w:spacing w:line="360" w:lineRule="exact"/>
              <w:rPr>
                <w:rFonts w:hint="eastAsia" w:eastAsia="宋体"/>
                <w:color w:val="auto"/>
                <w:highlight w:val="none"/>
                <w:lang w:eastAsia="zh-CN"/>
              </w:rPr>
            </w:pPr>
            <w:r>
              <w:rPr>
                <w:rFonts w:hint="eastAsia"/>
                <w:color w:val="auto"/>
                <w:highlight w:val="none"/>
              </w:rPr>
              <w:t>联系电话：</w:t>
            </w:r>
            <w:r>
              <w:rPr>
                <w:rFonts w:hint="eastAsia"/>
                <w:color w:val="auto"/>
                <w:highlight w:val="none"/>
                <w:lang w:eastAsia="zh-CN"/>
              </w:rPr>
              <w:t>18862961365</w:t>
            </w:r>
          </w:p>
        </w:tc>
      </w:tr>
      <w:tr w14:paraId="2C387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6" w:hRule="atLeast"/>
          <w:jc w:val="center"/>
        </w:trPr>
        <w:tc>
          <w:tcPr>
            <w:tcW w:w="765" w:type="dxa"/>
            <w:tcBorders>
              <w:left w:val="single" w:color="auto" w:sz="4" w:space="0"/>
              <w:right w:val="single" w:color="auto" w:sz="4" w:space="0"/>
            </w:tcBorders>
            <w:noWrap w:val="0"/>
            <w:vAlign w:val="center"/>
          </w:tcPr>
          <w:p w14:paraId="3E7C3F2B">
            <w:pPr>
              <w:spacing w:line="360" w:lineRule="exact"/>
              <w:jc w:val="center"/>
              <w:rPr>
                <w:color w:val="auto"/>
                <w:szCs w:val="21"/>
                <w:highlight w:val="none"/>
              </w:rPr>
            </w:pPr>
            <w:r>
              <w:rPr>
                <w:color w:val="auto"/>
                <w:szCs w:val="21"/>
                <w:highlight w:val="none"/>
              </w:rPr>
              <w:t>24</w:t>
            </w:r>
          </w:p>
        </w:tc>
        <w:tc>
          <w:tcPr>
            <w:tcW w:w="8613" w:type="dxa"/>
            <w:gridSpan w:val="3"/>
            <w:tcBorders>
              <w:left w:val="single" w:color="auto" w:sz="4" w:space="0"/>
              <w:right w:val="single" w:color="auto" w:sz="4" w:space="0"/>
            </w:tcBorders>
            <w:noWrap w:val="0"/>
            <w:vAlign w:val="center"/>
          </w:tcPr>
          <w:p w14:paraId="6AC3E9E3">
            <w:pPr>
              <w:spacing w:line="360" w:lineRule="exact"/>
              <w:rPr>
                <w:rFonts w:hint="eastAsia"/>
                <w:b/>
                <w:bCs/>
                <w:color w:val="auto"/>
                <w:szCs w:val="21"/>
                <w:highlight w:val="none"/>
              </w:rPr>
            </w:pPr>
            <w:r>
              <w:rPr>
                <w:rFonts w:hint="eastAsia"/>
                <w:b/>
                <w:bCs/>
                <w:color w:val="auto"/>
                <w:szCs w:val="21"/>
                <w:highlight w:val="none"/>
              </w:rPr>
              <w:t>其他要求：</w:t>
            </w:r>
          </w:p>
          <w:p w14:paraId="16A1260E">
            <w:pPr>
              <w:spacing w:line="360" w:lineRule="exact"/>
              <w:ind w:firstLine="480"/>
              <w:rPr>
                <w:rFonts w:hint="eastAsia"/>
                <w:b/>
                <w:bCs/>
                <w:color w:val="auto"/>
                <w:szCs w:val="21"/>
                <w:highlight w:val="none"/>
              </w:rPr>
            </w:pPr>
            <w:r>
              <w:rPr>
                <w:rFonts w:hint="eastAsia"/>
                <w:b/>
                <w:bCs/>
                <w:color w:val="auto"/>
                <w:szCs w:val="21"/>
                <w:highlight w:val="none"/>
              </w:rPr>
              <w:t>因本工程采用纸质文件投标的方式，故招标人特别说明如下：</w:t>
            </w:r>
          </w:p>
          <w:p w14:paraId="7BB589A7">
            <w:pPr>
              <w:spacing w:line="360" w:lineRule="exact"/>
              <w:ind w:firstLine="480"/>
              <w:rPr>
                <w:rFonts w:hint="eastAsia"/>
                <w:b/>
                <w:bCs/>
                <w:color w:val="auto"/>
                <w:szCs w:val="21"/>
                <w:highlight w:val="none"/>
              </w:rPr>
            </w:pPr>
            <w:r>
              <w:rPr>
                <w:rFonts w:hint="eastAsia"/>
                <w:b/>
                <w:bCs/>
                <w:color w:val="auto"/>
                <w:szCs w:val="21"/>
                <w:highlight w:val="none"/>
              </w:rPr>
              <w:t>投标人投标文件的编制和递交，应依照招标文件的规定进行。如未按招标文件要求编制、递交投标文件，将可能导致废标，其后果由投标人自负。</w:t>
            </w:r>
          </w:p>
          <w:p w14:paraId="3F2430C0">
            <w:pPr>
              <w:spacing w:line="360" w:lineRule="exact"/>
              <w:ind w:firstLine="480"/>
              <w:rPr>
                <w:b/>
                <w:bCs/>
                <w:color w:val="auto"/>
                <w:szCs w:val="21"/>
                <w:highlight w:val="none"/>
              </w:rPr>
            </w:pPr>
            <w:r>
              <w:rPr>
                <w:rFonts w:hint="eastAsia"/>
                <w:b/>
                <w:bCs/>
                <w:color w:val="auto"/>
                <w:szCs w:val="21"/>
                <w:highlight w:val="none"/>
              </w:rPr>
              <w:t>投标人如对投标文件的制作存有疑问的，请尽早和招标代理公司工作人员联系，他们会提供必要的培训。</w:t>
            </w:r>
          </w:p>
        </w:tc>
      </w:tr>
      <w:tr w14:paraId="1EF99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33" w:hRule="atLeast"/>
          <w:jc w:val="center"/>
        </w:trPr>
        <w:tc>
          <w:tcPr>
            <w:tcW w:w="765" w:type="dxa"/>
            <w:tcBorders>
              <w:left w:val="single" w:color="auto" w:sz="4" w:space="0"/>
              <w:right w:val="single" w:color="auto" w:sz="4" w:space="0"/>
            </w:tcBorders>
            <w:noWrap w:val="0"/>
            <w:vAlign w:val="center"/>
          </w:tcPr>
          <w:p w14:paraId="24495520">
            <w:pPr>
              <w:jc w:val="center"/>
              <w:rPr>
                <w:rFonts w:hint="eastAsia" w:ascii="宋体" w:hAnsi="宋体" w:cs="宋体"/>
                <w:color w:val="auto"/>
                <w:szCs w:val="21"/>
                <w:highlight w:val="none"/>
              </w:rPr>
            </w:pPr>
            <w:r>
              <w:rPr>
                <w:rFonts w:hint="eastAsia" w:ascii="宋体" w:hAnsi="宋体" w:cs="宋体"/>
                <w:color w:val="auto"/>
                <w:szCs w:val="21"/>
                <w:highlight w:val="none"/>
              </w:rPr>
              <w:t>25</w:t>
            </w:r>
          </w:p>
        </w:tc>
        <w:tc>
          <w:tcPr>
            <w:tcW w:w="8613" w:type="dxa"/>
            <w:gridSpan w:val="3"/>
            <w:tcBorders>
              <w:left w:val="single" w:color="auto" w:sz="4" w:space="0"/>
              <w:right w:val="single" w:color="auto" w:sz="4" w:space="0"/>
            </w:tcBorders>
            <w:noWrap w:val="0"/>
            <w:vAlign w:val="center"/>
          </w:tcPr>
          <w:p w14:paraId="592ACD07">
            <w:pPr>
              <w:rPr>
                <w:rFonts w:hint="eastAsia" w:ascii="宋体" w:hAnsi="宋体" w:cs="宋体"/>
                <w:b/>
                <w:color w:val="auto"/>
                <w:szCs w:val="21"/>
                <w:highlight w:val="none"/>
              </w:rPr>
            </w:pPr>
            <w:r>
              <w:rPr>
                <w:rFonts w:hint="eastAsia" w:ascii="宋体" w:hAnsi="宋体" w:cs="宋体"/>
                <w:b/>
                <w:color w:val="auto"/>
                <w:szCs w:val="21"/>
                <w:highlight w:val="none"/>
              </w:rPr>
              <w:t>特别提醒：</w:t>
            </w:r>
          </w:p>
          <w:p w14:paraId="26DBAFFB">
            <w:pPr>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根据《省住房城乡建设厅关于开展建筑业企业资质动态监管工作的公告》要求：资质核查结果为不合格的企业，通过省建筑业监管信息平台2.0自动推送到省建筑市场监管与诚信信息一体化平台，供公开查询；企业即时被锁定并进入整改期，自锁定之日起，不能参加招投标、合同备案等相关活动（仅对本项目要求的企业资质被核查为不达标的资质进行限制）。</w:t>
            </w:r>
          </w:p>
          <w:p w14:paraId="1589C611">
            <w:pPr>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请各潜在投标人引起重视，公告发布之日起自行查询，及时整改，对于在中标通知书发出之前经查实存在投标资质不达标的企业</w:t>
            </w:r>
            <w:r>
              <w:rPr>
                <w:rFonts w:hint="eastAsia" w:ascii="宋体" w:hAnsi="宋体" w:cs="宋体"/>
                <w:b/>
                <w:color w:val="auto"/>
                <w:szCs w:val="21"/>
                <w:highlight w:val="none"/>
                <w:lang w:eastAsia="zh-CN"/>
              </w:rPr>
              <w:t>，</w:t>
            </w:r>
            <w:r>
              <w:rPr>
                <w:rFonts w:hint="eastAsia" w:ascii="宋体" w:hAnsi="宋体" w:cs="宋体"/>
                <w:b/>
                <w:color w:val="auto"/>
                <w:szCs w:val="21"/>
                <w:highlight w:val="none"/>
              </w:rPr>
              <w:t>将取消其中标资格</w:t>
            </w:r>
            <w:r>
              <w:rPr>
                <w:rFonts w:hint="eastAsia" w:ascii="宋体" w:hAnsi="宋体" w:cs="宋体"/>
                <w:b/>
                <w:color w:val="auto"/>
                <w:szCs w:val="21"/>
                <w:highlight w:val="none"/>
                <w:lang w:eastAsia="zh-CN"/>
              </w:rPr>
              <w:t>，</w:t>
            </w:r>
            <w:r>
              <w:rPr>
                <w:rFonts w:hint="eastAsia" w:ascii="宋体" w:hAnsi="宋体" w:cs="宋体"/>
                <w:b/>
                <w:color w:val="auto"/>
                <w:szCs w:val="21"/>
                <w:highlight w:val="none"/>
              </w:rPr>
              <w:t>并进行相关处罚。</w:t>
            </w:r>
          </w:p>
          <w:p w14:paraId="6FBC0BC3">
            <w:pPr>
              <w:ind w:firstLine="480"/>
              <w:rPr>
                <w:rFonts w:hint="eastAsia" w:ascii="宋体" w:hAnsi="宋体" w:cs="宋体"/>
                <w:b/>
                <w:bCs/>
                <w:color w:val="auto"/>
                <w:szCs w:val="21"/>
                <w:highlight w:val="none"/>
              </w:rPr>
            </w:pPr>
            <w:r>
              <w:rPr>
                <w:rFonts w:hint="eastAsia" w:ascii="宋体" w:hAnsi="宋体" w:cs="宋体"/>
                <w:b/>
                <w:color w:val="auto"/>
                <w:szCs w:val="21"/>
                <w:highlight w:val="none"/>
              </w:rPr>
              <w:t>查询方式：</w:t>
            </w:r>
            <w:r>
              <w:rPr>
                <w:rFonts w:hint="eastAsia" w:ascii="宋体" w:hAnsi="宋体" w:cs="宋体"/>
                <w:b/>
                <w:color w:val="auto"/>
                <w:szCs w:val="21"/>
                <w:highlight w:val="none"/>
                <w:lang w:eastAsia="zh-CN"/>
              </w:rPr>
              <w:t>登录</w:t>
            </w:r>
            <w:r>
              <w:rPr>
                <w:rFonts w:hint="eastAsia" w:ascii="宋体" w:hAnsi="宋体" w:cs="宋体"/>
                <w:b/>
                <w:color w:val="auto"/>
                <w:szCs w:val="21"/>
                <w:highlight w:val="none"/>
              </w:rPr>
              <w:t>江苏省建筑市场监管与诚信信息一体化平台（http://58.213.147.230:7001/Jsjzyxyglpt/faces/public/default.jsp）</w:t>
            </w:r>
            <w:r>
              <w:rPr>
                <w:rFonts w:hint="eastAsia" w:ascii="宋体" w:hAnsi="宋体" w:cs="宋体"/>
                <w:b/>
                <w:color w:val="auto"/>
                <w:szCs w:val="21"/>
                <w:highlight w:val="none"/>
                <w:lang w:eastAsia="zh-CN"/>
              </w:rPr>
              <w:t>－</w:t>
            </w:r>
            <w:r>
              <w:rPr>
                <w:rFonts w:hint="eastAsia" w:ascii="宋体" w:hAnsi="宋体" w:cs="宋体"/>
                <w:b/>
                <w:color w:val="auto"/>
                <w:szCs w:val="21"/>
                <w:highlight w:val="none"/>
              </w:rPr>
              <w:t>企业信息</w:t>
            </w:r>
            <w:r>
              <w:rPr>
                <w:rFonts w:hint="eastAsia" w:ascii="宋体" w:hAnsi="宋体" w:cs="宋体"/>
                <w:b/>
                <w:color w:val="auto"/>
                <w:szCs w:val="21"/>
                <w:highlight w:val="none"/>
                <w:lang w:eastAsia="zh-CN"/>
              </w:rPr>
              <w:t>－</w:t>
            </w:r>
            <w:r>
              <w:rPr>
                <w:rFonts w:hint="eastAsia" w:ascii="宋体" w:hAnsi="宋体" w:cs="宋体"/>
                <w:b/>
                <w:color w:val="auto"/>
                <w:szCs w:val="21"/>
                <w:highlight w:val="none"/>
              </w:rPr>
              <w:t>建筑业企业</w:t>
            </w:r>
            <w:r>
              <w:rPr>
                <w:rFonts w:hint="eastAsia" w:ascii="宋体" w:hAnsi="宋体" w:cs="宋体"/>
                <w:b/>
                <w:color w:val="auto"/>
                <w:szCs w:val="21"/>
                <w:highlight w:val="none"/>
                <w:lang w:eastAsia="zh-CN"/>
              </w:rPr>
              <w:t>－</w:t>
            </w:r>
            <w:r>
              <w:rPr>
                <w:rFonts w:hint="eastAsia" w:ascii="宋体" w:hAnsi="宋体" w:cs="宋体"/>
                <w:b/>
                <w:color w:val="auto"/>
                <w:szCs w:val="21"/>
                <w:highlight w:val="none"/>
              </w:rPr>
              <w:t>动态监管不合格资质查询。</w:t>
            </w:r>
          </w:p>
        </w:tc>
      </w:tr>
    </w:tbl>
    <w:p w14:paraId="4BA7DDBA">
      <w:pPr>
        <w:jc w:val="center"/>
        <w:rPr>
          <w:b/>
          <w:color w:val="auto"/>
          <w:sz w:val="30"/>
          <w:szCs w:val="30"/>
          <w:highlight w:val="none"/>
        </w:rPr>
      </w:pPr>
      <w:bookmarkStart w:id="16" w:name="_Toc380681013"/>
      <w:bookmarkStart w:id="17" w:name="_Toc380680820"/>
      <w:bookmarkStart w:id="18" w:name="_Toc380681232"/>
      <w:bookmarkStart w:id="19" w:name="_Toc380680180"/>
      <w:r>
        <w:rPr>
          <w:color w:val="auto"/>
          <w:highlight w:val="none"/>
        </w:rPr>
        <w:br w:type="page"/>
      </w:r>
      <w:r>
        <w:rPr>
          <w:b/>
          <w:color w:val="auto"/>
          <w:sz w:val="30"/>
          <w:szCs w:val="30"/>
          <w:highlight w:val="none"/>
        </w:rPr>
        <w:t>二、投标须知</w:t>
      </w:r>
      <w:bookmarkEnd w:id="16"/>
      <w:bookmarkEnd w:id="17"/>
      <w:bookmarkEnd w:id="18"/>
      <w:bookmarkEnd w:id="19"/>
    </w:p>
    <w:p w14:paraId="16FE8DED">
      <w:pPr>
        <w:pStyle w:val="5"/>
        <w:jc w:val="center"/>
        <w:rPr>
          <w:rFonts w:ascii="Times New Roman" w:hAnsi="Times New Roman" w:eastAsia="宋体"/>
          <w:color w:val="auto"/>
          <w:sz w:val="24"/>
          <w:szCs w:val="24"/>
          <w:highlight w:val="none"/>
        </w:rPr>
      </w:pPr>
      <w:bookmarkStart w:id="20" w:name="_Toc380681014"/>
      <w:bookmarkStart w:id="21" w:name="_Toc380681233"/>
      <w:bookmarkStart w:id="22" w:name="_Toc380680821"/>
      <w:bookmarkStart w:id="23" w:name="_Toc380680181"/>
      <w:bookmarkStart w:id="24" w:name="_Toc286661158"/>
      <w:r>
        <w:rPr>
          <w:rFonts w:ascii="Times New Roman" w:hAnsi="宋体" w:eastAsia="宋体"/>
          <w:color w:val="auto"/>
          <w:sz w:val="24"/>
          <w:szCs w:val="24"/>
          <w:highlight w:val="none"/>
        </w:rPr>
        <w:t>（一）总</w:t>
      </w:r>
      <w:r>
        <w:rPr>
          <w:rFonts w:ascii="Times New Roman" w:hAnsi="Times New Roman" w:eastAsia="宋体"/>
          <w:color w:val="auto"/>
          <w:sz w:val="24"/>
          <w:szCs w:val="24"/>
          <w:highlight w:val="none"/>
        </w:rPr>
        <w:t xml:space="preserve"> </w:t>
      </w:r>
      <w:r>
        <w:rPr>
          <w:rFonts w:ascii="Times New Roman" w:hAnsi="宋体" w:eastAsia="宋体"/>
          <w:color w:val="auto"/>
          <w:sz w:val="24"/>
          <w:szCs w:val="24"/>
          <w:highlight w:val="none"/>
        </w:rPr>
        <w:t>则</w:t>
      </w:r>
      <w:bookmarkEnd w:id="20"/>
      <w:bookmarkEnd w:id="21"/>
      <w:bookmarkEnd w:id="22"/>
      <w:bookmarkEnd w:id="23"/>
      <w:bookmarkEnd w:id="24"/>
    </w:p>
    <w:p w14:paraId="26E4B2E8">
      <w:pPr>
        <w:autoSpaceDE w:val="0"/>
        <w:autoSpaceDN w:val="0"/>
        <w:adjustRightInd w:val="0"/>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1.工程概况</w:t>
      </w:r>
    </w:p>
    <w:p w14:paraId="61DE0CCE">
      <w:pPr>
        <w:spacing w:line="440" w:lineRule="exact"/>
        <w:ind w:firstLine="480" w:firstLineChars="200"/>
        <w:rPr>
          <w:rFonts w:ascii="宋体" w:hAnsi="宋体"/>
          <w:color w:val="auto"/>
          <w:sz w:val="24"/>
          <w:highlight w:val="none"/>
        </w:rPr>
      </w:pPr>
      <w:r>
        <w:rPr>
          <w:rFonts w:ascii="宋体" w:hAnsi="宋体"/>
          <w:color w:val="auto"/>
          <w:sz w:val="24"/>
          <w:highlight w:val="none"/>
        </w:rPr>
        <w:t>1.1本招标工程项目说明详见本须知前附表第1项～第7项。</w:t>
      </w:r>
    </w:p>
    <w:p w14:paraId="204C96EA">
      <w:pPr>
        <w:spacing w:line="440" w:lineRule="exact"/>
        <w:ind w:firstLine="480" w:firstLineChars="200"/>
        <w:rPr>
          <w:rFonts w:ascii="宋体" w:hAnsi="宋体"/>
          <w:color w:val="auto"/>
          <w:sz w:val="24"/>
          <w:highlight w:val="none"/>
        </w:rPr>
      </w:pPr>
      <w:r>
        <w:rPr>
          <w:rFonts w:ascii="宋体" w:hAnsi="宋体"/>
          <w:color w:val="auto"/>
          <w:sz w:val="24"/>
          <w:highlight w:val="none"/>
        </w:rPr>
        <w:t>1.2招标范围：见本须知前附表第8项。</w:t>
      </w:r>
    </w:p>
    <w:p w14:paraId="43CD8EB2">
      <w:pPr>
        <w:spacing w:line="440" w:lineRule="exact"/>
        <w:ind w:firstLine="480" w:firstLineChars="200"/>
        <w:rPr>
          <w:rFonts w:hint="eastAsia" w:ascii="宋体" w:hAnsi="宋体"/>
          <w:color w:val="auto"/>
          <w:sz w:val="24"/>
          <w:highlight w:val="none"/>
        </w:rPr>
      </w:pPr>
      <w:r>
        <w:rPr>
          <w:rFonts w:ascii="宋体" w:hAnsi="宋体"/>
          <w:color w:val="auto"/>
          <w:sz w:val="24"/>
          <w:highlight w:val="none"/>
        </w:rPr>
        <w:t>1.3现场条件</w:t>
      </w:r>
      <w:r>
        <w:rPr>
          <w:rFonts w:hint="eastAsia" w:ascii="宋体" w:hAnsi="宋体"/>
          <w:color w:val="auto"/>
          <w:sz w:val="24"/>
          <w:highlight w:val="none"/>
        </w:rPr>
        <w:t>：</w:t>
      </w:r>
    </w:p>
    <w:p w14:paraId="032907D1">
      <w:pPr>
        <w:spacing w:line="440" w:lineRule="exact"/>
        <w:ind w:firstLine="480" w:firstLineChars="200"/>
        <w:rPr>
          <w:rFonts w:ascii="宋体" w:hAnsi="宋体"/>
          <w:color w:val="auto"/>
          <w:sz w:val="24"/>
          <w:highlight w:val="none"/>
        </w:rPr>
      </w:pPr>
      <w:r>
        <w:rPr>
          <w:rFonts w:ascii="宋体" w:hAnsi="宋体"/>
          <w:color w:val="auto"/>
          <w:sz w:val="24"/>
          <w:highlight w:val="none"/>
        </w:rPr>
        <w:t>（1）施工现场拆迁及平整情况：</w:t>
      </w:r>
      <w:r>
        <w:rPr>
          <w:rFonts w:hint="eastAsia" w:ascii="宋体" w:hAnsi="宋体"/>
          <w:bCs/>
          <w:snapToGrid w:val="0"/>
          <w:color w:val="auto"/>
          <w:kern w:val="0"/>
          <w:sz w:val="24"/>
          <w:highlight w:val="none"/>
          <w:u w:val="single"/>
        </w:rPr>
        <w:t>现貌</w:t>
      </w:r>
      <w:r>
        <w:rPr>
          <w:rFonts w:ascii="宋体" w:hAnsi="宋体"/>
          <w:bCs/>
          <w:snapToGrid w:val="0"/>
          <w:color w:val="auto"/>
          <w:kern w:val="0"/>
          <w:sz w:val="24"/>
          <w:highlight w:val="none"/>
          <w:u w:val="single"/>
        </w:rPr>
        <w:t>。</w:t>
      </w:r>
    </w:p>
    <w:p w14:paraId="08C9586F">
      <w:pPr>
        <w:spacing w:line="440" w:lineRule="exact"/>
        <w:ind w:firstLine="480" w:firstLineChars="200"/>
        <w:rPr>
          <w:rFonts w:ascii="宋体" w:hAnsi="宋体"/>
          <w:color w:val="auto"/>
          <w:sz w:val="24"/>
          <w:highlight w:val="none"/>
        </w:rPr>
      </w:pPr>
      <w:r>
        <w:rPr>
          <w:rFonts w:ascii="宋体" w:hAnsi="宋体"/>
          <w:color w:val="auto"/>
          <w:sz w:val="24"/>
          <w:highlight w:val="none"/>
        </w:rPr>
        <w:t>（2）施工用水、电：</w:t>
      </w:r>
      <w:r>
        <w:rPr>
          <w:rFonts w:hint="eastAsia" w:ascii="宋体" w:hAnsi="宋体"/>
          <w:color w:val="auto"/>
          <w:sz w:val="24"/>
          <w:highlight w:val="none"/>
          <w:u w:val="single"/>
        </w:rPr>
        <w:t>现场内施工用水、电（含水源、电源、管线接入）由承包人自行解决，费用自理  。</w:t>
      </w:r>
    </w:p>
    <w:p w14:paraId="312569AF">
      <w:pPr>
        <w:spacing w:line="440" w:lineRule="exact"/>
        <w:ind w:firstLine="480" w:firstLineChars="200"/>
        <w:rPr>
          <w:rFonts w:ascii="宋体" w:hAnsi="宋体"/>
          <w:snapToGrid w:val="0"/>
          <w:color w:val="auto"/>
          <w:kern w:val="0"/>
          <w:sz w:val="24"/>
          <w:highlight w:val="none"/>
          <w:u w:val="single"/>
        </w:rPr>
      </w:pPr>
      <w:r>
        <w:rPr>
          <w:rFonts w:ascii="宋体" w:hAnsi="宋体"/>
          <w:color w:val="auto"/>
          <w:sz w:val="24"/>
          <w:highlight w:val="none"/>
        </w:rPr>
        <w:t>（3）场内外道路：</w:t>
      </w:r>
      <w:r>
        <w:rPr>
          <w:rFonts w:ascii="宋体" w:hAnsi="宋体"/>
          <w:snapToGrid w:val="0"/>
          <w:color w:val="auto"/>
          <w:kern w:val="0"/>
          <w:sz w:val="24"/>
          <w:highlight w:val="none"/>
          <w:u w:val="single"/>
        </w:rPr>
        <w:t>场内、外道路已通。施工便道</w:t>
      </w:r>
      <w:r>
        <w:rPr>
          <w:rFonts w:hint="eastAsia" w:ascii="宋体" w:hAnsi="宋体"/>
          <w:snapToGrid w:val="0"/>
          <w:color w:val="auto"/>
          <w:kern w:val="0"/>
          <w:sz w:val="24"/>
          <w:highlight w:val="none"/>
          <w:u w:val="single"/>
        </w:rPr>
        <w:t>、临时设施、成品保护等费用</w:t>
      </w:r>
      <w:r>
        <w:rPr>
          <w:rFonts w:ascii="宋体" w:hAnsi="宋体"/>
          <w:snapToGrid w:val="0"/>
          <w:color w:val="auto"/>
          <w:kern w:val="0"/>
          <w:sz w:val="24"/>
          <w:highlight w:val="none"/>
          <w:u w:val="single"/>
        </w:rPr>
        <w:t>由投标人自行考虑，并列入投标报价，工程结算时不作调整。</w:t>
      </w:r>
    </w:p>
    <w:p w14:paraId="78F7B91D">
      <w:pPr>
        <w:spacing w:line="440" w:lineRule="exact"/>
        <w:ind w:firstLine="480"/>
        <w:rPr>
          <w:rFonts w:hint="eastAsia" w:ascii="宋体" w:hAnsi="宋体"/>
          <w:color w:val="auto"/>
          <w:sz w:val="24"/>
          <w:highlight w:val="none"/>
        </w:rPr>
      </w:pPr>
      <w:r>
        <w:rPr>
          <w:rFonts w:ascii="宋体" w:hAnsi="宋体"/>
          <w:color w:val="auto"/>
          <w:sz w:val="24"/>
          <w:highlight w:val="none"/>
        </w:rPr>
        <w:t>（4）其他：</w:t>
      </w:r>
      <w:r>
        <w:rPr>
          <w:rFonts w:hAnsi="宋体"/>
          <w:bCs/>
          <w:color w:val="auto"/>
          <w:spacing w:val="-6"/>
          <w:sz w:val="24"/>
          <w:highlight w:val="none"/>
          <w:u w:val="single"/>
        </w:rPr>
        <w:t>投标人应认真对现场环境进行踏勘，对施工现场情况和影响施工的因素以及困难条件进行周密的勘察和研究，作出自己的判断结论和估价。中标后和签订合同时及施工过程中，投标人均不得以不了解现场情况为由，提出任何形式增加工程造价的要求，施工时因场地问题引起的成本费用增加，均由投标人自行承担，结算时不予调整</w:t>
      </w:r>
      <w:r>
        <w:rPr>
          <w:rFonts w:hAnsi="宋体"/>
          <w:bCs/>
          <w:color w:val="auto"/>
          <w:sz w:val="25"/>
          <w:szCs w:val="25"/>
          <w:highlight w:val="none"/>
        </w:rPr>
        <w:t>。</w:t>
      </w:r>
    </w:p>
    <w:p w14:paraId="71B8E7F8">
      <w:pPr>
        <w:spacing w:line="440" w:lineRule="exact"/>
        <w:ind w:firstLine="482" w:firstLineChars="200"/>
        <w:rPr>
          <w:rFonts w:ascii="宋体" w:hAnsi="宋体"/>
          <w:b/>
          <w:color w:val="auto"/>
          <w:sz w:val="24"/>
          <w:highlight w:val="none"/>
          <w:u w:val="single"/>
        </w:rPr>
      </w:pPr>
      <w:r>
        <w:rPr>
          <w:rFonts w:hint="eastAsia" w:ascii="宋体" w:hAnsi="宋体"/>
          <w:b/>
          <w:bCs/>
          <w:color w:val="auto"/>
          <w:sz w:val="24"/>
          <w:highlight w:val="none"/>
          <w:u w:val="single"/>
        </w:rPr>
        <w:t>中标</w:t>
      </w:r>
      <w:r>
        <w:rPr>
          <w:rFonts w:ascii="宋体" w:hAnsi="宋体"/>
          <w:b/>
          <w:bCs/>
          <w:color w:val="auto"/>
          <w:sz w:val="24"/>
          <w:highlight w:val="none"/>
          <w:u w:val="single"/>
        </w:rPr>
        <w:t>人应独立、有效地做好该工程周边的有关群众工作，并充分考虑工程实施范围内外的单位、个人和其他可能出现阻挠施工的情况，若发生的机械台班停滞费、二次机械进退场费、人员窝工、处理周边群众纠纷等费用和损失，由投标人自行考虑，并列入投标报价，工程结算时不作调整</w:t>
      </w:r>
      <w:r>
        <w:rPr>
          <w:rFonts w:hint="eastAsia" w:ascii="宋体" w:hAnsi="宋体"/>
          <w:b/>
          <w:bCs/>
          <w:color w:val="auto"/>
          <w:sz w:val="24"/>
          <w:highlight w:val="none"/>
          <w:u w:val="single"/>
        </w:rPr>
        <w:t>，</w:t>
      </w:r>
      <w:r>
        <w:rPr>
          <w:rFonts w:hAnsi="宋体"/>
          <w:b/>
          <w:bCs/>
          <w:color w:val="auto"/>
          <w:sz w:val="24"/>
          <w:highlight w:val="none"/>
          <w:u w:val="single"/>
        </w:rPr>
        <w:t>无条件接受发包单位、监理单位的协调、管理。</w:t>
      </w:r>
      <w:r>
        <w:rPr>
          <w:rFonts w:ascii="宋体" w:hAnsi="宋体"/>
          <w:b/>
          <w:bCs/>
          <w:color w:val="auto"/>
          <w:sz w:val="24"/>
          <w:highlight w:val="none"/>
          <w:u w:val="single"/>
        </w:rPr>
        <w:t>投标人务必自行认真踏勘现场，进一步获取所需信息，一旦中标不得对现场条件提出额外要求，不得要求增加费用</w:t>
      </w:r>
      <w:r>
        <w:rPr>
          <w:rFonts w:ascii="宋体" w:hAnsi="宋体"/>
          <w:b/>
          <w:bCs/>
          <w:color w:val="auto"/>
          <w:sz w:val="24"/>
          <w:highlight w:val="none"/>
        </w:rPr>
        <w:t>。</w:t>
      </w:r>
    </w:p>
    <w:p w14:paraId="47035B58">
      <w:pPr>
        <w:spacing w:line="400" w:lineRule="exact"/>
        <w:ind w:firstLine="480" w:firstLineChars="200"/>
        <w:rPr>
          <w:rFonts w:ascii="宋体" w:hAnsi="宋体"/>
          <w:color w:val="auto"/>
          <w:sz w:val="24"/>
          <w:highlight w:val="none"/>
        </w:rPr>
      </w:pPr>
      <w:r>
        <w:rPr>
          <w:rFonts w:ascii="宋体" w:hAnsi="宋体"/>
          <w:color w:val="auto"/>
          <w:sz w:val="24"/>
          <w:highlight w:val="none"/>
        </w:rPr>
        <w:t>1.4承包方式说明：</w:t>
      </w:r>
    </w:p>
    <w:p w14:paraId="445034EA">
      <w:pPr>
        <w:spacing w:line="400" w:lineRule="exact"/>
        <w:ind w:firstLine="480" w:firstLineChars="200"/>
        <w:rPr>
          <w:rFonts w:ascii="宋体" w:hAnsi="宋体"/>
          <w:color w:val="auto"/>
          <w:sz w:val="24"/>
          <w:highlight w:val="none"/>
        </w:rPr>
      </w:pPr>
      <w:r>
        <w:rPr>
          <w:rFonts w:ascii="宋体" w:hAnsi="宋体"/>
          <w:color w:val="auto"/>
          <w:sz w:val="24"/>
          <w:highlight w:val="none"/>
        </w:rPr>
        <w:t>工程发包范围内的包工、包料（发包人供应或发包人另行发包的除外）、包质量、包工期、包安全、包文明、包成品养护、包风险等。</w:t>
      </w:r>
    </w:p>
    <w:p w14:paraId="563621E4">
      <w:pPr>
        <w:spacing w:line="400" w:lineRule="exact"/>
        <w:ind w:firstLine="480" w:firstLineChars="200"/>
        <w:rPr>
          <w:rFonts w:ascii="宋体" w:hAnsi="宋体"/>
          <w:color w:val="auto"/>
          <w:sz w:val="24"/>
          <w:highlight w:val="none"/>
        </w:rPr>
      </w:pPr>
      <w:r>
        <w:rPr>
          <w:rFonts w:ascii="宋体" w:hAnsi="宋体"/>
          <w:color w:val="auto"/>
          <w:sz w:val="24"/>
          <w:highlight w:val="none"/>
        </w:rPr>
        <w:t>1.5按照《中华人民共和国招标投标法</w:t>
      </w:r>
      <w:r>
        <w:rPr>
          <w:rFonts w:hint="eastAsia" w:ascii="宋体" w:hAnsi="宋体"/>
          <w:color w:val="auto"/>
          <w:sz w:val="24"/>
          <w:highlight w:val="none"/>
          <w:lang w:eastAsia="zh-CN"/>
        </w:rPr>
        <w:t>》《</w:t>
      </w:r>
      <w:r>
        <w:rPr>
          <w:rFonts w:ascii="宋体" w:hAnsi="宋体"/>
          <w:color w:val="auto"/>
          <w:sz w:val="24"/>
          <w:highlight w:val="none"/>
        </w:rPr>
        <w:t>工程建设项目施工招标投标办法》及相关规定，上述工程已符合招标条件，现采用</w:t>
      </w:r>
      <w:r>
        <w:rPr>
          <w:rFonts w:ascii="宋体" w:hAnsi="宋体"/>
          <w:b/>
          <w:color w:val="auto"/>
          <w:sz w:val="24"/>
          <w:highlight w:val="none"/>
          <w:u w:val="single"/>
        </w:rPr>
        <w:t xml:space="preserve"> 公开招标、资格后审</w:t>
      </w:r>
      <w:r>
        <w:rPr>
          <w:rFonts w:ascii="宋体" w:hAnsi="宋体"/>
          <w:color w:val="auto"/>
          <w:sz w:val="24"/>
          <w:highlight w:val="none"/>
          <w:u w:val="single"/>
        </w:rPr>
        <w:t xml:space="preserve"> </w:t>
      </w:r>
      <w:r>
        <w:rPr>
          <w:rFonts w:ascii="宋体" w:hAnsi="宋体"/>
          <w:color w:val="auto"/>
          <w:sz w:val="24"/>
          <w:highlight w:val="none"/>
        </w:rPr>
        <w:t>招标方式，择优选定施工单位。</w:t>
      </w:r>
    </w:p>
    <w:p w14:paraId="196145E4">
      <w:pPr>
        <w:autoSpaceDE w:val="0"/>
        <w:autoSpaceDN w:val="0"/>
        <w:adjustRightInd w:val="0"/>
        <w:spacing w:line="400" w:lineRule="exact"/>
        <w:ind w:firstLine="482" w:firstLineChars="200"/>
        <w:rPr>
          <w:rFonts w:ascii="宋体" w:hAnsi="宋体"/>
          <w:b/>
          <w:color w:val="auto"/>
          <w:kern w:val="0"/>
          <w:sz w:val="24"/>
          <w:highlight w:val="none"/>
        </w:rPr>
      </w:pPr>
      <w:bookmarkStart w:id="25" w:name="_Toc286661161"/>
      <w:r>
        <w:rPr>
          <w:rFonts w:ascii="宋体" w:hAnsi="宋体"/>
          <w:b/>
          <w:color w:val="auto"/>
          <w:kern w:val="0"/>
          <w:sz w:val="24"/>
          <w:highlight w:val="none"/>
        </w:rPr>
        <w:t>2.投标人资格要求</w:t>
      </w:r>
    </w:p>
    <w:p w14:paraId="549CFD8F">
      <w:pPr>
        <w:spacing w:line="400" w:lineRule="exact"/>
        <w:ind w:firstLine="480" w:firstLineChars="200"/>
        <w:rPr>
          <w:rFonts w:hint="eastAsia" w:ascii="宋体" w:hAnsi="宋体"/>
          <w:b/>
          <w:color w:val="auto"/>
          <w:kern w:val="0"/>
          <w:sz w:val="24"/>
          <w:highlight w:val="none"/>
          <w:u w:val="single"/>
        </w:rPr>
      </w:pPr>
      <w:r>
        <w:rPr>
          <w:rFonts w:ascii="宋体" w:hAnsi="宋体"/>
          <w:color w:val="auto"/>
          <w:sz w:val="24"/>
          <w:highlight w:val="none"/>
        </w:rPr>
        <w:t>2.1</w:t>
      </w:r>
      <w:r>
        <w:rPr>
          <w:rFonts w:hint="eastAsia" w:ascii="宋体" w:hAnsi="宋体"/>
          <w:color w:val="auto"/>
          <w:sz w:val="24"/>
          <w:highlight w:val="none"/>
        </w:rPr>
        <w:t>企业的</w:t>
      </w:r>
      <w:r>
        <w:rPr>
          <w:rFonts w:ascii="宋体" w:hAnsi="宋体"/>
          <w:color w:val="auto"/>
          <w:sz w:val="24"/>
          <w:highlight w:val="none"/>
        </w:rPr>
        <w:t>资质类别、等级</w:t>
      </w:r>
      <w:r>
        <w:rPr>
          <w:rFonts w:hint="eastAsia" w:ascii="宋体" w:hAnsi="宋体" w:cs="宋体"/>
          <w:color w:val="auto"/>
          <w:kern w:val="0"/>
          <w:sz w:val="24"/>
          <w:highlight w:val="none"/>
        </w:rPr>
        <w:t>：</w:t>
      </w:r>
      <w:r>
        <w:rPr>
          <w:rFonts w:ascii="宋体" w:hAnsi="宋体" w:cs="宋体"/>
          <w:color w:val="auto"/>
          <w:kern w:val="0"/>
          <w:sz w:val="24"/>
          <w:highlight w:val="none"/>
        </w:rPr>
        <w:t>必</w:t>
      </w:r>
      <w:r>
        <w:rPr>
          <w:rFonts w:ascii="宋体" w:hAnsi="宋体"/>
          <w:color w:val="auto"/>
          <w:kern w:val="0"/>
          <w:sz w:val="24"/>
          <w:highlight w:val="none"/>
        </w:rPr>
        <w:t>须具有独立法人资格和</w:t>
      </w:r>
      <w:r>
        <w:rPr>
          <w:rFonts w:hint="eastAsia" w:ascii="宋体" w:hAnsi="宋体"/>
          <w:b/>
          <w:bCs/>
          <w:color w:val="auto"/>
          <w:kern w:val="0"/>
          <w:sz w:val="24"/>
          <w:highlight w:val="none"/>
          <w:u w:val="single"/>
        </w:rPr>
        <w:t>有效的</w:t>
      </w:r>
      <w:r>
        <w:rPr>
          <w:rFonts w:hint="eastAsia" w:ascii="宋体" w:hAnsi="宋体"/>
          <w:b/>
          <w:color w:val="auto"/>
          <w:kern w:val="0"/>
          <w:sz w:val="24"/>
          <w:highlight w:val="none"/>
          <w:u w:val="single"/>
          <w:lang w:eastAsia="zh-CN"/>
        </w:rPr>
        <w:t>消防设施工程专业承包贰级及以上资质</w:t>
      </w:r>
      <w:r>
        <w:rPr>
          <w:rFonts w:hint="eastAsia" w:ascii="宋体" w:hAnsi="宋体"/>
          <w:b/>
          <w:color w:val="auto"/>
          <w:kern w:val="0"/>
          <w:sz w:val="24"/>
          <w:highlight w:val="none"/>
          <w:u w:val="single"/>
        </w:rPr>
        <w:t>；</w:t>
      </w:r>
    </w:p>
    <w:p w14:paraId="421D800D">
      <w:pPr>
        <w:widowControl/>
        <w:spacing w:line="400" w:lineRule="exact"/>
        <w:ind w:firstLine="480" w:firstLineChars="200"/>
        <w:jc w:val="left"/>
        <w:rPr>
          <w:rFonts w:hint="eastAsia" w:ascii="宋体" w:hAnsi="宋体"/>
          <w:b/>
          <w:color w:val="auto"/>
          <w:sz w:val="24"/>
          <w:highlight w:val="none"/>
          <w:u w:val="single"/>
        </w:rPr>
      </w:pPr>
      <w:r>
        <w:rPr>
          <w:rFonts w:ascii="宋体" w:hAnsi="宋体" w:cs="宋体"/>
          <w:color w:val="auto"/>
          <w:kern w:val="0"/>
          <w:sz w:val="24"/>
          <w:highlight w:val="none"/>
        </w:rPr>
        <w:t>2</w:t>
      </w:r>
      <w:r>
        <w:rPr>
          <w:rFonts w:hint="eastAsia" w:ascii="宋体" w:hAnsi="宋体" w:cs="宋体"/>
          <w:color w:val="auto"/>
          <w:kern w:val="0"/>
          <w:sz w:val="24"/>
          <w:highlight w:val="none"/>
        </w:rPr>
        <w:t>.2</w:t>
      </w:r>
      <w:r>
        <w:rPr>
          <w:rFonts w:hint="eastAsia" w:ascii="宋体" w:hAnsi="宋体"/>
          <w:color w:val="auto"/>
          <w:kern w:val="0"/>
          <w:sz w:val="24"/>
          <w:highlight w:val="none"/>
        </w:rPr>
        <w:t>拟派</w:t>
      </w:r>
      <w:r>
        <w:rPr>
          <w:rFonts w:ascii="宋体" w:hAnsi="宋体"/>
          <w:color w:val="auto"/>
          <w:kern w:val="0"/>
          <w:sz w:val="24"/>
          <w:highlight w:val="none"/>
        </w:rPr>
        <w:t>项目负责人的资质等级：</w:t>
      </w:r>
      <w:r>
        <w:rPr>
          <w:rFonts w:hint="eastAsia" w:ascii="宋体" w:hAnsi="宋体" w:cs="宋体"/>
          <w:b/>
          <w:color w:val="auto"/>
          <w:kern w:val="0"/>
          <w:sz w:val="24"/>
          <w:highlight w:val="none"/>
          <w:u w:val="single"/>
          <w:lang w:eastAsia="zh-CN"/>
        </w:rPr>
        <w:t>机电工程专业</w:t>
      </w:r>
      <w:r>
        <w:rPr>
          <w:rFonts w:hint="eastAsia" w:ascii="宋体" w:hAnsi="宋体" w:cs="宋体"/>
          <w:b/>
          <w:color w:val="auto"/>
          <w:kern w:val="0"/>
          <w:sz w:val="24"/>
          <w:highlight w:val="none"/>
          <w:u w:val="single"/>
        </w:rPr>
        <w:t>二级及以上注册建造师资格，并具备建筑施工企业安全考核合格证书</w:t>
      </w:r>
      <w:r>
        <w:rPr>
          <w:rFonts w:hint="eastAsia" w:ascii="宋体" w:hAnsi="宋体" w:cs="宋体"/>
          <w:b/>
          <w:color w:val="auto"/>
          <w:kern w:val="0"/>
          <w:sz w:val="24"/>
          <w:highlight w:val="none"/>
          <w:u w:val="single"/>
          <w:lang w:eastAsia="zh-CN"/>
        </w:rPr>
        <w:t>（</w:t>
      </w:r>
      <w:r>
        <w:rPr>
          <w:rFonts w:hint="eastAsia" w:ascii="宋体" w:hAnsi="宋体" w:cs="宋体"/>
          <w:b/>
          <w:color w:val="auto"/>
          <w:kern w:val="0"/>
          <w:sz w:val="24"/>
          <w:highlight w:val="none"/>
          <w:u w:val="single"/>
        </w:rPr>
        <w:t>B证</w:t>
      </w:r>
      <w:r>
        <w:rPr>
          <w:rFonts w:hint="eastAsia" w:ascii="宋体" w:hAnsi="宋体" w:cs="宋体"/>
          <w:b/>
          <w:color w:val="auto"/>
          <w:kern w:val="0"/>
          <w:sz w:val="24"/>
          <w:highlight w:val="none"/>
          <w:u w:val="single"/>
          <w:lang w:eastAsia="zh-CN"/>
        </w:rPr>
        <w:t>）</w:t>
      </w:r>
      <w:r>
        <w:rPr>
          <w:rFonts w:hint="eastAsia" w:ascii="宋体" w:hAnsi="宋体" w:cs="宋体"/>
          <w:b/>
          <w:color w:val="auto"/>
          <w:kern w:val="0"/>
          <w:sz w:val="24"/>
          <w:highlight w:val="none"/>
          <w:u w:val="single"/>
        </w:rPr>
        <w:t>（以上证书注册在投标单位）；</w:t>
      </w:r>
    </w:p>
    <w:p w14:paraId="1A698528">
      <w:pPr>
        <w:pStyle w:val="60"/>
        <w:shd w:val="clear" w:color="auto" w:fill="FFFFFF"/>
        <w:spacing w:before="0" w:beforeAutospacing="0" w:after="75" w:afterAutospacing="0" w:line="400" w:lineRule="exact"/>
        <w:ind w:firstLine="482"/>
        <w:rPr>
          <w:rFonts w:hint="eastAsia"/>
          <w:b/>
          <w:color w:val="auto"/>
          <w:highlight w:val="none"/>
        </w:rPr>
      </w:pPr>
      <w:r>
        <w:rPr>
          <w:rFonts w:hint="eastAsia"/>
          <w:b/>
          <w:color w:val="auto"/>
          <w:highlight w:val="none"/>
        </w:rPr>
        <w:t>特别提醒：①本工程投标人拟派项目负责人为二级注册建造师的，必须根据《省住房和城乡建设厅关于我省二级建造师、二级造价工程师、二级注册结二级注册建筑师、构工程师注册证书电子证照换发的公告》</w:t>
      </w:r>
      <w:r>
        <w:rPr>
          <w:rFonts w:hint="eastAsia"/>
          <w:b/>
          <w:color w:val="auto"/>
          <w:highlight w:val="none"/>
          <w:lang w:eastAsia="zh-CN"/>
        </w:rPr>
        <w:t>〔2023〕26号</w:t>
      </w:r>
      <w:r>
        <w:rPr>
          <w:rFonts w:hint="eastAsia"/>
          <w:b/>
          <w:color w:val="auto"/>
          <w:highlight w:val="none"/>
        </w:rPr>
        <w:t>）文件要求使用并提供证书，如未按文件要求提供证书，该证书无效，视为项目负责人的资格不符合要求。</w:t>
      </w:r>
    </w:p>
    <w:p w14:paraId="5E870AD2">
      <w:pPr>
        <w:pStyle w:val="60"/>
        <w:shd w:val="clear" w:color="auto" w:fill="FFFFFF"/>
        <w:spacing w:before="0" w:beforeAutospacing="0" w:after="75" w:afterAutospacing="0" w:line="400" w:lineRule="exact"/>
        <w:ind w:firstLine="540"/>
        <w:rPr>
          <w:rFonts w:hint="eastAsia"/>
          <w:b/>
          <w:color w:val="auto"/>
          <w:highlight w:val="none"/>
        </w:rPr>
      </w:pPr>
      <w:r>
        <w:rPr>
          <w:rFonts w:hint="eastAsia"/>
          <w:b/>
          <w:color w:val="auto"/>
          <w:highlight w:val="none"/>
        </w:rPr>
        <w:t>②本工程投标人拟派项目负责人为一级注册建造师的，必须根据《住房和城乡建设部办公厅关于全面实行一级建造师电子注册证书的通知》（建办市〔2021〕40 号）文件要求使用并提供电子证书，如未按文件要求提供电子证书，该电子证书无效，视为拟派项目负责人的资格不符合要求。</w:t>
      </w:r>
    </w:p>
    <w:p w14:paraId="195F7A92">
      <w:pPr>
        <w:spacing w:line="400" w:lineRule="exact"/>
        <w:ind w:firstLine="480" w:firstLineChars="200"/>
        <w:contextualSpacing/>
        <w:rPr>
          <w:rFonts w:ascii="宋体" w:hAnsi="宋体"/>
          <w:color w:val="auto"/>
          <w:kern w:val="0"/>
          <w:sz w:val="24"/>
          <w:highlight w:val="none"/>
        </w:rPr>
      </w:pPr>
      <w:r>
        <w:rPr>
          <w:rFonts w:hint="eastAsia" w:ascii="宋体" w:hAnsi="宋体"/>
          <w:bCs/>
          <w:color w:val="auto"/>
          <w:kern w:val="0"/>
          <w:sz w:val="24"/>
          <w:highlight w:val="none"/>
        </w:rPr>
        <w:t>2</w:t>
      </w:r>
      <w:r>
        <w:rPr>
          <w:rFonts w:ascii="宋体" w:hAnsi="宋体"/>
          <w:bCs/>
          <w:color w:val="auto"/>
          <w:kern w:val="0"/>
          <w:sz w:val="24"/>
          <w:highlight w:val="none"/>
        </w:rPr>
        <w:t>.3以下条件属于资格审查的必要合格条件：</w:t>
      </w:r>
    </w:p>
    <w:p w14:paraId="4EC8DFEC">
      <w:pPr>
        <w:widowControl/>
        <w:spacing w:line="400" w:lineRule="exact"/>
        <w:ind w:firstLine="360" w:firstLineChars="150"/>
        <w:jc w:val="left"/>
        <w:rPr>
          <w:rFonts w:hint="eastAsia" w:ascii="宋体" w:hAnsi="宋体"/>
          <w:bCs/>
          <w:color w:val="auto"/>
          <w:kern w:val="0"/>
          <w:sz w:val="24"/>
          <w:highlight w:val="none"/>
        </w:rPr>
      </w:pPr>
      <w:r>
        <w:rPr>
          <w:rFonts w:hint="eastAsia" w:ascii="宋体" w:hAnsi="宋体"/>
          <w:bCs/>
          <w:color w:val="auto"/>
          <w:kern w:val="0"/>
          <w:sz w:val="24"/>
          <w:highlight w:val="none"/>
        </w:rPr>
        <w:t>（1）具</w:t>
      </w:r>
      <w:r>
        <w:rPr>
          <w:rFonts w:ascii="宋体" w:hAnsi="宋体"/>
          <w:bCs/>
          <w:color w:val="auto"/>
          <w:kern w:val="0"/>
          <w:sz w:val="24"/>
          <w:highlight w:val="none"/>
        </w:rPr>
        <w:t>有独立订立合同的能力</w:t>
      </w:r>
      <w:r>
        <w:rPr>
          <w:rFonts w:hint="eastAsia" w:ascii="宋体" w:hAnsi="宋体"/>
          <w:bCs/>
          <w:color w:val="auto"/>
          <w:kern w:val="0"/>
          <w:sz w:val="24"/>
          <w:highlight w:val="none"/>
        </w:rPr>
        <w:t xml:space="preserve">。 </w:t>
      </w:r>
    </w:p>
    <w:p w14:paraId="26AE2158">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（2）</w:t>
      </w:r>
      <w:r>
        <w:rPr>
          <w:rFonts w:ascii="宋体" w:hAnsi="宋体"/>
          <w:color w:val="auto"/>
          <w:kern w:val="0"/>
          <w:sz w:val="24"/>
          <w:highlight w:val="none"/>
        </w:rPr>
        <w:t>企业的资质类别、等级和项目负责人的资质等级满足招标公告要求</w:t>
      </w:r>
      <w:r>
        <w:rPr>
          <w:rFonts w:hint="eastAsia" w:ascii="宋体" w:hAnsi="宋体"/>
          <w:color w:val="auto"/>
          <w:kern w:val="0"/>
          <w:sz w:val="24"/>
          <w:highlight w:val="none"/>
        </w:rPr>
        <w:t>。</w:t>
      </w:r>
    </w:p>
    <w:p w14:paraId="221748C1">
      <w:pPr>
        <w:widowControl/>
        <w:spacing w:line="400" w:lineRule="exact"/>
        <w:ind w:firstLine="360" w:firstLineChars="150"/>
        <w:jc w:val="left"/>
        <w:rPr>
          <w:rFonts w:hint="eastAsia" w:ascii="宋体" w:hAnsi="宋体"/>
          <w:bCs/>
          <w:color w:val="auto"/>
          <w:kern w:val="0"/>
          <w:sz w:val="24"/>
          <w:highlight w:val="none"/>
        </w:rPr>
      </w:pPr>
      <w:r>
        <w:rPr>
          <w:rFonts w:hint="eastAsia" w:ascii="宋体" w:hAnsi="宋体"/>
          <w:bCs/>
          <w:color w:val="auto"/>
          <w:kern w:val="0"/>
          <w:sz w:val="24"/>
          <w:highlight w:val="none"/>
        </w:rPr>
        <w:t>（3）</w:t>
      </w:r>
      <w:r>
        <w:rPr>
          <w:rFonts w:ascii="宋体" w:hAnsi="宋体"/>
          <w:bCs/>
          <w:color w:val="auto"/>
          <w:kern w:val="0"/>
          <w:sz w:val="24"/>
          <w:highlight w:val="none"/>
        </w:rPr>
        <w:t>企业具备安全生产条件，并取得有效安全生产许可证</w:t>
      </w:r>
      <w:r>
        <w:rPr>
          <w:rFonts w:hint="eastAsia" w:ascii="宋体" w:hAnsi="宋体"/>
          <w:bCs/>
          <w:color w:val="auto"/>
          <w:kern w:val="0"/>
          <w:sz w:val="24"/>
          <w:highlight w:val="none"/>
        </w:rPr>
        <w:t>。</w:t>
      </w:r>
    </w:p>
    <w:p w14:paraId="4306ED63">
      <w:pPr>
        <w:widowControl/>
        <w:spacing w:line="400" w:lineRule="exact"/>
        <w:ind w:firstLine="360" w:firstLineChars="150"/>
        <w:jc w:val="left"/>
        <w:rPr>
          <w:rFonts w:hint="eastAsia" w:ascii="宋体" w:hAnsi="宋体"/>
          <w:bCs/>
          <w:color w:val="auto"/>
          <w:kern w:val="0"/>
          <w:sz w:val="24"/>
          <w:highlight w:val="none"/>
        </w:rPr>
      </w:pPr>
      <w:r>
        <w:rPr>
          <w:rFonts w:hint="eastAsia" w:ascii="宋体" w:hAnsi="宋体"/>
          <w:bCs/>
          <w:color w:val="auto"/>
          <w:kern w:val="0"/>
          <w:sz w:val="24"/>
          <w:highlight w:val="none"/>
        </w:rPr>
        <w:t>（4）</w:t>
      </w:r>
      <w:r>
        <w:rPr>
          <w:rFonts w:hint="eastAsia" w:ascii="宋体" w:hAnsi="宋体"/>
          <w:color w:val="auto"/>
          <w:sz w:val="24"/>
          <w:highlight w:val="none"/>
        </w:rPr>
        <w:t>拟派项目负责人为投标企业正式人员</w:t>
      </w:r>
      <w:r>
        <w:rPr>
          <w:rFonts w:ascii="宋体" w:hAnsi="宋体"/>
          <w:color w:val="auto"/>
          <w:sz w:val="24"/>
          <w:highlight w:val="none"/>
        </w:rPr>
        <w:t>（投标企业与</w:t>
      </w:r>
      <w:r>
        <w:rPr>
          <w:rFonts w:hint="eastAsia" w:ascii="宋体" w:hAnsi="宋体"/>
          <w:color w:val="auto"/>
          <w:sz w:val="24"/>
          <w:highlight w:val="none"/>
        </w:rPr>
        <w:t>拟派项目负责人</w:t>
      </w:r>
      <w:r>
        <w:rPr>
          <w:rFonts w:ascii="宋体" w:hAnsi="宋体"/>
          <w:color w:val="auto"/>
          <w:sz w:val="24"/>
          <w:highlight w:val="none"/>
        </w:rPr>
        <w:t>双方签订的</w:t>
      </w:r>
      <w:r>
        <w:rPr>
          <w:rFonts w:ascii="宋体" w:hAnsi="宋体"/>
          <w:bCs/>
          <w:color w:val="auto"/>
          <w:kern w:val="0"/>
          <w:sz w:val="24"/>
          <w:highlight w:val="none"/>
        </w:rPr>
        <w:t>有效劳动合同书）</w:t>
      </w:r>
      <w:r>
        <w:rPr>
          <w:rFonts w:hint="eastAsia" w:ascii="宋体" w:hAnsi="宋体"/>
          <w:bCs/>
          <w:color w:val="auto"/>
          <w:kern w:val="0"/>
          <w:sz w:val="24"/>
          <w:highlight w:val="none"/>
        </w:rPr>
        <w:t>；</w:t>
      </w:r>
    </w:p>
    <w:p w14:paraId="2A6AD486">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（5）</w:t>
      </w:r>
      <w:r>
        <w:rPr>
          <w:rFonts w:ascii="宋体" w:hAnsi="宋体"/>
          <w:bCs/>
          <w:color w:val="auto"/>
          <w:kern w:val="0"/>
          <w:sz w:val="24"/>
          <w:highlight w:val="none"/>
        </w:rPr>
        <w:t>拟派项目负责人必须满足下列条件：</w:t>
      </w:r>
    </w:p>
    <w:p w14:paraId="5360BFFE">
      <w:pPr>
        <w:pStyle w:val="60"/>
        <w:shd w:val="clear" w:color="auto" w:fill="FFFFFF"/>
        <w:spacing w:before="0" w:beforeAutospacing="0" w:after="75" w:afterAutospacing="0" w:line="400" w:lineRule="exact"/>
        <w:ind w:firstLine="540"/>
        <w:rPr>
          <w:rFonts w:hint="eastAsia" w:cs="Times New Roman"/>
          <w:bCs/>
          <w:color w:val="auto"/>
          <w:highlight w:val="none"/>
        </w:rPr>
      </w:pPr>
      <w:r>
        <w:rPr>
          <w:rFonts w:hint="eastAsia" w:cs="Times New Roman"/>
          <w:bCs/>
          <w:color w:val="auto"/>
          <w:highlight w:val="none"/>
        </w:rPr>
        <w:t>项目负责人是非变更后无在建工程，或项目负责人是变更后无在建工程（必须原合同工期已满且变更备案之日已满6个月），或因非承包方原因致使工程项目停工或因故不能按期开工</w:t>
      </w:r>
      <w:r>
        <w:rPr>
          <w:rFonts w:hint="eastAsia" w:cs="Times New Roman"/>
          <w:bCs/>
          <w:color w:val="auto"/>
          <w:highlight w:val="none"/>
          <w:lang w:eastAsia="zh-CN"/>
        </w:rPr>
        <w:t>且</w:t>
      </w:r>
      <w:r>
        <w:rPr>
          <w:rFonts w:hint="eastAsia" w:cs="Times New Roman"/>
          <w:bCs/>
          <w:color w:val="auto"/>
          <w:highlight w:val="none"/>
        </w:rPr>
        <w:t>已办理了项目负责人解锁手续，或项目负责人有在建工程，但该在建工程与本次招标的工程属于同一工程项目、同一项目批文、同一施工地点分段发包或分期施工的情况且总的工程规模在项目负责人执业范围之内。</w:t>
      </w:r>
    </w:p>
    <w:p w14:paraId="3C90CC21">
      <w:pPr>
        <w:pStyle w:val="60"/>
        <w:shd w:val="clear" w:color="auto" w:fill="FFFFFF"/>
        <w:spacing w:before="0" w:beforeAutospacing="0" w:after="75" w:afterAutospacing="0" w:line="400" w:lineRule="exact"/>
        <w:ind w:firstLine="540"/>
        <w:rPr>
          <w:rFonts w:hint="eastAsia" w:cs="Times New Roman"/>
          <w:bCs/>
          <w:color w:val="auto"/>
          <w:highlight w:val="none"/>
        </w:rPr>
      </w:pPr>
      <w:r>
        <w:rPr>
          <w:rFonts w:hint="eastAsia" w:cs="Times New Roman"/>
          <w:bCs/>
          <w:color w:val="auto"/>
          <w:highlight w:val="none"/>
        </w:rPr>
        <w:t>拟派项目经理在崇川区范围内有在建工程的，虽然未正式竣工验收但工程确已完工的，必须有由建设单位出具“工程已完工，同意项目经理参加其他工程招投标活动”的证明。无此证明的一律做废标处理。</w:t>
      </w:r>
    </w:p>
    <w:p w14:paraId="72906EA6">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（6）投标人不得存在下列情形之一：</w:t>
      </w:r>
    </w:p>
    <w:p w14:paraId="38F1F911">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①为招标人不具有独立法人资格的附属机构（单位）；</w:t>
      </w:r>
    </w:p>
    <w:p w14:paraId="7781CD0D">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②为本招标项目的监理人、代建人、项目管理人，以及为本招标项目提供招标代理、设计服务的；</w:t>
      </w:r>
    </w:p>
    <w:p w14:paraId="65B1183D">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③与本招标项目的监理人、代建人、招标代理机构同为一个法定代表人的，或者相互控股、参股的；</w:t>
      </w:r>
    </w:p>
    <w:p w14:paraId="7159D5E9">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④与招标人存在利害关系可能影响招标公正性的；</w:t>
      </w:r>
    </w:p>
    <w:p w14:paraId="30ACA429">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⑤单位负责人为同一人或者存在控股、管理关系的不同单位；</w:t>
      </w:r>
    </w:p>
    <w:p w14:paraId="0FB20EAD">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⑥处于被责令停业、财产被按管、冻结和破产状态，以及投标资格被取消或者被暂停且在暂停期内；</w:t>
      </w:r>
    </w:p>
    <w:p w14:paraId="57E3BD1B">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⑦因拖欠工人工资或者因发生质量安全事故被有关部门限制在招标项目所在地承接工程的。</w:t>
      </w:r>
    </w:p>
    <w:p w14:paraId="14FC7859">
      <w:pPr>
        <w:widowControl/>
        <w:spacing w:line="400" w:lineRule="exact"/>
        <w:ind w:firstLine="360" w:firstLineChars="150"/>
        <w:jc w:val="left"/>
        <w:rPr>
          <w:rFonts w:hint="eastAsia" w:ascii="宋体" w:hAnsi="宋体"/>
          <w:bCs/>
          <w:color w:val="auto"/>
          <w:kern w:val="0"/>
          <w:sz w:val="24"/>
          <w:highlight w:val="none"/>
        </w:rPr>
      </w:pPr>
      <w:r>
        <w:rPr>
          <w:rFonts w:hint="eastAsia" w:ascii="宋体" w:hAnsi="宋体"/>
          <w:bCs/>
          <w:color w:val="auto"/>
          <w:kern w:val="0"/>
          <w:sz w:val="24"/>
          <w:highlight w:val="none"/>
        </w:rPr>
        <w:t>（7）</w:t>
      </w:r>
      <w:r>
        <w:rPr>
          <w:rFonts w:ascii="宋体" w:hAnsi="宋体"/>
          <w:color w:val="auto"/>
          <w:kern w:val="0"/>
          <w:sz w:val="24"/>
          <w:highlight w:val="none"/>
        </w:rPr>
        <w:t>本工程</w:t>
      </w:r>
      <w:r>
        <w:rPr>
          <w:rFonts w:ascii="宋体" w:hAnsi="宋体"/>
          <w:b/>
          <w:bCs/>
          <w:color w:val="auto"/>
          <w:kern w:val="0"/>
          <w:sz w:val="24"/>
          <w:highlight w:val="none"/>
          <w:u w:val="single"/>
        </w:rPr>
        <w:t>不接受</w:t>
      </w:r>
      <w:r>
        <w:rPr>
          <w:rFonts w:ascii="宋体" w:hAnsi="宋体"/>
          <w:color w:val="auto"/>
          <w:kern w:val="0"/>
          <w:sz w:val="24"/>
          <w:highlight w:val="none"/>
        </w:rPr>
        <w:t>联合体投标</w:t>
      </w:r>
      <w:r>
        <w:rPr>
          <w:rFonts w:hint="eastAsia" w:ascii="宋体" w:hAnsi="宋体"/>
          <w:color w:val="auto"/>
          <w:kern w:val="0"/>
          <w:sz w:val="24"/>
          <w:highlight w:val="none"/>
        </w:rPr>
        <w:t>。</w:t>
      </w:r>
    </w:p>
    <w:p w14:paraId="72BC90B6">
      <w:pPr>
        <w:spacing w:line="440" w:lineRule="exact"/>
        <w:ind w:firstLine="482" w:firstLineChars="200"/>
        <w:rPr>
          <w:rFonts w:hint="eastAsia" w:ascii="宋体" w:hAnsi="宋体"/>
          <w:b/>
          <w:color w:val="auto"/>
          <w:sz w:val="24"/>
          <w:highlight w:val="none"/>
        </w:rPr>
      </w:pPr>
      <w:r>
        <w:rPr>
          <w:rFonts w:hint="eastAsia" w:ascii="宋体" w:hAnsi="宋体"/>
          <w:b/>
          <w:color w:val="auto"/>
          <w:sz w:val="24"/>
          <w:highlight w:val="none"/>
        </w:rPr>
        <w:t>2.4投标人在投标文件递交截止时间当日，建筑业企业资质动态监管结果（指本项目要求资质）不处于不合格状态。招标人或招标代理机构在投标文件递交截止时间当日，登录“江苏省建筑市场监管与诚信信息一体化平台”，检查投标人的建筑业企业资质动态监管状态，对动态监管处于不合格状态的投标人进行截图保存，提供给评标委员会，资格审查不通过。</w:t>
      </w:r>
    </w:p>
    <w:p w14:paraId="254AD1A5">
      <w:pPr>
        <w:spacing w:line="440" w:lineRule="exact"/>
        <w:ind w:firstLine="482" w:firstLineChars="200"/>
        <w:rPr>
          <w:rFonts w:ascii="宋体" w:hAnsi="宋体"/>
          <w:color w:val="auto"/>
          <w:sz w:val="24"/>
          <w:highlight w:val="none"/>
        </w:rPr>
      </w:pPr>
      <w:r>
        <w:rPr>
          <w:rFonts w:hint="eastAsia" w:ascii="宋体" w:hAnsi="宋体"/>
          <w:b/>
          <w:color w:val="auto"/>
          <w:sz w:val="24"/>
          <w:highlight w:val="none"/>
        </w:rPr>
        <w:t>2</w:t>
      </w:r>
      <w:r>
        <w:rPr>
          <w:rFonts w:ascii="宋体" w:hAnsi="宋体"/>
          <w:b/>
          <w:color w:val="auto"/>
          <w:sz w:val="24"/>
          <w:highlight w:val="none"/>
        </w:rPr>
        <w:t>.5本工程</w:t>
      </w:r>
      <w:r>
        <w:rPr>
          <w:rFonts w:hint="eastAsia" w:ascii="宋体" w:hAnsi="宋体"/>
          <w:b/>
          <w:color w:val="auto"/>
          <w:sz w:val="24"/>
          <w:highlight w:val="none"/>
        </w:rPr>
        <w:t>不</w:t>
      </w:r>
      <w:r>
        <w:rPr>
          <w:rFonts w:ascii="宋体" w:hAnsi="宋体"/>
          <w:b/>
          <w:color w:val="auto"/>
          <w:sz w:val="24"/>
          <w:highlight w:val="none"/>
        </w:rPr>
        <w:t>接受联合体方式的投标</w:t>
      </w:r>
      <w:r>
        <w:rPr>
          <w:rFonts w:ascii="宋体" w:hAnsi="宋体"/>
          <w:color w:val="auto"/>
          <w:sz w:val="24"/>
          <w:highlight w:val="none"/>
        </w:rPr>
        <w:t>。</w:t>
      </w:r>
    </w:p>
    <w:p w14:paraId="651DFDA4">
      <w:pPr>
        <w:spacing w:line="440" w:lineRule="exact"/>
        <w:ind w:firstLine="482" w:firstLineChars="200"/>
        <w:rPr>
          <w:rFonts w:ascii="宋体" w:hAnsi="宋体"/>
          <w:color w:val="auto"/>
          <w:sz w:val="24"/>
          <w:highlight w:val="none"/>
        </w:rPr>
      </w:pPr>
      <w:r>
        <w:rPr>
          <w:rFonts w:hint="eastAsia" w:ascii="宋体" w:hAnsi="宋体"/>
          <w:b/>
          <w:bCs/>
          <w:color w:val="auto"/>
          <w:sz w:val="24"/>
          <w:highlight w:val="none"/>
        </w:rPr>
        <w:t>2</w:t>
      </w:r>
      <w:r>
        <w:rPr>
          <w:rFonts w:ascii="宋体" w:hAnsi="宋体"/>
          <w:b/>
          <w:bCs/>
          <w:color w:val="auto"/>
          <w:sz w:val="24"/>
          <w:highlight w:val="none"/>
        </w:rPr>
        <w:t>.6</w:t>
      </w:r>
      <w:r>
        <w:rPr>
          <w:rFonts w:ascii="宋体" w:hAnsi="宋体"/>
          <w:b/>
          <w:color w:val="auto"/>
          <w:sz w:val="24"/>
          <w:highlight w:val="none"/>
        </w:rPr>
        <w:t>未尽之处具体详见第二章“评标办法”中的“资格审查标准汇总表”。</w:t>
      </w:r>
    </w:p>
    <w:p w14:paraId="05D89619">
      <w:pPr>
        <w:autoSpaceDE w:val="0"/>
        <w:autoSpaceDN w:val="0"/>
        <w:adjustRightInd w:val="0"/>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3.投标费用</w:t>
      </w:r>
    </w:p>
    <w:p w14:paraId="34CE0E81">
      <w:pPr>
        <w:spacing w:line="360" w:lineRule="auto"/>
        <w:ind w:firstLine="482" w:firstLineChars="200"/>
        <w:rPr>
          <w:rFonts w:hint="eastAsia" w:ascii="宋体"/>
          <w:b/>
          <w:color w:val="auto"/>
          <w:sz w:val="24"/>
          <w:highlight w:val="none"/>
        </w:rPr>
      </w:pPr>
      <w:r>
        <w:rPr>
          <w:rFonts w:hint="eastAsia" w:ascii="宋体"/>
          <w:b/>
          <w:color w:val="auto"/>
          <w:sz w:val="24"/>
          <w:highlight w:val="none"/>
        </w:rPr>
        <w:t>3.1招标文件费300元，无论是否中标，该费用不予退还。</w:t>
      </w:r>
    </w:p>
    <w:p w14:paraId="4CA1EF41">
      <w:pPr>
        <w:spacing w:line="360" w:lineRule="auto"/>
        <w:ind w:firstLine="480" w:firstLineChars="200"/>
        <w:rPr>
          <w:rFonts w:hint="eastAsia" w:ascii="宋体"/>
          <w:color w:val="auto"/>
          <w:sz w:val="24"/>
          <w:highlight w:val="none"/>
        </w:rPr>
      </w:pPr>
      <w:r>
        <w:rPr>
          <w:rFonts w:hint="eastAsia" w:ascii="宋体"/>
          <w:color w:val="auto"/>
          <w:sz w:val="24"/>
          <w:highlight w:val="none"/>
        </w:rPr>
        <w:t>3.2投标人应承担其编制投标文件以及递交投标文件所涉及的一切费用。</w:t>
      </w:r>
    </w:p>
    <w:p w14:paraId="29B613BB">
      <w:pPr>
        <w:spacing w:line="360" w:lineRule="auto"/>
        <w:ind w:firstLine="480" w:firstLineChars="200"/>
        <w:rPr>
          <w:rFonts w:hint="eastAsia" w:ascii="宋体"/>
          <w:color w:val="auto"/>
          <w:sz w:val="24"/>
          <w:highlight w:val="none"/>
        </w:rPr>
      </w:pPr>
      <w:r>
        <w:rPr>
          <w:rFonts w:hint="eastAsia" w:ascii="宋体"/>
          <w:color w:val="auto"/>
          <w:sz w:val="24"/>
          <w:highlight w:val="none"/>
        </w:rPr>
        <w:t>3.3</w:t>
      </w:r>
      <w:r>
        <w:rPr>
          <w:rFonts w:hint="eastAsia"/>
          <w:color w:val="auto"/>
          <w:sz w:val="24"/>
          <w:highlight w:val="none"/>
        </w:rPr>
        <w:t>代理费（含标底编制费）：中标价1%，不足3000元按3000元计算。专家评审费（按实收取）。无论投标结果如何，招标人对上述费用不负任何责任。</w:t>
      </w:r>
    </w:p>
    <w:p w14:paraId="0AC015CA">
      <w:pPr>
        <w:spacing w:line="360" w:lineRule="auto"/>
        <w:ind w:firstLine="480" w:firstLineChars="200"/>
        <w:rPr>
          <w:rFonts w:ascii="宋体" w:hAnsi="宋体"/>
          <w:color w:val="auto"/>
          <w:sz w:val="24"/>
          <w:highlight w:val="none"/>
        </w:rPr>
      </w:pPr>
      <w:r>
        <w:rPr>
          <w:rFonts w:hint="eastAsia" w:ascii="宋体"/>
          <w:color w:val="auto"/>
          <w:sz w:val="24"/>
          <w:highlight w:val="none"/>
        </w:rPr>
        <w:t>3.4中标单位领取中标通知书时须一次性支付上述费用。</w:t>
      </w:r>
    </w:p>
    <w:p w14:paraId="19B45D3C">
      <w:pPr>
        <w:autoSpaceDE w:val="0"/>
        <w:autoSpaceDN w:val="0"/>
        <w:adjustRightInd w:val="0"/>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4、踏勘现场</w:t>
      </w:r>
    </w:p>
    <w:p w14:paraId="0ED3B423">
      <w:pPr>
        <w:numPr>
          <w:ilvl w:val="0"/>
          <w:numId w:val="1"/>
        </w:numPr>
        <w:tabs>
          <w:tab w:val="left" w:pos="875"/>
          <w:tab w:val="clear" w:pos="720"/>
        </w:tabs>
        <w:overflowPunct w:val="0"/>
        <w:autoSpaceDE w:val="0"/>
        <w:autoSpaceDN w:val="0"/>
        <w:adjustRightInd w:val="0"/>
        <w:spacing w:line="440" w:lineRule="exact"/>
        <w:ind w:left="0" w:firstLine="480" w:firstLineChars="200"/>
        <w:rPr>
          <w:rFonts w:ascii="宋体" w:hAnsi="宋体"/>
          <w:color w:val="auto"/>
          <w:kern w:val="0"/>
          <w:sz w:val="24"/>
          <w:highlight w:val="none"/>
        </w:rPr>
      </w:pPr>
      <w:r>
        <w:rPr>
          <w:rFonts w:ascii="宋体" w:hAnsi="宋体"/>
          <w:color w:val="auto"/>
          <w:kern w:val="0"/>
          <w:sz w:val="24"/>
          <w:highlight w:val="none"/>
        </w:rPr>
        <w:t xml:space="preserve"> 经招标人允许，投标人可为踏勘目的进入招标人的项目现场，但投标人不得因此使招标人承担有关的责任和蒙受损失，投标人应承担踏勘现场的责任和风险。 </w:t>
      </w:r>
    </w:p>
    <w:p w14:paraId="3E960D5D">
      <w:pPr>
        <w:numPr>
          <w:ilvl w:val="0"/>
          <w:numId w:val="1"/>
        </w:numPr>
        <w:tabs>
          <w:tab w:val="left" w:pos="875"/>
          <w:tab w:val="clear" w:pos="720"/>
        </w:tabs>
        <w:overflowPunct w:val="0"/>
        <w:autoSpaceDE w:val="0"/>
        <w:autoSpaceDN w:val="0"/>
        <w:adjustRightInd w:val="0"/>
        <w:spacing w:line="440" w:lineRule="exact"/>
        <w:ind w:left="0" w:firstLine="480" w:firstLineChars="200"/>
        <w:rPr>
          <w:rFonts w:ascii="宋体" w:hAnsi="宋体"/>
          <w:color w:val="auto"/>
          <w:kern w:val="0"/>
          <w:sz w:val="24"/>
          <w:highlight w:val="none"/>
        </w:rPr>
      </w:pPr>
      <w:r>
        <w:rPr>
          <w:rFonts w:ascii="宋体" w:hAnsi="宋体"/>
          <w:color w:val="auto"/>
          <w:kern w:val="0"/>
          <w:sz w:val="24"/>
          <w:highlight w:val="none"/>
        </w:rPr>
        <w:t xml:space="preserve"> 投标人自行对工程现场及周围环境进行踏勘，以便投标人获取有关编制投标文件和签署合同所涉及的现场资料。投标人承担踏勘现场发生的一切费用。</w:t>
      </w:r>
    </w:p>
    <w:p w14:paraId="67FA4F91">
      <w:pPr>
        <w:numPr>
          <w:ilvl w:val="0"/>
          <w:numId w:val="1"/>
        </w:numPr>
        <w:tabs>
          <w:tab w:val="left" w:pos="875"/>
          <w:tab w:val="clear" w:pos="720"/>
        </w:tabs>
        <w:overflowPunct w:val="0"/>
        <w:autoSpaceDE w:val="0"/>
        <w:autoSpaceDN w:val="0"/>
        <w:adjustRightInd w:val="0"/>
        <w:spacing w:line="440" w:lineRule="exact"/>
        <w:ind w:left="0" w:firstLine="480" w:firstLineChars="200"/>
        <w:rPr>
          <w:rFonts w:ascii="宋体" w:hAnsi="宋体"/>
          <w:color w:val="auto"/>
          <w:kern w:val="0"/>
          <w:sz w:val="24"/>
          <w:highlight w:val="none"/>
        </w:rPr>
      </w:pPr>
      <w:r>
        <w:rPr>
          <w:rFonts w:ascii="宋体" w:hAnsi="宋体"/>
          <w:color w:val="auto"/>
          <w:kern w:val="0"/>
          <w:sz w:val="24"/>
          <w:highlight w:val="none"/>
        </w:rPr>
        <w:t xml:space="preserve"> 招标人向投标人提供的有关现场的数据和资料，是招标人现有的能被投标人利用的资料，招标人对投标人作出的任何推论、理解和结论均不负责任。</w:t>
      </w:r>
    </w:p>
    <w:p w14:paraId="1F4EAD49">
      <w:pPr>
        <w:numPr>
          <w:ilvl w:val="0"/>
          <w:numId w:val="1"/>
        </w:numPr>
        <w:tabs>
          <w:tab w:val="left" w:pos="875"/>
          <w:tab w:val="clear" w:pos="720"/>
        </w:tabs>
        <w:overflowPunct w:val="0"/>
        <w:autoSpaceDE w:val="0"/>
        <w:autoSpaceDN w:val="0"/>
        <w:adjustRightInd w:val="0"/>
        <w:spacing w:line="440" w:lineRule="exact"/>
        <w:ind w:left="0" w:firstLine="480" w:firstLineChars="200"/>
        <w:rPr>
          <w:rFonts w:ascii="宋体" w:hAnsi="宋体"/>
          <w:color w:val="auto"/>
          <w:kern w:val="0"/>
          <w:sz w:val="24"/>
          <w:highlight w:val="none"/>
        </w:rPr>
      </w:pPr>
      <w:r>
        <w:rPr>
          <w:rFonts w:ascii="宋体" w:hAnsi="宋体"/>
          <w:color w:val="auto"/>
          <w:kern w:val="0"/>
          <w:sz w:val="24"/>
          <w:highlight w:val="none"/>
        </w:rPr>
        <w:t xml:space="preserve"> 投标人应充分考虑标书制作过程中的数据变化因素，检查确认标书内容的正确完整和对招标文件的响应程度。</w:t>
      </w:r>
    </w:p>
    <w:p w14:paraId="4626C9CE">
      <w:pPr>
        <w:pStyle w:val="5"/>
        <w:jc w:val="center"/>
        <w:rPr>
          <w:rFonts w:ascii="Times New Roman" w:hAnsi="Times New Roman" w:eastAsia="宋体"/>
          <w:color w:val="auto"/>
          <w:sz w:val="24"/>
          <w:szCs w:val="24"/>
          <w:highlight w:val="none"/>
        </w:rPr>
      </w:pPr>
      <w:bookmarkStart w:id="26" w:name="_Toc380681234"/>
      <w:bookmarkStart w:id="27" w:name="_Toc380681015"/>
      <w:bookmarkStart w:id="28" w:name="_Toc380680822"/>
      <w:r>
        <w:rPr>
          <w:rFonts w:ascii="Times New Roman" w:hAnsi="宋体" w:eastAsia="宋体"/>
          <w:color w:val="auto"/>
          <w:sz w:val="24"/>
          <w:szCs w:val="24"/>
          <w:highlight w:val="none"/>
        </w:rPr>
        <w:t>（二）招标文件</w:t>
      </w:r>
      <w:bookmarkEnd w:id="26"/>
      <w:bookmarkEnd w:id="27"/>
      <w:bookmarkEnd w:id="28"/>
    </w:p>
    <w:p w14:paraId="2EF5A65D">
      <w:pPr>
        <w:autoSpaceDE w:val="0"/>
        <w:autoSpaceDN w:val="0"/>
        <w:adjustRightInd w:val="0"/>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5.招标文件的组成</w:t>
      </w:r>
    </w:p>
    <w:p w14:paraId="7B1DDEB5">
      <w:pPr>
        <w:spacing w:line="440" w:lineRule="exact"/>
        <w:ind w:firstLine="480" w:firstLineChars="200"/>
        <w:rPr>
          <w:rFonts w:ascii="宋体" w:hAnsi="宋体"/>
          <w:color w:val="auto"/>
          <w:sz w:val="24"/>
          <w:highlight w:val="none"/>
        </w:rPr>
      </w:pPr>
      <w:r>
        <w:rPr>
          <w:rFonts w:ascii="宋体" w:hAnsi="宋体"/>
          <w:color w:val="auto"/>
          <w:sz w:val="24"/>
          <w:highlight w:val="none"/>
        </w:rPr>
        <w:t>5.1.招标文件包括下列内容：</w:t>
      </w:r>
    </w:p>
    <w:p w14:paraId="4B606A54">
      <w:pPr>
        <w:spacing w:line="440" w:lineRule="exact"/>
        <w:ind w:firstLine="480" w:firstLineChars="200"/>
        <w:rPr>
          <w:rFonts w:ascii="宋体" w:hAnsi="宋体"/>
          <w:color w:val="auto"/>
          <w:sz w:val="24"/>
          <w:highlight w:val="none"/>
        </w:rPr>
      </w:pPr>
      <w:r>
        <w:rPr>
          <w:rFonts w:ascii="宋体" w:hAnsi="宋体"/>
          <w:color w:val="auto"/>
          <w:sz w:val="24"/>
          <w:highlight w:val="none"/>
        </w:rPr>
        <w:t>第一章：投标须知</w:t>
      </w:r>
    </w:p>
    <w:p w14:paraId="1DCC5212">
      <w:pPr>
        <w:spacing w:line="440" w:lineRule="exact"/>
        <w:ind w:firstLine="480" w:firstLineChars="200"/>
        <w:rPr>
          <w:rFonts w:ascii="宋体" w:hAnsi="宋体"/>
          <w:color w:val="auto"/>
          <w:sz w:val="24"/>
          <w:highlight w:val="none"/>
        </w:rPr>
      </w:pPr>
      <w:r>
        <w:rPr>
          <w:rFonts w:ascii="宋体" w:hAnsi="宋体"/>
          <w:color w:val="auto"/>
          <w:sz w:val="24"/>
          <w:highlight w:val="none"/>
        </w:rPr>
        <w:t>第二章：评标办法</w:t>
      </w:r>
    </w:p>
    <w:p w14:paraId="48D59A9F">
      <w:pPr>
        <w:spacing w:line="440" w:lineRule="exact"/>
        <w:ind w:firstLine="480" w:firstLineChars="200"/>
        <w:rPr>
          <w:rFonts w:ascii="宋体" w:hAnsi="宋体"/>
          <w:color w:val="auto"/>
          <w:sz w:val="24"/>
          <w:highlight w:val="none"/>
        </w:rPr>
      </w:pPr>
      <w:r>
        <w:rPr>
          <w:rFonts w:ascii="宋体" w:hAnsi="宋体"/>
          <w:color w:val="auto"/>
          <w:sz w:val="24"/>
          <w:highlight w:val="none"/>
        </w:rPr>
        <w:t>第三章：合同条款</w:t>
      </w:r>
    </w:p>
    <w:p w14:paraId="00C2C0A7">
      <w:pPr>
        <w:spacing w:line="440" w:lineRule="exact"/>
        <w:ind w:firstLine="480" w:firstLineChars="200"/>
        <w:rPr>
          <w:rFonts w:ascii="宋体" w:hAnsi="宋体"/>
          <w:color w:val="auto"/>
          <w:sz w:val="24"/>
          <w:highlight w:val="none"/>
        </w:rPr>
      </w:pPr>
      <w:r>
        <w:rPr>
          <w:rFonts w:ascii="宋体" w:hAnsi="宋体"/>
          <w:color w:val="auto"/>
          <w:sz w:val="24"/>
          <w:highlight w:val="none"/>
        </w:rPr>
        <w:t>第四章：工程建设标准</w:t>
      </w:r>
    </w:p>
    <w:p w14:paraId="689E0263">
      <w:pPr>
        <w:spacing w:line="440" w:lineRule="exact"/>
        <w:ind w:firstLine="480" w:firstLineChars="200"/>
        <w:rPr>
          <w:rFonts w:ascii="宋体" w:hAnsi="宋体"/>
          <w:color w:val="auto"/>
          <w:sz w:val="24"/>
          <w:highlight w:val="none"/>
        </w:rPr>
      </w:pPr>
      <w:r>
        <w:rPr>
          <w:rFonts w:ascii="宋体" w:hAnsi="宋体"/>
          <w:color w:val="auto"/>
          <w:sz w:val="24"/>
          <w:highlight w:val="none"/>
        </w:rPr>
        <w:t>第五章：图纸、技术资料及附件</w:t>
      </w:r>
    </w:p>
    <w:p w14:paraId="2E09FE3C">
      <w:pPr>
        <w:spacing w:line="440" w:lineRule="exact"/>
        <w:ind w:firstLine="480" w:firstLineChars="200"/>
        <w:rPr>
          <w:rFonts w:ascii="宋体" w:hAnsi="宋体"/>
          <w:color w:val="auto"/>
          <w:sz w:val="24"/>
          <w:highlight w:val="none"/>
        </w:rPr>
      </w:pPr>
      <w:r>
        <w:rPr>
          <w:rFonts w:ascii="宋体" w:hAnsi="宋体"/>
          <w:color w:val="auto"/>
          <w:sz w:val="24"/>
          <w:highlight w:val="none"/>
        </w:rPr>
        <w:t>第六章：投标文件格式</w:t>
      </w:r>
    </w:p>
    <w:p w14:paraId="755D959E">
      <w:pPr>
        <w:spacing w:line="440" w:lineRule="exact"/>
        <w:ind w:firstLine="480" w:firstLineChars="200"/>
        <w:rPr>
          <w:rFonts w:ascii="宋体" w:hAnsi="宋体"/>
          <w:color w:val="auto"/>
          <w:sz w:val="24"/>
          <w:highlight w:val="none"/>
        </w:rPr>
      </w:pPr>
      <w:r>
        <w:rPr>
          <w:rFonts w:ascii="宋体" w:hAnsi="宋体"/>
          <w:color w:val="auto"/>
          <w:sz w:val="24"/>
          <w:highlight w:val="none"/>
        </w:rPr>
        <w:t>第七章：资格审查证明材料</w:t>
      </w:r>
    </w:p>
    <w:p w14:paraId="54C890C8">
      <w:pPr>
        <w:spacing w:line="440" w:lineRule="exact"/>
        <w:ind w:firstLine="480" w:firstLineChars="200"/>
        <w:rPr>
          <w:rFonts w:ascii="宋体" w:hAnsi="宋体"/>
          <w:color w:val="auto"/>
          <w:sz w:val="24"/>
          <w:highlight w:val="none"/>
        </w:rPr>
      </w:pPr>
      <w:r>
        <w:rPr>
          <w:rFonts w:ascii="宋体" w:hAnsi="宋体"/>
          <w:color w:val="auto"/>
          <w:sz w:val="24"/>
          <w:highlight w:val="none"/>
        </w:rPr>
        <w:t>第八章：工程量清单</w:t>
      </w:r>
    </w:p>
    <w:p w14:paraId="260376BE">
      <w:pPr>
        <w:spacing w:line="440" w:lineRule="exact"/>
        <w:ind w:firstLine="480" w:firstLineChars="200"/>
        <w:rPr>
          <w:rFonts w:ascii="宋体" w:hAnsi="宋体"/>
          <w:color w:val="auto"/>
          <w:sz w:val="24"/>
          <w:highlight w:val="none"/>
        </w:rPr>
      </w:pPr>
      <w:r>
        <w:rPr>
          <w:rFonts w:ascii="宋体" w:hAnsi="宋体"/>
          <w:color w:val="auto"/>
          <w:sz w:val="24"/>
          <w:highlight w:val="none"/>
        </w:rPr>
        <w:t>5.2根据本章第6、7款对招标文件所作的澄清、修改，构成招标文件的组成部分。投标人在投标截止时间前，应通过</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随时查阅有关该工程招标文件的澄清、招标文件的修改（招标答疑、补遗文件）、招标控制价公示等内容。投标人查阅如有遗漏，其风险应由投标人自行承担。</w:t>
      </w:r>
    </w:p>
    <w:p w14:paraId="1AB58325">
      <w:pPr>
        <w:autoSpaceDE w:val="0"/>
        <w:autoSpaceDN w:val="0"/>
        <w:adjustRightInd w:val="0"/>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6、招标文件的澄清</w:t>
      </w:r>
    </w:p>
    <w:p w14:paraId="6E83AAFF">
      <w:pPr>
        <w:spacing w:line="440" w:lineRule="exact"/>
        <w:ind w:firstLine="480" w:firstLineChars="200"/>
        <w:rPr>
          <w:rFonts w:ascii="宋体" w:hAnsi="宋体"/>
          <w:color w:val="auto"/>
          <w:sz w:val="24"/>
          <w:highlight w:val="none"/>
        </w:rPr>
      </w:pPr>
      <w:r>
        <w:rPr>
          <w:rFonts w:ascii="宋体" w:hAnsi="宋体"/>
          <w:color w:val="auto"/>
          <w:sz w:val="24"/>
          <w:highlight w:val="none"/>
        </w:rPr>
        <w:t>6.1投标人从</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下载招标文件后应仔细阅读和检查招标文件的全部内容。如发现缺页或附件不全，应及时向招标人提出，以便补齐。投标人应对招标人提供的工程量清单进行认真细致的复核。这种复核包括对招标人提供的工程量清单中的子目编码、子目名称、子目特征描述、计量单位、工程量的准确性以及可能存在的任何书写</w:t>
      </w:r>
      <w:r>
        <w:rPr>
          <w:rFonts w:hint="eastAsia" w:ascii="宋体" w:hAnsi="宋体"/>
          <w:color w:val="auto"/>
          <w:sz w:val="24"/>
          <w:highlight w:val="none"/>
        </w:rPr>
        <w:t>+</w:t>
      </w:r>
      <w:r>
        <w:rPr>
          <w:rFonts w:ascii="宋体" w:hAnsi="宋体"/>
          <w:color w:val="auto"/>
          <w:sz w:val="24"/>
          <w:highlight w:val="none"/>
        </w:rPr>
        <w:t>、打印错误进行检查和复核，特别是对“分部分项工程和单价措施项目清单与计价表”中每个工作子目的工程量进行重新计算和校核。如果投标人经过检查和复核以后认为招标人提供的工程量清单存在差异，则投标人应将此类差异的详细情况连同按投标人须知规定提交的要求招标人澄清的其他问题一起提交给招标人，招标人将根据实际情况决定是否颁发工程量清单的补充和（或）修改文件。</w:t>
      </w:r>
    </w:p>
    <w:p w14:paraId="4DD6F1AA">
      <w:pPr>
        <w:spacing w:line="440" w:lineRule="exact"/>
        <w:ind w:firstLine="480" w:firstLineChars="200"/>
        <w:rPr>
          <w:rFonts w:ascii="宋体" w:hAnsi="宋体"/>
          <w:color w:val="auto"/>
          <w:sz w:val="24"/>
          <w:highlight w:val="none"/>
        </w:rPr>
      </w:pPr>
      <w:r>
        <w:rPr>
          <w:rFonts w:ascii="宋体" w:hAnsi="宋体"/>
          <w:color w:val="auto"/>
          <w:sz w:val="24"/>
          <w:highlight w:val="none"/>
        </w:rPr>
        <w:t>6.2招标人不组织集中答疑，投标人如对招标公告、招标文件、工程量清单、图纸、标底、招标控制价等文件存在前后矛盾，部分条款说明不清、存在歧义、违反相关法律法规，存在限制性条款等有疑问的应在</w:t>
      </w:r>
      <w:r>
        <w:rPr>
          <w:rFonts w:ascii="宋体" w:hAnsi="宋体"/>
          <w:b/>
          <w:color w:val="auto"/>
          <w:sz w:val="24"/>
          <w:highlight w:val="none"/>
          <w:u w:val="single"/>
        </w:rPr>
        <w:t>202</w:t>
      </w:r>
      <w:r>
        <w:rPr>
          <w:rFonts w:hint="eastAsia" w:ascii="宋体" w:hAnsi="宋体"/>
          <w:b/>
          <w:color w:val="auto"/>
          <w:sz w:val="24"/>
          <w:highlight w:val="none"/>
          <w:u w:val="single"/>
        </w:rPr>
        <w:t>5</w:t>
      </w:r>
      <w:r>
        <w:rPr>
          <w:rFonts w:ascii="宋体" w:hAnsi="宋体"/>
          <w:b/>
          <w:color w:val="auto"/>
          <w:sz w:val="24"/>
          <w:highlight w:val="none"/>
          <w:u w:val="single"/>
        </w:rPr>
        <w:t>年</w:t>
      </w:r>
      <w:r>
        <w:rPr>
          <w:rFonts w:hint="eastAsia" w:ascii="宋体" w:hAnsi="宋体"/>
          <w:b/>
          <w:color w:val="auto"/>
          <w:sz w:val="24"/>
          <w:highlight w:val="none"/>
          <w:u w:val="single"/>
          <w:lang w:val="en-US" w:eastAsia="zh-CN"/>
        </w:rPr>
        <w:t>7</w:t>
      </w:r>
      <w:r>
        <w:rPr>
          <w:rFonts w:ascii="宋体" w:hAnsi="宋体"/>
          <w:b/>
          <w:color w:val="auto"/>
          <w:sz w:val="24"/>
          <w:highlight w:val="none"/>
          <w:u w:val="single"/>
        </w:rPr>
        <w:t>月</w:t>
      </w:r>
      <w:r>
        <w:rPr>
          <w:rFonts w:hint="eastAsia" w:ascii="宋体" w:hAnsi="宋体"/>
          <w:b/>
          <w:color w:val="auto"/>
          <w:sz w:val="24"/>
          <w:highlight w:val="none"/>
          <w:u w:val="single"/>
          <w:lang w:val="en-US" w:eastAsia="zh-CN"/>
        </w:rPr>
        <w:t>23</w:t>
      </w:r>
      <w:r>
        <w:rPr>
          <w:rFonts w:hint="eastAsia" w:ascii="宋体" w:hAnsi="宋体"/>
          <w:b/>
          <w:color w:val="auto"/>
          <w:sz w:val="24"/>
          <w:highlight w:val="none"/>
          <w:u w:val="single"/>
        </w:rPr>
        <w:t>日</w:t>
      </w:r>
      <w:r>
        <w:rPr>
          <w:rFonts w:ascii="宋体" w:hAnsi="宋体"/>
          <w:b/>
          <w:color w:val="auto"/>
          <w:sz w:val="24"/>
          <w:highlight w:val="none"/>
          <w:u w:val="single"/>
        </w:rPr>
        <w:t>17时前</w:t>
      </w:r>
      <w:r>
        <w:rPr>
          <w:rFonts w:ascii="宋体" w:hAnsi="宋体"/>
          <w:color w:val="auto"/>
          <w:sz w:val="24"/>
          <w:highlight w:val="none"/>
        </w:rPr>
        <w:t>向招标人提出澄清要求，</w:t>
      </w:r>
      <w:r>
        <w:rPr>
          <w:rFonts w:ascii="宋体" w:hAnsi="宋体"/>
          <w:color w:val="auto"/>
          <w:sz w:val="24"/>
          <w:highlight w:val="none"/>
        </w:rPr>
        <w:fldChar w:fldCharType="begin"/>
      </w:r>
      <w:r>
        <w:rPr>
          <w:rFonts w:ascii="宋体" w:hAnsi="宋体"/>
          <w:color w:val="auto"/>
          <w:sz w:val="24"/>
          <w:highlight w:val="none"/>
        </w:rPr>
        <w:instrText xml:space="preserve"> HYPERLINK "mailto:以电子文件形式发送至550362779@qq.com" </w:instrText>
      </w:r>
      <w:r>
        <w:rPr>
          <w:rFonts w:ascii="宋体" w:hAnsi="宋体"/>
          <w:color w:val="auto"/>
          <w:sz w:val="24"/>
          <w:highlight w:val="none"/>
        </w:rPr>
        <w:fldChar w:fldCharType="separate"/>
      </w:r>
      <w:r>
        <w:rPr>
          <w:rFonts w:ascii="宋体" w:hAnsi="宋体"/>
          <w:color w:val="auto"/>
          <w:sz w:val="24"/>
          <w:highlight w:val="none"/>
        </w:rPr>
        <w:t>以电子文件形式发送至</w:t>
      </w:r>
      <w:r>
        <w:rPr>
          <w:rFonts w:ascii="宋体" w:hAnsi="宋体"/>
          <w:color w:val="auto"/>
          <w:sz w:val="24"/>
          <w:highlight w:val="none"/>
        </w:rPr>
        <w:fldChar w:fldCharType="end"/>
      </w:r>
      <w:r>
        <w:rPr>
          <w:rFonts w:ascii="宋体" w:hAnsi="宋体"/>
          <w:color w:val="auto"/>
          <w:sz w:val="24"/>
          <w:highlight w:val="none"/>
        </w:rPr>
        <w:t>指定邮箱：</w:t>
      </w:r>
      <w:r>
        <w:rPr>
          <w:rFonts w:hint="eastAsia" w:ascii="宋体" w:hAnsi="宋体"/>
          <w:color w:val="auto"/>
          <w:sz w:val="24"/>
          <w:highlight w:val="none"/>
          <w:lang w:eastAsia="zh-CN"/>
        </w:rPr>
        <w:t>1346702320</w:t>
      </w:r>
      <w:r>
        <w:rPr>
          <w:rFonts w:hint="eastAsia" w:ascii="宋体" w:hAnsi="宋体"/>
          <w:color w:val="auto"/>
          <w:sz w:val="24"/>
          <w:highlight w:val="none"/>
        </w:rPr>
        <w:t>@qq.com</w:t>
      </w:r>
      <w:r>
        <w:rPr>
          <w:rFonts w:ascii="宋体" w:hAnsi="宋体"/>
          <w:color w:val="auto"/>
          <w:sz w:val="24"/>
          <w:highlight w:val="none"/>
        </w:rPr>
        <w:t>（不具单位名称，不加盖单位公章）。招标人在收到疑问材料后于</w:t>
      </w:r>
      <w:r>
        <w:rPr>
          <w:rFonts w:ascii="宋体" w:hAnsi="宋体"/>
          <w:b/>
          <w:color w:val="auto"/>
          <w:sz w:val="24"/>
          <w:highlight w:val="none"/>
          <w:u w:val="single"/>
        </w:rPr>
        <w:t>202</w:t>
      </w:r>
      <w:r>
        <w:rPr>
          <w:rFonts w:hint="eastAsia" w:ascii="宋体" w:hAnsi="宋体"/>
          <w:b/>
          <w:color w:val="auto"/>
          <w:sz w:val="24"/>
          <w:highlight w:val="none"/>
          <w:u w:val="single"/>
        </w:rPr>
        <w:t>5</w:t>
      </w:r>
      <w:r>
        <w:rPr>
          <w:rFonts w:ascii="宋体" w:hAnsi="宋体"/>
          <w:b/>
          <w:color w:val="auto"/>
          <w:sz w:val="24"/>
          <w:highlight w:val="none"/>
          <w:u w:val="single"/>
        </w:rPr>
        <w:t>年</w:t>
      </w:r>
      <w:r>
        <w:rPr>
          <w:rFonts w:hint="eastAsia" w:ascii="宋体" w:hAnsi="宋体"/>
          <w:b/>
          <w:color w:val="auto"/>
          <w:sz w:val="24"/>
          <w:highlight w:val="none"/>
          <w:u w:val="single"/>
          <w:lang w:val="en-US" w:eastAsia="zh-CN"/>
        </w:rPr>
        <w:t>7</w:t>
      </w:r>
      <w:r>
        <w:rPr>
          <w:rFonts w:ascii="宋体" w:hAnsi="宋体"/>
          <w:b/>
          <w:color w:val="auto"/>
          <w:sz w:val="24"/>
          <w:highlight w:val="none"/>
          <w:u w:val="single"/>
        </w:rPr>
        <w:t>月</w:t>
      </w:r>
      <w:r>
        <w:rPr>
          <w:rFonts w:hint="eastAsia" w:ascii="宋体" w:hAnsi="宋体"/>
          <w:b/>
          <w:color w:val="auto"/>
          <w:sz w:val="24"/>
          <w:highlight w:val="none"/>
          <w:u w:val="single"/>
          <w:lang w:val="en-US" w:eastAsia="zh-CN"/>
        </w:rPr>
        <w:t>23</w:t>
      </w:r>
      <w:r>
        <w:rPr>
          <w:rFonts w:ascii="宋体" w:hAnsi="宋体"/>
          <w:b/>
          <w:color w:val="auto"/>
          <w:sz w:val="24"/>
          <w:highlight w:val="none"/>
          <w:u w:val="single"/>
        </w:rPr>
        <w:t>日17时</w:t>
      </w:r>
      <w:r>
        <w:rPr>
          <w:rFonts w:hint="eastAsia" w:ascii="宋体" w:hAnsi="宋体"/>
          <w:b/>
          <w:color w:val="auto"/>
          <w:sz w:val="24"/>
          <w:highlight w:val="none"/>
          <w:u w:val="single"/>
        </w:rPr>
        <w:t>前</w:t>
      </w:r>
      <w:r>
        <w:rPr>
          <w:rFonts w:ascii="宋体" w:hAnsi="宋体"/>
          <w:color w:val="auto"/>
          <w:sz w:val="24"/>
          <w:highlight w:val="none"/>
        </w:rPr>
        <w:t>将解答内容（若有）以电子文档上传至</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，请各潜在投标人在</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自行下载。</w:t>
      </w:r>
    </w:p>
    <w:p w14:paraId="631C8299">
      <w:pPr>
        <w:spacing w:line="440" w:lineRule="exact"/>
        <w:ind w:firstLine="482" w:firstLineChars="200"/>
        <w:rPr>
          <w:rFonts w:ascii="宋体" w:hAnsi="宋体"/>
          <w:b/>
          <w:color w:val="auto"/>
          <w:sz w:val="24"/>
          <w:highlight w:val="none"/>
        </w:rPr>
      </w:pPr>
      <w:r>
        <w:rPr>
          <w:rFonts w:ascii="宋体" w:hAnsi="宋体"/>
          <w:b/>
          <w:color w:val="auto"/>
          <w:sz w:val="24"/>
          <w:highlight w:val="none"/>
        </w:rPr>
        <w:t>在开标截止时间前，投标人未以书面、电子文件形式提出疑问（质疑）的，视为投标人接受招标公告、招标文件所注全部条款。开标后投标人再对招标公告、招标文件等提出质疑或投诉的，招标人有理由不予受理，由此引起的损失由投标人自行承担。</w:t>
      </w:r>
    </w:p>
    <w:p w14:paraId="6434A4D4">
      <w:pPr>
        <w:spacing w:line="440" w:lineRule="exact"/>
        <w:ind w:firstLine="480" w:firstLineChars="200"/>
        <w:rPr>
          <w:rFonts w:ascii="宋体" w:hAnsi="宋体"/>
          <w:color w:val="auto"/>
          <w:sz w:val="24"/>
          <w:highlight w:val="none"/>
        </w:rPr>
      </w:pPr>
      <w:r>
        <w:rPr>
          <w:rFonts w:ascii="宋体" w:hAnsi="宋体"/>
          <w:color w:val="auto"/>
          <w:sz w:val="24"/>
          <w:highlight w:val="none"/>
        </w:rPr>
        <w:t>6.3招标文件的澄清答疑将在投标人须知前附表规定的时间前，在</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向所有投标人公示，但招标人不指明澄清问题的来源。如果招标人在检查投标人提交的工程量差异问题后认为没有必要对工程量清单进行补充和（或）修改，或者招标人根据投标人所提问题对工程量清单进行了补充和（或）修改，但投标人认为工程量清单中的工程量依然存在差异，则此类差异不再提交招标人答疑和修正，而是直接按招标人提供的工程量清单（包括招标人已作的补充和（或）修改）进行投标报价。</w:t>
      </w:r>
    </w:p>
    <w:p w14:paraId="28D8C696">
      <w:pPr>
        <w:spacing w:line="440" w:lineRule="exact"/>
        <w:ind w:firstLine="480" w:firstLineChars="200"/>
        <w:rPr>
          <w:rFonts w:ascii="宋体" w:hAnsi="宋体"/>
          <w:color w:val="auto"/>
          <w:sz w:val="24"/>
          <w:highlight w:val="none"/>
        </w:rPr>
      </w:pPr>
      <w:r>
        <w:rPr>
          <w:rFonts w:ascii="宋体" w:hAnsi="宋体"/>
          <w:color w:val="auto"/>
          <w:sz w:val="24"/>
          <w:highlight w:val="none"/>
        </w:rPr>
        <w:t>投标人对招标人提供的招标文件所做出的推论、解释和结论，招标人概不负责。投标人由于对招标文件的任何推论和误解均由投标人自负。</w:t>
      </w:r>
    </w:p>
    <w:p w14:paraId="5571721B">
      <w:pPr>
        <w:spacing w:line="440" w:lineRule="exact"/>
        <w:ind w:firstLine="480" w:firstLineChars="200"/>
        <w:rPr>
          <w:rFonts w:ascii="宋体" w:hAnsi="宋体"/>
          <w:color w:val="auto"/>
          <w:sz w:val="24"/>
          <w:highlight w:val="none"/>
        </w:rPr>
      </w:pPr>
      <w:r>
        <w:rPr>
          <w:rFonts w:ascii="宋体" w:hAnsi="宋体"/>
          <w:color w:val="auto"/>
          <w:sz w:val="24"/>
          <w:highlight w:val="none"/>
        </w:rPr>
        <w:t>在投标截止时间</w:t>
      </w:r>
      <w:r>
        <w:rPr>
          <w:rFonts w:hint="eastAsia" w:ascii="宋体" w:hAnsi="宋体"/>
          <w:color w:val="auto"/>
          <w:sz w:val="24"/>
          <w:highlight w:val="none"/>
        </w:rPr>
        <w:t>3</w:t>
      </w:r>
      <w:r>
        <w:rPr>
          <w:rFonts w:ascii="宋体" w:hAnsi="宋体"/>
          <w:color w:val="auto"/>
          <w:sz w:val="24"/>
          <w:highlight w:val="none"/>
        </w:rPr>
        <w:t>天前，招标人可以修改招标文件，并以电子文档形式在</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发布。如果修改招标文件的时间距投标截止时间不足</w:t>
      </w:r>
      <w:r>
        <w:rPr>
          <w:rFonts w:hint="eastAsia" w:ascii="宋体" w:hAnsi="宋体"/>
          <w:color w:val="auto"/>
          <w:sz w:val="24"/>
          <w:highlight w:val="none"/>
        </w:rPr>
        <w:t>3</w:t>
      </w:r>
      <w:r>
        <w:rPr>
          <w:rFonts w:ascii="宋体" w:hAnsi="宋体"/>
          <w:color w:val="auto"/>
          <w:sz w:val="24"/>
          <w:highlight w:val="none"/>
        </w:rPr>
        <w:t>天，相应延长投标截止时间。</w:t>
      </w:r>
    </w:p>
    <w:p w14:paraId="269AECC7">
      <w:pPr>
        <w:autoSpaceDE w:val="0"/>
        <w:autoSpaceDN w:val="0"/>
        <w:adjustRightInd w:val="0"/>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7、招标文件的修改</w:t>
      </w:r>
    </w:p>
    <w:p w14:paraId="28DB861F">
      <w:pPr>
        <w:spacing w:line="440" w:lineRule="exact"/>
        <w:ind w:firstLine="480" w:firstLineChars="200"/>
        <w:rPr>
          <w:rFonts w:ascii="宋体" w:hAnsi="宋体"/>
          <w:color w:val="auto"/>
          <w:sz w:val="24"/>
          <w:highlight w:val="none"/>
        </w:rPr>
      </w:pPr>
      <w:r>
        <w:rPr>
          <w:rFonts w:ascii="宋体" w:hAnsi="宋体"/>
          <w:color w:val="auto"/>
          <w:sz w:val="24"/>
          <w:highlight w:val="none"/>
        </w:rPr>
        <w:t>7.1招标文件发布后，在投标截止期前，确需对招标文件进行修改的，招标人以招标文件澄清、答疑方式，经</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向所有投标人公示。</w:t>
      </w:r>
    </w:p>
    <w:p w14:paraId="26DEA646">
      <w:pPr>
        <w:spacing w:line="440" w:lineRule="exact"/>
        <w:ind w:firstLine="480" w:firstLineChars="200"/>
        <w:rPr>
          <w:rFonts w:ascii="宋体" w:hAnsi="宋体"/>
          <w:color w:val="auto"/>
          <w:sz w:val="24"/>
          <w:highlight w:val="none"/>
        </w:rPr>
      </w:pPr>
      <w:r>
        <w:rPr>
          <w:rFonts w:ascii="宋体" w:hAnsi="宋体"/>
          <w:color w:val="auto"/>
          <w:sz w:val="24"/>
          <w:highlight w:val="none"/>
        </w:rPr>
        <w:t>7.2招标人在投标截止期前对招标文件的所作澄清、答疑、修改作为招标文件的组成部分，对招标人、投标人均具有约束力。如果修改招标文件时间距投标截止时间不足</w:t>
      </w:r>
      <w:r>
        <w:rPr>
          <w:rFonts w:hint="eastAsia" w:ascii="宋体" w:hAnsi="宋体"/>
          <w:color w:val="auto"/>
          <w:sz w:val="24"/>
          <w:highlight w:val="none"/>
        </w:rPr>
        <w:t>3</w:t>
      </w:r>
      <w:r>
        <w:rPr>
          <w:rFonts w:ascii="宋体" w:hAnsi="宋体"/>
          <w:color w:val="auto"/>
          <w:sz w:val="24"/>
          <w:highlight w:val="none"/>
        </w:rPr>
        <w:t>天，为保证投标人合理时间编制投标文件，招标人应合理延长递交投标文件的截止日期。</w:t>
      </w:r>
    </w:p>
    <w:p w14:paraId="623D44DC">
      <w:pPr>
        <w:spacing w:line="440" w:lineRule="exact"/>
        <w:ind w:firstLine="480" w:firstLineChars="200"/>
        <w:rPr>
          <w:rFonts w:ascii="宋体" w:hAnsi="宋体"/>
          <w:color w:val="auto"/>
          <w:sz w:val="24"/>
          <w:highlight w:val="none"/>
        </w:rPr>
      </w:pPr>
      <w:r>
        <w:rPr>
          <w:rFonts w:ascii="宋体" w:hAnsi="宋体"/>
          <w:color w:val="auto"/>
          <w:sz w:val="24"/>
          <w:highlight w:val="none"/>
        </w:rPr>
        <w:t>7.3本工程采用电子答疑，招标人对招标文件的所作澄清、答疑、修改均以</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上公布的内容为准。招标文件的答疑内容前后期相互矛盾时，以公示时间在后的文件为准。投标人应在投标截止时间前随时查看</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中有关该工程招标文件的答疑内容。投标人因自身原因未能及时掌握上述网上公示信息，由此造成投标损失自负。</w:t>
      </w:r>
    </w:p>
    <w:p w14:paraId="45145C4B">
      <w:pPr>
        <w:pStyle w:val="5"/>
        <w:jc w:val="center"/>
        <w:rPr>
          <w:rFonts w:ascii="Times New Roman" w:hAnsi="Times New Roman" w:eastAsia="宋体"/>
          <w:color w:val="auto"/>
          <w:sz w:val="24"/>
          <w:szCs w:val="24"/>
          <w:highlight w:val="none"/>
        </w:rPr>
      </w:pPr>
      <w:r>
        <w:rPr>
          <w:rFonts w:ascii="Times New Roman" w:hAnsi="宋体" w:eastAsia="宋体"/>
          <w:color w:val="auto"/>
          <w:sz w:val="24"/>
          <w:szCs w:val="24"/>
          <w:highlight w:val="none"/>
        </w:rPr>
        <w:t>（三）投标文件</w:t>
      </w:r>
    </w:p>
    <w:p w14:paraId="0EC09EE5">
      <w:pPr>
        <w:spacing w:line="440" w:lineRule="exact"/>
        <w:ind w:firstLine="482" w:firstLineChars="200"/>
        <w:rPr>
          <w:color w:val="auto"/>
          <w:sz w:val="24"/>
          <w:highlight w:val="none"/>
        </w:rPr>
      </w:pPr>
      <w:r>
        <w:rPr>
          <w:b/>
          <w:color w:val="auto"/>
          <w:kern w:val="0"/>
          <w:sz w:val="24"/>
          <w:highlight w:val="none"/>
        </w:rPr>
        <w:t xml:space="preserve">8. </w:t>
      </w:r>
      <w:r>
        <w:rPr>
          <w:rFonts w:hAnsi="宋体"/>
          <w:color w:val="auto"/>
          <w:sz w:val="24"/>
          <w:highlight w:val="none"/>
        </w:rPr>
        <w:t>投标人应认真阅读招标文件所有内容，未按招标文件要求编制的投标文件将被拒绝或者作为废标处理。</w:t>
      </w:r>
    </w:p>
    <w:p w14:paraId="35640792">
      <w:pPr>
        <w:spacing w:line="440" w:lineRule="exact"/>
        <w:ind w:firstLine="482" w:firstLineChars="200"/>
        <w:rPr>
          <w:color w:val="auto"/>
          <w:sz w:val="24"/>
          <w:highlight w:val="none"/>
        </w:rPr>
      </w:pPr>
      <w:r>
        <w:rPr>
          <w:b/>
          <w:color w:val="auto"/>
          <w:kern w:val="0"/>
          <w:sz w:val="24"/>
          <w:highlight w:val="none"/>
        </w:rPr>
        <w:t xml:space="preserve">9. </w:t>
      </w:r>
      <w:r>
        <w:rPr>
          <w:rFonts w:hAnsi="宋体"/>
          <w:color w:val="auto"/>
          <w:sz w:val="24"/>
          <w:highlight w:val="none"/>
        </w:rPr>
        <w:t>本工程投标文件由</w:t>
      </w:r>
      <w:r>
        <w:rPr>
          <w:rFonts w:hAnsi="宋体"/>
          <w:b/>
          <w:color w:val="auto"/>
          <w:sz w:val="24"/>
          <w:highlight w:val="none"/>
          <w:u w:val="single"/>
        </w:rPr>
        <w:t>资格审查资料、商务标</w:t>
      </w:r>
      <w:r>
        <w:rPr>
          <w:rFonts w:hint="eastAsia" w:hAnsi="宋体"/>
          <w:b w:val="0"/>
          <w:bCs/>
          <w:color w:val="auto"/>
          <w:sz w:val="24"/>
          <w:highlight w:val="none"/>
          <w:u w:val="none"/>
          <w:lang w:val="en-US" w:eastAsia="zh-CN"/>
        </w:rPr>
        <w:t>两</w:t>
      </w:r>
      <w:r>
        <w:rPr>
          <w:rFonts w:hAnsi="宋体"/>
          <w:color w:val="auto"/>
          <w:sz w:val="24"/>
          <w:highlight w:val="none"/>
        </w:rPr>
        <w:t>部分组成，具体应包括以下内容：</w:t>
      </w:r>
    </w:p>
    <w:p w14:paraId="2B192D9F">
      <w:pPr>
        <w:spacing w:line="440" w:lineRule="exact"/>
        <w:ind w:firstLine="482" w:firstLineChars="200"/>
        <w:rPr>
          <w:b/>
          <w:color w:val="auto"/>
          <w:sz w:val="24"/>
          <w:highlight w:val="none"/>
        </w:rPr>
      </w:pPr>
      <w:r>
        <w:rPr>
          <w:b/>
          <w:bCs/>
          <w:color w:val="auto"/>
          <w:sz w:val="24"/>
          <w:highlight w:val="none"/>
        </w:rPr>
        <w:t>9.1</w:t>
      </w:r>
      <w:r>
        <w:rPr>
          <w:rFonts w:hAnsi="宋体"/>
          <w:b/>
          <w:color w:val="auto"/>
          <w:sz w:val="24"/>
          <w:highlight w:val="none"/>
        </w:rPr>
        <w:t>资格审查资料包括内容：</w:t>
      </w:r>
    </w:p>
    <w:p w14:paraId="2B07E401">
      <w:pPr>
        <w:spacing w:line="440" w:lineRule="exact"/>
        <w:ind w:firstLine="480" w:firstLineChars="200"/>
        <w:rPr>
          <w:rFonts w:hAnsi="宋体"/>
          <w:color w:val="auto"/>
          <w:sz w:val="24"/>
          <w:highlight w:val="none"/>
        </w:rPr>
      </w:pPr>
      <w:r>
        <w:rPr>
          <w:rFonts w:hint="eastAsia" w:hAnsi="宋体"/>
          <w:color w:val="auto"/>
          <w:sz w:val="24"/>
          <w:highlight w:val="none"/>
          <w:lang w:eastAsia="zh-CN"/>
        </w:rPr>
        <w:t>（</w:t>
      </w:r>
      <w:r>
        <w:rPr>
          <w:rFonts w:hAnsi="宋体"/>
          <w:color w:val="auto"/>
          <w:sz w:val="24"/>
          <w:highlight w:val="none"/>
        </w:rPr>
        <w:t>1</w:t>
      </w:r>
      <w:r>
        <w:rPr>
          <w:rFonts w:hint="eastAsia" w:hAnsi="宋体"/>
          <w:color w:val="auto"/>
          <w:sz w:val="24"/>
          <w:highlight w:val="none"/>
          <w:lang w:eastAsia="zh-CN"/>
        </w:rPr>
        <w:t>）</w:t>
      </w:r>
      <w:r>
        <w:rPr>
          <w:rFonts w:hint="eastAsia" w:hAnsi="宋体"/>
          <w:color w:val="auto"/>
          <w:sz w:val="24"/>
          <w:highlight w:val="none"/>
        </w:rPr>
        <w:t>有效的法定代表人身份证明书原件</w:t>
      </w:r>
      <w:r>
        <w:rPr>
          <w:rFonts w:hAnsi="宋体"/>
          <w:color w:val="auto"/>
          <w:sz w:val="24"/>
          <w:highlight w:val="none"/>
        </w:rPr>
        <w:t>；</w:t>
      </w:r>
    </w:p>
    <w:p w14:paraId="509EAEB8">
      <w:pPr>
        <w:spacing w:line="440" w:lineRule="exact"/>
        <w:ind w:firstLine="480" w:firstLineChars="200"/>
        <w:rPr>
          <w:rFonts w:hAnsi="宋体"/>
          <w:color w:val="auto"/>
          <w:sz w:val="24"/>
          <w:highlight w:val="none"/>
        </w:rPr>
      </w:pPr>
      <w:r>
        <w:rPr>
          <w:rFonts w:hint="eastAsia" w:hAnsi="宋体"/>
          <w:color w:val="auto"/>
          <w:sz w:val="24"/>
          <w:highlight w:val="none"/>
          <w:lang w:eastAsia="zh-CN"/>
        </w:rPr>
        <w:t>（</w:t>
      </w:r>
      <w:r>
        <w:rPr>
          <w:rFonts w:hAnsi="宋体"/>
          <w:color w:val="auto"/>
          <w:sz w:val="24"/>
          <w:highlight w:val="none"/>
        </w:rPr>
        <w:t>2</w:t>
      </w:r>
      <w:r>
        <w:rPr>
          <w:rFonts w:hint="eastAsia" w:hAnsi="宋体"/>
          <w:color w:val="auto"/>
          <w:sz w:val="24"/>
          <w:highlight w:val="none"/>
          <w:lang w:eastAsia="zh-CN"/>
        </w:rPr>
        <w:t>）</w:t>
      </w:r>
      <w:r>
        <w:rPr>
          <w:rFonts w:hint="eastAsia" w:hAnsi="宋体"/>
          <w:color w:val="auto"/>
          <w:sz w:val="24"/>
          <w:highlight w:val="none"/>
        </w:rPr>
        <w:t>有效的授权委托书原件</w:t>
      </w:r>
      <w:r>
        <w:rPr>
          <w:rFonts w:hint="eastAsia" w:hAnsi="宋体"/>
          <w:color w:val="auto"/>
          <w:sz w:val="24"/>
          <w:highlight w:val="none"/>
          <w:lang w:eastAsia="zh-CN"/>
        </w:rPr>
        <w:t>（</w:t>
      </w:r>
      <w:r>
        <w:rPr>
          <w:rFonts w:hAnsi="宋体"/>
          <w:color w:val="auto"/>
          <w:sz w:val="24"/>
          <w:highlight w:val="none"/>
        </w:rPr>
        <w:t>如有授权</w:t>
      </w:r>
      <w:r>
        <w:rPr>
          <w:rFonts w:hint="eastAsia" w:hAnsi="宋体"/>
          <w:color w:val="auto"/>
          <w:sz w:val="24"/>
          <w:highlight w:val="none"/>
          <w:lang w:eastAsia="zh-CN"/>
        </w:rPr>
        <w:t>）</w:t>
      </w:r>
      <w:r>
        <w:rPr>
          <w:rFonts w:hAnsi="宋体"/>
          <w:color w:val="auto"/>
          <w:sz w:val="24"/>
          <w:highlight w:val="none"/>
        </w:rPr>
        <w:t>；</w:t>
      </w:r>
    </w:p>
    <w:p w14:paraId="5F99AD04">
      <w:pPr>
        <w:spacing w:line="440" w:lineRule="exact"/>
        <w:ind w:firstLine="480" w:firstLineChars="200"/>
        <w:rPr>
          <w:rFonts w:hint="eastAsia" w:hAnsi="宋体"/>
          <w:color w:val="auto"/>
          <w:sz w:val="24"/>
          <w:highlight w:val="none"/>
        </w:rPr>
      </w:pPr>
      <w:r>
        <w:rPr>
          <w:rFonts w:hint="eastAsia" w:hAnsi="宋体"/>
          <w:color w:val="auto"/>
          <w:sz w:val="24"/>
          <w:highlight w:val="none"/>
          <w:lang w:eastAsia="zh-CN"/>
        </w:rPr>
        <w:t>（</w:t>
      </w:r>
      <w:r>
        <w:rPr>
          <w:rFonts w:hAnsi="宋体"/>
          <w:color w:val="auto"/>
          <w:sz w:val="24"/>
          <w:highlight w:val="none"/>
        </w:rPr>
        <w:t>3</w:t>
      </w:r>
      <w:r>
        <w:rPr>
          <w:rFonts w:hint="eastAsia" w:hAnsi="宋体"/>
          <w:color w:val="auto"/>
          <w:sz w:val="24"/>
          <w:highlight w:val="none"/>
          <w:lang w:eastAsia="zh-CN"/>
        </w:rPr>
        <w:t>）</w:t>
      </w:r>
      <w:r>
        <w:rPr>
          <w:rFonts w:hint="eastAsia" w:hAnsi="宋体"/>
          <w:color w:val="auto"/>
          <w:sz w:val="24"/>
          <w:highlight w:val="none"/>
        </w:rPr>
        <w:t>有效的企业法人营业执照复印件；</w:t>
      </w:r>
    </w:p>
    <w:p w14:paraId="5106B84E">
      <w:pPr>
        <w:spacing w:line="440" w:lineRule="exact"/>
        <w:ind w:firstLine="480" w:firstLineChars="200"/>
        <w:rPr>
          <w:rFonts w:hint="eastAsia" w:hAnsi="宋体"/>
          <w:color w:val="auto"/>
          <w:sz w:val="24"/>
          <w:highlight w:val="none"/>
        </w:rPr>
      </w:pPr>
      <w:r>
        <w:rPr>
          <w:rFonts w:hint="eastAsia" w:hAnsi="宋体"/>
          <w:color w:val="auto"/>
          <w:sz w:val="24"/>
          <w:highlight w:val="none"/>
          <w:lang w:eastAsia="zh-CN"/>
        </w:rPr>
        <w:t>（</w:t>
      </w:r>
      <w:r>
        <w:rPr>
          <w:rFonts w:hAnsi="宋体"/>
          <w:color w:val="auto"/>
          <w:sz w:val="24"/>
          <w:highlight w:val="none"/>
        </w:rPr>
        <w:t>4</w:t>
      </w:r>
      <w:r>
        <w:rPr>
          <w:rFonts w:hint="eastAsia" w:hAnsi="宋体"/>
          <w:color w:val="auto"/>
          <w:sz w:val="24"/>
          <w:highlight w:val="none"/>
          <w:lang w:eastAsia="zh-CN"/>
        </w:rPr>
        <w:t>）</w:t>
      </w:r>
      <w:r>
        <w:rPr>
          <w:rFonts w:hint="eastAsia" w:hAnsi="宋体"/>
          <w:color w:val="auto"/>
          <w:sz w:val="24"/>
          <w:highlight w:val="none"/>
        </w:rPr>
        <w:t>有效的企业资质证书复印件；</w:t>
      </w:r>
    </w:p>
    <w:p w14:paraId="2E687DE9">
      <w:pPr>
        <w:spacing w:line="440" w:lineRule="exact"/>
        <w:ind w:firstLine="480" w:firstLineChars="200"/>
        <w:rPr>
          <w:rFonts w:hint="eastAsia" w:hAnsi="宋体"/>
          <w:color w:val="auto"/>
          <w:sz w:val="24"/>
          <w:highlight w:val="none"/>
        </w:rPr>
      </w:pPr>
      <w:r>
        <w:rPr>
          <w:rFonts w:hint="eastAsia" w:hAnsi="宋体"/>
          <w:color w:val="auto"/>
          <w:sz w:val="24"/>
          <w:highlight w:val="none"/>
          <w:lang w:eastAsia="zh-CN"/>
        </w:rPr>
        <w:t>（</w:t>
      </w:r>
      <w:r>
        <w:rPr>
          <w:rFonts w:hAnsi="宋体"/>
          <w:color w:val="auto"/>
          <w:sz w:val="24"/>
          <w:highlight w:val="none"/>
        </w:rPr>
        <w:t>5</w:t>
      </w:r>
      <w:r>
        <w:rPr>
          <w:rFonts w:hint="eastAsia" w:hAnsi="宋体"/>
          <w:color w:val="auto"/>
          <w:sz w:val="24"/>
          <w:highlight w:val="none"/>
          <w:lang w:eastAsia="zh-CN"/>
        </w:rPr>
        <w:t>）</w:t>
      </w:r>
      <w:r>
        <w:rPr>
          <w:rFonts w:hint="eastAsia" w:hAnsi="宋体"/>
          <w:color w:val="auto"/>
          <w:sz w:val="24"/>
          <w:highlight w:val="none"/>
        </w:rPr>
        <w:t>有效的企业安全生产许可证复印件；</w:t>
      </w:r>
    </w:p>
    <w:p w14:paraId="708090EC">
      <w:pPr>
        <w:spacing w:line="440" w:lineRule="exact"/>
        <w:ind w:firstLine="480" w:firstLineChars="200"/>
        <w:rPr>
          <w:rFonts w:hint="eastAsia" w:hAnsi="宋体"/>
          <w:color w:val="auto"/>
          <w:sz w:val="24"/>
          <w:highlight w:val="none"/>
        </w:rPr>
      </w:pPr>
      <w:r>
        <w:rPr>
          <w:rFonts w:hint="eastAsia" w:hAnsi="宋体"/>
          <w:color w:val="auto"/>
          <w:sz w:val="24"/>
          <w:highlight w:val="none"/>
          <w:lang w:eastAsia="zh-CN"/>
        </w:rPr>
        <w:t>（</w:t>
      </w:r>
      <w:r>
        <w:rPr>
          <w:rFonts w:hAnsi="宋体"/>
          <w:color w:val="auto"/>
          <w:sz w:val="24"/>
          <w:highlight w:val="none"/>
        </w:rPr>
        <w:t>6</w:t>
      </w:r>
      <w:r>
        <w:rPr>
          <w:rFonts w:hint="eastAsia" w:hAnsi="宋体"/>
          <w:color w:val="auto"/>
          <w:sz w:val="24"/>
          <w:highlight w:val="none"/>
          <w:lang w:eastAsia="zh-CN"/>
        </w:rPr>
        <w:t>）</w:t>
      </w:r>
      <w:r>
        <w:rPr>
          <w:rFonts w:hint="eastAsia" w:hAnsi="宋体"/>
          <w:color w:val="auto"/>
          <w:sz w:val="24"/>
          <w:highlight w:val="none"/>
        </w:rPr>
        <w:t>拟派项目负责人有效的建造师资格证书复印件及建筑施工企业安全生产考核合格证（B证）复印件；</w:t>
      </w:r>
    </w:p>
    <w:p w14:paraId="36D45F55">
      <w:pPr>
        <w:spacing w:line="440" w:lineRule="exact"/>
        <w:ind w:firstLine="480" w:firstLineChars="200"/>
        <w:rPr>
          <w:rFonts w:hint="eastAsia" w:hAnsi="宋体"/>
          <w:color w:val="auto"/>
          <w:sz w:val="24"/>
          <w:highlight w:val="none"/>
        </w:rPr>
      </w:pPr>
      <w:r>
        <w:rPr>
          <w:rFonts w:hint="eastAsia" w:hAnsi="宋体"/>
          <w:color w:val="auto"/>
          <w:sz w:val="24"/>
          <w:highlight w:val="none"/>
          <w:lang w:eastAsia="zh-CN"/>
        </w:rPr>
        <w:t>（</w:t>
      </w:r>
      <w:r>
        <w:rPr>
          <w:rFonts w:hAnsi="宋体"/>
          <w:color w:val="auto"/>
          <w:sz w:val="24"/>
          <w:highlight w:val="none"/>
        </w:rPr>
        <w:t>7</w:t>
      </w:r>
      <w:r>
        <w:rPr>
          <w:rFonts w:hint="eastAsia" w:hAnsi="宋体"/>
          <w:color w:val="auto"/>
          <w:sz w:val="24"/>
          <w:highlight w:val="none"/>
          <w:lang w:eastAsia="zh-CN"/>
        </w:rPr>
        <w:t>）</w:t>
      </w:r>
      <w:r>
        <w:rPr>
          <w:rFonts w:hint="eastAsia" w:hAnsi="宋体"/>
          <w:color w:val="auto"/>
          <w:sz w:val="24"/>
          <w:highlight w:val="none"/>
        </w:rPr>
        <w:t>拟派项目负责人为投标企业正式人员证明材料复印件；</w:t>
      </w:r>
    </w:p>
    <w:p w14:paraId="4DE1AC07">
      <w:pPr>
        <w:spacing w:line="440" w:lineRule="exact"/>
        <w:ind w:firstLine="480" w:firstLineChars="200"/>
        <w:rPr>
          <w:rFonts w:hint="eastAsia" w:hAnsi="宋体"/>
          <w:color w:val="auto"/>
          <w:sz w:val="24"/>
          <w:highlight w:val="none"/>
        </w:rPr>
      </w:pPr>
      <w:r>
        <w:rPr>
          <w:rFonts w:hint="eastAsia" w:hAnsi="宋体"/>
          <w:color w:val="auto"/>
          <w:sz w:val="24"/>
          <w:highlight w:val="none"/>
        </w:rPr>
        <w:t>（投标企业必须提供：投标企业与项目负责人双方签订的有效劳动合同书）</w:t>
      </w:r>
    </w:p>
    <w:p w14:paraId="4DFCA999">
      <w:pPr>
        <w:spacing w:line="440" w:lineRule="exact"/>
        <w:ind w:firstLine="480" w:firstLineChars="200"/>
        <w:rPr>
          <w:rFonts w:hint="eastAsia" w:hAnsi="宋体"/>
          <w:color w:val="auto"/>
          <w:sz w:val="24"/>
          <w:highlight w:val="none"/>
        </w:rPr>
      </w:pPr>
      <w:r>
        <w:rPr>
          <w:rFonts w:hint="eastAsia" w:hAnsi="宋体"/>
          <w:color w:val="auto"/>
          <w:sz w:val="24"/>
          <w:highlight w:val="none"/>
        </w:rPr>
        <w:t>(</w:t>
      </w:r>
      <w:r>
        <w:rPr>
          <w:rFonts w:hAnsi="宋体"/>
          <w:color w:val="auto"/>
          <w:sz w:val="24"/>
          <w:highlight w:val="none"/>
        </w:rPr>
        <w:t>8</w:t>
      </w:r>
      <w:r>
        <w:rPr>
          <w:rFonts w:hint="eastAsia" w:hAnsi="宋体"/>
          <w:color w:val="auto"/>
          <w:sz w:val="24"/>
          <w:highlight w:val="none"/>
        </w:rPr>
        <w:t>) 拟派项目负责人无在建工程（详见第七章—诚信承诺书）；</w:t>
      </w:r>
    </w:p>
    <w:p w14:paraId="3135FED6">
      <w:pPr>
        <w:spacing w:line="440" w:lineRule="exact"/>
        <w:ind w:firstLine="480" w:firstLineChars="200"/>
        <w:rPr>
          <w:rFonts w:hint="eastAsia" w:hAnsi="宋体"/>
          <w:color w:val="auto"/>
          <w:sz w:val="24"/>
          <w:highlight w:val="none"/>
        </w:rPr>
      </w:pPr>
      <w:r>
        <w:rPr>
          <w:rFonts w:hint="eastAsia" w:hAnsi="宋体"/>
          <w:color w:val="auto"/>
          <w:sz w:val="24"/>
          <w:highlight w:val="none"/>
          <w:lang w:eastAsia="zh-CN"/>
        </w:rPr>
        <w:t>（</w:t>
      </w:r>
      <w:r>
        <w:rPr>
          <w:rFonts w:hint="eastAsia" w:hAnsi="宋体"/>
          <w:color w:val="auto"/>
          <w:sz w:val="24"/>
          <w:highlight w:val="none"/>
        </w:rPr>
        <w:t>9</w:t>
      </w:r>
      <w:r>
        <w:rPr>
          <w:rFonts w:hint="eastAsia" w:hAnsi="宋体"/>
          <w:color w:val="auto"/>
          <w:sz w:val="24"/>
          <w:highlight w:val="none"/>
          <w:lang w:eastAsia="zh-CN"/>
        </w:rPr>
        <w:t>）</w:t>
      </w:r>
      <w:r>
        <w:rPr>
          <w:rFonts w:hint="eastAsia" w:hAnsi="宋体"/>
          <w:color w:val="auto"/>
          <w:sz w:val="24"/>
          <w:highlight w:val="none"/>
        </w:rPr>
        <w:t>工程完工证明复印件（如有）</w:t>
      </w:r>
    </w:p>
    <w:p w14:paraId="5DDE8BB6">
      <w:pPr>
        <w:spacing w:line="440" w:lineRule="exact"/>
        <w:ind w:firstLine="480" w:firstLineChars="200"/>
        <w:rPr>
          <w:rFonts w:hint="eastAsia" w:ascii="宋体" w:hAnsi="宋体" w:cs="宋体"/>
          <w:color w:val="auto"/>
          <w:sz w:val="24"/>
          <w:highlight w:val="none"/>
        </w:rPr>
      </w:pPr>
      <w:r>
        <w:rPr>
          <w:rFonts w:hint="eastAsia" w:hAnsi="宋体"/>
          <w:color w:val="auto"/>
          <w:sz w:val="24"/>
          <w:highlight w:val="none"/>
        </w:rPr>
        <w:t>拟派项目经理在崇川区范围内有在建工程</w:t>
      </w:r>
      <w:r>
        <w:rPr>
          <w:rFonts w:hint="eastAsia" w:ascii="宋体" w:hAnsi="宋体" w:cs="宋体"/>
          <w:color w:val="auto"/>
          <w:sz w:val="24"/>
          <w:highlight w:val="none"/>
        </w:rPr>
        <w:t>的，虽然未正式竣工验收但工程确已完工的，必须有由建设单位出具“工程已完工，同意项目经理参加其他工程招投标活动”的证明。无此证明的一律做废标处理。证明格式详见第七章—工程完工证明</w:t>
      </w:r>
    </w:p>
    <w:p w14:paraId="6FDC8E19">
      <w:pPr>
        <w:spacing w:line="440" w:lineRule="exact"/>
        <w:ind w:firstLine="480" w:firstLineChars="200"/>
        <w:rPr>
          <w:rFonts w:hint="eastAsia" w:ascii="宋体" w:hAnsi="宋体" w:cs="宋体"/>
          <w:color w:val="auto"/>
          <w:sz w:val="24"/>
          <w:highlight w:val="none"/>
        </w:rPr>
      </w:pPr>
      <w:r>
        <w:rPr>
          <w:rFonts w:hint="eastAsia" w:hAnsi="宋体"/>
          <w:color w:val="auto"/>
          <w:sz w:val="24"/>
          <w:highlight w:val="none"/>
          <w:lang w:eastAsia="zh-CN"/>
        </w:rPr>
        <w:t>（</w:t>
      </w:r>
      <w:r>
        <w:rPr>
          <w:rFonts w:hint="eastAsia" w:hAnsi="宋体"/>
          <w:color w:val="auto"/>
          <w:sz w:val="24"/>
          <w:highlight w:val="none"/>
        </w:rPr>
        <w:t>10</w:t>
      </w:r>
      <w:r>
        <w:rPr>
          <w:rFonts w:hint="eastAsia" w:hAnsi="宋体"/>
          <w:color w:val="auto"/>
          <w:sz w:val="24"/>
          <w:highlight w:val="none"/>
          <w:lang w:eastAsia="zh-CN"/>
        </w:rPr>
        <w:t>）</w:t>
      </w:r>
      <w:r>
        <w:rPr>
          <w:rFonts w:hint="eastAsia" w:ascii="宋体" w:hAnsi="宋体" w:cs="宋体"/>
          <w:color w:val="auto"/>
          <w:sz w:val="24"/>
          <w:highlight w:val="none"/>
        </w:rPr>
        <w:t>资格审查文件表格</w:t>
      </w:r>
      <w:r>
        <w:rPr>
          <w:rFonts w:hint="eastAsia" w:ascii="宋体" w:hAnsi="宋体" w:cs="宋体"/>
          <w:b/>
          <w:color w:val="auto"/>
          <w:sz w:val="24"/>
          <w:highlight w:val="none"/>
        </w:rPr>
        <w:t>（格式详见招标文件</w:t>
      </w:r>
      <w:r>
        <w:rPr>
          <w:rFonts w:hint="eastAsia" w:ascii="宋体" w:hAnsi="宋体" w:cs="宋体"/>
          <w:b/>
          <w:color w:val="auto"/>
          <w:sz w:val="24"/>
          <w:highlight w:val="none"/>
          <w:lang w:eastAsia="zh-CN"/>
        </w:rPr>
        <w:t>第七章</w:t>
      </w:r>
      <w:r>
        <w:rPr>
          <w:rFonts w:hint="eastAsia" w:ascii="宋体" w:hAnsi="宋体" w:cs="宋体"/>
          <w:b/>
          <w:color w:val="auto"/>
          <w:sz w:val="24"/>
          <w:highlight w:val="none"/>
        </w:rPr>
        <w:t>）</w:t>
      </w:r>
      <w:r>
        <w:rPr>
          <w:rFonts w:hint="eastAsia" w:ascii="宋体" w:hAnsi="宋体" w:cs="宋体"/>
          <w:color w:val="auto"/>
          <w:sz w:val="24"/>
          <w:highlight w:val="none"/>
        </w:rPr>
        <w:t>。</w:t>
      </w:r>
    </w:p>
    <w:p w14:paraId="4A14F2D0">
      <w:pPr>
        <w:spacing w:line="440" w:lineRule="exact"/>
        <w:ind w:firstLine="602" w:firstLineChars="250"/>
        <w:rPr>
          <w:color w:val="auto"/>
          <w:sz w:val="24"/>
          <w:highlight w:val="none"/>
        </w:rPr>
      </w:pPr>
      <w:r>
        <w:rPr>
          <w:rFonts w:hAnsi="宋体"/>
          <w:b/>
          <w:color w:val="auto"/>
          <w:sz w:val="24"/>
          <w:highlight w:val="none"/>
          <w:u w:val="single"/>
        </w:rPr>
        <w:t>具体要求详见本招标文件第二章中附件《资格审查标准汇总表》。提供的资格审查材料及审查标准，前后矛盾的以《资格审查标准汇总表》为准。</w:t>
      </w:r>
    </w:p>
    <w:p w14:paraId="23D8B32A">
      <w:pPr>
        <w:spacing w:line="440" w:lineRule="exact"/>
        <w:ind w:firstLine="482" w:firstLineChars="200"/>
        <w:rPr>
          <w:rFonts w:hint="eastAsia" w:hAnsi="宋体"/>
          <w:b/>
          <w:color w:val="auto"/>
          <w:sz w:val="24"/>
          <w:highlight w:val="none"/>
          <w:u w:val="single"/>
        </w:rPr>
      </w:pPr>
      <w:r>
        <w:rPr>
          <w:rFonts w:hint="eastAsia" w:hAnsi="宋体"/>
          <w:b/>
          <w:color w:val="auto"/>
          <w:sz w:val="24"/>
          <w:highlight w:val="none"/>
          <w:u w:val="single"/>
        </w:rPr>
        <w:t>以上材料均须加盖投标单位公章，复印件为有效证明材料复印件，所有材料须统一密封在一个封袋中并编写材料目录，以便在开标时核查，并在封袋上加盖投标人单位公章和法定代表人印章。</w:t>
      </w:r>
    </w:p>
    <w:p w14:paraId="08AC4149">
      <w:pPr>
        <w:spacing w:line="440" w:lineRule="exact"/>
        <w:ind w:firstLine="482" w:firstLineChars="200"/>
        <w:rPr>
          <w:b/>
          <w:color w:val="auto"/>
          <w:sz w:val="24"/>
          <w:highlight w:val="none"/>
        </w:rPr>
      </w:pPr>
      <w:r>
        <w:rPr>
          <w:b/>
          <w:color w:val="auto"/>
          <w:sz w:val="24"/>
          <w:highlight w:val="none"/>
        </w:rPr>
        <w:t>9.2</w:t>
      </w:r>
      <w:r>
        <w:rPr>
          <w:rFonts w:hAnsi="宋体"/>
          <w:b/>
          <w:color w:val="auto"/>
          <w:sz w:val="24"/>
          <w:highlight w:val="none"/>
        </w:rPr>
        <w:t>商务标</w:t>
      </w:r>
    </w:p>
    <w:p w14:paraId="202112C8">
      <w:pPr>
        <w:spacing w:line="440" w:lineRule="exact"/>
        <w:ind w:firstLine="480" w:firstLineChars="200"/>
        <w:rPr>
          <w:color w:val="auto"/>
          <w:sz w:val="24"/>
          <w:highlight w:val="none"/>
        </w:rPr>
      </w:pPr>
      <w:r>
        <w:rPr>
          <w:rFonts w:hAnsi="宋体"/>
          <w:color w:val="auto"/>
          <w:sz w:val="24"/>
          <w:highlight w:val="none"/>
        </w:rPr>
        <w:t>（</w:t>
      </w:r>
      <w:r>
        <w:rPr>
          <w:color w:val="auto"/>
          <w:sz w:val="24"/>
          <w:highlight w:val="none"/>
        </w:rPr>
        <w:t>1</w:t>
      </w:r>
      <w:r>
        <w:rPr>
          <w:rFonts w:hAnsi="宋体"/>
          <w:color w:val="auto"/>
          <w:sz w:val="24"/>
          <w:highlight w:val="none"/>
        </w:rPr>
        <w:t>）投标函；</w:t>
      </w:r>
    </w:p>
    <w:p w14:paraId="36F6CE8D">
      <w:pPr>
        <w:spacing w:line="440" w:lineRule="exact"/>
        <w:ind w:firstLine="480" w:firstLineChars="200"/>
        <w:rPr>
          <w:color w:val="auto"/>
          <w:sz w:val="24"/>
          <w:highlight w:val="none"/>
        </w:rPr>
      </w:pPr>
      <w:r>
        <w:rPr>
          <w:rFonts w:hAnsi="宋体"/>
          <w:color w:val="auto"/>
          <w:sz w:val="24"/>
          <w:highlight w:val="none"/>
        </w:rPr>
        <w:t>（</w:t>
      </w:r>
      <w:r>
        <w:rPr>
          <w:rFonts w:hint="eastAsia"/>
          <w:color w:val="auto"/>
          <w:sz w:val="24"/>
          <w:highlight w:val="none"/>
        </w:rPr>
        <w:t>2</w:t>
      </w:r>
      <w:r>
        <w:rPr>
          <w:rFonts w:hAnsi="宋体"/>
          <w:color w:val="auto"/>
          <w:sz w:val="24"/>
          <w:highlight w:val="none"/>
        </w:rPr>
        <w:t>）已标价的工程量清单：投标总价、总说明、建设项目投标报价汇总表、单项工程投标报价汇总表、单位工程投标报价汇总表、分部分项工程和单价措施项目清单与计价表、综合单价分析表、总价措施项目清单与计价表、其他项目清单与计价汇总表、暂列金额明细表、材料</w:t>
      </w:r>
      <w:r>
        <w:rPr>
          <w:color w:val="auto"/>
          <w:sz w:val="24"/>
          <w:highlight w:val="none"/>
        </w:rPr>
        <w:t>（</w:t>
      </w:r>
      <w:r>
        <w:rPr>
          <w:rFonts w:hAnsi="宋体"/>
          <w:color w:val="auto"/>
          <w:sz w:val="24"/>
          <w:highlight w:val="none"/>
        </w:rPr>
        <w:t>工程设备</w:t>
      </w:r>
      <w:r>
        <w:rPr>
          <w:color w:val="auto"/>
          <w:sz w:val="24"/>
          <w:highlight w:val="none"/>
        </w:rPr>
        <w:t>）</w:t>
      </w:r>
      <w:r>
        <w:rPr>
          <w:rFonts w:hAnsi="宋体"/>
          <w:color w:val="auto"/>
          <w:sz w:val="24"/>
          <w:highlight w:val="none"/>
        </w:rPr>
        <w:t>暂估单价及调整表、专业工程暂估价及结算价表、计日工表、总承包服务费计价表、规费、税金项目清单与计价表等；</w:t>
      </w:r>
    </w:p>
    <w:p w14:paraId="100F4B9B">
      <w:pPr>
        <w:spacing w:line="440" w:lineRule="exact"/>
        <w:ind w:firstLine="480" w:firstLineChars="200"/>
        <w:rPr>
          <w:color w:val="auto"/>
          <w:sz w:val="24"/>
          <w:highlight w:val="none"/>
        </w:rPr>
      </w:pPr>
      <w:r>
        <w:rPr>
          <w:rFonts w:hAnsi="宋体"/>
          <w:color w:val="auto"/>
          <w:sz w:val="24"/>
          <w:highlight w:val="none"/>
        </w:rPr>
        <w:t>（</w:t>
      </w:r>
      <w:r>
        <w:rPr>
          <w:rFonts w:hint="eastAsia"/>
          <w:color w:val="auto"/>
          <w:sz w:val="24"/>
          <w:highlight w:val="none"/>
        </w:rPr>
        <w:t>3</w:t>
      </w:r>
      <w:r>
        <w:rPr>
          <w:rFonts w:hAnsi="宋体"/>
          <w:color w:val="auto"/>
          <w:sz w:val="24"/>
          <w:highlight w:val="none"/>
        </w:rPr>
        <w:t>）主材、特材和其他需发包人供应的材料用量；发包人供应材料一览表、承包人供应主要材料一览表；</w:t>
      </w:r>
    </w:p>
    <w:p w14:paraId="1DF0E939">
      <w:pPr>
        <w:spacing w:line="440" w:lineRule="exact"/>
        <w:ind w:left="-315" w:leftChars="-150" w:firstLine="792" w:firstLineChars="330"/>
        <w:rPr>
          <w:rFonts w:hint="eastAsia" w:hAnsi="宋体"/>
          <w:color w:val="auto"/>
          <w:sz w:val="24"/>
          <w:highlight w:val="none"/>
        </w:rPr>
      </w:pPr>
      <w:r>
        <w:rPr>
          <w:rFonts w:hAnsi="宋体"/>
          <w:color w:val="auto"/>
          <w:sz w:val="24"/>
          <w:highlight w:val="none"/>
        </w:rPr>
        <w:t>（</w:t>
      </w:r>
      <w:r>
        <w:rPr>
          <w:rFonts w:hint="eastAsia"/>
          <w:color w:val="auto"/>
          <w:sz w:val="24"/>
          <w:highlight w:val="none"/>
        </w:rPr>
        <w:t>4</w:t>
      </w:r>
      <w:r>
        <w:rPr>
          <w:rFonts w:hAnsi="宋体"/>
          <w:color w:val="auto"/>
          <w:sz w:val="24"/>
          <w:highlight w:val="none"/>
        </w:rPr>
        <w:t>）计划投入的主要施工机械设备表、主要施工管理人员表。</w:t>
      </w:r>
    </w:p>
    <w:p w14:paraId="79327377">
      <w:pPr>
        <w:spacing w:line="440" w:lineRule="exact"/>
        <w:ind w:firstLine="480"/>
        <w:rPr>
          <w:rFonts w:hAnsi="宋体"/>
          <w:b/>
          <w:color w:val="auto"/>
          <w:sz w:val="24"/>
          <w:highlight w:val="none"/>
        </w:rPr>
      </w:pPr>
      <w:r>
        <w:rPr>
          <w:rFonts w:hint="eastAsia" w:hAnsi="宋体"/>
          <w:b/>
          <w:color w:val="auto"/>
          <w:sz w:val="24"/>
          <w:highlight w:val="none"/>
        </w:rPr>
        <w:t>以上材料分别密封在封袋中，并在封袋上加盖投标人单位公章和法定代表人印章。</w:t>
      </w:r>
    </w:p>
    <w:p w14:paraId="53CD0636">
      <w:pPr>
        <w:spacing w:line="440" w:lineRule="exact"/>
        <w:ind w:firstLine="482" w:firstLineChars="200"/>
        <w:rPr>
          <w:color w:val="auto"/>
          <w:sz w:val="24"/>
          <w:highlight w:val="none"/>
        </w:rPr>
      </w:pPr>
      <w:r>
        <w:rPr>
          <w:rFonts w:hAnsi="宋体"/>
          <w:b/>
          <w:color w:val="auto"/>
          <w:sz w:val="24"/>
          <w:highlight w:val="none"/>
          <w:u w:val="single"/>
        </w:rPr>
        <w:t>未尽之处具体详见第二章</w:t>
      </w:r>
      <w:r>
        <w:rPr>
          <w:b/>
          <w:color w:val="auto"/>
          <w:sz w:val="24"/>
          <w:highlight w:val="none"/>
          <w:u w:val="single"/>
        </w:rPr>
        <w:t>“</w:t>
      </w:r>
      <w:r>
        <w:rPr>
          <w:rFonts w:hAnsi="宋体"/>
          <w:b/>
          <w:color w:val="auto"/>
          <w:sz w:val="24"/>
          <w:highlight w:val="none"/>
          <w:u w:val="single"/>
        </w:rPr>
        <w:t>评标办法</w:t>
      </w:r>
      <w:r>
        <w:rPr>
          <w:b/>
          <w:color w:val="auto"/>
          <w:sz w:val="24"/>
          <w:highlight w:val="none"/>
          <w:u w:val="single"/>
        </w:rPr>
        <w:t>”</w:t>
      </w:r>
      <w:r>
        <w:rPr>
          <w:rFonts w:hAnsi="宋体"/>
          <w:b/>
          <w:color w:val="auto"/>
          <w:sz w:val="24"/>
          <w:highlight w:val="none"/>
          <w:u w:val="single"/>
        </w:rPr>
        <w:t>中的</w:t>
      </w:r>
      <w:r>
        <w:rPr>
          <w:b/>
          <w:color w:val="auto"/>
          <w:sz w:val="24"/>
          <w:highlight w:val="none"/>
          <w:u w:val="single"/>
        </w:rPr>
        <w:t>“</w:t>
      </w:r>
      <w:r>
        <w:rPr>
          <w:rFonts w:hAnsi="宋体"/>
          <w:b/>
          <w:color w:val="auto"/>
          <w:sz w:val="24"/>
          <w:highlight w:val="none"/>
          <w:u w:val="single"/>
        </w:rPr>
        <w:t>资格审查标准汇总表</w:t>
      </w:r>
      <w:r>
        <w:rPr>
          <w:b/>
          <w:color w:val="auto"/>
          <w:sz w:val="24"/>
          <w:highlight w:val="none"/>
          <w:u w:val="single"/>
        </w:rPr>
        <w:t>”</w:t>
      </w:r>
      <w:r>
        <w:rPr>
          <w:rFonts w:hAnsi="宋体"/>
          <w:b/>
          <w:color w:val="auto"/>
          <w:sz w:val="24"/>
          <w:highlight w:val="none"/>
          <w:u w:val="single"/>
        </w:rPr>
        <w:t>提供的资格审查材料及审查标准，前后矛盾的以《资格审查标准汇总表》为准。</w:t>
      </w:r>
    </w:p>
    <w:p w14:paraId="4519B5B8">
      <w:pPr>
        <w:spacing w:line="440" w:lineRule="exact"/>
        <w:ind w:firstLine="480"/>
        <w:rPr>
          <w:color w:val="auto"/>
          <w:sz w:val="24"/>
          <w:highlight w:val="none"/>
        </w:rPr>
      </w:pPr>
      <w:r>
        <w:rPr>
          <w:b/>
          <w:color w:val="auto"/>
          <w:kern w:val="0"/>
          <w:sz w:val="24"/>
          <w:highlight w:val="none"/>
        </w:rPr>
        <w:t>10.</w:t>
      </w:r>
      <w:r>
        <w:rPr>
          <w:rFonts w:hAnsi="宋体"/>
          <w:color w:val="auto"/>
          <w:sz w:val="24"/>
          <w:highlight w:val="none"/>
        </w:rPr>
        <w:t>招标文件提供的文件格式</w:t>
      </w:r>
      <w:r>
        <w:rPr>
          <w:color w:val="auto"/>
          <w:sz w:val="24"/>
          <w:highlight w:val="none"/>
        </w:rPr>
        <w:t>（</w:t>
      </w:r>
      <w:r>
        <w:rPr>
          <w:rFonts w:hAnsi="宋体"/>
          <w:color w:val="auto"/>
          <w:sz w:val="24"/>
          <w:highlight w:val="none"/>
        </w:rPr>
        <w:t>第六章</w:t>
      </w:r>
      <w:r>
        <w:rPr>
          <w:rFonts w:hint="eastAsia" w:hAnsi="宋体"/>
          <w:color w:val="auto"/>
          <w:sz w:val="24"/>
          <w:highlight w:val="none"/>
        </w:rPr>
        <w:t>、第七章</w:t>
      </w:r>
      <w:r>
        <w:rPr>
          <w:color w:val="auto"/>
          <w:sz w:val="24"/>
          <w:highlight w:val="none"/>
        </w:rPr>
        <w:t>）</w:t>
      </w:r>
      <w:r>
        <w:rPr>
          <w:rFonts w:hAnsi="宋体"/>
          <w:color w:val="auto"/>
          <w:sz w:val="24"/>
          <w:highlight w:val="none"/>
        </w:rPr>
        <w:t>投标人必须使用。但表式可以按同样格式进行扩展。</w:t>
      </w:r>
    </w:p>
    <w:p w14:paraId="1FFA97ED">
      <w:pPr>
        <w:spacing w:line="440" w:lineRule="exact"/>
        <w:ind w:firstLine="482" w:firstLineChars="200"/>
        <w:outlineLvl w:val="3"/>
        <w:rPr>
          <w:color w:val="auto"/>
          <w:sz w:val="24"/>
          <w:highlight w:val="none"/>
        </w:rPr>
      </w:pPr>
      <w:r>
        <w:rPr>
          <w:b/>
          <w:color w:val="auto"/>
          <w:kern w:val="0"/>
          <w:sz w:val="24"/>
          <w:highlight w:val="none"/>
        </w:rPr>
        <w:t>11.</w:t>
      </w:r>
      <w:r>
        <w:rPr>
          <w:color w:val="auto"/>
          <w:sz w:val="23"/>
          <w:szCs w:val="23"/>
          <w:highlight w:val="none"/>
        </w:rPr>
        <w:t xml:space="preserve"> </w:t>
      </w:r>
      <w:r>
        <w:rPr>
          <w:rFonts w:hAnsi="宋体"/>
          <w:color w:val="auto"/>
          <w:sz w:val="24"/>
          <w:highlight w:val="none"/>
        </w:rPr>
        <w:t>纸质投标文件正本须用不能擦去的墨水书写或打印，投标文件副本可以复印，其正、副本都应装订成册，并在封面上正确标明</w:t>
      </w:r>
      <w:r>
        <w:rPr>
          <w:color w:val="auto"/>
          <w:sz w:val="24"/>
          <w:highlight w:val="none"/>
        </w:rPr>
        <w:t>“</w:t>
      </w:r>
      <w:r>
        <w:rPr>
          <w:rFonts w:hAnsi="宋体"/>
          <w:color w:val="auto"/>
          <w:sz w:val="24"/>
          <w:highlight w:val="none"/>
        </w:rPr>
        <w:t>正本</w:t>
      </w:r>
      <w:r>
        <w:rPr>
          <w:rFonts w:hint="eastAsia" w:hAnsi="宋体"/>
          <w:color w:val="auto"/>
          <w:sz w:val="24"/>
          <w:highlight w:val="none"/>
          <w:lang w:eastAsia="zh-CN"/>
        </w:rPr>
        <w:t>”“</w:t>
      </w:r>
      <w:r>
        <w:rPr>
          <w:rFonts w:hAnsi="宋体"/>
          <w:color w:val="auto"/>
          <w:sz w:val="24"/>
          <w:highlight w:val="none"/>
        </w:rPr>
        <w:t>副本</w:t>
      </w:r>
      <w:r>
        <w:rPr>
          <w:color w:val="auto"/>
          <w:sz w:val="24"/>
          <w:highlight w:val="none"/>
        </w:rPr>
        <w:t>”</w:t>
      </w:r>
      <w:r>
        <w:rPr>
          <w:rFonts w:hAnsi="宋体"/>
          <w:color w:val="auto"/>
          <w:sz w:val="24"/>
          <w:highlight w:val="none"/>
        </w:rPr>
        <w:t>字样</w:t>
      </w:r>
      <w:r>
        <w:rPr>
          <w:rFonts w:hAnsi="宋体"/>
          <w:b/>
          <w:color w:val="auto"/>
          <w:sz w:val="24"/>
          <w:highlight w:val="none"/>
        </w:rPr>
        <w:t>（本项目仅需提供正本）</w:t>
      </w:r>
      <w:r>
        <w:rPr>
          <w:rFonts w:hAnsi="宋体"/>
          <w:color w:val="auto"/>
          <w:sz w:val="24"/>
          <w:highlight w:val="none"/>
        </w:rPr>
        <w:t>。资格审查资料、商务标分开装袋密封。</w:t>
      </w:r>
    </w:p>
    <w:p w14:paraId="0ADB6F7C">
      <w:pPr>
        <w:spacing w:line="440" w:lineRule="exact"/>
        <w:ind w:firstLine="480" w:firstLineChars="200"/>
        <w:outlineLvl w:val="3"/>
        <w:rPr>
          <w:color w:val="auto"/>
          <w:sz w:val="24"/>
          <w:highlight w:val="none"/>
        </w:rPr>
      </w:pPr>
      <w:r>
        <w:rPr>
          <w:rFonts w:hAnsi="宋体"/>
          <w:color w:val="auto"/>
          <w:sz w:val="24"/>
          <w:highlight w:val="none"/>
        </w:rPr>
        <w:t>全套投标文件应无修改和行间插字。如有修改，须在修改处加盖投标人法定代表人或其代理人的印鉴。</w:t>
      </w:r>
    </w:p>
    <w:p w14:paraId="04EC3203">
      <w:pPr>
        <w:autoSpaceDE w:val="0"/>
        <w:autoSpaceDN w:val="0"/>
        <w:adjustRightInd w:val="0"/>
        <w:spacing w:line="440" w:lineRule="exact"/>
        <w:ind w:left="500"/>
        <w:jc w:val="left"/>
        <w:rPr>
          <w:b/>
          <w:color w:val="auto"/>
          <w:kern w:val="0"/>
          <w:sz w:val="24"/>
          <w:highlight w:val="none"/>
        </w:rPr>
      </w:pPr>
      <w:r>
        <w:rPr>
          <w:b/>
          <w:color w:val="auto"/>
          <w:kern w:val="0"/>
          <w:sz w:val="24"/>
          <w:highlight w:val="none"/>
        </w:rPr>
        <w:t>12.</w:t>
      </w:r>
      <w:r>
        <w:rPr>
          <w:rFonts w:hAnsi="宋体"/>
          <w:b/>
          <w:color w:val="auto"/>
          <w:kern w:val="0"/>
          <w:sz w:val="24"/>
          <w:highlight w:val="none"/>
        </w:rPr>
        <w:t>投标有效期</w:t>
      </w:r>
    </w:p>
    <w:p w14:paraId="5ED6D430">
      <w:pPr>
        <w:autoSpaceDE w:val="0"/>
        <w:autoSpaceDN w:val="0"/>
        <w:adjustRightInd w:val="0"/>
        <w:spacing w:line="440" w:lineRule="exact"/>
        <w:ind w:left="500"/>
        <w:jc w:val="left"/>
        <w:rPr>
          <w:b/>
          <w:color w:val="auto"/>
          <w:kern w:val="0"/>
          <w:sz w:val="24"/>
          <w:highlight w:val="none"/>
        </w:rPr>
      </w:pPr>
      <w:r>
        <w:rPr>
          <w:rFonts w:hAnsi="宋体"/>
          <w:color w:val="auto"/>
          <w:sz w:val="24"/>
          <w:highlight w:val="none"/>
        </w:rPr>
        <w:t>投标文件自投标截止时间起至投标须知前附表规定的时间内有效。</w:t>
      </w:r>
    </w:p>
    <w:p w14:paraId="2A9E1C4A">
      <w:pPr>
        <w:adjustRightInd w:val="0"/>
        <w:snapToGrid w:val="0"/>
        <w:spacing w:line="440" w:lineRule="exact"/>
        <w:ind w:firstLine="482" w:firstLineChars="200"/>
        <w:jc w:val="left"/>
        <w:rPr>
          <w:b/>
          <w:color w:val="auto"/>
          <w:kern w:val="0"/>
          <w:sz w:val="24"/>
          <w:highlight w:val="none"/>
        </w:rPr>
      </w:pPr>
      <w:r>
        <w:rPr>
          <w:b/>
          <w:color w:val="auto"/>
          <w:kern w:val="0"/>
          <w:sz w:val="24"/>
          <w:highlight w:val="none"/>
        </w:rPr>
        <w:t>13.投标保证金</w:t>
      </w:r>
    </w:p>
    <w:p w14:paraId="6D42F235">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投标人必须按照前附表第11项规定于投标文件提交截止时间前将投标保证金缴纳凭证递交给招标代理查验；</w:t>
      </w:r>
    </w:p>
    <w:p w14:paraId="6C199135">
      <w:pPr>
        <w:adjustRightInd w:val="0"/>
        <w:snapToGrid w:val="0"/>
        <w:spacing w:line="440" w:lineRule="exact"/>
        <w:ind w:firstLine="472" w:firstLineChars="196"/>
        <w:jc w:val="left"/>
        <w:rPr>
          <w:b/>
          <w:color w:val="auto"/>
          <w:kern w:val="0"/>
          <w:sz w:val="24"/>
          <w:highlight w:val="none"/>
        </w:rPr>
      </w:pPr>
      <w:r>
        <w:rPr>
          <w:rFonts w:hint="eastAsia"/>
          <w:b/>
          <w:color w:val="auto"/>
          <w:kern w:val="0"/>
          <w:sz w:val="24"/>
          <w:highlight w:val="none"/>
        </w:rPr>
        <w:t>①投标保证金（银行汇票形式）上必须注明收款人：南通通城建设工程项目管理有限公司，用途：投标保证金；汇款人：投标单位名称。（</w:t>
      </w:r>
      <w:r>
        <w:rPr>
          <w:rFonts w:hint="eastAsia"/>
          <w:b/>
          <w:color w:val="auto"/>
          <w:kern w:val="0"/>
          <w:sz w:val="24"/>
          <w:highlight w:val="none"/>
          <w:lang w:eastAsia="zh-CN"/>
        </w:rPr>
        <w:t>账户名</w:t>
      </w:r>
      <w:r>
        <w:rPr>
          <w:rFonts w:hint="eastAsia"/>
          <w:b/>
          <w:color w:val="auto"/>
          <w:kern w:val="0"/>
          <w:sz w:val="24"/>
          <w:highlight w:val="none"/>
        </w:rPr>
        <w:t>：南通通城建设工程项目管理有限公司，开户行：工商银行南通朝晖支行，账号：1111820309000022239）。中标单位的投标保证金有效期在投标截止日后45天内有效，在缴纳履约保证金前，如投标保证金已失效，中标单位应主动延续投标保证金的有效期，否则招标人有权在保证金失效后取消中标人的中标资格。</w:t>
      </w:r>
    </w:p>
    <w:p w14:paraId="6A60D365">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②投标保证金（“银行保函”或“保险机构的保单”）开具对象应为南通通城建设工程项目管理有限公司。投标保函上投保的投标保证金须在投标有效期内持续有效。</w:t>
      </w:r>
    </w:p>
    <w:p w14:paraId="3A09EDC9">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特别提醒：</w:t>
      </w:r>
    </w:p>
    <w:p w14:paraId="2FB2AF71">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（1）本工程投标保证金的形式为银行汇票或银行保函或保险机构的保单形式（并非将保证金款打入指定账户）。</w:t>
      </w:r>
    </w:p>
    <w:p w14:paraId="43436603">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（2）保证金形式，收款人、用途、汇款人、银行保函或保险机构的保单开具对象等必须符合招标文件规定，否则其投标文件不予接收。</w:t>
      </w:r>
    </w:p>
    <w:p w14:paraId="03DDAAB8">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（3）投标保证金（指：银行汇票）必须由企业法人基本存款账户汇出，否则不予接受。</w:t>
      </w:r>
    </w:p>
    <w:p w14:paraId="1DECCEEC">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（4）各投标人在递交投标文件的同时需递交投标保证金缴纳凭证：</w:t>
      </w:r>
    </w:p>
    <w:p w14:paraId="68816393">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A.以银行汇票形式提交投标保证金的，须提供汇票原件和基本账户开户许可证复印件（复印件须加盖单位公章，无须密封）或基本存款账户信息原件或复印件（复印件须加盖单位公章，无须密封）供招标人代表查验，否则其投标文件不予接收。</w:t>
      </w:r>
    </w:p>
    <w:p w14:paraId="0A1D5558">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B.以银行保函或保险机构形式提交投标保证金的，须提供保函原件供招标人代表查验，否则其投标文件不予接收。</w:t>
      </w:r>
    </w:p>
    <w:p w14:paraId="6A37E042">
      <w:pPr>
        <w:adjustRightInd w:val="0"/>
        <w:snapToGrid w:val="0"/>
        <w:spacing w:line="440" w:lineRule="exact"/>
        <w:ind w:firstLine="482" w:firstLineChars="200"/>
        <w:jc w:val="left"/>
        <w:rPr>
          <w:b/>
          <w:color w:val="auto"/>
          <w:kern w:val="0"/>
          <w:sz w:val="24"/>
          <w:highlight w:val="none"/>
        </w:rPr>
      </w:pPr>
      <w:r>
        <w:rPr>
          <w:b/>
          <w:color w:val="auto"/>
          <w:kern w:val="0"/>
          <w:sz w:val="24"/>
          <w:highlight w:val="none"/>
        </w:rPr>
        <w:t>14.投标保证金退还</w:t>
      </w:r>
    </w:p>
    <w:p w14:paraId="729476AB">
      <w:pPr>
        <w:adjustRightInd w:val="0"/>
        <w:snapToGrid w:val="0"/>
        <w:spacing w:line="440" w:lineRule="exact"/>
        <w:ind w:firstLine="482" w:firstLineChars="200"/>
        <w:jc w:val="left"/>
        <w:rPr>
          <w:b/>
          <w:color w:val="auto"/>
          <w:kern w:val="0"/>
          <w:sz w:val="24"/>
          <w:highlight w:val="none"/>
        </w:rPr>
      </w:pPr>
      <w:r>
        <w:rPr>
          <w:b/>
          <w:color w:val="auto"/>
          <w:kern w:val="0"/>
          <w:sz w:val="24"/>
          <w:highlight w:val="none"/>
        </w:rPr>
        <w:t>14.1 未中标单位的投标保证金在其定标后予以退还。</w:t>
      </w:r>
    </w:p>
    <w:p w14:paraId="1A1E04DD">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14.2 中标单位的投标保证金在施工合同生效后一周内予以退还。</w:t>
      </w:r>
    </w:p>
    <w:p w14:paraId="6F7D3F4B">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14.3 投标人出现下列情况，其投标保证金一律不予退还。</w:t>
      </w:r>
    </w:p>
    <w:p w14:paraId="088590A3">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14.3.1投标人在投标有效期内撤回其投标文件；</w:t>
      </w:r>
    </w:p>
    <w:p w14:paraId="30DF60A6">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14.3.2投标人存在《江苏省房屋建筑和市政基础设施工程招标投标中串通投标和弄虚作假行为认定处理办法（试行）》（苏建规字〔2014〕2号）第四条、第五条、第六条、第七条规定的串通投标、弄虚作假等行为的；</w:t>
      </w:r>
    </w:p>
    <w:p w14:paraId="6693772A">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14.3.3不同投标人的投标文件、已标价的工程量清单经清标软件分析，出现了评标委员会认为不应当雷同的情况（相同错误）的，且被评委认定为串标的。</w:t>
      </w:r>
    </w:p>
    <w:p w14:paraId="437ED88A">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14.3.4投标人已签订《诚信承诺书》（详见招标文件标准格式）的，自投标之日起，中标公示结束之日止，经举报或区招标监管机构（评标委员会）复核，有悖于《诚信承诺书》相关承诺的，且查证属实的。</w:t>
      </w:r>
    </w:p>
    <w:p w14:paraId="5A87631A">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14.4中标通知书发出后，除不可抗力情况外，中标人出现下列情形之一的，招标人必须取消其中标资格，并不予退还其投标保证金：</w:t>
      </w:r>
    </w:p>
    <w:p w14:paraId="5002DB7A">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14.4.1放弃中标项目的；</w:t>
      </w:r>
    </w:p>
    <w:p w14:paraId="583D0975">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14.4.2拒不按照招标文件的要求提交履约保证金的；</w:t>
      </w:r>
    </w:p>
    <w:p w14:paraId="76BE7292">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14.4.3除不可抗力情况外不执行本招标文件第一章第34条款、35条款的</w:t>
      </w:r>
      <w:r>
        <w:rPr>
          <w:rFonts w:hint="eastAsia"/>
          <w:b/>
          <w:color w:val="auto"/>
          <w:kern w:val="0"/>
          <w:sz w:val="24"/>
          <w:highlight w:val="none"/>
        </w:rPr>
        <w:t>；</w:t>
      </w:r>
    </w:p>
    <w:p w14:paraId="08DA92E2">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14.4.4不与招标人签订合同的，或者在签订合同时向招标人提出附加条件或者更改合同实质性内容的。</w:t>
      </w:r>
    </w:p>
    <w:p w14:paraId="767A9794">
      <w:pPr>
        <w:pStyle w:val="382"/>
        <w:spacing w:line="440" w:lineRule="exact"/>
        <w:ind w:firstLine="482" w:firstLineChars="200"/>
        <w:jc w:val="left"/>
        <w:outlineLvl w:val="1"/>
        <w:rPr>
          <w:rFonts w:hint="eastAsia"/>
          <w:b/>
          <w:color w:val="auto"/>
          <w:szCs w:val="24"/>
          <w:highlight w:val="none"/>
        </w:rPr>
      </w:pPr>
      <w:r>
        <w:rPr>
          <w:rFonts w:hint="eastAsia"/>
          <w:b/>
          <w:color w:val="auto"/>
          <w:szCs w:val="24"/>
          <w:highlight w:val="none"/>
        </w:rPr>
        <w:t>存在上述14.3--14.4行为的，招标人不退还投标保证金并</w:t>
      </w:r>
      <w:r>
        <w:rPr>
          <w:rFonts w:hint="eastAsia"/>
          <w:b/>
          <w:color w:val="auto"/>
          <w:szCs w:val="24"/>
          <w:highlight w:val="none"/>
          <w:lang w:eastAsia="zh-CN"/>
        </w:rPr>
        <w:t>上缴国库</w:t>
      </w:r>
      <w:r>
        <w:rPr>
          <w:rFonts w:hint="eastAsia"/>
          <w:b/>
          <w:color w:val="auto"/>
          <w:szCs w:val="24"/>
          <w:highlight w:val="none"/>
        </w:rPr>
        <w:t>，并自认定之日起一年内不得参与崇川区平台招投标活动。参与投标的企业将视为遵守以上处理条款。</w:t>
      </w:r>
    </w:p>
    <w:p w14:paraId="050A3ADF">
      <w:pPr>
        <w:pStyle w:val="382"/>
        <w:spacing w:line="420" w:lineRule="exact"/>
        <w:outlineLvl w:val="1"/>
        <w:rPr>
          <w:b/>
          <w:color w:val="auto"/>
          <w:szCs w:val="24"/>
          <w:highlight w:val="none"/>
        </w:rPr>
      </w:pPr>
      <w:r>
        <w:rPr>
          <w:rFonts w:hAnsi="宋体"/>
          <w:b/>
          <w:color w:val="auto"/>
          <w:szCs w:val="24"/>
          <w:highlight w:val="none"/>
        </w:rPr>
        <w:t>（四）投标报价</w:t>
      </w:r>
      <w:bookmarkEnd w:id="25"/>
    </w:p>
    <w:p w14:paraId="60BE1CE7">
      <w:pPr>
        <w:spacing w:line="440" w:lineRule="exact"/>
        <w:ind w:firstLine="482" w:firstLineChars="200"/>
        <w:rPr>
          <w:rFonts w:ascii="宋体" w:hAnsi="宋体"/>
          <w:color w:val="auto"/>
          <w:sz w:val="24"/>
          <w:highlight w:val="none"/>
        </w:rPr>
      </w:pPr>
      <w:r>
        <w:rPr>
          <w:rFonts w:ascii="宋体" w:hAnsi="宋体"/>
          <w:b/>
          <w:color w:val="auto"/>
          <w:kern w:val="0"/>
          <w:sz w:val="24"/>
          <w:highlight w:val="none"/>
        </w:rPr>
        <w:t>15、</w:t>
      </w:r>
      <w:r>
        <w:rPr>
          <w:rFonts w:ascii="宋体" w:hAnsi="宋体"/>
          <w:color w:val="auto"/>
          <w:spacing w:val="-2"/>
          <w:sz w:val="24"/>
          <w:highlight w:val="none"/>
        </w:rPr>
        <w:t>投标报价应包括招标文件所确定的招标范围内相应工程量清单及相关资料及规范、规定等全部内容，以及为完成上述内容</w:t>
      </w:r>
      <w:r>
        <w:rPr>
          <w:rFonts w:hint="eastAsia" w:ascii="宋体" w:hAnsi="宋体"/>
          <w:color w:val="auto"/>
          <w:spacing w:val="-2"/>
          <w:sz w:val="24"/>
          <w:highlight w:val="none"/>
          <w:lang w:eastAsia="zh-CN"/>
        </w:rPr>
        <w:t>所必需的</w:t>
      </w:r>
      <w:r>
        <w:rPr>
          <w:rFonts w:ascii="宋体" w:hAnsi="宋体"/>
          <w:color w:val="auto"/>
          <w:spacing w:val="-2"/>
          <w:sz w:val="24"/>
          <w:highlight w:val="none"/>
        </w:rPr>
        <w:t>附属工程、临时工程、材料、劳务、机械、成品保护、垂直运输、脚手架搭设使用、与各工种间的协调配合工作、清洗、养护、验收、创优、安全措施、技术措施，作为一名有经验的投标人所应考虑到的各种因素、风险及所需的全部费用</w:t>
      </w:r>
      <w:r>
        <w:rPr>
          <w:rFonts w:ascii="宋体" w:hAnsi="宋体"/>
          <w:color w:val="auto"/>
          <w:sz w:val="24"/>
          <w:highlight w:val="none"/>
        </w:rPr>
        <w:t>。</w:t>
      </w:r>
    </w:p>
    <w:p w14:paraId="1CE49E47">
      <w:pPr>
        <w:spacing w:line="440" w:lineRule="exact"/>
        <w:ind w:firstLine="480" w:firstLineChars="200"/>
        <w:rPr>
          <w:rFonts w:ascii="宋体" w:hAnsi="宋体"/>
          <w:color w:val="auto"/>
          <w:sz w:val="24"/>
          <w:highlight w:val="none"/>
        </w:rPr>
      </w:pPr>
      <w:r>
        <w:rPr>
          <w:rFonts w:ascii="宋体" w:hAnsi="宋体"/>
          <w:color w:val="auto"/>
          <w:sz w:val="24"/>
          <w:highlight w:val="none"/>
        </w:rPr>
        <w:t>招标文件后附的工程量清单标明的工程量清单表是投标人投标报价的共同基础。招标人提供的工程量清单，投标人应结合投标须知、投标须知前附表、合同条款、技术标准和要求与图纸一起阅读理解。</w:t>
      </w:r>
    </w:p>
    <w:p w14:paraId="021CBED8">
      <w:pPr>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 xml:space="preserve">16、投标报价方式： </w:t>
      </w:r>
    </w:p>
    <w:p w14:paraId="4BD5C14F">
      <w:pPr>
        <w:spacing w:line="440" w:lineRule="exact"/>
        <w:ind w:firstLine="480" w:firstLineChars="200"/>
        <w:rPr>
          <w:rFonts w:ascii="宋体" w:hAnsi="宋体"/>
          <w:color w:val="auto"/>
          <w:sz w:val="24"/>
          <w:highlight w:val="none"/>
        </w:rPr>
      </w:pPr>
      <w:r>
        <w:rPr>
          <w:rFonts w:ascii="宋体" w:hAnsi="宋体"/>
          <w:color w:val="auto"/>
          <w:sz w:val="24"/>
          <w:highlight w:val="none"/>
        </w:rPr>
        <w:t>16.1本工程项目采用</w:t>
      </w:r>
      <w:r>
        <w:rPr>
          <w:rFonts w:ascii="宋体" w:hAnsi="宋体"/>
          <w:b/>
          <w:color w:val="auto"/>
          <w:sz w:val="24"/>
          <w:highlight w:val="none"/>
          <w:u w:val="single"/>
        </w:rPr>
        <w:t>固定综合单价报价</w:t>
      </w:r>
      <w:r>
        <w:rPr>
          <w:rFonts w:ascii="宋体" w:hAnsi="宋体"/>
          <w:color w:val="auto"/>
          <w:sz w:val="24"/>
          <w:highlight w:val="none"/>
        </w:rPr>
        <w:t>方式。投标人报价时应充分考虑施工期间各类建材的市场风险。工程量的风险由发包人承担，价格风险在约定风险范围内的，由承包人承担，风险范围以外的按合同约定承担。竣工结算的工程量按发承包双方在合同中约定应予计量且实际完成的工程量确定，完成发包人要求的合同以外的零星工作或发生非承包人责任事件的工程量按现场签证确定。</w:t>
      </w:r>
    </w:p>
    <w:p w14:paraId="33274551">
      <w:pPr>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17、投标报价的计价方法</w:t>
      </w:r>
    </w:p>
    <w:p w14:paraId="747488F6">
      <w:pPr>
        <w:spacing w:line="440" w:lineRule="exact"/>
        <w:ind w:firstLine="480" w:firstLineChars="200"/>
        <w:rPr>
          <w:rFonts w:ascii="宋体" w:hAnsi="宋体"/>
          <w:color w:val="auto"/>
          <w:sz w:val="24"/>
          <w:highlight w:val="none"/>
        </w:rPr>
      </w:pPr>
      <w:r>
        <w:rPr>
          <w:rFonts w:hint="eastAsia" w:ascii="宋体" w:hAnsi="宋体"/>
          <w:color w:val="auto"/>
          <w:sz w:val="24"/>
          <w:highlight w:val="none"/>
        </w:rPr>
        <w:t>按照国家统一的工程量清单计价规范，配套使用江苏省建筑与装饰、安装、修缮工程计价定额（以下简称江苏省计价定额）、费用计算规则和项目指引，由招标人（发包人）提供工程量数量，投标人（承包人）自主报价确定工程造价的计价方式。</w:t>
      </w:r>
    </w:p>
    <w:p w14:paraId="4D60E8F0">
      <w:pPr>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18．招标控制价</w:t>
      </w:r>
    </w:p>
    <w:p w14:paraId="5E9DFB22">
      <w:pPr>
        <w:spacing w:line="440" w:lineRule="exact"/>
        <w:ind w:firstLine="480" w:firstLineChars="200"/>
        <w:rPr>
          <w:rFonts w:ascii="宋体" w:hAnsi="宋体"/>
          <w:color w:val="auto"/>
          <w:sz w:val="24"/>
          <w:highlight w:val="none"/>
        </w:rPr>
      </w:pPr>
      <w:r>
        <w:rPr>
          <w:rFonts w:ascii="宋体" w:hAnsi="宋体"/>
          <w:color w:val="auto"/>
          <w:sz w:val="24"/>
          <w:highlight w:val="none"/>
        </w:rPr>
        <w:t>18.1本工程全部使用</w:t>
      </w:r>
      <w:r>
        <w:rPr>
          <w:rFonts w:hint="eastAsia" w:ascii="宋体" w:hAnsi="宋体"/>
          <w:color w:val="auto"/>
          <w:sz w:val="24"/>
          <w:highlight w:val="none"/>
          <w:lang w:val="en-US" w:eastAsia="zh-CN"/>
        </w:rPr>
        <w:t>住宅专项维修</w:t>
      </w:r>
      <w:r>
        <w:rPr>
          <w:rFonts w:ascii="宋体" w:hAnsi="宋体"/>
          <w:color w:val="auto"/>
          <w:sz w:val="24"/>
          <w:highlight w:val="none"/>
        </w:rPr>
        <w:t>资金，实行工程量清单招标，招标人委托编制招标控制价。投标人的投标报价高于招标控制价的，招标人将作废标处理。</w:t>
      </w:r>
    </w:p>
    <w:p w14:paraId="774B88AA">
      <w:pPr>
        <w:spacing w:line="440" w:lineRule="exact"/>
        <w:ind w:firstLine="480" w:firstLineChars="200"/>
        <w:rPr>
          <w:rFonts w:ascii="宋体" w:hAnsi="宋体"/>
          <w:color w:val="auto"/>
          <w:sz w:val="24"/>
          <w:highlight w:val="none"/>
        </w:rPr>
      </w:pPr>
      <w:r>
        <w:rPr>
          <w:rFonts w:ascii="宋体" w:hAnsi="宋体"/>
          <w:color w:val="auto"/>
          <w:sz w:val="24"/>
          <w:highlight w:val="none"/>
        </w:rPr>
        <w:t>18.2招标控制价编制依据</w:t>
      </w:r>
      <w:r>
        <w:rPr>
          <w:rFonts w:hint="eastAsia" w:ascii="宋体" w:hAnsi="宋体"/>
          <w:color w:val="auto"/>
          <w:sz w:val="24"/>
          <w:highlight w:val="none"/>
        </w:rPr>
        <w:t>：</w:t>
      </w:r>
    </w:p>
    <w:p w14:paraId="76708E8D">
      <w:pPr>
        <w:spacing w:line="440" w:lineRule="exact"/>
        <w:ind w:firstLine="480" w:firstLineChars="200"/>
        <w:rPr>
          <w:rFonts w:ascii="宋体" w:hAnsi="宋体"/>
          <w:color w:val="auto"/>
          <w:sz w:val="24"/>
          <w:highlight w:val="none"/>
        </w:rPr>
      </w:pPr>
      <w:r>
        <w:rPr>
          <w:rFonts w:hint="eastAsia" w:ascii="宋体" w:hAnsi="宋体"/>
          <w:color w:val="auto"/>
          <w:sz w:val="24"/>
          <w:highlight w:val="none"/>
        </w:rPr>
        <w:t xml:space="preserve">（1）本工程招标文件、施工图纸及现有的设计变更、图纸审查意见及回复、招标答疑（如有）等有关技术资料。 </w:t>
      </w:r>
    </w:p>
    <w:p w14:paraId="584A6996">
      <w:pPr>
        <w:spacing w:line="440" w:lineRule="exact"/>
        <w:ind w:firstLine="480" w:firstLineChars="200"/>
        <w:rPr>
          <w:rFonts w:ascii="宋体" w:hAnsi="宋体"/>
          <w:color w:val="auto"/>
          <w:sz w:val="24"/>
          <w:highlight w:val="none"/>
        </w:rPr>
      </w:pPr>
      <w:r>
        <w:rPr>
          <w:rFonts w:hint="eastAsia" w:ascii="宋体" w:hAnsi="宋体"/>
          <w:color w:val="auto"/>
          <w:sz w:val="24"/>
          <w:highlight w:val="none"/>
        </w:rPr>
        <w:t>（2）《建设工程工程量清单计价规范》（GB50500-2013）、《安装工程工程量计算规范》（GB50856-2013）、《园林绿化工程工程量计算规范》（GB50858-2013）、《市政工程工程量计算规范》（GB50857-2013）、《江苏省建设工程费用定额》（2014年）、《</w:t>
      </w:r>
      <w:r>
        <w:rPr>
          <w:rFonts w:ascii="宋体" w:hAnsi="宋体"/>
          <w:color w:val="auto"/>
          <w:sz w:val="24"/>
          <w:highlight w:val="none"/>
        </w:rPr>
        <w:t>江苏省建筑与装饰工程计价</w:t>
      </w:r>
      <w:r>
        <w:rPr>
          <w:rFonts w:hint="eastAsia" w:ascii="宋体" w:hAnsi="宋体"/>
          <w:color w:val="auto"/>
          <w:sz w:val="24"/>
          <w:highlight w:val="none"/>
        </w:rPr>
        <w:t>定额》</w:t>
      </w:r>
      <w:r>
        <w:rPr>
          <w:rFonts w:ascii="宋体" w:hAnsi="宋体"/>
          <w:color w:val="auto"/>
          <w:sz w:val="24"/>
          <w:highlight w:val="none"/>
        </w:rPr>
        <w:t>（2014）</w:t>
      </w:r>
      <w:r>
        <w:rPr>
          <w:rFonts w:hint="eastAsia" w:ascii="宋体" w:hAnsi="宋体"/>
          <w:color w:val="auto"/>
          <w:sz w:val="24"/>
          <w:highlight w:val="none"/>
        </w:rPr>
        <w:t>、《</w:t>
      </w:r>
      <w:r>
        <w:rPr>
          <w:rFonts w:ascii="宋体" w:hAnsi="宋体"/>
          <w:color w:val="auto"/>
          <w:sz w:val="24"/>
          <w:highlight w:val="none"/>
        </w:rPr>
        <w:t>江苏省</w:t>
      </w:r>
      <w:r>
        <w:rPr>
          <w:rFonts w:hint="eastAsia" w:ascii="宋体" w:hAnsi="宋体"/>
          <w:color w:val="auto"/>
          <w:sz w:val="24"/>
          <w:highlight w:val="none"/>
        </w:rPr>
        <w:t>安装</w:t>
      </w:r>
      <w:r>
        <w:rPr>
          <w:rFonts w:ascii="宋体" w:hAnsi="宋体"/>
          <w:color w:val="auto"/>
          <w:sz w:val="24"/>
          <w:highlight w:val="none"/>
        </w:rPr>
        <w:t>工程计价</w:t>
      </w:r>
      <w:r>
        <w:rPr>
          <w:rFonts w:hint="eastAsia" w:ascii="宋体" w:hAnsi="宋体"/>
          <w:color w:val="auto"/>
          <w:sz w:val="24"/>
          <w:highlight w:val="none"/>
        </w:rPr>
        <w:t>定额》</w:t>
      </w:r>
      <w:r>
        <w:rPr>
          <w:rFonts w:ascii="宋体" w:hAnsi="宋体"/>
          <w:color w:val="auto"/>
          <w:sz w:val="24"/>
          <w:highlight w:val="none"/>
        </w:rPr>
        <w:t>（2014）、</w:t>
      </w:r>
      <w:r>
        <w:rPr>
          <w:rFonts w:hint="eastAsia" w:ascii="宋体" w:hAnsi="宋体"/>
          <w:color w:val="auto"/>
          <w:sz w:val="24"/>
          <w:highlight w:val="none"/>
        </w:rPr>
        <w:t>《江苏省市政工程计价定额》（2014年）、《江苏省建设工程费用定额》（2014年版）、《江苏省仿古建筑与园林工程计价表》（2007版）、“省住房和城乡建设厅关于建筑业实施营改增后江苏省建设工程计价依据调整的通知”苏建价</w:t>
      </w:r>
      <w:r>
        <w:rPr>
          <w:rFonts w:hint="eastAsia" w:ascii="宋体" w:hAnsi="宋体"/>
          <w:color w:val="auto"/>
          <w:sz w:val="24"/>
          <w:highlight w:val="none"/>
          <w:lang w:eastAsia="zh-CN"/>
        </w:rPr>
        <w:t>〔2016〕154号</w:t>
      </w:r>
      <w:r>
        <w:rPr>
          <w:rFonts w:hint="eastAsia" w:ascii="宋体" w:hAnsi="宋体"/>
          <w:color w:val="auto"/>
          <w:sz w:val="24"/>
          <w:highlight w:val="none"/>
        </w:rPr>
        <w:t>文、省</w:t>
      </w:r>
      <w:r>
        <w:rPr>
          <w:rFonts w:hint="eastAsia" w:ascii="宋体" w:hAnsi="宋体"/>
          <w:color w:val="auto"/>
          <w:sz w:val="24"/>
          <w:highlight w:val="none"/>
          <w:lang w:eastAsia="zh-CN"/>
        </w:rPr>
        <w:t>住房和城乡建设厅</w:t>
      </w:r>
      <w:r>
        <w:rPr>
          <w:rFonts w:hint="eastAsia" w:ascii="宋体" w:hAnsi="宋体"/>
          <w:color w:val="auto"/>
          <w:sz w:val="24"/>
          <w:highlight w:val="none"/>
        </w:rPr>
        <w:t>关于建筑业增值税计价政策调整的通知（苏建函价〔2018〕298号）、《省住房城乡建设厅关于调整建设工程计价增值税税率的通知》（苏建函价</w:t>
      </w:r>
      <w:r>
        <w:rPr>
          <w:rFonts w:hint="eastAsia" w:ascii="宋体" w:hAnsi="宋体"/>
          <w:color w:val="auto"/>
          <w:sz w:val="24"/>
          <w:highlight w:val="none"/>
          <w:lang w:eastAsia="zh-CN"/>
        </w:rPr>
        <w:t>〔2019〕178号</w:t>
      </w:r>
      <w:r>
        <w:rPr>
          <w:rFonts w:hint="eastAsia" w:ascii="宋体" w:hAnsi="宋体"/>
          <w:color w:val="auto"/>
          <w:sz w:val="24"/>
          <w:highlight w:val="none"/>
        </w:rPr>
        <w:t xml:space="preserve">文）以及相应补充规定和现行省、市有关规定； </w:t>
      </w:r>
    </w:p>
    <w:p w14:paraId="1521E31A">
      <w:pPr>
        <w:spacing w:line="440" w:lineRule="exact"/>
        <w:ind w:firstLine="480" w:firstLineChars="200"/>
        <w:rPr>
          <w:rFonts w:ascii="宋体" w:hAnsi="宋体"/>
          <w:color w:val="auto"/>
          <w:sz w:val="24"/>
          <w:highlight w:val="none"/>
        </w:rPr>
      </w:pPr>
      <w:r>
        <w:rPr>
          <w:rFonts w:hint="eastAsia" w:ascii="宋体" w:hAnsi="宋体"/>
          <w:color w:val="auto"/>
          <w:sz w:val="24"/>
          <w:highlight w:val="none"/>
        </w:rPr>
        <w:t>（3）</w:t>
      </w:r>
      <w:r>
        <w:rPr>
          <w:rFonts w:ascii="宋体" w:hAnsi="宋体"/>
          <w:bCs/>
          <w:color w:val="auto"/>
          <w:sz w:val="24"/>
          <w:highlight w:val="none"/>
        </w:rPr>
        <w:t>人工工资执行《</w:t>
      </w:r>
      <w:r>
        <w:rPr>
          <w:rFonts w:hint="eastAsia" w:ascii="宋体" w:hAnsi="宋体"/>
          <w:bCs/>
          <w:color w:val="auto"/>
          <w:sz w:val="24"/>
          <w:highlight w:val="none"/>
        </w:rPr>
        <w:t>省住房和城乡建设厅关于发布2024年下半年建设工程人工工资指导价的通知</w:t>
      </w:r>
      <w:r>
        <w:rPr>
          <w:rFonts w:ascii="宋体" w:hAnsi="宋体"/>
          <w:bCs/>
          <w:color w:val="auto"/>
          <w:sz w:val="24"/>
          <w:highlight w:val="none"/>
        </w:rPr>
        <w:t>》（</w:t>
      </w:r>
      <w:r>
        <w:rPr>
          <w:rFonts w:hint="eastAsia" w:ascii="宋体" w:hAnsi="宋体"/>
          <w:bCs/>
          <w:color w:val="auto"/>
          <w:sz w:val="24"/>
          <w:highlight w:val="none"/>
        </w:rPr>
        <w:t>苏建函价〔2025〕66号</w:t>
      </w:r>
      <w:r>
        <w:rPr>
          <w:rFonts w:ascii="宋体" w:hAnsi="宋体"/>
          <w:bCs/>
          <w:color w:val="auto"/>
          <w:sz w:val="24"/>
          <w:highlight w:val="none"/>
        </w:rPr>
        <w:t>）</w:t>
      </w:r>
      <w:r>
        <w:rPr>
          <w:rFonts w:hint="eastAsia" w:ascii="宋体" w:hAnsi="宋体"/>
          <w:color w:val="auto"/>
          <w:sz w:val="24"/>
          <w:highlight w:val="none"/>
        </w:rPr>
        <w:t>。</w:t>
      </w:r>
      <w:r>
        <w:rPr>
          <w:rFonts w:ascii="宋体" w:hAnsi="宋体"/>
          <w:color w:val="auto"/>
          <w:sz w:val="24"/>
          <w:highlight w:val="none"/>
        </w:rPr>
        <w:t>材料价格参照20</w:t>
      </w:r>
      <w:r>
        <w:rPr>
          <w:rFonts w:hint="eastAsia" w:ascii="宋体" w:hAnsi="宋体"/>
          <w:color w:val="auto"/>
          <w:sz w:val="24"/>
          <w:highlight w:val="none"/>
        </w:rPr>
        <w:t>25</w:t>
      </w:r>
      <w:r>
        <w:rPr>
          <w:rFonts w:ascii="宋体" w:hAnsi="宋体"/>
          <w:color w:val="auto"/>
          <w:sz w:val="24"/>
          <w:highlight w:val="none"/>
        </w:rPr>
        <w:t>年第</w:t>
      </w:r>
      <w:r>
        <w:rPr>
          <w:rFonts w:hint="eastAsia" w:ascii="宋体" w:hAnsi="宋体"/>
          <w:color w:val="auto"/>
          <w:sz w:val="24"/>
          <w:highlight w:val="none"/>
          <w:lang w:val="en-US" w:eastAsia="zh-CN"/>
        </w:rPr>
        <w:t>6</w:t>
      </w:r>
      <w:r>
        <w:rPr>
          <w:rFonts w:ascii="宋体" w:hAnsi="宋体"/>
          <w:color w:val="auto"/>
          <w:sz w:val="24"/>
          <w:highlight w:val="none"/>
        </w:rPr>
        <w:t>期《南通建设工程造价信息》中的</w:t>
      </w:r>
      <w:r>
        <w:rPr>
          <w:rFonts w:hint="eastAsia" w:ascii="宋体" w:hAnsi="宋体"/>
          <w:color w:val="auto"/>
          <w:sz w:val="24"/>
          <w:highlight w:val="none"/>
        </w:rPr>
        <w:t>信息</w:t>
      </w:r>
      <w:r>
        <w:rPr>
          <w:rFonts w:ascii="宋体" w:hAnsi="宋体"/>
          <w:color w:val="auto"/>
          <w:sz w:val="24"/>
          <w:highlight w:val="none"/>
        </w:rPr>
        <w:t>价及市场价。若《南通建设工程造价信息》无</w:t>
      </w:r>
      <w:r>
        <w:rPr>
          <w:rFonts w:hint="eastAsia" w:ascii="宋体" w:hAnsi="宋体"/>
          <w:color w:val="auto"/>
          <w:sz w:val="24"/>
          <w:highlight w:val="none"/>
        </w:rPr>
        <w:t>信息</w:t>
      </w:r>
      <w:r>
        <w:rPr>
          <w:rFonts w:ascii="宋体" w:hAnsi="宋体"/>
          <w:color w:val="auto"/>
          <w:sz w:val="24"/>
          <w:highlight w:val="none"/>
        </w:rPr>
        <w:t>价的材料的价格，则按市场价执行。</w:t>
      </w:r>
      <w:r>
        <w:rPr>
          <w:rFonts w:hint="eastAsia" w:ascii="宋体" w:hAnsi="宋体"/>
          <w:color w:val="auto"/>
          <w:sz w:val="24"/>
          <w:highlight w:val="none"/>
        </w:rPr>
        <w:t>上述价格已考虑营改增的调整内容，材料按信息价中含税价格除税，征税方法采用一般计税法；</w:t>
      </w:r>
    </w:p>
    <w:p w14:paraId="625E5064">
      <w:pPr>
        <w:spacing w:line="440" w:lineRule="exact"/>
        <w:ind w:firstLine="480" w:firstLineChars="200"/>
        <w:rPr>
          <w:rFonts w:ascii="宋体" w:hAnsi="宋体"/>
          <w:color w:val="auto"/>
          <w:sz w:val="24"/>
          <w:highlight w:val="none"/>
        </w:rPr>
      </w:pPr>
      <w:r>
        <w:rPr>
          <w:rFonts w:hint="eastAsia" w:ascii="宋体" w:hAnsi="宋体"/>
          <w:color w:val="auto"/>
          <w:sz w:val="24"/>
          <w:highlight w:val="none"/>
        </w:rPr>
        <w:t>（4）《省住房城乡建设厅关于调整建设工程按质论价等费用计取方法的公告》2018年第24号文。</w:t>
      </w:r>
    </w:p>
    <w:p w14:paraId="40F4E46B">
      <w:pPr>
        <w:spacing w:line="440" w:lineRule="exact"/>
        <w:ind w:firstLine="480" w:firstLineChars="200"/>
        <w:rPr>
          <w:rFonts w:ascii="宋体" w:hAnsi="宋体"/>
          <w:color w:val="auto"/>
          <w:sz w:val="24"/>
          <w:highlight w:val="none"/>
        </w:rPr>
      </w:pPr>
      <w:r>
        <w:rPr>
          <w:rFonts w:hint="eastAsia" w:ascii="宋体" w:hAnsi="宋体"/>
          <w:color w:val="auto"/>
          <w:sz w:val="24"/>
          <w:highlight w:val="none"/>
        </w:rPr>
        <w:t xml:space="preserve">（5）本工程不可竞争费用项目及其费率见下表（按苏建（2016）154 号文及苏建函价〔2019〕178号文，征税方式采用一般计税法）： </w:t>
      </w:r>
    </w:p>
    <w:tbl>
      <w:tblPr>
        <w:tblStyle w:val="65"/>
        <w:tblW w:w="483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990"/>
        <w:gridCol w:w="2996"/>
        <w:gridCol w:w="1822"/>
        <w:gridCol w:w="1494"/>
      </w:tblGrid>
      <w:tr w14:paraId="7E75F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blHeader/>
        </w:trPr>
        <w:tc>
          <w:tcPr>
            <w:tcW w:w="515" w:type="pct"/>
            <w:noWrap w:val="0"/>
            <w:vAlign w:val="center"/>
          </w:tcPr>
          <w:p w14:paraId="122D57BB">
            <w:pPr>
              <w:spacing w:line="440" w:lineRule="exact"/>
              <w:rPr>
                <w:rFonts w:ascii="宋体" w:hAnsi="宋体"/>
                <w:color w:val="auto"/>
                <w:sz w:val="24"/>
                <w:highlight w:val="none"/>
              </w:rPr>
            </w:pPr>
            <w:r>
              <w:rPr>
                <w:rFonts w:ascii="宋体" w:hAnsi="宋体"/>
                <w:color w:val="auto"/>
                <w:sz w:val="24"/>
                <w:highlight w:val="none"/>
              </w:rPr>
              <w:t>序号</w:t>
            </w:r>
          </w:p>
        </w:tc>
        <w:tc>
          <w:tcPr>
            <w:tcW w:w="1075" w:type="pct"/>
            <w:noWrap w:val="0"/>
            <w:vAlign w:val="center"/>
          </w:tcPr>
          <w:p w14:paraId="657641C1">
            <w:pPr>
              <w:spacing w:line="440" w:lineRule="exact"/>
              <w:jc w:val="center"/>
              <w:rPr>
                <w:rFonts w:ascii="宋体" w:hAnsi="宋体"/>
                <w:color w:val="auto"/>
                <w:sz w:val="24"/>
                <w:highlight w:val="none"/>
              </w:rPr>
            </w:pPr>
            <w:r>
              <w:rPr>
                <w:rFonts w:ascii="宋体" w:hAnsi="宋体"/>
                <w:color w:val="auto"/>
                <w:sz w:val="24"/>
                <w:highlight w:val="none"/>
              </w:rPr>
              <w:t>费用类别</w:t>
            </w:r>
          </w:p>
        </w:tc>
        <w:tc>
          <w:tcPr>
            <w:tcW w:w="1618" w:type="pct"/>
            <w:noWrap w:val="0"/>
            <w:vAlign w:val="center"/>
          </w:tcPr>
          <w:p w14:paraId="4A17E9B4">
            <w:pPr>
              <w:spacing w:line="440" w:lineRule="exact"/>
              <w:ind w:firstLine="480" w:firstLineChars="200"/>
              <w:rPr>
                <w:rFonts w:ascii="宋体" w:hAnsi="宋体"/>
                <w:color w:val="auto"/>
                <w:sz w:val="24"/>
                <w:highlight w:val="none"/>
              </w:rPr>
            </w:pPr>
            <w:r>
              <w:rPr>
                <w:rFonts w:ascii="宋体" w:hAnsi="宋体"/>
                <w:color w:val="auto"/>
                <w:sz w:val="24"/>
                <w:highlight w:val="none"/>
              </w:rPr>
              <w:t>费用名称</w:t>
            </w:r>
          </w:p>
        </w:tc>
        <w:tc>
          <w:tcPr>
            <w:tcW w:w="984" w:type="pct"/>
            <w:noWrap w:val="0"/>
            <w:vAlign w:val="center"/>
          </w:tcPr>
          <w:p w14:paraId="272DA6B8">
            <w:pPr>
              <w:spacing w:line="440" w:lineRule="exact"/>
              <w:rPr>
                <w:rFonts w:ascii="宋体" w:hAnsi="宋体"/>
                <w:color w:val="auto"/>
                <w:sz w:val="24"/>
                <w:highlight w:val="none"/>
              </w:rPr>
            </w:pPr>
            <w:r>
              <w:rPr>
                <w:rFonts w:ascii="宋体" w:hAnsi="宋体"/>
                <w:color w:val="auto"/>
                <w:sz w:val="24"/>
                <w:highlight w:val="none"/>
              </w:rPr>
              <w:t>计费基数</w:t>
            </w:r>
          </w:p>
        </w:tc>
        <w:tc>
          <w:tcPr>
            <w:tcW w:w="807" w:type="pct"/>
            <w:noWrap w:val="0"/>
            <w:vAlign w:val="center"/>
          </w:tcPr>
          <w:p w14:paraId="09F9EC78">
            <w:pPr>
              <w:spacing w:line="440" w:lineRule="exact"/>
              <w:rPr>
                <w:rFonts w:ascii="宋体" w:hAnsi="宋体"/>
                <w:color w:val="auto"/>
                <w:sz w:val="24"/>
                <w:highlight w:val="none"/>
              </w:rPr>
            </w:pPr>
            <w:r>
              <w:rPr>
                <w:rFonts w:hint="eastAsia" w:ascii="宋体" w:hAnsi="宋体"/>
                <w:color w:val="auto"/>
                <w:sz w:val="24"/>
                <w:highlight w:val="none"/>
              </w:rPr>
              <w:t>安装工程</w:t>
            </w:r>
          </w:p>
        </w:tc>
      </w:tr>
      <w:tr w14:paraId="148C6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trPr>
        <w:tc>
          <w:tcPr>
            <w:tcW w:w="515" w:type="pct"/>
            <w:noWrap w:val="0"/>
            <w:vAlign w:val="center"/>
          </w:tcPr>
          <w:p w14:paraId="6609D201">
            <w:pPr>
              <w:spacing w:line="440" w:lineRule="exact"/>
              <w:jc w:val="center"/>
              <w:rPr>
                <w:rFonts w:ascii="宋体" w:hAnsi="宋体"/>
                <w:color w:val="auto"/>
                <w:sz w:val="24"/>
                <w:highlight w:val="none"/>
              </w:rPr>
            </w:pPr>
            <w:r>
              <w:rPr>
                <w:rFonts w:hint="eastAsia" w:ascii="宋体" w:hAnsi="宋体"/>
                <w:color w:val="auto"/>
                <w:sz w:val="24"/>
                <w:highlight w:val="none"/>
              </w:rPr>
              <w:t>1</w:t>
            </w:r>
          </w:p>
        </w:tc>
        <w:tc>
          <w:tcPr>
            <w:tcW w:w="1075" w:type="pct"/>
            <w:vMerge w:val="restart"/>
            <w:noWrap w:val="0"/>
            <w:vAlign w:val="center"/>
          </w:tcPr>
          <w:p w14:paraId="55CB180C">
            <w:pPr>
              <w:spacing w:line="440" w:lineRule="exact"/>
              <w:jc w:val="center"/>
              <w:rPr>
                <w:rFonts w:ascii="宋体" w:hAnsi="宋体"/>
                <w:color w:val="auto"/>
                <w:sz w:val="24"/>
                <w:highlight w:val="none"/>
              </w:rPr>
            </w:pPr>
            <w:r>
              <w:rPr>
                <w:rFonts w:ascii="宋体" w:hAnsi="宋体"/>
                <w:color w:val="auto"/>
                <w:sz w:val="24"/>
                <w:highlight w:val="none"/>
              </w:rPr>
              <w:t>规费</w:t>
            </w:r>
          </w:p>
        </w:tc>
        <w:tc>
          <w:tcPr>
            <w:tcW w:w="1618" w:type="pct"/>
            <w:noWrap w:val="0"/>
            <w:vAlign w:val="center"/>
          </w:tcPr>
          <w:p w14:paraId="2C7B7E12">
            <w:pPr>
              <w:spacing w:line="440" w:lineRule="exact"/>
              <w:jc w:val="center"/>
              <w:rPr>
                <w:rFonts w:ascii="宋体" w:hAnsi="宋体"/>
                <w:color w:val="auto"/>
                <w:sz w:val="24"/>
                <w:highlight w:val="none"/>
              </w:rPr>
            </w:pPr>
            <w:r>
              <w:rPr>
                <w:rFonts w:ascii="宋体" w:hAnsi="宋体"/>
                <w:color w:val="auto"/>
                <w:sz w:val="24"/>
                <w:highlight w:val="none"/>
              </w:rPr>
              <w:t>社会保障费</w:t>
            </w:r>
          </w:p>
        </w:tc>
        <w:tc>
          <w:tcPr>
            <w:tcW w:w="984" w:type="pct"/>
            <w:noWrap w:val="0"/>
            <w:vAlign w:val="center"/>
          </w:tcPr>
          <w:p w14:paraId="549F12D0">
            <w:pPr>
              <w:spacing w:line="440" w:lineRule="exact"/>
              <w:rPr>
                <w:rFonts w:ascii="宋体" w:hAnsi="宋体"/>
                <w:color w:val="auto"/>
                <w:sz w:val="24"/>
                <w:highlight w:val="none"/>
              </w:rPr>
            </w:pPr>
            <w:r>
              <w:rPr>
                <w:rFonts w:ascii="宋体" w:hAnsi="宋体"/>
                <w:color w:val="auto"/>
                <w:sz w:val="24"/>
                <w:highlight w:val="none"/>
              </w:rPr>
              <w:t>A+B+C-D</w:t>
            </w:r>
          </w:p>
        </w:tc>
        <w:tc>
          <w:tcPr>
            <w:tcW w:w="807" w:type="pct"/>
            <w:noWrap w:val="0"/>
            <w:vAlign w:val="center"/>
          </w:tcPr>
          <w:p w14:paraId="3CAA8FFE">
            <w:pPr>
              <w:spacing w:line="440" w:lineRule="exact"/>
              <w:jc w:val="center"/>
              <w:rPr>
                <w:rFonts w:ascii="宋体" w:hAnsi="宋体"/>
                <w:color w:val="auto"/>
                <w:sz w:val="24"/>
                <w:highlight w:val="none"/>
              </w:rPr>
            </w:pPr>
            <w:r>
              <w:rPr>
                <w:rFonts w:hint="eastAsia" w:ascii="宋体" w:hAnsi="宋体"/>
                <w:color w:val="auto"/>
                <w:sz w:val="24"/>
                <w:highlight w:val="none"/>
              </w:rPr>
              <w:t>2.4%</w:t>
            </w:r>
          </w:p>
        </w:tc>
      </w:tr>
      <w:tr w14:paraId="55D8C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trPr>
        <w:tc>
          <w:tcPr>
            <w:tcW w:w="515" w:type="pct"/>
            <w:noWrap w:val="0"/>
            <w:vAlign w:val="center"/>
          </w:tcPr>
          <w:p w14:paraId="121AB29F">
            <w:pPr>
              <w:spacing w:line="440" w:lineRule="exact"/>
              <w:jc w:val="center"/>
              <w:rPr>
                <w:rFonts w:ascii="宋体" w:hAnsi="宋体"/>
                <w:color w:val="auto"/>
                <w:sz w:val="24"/>
                <w:highlight w:val="none"/>
              </w:rPr>
            </w:pPr>
            <w:r>
              <w:rPr>
                <w:rFonts w:ascii="宋体" w:hAnsi="宋体"/>
                <w:color w:val="auto"/>
                <w:sz w:val="24"/>
                <w:highlight w:val="none"/>
              </w:rPr>
              <w:t>2</w:t>
            </w:r>
          </w:p>
        </w:tc>
        <w:tc>
          <w:tcPr>
            <w:tcW w:w="1075" w:type="pct"/>
            <w:vMerge w:val="continue"/>
            <w:noWrap w:val="0"/>
            <w:vAlign w:val="center"/>
          </w:tcPr>
          <w:p w14:paraId="0BF811DC">
            <w:pPr>
              <w:spacing w:line="440" w:lineRule="exact"/>
              <w:ind w:firstLine="480" w:firstLineChars="200"/>
              <w:rPr>
                <w:rFonts w:ascii="宋体" w:hAnsi="宋体"/>
                <w:color w:val="auto"/>
                <w:sz w:val="24"/>
                <w:highlight w:val="none"/>
              </w:rPr>
            </w:pPr>
          </w:p>
        </w:tc>
        <w:tc>
          <w:tcPr>
            <w:tcW w:w="1618" w:type="pct"/>
            <w:noWrap w:val="0"/>
            <w:vAlign w:val="center"/>
          </w:tcPr>
          <w:p w14:paraId="2662C4F3">
            <w:pPr>
              <w:spacing w:line="440" w:lineRule="exact"/>
              <w:jc w:val="center"/>
              <w:rPr>
                <w:rFonts w:ascii="宋体" w:hAnsi="宋体"/>
                <w:color w:val="auto"/>
                <w:sz w:val="24"/>
                <w:highlight w:val="none"/>
              </w:rPr>
            </w:pPr>
            <w:r>
              <w:rPr>
                <w:rFonts w:ascii="宋体" w:hAnsi="宋体"/>
                <w:color w:val="auto"/>
                <w:sz w:val="24"/>
                <w:highlight w:val="none"/>
              </w:rPr>
              <w:t>住房公积金</w:t>
            </w:r>
          </w:p>
        </w:tc>
        <w:tc>
          <w:tcPr>
            <w:tcW w:w="984" w:type="pct"/>
            <w:noWrap w:val="0"/>
            <w:vAlign w:val="center"/>
          </w:tcPr>
          <w:p w14:paraId="366018F0">
            <w:pPr>
              <w:spacing w:line="440" w:lineRule="exact"/>
              <w:rPr>
                <w:rFonts w:ascii="宋体" w:hAnsi="宋体"/>
                <w:color w:val="auto"/>
                <w:sz w:val="24"/>
                <w:highlight w:val="none"/>
              </w:rPr>
            </w:pPr>
            <w:r>
              <w:rPr>
                <w:rFonts w:ascii="宋体" w:hAnsi="宋体"/>
                <w:color w:val="auto"/>
                <w:sz w:val="24"/>
                <w:highlight w:val="none"/>
              </w:rPr>
              <w:t>A+B+C-D</w:t>
            </w:r>
          </w:p>
        </w:tc>
        <w:tc>
          <w:tcPr>
            <w:tcW w:w="807" w:type="pct"/>
            <w:noWrap w:val="0"/>
            <w:vAlign w:val="center"/>
          </w:tcPr>
          <w:p w14:paraId="5BF20394">
            <w:pPr>
              <w:spacing w:line="440" w:lineRule="exact"/>
              <w:jc w:val="center"/>
              <w:rPr>
                <w:rFonts w:ascii="宋体" w:hAnsi="宋体"/>
                <w:color w:val="auto"/>
                <w:sz w:val="24"/>
                <w:highlight w:val="none"/>
              </w:rPr>
            </w:pPr>
            <w:r>
              <w:rPr>
                <w:rFonts w:hint="eastAsia" w:ascii="宋体" w:hAnsi="宋体"/>
                <w:color w:val="auto"/>
                <w:sz w:val="24"/>
                <w:highlight w:val="none"/>
              </w:rPr>
              <w:t>0.42%</w:t>
            </w:r>
          </w:p>
        </w:tc>
      </w:tr>
      <w:tr w14:paraId="53315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trPr>
        <w:tc>
          <w:tcPr>
            <w:tcW w:w="515" w:type="pct"/>
            <w:noWrap w:val="0"/>
            <w:vAlign w:val="center"/>
          </w:tcPr>
          <w:p w14:paraId="3897CD17">
            <w:pPr>
              <w:spacing w:line="440" w:lineRule="exact"/>
              <w:jc w:val="center"/>
              <w:rPr>
                <w:rFonts w:ascii="宋体" w:hAnsi="宋体"/>
                <w:color w:val="auto"/>
                <w:sz w:val="24"/>
                <w:highlight w:val="none"/>
              </w:rPr>
            </w:pPr>
            <w:r>
              <w:rPr>
                <w:rFonts w:ascii="宋体" w:hAnsi="宋体"/>
                <w:color w:val="auto"/>
                <w:sz w:val="24"/>
                <w:highlight w:val="none"/>
              </w:rPr>
              <w:t>3</w:t>
            </w:r>
          </w:p>
        </w:tc>
        <w:tc>
          <w:tcPr>
            <w:tcW w:w="1075" w:type="pct"/>
            <w:vMerge w:val="restart"/>
            <w:noWrap w:val="0"/>
            <w:vAlign w:val="center"/>
          </w:tcPr>
          <w:p w14:paraId="4EF0E761">
            <w:pPr>
              <w:spacing w:line="440" w:lineRule="exact"/>
              <w:jc w:val="center"/>
              <w:rPr>
                <w:rFonts w:ascii="宋体" w:hAnsi="宋体"/>
                <w:color w:val="auto"/>
                <w:sz w:val="24"/>
                <w:highlight w:val="none"/>
              </w:rPr>
            </w:pPr>
            <w:r>
              <w:rPr>
                <w:rFonts w:ascii="宋体" w:hAnsi="宋体"/>
                <w:color w:val="auto"/>
                <w:sz w:val="24"/>
                <w:highlight w:val="none"/>
              </w:rPr>
              <w:t>现场安全文明施工措施费</w:t>
            </w:r>
          </w:p>
        </w:tc>
        <w:tc>
          <w:tcPr>
            <w:tcW w:w="1618" w:type="pct"/>
            <w:noWrap w:val="0"/>
            <w:vAlign w:val="center"/>
          </w:tcPr>
          <w:p w14:paraId="542B20B6">
            <w:pPr>
              <w:spacing w:line="440" w:lineRule="exact"/>
              <w:jc w:val="center"/>
              <w:rPr>
                <w:rFonts w:ascii="宋体" w:hAnsi="宋体"/>
                <w:color w:val="auto"/>
                <w:sz w:val="24"/>
                <w:highlight w:val="none"/>
              </w:rPr>
            </w:pPr>
            <w:r>
              <w:rPr>
                <w:rFonts w:ascii="宋体" w:hAnsi="宋体"/>
                <w:color w:val="auto"/>
                <w:sz w:val="24"/>
                <w:highlight w:val="none"/>
              </w:rPr>
              <w:t>基本费费率</w:t>
            </w:r>
          </w:p>
        </w:tc>
        <w:tc>
          <w:tcPr>
            <w:tcW w:w="984" w:type="pct"/>
            <w:noWrap w:val="0"/>
            <w:vAlign w:val="center"/>
          </w:tcPr>
          <w:p w14:paraId="42295CE9">
            <w:pPr>
              <w:spacing w:line="440" w:lineRule="exact"/>
              <w:rPr>
                <w:rFonts w:ascii="宋体" w:hAnsi="宋体"/>
                <w:color w:val="auto"/>
                <w:sz w:val="24"/>
                <w:highlight w:val="none"/>
              </w:rPr>
            </w:pPr>
            <w:r>
              <w:rPr>
                <w:rFonts w:ascii="宋体" w:hAnsi="宋体"/>
                <w:color w:val="auto"/>
                <w:sz w:val="24"/>
                <w:highlight w:val="none"/>
              </w:rPr>
              <w:t>A+B1-D</w:t>
            </w:r>
          </w:p>
        </w:tc>
        <w:tc>
          <w:tcPr>
            <w:tcW w:w="807" w:type="pct"/>
            <w:noWrap w:val="0"/>
            <w:vAlign w:val="center"/>
          </w:tcPr>
          <w:p w14:paraId="45A5793C">
            <w:pPr>
              <w:spacing w:line="440" w:lineRule="exact"/>
              <w:jc w:val="center"/>
              <w:rPr>
                <w:rFonts w:ascii="宋体" w:hAnsi="宋体"/>
                <w:color w:val="auto"/>
                <w:sz w:val="24"/>
                <w:highlight w:val="none"/>
              </w:rPr>
            </w:pPr>
            <w:r>
              <w:rPr>
                <w:rFonts w:hint="eastAsia" w:ascii="宋体" w:hAnsi="宋体"/>
                <w:color w:val="auto"/>
                <w:sz w:val="24"/>
                <w:highlight w:val="none"/>
              </w:rPr>
              <w:t>1.5%</w:t>
            </w:r>
          </w:p>
        </w:tc>
      </w:tr>
      <w:tr w14:paraId="30315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trPr>
        <w:tc>
          <w:tcPr>
            <w:tcW w:w="515" w:type="pct"/>
            <w:noWrap w:val="0"/>
            <w:vAlign w:val="center"/>
          </w:tcPr>
          <w:p w14:paraId="17296817">
            <w:pPr>
              <w:spacing w:line="440" w:lineRule="exact"/>
              <w:jc w:val="center"/>
              <w:rPr>
                <w:rFonts w:ascii="宋体" w:hAnsi="宋体"/>
                <w:color w:val="auto"/>
                <w:sz w:val="24"/>
                <w:highlight w:val="none"/>
              </w:rPr>
            </w:pPr>
            <w:r>
              <w:rPr>
                <w:rFonts w:ascii="宋体" w:hAnsi="宋体"/>
                <w:color w:val="auto"/>
                <w:sz w:val="24"/>
                <w:highlight w:val="none"/>
              </w:rPr>
              <w:t>5</w:t>
            </w:r>
          </w:p>
        </w:tc>
        <w:tc>
          <w:tcPr>
            <w:tcW w:w="1075" w:type="pct"/>
            <w:vMerge w:val="continue"/>
            <w:noWrap w:val="0"/>
            <w:vAlign w:val="center"/>
          </w:tcPr>
          <w:p w14:paraId="78B9BFD9">
            <w:pPr>
              <w:spacing w:line="440" w:lineRule="exact"/>
              <w:ind w:firstLine="480" w:firstLineChars="200"/>
              <w:rPr>
                <w:rFonts w:ascii="宋体" w:hAnsi="宋体"/>
                <w:color w:val="auto"/>
                <w:sz w:val="24"/>
                <w:highlight w:val="none"/>
              </w:rPr>
            </w:pPr>
          </w:p>
        </w:tc>
        <w:tc>
          <w:tcPr>
            <w:tcW w:w="1618" w:type="pct"/>
            <w:noWrap w:val="0"/>
            <w:vAlign w:val="center"/>
          </w:tcPr>
          <w:p w14:paraId="7D59F948">
            <w:pPr>
              <w:spacing w:line="440" w:lineRule="exact"/>
              <w:jc w:val="center"/>
              <w:rPr>
                <w:rFonts w:ascii="宋体" w:hAnsi="宋体"/>
                <w:color w:val="auto"/>
                <w:sz w:val="24"/>
                <w:highlight w:val="none"/>
              </w:rPr>
            </w:pPr>
            <w:r>
              <w:rPr>
                <w:rFonts w:hint="eastAsia" w:ascii="宋体" w:hAnsi="宋体"/>
                <w:color w:val="auto"/>
                <w:sz w:val="24"/>
                <w:highlight w:val="none"/>
              </w:rPr>
              <w:t>扬尘污染防治增加费</w:t>
            </w:r>
          </w:p>
        </w:tc>
        <w:tc>
          <w:tcPr>
            <w:tcW w:w="984" w:type="pct"/>
            <w:noWrap w:val="0"/>
            <w:vAlign w:val="center"/>
          </w:tcPr>
          <w:p w14:paraId="1664A681">
            <w:pPr>
              <w:spacing w:line="440" w:lineRule="exact"/>
              <w:rPr>
                <w:rFonts w:ascii="宋体" w:hAnsi="宋体"/>
                <w:color w:val="auto"/>
                <w:sz w:val="24"/>
                <w:highlight w:val="none"/>
              </w:rPr>
            </w:pPr>
            <w:r>
              <w:rPr>
                <w:rFonts w:ascii="宋体" w:hAnsi="宋体"/>
                <w:color w:val="auto"/>
                <w:sz w:val="24"/>
                <w:highlight w:val="none"/>
              </w:rPr>
              <w:t>A+B1-D</w:t>
            </w:r>
          </w:p>
        </w:tc>
        <w:tc>
          <w:tcPr>
            <w:tcW w:w="807" w:type="pct"/>
            <w:noWrap w:val="0"/>
            <w:vAlign w:val="center"/>
          </w:tcPr>
          <w:p w14:paraId="181FAB11">
            <w:pPr>
              <w:spacing w:line="440" w:lineRule="exact"/>
              <w:jc w:val="center"/>
              <w:rPr>
                <w:rFonts w:ascii="宋体" w:hAnsi="宋体"/>
                <w:color w:val="auto"/>
                <w:sz w:val="24"/>
                <w:highlight w:val="none"/>
              </w:rPr>
            </w:pPr>
            <w:r>
              <w:rPr>
                <w:rFonts w:hint="eastAsia" w:ascii="宋体" w:hAnsi="宋体"/>
                <w:color w:val="auto"/>
                <w:sz w:val="24"/>
                <w:highlight w:val="none"/>
              </w:rPr>
              <w:t>0.21%</w:t>
            </w:r>
          </w:p>
        </w:tc>
      </w:tr>
      <w:tr w14:paraId="4BFD7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15" w:type="pct"/>
            <w:noWrap w:val="0"/>
            <w:vAlign w:val="center"/>
          </w:tcPr>
          <w:p w14:paraId="6B1AEBFC">
            <w:pPr>
              <w:spacing w:line="440" w:lineRule="exact"/>
              <w:jc w:val="center"/>
              <w:rPr>
                <w:rFonts w:ascii="宋体" w:hAnsi="宋体"/>
                <w:color w:val="auto"/>
                <w:sz w:val="24"/>
                <w:highlight w:val="none"/>
              </w:rPr>
            </w:pPr>
            <w:r>
              <w:rPr>
                <w:rFonts w:hint="eastAsia" w:ascii="宋体" w:hAnsi="宋体"/>
                <w:color w:val="auto"/>
                <w:sz w:val="24"/>
                <w:highlight w:val="none"/>
              </w:rPr>
              <w:t>6</w:t>
            </w:r>
          </w:p>
        </w:tc>
        <w:tc>
          <w:tcPr>
            <w:tcW w:w="1075" w:type="pct"/>
            <w:noWrap w:val="0"/>
            <w:vAlign w:val="center"/>
          </w:tcPr>
          <w:p w14:paraId="77FA7D45">
            <w:pPr>
              <w:spacing w:line="440" w:lineRule="exact"/>
              <w:ind w:firstLine="480" w:firstLineChars="200"/>
              <w:rPr>
                <w:rFonts w:ascii="宋体" w:hAnsi="宋体"/>
                <w:color w:val="auto"/>
                <w:sz w:val="24"/>
                <w:highlight w:val="none"/>
              </w:rPr>
            </w:pPr>
            <w:r>
              <w:rPr>
                <w:rFonts w:ascii="宋体" w:hAnsi="宋体"/>
                <w:color w:val="auto"/>
                <w:sz w:val="24"/>
                <w:highlight w:val="none"/>
              </w:rPr>
              <w:t>税金</w:t>
            </w:r>
          </w:p>
        </w:tc>
        <w:tc>
          <w:tcPr>
            <w:tcW w:w="1618" w:type="pct"/>
            <w:noWrap w:val="0"/>
            <w:vAlign w:val="center"/>
          </w:tcPr>
          <w:p w14:paraId="38BE24DA">
            <w:pPr>
              <w:spacing w:line="440" w:lineRule="exact"/>
              <w:jc w:val="center"/>
              <w:rPr>
                <w:rFonts w:ascii="宋体" w:hAnsi="宋体"/>
                <w:color w:val="auto"/>
                <w:sz w:val="24"/>
                <w:highlight w:val="none"/>
              </w:rPr>
            </w:pPr>
            <w:r>
              <w:rPr>
                <w:rFonts w:ascii="宋体" w:hAnsi="宋体"/>
                <w:color w:val="auto"/>
                <w:sz w:val="24"/>
                <w:highlight w:val="none"/>
              </w:rPr>
              <w:t>税金</w:t>
            </w:r>
          </w:p>
        </w:tc>
        <w:tc>
          <w:tcPr>
            <w:tcW w:w="984" w:type="pct"/>
            <w:noWrap w:val="0"/>
            <w:vAlign w:val="center"/>
          </w:tcPr>
          <w:p w14:paraId="2264EA96">
            <w:pPr>
              <w:spacing w:line="440" w:lineRule="exact"/>
              <w:rPr>
                <w:rFonts w:ascii="宋体" w:hAnsi="宋体"/>
                <w:color w:val="auto"/>
                <w:sz w:val="24"/>
                <w:highlight w:val="none"/>
              </w:rPr>
            </w:pPr>
            <w:r>
              <w:rPr>
                <w:rFonts w:ascii="宋体" w:hAnsi="宋体"/>
                <w:color w:val="auto"/>
                <w:sz w:val="24"/>
                <w:highlight w:val="none"/>
              </w:rPr>
              <w:t>除税造价</w:t>
            </w:r>
          </w:p>
        </w:tc>
        <w:tc>
          <w:tcPr>
            <w:tcW w:w="807" w:type="pct"/>
            <w:noWrap w:val="0"/>
            <w:vAlign w:val="center"/>
          </w:tcPr>
          <w:p w14:paraId="43F70D0B">
            <w:pPr>
              <w:spacing w:line="440" w:lineRule="exact"/>
              <w:jc w:val="center"/>
              <w:rPr>
                <w:rFonts w:ascii="宋体" w:hAnsi="宋体"/>
                <w:color w:val="auto"/>
                <w:sz w:val="24"/>
                <w:highlight w:val="none"/>
              </w:rPr>
            </w:pPr>
            <w:r>
              <w:rPr>
                <w:rFonts w:hint="eastAsia" w:ascii="宋体" w:hAnsi="宋体"/>
                <w:color w:val="auto"/>
                <w:sz w:val="24"/>
                <w:highlight w:val="none"/>
              </w:rPr>
              <w:t>9%</w:t>
            </w:r>
          </w:p>
        </w:tc>
      </w:tr>
    </w:tbl>
    <w:p w14:paraId="2C964FEE">
      <w:pPr>
        <w:spacing w:line="440" w:lineRule="exact"/>
        <w:ind w:firstLine="480" w:firstLineChars="200"/>
        <w:rPr>
          <w:rFonts w:hint="eastAsia" w:ascii="宋体" w:hAnsi="宋体"/>
          <w:color w:val="auto"/>
          <w:sz w:val="24"/>
          <w:highlight w:val="none"/>
        </w:rPr>
      </w:pPr>
      <w:r>
        <w:rPr>
          <w:rFonts w:hint="eastAsia" w:ascii="宋体" w:hAnsi="宋体"/>
          <w:color w:val="auto"/>
          <w:sz w:val="24"/>
          <w:highlight w:val="none"/>
        </w:rPr>
        <w:t>注：计算基础：A为分部分项工程费，B为措施项目清单费，C</w:t>
      </w:r>
      <w:r>
        <w:rPr>
          <w:rFonts w:hint="eastAsia" w:ascii="宋体" w:hAnsi="宋体"/>
          <w:color w:val="auto"/>
          <w:sz w:val="24"/>
          <w:highlight w:val="none"/>
          <w:lang w:eastAsia="zh-CN"/>
        </w:rPr>
        <w:t>其他</w:t>
      </w:r>
      <w:r>
        <w:rPr>
          <w:rFonts w:hint="eastAsia" w:ascii="宋体" w:hAnsi="宋体"/>
          <w:color w:val="auto"/>
          <w:sz w:val="24"/>
          <w:highlight w:val="none"/>
        </w:rPr>
        <w:t>项目费，D为除税工程设备费，B1为单价措施项目费。</w:t>
      </w:r>
    </w:p>
    <w:p w14:paraId="3BCAE1FC">
      <w:pPr>
        <w:spacing w:line="440" w:lineRule="exact"/>
        <w:ind w:firstLine="480" w:firstLineChars="200"/>
        <w:rPr>
          <w:rFonts w:ascii="宋体" w:hAnsi="宋体"/>
          <w:color w:val="auto"/>
          <w:sz w:val="24"/>
          <w:highlight w:val="none"/>
        </w:rPr>
      </w:pPr>
      <w:r>
        <w:rPr>
          <w:rFonts w:hint="eastAsia" w:ascii="宋体" w:hAnsi="宋体"/>
          <w:color w:val="auto"/>
          <w:sz w:val="24"/>
          <w:highlight w:val="none"/>
        </w:rPr>
        <w:t xml:space="preserve"> B</w:t>
      </w:r>
      <w:r>
        <w:rPr>
          <w:rFonts w:hint="eastAsia" w:ascii="宋体" w:hAnsi="宋体"/>
          <w:color w:val="auto"/>
          <w:sz w:val="24"/>
          <w:highlight w:val="none"/>
          <w:lang w:eastAsia="zh-CN"/>
        </w:rPr>
        <w:t>.</w:t>
      </w:r>
      <w:r>
        <w:rPr>
          <w:rFonts w:hint="eastAsia" w:ascii="宋体" w:hAnsi="宋体"/>
          <w:color w:val="auto"/>
          <w:sz w:val="24"/>
          <w:highlight w:val="none"/>
        </w:rPr>
        <w:t>现场安全文明施工措施费率为暂定、最终以南通市建设工程造价管理处核定为准，否则在总价中扣除。本项目不可竞争费费率以网上发布的清单中费率为准。</w:t>
      </w:r>
    </w:p>
    <w:p w14:paraId="4B6D1526">
      <w:pPr>
        <w:spacing w:line="440" w:lineRule="exact"/>
        <w:ind w:firstLine="480" w:firstLineChars="200"/>
        <w:rPr>
          <w:rFonts w:ascii="宋体" w:hAnsi="宋体"/>
          <w:color w:val="auto"/>
          <w:sz w:val="24"/>
          <w:highlight w:val="none"/>
        </w:rPr>
      </w:pPr>
      <w:r>
        <w:rPr>
          <w:rFonts w:hint="eastAsia" w:ascii="宋体" w:hAnsi="宋体"/>
          <w:color w:val="auto"/>
          <w:sz w:val="24"/>
          <w:highlight w:val="none"/>
        </w:rPr>
        <w:t>（6）</w:t>
      </w:r>
      <w:r>
        <w:rPr>
          <w:rFonts w:hint="eastAsia" w:ascii="宋体" w:hAnsi="宋体"/>
          <w:color w:val="auto"/>
          <w:sz w:val="24"/>
          <w:highlight w:val="none"/>
          <w:lang w:eastAsia="zh-CN"/>
        </w:rPr>
        <w:t>其他有关</w:t>
      </w:r>
      <w:r>
        <w:rPr>
          <w:rFonts w:hint="eastAsia" w:ascii="宋体" w:hAnsi="宋体"/>
          <w:color w:val="auto"/>
          <w:sz w:val="24"/>
          <w:highlight w:val="none"/>
        </w:rPr>
        <w:t>费率：详见招标控制价。</w:t>
      </w:r>
    </w:p>
    <w:p w14:paraId="3C9065E8">
      <w:pPr>
        <w:adjustRightInd w:val="0"/>
        <w:snapToGrid w:val="0"/>
        <w:spacing w:line="440" w:lineRule="exact"/>
        <w:ind w:left="105" w:leftChars="50" w:firstLine="360" w:firstLineChars="150"/>
        <w:rPr>
          <w:rFonts w:hAnsi="宋体"/>
          <w:color w:val="auto"/>
          <w:sz w:val="24"/>
          <w:highlight w:val="none"/>
        </w:rPr>
      </w:pPr>
      <w:r>
        <w:rPr>
          <w:rFonts w:hAnsi="宋体"/>
          <w:color w:val="auto"/>
          <w:sz w:val="24"/>
          <w:highlight w:val="none"/>
        </w:rPr>
        <w:t>18.3 招标控制价文件组成。</w:t>
      </w:r>
    </w:p>
    <w:p w14:paraId="3366DD4F">
      <w:pPr>
        <w:adjustRightInd w:val="0"/>
        <w:snapToGrid w:val="0"/>
        <w:spacing w:line="440" w:lineRule="exact"/>
        <w:ind w:left="105" w:leftChars="50" w:firstLine="480" w:firstLineChars="200"/>
        <w:rPr>
          <w:color w:val="auto"/>
          <w:sz w:val="24"/>
          <w:highlight w:val="none"/>
        </w:rPr>
      </w:pPr>
      <w:r>
        <w:rPr>
          <w:rFonts w:hAnsi="宋体"/>
          <w:color w:val="auto"/>
          <w:sz w:val="24"/>
          <w:highlight w:val="none"/>
        </w:rPr>
        <w:t>招标人公布的招标控制价应当包括单位工程招标控制价汇总表、分部分项工程和单价措施项目清单与计价表、相关说明以及招标价调整等系数的取值。</w:t>
      </w:r>
    </w:p>
    <w:p w14:paraId="321B30EF">
      <w:pPr>
        <w:adjustRightInd w:val="0"/>
        <w:snapToGrid w:val="0"/>
        <w:spacing w:line="440" w:lineRule="exact"/>
        <w:ind w:firstLine="480" w:firstLineChars="200"/>
        <w:rPr>
          <w:color w:val="auto"/>
          <w:sz w:val="24"/>
          <w:highlight w:val="none"/>
        </w:rPr>
      </w:pPr>
      <w:r>
        <w:rPr>
          <w:color w:val="auto"/>
          <w:sz w:val="24"/>
          <w:highlight w:val="none"/>
        </w:rPr>
        <w:t xml:space="preserve">18.4 </w:t>
      </w:r>
      <w:r>
        <w:rPr>
          <w:rFonts w:hAnsi="宋体"/>
          <w:color w:val="auto"/>
          <w:sz w:val="24"/>
          <w:highlight w:val="none"/>
        </w:rPr>
        <w:t>公布招标控制价时间。</w:t>
      </w:r>
    </w:p>
    <w:p w14:paraId="2B7218E6">
      <w:pPr>
        <w:spacing w:line="440" w:lineRule="exact"/>
        <w:ind w:left="105" w:leftChars="50" w:firstLine="360" w:firstLineChars="150"/>
        <w:rPr>
          <w:color w:val="auto"/>
          <w:sz w:val="24"/>
          <w:highlight w:val="none"/>
        </w:rPr>
      </w:pPr>
      <w:r>
        <w:rPr>
          <w:rFonts w:hAnsi="宋体"/>
          <w:color w:val="auto"/>
          <w:sz w:val="24"/>
          <w:highlight w:val="none"/>
        </w:rPr>
        <w:t>招标控制价和招标文件同时在</w:t>
      </w:r>
      <w:r>
        <w:rPr>
          <w:rFonts w:hint="eastAsia" w:ascii="宋体" w:hAnsi="宋体"/>
          <w:color w:val="auto"/>
          <w:sz w:val="24"/>
          <w:highlight w:val="none"/>
          <w:lang w:eastAsia="zh-CN"/>
        </w:rPr>
        <w:t>南通市崇川区人民政府网－公告公示栏</w:t>
      </w:r>
      <w:r>
        <w:rPr>
          <w:rFonts w:hAnsi="宋体"/>
          <w:color w:val="auto"/>
          <w:sz w:val="24"/>
          <w:highlight w:val="none"/>
        </w:rPr>
        <w:t>发布。</w:t>
      </w:r>
    </w:p>
    <w:p w14:paraId="61FE8AF3">
      <w:pPr>
        <w:spacing w:line="440" w:lineRule="exact"/>
        <w:ind w:firstLine="480" w:firstLineChars="200"/>
        <w:rPr>
          <w:color w:val="auto"/>
          <w:sz w:val="24"/>
          <w:highlight w:val="none"/>
        </w:rPr>
      </w:pPr>
      <w:r>
        <w:rPr>
          <w:color w:val="auto"/>
          <w:sz w:val="24"/>
          <w:highlight w:val="none"/>
        </w:rPr>
        <w:t xml:space="preserve">18.5 </w:t>
      </w:r>
      <w:r>
        <w:rPr>
          <w:rFonts w:hAnsi="宋体"/>
          <w:color w:val="auto"/>
          <w:sz w:val="24"/>
          <w:highlight w:val="none"/>
        </w:rPr>
        <w:t>招标控制价异议处理：</w:t>
      </w:r>
    </w:p>
    <w:p w14:paraId="477D314B">
      <w:pPr>
        <w:spacing w:line="440" w:lineRule="exact"/>
        <w:ind w:firstLine="480" w:firstLineChars="200"/>
        <w:rPr>
          <w:b/>
          <w:color w:val="auto"/>
          <w:sz w:val="24"/>
          <w:highlight w:val="none"/>
          <w:u w:val="single"/>
        </w:rPr>
      </w:pPr>
      <w:r>
        <w:rPr>
          <w:rFonts w:hAnsi="宋体"/>
          <w:color w:val="auto"/>
          <w:sz w:val="24"/>
          <w:highlight w:val="none"/>
        </w:rPr>
        <w:t>投标人对招标控制价有异议的，应在控制价发布后</w:t>
      </w:r>
      <w:r>
        <w:rPr>
          <w:color w:val="auto"/>
          <w:sz w:val="24"/>
          <w:highlight w:val="none"/>
        </w:rPr>
        <w:t>2</w:t>
      </w:r>
      <w:r>
        <w:rPr>
          <w:rFonts w:hAnsi="宋体"/>
          <w:color w:val="auto"/>
          <w:sz w:val="24"/>
          <w:highlight w:val="none"/>
        </w:rPr>
        <w:t>日内向招标人书面提出；招标人不答复或对招标人答复不满意时，投标人可按规定程序向工程所在地造价管理机构投诉。</w:t>
      </w:r>
      <w:r>
        <w:rPr>
          <w:rFonts w:hAnsi="宋体"/>
          <w:b/>
          <w:color w:val="auto"/>
          <w:sz w:val="24"/>
          <w:highlight w:val="none"/>
          <w:u w:val="single"/>
        </w:rPr>
        <w:t>具体请参照通建工</w:t>
      </w:r>
      <w:r>
        <w:rPr>
          <w:rFonts w:hint="eastAsia" w:hAnsi="宋体"/>
          <w:b/>
          <w:color w:val="auto"/>
          <w:sz w:val="24"/>
          <w:highlight w:val="none"/>
          <w:u w:val="single"/>
          <w:lang w:eastAsia="zh-CN"/>
        </w:rPr>
        <w:t>〔2014〕369号</w:t>
      </w:r>
      <w:r>
        <w:rPr>
          <w:rFonts w:hAnsi="宋体"/>
          <w:b/>
          <w:color w:val="auto"/>
          <w:sz w:val="24"/>
          <w:highlight w:val="none"/>
          <w:u w:val="single"/>
        </w:rPr>
        <w:t>文。</w:t>
      </w:r>
    </w:p>
    <w:p w14:paraId="0952821B">
      <w:pPr>
        <w:spacing w:line="440" w:lineRule="exact"/>
        <w:ind w:firstLine="480" w:firstLineChars="200"/>
        <w:rPr>
          <w:color w:val="auto"/>
          <w:sz w:val="24"/>
          <w:highlight w:val="none"/>
        </w:rPr>
      </w:pPr>
      <w:r>
        <w:rPr>
          <w:rFonts w:hAnsi="宋体"/>
          <w:color w:val="auto"/>
          <w:sz w:val="24"/>
          <w:highlight w:val="none"/>
        </w:rPr>
        <w:t>招标人根据招标控制价复查结论需要重新公布招标控制价的，其最终公布的时间至招标文件要求提交投标文件截止时间不足</w:t>
      </w:r>
      <w:r>
        <w:rPr>
          <w:rFonts w:hint="eastAsia"/>
          <w:color w:val="auto"/>
          <w:sz w:val="24"/>
          <w:highlight w:val="none"/>
        </w:rPr>
        <w:t>3</w:t>
      </w:r>
      <w:r>
        <w:rPr>
          <w:rFonts w:hAnsi="宋体"/>
          <w:color w:val="auto"/>
          <w:sz w:val="24"/>
          <w:highlight w:val="none"/>
        </w:rPr>
        <w:t>天的，将相应延长投标文件的截止时间。</w:t>
      </w:r>
    </w:p>
    <w:p w14:paraId="199FD6EC">
      <w:pPr>
        <w:spacing w:line="440" w:lineRule="exact"/>
        <w:ind w:firstLine="482" w:firstLineChars="200"/>
        <w:rPr>
          <w:b/>
          <w:color w:val="auto"/>
          <w:sz w:val="24"/>
          <w:highlight w:val="none"/>
        </w:rPr>
      </w:pPr>
      <w:r>
        <w:rPr>
          <w:b/>
          <w:color w:val="auto"/>
          <w:sz w:val="24"/>
          <w:highlight w:val="none"/>
        </w:rPr>
        <w:t>19.</w:t>
      </w:r>
      <w:r>
        <w:rPr>
          <w:rFonts w:hAnsi="宋体"/>
          <w:b/>
          <w:color w:val="auto"/>
          <w:sz w:val="24"/>
          <w:highlight w:val="none"/>
        </w:rPr>
        <w:t>投标报价编制要求</w:t>
      </w:r>
    </w:p>
    <w:p w14:paraId="79B19D8D">
      <w:pPr>
        <w:spacing w:line="440" w:lineRule="exact"/>
        <w:ind w:firstLine="480" w:firstLineChars="200"/>
        <w:rPr>
          <w:rFonts w:ascii="宋体" w:hAnsi="宋体"/>
          <w:color w:val="auto"/>
          <w:sz w:val="24"/>
          <w:highlight w:val="none"/>
        </w:rPr>
      </w:pPr>
      <w:r>
        <w:rPr>
          <w:rFonts w:hAnsi="宋体"/>
          <w:color w:val="auto"/>
          <w:sz w:val="24"/>
          <w:highlight w:val="none"/>
        </w:rPr>
        <w:t>19.1</w:t>
      </w:r>
      <w:r>
        <w:rPr>
          <w:rFonts w:hint="eastAsia" w:ascii="宋体" w:hAnsi="宋体"/>
          <w:color w:val="auto"/>
          <w:sz w:val="24"/>
          <w:highlight w:val="none"/>
        </w:rPr>
        <w:t>采用工程量清单计价方式，投标人不得采用总价让利或以总价百分比让利等办法进行投标报价。工程量清单中投标人没有填入单价或价格的子目，其费用视为已分摊在工程量清单中其他子目的单价或价格之中。</w:t>
      </w:r>
    </w:p>
    <w:p w14:paraId="3B434A4D">
      <w:pPr>
        <w:spacing w:line="440" w:lineRule="exact"/>
        <w:ind w:firstLine="480" w:firstLineChars="200"/>
        <w:rPr>
          <w:color w:val="auto"/>
          <w:sz w:val="24"/>
          <w:highlight w:val="none"/>
        </w:rPr>
      </w:pPr>
      <w:r>
        <w:rPr>
          <w:rFonts w:hAnsi="宋体"/>
          <w:color w:val="auto"/>
          <w:sz w:val="24"/>
          <w:highlight w:val="none"/>
        </w:rPr>
        <w:t>19</w:t>
      </w:r>
      <w:r>
        <w:rPr>
          <w:rFonts w:hint="eastAsia" w:hAnsi="宋体"/>
          <w:color w:val="auto"/>
          <w:sz w:val="24"/>
          <w:highlight w:val="none"/>
        </w:rPr>
        <w:t>.2</w:t>
      </w:r>
      <w:r>
        <w:rPr>
          <w:rFonts w:hAnsi="宋体"/>
          <w:color w:val="auto"/>
          <w:sz w:val="24"/>
          <w:highlight w:val="none"/>
        </w:rPr>
        <w:t>除投标人自行补充的措施项目外，投标报价的项目编码、项目名称、项目特征、计量单位、工程量必须与招标人提供的一致。</w:t>
      </w:r>
    </w:p>
    <w:p w14:paraId="2991AD89">
      <w:pPr>
        <w:spacing w:line="440" w:lineRule="exact"/>
        <w:ind w:firstLine="480" w:firstLineChars="200"/>
        <w:rPr>
          <w:rFonts w:ascii="宋体" w:hAnsi="宋体"/>
          <w:color w:val="auto"/>
          <w:sz w:val="24"/>
          <w:highlight w:val="none"/>
        </w:rPr>
      </w:pPr>
      <w:r>
        <w:rPr>
          <w:rFonts w:hAnsi="宋体"/>
          <w:color w:val="auto"/>
          <w:sz w:val="24"/>
          <w:highlight w:val="none"/>
        </w:rPr>
        <w:t>19</w:t>
      </w:r>
      <w:r>
        <w:rPr>
          <w:rFonts w:hint="eastAsia" w:hAnsi="宋体"/>
          <w:color w:val="auto"/>
          <w:sz w:val="24"/>
          <w:highlight w:val="none"/>
        </w:rPr>
        <w:t>.3</w:t>
      </w:r>
      <w:r>
        <w:rPr>
          <w:rFonts w:hAnsi="宋体"/>
          <w:color w:val="auto"/>
          <w:sz w:val="24"/>
          <w:highlight w:val="none"/>
        </w:rPr>
        <w:t>报价书中的工程数量乘以综合单价必须等于合价。如有误差，在结算时以综合单价金额小的或有利于招标人的为计算依据。</w:t>
      </w:r>
    </w:p>
    <w:p w14:paraId="43E84E68">
      <w:pPr>
        <w:spacing w:line="440" w:lineRule="exact"/>
        <w:ind w:firstLine="480" w:firstLineChars="200"/>
        <w:rPr>
          <w:rFonts w:hAnsi="宋体"/>
          <w:color w:val="auto"/>
          <w:sz w:val="24"/>
          <w:highlight w:val="none"/>
        </w:rPr>
      </w:pPr>
      <w:r>
        <w:rPr>
          <w:rFonts w:hAnsi="宋体"/>
          <w:color w:val="auto"/>
          <w:sz w:val="24"/>
          <w:highlight w:val="none"/>
        </w:rPr>
        <w:t>19</w:t>
      </w:r>
      <w:r>
        <w:rPr>
          <w:rFonts w:hint="eastAsia" w:hAnsi="宋体"/>
          <w:color w:val="auto"/>
          <w:sz w:val="24"/>
          <w:highlight w:val="none"/>
        </w:rPr>
        <w:t>.4</w:t>
      </w:r>
      <w:r>
        <w:rPr>
          <w:rFonts w:hAnsi="宋体"/>
          <w:color w:val="auto"/>
          <w:sz w:val="24"/>
          <w:highlight w:val="none"/>
        </w:rPr>
        <w:t>投标人确定投标报价，同时应考虑合同价中包含的所有风险、责任等各项费用。</w:t>
      </w:r>
    </w:p>
    <w:p w14:paraId="5A8B8119">
      <w:pPr>
        <w:spacing w:line="440" w:lineRule="exact"/>
        <w:ind w:firstLine="480" w:firstLineChars="200"/>
        <w:rPr>
          <w:rFonts w:hAnsi="宋体"/>
          <w:color w:val="auto"/>
          <w:sz w:val="24"/>
          <w:highlight w:val="none"/>
        </w:rPr>
      </w:pPr>
      <w:r>
        <w:rPr>
          <w:rFonts w:hAnsi="宋体"/>
          <w:color w:val="auto"/>
          <w:sz w:val="24"/>
          <w:highlight w:val="none"/>
        </w:rPr>
        <w:t>19</w:t>
      </w:r>
      <w:r>
        <w:rPr>
          <w:rFonts w:hint="eastAsia" w:hAnsi="宋体"/>
          <w:color w:val="auto"/>
          <w:sz w:val="24"/>
          <w:highlight w:val="none"/>
        </w:rPr>
        <w:t>.5</w:t>
      </w:r>
      <w:r>
        <w:rPr>
          <w:rFonts w:hAnsi="宋体"/>
          <w:color w:val="auto"/>
          <w:sz w:val="24"/>
          <w:highlight w:val="none"/>
        </w:rPr>
        <w:t>本工程施工期间涉及环保、消防、城市卫生、市政、居委会、派出所等相关部门收取的费用，以及夜间文明施工、保护周边地下管线和架空线的安全的费用等，投标人均应综合考虑在投标报价中，竣工结算时一律不作调整。</w:t>
      </w:r>
    </w:p>
    <w:p w14:paraId="225763FB">
      <w:pPr>
        <w:spacing w:line="440" w:lineRule="exact"/>
        <w:ind w:firstLine="480" w:firstLineChars="200"/>
        <w:rPr>
          <w:rFonts w:hAnsi="宋体"/>
          <w:color w:val="auto"/>
          <w:sz w:val="24"/>
          <w:highlight w:val="none"/>
        </w:rPr>
      </w:pPr>
      <w:r>
        <w:rPr>
          <w:rFonts w:hAnsi="宋体"/>
          <w:color w:val="auto"/>
          <w:sz w:val="24"/>
          <w:highlight w:val="none"/>
        </w:rPr>
        <w:t>19</w:t>
      </w:r>
      <w:r>
        <w:rPr>
          <w:rFonts w:hint="eastAsia" w:hAnsi="宋体"/>
          <w:color w:val="auto"/>
          <w:sz w:val="24"/>
          <w:highlight w:val="none"/>
        </w:rPr>
        <w:t>.6</w:t>
      </w:r>
      <w:r>
        <w:rPr>
          <w:rFonts w:hAnsi="宋体"/>
          <w:color w:val="auto"/>
          <w:sz w:val="24"/>
          <w:highlight w:val="none"/>
        </w:rPr>
        <w:t>承包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竣工结算时不作调整。</w:t>
      </w:r>
    </w:p>
    <w:p w14:paraId="334DD2B8">
      <w:pPr>
        <w:spacing w:line="440" w:lineRule="exact"/>
        <w:ind w:firstLine="480" w:firstLineChars="200"/>
        <w:rPr>
          <w:rFonts w:hAnsi="宋体"/>
          <w:color w:val="auto"/>
          <w:sz w:val="24"/>
          <w:highlight w:val="none"/>
        </w:rPr>
      </w:pPr>
      <w:r>
        <w:rPr>
          <w:color w:val="auto"/>
          <w:sz w:val="24"/>
          <w:highlight w:val="none"/>
        </w:rPr>
        <w:t>19</w:t>
      </w:r>
      <w:r>
        <w:rPr>
          <w:rFonts w:hint="eastAsia"/>
          <w:color w:val="auto"/>
          <w:sz w:val="24"/>
          <w:highlight w:val="none"/>
        </w:rPr>
        <w:t>.7</w:t>
      </w:r>
      <w:r>
        <w:rPr>
          <w:rFonts w:hAnsi="宋体"/>
          <w:color w:val="auto"/>
          <w:sz w:val="24"/>
          <w:highlight w:val="none"/>
        </w:rPr>
        <w:t>投标人应认真踏勘施工现场，考虑因各种困难因素所发生的一切费用由投标人自行考虑，并在投标报价中予以体现，以后不得以此为由提出额外增加费用的要求。水、电接驳，按发包人指定地点，</w:t>
      </w:r>
      <w:r>
        <w:rPr>
          <w:rFonts w:hint="eastAsia" w:hAnsi="宋体"/>
          <w:color w:val="auto"/>
          <w:sz w:val="24"/>
          <w:highlight w:val="none"/>
          <w:lang w:eastAsia="zh-CN"/>
        </w:rPr>
        <w:t>定量标记</w:t>
      </w:r>
      <w:r>
        <w:rPr>
          <w:rFonts w:hAnsi="宋体"/>
          <w:color w:val="auto"/>
          <w:sz w:val="24"/>
          <w:highlight w:val="none"/>
        </w:rPr>
        <w:t>、接至施工现场管线（电缆）由投标人自行考虑，费用包含在投标报价中。现场自来水及电源接入点现场具体位置由投标人现场踏勘。</w:t>
      </w:r>
    </w:p>
    <w:p w14:paraId="47E9F349">
      <w:pPr>
        <w:spacing w:line="440" w:lineRule="exact"/>
        <w:ind w:firstLine="480" w:firstLineChars="200"/>
        <w:rPr>
          <w:rFonts w:hAnsi="宋体"/>
          <w:color w:val="auto"/>
          <w:sz w:val="24"/>
          <w:highlight w:val="none"/>
        </w:rPr>
      </w:pPr>
      <w:r>
        <w:rPr>
          <w:rFonts w:hAnsi="宋体"/>
          <w:color w:val="auto"/>
          <w:sz w:val="24"/>
          <w:highlight w:val="none"/>
        </w:rPr>
        <w:t>19</w:t>
      </w:r>
      <w:r>
        <w:rPr>
          <w:rFonts w:hint="eastAsia" w:hAnsi="宋体"/>
          <w:color w:val="auto"/>
          <w:sz w:val="24"/>
          <w:highlight w:val="none"/>
        </w:rPr>
        <w:t>.8本工程不可竞争费用项目及其费率：详见本章18.2（5），如与网上发布的清单中的不可竞争费费率不一致的，以网上发布的清单中费率为准，现场安全文明施工措施费率为暂定、最终以南通市建设工程造价管理处核定为准，否则在总价中扣除。</w:t>
      </w:r>
    </w:p>
    <w:p w14:paraId="3A84A355">
      <w:pPr>
        <w:spacing w:line="440" w:lineRule="exact"/>
        <w:ind w:firstLine="480" w:firstLineChars="200"/>
        <w:rPr>
          <w:rFonts w:hAnsi="宋体"/>
          <w:color w:val="auto"/>
          <w:sz w:val="24"/>
          <w:highlight w:val="none"/>
        </w:rPr>
      </w:pPr>
      <w:r>
        <w:rPr>
          <w:rFonts w:hAnsi="宋体"/>
          <w:color w:val="auto"/>
          <w:sz w:val="24"/>
          <w:highlight w:val="none"/>
        </w:rPr>
        <w:t>19</w:t>
      </w:r>
      <w:r>
        <w:rPr>
          <w:rFonts w:hint="eastAsia" w:hAnsi="宋体"/>
          <w:color w:val="auto"/>
          <w:sz w:val="24"/>
          <w:highlight w:val="none"/>
        </w:rPr>
        <w:t>.9</w:t>
      </w:r>
      <w:r>
        <w:rPr>
          <w:rFonts w:hAnsi="宋体"/>
          <w:color w:val="auto"/>
          <w:sz w:val="24"/>
          <w:highlight w:val="none"/>
        </w:rPr>
        <w:t>投标人应自行踏勘施工现场，并在投标报价中综合考虑施工机械设备、材料进出场、二次搬运等涉及所有费用并计入报价，中标后不得以场地现状及条件为由提出额外要求和增加工程费用，招标人不再对此项费用另行签证。</w:t>
      </w:r>
    </w:p>
    <w:p w14:paraId="36AA54FA">
      <w:pPr>
        <w:spacing w:line="440" w:lineRule="exact"/>
        <w:ind w:firstLine="480" w:firstLineChars="200"/>
        <w:rPr>
          <w:rFonts w:hAnsi="宋体"/>
          <w:color w:val="auto"/>
          <w:sz w:val="24"/>
          <w:highlight w:val="none"/>
        </w:rPr>
      </w:pPr>
      <w:r>
        <w:rPr>
          <w:rFonts w:hAnsi="宋体"/>
          <w:color w:val="auto"/>
          <w:sz w:val="24"/>
          <w:highlight w:val="none"/>
        </w:rPr>
        <w:t>19</w:t>
      </w:r>
      <w:r>
        <w:rPr>
          <w:rFonts w:hint="eastAsia" w:hAnsi="宋体"/>
          <w:color w:val="auto"/>
          <w:sz w:val="24"/>
          <w:highlight w:val="none"/>
        </w:rPr>
        <w:t>.</w:t>
      </w:r>
      <w:r>
        <w:rPr>
          <w:rFonts w:hAnsi="宋体"/>
          <w:color w:val="auto"/>
          <w:sz w:val="24"/>
          <w:highlight w:val="none"/>
        </w:rPr>
        <w:t>10因施工场地狭小、周边老旧建筑保护等发生的一切费用由各投标人自行考虑，所有费用包含在投标报价中，竣工结算时一律不作调整。</w:t>
      </w:r>
    </w:p>
    <w:p w14:paraId="19FDC776">
      <w:pPr>
        <w:spacing w:line="440" w:lineRule="exact"/>
        <w:ind w:firstLine="480" w:firstLineChars="200"/>
        <w:rPr>
          <w:rFonts w:hAnsi="宋体"/>
          <w:color w:val="auto"/>
          <w:sz w:val="24"/>
          <w:highlight w:val="none"/>
        </w:rPr>
      </w:pPr>
      <w:r>
        <w:rPr>
          <w:color w:val="auto"/>
          <w:sz w:val="24"/>
          <w:highlight w:val="none"/>
        </w:rPr>
        <w:t>19.11</w:t>
      </w:r>
      <w:r>
        <w:rPr>
          <w:rFonts w:hAnsi="宋体"/>
          <w:color w:val="auto"/>
          <w:sz w:val="24"/>
          <w:highlight w:val="none"/>
        </w:rPr>
        <w:t>各投标人在投标报价时自行考虑人工工资的动态管理，结算时一律不作调整。</w:t>
      </w:r>
    </w:p>
    <w:p w14:paraId="2F72A162">
      <w:pPr>
        <w:spacing w:line="440" w:lineRule="exact"/>
        <w:ind w:firstLine="480" w:firstLineChars="200"/>
        <w:rPr>
          <w:rFonts w:hAnsi="宋体"/>
          <w:color w:val="auto"/>
          <w:sz w:val="24"/>
          <w:highlight w:val="none"/>
        </w:rPr>
      </w:pPr>
      <w:r>
        <w:rPr>
          <w:rFonts w:hAnsi="宋体"/>
          <w:color w:val="auto"/>
          <w:sz w:val="24"/>
          <w:highlight w:val="none"/>
        </w:rPr>
        <w:t>19.12</w:t>
      </w:r>
      <w:r>
        <w:rPr>
          <w:rFonts w:hint="eastAsia" w:hAnsi="宋体"/>
          <w:color w:val="auto"/>
          <w:sz w:val="24"/>
          <w:highlight w:val="none"/>
        </w:rPr>
        <w:t>投标人必须认真仔细踏勘施工现场，结合本工程实际情况，并在投标报价时综合考虑赶工措施费、二次搬运费、特殊条件下施工增加费、冬雨季施工增加费、夜间施工增加费、临时设施费、已完工程及设备保护费等总价措施费项目，并计入报价，该费用一次性包定，结算时一律不作调整。</w:t>
      </w:r>
    </w:p>
    <w:p w14:paraId="089EC244">
      <w:pPr>
        <w:spacing w:line="440" w:lineRule="exact"/>
        <w:ind w:firstLine="480" w:firstLineChars="200"/>
        <w:rPr>
          <w:rFonts w:ascii="宋体" w:hAnsi="宋体"/>
          <w:color w:val="auto"/>
          <w:sz w:val="24"/>
          <w:highlight w:val="none"/>
        </w:rPr>
      </w:pPr>
      <w:r>
        <w:rPr>
          <w:color w:val="auto"/>
          <w:sz w:val="24"/>
          <w:highlight w:val="none"/>
        </w:rPr>
        <w:t>19.13</w:t>
      </w:r>
      <w:r>
        <w:rPr>
          <w:rFonts w:hAnsi="宋体"/>
          <w:color w:val="auto"/>
          <w:sz w:val="24"/>
          <w:highlight w:val="none"/>
        </w:rPr>
        <w:t>各投标人应认真踏勘施工现场，并在报价中充分考虑施工现场情况、施工期的各种风险及施工期间或以后有可能发生的费用，并计入工程报价，一旦中标，不得提出额外增加费用要求。</w:t>
      </w:r>
    </w:p>
    <w:p w14:paraId="60A86CCA">
      <w:pPr>
        <w:spacing w:line="440" w:lineRule="exact"/>
        <w:ind w:firstLine="480" w:firstLineChars="200"/>
        <w:rPr>
          <w:rFonts w:ascii="宋体" w:hAnsi="宋体"/>
          <w:color w:val="auto"/>
          <w:sz w:val="24"/>
          <w:highlight w:val="none"/>
        </w:rPr>
      </w:pPr>
      <w:r>
        <w:rPr>
          <w:color w:val="auto"/>
          <w:sz w:val="24"/>
          <w:highlight w:val="none"/>
        </w:rPr>
        <w:t>19.14</w:t>
      </w:r>
      <w:r>
        <w:rPr>
          <w:rFonts w:hAnsi="宋体"/>
          <w:color w:val="auto"/>
          <w:sz w:val="24"/>
          <w:highlight w:val="none"/>
        </w:rPr>
        <w:t>本工程清单应与施工图、招标文件、技术要求、技术规范等文件结合起来阅读，除设计变更外，招标人在工程量清单项目特征中未列明或项目特征描述不全，但投标人为满足招标人和设计图纸的要求而必须完成的工作，投标人应计入工程量清单相应子目中，工程结算时招标人不为此类项目另外支付费用。</w:t>
      </w:r>
    </w:p>
    <w:p w14:paraId="2BB4B729">
      <w:pPr>
        <w:spacing w:line="440" w:lineRule="exact"/>
        <w:ind w:firstLine="480" w:firstLineChars="200"/>
        <w:rPr>
          <w:rFonts w:ascii="宋体" w:hAnsi="宋体"/>
          <w:color w:val="auto"/>
          <w:sz w:val="24"/>
          <w:highlight w:val="none"/>
        </w:rPr>
      </w:pPr>
      <w:r>
        <w:rPr>
          <w:rFonts w:hint="eastAsia"/>
          <w:color w:val="auto"/>
          <w:sz w:val="24"/>
          <w:highlight w:val="none"/>
        </w:rPr>
        <w:t>19.15</w:t>
      </w:r>
      <w:r>
        <w:rPr>
          <w:rFonts w:hAnsi="宋体"/>
          <w:color w:val="auto"/>
          <w:sz w:val="24"/>
          <w:highlight w:val="none"/>
        </w:rPr>
        <w:t>承包人须在单体竣工前拆除现场所有临时设施，包括所有的机械设备、硬化场地后的</w:t>
      </w:r>
      <w:r>
        <w:rPr>
          <w:rFonts w:hint="eastAsia" w:hAnsi="宋体"/>
          <w:color w:val="auto"/>
          <w:sz w:val="24"/>
          <w:highlight w:val="none"/>
          <w:lang w:eastAsia="zh-CN"/>
        </w:rPr>
        <w:t>场地</w:t>
      </w:r>
      <w:r>
        <w:rPr>
          <w:rFonts w:hAnsi="宋体"/>
          <w:color w:val="auto"/>
          <w:sz w:val="24"/>
          <w:highlight w:val="none"/>
        </w:rPr>
        <w:t>拆除，建筑垃圾及剩余材料全部清运出场，相关费用（含渣土证费用）由各投标人在报价时自行考虑到投标报价中，竣工结算时不作任何调整。清理标准应得到发包人的认可，否则，如发生相关费用则由发包人在工程结算价款中扣除。</w:t>
      </w:r>
    </w:p>
    <w:p w14:paraId="55ACBEBA">
      <w:pPr>
        <w:spacing w:line="440" w:lineRule="exact"/>
        <w:ind w:firstLine="480" w:firstLineChars="200"/>
        <w:rPr>
          <w:rFonts w:ascii="宋体" w:hAnsi="宋体"/>
          <w:color w:val="auto"/>
          <w:sz w:val="24"/>
          <w:highlight w:val="none"/>
        </w:rPr>
      </w:pPr>
      <w:r>
        <w:rPr>
          <w:color w:val="auto"/>
          <w:sz w:val="24"/>
          <w:highlight w:val="none"/>
        </w:rPr>
        <w:t>19.16</w:t>
      </w:r>
      <w:r>
        <w:rPr>
          <w:rFonts w:hAnsi="宋体"/>
          <w:color w:val="auto"/>
          <w:sz w:val="24"/>
          <w:highlight w:val="none"/>
        </w:rPr>
        <w:t>本工程所有乙供材料均由承包人在确保质量的前提下自行采购，材料价格按照中档的质量自行市场询价进入报价。发包人对材料的质量有认定权（如发包人对承包人采购的材料认定为不合格的，承包人必须重新采购，直至合格为止），施工时承包人需提供样品供建设单位选择，</w:t>
      </w:r>
      <w:r>
        <w:rPr>
          <w:rFonts w:hint="eastAsia" w:hAnsi="宋体"/>
          <w:color w:val="auto"/>
          <w:sz w:val="24"/>
          <w:highlight w:val="none"/>
          <w:lang w:eastAsia="zh-CN"/>
        </w:rPr>
        <w:t>涉及</w:t>
      </w:r>
      <w:r>
        <w:rPr>
          <w:rFonts w:hAnsi="宋体"/>
          <w:color w:val="auto"/>
          <w:sz w:val="24"/>
          <w:highlight w:val="none"/>
        </w:rPr>
        <w:t>的价格不再调整。</w:t>
      </w:r>
    </w:p>
    <w:p w14:paraId="35A8EC28">
      <w:pPr>
        <w:spacing w:line="440" w:lineRule="exact"/>
        <w:ind w:firstLine="480" w:firstLineChars="200"/>
        <w:rPr>
          <w:rFonts w:ascii="宋体" w:hAnsi="宋体"/>
          <w:color w:val="auto"/>
          <w:sz w:val="24"/>
          <w:highlight w:val="none"/>
        </w:rPr>
      </w:pPr>
      <w:r>
        <w:rPr>
          <w:color w:val="auto"/>
          <w:sz w:val="24"/>
          <w:highlight w:val="none"/>
        </w:rPr>
        <w:t>19.17</w:t>
      </w:r>
      <w:r>
        <w:rPr>
          <w:rFonts w:hAnsi="宋体"/>
          <w:color w:val="auto"/>
          <w:sz w:val="24"/>
          <w:highlight w:val="none"/>
        </w:rPr>
        <w:t>现场安全文明施工措施费、规费项目费、税金项目费、暂列金额（使用权归业主方）、暂估价（如有，不允许调整，暂估</w:t>
      </w:r>
      <w:r>
        <w:rPr>
          <w:rFonts w:hint="eastAsia" w:hAnsi="宋体"/>
          <w:color w:val="auto"/>
          <w:sz w:val="24"/>
          <w:highlight w:val="none"/>
          <w:lang w:eastAsia="zh-CN"/>
        </w:rPr>
        <w:t>材料</w:t>
      </w:r>
      <w:r>
        <w:rPr>
          <w:rFonts w:hAnsi="宋体"/>
          <w:color w:val="auto"/>
          <w:sz w:val="24"/>
          <w:highlight w:val="none"/>
        </w:rPr>
        <w:t>最终价格由招标人通过合适的方法确定）不得调整外，投标单位可根据自己的施工方案及企业自身情况不低于成本报价。</w:t>
      </w:r>
    </w:p>
    <w:p w14:paraId="544F3D2E">
      <w:pPr>
        <w:spacing w:line="440" w:lineRule="exact"/>
        <w:ind w:firstLine="480" w:firstLineChars="200"/>
        <w:rPr>
          <w:rFonts w:ascii="宋体" w:hAnsi="宋体"/>
          <w:color w:val="auto"/>
          <w:sz w:val="24"/>
          <w:highlight w:val="none"/>
        </w:rPr>
      </w:pPr>
      <w:r>
        <w:rPr>
          <w:color w:val="auto"/>
          <w:sz w:val="24"/>
          <w:highlight w:val="none"/>
        </w:rPr>
        <w:t>19.1</w:t>
      </w:r>
      <w:r>
        <w:rPr>
          <w:rFonts w:hint="eastAsia"/>
          <w:color w:val="auto"/>
          <w:sz w:val="24"/>
          <w:highlight w:val="none"/>
        </w:rPr>
        <w:t>8</w:t>
      </w:r>
      <w:r>
        <w:rPr>
          <w:rFonts w:hAnsi="宋体"/>
          <w:color w:val="auto"/>
          <w:sz w:val="24"/>
          <w:highlight w:val="none"/>
        </w:rPr>
        <w:t>作为一个有经验的承包商，投标报价时应考虑施工过程中可能发生的各种风险因素，在整个工程施工过程中，若发生对周边相关构筑物、设施损坏的，承包人必须负责更换或修复，直至得到发包人的认可，期间涉及的所有费用由投标人承担，招标人不再另行支付该项费用，结算时一律不作调整。</w:t>
      </w:r>
    </w:p>
    <w:p w14:paraId="6407430C">
      <w:pPr>
        <w:spacing w:line="440" w:lineRule="exact"/>
        <w:ind w:firstLine="480" w:firstLineChars="200"/>
        <w:rPr>
          <w:rFonts w:ascii="宋体" w:hAnsi="宋体"/>
          <w:color w:val="auto"/>
          <w:sz w:val="24"/>
          <w:highlight w:val="none"/>
        </w:rPr>
      </w:pPr>
      <w:r>
        <w:rPr>
          <w:color w:val="auto"/>
          <w:sz w:val="24"/>
          <w:highlight w:val="none"/>
        </w:rPr>
        <w:t>19.</w:t>
      </w:r>
      <w:r>
        <w:rPr>
          <w:rFonts w:hint="eastAsia"/>
          <w:color w:val="auto"/>
          <w:sz w:val="24"/>
          <w:highlight w:val="none"/>
        </w:rPr>
        <w:t>19</w:t>
      </w:r>
      <w:r>
        <w:rPr>
          <w:rFonts w:hAnsi="宋体"/>
          <w:color w:val="auto"/>
          <w:sz w:val="24"/>
          <w:highlight w:val="none"/>
        </w:rPr>
        <w:t>若投标单位在投标报价时擅自改变暂估价或暂列金额且评审时未被发现，报价低于暂估价或暂列金额结算时统一先按招标文件明确暂估价或暂列金额扣除，报价高于暂估价或暂列金额时统一先按报价扣除；若擅自改变招标文件及清单内容，且评标时未被发现的，实际施工时一律以招标文件及清单内容执行，结算价格不予调整。</w:t>
      </w:r>
    </w:p>
    <w:p w14:paraId="4D1B56ED">
      <w:pPr>
        <w:autoSpaceDE w:val="0"/>
        <w:autoSpaceDN w:val="0"/>
        <w:adjustRightInd w:val="0"/>
        <w:spacing w:line="420" w:lineRule="exact"/>
        <w:ind w:firstLine="480" w:firstLineChars="200"/>
        <w:jc w:val="left"/>
        <w:rPr>
          <w:rFonts w:hAnsi="宋体"/>
          <w:color w:val="auto"/>
          <w:sz w:val="24"/>
          <w:highlight w:val="none"/>
        </w:rPr>
      </w:pPr>
      <w:r>
        <w:rPr>
          <w:color w:val="auto"/>
          <w:sz w:val="24"/>
          <w:highlight w:val="none"/>
        </w:rPr>
        <w:t>19.20</w:t>
      </w:r>
      <w:r>
        <w:rPr>
          <w:rFonts w:hint="eastAsia" w:hAnsi="宋体"/>
          <w:color w:val="auto"/>
          <w:sz w:val="24"/>
          <w:highlight w:val="none"/>
        </w:rPr>
        <w:t>承包人在施工过程中必须收集齐全所有隐蔽项目（包含但不限于土方开挖外运、拆除、基层垫层面层的铺设及厚度测量、降水、回填处理、管道开挖安放、井开挖砌筑抹灰等）的施工全过程</w:t>
      </w:r>
      <w:r>
        <w:rPr>
          <w:rFonts w:hint="eastAsia" w:hAnsi="宋体"/>
          <w:color w:val="auto"/>
          <w:sz w:val="24"/>
          <w:highlight w:val="none"/>
          <w:lang w:eastAsia="zh-CN"/>
        </w:rPr>
        <w:t>影像</w:t>
      </w:r>
      <w:r>
        <w:rPr>
          <w:rFonts w:hint="eastAsia" w:hAnsi="宋体"/>
          <w:color w:val="auto"/>
          <w:sz w:val="24"/>
          <w:highlight w:val="none"/>
        </w:rPr>
        <w:t>视频资料以供后期审计使用，在送审结算资料中必须一并提交。所有签证资料必须附有详细影像彩色照片，所摄照片必须有可参照性。如隐蔽项目影像资料未能反映签证、清单及其他结算资料列明的工作内容，则结算时该项内容不予认可。</w:t>
      </w:r>
    </w:p>
    <w:p w14:paraId="6B309E31">
      <w:pPr>
        <w:spacing w:line="420" w:lineRule="exact"/>
        <w:ind w:firstLine="480" w:firstLineChars="200"/>
        <w:rPr>
          <w:rFonts w:hAnsi="宋体"/>
          <w:color w:val="auto"/>
          <w:sz w:val="24"/>
          <w:highlight w:val="none"/>
        </w:rPr>
      </w:pPr>
      <w:r>
        <w:rPr>
          <w:color w:val="auto"/>
          <w:sz w:val="24"/>
          <w:highlight w:val="none"/>
        </w:rPr>
        <w:t>19.21</w:t>
      </w:r>
      <w:r>
        <w:rPr>
          <w:rFonts w:hint="eastAsia" w:hAnsi="宋体"/>
          <w:color w:val="auto"/>
          <w:sz w:val="24"/>
          <w:highlight w:val="none"/>
        </w:rPr>
        <w:t>招标人未推荐品牌，投标人应考虑使用国产中档及以上且符合国家标准的合格产品进行报价（投标人充分考虑市场价格风险，一旦中标，材料价格不作调整）。在实际施工中，投标人必须提供样品报发包人、监理书面认可，否则，发包人可以要求施工单位无条件更换不符合要求的产品，购进的材料设备与提供的样品不一致时，由承包人无条件退货，如因使用不符合国家标准及各项指标的材料，由此引起的相关费用由承包人承担，结算时一律不作调整。乙供材料无特殊情况时，应由承包人采购。若因非发包人原因而承包人又不愿采购时，发包人可自行采购，且发包人有权按购买金额的5%向承包人收取违约金，且承包人须承担由此造成的利息、误工等责任。</w:t>
      </w:r>
    </w:p>
    <w:p w14:paraId="287BAB3F">
      <w:pPr>
        <w:spacing w:line="420" w:lineRule="exact"/>
        <w:ind w:firstLine="480" w:firstLineChars="200"/>
        <w:rPr>
          <w:rFonts w:hAnsi="宋体"/>
          <w:color w:val="auto"/>
          <w:sz w:val="24"/>
          <w:highlight w:val="none"/>
        </w:rPr>
      </w:pPr>
      <w:r>
        <w:rPr>
          <w:rFonts w:hAnsi="宋体"/>
          <w:color w:val="auto"/>
          <w:sz w:val="24"/>
          <w:highlight w:val="none"/>
        </w:rPr>
        <w:t>19.22</w:t>
      </w:r>
      <w:r>
        <w:rPr>
          <w:rFonts w:hint="eastAsia" w:hAnsi="宋体"/>
          <w:color w:val="auto"/>
          <w:sz w:val="24"/>
          <w:highlight w:val="none"/>
        </w:rPr>
        <w:t>与其他承包商间的协调、配合关系，由承包人自行解决，确保各分项工程满足设计图纸、验收规范等要求，发生的费用由投标人自行承担，并相互做好成品保护工作，并无条件接受招标人的总包管理，不再另行支付任何涉及工序交叉影响的费用。</w:t>
      </w:r>
    </w:p>
    <w:p w14:paraId="5DE33524">
      <w:pPr>
        <w:spacing w:line="420" w:lineRule="exact"/>
        <w:ind w:firstLine="480" w:firstLineChars="200"/>
        <w:rPr>
          <w:rFonts w:hAnsi="宋体"/>
          <w:color w:val="auto"/>
          <w:sz w:val="24"/>
          <w:highlight w:val="none"/>
        </w:rPr>
      </w:pPr>
      <w:r>
        <w:rPr>
          <w:rFonts w:hint="eastAsia"/>
          <w:color w:val="auto"/>
          <w:sz w:val="24"/>
          <w:highlight w:val="none"/>
        </w:rPr>
        <w:t>19</w:t>
      </w:r>
      <w:r>
        <w:rPr>
          <w:color w:val="auto"/>
          <w:sz w:val="24"/>
          <w:highlight w:val="none"/>
        </w:rPr>
        <w:t>.</w:t>
      </w:r>
      <w:r>
        <w:rPr>
          <w:rFonts w:hint="eastAsia"/>
          <w:color w:val="auto"/>
          <w:sz w:val="24"/>
          <w:highlight w:val="none"/>
        </w:rPr>
        <w:t>2</w:t>
      </w:r>
      <w:r>
        <w:rPr>
          <w:color w:val="auto"/>
          <w:sz w:val="24"/>
          <w:highlight w:val="none"/>
        </w:rPr>
        <w:t>3</w:t>
      </w:r>
      <w:r>
        <w:rPr>
          <w:rFonts w:hint="eastAsia" w:hAnsi="宋体"/>
          <w:color w:val="auto"/>
          <w:sz w:val="24"/>
          <w:highlight w:val="none"/>
        </w:rPr>
        <w:t>中标人</w:t>
      </w:r>
      <w:r>
        <w:rPr>
          <w:rFonts w:hAnsi="宋体"/>
          <w:color w:val="auto"/>
          <w:sz w:val="24"/>
          <w:highlight w:val="none"/>
        </w:rPr>
        <w:t>不得</w:t>
      </w:r>
      <w:r>
        <w:rPr>
          <w:rFonts w:hint="eastAsia" w:hAnsi="宋体"/>
          <w:color w:val="auto"/>
          <w:sz w:val="24"/>
          <w:highlight w:val="none"/>
        </w:rPr>
        <w:t>野蛮</w:t>
      </w:r>
      <w:r>
        <w:rPr>
          <w:rFonts w:hAnsi="宋体"/>
          <w:color w:val="auto"/>
          <w:sz w:val="24"/>
          <w:highlight w:val="none"/>
        </w:rPr>
        <w:t>施工，施工中</w:t>
      </w:r>
      <w:r>
        <w:rPr>
          <w:rFonts w:hint="eastAsia" w:hAnsi="宋体"/>
          <w:color w:val="auto"/>
          <w:sz w:val="24"/>
          <w:highlight w:val="none"/>
        </w:rPr>
        <w:t>必须</w:t>
      </w:r>
      <w:r>
        <w:rPr>
          <w:rFonts w:hAnsi="宋体"/>
          <w:color w:val="auto"/>
          <w:sz w:val="24"/>
          <w:highlight w:val="none"/>
        </w:rPr>
        <w:t>采取有效的</w:t>
      </w:r>
      <w:r>
        <w:rPr>
          <w:rFonts w:hint="eastAsia" w:hAnsi="宋体"/>
          <w:color w:val="auto"/>
          <w:sz w:val="24"/>
          <w:highlight w:val="none"/>
        </w:rPr>
        <w:t>保护</w:t>
      </w:r>
      <w:r>
        <w:rPr>
          <w:rFonts w:hAnsi="宋体"/>
          <w:color w:val="auto"/>
          <w:sz w:val="24"/>
          <w:highlight w:val="none"/>
        </w:rPr>
        <w:t>措施</w:t>
      </w:r>
      <w:r>
        <w:rPr>
          <w:rFonts w:hint="eastAsia" w:hAnsi="宋体"/>
          <w:color w:val="auto"/>
          <w:sz w:val="24"/>
          <w:highlight w:val="none"/>
        </w:rPr>
        <w:t>，</w:t>
      </w:r>
      <w:r>
        <w:rPr>
          <w:rFonts w:hAnsi="宋体"/>
          <w:color w:val="auto"/>
          <w:sz w:val="24"/>
          <w:highlight w:val="none"/>
        </w:rPr>
        <w:t>该费用由投标人在投标报价时自行综合考虑并计入报价，对周围建筑物、构筑物</w:t>
      </w:r>
      <w:r>
        <w:rPr>
          <w:rFonts w:hint="eastAsia" w:hAnsi="宋体"/>
          <w:color w:val="auto"/>
          <w:sz w:val="24"/>
          <w:highlight w:val="none"/>
        </w:rPr>
        <w:t>、</w:t>
      </w:r>
      <w:r>
        <w:rPr>
          <w:rFonts w:hAnsi="宋体"/>
          <w:color w:val="auto"/>
          <w:sz w:val="24"/>
          <w:highlight w:val="none"/>
        </w:rPr>
        <w:t>公共设施等造成损坏、破坏的，由中标人</w:t>
      </w:r>
      <w:r>
        <w:rPr>
          <w:rFonts w:hint="eastAsia" w:hAnsi="宋体"/>
          <w:color w:val="auto"/>
          <w:sz w:val="24"/>
          <w:highlight w:val="none"/>
        </w:rPr>
        <w:t>负责按</w:t>
      </w:r>
      <w:r>
        <w:rPr>
          <w:rFonts w:hAnsi="宋体"/>
          <w:color w:val="auto"/>
          <w:sz w:val="24"/>
          <w:highlight w:val="none"/>
        </w:rPr>
        <w:t>原</w:t>
      </w:r>
      <w:r>
        <w:rPr>
          <w:rFonts w:hint="eastAsia" w:hAnsi="宋体"/>
          <w:color w:val="auto"/>
          <w:sz w:val="24"/>
          <w:highlight w:val="none"/>
        </w:rPr>
        <w:t>标准进行恢复，</w:t>
      </w:r>
      <w:r>
        <w:rPr>
          <w:rFonts w:hAnsi="宋体"/>
          <w:color w:val="auto"/>
          <w:sz w:val="24"/>
          <w:highlight w:val="none"/>
        </w:rPr>
        <w:t>费用列入报价。</w:t>
      </w:r>
      <w:r>
        <w:rPr>
          <w:rFonts w:hint="eastAsia" w:hAnsi="宋体"/>
          <w:color w:val="auto"/>
          <w:sz w:val="24"/>
          <w:highlight w:val="none"/>
        </w:rPr>
        <w:t>如中标人不能及时按招标人要求恢复，招标人有权委托其他单位实施，相关费用从中标人合同价中予以扣除。</w:t>
      </w:r>
    </w:p>
    <w:p w14:paraId="2BC6BE5E">
      <w:pPr>
        <w:spacing w:line="420" w:lineRule="exact"/>
        <w:ind w:firstLine="480" w:firstLineChars="200"/>
        <w:rPr>
          <w:rFonts w:hint="eastAsia" w:hAnsi="宋体"/>
          <w:color w:val="auto"/>
          <w:sz w:val="24"/>
          <w:highlight w:val="none"/>
        </w:rPr>
      </w:pPr>
      <w:r>
        <w:rPr>
          <w:rFonts w:hAnsi="宋体"/>
          <w:color w:val="auto"/>
          <w:sz w:val="24"/>
          <w:highlight w:val="none"/>
        </w:rPr>
        <w:t>19.24</w:t>
      </w:r>
      <w:r>
        <w:rPr>
          <w:rFonts w:hint="eastAsia" w:hAnsi="宋体"/>
          <w:color w:val="auto"/>
          <w:sz w:val="24"/>
          <w:highlight w:val="none"/>
        </w:rPr>
        <w:t>本工程运出的建筑垃圾等必须运出崇川区范围之外，否则发现一车，招标人将向中标人收取</w:t>
      </w:r>
      <w:r>
        <w:rPr>
          <w:rFonts w:hint="eastAsia" w:hAnsi="宋体"/>
          <w:color w:val="auto"/>
          <w:sz w:val="24"/>
          <w:highlight w:val="none"/>
          <w:lang w:eastAsia="zh-CN"/>
        </w:rPr>
        <w:t>1万-10万</w:t>
      </w:r>
      <w:r>
        <w:rPr>
          <w:rFonts w:hint="eastAsia" w:hAnsi="宋体"/>
          <w:color w:val="auto"/>
          <w:sz w:val="24"/>
          <w:highlight w:val="none"/>
        </w:rPr>
        <w:t>元/车的违约金，并有权要求其重新清运出崇川区。渣土堆放地点(必须符合南通市崇川区建筑垃圾</w:t>
      </w:r>
      <w:r>
        <w:rPr>
          <w:rFonts w:hint="eastAsia" w:hAnsi="宋体"/>
          <w:color w:val="auto"/>
          <w:sz w:val="24"/>
          <w:highlight w:val="none"/>
          <w:lang w:eastAsia="zh-CN"/>
        </w:rPr>
        <w:t>（</w:t>
      </w:r>
      <w:r>
        <w:rPr>
          <w:rFonts w:hint="eastAsia" w:hAnsi="宋体"/>
          <w:color w:val="auto"/>
          <w:sz w:val="24"/>
          <w:highlight w:val="none"/>
        </w:rPr>
        <w:t>渣土</w:t>
      </w:r>
      <w:r>
        <w:rPr>
          <w:rFonts w:hint="eastAsia" w:hAnsi="宋体"/>
          <w:color w:val="auto"/>
          <w:sz w:val="24"/>
          <w:highlight w:val="none"/>
          <w:lang w:eastAsia="zh-CN"/>
        </w:rPr>
        <w:t>）</w:t>
      </w:r>
      <w:r>
        <w:rPr>
          <w:rFonts w:hint="eastAsia" w:hAnsi="宋体"/>
          <w:color w:val="auto"/>
          <w:sz w:val="24"/>
          <w:highlight w:val="none"/>
        </w:rPr>
        <w:t>管理中心要求。</w:t>
      </w:r>
    </w:p>
    <w:p w14:paraId="6E7AAF70">
      <w:pPr>
        <w:spacing w:line="420" w:lineRule="exact"/>
        <w:ind w:firstLine="480" w:firstLineChars="200"/>
        <w:rPr>
          <w:rFonts w:hint="eastAsia" w:hAnsi="宋体"/>
          <w:color w:val="auto"/>
          <w:sz w:val="24"/>
          <w:highlight w:val="none"/>
        </w:rPr>
      </w:pPr>
      <w:r>
        <w:rPr>
          <w:rFonts w:hAnsi="宋体"/>
          <w:color w:val="auto"/>
          <w:sz w:val="24"/>
          <w:highlight w:val="none"/>
        </w:rPr>
        <w:t>19.2</w:t>
      </w:r>
      <w:r>
        <w:rPr>
          <w:rFonts w:hint="eastAsia" w:hAnsi="宋体"/>
          <w:color w:val="auto"/>
          <w:sz w:val="24"/>
          <w:highlight w:val="none"/>
          <w:lang w:val="en-US" w:eastAsia="zh-CN"/>
        </w:rPr>
        <w:t>5</w:t>
      </w:r>
      <w:r>
        <w:rPr>
          <w:rFonts w:hint="eastAsia" w:hAnsi="宋体"/>
          <w:color w:val="auto"/>
          <w:sz w:val="24"/>
          <w:highlight w:val="none"/>
        </w:rPr>
        <w:t>中标单位有责任配合与本工程相关的所有施工单位的相关工作，管理费和配合费已包含在合同</w:t>
      </w:r>
      <w:r>
        <w:rPr>
          <w:rFonts w:hint="eastAsia" w:hAnsi="宋体"/>
          <w:color w:val="auto"/>
          <w:sz w:val="24"/>
          <w:highlight w:val="none"/>
          <w:lang w:eastAsia="zh-CN"/>
        </w:rPr>
        <w:t>价中</w:t>
      </w:r>
      <w:r>
        <w:rPr>
          <w:rFonts w:hint="eastAsia" w:hAnsi="宋体"/>
          <w:color w:val="auto"/>
          <w:sz w:val="24"/>
          <w:highlight w:val="none"/>
        </w:rPr>
        <w:t>，结算时概不调整。</w:t>
      </w:r>
    </w:p>
    <w:p w14:paraId="09EA7B64">
      <w:pPr>
        <w:spacing w:line="420" w:lineRule="exact"/>
        <w:ind w:firstLine="480" w:firstLineChars="200"/>
        <w:rPr>
          <w:rFonts w:hAnsi="宋体"/>
          <w:color w:val="auto"/>
          <w:sz w:val="24"/>
          <w:highlight w:val="none"/>
        </w:rPr>
      </w:pPr>
      <w:r>
        <w:rPr>
          <w:rFonts w:hAnsi="宋体"/>
          <w:color w:val="auto"/>
          <w:sz w:val="24"/>
          <w:highlight w:val="none"/>
        </w:rPr>
        <w:t>19.2</w:t>
      </w:r>
      <w:r>
        <w:rPr>
          <w:rFonts w:hint="eastAsia" w:hAnsi="宋体"/>
          <w:color w:val="auto"/>
          <w:sz w:val="24"/>
          <w:highlight w:val="none"/>
          <w:lang w:val="en-US" w:eastAsia="zh-CN"/>
        </w:rPr>
        <w:t>6</w:t>
      </w:r>
      <w:r>
        <w:rPr>
          <w:rFonts w:hint="eastAsia" w:hAnsi="宋体"/>
          <w:color w:val="auto"/>
          <w:sz w:val="24"/>
          <w:highlight w:val="none"/>
        </w:rPr>
        <w:t>其他未尽事宜在书面答疑中明确。</w:t>
      </w:r>
    </w:p>
    <w:p w14:paraId="335AF465">
      <w:pPr>
        <w:pStyle w:val="382"/>
        <w:spacing w:line="420" w:lineRule="exact"/>
        <w:outlineLvl w:val="1"/>
        <w:rPr>
          <w:rFonts w:ascii="宋体" w:hAnsi="宋体"/>
          <w:b/>
          <w:color w:val="auto"/>
          <w:szCs w:val="24"/>
          <w:highlight w:val="none"/>
        </w:rPr>
      </w:pPr>
      <w:r>
        <w:rPr>
          <w:rFonts w:hint="eastAsia" w:ascii="宋体" w:hAnsi="宋体"/>
          <w:b/>
          <w:color w:val="auto"/>
          <w:szCs w:val="24"/>
          <w:highlight w:val="none"/>
          <w:lang w:eastAsia="zh-CN"/>
        </w:rPr>
        <w:t>（</w:t>
      </w:r>
      <w:r>
        <w:rPr>
          <w:rFonts w:ascii="宋体" w:hAnsi="宋体"/>
          <w:b/>
          <w:color w:val="auto"/>
          <w:szCs w:val="24"/>
          <w:highlight w:val="none"/>
        </w:rPr>
        <w:t>五</w:t>
      </w:r>
      <w:r>
        <w:rPr>
          <w:rFonts w:hint="eastAsia" w:ascii="宋体" w:hAnsi="宋体"/>
          <w:b/>
          <w:color w:val="auto"/>
          <w:szCs w:val="24"/>
          <w:highlight w:val="none"/>
          <w:lang w:eastAsia="zh-CN"/>
        </w:rPr>
        <w:t>）</w:t>
      </w:r>
      <w:r>
        <w:rPr>
          <w:rFonts w:ascii="宋体" w:hAnsi="宋体"/>
          <w:b/>
          <w:color w:val="auto"/>
          <w:szCs w:val="24"/>
          <w:highlight w:val="none"/>
        </w:rPr>
        <w:t xml:space="preserve"> 投标文件的密封和递交</w:t>
      </w:r>
    </w:p>
    <w:p w14:paraId="04B84B99">
      <w:pPr>
        <w:spacing w:line="440" w:lineRule="exact"/>
        <w:ind w:firstLine="482" w:firstLineChars="200"/>
        <w:rPr>
          <w:rFonts w:ascii="宋体" w:hAnsi="宋体"/>
          <w:b/>
          <w:color w:val="auto"/>
          <w:sz w:val="24"/>
          <w:highlight w:val="none"/>
        </w:rPr>
      </w:pPr>
      <w:r>
        <w:rPr>
          <w:rFonts w:ascii="宋体" w:hAnsi="宋体"/>
          <w:b/>
          <w:color w:val="auto"/>
          <w:sz w:val="24"/>
          <w:highlight w:val="none"/>
        </w:rPr>
        <w:t>20</w:t>
      </w:r>
      <w:r>
        <w:rPr>
          <w:rFonts w:hint="eastAsia" w:ascii="宋体" w:hAnsi="宋体"/>
          <w:b/>
          <w:color w:val="auto"/>
          <w:sz w:val="24"/>
          <w:highlight w:val="none"/>
        </w:rPr>
        <w:t>、</w:t>
      </w:r>
      <w:r>
        <w:rPr>
          <w:rFonts w:ascii="宋体" w:hAnsi="宋体"/>
          <w:b/>
          <w:color w:val="auto"/>
          <w:sz w:val="24"/>
          <w:highlight w:val="none"/>
        </w:rPr>
        <w:t>投标文件的密封与标志</w:t>
      </w:r>
    </w:p>
    <w:p w14:paraId="2229F693">
      <w:pPr>
        <w:spacing w:line="440" w:lineRule="exact"/>
        <w:ind w:firstLine="480" w:firstLineChars="200"/>
        <w:rPr>
          <w:rFonts w:hint="eastAsia" w:ascii="宋体" w:hAnsi="宋体"/>
          <w:color w:val="auto"/>
          <w:sz w:val="24"/>
          <w:highlight w:val="none"/>
        </w:rPr>
      </w:pPr>
      <w:r>
        <w:rPr>
          <w:rFonts w:hint="eastAsia" w:ascii="宋体" w:hAnsi="宋体"/>
          <w:color w:val="auto"/>
          <w:sz w:val="24"/>
          <w:highlight w:val="none"/>
        </w:rPr>
        <w:t>20.1 本工程投标文件由</w:t>
      </w:r>
      <w:r>
        <w:rPr>
          <w:rFonts w:hint="eastAsia" w:ascii="宋体" w:hAnsi="宋体"/>
          <w:b/>
          <w:bCs/>
          <w:color w:val="auto"/>
          <w:sz w:val="24"/>
          <w:highlight w:val="none"/>
          <w:u w:val="single"/>
        </w:rPr>
        <w:t>资格审查资料包、商务标</w:t>
      </w:r>
      <w:r>
        <w:rPr>
          <w:rFonts w:hint="eastAsia" w:ascii="宋体" w:hAnsi="宋体"/>
          <w:color w:val="auto"/>
          <w:sz w:val="24"/>
          <w:highlight w:val="none"/>
        </w:rPr>
        <w:t>二部分组成。</w:t>
      </w:r>
    </w:p>
    <w:p w14:paraId="3514D10E">
      <w:pPr>
        <w:spacing w:line="440" w:lineRule="exact"/>
        <w:ind w:firstLine="482" w:firstLineChars="200"/>
        <w:rPr>
          <w:rFonts w:hint="eastAsia" w:ascii="宋体" w:hAnsi="宋体"/>
          <w:b/>
          <w:bCs/>
          <w:color w:val="auto"/>
          <w:sz w:val="24"/>
          <w:highlight w:val="none"/>
        </w:rPr>
      </w:pPr>
      <w:r>
        <w:rPr>
          <w:rFonts w:hint="eastAsia" w:ascii="宋体" w:hAnsi="宋体"/>
          <w:b/>
          <w:bCs/>
          <w:color w:val="auto"/>
          <w:sz w:val="24"/>
          <w:highlight w:val="none"/>
        </w:rPr>
        <w:t>20.2资格审查资料包正本</w:t>
      </w:r>
      <w:r>
        <w:rPr>
          <w:rFonts w:hint="eastAsia" w:ascii="宋体" w:hAnsi="宋体"/>
          <w:b/>
          <w:bCs/>
          <w:color w:val="auto"/>
          <w:sz w:val="24"/>
          <w:highlight w:val="none"/>
          <w:u w:val="single"/>
        </w:rPr>
        <w:t xml:space="preserve"> 壹 </w:t>
      </w:r>
      <w:r>
        <w:rPr>
          <w:rFonts w:hint="eastAsia" w:ascii="宋体" w:hAnsi="宋体"/>
          <w:b/>
          <w:bCs/>
          <w:color w:val="auto"/>
          <w:sz w:val="24"/>
          <w:highlight w:val="none"/>
        </w:rPr>
        <w:t>份，副本</w:t>
      </w:r>
      <w:r>
        <w:rPr>
          <w:rFonts w:hint="eastAsia" w:ascii="宋体" w:hAnsi="宋体"/>
          <w:b/>
          <w:bCs/>
          <w:color w:val="auto"/>
          <w:sz w:val="24"/>
          <w:highlight w:val="none"/>
          <w:u w:val="single"/>
        </w:rPr>
        <w:t xml:space="preserve"> 贰 </w:t>
      </w:r>
      <w:r>
        <w:rPr>
          <w:rFonts w:hint="eastAsia" w:ascii="宋体" w:hAnsi="宋体"/>
          <w:b/>
          <w:bCs/>
          <w:color w:val="auto"/>
          <w:sz w:val="24"/>
          <w:highlight w:val="none"/>
        </w:rPr>
        <w:t>份；商务标包正本</w:t>
      </w:r>
      <w:r>
        <w:rPr>
          <w:rFonts w:hint="eastAsia" w:ascii="宋体" w:hAnsi="宋体"/>
          <w:b/>
          <w:bCs/>
          <w:color w:val="auto"/>
          <w:sz w:val="24"/>
          <w:highlight w:val="none"/>
          <w:u w:val="single"/>
        </w:rPr>
        <w:t xml:space="preserve"> 壹 </w:t>
      </w:r>
      <w:r>
        <w:rPr>
          <w:rFonts w:hint="eastAsia" w:ascii="宋体" w:hAnsi="宋体"/>
          <w:b/>
          <w:bCs/>
          <w:color w:val="auto"/>
          <w:sz w:val="24"/>
          <w:highlight w:val="none"/>
        </w:rPr>
        <w:t>份，副本</w:t>
      </w:r>
      <w:r>
        <w:rPr>
          <w:rFonts w:hint="eastAsia" w:ascii="宋体" w:hAnsi="宋体"/>
          <w:b/>
          <w:bCs/>
          <w:color w:val="auto"/>
          <w:sz w:val="24"/>
          <w:highlight w:val="none"/>
          <w:u w:val="single"/>
        </w:rPr>
        <w:t xml:space="preserve"> 贰 </w:t>
      </w:r>
      <w:r>
        <w:rPr>
          <w:rFonts w:hint="eastAsia" w:ascii="宋体" w:hAnsi="宋体"/>
          <w:b/>
          <w:bCs/>
          <w:color w:val="auto"/>
          <w:sz w:val="24"/>
          <w:highlight w:val="none"/>
        </w:rPr>
        <w:t>份。资格审查资料包、商务标分别标明“正本</w:t>
      </w:r>
      <w:r>
        <w:rPr>
          <w:rFonts w:hint="eastAsia" w:ascii="宋体" w:hAnsi="宋体"/>
          <w:b/>
          <w:bCs/>
          <w:color w:val="auto"/>
          <w:sz w:val="24"/>
          <w:highlight w:val="none"/>
          <w:lang w:eastAsia="zh-CN"/>
        </w:rPr>
        <w:t>”“</w:t>
      </w:r>
      <w:r>
        <w:rPr>
          <w:rFonts w:hint="eastAsia" w:ascii="宋体" w:hAnsi="宋体"/>
          <w:b/>
          <w:bCs/>
          <w:color w:val="auto"/>
          <w:sz w:val="24"/>
          <w:highlight w:val="none"/>
        </w:rPr>
        <w:t>副本”。</w:t>
      </w:r>
    </w:p>
    <w:p w14:paraId="5205BD8C">
      <w:pPr>
        <w:spacing w:line="440" w:lineRule="exact"/>
        <w:rPr>
          <w:rFonts w:hint="eastAsia" w:ascii="宋体" w:hAnsi="宋体"/>
          <w:b/>
          <w:bCs/>
          <w:color w:val="auto"/>
          <w:sz w:val="24"/>
          <w:highlight w:val="none"/>
        </w:rPr>
      </w:pPr>
      <w:r>
        <w:rPr>
          <w:rFonts w:hint="eastAsia" w:ascii="宋体" w:hAnsi="宋体"/>
          <w:b/>
          <w:bCs/>
          <w:color w:val="auto"/>
          <w:sz w:val="24"/>
          <w:highlight w:val="none"/>
        </w:rPr>
        <w:t>资格审查资料包、商务标</w:t>
      </w:r>
      <w:r>
        <w:rPr>
          <w:rFonts w:hint="eastAsia" w:ascii="宋体" w:hAnsi="宋体"/>
          <w:b/>
          <w:bCs/>
          <w:color w:val="auto"/>
          <w:sz w:val="24"/>
          <w:highlight w:val="none"/>
          <w:lang w:eastAsia="zh-CN"/>
        </w:rPr>
        <w:t>两部</w:t>
      </w:r>
      <w:r>
        <w:rPr>
          <w:rFonts w:hint="eastAsia" w:ascii="宋体" w:hAnsi="宋体"/>
          <w:b/>
          <w:bCs/>
          <w:color w:val="auto"/>
          <w:sz w:val="24"/>
          <w:highlight w:val="none"/>
        </w:rPr>
        <w:t>分，必须分袋密封，并在封袋上加盖投标人单位公章和单位法定代表人章，另须在封袋上标明 “资格审查资料包”或“商务标”，同时还要写明招标人名称、工程名称及投标人名称。</w:t>
      </w:r>
    </w:p>
    <w:p w14:paraId="36C8A847">
      <w:pPr>
        <w:spacing w:line="440" w:lineRule="exact"/>
        <w:ind w:firstLine="482" w:firstLineChars="200"/>
        <w:rPr>
          <w:rFonts w:hint="eastAsia" w:ascii="宋体" w:hAnsi="宋体"/>
          <w:color w:val="auto"/>
          <w:sz w:val="24"/>
          <w:highlight w:val="none"/>
        </w:rPr>
      </w:pPr>
      <w:r>
        <w:rPr>
          <w:rFonts w:hint="eastAsia" w:ascii="宋体" w:hAnsi="宋体"/>
          <w:b/>
          <w:bCs/>
          <w:color w:val="auto"/>
          <w:sz w:val="24"/>
          <w:highlight w:val="none"/>
        </w:rPr>
        <w:t>20.3 所有投标文件的密封袋上均应加盖投标人公章和法定代表人印章。</w:t>
      </w:r>
      <w:r>
        <w:rPr>
          <w:rFonts w:hint="eastAsia" w:ascii="宋体" w:hAnsi="宋体"/>
          <w:color w:val="auto"/>
          <w:sz w:val="24"/>
          <w:highlight w:val="none"/>
        </w:rPr>
        <w:t>投标人未按上述规定提交投标文件，其投标文件将被拒绝，并退还给投标人。</w:t>
      </w:r>
    </w:p>
    <w:p w14:paraId="13DD307D">
      <w:pPr>
        <w:spacing w:line="440" w:lineRule="exact"/>
        <w:ind w:firstLine="480" w:firstLineChars="200"/>
        <w:rPr>
          <w:rFonts w:hint="eastAsia" w:ascii="宋体" w:hAnsi="宋体"/>
          <w:color w:val="auto"/>
          <w:sz w:val="24"/>
          <w:highlight w:val="none"/>
        </w:rPr>
      </w:pPr>
      <w:r>
        <w:rPr>
          <w:rFonts w:hint="eastAsia" w:ascii="宋体" w:hAnsi="宋体"/>
          <w:color w:val="auto"/>
          <w:sz w:val="24"/>
          <w:highlight w:val="none"/>
        </w:rPr>
        <w:t>20.4 投标文件正、副本不一致时，以正本为准。</w:t>
      </w:r>
    </w:p>
    <w:p w14:paraId="57B3E974">
      <w:pPr>
        <w:spacing w:line="440" w:lineRule="exact"/>
        <w:rPr>
          <w:rFonts w:ascii="宋体" w:hAnsi="宋体"/>
          <w:b/>
          <w:color w:val="auto"/>
          <w:sz w:val="24"/>
          <w:highlight w:val="none"/>
        </w:rPr>
      </w:pPr>
      <w:r>
        <w:rPr>
          <w:rFonts w:ascii="宋体" w:hAnsi="宋体"/>
          <w:color w:val="auto"/>
          <w:sz w:val="24"/>
          <w:highlight w:val="none"/>
        </w:rPr>
        <w:t xml:space="preserve">    </w:t>
      </w:r>
      <w:r>
        <w:rPr>
          <w:rFonts w:ascii="宋体" w:hAnsi="宋体"/>
          <w:b/>
          <w:color w:val="auto"/>
          <w:sz w:val="24"/>
          <w:highlight w:val="none"/>
        </w:rPr>
        <w:t>21.投标文件的递交</w:t>
      </w:r>
    </w:p>
    <w:p w14:paraId="35DAFF7A">
      <w:pPr>
        <w:spacing w:line="440" w:lineRule="exact"/>
        <w:ind w:firstLine="480"/>
        <w:rPr>
          <w:rFonts w:ascii="宋体" w:hAnsi="宋体"/>
          <w:color w:val="auto"/>
          <w:sz w:val="24"/>
          <w:highlight w:val="none"/>
        </w:rPr>
      </w:pPr>
      <w:r>
        <w:rPr>
          <w:rFonts w:ascii="宋体" w:hAnsi="宋体"/>
          <w:color w:val="auto"/>
          <w:sz w:val="24"/>
          <w:highlight w:val="none"/>
        </w:rPr>
        <w:t>21.1投标人应在投标人须知前附表</w:t>
      </w:r>
      <w:r>
        <w:rPr>
          <w:rFonts w:ascii="宋体" w:hAnsi="宋体"/>
          <w:color w:val="auto"/>
          <w:sz w:val="24"/>
          <w:highlight w:val="none"/>
          <w:u w:val="single"/>
        </w:rPr>
        <w:t>第18条</w:t>
      </w:r>
      <w:r>
        <w:rPr>
          <w:rFonts w:ascii="宋体" w:hAnsi="宋体"/>
          <w:color w:val="auto"/>
          <w:sz w:val="24"/>
          <w:highlight w:val="none"/>
        </w:rPr>
        <w:t>规定的投标文件递交截止时间之前完成纸质投标文件的递交。招标人延长递交投标文件截止时间的，招标人与投标人在原投标截止期的全部权利、义务、责任将适用于延长后新的投标截止期。</w:t>
      </w:r>
    </w:p>
    <w:p w14:paraId="7451672E">
      <w:pPr>
        <w:spacing w:line="440" w:lineRule="exact"/>
        <w:ind w:firstLine="480"/>
        <w:rPr>
          <w:rFonts w:ascii="宋体" w:hAnsi="宋体"/>
          <w:color w:val="auto"/>
          <w:sz w:val="24"/>
          <w:highlight w:val="none"/>
        </w:rPr>
      </w:pPr>
      <w:r>
        <w:rPr>
          <w:rFonts w:ascii="宋体" w:hAnsi="宋体"/>
          <w:color w:val="auto"/>
          <w:sz w:val="24"/>
          <w:highlight w:val="none"/>
        </w:rPr>
        <w:t>21.2逾期送达的或者未送达指定地点的投标文件，招标人不予受理。</w:t>
      </w:r>
    </w:p>
    <w:p w14:paraId="03187D59">
      <w:pPr>
        <w:spacing w:line="440" w:lineRule="exact"/>
        <w:ind w:firstLine="480"/>
        <w:rPr>
          <w:rFonts w:ascii="宋体" w:hAnsi="宋体"/>
          <w:b/>
          <w:color w:val="auto"/>
          <w:sz w:val="24"/>
          <w:highlight w:val="none"/>
        </w:rPr>
      </w:pPr>
      <w:r>
        <w:rPr>
          <w:rFonts w:ascii="宋体" w:hAnsi="宋体"/>
          <w:b/>
          <w:color w:val="auto"/>
          <w:sz w:val="24"/>
          <w:highlight w:val="none"/>
        </w:rPr>
        <w:t>22.投标文件的修改与撤回</w:t>
      </w:r>
    </w:p>
    <w:p w14:paraId="5280F531">
      <w:pPr>
        <w:spacing w:line="440" w:lineRule="exact"/>
        <w:ind w:firstLine="480"/>
        <w:rPr>
          <w:rFonts w:ascii="宋体" w:hAnsi="宋体"/>
          <w:b/>
          <w:color w:val="auto"/>
          <w:sz w:val="24"/>
          <w:highlight w:val="none"/>
        </w:rPr>
      </w:pPr>
      <w:r>
        <w:rPr>
          <w:rFonts w:ascii="宋体" w:hAnsi="宋体"/>
          <w:color w:val="auto"/>
          <w:sz w:val="24"/>
          <w:highlight w:val="none"/>
        </w:rPr>
        <w:t>投标截止时间之前，投标人可对所递交的投标文件进行修改或撤回，但所递交的修改或撤回通知必须按招标文件的规定进行编制、密封、标志</w:t>
      </w:r>
      <w:r>
        <w:rPr>
          <w:rFonts w:hint="eastAsia" w:ascii="宋体" w:hAnsi="宋体"/>
          <w:color w:val="auto"/>
          <w:sz w:val="24"/>
          <w:highlight w:val="none"/>
          <w:lang w:eastAsia="zh-CN"/>
        </w:rPr>
        <w:t>（</w:t>
      </w:r>
      <w:r>
        <w:rPr>
          <w:rFonts w:ascii="宋体" w:hAnsi="宋体"/>
          <w:color w:val="auto"/>
          <w:sz w:val="24"/>
          <w:highlight w:val="none"/>
        </w:rPr>
        <w:t>在包封上标明“修改”或“撤回”字样，并注明修改或撤回的时间</w:t>
      </w:r>
      <w:r>
        <w:rPr>
          <w:rFonts w:hint="eastAsia" w:ascii="宋体" w:hAnsi="宋体"/>
          <w:color w:val="auto"/>
          <w:sz w:val="24"/>
          <w:highlight w:val="none"/>
          <w:lang w:eastAsia="zh-CN"/>
        </w:rPr>
        <w:t>）</w:t>
      </w:r>
      <w:r>
        <w:rPr>
          <w:rFonts w:ascii="宋体" w:hAnsi="宋体"/>
          <w:color w:val="auto"/>
          <w:sz w:val="24"/>
          <w:highlight w:val="none"/>
        </w:rPr>
        <w:t>和递交。投标截止时间之后，投标人不得修改或撤回投标文件。</w:t>
      </w:r>
    </w:p>
    <w:p w14:paraId="60517F81">
      <w:pPr>
        <w:pStyle w:val="5"/>
        <w:jc w:val="center"/>
        <w:rPr>
          <w:rFonts w:ascii="Times New Roman" w:hAnsi="Times New Roman" w:eastAsia="宋体"/>
          <w:b w:val="0"/>
          <w:color w:val="auto"/>
          <w:sz w:val="24"/>
          <w:highlight w:val="none"/>
        </w:rPr>
      </w:pPr>
      <w:r>
        <w:rPr>
          <w:rFonts w:ascii="Times New Roman" w:hAnsi="Times New Roman" w:eastAsia="宋体"/>
          <w:b w:val="0"/>
          <w:color w:val="auto"/>
          <w:sz w:val="24"/>
          <w:highlight w:val="none"/>
        </w:rPr>
        <w:t xml:space="preserve"> （</w:t>
      </w:r>
      <w:r>
        <w:rPr>
          <w:rFonts w:ascii="Times New Roman" w:hAnsi="宋体" w:eastAsia="宋体"/>
          <w:b w:val="0"/>
          <w:color w:val="auto"/>
          <w:sz w:val="24"/>
          <w:highlight w:val="none"/>
        </w:rPr>
        <w:t>六</w:t>
      </w:r>
      <w:r>
        <w:rPr>
          <w:rFonts w:ascii="Times New Roman" w:hAnsi="Times New Roman" w:eastAsia="宋体"/>
          <w:b w:val="0"/>
          <w:color w:val="auto"/>
          <w:sz w:val="24"/>
          <w:highlight w:val="none"/>
        </w:rPr>
        <w:t xml:space="preserve">） </w:t>
      </w:r>
      <w:r>
        <w:rPr>
          <w:rFonts w:ascii="Times New Roman" w:hAnsi="宋体" w:eastAsia="宋体"/>
          <w:b w:val="0"/>
          <w:color w:val="auto"/>
          <w:sz w:val="24"/>
          <w:highlight w:val="none"/>
        </w:rPr>
        <w:t>开标、评标和定标</w:t>
      </w:r>
    </w:p>
    <w:p w14:paraId="68EC1DE6">
      <w:pPr>
        <w:spacing w:line="440" w:lineRule="exact"/>
        <w:ind w:firstLine="480"/>
        <w:rPr>
          <w:color w:val="auto"/>
          <w:sz w:val="24"/>
          <w:highlight w:val="none"/>
        </w:rPr>
      </w:pPr>
      <w:r>
        <w:rPr>
          <w:b/>
          <w:color w:val="auto"/>
          <w:sz w:val="24"/>
          <w:highlight w:val="none"/>
        </w:rPr>
        <w:t>23.</w:t>
      </w:r>
      <w:r>
        <w:rPr>
          <w:rFonts w:hAnsi="宋体"/>
          <w:color w:val="auto"/>
          <w:sz w:val="24"/>
          <w:highlight w:val="none"/>
        </w:rPr>
        <w:t>本工程评标、定标办法采用下列</w:t>
      </w:r>
      <w:r>
        <w:rPr>
          <w:b/>
          <w:color w:val="auto"/>
          <w:sz w:val="24"/>
          <w:highlight w:val="none"/>
          <w:u w:val="single"/>
        </w:rPr>
        <w:t xml:space="preserve">  23.1 </w:t>
      </w:r>
      <w:r>
        <w:rPr>
          <w:color w:val="auto"/>
          <w:sz w:val="24"/>
          <w:highlight w:val="none"/>
        </w:rPr>
        <w:t xml:space="preserve"> </w:t>
      </w:r>
      <w:r>
        <w:rPr>
          <w:rFonts w:hAnsi="宋体"/>
          <w:color w:val="auto"/>
          <w:sz w:val="24"/>
          <w:highlight w:val="none"/>
        </w:rPr>
        <w:t>种方式</w:t>
      </w:r>
    </w:p>
    <w:p w14:paraId="0DD2C9DC">
      <w:pPr>
        <w:spacing w:line="440" w:lineRule="exact"/>
        <w:ind w:firstLine="480"/>
        <w:rPr>
          <w:color w:val="auto"/>
          <w:sz w:val="24"/>
          <w:highlight w:val="none"/>
        </w:rPr>
      </w:pPr>
      <w:r>
        <w:rPr>
          <w:color w:val="auto"/>
          <w:sz w:val="24"/>
          <w:highlight w:val="none"/>
        </w:rPr>
        <w:t>23.1</w:t>
      </w:r>
      <w:r>
        <w:rPr>
          <w:rFonts w:hAnsi="宋体"/>
          <w:color w:val="auto"/>
          <w:sz w:val="24"/>
          <w:highlight w:val="none"/>
        </w:rPr>
        <w:t>价格单因素评标办法</w:t>
      </w:r>
    </w:p>
    <w:p w14:paraId="3F7E1435">
      <w:pPr>
        <w:spacing w:line="440" w:lineRule="exact"/>
        <w:ind w:firstLine="480"/>
        <w:rPr>
          <w:color w:val="auto"/>
          <w:sz w:val="24"/>
          <w:highlight w:val="none"/>
        </w:rPr>
      </w:pPr>
      <w:r>
        <w:rPr>
          <w:color w:val="auto"/>
          <w:sz w:val="24"/>
          <w:highlight w:val="none"/>
        </w:rPr>
        <w:t>23.2</w:t>
      </w:r>
      <w:r>
        <w:rPr>
          <w:rFonts w:hAnsi="宋体"/>
          <w:color w:val="auto"/>
          <w:sz w:val="24"/>
          <w:highlight w:val="none"/>
        </w:rPr>
        <w:t>含施工组织设计的价格单因素评标方法</w:t>
      </w:r>
    </w:p>
    <w:p w14:paraId="3122985C">
      <w:pPr>
        <w:spacing w:line="440" w:lineRule="exact"/>
        <w:ind w:firstLine="480"/>
        <w:rPr>
          <w:color w:val="auto"/>
          <w:sz w:val="24"/>
          <w:highlight w:val="none"/>
        </w:rPr>
      </w:pPr>
      <w:r>
        <w:rPr>
          <w:color w:val="auto"/>
          <w:sz w:val="24"/>
          <w:highlight w:val="none"/>
        </w:rPr>
        <w:t>23.3</w:t>
      </w:r>
      <w:r>
        <w:rPr>
          <w:rFonts w:hAnsi="宋体"/>
          <w:color w:val="auto"/>
          <w:sz w:val="24"/>
          <w:highlight w:val="none"/>
        </w:rPr>
        <w:t>综合评估法</w:t>
      </w:r>
    </w:p>
    <w:p w14:paraId="776E387A">
      <w:pPr>
        <w:spacing w:line="440" w:lineRule="exact"/>
        <w:ind w:firstLine="480"/>
        <w:rPr>
          <w:rFonts w:hint="eastAsia" w:hAnsi="宋体"/>
          <w:color w:val="auto"/>
          <w:sz w:val="24"/>
          <w:highlight w:val="none"/>
        </w:rPr>
      </w:pPr>
      <w:r>
        <w:rPr>
          <w:b/>
          <w:color w:val="auto"/>
          <w:sz w:val="24"/>
          <w:highlight w:val="none"/>
        </w:rPr>
        <w:t xml:space="preserve">24. </w:t>
      </w:r>
      <w:r>
        <w:rPr>
          <w:rFonts w:hAnsi="宋体"/>
          <w:color w:val="auto"/>
          <w:sz w:val="24"/>
          <w:highlight w:val="none"/>
        </w:rPr>
        <w:t>招标人按本须知前附表</w:t>
      </w:r>
      <w:r>
        <w:rPr>
          <w:rFonts w:hAnsi="宋体"/>
          <w:color w:val="auto"/>
          <w:sz w:val="24"/>
          <w:highlight w:val="none"/>
          <w:u w:val="single"/>
        </w:rPr>
        <w:t>第</w:t>
      </w:r>
      <w:r>
        <w:rPr>
          <w:color w:val="auto"/>
          <w:sz w:val="24"/>
          <w:highlight w:val="none"/>
          <w:u w:val="single"/>
        </w:rPr>
        <w:t>19</w:t>
      </w:r>
      <w:r>
        <w:rPr>
          <w:rFonts w:hAnsi="宋体"/>
          <w:color w:val="auto"/>
          <w:sz w:val="24"/>
          <w:highlight w:val="none"/>
          <w:u w:val="single"/>
        </w:rPr>
        <w:t>项</w:t>
      </w:r>
      <w:r>
        <w:rPr>
          <w:rFonts w:hAnsi="宋体"/>
          <w:color w:val="auto"/>
          <w:sz w:val="24"/>
          <w:highlight w:val="none"/>
        </w:rPr>
        <w:t>规定的时间、地点公开开标。</w:t>
      </w:r>
      <w:r>
        <w:rPr>
          <w:rFonts w:hint="eastAsia" w:hAnsi="宋体"/>
          <w:color w:val="auto"/>
          <w:sz w:val="24"/>
          <w:highlight w:val="none"/>
        </w:rPr>
        <w:t>开标会由招标代理机构主持，由投标人或者其推选的代表检查投标文件的密封情况。经确认无误签字确认后，当众启封投标文件及修改文件，公布投标文件的主要内容。</w:t>
      </w:r>
    </w:p>
    <w:p w14:paraId="2F99B916">
      <w:pPr>
        <w:spacing w:line="440" w:lineRule="exact"/>
        <w:ind w:firstLine="480"/>
        <w:rPr>
          <w:color w:val="auto"/>
          <w:sz w:val="24"/>
          <w:highlight w:val="none"/>
        </w:rPr>
      </w:pPr>
      <w:r>
        <w:rPr>
          <w:b/>
          <w:color w:val="auto"/>
          <w:sz w:val="24"/>
          <w:highlight w:val="none"/>
        </w:rPr>
        <w:t xml:space="preserve">25. </w:t>
      </w:r>
      <w:r>
        <w:rPr>
          <w:rFonts w:hAnsi="宋体"/>
          <w:color w:val="auto"/>
          <w:sz w:val="24"/>
          <w:highlight w:val="none"/>
        </w:rPr>
        <w:t>评标委员会应当审查每一投标文件是否对招标文件提出的所有实质性要求和条件作出响应。</w:t>
      </w:r>
    </w:p>
    <w:p w14:paraId="27FC2A88">
      <w:pPr>
        <w:spacing w:line="440" w:lineRule="exact"/>
        <w:ind w:firstLine="482" w:firstLineChars="200"/>
        <w:rPr>
          <w:b/>
          <w:color w:val="auto"/>
          <w:sz w:val="24"/>
          <w:highlight w:val="none"/>
        </w:rPr>
      </w:pPr>
      <w:r>
        <w:rPr>
          <w:b/>
          <w:color w:val="auto"/>
          <w:sz w:val="24"/>
          <w:highlight w:val="none"/>
        </w:rPr>
        <w:t xml:space="preserve">26. </w:t>
      </w:r>
      <w:r>
        <w:rPr>
          <w:rFonts w:hAnsi="宋体"/>
          <w:b/>
          <w:color w:val="auto"/>
          <w:kern w:val="0"/>
          <w:sz w:val="24"/>
          <w:highlight w:val="none"/>
        </w:rPr>
        <w:t>凡</w:t>
      </w:r>
      <w:r>
        <w:rPr>
          <w:rFonts w:hAnsi="宋体"/>
          <w:b/>
          <w:color w:val="auto"/>
          <w:sz w:val="24"/>
          <w:highlight w:val="none"/>
        </w:rPr>
        <w:t>投标文件有下列情况之一的，属于重大偏差，视同未能对招标文件作出实质性响应，按废标处理。</w:t>
      </w:r>
      <w:r>
        <w:rPr>
          <w:b/>
          <w:color w:val="auto"/>
          <w:sz w:val="24"/>
          <w:highlight w:val="none"/>
        </w:rPr>
        <w:t xml:space="preserve"> </w:t>
      </w:r>
    </w:p>
    <w:p w14:paraId="18ACEB82">
      <w:pPr>
        <w:spacing w:line="440" w:lineRule="exact"/>
        <w:ind w:firstLine="504" w:firstLineChars="209"/>
        <w:rPr>
          <w:rFonts w:hint="eastAsia"/>
          <w:b/>
          <w:bCs/>
          <w:color w:val="auto"/>
          <w:sz w:val="24"/>
          <w:highlight w:val="none"/>
        </w:rPr>
      </w:pPr>
      <w:r>
        <w:rPr>
          <w:b/>
          <w:bCs/>
          <w:color w:val="auto"/>
          <w:sz w:val="24"/>
          <w:highlight w:val="none"/>
        </w:rPr>
        <w:t>26.1</w:t>
      </w:r>
      <w:r>
        <w:rPr>
          <w:rFonts w:hint="eastAsia"/>
          <w:b/>
          <w:bCs/>
          <w:color w:val="auto"/>
          <w:sz w:val="24"/>
          <w:highlight w:val="none"/>
        </w:rPr>
        <w:t>投标文件中的投标函未加盖投标人的公章；</w:t>
      </w:r>
    </w:p>
    <w:p w14:paraId="6AA5B4F2">
      <w:pPr>
        <w:spacing w:line="440" w:lineRule="exact"/>
        <w:ind w:firstLine="504" w:firstLineChars="209"/>
        <w:rPr>
          <w:rFonts w:hint="eastAsia"/>
          <w:b/>
          <w:bCs/>
          <w:color w:val="auto"/>
          <w:sz w:val="24"/>
          <w:highlight w:val="none"/>
        </w:rPr>
      </w:pPr>
      <w:r>
        <w:rPr>
          <w:b/>
          <w:bCs/>
          <w:color w:val="auto"/>
          <w:sz w:val="24"/>
          <w:highlight w:val="none"/>
        </w:rPr>
        <w:t>26.2</w:t>
      </w:r>
      <w:r>
        <w:rPr>
          <w:rFonts w:hint="eastAsia"/>
          <w:b/>
          <w:bCs/>
          <w:color w:val="auto"/>
          <w:sz w:val="24"/>
          <w:highlight w:val="none"/>
        </w:rPr>
        <w:t>投标文件中的投标函未加盖企业法定代表人（或委托代理人）印章（或签字）的；</w:t>
      </w:r>
    </w:p>
    <w:p w14:paraId="4F25B527">
      <w:pPr>
        <w:spacing w:line="440" w:lineRule="exact"/>
        <w:ind w:firstLine="504" w:firstLineChars="209"/>
        <w:rPr>
          <w:rFonts w:hint="eastAsia"/>
          <w:b/>
          <w:bCs/>
          <w:color w:val="auto"/>
          <w:sz w:val="24"/>
          <w:highlight w:val="none"/>
        </w:rPr>
      </w:pPr>
      <w:r>
        <w:rPr>
          <w:b/>
          <w:bCs/>
          <w:color w:val="auto"/>
          <w:sz w:val="24"/>
          <w:highlight w:val="none"/>
        </w:rPr>
        <w:t>26.3</w:t>
      </w:r>
      <w:r>
        <w:rPr>
          <w:rFonts w:hint="eastAsia"/>
          <w:b/>
          <w:bCs/>
          <w:color w:val="auto"/>
          <w:sz w:val="24"/>
          <w:highlight w:val="none"/>
        </w:rPr>
        <w:t>如投标函加盖企业委托代理人印章（或签字）的，委托代理人没有合法、有效的委托书（原件）的；</w:t>
      </w:r>
    </w:p>
    <w:p w14:paraId="65A3CBC5">
      <w:pPr>
        <w:spacing w:line="440" w:lineRule="exact"/>
        <w:ind w:firstLine="504" w:firstLineChars="209"/>
        <w:rPr>
          <w:rFonts w:hint="eastAsia"/>
          <w:b/>
          <w:bCs/>
          <w:color w:val="auto"/>
          <w:sz w:val="24"/>
          <w:highlight w:val="none"/>
        </w:rPr>
      </w:pPr>
      <w:r>
        <w:rPr>
          <w:b/>
          <w:bCs/>
          <w:color w:val="auto"/>
          <w:sz w:val="24"/>
          <w:highlight w:val="none"/>
        </w:rPr>
        <w:t>26.4</w:t>
      </w:r>
      <w:r>
        <w:rPr>
          <w:rFonts w:hint="eastAsia"/>
          <w:b/>
          <w:bCs/>
          <w:color w:val="auto"/>
          <w:sz w:val="24"/>
          <w:highlight w:val="none"/>
        </w:rPr>
        <w:t>投标人资格条件不符合国家有关规定或招标文件要求的；</w:t>
      </w:r>
    </w:p>
    <w:p w14:paraId="0C836FA7">
      <w:pPr>
        <w:spacing w:line="440" w:lineRule="exact"/>
        <w:ind w:firstLine="504" w:firstLineChars="209"/>
        <w:rPr>
          <w:rFonts w:hint="eastAsia"/>
          <w:b/>
          <w:bCs/>
          <w:color w:val="auto"/>
          <w:sz w:val="24"/>
          <w:highlight w:val="none"/>
        </w:rPr>
      </w:pPr>
      <w:r>
        <w:rPr>
          <w:b/>
          <w:bCs/>
          <w:color w:val="auto"/>
          <w:sz w:val="24"/>
          <w:highlight w:val="none"/>
        </w:rPr>
        <w:t>26.5</w:t>
      </w:r>
      <w:r>
        <w:rPr>
          <w:rFonts w:hint="eastAsia"/>
          <w:b/>
          <w:bCs/>
          <w:color w:val="auto"/>
          <w:sz w:val="24"/>
          <w:highlight w:val="none"/>
        </w:rPr>
        <w:t>投标人名称或组织结构与资格预审时不一致的；</w:t>
      </w:r>
    </w:p>
    <w:p w14:paraId="15E19835">
      <w:pPr>
        <w:spacing w:line="440" w:lineRule="exact"/>
        <w:ind w:firstLine="504" w:firstLineChars="209"/>
        <w:rPr>
          <w:rFonts w:hint="eastAsia"/>
          <w:b/>
          <w:bCs/>
          <w:color w:val="auto"/>
          <w:sz w:val="24"/>
          <w:highlight w:val="none"/>
        </w:rPr>
      </w:pPr>
      <w:r>
        <w:rPr>
          <w:b/>
          <w:bCs/>
          <w:color w:val="auto"/>
          <w:sz w:val="24"/>
          <w:highlight w:val="none"/>
        </w:rPr>
        <w:t>26.6</w:t>
      </w:r>
      <w:r>
        <w:rPr>
          <w:rFonts w:hint="eastAsia"/>
          <w:b/>
          <w:bCs/>
          <w:color w:val="auto"/>
          <w:sz w:val="24"/>
          <w:highlight w:val="none"/>
        </w:rPr>
        <w:t>除在投标截止时间前经招标人书面同意外，项目负责人与资格预审时不一致的；</w:t>
      </w:r>
    </w:p>
    <w:p w14:paraId="083EC136">
      <w:pPr>
        <w:spacing w:line="440" w:lineRule="exact"/>
        <w:ind w:firstLine="504" w:firstLineChars="209"/>
        <w:rPr>
          <w:rFonts w:hint="eastAsia"/>
          <w:b/>
          <w:bCs/>
          <w:color w:val="auto"/>
          <w:sz w:val="24"/>
          <w:highlight w:val="none"/>
        </w:rPr>
      </w:pPr>
      <w:r>
        <w:rPr>
          <w:b/>
          <w:bCs/>
          <w:color w:val="auto"/>
          <w:sz w:val="24"/>
          <w:highlight w:val="none"/>
        </w:rPr>
        <w:t>26.7</w:t>
      </w:r>
      <w:r>
        <w:rPr>
          <w:rFonts w:hint="eastAsia"/>
          <w:b/>
          <w:bCs/>
          <w:color w:val="auto"/>
          <w:sz w:val="24"/>
          <w:highlight w:val="none"/>
        </w:rPr>
        <w:t>组成联合体投标未提供联合体各方共同投标协议的（本工程不接受联合体）；</w:t>
      </w:r>
    </w:p>
    <w:p w14:paraId="29C014E4">
      <w:pPr>
        <w:spacing w:line="440" w:lineRule="exact"/>
        <w:ind w:firstLine="504" w:firstLineChars="209"/>
        <w:rPr>
          <w:rFonts w:hint="eastAsia"/>
          <w:b/>
          <w:bCs/>
          <w:color w:val="auto"/>
          <w:sz w:val="24"/>
          <w:highlight w:val="none"/>
        </w:rPr>
      </w:pPr>
      <w:r>
        <w:rPr>
          <w:b/>
          <w:bCs/>
          <w:color w:val="auto"/>
          <w:sz w:val="24"/>
          <w:highlight w:val="none"/>
        </w:rPr>
        <w:t>26.8</w:t>
      </w:r>
      <w:r>
        <w:rPr>
          <w:rFonts w:hint="eastAsia"/>
          <w:b/>
          <w:bCs/>
          <w:color w:val="auto"/>
          <w:sz w:val="24"/>
          <w:highlight w:val="none"/>
        </w:rPr>
        <w:t>在同一招标项目中，联合体成员以自己名义单独投标或者参加其他联合体投标的；</w:t>
      </w:r>
    </w:p>
    <w:p w14:paraId="14745ECB">
      <w:pPr>
        <w:spacing w:line="440" w:lineRule="exact"/>
        <w:ind w:firstLine="504" w:firstLineChars="209"/>
        <w:rPr>
          <w:rFonts w:hint="eastAsia"/>
          <w:b/>
          <w:bCs/>
          <w:color w:val="auto"/>
          <w:sz w:val="24"/>
          <w:highlight w:val="none"/>
        </w:rPr>
      </w:pPr>
      <w:r>
        <w:rPr>
          <w:b/>
          <w:bCs/>
          <w:color w:val="auto"/>
          <w:sz w:val="24"/>
          <w:highlight w:val="none"/>
        </w:rPr>
        <w:t>26.9</w:t>
      </w:r>
      <w:r>
        <w:rPr>
          <w:rFonts w:hint="eastAsia"/>
          <w:b/>
          <w:bCs/>
          <w:color w:val="auto"/>
          <w:sz w:val="24"/>
          <w:highlight w:val="none"/>
        </w:rPr>
        <w:t>联合体成员与资格预审确定的结果不一致的；</w:t>
      </w:r>
    </w:p>
    <w:p w14:paraId="2D5C9F5F">
      <w:pPr>
        <w:spacing w:line="440" w:lineRule="exact"/>
        <w:ind w:firstLine="504" w:firstLineChars="209"/>
        <w:rPr>
          <w:rFonts w:hint="eastAsia"/>
          <w:b/>
          <w:bCs/>
          <w:color w:val="auto"/>
          <w:sz w:val="24"/>
          <w:highlight w:val="none"/>
        </w:rPr>
      </w:pPr>
      <w:r>
        <w:rPr>
          <w:b/>
          <w:bCs/>
          <w:color w:val="auto"/>
          <w:sz w:val="24"/>
          <w:highlight w:val="none"/>
        </w:rPr>
        <w:t>26.10</w:t>
      </w:r>
      <w:r>
        <w:rPr>
          <w:rFonts w:hint="eastAsia"/>
          <w:b/>
          <w:bCs/>
          <w:color w:val="auto"/>
          <w:sz w:val="24"/>
          <w:highlight w:val="none"/>
        </w:rPr>
        <w:t>投标报价低于成本或者高于招标文件设定的招标控制价的；</w:t>
      </w:r>
    </w:p>
    <w:p w14:paraId="63741CC6">
      <w:pPr>
        <w:spacing w:line="440" w:lineRule="exact"/>
        <w:ind w:firstLine="504" w:firstLineChars="209"/>
        <w:rPr>
          <w:rFonts w:hint="eastAsia"/>
          <w:b/>
          <w:bCs/>
          <w:color w:val="auto"/>
          <w:sz w:val="24"/>
          <w:highlight w:val="none"/>
        </w:rPr>
      </w:pPr>
      <w:r>
        <w:rPr>
          <w:b/>
          <w:bCs/>
          <w:color w:val="auto"/>
          <w:sz w:val="24"/>
          <w:highlight w:val="none"/>
        </w:rPr>
        <w:t>26.11</w:t>
      </w:r>
      <w:r>
        <w:rPr>
          <w:rFonts w:hint="eastAsia"/>
          <w:b/>
          <w:bCs/>
          <w:color w:val="auto"/>
          <w:sz w:val="24"/>
          <w:highlight w:val="none"/>
        </w:rPr>
        <w:t>同一投标人提交两个及以上不同的投标文件或者投标报价，但招标文件要求提交备选投标的除外；</w:t>
      </w:r>
    </w:p>
    <w:p w14:paraId="48F83B13">
      <w:pPr>
        <w:spacing w:line="440" w:lineRule="exact"/>
        <w:ind w:firstLine="504" w:firstLineChars="209"/>
        <w:rPr>
          <w:rFonts w:hint="eastAsia"/>
          <w:b/>
          <w:bCs/>
          <w:color w:val="auto"/>
          <w:sz w:val="24"/>
          <w:highlight w:val="none"/>
        </w:rPr>
      </w:pPr>
      <w:r>
        <w:rPr>
          <w:b/>
          <w:bCs/>
          <w:color w:val="auto"/>
          <w:sz w:val="24"/>
          <w:highlight w:val="none"/>
        </w:rPr>
        <w:t>26.12</w:t>
      </w:r>
      <w:r>
        <w:rPr>
          <w:rFonts w:hint="eastAsia"/>
          <w:b/>
          <w:bCs/>
          <w:color w:val="auto"/>
          <w:sz w:val="24"/>
          <w:highlight w:val="none"/>
        </w:rPr>
        <w:t>与招标文件规定的暂估价、暂列金额及甲供材料价格不一致的；</w:t>
      </w:r>
    </w:p>
    <w:p w14:paraId="40800981">
      <w:pPr>
        <w:spacing w:line="440" w:lineRule="exact"/>
        <w:ind w:firstLine="504" w:firstLineChars="209"/>
        <w:rPr>
          <w:rFonts w:hint="eastAsia"/>
          <w:b/>
          <w:bCs/>
          <w:color w:val="auto"/>
          <w:sz w:val="24"/>
          <w:highlight w:val="none"/>
        </w:rPr>
      </w:pPr>
      <w:r>
        <w:rPr>
          <w:b/>
          <w:bCs/>
          <w:color w:val="auto"/>
          <w:sz w:val="24"/>
          <w:highlight w:val="none"/>
        </w:rPr>
        <w:t>26.13</w:t>
      </w:r>
      <w:r>
        <w:rPr>
          <w:rFonts w:hint="eastAsia"/>
          <w:b/>
          <w:bCs/>
          <w:color w:val="auto"/>
          <w:sz w:val="24"/>
          <w:highlight w:val="none"/>
        </w:rPr>
        <w:t>与招标文件明确列出的不可竞争费用项目或费率或计算基础不一致的；</w:t>
      </w:r>
    </w:p>
    <w:p w14:paraId="3B7E537B">
      <w:pPr>
        <w:spacing w:line="440" w:lineRule="exact"/>
        <w:ind w:firstLine="504" w:firstLineChars="209"/>
        <w:rPr>
          <w:rFonts w:hint="eastAsia"/>
          <w:b/>
          <w:bCs/>
          <w:color w:val="auto"/>
          <w:sz w:val="24"/>
          <w:highlight w:val="none"/>
        </w:rPr>
      </w:pPr>
      <w:r>
        <w:rPr>
          <w:b/>
          <w:bCs/>
          <w:color w:val="auto"/>
          <w:sz w:val="24"/>
          <w:highlight w:val="none"/>
        </w:rPr>
        <w:t>26.14</w:t>
      </w:r>
      <w:r>
        <w:rPr>
          <w:rFonts w:hint="eastAsia"/>
          <w:b/>
          <w:bCs/>
          <w:color w:val="auto"/>
          <w:sz w:val="24"/>
          <w:highlight w:val="none"/>
        </w:rPr>
        <w:t>与招标文件提供的工程量清单中的项目编码、项目名称、项目特征、计量单位、工程量不一致的；</w:t>
      </w:r>
    </w:p>
    <w:p w14:paraId="41C64D89">
      <w:pPr>
        <w:spacing w:line="440" w:lineRule="exact"/>
        <w:ind w:firstLine="504" w:firstLineChars="209"/>
        <w:rPr>
          <w:rFonts w:hint="eastAsia"/>
          <w:b/>
          <w:bCs/>
          <w:color w:val="auto"/>
          <w:sz w:val="24"/>
          <w:highlight w:val="none"/>
        </w:rPr>
      </w:pPr>
      <w:r>
        <w:rPr>
          <w:b/>
          <w:bCs/>
          <w:color w:val="auto"/>
          <w:sz w:val="24"/>
          <w:highlight w:val="none"/>
        </w:rPr>
        <w:t>26.15</w:t>
      </w:r>
      <w:r>
        <w:rPr>
          <w:rFonts w:hint="eastAsia"/>
          <w:b/>
          <w:bCs/>
          <w:color w:val="auto"/>
          <w:sz w:val="24"/>
          <w:highlight w:val="none"/>
        </w:rPr>
        <w:t>未按招标文件要求提供投标保证金的；</w:t>
      </w:r>
    </w:p>
    <w:p w14:paraId="545D4544">
      <w:pPr>
        <w:spacing w:line="440" w:lineRule="exact"/>
        <w:ind w:firstLine="504" w:firstLineChars="209"/>
        <w:rPr>
          <w:rFonts w:hint="eastAsia"/>
          <w:b/>
          <w:bCs/>
          <w:color w:val="auto"/>
          <w:sz w:val="24"/>
          <w:highlight w:val="none"/>
        </w:rPr>
      </w:pPr>
      <w:r>
        <w:rPr>
          <w:b/>
          <w:bCs/>
          <w:color w:val="auto"/>
          <w:sz w:val="24"/>
          <w:highlight w:val="none"/>
        </w:rPr>
        <w:t>26.16</w:t>
      </w:r>
      <w:r>
        <w:rPr>
          <w:rFonts w:hint="eastAsia"/>
          <w:b/>
          <w:bCs/>
          <w:color w:val="auto"/>
          <w:sz w:val="24"/>
          <w:highlight w:val="none"/>
        </w:rPr>
        <w:t>投标文件载明的招标项目完成期限超过招标文件规定的期限的；</w:t>
      </w:r>
    </w:p>
    <w:p w14:paraId="7D43FCA6">
      <w:pPr>
        <w:spacing w:line="440" w:lineRule="exact"/>
        <w:ind w:firstLine="504" w:firstLineChars="209"/>
        <w:rPr>
          <w:rFonts w:hint="eastAsia"/>
          <w:b/>
          <w:bCs/>
          <w:color w:val="auto"/>
          <w:sz w:val="24"/>
          <w:highlight w:val="none"/>
        </w:rPr>
      </w:pPr>
      <w:r>
        <w:rPr>
          <w:b/>
          <w:bCs/>
          <w:color w:val="auto"/>
          <w:sz w:val="24"/>
          <w:highlight w:val="none"/>
        </w:rPr>
        <w:t>26.17</w:t>
      </w:r>
      <w:r>
        <w:rPr>
          <w:rFonts w:hint="eastAsia"/>
          <w:b/>
          <w:bCs/>
          <w:color w:val="auto"/>
          <w:sz w:val="24"/>
          <w:highlight w:val="none"/>
        </w:rPr>
        <w:t>明显不符合技术规范、技术标准的要求的；</w:t>
      </w:r>
    </w:p>
    <w:p w14:paraId="4BA716E6">
      <w:pPr>
        <w:spacing w:line="440" w:lineRule="exact"/>
        <w:ind w:firstLine="504" w:firstLineChars="209"/>
        <w:rPr>
          <w:rFonts w:hint="eastAsia"/>
          <w:b/>
          <w:bCs/>
          <w:color w:val="auto"/>
          <w:sz w:val="24"/>
          <w:highlight w:val="none"/>
        </w:rPr>
      </w:pPr>
      <w:r>
        <w:rPr>
          <w:b/>
          <w:bCs/>
          <w:color w:val="auto"/>
          <w:sz w:val="24"/>
          <w:highlight w:val="none"/>
        </w:rPr>
        <w:t>26.18</w:t>
      </w:r>
      <w:r>
        <w:rPr>
          <w:rFonts w:hint="eastAsia"/>
          <w:b/>
          <w:bCs/>
          <w:color w:val="auto"/>
          <w:sz w:val="24"/>
          <w:highlight w:val="none"/>
        </w:rPr>
        <w:t>投标文件载明的货物包装方式、检验标准和方法等不符合招标文件的要求的；</w:t>
      </w:r>
    </w:p>
    <w:p w14:paraId="2ED2D881">
      <w:pPr>
        <w:spacing w:line="440" w:lineRule="exact"/>
        <w:ind w:firstLine="504" w:firstLineChars="209"/>
        <w:rPr>
          <w:rFonts w:hint="eastAsia"/>
          <w:b/>
          <w:bCs/>
          <w:color w:val="auto"/>
          <w:sz w:val="24"/>
          <w:highlight w:val="none"/>
        </w:rPr>
      </w:pPr>
      <w:r>
        <w:rPr>
          <w:b/>
          <w:bCs/>
          <w:color w:val="auto"/>
          <w:sz w:val="24"/>
          <w:highlight w:val="none"/>
        </w:rPr>
        <w:t>26.19</w:t>
      </w:r>
      <w:r>
        <w:rPr>
          <w:rFonts w:hint="eastAsia"/>
          <w:b/>
          <w:bCs/>
          <w:color w:val="auto"/>
          <w:sz w:val="24"/>
          <w:highlight w:val="none"/>
        </w:rPr>
        <w:t>投标文件提出了不能满足招标文件要求或招标人不能接受的工程验收、计量、价款结算和支付办法的；</w:t>
      </w:r>
    </w:p>
    <w:p w14:paraId="08B5A2D6">
      <w:pPr>
        <w:spacing w:line="440" w:lineRule="exact"/>
        <w:ind w:firstLine="504" w:firstLineChars="209"/>
        <w:rPr>
          <w:rFonts w:hint="eastAsia" w:eastAsia="宋体"/>
          <w:b/>
          <w:bCs/>
          <w:color w:val="auto"/>
          <w:sz w:val="24"/>
          <w:highlight w:val="none"/>
          <w:lang w:eastAsia="zh-CN"/>
        </w:rPr>
      </w:pPr>
      <w:r>
        <w:rPr>
          <w:b/>
          <w:bCs/>
          <w:color w:val="auto"/>
          <w:sz w:val="24"/>
          <w:highlight w:val="none"/>
        </w:rPr>
        <w:t>26.20</w:t>
      </w:r>
      <w:r>
        <w:rPr>
          <w:rFonts w:hint="eastAsia"/>
          <w:b/>
          <w:bCs/>
          <w:color w:val="auto"/>
          <w:sz w:val="24"/>
          <w:highlight w:val="none"/>
        </w:rPr>
        <w:t>未按招标文件要求提供电子投标文件，或者电子投标文件（已标价的工程量清单）保存格式不正确，致使软件无法读取的，且补救方案补救不成功的；</w:t>
      </w:r>
      <w:r>
        <w:rPr>
          <w:rFonts w:hint="eastAsia"/>
          <w:b/>
          <w:bCs/>
          <w:color w:val="auto"/>
          <w:sz w:val="24"/>
          <w:highlight w:val="none"/>
          <w:lang w:eastAsia="zh-CN"/>
        </w:rPr>
        <w:t>（</w:t>
      </w:r>
      <w:r>
        <w:rPr>
          <w:rFonts w:hint="eastAsia"/>
          <w:b/>
          <w:bCs/>
          <w:color w:val="auto"/>
          <w:sz w:val="24"/>
          <w:highlight w:val="none"/>
          <w:lang w:val="en-US" w:eastAsia="zh-CN"/>
        </w:rPr>
        <w:t>本项目不适应</w:t>
      </w:r>
      <w:r>
        <w:rPr>
          <w:rFonts w:hint="eastAsia"/>
          <w:b/>
          <w:bCs/>
          <w:color w:val="auto"/>
          <w:sz w:val="24"/>
          <w:highlight w:val="none"/>
          <w:lang w:eastAsia="zh-CN"/>
        </w:rPr>
        <w:t>）</w:t>
      </w:r>
    </w:p>
    <w:p w14:paraId="7FD4EDFD">
      <w:pPr>
        <w:spacing w:line="440" w:lineRule="exact"/>
        <w:ind w:firstLine="504" w:firstLineChars="209"/>
        <w:rPr>
          <w:rFonts w:hint="eastAsia"/>
          <w:b/>
          <w:bCs/>
          <w:color w:val="auto"/>
          <w:sz w:val="24"/>
          <w:highlight w:val="none"/>
        </w:rPr>
      </w:pPr>
      <w:r>
        <w:rPr>
          <w:b/>
          <w:bCs/>
          <w:color w:val="auto"/>
          <w:sz w:val="24"/>
          <w:highlight w:val="none"/>
        </w:rPr>
        <w:t>26.21</w:t>
      </w:r>
      <w:r>
        <w:rPr>
          <w:rFonts w:hint="eastAsia"/>
          <w:b/>
          <w:bCs/>
          <w:color w:val="auto"/>
          <w:sz w:val="24"/>
          <w:highlight w:val="none"/>
        </w:rPr>
        <w:t>不同投标人的投标文件以及投标文件制作过程出现了评标委员会认为不应当雷同的情况的；</w:t>
      </w:r>
    </w:p>
    <w:p w14:paraId="0E1B6EF5">
      <w:pPr>
        <w:spacing w:line="440" w:lineRule="exact"/>
        <w:ind w:firstLine="504" w:firstLineChars="209"/>
        <w:rPr>
          <w:rFonts w:hint="eastAsia"/>
          <w:b/>
          <w:bCs/>
          <w:color w:val="auto"/>
          <w:sz w:val="24"/>
          <w:highlight w:val="none"/>
        </w:rPr>
      </w:pPr>
      <w:r>
        <w:rPr>
          <w:b/>
          <w:bCs/>
          <w:color w:val="auto"/>
          <w:sz w:val="24"/>
          <w:highlight w:val="none"/>
        </w:rPr>
        <w:t>26.22</w:t>
      </w:r>
      <w:r>
        <w:rPr>
          <w:rFonts w:hint="eastAsia"/>
          <w:b/>
          <w:bCs/>
          <w:color w:val="auto"/>
          <w:sz w:val="24"/>
          <w:highlight w:val="none"/>
        </w:rPr>
        <w:t>以他人的名义投标、串通投标、以行贿手段谋取中标或者以其他弄虚作假方式投标的；</w:t>
      </w:r>
    </w:p>
    <w:p w14:paraId="27070475">
      <w:pPr>
        <w:spacing w:line="440" w:lineRule="exact"/>
        <w:ind w:firstLine="504" w:firstLineChars="209"/>
        <w:rPr>
          <w:b/>
          <w:bCs/>
          <w:color w:val="auto"/>
          <w:sz w:val="24"/>
          <w:highlight w:val="none"/>
        </w:rPr>
      </w:pPr>
      <w:r>
        <w:rPr>
          <w:b/>
          <w:bCs/>
          <w:color w:val="auto"/>
          <w:sz w:val="24"/>
          <w:highlight w:val="none"/>
        </w:rPr>
        <w:t>26.23</w:t>
      </w:r>
      <w:r>
        <w:rPr>
          <w:rFonts w:hint="eastAsia"/>
          <w:b/>
          <w:bCs/>
          <w:color w:val="auto"/>
          <w:sz w:val="24"/>
          <w:highlight w:val="none"/>
        </w:rPr>
        <w:t>不符合招标文件有关暗标的要求。</w:t>
      </w:r>
      <w:r>
        <w:rPr>
          <w:rFonts w:hint="eastAsia"/>
          <w:b/>
          <w:bCs/>
          <w:color w:val="auto"/>
          <w:sz w:val="24"/>
          <w:highlight w:val="none"/>
          <w:lang w:eastAsia="zh-CN"/>
        </w:rPr>
        <w:t>（</w:t>
      </w:r>
      <w:r>
        <w:rPr>
          <w:rFonts w:hint="eastAsia"/>
          <w:b/>
          <w:bCs/>
          <w:color w:val="auto"/>
          <w:sz w:val="24"/>
          <w:highlight w:val="none"/>
          <w:lang w:val="en-US" w:eastAsia="zh-CN"/>
        </w:rPr>
        <w:t>本项目不适应</w:t>
      </w:r>
      <w:r>
        <w:rPr>
          <w:rFonts w:hint="eastAsia"/>
          <w:b/>
          <w:bCs/>
          <w:color w:val="auto"/>
          <w:sz w:val="24"/>
          <w:highlight w:val="none"/>
          <w:lang w:eastAsia="zh-CN"/>
        </w:rPr>
        <w:t>）</w:t>
      </w:r>
    </w:p>
    <w:p w14:paraId="0BFF1A2F">
      <w:pPr>
        <w:spacing w:line="440" w:lineRule="exact"/>
        <w:ind w:firstLine="504" w:firstLineChars="209"/>
        <w:rPr>
          <w:b/>
          <w:bCs/>
          <w:color w:val="auto"/>
          <w:sz w:val="24"/>
          <w:highlight w:val="none"/>
        </w:rPr>
      </w:pPr>
      <w:r>
        <w:rPr>
          <w:b/>
          <w:bCs/>
          <w:color w:val="auto"/>
          <w:sz w:val="24"/>
          <w:highlight w:val="none"/>
        </w:rPr>
        <w:t>26.24</w:t>
      </w:r>
      <w:r>
        <w:rPr>
          <w:rFonts w:hint="eastAsia"/>
          <w:b/>
          <w:bCs/>
          <w:color w:val="auto"/>
          <w:sz w:val="24"/>
          <w:highlight w:val="none"/>
        </w:rPr>
        <w:t>纸质商务标报价与电子商务标报价不一致的。</w:t>
      </w:r>
      <w:r>
        <w:rPr>
          <w:rFonts w:hint="eastAsia"/>
          <w:b/>
          <w:bCs/>
          <w:color w:val="auto"/>
          <w:sz w:val="24"/>
          <w:highlight w:val="none"/>
          <w:lang w:eastAsia="zh-CN"/>
        </w:rPr>
        <w:t>（</w:t>
      </w:r>
      <w:r>
        <w:rPr>
          <w:rFonts w:hint="eastAsia"/>
          <w:b/>
          <w:bCs/>
          <w:color w:val="auto"/>
          <w:sz w:val="24"/>
          <w:highlight w:val="none"/>
          <w:lang w:val="en-US" w:eastAsia="zh-CN"/>
        </w:rPr>
        <w:t>本项目不适应</w:t>
      </w:r>
      <w:r>
        <w:rPr>
          <w:rFonts w:hint="eastAsia"/>
          <w:b/>
          <w:bCs/>
          <w:color w:val="auto"/>
          <w:sz w:val="24"/>
          <w:highlight w:val="none"/>
          <w:lang w:eastAsia="zh-CN"/>
        </w:rPr>
        <w:t>）</w:t>
      </w:r>
    </w:p>
    <w:p w14:paraId="3E060A70">
      <w:pPr>
        <w:spacing w:line="440" w:lineRule="exact"/>
        <w:ind w:firstLine="504" w:firstLineChars="209"/>
        <w:rPr>
          <w:b/>
          <w:bCs/>
          <w:color w:val="auto"/>
          <w:sz w:val="24"/>
          <w:highlight w:val="none"/>
        </w:rPr>
      </w:pPr>
      <w:r>
        <w:rPr>
          <w:b/>
          <w:bCs/>
          <w:color w:val="auto"/>
          <w:sz w:val="24"/>
          <w:highlight w:val="none"/>
        </w:rPr>
        <w:t>26.25</w:t>
      </w:r>
      <w:r>
        <w:rPr>
          <w:rFonts w:hint="eastAsia"/>
          <w:b/>
          <w:bCs/>
          <w:color w:val="auto"/>
          <w:sz w:val="24"/>
          <w:highlight w:val="none"/>
        </w:rPr>
        <w:t>纸质投标文件未按照招标文件规定密封、分装的。</w:t>
      </w:r>
    </w:p>
    <w:p w14:paraId="200590E8">
      <w:pPr>
        <w:spacing w:line="440" w:lineRule="exact"/>
        <w:ind w:firstLine="504" w:firstLineChars="209"/>
        <w:rPr>
          <w:rFonts w:hint="eastAsia"/>
          <w:b/>
          <w:bCs/>
          <w:color w:val="auto"/>
          <w:sz w:val="24"/>
          <w:highlight w:val="none"/>
        </w:rPr>
      </w:pPr>
      <w:r>
        <w:rPr>
          <w:b/>
          <w:bCs/>
          <w:color w:val="auto"/>
          <w:sz w:val="24"/>
          <w:highlight w:val="none"/>
        </w:rPr>
        <w:t>26.26</w:t>
      </w:r>
      <w:r>
        <w:rPr>
          <w:rFonts w:hint="eastAsia"/>
          <w:b/>
          <w:bCs/>
          <w:color w:val="auto"/>
          <w:sz w:val="24"/>
          <w:highlight w:val="none"/>
        </w:rPr>
        <w:t>不同投标人的电子投标文件出自同一台电脑、不同投标人的投标报价用同一个预算编制软件密码锁制作或者出自同一电子文档的、不同投标人的投标文件的编制者为同一人的，在作废标处理的同时，按照招标文件第一章第14款处理。</w:t>
      </w:r>
      <w:r>
        <w:rPr>
          <w:rFonts w:hint="eastAsia"/>
          <w:b/>
          <w:color w:val="auto"/>
          <w:sz w:val="24"/>
          <w:highlight w:val="none"/>
        </w:rPr>
        <w:t>（本项目不适用）</w:t>
      </w:r>
      <w:r>
        <w:rPr>
          <w:b/>
          <w:color w:val="auto"/>
          <w:sz w:val="24"/>
          <w:highlight w:val="none"/>
        </w:rPr>
        <w:t xml:space="preserve">  </w:t>
      </w:r>
    </w:p>
    <w:p w14:paraId="10274686">
      <w:pPr>
        <w:spacing w:line="440" w:lineRule="exact"/>
        <w:ind w:firstLine="504" w:firstLineChars="209"/>
        <w:rPr>
          <w:rFonts w:hint="eastAsia"/>
          <w:b/>
          <w:bCs/>
          <w:color w:val="auto"/>
          <w:sz w:val="24"/>
          <w:highlight w:val="none"/>
        </w:rPr>
      </w:pPr>
      <w:r>
        <w:rPr>
          <w:rFonts w:hint="eastAsia"/>
          <w:b/>
          <w:bCs/>
          <w:color w:val="auto"/>
          <w:sz w:val="24"/>
          <w:highlight w:val="none"/>
        </w:rPr>
        <w:t xml:space="preserve"> 26.28投标人在投标文件递交截止时间当日，建筑企业资质动态监管结果（本项目资质要求） 处于不合格状态的。 </w:t>
      </w:r>
    </w:p>
    <w:p w14:paraId="3D79E2F9">
      <w:pPr>
        <w:spacing w:line="440" w:lineRule="exact"/>
        <w:ind w:firstLine="504" w:firstLineChars="209"/>
        <w:rPr>
          <w:rFonts w:hint="eastAsia"/>
          <w:b/>
          <w:bCs/>
          <w:color w:val="auto"/>
          <w:sz w:val="24"/>
          <w:highlight w:val="none"/>
        </w:rPr>
      </w:pPr>
      <w:r>
        <w:rPr>
          <w:rFonts w:hint="eastAsia"/>
          <w:b/>
          <w:bCs/>
          <w:color w:val="auto"/>
          <w:sz w:val="24"/>
          <w:highlight w:val="none"/>
        </w:rPr>
        <w:t>26.29投标人资格条件不符合国家有关规定，或者不满足招标文件规定的资格条件的；拟派的项目负责人为一级建造师的， 但未根据《办公厅关于全面实行一级建造师电子注册证书的通知》</w:t>
      </w:r>
      <w:r>
        <w:rPr>
          <w:rFonts w:hint="eastAsia"/>
          <w:b/>
          <w:bCs/>
          <w:color w:val="auto"/>
          <w:sz w:val="24"/>
          <w:highlight w:val="none"/>
          <w:lang w:eastAsia="zh-CN"/>
        </w:rPr>
        <w:t>（</w:t>
      </w:r>
      <w:r>
        <w:rPr>
          <w:rFonts w:hint="eastAsia"/>
          <w:b/>
          <w:bCs/>
          <w:color w:val="auto"/>
          <w:sz w:val="24"/>
          <w:highlight w:val="none"/>
        </w:rPr>
        <w:t>建办市〔2021〕40 号</w:t>
      </w:r>
      <w:r>
        <w:rPr>
          <w:rFonts w:hint="eastAsia"/>
          <w:b/>
          <w:bCs/>
          <w:color w:val="auto"/>
          <w:sz w:val="24"/>
          <w:highlight w:val="none"/>
          <w:lang w:eastAsia="zh-CN"/>
        </w:rPr>
        <w:t>）</w:t>
      </w:r>
      <w:r>
        <w:rPr>
          <w:rFonts w:hint="eastAsia"/>
          <w:b/>
          <w:bCs/>
          <w:color w:val="auto"/>
          <w:sz w:val="24"/>
          <w:highlight w:val="none"/>
        </w:rPr>
        <w:t>文件要求使用并提供电子证书的；拟派项目负责人为二级建造师的，不符合《省住房和城乡建设厅关于我省二级建造师、二级造价工程师、二级注册建筑师、二级注册结构工程师注册证书电子证照换发的公告》（</w:t>
      </w:r>
      <w:r>
        <w:rPr>
          <w:rFonts w:hint="eastAsia"/>
          <w:b/>
          <w:bCs/>
          <w:color w:val="auto"/>
          <w:sz w:val="24"/>
          <w:highlight w:val="none"/>
          <w:lang w:eastAsia="zh-CN"/>
        </w:rPr>
        <w:t>〔2023〕26号</w:t>
      </w:r>
      <w:r>
        <w:rPr>
          <w:rFonts w:hint="eastAsia"/>
          <w:b/>
          <w:bCs/>
          <w:color w:val="auto"/>
          <w:sz w:val="24"/>
          <w:highlight w:val="none"/>
        </w:rPr>
        <w:t>）文件要求规定的；</w:t>
      </w:r>
    </w:p>
    <w:p w14:paraId="10D1A209">
      <w:pPr>
        <w:spacing w:line="440" w:lineRule="exact"/>
        <w:ind w:firstLine="482" w:firstLineChars="200"/>
        <w:rPr>
          <w:color w:val="auto"/>
          <w:sz w:val="24"/>
          <w:highlight w:val="none"/>
        </w:rPr>
      </w:pPr>
      <w:r>
        <w:rPr>
          <w:b/>
          <w:color w:val="auto"/>
          <w:sz w:val="24"/>
          <w:highlight w:val="none"/>
        </w:rPr>
        <w:t>27.</w:t>
      </w:r>
      <w:r>
        <w:rPr>
          <w:rFonts w:hint="eastAsia" w:hAnsi="宋体"/>
          <w:color w:val="auto"/>
          <w:sz w:val="24"/>
          <w:highlight w:val="none"/>
        </w:rPr>
        <w:t xml:space="preserve">评标、定标工作在招标人监督部门人员的监督下由招标人或代理机构组织进行。    </w:t>
      </w:r>
    </w:p>
    <w:p w14:paraId="33F472B4">
      <w:pPr>
        <w:spacing w:line="440" w:lineRule="exact"/>
        <w:ind w:firstLine="482" w:firstLineChars="200"/>
        <w:rPr>
          <w:color w:val="auto"/>
          <w:sz w:val="24"/>
          <w:highlight w:val="none"/>
        </w:rPr>
      </w:pPr>
      <w:r>
        <w:rPr>
          <w:b/>
          <w:color w:val="auto"/>
          <w:sz w:val="24"/>
          <w:highlight w:val="none"/>
        </w:rPr>
        <w:t>28.</w:t>
      </w:r>
      <w:r>
        <w:rPr>
          <w:rFonts w:hAnsi="宋体"/>
          <w:color w:val="auto"/>
          <w:sz w:val="24"/>
          <w:highlight w:val="none"/>
        </w:rPr>
        <w:t>投标文件的澄清</w:t>
      </w:r>
    </w:p>
    <w:p w14:paraId="72F87BB5">
      <w:pPr>
        <w:spacing w:line="440" w:lineRule="exact"/>
        <w:ind w:firstLine="480"/>
        <w:rPr>
          <w:color w:val="auto"/>
          <w:sz w:val="24"/>
          <w:highlight w:val="none"/>
        </w:rPr>
      </w:pPr>
      <w:r>
        <w:rPr>
          <w:rFonts w:hAnsi="宋体"/>
          <w:color w:val="auto"/>
          <w:sz w:val="24"/>
          <w:highlight w:val="none"/>
        </w:rPr>
        <w:t>在评标过程中，评标委员会认为需要，可以书面形式要求投标人对投标文件中的有关问题进行澄清或提供补充说明及有关资料，投标人应作出书面答复。书面答复中不得有变更价格、工期、自报质量等级等实质性内容。</w:t>
      </w:r>
    </w:p>
    <w:p w14:paraId="5E1A88AF">
      <w:pPr>
        <w:spacing w:line="440" w:lineRule="exact"/>
        <w:ind w:firstLine="480"/>
        <w:rPr>
          <w:color w:val="auto"/>
          <w:sz w:val="24"/>
          <w:highlight w:val="none"/>
        </w:rPr>
      </w:pPr>
      <w:r>
        <w:rPr>
          <w:rFonts w:hAnsi="宋体"/>
          <w:color w:val="auto"/>
          <w:spacing w:val="-2"/>
          <w:sz w:val="24"/>
          <w:highlight w:val="none"/>
        </w:rPr>
        <w:t>书面答复须经投标人法定代表人或经其授权的委托代理人的签字或加盖印鉴，签字或加盖印鉴的书面答复将被视为投标文件的组成部分。投标截止日后，投标人对投标报价或其他实质性内容修正的函件和增加的任何优惠条件，一律不得作为评标、定标的依据</w:t>
      </w:r>
      <w:r>
        <w:rPr>
          <w:rFonts w:hAnsi="宋体"/>
          <w:color w:val="auto"/>
          <w:sz w:val="24"/>
          <w:highlight w:val="none"/>
        </w:rPr>
        <w:t>。</w:t>
      </w:r>
    </w:p>
    <w:p w14:paraId="4B25E85E">
      <w:pPr>
        <w:spacing w:line="440" w:lineRule="exact"/>
        <w:ind w:firstLine="480"/>
        <w:rPr>
          <w:color w:val="auto"/>
          <w:sz w:val="24"/>
          <w:highlight w:val="none"/>
        </w:rPr>
      </w:pPr>
      <w:r>
        <w:rPr>
          <w:b/>
          <w:color w:val="auto"/>
          <w:sz w:val="24"/>
          <w:highlight w:val="none"/>
        </w:rPr>
        <w:t>29.</w:t>
      </w:r>
      <w:r>
        <w:rPr>
          <w:rFonts w:hAnsi="宋体"/>
          <w:color w:val="auto"/>
          <w:sz w:val="24"/>
          <w:highlight w:val="none"/>
        </w:rPr>
        <w:t>评标委员会在对实质性响应招标文件要求的投标进行报价评估时，除招标文件另有约定外，应当按下列原则进行修正：</w:t>
      </w:r>
      <w:r>
        <w:rPr>
          <w:color w:val="auto"/>
          <w:sz w:val="24"/>
          <w:highlight w:val="none"/>
        </w:rPr>
        <w:t>（</w:t>
      </w:r>
      <w:r>
        <w:rPr>
          <w:rFonts w:hAnsi="宋体"/>
          <w:color w:val="auto"/>
          <w:sz w:val="24"/>
          <w:highlight w:val="none"/>
        </w:rPr>
        <w:t>一</w:t>
      </w:r>
      <w:r>
        <w:rPr>
          <w:color w:val="auto"/>
          <w:sz w:val="24"/>
          <w:highlight w:val="none"/>
        </w:rPr>
        <w:t>）</w:t>
      </w:r>
      <w:r>
        <w:rPr>
          <w:rFonts w:hAnsi="宋体"/>
          <w:color w:val="auto"/>
          <w:sz w:val="24"/>
          <w:highlight w:val="none"/>
        </w:rPr>
        <w:t>投标文件中的大写金额与小写金额不一</w:t>
      </w:r>
      <w:r>
        <w:rPr>
          <w:rFonts w:hint="eastAsia" w:hAnsi="宋体"/>
          <w:color w:val="auto"/>
          <w:sz w:val="24"/>
          <w:highlight w:val="none"/>
          <w:lang w:eastAsia="zh-CN"/>
        </w:rPr>
        <w:t>致的</w:t>
      </w:r>
      <w:r>
        <w:rPr>
          <w:rFonts w:hAnsi="宋体"/>
          <w:color w:val="auto"/>
          <w:sz w:val="24"/>
          <w:highlight w:val="none"/>
        </w:rPr>
        <w:t>，以大写金额为准；</w:t>
      </w:r>
      <w:r>
        <w:rPr>
          <w:color w:val="auto"/>
          <w:sz w:val="24"/>
          <w:highlight w:val="none"/>
        </w:rPr>
        <w:t>（</w:t>
      </w:r>
      <w:r>
        <w:rPr>
          <w:rFonts w:hAnsi="宋体"/>
          <w:color w:val="auto"/>
          <w:sz w:val="24"/>
          <w:highlight w:val="none"/>
        </w:rPr>
        <w:t>二</w:t>
      </w:r>
      <w:r>
        <w:rPr>
          <w:color w:val="auto"/>
          <w:sz w:val="24"/>
          <w:highlight w:val="none"/>
        </w:rPr>
        <w:t>）</w:t>
      </w:r>
      <w:r>
        <w:rPr>
          <w:rFonts w:hAnsi="宋体"/>
          <w:color w:val="auto"/>
          <w:sz w:val="24"/>
          <w:highlight w:val="none"/>
        </w:rPr>
        <w:t>总价金额与单价不一致的，以单价金额为准，但单价金额小数点有明显错误的除外；</w:t>
      </w:r>
      <w:r>
        <w:rPr>
          <w:color w:val="auto"/>
          <w:sz w:val="24"/>
          <w:highlight w:val="none"/>
        </w:rPr>
        <w:t>（</w:t>
      </w:r>
      <w:r>
        <w:rPr>
          <w:rFonts w:hAnsi="宋体"/>
          <w:color w:val="auto"/>
          <w:sz w:val="24"/>
          <w:highlight w:val="none"/>
        </w:rPr>
        <w:t>三</w:t>
      </w:r>
      <w:r>
        <w:rPr>
          <w:color w:val="auto"/>
          <w:sz w:val="24"/>
          <w:highlight w:val="none"/>
        </w:rPr>
        <w:t>）</w:t>
      </w:r>
      <w:r>
        <w:rPr>
          <w:rFonts w:hAnsi="宋体"/>
          <w:color w:val="auto"/>
          <w:sz w:val="24"/>
          <w:highlight w:val="none"/>
        </w:rPr>
        <w:t>对不同文字文本投标文件的解释发生异议的，以中文文本为准。</w:t>
      </w:r>
    </w:p>
    <w:p w14:paraId="0AF3C9C2">
      <w:pPr>
        <w:spacing w:line="440" w:lineRule="exact"/>
        <w:ind w:firstLine="480"/>
        <w:rPr>
          <w:color w:val="auto"/>
          <w:sz w:val="24"/>
          <w:highlight w:val="none"/>
        </w:rPr>
      </w:pPr>
      <w:r>
        <w:rPr>
          <w:b/>
          <w:color w:val="auto"/>
          <w:sz w:val="24"/>
          <w:highlight w:val="none"/>
        </w:rPr>
        <w:t>30.</w:t>
      </w:r>
      <w:r>
        <w:rPr>
          <w:rFonts w:hAnsi="宋体"/>
          <w:color w:val="auto"/>
          <w:sz w:val="24"/>
          <w:highlight w:val="none"/>
        </w:rPr>
        <w:t>投标报价可以四舍五入到</w:t>
      </w:r>
      <w:r>
        <w:rPr>
          <w:color w:val="auto"/>
          <w:sz w:val="24"/>
          <w:highlight w:val="none"/>
        </w:rPr>
        <w:t>“</w:t>
      </w:r>
      <w:r>
        <w:rPr>
          <w:rFonts w:hAnsi="宋体"/>
          <w:color w:val="auto"/>
          <w:sz w:val="24"/>
          <w:highlight w:val="none"/>
        </w:rPr>
        <w:t>元</w:t>
      </w:r>
      <w:r>
        <w:rPr>
          <w:color w:val="auto"/>
          <w:sz w:val="24"/>
          <w:highlight w:val="none"/>
        </w:rPr>
        <w:t>”</w:t>
      </w:r>
      <w:r>
        <w:rPr>
          <w:rFonts w:hAnsi="宋体"/>
          <w:color w:val="auto"/>
          <w:sz w:val="24"/>
          <w:highlight w:val="none"/>
        </w:rPr>
        <w:t>。</w:t>
      </w:r>
    </w:p>
    <w:p w14:paraId="6FC377D9">
      <w:pPr>
        <w:spacing w:line="440" w:lineRule="exact"/>
        <w:ind w:firstLine="480"/>
        <w:rPr>
          <w:color w:val="auto"/>
          <w:sz w:val="24"/>
          <w:highlight w:val="none"/>
        </w:rPr>
      </w:pPr>
      <w:r>
        <w:rPr>
          <w:b/>
          <w:color w:val="auto"/>
          <w:sz w:val="24"/>
          <w:highlight w:val="none"/>
        </w:rPr>
        <w:t>31.</w:t>
      </w:r>
      <w:r>
        <w:rPr>
          <w:rFonts w:hAnsi="宋体"/>
          <w:color w:val="auto"/>
          <w:sz w:val="24"/>
          <w:highlight w:val="none"/>
        </w:rPr>
        <w:t>在投标文件的审查、澄清、评价和比较以及授予合同的过程中，投标人对招标人和评标组织成员施加影响的任何行为，都将导致取消其中标资格。</w:t>
      </w:r>
    </w:p>
    <w:p w14:paraId="1DF4B512">
      <w:pPr>
        <w:widowControl/>
        <w:spacing w:line="440" w:lineRule="exact"/>
        <w:ind w:firstLine="482" w:firstLineChars="200"/>
        <w:rPr>
          <w:color w:val="auto"/>
          <w:sz w:val="24"/>
          <w:highlight w:val="none"/>
        </w:rPr>
      </w:pPr>
      <w:r>
        <w:rPr>
          <w:b/>
          <w:color w:val="auto"/>
          <w:sz w:val="24"/>
          <w:highlight w:val="none"/>
        </w:rPr>
        <w:t>32.</w:t>
      </w:r>
      <w:r>
        <w:rPr>
          <w:rFonts w:hAnsi="宋体"/>
          <w:color w:val="auto"/>
          <w:spacing w:val="-2"/>
          <w:sz w:val="24"/>
          <w:highlight w:val="none"/>
        </w:rPr>
        <w:t>评标委员会在评标工作完成后，将在评标报告之外按照统一格式公布评标结果公开的内容，在中标结果公示的同时一并在</w:t>
      </w:r>
      <w:r>
        <w:rPr>
          <w:rFonts w:hint="eastAsia"/>
          <w:color w:val="auto"/>
          <w:spacing w:val="-2"/>
          <w:sz w:val="24"/>
          <w:highlight w:val="none"/>
          <w:lang w:eastAsia="zh-CN"/>
        </w:rPr>
        <w:t>南通市崇川区人民政府网－公告公示栏</w:t>
      </w:r>
      <w:r>
        <w:rPr>
          <w:rFonts w:hAnsi="宋体"/>
          <w:color w:val="auto"/>
          <w:spacing w:val="-2"/>
          <w:sz w:val="24"/>
          <w:highlight w:val="none"/>
        </w:rPr>
        <w:t>公示，公布的时间为三日</w:t>
      </w:r>
      <w:r>
        <w:rPr>
          <w:rFonts w:hAnsi="宋体"/>
          <w:color w:val="auto"/>
          <w:sz w:val="24"/>
          <w:highlight w:val="none"/>
        </w:rPr>
        <w:t>。</w:t>
      </w:r>
    </w:p>
    <w:p w14:paraId="67F2D749">
      <w:pPr>
        <w:pStyle w:val="5"/>
        <w:spacing w:line="440" w:lineRule="exact"/>
        <w:jc w:val="center"/>
        <w:rPr>
          <w:rFonts w:ascii="Times New Roman" w:hAnsi="Times New Roman" w:eastAsia="宋体"/>
          <w:color w:val="auto"/>
          <w:sz w:val="30"/>
          <w:highlight w:val="none"/>
        </w:rPr>
      </w:pPr>
      <w:r>
        <w:rPr>
          <w:rFonts w:ascii="Times New Roman" w:hAnsi="宋体" w:eastAsia="宋体"/>
          <w:color w:val="auto"/>
          <w:sz w:val="30"/>
          <w:highlight w:val="none"/>
        </w:rPr>
        <w:t>（七）授予合同</w:t>
      </w:r>
    </w:p>
    <w:p w14:paraId="5F546554">
      <w:pPr>
        <w:spacing w:line="440" w:lineRule="exact"/>
        <w:ind w:firstLine="482" w:firstLineChars="200"/>
        <w:rPr>
          <w:color w:val="auto"/>
          <w:sz w:val="24"/>
          <w:highlight w:val="none"/>
        </w:rPr>
      </w:pPr>
      <w:r>
        <w:rPr>
          <w:b/>
          <w:color w:val="auto"/>
          <w:sz w:val="24"/>
          <w:highlight w:val="none"/>
        </w:rPr>
        <w:t>33.</w:t>
      </w:r>
      <w:r>
        <w:rPr>
          <w:rFonts w:hAnsi="宋体"/>
          <w:b/>
          <w:color w:val="auto"/>
          <w:spacing w:val="-2"/>
          <w:sz w:val="24"/>
          <w:highlight w:val="none"/>
        </w:rPr>
        <w:t>招</w:t>
      </w:r>
      <w:r>
        <w:rPr>
          <w:rFonts w:hAnsi="宋体"/>
          <w:b/>
          <w:color w:val="auto"/>
          <w:spacing w:val="-6"/>
          <w:sz w:val="24"/>
          <w:highlight w:val="none"/>
        </w:rPr>
        <w:t>标人和中标人应当自中标通知书发出之日起</w:t>
      </w:r>
      <w:r>
        <w:rPr>
          <w:rFonts w:hint="eastAsia"/>
          <w:b/>
          <w:color w:val="auto"/>
          <w:spacing w:val="-6"/>
          <w:sz w:val="24"/>
          <w:highlight w:val="none"/>
        </w:rPr>
        <w:t>30</w:t>
      </w:r>
      <w:r>
        <w:rPr>
          <w:rFonts w:hAnsi="宋体"/>
          <w:b/>
          <w:color w:val="auto"/>
          <w:spacing w:val="-6"/>
          <w:sz w:val="24"/>
          <w:highlight w:val="none"/>
        </w:rPr>
        <w:t>日内</w:t>
      </w:r>
      <w:r>
        <w:rPr>
          <w:rFonts w:hAnsi="宋体"/>
          <w:color w:val="auto"/>
          <w:spacing w:val="-6"/>
          <w:sz w:val="24"/>
          <w:highlight w:val="none"/>
        </w:rPr>
        <w:t>，按照本招标文件和中标人的投标文件订立书面合同。招标人和中标人不得再订立背离合同实质性内容的其他协议</w:t>
      </w:r>
      <w:r>
        <w:rPr>
          <w:rFonts w:hAnsi="宋体"/>
          <w:color w:val="auto"/>
          <w:sz w:val="24"/>
          <w:highlight w:val="none"/>
        </w:rPr>
        <w:t>。</w:t>
      </w:r>
    </w:p>
    <w:p w14:paraId="68F0392B">
      <w:pPr>
        <w:spacing w:line="440" w:lineRule="exact"/>
        <w:ind w:firstLine="480"/>
        <w:rPr>
          <w:rFonts w:hAnsi="宋体"/>
          <w:color w:val="auto"/>
          <w:sz w:val="24"/>
          <w:highlight w:val="none"/>
        </w:rPr>
      </w:pPr>
      <w:r>
        <w:rPr>
          <w:b/>
          <w:color w:val="auto"/>
          <w:sz w:val="24"/>
          <w:highlight w:val="none"/>
        </w:rPr>
        <w:t>3</w:t>
      </w:r>
      <w:r>
        <w:rPr>
          <w:rFonts w:hint="eastAsia"/>
          <w:b/>
          <w:color w:val="auto"/>
          <w:sz w:val="24"/>
          <w:highlight w:val="none"/>
          <w:lang w:val="en-US" w:eastAsia="zh-CN"/>
        </w:rPr>
        <w:t>4</w:t>
      </w:r>
      <w:r>
        <w:rPr>
          <w:rFonts w:hint="eastAsia"/>
          <w:color w:val="auto"/>
          <w:sz w:val="24"/>
          <w:highlight w:val="none"/>
          <w:lang w:val="en-US" w:eastAsia="zh-CN"/>
        </w:rPr>
        <w:t>.</w:t>
      </w:r>
      <w:r>
        <w:rPr>
          <w:rFonts w:hAnsi="宋体"/>
          <w:bCs/>
          <w:color w:val="auto"/>
          <w:sz w:val="24"/>
          <w:highlight w:val="none"/>
        </w:rPr>
        <w:t>中标公示结束后，</w:t>
      </w:r>
      <w:r>
        <w:rPr>
          <w:rFonts w:hAnsi="宋体"/>
          <w:color w:val="auto"/>
          <w:sz w:val="24"/>
          <w:highlight w:val="none"/>
        </w:rPr>
        <w:t>中标人应按本须知前附表</w:t>
      </w:r>
      <w:r>
        <w:rPr>
          <w:rFonts w:hAnsi="宋体"/>
          <w:color w:val="auto"/>
          <w:sz w:val="24"/>
          <w:highlight w:val="none"/>
          <w:u w:val="single"/>
        </w:rPr>
        <w:t>第</w:t>
      </w:r>
      <w:r>
        <w:rPr>
          <w:color w:val="auto"/>
          <w:sz w:val="24"/>
          <w:highlight w:val="none"/>
          <w:u w:val="single"/>
        </w:rPr>
        <w:t>21</w:t>
      </w:r>
      <w:r>
        <w:rPr>
          <w:rFonts w:hAnsi="宋体"/>
          <w:color w:val="auto"/>
          <w:sz w:val="24"/>
          <w:highlight w:val="none"/>
          <w:u w:val="single"/>
        </w:rPr>
        <w:t>项</w:t>
      </w:r>
      <w:r>
        <w:rPr>
          <w:rFonts w:hAnsi="宋体"/>
          <w:color w:val="auto"/>
          <w:sz w:val="24"/>
          <w:highlight w:val="none"/>
        </w:rPr>
        <w:t>规定的金额向招标人提交履约担保，担保的形式为</w:t>
      </w:r>
      <w:r>
        <w:rPr>
          <w:rFonts w:hint="eastAsia" w:hAnsi="宋体"/>
          <w:b/>
          <w:color w:val="auto"/>
          <w:sz w:val="24"/>
          <w:highlight w:val="none"/>
        </w:rPr>
        <w:t>银行转账或银行保函</w:t>
      </w:r>
      <w:r>
        <w:rPr>
          <w:rFonts w:hAnsi="宋体"/>
          <w:color w:val="auto"/>
          <w:sz w:val="24"/>
          <w:highlight w:val="none"/>
        </w:rPr>
        <w:t>。</w:t>
      </w:r>
    </w:p>
    <w:p w14:paraId="1555ED06">
      <w:pPr>
        <w:spacing w:line="440" w:lineRule="exact"/>
        <w:ind w:firstLine="482"/>
        <w:rPr>
          <w:rFonts w:hint="eastAsia" w:hAnsi="宋体"/>
          <w:color w:val="auto"/>
          <w:sz w:val="24"/>
          <w:highlight w:val="none"/>
        </w:rPr>
      </w:pPr>
      <w:r>
        <w:rPr>
          <w:rFonts w:hint="eastAsia"/>
          <w:b/>
          <w:color w:val="auto"/>
          <w:sz w:val="24"/>
          <w:highlight w:val="none"/>
          <w:lang w:val="en-US" w:eastAsia="zh-CN"/>
        </w:rPr>
        <w:t>35</w:t>
      </w:r>
      <w:r>
        <w:rPr>
          <w:b/>
          <w:color w:val="auto"/>
          <w:sz w:val="24"/>
          <w:highlight w:val="none"/>
        </w:rPr>
        <w:t>.</w:t>
      </w:r>
      <w:r>
        <w:rPr>
          <w:rFonts w:hAnsi="宋体"/>
          <w:color w:val="auto"/>
          <w:sz w:val="24"/>
          <w:highlight w:val="none"/>
        </w:rPr>
        <w:t>若中标人不能按本须知第</w:t>
      </w:r>
      <w:r>
        <w:rPr>
          <w:color w:val="auto"/>
          <w:sz w:val="24"/>
          <w:highlight w:val="none"/>
        </w:rPr>
        <w:t>34</w:t>
      </w:r>
      <w:r>
        <w:rPr>
          <w:rFonts w:hAnsi="宋体"/>
          <w:color w:val="auto"/>
          <w:sz w:val="24"/>
          <w:highlight w:val="none"/>
        </w:rPr>
        <w:t>条、</w:t>
      </w:r>
      <w:r>
        <w:rPr>
          <w:color w:val="auto"/>
          <w:sz w:val="24"/>
          <w:highlight w:val="none"/>
        </w:rPr>
        <w:t>35</w:t>
      </w:r>
      <w:r>
        <w:rPr>
          <w:rFonts w:hAnsi="宋体"/>
          <w:color w:val="auto"/>
          <w:sz w:val="24"/>
          <w:highlight w:val="none"/>
        </w:rPr>
        <w:t>条款的规定执行，</w:t>
      </w:r>
      <w:r>
        <w:rPr>
          <w:rFonts w:hAnsi="宋体"/>
          <w:b/>
          <w:color w:val="auto"/>
          <w:sz w:val="24"/>
          <w:highlight w:val="none"/>
        </w:rPr>
        <w:t>招标人将有充分的理由认为中标人放弃中标项目及签订合同的权利，并没收其投标保证金，</w:t>
      </w:r>
      <w:r>
        <w:rPr>
          <w:rFonts w:hAnsi="宋体"/>
          <w:color w:val="auto"/>
          <w:sz w:val="24"/>
          <w:highlight w:val="none"/>
        </w:rPr>
        <w:t>中标人的行为给招标人造成损失超过投标保证金数额的，还应当对超过部分予以赔偿。</w:t>
      </w:r>
      <w:r>
        <w:rPr>
          <w:rFonts w:hint="eastAsia" w:hAnsi="宋体"/>
          <w:color w:val="auto"/>
          <w:sz w:val="24"/>
          <w:highlight w:val="none"/>
        </w:rPr>
        <w:t>招标人可以按照评标委员会提出的中标候选人名单排序依次确定其他中标候选人为中标人，也可以重新招标。</w:t>
      </w:r>
    </w:p>
    <w:p w14:paraId="0327001E">
      <w:pPr>
        <w:spacing w:line="440" w:lineRule="exact"/>
        <w:ind w:firstLine="482"/>
        <w:rPr>
          <w:color w:val="auto"/>
          <w:sz w:val="24"/>
          <w:highlight w:val="none"/>
        </w:rPr>
      </w:pPr>
      <w:r>
        <w:rPr>
          <w:b/>
          <w:color w:val="auto"/>
          <w:sz w:val="24"/>
          <w:highlight w:val="none"/>
        </w:rPr>
        <w:t>3</w:t>
      </w:r>
      <w:r>
        <w:rPr>
          <w:rFonts w:hint="eastAsia"/>
          <w:b/>
          <w:color w:val="auto"/>
          <w:sz w:val="24"/>
          <w:highlight w:val="none"/>
          <w:lang w:val="en-US" w:eastAsia="zh-CN"/>
        </w:rPr>
        <w:t>6.</w:t>
      </w:r>
      <w:r>
        <w:rPr>
          <w:rFonts w:hAnsi="宋体"/>
          <w:color w:val="auto"/>
          <w:sz w:val="24"/>
          <w:highlight w:val="none"/>
        </w:rPr>
        <w:t>中标人在中标后或施工期间不得随意变更中标项目负责人。如果出现特殊情况，确需更换的，应当经招标人同意，并提供必要的证明文件报招标投标行政监督部门备案。</w:t>
      </w:r>
    </w:p>
    <w:p w14:paraId="622A5BD4">
      <w:pPr>
        <w:spacing w:line="440" w:lineRule="exact"/>
        <w:ind w:firstLine="482"/>
        <w:rPr>
          <w:color w:val="auto"/>
          <w:sz w:val="24"/>
          <w:highlight w:val="none"/>
        </w:rPr>
      </w:pPr>
      <w:r>
        <w:rPr>
          <w:rFonts w:hAnsi="宋体"/>
          <w:color w:val="auto"/>
          <w:sz w:val="24"/>
          <w:highlight w:val="none"/>
        </w:rPr>
        <w:t>注：自备案之日起至原合同期满止，原中标项目负责人不得作为项目负责人承接其他工程，如备案之日至原合同工期期满之日不足六个月，则限制其承接工程的期限为六个月。</w:t>
      </w:r>
    </w:p>
    <w:p w14:paraId="6994858F">
      <w:pPr>
        <w:pStyle w:val="4"/>
        <w:spacing w:line="360" w:lineRule="auto"/>
        <w:jc w:val="center"/>
        <w:rPr>
          <w:color w:val="auto"/>
          <w:sz w:val="32"/>
          <w:szCs w:val="32"/>
          <w:highlight w:val="none"/>
        </w:rPr>
      </w:pPr>
      <w:bookmarkStart w:id="29" w:name="_Toc404159959"/>
      <w:bookmarkStart w:id="30" w:name="_Toc465181335"/>
      <w:r>
        <w:rPr>
          <w:rFonts w:hAnsi="宋体"/>
          <w:color w:val="auto"/>
          <w:sz w:val="36"/>
          <w:szCs w:val="36"/>
          <w:highlight w:val="none"/>
        </w:rPr>
        <w:br w:type="page"/>
      </w:r>
      <w:r>
        <w:rPr>
          <w:rFonts w:hAnsi="宋体"/>
          <w:color w:val="auto"/>
          <w:sz w:val="36"/>
          <w:szCs w:val="36"/>
          <w:highlight w:val="none"/>
        </w:rPr>
        <w:t>第二章</w:t>
      </w:r>
      <w:r>
        <w:rPr>
          <w:color w:val="auto"/>
          <w:sz w:val="36"/>
          <w:szCs w:val="36"/>
          <w:highlight w:val="none"/>
        </w:rPr>
        <w:t xml:space="preserve"> </w:t>
      </w:r>
      <w:r>
        <w:rPr>
          <w:rFonts w:hAnsi="宋体"/>
          <w:color w:val="auto"/>
          <w:sz w:val="36"/>
          <w:szCs w:val="36"/>
          <w:highlight w:val="none"/>
        </w:rPr>
        <w:t>评标办法</w:t>
      </w:r>
      <w:r>
        <w:rPr>
          <w:rFonts w:hAnsi="宋体"/>
          <w:color w:val="auto"/>
          <w:sz w:val="32"/>
          <w:szCs w:val="32"/>
          <w:highlight w:val="none"/>
        </w:rPr>
        <w:t>（价格单因素评标办法）</w:t>
      </w:r>
      <w:bookmarkEnd w:id="29"/>
      <w:bookmarkEnd w:id="30"/>
    </w:p>
    <w:p w14:paraId="7EEACD8F">
      <w:pPr>
        <w:autoSpaceDE w:val="0"/>
        <w:autoSpaceDN w:val="0"/>
        <w:adjustRightInd w:val="0"/>
        <w:snapToGrid w:val="0"/>
        <w:spacing w:line="360" w:lineRule="auto"/>
        <w:ind w:firstLine="482" w:firstLineChars="200"/>
        <w:rPr>
          <w:rFonts w:hint="eastAsia" w:ascii="宋体"/>
          <w:b/>
          <w:color w:val="auto"/>
          <w:sz w:val="24"/>
          <w:highlight w:val="none"/>
        </w:rPr>
      </w:pPr>
      <w:r>
        <w:rPr>
          <w:rFonts w:hint="eastAsia" w:ascii="宋体"/>
          <w:b/>
          <w:color w:val="auto"/>
          <w:sz w:val="24"/>
          <w:highlight w:val="none"/>
        </w:rPr>
        <w:t>一、评标程序</w:t>
      </w:r>
    </w:p>
    <w:p w14:paraId="53D6D325">
      <w:pPr>
        <w:autoSpaceDE w:val="0"/>
        <w:autoSpaceDN w:val="0"/>
        <w:adjustRightInd w:val="0"/>
        <w:snapToGrid w:val="0"/>
        <w:spacing w:line="360" w:lineRule="auto"/>
        <w:ind w:firstLine="482" w:firstLineChars="200"/>
        <w:rPr>
          <w:rFonts w:hint="eastAsia" w:ascii="宋体"/>
          <w:b/>
          <w:color w:val="auto"/>
          <w:sz w:val="24"/>
          <w:highlight w:val="none"/>
        </w:rPr>
      </w:pPr>
      <w:r>
        <w:rPr>
          <w:rFonts w:hint="eastAsia" w:ascii="宋体"/>
          <w:b/>
          <w:color w:val="auto"/>
          <w:sz w:val="24"/>
          <w:highlight w:val="none"/>
        </w:rPr>
        <w:t>资格符合性评审→商务标开标→商务标评审→确定中标人。</w:t>
      </w:r>
    </w:p>
    <w:p w14:paraId="40319E4C">
      <w:pPr>
        <w:autoSpaceDE w:val="0"/>
        <w:autoSpaceDN w:val="0"/>
        <w:adjustRightInd w:val="0"/>
        <w:snapToGrid w:val="0"/>
        <w:spacing w:line="360" w:lineRule="auto"/>
        <w:ind w:firstLine="482" w:firstLineChars="200"/>
        <w:rPr>
          <w:rFonts w:hint="eastAsia" w:ascii="宋体"/>
          <w:b/>
          <w:color w:val="auto"/>
          <w:sz w:val="24"/>
          <w:highlight w:val="none"/>
        </w:rPr>
      </w:pPr>
      <w:r>
        <w:rPr>
          <w:rFonts w:hint="eastAsia" w:ascii="宋体"/>
          <w:b/>
          <w:color w:val="auto"/>
          <w:sz w:val="24"/>
          <w:highlight w:val="none"/>
        </w:rPr>
        <w:t>二、资格审查程序及办法</w:t>
      </w:r>
    </w:p>
    <w:p w14:paraId="1A47DB6D">
      <w:pPr>
        <w:autoSpaceDE w:val="0"/>
        <w:autoSpaceDN w:val="0"/>
        <w:adjustRightInd w:val="0"/>
        <w:snapToGrid w:val="0"/>
        <w:spacing w:line="360" w:lineRule="auto"/>
        <w:ind w:firstLine="480" w:firstLineChars="200"/>
        <w:rPr>
          <w:rFonts w:hint="eastAsia" w:ascii="宋体"/>
          <w:color w:val="auto"/>
          <w:sz w:val="24"/>
          <w:highlight w:val="none"/>
        </w:rPr>
      </w:pPr>
      <w:r>
        <w:rPr>
          <w:rFonts w:hint="eastAsia" w:ascii="宋体"/>
          <w:color w:val="auto"/>
          <w:sz w:val="24"/>
          <w:highlight w:val="none"/>
        </w:rPr>
        <w:t>1、本次资格审查采用合格制，各投标人只有满足资格审查必要合格条件后，方可参与商务标的评审。</w:t>
      </w:r>
    </w:p>
    <w:p w14:paraId="10699437">
      <w:pPr>
        <w:autoSpaceDE w:val="0"/>
        <w:autoSpaceDN w:val="0"/>
        <w:adjustRightInd w:val="0"/>
        <w:snapToGrid w:val="0"/>
        <w:spacing w:line="360" w:lineRule="auto"/>
        <w:ind w:firstLine="480" w:firstLineChars="200"/>
        <w:rPr>
          <w:rFonts w:hint="eastAsia" w:ascii="宋体"/>
          <w:color w:val="auto"/>
          <w:sz w:val="24"/>
          <w:highlight w:val="none"/>
        </w:rPr>
      </w:pPr>
      <w:r>
        <w:rPr>
          <w:rFonts w:hint="eastAsia" w:ascii="宋体"/>
          <w:color w:val="auto"/>
          <w:sz w:val="24"/>
          <w:highlight w:val="none"/>
        </w:rPr>
        <w:t>2、评标委员会按下表所列的资格审查必要合格条件，对各投标人递交的资格审查书面资料进行评审，并公布资格审查合格者名单。</w:t>
      </w:r>
    </w:p>
    <w:p w14:paraId="2FD60C7A">
      <w:pPr>
        <w:autoSpaceDE w:val="0"/>
        <w:autoSpaceDN w:val="0"/>
        <w:adjustRightInd w:val="0"/>
        <w:snapToGrid w:val="0"/>
        <w:spacing w:line="360" w:lineRule="auto"/>
        <w:ind w:firstLine="480" w:firstLineChars="200"/>
        <w:rPr>
          <w:rFonts w:hint="eastAsia" w:ascii="宋体"/>
          <w:color w:val="auto"/>
          <w:sz w:val="24"/>
          <w:highlight w:val="none"/>
        </w:rPr>
      </w:pPr>
      <w:r>
        <w:rPr>
          <w:rFonts w:hint="eastAsia" w:ascii="宋体"/>
          <w:color w:val="auto"/>
          <w:sz w:val="24"/>
          <w:highlight w:val="none"/>
        </w:rPr>
        <w:t>3、本项目评标委员会由招标人组建，由5人或5人以上单数组成。</w:t>
      </w:r>
    </w:p>
    <w:p w14:paraId="2B3310B9">
      <w:pPr>
        <w:widowControl/>
        <w:spacing w:line="360" w:lineRule="auto"/>
        <w:ind w:firstLine="480" w:firstLineChars="200"/>
        <w:rPr>
          <w:rFonts w:hint="eastAsia" w:ascii="宋体"/>
          <w:color w:val="auto"/>
          <w:kern w:val="0"/>
          <w:sz w:val="24"/>
          <w:highlight w:val="none"/>
        </w:rPr>
      </w:pPr>
      <w:r>
        <w:rPr>
          <w:rFonts w:hint="eastAsia" w:ascii="宋体"/>
          <w:color w:val="auto"/>
          <w:kern w:val="0"/>
          <w:sz w:val="24"/>
          <w:highlight w:val="none"/>
        </w:rPr>
        <w:t>二、评审标准</w:t>
      </w:r>
    </w:p>
    <w:p w14:paraId="30570B52">
      <w:pPr>
        <w:widowControl/>
        <w:spacing w:line="360" w:lineRule="auto"/>
        <w:ind w:firstLine="480" w:firstLineChars="200"/>
        <w:rPr>
          <w:rFonts w:hint="eastAsia" w:ascii="宋体"/>
          <w:color w:val="auto"/>
          <w:kern w:val="0"/>
          <w:sz w:val="24"/>
          <w:highlight w:val="none"/>
        </w:rPr>
      </w:pPr>
      <w:r>
        <w:rPr>
          <w:rFonts w:hint="eastAsia" w:ascii="宋体"/>
          <w:color w:val="auto"/>
          <w:kern w:val="0"/>
          <w:sz w:val="24"/>
          <w:highlight w:val="none"/>
        </w:rPr>
        <w:t>评标委员会将</w:t>
      </w:r>
      <w:r>
        <w:rPr>
          <w:rFonts w:hint="eastAsia" w:ascii="宋体"/>
          <w:color w:val="auto"/>
          <w:kern w:val="0"/>
          <w:sz w:val="24"/>
          <w:highlight w:val="none"/>
          <w:lang w:eastAsia="zh-CN"/>
        </w:rPr>
        <w:t>按照</w:t>
      </w:r>
      <w:r>
        <w:rPr>
          <w:rFonts w:hint="eastAsia" w:ascii="宋体"/>
          <w:color w:val="auto"/>
          <w:kern w:val="0"/>
          <w:sz w:val="24"/>
          <w:highlight w:val="none"/>
        </w:rPr>
        <w:t>评审标准、资格评审标准的合格条件，对各投标人递交的资格审查书面资料进行评审，并公布资格审查合格者名单。</w:t>
      </w:r>
    </w:p>
    <w:p w14:paraId="48CA8068">
      <w:pPr>
        <w:widowControl/>
        <w:spacing w:line="360" w:lineRule="auto"/>
        <w:ind w:firstLine="480" w:firstLineChars="200"/>
        <w:rPr>
          <w:rFonts w:hint="eastAsia" w:ascii="宋体"/>
          <w:color w:val="auto"/>
          <w:kern w:val="0"/>
          <w:sz w:val="24"/>
          <w:highlight w:val="none"/>
        </w:rPr>
      </w:pPr>
      <w:r>
        <w:rPr>
          <w:rFonts w:hint="eastAsia" w:ascii="宋体"/>
          <w:color w:val="auto"/>
          <w:kern w:val="0"/>
          <w:sz w:val="24"/>
          <w:highlight w:val="none"/>
        </w:rPr>
        <w:t>1、资格符合性评审</w:t>
      </w:r>
    </w:p>
    <w:p w14:paraId="3D00DBE2">
      <w:pPr>
        <w:widowControl/>
        <w:spacing w:line="360" w:lineRule="auto"/>
        <w:ind w:firstLine="482" w:firstLineChars="200"/>
        <w:jc w:val="center"/>
        <w:rPr>
          <w:color w:val="auto"/>
          <w:kern w:val="0"/>
          <w:sz w:val="24"/>
          <w:highlight w:val="none"/>
        </w:rPr>
      </w:pPr>
      <w:r>
        <w:rPr>
          <w:rFonts w:hAnsi="宋体"/>
          <w:b/>
          <w:color w:val="auto"/>
          <w:sz w:val="24"/>
          <w:highlight w:val="none"/>
          <w:u w:val="single"/>
        </w:rPr>
        <w:t>资格审查标准汇总表</w:t>
      </w:r>
    </w:p>
    <w:tbl>
      <w:tblPr>
        <w:tblStyle w:val="65"/>
        <w:tblW w:w="9569" w:type="dxa"/>
        <w:jc w:val="center"/>
        <w:tblCellSpacing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52"/>
        <w:gridCol w:w="1800"/>
        <w:gridCol w:w="3536"/>
        <w:gridCol w:w="3681"/>
      </w:tblGrid>
      <w:tr w14:paraId="3A7EF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Header/>
          <w:tblCellSpacing w:w="0" w:type="dxa"/>
          <w:jc w:val="center"/>
        </w:trPr>
        <w:tc>
          <w:tcPr>
            <w:tcW w:w="552" w:type="dxa"/>
            <w:noWrap w:val="0"/>
            <w:vAlign w:val="center"/>
          </w:tcPr>
          <w:p w14:paraId="7F79F5A0">
            <w:pPr>
              <w:widowControl/>
              <w:spacing w:line="320" w:lineRule="exact"/>
              <w:jc w:val="center"/>
              <w:rPr>
                <w:rFonts w:hint="eastAsia" w:ascii="宋体" w:hAnsi="宋体" w:cs="宋体"/>
                <w:b/>
                <w:color w:val="auto"/>
                <w:kern w:val="0"/>
                <w:szCs w:val="21"/>
                <w:highlight w:val="none"/>
              </w:rPr>
            </w:pPr>
            <w:bookmarkStart w:id="31" w:name="OLE_LINK2"/>
            <w:r>
              <w:rPr>
                <w:rFonts w:hint="eastAsia" w:ascii="宋体" w:hAnsi="宋体" w:cs="宋体"/>
                <w:b/>
                <w:color w:val="auto"/>
                <w:kern w:val="0"/>
                <w:szCs w:val="21"/>
                <w:highlight w:val="none"/>
              </w:rPr>
              <w:t>序号</w:t>
            </w:r>
          </w:p>
        </w:tc>
        <w:tc>
          <w:tcPr>
            <w:tcW w:w="1800" w:type="dxa"/>
            <w:noWrap w:val="0"/>
            <w:vAlign w:val="center"/>
          </w:tcPr>
          <w:p w14:paraId="3D54794D">
            <w:pPr>
              <w:widowControl/>
              <w:spacing w:line="320" w:lineRule="exact"/>
              <w:jc w:val="center"/>
              <w:rPr>
                <w:rFonts w:hint="eastAsia" w:ascii="宋体" w:hAnsi="宋体" w:cs="宋体"/>
                <w:b/>
                <w:color w:val="auto"/>
                <w:kern w:val="0"/>
                <w:szCs w:val="21"/>
                <w:highlight w:val="none"/>
              </w:rPr>
            </w:pPr>
            <w:r>
              <w:rPr>
                <w:rFonts w:hint="eastAsia" w:ascii="宋体" w:hAnsi="宋体" w:cs="宋体"/>
                <w:b/>
                <w:color w:val="auto"/>
                <w:kern w:val="0"/>
                <w:szCs w:val="21"/>
                <w:highlight w:val="none"/>
              </w:rPr>
              <w:t>项目内容</w:t>
            </w:r>
          </w:p>
        </w:tc>
        <w:tc>
          <w:tcPr>
            <w:tcW w:w="3536" w:type="dxa"/>
            <w:noWrap w:val="0"/>
            <w:vAlign w:val="center"/>
          </w:tcPr>
          <w:p w14:paraId="347EBDA7">
            <w:pPr>
              <w:widowControl/>
              <w:spacing w:line="320" w:lineRule="exact"/>
              <w:jc w:val="center"/>
              <w:rPr>
                <w:rFonts w:hint="eastAsia" w:ascii="宋体" w:hAnsi="宋体" w:cs="宋体"/>
                <w:b/>
                <w:color w:val="auto"/>
                <w:kern w:val="0"/>
                <w:szCs w:val="21"/>
                <w:highlight w:val="none"/>
              </w:rPr>
            </w:pPr>
            <w:r>
              <w:rPr>
                <w:rFonts w:hint="eastAsia" w:ascii="宋体" w:hAnsi="宋体" w:cs="宋体"/>
                <w:b/>
                <w:color w:val="auto"/>
                <w:kern w:val="0"/>
                <w:szCs w:val="21"/>
                <w:highlight w:val="none"/>
              </w:rPr>
              <w:t>合格条件</w:t>
            </w:r>
          </w:p>
        </w:tc>
        <w:tc>
          <w:tcPr>
            <w:tcW w:w="3681" w:type="dxa"/>
            <w:noWrap w:val="0"/>
            <w:vAlign w:val="center"/>
          </w:tcPr>
          <w:p w14:paraId="59769DA6">
            <w:pPr>
              <w:widowControl/>
              <w:spacing w:line="320" w:lineRule="exact"/>
              <w:jc w:val="center"/>
              <w:rPr>
                <w:rFonts w:hint="eastAsia" w:ascii="宋体" w:hAnsi="宋体" w:cs="宋体"/>
                <w:b/>
                <w:color w:val="auto"/>
                <w:kern w:val="0"/>
                <w:szCs w:val="21"/>
                <w:highlight w:val="none"/>
              </w:rPr>
            </w:pPr>
            <w:r>
              <w:rPr>
                <w:rFonts w:hint="eastAsia" w:ascii="宋体" w:hAnsi="宋体" w:cs="宋体"/>
                <w:b/>
                <w:color w:val="auto"/>
                <w:kern w:val="0"/>
                <w:szCs w:val="21"/>
                <w:highlight w:val="none"/>
              </w:rPr>
              <w:t>投标人需提供的材料</w:t>
            </w:r>
          </w:p>
        </w:tc>
      </w:tr>
      <w:tr w14:paraId="4ABC6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5E74195C">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1</w:t>
            </w:r>
          </w:p>
        </w:tc>
        <w:tc>
          <w:tcPr>
            <w:tcW w:w="1800" w:type="dxa"/>
            <w:noWrap w:val="0"/>
            <w:vAlign w:val="center"/>
          </w:tcPr>
          <w:p w14:paraId="2B312BCE">
            <w:pPr>
              <w:widowControl/>
              <w:spacing w:line="320" w:lineRule="exact"/>
              <w:ind w:left="105" w:leftChars="50"/>
              <w:jc w:val="left"/>
              <w:rPr>
                <w:rFonts w:hint="eastAsia" w:ascii="宋体" w:hAnsi="宋体" w:cs="宋体"/>
                <w:color w:val="auto"/>
                <w:kern w:val="0"/>
                <w:szCs w:val="21"/>
                <w:highlight w:val="none"/>
              </w:rPr>
            </w:pPr>
            <w:r>
              <w:rPr>
                <w:rFonts w:hint="eastAsia" w:ascii="宋体" w:hAnsi="宋体" w:cs="宋体"/>
                <w:color w:val="auto"/>
                <w:kern w:val="0"/>
                <w:szCs w:val="21"/>
                <w:highlight w:val="none"/>
                <w:lang w:val="zh-CN"/>
              </w:rPr>
              <w:t>法定代表人身份证明</w:t>
            </w:r>
          </w:p>
        </w:tc>
        <w:tc>
          <w:tcPr>
            <w:tcW w:w="3536" w:type="dxa"/>
            <w:noWrap w:val="0"/>
            <w:vAlign w:val="center"/>
          </w:tcPr>
          <w:p w14:paraId="62E8AE0D">
            <w:pPr>
              <w:widowControl/>
              <w:spacing w:line="320" w:lineRule="exact"/>
              <w:ind w:left="105" w:leftChars="50"/>
              <w:jc w:val="left"/>
              <w:rPr>
                <w:rFonts w:hint="eastAsia" w:ascii="宋体" w:hAnsi="宋体" w:cs="宋体"/>
                <w:color w:val="auto"/>
                <w:kern w:val="0"/>
                <w:szCs w:val="21"/>
                <w:highlight w:val="none"/>
              </w:rPr>
            </w:pPr>
            <w:r>
              <w:rPr>
                <w:rFonts w:hint="eastAsia" w:ascii="宋体" w:hAnsi="宋体" w:cs="宋体"/>
                <w:color w:val="auto"/>
                <w:kern w:val="0"/>
                <w:szCs w:val="21"/>
                <w:highlight w:val="none"/>
                <w:lang w:val="zh-CN"/>
              </w:rPr>
              <w:t>有效的法定代表人身份证明书</w:t>
            </w:r>
          </w:p>
        </w:tc>
        <w:tc>
          <w:tcPr>
            <w:tcW w:w="3681" w:type="dxa"/>
            <w:noWrap w:val="0"/>
            <w:vAlign w:val="center"/>
          </w:tcPr>
          <w:p w14:paraId="78329226">
            <w:pPr>
              <w:widowControl/>
              <w:spacing w:line="320" w:lineRule="exact"/>
              <w:ind w:left="105" w:leftChars="50"/>
              <w:jc w:val="left"/>
              <w:rPr>
                <w:rFonts w:hint="eastAsia" w:ascii="宋体" w:hAnsi="宋体" w:cs="宋体"/>
                <w:color w:val="auto"/>
                <w:kern w:val="0"/>
                <w:szCs w:val="21"/>
                <w:highlight w:val="none"/>
              </w:rPr>
            </w:pPr>
            <w:r>
              <w:rPr>
                <w:rFonts w:hint="eastAsia" w:ascii="宋体" w:hAnsi="宋体" w:cs="宋体"/>
                <w:color w:val="auto"/>
                <w:kern w:val="0"/>
                <w:szCs w:val="21"/>
                <w:highlight w:val="none"/>
                <w:lang w:val="zh-CN"/>
              </w:rPr>
              <w:t>法定代表人身份证明书</w:t>
            </w:r>
            <w:r>
              <w:rPr>
                <w:rFonts w:hint="eastAsia" w:ascii="宋体" w:hAnsi="宋体" w:cs="宋体"/>
                <w:color w:val="auto"/>
                <w:kern w:val="0"/>
                <w:szCs w:val="21"/>
                <w:highlight w:val="none"/>
              </w:rPr>
              <w:t>原件</w:t>
            </w:r>
          </w:p>
        </w:tc>
      </w:tr>
      <w:tr w14:paraId="38340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799FBA26">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2</w:t>
            </w:r>
          </w:p>
        </w:tc>
        <w:tc>
          <w:tcPr>
            <w:tcW w:w="1800" w:type="dxa"/>
            <w:noWrap w:val="0"/>
            <w:vAlign w:val="center"/>
          </w:tcPr>
          <w:p w14:paraId="6E2DF874">
            <w:pPr>
              <w:widowControl/>
              <w:spacing w:line="320" w:lineRule="exact"/>
              <w:ind w:left="105" w:leftChars="50"/>
              <w:jc w:val="left"/>
              <w:rPr>
                <w:rFonts w:hint="eastAsia" w:ascii="宋体" w:hAnsi="宋体" w:cs="宋体"/>
                <w:color w:val="auto"/>
                <w:kern w:val="0"/>
                <w:szCs w:val="21"/>
                <w:highlight w:val="none"/>
              </w:rPr>
            </w:pPr>
            <w:r>
              <w:rPr>
                <w:rFonts w:hint="eastAsia" w:ascii="宋体" w:hAnsi="宋体" w:cs="宋体"/>
                <w:color w:val="auto"/>
                <w:kern w:val="0"/>
                <w:szCs w:val="21"/>
                <w:highlight w:val="none"/>
                <w:lang w:val="zh-CN"/>
              </w:rPr>
              <w:t>授权委托书（如有授权）</w:t>
            </w:r>
          </w:p>
        </w:tc>
        <w:tc>
          <w:tcPr>
            <w:tcW w:w="3536" w:type="dxa"/>
            <w:noWrap w:val="0"/>
            <w:vAlign w:val="center"/>
          </w:tcPr>
          <w:p w14:paraId="459B4D53">
            <w:pPr>
              <w:widowControl/>
              <w:spacing w:line="320" w:lineRule="exact"/>
              <w:ind w:left="105" w:leftChars="50"/>
              <w:jc w:val="left"/>
              <w:rPr>
                <w:rFonts w:hint="eastAsia" w:ascii="宋体" w:hAnsi="宋体" w:cs="宋体"/>
                <w:color w:val="auto"/>
                <w:kern w:val="0"/>
                <w:szCs w:val="21"/>
                <w:highlight w:val="none"/>
              </w:rPr>
            </w:pPr>
            <w:r>
              <w:rPr>
                <w:rFonts w:hint="eastAsia" w:ascii="宋体" w:hAnsi="宋体" w:cs="宋体"/>
                <w:color w:val="auto"/>
                <w:kern w:val="0"/>
                <w:szCs w:val="21"/>
                <w:highlight w:val="none"/>
                <w:lang w:val="zh-CN"/>
              </w:rPr>
              <w:t>有效的授权委托书</w:t>
            </w:r>
          </w:p>
        </w:tc>
        <w:tc>
          <w:tcPr>
            <w:tcW w:w="3681" w:type="dxa"/>
            <w:noWrap w:val="0"/>
            <w:vAlign w:val="center"/>
          </w:tcPr>
          <w:p w14:paraId="5E283049">
            <w:pPr>
              <w:widowControl/>
              <w:spacing w:line="320" w:lineRule="exact"/>
              <w:ind w:left="105" w:leftChars="50"/>
              <w:jc w:val="left"/>
              <w:rPr>
                <w:rFonts w:hint="eastAsia" w:ascii="宋体" w:hAnsi="宋体" w:cs="宋体"/>
                <w:color w:val="auto"/>
                <w:kern w:val="0"/>
                <w:szCs w:val="21"/>
                <w:highlight w:val="none"/>
              </w:rPr>
            </w:pPr>
            <w:r>
              <w:rPr>
                <w:rFonts w:hint="eastAsia" w:ascii="宋体" w:hAnsi="宋体" w:cs="宋体"/>
                <w:color w:val="auto"/>
                <w:kern w:val="0"/>
                <w:szCs w:val="21"/>
                <w:highlight w:val="none"/>
                <w:lang w:val="zh-CN"/>
              </w:rPr>
              <w:t>授权委托书</w:t>
            </w:r>
            <w:r>
              <w:rPr>
                <w:rFonts w:hint="eastAsia" w:ascii="宋体" w:hAnsi="宋体" w:cs="宋体"/>
                <w:color w:val="auto"/>
                <w:kern w:val="0"/>
                <w:szCs w:val="21"/>
                <w:highlight w:val="none"/>
              </w:rPr>
              <w:t>原件</w:t>
            </w:r>
            <w:r>
              <w:rPr>
                <w:rFonts w:hint="eastAsia" w:ascii="宋体" w:hAnsi="宋体" w:cs="宋体"/>
                <w:color w:val="auto"/>
                <w:kern w:val="0"/>
                <w:szCs w:val="21"/>
                <w:highlight w:val="none"/>
                <w:lang w:val="zh-CN"/>
              </w:rPr>
              <w:t>（</w:t>
            </w:r>
            <w:r>
              <w:rPr>
                <w:rFonts w:hint="eastAsia" w:ascii="宋体" w:hAnsi="宋体" w:cs="宋体"/>
                <w:color w:val="auto"/>
                <w:kern w:val="0"/>
                <w:szCs w:val="21"/>
                <w:highlight w:val="none"/>
              </w:rPr>
              <w:t>如有</w:t>
            </w:r>
            <w:r>
              <w:rPr>
                <w:rFonts w:hint="eastAsia" w:ascii="宋体" w:hAnsi="宋体" w:cs="宋体"/>
                <w:color w:val="auto"/>
                <w:kern w:val="0"/>
                <w:szCs w:val="21"/>
                <w:highlight w:val="none"/>
                <w:lang w:val="zh-CN"/>
              </w:rPr>
              <w:t>）</w:t>
            </w:r>
          </w:p>
        </w:tc>
      </w:tr>
      <w:bookmarkEnd w:id="31"/>
      <w:tr w14:paraId="59C6F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02FBB641">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3</w:t>
            </w:r>
          </w:p>
        </w:tc>
        <w:tc>
          <w:tcPr>
            <w:tcW w:w="1800" w:type="dxa"/>
            <w:noWrap w:val="0"/>
            <w:vAlign w:val="center"/>
          </w:tcPr>
          <w:p w14:paraId="3921090B">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具有独立订立合同的能力</w:t>
            </w:r>
          </w:p>
        </w:tc>
        <w:tc>
          <w:tcPr>
            <w:tcW w:w="3536" w:type="dxa"/>
            <w:noWrap w:val="0"/>
            <w:vAlign w:val="center"/>
          </w:tcPr>
          <w:p w14:paraId="550E57D4">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有效的工商行政管理部门颁发的法人营业执照</w:t>
            </w:r>
          </w:p>
        </w:tc>
        <w:tc>
          <w:tcPr>
            <w:tcW w:w="3681" w:type="dxa"/>
            <w:noWrap w:val="0"/>
            <w:vAlign w:val="center"/>
          </w:tcPr>
          <w:p w14:paraId="49B91592">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有效的企业营业执照</w:t>
            </w:r>
          </w:p>
        </w:tc>
      </w:tr>
      <w:tr w14:paraId="62581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0DA38563">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4</w:t>
            </w:r>
          </w:p>
        </w:tc>
        <w:tc>
          <w:tcPr>
            <w:tcW w:w="1800" w:type="dxa"/>
            <w:noWrap w:val="0"/>
            <w:vAlign w:val="center"/>
          </w:tcPr>
          <w:p w14:paraId="349588B4">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企业资质类别等级</w:t>
            </w:r>
          </w:p>
        </w:tc>
        <w:tc>
          <w:tcPr>
            <w:tcW w:w="3536" w:type="dxa"/>
            <w:noWrap w:val="0"/>
            <w:vAlign w:val="center"/>
          </w:tcPr>
          <w:p w14:paraId="739523EA">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lang w:eastAsia="zh-CN"/>
              </w:rPr>
              <w:t>消防设施工程专业承包贰级及以上资质</w:t>
            </w:r>
            <w:r>
              <w:rPr>
                <w:rFonts w:hint="eastAsia" w:ascii="宋体" w:hAnsi="宋体" w:cs="宋体"/>
                <w:color w:val="auto"/>
                <w:kern w:val="0"/>
                <w:szCs w:val="21"/>
                <w:highlight w:val="none"/>
              </w:rPr>
              <w:t>；</w:t>
            </w:r>
          </w:p>
        </w:tc>
        <w:tc>
          <w:tcPr>
            <w:tcW w:w="3681" w:type="dxa"/>
            <w:noWrap w:val="0"/>
            <w:vAlign w:val="center"/>
          </w:tcPr>
          <w:p w14:paraId="74B36D2C">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有效期内的企业资质证书</w:t>
            </w:r>
          </w:p>
        </w:tc>
      </w:tr>
      <w:tr w14:paraId="0EB8A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79C4688E">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5</w:t>
            </w:r>
          </w:p>
        </w:tc>
        <w:tc>
          <w:tcPr>
            <w:tcW w:w="1800" w:type="dxa"/>
            <w:noWrap w:val="0"/>
            <w:vAlign w:val="center"/>
          </w:tcPr>
          <w:p w14:paraId="3ABCCDFD">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企业安全生产许可证</w:t>
            </w:r>
          </w:p>
        </w:tc>
        <w:tc>
          <w:tcPr>
            <w:tcW w:w="3536" w:type="dxa"/>
            <w:noWrap w:val="0"/>
            <w:vAlign w:val="center"/>
          </w:tcPr>
          <w:p w14:paraId="16FD747E">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企业具备安全产生条件，并取得安全生产许可证。</w:t>
            </w:r>
          </w:p>
        </w:tc>
        <w:tc>
          <w:tcPr>
            <w:tcW w:w="3681" w:type="dxa"/>
            <w:noWrap w:val="0"/>
            <w:vAlign w:val="center"/>
          </w:tcPr>
          <w:p w14:paraId="6FED8B84">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有效的安全生产许可证</w:t>
            </w:r>
          </w:p>
        </w:tc>
      </w:tr>
      <w:tr w14:paraId="698D6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5BDAFE69">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6</w:t>
            </w:r>
          </w:p>
        </w:tc>
        <w:tc>
          <w:tcPr>
            <w:tcW w:w="1800" w:type="dxa"/>
            <w:noWrap w:val="0"/>
            <w:vAlign w:val="center"/>
          </w:tcPr>
          <w:p w14:paraId="459CBC59">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拟派项目负责人资质等级</w:t>
            </w:r>
          </w:p>
        </w:tc>
        <w:tc>
          <w:tcPr>
            <w:tcW w:w="3536" w:type="dxa"/>
            <w:noWrap w:val="0"/>
            <w:vAlign w:val="center"/>
          </w:tcPr>
          <w:p w14:paraId="4224E018">
            <w:pPr>
              <w:rPr>
                <w:rFonts w:hint="eastAsia"/>
                <w:color w:val="auto"/>
                <w:highlight w:val="none"/>
              </w:rPr>
            </w:pPr>
            <w:r>
              <w:rPr>
                <w:rFonts w:hint="eastAsia"/>
                <w:color w:val="auto"/>
                <w:highlight w:val="none"/>
                <w:lang w:eastAsia="zh-CN"/>
              </w:rPr>
              <w:t>机电工程专业</w:t>
            </w:r>
            <w:r>
              <w:rPr>
                <w:rFonts w:hint="eastAsia"/>
                <w:color w:val="auto"/>
                <w:highlight w:val="none"/>
              </w:rPr>
              <w:t>二级及以上注册建造师资格</w:t>
            </w:r>
          </w:p>
        </w:tc>
        <w:tc>
          <w:tcPr>
            <w:tcW w:w="3681" w:type="dxa"/>
            <w:noWrap w:val="0"/>
            <w:vAlign w:val="center"/>
          </w:tcPr>
          <w:p w14:paraId="6A3CB4B0">
            <w:pPr>
              <w:rPr>
                <w:rFonts w:hint="eastAsia"/>
                <w:color w:val="auto"/>
                <w:highlight w:val="none"/>
              </w:rPr>
            </w:pPr>
            <w:r>
              <w:rPr>
                <w:rFonts w:hint="eastAsia"/>
                <w:color w:val="auto"/>
                <w:highlight w:val="none"/>
              </w:rPr>
              <w:t>①中华人民共和国建造师注册证书</w:t>
            </w:r>
            <w:r>
              <w:rPr>
                <w:rFonts w:hint="eastAsia"/>
                <w:color w:val="auto"/>
                <w:highlight w:val="none"/>
                <w:lang w:eastAsia="zh-CN"/>
              </w:rPr>
              <w:t>（</w:t>
            </w:r>
            <w:r>
              <w:rPr>
                <w:rFonts w:hint="eastAsia"/>
                <w:color w:val="auto"/>
                <w:highlight w:val="none"/>
              </w:rPr>
              <w:t>注册在投标人单位</w:t>
            </w:r>
            <w:r>
              <w:rPr>
                <w:rFonts w:hint="eastAsia"/>
                <w:color w:val="auto"/>
                <w:highlight w:val="none"/>
                <w:lang w:eastAsia="zh-CN"/>
              </w:rPr>
              <w:t>）</w:t>
            </w:r>
            <w:r>
              <w:rPr>
                <w:rFonts w:hint="eastAsia"/>
                <w:color w:val="auto"/>
                <w:highlight w:val="none"/>
              </w:rPr>
              <w:t>；</w:t>
            </w:r>
          </w:p>
          <w:p w14:paraId="5537DC2F">
            <w:pPr>
              <w:rPr>
                <w:color w:val="auto"/>
                <w:highlight w:val="none"/>
              </w:rPr>
            </w:pPr>
            <w:r>
              <w:rPr>
                <w:rFonts w:hint="eastAsia"/>
                <w:color w:val="auto"/>
                <w:highlight w:val="none"/>
              </w:rPr>
              <w:t>②凡建造师注册证书未发放到位的，可由省辖市建设（建筑）行政主管部门出具注册建造师执业证明。</w:t>
            </w:r>
          </w:p>
          <w:p w14:paraId="427E78D6">
            <w:pPr>
              <w:rPr>
                <w:rFonts w:hint="eastAsia"/>
                <w:color w:val="auto"/>
                <w:highlight w:val="none"/>
              </w:rPr>
            </w:pPr>
            <w:r>
              <w:rPr>
                <w:color w:val="auto"/>
                <w:highlight w:val="none"/>
              </w:rPr>
              <w:t>特别提醒：</w:t>
            </w:r>
            <w:r>
              <w:rPr>
                <w:rFonts w:hint="eastAsia"/>
                <w:color w:val="auto"/>
                <w:highlight w:val="none"/>
              </w:rPr>
              <w:t>①本工程投标人拟派项目负责人为二级注册建造师的，必须根据《省住房和城乡建设厅关于我省二级建造师、二级造价工程师、二级注册结二级注册建筑师、构工程师注册证书电子证照换发的公告》</w:t>
            </w:r>
            <w:r>
              <w:rPr>
                <w:rFonts w:hint="eastAsia"/>
                <w:color w:val="auto"/>
                <w:highlight w:val="none"/>
                <w:lang w:eastAsia="zh-CN"/>
              </w:rPr>
              <w:t>〔2023〕26号</w:t>
            </w:r>
            <w:r>
              <w:rPr>
                <w:rFonts w:hint="eastAsia"/>
                <w:color w:val="auto"/>
                <w:highlight w:val="none"/>
              </w:rPr>
              <w:t>）文件要求使用并提供证书，如未按文件要求提供证书，该证书无效，视为项目负责人的资格不符合要求。</w:t>
            </w:r>
          </w:p>
          <w:p w14:paraId="36C9C997">
            <w:pPr>
              <w:rPr>
                <w:rFonts w:hint="eastAsia"/>
                <w:color w:val="auto"/>
                <w:highlight w:val="none"/>
              </w:rPr>
            </w:pPr>
            <w:r>
              <w:rPr>
                <w:rFonts w:hint="eastAsia"/>
                <w:color w:val="auto"/>
                <w:highlight w:val="none"/>
              </w:rPr>
              <w:t>②本工程投标人拟派项目负责人为一级注册建造师的，必须根据《住房和城乡建设部办公厅关于全面实行一级建造师电子注册证书的通知》（建办市〔2021〕40 号）文件要求使用并提供电子证书，如未按文件要求提供电子证书，该电子证书无效，视为拟派项目负责人的资格不符合要求。</w:t>
            </w:r>
          </w:p>
        </w:tc>
      </w:tr>
      <w:tr w14:paraId="00A1D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64E4E08C">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7</w:t>
            </w:r>
          </w:p>
        </w:tc>
        <w:tc>
          <w:tcPr>
            <w:tcW w:w="1800" w:type="dxa"/>
            <w:noWrap w:val="0"/>
            <w:vAlign w:val="center"/>
          </w:tcPr>
          <w:p w14:paraId="0712C790">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拟派项目负责人安全生产考核</w:t>
            </w:r>
          </w:p>
        </w:tc>
        <w:tc>
          <w:tcPr>
            <w:tcW w:w="3536" w:type="dxa"/>
            <w:noWrap w:val="0"/>
            <w:vAlign w:val="center"/>
          </w:tcPr>
          <w:p w14:paraId="11FF15A9">
            <w:pPr>
              <w:rPr>
                <w:rFonts w:hint="eastAsia"/>
                <w:color w:val="auto"/>
                <w:highlight w:val="none"/>
              </w:rPr>
            </w:pPr>
            <w:r>
              <w:rPr>
                <w:rFonts w:hint="eastAsia"/>
                <w:color w:val="auto"/>
                <w:highlight w:val="none"/>
              </w:rPr>
              <w:t>具有有效的建筑施工企业安全生产考核合格证书（B类）</w:t>
            </w:r>
          </w:p>
        </w:tc>
        <w:tc>
          <w:tcPr>
            <w:tcW w:w="3681" w:type="dxa"/>
            <w:noWrap w:val="0"/>
            <w:vAlign w:val="center"/>
          </w:tcPr>
          <w:p w14:paraId="044673AD">
            <w:pPr>
              <w:rPr>
                <w:rFonts w:hint="eastAsia"/>
                <w:color w:val="auto"/>
                <w:highlight w:val="none"/>
              </w:rPr>
            </w:pPr>
            <w:r>
              <w:rPr>
                <w:rFonts w:hint="eastAsia"/>
                <w:color w:val="auto"/>
                <w:highlight w:val="none"/>
              </w:rPr>
              <w:t>有效的安全生产考核合格证书（B类）</w:t>
            </w:r>
            <w:r>
              <w:rPr>
                <w:rFonts w:hint="eastAsia"/>
                <w:color w:val="auto"/>
                <w:highlight w:val="none"/>
                <w:lang w:eastAsia="zh-CN"/>
              </w:rPr>
              <w:t>（</w:t>
            </w:r>
            <w:r>
              <w:rPr>
                <w:rFonts w:hint="eastAsia"/>
                <w:color w:val="auto"/>
                <w:highlight w:val="none"/>
              </w:rPr>
              <w:t>注册在投标人单位</w:t>
            </w:r>
            <w:r>
              <w:rPr>
                <w:rFonts w:hint="eastAsia"/>
                <w:color w:val="auto"/>
                <w:highlight w:val="none"/>
                <w:lang w:eastAsia="zh-CN"/>
              </w:rPr>
              <w:t>）</w:t>
            </w:r>
          </w:p>
        </w:tc>
      </w:tr>
      <w:tr w14:paraId="13EA7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689878E1">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8</w:t>
            </w:r>
          </w:p>
        </w:tc>
        <w:tc>
          <w:tcPr>
            <w:tcW w:w="1800" w:type="dxa"/>
            <w:noWrap w:val="0"/>
            <w:vAlign w:val="center"/>
          </w:tcPr>
          <w:p w14:paraId="4304427C">
            <w:pPr>
              <w:autoSpaceDE w:val="0"/>
              <w:autoSpaceDN w:val="0"/>
              <w:adjustRightInd w:val="0"/>
              <w:snapToGrid w:val="0"/>
              <w:spacing w:line="320" w:lineRule="exact"/>
              <w:rPr>
                <w:rFonts w:hint="eastAsia" w:ascii="宋体" w:hAnsi="宋体" w:cs="宋体"/>
                <w:color w:val="auto"/>
                <w:kern w:val="0"/>
                <w:szCs w:val="21"/>
                <w:highlight w:val="none"/>
              </w:rPr>
            </w:pPr>
            <w:r>
              <w:rPr>
                <w:rFonts w:hint="eastAsia" w:ascii="宋体" w:hAnsi="宋体" w:cs="宋体"/>
                <w:color w:val="auto"/>
                <w:kern w:val="0"/>
                <w:szCs w:val="21"/>
                <w:highlight w:val="none"/>
              </w:rPr>
              <w:t>拟派项目负责人为投标企业正式人员</w:t>
            </w:r>
          </w:p>
        </w:tc>
        <w:tc>
          <w:tcPr>
            <w:tcW w:w="3536" w:type="dxa"/>
            <w:noWrap w:val="0"/>
            <w:vAlign w:val="center"/>
          </w:tcPr>
          <w:p w14:paraId="2B018A69">
            <w:pPr>
              <w:autoSpaceDE w:val="0"/>
              <w:autoSpaceDN w:val="0"/>
              <w:adjustRightInd w:val="0"/>
              <w:snapToGrid w:val="0"/>
              <w:spacing w:line="320" w:lineRule="exact"/>
              <w:rPr>
                <w:rFonts w:hint="eastAsia" w:ascii="宋体" w:hAnsi="宋体" w:cs="宋体"/>
                <w:color w:val="auto"/>
                <w:kern w:val="0"/>
                <w:szCs w:val="21"/>
                <w:highlight w:val="none"/>
              </w:rPr>
            </w:pPr>
            <w:r>
              <w:rPr>
                <w:rFonts w:hint="eastAsia" w:ascii="宋体" w:hAnsi="宋体" w:cs="宋体"/>
                <w:color w:val="auto"/>
                <w:kern w:val="0"/>
                <w:szCs w:val="21"/>
                <w:highlight w:val="none"/>
              </w:rPr>
              <w:t>企业与项目经理双方签订的有效劳动合同书；</w:t>
            </w:r>
          </w:p>
        </w:tc>
        <w:tc>
          <w:tcPr>
            <w:tcW w:w="3681" w:type="dxa"/>
            <w:noWrap w:val="0"/>
            <w:vAlign w:val="center"/>
          </w:tcPr>
          <w:p w14:paraId="7E767944">
            <w:pPr>
              <w:autoSpaceDE w:val="0"/>
              <w:autoSpaceDN w:val="0"/>
              <w:adjustRightInd w:val="0"/>
              <w:snapToGrid w:val="0"/>
              <w:spacing w:line="320" w:lineRule="exact"/>
              <w:rPr>
                <w:rFonts w:hint="eastAsia" w:ascii="宋体" w:hAnsi="宋体" w:cs="宋体"/>
                <w:color w:val="auto"/>
                <w:kern w:val="0"/>
                <w:szCs w:val="21"/>
                <w:highlight w:val="none"/>
              </w:rPr>
            </w:pPr>
            <w:r>
              <w:rPr>
                <w:rFonts w:hint="eastAsia" w:ascii="宋体" w:hAnsi="宋体" w:cs="宋体"/>
                <w:color w:val="auto"/>
                <w:kern w:val="0"/>
                <w:szCs w:val="21"/>
                <w:highlight w:val="none"/>
              </w:rPr>
              <w:t>有效</w:t>
            </w:r>
            <w:r>
              <w:rPr>
                <w:rFonts w:ascii="宋体" w:hAnsi="宋体" w:cs="宋体"/>
                <w:color w:val="auto"/>
                <w:kern w:val="0"/>
                <w:szCs w:val="21"/>
                <w:highlight w:val="none"/>
              </w:rPr>
              <w:t>的</w:t>
            </w:r>
            <w:r>
              <w:rPr>
                <w:rFonts w:hint="eastAsia" w:ascii="宋体" w:hAnsi="宋体" w:cs="宋体"/>
                <w:color w:val="auto"/>
                <w:kern w:val="0"/>
                <w:szCs w:val="21"/>
                <w:highlight w:val="none"/>
              </w:rPr>
              <w:t>劳动合同书</w:t>
            </w:r>
          </w:p>
        </w:tc>
      </w:tr>
      <w:tr w14:paraId="588B9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784C95B5">
            <w:pPr>
              <w:widowControl/>
              <w:spacing w:line="320" w:lineRule="exact"/>
              <w:jc w:val="center"/>
              <w:rPr>
                <w:rFonts w:ascii="宋体" w:hAnsi="宋体" w:cs="宋体"/>
                <w:color w:val="auto"/>
                <w:kern w:val="0"/>
                <w:szCs w:val="21"/>
                <w:highlight w:val="none"/>
              </w:rPr>
            </w:pPr>
            <w:r>
              <w:rPr>
                <w:rFonts w:hint="eastAsia" w:ascii="宋体" w:hAnsi="宋体" w:cs="宋体"/>
                <w:color w:val="auto"/>
                <w:kern w:val="0"/>
                <w:szCs w:val="21"/>
                <w:highlight w:val="none"/>
              </w:rPr>
              <w:t>9</w:t>
            </w:r>
          </w:p>
        </w:tc>
        <w:tc>
          <w:tcPr>
            <w:tcW w:w="1800" w:type="dxa"/>
            <w:noWrap w:val="0"/>
            <w:vAlign w:val="center"/>
          </w:tcPr>
          <w:p w14:paraId="1F865068">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拟派项目负责人无在建工程</w:t>
            </w:r>
          </w:p>
        </w:tc>
        <w:tc>
          <w:tcPr>
            <w:tcW w:w="3536" w:type="dxa"/>
            <w:noWrap w:val="0"/>
            <w:vAlign w:val="center"/>
          </w:tcPr>
          <w:p w14:paraId="7C95914C">
            <w:pPr>
              <w:widowControl/>
              <w:spacing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项目负责人是非变更后无在建工程，或项目负责人是变更后无在建工程（必须原合同工期已满且变更备案之日已满6个月），或因非承包方原因致使工程项目停工或因故不能按期开工</w:t>
            </w:r>
            <w:r>
              <w:rPr>
                <w:rFonts w:hint="eastAsia" w:ascii="宋体" w:hAnsi="宋体" w:cs="宋体"/>
                <w:color w:val="auto"/>
                <w:kern w:val="0"/>
                <w:szCs w:val="21"/>
                <w:highlight w:val="none"/>
                <w:lang w:eastAsia="zh-CN"/>
              </w:rPr>
              <w:t>且</w:t>
            </w:r>
            <w:r>
              <w:rPr>
                <w:rFonts w:hint="eastAsia" w:ascii="宋体" w:hAnsi="宋体" w:cs="宋体"/>
                <w:color w:val="auto"/>
                <w:kern w:val="0"/>
                <w:szCs w:val="21"/>
                <w:highlight w:val="none"/>
              </w:rPr>
              <w:t>已办理了项目负责人解锁手续，或项目负责人有在建工程，但该在建工程与本次招标的工程属于同一工程项目、同一项目批文、同一施工地点分段发包或分期施工的情况且总的工程规模在项目负责人执业范围之内。</w:t>
            </w:r>
          </w:p>
          <w:p w14:paraId="1F857F7B">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拟派项目经理在崇川区范围内有在建工程的，虽然未正式竣工验收但工程确已完工的，必须有由建设单位出具“工程已完工，同意项目经理参加其他工程招投标活动”的证明。无此证明的一律做废标处理。</w:t>
            </w:r>
          </w:p>
        </w:tc>
        <w:tc>
          <w:tcPr>
            <w:tcW w:w="3681" w:type="dxa"/>
            <w:noWrap w:val="0"/>
            <w:vAlign w:val="center"/>
          </w:tcPr>
          <w:p w14:paraId="40DFB38C">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①有效的诚信承诺书（详见第七章—诚信承诺书）</w:t>
            </w:r>
          </w:p>
          <w:p w14:paraId="6E32B052">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②原合同工期已满且变更备案之日已满6个月的证明或建设单位同意并已办理项目负责人变更手续的证明。</w:t>
            </w:r>
          </w:p>
          <w:p w14:paraId="46E3D366">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③工程完工证明（如有）（详见第七章“工程完工证明”）</w:t>
            </w:r>
          </w:p>
        </w:tc>
      </w:tr>
      <w:tr w14:paraId="556DB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7927CE54">
            <w:pPr>
              <w:widowControl/>
              <w:spacing w:line="320" w:lineRule="exact"/>
              <w:jc w:val="center"/>
              <w:rPr>
                <w:rFonts w:ascii="宋体" w:hAnsi="宋体" w:cs="宋体"/>
                <w:color w:val="auto"/>
                <w:kern w:val="0"/>
                <w:szCs w:val="21"/>
                <w:highlight w:val="none"/>
              </w:rPr>
            </w:pPr>
            <w:r>
              <w:rPr>
                <w:rFonts w:hint="eastAsia" w:ascii="宋体" w:hAnsi="宋体" w:cs="宋体"/>
                <w:color w:val="auto"/>
                <w:kern w:val="0"/>
                <w:szCs w:val="21"/>
                <w:highlight w:val="none"/>
              </w:rPr>
              <w:t>10</w:t>
            </w:r>
          </w:p>
        </w:tc>
        <w:tc>
          <w:tcPr>
            <w:tcW w:w="1800" w:type="dxa"/>
            <w:noWrap w:val="0"/>
            <w:vAlign w:val="center"/>
          </w:tcPr>
          <w:p w14:paraId="68262BFA">
            <w:pPr>
              <w:spacing w:line="320" w:lineRule="exact"/>
              <w:jc w:val="left"/>
              <w:rPr>
                <w:rFonts w:ascii="宋体" w:hAnsi="宋体"/>
                <w:color w:val="auto"/>
                <w:szCs w:val="21"/>
                <w:highlight w:val="none"/>
              </w:rPr>
            </w:pPr>
            <w:r>
              <w:rPr>
                <w:rFonts w:ascii="宋体" w:hAnsi="宋体"/>
                <w:color w:val="auto"/>
                <w:szCs w:val="21"/>
                <w:highlight w:val="none"/>
              </w:rPr>
              <w:t>建筑企业资质动态监管均不处于不合格状态。</w:t>
            </w:r>
          </w:p>
        </w:tc>
        <w:tc>
          <w:tcPr>
            <w:tcW w:w="3536" w:type="dxa"/>
            <w:noWrap w:val="0"/>
            <w:vAlign w:val="center"/>
          </w:tcPr>
          <w:p w14:paraId="3F48F05E">
            <w:pPr>
              <w:spacing w:line="320" w:lineRule="exact"/>
              <w:jc w:val="left"/>
              <w:rPr>
                <w:rFonts w:hint="eastAsia" w:ascii="宋体" w:hAnsi="宋体"/>
                <w:b/>
                <w:color w:val="auto"/>
                <w:szCs w:val="21"/>
                <w:highlight w:val="none"/>
              </w:rPr>
            </w:pPr>
            <w:r>
              <w:rPr>
                <w:rFonts w:hint="eastAsia" w:ascii="宋体" w:hAnsi="宋体"/>
                <w:color w:val="auto"/>
                <w:szCs w:val="21"/>
                <w:highlight w:val="none"/>
              </w:rPr>
              <w:t>投标人在投标文件递交截止时间当日，建筑企业资质动态监管（指本项目要求资质）不处于不合格状态。</w:t>
            </w:r>
          </w:p>
        </w:tc>
        <w:tc>
          <w:tcPr>
            <w:tcW w:w="3681" w:type="dxa"/>
            <w:noWrap w:val="0"/>
            <w:vAlign w:val="center"/>
          </w:tcPr>
          <w:p w14:paraId="6BF72A19">
            <w:pPr>
              <w:spacing w:line="320" w:lineRule="exact"/>
              <w:jc w:val="left"/>
              <w:rPr>
                <w:rFonts w:hint="eastAsia" w:ascii="宋体" w:hAnsi="宋体"/>
                <w:color w:val="auto"/>
                <w:szCs w:val="21"/>
                <w:highlight w:val="none"/>
              </w:rPr>
            </w:pPr>
            <w:r>
              <w:rPr>
                <w:rFonts w:hint="eastAsia" w:ascii="宋体" w:hAnsi="宋体"/>
                <w:color w:val="auto"/>
                <w:szCs w:val="21"/>
                <w:highlight w:val="none"/>
              </w:rPr>
              <w:t>招标人</w:t>
            </w:r>
            <w:r>
              <w:rPr>
                <w:rFonts w:ascii="宋体" w:hAnsi="宋体"/>
                <w:color w:val="auto"/>
                <w:szCs w:val="21"/>
                <w:highlight w:val="none"/>
              </w:rPr>
              <w:t>开标</w:t>
            </w:r>
            <w:r>
              <w:rPr>
                <w:rFonts w:hint="eastAsia" w:ascii="宋体" w:hAnsi="宋体"/>
                <w:color w:val="auto"/>
                <w:szCs w:val="21"/>
                <w:highlight w:val="none"/>
              </w:rPr>
              <w:t>当日</w:t>
            </w:r>
            <w:r>
              <w:rPr>
                <w:rFonts w:ascii="宋体" w:hAnsi="宋体"/>
                <w:color w:val="auto"/>
                <w:szCs w:val="21"/>
                <w:highlight w:val="none"/>
              </w:rPr>
              <w:t>登录</w:t>
            </w:r>
            <w:r>
              <w:rPr>
                <w:rFonts w:hint="eastAsia" w:ascii="宋体" w:hAnsi="宋体"/>
                <w:b/>
                <w:color w:val="auto"/>
                <w:szCs w:val="21"/>
                <w:highlight w:val="none"/>
              </w:rPr>
              <w:t>江苏省建筑市场监管与诚信信息一体化平台（http://58.213.147.230:7001/Jsjzyxyglpt/faces/public/default.jsp）</w:t>
            </w:r>
            <w:r>
              <w:rPr>
                <w:rFonts w:hint="eastAsia" w:ascii="宋体" w:hAnsi="宋体"/>
                <w:b/>
                <w:color w:val="auto"/>
                <w:szCs w:val="21"/>
                <w:highlight w:val="none"/>
                <w:lang w:eastAsia="zh-CN"/>
              </w:rPr>
              <w:t>－</w:t>
            </w:r>
            <w:r>
              <w:rPr>
                <w:rFonts w:hint="eastAsia" w:ascii="宋体" w:hAnsi="宋体"/>
                <w:b/>
                <w:color w:val="auto"/>
                <w:szCs w:val="21"/>
                <w:highlight w:val="none"/>
              </w:rPr>
              <w:t>企业信息</w:t>
            </w:r>
            <w:r>
              <w:rPr>
                <w:rFonts w:hint="eastAsia" w:ascii="宋体" w:hAnsi="宋体"/>
                <w:b/>
                <w:color w:val="auto"/>
                <w:szCs w:val="21"/>
                <w:highlight w:val="none"/>
                <w:lang w:eastAsia="zh-CN"/>
              </w:rPr>
              <w:t>－</w:t>
            </w:r>
            <w:r>
              <w:rPr>
                <w:rFonts w:hint="eastAsia" w:ascii="宋体" w:hAnsi="宋体"/>
                <w:b/>
                <w:color w:val="auto"/>
                <w:szCs w:val="21"/>
                <w:highlight w:val="none"/>
              </w:rPr>
              <w:t>建筑企业</w:t>
            </w:r>
            <w:r>
              <w:rPr>
                <w:rFonts w:hint="eastAsia" w:ascii="宋体" w:hAnsi="宋体"/>
                <w:b/>
                <w:color w:val="auto"/>
                <w:szCs w:val="21"/>
                <w:highlight w:val="none"/>
                <w:lang w:eastAsia="zh-CN"/>
              </w:rPr>
              <w:t>－</w:t>
            </w:r>
            <w:r>
              <w:rPr>
                <w:rFonts w:hint="eastAsia" w:ascii="宋体" w:hAnsi="宋体"/>
                <w:b/>
                <w:color w:val="auto"/>
                <w:szCs w:val="21"/>
                <w:highlight w:val="none"/>
              </w:rPr>
              <w:t>动态监管不合格资质查询。对动态</w:t>
            </w:r>
            <w:r>
              <w:rPr>
                <w:rFonts w:ascii="宋体" w:hAnsi="宋体"/>
                <w:b/>
                <w:color w:val="auto"/>
                <w:szCs w:val="21"/>
                <w:highlight w:val="none"/>
              </w:rPr>
              <w:t>监管处于不合格的投标人进行截图保</w:t>
            </w:r>
            <w:r>
              <w:rPr>
                <w:rFonts w:hint="eastAsia" w:ascii="宋体" w:hAnsi="宋体"/>
                <w:b/>
                <w:color w:val="auto"/>
                <w:szCs w:val="21"/>
                <w:highlight w:val="none"/>
              </w:rPr>
              <w:t>存</w:t>
            </w:r>
            <w:r>
              <w:rPr>
                <w:rFonts w:ascii="宋体" w:hAnsi="宋体"/>
                <w:b/>
                <w:color w:val="auto"/>
                <w:szCs w:val="21"/>
                <w:highlight w:val="none"/>
              </w:rPr>
              <w:t>，提供给评标委员会。</w:t>
            </w:r>
          </w:p>
        </w:tc>
      </w:tr>
      <w:tr w14:paraId="28BA8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14FEE0A3">
            <w:pPr>
              <w:widowControl/>
              <w:spacing w:line="320" w:lineRule="exact"/>
              <w:jc w:val="center"/>
              <w:rPr>
                <w:rFonts w:ascii="宋体" w:hAnsi="宋体" w:cs="宋体"/>
                <w:color w:val="auto"/>
                <w:kern w:val="0"/>
                <w:szCs w:val="21"/>
                <w:highlight w:val="none"/>
              </w:rPr>
            </w:pPr>
            <w:r>
              <w:rPr>
                <w:rFonts w:hint="eastAsia" w:ascii="宋体" w:hAnsi="宋体" w:cs="宋体"/>
                <w:color w:val="auto"/>
                <w:kern w:val="0"/>
                <w:szCs w:val="21"/>
                <w:highlight w:val="none"/>
              </w:rPr>
              <w:t>11</w:t>
            </w:r>
          </w:p>
        </w:tc>
        <w:tc>
          <w:tcPr>
            <w:tcW w:w="1800" w:type="dxa"/>
            <w:noWrap w:val="0"/>
            <w:vAlign w:val="center"/>
          </w:tcPr>
          <w:p w14:paraId="1F642877">
            <w:pPr>
              <w:spacing w:line="320" w:lineRule="exact"/>
              <w:jc w:val="left"/>
              <w:rPr>
                <w:rFonts w:ascii="宋体" w:hAnsi="宋体"/>
                <w:color w:val="auto"/>
                <w:szCs w:val="21"/>
                <w:highlight w:val="none"/>
              </w:rPr>
            </w:pPr>
            <w:r>
              <w:rPr>
                <w:rFonts w:hint="eastAsia" w:ascii="宋体" w:hAnsi="宋体"/>
                <w:color w:val="auto"/>
                <w:szCs w:val="21"/>
                <w:highlight w:val="none"/>
              </w:rPr>
              <w:t>资格审查文件表格</w:t>
            </w:r>
          </w:p>
        </w:tc>
        <w:tc>
          <w:tcPr>
            <w:tcW w:w="7217" w:type="dxa"/>
            <w:gridSpan w:val="2"/>
            <w:noWrap w:val="0"/>
            <w:vAlign w:val="center"/>
          </w:tcPr>
          <w:p w14:paraId="7B7238AE">
            <w:pPr>
              <w:spacing w:line="320" w:lineRule="exact"/>
              <w:jc w:val="left"/>
              <w:rPr>
                <w:rFonts w:hint="eastAsia" w:ascii="宋体" w:hAnsi="宋体"/>
                <w:color w:val="auto"/>
                <w:szCs w:val="21"/>
                <w:highlight w:val="none"/>
              </w:rPr>
            </w:pPr>
            <w:r>
              <w:rPr>
                <w:rFonts w:hint="eastAsia" w:ascii="宋体" w:hAnsi="宋体"/>
                <w:color w:val="auto"/>
                <w:szCs w:val="21"/>
                <w:highlight w:val="none"/>
              </w:rPr>
              <w:t>资格审查文件表格</w:t>
            </w:r>
          </w:p>
        </w:tc>
      </w:tr>
      <w:tr w14:paraId="27655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4FBA8AA6">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备注</w:t>
            </w:r>
          </w:p>
        </w:tc>
        <w:tc>
          <w:tcPr>
            <w:tcW w:w="9017" w:type="dxa"/>
            <w:gridSpan w:val="3"/>
            <w:noWrap w:val="0"/>
            <w:vAlign w:val="center"/>
          </w:tcPr>
          <w:p w14:paraId="6AAD5287">
            <w:pPr>
              <w:spacing w:line="320" w:lineRule="exact"/>
              <w:ind w:firstLine="420" w:firstLineChars="200"/>
              <w:rPr>
                <w:rFonts w:hint="eastAsia" w:ascii="宋体" w:hAnsi="宋体" w:cs="宋体"/>
                <w:color w:val="auto"/>
                <w:kern w:val="0"/>
                <w:szCs w:val="21"/>
                <w:highlight w:val="none"/>
              </w:rPr>
            </w:pPr>
            <w:r>
              <w:rPr>
                <w:rFonts w:hint="eastAsia" w:ascii="宋体" w:hAnsi="宋体" w:cs="宋体"/>
                <w:color w:val="auto"/>
                <w:kern w:val="0"/>
                <w:szCs w:val="21"/>
                <w:highlight w:val="none"/>
              </w:rPr>
              <w:t>1、资格审查阶段，评标委员会根据资格审查标准、资格审查条件、“资格审查资料包”中的资料进行资格评审，请投标人按照本招标文件要求准确提供全部资料，否则做废标处理。</w:t>
            </w:r>
          </w:p>
          <w:p w14:paraId="54737B77">
            <w:pPr>
              <w:spacing w:line="320" w:lineRule="exact"/>
              <w:ind w:firstLine="420" w:firstLineChars="200"/>
              <w:rPr>
                <w:rFonts w:hint="eastAsia" w:ascii="宋体" w:hAnsi="宋体" w:cs="宋体"/>
                <w:color w:val="auto"/>
                <w:kern w:val="0"/>
                <w:szCs w:val="21"/>
                <w:highlight w:val="none"/>
              </w:rPr>
            </w:pPr>
            <w:r>
              <w:rPr>
                <w:rFonts w:hint="eastAsia" w:ascii="宋体" w:hAnsi="宋体" w:cs="宋体"/>
                <w:color w:val="auto"/>
                <w:kern w:val="0"/>
                <w:szCs w:val="21"/>
                <w:highlight w:val="none"/>
              </w:rPr>
              <w:t>2、以上1-11中任何一条不符合要求的，则资格审查不通过。且上述序号3-8提供复印件并加盖单位公章，同时须提供原件备查，否则资格审查不通过；投标文件副本中可用复印件并加盖单位公章，否则资格审查不通过。</w:t>
            </w:r>
          </w:p>
        </w:tc>
      </w:tr>
    </w:tbl>
    <w:p w14:paraId="1DFF000E">
      <w:pPr>
        <w:spacing w:line="420" w:lineRule="exact"/>
        <w:ind w:firstLine="480" w:firstLineChars="200"/>
        <w:rPr>
          <w:rFonts w:hint="eastAsia" w:ascii="宋体"/>
          <w:color w:val="auto"/>
          <w:sz w:val="24"/>
          <w:highlight w:val="none"/>
        </w:rPr>
      </w:pPr>
      <w:r>
        <w:rPr>
          <w:rFonts w:hint="eastAsia" w:ascii="宋体" w:cs="宋体"/>
          <w:color w:val="auto"/>
          <w:sz w:val="24"/>
          <w:highlight w:val="none"/>
          <w:lang w:bidi="ar-SA"/>
        </w:rPr>
        <w:t>本次资格审查采用合格制，各投标人只有满足资格审查必要合格条件后，方可参与商务标的评审。</w:t>
      </w:r>
    </w:p>
    <w:p w14:paraId="7AE5D23E">
      <w:pPr>
        <w:spacing w:line="360" w:lineRule="auto"/>
        <w:ind w:firstLine="480" w:firstLineChars="200"/>
        <w:rPr>
          <w:rFonts w:hint="eastAsia" w:ascii="宋体"/>
          <w:color w:val="auto"/>
          <w:sz w:val="24"/>
          <w:highlight w:val="none"/>
        </w:rPr>
      </w:pPr>
      <w:r>
        <w:rPr>
          <w:rFonts w:hint="eastAsia" w:ascii="宋体"/>
          <w:color w:val="auto"/>
          <w:sz w:val="24"/>
          <w:highlight w:val="none"/>
        </w:rPr>
        <w:t xml:space="preserve">2、商务标评审 </w:t>
      </w:r>
    </w:p>
    <w:p w14:paraId="1FE082FB">
      <w:pPr>
        <w:autoSpaceDE w:val="0"/>
        <w:autoSpaceDN w:val="0"/>
        <w:adjustRightInd w:val="0"/>
        <w:snapToGrid w:val="0"/>
        <w:spacing w:line="360" w:lineRule="auto"/>
        <w:rPr>
          <w:rFonts w:hint="eastAsia" w:ascii="宋体"/>
          <w:color w:val="auto"/>
          <w:sz w:val="24"/>
          <w:highlight w:val="none"/>
        </w:rPr>
      </w:pPr>
      <w:r>
        <w:rPr>
          <w:rFonts w:hint="eastAsia" w:ascii="宋体"/>
          <w:color w:val="auto"/>
          <w:sz w:val="24"/>
          <w:highlight w:val="none"/>
        </w:rPr>
        <w:t xml:space="preserve">   （1）本工程评选办法为价格单因素，总价</w:t>
      </w:r>
      <w:r>
        <w:rPr>
          <w:rFonts w:hint="default" w:ascii="宋体"/>
          <w:color w:val="auto"/>
          <w:sz w:val="24"/>
          <w:highlight w:val="none"/>
          <w:lang w:val="en-US"/>
        </w:rPr>
        <w:t>最</w:t>
      </w:r>
      <w:r>
        <w:rPr>
          <w:rFonts w:hint="eastAsia" w:ascii="宋体"/>
          <w:color w:val="auto"/>
          <w:sz w:val="24"/>
          <w:highlight w:val="none"/>
        </w:rPr>
        <w:t>低者中标。</w:t>
      </w:r>
    </w:p>
    <w:p w14:paraId="50DAB018">
      <w:pPr>
        <w:autoSpaceDE w:val="0"/>
        <w:autoSpaceDN w:val="0"/>
        <w:adjustRightInd w:val="0"/>
        <w:snapToGrid w:val="0"/>
        <w:spacing w:line="360" w:lineRule="auto"/>
        <w:rPr>
          <w:rFonts w:hint="eastAsia" w:ascii="宋体"/>
          <w:color w:val="auto"/>
          <w:sz w:val="24"/>
          <w:highlight w:val="none"/>
        </w:rPr>
      </w:pPr>
      <w:r>
        <w:rPr>
          <w:rFonts w:hint="eastAsia" w:ascii="宋体"/>
          <w:color w:val="auto"/>
          <w:sz w:val="24"/>
          <w:highlight w:val="none"/>
        </w:rPr>
        <w:t xml:space="preserve">    1）确定有效报价：报价人报价低于招标控制价的为有效报价；高于或等于招标控制价的均作无效报价处理。</w:t>
      </w:r>
    </w:p>
    <w:p w14:paraId="7C664877">
      <w:pPr>
        <w:autoSpaceDE w:val="0"/>
        <w:autoSpaceDN w:val="0"/>
        <w:adjustRightInd w:val="0"/>
        <w:snapToGrid w:val="0"/>
        <w:spacing w:line="360" w:lineRule="auto"/>
        <w:rPr>
          <w:rFonts w:hint="eastAsia" w:ascii="宋体"/>
          <w:color w:val="auto"/>
          <w:sz w:val="24"/>
          <w:highlight w:val="none"/>
        </w:rPr>
      </w:pPr>
      <w:r>
        <w:rPr>
          <w:rFonts w:hint="eastAsia" w:ascii="宋体"/>
          <w:color w:val="auto"/>
          <w:sz w:val="24"/>
          <w:highlight w:val="none"/>
        </w:rPr>
        <w:t xml:space="preserve">    2）经评审，并通过评审的有效报价中报价</w:t>
      </w:r>
      <w:r>
        <w:rPr>
          <w:rFonts w:hint="default" w:ascii="宋体"/>
          <w:color w:val="auto"/>
          <w:sz w:val="24"/>
          <w:highlight w:val="none"/>
          <w:lang w:val="en-US"/>
        </w:rPr>
        <w:t>最</w:t>
      </w:r>
      <w:r>
        <w:rPr>
          <w:rFonts w:hint="eastAsia" w:ascii="宋体"/>
          <w:color w:val="auto"/>
          <w:sz w:val="24"/>
          <w:highlight w:val="none"/>
        </w:rPr>
        <w:t>低者推荐为中标候选人。</w:t>
      </w:r>
    </w:p>
    <w:p w14:paraId="3081552D">
      <w:pPr>
        <w:autoSpaceDE w:val="0"/>
        <w:autoSpaceDN w:val="0"/>
        <w:adjustRightInd w:val="0"/>
        <w:snapToGrid w:val="0"/>
        <w:spacing w:line="360" w:lineRule="auto"/>
        <w:rPr>
          <w:rFonts w:hint="eastAsia" w:ascii="宋体"/>
          <w:strike/>
          <w:color w:val="auto"/>
          <w:sz w:val="24"/>
          <w:highlight w:val="none"/>
        </w:rPr>
      </w:pPr>
      <w:r>
        <w:rPr>
          <w:rFonts w:hint="eastAsia" w:ascii="宋体"/>
          <w:color w:val="auto"/>
          <w:sz w:val="24"/>
          <w:highlight w:val="none"/>
        </w:rPr>
        <w:t xml:space="preserve">    3）</w:t>
      </w:r>
      <w:r>
        <w:rPr>
          <w:rFonts w:hint="default" w:ascii="宋体"/>
          <w:color w:val="auto"/>
          <w:sz w:val="24"/>
          <w:highlight w:val="none"/>
          <w:lang w:val="en-US"/>
        </w:rPr>
        <w:t>最</w:t>
      </w:r>
      <w:r>
        <w:rPr>
          <w:rFonts w:hint="eastAsia" w:ascii="宋体"/>
          <w:color w:val="auto"/>
          <w:sz w:val="24"/>
          <w:highlight w:val="none"/>
        </w:rPr>
        <w:t>低报价有相同时（两名或多名中标候选人），则由招标人采用抽签方式确定一名中标候选人。</w:t>
      </w:r>
    </w:p>
    <w:p w14:paraId="4394030D">
      <w:pPr>
        <w:autoSpaceDE w:val="0"/>
        <w:autoSpaceDN w:val="0"/>
        <w:adjustRightInd w:val="0"/>
        <w:snapToGrid w:val="0"/>
        <w:spacing w:line="360" w:lineRule="auto"/>
        <w:ind w:firstLine="472" w:firstLineChars="196"/>
        <w:rPr>
          <w:rFonts w:hint="eastAsia" w:ascii="宋体"/>
          <w:b/>
          <w:bCs/>
          <w:color w:val="auto"/>
          <w:sz w:val="24"/>
          <w:highlight w:val="none"/>
        </w:rPr>
      </w:pPr>
      <w:r>
        <w:rPr>
          <w:rFonts w:hint="eastAsia" w:ascii="宋体"/>
          <w:b/>
          <w:bCs/>
          <w:color w:val="auto"/>
          <w:sz w:val="24"/>
          <w:highlight w:val="none"/>
        </w:rPr>
        <w:t>本工程第一中标候选人原则上为中标人。当排名第一的中标候选人放弃中标、因不可抗力不能履行合同、不按照招标文件要求提交履约保证金，或者被查实存在影响中标结果的违法行为等情形，不符合中标条件的，招标人可以按照评标委员会提出的中标候选人名单排序依次确定其他中标候选人为中标人，也可以重新招标。</w:t>
      </w:r>
    </w:p>
    <w:p w14:paraId="3E631FEF">
      <w:pPr>
        <w:autoSpaceDE w:val="0"/>
        <w:autoSpaceDN w:val="0"/>
        <w:adjustRightInd w:val="0"/>
        <w:snapToGrid w:val="0"/>
        <w:spacing w:line="360" w:lineRule="auto"/>
        <w:ind w:firstLine="470" w:firstLineChars="196"/>
        <w:rPr>
          <w:rFonts w:hint="eastAsia" w:ascii="宋体"/>
          <w:color w:val="auto"/>
          <w:sz w:val="24"/>
          <w:highlight w:val="none"/>
        </w:rPr>
      </w:pPr>
      <w:r>
        <w:rPr>
          <w:rFonts w:hint="eastAsia" w:ascii="宋体"/>
          <w:color w:val="auto"/>
          <w:sz w:val="24"/>
          <w:highlight w:val="none"/>
        </w:rPr>
        <w:t>注：评标委员会在评标报告签字后，评标基准价不因招投标当事人质疑、投诉、复议以及其他任何情形而改变，但评标过程中的计算错误可作调整。</w:t>
      </w:r>
    </w:p>
    <w:p w14:paraId="312D80E7">
      <w:pPr>
        <w:autoSpaceDE w:val="0"/>
        <w:autoSpaceDN w:val="0"/>
        <w:adjustRightInd w:val="0"/>
        <w:snapToGrid w:val="0"/>
        <w:spacing w:line="360" w:lineRule="auto"/>
        <w:ind w:firstLine="472" w:firstLineChars="196"/>
        <w:rPr>
          <w:rFonts w:hint="eastAsia" w:ascii="宋体"/>
          <w:color w:val="auto"/>
          <w:sz w:val="24"/>
          <w:highlight w:val="none"/>
        </w:rPr>
      </w:pPr>
      <w:r>
        <w:rPr>
          <w:rFonts w:hint="eastAsia" w:ascii="宋体"/>
          <w:b/>
          <w:bCs/>
          <w:color w:val="auto"/>
          <w:sz w:val="24"/>
          <w:highlight w:val="none"/>
        </w:rPr>
        <w:t>评标过程中出现本评标办法未尽事宜，由评标委员会根据有关法律、法规讨论决定。</w:t>
      </w:r>
    </w:p>
    <w:p w14:paraId="59C22A54">
      <w:pPr>
        <w:keepNext/>
        <w:keepLines/>
        <w:spacing w:line="400" w:lineRule="exact"/>
        <w:jc w:val="left"/>
        <w:outlineLvl w:val="0"/>
        <w:rPr>
          <w:rFonts w:ascii="宋体" w:hAnsi="宋体"/>
          <w:b/>
          <w:bCs/>
          <w:color w:val="auto"/>
          <w:kern w:val="44"/>
          <w:szCs w:val="21"/>
          <w:highlight w:val="none"/>
        </w:rPr>
      </w:pPr>
      <w:r>
        <w:rPr>
          <w:color w:val="auto"/>
          <w:highlight w:val="none"/>
        </w:rPr>
        <w:br w:type="page"/>
      </w:r>
      <w:bookmarkStart w:id="32" w:name="_Toc122177105"/>
      <w:r>
        <w:rPr>
          <w:rFonts w:hint="eastAsia" w:ascii="宋体" w:hAnsi="宋体"/>
          <w:b/>
          <w:bCs/>
          <w:color w:val="auto"/>
          <w:kern w:val="44"/>
          <w:szCs w:val="21"/>
          <w:highlight w:val="none"/>
        </w:rPr>
        <w:t>附件</w:t>
      </w:r>
      <w:r>
        <w:rPr>
          <w:rFonts w:ascii="宋体" w:hAnsi="宋体"/>
          <w:b/>
          <w:bCs/>
          <w:color w:val="auto"/>
          <w:kern w:val="44"/>
          <w:szCs w:val="21"/>
          <w:highlight w:val="none"/>
        </w:rPr>
        <w:t xml:space="preserve"> </w:t>
      </w:r>
      <w:r>
        <w:rPr>
          <w:rFonts w:hint="eastAsia" w:ascii="宋体" w:hAnsi="宋体"/>
          <w:b/>
          <w:bCs/>
          <w:color w:val="auto"/>
          <w:kern w:val="44"/>
          <w:szCs w:val="21"/>
          <w:highlight w:val="none"/>
        </w:rPr>
        <w:t>《办公厅关于全面实行一级建造师电子注册证书的通知》（建办市〔</w:t>
      </w:r>
      <w:r>
        <w:rPr>
          <w:rFonts w:ascii="宋体" w:hAnsi="宋体"/>
          <w:b/>
          <w:bCs/>
          <w:color w:val="auto"/>
          <w:kern w:val="44"/>
          <w:szCs w:val="21"/>
          <w:highlight w:val="none"/>
        </w:rPr>
        <w:t>2021〕40 号）文件</w:t>
      </w:r>
      <w:bookmarkEnd w:id="32"/>
    </w:p>
    <w:p w14:paraId="081C9FBF">
      <w:pPr>
        <w:rPr>
          <w:rFonts w:ascii="宋体" w:hAnsi="宋体"/>
          <w:color w:val="auto"/>
          <w:szCs w:val="21"/>
          <w:highlight w:val="none"/>
        </w:rPr>
      </w:pPr>
      <w:r>
        <w:rPr>
          <w:rFonts w:ascii="等线" w:hAnsi="等线" w:eastAsia="等线"/>
          <w:color w:val="auto"/>
          <w:highlight w:val="none"/>
        </w:rPr>
        <w:drawing>
          <wp:inline distT="0" distB="0" distL="114300" distR="114300">
            <wp:extent cx="5576570" cy="3843020"/>
            <wp:effectExtent l="0" t="0" r="5080" b="508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9"/>
                    <a:stretch>
                      <a:fillRect/>
                    </a:stretch>
                  </pic:blipFill>
                  <pic:spPr>
                    <a:xfrm>
                      <a:off x="0" y="0"/>
                      <a:ext cx="5576570" cy="3843020"/>
                    </a:xfrm>
                    <a:prstGeom prst="rect">
                      <a:avLst/>
                    </a:prstGeom>
                    <a:noFill/>
                    <a:ln>
                      <a:noFill/>
                    </a:ln>
                  </pic:spPr>
                </pic:pic>
              </a:graphicData>
            </a:graphic>
          </wp:inline>
        </w:drawing>
      </w:r>
    </w:p>
    <w:p w14:paraId="1C7554AE">
      <w:pPr>
        <w:rPr>
          <w:rFonts w:ascii="宋体" w:hAnsi="宋体"/>
          <w:color w:val="auto"/>
          <w:szCs w:val="21"/>
          <w:highlight w:val="none"/>
        </w:rPr>
      </w:pPr>
    </w:p>
    <w:p w14:paraId="703515D4">
      <w:pPr>
        <w:rPr>
          <w:rFonts w:ascii="宋体" w:hAnsi="宋体"/>
          <w:color w:val="auto"/>
          <w:szCs w:val="21"/>
          <w:highlight w:val="none"/>
        </w:rPr>
      </w:pPr>
      <w:r>
        <w:rPr>
          <w:rFonts w:hint="eastAsia" w:ascii="等线" w:hAnsi="等线" w:eastAsia="等线"/>
          <w:color w:val="auto"/>
          <w:szCs w:val="21"/>
          <w:highlight w:val="none"/>
        </w:rPr>
        <w:t>网址：</w:t>
      </w:r>
      <w:r>
        <w:rPr>
          <w:rFonts w:eastAsia="等线"/>
          <w:color w:val="auto"/>
          <w:szCs w:val="21"/>
          <w:highlight w:val="none"/>
        </w:rPr>
        <w:t>https://www.mohurd.gov.cn/gongkai/fdzdgknr/zfhcxjsbwj/202109/20210926_762262.html</w:t>
      </w:r>
    </w:p>
    <w:p w14:paraId="33434C62">
      <w:pPr>
        <w:rPr>
          <w:rFonts w:ascii="宋体" w:hAnsi="宋体"/>
          <w:color w:val="auto"/>
          <w:szCs w:val="21"/>
          <w:highlight w:val="none"/>
        </w:rPr>
      </w:pPr>
    </w:p>
    <w:p w14:paraId="4F68ED44">
      <w:pPr>
        <w:jc w:val="center"/>
        <w:rPr>
          <w:rFonts w:ascii="宋体" w:hAnsi="宋体"/>
          <w:b/>
          <w:bCs/>
          <w:color w:val="auto"/>
          <w:sz w:val="28"/>
          <w:szCs w:val="28"/>
          <w:highlight w:val="none"/>
        </w:rPr>
      </w:pPr>
      <w:r>
        <w:rPr>
          <w:rFonts w:ascii="宋体" w:hAnsi="宋体"/>
          <w:color w:val="auto"/>
          <w:szCs w:val="21"/>
          <w:highlight w:val="none"/>
        </w:rPr>
        <w:br w:type="page"/>
      </w:r>
      <w:r>
        <w:rPr>
          <w:rFonts w:hint="eastAsia" w:ascii="宋体" w:hAnsi="宋体"/>
          <w:b/>
          <w:bCs/>
          <w:color w:val="auto"/>
          <w:sz w:val="28"/>
          <w:szCs w:val="28"/>
          <w:highlight w:val="none"/>
        </w:rPr>
        <w:t>住房和城乡建设部办公厅关于全面实行</w:t>
      </w:r>
    </w:p>
    <w:p w14:paraId="46C34AEF">
      <w:pPr>
        <w:jc w:val="center"/>
        <w:rPr>
          <w:rFonts w:ascii="宋体" w:hAnsi="宋体"/>
          <w:b/>
          <w:bCs/>
          <w:color w:val="auto"/>
          <w:sz w:val="28"/>
          <w:szCs w:val="28"/>
          <w:highlight w:val="none"/>
        </w:rPr>
      </w:pPr>
      <w:r>
        <w:rPr>
          <w:rFonts w:hint="eastAsia" w:ascii="宋体" w:hAnsi="宋体"/>
          <w:b/>
          <w:bCs/>
          <w:color w:val="auto"/>
          <w:sz w:val="28"/>
          <w:szCs w:val="28"/>
          <w:highlight w:val="none"/>
        </w:rPr>
        <w:t>一级建造师电子注册证书的通知</w:t>
      </w:r>
    </w:p>
    <w:p w14:paraId="4A6BD6F0">
      <w:pPr>
        <w:spacing w:line="360" w:lineRule="auto"/>
        <w:rPr>
          <w:rFonts w:ascii="宋体" w:hAnsi="宋体"/>
          <w:color w:val="auto"/>
          <w:szCs w:val="21"/>
          <w:highlight w:val="none"/>
        </w:rPr>
      </w:pPr>
    </w:p>
    <w:p w14:paraId="448E937C">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各省、自治区住房和城乡建设厅，直辖市住房和城乡建设（管）委，新疆生产建设兵团住房和</w:t>
      </w:r>
    </w:p>
    <w:p w14:paraId="64EFEF91">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城乡建设局，国务院有关部门建设司（局），中央军委后勤保障部军事设施建设局，有关中央企业：为扎实推进“我为群众办实事”实践活动，深化建筑业“放管服”改革，进一步提升政务服务规范化、便利化水平，我部决定在全国范围内实行一级建造师电子注册证书（以下简称电子证书），并开展延续注册工作。现将有关事项通知如下：</w:t>
      </w:r>
    </w:p>
    <w:p w14:paraId="669AE98C">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一、工作内容</w:t>
      </w:r>
    </w:p>
    <w:p w14:paraId="16C5E5F4">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（一）实行电子证书。</w:t>
      </w:r>
    </w:p>
    <w:p w14:paraId="65B11771">
      <w:pPr>
        <w:spacing w:line="360" w:lineRule="auto"/>
        <w:ind w:firstLine="420" w:firstLineChars="200"/>
        <w:rPr>
          <w:rFonts w:ascii="宋体" w:hAnsi="宋体"/>
          <w:color w:val="auto"/>
          <w:szCs w:val="21"/>
          <w:highlight w:val="none"/>
        </w:rPr>
      </w:pPr>
      <w:r>
        <w:rPr>
          <w:rFonts w:ascii="宋体" w:hAnsi="宋体"/>
          <w:color w:val="auto"/>
          <w:szCs w:val="21"/>
          <w:highlight w:val="none"/>
        </w:rPr>
        <w:t>1．自 2021 年 10 月 15 日起，在全国范围内实行一级建造师电子证书（具体示例及说明见附件 1），</w:t>
      </w:r>
      <w:r>
        <w:rPr>
          <w:rFonts w:hint="eastAsia" w:ascii="宋体" w:hAnsi="宋体"/>
          <w:color w:val="auto"/>
          <w:szCs w:val="21"/>
          <w:highlight w:val="none"/>
        </w:rPr>
        <w:t>电子证书式样按照《全国一体化在线政务服务平台电子证照一级建造师注册证书》标准执行（具体式样见附件</w:t>
      </w:r>
      <w:r>
        <w:rPr>
          <w:rFonts w:ascii="宋体" w:hAnsi="宋体"/>
          <w:color w:val="auto"/>
          <w:szCs w:val="21"/>
          <w:highlight w:val="none"/>
        </w:rPr>
        <w:t xml:space="preserve"> 2）。自 2022 年 1 月 1 日起，一级建造师统一使用电子证书，纸质注册证书作废。</w:t>
      </w:r>
    </w:p>
    <w:p w14:paraId="41521153">
      <w:pPr>
        <w:spacing w:line="360" w:lineRule="auto"/>
        <w:ind w:firstLine="420" w:firstLineChars="200"/>
        <w:rPr>
          <w:rFonts w:ascii="宋体" w:hAnsi="宋体"/>
          <w:color w:val="auto"/>
          <w:szCs w:val="21"/>
          <w:highlight w:val="none"/>
        </w:rPr>
      </w:pPr>
      <w:r>
        <w:rPr>
          <w:rFonts w:ascii="宋体" w:hAnsi="宋体"/>
          <w:color w:val="auto"/>
          <w:szCs w:val="21"/>
          <w:highlight w:val="none"/>
        </w:rPr>
        <w:t>2．自 2021 年 10 月 15 日起，全国范围内准予一级建造师初始注册、增项注册、重新注册、延续</w:t>
      </w:r>
      <w:r>
        <w:rPr>
          <w:rFonts w:hint="eastAsia" w:ascii="宋体" w:hAnsi="宋体"/>
          <w:color w:val="auto"/>
          <w:szCs w:val="21"/>
          <w:highlight w:val="none"/>
        </w:rPr>
        <w:t>注册的，不再发放纸质注册证书或加贴防伪贴；聘用单位基本信息修改的，不再加贴防伪贴；因纸质注册证书遗失、污损或个人信息修改等需重新发放注册证书的，不再补发或更换纸质注册证书。</w:t>
      </w:r>
    </w:p>
    <w:p w14:paraId="6090F32E">
      <w:pPr>
        <w:spacing w:line="360" w:lineRule="auto"/>
        <w:ind w:firstLine="420" w:firstLineChars="200"/>
        <w:rPr>
          <w:rFonts w:ascii="宋体" w:hAnsi="宋体"/>
          <w:color w:val="auto"/>
          <w:szCs w:val="21"/>
          <w:highlight w:val="none"/>
        </w:rPr>
      </w:pPr>
      <w:r>
        <w:rPr>
          <w:rFonts w:ascii="宋体" w:hAnsi="宋体"/>
          <w:color w:val="auto"/>
          <w:szCs w:val="21"/>
          <w:highlight w:val="none"/>
        </w:rPr>
        <w:t>3．电子证书与纸质注册证书并行使用期间，其注册编号同时有效。2022 年 1 月 1 日起，一级建造</w:t>
      </w:r>
      <w:r>
        <w:rPr>
          <w:rFonts w:hint="eastAsia" w:ascii="宋体" w:hAnsi="宋体"/>
          <w:color w:val="auto"/>
          <w:szCs w:val="21"/>
          <w:highlight w:val="none"/>
        </w:rPr>
        <w:t>师应重新刻制执业印章，并使用电子证书上的注册编号。</w:t>
      </w:r>
    </w:p>
    <w:p w14:paraId="18ECF420">
      <w:pPr>
        <w:spacing w:line="360" w:lineRule="auto"/>
        <w:ind w:firstLine="420" w:firstLineChars="200"/>
        <w:rPr>
          <w:rFonts w:ascii="宋体" w:hAnsi="宋体"/>
          <w:color w:val="auto"/>
          <w:szCs w:val="21"/>
          <w:highlight w:val="none"/>
        </w:rPr>
      </w:pPr>
      <w:r>
        <w:rPr>
          <w:rFonts w:ascii="宋体" w:hAnsi="宋体"/>
          <w:color w:val="auto"/>
          <w:szCs w:val="21"/>
          <w:highlight w:val="none"/>
        </w:rPr>
        <w:t>4．各省（区、市）住房和城乡建设主管部门要会同有关行业主管部门创新监管模式，充分运用信</w:t>
      </w:r>
      <w:r>
        <w:rPr>
          <w:rFonts w:hint="eastAsia" w:ascii="宋体" w:hAnsi="宋体"/>
          <w:color w:val="auto"/>
          <w:szCs w:val="21"/>
          <w:highlight w:val="none"/>
        </w:rPr>
        <w:t>息化手段，加快实现电子证书在招标投标、审批许可、项目管理、行业监管等环节的应用。</w:t>
      </w:r>
    </w:p>
    <w:p w14:paraId="379A3FA0">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（二）开展延续注册。</w:t>
      </w:r>
    </w:p>
    <w:p w14:paraId="5485BC6E">
      <w:pPr>
        <w:spacing w:line="360" w:lineRule="auto"/>
        <w:ind w:firstLine="420" w:firstLineChars="200"/>
        <w:rPr>
          <w:rFonts w:ascii="宋体" w:hAnsi="宋体"/>
          <w:color w:val="auto"/>
          <w:szCs w:val="21"/>
          <w:highlight w:val="none"/>
        </w:rPr>
      </w:pPr>
      <w:r>
        <w:rPr>
          <w:rFonts w:ascii="宋体" w:hAnsi="宋体"/>
          <w:color w:val="auto"/>
          <w:szCs w:val="21"/>
          <w:highlight w:val="none"/>
        </w:rPr>
        <w:t>1．一级建造师注册专业有效期已过期的，应于 2021 年 12 月 15 日前提出延续注册申请；注册专业</w:t>
      </w:r>
      <w:r>
        <w:rPr>
          <w:rFonts w:hint="eastAsia" w:ascii="宋体" w:hAnsi="宋体"/>
          <w:color w:val="auto"/>
          <w:szCs w:val="21"/>
          <w:highlight w:val="none"/>
        </w:rPr>
        <w:t>仍在有效期内的，应在有效期届满</w:t>
      </w:r>
      <w:r>
        <w:rPr>
          <w:rFonts w:ascii="宋体" w:hAnsi="宋体"/>
          <w:color w:val="auto"/>
          <w:szCs w:val="21"/>
          <w:highlight w:val="none"/>
        </w:rPr>
        <w:t xml:space="preserve"> 30 日前提出延续注册申请；注册专业有效期届满且未提出延续注册</w:t>
      </w:r>
      <w:r>
        <w:rPr>
          <w:rFonts w:hint="eastAsia" w:ascii="宋体" w:hAnsi="宋体"/>
          <w:color w:val="auto"/>
          <w:szCs w:val="21"/>
          <w:highlight w:val="none"/>
        </w:rPr>
        <w:t>申请的，自</w:t>
      </w:r>
      <w:r>
        <w:rPr>
          <w:rFonts w:ascii="宋体" w:hAnsi="宋体"/>
          <w:color w:val="auto"/>
          <w:szCs w:val="21"/>
          <w:highlight w:val="none"/>
        </w:rPr>
        <w:t xml:space="preserve"> 2022 年 1 月 1 日起注册专业失效。</w:t>
      </w:r>
    </w:p>
    <w:p w14:paraId="775B7521">
      <w:pPr>
        <w:spacing w:line="360" w:lineRule="auto"/>
        <w:ind w:firstLine="420" w:firstLineChars="200"/>
        <w:rPr>
          <w:rFonts w:ascii="宋体" w:hAnsi="宋体"/>
          <w:color w:val="auto"/>
          <w:szCs w:val="21"/>
          <w:highlight w:val="none"/>
        </w:rPr>
      </w:pPr>
      <w:r>
        <w:rPr>
          <w:rFonts w:ascii="宋体" w:hAnsi="宋体"/>
          <w:color w:val="auto"/>
          <w:szCs w:val="21"/>
          <w:highlight w:val="none"/>
        </w:rPr>
        <w:t>2．一级建造师申请延续注册的，应达到继续教育要求，并对本人完成继续教育情况作出承诺。</w:t>
      </w:r>
    </w:p>
    <w:p w14:paraId="51C59AF7">
      <w:pPr>
        <w:spacing w:line="360" w:lineRule="auto"/>
        <w:ind w:firstLine="420" w:firstLineChars="200"/>
        <w:rPr>
          <w:rFonts w:ascii="宋体" w:hAnsi="宋体"/>
          <w:color w:val="auto"/>
          <w:szCs w:val="21"/>
          <w:highlight w:val="none"/>
        </w:rPr>
      </w:pPr>
      <w:r>
        <w:rPr>
          <w:rFonts w:ascii="宋体" w:hAnsi="宋体"/>
          <w:color w:val="auto"/>
          <w:szCs w:val="21"/>
          <w:highlight w:val="none"/>
        </w:rPr>
        <w:t>3．准予延续注册的注册专业，其注册专业有效期从准予延续注册之日起计算。准予延续注册之日</w:t>
      </w:r>
      <w:r>
        <w:rPr>
          <w:rFonts w:hint="eastAsia" w:ascii="宋体" w:hAnsi="宋体"/>
          <w:color w:val="auto"/>
          <w:szCs w:val="21"/>
          <w:highlight w:val="none"/>
        </w:rPr>
        <w:t>距</w:t>
      </w:r>
      <w:r>
        <w:rPr>
          <w:rFonts w:ascii="宋体" w:hAnsi="宋体"/>
          <w:color w:val="auto"/>
          <w:szCs w:val="21"/>
          <w:highlight w:val="none"/>
        </w:rPr>
        <w:t xml:space="preserve"> 65 周岁不满 3 年的，有效期至 65 周岁当日。</w:t>
      </w:r>
    </w:p>
    <w:p w14:paraId="4A670297">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二、电子证书有关使用要求</w:t>
      </w:r>
    </w:p>
    <w:p w14:paraId="62B0C3FE">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一）一级建造师可登录国家政务服务平台、住房和城乡建设部政务服务门户查看和下载电子证书，具体操作流程可查阅《住房和城乡建设部一级建造师电子证照申领和使用手册》。查看和下载电子证书时，本人应确认该证书的使用时限。电子证书使用时限为</w:t>
      </w:r>
      <w:r>
        <w:rPr>
          <w:rFonts w:ascii="宋体" w:hAnsi="宋体"/>
          <w:color w:val="auto"/>
          <w:szCs w:val="21"/>
          <w:highlight w:val="none"/>
        </w:rPr>
        <w:t xml:space="preserve"> 180 天，但使用时限距注册专业有效期或建造</w:t>
      </w:r>
      <w:r>
        <w:rPr>
          <w:rFonts w:hint="eastAsia" w:ascii="宋体" w:hAnsi="宋体"/>
          <w:color w:val="auto"/>
          <w:szCs w:val="21"/>
          <w:highlight w:val="none"/>
        </w:rPr>
        <w:t>师满</w:t>
      </w:r>
      <w:r>
        <w:rPr>
          <w:rFonts w:ascii="宋体" w:hAnsi="宋体"/>
          <w:color w:val="auto"/>
          <w:szCs w:val="21"/>
          <w:highlight w:val="none"/>
        </w:rPr>
        <w:t xml:space="preserve"> 65 周岁不足 180 天的，使用时限截止日期以注册专业有效期截止日期或建造师满 65 周岁当日为准。</w:t>
      </w:r>
      <w:r>
        <w:rPr>
          <w:rFonts w:hint="eastAsia" w:ascii="宋体" w:hAnsi="宋体"/>
          <w:color w:val="auto"/>
          <w:szCs w:val="21"/>
          <w:highlight w:val="none"/>
        </w:rPr>
        <w:t>超出使用时限的电子证书无效，需重新下载电子证书并再次确认使用时限。</w:t>
      </w:r>
    </w:p>
    <w:p w14:paraId="590141DB">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（二）一级建造师打印电子证书后，应在个人签名处手写本人签名，未手写签名或与签名图像笔迹不一致的，该电子证书无效。</w:t>
      </w:r>
    </w:p>
    <w:p w14:paraId="2D4D726F">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（三）一级建造师应妥善保管本人的国家政务服务平台账号，因本人保管不善造成账号信息泄露所产生的一切后果由本人承担。</w:t>
      </w:r>
    </w:p>
    <w:p w14:paraId="4F031A2F">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（四）有关单位和个人可通过“中国建造师网”微信公众号扫描电子证书上的二维码，查询一级建造师注册信息。</w:t>
      </w:r>
    </w:p>
    <w:p w14:paraId="1EEEE41D">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五）电子证书与纸质注册证书的聘用单位信息、个人基本信息、注册专业有效期等不一致的，以电子证书信息为准。电子证书信息发生变更的，需登录国家政务服务平台或住房和城乡建设部政务服务门户重新下载。</w:t>
      </w:r>
    </w:p>
    <w:p w14:paraId="7E446DC9">
      <w:pPr>
        <w:spacing w:line="360" w:lineRule="auto"/>
        <w:ind w:firstLine="420" w:firstLineChars="200"/>
        <w:rPr>
          <w:rFonts w:ascii="宋体" w:hAnsi="宋体"/>
          <w:color w:val="auto"/>
          <w:szCs w:val="21"/>
          <w:highlight w:val="none"/>
        </w:rPr>
      </w:pPr>
      <w:r>
        <w:rPr>
          <w:rFonts w:ascii="宋体" w:hAnsi="宋体"/>
          <w:color w:val="auto"/>
          <w:szCs w:val="21"/>
          <w:highlight w:val="none"/>
        </w:rPr>
        <w:t xml:space="preserve"> 附件：1．一级建造师电子注册证书示例及说明</w:t>
      </w:r>
    </w:p>
    <w:p w14:paraId="6C4AFBC3">
      <w:pPr>
        <w:spacing w:line="360" w:lineRule="auto"/>
        <w:ind w:firstLine="420" w:firstLineChars="200"/>
        <w:rPr>
          <w:rFonts w:ascii="宋体" w:hAnsi="宋体"/>
          <w:color w:val="auto"/>
          <w:szCs w:val="21"/>
          <w:highlight w:val="none"/>
        </w:rPr>
      </w:pPr>
      <w:r>
        <w:rPr>
          <w:rFonts w:ascii="宋体" w:hAnsi="宋体"/>
          <w:color w:val="auto"/>
          <w:szCs w:val="21"/>
          <w:highlight w:val="none"/>
        </w:rPr>
        <w:t xml:space="preserve"> 2．一级建造师电子注册证书式样</w:t>
      </w:r>
    </w:p>
    <w:p w14:paraId="205D943B">
      <w:pPr>
        <w:spacing w:line="360" w:lineRule="auto"/>
        <w:jc w:val="right"/>
        <w:rPr>
          <w:rFonts w:ascii="宋体" w:hAnsi="宋体"/>
          <w:color w:val="auto"/>
          <w:szCs w:val="21"/>
          <w:highlight w:val="none"/>
        </w:rPr>
      </w:pPr>
      <w:r>
        <w:rPr>
          <w:rFonts w:ascii="宋体" w:hAnsi="宋体"/>
          <w:color w:val="auto"/>
          <w:szCs w:val="21"/>
          <w:highlight w:val="none"/>
        </w:rPr>
        <w:t xml:space="preserve"> 住房和城乡建设部办公厅 </w:t>
      </w:r>
    </w:p>
    <w:p w14:paraId="59EC9361">
      <w:pPr>
        <w:spacing w:line="360" w:lineRule="auto"/>
        <w:jc w:val="right"/>
        <w:rPr>
          <w:rFonts w:ascii="宋体" w:hAnsi="宋体"/>
          <w:color w:val="auto"/>
          <w:szCs w:val="21"/>
          <w:highlight w:val="none"/>
        </w:rPr>
      </w:pPr>
      <w:r>
        <w:rPr>
          <w:rFonts w:ascii="宋体" w:hAnsi="宋体"/>
          <w:color w:val="auto"/>
          <w:szCs w:val="21"/>
          <w:highlight w:val="none"/>
        </w:rPr>
        <w:t>2021 年 9 月 18 日</w:t>
      </w:r>
    </w:p>
    <w:p w14:paraId="20599F9B">
      <w:pPr>
        <w:rPr>
          <w:rFonts w:ascii="宋体" w:hAnsi="宋体"/>
          <w:color w:val="auto"/>
          <w:szCs w:val="21"/>
          <w:highlight w:val="none"/>
        </w:rPr>
      </w:pPr>
      <w:r>
        <w:rPr>
          <w:rFonts w:ascii="宋体" w:hAnsi="宋体"/>
          <w:color w:val="auto"/>
          <w:szCs w:val="21"/>
          <w:highlight w:val="none"/>
        </w:rPr>
        <w:br w:type="page"/>
      </w:r>
      <w:r>
        <w:rPr>
          <w:rFonts w:ascii="宋体" w:hAnsi="宋体"/>
          <w:color w:val="auto"/>
          <w:szCs w:val="21"/>
          <w:highlight w:val="none"/>
        </w:rPr>
        <w:drawing>
          <wp:inline distT="0" distB="0" distL="114300" distR="114300">
            <wp:extent cx="5577840" cy="7439660"/>
            <wp:effectExtent l="0" t="0" r="3810" b="889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0"/>
                    <a:stretch>
                      <a:fillRect/>
                    </a:stretch>
                  </pic:blipFill>
                  <pic:spPr>
                    <a:xfrm>
                      <a:off x="0" y="0"/>
                      <a:ext cx="5577840" cy="7439660"/>
                    </a:xfrm>
                    <a:prstGeom prst="rect">
                      <a:avLst/>
                    </a:prstGeom>
                    <a:noFill/>
                    <a:ln>
                      <a:noFill/>
                    </a:ln>
                  </pic:spPr>
                </pic:pic>
              </a:graphicData>
            </a:graphic>
          </wp:inline>
        </w:drawing>
      </w:r>
    </w:p>
    <w:p w14:paraId="69A8F407">
      <w:pPr>
        <w:rPr>
          <w:rFonts w:ascii="宋体" w:hAnsi="宋体"/>
          <w:color w:val="auto"/>
          <w:szCs w:val="21"/>
          <w:highlight w:val="none"/>
        </w:rPr>
      </w:pPr>
      <w:r>
        <w:rPr>
          <w:rFonts w:ascii="宋体" w:hAnsi="宋体"/>
          <w:color w:val="auto"/>
          <w:szCs w:val="21"/>
          <w:highlight w:val="none"/>
        </w:rPr>
        <w:br w:type="page"/>
      </w:r>
      <w:r>
        <w:rPr>
          <w:rFonts w:ascii="宋体" w:hAnsi="宋体"/>
          <w:color w:val="auto"/>
          <w:szCs w:val="21"/>
          <w:highlight w:val="none"/>
        </w:rPr>
        <w:drawing>
          <wp:inline distT="0" distB="0" distL="114300" distR="114300">
            <wp:extent cx="5575935" cy="7780020"/>
            <wp:effectExtent l="0" t="0" r="5715" b="1143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1"/>
                    <a:stretch>
                      <a:fillRect/>
                    </a:stretch>
                  </pic:blipFill>
                  <pic:spPr>
                    <a:xfrm>
                      <a:off x="0" y="0"/>
                      <a:ext cx="5575935" cy="7780020"/>
                    </a:xfrm>
                    <a:prstGeom prst="rect">
                      <a:avLst/>
                    </a:prstGeom>
                    <a:noFill/>
                    <a:ln>
                      <a:noFill/>
                    </a:ln>
                  </pic:spPr>
                </pic:pic>
              </a:graphicData>
            </a:graphic>
          </wp:inline>
        </w:drawing>
      </w:r>
    </w:p>
    <w:p w14:paraId="58B1C353">
      <w:pPr>
        <w:rPr>
          <w:rFonts w:ascii="宋体" w:hAnsi="宋体"/>
          <w:color w:val="auto"/>
          <w:szCs w:val="21"/>
          <w:highlight w:val="none"/>
        </w:rPr>
      </w:pPr>
    </w:p>
    <w:p w14:paraId="6A39B049">
      <w:pPr>
        <w:pStyle w:val="64"/>
        <w:ind w:firstLine="500"/>
        <w:rPr>
          <w:color w:val="auto"/>
          <w:highlight w:val="none"/>
        </w:rPr>
      </w:pPr>
    </w:p>
    <w:p w14:paraId="7AF278D9">
      <w:pPr>
        <w:spacing w:line="420" w:lineRule="exact"/>
        <w:ind w:firstLine="422" w:firstLineChars="200"/>
        <w:rPr>
          <w:rFonts w:hint="eastAsia" w:ascii="宋体" w:hAnsi="宋体" w:cs="宋体"/>
          <w:b/>
          <w:bCs/>
          <w:color w:val="auto"/>
          <w:szCs w:val="21"/>
          <w:highlight w:val="none"/>
        </w:rPr>
      </w:pPr>
      <w:bookmarkStart w:id="33" w:name="_Toc465181336"/>
      <w:bookmarkStart w:id="34" w:name="_Toc404159960"/>
    </w:p>
    <w:p w14:paraId="3E5066C8">
      <w:pPr>
        <w:spacing w:line="420" w:lineRule="exact"/>
        <w:ind w:firstLine="422" w:firstLineChars="200"/>
        <w:rPr>
          <w:rFonts w:hint="eastAsia" w:ascii="宋体" w:hAnsi="宋体" w:cs="宋体"/>
          <w:b/>
          <w:bCs/>
          <w:color w:val="auto"/>
          <w:szCs w:val="21"/>
          <w:highlight w:val="none"/>
        </w:rPr>
      </w:pPr>
    </w:p>
    <w:p w14:paraId="31F39FA2">
      <w:pPr>
        <w:spacing w:line="420" w:lineRule="exact"/>
        <w:ind w:firstLine="422" w:firstLineChars="200"/>
        <w:rPr>
          <w:rFonts w:ascii="宋体" w:hAnsi="宋体" w:cs="宋体"/>
          <w:b/>
          <w:bCs/>
          <w:color w:val="auto"/>
          <w:szCs w:val="21"/>
          <w:highlight w:val="none"/>
        </w:rPr>
      </w:pPr>
      <w:r>
        <w:rPr>
          <w:rFonts w:hint="eastAsia" w:ascii="宋体" w:hAnsi="宋体" w:cs="宋体"/>
          <w:b/>
          <w:bCs/>
          <w:color w:val="auto"/>
          <w:szCs w:val="21"/>
          <w:highlight w:val="none"/>
        </w:rPr>
        <w:t>附件2《省住房和城乡建设厅关于我省二级建造师、二级造价工程师、二级注册建筑师、二级注册结构工程师注册证书电子证照换发的公告》（</w:t>
      </w:r>
      <w:r>
        <w:rPr>
          <w:rFonts w:hint="eastAsia" w:ascii="宋体" w:hAnsi="宋体" w:cs="宋体"/>
          <w:b/>
          <w:bCs/>
          <w:color w:val="auto"/>
          <w:szCs w:val="21"/>
          <w:highlight w:val="none"/>
          <w:lang w:eastAsia="zh-CN"/>
        </w:rPr>
        <w:t>〔2023〕26号</w:t>
      </w:r>
      <w:r>
        <w:rPr>
          <w:rFonts w:hint="eastAsia" w:ascii="宋体" w:hAnsi="宋体" w:cs="宋体"/>
          <w:b/>
          <w:bCs/>
          <w:color w:val="auto"/>
          <w:szCs w:val="21"/>
          <w:highlight w:val="none"/>
        </w:rPr>
        <w:t>）文件</w:t>
      </w:r>
    </w:p>
    <w:p w14:paraId="65C47193">
      <w:pPr>
        <w:spacing w:line="360" w:lineRule="auto"/>
        <w:rPr>
          <w:rFonts w:ascii="宋体" w:hAnsi="宋体" w:cs="宋体"/>
          <w:b/>
          <w:bCs/>
          <w:color w:val="auto"/>
          <w:kern w:val="44"/>
          <w:sz w:val="32"/>
          <w:szCs w:val="32"/>
          <w:highlight w:val="none"/>
        </w:rPr>
      </w:pPr>
      <w:r>
        <w:rPr>
          <w:color w:val="auto"/>
          <w:highlight w:val="none"/>
        </w:rPr>
        <w:drawing>
          <wp:inline distT="0" distB="0" distL="114300" distR="114300">
            <wp:extent cx="5868035" cy="4112895"/>
            <wp:effectExtent l="0" t="0" r="18415" b="1905"/>
            <wp:docPr id="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pic:cNvPicPr>
                      <a:picLocks noChangeAspect="1"/>
                    </pic:cNvPicPr>
                  </pic:nvPicPr>
                  <pic:blipFill>
                    <a:blip r:embed="rId12"/>
                    <a:stretch>
                      <a:fillRect/>
                    </a:stretch>
                  </pic:blipFill>
                  <pic:spPr>
                    <a:xfrm>
                      <a:off x="0" y="0"/>
                      <a:ext cx="5868035" cy="4112895"/>
                    </a:xfrm>
                    <a:prstGeom prst="rect">
                      <a:avLst/>
                    </a:prstGeom>
                    <a:noFill/>
                    <a:ln>
                      <a:noFill/>
                    </a:ln>
                  </pic:spPr>
                </pic:pic>
              </a:graphicData>
            </a:graphic>
          </wp:inline>
        </w:drawing>
      </w:r>
    </w:p>
    <w:p w14:paraId="41B2C301">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6A1D974C">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3E879EF5">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61E4B5EA">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414A6122">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1BCD4A94">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5201C1E1">
      <w:pPr>
        <w:pStyle w:val="2"/>
        <w:rPr>
          <w:color w:val="auto"/>
          <w:highlight w:val="none"/>
        </w:rPr>
      </w:pPr>
    </w:p>
    <w:p w14:paraId="1912B6D6">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4A48D144">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210F5462">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6AD78112">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42903041">
      <w:pPr>
        <w:wordWrap w:val="0"/>
        <w:adjustRightInd w:val="0"/>
        <w:snapToGrid w:val="0"/>
        <w:spacing w:line="570" w:lineRule="exact"/>
        <w:rPr>
          <w:rFonts w:hint="eastAsia" w:ascii="方正黑体_GBK" w:hAnsi="方正黑体_GBK" w:eastAsia="方正黑体_GBK" w:cs="方正黑体_GBK"/>
          <w:color w:val="auto"/>
          <w:sz w:val="32"/>
          <w:szCs w:val="32"/>
          <w:highlight w:val="none"/>
        </w:rPr>
      </w:pPr>
    </w:p>
    <w:p w14:paraId="75F49B5E">
      <w:pPr>
        <w:wordWrap w:val="0"/>
        <w:adjustRightInd w:val="0"/>
        <w:snapToGrid w:val="0"/>
        <w:spacing w:line="570" w:lineRule="exact"/>
        <w:rPr>
          <w:rFonts w:ascii="方正黑体_GBK" w:hAnsi="方正黑体_GBK" w:eastAsia="方正黑体_GBK" w:cs="方正黑体_GBK"/>
          <w:color w:val="auto"/>
          <w:sz w:val="32"/>
          <w:szCs w:val="32"/>
          <w:highlight w:val="none"/>
        </w:rPr>
      </w:pPr>
      <w:r>
        <w:rPr>
          <w:rFonts w:hint="eastAsia" w:ascii="方正黑体_GBK" w:hAnsi="方正黑体_GBK" w:eastAsia="方正黑体_GBK" w:cs="方正黑体_GBK"/>
          <w:color w:val="auto"/>
          <w:sz w:val="32"/>
          <w:szCs w:val="32"/>
          <w:highlight w:val="none"/>
        </w:rPr>
        <w:t>附件</w:t>
      </w:r>
    </w:p>
    <w:p w14:paraId="629976F0">
      <w:pPr>
        <w:wordWrap w:val="0"/>
        <w:spacing w:line="570" w:lineRule="exact"/>
        <w:jc w:val="center"/>
        <w:rPr>
          <w:rFonts w:eastAsia="方正小标宋简体"/>
          <w:color w:val="auto"/>
          <w:sz w:val="32"/>
          <w:szCs w:val="32"/>
          <w:highlight w:val="none"/>
        </w:rPr>
      </w:pPr>
      <w:r>
        <w:rPr>
          <w:rFonts w:hint="eastAsia" w:eastAsia="方正小标宋简体"/>
          <w:color w:val="auto"/>
          <w:sz w:val="32"/>
          <w:szCs w:val="32"/>
          <w:highlight w:val="none"/>
        </w:rPr>
        <w:t>二级建造师注册证书</w:t>
      </w:r>
    </w:p>
    <w:p w14:paraId="53DF1A15">
      <w:pPr>
        <w:spacing w:line="570" w:lineRule="exact"/>
        <w:jc w:val="center"/>
        <w:rPr>
          <w:rFonts w:eastAsia="方正小标宋简体"/>
          <w:color w:val="auto"/>
          <w:sz w:val="32"/>
          <w:szCs w:val="32"/>
          <w:highlight w:val="none"/>
        </w:rPr>
      </w:pPr>
      <w:r>
        <w:rPr>
          <w:rFonts w:eastAsia="方正仿宋_GBK"/>
          <w:color w:val="auto"/>
          <w:sz w:val="32"/>
          <w:szCs w:val="32"/>
          <w:highlight w:val="none"/>
        </w:rPr>
        <w:drawing>
          <wp:anchor distT="0" distB="0" distL="114300" distR="114300" simplePos="0" relativeHeight="251661312" behindDoc="0" locked="0" layoutInCell="1" allowOverlap="1">
            <wp:simplePos x="0" y="0"/>
            <wp:positionH relativeFrom="column">
              <wp:posOffset>410845</wp:posOffset>
            </wp:positionH>
            <wp:positionV relativeFrom="paragraph">
              <wp:posOffset>454025</wp:posOffset>
            </wp:positionV>
            <wp:extent cx="4699635" cy="6647180"/>
            <wp:effectExtent l="0" t="0" r="5715" b="1270"/>
            <wp:wrapSquare wrapText="bothSides"/>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pic:cNvPicPr>
                      <a:picLocks noChangeAspect="1"/>
                    </pic:cNvPicPr>
                  </pic:nvPicPr>
                  <pic:blipFill>
                    <a:blip r:embed="rId13"/>
                    <a:stretch>
                      <a:fillRect/>
                    </a:stretch>
                  </pic:blipFill>
                  <pic:spPr>
                    <a:xfrm>
                      <a:off x="0" y="0"/>
                      <a:ext cx="4699635" cy="6647180"/>
                    </a:xfrm>
                    <a:prstGeom prst="rect">
                      <a:avLst/>
                    </a:prstGeom>
                    <a:noFill/>
                    <a:ln>
                      <a:noFill/>
                    </a:ln>
                  </pic:spPr>
                </pic:pic>
              </a:graphicData>
            </a:graphic>
          </wp:anchor>
        </w:drawing>
      </w:r>
      <w:r>
        <w:rPr>
          <w:rFonts w:hint="eastAsia" w:eastAsia="方正小标宋简体"/>
          <w:color w:val="auto"/>
          <w:sz w:val="32"/>
          <w:szCs w:val="32"/>
          <w:highlight w:val="none"/>
        </w:rPr>
        <w:t>（注册证书电子证照样式）</w:t>
      </w:r>
    </w:p>
    <w:p w14:paraId="4DBF8684">
      <w:pPr>
        <w:wordWrap w:val="0"/>
        <w:adjustRightInd w:val="0"/>
        <w:snapToGrid w:val="0"/>
        <w:spacing w:line="570" w:lineRule="exact"/>
        <w:ind w:firstLine="640" w:firstLineChars="200"/>
        <w:rPr>
          <w:rFonts w:eastAsia="方正仿宋_GBK"/>
          <w:color w:val="auto"/>
          <w:sz w:val="32"/>
          <w:szCs w:val="32"/>
          <w:highlight w:val="none"/>
        </w:rPr>
      </w:pPr>
    </w:p>
    <w:p w14:paraId="7F2735E6">
      <w:pPr>
        <w:wordWrap w:val="0"/>
        <w:adjustRightInd w:val="0"/>
        <w:snapToGrid w:val="0"/>
        <w:spacing w:line="570" w:lineRule="exact"/>
        <w:ind w:firstLine="640" w:firstLineChars="200"/>
        <w:rPr>
          <w:rFonts w:eastAsia="方正仿宋_GBK"/>
          <w:color w:val="auto"/>
          <w:sz w:val="32"/>
          <w:szCs w:val="32"/>
          <w:highlight w:val="none"/>
        </w:rPr>
      </w:pPr>
    </w:p>
    <w:p w14:paraId="275B7ED2">
      <w:pPr>
        <w:wordWrap w:val="0"/>
        <w:adjustRightInd w:val="0"/>
        <w:snapToGrid w:val="0"/>
        <w:spacing w:line="570" w:lineRule="exact"/>
        <w:ind w:firstLine="640" w:firstLineChars="200"/>
        <w:rPr>
          <w:rFonts w:eastAsia="方正仿宋_GBK"/>
          <w:color w:val="auto"/>
          <w:sz w:val="32"/>
          <w:szCs w:val="32"/>
          <w:highlight w:val="none"/>
        </w:rPr>
      </w:pPr>
    </w:p>
    <w:p w14:paraId="2C24CB6C">
      <w:pPr>
        <w:wordWrap w:val="0"/>
        <w:adjustRightInd w:val="0"/>
        <w:snapToGrid w:val="0"/>
        <w:spacing w:line="570" w:lineRule="exact"/>
        <w:ind w:firstLine="640" w:firstLineChars="200"/>
        <w:rPr>
          <w:rFonts w:eastAsia="方正仿宋_GBK"/>
          <w:color w:val="auto"/>
          <w:sz w:val="32"/>
          <w:szCs w:val="32"/>
          <w:highlight w:val="none"/>
        </w:rPr>
      </w:pPr>
    </w:p>
    <w:p w14:paraId="765CF6F0">
      <w:pPr>
        <w:wordWrap w:val="0"/>
        <w:adjustRightInd w:val="0"/>
        <w:snapToGrid w:val="0"/>
        <w:spacing w:line="570" w:lineRule="exact"/>
        <w:ind w:firstLine="640" w:firstLineChars="200"/>
        <w:rPr>
          <w:rFonts w:eastAsia="方正仿宋_GBK"/>
          <w:color w:val="auto"/>
          <w:sz w:val="32"/>
          <w:szCs w:val="32"/>
          <w:highlight w:val="none"/>
        </w:rPr>
      </w:pPr>
    </w:p>
    <w:p w14:paraId="0BC09AB6">
      <w:pPr>
        <w:wordWrap w:val="0"/>
        <w:adjustRightInd w:val="0"/>
        <w:snapToGrid w:val="0"/>
        <w:spacing w:line="570" w:lineRule="exact"/>
        <w:ind w:firstLine="640" w:firstLineChars="200"/>
        <w:rPr>
          <w:rFonts w:eastAsia="方正仿宋_GBK"/>
          <w:color w:val="auto"/>
          <w:sz w:val="32"/>
          <w:szCs w:val="32"/>
          <w:highlight w:val="none"/>
        </w:rPr>
      </w:pPr>
    </w:p>
    <w:p w14:paraId="32654F53">
      <w:pPr>
        <w:wordWrap w:val="0"/>
        <w:adjustRightInd w:val="0"/>
        <w:snapToGrid w:val="0"/>
        <w:spacing w:line="570" w:lineRule="exact"/>
        <w:ind w:firstLine="640" w:firstLineChars="200"/>
        <w:rPr>
          <w:rFonts w:eastAsia="方正小标宋简体"/>
          <w:color w:val="auto"/>
          <w:sz w:val="32"/>
          <w:szCs w:val="32"/>
          <w:highlight w:val="none"/>
        </w:rPr>
      </w:pPr>
    </w:p>
    <w:p w14:paraId="215901AE">
      <w:pPr>
        <w:adjustRightInd w:val="0"/>
        <w:spacing w:line="312" w:lineRule="atLeast"/>
        <w:jc w:val="left"/>
        <w:textAlignment w:val="baseline"/>
        <w:rPr>
          <w:color w:val="auto"/>
          <w:kern w:val="0"/>
          <w:sz w:val="18"/>
          <w:szCs w:val="20"/>
          <w:highlight w:val="none"/>
        </w:rPr>
      </w:pPr>
    </w:p>
    <w:p w14:paraId="17DD0916">
      <w:pPr>
        <w:ind w:left="1680"/>
        <w:rPr>
          <w:color w:val="auto"/>
          <w:highlight w:val="none"/>
        </w:rPr>
      </w:pPr>
    </w:p>
    <w:p w14:paraId="34A04AD4">
      <w:pPr>
        <w:rPr>
          <w:color w:val="auto"/>
          <w:highlight w:val="none"/>
        </w:rPr>
      </w:pPr>
    </w:p>
    <w:p w14:paraId="700CE265">
      <w:pPr>
        <w:adjustRightInd w:val="0"/>
        <w:spacing w:line="312" w:lineRule="atLeast"/>
        <w:jc w:val="left"/>
        <w:textAlignment w:val="baseline"/>
        <w:rPr>
          <w:color w:val="auto"/>
          <w:kern w:val="0"/>
          <w:sz w:val="18"/>
          <w:szCs w:val="20"/>
          <w:highlight w:val="none"/>
        </w:rPr>
      </w:pPr>
    </w:p>
    <w:p w14:paraId="7EA1AC6C">
      <w:pPr>
        <w:ind w:left="1680"/>
        <w:rPr>
          <w:color w:val="auto"/>
          <w:highlight w:val="none"/>
        </w:rPr>
      </w:pPr>
    </w:p>
    <w:p w14:paraId="2D7C4023">
      <w:pPr>
        <w:rPr>
          <w:color w:val="auto"/>
          <w:highlight w:val="none"/>
        </w:rPr>
      </w:pPr>
    </w:p>
    <w:p w14:paraId="6C7C0340">
      <w:pPr>
        <w:adjustRightInd w:val="0"/>
        <w:spacing w:line="312" w:lineRule="atLeast"/>
        <w:jc w:val="left"/>
        <w:textAlignment w:val="baseline"/>
        <w:rPr>
          <w:color w:val="auto"/>
          <w:kern w:val="0"/>
          <w:sz w:val="18"/>
          <w:szCs w:val="20"/>
          <w:highlight w:val="none"/>
        </w:rPr>
      </w:pPr>
    </w:p>
    <w:p w14:paraId="256A772A">
      <w:pPr>
        <w:ind w:left="1680"/>
        <w:rPr>
          <w:color w:val="auto"/>
          <w:highlight w:val="none"/>
        </w:rPr>
      </w:pPr>
    </w:p>
    <w:p w14:paraId="19022B94">
      <w:pPr>
        <w:rPr>
          <w:color w:val="auto"/>
          <w:highlight w:val="none"/>
        </w:rPr>
      </w:pPr>
    </w:p>
    <w:p w14:paraId="72E40486">
      <w:pPr>
        <w:adjustRightInd w:val="0"/>
        <w:spacing w:line="312" w:lineRule="atLeast"/>
        <w:jc w:val="left"/>
        <w:textAlignment w:val="baseline"/>
        <w:rPr>
          <w:color w:val="auto"/>
          <w:kern w:val="0"/>
          <w:sz w:val="18"/>
          <w:szCs w:val="20"/>
          <w:highlight w:val="none"/>
        </w:rPr>
      </w:pPr>
    </w:p>
    <w:p w14:paraId="48671EBB">
      <w:pPr>
        <w:ind w:left="1680"/>
        <w:rPr>
          <w:color w:val="auto"/>
          <w:highlight w:val="none"/>
        </w:rPr>
      </w:pPr>
    </w:p>
    <w:p w14:paraId="5B59318F">
      <w:pPr>
        <w:rPr>
          <w:color w:val="auto"/>
          <w:highlight w:val="none"/>
        </w:rPr>
      </w:pPr>
    </w:p>
    <w:p w14:paraId="4E07E303">
      <w:pPr>
        <w:adjustRightInd w:val="0"/>
        <w:spacing w:line="312" w:lineRule="atLeast"/>
        <w:jc w:val="left"/>
        <w:textAlignment w:val="baseline"/>
        <w:rPr>
          <w:color w:val="auto"/>
          <w:kern w:val="0"/>
          <w:sz w:val="18"/>
          <w:szCs w:val="20"/>
          <w:highlight w:val="none"/>
        </w:rPr>
      </w:pPr>
    </w:p>
    <w:p w14:paraId="1B905C8D">
      <w:pPr>
        <w:ind w:left="1680"/>
        <w:rPr>
          <w:color w:val="auto"/>
          <w:highlight w:val="none"/>
        </w:rPr>
      </w:pPr>
    </w:p>
    <w:p w14:paraId="4FFF95A6">
      <w:pPr>
        <w:rPr>
          <w:color w:val="auto"/>
          <w:highlight w:val="none"/>
        </w:rPr>
      </w:pPr>
    </w:p>
    <w:p w14:paraId="2D5DAD17">
      <w:pPr>
        <w:adjustRightInd w:val="0"/>
        <w:spacing w:line="312" w:lineRule="atLeast"/>
        <w:jc w:val="left"/>
        <w:textAlignment w:val="baseline"/>
        <w:rPr>
          <w:color w:val="auto"/>
          <w:kern w:val="0"/>
          <w:sz w:val="18"/>
          <w:szCs w:val="20"/>
          <w:highlight w:val="none"/>
        </w:rPr>
      </w:pPr>
    </w:p>
    <w:p w14:paraId="435AC0CF">
      <w:pPr>
        <w:ind w:left="1680"/>
        <w:rPr>
          <w:color w:val="auto"/>
          <w:highlight w:val="none"/>
        </w:rPr>
      </w:pPr>
    </w:p>
    <w:p w14:paraId="330EFF21">
      <w:pPr>
        <w:rPr>
          <w:color w:val="auto"/>
          <w:highlight w:val="none"/>
        </w:rPr>
      </w:pPr>
    </w:p>
    <w:p w14:paraId="14F37092">
      <w:pPr>
        <w:adjustRightInd w:val="0"/>
        <w:spacing w:line="312" w:lineRule="atLeast"/>
        <w:jc w:val="left"/>
        <w:textAlignment w:val="baseline"/>
        <w:rPr>
          <w:color w:val="auto"/>
          <w:kern w:val="0"/>
          <w:sz w:val="18"/>
          <w:szCs w:val="20"/>
          <w:highlight w:val="none"/>
        </w:rPr>
      </w:pPr>
    </w:p>
    <w:p w14:paraId="6AAC536A">
      <w:pPr>
        <w:ind w:left="1680"/>
        <w:rPr>
          <w:color w:val="auto"/>
          <w:highlight w:val="none"/>
        </w:rPr>
      </w:pPr>
    </w:p>
    <w:p w14:paraId="63DE3C1B">
      <w:pPr>
        <w:rPr>
          <w:color w:val="auto"/>
          <w:highlight w:val="none"/>
        </w:rPr>
      </w:pPr>
    </w:p>
    <w:p w14:paraId="075BE04C">
      <w:pPr>
        <w:adjustRightInd w:val="0"/>
        <w:spacing w:line="312" w:lineRule="atLeast"/>
        <w:jc w:val="left"/>
        <w:textAlignment w:val="baseline"/>
        <w:rPr>
          <w:color w:val="auto"/>
          <w:kern w:val="0"/>
          <w:sz w:val="18"/>
          <w:szCs w:val="20"/>
          <w:highlight w:val="none"/>
        </w:rPr>
      </w:pPr>
    </w:p>
    <w:p w14:paraId="1FC3EF09">
      <w:pPr>
        <w:ind w:left="1680"/>
        <w:rPr>
          <w:color w:val="auto"/>
          <w:highlight w:val="none"/>
        </w:rPr>
      </w:pPr>
    </w:p>
    <w:p w14:paraId="00C0167E">
      <w:pPr>
        <w:widowControl/>
        <w:tabs>
          <w:tab w:val="left" w:pos="7920"/>
        </w:tabs>
        <w:spacing w:line="440" w:lineRule="exact"/>
        <w:ind w:firstLine="723" w:firstLineChars="200"/>
        <w:jc w:val="center"/>
        <w:rPr>
          <w:rFonts w:cs="Arial"/>
          <w:b/>
          <w:bCs/>
          <w:color w:val="auto"/>
          <w:kern w:val="36"/>
          <w:sz w:val="36"/>
          <w:szCs w:val="36"/>
          <w:highlight w:val="none"/>
        </w:rPr>
      </w:pPr>
    </w:p>
    <w:p w14:paraId="692C2CB1">
      <w:pPr>
        <w:widowControl/>
        <w:tabs>
          <w:tab w:val="left" w:pos="7920"/>
        </w:tabs>
        <w:spacing w:line="440" w:lineRule="exact"/>
        <w:ind w:firstLine="723" w:firstLineChars="200"/>
        <w:jc w:val="center"/>
        <w:rPr>
          <w:rFonts w:cs="Arial"/>
          <w:b/>
          <w:bCs/>
          <w:color w:val="auto"/>
          <w:kern w:val="36"/>
          <w:sz w:val="36"/>
          <w:szCs w:val="36"/>
          <w:highlight w:val="none"/>
        </w:rPr>
      </w:pPr>
    </w:p>
    <w:p w14:paraId="7B10F6AF">
      <w:pPr>
        <w:pStyle w:val="4"/>
        <w:jc w:val="center"/>
        <w:rPr>
          <w:b w:val="0"/>
          <w:color w:val="auto"/>
          <w:highlight w:val="none"/>
        </w:rPr>
      </w:pPr>
      <w:r>
        <w:rPr>
          <w:rFonts w:hAnsi="宋体"/>
          <w:color w:val="auto"/>
          <w:sz w:val="36"/>
          <w:szCs w:val="36"/>
          <w:highlight w:val="none"/>
        </w:rPr>
        <w:br w:type="page"/>
      </w:r>
      <w:r>
        <w:rPr>
          <w:rFonts w:hAnsi="宋体"/>
          <w:color w:val="auto"/>
          <w:sz w:val="36"/>
          <w:szCs w:val="36"/>
          <w:highlight w:val="none"/>
        </w:rPr>
        <w:t>第三章</w:t>
      </w:r>
      <w:r>
        <w:rPr>
          <w:rFonts w:hint="eastAsia" w:hAnsi="宋体"/>
          <w:color w:val="auto"/>
          <w:sz w:val="36"/>
          <w:szCs w:val="36"/>
          <w:highlight w:val="none"/>
        </w:rPr>
        <w:t xml:space="preserve"> </w:t>
      </w:r>
      <w:r>
        <w:rPr>
          <w:rFonts w:hAnsi="宋体"/>
          <w:color w:val="auto"/>
          <w:sz w:val="36"/>
          <w:szCs w:val="36"/>
          <w:highlight w:val="none"/>
        </w:rPr>
        <w:t>合同条款及格式</w:t>
      </w:r>
    </w:p>
    <w:bookmarkEnd w:id="33"/>
    <w:bookmarkEnd w:id="34"/>
    <w:p w14:paraId="3D7927B4">
      <w:pPr>
        <w:jc w:val="center"/>
        <w:rPr>
          <w:rFonts w:eastAsia="华文中宋"/>
          <w:b/>
          <w:color w:val="auto"/>
          <w:highlight w:val="none"/>
        </w:rPr>
      </w:pPr>
      <w:bookmarkStart w:id="35" w:name="_Toc404159961"/>
    </w:p>
    <w:p w14:paraId="407EDA7F">
      <w:pPr>
        <w:jc w:val="center"/>
        <w:rPr>
          <w:rFonts w:eastAsia="华文中宋"/>
          <w:b/>
          <w:color w:val="auto"/>
          <w:highlight w:val="none"/>
        </w:rPr>
      </w:pPr>
    </w:p>
    <w:p w14:paraId="4C38CDC7">
      <w:pPr>
        <w:rPr>
          <w:rFonts w:eastAsia="华文中宋"/>
          <w:b/>
          <w:color w:val="auto"/>
          <w:highlight w:val="none"/>
        </w:rPr>
      </w:pPr>
    </w:p>
    <w:p w14:paraId="1BDE6477">
      <w:pPr>
        <w:jc w:val="center"/>
        <w:rPr>
          <w:rFonts w:eastAsia="华文中宋"/>
          <w:b/>
          <w:color w:val="auto"/>
          <w:highlight w:val="none"/>
        </w:rPr>
      </w:pPr>
    </w:p>
    <w:p w14:paraId="436FC585">
      <w:pPr>
        <w:jc w:val="center"/>
        <w:rPr>
          <w:rFonts w:hint="eastAsia" w:ascii="黑体" w:eastAsia="黑体"/>
          <w:b/>
          <w:color w:val="auto"/>
          <w:sz w:val="72"/>
          <w:szCs w:val="72"/>
          <w:highlight w:val="none"/>
        </w:rPr>
      </w:pPr>
      <w:r>
        <w:rPr>
          <w:rFonts w:hint="eastAsia" w:ascii="黑体" w:eastAsia="黑体"/>
          <w:b/>
          <w:color w:val="auto"/>
          <w:sz w:val="72"/>
          <w:szCs w:val="72"/>
          <w:highlight w:val="none"/>
        </w:rPr>
        <w:t>建设工程施工合同</w:t>
      </w:r>
    </w:p>
    <w:p w14:paraId="21F865B8">
      <w:pPr>
        <w:jc w:val="center"/>
        <w:rPr>
          <w:rFonts w:hint="eastAsia" w:eastAsia="仿宋_GB2312"/>
          <w:bCs/>
          <w:color w:val="auto"/>
          <w:highlight w:val="none"/>
        </w:rPr>
      </w:pPr>
    </w:p>
    <w:p w14:paraId="7B43941B">
      <w:pPr>
        <w:jc w:val="center"/>
        <w:rPr>
          <w:rFonts w:ascii="黑体" w:eastAsia="黑体"/>
          <w:b/>
          <w:color w:val="auto"/>
          <w:sz w:val="32"/>
          <w:szCs w:val="32"/>
          <w:highlight w:val="none"/>
        </w:rPr>
      </w:pPr>
      <w:r>
        <w:rPr>
          <w:rFonts w:hint="eastAsia" w:eastAsia="仿宋_GB2312"/>
          <w:bCs/>
          <w:color w:val="auto"/>
          <w:sz w:val="32"/>
          <w:szCs w:val="32"/>
          <w:highlight w:val="none"/>
        </w:rPr>
        <w:t>(</w:t>
      </w:r>
      <w:r>
        <w:rPr>
          <w:rFonts w:eastAsia="仿宋_GB2312"/>
          <w:bCs/>
          <w:color w:val="auto"/>
          <w:sz w:val="32"/>
          <w:szCs w:val="32"/>
          <w:highlight w:val="none"/>
        </w:rPr>
        <w:t>GF—201</w:t>
      </w:r>
      <w:r>
        <w:rPr>
          <w:rFonts w:hint="eastAsia" w:eastAsia="仿宋_GB2312"/>
          <w:bCs/>
          <w:color w:val="auto"/>
          <w:sz w:val="32"/>
          <w:szCs w:val="32"/>
          <w:highlight w:val="none"/>
        </w:rPr>
        <w:t>7</w:t>
      </w:r>
      <w:r>
        <w:rPr>
          <w:rFonts w:eastAsia="仿宋_GB2312"/>
          <w:bCs/>
          <w:color w:val="auto"/>
          <w:sz w:val="32"/>
          <w:szCs w:val="32"/>
          <w:highlight w:val="none"/>
        </w:rPr>
        <w:t>—0201</w:t>
      </w:r>
      <w:r>
        <w:rPr>
          <w:rFonts w:hint="eastAsia" w:eastAsia="仿宋_GB2312"/>
          <w:bCs/>
          <w:color w:val="auto"/>
          <w:sz w:val="32"/>
          <w:szCs w:val="32"/>
          <w:highlight w:val="none"/>
          <w:lang w:eastAsia="zh-CN"/>
        </w:rPr>
        <w:t>)</w:t>
      </w:r>
    </w:p>
    <w:p w14:paraId="1B58BE3B">
      <w:pPr>
        <w:jc w:val="center"/>
        <w:rPr>
          <w:rFonts w:eastAsia="华文中宋"/>
          <w:b/>
          <w:color w:val="auto"/>
          <w:highlight w:val="none"/>
        </w:rPr>
      </w:pPr>
    </w:p>
    <w:p w14:paraId="3D70E8CE">
      <w:pPr>
        <w:jc w:val="center"/>
        <w:rPr>
          <w:rFonts w:eastAsia="黑体"/>
          <w:b/>
          <w:color w:val="auto"/>
          <w:highlight w:val="none"/>
        </w:rPr>
      </w:pPr>
    </w:p>
    <w:p w14:paraId="01F25C2A">
      <w:pPr>
        <w:jc w:val="center"/>
        <w:rPr>
          <w:rFonts w:eastAsia="楷体_GB2312"/>
          <w:b/>
          <w:color w:val="auto"/>
          <w:highlight w:val="none"/>
        </w:rPr>
      </w:pPr>
    </w:p>
    <w:p w14:paraId="5E0A51FE">
      <w:pPr>
        <w:jc w:val="center"/>
        <w:rPr>
          <w:rFonts w:eastAsia="黑体"/>
          <w:b/>
          <w:color w:val="auto"/>
          <w:highlight w:val="none"/>
        </w:rPr>
      </w:pPr>
    </w:p>
    <w:p w14:paraId="76A8318D">
      <w:pPr>
        <w:jc w:val="center"/>
        <w:rPr>
          <w:rFonts w:eastAsia="黑体"/>
          <w:b/>
          <w:color w:val="auto"/>
          <w:highlight w:val="none"/>
        </w:rPr>
      </w:pPr>
    </w:p>
    <w:p w14:paraId="62091655">
      <w:pPr>
        <w:jc w:val="center"/>
        <w:rPr>
          <w:rFonts w:eastAsia="黑体"/>
          <w:b/>
          <w:color w:val="auto"/>
          <w:highlight w:val="none"/>
        </w:rPr>
      </w:pPr>
    </w:p>
    <w:p w14:paraId="47A9554C">
      <w:pPr>
        <w:rPr>
          <w:rFonts w:eastAsia="黑体"/>
          <w:b/>
          <w:color w:val="auto"/>
          <w:highlight w:val="none"/>
        </w:rPr>
      </w:pPr>
    </w:p>
    <w:p w14:paraId="589DA4C5">
      <w:pPr>
        <w:jc w:val="center"/>
        <w:rPr>
          <w:rFonts w:eastAsia="黑体"/>
          <w:b/>
          <w:color w:val="auto"/>
          <w:highlight w:val="none"/>
        </w:rPr>
      </w:pPr>
    </w:p>
    <w:p w14:paraId="01577608">
      <w:pPr>
        <w:rPr>
          <w:rFonts w:eastAsia="黑体"/>
          <w:b/>
          <w:color w:val="auto"/>
          <w:highlight w:val="none"/>
        </w:rPr>
      </w:pPr>
    </w:p>
    <w:p w14:paraId="78798BA0">
      <w:pPr>
        <w:jc w:val="center"/>
        <w:rPr>
          <w:rFonts w:eastAsia="黑体"/>
          <w:b/>
          <w:color w:val="auto"/>
          <w:highlight w:val="none"/>
        </w:rPr>
      </w:pPr>
    </w:p>
    <w:p w14:paraId="4B3CB6F0">
      <w:pPr>
        <w:jc w:val="center"/>
        <w:rPr>
          <w:rFonts w:eastAsia="黑体"/>
          <w:b/>
          <w:color w:val="auto"/>
          <w:highlight w:val="none"/>
        </w:rPr>
      </w:pPr>
    </w:p>
    <w:p w14:paraId="45F63E63">
      <w:pPr>
        <w:jc w:val="center"/>
        <w:rPr>
          <w:rFonts w:eastAsia="黑体"/>
          <w:b/>
          <w:color w:val="auto"/>
          <w:highlight w:val="none"/>
        </w:rPr>
      </w:pPr>
    </w:p>
    <w:p w14:paraId="4E94F94A">
      <w:pPr>
        <w:rPr>
          <w:b/>
          <w:color w:val="auto"/>
          <w:sz w:val="28"/>
          <w:szCs w:val="28"/>
          <w:highlight w:val="none"/>
        </w:rPr>
      </w:pPr>
    </w:p>
    <w:p w14:paraId="09690893">
      <w:pPr>
        <w:rPr>
          <w:b/>
          <w:color w:val="auto"/>
          <w:sz w:val="28"/>
          <w:szCs w:val="28"/>
          <w:highlight w:val="none"/>
        </w:rPr>
      </w:pPr>
    </w:p>
    <w:p w14:paraId="268A1C56">
      <w:pPr>
        <w:rPr>
          <w:b/>
          <w:color w:val="auto"/>
          <w:sz w:val="28"/>
          <w:szCs w:val="28"/>
          <w:highlight w:val="none"/>
        </w:rPr>
      </w:pPr>
    </w:p>
    <w:p w14:paraId="18D387DD">
      <w:pPr>
        <w:rPr>
          <w:b/>
          <w:color w:val="auto"/>
          <w:sz w:val="28"/>
          <w:szCs w:val="28"/>
          <w:highlight w:val="none"/>
        </w:rPr>
      </w:pPr>
    </w:p>
    <w:p w14:paraId="5A79DE55">
      <w:pPr>
        <w:rPr>
          <w:b/>
          <w:color w:val="auto"/>
          <w:sz w:val="28"/>
          <w:szCs w:val="28"/>
          <w:highlight w:val="none"/>
        </w:rPr>
      </w:pPr>
    </w:p>
    <w:p w14:paraId="0F7AEC27">
      <w:pPr>
        <w:rPr>
          <w:b/>
          <w:color w:val="auto"/>
          <w:sz w:val="28"/>
          <w:szCs w:val="28"/>
          <w:highlight w:val="none"/>
        </w:rPr>
      </w:pPr>
    </w:p>
    <w:p w14:paraId="3B5A3164">
      <w:pPr>
        <w:rPr>
          <w:b/>
          <w:color w:val="auto"/>
          <w:sz w:val="28"/>
          <w:szCs w:val="28"/>
          <w:highlight w:val="none"/>
        </w:rPr>
      </w:pPr>
    </w:p>
    <w:p w14:paraId="3A8F5384">
      <w:pPr>
        <w:rPr>
          <w:b/>
          <w:color w:val="auto"/>
          <w:sz w:val="28"/>
          <w:szCs w:val="28"/>
          <w:highlight w:val="none"/>
        </w:rPr>
      </w:pPr>
    </w:p>
    <w:p w14:paraId="79D98D72">
      <w:pPr>
        <w:rPr>
          <w:b/>
          <w:color w:val="auto"/>
          <w:sz w:val="28"/>
          <w:szCs w:val="28"/>
          <w:highlight w:val="none"/>
        </w:rPr>
      </w:pPr>
    </w:p>
    <w:p w14:paraId="637C0B41">
      <w:pPr>
        <w:rPr>
          <w:b/>
          <w:color w:val="auto"/>
          <w:sz w:val="28"/>
          <w:szCs w:val="28"/>
          <w:highlight w:val="none"/>
        </w:rPr>
      </w:pPr>
    </w:p>
    <w:p w14:paraId="03EBF036">
      <w:pPr>
        <w:ind w:right="2719" w:rightChars="1295" w:firstLine="2780" w:firstLineChars="989"/>
        <w:rPr>
          <w:b/>
          <w:color w:val="auto"/>
          <w:sz w:val="28"/>
          <w:szCs w:val="28"/>
          <w:highlight w:val="none"/>
        </w:rPr>
      </w:pPr>
      <w:r>
        <w:rPr>
          <w:rFonts w:hint="eastAsia"/>
          <w:b/>
          <w:color w:val="auto"/>
          <w:sz w:val="28"/>
          <w:szCs w:val="28"/>
          <w:highlight w:val="none"/>
        </w:rPr>
        <w:t>住 房 和 城 乡 建 设 部</w:t>
      </w:r>
    </w:p>
    <w:p w14:paraId="40CB3C14">
      <w:pPr>
        <w:jc w:val="center"/>
        <w:rPr>
          <w:b/>
          <w:bCs/>
          <w:color w:val="auto"/>
          <w:sz w:val="32"/>
          <w:highlight w:val="none"/>
        </w:rPr>
      </w:pPr>
      <w:r>
        <w:rPr>
          <w:b/>
          <w:bCs/>
          <w:color w:val="auto"/>
          <w:sz w:val="32"/>
          <w:highlight w:val="none"/>
        </w:rPr>
        <w:t xml:space="preserve">                                </w:t>
      </w:r>
      <w:r>
        <w:rPr>
          <w:rFonts w:hint="eastAsia"/>
          <w:b/>
          <w:bCs/>
          <w:color w:val="auto"/>
          <w:sz w:val="32"/>
          <w:highlight w:val="none"/>
        </w:rPr>
        <w:t>制定</w:t>
      </w:r>
    </w:p>
    <w:p w14:paraId="4049AEC3">
      <w:pPr>
        <w:spacing w:line="360" w:lineRule="auto"/>
        <w:jc w:val="center"/>
        <w:rPr>
          <w:b/>
          <w:color w:val="auto"/>
          <w:sz w:val="28"/>
          <w:szCs w:val="28"/>
          <w:highlight w:val="none"/>
        </w:rPr>
      </w:pPr>
      <w:r>
        <w:rPr>
          <w:rFonts w:hint="eastAsia"/>
          <w:b/>
          <w:color w:val="auto"/>
          <w:sz w:val="28"/>
          <w:szCs w:val="28"/>
          <w:highlight w:val="none"/>
        </w:rPr>
        <w:t>国家工商行政管理总局</w:t>
      </w:r>
    </w:p>
    <w:p w14:paraId="307AC6F2">
      <w:pPr>
        <w:spacing w:line="360" w:lineRule="auto"/>
        <w:jc w:val="center"/>
        <w:rPr>
          <w:rFonts w:hAnsi="宋体" w:cs="宋体"/>
          <w:b/>
          <w:bCs/>
          <w:color w:val="auto"/>
          <w:spacing w:val="60"/>
          <w:sz w:val="36"/>
          <w:highlight w:val="none"/>
        </w:rPr>
      </w:pPr>
      <w:r>
        <w:rPr>
          <w:b/>
          <w:color w:val="auto"/>
          <w:sz w:val="28"/>
          <w:szCs w:val="28"/>
          <w:highlight w:val="none"/>
        </w:rPr>
        <w:br w:type="page"/>
      </w:r>
      <w:r>
        <w:rPr>
          <w:rFonts w:hint="eastAsia" w:hAnsi="宋体" w:cs="宋体"/>
          <w:b/>
          <w:bCs/>
          <w:color w:val="auto"/>
          <w:spacing w:val="60"/>
          <w:sz w:val="36"/>
          <w:highlight w:val="none"/>
        </w:rPr>
        <w:t>建设工程施工合同</w:t>
      </w:r>
    </w:p>
    <w:p w14:paraId="1715D7A5">
      <w:pPr>
        <w:keepNext/>
        <w:keepLines/>
        <w:widowControl w:val="0"/>
        <w:spacing w:before="260" w:after="260" w:line="415" w:lineRule="auto"/>
        <w:jc w:val="center"/>
        <w:outlineLvl w:val="2"/>
        <w:rPr>
          <w:rFonts w:eastAsia="华文中宋"/>
          <w:bCs/>
          <w:color w:val="auto"/>
          <w:sz w:val="32"/>
          <w:szCs w:val="44"/>
          <w:highlight w:val="none"/>
        </w:rPr>
      </w:pPr>
      <w:bookmarkStart w:id="36" w:name="_Toc534300906"/>
      <w:r>
        <w:rPr>
          <w:rFonts w:eastAsia="华文中宋"/>
          <w:b/>
          <w:bCs/>
          <w:color w:val="auto"/>
          <w:sz w:val="32"/>
          <w:szCs w:val="44"/>
          <w:highlight w:val="none"/>
        </w:rPr>
        <w:t>第一部分 合同协议书</w:t>
      </w:r>
      <w:bookmarkEnd w:id="36"/>
    </w:p>
    <w:p w14:paraId="1355E2B9">
      <w:pPr>
        <w:adjustRightInd w:val="0"/>
        <w:snapToGrid w:val="0"/>
        <w:spacing w:line="360" w:lineRule="auto"/>
        <w:ind w:left="1785" w:hanging="1785" w:hangingChars="850"/>
        <w:rPr>
          <w:color w:val="auto"/>
          <w:highlight w:val="none"/>
        </w:rPr>
      </w:pPr>
      <w:r>
        <w:rPr>
          <w:rFonts w:hint="eastAsia"/>
          <w:color w:val="auto"/>
          <w:highlight w:val="none"/>
        </w:rPr>
        <w:t xml:space="preserve">    发包人</w:t>
      </w:r>
      <w:r>
        <w:rPr>
          <w:rFonts w:hint="eastAsia"/>
          <w:color w:val="auto"/>
          <w:highlight w:val="none"/>
          <w:lang w:eastAsia="zh-CN"/>
        </w:rPr>
        <w:t>（</w:t>
      </w:r>
      <w:r>
        <w:rPr>
          <w:rFonts w:hint="eastAsia"/>
          <w:color w:val="auto"/>
          <w:highlight w:val="none"/>
        </w:rPr>
        <w:t>全称</w:t>
      </w:r>
      <w:r>
        <w:rPr>
          <w:rFonts w:hint="eastAsia"/>
          <w:color w:val="auto"/>
          <w:highlight w:val="none"/>
          <w:lang w:eastAsia="zh-CN"/>
        </w:rPr>
        <w:t>）</w:t>
      </w:r>
      <w:r>
        <w:rPr>
          <w:rFonts w:hint="eastAsia"/>
          <w:color w:val="auto"/>
          <w:highlight w:val="none"/>
        </w:rPr>
        <w:t>：</w:t>
      </w:r>
      <w:r>
        <w:rPr>
          <w:rFonts w:hint="eastAsia"/>
          <w:color w:val="auto"/>
          <w:highlight w:val="none"/>
          <w:u w:val="single"/>
        </w:rPr>
        <w:t xml:space="preserve">                           </w:t>
      </w:r>
      <w:r>
        <w:rPr>
          <w:rFonts w:hint="eastAsia"/>
          <w:color w:val="auto"/>
          <w:highlight w:val="none"/>
        </w:rPr>
        <w:t>（以下简称甲方）</w:t>
      </w:r>
    </w:p>
    <w:p w14:paraId="21A5699E">
      <w:pPr>
        <w:adjustRightInd w:val="0"/>
        <w:snapToGrid w:val="0"/>
        <w:spacing w:line="360" w:lineRule="auto"/>
        <w:ind w:firstLine="465"/>
        <w:rPr>
          <w:color w:val="auto"/>
          <w:highlight w:val="none"/>
        </w:rPr>
      </w:pPr>
      <w:r>
        <w:rPr>
          <w:rFonts w:hint="eastAsia"/>
          <w:color w:val="auto"/>
          <w:highlight w:val="none"/>
        </w:rPr>
        <w:t>承包人</w:t>
      </w:r>
      <w:r>
        <w:rPr>
          <w:rFonts w:hint="eastAsia"/>
          <w:color w:val="auto"/>
          <w:highlight w:val="none"/>
          <w:lang w:eastAsia="zh-CN"/>
        </w:rPr>
        <w:t>（</w:t>
      </w:r>
      <w:r>
        <w:rPr>
          <w:rFonts w:hint="eastAsia"/>
          <w:color w:val="auto"/>
          <w:highlight w:val="none"/>
        </w:rPr>
        <w:t>全称</w:t>
      </w:r>
      <w:r>
        <w:rPr>
          <w:rFonts w:hint="eastAsia"/>
          <w:color w:val="auto"/>
          <w:highlight w:val="none"/>
          <w:lang w:eastAsia="zh-CN"/>
        </w:rPr>
        <w:t>）</w:t>
      </w:r>
      <w:r>
        <w:rPr>
          <w:rFonts w:hint="eastAsia"/>
          <w:color w:val="auto"/>
          <w:highlight w:val="none"/>
        </w:rPr>
        <w:t>：</w:t>
      </w:r>
      <w:r>
        <w:rPr>
          <w:rFonts w:hint="eastAsia"/>
          <w:b/>
          <w:color w:val="auto"/>
          <w:highlight w:val="none"/>
          <w:u w:val="single"/>
        </w:rPr>
        <w:t xml:space="preserve">                      </w:t>
      </w:r>
      <w:r>
        <w:rPr>
          <w:rFonts w:hint="eastAsia"/>
          <w:color w:val="auto"/>
          <w:highlight w:val="none"/>
          <w:u w:val="single"/>
        </w:rPr>
        <w:t xml:space="preserve">   </w:t>
      </w:r>
      <w:r>
        <w:rPr>
          <w:rFonts w:hint="eastAsia"/>
          <w:color w:val="auto"/>
          <w:highlight w:val="none"/>
        </w:rPr>
        <w:t xml:space="preserve"> （以下简称乙方）</w:t>
      </w:r>
    </w:p>
    <w:p w14:paraId="39B9D423">
      <w:pPr>
        <w:adjustRightInd w:val="0"/>
        <w:snapToGrid w:val="0"/>
        <w:spacing w:line="360" w:lineRule="auto"/>
        <w:ind w:firstLine="420" w:firstLineChars="200"/>
        <w:rPr>
          <w:color w:val="auto"/>
          <w:highlight w:val="none"/>
        </w:rPr>
      </w:pPr>
      <w:r>
        <w:rPr>
          <w:rFonts w:hint="eastAsia"/>
          <w:color w:val="auto"/>
          <w:highlight w:val="none"/>
        </w:rPr>
        <w:t>根据《中华人民共和国民法典</w:t>
      </w:r>
      <w:r>
        <w:rPr>
          <w:rFonts w:hint="eastAsia"/>
          <w:color w:val="auto"/>
          <w:highlight w:val="none"/>
          <w:lang w:eastAsia="zh-CN"/>
        </w:rPr>
        <w:t>》《</w:t>
      </w:r>
      <w:r>
        <w:rPr>
          <w:rFonts w:hint="eastAsia"/>
          <w:color w:val="auto"/>
          <w:highlight w:val="none"/>
        </w:rPr>
        <w:t>中华人民共和国建筑法》及有关法律规定，遵循平等、自愿、公平和诚实信用的原则，双方就</w:t>
      </w:r>
      <w:r>
        <w:rPr>
          <w:rFonts w:hint="eastAsia"/>
          <w:b/>
          <w:color w:val="auto"/>
          <w:highlight w:val="none"/>
          <w:u w:val="single"/>
        </w:rPr>
        <w:t xml:space="preserve">                 </w:t>
      </w:r>
      <w:r>
        <w:rPr>
          <w:rFonts w:hint="eastAsia"/>
          <w:color w:val="auto"/>
          <w:highlight w:val="none"/>
        </w:rPr>
        <w:t>有关事项协商一致，共同达成如下协议：</w:t>
      </w:r>
    </w:p>
    <w:p w14:paraId="25FE97BE">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 xml:space="preserve"> 一、工程概况</w:t>
      </w:r>
    </w:p>
    <w:p w14:paraId="35D034AC">
      <w:pPr>
        <w:adjustRightInd w:val="0"/>
        <w:snapToGrid w:val="0"/>
        <w:spacing w:line="360" w:lineRule="auto"/>
        <w:ind w:left="1365" w:hanging="1365" w:hangingChars="650"/>
        <w:rPr>
          <w:b/>
          <w:color w:val="auto"/>
          <w:highlight w:val="none"/>
          <w:u w:val="single"/>
        </w:rPr>
      </w:pPr>
      <w:r>
        <w:rPr>
          <w:rFonts w:hint="eastAsia"/>
          <w:bCs/>
          <w:color w:val="auto"/>
          <w:highlight w:val="none"/>
        </w:rPr>
        <w:t xml:space="preserve">    1.工程名称</w:t>
      </w:r>
      <w:r>
        <w:rPr>
          <w:rFonts w:hint="eastAsia"/>
          <w:color w:val="auto"/>
          <w:highlight w:val="none"/>
        </w:rPr>
        <w:t>：</w:t>
      </w:r>
      <w:r>
        <w:rPr>
          <w:rFonts w:hint="eastAsia"/>
          <w:b/>
          <w:color w:val="auto"/>
          <w:highlight w:val="none"/>
          <w:u w:val="single"/>
        </w:rPr>
        <w:t xml:space="preserve">                              </w:t>
      </w:r>
    </w:p>
    <w:p w14:paraId="7A140C21">
      <w:pPr>
        <w:adjustRightInd w:val="0"/>
        <w:snapToGrid w:val="0"/>
        <w:spacing w:line="360" w:lineRule="auto"/>
        <w:ind w:firstLine="411" w:firstLineChars="196"/>
        <w:rPr>
          <w:rFonts w:hint="eastAsia"/>
          <w:b/>
          <w:color w:val="auto"/>
          <w:highlight w:val="none"/>
          <w:u w:val="single"/>
        </w:rPr>
      </w:pPr>
      <w:r>
        <w:rPr>
          <w:rFonts w:hint="eastAsia"/>
          <w:bCs/>
          <w:color w:val="auto"/>
          <w:highlight w:val="none"/>
        </w:rPr>
        <w:t>2.工程地点：</w:t>
      </w:r>
      <w:r>
        <w:rPr>
          <w:rFonts w:hint="eastAsia"/>
          <w:b/>
          <w:color w:val="auto"/>
          <w:highlight w:val="none"/>
          <w:u w:val="single"/>
        </w:rPr>
        <w:t xml:space="preserve">                                 </w:t>
      </w:r>
    </w:p>
    <w:p w14:paraId="2B68906A">
      <w:pPr>
        <w:adjustRightInd w:val="0"/>
        <w:snapToGrid w:val="0"/>
        <w:spacing w:line="360" w:lineRule="auto"/>
        <w:ind w:firstLine="411" w:firstLineChars="196"/>
        <w:rPr>
          <w:b/>
          <w:color w:val="auto"/>
          <w:highlight w:val="none"/>
          <w:u w:val="single"/>
        </w:rPr>
      </w:pPr>
      <w:r>
        <w:rPr>
          <w:rFonts w:hint="eastAsia"/>
          <w:bCs/>
          <w:color w:val="auto"/>
          <w:highlight w:val="none"/>
        </w:rPr>
        <w:t>3.工程立项批准文号：</w:t>
      </w:r>
      <w:r>
        <w:rPr>
          <w:rFonts w:hint="eastAsia"/>
          <w:b/>
          <w:color w:val="auto"/>
          <w:highlight w:val="none"/>
          <w:u w:val="single"/>
        </w:rPr>
        <w:t xml:space="preserve">                         </w:t>
      </w:r>
    </w:p>
    <w:p w14:paraId="64DC894C">
      <w:pPr>
        <w:adjustRightInd w:val="0"/>
        <w:snapToGrid w:val="0"/>
        <w:spacing w:line="360" w:lineRule="auto"/>
        <w:ind w:firstLine="411" w:firstLineChars="196"/>
        <w:rPr>
          <w:b/>
          <w:bCs/>
          <w:color w:val="auto"/>
          <w:highlight w:val="none"/>
          <w:u w:val="single"/>
        </w:rPr>
      </w:pPr>
      <w:r>
        <w:rPr>
          <w:rFonts w:hint="eastAsia"/>
          <w:bCs/>
          <w:color w:val="auto"/>
          <w:highlight w:val="none"/>
        </w:rPr>
        <w:t>4.资金来源：</w:t>
      </w:r>
      <w:r>
        <w:rPr>
          <w:rFonts w:hint="eastAsia"/>
          <w:b/>
          <w:bCs/>
          <w:color w:val="auto"/>
          <w:highlight w:val="none"/>
          <w:u w:val="single"/>
        </w:rPr>
        <w:t xml:space="preserve">                                  </w:t>
      </w:r>
    </w:p>
    <w:p w14:paraId="389ACD7F">
      <w:pPr>
        <w:adjustRightInd w:val="0"/>
        <w:snapToGrid w:val="0"/>
        <w:spacing w:line="360" w:lineRule="auto"/>
        <w:ind w:left="210" w:leftChars="100" w:firstLine="210" w:firstLineChars="100"/>
        <w:rPr>
          <w:b/>
          <w:color w:val="auto"/>
          <w:highlight w:val="none"/>
          <w:u w:val="single"/>
        </w:rPr>
      </w:pPr>
      <w:r>
        <w:rPr>
          <w:rFonts w:hint="eastAsia"/>
          <w:bCs/>
          <w:color w:val="auto"/>
          <w:highlight w:val="none"/>
        </w:rPr>
        <w:t>5.</w:t>
      </w:r>
      <w:r>
        <w:rPr>
          <w:rFonts w:hint="eastAsia"/>
          <w:color w:val="auto"/>
          <w:highlight w:val="none"/>
        </w:rPr>
        <w:t>工程内容：</w:t>
      </w:r>
      <w:r>
        <w:rPr>
          <w:rFonts w:hint="eastAsia"/>
          <w:b/>
          <w:color w:val="auto"/>
          <w:highlight w:val="none"/>
          <w:u w:val="single"/>
        </w:rPr>
        <w:t xml:space="preserve">                                </w:t>
      </w:r>
    </w:p>
    <w:p w14:paraId="16615869">
      <w:pPr>
        <w:adjustRightInd w:val="0"/>
        <w:snapToGrid w:val="0"/>
        <w:spacing w:line="360" w:lineRule="auto"/>
        <w:rPr>
          <w:bCs/>
          <w:color w:val="auto"/>
          <w:highlight w:val="none"/>
        </w:rPr>
      </w:pPr>
      <w:r>
        <w:rPr>
          <w:rFonts w:hint="eastAsia"/>
          <w:color w:val="auto"/>
          <w:highlight w:val="none"/>
        </w:rPr>
        <w:t xml:space="preserve">    群体工程应附《承包人承揽工程项目一览表》（附件1）。</w:t>
      </w:r>
    </w:p>
    <w:p w14:paraId="1C4DB82F">
      <w:pPr>
        <w:adjustRightInd w:val="0"/>
        <w:snapToGrid w:val="0"/>
        <w:spacing w:line="360" w:lineRule="auto"/>
        <w:ind w:firstLine="420" w:firstLineChars="200"/>
        <w:rPr>
          <w:color w:val="auto"/>
          <w:highlight w:val="none"/>
        </w:rPr>
      </w:pPr>
      <w:r>
        <w:rPr>
          <w:rFonts w:hint="eastAsia"/>
          <w:color w:val="auto"/>
          <w:highlight w:val="none"/>
        </w:rPr>
        <w:t xml:space="preserve">6.工程承包范围：同工程内容  </w:t>
      </w:r>
    </w:p>
    <w:p w14:paraId="1E42036A">
      <w:pPr>
        <w:adjustRightInd w:val="0"/>
        <w:snapToGrid w:val="0"/>
        <w:spacing w:before="280" w:after="290" w:line="374" w:lineRule="auto"/>
        <w:outlineLvl w:val="3"/>
        <w:rPr>
          <w:rFonts w:ascii="宋体" w:hAnsi="宋体" w:eastAsia="黑体"/>
          <w:bCs/>
          <w:color w:val="auto"/>
          <w:sz w:val="28"/>
          <w:highlight w:val="none"/>
        </w:rPr>
      </w:pPr>
      <w:r>
        <w:rPr>
          <w:rFonts w:hint="eastAsia" w:ascii="宋体" w:hAnsi="宋体" w:eastAsia="黑体"/>
          <w:bCs/>
          <w:color w:val="auto"/>
          <w:sz w:val="28"/>
          <w:highlight w:val="none"/>
        </w:rPr>
        <w:t xml:space="preserve">   二、合同工期</w:t>
      </w:r>
    </w:p>
    <w:p w14:paraId="219EFCE1">
      <w:pPr>
        <w:adjustRightInd w:val="0"/>
        <w:snapToGrid w:val="0"/>
        <w:spacing w:line="360" w:lineRule="auto"/>
        <w:ind w:firstLine="459"/>
        <w:rPr>
          <w:color w:val="auto"/>
          <w:highlight w:val="none"/>
        </w:rPr>
      </w:pPr>
      <w:r>
        <w:rPr>
          <w:rFonts w:hint="eastAsia"/>
          <w:color w:val="auto"/>
          <w:highlight w:val="none"/>
        </w:rPr>
        <w:t>计划开工日期：</w:t>
      </w:r>
      <w:r>
        <w:rPr>
          <w:rFonts w:hint="eastAsia"/>
          <w:color w:val="auto"/>
          <w:highlight w:val="none"/>
          <w:u w:val="single"/>
        </w:rPr>
        <w:t xml:space="preserve">      </w:t>
      </w:r>
      <w:r>
        <w:rPr>
          <w:rFonts w:hint="eastAsia"/>
          <w:color w:val="auto"/>
          <w:highlight w:val="none"/>
        </w:rPr>
        <w:t>年</w:t>
      </w:r>
      <w:r>
        <w:rPr>
          <w:rFonts w:hint="eastAsia"/>
          <w:color w:val="auto"/>
          <w:highlight w:val="none"/>
          <w:u w:val="single"/>
        </w:rPr>
        <w:t xml:space="preserve">    </w:t>
      </w:r>
      <w:r>
        <w:rPr>
          <w:rFonts w:hint="eastAsia"/>
          <w:color w:val="auto"/>
          <w:highlight w:val="none"/>
        </w:rPr>
        <w:t>月</w:t>
      </w:r>
      <w:r>
        <w:rPr>
          <w:rFonts w:hint="eastAsia"/>
          <w:color w:val="auto"/>
          <w:highlight w:val="none"/>
          <w:u w:val="single"/>
        </w:rPr>
        <w:t xml:space="preserve">  </w:t>
      </w:r>
      <w:r>
        <w:rPr>
          <w:rFonts w:hint="eastAsia"/>
          <w:color w:val="auto"/>
          <w:highlight w:val="none"/>
        </w:rPr>
        <w:t>日。</w:t>
      </w:r>
    </w:p>
    <w:p w14:paraId="60903DB3">
      <w:pPr>
        <w:adjustRightInd w:val="0"/>
        <w:snapToGrid w:val="0"/>
        <w:spacing w:line="360" w:lineRule="auto"/>
        <w:ind w:firstLine="459"/>
        <w:rPr>
          <w:color w:val="auto"/>
          <w:highlight w:val="none"/>
        </w:rPr>
      </w:pPr>
      <w:r>
        <w:rPr>
          <w:rFonts w:hint="eastAsia"/>
          <w:color w:val="auto"/>
          <w:highlight w:val="none"/>
        </w:rPr>
        <w:t>计划竣工日期：</w:t>
      </w:r>
      <w:r>
        <w:rPr>
          <w:rFonts w:hint="eastAsia"/>
          <w:color w:val="auto"/>
          <w:highlight w:val="none"/>
          <w:u w:val="single"/>
        </w:rPr>
        <w:t xml:space="preserve">      </w:t>
      </w:r>
      <w:r>
        <w:rPr>
          <w:rFonts w:hint="eastAsia"/>
          <w:color w:val="auto"/>
          <w:highlight w:val="none"/>
        </w:rPr>
        <w:t>年</w:t>
      </w:r>
      <w:r>
        <w:rPr>
          <w:rFonts w:hint="eastAsia"/>
          <w:color w:val="auto"/>
          <w:highlight w:val="none"/>
          <w:u w:val="single"/>
        </w:rPr>
        <w:t xml:space="preserve">    </w:t>
      </w:r>
      <w:r>
        <w:rPr>
          <w:rFonts w:hint="eastAsia"/>
          <w:color w:val="auto"/>
          <w:highlight w:val="none"/>
        </w:rPr>
        <w:t>月</w:t>
      </w:r>
      <w:r>
        <w:rPr>
          <w:rFonts w:hint="eastAsia"/>
          <w:color w:val="auto"/>
          <w:highlight w:val="none"/>
          <w:u w:val="single"/>
        </w:rPr>
        <w:t xml:space="preserve">    </w:t>
      </w:r>
      <w:r>
        <w:rPr>
          <w:rFonts w:hint="eastAsia"/>
          <w:color w:val="auto"/>
          <w:highlight w:val="none"/>
        </w:rPr>
        <w:t>日。</w:t>
      </w:r>
    </w:p>
    <w:p w14:paraId="135C7325">
      <w:pPr>
        <w:adjustRightInd w:val="0"/>
        <w:snapToGrid w:val="0"/>
        <w:spacing w:line="360" w:lineRule="auto"/>
        <w:ind w:firstLine="459"/>
        <w:rPr>
          <w:color w:val="auto"/>
          <w:highlight w:val="none"/>
        </w:rPr>
      </w:pPr>
      <w:r>
        <w:rPr>
          <w:rFonts w:hint="eastAsia"/>
          <w:color w:val="auto"/>
          <w:highlight w:val="none"/>
        </w:rPr>
        <w:t>工期总日历天数：</w:t>
      </w:r>
      <w:r>
        <w:rPr>
          <w:rFonts w:hint="eastAsia"/>
          <w:color w:val="auto"/>
          <w:highlight w:val="none"/>
          <w:u w:val="single"/>
        </w:rPr>
        <w:t xml:space="preserve">    </w:t>
      </w:r>
      <w:r>
        <w:rPr>
          <w:rFonts w:hint="eastAsia"/>
          <w:color w:val="auto"/>
          <w:highlight w:val="none"/>
        </w:rPr>
        <w:t>天。工期总日历天数与根据前述计划开竣工日期计算的工期天数不一致的，以工期总日历天数为准。具体开工日期以发包人签发的书面开工通知为准。</w:t>
      </w:r>
    </w:p>
    <w:p w14:paraId="2476280F">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三、质量标准</w:t>
      </w:r>
    </w:p>
    <w:p w14:paraId="200FB5DA">
      <w:pPr>
        <w:adjustRightInd w:val="0"/>
        <w:snapToGrid w:val="0"/>
        <w:spacing w:line="360" w:lineRule="auto"/>
        <w:ind w:firstLine="459"/>
        <w:rPr>
          <w:color w:val="auto"/>
          <w:highlight w:val="none"/>
          <w:u w:val="single"/>
        </w:rPr>
      </w:pPr>
      <w:r>
        <w:rPr>
          <w:rFonts w:hint="eastAsia"/>
          <w:color w:val="auto"/>
          <w:highlight w:val="none"/>
        </w:rPr>
        <w:t>工程质量标准：</w:t>
      </w:r>
      <w:r>
        <w:rPr>
          <w:rFonts w:hint="eastAsia"/>
          <w:color w:val="auto"/>
          <w:highlight w:val="none"/>
          <w:u w:val="single"/>
        </w:rPr>
        <w:t xml:space="preserve">合格。 </w:t>
      </w:r>
    </w:p>
    <w:p w14:paraId="078260DB">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 xml:space="preserve"> 四、签约合同价与合同价格形式</w:t>
      </w:r>
      <w:r>
        <w:rPr>
          <w:rFonts w:hint="eastAsia" w:ascii="宋体" w:hAnsi="宋体" w:eastAsia="黑体"/>
          <w:bCs/>
          <w:color w:val="auto"/>
          <w:sz w:val="28"/>
          <w:highlight w:val="none"/>
        </w:rPr>
        <w:tab/>
      </w:r>
    </w:p>
    <w:p w14:paraId="79857652">
      <w:pPr>
        <w:adjustRightInd w:val="0"/>
        <w:snapToGrid w:val="0"/>
        <w:spacing w:line="360" w:lineRule="auto"/>
        <w:ind w:firstLine="420" w:firstLineChars="200"/>
        <w:rPr>
          <w:color w:val="auto"/>
          <w:highlight w:val="none"/>
        </w:rPr>
      </w:pPr>
      <w:r>
        <w:rPr>
          <w:rFonts w:hint="eastAsia"/>
          <w:color w:val="auto"/>
          <w:highlight w:val="none"/>
        </w:rPr>
        <w:t>1.签约合同价为：</w:t>
      </w:r>
    </w:p>
    <w:p w14:paraId="2B2B984C">
      <w:pPr>
        <w:adjustRightInd w:val="0"/>
        <w:snapToGrid w:val="0"/>
        <w:spacing w:line="360" w:lineRule="auto"/>
        <w:ind w:firstLine="420" w:firstLineChars="200"/>
        <w:rPr>
          <w:color w:val="auto"/>
          <w:highlight w:val="none"/>
        </w:rPr>
      </w:pPr>
      <w:r>
        <w:rPr>
          <w:rFonts w:hint="eastAsia"/>
          <w:color w:val="auto"/>
          <w:highlight w:val="none"/>
        </w:rPr>
        <w:t>人民币（大写）</w:t>
      </w:r>
      <w:r>
        <w:rPr>
          <w:rFonts w:hint="eastAsia"/>
          <w:color w:val="auto"/>
          <w:highlight w:val="none"/>
          <w:u w:val="single"/>
        </w:rPr>
        <w:t xml:space="preserve">                             </w:t>
      </w:r>
      <w:r>
        <w:rPr>
          <w:rFonts w:hint="eastAsia"/>
          <w:color w:val="auto"/>
          <w:highlight w:val="none"/>
        </w:rPr>
        <w:t>(¥</w:t>
      </w:r>
      <w:r>
        <w:rPr>
          <w:rFonts w:hint="eastAsia"/>
          <w:color w:val="auto"/>
          <w:highlight w:val="none"/>
          <w:u w:val="single"/>
        </w:rPr>
        <w:t xml:space="preserve">            </w:t>
      </w:r>
      <w:r>
        <w:rPr>
          <w:rFonts w:hint="eastAsia"/>
          <w:color w:val="auto"/>
          <w:highlight w:val="none"/>
        </w:rPr>
        <w:t>元</w:t>
      </w:r>
      <w:r>
        <w:rPr>
          <w:rFonts w:hint="eastAsia"/>
          <w:color w:val="auto"/>
          <w:highlight w:val="none"/>
          <w:lang w:eastAsia="zh-CN"/>
        </w:rPr>
        <w:t>）</w:t>
      </w:r>
      <w:r>
        <w:rPr>
          <w:rFonts w:hint="eastAsia"/>
          <w:color w:val="auto"/>
          <w:highlight w:val="none"/>
        </w:rPr>
        <w:t>；</w:t>
      </w:r>
    </w:p>
    <w:p w14:paraId="5B1E9B8D">
      <w:pPr>
        <w:adjustRightInd w:val="0"/>
        <w:snapToGrid w:val="0"/>
        <w:spacing w:line="360" w:lineRule="auto"/>
        <w:ind w:firstLine="525" w:firstLineChars="250"/>
        <w:rPr>
          <w:color w:val="auto"/>
          <w:highlight w:val="none"/>
        </w:rPr>
      </w:pPr>
      <w:r>
        <w:rPr>
          <w:rFonts w:hint="eastAsia"/>
          <w:color w:val="auto"/>
          <w:highlight w:val="none"/>
        </w:rPr>
        <w:t>其中：</w:t>
      </w:r>
    </w:p>
    <w:p w14:paraId="29B48258">
      <w:pPr>
        <w:adjustRightInd w:val="0"/>
        <w:snapToGrid w:val="0"/>
        <w:spacing w:line="360" w:lineRule="auto"/>
        <w:ind w:firstLine="459"/>
        <w:rPr>
          <w:color w:val="auto"/>
          <w:highlight w:val="none"/>
        </w:rPr>
      </w:pPr>
      <w:r>
        <w:rPr>
          <w:rFonts w:hint="eastAsia"/>
          <w:color w:val="auto"/>
          <w:highlight w:val="none"/>
        </w:rPr>
        <w:t>（1）安全文明施工费：</w:t>
      </w:r>
    </w:p>
    <w:p w14:paraId="5FFBA264">
      <w:pPr>
        <w:adjustRightInd w:val="0"/>
        <w:snapToGrid w:val="0"/>
        <w:spacing w:line="360" w:lineRule="auto"/>
        <w:ind w:firstLine="945" w:firstLineChars="450"/>
        <w:rPr>
          <w:color w:val="auto"/>
          <w:highlight w:val="none"/>
        </w:rPr>
      </w:pPr>
      <w:r>
        <w:rPr>
          <w:rFonts w:hint="eastAsia"/>
          <w:color w:val="auto"/>
          <w:highlight w:val="none"/>
        </w:rPr>
        <w:t>人民币（大写）</w:t>
      </w:r>
      <w:r>
        <w:rPr>
          <w:rFonts w:hint="eastAsia"/>
          <w:color w:val="auto"/>
          <w:highlight w:val="none"/>
          <w:u w:val="single"/>
        </w:rPr>
        <w:t xml:space="preserve">                       </w:t>
      </w:r>
      <w:r>
        <w:rPr>
          <w:rFonts w:hint="eastAsia"/>
          <w:color w:val="auto"/>
          <w:highlight w:val="none"/>
        </w:rPr>
        <w:t xml:space="preserve"> (¥</w:t>
      </w:r>
      <w:r>
        <w:rPr>
          <w:rFonts w:hint="eastAsia"/>
          <w:color w:val="auto"/>
          <w:highlight w:val="none"/>
          <w:u w:val="single"/>
        </w:rPr>
        <w:t xml:space="preserve">          </w:t>
      </w:r>
      <w:r>
        <w:rPr>
          <w:rFonts w:hint="eastAsia"/>
          <w:color w:val="auto"/>
          <w:highlight w:val="none"/>
        </w:rPr>
        <w:t>元</w:t>
      </w:r>
      <w:r>
        <w:rPr>
          <w:rFonts w:hint="eastAsia"/>
          <w:color w:val="auto"/>
          <w:highlight w:val="none"/>
          <w:lang w:eastAsia="zh-CN"/>
        </w:rPr>
        <w:t>）</w:t>
      </w:r>
      <w:r>
        <w:rPr>
          <w:rFonts w:hint="eastAsia"/>
          <w:color w:val="auto"/>
          <w:highlight w:val="none"/>
        </w:rPr>
        <w:t>；</w:t>
      </w:r>
    </w:p>
    <w:p w14:paraId="5490BE5D">
      <w:pPr>
        <w:adjustRightInd w:val="0"/>
        <w:snapToGrid w:val="0"/>
        <w:spacing w:line="360" w:lineRule="auto"/>
        <w:ind w:firstLine="420" w:firstLineChars="200"/>
        <w:rPr>
          <w:color w:val="auto"/>
          <w:highlight w:val="none"/>
        </w:rPr>
      </w:pPr>
      <w:r>
        <w:rPr>
          <w:rFonts w:hint="eastAsia"/>
          <w:color w:val="auto"/>
          <w:highlight w:val="none"/>
        </w:rPr>
        <w:t>（2）材料和工程设备暂估价金额：</w:t>
      </w:r>
    </w:p>
    <w:p w14:paraId="52CA4A53">
      <w:pPr>
        <w:adjustRightInd w:val="0"/>
        <w:snapToGrid w:val="0"/>
        <w:spacing w:line="360" w:lineRule="auto"/>
        <w:ind w:firstLine="945" w:firstLineChars="450"/>
        <w:rPr>
          <w:color w:val="auto"/>
          <w:highlight w:val="none"/>
        </w:rPr>
      </w:pPr>
      <w:r>
        <w:rPr>
          <w:rFonts w:hint="eastAsia"/>
          <w:color w:val="auto"/>
          <w:highlight w:val="none"/>
        </w:rPr>
        <w:t>人民币（大写）</w:t>
      </w:r>
      <w:r>
        <w:rPr>
          <w:rFonts w:hint="eastAsia"/>
          <w:color w:val="auto"/>
          <w:highlight w:val="none"/>
          <w:u w:val="single"/>
        </w:rPr>
        <w:t xml:space="preserve">                      </w:t>
      </w:r>
      <w:r>
        <w:rPr>
          <w:rFonts w:hint="eastAsia"/>
          <w:color w:val="auto"/>
          <w:highlight w:val="none"/>
        </w:rPr>
        <w:t xml:space="preserve"> (¥</w:t>
      </w:r>
      <w:r>
        <w:rPr>
          <w:rFonts w:hint="eastAsia"/>
          <w:color w:val="auto"/>
          <w:highlight w:val="none"/>
          <w:u w:val="single"/>
        </w:rPr>
        <w:t xml:space="preserve">             </w:t>
      </w:r>
      <w:r>
        <w:rPr>
          <w:rFonts w:hint="eastAsia"/>
          <w:color w:val="auto"/>
          <w:highlight w:val="none"/>
        </w:rPr>
        <w:t>元</w:t>
      </w:r>
      <w:r>
        <w:rPr>
          <w:rFonts w:hint="eastAsia"/>
          <w:color w:val="auto"/>
          <w:highlight w:val="none"/>
          <w:lang w:eastAsia="zh-CN"/>
        </w:rPr>
        <w:t>）</w:t>
      </w:r>
      <w:r>
        <w:rPr>
          <w:rFonts w:hint="eastAsia"/>
          <w:color w:val="auto"/>
          <w:highlight w:val="none"/>
        </w:rPr>
        <w:t>；</w:t>
      </w:r>
    </w:p>
    <w:p w14:paraId="5BF98D12">
      <w:pPr>
        <w:adjustRightInd w:val="0"/>
        <w:snapToGrid w:val="0"/>
        <w:spacing w:line="360" w:lineRule="auto"/>
        <w:ind w:firstLine="420" w:firstLineChars="200"/>
        <w:rPr>
          <w:color w:val="auto"/>
          <w:highlight w:val="none"/>
        </w:rPr>
      </w:pPr>
      <w:r>
        <w:rPr>
          <w:rFonts w:hint="eastAsia"/>
          <w:color w:val="auto"/>
          <w:highlight w:val="none"/>
        </w:rPr>
        <w:t>（3）专业工程暂估价金额：</w:t>
      </w:r>
    </w:p>
    <w:p w14:paraId="737D9368">
      <w:pPr>
        <w:adjustRightInd w:val="0"/>
        <w:snapToGrid w:val="0"/>
        <w:spacing w:line="360" w:lineRule="auto"/>
        <w:ind w:firstLine="945" w:firstLineChars="450"/>
        <w:rPr>
          <w:color w:val="auto"/>
          <w:highlight w:val="none"/>
        </w:rPr>
      </w:pPr>
      <w:r>
        <w:rPr>
          <w:rFonts w:hint="eastAsia"/>
          <w:color w:val="auto"/>
          <w:highlight w:val="none"/>
        </w:rPr>
        <w:t>人民币（大写）</w:t>
      </w:r>
      <w:r>
        <w:rPr>
          <w:rFonts w:hint="eastAsia"/>
          <w:color w:val="auto"/>
          <w:highlight w:val="none"/>
          <w:u w:val="single"/>
        </w:rPr>
        <w:t xml:space="preserve">                           </w:t>
      </w:r>
      <w:r>
        <w:rPr>
          <w:rFonts w:hint="eastAsia"/>
          <w:color w:val="auto"/>
          <w:highlight w:val="none"/>
        </w:rPr>
        <w:t xml:space="preserve"> (¥</w:t>
      </w:r>
      <w:r>
        <w:rPr>
          <w:rFonts w:hint="eastAsia"/>
          <w:color w:val="auto"/>
          <w:highlight w:val="none"/>
          <w:u w:val="single"/>
        </w:rPr>
        <w:t xml:space="preserve">             </w:t>
      </w:r>
      <w:r>
        <w:rPr>
          <w:rFonts w:hint="eastAsia"/>
          <w:color w:val="auto"/>
          <w:highlight w:val="none"/>
        </w:rPr>
        <w:t>元</w:t>
      </w:r>
      <w:r>
        <w:rPr>
          <w:rFonts w:hint="eastAsia"/>
          <w:color w:val="auto"/>
          <w:highlight w:val="none"/>
          <w:lang w:eastAsia="zh-CN"/>
        </w:rPr>
        <w:t>）</w:t>
      </w:r>
      <w:r>
        <w:rPr>
          <w:rFonts w:hint="eastAsia"/>
          <w:color w:val="auto"/>
          <w:highlight w:val="none"/>
        </w:rPr>
        <w:t>；</w:t>
      </w:r>
    </w:p>
    <w:p w14:paraId="4B15DB06">
      <w:pPr>
        <w:adjustRightInd w:val="0"/>
        <w:snapToGrid w:val="0"/>
        <w:spacing w:line="360" w:lineRule="auto"/>
        <w:ind w:firstLine="420" w:firstLineChars="200"/>
        <w:rPr>
          <w:color w:val="auto"/>
          <w:highlight w:val="none"/>
        </w:rPr>
      </w:pPr>
      <w:r>
        <w:rPr>
          <w:rFonts w:hint="eastAsia"/>
          <w:color w:val="auto"/>
          <w:highlight w:val="none"/>
        </w:rPr>
        <w:t>（4）暂列金额：</w:t>
      </w:r>
    </w:p>
    <w:p w14:paraId="78FE429B">
      <w:pPr>
        <w:adjustRightInd w:val="0"/>
        <w:snapToGrid w:val="0"/>
        <w:spacing w:line="360" w:lineRule="auto"/>
        <w:ind w:firstLine="945" w:firstLineChars="450"/>
        <w:rPr>
          <w:color w:val="auto"/>
          <w:highlight w:val="none"/>
        </w:rPr>
      </w:pPr>
      <w:r>
        <w:rPr>
          <w:rFonts w:hint="eastAsia"/>
          <w:color w:val="auto"/>
          <w:highlight w:val="none"/>
        </w:rPr>
        <w:t>人民币（大写）</w:t>
      </w:r>
      <w:r>
        <w:rPr>
          <w:rFonts w:hint="eastAsia"/>
          <w:color w:val="auto"/>
          <w:highlight w:val="none"/>
          <w:u w:val="single"/>
        </w:rPr>
        <w:t xml:space="preserve">                 </w:t>
      </w:r>
      <w:r>
        <w:rPr>
          <w:rFonts w:hint="eastAsia"/>
          <w:color w:val="auto"/>
          <w:highlight w:val="none"/>
        </w:rPr>
        <w:t xml:space="preserve"> (¥</w:t>
      </w:r>
      <w:r>
        <w:rPr>
          <w:rFonts w:hint="eastAsia"/>
          <w:color w:val="auto"/>
          <w:highlight w:val="none"/>
          <w:u w:val="single"/>
        </w:rPr>
        <w:t xml:space="preserve">           </w:t>
      </w:r>
      <w:r>
        <w:rPr>
          <w:rFonts w:hint="eastAsia"/>
          <w:color w:val="auto"/>
          <w:highlight w:val="none"/>
        </w:rPr>
        <w:t>元</w:t>
      </w:r>
      <w:r>
        <w:rPr>
          <w:rFonts w:hint="eastAsia"/>
          <w:color w:val="auto"/>
          <w:highlight w:val="none"/>
          <w:lang w:eastAsia="zh-CN"/>
        </w:rPr>
        <w:t>）</w:t>
      </w:r>
      <w:r>
        <w:rPr>
          <w:rFonts w:hint="eastAsia"/>
          <w:color w:val="auto"/>
          <w:highlight w:val="none"/>
        </w:rPr>
        <w:t>。</w:t>
      </w:r>
    </w:p>
    <w:p w14:paraId="06C695B7">
      <w:pPr>
        <w:adjustRightInd w:val="0"/>
        <w:snapToGrid w:val="0"/>
        <w:spacing w:line="360" w:lineRule="auto"/>
        <w:ind w:firstLine="420" w:firstLineChars="200"/>
        <w:rPr>
          <w:color w:val="auto"/>
          <w:highlight w:val="none"/>
        </w:rPr>
      </w:pPr>
      <w:r>
        <w:rPr>
          <w:rFonts w:hint="eastAsia"/>
          <w:color w:val="auto"/>
          <w:highlight w:val="none"/>
        </w:rPr>
        <w:t>2.合同价格形式：</w:t>
      </w:r>
      <w:r>
        <w:rPr>
          <w:rFonts w:hint="eastAsia"/>
          <w:color w:val="auto"/>
          <w:highlight w:val="none"/>
          <w:u w:val="single"/>
        </w:rPr>
        <w:t></w:t>
      </w:r>
      <w:r>
        <w:rPr>
          <w:rFonts w:hint="eastAsia"/>
          <w:b/>
          <w:color w:val="auto"/>
          <w:highlight w:val="none"/>
          <w:u w:val="single"/>
        </w:rPr>
        <w:t>固定单价合同</w:t>
      </w:r>
      <w:r>
        <w:rPr>
          <w:rFonts w:hint="eastAsia"/>
          <w:color w:val="auto"/>
          <w:highlight w:val="none"/>
          <w:u w:val="single"/>
        </w:rPr>
        <w:t xml:space="preserve">  </w:t>
      </w:r>
      <w:r>
        <w:rPr>
          <w:rFonts w:hint="eastAsia"/>
          <w:color w:val="auto"/>
          <w:highlight w:val="none"/>
        </w:rPr>
        <w:t>。</w:t>
      </w:r>
    </w:p>
    <w:p w14:paraId="265840A9">
      <w:pPr>
        <w:adjustRightInd w:val="0"/>
        <w:snapToGrid w:val="0"/>
        <w:spacing w:before="280" w:after="290" w:line="374" w:lineRule="auto"/>
        <w:outlineLvl w:val="3"/>
        <w:rPr>
          <w:rFonts w:ascii="宋体" w:hAnsi="宋体" w:eastAsia="黑体"/>
          <w:bCs/>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 xml:space="preserve"> 五、项目经理</w:t>
      </w:r>
    </w:p>
    <w:p w14:paraId="1635A725">
      <w:pPr>
        <w:adjustRightInd w:val="0"/>
        <w:snapToGrid w:val="0"/>
        <w:spacing w:line="360" w:lineRule="auto"/>
        <w:ind w:firstLine="420" w:firstLineChars="200"/>
        <w:rPr>
          <w:color w:val="auto"/>
          <w:highlight w:val="none"/>
        </w:rPr>
      </w:pPr>
      <w:r>
        <w:rPr>
          <w:rFonts w:hint="eastAsia"/>
          <w:color w:val="auto"/>
          <w:highlight w:val="none"/>
        </w:rPr>
        <w:t>承包人项目经理：</w:t>
      </w:r>
      <w:r>
        <w:rPr>
          <w:rFonts w:hint="eastAsia"/>
          <w:color w:val="auto"/>
          <w:highlight w:val="none"/>
          <w:u w:val="single"/>
        </w:rPr>
        <w:t xml:space="preserve">           </w:t>
      </w:r>
      <w:r>
        <w:rPr>
          <w:rFonts w:hint="eastAsia"/>
          <w:color w:val="auto"/>
          <w:highlight w:val="none"/>
        </w:rPr>
        <w:t>。</w:t>
      </w:r>
    </w:p>
    <w:p w14:paraId="1B2F002B">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 xml:space="preserve"> 六、合同文件构成</w:t>
      </w:r>
    </w:p>
    <w:p w14:paraId="3FA27DFF">
      <w:pPr>
        <w:adjustRightInd w:val="0"/>
        <w:snapToGrid w:val="0"/>
        <w:spacing w:line="360" w:lineRule="auto"/>
        <w:ind w:firstLine="420" w:firstLineChars="200"/>
        <w:rPr>
          <w:bCs/>
          <w:color w:val="auto"/>
          <w:highlight w:val="none"/>
        </w:rPr>
      </w:pPr>
      <w:r>
        <w:rPr>
          <w:rFonts w:hint="eastAsia"/>
          <w:bCs/>
          <w:color w:val="auto"/>
          <w:highlight w:val="none"/>
        </w:rPr>
        <w:t>本协议书与下列文件一起构成合同文件：</w:t>
      </w:r>
    </w:p>
    <w:p w14:paraId="3CD0595A">
      <w:pPr>
        <w:autoSpaceDE w:val="0"/>
        <w:autoSpaceDN w:val="0"/>
        <w:adjustRightInd w:val="0"/>
        <w:snapToGrid w:val="0"/>
        <w:spacing w:line="360" w:lineRule="auto"/>
        <w:ind w:firstLine="420" w:firstLineChars="200"/>
        <w:rPr>
          <w:color w:val="auto"/>
          <w:highlight w:val="none"/>
        </w:rPr>
      </w:pPr>
      <w:r>
        <w:rPr>
          <w:rFonts w:hint="eastAsia"/>
          <w:color w:val="auto"/>
          <w:highlight w:val="none"/>
        </w:rPr>
        <w:t>（1）中标通知书；</w:t>
      </w:r>
    </w:p>
    <w:p w14:paraId="428241F2">
      <w:pPr>
        <w:autoSpaceDE w:val="0"/>
        <w:autoSpaceDN w:val="0"/>
        <w:adjustRightInd w:val="0"/>
        <w:snapToGrid w:val="0"/>
        <w:spacing w:line="360" w:lineRule="auto"/>
        <w:ind w:firstLine="420" w:firstLineChars="200"/>
        <w:rPr>
          <w:color w:val="auto"/>
          <w:highlight w:val="none"/>
        </w:rPr>
      </w:pPr>
      <w:r>
        <w:rPr>
          <w:rFonts w:hint="eastAsia"/>
          <w:color w:val="auto"/>
          <w:highlight w:val="none"/>
        </w:rPr>
        <w:t xml:space="preserve">（2）投标函及其附录； </w:t>
      </w:r>
    </w:p>
    <w:p w14:paraId="42D41891">
      <w:pPr>
        <w:autoSpaceDE w:val="0"/>
        <w:autoSpaceDN w:val="0"/>
        <w:adjustRightInd w:val="0"/>
        <w:snapToGrid w:val="0"/>
        <w:spacing w:line="360" w:lineRule="auto"/>
        <w:ind w:firstLine="420" w:firstLineChars="200"/>
        <w:rPr>
          <w:color w:val="auto"/>
          <w:highlight w:val="none"/>
        </w:rPr>
      </w:pPr>
      <w:r>
        <w:rPr>
          <w:rFonts w:hint="eastAsia"/>
          <w:color w:val="auto"/>
          <w:highlight w:val="none"/>
        </w:rPr>
        <w:t>（3）专用合同条款及其附件；</w:t>
      </w:r>
    </w:p>
    <w:p w14:paraId="3C79D02A">
      <w:pPr>
        <w:autoSpaceDE w:val="0"/>
        <w:autoSpaceDN w:val="0"/>
        <w:adjustRightInd w:val="0"/>
        <w:snapToGrid w:val="0"/>
        <w:spacing w:line="360" w:lineRule="auto"/>
        <w:ind w:firstLine="420" w:firstLineChars="200"/>
        <w:rPr>
          <w:color w:val="auto"/>
          <w:highlight w:val="none"/>
        </w:rPr>
      </w:pPr>
      <w:r>
        <w:rPr>
          <w:rFonts w:hint="eastAsia"/>
          <w:color w:val="auto"/>
          <w:highlight w:val="none"/>
        </w:rPr>
        <w:t>（4）通用合同条款；</w:t>
      </w:r>
    </w:p>
    <w:p w14:paraId="4E715D20">
      <w:pPr>
        <w:autoSpaceDE w:val="0"/>
        <w:autoSpaceDN w:val="0"/>
        <w:adjustRightInd w:val="0"/>
        <w:snapToGrid w:val="0"/>
        <w:spacing w:line="360" w:lineRule="auto"/>
        <w:ind w:firstLine="420" w:firstLineChars="200"/>
        <w:rPr>
          <w:color w:val="auto"/>
          <w:highlight w:val="none"/>
        </w:rPr>
      </w:pPr>
      <w:r>
        <w:rPr>
          <w:rFonts w:hint="eastAsia"/>
          <w:color w:val="auto"/>
          <w:highlight w:val="none"/>
        </w:rPr>
        <w:t>（5）技术标准和要求；</w:t>
      </w:r>
    </w:p>
    <w:p w14:paraId="0AA504B8">
      <w:pPr>
        <w:autoSpaceDE w:val="0"/>
        <w:autoSpaceDN w:val="0"/>
        <w:adjustRightInd w:val="0"/>
        <w:snapToGrid w:val="0"/>
        <w:spacing w:line="360" w:lineRule="auto"/>
        <w:ind w:firstLine="420" w:firstLineChars="200"/>
        <w:rPr>
          <w:color w:val="auto"/>
          <w:highlight w:val="none"/>
        </w:rPr>
      </w:pPr>
      <w:r>
        <w:rPr>
          <w:rFonts w:hint="eastAsia"/>
          <w:color w:val="auto"/>
          <w:highlight w:val="none"/>
        </w:rPr>
        <w:t>（6）图纸（如有）；</w:t>
      </w:r>
    </w:p>
    <w:p w14:paraId="0F64C577">
      <w:pPr>
        <w:autoSpaceDE w:val="0"/>
        <w:autoSpaceDN w:val="0"/>
        <w:adjustRightInd w:val="0"/>
        <w:snapToGrid w:val="0"/>
        <w:spacing w:line="360" w:lineRule="auto"/>
        <w:ind w:firstLine="420" w:firstLineChars="200"/>
        <w:rPr>
          <w:color w:val="auto"/>
          <w:highlight w:val="none"/>
        </w:rPr>
      </w:pPr>
      <w:r>
        <w:rPr>
          <w:rFonts w:hint="eastAsia"/>
          <w:color w:val="auto"/>
          <w:highlight w:val="none"/>
        </w:rPr>
        <w:t>（7）已标价工程量清单或预算书；</w:t>
      </w:r>
    </w:p>
    <w:p w14:paraId="3C303F41">
      <w:pPr>
        <w:autoSpaceDE w:val="0"/>
        <w:autoSpaceDN w:val="0"/>
        <w:adjustRightInd w:val="0"/>
        <w:snapToGrid w:val="0"/>
        <w:spacing w:line="360" w:lineRule="auto"/>
        <w:ind w:firstLine="420" w:firstLineChars="200"/>
        <w:rPr>
          <w:color w:val="auto"/>
          <w:highlight w:val="none"/>
        </w:rPr>
      </w:pPr>
      <w:r>
        <w:rPr>
          <w:rFonts w:hint="eastAsia"/>
          <w:color w:val="auto"/>
          <w:highlight w:val="none"/>
        </w:rPr>
        <w:t>（8）招标文件</w:t>
      </w:r>
    </w:p>
    <w:p w14:paraId="3541CD21">
      <w:pPr>
        <w:autoSpaceDE w:val="0"/>
        <w:autoSpaceDN w:val="0"/>
        <w:adjustRightInd w:val="0"/>
        <w:snapToGrid w:val="0"/>
        <w:spacing w:line="360" w:lineRule="auto"/>
        <w:ind w:firstLine="420" w:firstLineChars="200"/>
        <w:rPr>
          <w:color w:val="auto"/>
          <w:highlight w:val="none"/>
        </w:rPr>
      </w:pPr>
      <w:r>
        <w:rPr>
          <w:rFonts w:hint="eastAsia"/>
          <w:color w:val="auto"/>
          <w:highlight w:val="none"/>
        </w:rPr>
        <w:t>（9）投标文件</w:t>
      </w:r>
    </w:p>
    <w:p w14:paraId="2480AE26">
      <w:pPr>
        <w:autoSpaceDE w:val="0"/>
        <w:autoSpaceDN w:val="0"/>
        <w:adjustRightInd w:val="0"/>
        <w:snapToGrid w:val="0"/>
        <w:spacing w:line="360" w:lineRule="auto"/>
        <w:ind w:firstLine="420" w:firstLineChars="200"/>
        <w:rPr>
          <w:color w:val="auto"/>
          <w:highlight w:val="none"/>
        </w:rPr>
      </w:pPr>
      <w:r>
        <w:rPr>
          <w:rFonts w:hint="eastAsia"/>
          <w:color w:val="auto"/>
          <w:highlight w:val="none"/>
        </w:rPr>
        <w:t>（10）其他合同文件。</w:t>
      </w:r>
    </w:p>
    <w:p w14:paraId="70DC4484">
      <w:pPr>
        <w:autoSpaceDE w:val="0"/>
        <w:autoSpaceDN w:val="0"/>
        <w:adjustRightInd w:val="0"/>
        <w:snapToGrid w:val="0"/>
        <w:spacing w:line="360" w:lineRule="auto"/>
        <w:ind w:firstLine="420" w:firstLineChars="200"/>
        <w:rPr>
          <w:color w:val="auto"/>
          <w:highlight w:val="none"/>
        </w:rPr>
      </w:pPr>
      <w:r>
        <w:rPr>
          <w:rFonts w:hint="eastAsia"/>
          <w:color w:val="auto"/>
          <w:highlight w:val="none"/>
        </w:rPr>
        <w:t>在合同订立及履行过程中形成的与合同有关的文件均构成合同文件组成部分。</w:t>
      </w:r>
    </w:p>
    <w:p w14:paraId="67A592CC">
      <w:pPr>
        <w:autoSpaceDE w:val="0"/>
        <w:autoSpaceDN w:val="0"/>
        <w:adjustRightInd w:val="0"/>
        <w:snapToGrid w:val="0"/>
        <w:spacing w:line="360" w:lineRule="auto"/>
        <w:ind w:firstLine="420" w:firstLineChars="200"/>
        <w:rPr>
          <w:b/>
          <w:color w:val="auto"/>
          <w:highlight w:val="none"/>
        </w:rPr>
      </w:pPr>
      <w:r>
        <w:rPr>
          <w:rFonts w:hint="eastAsia"/>
          <w:color w:val="auto"/>
          <w:highlight w:val="none"/>
        </w:rPr>
        <w:t>上述各项合同文件包括合同当事人就该项合同文件所作出的补充和修改，属于同</w:t>
      </w:r>
      <w:r>
        <w:rPr>
          <w:rFonts w:hint="eastAsia"/>
          <w:color w:val="auto"/>
          <w:highlight w:val="none"/>
          <w:lang w:eastAsia="zh-CN"/>
        </w:rPr>
        <w:t>一项</w:t>
      </w:r>
      <w:r>
        <w:rPr>
          <w:rFonts w:hint="eastAsia"/>
          <w:color w:val="auto"/>
          <w:highlight w:val="none"/>
        </w:rPr>
        <w:t>内容的文件，应以最新签署的为准。专用合同条款及其附件须经合同当事人签字或盖章。</w:t>
      </w:r>
      <w:r>
        <w:rPr>
          <w:rFonts w:hint="eastAsia"/>
          <w:b/>
          <w:bCs/>
          <w:color w:val="auto"/>
          <w:highlight w:val="none"/>
        </w:rPr>
        <w:t xml:space="preserve"> </w:t>
      </w:r>
    </w:p>
    <w:p w14:paraId="5D682315">
      <w:pPr>
        <w:autoSpaceDE w:val="0"/>
        <w:autoSpaceDN w:val="0"/>
        <w:adjustRightInd w:val="0"/>
        <w:snapToGrid w:val="0"/>
        <w:spacing w:line="360" w:lineRule="auto"/>
        <w:ind w:firstLine="422" w:firstLineChars="200"/>
        <w:rPr>
          <w:b/>
          <w:bCs/>
          <w:color w:val="auto"/>
          <w:highlight w:val="none"/>
        </w:rPr>
      </w:pPr>
      <w:r>
        <w:rPr>
          <w:rFonts w:hint="eastAsia"/>
          <w:b/>
          <w:color w:val="auto"/>
          <w:highlight w:val="none"/>
        </w:rPr>
        <w:t>七、承诺</w:t>
      </w:r>
    </w:p>
    <w:p w14:paraId="27CEE272">
      <w:pPr>
        <w:adjustRightInd w:val="0"/>
        <w:snapToGrid w:val="0"/>
        <w:spacing w:line="360" w:lineRule="auto"/>
        <w:ind w:firstLine="420" w:firstLineChars="200"/>
        <w:rPr>
          <w:bCs/>
          <w:color w:val="auto"/>
          <w:highlight w:val="none"/>
        </w:rPr>
      </w:pPr>
      <w:r>
        <w:rPr>
          <w:rFonts w:hint="eastAsia"/>
          <w:bCs/>
          <w:color w:val="auto"/>
          <w:highlight w:val="none"/>
        </w:rPr>
        <w:t>1.发包人承诺按照法律规定履行项目审批手续、筹集工程建设资金并按照合同约定的期限和方式支付合同价款。</w:t>
      </w:r>
    </w:p>
    <w:p w14:paraId="5B43B1AA">
      <w:pPr>
        <w:adjustRightInd w:val="0"/>
        <w:snapToGrid w:val="0"/>
        <w:spacing w:line="360" w:lineRule="auto"/>
        <w:ind w:firstLine="420" w:firstLineChars="200"/>
        <w:rPr>
          <w:bCs/>
          <w:color w:val="auto"/>
          <w:highlight w:val="none"/>
        </w:rPr>
      </w:pPr>
      <w:r>
        <w:rPr>
          <w:rFonts w:hint="eastAsia"/>
          <w:bCs/>
          <w:color w:val="auto"/>
          <w:highlight w:val="none"/>
        </w:rPr>
        <w:t>2.承包人承诺按照法律规定及合同约定组织完成工程施工，确保工程质量和安全，不进行转包及违法分包，并在缺陷责任期及保修期内承担相应的工程维修责任。</w:t>
      </w:r>
    </w:p>
    <w:p w14:paraId="3E0A2DCD">
      <w:pPr>
        <w:adjustRightInd w:val="0"/>
        <w:snapToGrid w:val="0"/>
        <w:spacing w:line="360" w:lineRule="auto"/>
        <w:ind w:firstLine="420" w:firstLineChars="200"/>
        <w:rPr>
          <w:bCs/>
          <w:color w:val="auto"/>
          <w:highlight w:val="none"/>
        </w:rPr>
      </w:pPr>
      <w:r>
        <w:rPr>
          <w:rFonts w:hint="eastAsia"/>
          <w:bCs/>
          <w:color w:val="auto"/>
          <w:highlight w:val="none"/>
        </w:rPr>
        <w:t>3.发包人和承包人通过招投标形式签订合同的，双方理解并承诺不再就同一工程另行签订与合同实质性内容相背离的协议。</w:t>
      </w:r>
    </w:p>
    <w:p w14:paraId="5F8B7FDF">
      <w:pPr>
        <w:adjustRightInd w:val="0"/>
        <w:snapToGrid w:val="0"/>
        <w:spacing w:line="360" w:lineRule="auto"/>
        <w:rPr>
          <w:bCs/>
          <w:color w:val="auto"/>
          <w:highlight w:val="none"/>
        </w:rPr>
      </w:pPr>
      <w:r>
        <w:rPr>
          <w:rFonts w:hint="eastAsia"/>
          <w:b/>
          <w:color w:val="auto"/>
          <w:highlight w:val="none"/>
        </w:rPr>
        <w:t xml:space="preserve">     八、词语含义</w:t>
      </w:r>
    </w:p>
    <w:p w14:paraId="6509981C">
      <w:pPr>
        <w:adjustRightInd w:val="0"/>
        <w:snapToGrid w:val="0"/>
        <w:spacing w:line="360" w:lineRule="auto"/>
        <w:ind w:firstLine="420" w:firstLineChars="200"/>
        <w:rPr>
          <w:bCs/>
          <w:color w:val="auto"/>
          <w:highlight w:val="none"/>
        </w:rPr>
      </w:pPr>
      <w:r>
        <w:rPr>
          <w:rFonts w:hint="eastAsia"/>
          <w:bCs/>
          <w:color w:val="auto"/>
          <w:highlight w:val="none"/>
        </w:rPr>
        <w:t>本协议书中词语含义与第二部分通用合同条款中赋予的含义相同。</w:t>
      </w:r>
    </w:p>
    <w:p w14:paraId="4E661994">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 xml:space="preserve">  九、签订时间</w:t>
      </w:r>
    </w:p>
    <w:p w14:paraId="065376A2">
      <w:pPr>
        <w:adjustRightInd w:val="0"/>
        <w:snapToGrid w:val="0"/>
        <w:spacing w:line="360" w:lineRule="auto"/>
        <w:ind w:firstLine="420" w:firstLineChars="200"/>
        <w:rPr>
          <w:bCs/>
          <w:color w:val="auto"/>
          <w:highlight w:val="none"/>
        </w:rPr>
      </w:pPr>
      <w:r>
        <w:rPr>
          <w:rFonts w:hint="eastAsia"/>
          <w:bCs/>
          <w:color w:val="auto"/>
          <w:highlight w:val="none"/>
        </w:rPr>
        <w:t>本合同于</w:t>
      </w:r>
      <w:r>
        <w:rPr>
          <w:rFonts w:hint="eastAsia"/>
          <w:bCs/>
          <w:color w:val="auto"/>
          <w:highlight w:val="none"/>
          <w:u w:val="single"/>
        </w:rPr>
        <w:t xml:space="preserve">      </w:t>
      </w:r>
      <w:r>
        <w:rPr>
          <w:rFonts w:hint="eastAsia"/>
          <w:bCs/>
          <w:color w:val="auto"/>
          <w:highlight w:val="none"/>
        </w:rPr>
        <w:t>年</w:t>
      </w:r>
      <w:r>
        <w:rPr>
          <w:rFonts w:hint="eastAsia"/>
          <w:bCs/>
          <w:color w:val="auto"/>
          <w:highlight w:val="none"/>
          <w:u w:val="single"/>
        </w:rPr>
        <w:t xml:space="preserve">    </w:t>
      </w:r>
      <w:r>
        <w:rPr>
          <w:rFonts w:hint="eastAsia"/>
          <w:bCs/>
          <w:color w:val="auto"/>
          <w:highlight w:val="none"/>
        </w:rPr>
        <w:t>月</w:t>
      </w:r>
      <w:r>
        <w:rPr>
          <w:rFonts w:hint="eastAsia"/>
          <w:bCs/>
          <w:color w:val="auto"/>
          <w:highlight w:val="none"/>
          <w:u w:val="single"/>
        </w:rPr>
        <w:t xml:space="preserve">    </w:t>
      </w:r>
      <w:r>
        <w:rPr>
          <w:rFonts w:hint="eastAsia"/>
          <w:bCs/>
          <w:color w:val="auto"/>
          <w:highlight w:val="none"/>
        </w:rPr>
        <w:t>日签订。</w:t>
      </w:r>
    </w:p>
    <w:p w14:paraId="642508F7">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十、签订地点</w:t>
      </w:r>
    </w:p>
    <w:p w14:paraId="7C7C3FB3">
      <w:pPr>
        <w:adjustRightInd w:val="0"/>
        <w:snapToGrid w:val="0"/>
        <w:spacing w:line="360" w:lineRule="auto"/>
        <w:ind w:firstLine="420" w:firstLineChars="200"/>
        <w:rPr>
          <w:bCs/>
          <w:color w:val="auto"/>
          <w:highlight w:val="none"/>
        </w:rPr>
      </w:pPr>
      <w:r>
        <w:rPr>
          <w:rFonts w:hint="eastAsia"/>
          <w:bCs/>
          <w:color w:val="auto"/>
          <w:highlight w:val="none"/>
        </w:rPr>
        <w:t>本合同在</w:t>
      </w:r>
      <w:r>
        <w:rPr>
          <w:rFonts w:hint="eastAsia"/>
          <w:bCs/>
          <w:color w:val="auto"/>
          <w:highlight w:val="none"/>
          <w:u w:val="single"/>
        </w:rPr>
        <w:t xml:space="preserve">                    </w:t>
      </w:r>
      <w:r>
        <w:rPr>
          <w:rFonts w:hint="eastAsia"/>
          <w:bCs/>
          <w:color w:val="auto"/>
          <w:highlight w:val="none"/>
        </w:rPr>
        <w:t>签订。</w:t>
      </w:r>
    </w:p>
    <w:p w14:paraId="6B9BD3CE">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十一、补充协议</w:t>
      </w:r>
    </w:p>
    <w:p w14:paraId="7F092726">
      <w:pPr>
        <w:adjustRightInd w:val="0"/>
        <w:snapToGrid w:val="0"/>
        <w:spacing w:line="360" w:lineRule="auto"/>
        <w:ind w:firstLine="420" w:firstLineChars="200"/>
        <w:rPr>
          <w:b/>
          <w:bCs/>
          <w:color w:val="auto"/>
          <w:highlight w:val="none"/>
        </w:rPr>
      </w:pPr>
      <w:r>
        <w:rPr>
          <w:rFonts w:hint="eastAsia"/>
          <w:bCs/>
          <w:color w:val="auto"/>
          <w:highlight w:val="none"/>
        </w:rPr>
        <w:t>合同未尽事宜，合同当事人另行签订补充协议，补充协议是合同的组成部分。</w:t>
      </w:r>
    </w:p>
    <w:p w14:paraId="4702E7C7">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十二、合同生效</w:t>
      </w:r>
    </w:p>
    <w:p w14:paraId="02C12D4C">
      <w:pPr>
        <w:adjustRightInd w:val="0"/>
        <w:snapToGrid w:val="0"/>
        <w:spacing w:line="360" w:lineRule="auto"/>
        <w:ind w:firstLine="420" w:firstLineChars="200"/>
        <w:rPr>
          <w:bCs/>
          <w:color w:val="auto"/>
          <w:highlight w:val="none"/>
        </w:rPr>
      </w:pPr>
      <w:r>
        <w:rPr>
          <w:rFonts w:hint="eastAsia"/>
          <w:bCs/>
          <w:color w:val="auto"/>
          <w:highlight w:val="none"/>
        </w:rPr>
        <w:t>本合同自</w:t>
      </w:r>
      <w:r>
        <w:rPr>
          <w:rFonts w:hint="eastAsia"/>
          <w:b/>
          <w:bCs/>
          <w:color w:val="auto"/>
          <w:highlight w:val="none"/>
          <w:u w:val="single"/>
        </w:rPr>
        <w:t>承包人向发包人提交符合要求的履约保证金，且双方签字、盖章后</w:t>
      </w:r>
      <w:r>
        <w:rPr>
          <w:rFonts w:hint="eastAsia"/>
          <w:bCs/>
          <w:color w:val="auto"/>
          <w:highlight w:val="none"/>
          <w:u w:val="single"/>
        </w:rPr>
        <w:t xml:space="preserve"> </w:t>
      </w:r>
      <w:r>
        <w:rPr>
          <w:rFonts w:hint="eastAsia"/>
          <w:bCs/>
          <w:color w:val="auto"/>
          <w:highlight w:val="none"/>
        </w:rPr>
        <w:t>生效。</w:t>
      </w:r>
    </w:p>
    <w:p w14:paraId="748CDD58">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十三、合同份数</w:t>
      </w:r>
    </w:p>
    <w:p w14:paraId="28E6015F">
      <w:pPr>
        <w:adjustRightInd w:val="0"/>
        <w:snapToGrid w:val="0"/>
        <w:spacing w:line="360" w:lineRule="auto"/>
        <w:ind w:firstLine="420" w:firstLineChars="200"/>
        <w:rPr>
          <w:bCs/>
          <w:color w:val="auto"/>
          <w:highlight w:val="none"/>
        </w:rPr>
      </w:pPr>
      <w:r>
        <w:rPr>
          <w:rFonts w:hint="eastAsia"/>
          <w:bCs/>
          <w:color w:val="auto"/>
          <w:highlight w:val="none"/>
        </w:rPr>
        <w:t>本合同一式</w:t>
      </w:r>
      <w:r>
        <w:rPr>
          <w:rFonts w:hint="eastAsia"/>
          <w:bCs/>
          <w:color w:val="auto"/>
          <w:highlight w:val="none"/>
          <w:u w:val="single"/>
        </w:rPr>
        <w:t xml:space="preserve"> 捌 </w:t>
      </w:r>
      <w:r>
        <w:rPr>
          <w:rFonts w:hint="eastAsia"/>
          <w:bCs/>
          <w:color w:val="auto"/>
          <w:highlight w:val="none"/>
        </w:rPr>
        <w:t>份，均具有同等法律效力，发包人执</w:t>
      </w:r>
      <w:r>
        <w:rPr>
          <w:rFonts w:hint="eastAsia"/>
          <w:bCs/>
          <w:color w:val="auto"/>
          <w:highlight w:val="none"/>
          <w:u w:val="single"/>
        </w:rPr>
        <w:t xml:space="preserve"> 肆 </w:t>
      </w:r>
      <w:r>
        <w:rPr>
          <w:rFonts w:hint="eastAsia"/>
          <w:bCs/>
          <w:color w:val="auto"/>
          <w:highlight w:val="none"/>
        </w:rPr>
        <w:t>份，承包人执</w:t>
      </w:r>
      <w:r>
        <w:rPr>
          <w:rFonts w:hint="eastAsia"/>
          <w:bCs/>
          <w:color w:val="auto"/>
          <w:highlight w:val="none"/>
          <w:u w:val="single"/>
        </w:rPr>
        <w:t xml:space="preserve"> 肆 </w:t>
      </w:r>
      <w:r>
        <w:rPr>
          <w:rFonts w:hint="eastAsia"/>
          <w:bCs/>
          <w:color w:val="auto"/>
          <w:highlight w:val="none"/>
        </w:rPr>
        <w:t>份。</w:t>
      </w:r>
    </w:p>
    <w:p w14:paraId="2424DB9D">
      <w:pPr>
        <w:spacing w:line="360" w:lineRule="auto"/>
        <w:rPr>
          <w:color w:val="auto"/>
          <w:highlight w:val="none"/>
          <w:u w:val="single"/>
        </w:rPr>
      </w:pPr>
      <w:r>
        <w:rPr>
          <w:rFonts w:hint="eastAsia"/>
          <w:color w:val="auto"/>
          <w:highlight w:val="none"/>
        </w:rPr>
        <w:t xml:space="preserve">发包人：  </w:t>
      </w:r>
      <w:r>
        <w:rPr>
          <w:rFonts w:hint="eastAsia"/>
          <w:color w:val="auto"/>
          <w:highlight w:val="none"/>
          <w:lang w:eastAsia="zh-CN"/>
        </w:rPr>
        <w:t>（</w:t>
      </w:r>
      <w:r>
        <w:rPr>
          <w:rFonts w:hint="eastAsia"/>
          <w:color w:val="auto"/>
          <w:highlight w:val="none"/>
        </w:rPr>
        <w:t>公章</w:t>
      </w:r>
      <w:r>
        <w:rPr>
          <w:rFonts w:hint="eastAsia"/>
          <w:color w:val="auto"/>
          <w:highlight w:val="none"/>
          <w:lang w:eastAsia="zh-CN"/>
        </w:rPr>
        <w:t>）</w:t>
      </w:r>
      <w:r>
        <w:rPr>
          <w:rFonts w:hint="eastAsia"/>
          <w:color w:val="auto"/>
          <w:highlight w:val="none"/>
        </w:rPr>
        <w:t xml:space="preserve">                        承包人：  </w:t>
      </w:r>
      <w:r>
        <w:rPr>
          <w:rFonts w:hint="eastAsia"/>
          <w:color w:val="auto"/>
          <w:highlight w:val="none"/>
          <w:lang w:eastAsia="zh-CN"/>
        </w:rPr>
        <w:t>（</w:t>
      </w:r>
      <w:r>
        <w:rPr>
          <w:rFonts w:hint="eastAsia"/>
          <w:color w:val="auto"/>
          <w:highlight w:val="none"/>
        </w:rPr>
        <w:t>公章</w:t>
      </w:r>
      <w:r>
        <w:rPr>
          <w:rFonts w:hint="eastAsia"/>
          <w:color w:val="auto"/>
          <w:highlight w:val="none"/>
          <w:lang w:eastAsia="zh-CN"/>
        </w:rPr>
        <w:t>）</w:t>
      </w:r>
      <w:r>
        <w:rPr>
          <w:rFonts w:hint="eastAsia"/>
          <w:color w:val="auto"/>
          <w:highlight w:val="none"/>
        </w:rPr>
        <w:t xml:space="preserve"> </w:t>
      </w:r>
    </w:p>
    <w:p w14:paraId="43B2D21A">
      <w:pPr>
        <w:spacing w:line="360" w:lineRule="auto"/>
        <w:rPr>
          <w:color w:val="auto"/>
          <w:highlight w:val="none"/>
        </w:rPr>
      </w:pPr>
      <w:r>
        <w:rPr>
          <w:rFonts w:hint="eastAsia"/>
          <w:color w:val="auto"/>
          <w:highlight w:val="none"/>
        </w:rPr>
        <w:t>法定代表人或其委托代理人：              法定代表人或其委托代理人：</w:t>
      </w:r>
    </w:p>
    <w:p w14:paraId="2B811291">
      <w:pPr>
        <w:spacing w:line="360" w:lineRule="auto"/>
        <w:rPr>
          <w:color w:val="auto"/>
          <w:highlight w:val="none"/>
        </w:rPr>
      </w:pPr>
      <w:r>
        <w:rPr>
          <w:rFonts w:hint="eastAsia"/>
          <w:color w:val="auto"/>
          <w:highlight w:val="none"/>
        </w:rPr>
        <w:t>（签字）                               （签字）</w:t>
      </w:r>
    </w:p>
    <w:p w14:paraId="081C718B">
      <w:pPr>
        <w:tabs>
          <w:tab w:val="left" w:pos="4410"/>
        </w:tabs>
        <w:spacing w:line="360" w:lineRule="auto"/>
        <w:rPr>
          <w:color w:val="auto"/>
          <w:highlight w:val="none"/>
        </w:rPr>
      </w:pPr>
      <w:r>
        <w:rPr>
          <w:rFonts w:hint="eastAsia"/>
          <w:color w:val="auto"/>
          <w:highlight w:val="none"/>
        </w:rPr>
        <w:t>组织机构代码：</w:t>
      </w:r>
      <w:r>
        <w:rPr>
          <w:rFonts w:hint="eastAsia"/>
          <w:color w:val="auto"/>
          <w:highlight w:val="none"/>
          <w:u w:val="single"/>
        </w:rPr>
        <w:t xml:space="preserve">       </w:t>
      </w:r>
      <w:r>
        <w:rPr>
          <w:rFonts w:hint="eastAsia"/>
          <w:color w:val="auto"/>
          <w:highlight w:val="none"/>
        </w:rPr>
        <w:t xml:space="preserve">             组织机构代码：</w:t>
      </w:r>
      <w:r>
        <w:rPr>
          <w:rFonts w:hint="eastAsia"/>
          <w:color w:val="auto"/>
          <w:highlight w:val="none"/>
          <w:u w:val="single"/>
        </w:rPr>
        <w:t xml:space="preserve">          </w:t>
      </w:r>
      <w:r>
        <w:rPr>
          <w:rFonts w:hint="eastAsia"/>
          <w:color w:val="auto"/>
          <w:highlight w:val="none"/>
        </w:rPr>
        <w:t xml:space="preserve"> </w:t>
      </w:r>
    </w:p>
    <w:p w14:paraId="096B3A77">
      <w:pPr>
        <w:spacing w:line="360" w:lineRule="auto"/>
        <w:rPr>
          <w:color w:val="auto"/>
          <w:highlight w:val="none"/>
        </w:rPr>
      </w:pPr>
      <w:r>
        <w:rPr>
          <w:rFonts w:hint="eastAsia"/>
          <w:color w:val="auto"/>
          <w:highlight w:val="none"/>
        </w:rPr>
        <w:t>地  址：</w:t>
      </w:r>
      <w:r>
        <w:rPr>
          <w:rFonts w:hint="eastAsia"/>
          <w:color w:val="auto"/>
          <w:highlight w:val="none"/>
          <w:u w:val="single"/>
        </w:rPr>
        <w:t xml:space="preserve">     </w:t>
      </w:r>
      <w:r>
        <w:rPr>
          <w:rFonts w:hint="eastAsia"/>
          <w:color w:val="auto"/>
          <w:highlight w:val="none"/>
        </w:rPr>
        <w:t xml:space="preserve">             地  址：</w:t>
      </w:r>
      <w:r>
        <w:rPr>
          <w:rFonts w:hint="eastAsia"/>
          <w:color w:val="auto"/>
          <w:highlight w:val="none"/>
          <w:u w:val="single"/>
        </w:rPr>
        <w:t xml:space="preserve">        </w:t>
      </w:r>
    </w:p>
    <w:p w14:paraId="0984858F">
      <w:pPr>
        <w:spacing w:line="360" w:lineRule="auto"/>
        <w:rPr>
          <w:color w:val="auto"/>
          <w:highlight w:val="none"/>
        </w:rPr>
      </w:pPr>
      <w:r>
        <w:rPr>
          <w:rFonts w:hint="eastAsia"/>
          <w:color w:val="auto"/>
          <w:highlight w:val="none"/>
        </w:rPr>
        <w:t>邮政编码：</w:t>
      </w:r>
      <w:r>
        <w:rPr>
          <w:rFonts w:hint="eastAsia"/>
          <w:color w:val="auto"/>
          <w:highlight w:val="none"/>
          <w:u w:val="single"/>
        </w:rPr>
        <w:t xml:space="preserve">      </w:t>
      </w:r>
      <w:r>
        <w:rPr>
          <w:rFonts w:hint="eastAsia"/>
          <w:color w:val="auto"/>
          <w:highlight w:val="none"/>
        </w:rPr>
        <w:t xml:space="preserve">            邮政编码：</w:t>
      </w:r>
      <w:r>
        <w:rPr>
          <w:rFonts w:hint="eastAsia"/>
          <w:color w:val="auto"/>
          <w:highlight w:val="none"/>
          <w:u w:val="single"/>
        </w:rPr>
        <w:t xml:space="preserve">   </w:t>
      </w:r>
    </w:p>
    <w:p w14:paraId="125FBC9E">
      <w:pPr>
        <w:spacing w:line="360" w:lineRule="auto"/>
        <w:rPr>
          <w:color w:val="auto"/>
          <w:highlight w:val="none"/>
        </w:rPr>
      </w:pPr>
      <w:r>
        <w:rPr>
          <w:rFonts w:hint="eastAsia"/>
          <w:color w:val="auto"/>
          <w:highlight w:val="none"/>
        </w:rPr>
        <w:t>法定代表人：</w:t>
      </w:r>
      <w:r>
        <w:rPr>
          <w:rFonts w:hint="eastAsia"/>
          <w:color w:val="auto"/>
          <w:highlight w:val="none"/>
          <w:u w:val="single"/>
        </w:rPr>
        <w:t xml:space="preserve">           </w:t>
      </w:r>
      <w:r>
        <w:rPr>
          <w:rFonts w:hint="eastAsia"/>
          <w:color w:val="auto"/>
          <w:highlight w:val="none"/>
        </w:rPr>
        <w:t xml:space="preserve">             法定代表人：</w:t>
      </w:r>
      <w:r>
        <w:rPr>
          <w:rFonts w:hint="eastAsia"/>
          <w:color w:val="auto"/>
          <w:highlight w:val="none"/>
          <w:u w:val="single"/>
        </w:rPr>
        <w:t xml:space="preserve">             </w:t>
      </w:r>
    </w:p>
    <w:p w14:paraId="182AD35D">
      <w:pPr>
        <w:spacing w:line="360" w:lineRule="auto"/>
        <w:rPr>
          <w:color w:val="auto"/>
          <w:highlight w:val="none"/>
        </w:rPr>
      </w:pPr>
      <w:r>
        <w:rPr>
          <w:rFonts w:hint="eastAsia"/>
          <w:color w:val="auto"/>
          <w:highlight w:val="none"/>
        </w:rPr>
        <w:t>委托代理人：</w:t>
      </w:r>
      <w:r>
        <w:rPr>
          <w:rFonts w:hint="eastAsia"/>
          <w:color w:val="auto"/>
          <w:highlight w:val="none"/>
          <w:u w:val="single"/>
        </w:rPr>
        <w:t xml:space="preserve">           </w:t>
      </w:r>
      <w:r>
        <w:rPr>
          <w:rFonts w:hint="eastAsia"/>
          <w:color w:val="auto"/>
          <w:highlight w:val="none"/>
        </w:rPr>
        <w:t xml:space="preserve">             委托代理人：</w:t>
      </w:r>
      <w:r>
        <w:rPr>
          <w:rFonts w:hint="eastAsia"/>
          <w:color w:val="auto"/>
          <w:highlight w:val="none"/>
          <w:u w:val="single"/>
        </w:rPr>
        <w:t xml:space="preserve">             </w:t>
      </w:r>
    </w:p>
    <w:p w14:paraId="1F92833B">
      <w:pPr>
        <w:spacing w:line="360" w:lineRule="auto"/>
        <w:rPr>
          <w:color w:val="auto"/>
          <w:highlight w:val="none"/>
        </w:rPr>
      </w:pPr>
      <w:r>
        <w:rPr>
          <w:rFonts w:hint="eastAsia"/>
          <w:color w:val="auto"/>
          <w:highlight w:val="none"/>
        </w:rPr>
        <w:t>电  话：</w:t>
      </w:r>
      <w:r>
        <w:rPr>
          <w:rFonts w:hint="eastAsia"/>
          <w:color w:val="auto"/>
          <w:highlight w:val="none"/>
          <w:u w:val="single"/>
        </w:rPr>
        <w:t xml:space="preserve">   </w:t>
      </w:r>
      <w:r>
        <w:rPr>
          <w:rFonts w:hint="eastAsia"/>
          <w:color w:val="auto"/>
          <w:highlight w:val="none"/>
        </w:rPr>
        <w:t xml:space="preserve">             电  话：</w:t>
      </w:r>
      <w:r>
        <w:rPr>
          <w:rFonts w:hint="eastAsia"/>
          <w:color w:val="auto"/>
          <w:highlight w:val="none"/>
          <w:u w:val="single"/>
        </w:rPr>
        <w:t xml:space="preserve">     </w:t>
      </w:r>
    </w:p>
    <w:p w14:paraId="6109D671">
      <w:pPr>
        <w:spacing w:line="360" w:lineRule="auto"/>
        <w:rPr>
          <w:color w:val="auto"/>
          <w:highlight w:val="none"/>
        </w:rPr>
      </w:pPr>
      <w:r>
        <w:rPr>
          <w:rFonts w:hint="eastAsia"/>
          <w:color w:val="auto"/>
          <w:highlight w:val="none"/>
        </w:rPr>
        <w:t>传  真：</w:t>
      </w:r>
      <w:r>
        <w:rPr>
          <w:rFonts w:hint="eastAsia"/>
          <w:color w:val="auto"/>
          <w:highlight w:val="none"/>
          <w:u w:val="single"/>
        </w:rPr>
        <w:t xml:space="preserve">   </w:t>
      </w:r>
      <w:r>
        <w:rPr>
          <w:rFonts w:hint="eastAsia"/>
          <w:color w:val="auto"/>
          <w:highlight w:val="none"/>
        </w:rPr>
        <w:t xml:space="preserve">             传  真：</w:t>
      </w:r>
      <w:r>
        <w:rPr>
          <w:rFonts w:hint="eastAsia"/>
          <w:color w:val="auto"/>
          <w:highlight w:val="none"/>
          <w:u w:val="single"/>
        </w:rPr>
        <w:t xml:space="preserve">     </w:t>
      </w:r>
    </w:p>
    <w:p w14:paraId="34FCC79D">
      <w:pPr>
        <w:spacing w:line="360" w:lineRule="auto"/>
        <w:rPr>
          <w:color w:val="auto"/>
          <w:highlight w:val="none"/>
        </w:rPr>
      </w:pPr>
      <w:r>
        <w:rPr>
          <w:rFonts w:hint="eastAsia"/>
          <w:color w:val="auto"/>
          <w:highlight w:val="none"/>
        </w:rPr>
        <w:t>电子信箱：</w:t>
      </w:r>
      <w:r>
        <w:rPr>
          <w:rFonts w:hint="eastAsia"/>
          <w:color w:val="auto"/>
          <w:highlight w:val="none"/>
          <w:u w:val="single"/>
        </w:rPr>
        <w:t xml:space="preserve">                 </w:t>
      </w:r>
      <w:r>
        <w:rPr>
          <w:rFonts w:hint="eastAsia"/>
          <w:color w:val="auto"/>
          <w:highlight w:val="none"/>
        </w:rPr>
        <w:t xml:space="preserve">             电子信箱：</w:t>
      </w:r>
      <w:r>
        <w:rPr>
          <w:rFonts w:hint="eastAsia"/>
          <w:color w:val="auto"/>
          <w:highlight w:val="none"/>
          <w:u w:val="single"/>
        </w:rPr>
        <w:t xml:space="preserve">   </w:t>
      </w:r>
    </w:p>
    <w:p w14:paraId="18E408F8">
      <w:pPr>
        <w:spacing w:line="360" w:lineRule="auto"/>
        <w:rPr>
          <w:color w:val="auto"/>
          <w:highlight w:val="none"/>
        </w:rPr>
      </w:pPr>
      <w:r>
        <w:rPr>
          <w:rFonts w:hint="eastAsia"/>
          <w:color w:val="auto"/>
          <w:highlight w:val="none"/>
        </w:rPr>
        <w:t>开户银行：</w:t>
      </w:r>
      <w:r>
        <w:rPr>
          <w:rFonts w:hint="eastAsia"/>
          <w:color w:val="auto"/>
          <w:highlight w:val="none"/>
          <w:u w:val="single"/>
        </w:rPr>
        <w:t xml:space="preserve">   </w:t>
      </w:r>
      <w:r>
        <w:rPr>
          <w:rFonts w:hint="eastAsia"/>
          <w:color w:val="auto"/>
          <w:highlight w:val="none"/>
        </w:rPr>
        <w:t xml:space="preserve">             开户银行：</w:t>
      </w:r>
      <w:r>
        <w:rPr>
          <w:rFonts w:hint="eastAsia"/>
          <w:color w:val="auto"/>
          <w:highlight w:val="none"/>
          <w:u w:val="single"/>
        </w:rPr>
        <w:t xml:space="preserve">   </w:t>
      </w:r>
    </w:p>
    <w:p w14:paraId="61669185">
      <w:pPr>
        <w:spacing w:line="360" w:lineRule="auto"/>
        <w:rPr>
          <w:color w:val="auto"/>
          <w:highlight w:val="none"/>
          <w:u w:val="single"/>
        </w:rPr>
      </w:pPr>
      <w:r>
        <w:rPr>
          <w:rFonts w:hint="eastAsia"/>
          <w:color w:val="auto"/>
          <w:highlight w:val="none"/>
        </w:rPr>
        <w:t>账  号：</w:t>
      </w:r>
      <w:r>
        <w:rPr>
          <w:rFonts w:hint="eastAsia"/>
          <w:color w:val="auto"/>
          <w:highlight w:val="none"/>
          <w:u w:val="single"/>
        </w:rPr>
        <w:t xml:space="preserve">    </w:t>
      </w:r>
      <w:r>
        <w:rPr>
          <w:rFonts w:hint="eastAsia"/>
          <w:color w:val="auto"/>
          <w:highlight w:val="none"/>
        </w:rPr>
        <w:t xml:space="preserve">              账  号：</w:t>
      </w:r>
      <w:bookmarkStart w:id="37" w:name="_Toc455491118"/>
      <w:r>
        <w:rPr>
          <w:rFonts w:hint="eastAsia"/>
          <w:color w:val="auto"/>
          <w:highlight w:val="none"/>
          <w:u w:val="single"/>
        </w:rPr>
        <w:t xml:space="preserve">       </w:t>
      </w:r>
    </w:p>
    <w:bookmarkEnd w:id="37"/>
    <w:p w14:paraId="3EF41EC2">
      <w:pPr>
        <w:spacing w:line="360" w:lineRule="auto"/>
        <w:jc w:val="center"/>
        <w:rPr>
          <w:b/>
          <w:bCs/>
          <w:color w:val="auto"/>
          <w:sz w:val="32"/>
          <w:szCs w:val="32"/>
          <w:highlight w:val="none"/>
        </w:rPr>
      </w:pPr>
      <w:r>
        <w:rPr>
          <w:rFonts w:hint="eastAsia"/>
          <w:b/>
          <w:bCs/>
          <w:color w:val="auto"/>
          <w:sz w:val="32"/>
          <w:szCs w:val="32"/>
          <w:highlight w:val="none"/>
        </w:rPr>
        <w:br w:type="page"/>
      </w:r>
      <w:r>
        <w:rPr>
          <w:rFonts w:hint="eastAsia"/>
          <w:b/>
          <w:bCs/>
          <w:color w:val="auto"/>
          <w:sz w:val="32"/>
          <w:szCs w:val="32"/>
          <w:highlight w:val="none"/>
        </w:rPr>
        <w:t>第二部分 通用合同条款</w:t>
      </w:r>
    </w:p>
    <w:p w14:paraId="673C1F75">
      <w:pPr>
        <w:tabs>
          <w:tab w:val="left" w:pos="4410"/>
        </w:tabs>
        <w:adjustRightInd w:val="0"/>
        <w:snapToGrid w:val="0"/>
        <w:spacing w:line="360" w:lineRule="auto"/>
        <w:rPr>
          <w:color w:val="auto"/>
          <w:highlight w:val="none"/>
        </w:rPr>
      </w:pPr>
    </w:p>
    <w:p w14:paraId="482744D7">
      <w:pPr>
        <w:tabs>
          <w:tab w:val="left" w:pos="4410"/>
        </w:tabs>
        <w:adjustRightInd w:val="0"/>
        <w:snapToGrid w:val="0"/>
        <w:spacing w:line="360" w:lineRule="auto"/>
        <w:ind w:firstLine="315" w:firstLineChars="150"/>
        <w:rPr>
          <w:color w:val="auto"/>
          <w:highlight w:val="none"/>
        </w:rPr>
      </w:pPr>
      <w:r>
        <w:rPr>
          <w:rFonts w:hint="eastAsia"/>
          <w:color w:val="auto"/>
          <w:highlight w:val="none"/>
        </w:rPr>
        <w:t>此部分采用《建设工程施工合同》范本（GF-2017-0201）中《第二部分  通用条款》。</w:t>
      </w:r>
    </w:p>
    <w:p w14:paraId="42F79A03">
      <w:pPr>
        <w:tabs>
          <w:tab w:val="left" w:pos="4410"/>
        </w:tabs>
        <w:adjustRightInd w:val="0"/>
        <w:snapToGrid w:val="0"/>
        <w:spacing w:line="360" w:lineRule="auto"/>
        <w:rPr>
          <w:color w:val="auto"/>
          <w:highlight w:val="none"/>
        </w:rPr>
      </w:pPr>
    </w:p>
    <w:p w14:paraId="67E62CF8">
      <w:pPr>
        <w:autoSpaceDE w:val="0"/>
        <w:autoSpaceDN w:val="0"/>
        <w:adjustRightInd w:val="0"/>
        <w:snapToGrid w:val="0"/>
        <w:spacing w:line="360" w:lineRule="auto"/>
        <w:rPr>
          <w:color w:val="auto"/>
          <w:highlight w:val="none"/>
        </w:rPr>
      </w:pPr>
      <w:bookmarkStart w:id="38" w:name="_Toc455491119"/>
    </w:p>
    <w:bookmarkEnd w:id="38"/>
    <w:p w14:paraId="46BB76CE">
      <w:pPr>
        <w:keepNext/>
        <w:keepLines/>
        <w:widowControl w:val="0"/>
        <w:spacing w:before="260" w:after="260" w:line="415" w:lineRule="auto"/>
        <w:jc w:val="center"/>
        <w:outlineLvl w:val="2"/>
        <w:rPr>
          <w:b/>
          <w:bCs/>
          <w:color w:val="auto"/>
          <w:sz w:val="28"/>
          <w:szCs w:val="28"/>
          <w:highlight w:val="none"/>
        </w:rPr>
      </w:pPr>
      <w:r>
        <w:rPr>
          <w:rFonts w:hint="eastAsia"/>
          <w:b/>
          <w:bCs/>
          <w:color w:val="auto"/>
          <w:sz w:val="28"/>
          <w:szCs w:val="28"/>
          <w:highlight w:val="none"/>
        </w:rPr>
        <w:t>第三部分</w:t>
      </w:r>
      <w:r>
        <w:rPr>
          <w:b/>
          <w:bCs/>
          <w:color w:val="auto"/>
          <w:sz w:val="28"/>
          <w:szCs w:val="28"/>
          <w:highlight w:val="none"/>
        </w:rPr>
        <w:t xml:space="preserve"> </w:t>
      </w:r>
      <w:r>
        <w:rPr>
          <w:rFonts w:hint="eastAsia"/>
          <w:b/>
          <w:bCs/>
          <w:color w:val="auto"/>
          <w:sz w:val="28"/>
          <w:szCs w:val="28"/>
          <w:highlight w:val="none"/>
        </w:rPr>
        <w:t>专用合同条款</w:t>
      </w:r>
    </w:p>
    <w:p w14:paraId="2FD84EA3">
      <w:pPr>
        <w:keepNext/>
        <w:keepLines/>
        <w:widowControl w:val="0"/>
        <w:adjustRightInd w:val="0"/>
        <w:spacing w:before="120" w:after="120" w:line="460" w:lineRule="exact"/>
        <w:textAlignment w:val="baseline"/>
        <w:outlineLvl w:val="3"/>
        <w:rPr>
          <w:b/>
          <w:color w:val="auto"/>
          <w:szCs w:val="21"/>
          <w:highlight w:val="none"/>
        </w:rPr>
      </w:pPr>
      <w:bookmarkStart w:id="39" w:name="_Toc351203633"/>
      <w:r>
        <w:rPr>
          <w:b/>
          <w:color w:val="auto"/>
          <w:szCs w:val="21"/>
          <w:highlight w:val="none"/>
        </w:rPr>
        <w:t>1</w:t>
      </w:r>
      <w:bookmarkStart w:id="40" w:name="_Toc292559361"/>
      <w:bookmarkStart w:id="41" w:name="_Toc297120456"/>
      <w:bookmarkStart w:id="42" w:name="_Toc296891196"/>
      <w:bookmarkStart w:id="43" w:name="_Toc296890984"/>
      <w:bookmarkStart w:id="44" w:name="_Toc296944495"/>
      <w:bookmarkStart w:id="45" w:name="_Toc296503156"/>
      <w:bookmarkStart w:id="46" w:name="_Toc292559866"/>
      <w:bookmarkStart w:id="47" w:name="_Toc296347155"/>
      <w:bookmarkStart w:id="48" w:name="_Toc296346657"/>
      <w:bookmarkStart w:id="49" w:name="_Toc297048342"/>
      <w:r>
        <w:rPr>
          <w:b/>
          <w:color w:val="auto"/>
          <w:szCs w:val="21"/>
          <w:highlight w:val="none"/>
        </w:rPr>
        <w:t xml:space="preserve">. </w:t>
      </w:r>
      <w:r>
        <w:rPr>
          <w:rFonts w:hint="eastAsia"/>
          <w:b/>
          <w:color w:val="auto"/>
          <w:szCs w:val="21"/>
          <w:highlight w:val="none"/>
        </w:rPr>
        <w:t>一般约定</w:t>
      </w:r>
      <w:bookmarkEnd w:id="39"/>
    </w:p>
    <w:bookmarkEnd w:id="40"/>
    <w:bookmarkEnd w:id="41"/>
    <w:bookmarkEnd w:id="42"/>
    <w:bookmarkEnd w:id="43"/>
    <w:bookmarkEnd w:id="44"/>
    <w:bookmarkEnd w:id="45"/>
    <w:bookmarkEnd w:id="46"/>
    <w:bookmarkEnd w:id="47"/>
    <w:bookmarkEnd w:id="48"/>
    <w:bookmarkEnd w:id="49"/>
    <w:p w14:paraId="29782424">
      <w:pPr>
        <w:spacing w:after="120" w:line="460" w:lineRule="exact"/>
        <w:ind w:firstLine="420" w:firstLineChars="200"/>
        <w:rPr>
          <w:color w:val="auto"/>
          <w:szCs w:val="21"/>
          <w:highlight w:val="none"/>
        </w:rPr>
      </w:pPr>
      <w:r>
        <w:rPr>
          <w:color w:val="auto"/>
          <w:szCs w:val="21"/>
          <w:highlight w:val="none"/>
        </w:rPr>
        <w:t xml:space="preserve">1.1 </w:t>
      </w:r>
      <w:r>
        <w:rPr>
          <w:rFonts w:hint="eastAsia"/>
          <w:color w:val="auto"/>
          <w:szCs w:val="21"/>
          <w:highlight w:val="none"/>
        </w:rPr>
        <w:t>词语定义</w:t>
      </w:r>
    </w:p>
    <w:p w14:paraId="2B0BA0B4">
      <w:pPr>
        <w:spacing w:line="460" w:lineRule="exact"/>
        <w:ind w:firstLine="420" w:firstLineChars="200"/>
        <w:rPr>
          <w:color w:val="auto"/>
          <w:szCs w:val="21"/>
          <w:highlight w:val="none"/>
        </w:rPr>
      </w:pPr>
      <w:r>
        <w:rPr>
          <w:color w:val="auto"/>
          <w:szCs w:val="21"/>
          <w:highlight w:val="none"/>
        </w:rPr>
        <w:t>1.1.1</w:t>
      </w:r>
      <w:r>
        <w:rPr>
          <w:rFonts w:hint="eastAsia"/>
          <w:color w:val="auto"/>
          <w:szCs w:val="21"/>
          <w:highlight w:val="none"/>
        </w:rPr>
        <w:t>合同</w:t>
      </w:r>
    </w:p>
    <w:p w14:paraId="704F2C67">
      <w:pPr>
        <w:spacing w:line="460" w:lineRule="exact"/>
        <w:ind w:firstLine="420" w:firstLineChars="200"/>
        <w:rPr>
          <w:color w:val="auto"/>
          <w:szCs w:val="21"/>
          <w:highlight w:val="none"/>
        </w:rPr>
      </w:pPr>
      <w:r>
        <w:rPr>
          <w:color w:val="auto"/>
          <w:szCs w:val="21"/>
          <w:highlight w:val="none"/>
        </w:rPr>
        <w:t>1.1.1.10</w:t>
      </w:r>
      <w:r>
        <w:rPr>
          <w:rFonts w:hint="eastAsia"/>
          <w:color w:val="auto"/>
          <w:szCs w:val="21"/>
          <w:highlight w:val="none"/>
        </w:rPr>
        <w:t>其他合同文件包括：</w:t>
      </w:r>
      <w:r>
        <w:rPr>
          <w:rFonts w:hint="eastAsia" w:ascii="MingLiU_HKSCS" w:hAnsi="MingLiU_HKSCS" w:cs="MingLiU_HKSCS"/>
          <w:b/>
          <w:bCs/>
          <w:color w:val="auto"/>
          <w:szCs w:val="21"/>
          <w:highlight w:val="none"/>
          <w:u w:val="single"/>
          <w:lang w:val="zh-CN" w:eastAsia="zh-CN" w:bidi="ar-SA"/>
        </w:rPr>
        <w:t>（1）发包人与承包人协商备忘、合同补充文件；（2）招标文件有书面答疑等补充修改文件；（3）发包人认可的设计变更；（4）经发包人确认有效的工程签证单</w:t>
      </w:r>
      <w:r>
        <w:rPr>
          <w:rFonts w:hint="eastAsia"/>
          <w:color w:val="auto"/>
          <w:szCs w:val="21"/>
          <w:highlight w:val="none"/>
        </w:rPr>
        <w:t>。</w:t>
      </w:r>
    </w:p>
    <w:p w14:paraId="4962A9AC">
      <w:pPr>
        <w:spacing w:line="460" w:lineRule="exact"/>
        <w:ind w:firstLine="420" w:firstLineChars="200"/>
        <w:rPr>
          <w:color w:val="auto"/>
          <w:szCs w:val="21"/>
          <w:highlight w:val="none"/>
        </w:rPr>
      </w:pPr>
      <w:r>
        <w:rPr>
          <w:color w:val="auto"/>
          <w:szCs w:val="21"/>
          <w:highlight w:val="none"/>
        </w:rPr>
        <w:t xml:space="preserve">1.1.2 </w:t>
      </w:r>
      <w:r>
        <w:rPr>
          <w:rFonts w:hint="eastAsia"/>
          <w:color w:val="auto"/>
          <w:szCs w:val="21"/>
          <w:highlight w:val="none"/>
        </w:rPr>
        <w:t>合同当事人及其他相关方</w:t>
      </w:r>
    </w:p>
    <w:p w14:paraId="2243E205">
      <w:pPr>
        <w:spacing w:line="460" w:lineRule="exact"/>
        <w:ind w:firstLine="420" w:firstLineChars="200"/>
        <w:rPr>
          <w:color w:val="auto"/>
          <w:szCs w:val="21"/>
          <w:highlight w:val="none"/>
        </w:rPr>
      </w:pPr>
      <w:r>
        <w:rPr>
          <w:color w:val="auto"/>
          <w:szCs w:val="21"/>
          <w:highlight w:val="none"/>
        </w:rPr>
        <w:t>1.1.2.4</w:t>
      </w:r>
      <w:r>
        <w:rPr>
          <w:rFonts w:hint="eastAsia"/>
          <w:color w:val="auto"/>
          <w:szCs w:val="21"/>
          <w:highlight w:val="none"/>
        </w:rPr>
        <w:t>监理人：</w:t>
      </w:r>
    </w:p>
    <w:p w14:paraId="68E49BD4">
      <w:pPr>
        <w:spacing w:line="460" w:lineRule="exact"/>
        <w:ind w:firstLine="420" w:firstLineChars="200"/>
        <w:rPr>
          <w:color w:val="auto"/>
          <w:szCs w:val="21"/>
          <w:highlight w:val="none"/>
        </w:rPr>
      </w:pPr>
      <w:r>
        <w:rPr>
          <w:rFonts w:hint="eastAsia"/>
          <w:color w:val="auto"/>
          <w:szCs w:val="21"/>
          <w:highlight w:val="none"/>
        </w:rPr>
        <w:t>名</w:t>
      </w:r>
      <w:r>
        <w:rPr>
          <w:color w:val="auto"/>
          <w:szCs w:val="21"/>
          <w:highlight w:val="none"/>
        </w:rPr>
        <w:t xml:space="preserve">    </w:t>
      </w:r>
      <w:r>
        <w:rPr>
          <w:rFonts w:hint="eastAsia"/>
          <w:color w:val="auto"/>
          <w:szCs w:val="21"/>
          <w:highlight w:val="none"/>
        </w:rPr>
        <w:t>称：</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u w:val="single"/>
        </w:rPr>
        <w:t xml:space="preserve"> </w:t>
      </w:r>
      <w:r>
        <w:rPr>
          <w:rFonts w:hint="eastAsia"/>
          <w:color w:val="auto"/>
          <w:szCs w:val="21"/>
          <w:highlight w:val="none"/>
        </w:rPr>
        <w:t>；</w:t>
      </w:r>
    </w:p>
    <w:p w14:paraId="746B84C9">
      <w:pPr>
        <w:spacing w:line="460" w:lineRule="exact"/>
        <w:ind w:firstLine="420" w:firstLineChars="200"/>
        <w:rPr>
          <w:color w:val="auto"/>
          <w:szCs w:val="21"/>
          <w:highlight w:val="none"/>
        </w:rPr>
      </w:pPr>
      <w:r>
        <w:rPr>
          <w:rFonts w:hint="eastAsia"/>
          <w:color w:val="auto"/>
          <w:szCs w:val="21"/>
          <w:highlight w:val="none"/>
        </w:rPr>
        <w:t>资质类别和等级：</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120EAE01">
      <w:pPr>
        <w:spacing w:line="460" w:lineRule="exact"/>
        <w:ind w:firstLine="420" w:firstLineChars="200"/>
        <w:rPr>
          <w:color w:val="auto"/>
          <w:szCs w:val="21"/>
          <w:highlight w:val="none"/>
        </w:rPr>
      </w:pPr>
      <w:r>
        <w:rPr>
          <w:rFonts w:hint="eastAsia"/>
          <w:color w:val="auto"/>
          <w:szCs w:val="21"/>
          <w:highlight w:val="none"/>
        </w:rPr>
        <w:t>联系电话：</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11051E3E">
      <w:pPr>
        <w:spacing w:line="460" w:lineRule="exact"/>
        <w:ind w:firstLine="420" w:firstLineChars="200"/>
        <w:rPr>
          <w:color w:val="auto"/>
          <w:szCs w:val="21"/>
          <w:highlight w:val="none"/>
        </w:rPr>
      </w:pPr>
      <w:r>
        <w:rPr>
          <w:rFonts w:hint="eastAsia"/>
          <w:color w:val="auto"/>
          <w:szCs w:val="21"/>
          <w:highlight w:val="none"/>
        </w:rPr>
        <w:t>电子信箱：</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73213F16">
      <w:pPr>
        <w:spacing w:line="460" w:lineRule="exact"/>
        <w:ind w:firstLine="420" w:firstLineChars="200"/>
        <w:rPr>
          <w:color w:val="auto"/>
          <w:szCs w:val="21"/>
          <w:highlight w:val="none"/>
        </w:rPr>
      </w:pPr>
      <w:r>
        <w:rPr>
          <w:rFonts w:hint="eastAsia"/>
          <w:color w:val="auto"/>
          <w:szCs w:val="21"/>
          <w:highlight w:val="none"/>
        </w:rPr>
        <w:t>通信地址：</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42D13F8C">
      <w:pPr>
        <w:spacing w:line="460" w:lineRule="exact"/>
        <w:ind w:firstLine="420" w:firstLineChars="200"/>
        <w:rPr>
          <w:color w:val="auto"/>
          <w:szCs w:val="21"/>
          <w:highlight w:val="none"/>
        </w:rPr>
      </w:pPr>
      <w:r>
        <w:rPr>
          <w:color w:val="auto"/>
          <w:szCs w:val="21"/>
          <w:highlight w:val="none"/>
        </w:rPr>
        <w:t xml:space="preserve">1.1.2.5 </w:t>
      </w:r>
      <w:r>
        <w:rPr>
          <w:rFonts w:hint="eastAsia"/>
          <w:color w:val="auto"/>
          <w:szCs w:val="21"/>
          <w:highlight w:val="none"/>
        </w:rPr>
        <w:t>设计人：</w:t>
      </w:r>
    </w:p>
    <w:p w14:paraId="087FE685">
      <w:pPr>
        <w:spacing w:line="460" w:lineRule="exact"/>
        <w:ind w:firstLine="420" w:firstLineChars="200"/>
        <w:rPr>
          <w:color w:val="auto"/>
          <w:szCs w:val="21"/>
          <w:highlight w:val="none"/>
        </w:rPr>
      </w:pPr>
      <w:r>
        <w:rPr>
          <w:rFonts w:hint="eastAsia"/>
          <w:color w:val="auto"/>
          <w:szCs w:val="21"/>
          <w:highlight w:val="none"/>
        </w:rPr>
        <w:t>名</w:t>
      </w:r>
      <w:r>
        <w:rPr>
          <w:color w:val="auto"/>
          <w:szCs w:val="21"/>
          <w:highlight w:val="none"/>
        </w:rPr>
        <w:t xml:space="preserve">    </w:t>
      </w:r>
      <w:r>
        <w:rPr>
          <w:rFonts w:hint="eastAsia"/>
          <w:color w:val="auto"/>
          <w:szCs w:val="21"/>
          <w:highlight w:val="none"/>
        </w:rPr>
        <w:t>称：</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u w:val="single"/>
        </w:rPr>
        <w:t xml:space="preserve"> </w:t>
      </w:r>
      <w:r>
        <w:rPr>
          <w:rFonts w:hint="eastAsia"/>
          <w:color w:val="auto"/>
          <w:szCs w:val="21"/>
          <w:highlight w:val="none"/>
        </w:rPr>
        <w:t>；</w:t>
      </w:r>
    </w:p>
    <w:p w14:paraId="7E776125">
      <w:pPr>
        <w:spacing w:line="460" w:lineRule="exact"/>
        <w:ind w:firstLine="420" w:firstLineChars="200"/>
        <w:rPr>
          <w:color w:val="auto"/>
          <w:szCs w:val="21"/>
          <w:highlight w:val="none"/>
        </w:rPr>
      </w:pPr>
      <w:r>
        <w:rPr>
          <w:rFonts w:hint="eastAsia"/>
          <w:color w:val="auto"/>
          <w:szCs w:val="21"/>
          <w:highlight w:val="none"/>
        </w:rPr>
        <w:t>资质类别和等级：</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36533987">
      <w:pPr>
        <w:spacing w:line="460" w:lineRule="exact"/>
        <w:ind w:firstLine="420" w:firstLineChars="200"/>
        <w:rPr>
          <w:color w:val="auto"/>
          <w:szCs w:val="21"/>
          <w:highlight w:val="none"/>
        </w:rPr>
      </w:pPr>
      <w:r>
        <w:rPr>
          <w:rFonts w:hint="eastAsia"/>
          <w:color w:val="auto"/>
          <w:szCs w:val="21"/>
          <w:highlight w:val="none"/>
        </w:rPr>
        <w:t>联系电话：</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3EBA7907">
      <w:pPr>
        <w:spacing w:line="460" w:lineRule="exact"/>
        <w:ind w:firstLine="420" w:firstLineChars="200"/>
        <w:rPr>
          <w:color w:val="auto"/>
          <w:szCs w:val="21"/>
          <w:highlight w:val="none"/>
        </w:rPr>
      </w:pPr>
      <w:r>
        <w:rPr>
          <w:rFonts w:hint="eastAsia"/>
          <w:color w:val="auto"/>
          <w:szCs w:val="21"/>
          <w:highlight w:val="none"/>
        </w:rPr>
        <w:t>电子信箱：</w:t>
      </w:r>
      <w:r>
        <w:rPr>
          <w:rFonts w:hint="eastAsia" w:ascii="MingLiU_HKSCS" w:hAnsi="MingLiU_HKSCS" w:cs="MingLiU_HKSCS"/>
          <w:color w:val="auto"/>
          <w:szCs w:val="21"/>
          <w:highlight w:val="none"/>
          <w:u w:val="single"/>
          <w:lang w:bidi="ar-SA"/>
        </w:rPr>
        <w:t xml:space="preserve">             </w:t>
      </w:r>
      <w:r>
        <w:rPr>
          <w:color w:val="auto"/>
          <w:szCs w:val="21"/>
          <w:highlight w:val="none"/>
          <w:u w:val="single"/>
        </w:rPr>
        <w:t xml:space="preserve"> </w:t>
      </w:r>
      <w:r>
        <w:rPr>
          <w:rFonts w:hint="eastAsia"/>
          <w:color w:val="auto"/>
          <w:szCs w:val="21"/>
          <w:highlight w:val="none"/>
        </w:rPr>
        <w:t>；</w:t>
      </w:r>
    </w:p>
    <w:p w14:paraId="46D90B98">
      <w:pPr>
        <w:spacing w:line="460" w:lineRule="exact"/>
        <w:ind w:firstLine="420" w:firstLineChars="200"/>
        <w:rPr>
          <w:color w:val="auto"/>
          <w:szCs w:val="21"/>
          <w:highlight w:val="none"/>
        </w:rPr>
      </w:pPr>
      <w:r>
        <w:rPr>
          <w:rFonts w:hint="eastAsia"/>
          <w:color w:val="auto"/>
          <w:szCs w:val="21"/>
          <w:highlight w:val="none"/>
        </w:rPr>
        <w:t>通信地址：</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4D5FFBDB">
      <w:pPr>
        <w:spacing w:line="460" w:lineRule="exact"/>
        <w:ind w:firstLine="420" w:firstLineChars="200"/>
        <w:rPr>
          <w:color w:val="auto"/>
          <w:szCs w:val="21"/>
          <w:highlight w:val="none"/>
        </w:rPr>
      </w:pPr>
      <w:r>
        <w:rPr>
          <w:color w:val="auto"/>
          <w:szCs w:val="21"/>
          <w:highlight w:val="none"/>
        </w:rPr>
        <w:t xml:space="preserve">1.1.3 </w:t>
      </w:r>
      <w:r>
        <w:rPr>
          <w:rFonts w:hint="eastAsia"/>
          <w:color w:val="auto"/>
          <w:szCs w:val="21"/>
          <w:highlight w:val="none"/>
        </w:rPr>
        <w:t>工程和设备</w:t>
      </w:r>
    </w:p>
    <w:p w14:paraId="7AE17F8C">
      <w:pPr>
        <w:spacing w:line="460" w:lineRule="exact"/>
        <w:ind w:firstLine="420" w:firstLineChars="200"/>
        <w:rPr>
          <w:color w:val="auto"/>
          <w:szCs w:val="21"/>
          <w:highlight w:val="none"/>
          <w:u w:val="single"/>
        </w:rPr>
      </w:pPr>
      <w:r>
        <w:rPr>
          <w:color w:val="auto"/>
          <w:szCs w:val="21"/>
          <w:highlight w:val="none"/>
        </w:rPr>
        <w:t xml:space="preserve">1.1.3.7 </w:t>
      </w:r>
      <w:r>
        <w:rPr>
          <w:rFonts w:hint="eastAsia"/>
          <w:color w:val="auto"/>
          <w:szCs w:val="21"/>
          <w:highlight w:val="none"/>
        </w:rPr>
        <w:t>作为施工现场组成部分的其他场所包括：</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18FC45FB">
      <w:pPr>
        <w:spacing w:line="460" w:lineRule="exact"/>
        <w:ind w:firstLine="420" w:firstLineChars="200"/>
        <w:rPr>
          <w:color w:val="auto"/>
          <w:szCs w:val="21"/>
          <w:highlight w:val="none"/>
        </w:rPr>
      </w:pPr>
      <w:r>
        <w:rPr>
          <w:color w:val="auto"/>
          <w:szCs w:val="21"/>
          <w:highlight w:val="none"/>
        </w:rPr>
        <w:t xml:space="preserve">1.1.3.9 </w:t>
      </w:r>
      <w:r>
        <w:rPr>
          <w:rFonts w:hint="eastAsia"/>
          <w:color w:val="auto"/>
          <w:szCs w:val="21"/>
          <w:highlight w:val="none"/>
        </w:rPr>
        <w:t>永久占地包括：</w:t>
      </w:r>
      <w:r>
        <w:rPr>
          <w:color w:val="auto"/>
          <w:szCs w:val="21"/>
          <w:highlight w:val="none"/>
          <w:u w:val="single"/>
        </w:rPr>
        <w:t xml:space="preserve">           </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73FF5878">
      <w:pPr>
        <w:spacing w:line="460" w:lineRule="exact"/>
        <w:ind w:firstLine="420" w:firstLineChars="200"/>
        <w:rPr>
          <w:color w:val="auto"/>
          <w:szCs w:val="21"/>
          <w:highlight w:val="none"/>
        </w:rPr>
      </w:pPr>
      <w:r>
        <w:rPr>
          <w:color w:val="auto"/>
          <w:szCs w:val="21"/>
          <w:highlight w:val="none"/>
        </w:rPr>
        <w:t xml:space="preserve">1.1.3.10 </w:t>
      </w:r>
      <w:r>
        <w:rPr>
          <w:rFonts w:hint="eastAsia"/>
          <w:color w:val="auto"/>
          <w:szCs w:val="21"/>
          <w:highlight w:val="none"/>
        </w:rPr>
        <w:t>临时占地包括：</w:t>
      </w:r>
      <w:r>
        <w:rPr>
          <w:color w:val="auto"/>
          <w:szCs w:val="21"/>
          <w:highlight w:val="none"/>
          <w:u w:val="single"/>
        </w:rPr>
        <w:t xml:space="preserve">           </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116E5855">
      <w:pPr>
        <w:spacing w:after="120" w:line="460" w:lineRule="exact"/>
        <w:ind w:firstLine="420" w:firstLineChars="200"/>
        <w:rPr>
          <w:rFonts w:hint="eastAsia"/>
          <w:color w:val="auto"/>
          <w:szCs w:val="21"/>
          <w:highlight w:val="none"/>
        </w:rPr>
      </w:pPr>
      <w:r>
        <w:rPr>
          <w:color w:val="auto"/>
          <w:szCs w:val="21"/>
          <w:highlight w:val="none"/>
        </w:rPr>
        <w:t>1.3</w:t>
      </w:r>
      <w:r>
        <w:rPr>
          <w:rFonts w:hint="eastAsia"/>
          <w:color w:val="auto"/>
          <w:szCs w:val="21"/>
          <w:highlight w:val="none"/>
        </w:rPr>
        <w:t>法律</w:t>
      </w:r>
      <w:r>
        <w:rPr>
          <w:color w:val="auto"/>
          <w:szCs w:val="21"/>
          <w:highlight w:val="none"/>
        </w:rPr>
        <w:t xml:space="preserve"> </w:t>
      </w:r>
    </w:p>
    <w:p w14:paraId="0BC3B4D9">
      <w:pPr>
        <w:spacing w:after="120" w:line="460" w:lineRule="exact"/>
        <w:ind w:firstLine="420" w:firstLineChars="200"/>
        <w:rPr>
          <w:color w:val="auto"/>
          <w:szCs w:val="21"/>
          <w:highlight w:val="none"/>
        </w:rPr>
      </w:pPr>
      <w:r>
        <w:rPr>
          <w:rFonts w:hint="eastAsia"/>
          <w:color w:val="auto"/>
          <w:szCs w:val="21"/>
          <w:highlight w:val="none"/>
        </w:rPr>
        <w:t>适用于合同的其他规范性文件：</w:t>
      </w:r>
      <w:r>
        <w:rPr>
          <w:rFonts w:hint="eastAsia"/>
          <w:b/>
          <w:bCs/>
          <w:color w:val="auto"/>
          <w:szCs w:val="21"/>
          <w:highlight w:val="none"/>
          <w:u w:val="single"/>
          <w:lang w:eastAsia="zh-TW"/>
        </w:rPr>
        <w:t>《中华人民共和国建筑法</w:t>
      </w:r>
      <w:r>
        <w:rPr>
          <w:rFonts w:hint="eastAsia"/>
          <w:b/>
          <w:bCs/>
          <w:color w:val="auto"/>
          <w:szCs w:val="21"/>
          <w:highlight w:val="none"/>
          <w:u w:val="single"/>
          <w:lang w:eastAsia="zh-CN"/>
        </w:rPr>
        <w:t>》《</w:t>
      </w:r>
      <w:r>
        <w:rPr>
          <w:rFonts w:hint="eastAsia"/>
          <w:b/>
          <w:bCs/>
          <w:color w:val="auto"/>
          <w:szCs w:val="21"/>
          <w:highlight w:val="none"/>
          <w:u w:val="single"/>
          <w:lang w:eastAsia="zh-TW"/>
        </w:rPr>
        <w:t>中华人民共和国</w:t>
      </w:r>
      <w:r>
        <w:rPr>
          <w:rFonts w:hint="eastAsia"/>
          <w:b/>
          <w:bCs/>
          <w:color w:val="auto"/>
          <w:szCs w:val="21"/>
          <w:highlight w:val="none"/>
          <w:u w:val="single"/>
        </w:rPr>
        <w:t>民法典</w:t>
      </w:r>
      <w:r>
        <w:rPr>
          <w:rFonts w:hint="eastAsia"/>
          <w:b/>
          <w:bCs/>
          <w:color w:val="auto"/>
          <w:szCs w:val="21"/>
          <w:highlight w:val="none"/>
          <w:u w:val="single"/>
          <w:lang w:eastAsia="zh-CN"/>
        </w:rPr>
        <w:t>》《</w:t>
      </w:r>
      <w:r>
        <w:rPr>
          <w:rFonts w:hint="eastAsia"/>
          <w:b/>
          <w:bCs/>
          <w:color w:val="auto"/>
          <w:szCs w:val="21"/>
          <w:highlight w:val="none"/>
          <w:u w:val="single"/>
          <w:lang w:eastAsia="zh-TW"/>
        </w:rPr>
        <w:t>中华人民共和国招标投标法》、七部委第</w:t>
      </w:r>
      <w:r>
        <w:rPr>
          <w:b/>
          <w:bCs/>
          <w:color w:val="auto"/>
          <w:szCs w:val="21"/>
          <w:highlight w:val="none"/>
          <w:u w:val="single"/>
        </w:rPr>
        <w:t xml:space="preserve"> 12 </w:t>
      </w:r>
      <w:r>
        <w:rPr>
          <w:rFonts w:hint="eastAsia"/>
          <w:b/>
          <w:bCs/>
          <w:color w:val="auto"/>
          <w:szCs w:val="21"/>
          <w:highlight w:val="none"/>
          <w:u w:val="single"/>
          <w:lang w:eastAsia="zh-TW"/>
        </w:rPr>
        <w:t>号令《评标委员会和评标方法暂行规定》、建设部第</w:t>
      </w:r>
      <w:r>
        <w:rPr>
          <w:b/>
          <w:bCs/>
          <w:color w:val="auto"/>
          <w:szCs w:val="21"/>
          <w:highlight w:val="none"/>
          <w:u w:val="single"/>
        </w:rPr>
        <w:t>89</w:t>
      </w:r>
      <w:r>
        <w:rPr>
          <w:rFonts w:hint="eastAsia"/>
          <w:b/>
          <w:bCs/>
          <w:color w:val="auto"/>
          <w:szCs w:val="21"/>
          <w:highlight w:val="none"/>
          <w:u w:val="single"/>
          <w:lang w:eastAsia="zh-TW"/>
        </w:rPr>
        <w:t>号令《房屋建筑和市政基础设施工程施工招标投标管理办法》</w:t>
      </w:r>
      <w:r>
        <w:rPr>
          <w:rFonts w:hint="eastAsia"/>
          <w:b/>
          <w:bCs/>
          <w:color w:val="auto"/>
          <w:szCs w:val="21"/>
          <w:highlight w:val="none"/>
          <w:u w:val="single"/>
        </w:rPr>
        <w:t>、七部委第30号令、《建设工程质量管理条例》（国务院第279号令）、《江苏省工程建设管理条例</w:t>
      </w:r>
      <w:r>
        <w:rPr>
          <w:rFonts w:hint="eastAsia"/>
          <w:b/>
          <w:bCs/>
          <w:color w:val="auto"/>
          <w:szCs w:val="21"/>
          <w:highlight w:val="none"/>
          <w:u w:val="single"/>
          <w:lang w:eastAsia="zh-CN"/>
        </w:rPr>
        <w:t>》《</w:t>
      </w:r>
      <w:r>
        <w:rPr>
          <w:rFonts w:hint="eastAsia"/>
          <w:b/>
          <w:bCs/>
          <w:color w:val="auto"/>
          <w:szCs w:val="21"/>
          <w:highlight w:val="none"/>
          <w:u w:val="single"/>
        </w:rPr>
        <w:t>江苏省建筑市场管理条例</w:t>
      </w:r>
      <w:r>
        <w:rPr>
          <w:rFonts w:hint="eastAsia"/>
          <w:b/>
          <w:bCs/>
          <w:color w:val="auto"/>
          <w:szCs w:val="21"/>
          <w:highlight w:val="none"/>
          <w:u w:val="single"/>
          <w:lang w:eastAsia="zh-CN"/>
        </w:rPr>
        <w:t>》《</w:t>
      </w:r>
      <w:r>
        <w:rPr>
          <w:rFonts w:hint="eastAsia"/>
          <w:b/>
          <w:bCs/>
          <w:color w:val="auto"/>
          <w:szCs w:val="21"/>
          <w:highlight w:val="none"/>
          <w:u w:val="single"/>
        </w:rPr>
        <w:t>中华人民共和国环境噪声污染防治法》等</w:t>
      </w:r>
      <w:r>
        <w:rPr>
          <w:color w:val="auto"/>
          <w:szCs w:val="21"/>
          <w:highlight w:val="none"/>
          <w:u w:val="single"/>
        </w:rPr>
        <w:t xml:space="preserve">  </w:t>
      </w:r>
      <w:r>
        <w:rPr>
          <w:rFonts w:hint="eastAsia"/>
          <w:color w:val="auto"/>
          <w:szCs w:val="21"/>
          <w:highlight w:val="none"/>
        </w:rPr>
        <w:t>。</w:t>
      </w:r>
    </w:p>
    <w:p w14:paraId="778CFEA7">
      <w:pPr>
        <w:spacing w:line="460" w:lineRule="exact"/>
        <w:ind w:firstLine="420" w:firstLineChars="200"/>
        <w:rPr>
          <w:color w:val="auto"/>
          <w:szCs w:val="21"/>
          <w:highlight w:val="none"/>
        </w:rPr>
      </w:pPr>
      <w:r>
        <w:rPr>
          <w:color w:val="auto"/>
          <w:szCs w:val="21"/>
          <w:highlight w:val="none"/>
        </w:rPr>
        <w:t xml:space="preserve">1.4 </w:t>
      </w:r>
      <w:r>
        <w:rPr>
          <w:rFonts w:hint="eastAsia"/>
          <w:color w:val="auto"/>
          <w:szCs w:val="21"/>
          <w:highlight w:val="none"/>
        </w:rPr>
        <w:t>标准和规范</w:t>
      </w:r>
    </w:p>
    <w:p w14:paraId="2095CE35">
      <w:pPr>
        <w:spacing w:line="460" w:lineRule="exact"/>
        <w:ind w:firstLine="420" w:firstLineChars="200"/>
        <w:rPr>
          <w:color w:val="auto"/>
          <w:szCs w:val="21"/>
          <w:highlight w:val="none"/>
        </w:rPr>
      </w:pPr>
      <w:r>
        <w:rPr>
          <w:color w:val="auto"/>
          <w:szCs w:val="21"/>
          <w:highlight w:val="none"/>
        </w:rPr>
        <w:t>1.4.1</w:t>
      </w:r>
      <w:r>
        <w:rPr>
          <w:rFonts w:hint="eastAsia"/>
          <w:color w:val="auto"/>
          <w:szCs w:val="21"/>
          <w:highlight w:val="none"/>
        </w:rPr>
        <w:t>适用于工程的标准规范包括：</w:t>
      </w:r>
      <w:r>
        <w:rPr>
          <w:rFonts w:hint="eastAsia"/>
          <w:b/>
          <w:bCs/>
          <w:color w:val="auto"/>
          <w:szCs w:val="21"/>
          <w:highlight w:val="none"/>
          <w:u w:val="single"/>
        </w:rPr>
        <w:t>中华人民共和国颁发的有关标准、规范及省、市有关规定。当标准互相矛盾时，以最新和最严格的为准。发包人不提供标准和规范，由承包人自备。</w:t>
      </w:r>
    </w:p>
    <w:p w14:paraId="28EB3712">
      <w:pPr>
        <w:spacing w:line="460" w:lineRule="exact"/>
        <w:ind w:firstLine="420" w:firstLineChars="200"/>
        <w:rPr>
          <w:color w:val="auto"/>
          <w:szCs w:val="21"/>
          <w:highlight w:val="none"/>
        </w:rPr>
      </w:pPr>
      <w:r>
        <w:rPr>
          <w:color w:val="auto"/>
          <w:szCs w:val="21"/>
          <w:highlight w:val="none"/>
        </w:rPr>
        <w:t xml:space="preserve">1.4.2 </w:t>
      </w:r>
      <w:r>
        <w:rPr>
          <w:rFonts w:hint="eastAsia"/>
          <w:color w:val="auto"/>
          <w:szCs w:val="21"/>
          <w:highlight w:val="none"/>
        </w:rPr>
        <w:t>发包人提供国外标准、规范的名称：</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22027DC2">
      <w:pPr>
        <w:spacing w:line="460" w:lineRule="exact"/>
        <w:ind w:firstLine="420" w:firstLineChars="200"/>
        <w:rPr>
          <w:color w:val="auto"/>
          <w:szCs w:val="21"/>
          <w:highlight w:val="none"/>
        </w:rPr>
      </w:pPr>
      <w:r>
        <w:rPr>
          <w:rFonts w:hint="eastAsia"/>
          <w:color w:val="auto"/>
          <w:szCs w:val="21"/>
          <w:highlight w:val="none"/>
        </w:rPr>
        <w:t>发包人提供国外标准、规范的份数：</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1E2E19B6">
      <w:pPr>
        <w:spacing w:line="460" w:lineRule="exact"/>
        <w:ind w:firstLine="420" w:firstLineChars="200"/>
        <w:rPr>
          <w:color w:val="auto"/>
          <w:szCs w:val="21"/>
          <w:highlight w:val="none"/>
        </w:rPr>
      </w:pPr>
      <w:r>
        <w:rPr>
          <w:rFonts w:hint="eastAsia"/>
          <w:color w:val="auto"/>
          <w:szCs w:val="21"/>
          <w:highlight w:val="none"/>
        </w:rPr>
        <w:t>发包人提供国外标准、规范的名称：</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21530A37">
      <w:pPr>
        <w:spacing w:line="460" w:lineRule="exact"/>
        <w:ind w:firstLine="420" w:firstLineChars="200"/>
        <w:rPr>
          <w:color w:val="auto"/>
          <w:szCs w:val="21"/>
          <w:highlight w:val="none"/>
        </w:rPr>
      </w:pPr>
      <w:r>
        <w:rPr>
          <w:color w:val="auto"/>
          <w:szCs w:val="21"/>
          <w:highlight w:val="none"/>
        </w:rPr>
        <w:t>1.4.3</w:t>
      </w:r>
      <w:r>
        <w:rPr>
          <w:rFonts w:hint="eastAsia"/>
          <w:color w:val="auto"/>
          <w:szCs w:val="21"/>
          <w:highlight w:val="none"/>
        </w:rPr>
        <w:t>发包人对工程的技术标准和功能要求的特殊要求：</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6CA11CC8">
      <w:pPr>
        <w:spacing w:line="460" w:lineRule="exact"/>
        <w:ind w:firstLine="420" w:firstLineChars="200"/>
        <w:rPr>
          <w:color w:val="auto"/>
          <w:szCs w:val="21"/>
          <w:highlight w:val="none"/>
        </w:rPr>
      </w:pPr>
      <w:r>
        <w:rPr>
          <w:color w:val="auto"/>
          <w:szCs w:val="21"/>
          <w:highlight w:val="none"/>
        </w:rPr>
        <w:t xml:space="preserve">1.5 </w:t>
      </w:r>
      <w:r>
        <w:rPr>
          <w:rFonts w:hint="eastAsia"/>
          <w:color w:val="auto"/>
          <w:szCs w:val="21"/>
          <w:highlight w:val="none"/>
        </w:rPr>
        <w:t>合同文件的优先顺序</w:t>
      </w:r>
    </w:p>
    <w:p w14:paraId="7C613050">
      <w:pPr>
        <w:spacing w:line="460" w:lineRule="exact"/>
        <w:ind w:firstLine="420" w:firstLineChars="200"/>
        <w:rPr>
          <w:color w:val="auto"/>
          <w:szCs w:val="21"/>
          <w:highlight w:val="none"/>
          <w:lang w:eastAsia="zh-TW"/>
        </w:rPr>
      </w:pPr>
      <w:r>
        <w:rPr>
          <w:rFonts w:hint="eastAsia"/>
          <w:color w:val="auto"/>
          <w:szCs w:val="21"/>
          <w:highlight w:val="none"/>
        </w:rPr>
        <w:t>合同文件组成及优先顺序为：</w:t>
      </w:r>
      <w:r>
        <w:rPr>
          <w:rFonts w:hint="eastAsia"/>
          <w:color w:val="auto"/>
          <w:szCs w:val="21"/>
          <w:highlight w:val="none"/>
          <w:lang w:eastAsia="zh-CN"/>
        </w:rPr>
        <w:t>（</w:t>
      </w:r>
      <w:r>
        <w:rPr>
          <w:b/>
          <w:bCs/>
          <w:color w:val="auto"/>
          <w:szCs w:val="21"/>
          <w:highlight w:val="none"/>
          <w:u w:val="single"/>
        </w:rPr>
        <w:t>1</w:t>
      </w:r>
      <w:r>
        <w:rPr>
          <w:rFonts w:hint="eastAsia"/>
          <w:b/>
          <w:bCs/>
          <w:color w:val="auto"/>
          <w:szCs w:val="21"/>
          <w:highlight w:val="none"/>
          <w:u w:val="single"/>
          <w:lang w:eastAsia="zh-CN"/>
        </w:rPr>
        <w:t>）</w:t>
      </w:r>
      <w:r>
        <w:rPr>
          <w:rFonts w:hint="eastAsia"/>
          <w:b/>
          <w:bCs/>
          <w:color w:val="auto"/>
          <w:szCs w:val="21"/>
          <w:highlight w:val="none"/>
          <w:u w:val="single"/>
        </w:rPr>
        <w:t>本合同协议书及承诺书；</w:t>
      </w:r>
      <w:r>
        <w:rPr>
          <w:rFonts w:hint="eastAsia"/>
          <w:b/>
          <w:bCs/>
          <w:color w:val="auto"/>
          <w:szCs w:val="21"/>
          <w:highlight w:val="none"/>
          <w:u w:val="single"/>
          <w:lang w:eastAsia="zh-CN"/>
        </w:rPr>
        <w:t>（</w:t>
      </w:r>
      <w:r>
        <w:rPr>
          <w:b/>
          <w:bCs/>
          <w:color w:val="auto"/>
          <w:szCs w:val="21"/>
          <w:highlight w:val="none"/>
          <w:u w:val="single"/>
        </w:rPr>
        <w:t>2</w:t>
      </w:r>
      <w:r>
        <w:rPr>
          <w:rFonts w:hint="eastAsia"/>
          <w:b/>
          <w:bCs/>
          <w:color w:val="auto"/>
          <w:szCs w:val="21"/>
          <w:highlight w:val="none"/>
          <w:u w:val="single"/>
          <w:lang w:eastAsia="zh-CN"/>
        </w:rPr>
        <w:t>）</w:t>
      </w:r>
      <w:r>
        <w:rPr>
          <w:rFonts w:hint="eastAsia"/>
          <w:b/>
          <w:bCs/>
          <w:color w:val="auto"/>
          <w:szCs w:val="21"/>
          <w:highlight w:val="none"/>
          <w:u w:val="single"/>
        </w:rPr>
        <w:t>中标通知书</w:t>
      </w:r>
      <w:r>
        <w:rPr>
          <w:b/>
          <w:bCs/>
          <w:color w:val="auto"/>
          <w:szCs w:val="21"/>
          <w:highlight w:val="none"/>
          <w:u w:val="single"/>
        </w:rPr>
        <w:t>；</w:t>
      </w:r>
      <w:r>
        <w:rPr>
          <w:rFonts w:hint="eastAsia"/>
          <w:b/>
          <w:bCs/>
          <w:color w:val="auto"/>
          <w:szCs w:val="21"/>
          <w:highlight w:val="none"/>
          <w:u w:val="single"/>
          <w:lang w:eastAsia="zh-CN"/>
        </w:rPr>
        <w:t>（</w:t>
      </w:r>
      <w:r>
        <w:rPr>
          <w:b/>
          <w:bCs/>
          <w:color w:val="auto"/>
          <w:szCs w:val="21"/>
          <w:highlight w:val="none"/>
          <w:u w:val="single"/>
        </w:rPr>
        <w:t>3</w:t>
      </w:r>
      <w:r>
        <w:rPr>
          <w:rFonts w:hint="eastAsia"/>
          <w:b/>
          <w:bCs/>
          <w:color w:val="auto"/>
          <w:szCs w:val="21"/>
          <w:highlight w:val="none"/>
          <w:u w:val="single"/>
          <w:lang w:eastAsia="zh-CN"/>
        </w:rPr>
        <w:t>）</w:t>
      </w:r>
      <w:r>
        <w:rPr>
          <w:rFonts w:hint="eastAsia"/>
          <w:b/>
          <w:bCs/>
          <w:color w:val="auto"/>
          <w:szCs w:val="21"/>
          <w:highlight w:val="none"/>
          <w:u w:val="single"/>
        </w:rPr>
        <w:t>招标文件及其附件；</w:t>
      </w:r>
      <w:r>
        <w:rPr>
          <w:rFonts w:hint="eastAsia"/>
          <w:b/>
          <w:bCs/>
          <w:color w:val="auto"/>
          <w:szCs w:val="21"/>
          <w:highlight w:val="none"/>
          <w:u w:val="single"/>
          <w:lang w:eastAsia="zh-CN"/>
        </w:rPr>
        <w:t>（</w:t>
      </w:r>
      <w:r>
        <w:rPr>
          <w:rFonts w:hint="eastAsia"/>
          <w:b/>
          <w:bCs/>
          <w:color w:val="auto"/>
          <w:szCs w:val="21"/>
          <w:highlight w:val="none"/>
          <w:u w:val="single"/>
        </w:rPr>
        <w:t>4</w:t>
      </w:r>
      <w:r>
        <w:rPr>
          <w:rFonts w:hint="eastAsia"/>
          <w:b/>
          <w:bCs/>
          <w:color w:val="auto"/>
          <w:szCs w:val="21"/>
          <w:highlight w:val="none"/>
          <w:u w:val="single"/>
          <w:lang w:eastAsia="zh-CN"/>
        </w:rPr>
        <w:t>）</w:t>
      </w:r>
      <w:r>
        <w:rPr>
          <w:rFonts w:hint="eastAsia"/>
          <w:b/>
          <w:bCs/>
          <w:color w:val="auto"/>
          <w:szCs w:val="21"/>
          <w:highlight w:val="none"/>
          <w:u w:val="single"/>
        </w:rPr>
        <w:t xml:space="preserve"> 本合同</w:t>
      </w:r>
      <w:r>
        <w:rPr>
          <w:rFonts w:hint="eastAsia"/>
          <w:b/>
          <w:bCs/>
          <w:color w:val="auto"/>
          <w:szCs w:val="21"/>
          <w:highlight w:val="none"/>
          <w:u w:val="single"/>
          <w:lang w:eastAsia="zh-TW"/>
        </w:rPr>
        <w:t>专用条款</w:t>
      </w:r>
      <w:r>
        <w:rPr>
          <w:b/>
          <w:bCs/>
          <w:color w:val="auto"/>
          <w:szCs w:val="21"/>
          <w:highlight w:val="none"/>
          <w:u w:val="single"/>
        </w:rPr>
        <w:t>；</w:t>
      </w:r>
      <w:r>
        <w:rPr>
          <w:rFonts w:hint="eastAsia"/>
          <w:b/>
          <w:bCs/>
          <w:color w:val="auto"/>
          <w:szCs w:val="21"/>
          <w:highlight w:val="none"/>
          <w:u w:val="single"/>
          <w:lang w:eastAsia="zh-CN"/>
        </w:rPr>
        <w:t>（</w:t>
      </w:r>
      <w:r>
        <w:rPr>
          <w:rFonts w:hint="eastAsia"/>
          <w:b/>
          <w:bCs/>
          <w:color w:val="auto"/>
          <w:szCs w:val="21"/>
          <w:highlight w:val="none"/>
          <w:u w:val="single"/>
        </w:rPr>
        <w:t>5</w:t>
      </w:r>
      <w:r>
        <w:rPr>
          <w:rFonts w:hint="eastAsia"/>
          <w:b/>
          <w:bCs/>
          <w:color w:val="auto"/>
          <w:szCs w:val="21"/>
          <w:highlight w:val="none"/>
          <w:u w:val="single"/>
          <w:lang w:eastAsia="zh-CN"/>
        </w:rPr>
        <w:t>）</w:t>
      </w:r>
      <w:r>
        <w:rPr>
          <w:rFonts w:hint="eastAsia"/>
          <w:b/>
          <w:bCs/>
          <w:color w:val="auto"/>
          <w:szCs w:val="21"/>
          <w:highlight w:val="none"/>
          <w:u w:val="single"/>
        </w:rPr>
        <w:t xml:space="preserve"> 本合同</w:t>
      </w:r>
      <w:r>
        <w:rPr>
          <w:rFonts w:hint="eastAsia"/>
          <w:b/>
          <w:bCs/>
          <w:color w:val="auto"/>
          <w:szCs w:val="21"/>
          <w:highlight w:val="none"/>
          <w:u w:val="single"/>
          <w:lang w:eastAsia="zh-TW"/>
        </w:rPr>
        <w:t>通用条款</w:t>
      </w:r>
      <w:r>
        <w:rPr>
          <w:b/>
          <w:bCs/>
          <w:color w:val="auto"/>
          <w:szCs w:val="21"/>
          <w:highlight w:val="none"/>
          <w:u w:val="single"/>
        </w:rPr>
        <w:t>；</w:t>
      </w:r>
      <w:r>
        <w:rPr>
          <w:rFonts w:hint="eastAsia"/>
          <w:b/>
          <w:bCs/>
          <w:color w:val="auto"/>
          <w:szCs w:val="21"/>
          <w:highlight w:val="none"/>
          <w:u w:val="single"/>
          <w:lang w:eastAsia="zh-CN"/>
        </w:rPr>
        <w:t>（</w:t>
      </w:r>
      <w:r>
        <w:rPr>
          <w:rFonts w:hint="eastAsia"/>
          <w:b/>
          <w:bCs/>
          <w:color w:val="auto"/>
          <w:szCs w:val="21"/>
          <w:highlight w:val="none"/>
          <w:u w:val="single"/>
        </w:rPr>
        <w:t>6</w:t>
      </w:r>
      <w:r>
        <w:rPr>
          <w:rFonts w:hint="eastAsia"/>
          <w:b/>
          <w:bCs/>
          <w:color w:val="auto"/>
          <w:szCs w:val="21"/>
          <w:highlight w:val="none"/>
          <w:u w:val="single"/>
          <w:lang w:eastAsia="zh-CN"/>
        </w:rPr>
        <w:t>）</w:t>
      </w:r>
      <w:r>
        <w:rPr>
          <w:rFonts w:hint="eastAsia"/>
          <w:b/>
          <w:bCs/>
          <w:color w:val="auto"/>
          <w:szCs w:val="21"/>
          <w:highlight w:val="none"/>
          <w:u w:val="single"/>
          <w:lang w:eastAsia="zh-TW"/>
        </w:rPr>
        <w:t>投标书及其附件</w:t>
      </w:r>
      <w:r>
        <w:rPr>
          <w:b/>
          <w:bCs/>
          <w:color w:val="auto"/>
          <w:szCs w:val="21"/>
          <w:highlight w:val="none"/>
          <w:u w:val="single"/>
        </w:rPr>
        <w:t>；</w:t>
      </w:r>
      <w:r>
        <w:rPr>
          <w:rFonts w:hint="eastAsia"/>
          <w:b/>
          <w:bCs/>
          <w:color w:val="auto"/>
          <w:szCs w:val="21"/>
          <w:highlight w:val="none"/>
          <w:u w:val="single"/>
          <w:lang w:eastAsia="zh-CN"/>
        </w:rPr>
        <w:t>（</w:t>
      </w:r>
      <w:r>
        <w:rPr>
          <w:rFonts w:hint="eastAsia"/>
          <w:b/>
          <w:bCs/>
          <w:color w:val="auto"/>
          <w:szCs w:val="21"/>
          <w:highlight w:val="none"/>
          <w:u w:val="single"/>
        </w:rPr>
        <w:t>7</w:t>
      </w:r>
      <w:r>
        <w:rPr>
          <w:rFonts w:hint="eastAsia"/>
          <w:b/>
          <w:bCs/>
          <w:color w:val="auto"/>
          <w:szCs w:val="21"/>
          <w:highlight w:val="none"/>
          <w:u w:val="single"/>
          <w:lang w:eastAsia="zh-CN"/>
        </w:rPr>
        <w:t>）</w:t>
      </w:r>
      <w:r>
        <w:rPr>
          <w:rFonts w:hint="eastAsia"/>
          <w:b/>
          <w:bCs/>
          <w:color w:val="auto"/>
          <w:szCs w:val="21"/>
          <w:highlight w:val="none"/>
          <w:u w:val="single"/>
          <w:lang w:eastAsia="zh-TW"/>
        </w:rPr>
        <w:t>标准、规范及有关技术资料</w:t>
      </w:r>
      <w:r>
        <w:rPr>
          <w:b/>
          <w:bCs/>
          <w:color w:val="auto"/>
          <w:szCs w:val="21"/>
          <w:highlight w:val="none"/>
          <w:u w:val="single"/>
        </w:rPr>
        <w:t>；</w:t>
      </w:r>
      <w:r>
        <w:rPr>
          <w:rFonts w:hint="eastAsia"/>
          <w:b/>
          <w:bCs/>
          <w:color w:val="auto"/>
          <w:szCs w:val="21"/>
          <w:highlight w:val="none"/>
          <w:u w:val="single"/>
          <w:lang w:eastAsia="zh-CN"/>
        </w:rPr>
        <w:t>（</w:t>
      </w:r>
      <w:r>
        <w:rPr>
          <w:rFonts w:hint="eastAsia"/>
          <w:b/>
          <w:bCs/>
          <w:color w:val="auto"/>
          <w:szCs w:val="21"/>
          <w:highlight w:val="none"/>
          <w:u w:val="single"/>
        </w:rPr>
        <w:t>8</w:t>
      </w:r>
      <w:r>
        <w:rPr>
          <w:rFonts w:hint="eastAsia"/>
          <w:b/>
          <w:bCs/>
          <w:color w:val="auto"/>
          <w:szCs w:val="21"/>
          <w:highlight w:val="none"/>
          <w:u w:val="single"/>
          <w:lang w:eastAsia="zh-CN"/>
        </w:rPr>
        <w:t>）</w:t>
      </w:r>
      <w:r>
        <w:rPr>
          <w:rFonts w:hint="eastAsia"/>
          <w:b/>
          <w:bCs/>
          <w:color w:val="auto"/>
          <w:szCs w:val="21"/>
          <w:highlight w:val="none"/>
          <w:u w:val="single"/>
          <w:lang w:eastAsia="zh-TW"/>
        </w:rPr>
        <w:t>图纸</w:t>
      </w:r>
      <w:r>
        <w:rPr>
          <w:rFonts w:hint="eastAsia"/>
          <w:b/>
          <w:bCs/>
          <w:color w:val="auto"/>
          <w:szCs w:val="21"/>
          <w:highlight w:val="none"/>
          <w:u w:val="single"/>
        </w:rPr>
        <w:t>；</w:t>
      </w:r>
      <w:r>
        <w:rPr>
          <w:rFonts w:hint="eastAsia"/>
          <w:b/>
          <w:bCs/>
          <w:color w:val="auto"/>
          <w:szCs w:val="21"/>
          <w:highlight w:val="none"/>
          <w:u w:val="single"/>
          <w:lang w:eastAsia="zh-CN"/>
        </w:rPr>
        <w:t>（</w:t>
      </w:r>
      <w:r>
        <w:rPr>
          <w:rFonts w:hint="eastAsia"/>
          <w:b/>
          <w:bCs/>
          <w:color w:val="auto"/>
          <w:szCs w:val="21"/>
          <w:highlight w:val="none"/>
          <w:u w:val="single"/>
        </w:rPr>
        <w:t>9</w:t>
      </w:r>
      <w:r>
        <w:rPr>
          <w:rFonts w:hint="eastAsia"/>
          <w:b/>
          <w:bCs/>
          <w:color w:val="auto"/>
          <w:szCs w:val="21"/>
          <w:highlight w:val="none"/>
          <w:u w:val="single"/>
          <w:lang w:eastAsia="zh-CN"/>
        </w:rPr>
        <w:t>）</w:t>
      </w:r>
      <w:r>
        <w:rPr>
          <w:rFonts w:hint="eastAsia"/>
          <w:b/>
          <w:bCs/>
          <w:color w:val="auto"/>
          <w:szCs w:val="21"/>
          <w:highlight w:val="none"/>
          <w:u w:val="single"/>
          <w:lang w:eastAsia="zh-TW"/>
        </w:rPr>
        <w:t>工程报</w:t>
      </w:r>
      <w:r>
        <w:rPr>
          <w:rFonts w:hint="eastAsia"/>
          <w:b/>
          <w:bCs/>
          <w:color w:val="auto"/>
          <w:szCs w:val="21"/>
          <w:highlight w:val="none"/>
          <w:u w:val="single"/>
        </w:rPr>
        <w:t>价</w:t>
      </w:r>
      <w:r>
        <w:rPr>
          <w:rFonts w:hint="eastAsia"/>
          <w:b/>
          <w:bCs/>
          <w:color w:val="auto"/>
          <w:szCs w:val="21"/>
          <w:highlight w:val="none"/>
          <w:u w:val="single"/>
          <w:lang w:eastAsia="zh-TW"/>
        </w:rPr>
        <w:t>单或预算书。</w:t>
      </w:r>
    </w:p>
    <w:p w14:paraId="4E27C317">
      <w:pPr>
        <w:spacing w:line="460" w:lineRule="exact"/>
        <w:ind w:firstLine="420" w:firstLineChars="200"/>
        <w:rPr>
          <w:color w:val="auto"/>
          <w:szCs w:val="21"/>
          <w:highlight w:val="none"/>
        </w:rPr>
      </w:pPr>
      <w:r>
        <w:rPr>
          <w:color w:val="auto"/>
          <w:szCs w:val="21"/>
          <w:highlight w:val="none"/>
        </w:rPr>
        <w:t xml:space="preserve">1.6 </w:t>
      </w:r>
      <w:r>
        <w:rPr>
          <w:rFonts w:hint="eastAsia"/>
          <w:color w:val="auto"/>
          <w:szCs w:val="21"/>
          <w:highlight w:val="none"/>
        </w:rPr>
        <w:t>图纸和承包人文件</w:t>
      </w:r>
      <w:r>
        <w:rPr>
          <w:color w:val="auto"/>
          <w:szCs w:val="21"/>
          <w:highlight w:val="none"/>
        </w:rPr>
        <w:tab/>
      </w:r>
    </w:p>
    <w:p w14:paraId="2F946724">
      <w:pPr>
        <w:spacing w:line="460" w:lineRule="exact"/>
        <w:ind w:firstLine="420" w:firstLineChars="200"/>
        <w:rPr>
          <w:color w:val="auto"/>
          <w:szCs w:val="21"/>
          <w:highlight w:val="none"/>
        </w:rPr>
      </w:pPr>
      <w:r>
        <w:rPr>
          <w:color w:val="auto"/>
          <w:szCs w:val="21"/>
          <w:highlight w:val="none"/>
        </w:rPr>
        <w:t xml:space="preserve">1.6.1 </w:t>
      </w:r>
      <w:r>
        <w:rPr>
          <w:rFonts w:hint="eastAsia"/>
          <w:color w:val="auto"/>
          <w:szCs w:val="21"/>
          <w:highlight w:val="none"/>
        </w:rPr>
        <w:t>图纸的提供</w:t>
      </w:r>
    </w:p>
    <w:p w14:paraId="6BB6953B">
      <w:pPr>
        <w:spacing w:line="460" w:lineRule="exact"/>
        <w:ind w:firstLine="420" w:firstLineChars="200"/>
        <w:rPr>
          <w:color w:val="auto"/>
          <w:szCs w:val="21"/>
          <w:highlight w:val="none"/>
        </w:rPr>
      </w:pPr>
      <w:r>
        <w:rPr>
          <w:rFonts w:hint="eastAsia"/>
          <w:color w:val="auto"/>
          <w:szCs w:val="21"/>
          <w:highlight w:val="none"/>
        </w:rPr>
        <w:t>发包人向承包人提供图纸的期限：</w:t>
      </w:r>
      <w:r>
        <w:rPr>
          <w:rFonts w:hint="eastAsia"/>
          <w:b/>
          <w:bCs/>
          <w:color w:val="auto"/>
          <w:szCs w:val="21"/>
          <w:highlight w:val="none"/>
          <w:u w:val="single"/>
          <w:lang w:eastAsia="zh-TW"/>
        </w:rPr>
        <w:t>开工</w:t>
      </w:r>
      <w:r>
        <w:rPr>
          <w:rFonts w:hint="eastAsia"/>
          <w:b/>
          <w:bCs/>
          <w:color w:val="auto"/>
          <w:szCs w:val="21"/>
          <w:highlight w:val="none"/>
          <w:u w:val="single"/>
        </w:rPr>
        <w:t>前3天</w:t>
      </w:r>
      <w:r>
        <w:rPr>
          <w:rFonts w:hint="eastAsia"/>
          <w:color w:val="auto"/>
          <w:szCs w:val="21"/>
          <w:highlight w:val="none"/>
        </w:rPr>
        <w:t>；</w:t>
      </w:r>
    </w:p>
    <w:p w14:paraId="088AA19D">
      <w:pPr>
        <w:spacing w:line="460" w:lineRule="exact"/>
        <w:ind w:firstLine="420" w:firstLineChars="200"/>
        <w:rPr>
          <w:color w:val="auto"/>
          <w:szCs w:val="21"/>
          <w:highlight w:val="none"/>
        </w:rPr>
      </w:pPr>
      <w:r>
        <w:rPr>
          <w:rFonts w:hint="eastAsia"/>
          <w:color w:val="auto"/>
          <w:szCs w:val="21"/>
          <w:highlight w:val="none"/>
        </w:rPr>
        <w:t>发包人向承包人提供图纸的数量：</w:t>
      </w:r>
      <w:r>
        <w:rPr>
          <w:rFonts w:hint="eastAsia"/>
          <w:b/>
          <w:bCs/>
          <w:color w:val="auto"/>
          <w:szCs w:val="21"/>
          <w:highlight w:val="none"/>
          <w:u w:val="single"/>
        </w:rPr>
        <w:t>4套</w:t>
      </w:r>
      <w:r>
        <w:rPr>
          <w:rFonts w:hint="eastAsia"/>
          <w:color w:val="auto"/>
          <w:szCs w:val="21"/>
          <w:highlight w:val="none"/>
        </w:rPr>
        <w:t>；</w:t>
      </w:r>
    </w:p>
    <w:p w14:paraId="0831449D">
      <w:pPr>
        <w:spacing w:line="460" w:lineRule="exact"/>
        <w:ind w:firstLine="420" w:firstLineChars="200"/>
        <w:rPr>
          <w:color w:val="auto"/>
          <w:szCs w:val="21"/>
          <w:highlight w:val="none"/>
        </w:rPr>
      </w:pPr>
      <w:r>
        <w:rPr>
          <w:rFonts w:hint="eastAsia"/>
          <w:color w:val="auto"/>
          <w:szCs w:val="21"/>
          <w:highlight w:val="none"/>
        </w:rPr>
        <w:t>发包人向承包人提供图纸的内容：</w:t>
      </w:r>
      <w:r>
        <w:rPr>
          <w:rFonts w:hint="eastAsia" w:cs="仿宋_GB2312"/>
          <w:color w:val="auto"/>
          <w:szCs w:val="21"/>
          <w:highlight w:val="none"/>
          <w:u w:val="single"/>
          <w:lang w:bidi="ar-SA"/>
        </w:rPr>
        <w:t>未经发包人同意不得复制，不得向承包人以外的人员泄漏有关图纸内容</w:t>
      </w:r>
      <w:r>
        <w:rPr>
          <w:rFonts w:hint="eastAsia"/>
          <w:color w:val="auto"/>
          <w:szCs w:val="21"/>
          <w:highlight w:val="none"/>
        </w:rPr>
        <w:t>。</w:t>
      </w:r>
    </w:p>
    <w:p w14:paraId="048F9305">
      <w:pPr>
        <w:spacing w:line="460" w:lineRule="exact"/>
        <w:ind w:firstLine="420" w:firstLineChars="200"/>
        <w:rPr>
          <w:color w:val="auto"/>
          <w:szCs w:val="21"/>
          <w:highlight w:val="none"/>
        </w:rPr>
      </w:pPr>
      <w:r>
        <w:rPr>
          <w:color w:val="auto"/>
          <w:szCs w:val="21"/>
          <w:highlight w:val="none"/>
        </w:rPr>
        <w:t xml:space="preserve">1.6.4 </w:t>
      </w:r>
      <w:r>
        <w:rPr>
          <w:rFonts w:hint="eastAsia"/>
          <w:color w:val="auto"/>
          <w:szCs w:val="21"/>
          <w:highlight w:val="none"/>
        </w:rPr>
        <w:t>承包人文件</w:t>
      </w:r>
    </w:p>
    <w:p w14:paraId="520A7B34">
      <w:pPr>
        <w:spacing w:line="460" w:lineRule="exact"/>
        <w:ind w:firstLine="420" w:firstLineChars="200"/>
        <w:rPr>
          <w:color w:val="auto"/>
          <w:szCs w:val="21"/>
          <w:highlight w:val="none"/>
        </w:rPr>
      </w:pPr>
      <w:r>
        <w:rPr>
          <w:rFonts w:hint="eastAsia"/>
          <w:color w:val="auto"/>
          <w:szCs w:val="21"/>
          <w:highlight w:val="none"/>
        </w:rPr>
        <w:t>需要由承包人提供的文件，包括：</w:t>
      </w:r>
      <w:r>
        <w:rPr>
          <w:rFonts w:hint="eastAsia"/>
          <w:b/>
          <w:color w:val="auto"/>
          <w:spacing w:val="-2"/>
          <w:szCs w:val="21"/>
          <w:highlight w:val="none"/>
          <w:u w:val="single"/>
        </w:rPr>
        <w:t>承包人在接到中标通知书3日内必须提交详细的施工组织设计，报发包人审批，施工组织设计经发包人认可后方可开工。施工组织设计将作为工程款支付的参考依据之一。每周四向监理和发包人提供下一周</w:t>
      </w:r>
      <w:r>
        <w:rPr>
          <w:rFonts w:hint="eastAsia"/>
          <w:b/>
          <w:color w:val="auto"/>
          <w:szCs w:val="21"/>
          <w:highlight w:val="none"/>
          <w:u w:val="single"/>
        </w:rPr>
        <w:t>详细的施工进度计划及本周施工进度报表；总进度计划在开工前3天提供。具体计划及时间要求根据工程需要补充明确</w:t>
      </w:r>
      <w:r>
        <w:rPr>
          <w:color w:val="auto"/>
          <w:szCs w:val="21"/>
          <w:highlight w:val="none"/>
          <w:u w:val="single"/>
        </w:rPr>
        <w:t xml:space="preserve"> </w:t>
      </w:r>
      <w:r>
        <w:rPr>
          <w:rFonts w:hint="eastAsia"/>
          <w:color w:val="auto"/>
          <w:szCs w:val="21"/>
          <w:highlight w:val="none"/>
        </w:rPr>
        <w:t>；</w:t>
      </w:r>
    </w:p>
    <w:p w14:paraId="66130F3C">
      <w:pPr>
        <w:spacing w:line="460" w:lineRule="exact"/>
        <w:ind w:firstLine="420" w:firstLineChars="200"/>
        <w:rPr>
          <w:color w:val="auto"/>
          <w:szCs w:val="21"/>
          <w:highlight w:val="none"/>
        </w:rPr>
      </w:pPr>
      <w:r>
        <w:rPr>
          <w:rFonts w:hint="eastAsia"/>
          <w:color w:val="auto"/>
          <w:szCs w:val="21"/>
          <w:highlight w:val="none"/>
        </w:rPr>
        <w:t>承包人提供的文件的数量为：</w:t>
      </w:r>
      <w:r>
        <w:rPr>
          <w:rFonts w:hint="eastAsia"/>
          <w:b/>
          <w:color w:val="auto"/>
          <w:szCs w:val="21"/>
          <w:highlight w:val="none"/>
          <w:u w:val="single"/>
        </w:rPr>
        <w:t>视发包人需求</w:t>
      </w:r>
      <w:r>
        <w:rPr>
          <w:rFonts w:hint="eastAsia"/>
          <w:color w:val="auto"/>
          <w:szCs w:val="21"/>
          <w:highlight w:val="none"/>
        </w:rPr>
        <w:t>；</w:t>
      </w:r>
    </w:p>
    <w:p w14:paraId="5365B372">
      <w:pPr>
        <w:spacing w:line="460" w:lineRule="exact"/>
        <w:ind w:firstLine="420" w:firstLineChars="200"/>
        <w:rPr>
          <w:color w:val="auto"/>
          <w:szCs w:val="21"/>
          <w:highlight w:val="none"/>
        </w:rPr>
      </w:pPr>
      <w:r>
        <w:rPr>
          <w:rFonts w:hint="eastAsia"/>
          <w:color w:val="auto"/>
          <w:szCs w:val="21"/>
          <w:highlight w:val="none"/>
        </w:rPr>
        <w:t>承包人提供的文件的形式为：</w:t>
      </w:r>
      <w:r>
        <w:rPr>
          <w:rFonts w:hint="eastAsia"/>
          <w:b/>
          <w:color w:val="auto"/>
          <w:szCs w:val="21"/>
          <w:highlight w:val="none"/>
          <w:u w:val="single"/>
        </w:rPr>
        <w:t>书面形式</w:t>
      </w:r>
      <w:r>
        <w:rPr>
          <w:rFonts w:hint="eastAsia"/>
          <w:color w:val="auto"/>
          <w:szCs w:val="21"/>
          <w:highlight w:val="none"/>
        </w:rPr>
        <w:t>；</w:t>
      </w:r>
    </w:p>
    <w:p w14:paraId="2A6EF97C">
      <w:pPr>
        <w:spacing w:line="460" w:lineRule="exact"/>
        <w:ind w:firstLine="420" w:firstLineChars="200"/>
        <w:rPr>
          <w:color w:val="auto"/>
          <w:szCs w:val="21"/>
          <w:highlight w:val="none"/>
        </w:rPr>
      </w:pPr>
      <w:r>
        <w:rPr>
          <w:rFonts w:hint="eastAsia"/>
          <w:color w:val="auto"/>
          <w:szCs w:val="21"/>
          <w:highlight w:val="none"/>
        </w:rPr>
        <w:t>发包人审批承包人文件的期限：</w:t>
      </w:r>
      <w:r>
        <w:rPr>
          <w:rFonts w:hint="eastAsia"/>
          <w:b/>
          <w:color w:val="auto"/>
          <w:szCs w:val="21"/>
          <w:highlight w:val="none"/>
          <w:u w:val="single"/>
        </w:rPr>
        <w:t xml:space="preserve">收到文件后7天内  </w:t>
      </w:r>
      <w:r>
        <w:rPr>
          <w:rFonts w:hint="eastAsia"/>
          <w:color w:val="auto"/>
          <w:szCs w:val="21"/>
          <w:highlight w:val="none"/>
        </w:rPr>
        <w:t>。</w:t>
      </w:r>
    </w:p>
    <w:p w14:paraId="32305ADB">
      <w:pPr>
        <w:spacing w:line="460" w:lineRule="exact"/>
        <w:ind w:firstLine="420" w:firstLineChars="200"/>
        <w:rPr>
          <w:color w:val="auto"/>
          <w:szCs w:val="21"/>
          <w:highlight w:val="none"/>
        </w:rPr>
      </w:pPr>
      <w:r>
        <w:rPr>
          <w:color w:val="auto"/>
          <w:szCs w:val="21"/>
          <w:highlight w:val="none"/>
        </w:rPr>
        <w:t xml:space="preserve">1.6.5 </w:t>
      </w:r>
      <w:r>
        <w:rPr>
          <w:rFonts w:hint="eastAsia"/>
          <w:color w:val="auto"/>
          <w:szCs w:val="21"/>
          <w:highlight w:val="none"/>
        </w:rPr>
        <w:t>现场图纸准备</w:t>
      </w:r>
    </w:p>
    <w:p w14:paraId="555DBA88">
      <w:pPr>
        <w:spacing w:line="460" w:lineRule="exact"/>
        <w:ind w:firstLine="420" w:firstLineChars="200"/>
        <w:rPr>
          <w:color w:val="auto"/>
          <w:szCs w:val="21"/>
          <w:highlight w:val="none"/>
        </w:rPr>
      </w:pPr>
      <w:r>
        <w:rPr>
          <w:rFonts w:hint="eastAsia"/>
          <w:color w:val="auto"/>
          <w:szCs w:val="21"/>
          <w:highlight w:val="none"/>
        </w:rPr>
        <w:t>关于现场图纸准备的约定：</w:t>
      </w:r>
      <w:r>
        <w:rPr>
          <w:rFonts w:hint="eastAsia"/>
          <w:b/>
          <w:color w:val="auto"/>
          <w:szCs w:val="21"/>
          <w:highlight w:val="none"/>
          <w:u w:val="single"/>
        </w:rPr>
        <w:t>施工现场保留一套完整图纸供发包人、监理人及有关人员使用</w:t>
      </w:r>
      <w:r>
        <w:rPr>
          <w:rFonts w:hint="eastAsia"/>
          <w:color w:val="auto"/>
          <w:szCs w:val="21"/>
          <w:highlight w:val="none"/>
        </w:rPr>
        <w:t>。</w:t>
      </w:r>
    </w:p>
    <w:p w14:paraId="7660D593">
      <w:pPr>
        <w:spacing w:line="460" w:lineRule="exact"/>
        <w:ind w:firstLine="420" w:firstLineChars="200"/>
        <w:rPr>
          <w:color w:val="auto"/>
          <w:szCs w:val="21"/>
          <w:highlight w:val="none"/>
        </w:rPr>
      </w:pPr>
      <w:r>
        <w:rPr>
          <w:color w:val="auto"/>
          <w:szCs w:val="21"/>
          <w:highlight w:val="none"/>
        </w:rPr>
        <w:t xml:space="preserve">1.7 </w:t>
      </w:r>
      <w:r>
        <w:rPr>
          <w:rFonts w:hint="eastAsia"/>
          <w:color w:val="auto"/>
          <w:szCs w:val="21"/>
          <w:highlight w:val="none"/>
        </w:rPr>
        <w:t>联络</w:t>
      </w:r>
    </w:p>
    <w:p w14:paraId="333D98B4">
      <w:pPr>
        <w:spacing w:line="460" w:lineRule="exact"/>
        <w:ind w:firstLine="420" w:firstLineChars="200"/>
        <w:rPr>
          <w:color w:val="auto"/>
          <w:szCs w:val="21"/>
          <w:highlight w:val="none"/>
        </w:rPr>
      </w:pPr>
      <w:r>
        <w:rPr>
          <w:color w:val="auto"/>
          <w:szCs w:val="21"/>
          <w:highlight w:val="none"/>
        </w:rPr>
        <w:t>1.7.1</w:t>
      </w:r>
      <w:r>
        <w:rPr>
          <w:rFonts w:hint="eastAsia"/>
          <w:color w:val="auto"/>
          <w:szCs w:val="21"/>
          <w:highlight w:val="none"/>
        </w:rPr>
        <w:t>发包人和承包人应当在</w:t>
      </w:r>
      <w:r>
        <w:rPr>
          <w:rFonts w:hint="eastAsia" w:cs="仿宋_GB2312"/>
          <w:b/>
          <w:color w:val="auto"/>
          <w:szCs w:val="21"/>
          <w:highlight w:val="none"/>
          <w:u w:val="single"/>
          <w:lang w:bidi="ar-SA"/>
        </w:rPr>
        <w:t>3</w:t>
      </w:r>
      <w:r>
        <w:rPr>
          <w:color w:val="auto"/>
          <w:szCs w:val="21"/>
          <w:highlight w:val="none"/>
          <w:u w:val="single"/>
        </w:rPr>
        <w:t xml:space="preserve">  </w:t>
      </w:r>
      <w:r>
        <w:rPr>
          <w:rFonts w:hint="eastAsia"/>
          <w:color w:val="auto"/>
          <w:szCs w:val="21"/>
          <w:highlight w:val="none"/>
        </w:rPr>
        <w:t>天内将与合同有关的通知、批准、证明、证书、指示、指令、要求、请求、同意、意见、确定和决定等书面函件送达对方当事人。</w:t>
      </w:r>
    </w:p>
    <w:p w14:paraId="752FDABA">
      <w:pPr>
        <w:spacing w:line="460" w:lineRule="exact"/>
        <w:ind w:firstLine="420" w:firstLineChars="200"/>
        <w:rPr>
          <w:color w:val="auto"/>
          <w:szCs w:val="21"/>
          <w:highlight w:val="none"/>
        </w:rPr>
      </w:pPr>
      <w:r>
        <w:rPr>
          <w:color w:val="auto"/>
          <w:szCs w:val="21"/>
          <w:highlight w:val="none"/>
        </w:rPr>
        <w:t xml:space="preserve">1.7.2 </w:t>
      </w:r>
      <w:r>
        <w:rPr>
          <w:rFonts w:hint="eastAsia"/>
          <w:color w:val="auto"/>
          <w:szCs w:val="21"/>
          <w:highlight w:val="none"/>
        </w:rPr>
        <w:t>发包人接收文件的地点：</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2BE8AB65">
      <w:pPr>
        <w:spacing w:line="460" w:lineRule="exact"/>
        <w:ind w:firstLine="420" w:firstLineChars="200"/>
        <w:rPr>
          <w:color w:val="auto"/>
          <w:szCs w:val="21"/>
          <w:highlight w:val="none"/>
        </w:rPr>
      </w:pPr>
      <w:r>
        <w:rPr>
          <w:rFonts w:hint="eastAsia"/>
          <w:color w:val="auto"/>
          <w:szCs w:val="21"/>
          <w:highlight w:val="none"/>
        </w:rPr>
        <w:t>发包人指定的接收人为：</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4A212797">
      <w:pPr>
        <w:spacing w:line="460" w:lineRule="exact"/>
        <w:ind w:firstLine="420" w:firstLineChars="200"/>
        <w:rPr>
          <w:color w:val="auto"/>
          <w:szCs w:val="21"/>
          <w:highlight w:val="none"/>
        </w:rPr>
      </w:pPr>
      <w:r>
        <w:rPr>
          <w:rFonts w:hint="eastAsia"/>
          <w:color w:val="auto"/>
          <w:szCs w:val="21"/>
          <w:highlight w:val="none"/>
        </w:rPr>
        <w:t>承包人接收文件的地点：</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6C8BA345">
      <w:pPr>
        <w:spacing w:line="460" w:lineRule="exact"/>
        <w:ind w:firstLine="420" w:firstLineChars="200"/>
        <w:rPr>
          <w:color w:val="auto"/>
          <w:szCs w:val="21"/>
          <w:highlight w:val="none"/>
        </w:rPr>
      </w:pPr>
      <w:r>
        <w:rPr>
          <w:rFonts w:hint="eastAsia"/>
          <w:color w:val="auto"/>
          <w:szCs w:val="21"/>
          <w:highlight w:val="none"/>
        </w:rPr>
        <w:t>承包人指定的接收人为：</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4D7CBD95">
      <w:pPr>
        <w:spacing w:line="460" w:lineRule="exact"/>
        <w:ind w:firstLine="420" w:firstLineChars="200"/>
        <w:rPr>
          <w:color w:val="auto"/>
          <w:szCs w:val="21"/>
          <w:highlight w:val="none"/>
        </w:rPr>
      </w:pPr>
      <w:r>
        <w:rPr>
          <w:rFonts w:hint="eastAsia"/>
          <w:color w:val="auto"/>
          <w:szCs w:val="21"/>
          <w:highlight w:val="none"/>
        </w:rPr>
        <w:t>监理人接收文件的地点：</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07CAE0B2">
      <w:pPr>
        <w:spacing w:line="460" w:lineRule="exact"/>
        <w:ind w:firstLine="420" w:firstLineChars="200"/>
        <w:rPr>
          <w:color w:val="auto"/>
          <w:szCs w:val="21"/>
          <w:highlight w:val="none"/>
        </w:rPr>
      </w:pPr>
      <w:r>
        <w:rPr>
          <w:rFonts w:hint="eastAsia"/>
          <w:color w:val="auto"/>
          <w:szCs w:val="21"/>
          <w:highlight w:val="none"/>
        </w:rPr>
        <w:t>监理人指定的接收人为：</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76DAF844">
      <w:pPr>
        <w:spacing w:line="460" w:lineRule="exact"/>
        <w:ind w:firstLine="420" w:firstLineChars="200"/>
        <w:rPr>
          <w:color w:val="auto"/>
          <w:szCs w:val="21"/>
          <w:highlight w:val="none"/>
        </w:rPr>
      </w:pPr>
      <w:r>
        <w:rPr>
          <w:color w:val="auto"/>
          <w:szCs w:val="21"/>
          <w:highlight w:val="none"/>
        </w:rPr>
        <w:t xml:space="preserve">1.10 </w:t>
      </w:r>
      <w:r>
        <w:rPr>
          <w:rFonts w:hint="eastAsia"/>
          <w:color w:val="auto"/>
          <w:szCs w:val="21"/>
          <w:highlight w:val="none"/>
        </w:rPr>
        <w:t>交通运输</w:t>
      </w:r>
    </w:p>
    <w:p w14:paraId="084CB788">
      <w:pPr>
        <w:spacing w:line="460" w:lineRule="exact"/>
        <w:ind w:firstLine="420" w:firstLineChars="200"/>
        <w:rPr>
          <w:color w:val="auto"/>
          <w:szCs w:val="21"/>
          <w:highlight w:val="none"/>
        </w:rPr>
      </w:pPr>
      <w:r>
        <w:rPr>
          <w:color w:val="auto"/>
          <w:szCs w:val="21"/>
          <w:highlight w:val="none"/>
        </w:rPr>
        <w:t>1</w:t>
      </w:r>
      <w:bookmarkStart w:id="50" w:name="_Toc318581155"/>
      <w:bookmarkStart w:id="51" w:name="_Toc304295521"/>
      <w:bookmarkStart w:id="52" w:name="_Toc303539100"/>
      <w:bookmarkStart w:id="53" w:name="_Toc312677986"/>
      <w:bookmarkStart w:id="54" w:name="_Toc300934943"/>
      <w:r>
        <w:rPr>
          <w:color w:val="auto"/>
          <w:szCs w:val="21"/>
          <w:highlight w:val="none"/>
        </w:rPr>
        <w:t xml:space="preserve">.10.1 </w:t>
      </w:r>
      <w:r>
        <w:rPr>
          <w:rFonts w:hint="eastAsia"/>
          <w:color w:val="auto"/>
          <w:szCs w:val="21"/>
          <w:highlight w:val="none"/>
        </w:rPr>
        <w:t>出入现场的权利</w:t>
      </w:r>
    </w:p>
    <w:p w14:paraId="2C350F8F">
      <w:pPr>
        <w:spacing w:line="460" w:lineRule="exact"/>
        <w:ind w:firstLine="420" w:firstLineChars="200"/>
        <w:rPr>
          <w:color w:val="auto"/>
          <w:szCs w:val="21"/>
          <w:highlight w:val="none"/>
        </w:rPr>
      </w:pPr>
      <w:r>
        <w:rPr>
          <w:rFonts w:hint="eastAsia"/>
          <w:color w:val="auto"/>
          <w:szCs w:val="21"/>
          <w:highlight w:val="none"/>
        </w:rPr>
        <w:t>关于出入现场的权利的约定：</w:t>
      </w:r>
      <w:r>
        <w:rPr>
          <w:rFonts w:hint="eastAsia"/>
          <w:b/>
          <w:color w:val="auto"/>
          <w:szCs w:val="21"/>
          <w:highlight w:val="none"/>
          <w:u w:val="single"/>
        </w:rPr>
        <w:t xml:space="preserve">        /   </w:t>
      </w:r>
      <w:r>
        <w:rPr>
          <w:rFonts w:hint="eastAsia"/>
          <w:color w:val="auto"/>
          <w:szCs w:val="21"/>
          <w:highlight w:val="none"/>
        </w:rPr>
        <w:t>。</w:t>
      </w:r>
    </w:p>
    <w:bookmarkEnd w:id="50"/>
    <w:bookmarkEnd w:id="51"/>
    <w:bookmarkEnd w:id="52"/>
    <w:bookmarkEnd w:id="53"/>
    <w:bookmarkEnd w:id="54"/>
    <w:p w14:paraId="2891D580">
      <w:pPr>
        <w:spacing w:line="460" w:lineRule="exact"/>
        <w:ind w:firstLine="420" w:firstLineChars="200"/>
        <w:rPr>
          <w:color w:val="auto"/>
          <w:szCs w:val="21"/>
          <w:highlight w:val="none"/>
        </w:rPr>
      </w:pPr>
      <w:r>
        <w:rPr>
          <w:color w:val="auto"/>
          <w:szCs w:val="21"/>
          <w:highlight w:val="none"/>
        </w:rPr>
        <w:t>1</w:t>
      </w:r>
      <w:bookmarkStart w:id="55" w:name="_Toc300934944"/>
      <w:bookmarkStart w:id="56" w:name="_Toc304295522"/>
      <w:bookmarkStart w:id="57" w:name="_Toc303539101"/>
      <w:bookmarkStart w:id="58" w:name="_Toc318581156"/>
      <w:bookmarkStart w:id="59" w:name="_Toc312677987"/>
      <w:r>
        <w:rPr>
          <w:color w:val="auto"/>
          <w:szCs w:val="21"/>
          <w:highlight w:val="none"/>
        </w:rPr>
        <w:t xml:space="preserve">.10.3 </w:t>
      </w:r>
      <w:r>
        <w:rPr>
          <w:rFonts w:hint="eastAsia"/>
          <w:color w:val="auto"/>
          <w:szCs w:val="21"/>
          <w:highlight w:val="none"/>
        </w:rPr>
        <w:t>场内交通</w:t>
      </w:r>
    </w:p>
    <w:p w14:paraId="6D8EEF4F">
      <w:pPr>
        <w:spacing w:line="460" w:lineRule="exact"/>
        <w:ind w:firstLine="420" w:firstLineChars="200"/>
        <w:rPr>
          <w:color w:val="auto"/>
          <w:szCs w:val="21"/>
          <w:highlight w:val="none"/>
        </w:rPr>
      </w:pPr>
      <w:r>
        <w:rPr>
          <w:rFonts w:hint="eastAsia"/>
          <w:color w:val="auto"/>
          <w:szCs w:val="21"/>
          <w:highlight w:val="none"/>
        </w:rPr>
        <w:t>关于场外交通和场内交通的边界的约定：</w:t>
      </w:r>
      <w:r>
        <w:rPr>
          <w:rFonts w:hint="eastAsia"/>
          <w:b/>
          <w:color w:val="auto"/>
          <w:szCs w:val="21"/>
          <w:highlight w:val="none"/>
          <w:u w:val="single"/>
        </w:rPr>
        <w:t xml:space="preserve">    /         </w:t>
      </w:r>
      <w:r>
        <w:rPr>
          <w:rFonts w:hint="eastAsia"/>
          <w:color w:val="auto"/>
          <w:szCs w:val="21"/>
          <w:highlight w:val="none"/>
        </w:rPr>
        <w:t>。</w:t>
      </w:r>
    </w:p>
    <w:p w14:paraId="034D3A54">
      <w:pPr>
        <w:spacing w:line="460" w:lineRule="exact"/>
        <w:ind w:firstLine="420" w:firstLineChars="200"/>
        <w:rPr>
          <w:color w:val="auto"/>
          <w:szCs w:val="21"/>
          <w:highlight w:val="none"/>
        </w:rPr>
      </w:pPr>
      <w:r>
        <w:rPr>
          <w:rFonts w:hint="eastAsia"/>
          <w:color w:val="auto"/>
          <w:szCs w:val="21"/>
          <w:highlight w:val="none"/>
        </w:rPr>
        <w:t>关于发包人向承包人免费提供满足工程施工需要的场内道路和交通设施的约定：</w:t>
      </w:r>
      <w:r>
        <w:rPr>
          <w:rFonts w:hint="eastAsia"/>
          <w:b/>
          <w:color w:val="auto"/>
          <w:szCs w:val="21"/>
          <w:highlight w:val="none"/>
          <w:u w:val="single"/>
        </w:rPr>
        <w:t>按通用条款执行</w:t>
      </w:r>
      <w:r>
        <w:rPr>
          <w:rFonts w:hint="eastAsia"/>
          <w:color w:val="auto"/>
          <w:szCs w:val="21"/>
          <w:highlight w:val="none"/>
        </w:rPr>
        <w:t>。</w:t>
      </w:r>
      <w:bookmarkEnd w:id="55"/>
      <w:bookmarkEnd w:id="56"/>
      <w:bookmarkEnd w:id="57"/>
      <w:bookmarkEnd w:id="58"/>
      <w:bookmarkEnd w:id="59"/>
      <w:r>
        <w:rPr>
          <w:color w:val="auto"/>
          <w:szCs w:val="21"/>
          <w:highlight w:val="none"/>
        </w:rPr>
        <w:t xml:space="preserve">  </w:t>
      </w:r>
      <w:bookmarkStart w:id="60" w:name="_Toc318581157"/>
    </w:p>
    <w:p w14:paraId="4C6107DE">
      <w:pPr>
        <w:spacing w:line="460" w:lineRule="exact"/>
        <w:ind w:firstLine="420" w:firstLineChars="200"/>
        <w:rPr>
          <w:color w:val="auto"/>
          <w:szCs w:val="21"/>
          <w:highlight w:val="none"/>
        </w:rPr>
      </w:pPr>
      <w:r>
        <w:rPr>
          <w:color w:val="auto"/>
          <w:szCs w:val="21"/>
          <w:highlight w:val="none"/>
        </w:rPr>
        <w:t>1.10.4</w:t>
      </w:r>
      <w:r>
        <w:rPr>
          <w:rFonts w:hint="eastAsia"/>
          <w:color w:val="auto"/>
          <w:szCs w:val="21"/>
          <w:highlight w:val="none"/>
        </w:rPr>
        <w:t>超大件和超重件的运输</w:t>
      </w:r>
    </w:p>
    <w:p w14:paraId="21A7A08C">
      <w:pPr>
        <w:spacing w:line="460" w:lineRule="exact"/>
        <w:ind w:firstLine="420" w:firstLineChars="200"/>
        <w:rPr>
          <w:color w:val="auto"/>
          <w:szCs w:val="21"/>
          <w:highlight w:val="none"/>
        </w:rPr>
      </w:pPr>
      <w:r>
        <w:rPr>
          <w:rFonts w:hint="eastAsia"/>
          <w:color w:val="auto"/>
          <w:szCs w:val="21"/>
          <w:highlight w:val="none"/>
        </w:rPr>
        <w:t>运输超大件或超重件所需的道路和桥梁临时加固改造费用和其他有关费用由</w:t>
      </w:r>
      <w:r>
        <w:rPr>
          <w:color w:val="auto"/>
          <w:szCs w:val="21"/>
          <w:highlight w:val="none"/>
          <w:u w:val="single"/>
        </w:rPr>
        <w:t xml:space="preserve">  </w:t>
      </w:r>
      <w:r>
        <w:rPr>
          <w:rFonts w:hint="eastAsia"/>
          <w:b/>
          <w:color w:val="auto"/>
          <w:szCs w:val="21"/>
          <w:highlight w:val="none"/>
          <w:u w:val="single"/>
        </w:rPr>
        <w:t>承包人</w:t>
      </w:r>
      <w:r>
        <w:rPr>
          <w:color w:val="auto"/>
          <w:szCs w:val="21"/>
          <w:highlight w:val="none"/>
          <w:u w:val="single"/>
        </w:rPr>
        <w:t xml:space="preserve">  </w:t>
      </w:r>
      <w:r>
        <w:rPr>
          <w:rFonts w:hint="eastAsia"/>
          <w:color w:val="auto"/>
          <w:szCs w:val="21"/>
          <w:highlight w:val="none"/>
        </w:rPr>
        <w:t>承担。</w:t>
      </w:r>
    </w:p>
    <w:bookmarkEnd w:id="60"/>
    <w:p w14:paraId="4C11A0F0">
      <w:pPr>
        <w:spacing w:line="460" w:lineRule="exact"/>
        <w:ind w:firstLine="420" w:firstLineChars="200"/>
        <w:rPr>
          <w:color w:val="auto"/>
          <w:szCs w:val="21"/>
          <w:highlight w:val="none"/>
        </w:rPr>
      </w:pPr>
      <w:r>
        <w:rPr>
          <w:color w:val="auto"/>
          <w:szCs w:val="21"/>
          <w:highlight w:val="none"/>
        </w:rPr>
        <w:t xml:space="preserve">1.11 </w:t>
      </w:r>
      <w:r>
        <w:rPr>
          <w:rFonts w:hint="eastAsia"/>
          <w:color w:val="auto"/>
          <w:szCs w:val="21"/>
          <w:highlight w:val="none"/>
        </w:rPr>
        <w:t>知识产权</w:t>
      </w:r>
    </w:p>
    <w:p w14:paraId="159802FA">
      <w:pPr>
        <w:spacing w:line="460" w:lineRule="exact"/>
        <w:ind w:firstLine="420" w:firstLineChars="200"/>
        <w:rPr>
          <w:color w:val="auto"/>
          <w:szCs w:val="21"/>
          <w:highlight w:val="none"/>
          <w:u w:val="single"/>
        </w:rPr>
      </w:pPr>
      <w:r>
        <w:rPr>
          <w:color w:val="auto"/>
          <w:szCs w:val="21"/>
          <w:highlight w:val="none"/>
        </w:rPr>
        <w:t>1.11.1</w:t>
      </w:r>
      <w:r>
        <w:rPr>
          <w:rFonts w:hint="eastAsia"/>
          <w:color w:val="auto"/>
          <w:szCs w:val="21"/>
          <w:highlight w:val="none"/>
        </w:rPr>
        <w:t>关于发包人提供给承包人的图纸、发包人为实施工程自行编制或委托编制的技术规范以及反映发包人关于合同要求或其他类似性质的文件的著作权的归属：</w:t>
      </w:r>
      <w:r>
        <w:rPr>
          <w:rFonts w:hint="eastAsia"/>
          <w:b/>
          <w:color w:val="auto"/>
          <w:szCs w:val="21"/>
          <w:highlight w:val="none"/>
          <w:u w:val="single"/>
        </w:rPr>
        <w:t>按通用条款执行。</w:t>
      </w:r>
      <w:r>
        <w:rPr>
          <w:color w:val="auto"/>
          <w:szCs w:val="21"/>
          <w:highlight w:val="none"/>
          <w:u w:val="single"/>
        </w:rPr>
        <w:t xml:space="preserve"> </w:t>
      </w:r>
    </w:p>
    <w:p w14:paraId="2E959AD5">
      <w:pPr>
        <w:spacing w:line="460" w:lineRule="exact"/>
        <w:ind w:firstLine="420" w:firstLineChars="200"/>
        <w:rPr>
          <w:color w:val="auto"/>
          <w:szCs w:val="21"/>
          <w:highlight w:val="none"/>
        </w:rPr>
      </w:pPr>
      <w:r>
        <w:rPr>
          <w:rFonts w:hint="eastAsia"/>
          <w:color w:val="auto"/>
          <w:szCs w:val="21"/>
          <w:highlight w:val="none"/>
        </w:rPr>
        <w:t>关于发包人提供的上述文件的使用限制的要求：</w:t>
      </w:r>
      <w:r>
        <w:rPr>
          <w:rFonts w:hint="eastAsia"/>
          <w:b/>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p w14:paraId="23F65D3C">
      <w:pPr>
        <w:spacing w:line="460" w:lineRule="exact"/>
        <w:ind w:firstLine="420" w:firstLineChars="200"/>
        <w:rPr>
          <w:color w:val="auto"/>
          <w:szCs w:val="21"/>
          <w:highlight w:val="none"/>
        </w:rPr>
      </w:pPr>
      <w:r>
        <w:rPr>
          <w:color w:val="auto"/>
          <w:szCs w:val="21"/>
          <w:highlight w:val="none"/>
        </w:rPr>
        <w:t xml:space="preserve">1.11.2 </w:t>
      </w:r>
      <w:r>
        <w:rPr>
          <w:rFonts w:hint="eastAsia"/>
          <w:color w:val="auto"/>
          <w:szCs w:val="21"/>
          <w:highlight w:val="none"/>
        </w:rPr>
        <w:t>关于承包人为实施工程所编制文件的著作权的归属：</w:t>
      </w:r>
      <w:r>
        <w:rPr>
          <w:rFonts w:hint="eastAsia"/>
          <w:b/>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p w14:paraId="425C01D2">
      <w:pPr>
        <w:spacing w:line="460" w:lineRule="exact"/>
        <w:ind w:firstLine="420" w:firstLineChars="200"/>
        <w:rPr>
          <w:color w:val="auto"/>
          <w:szCs w:val="21"/>
          <w:highlight w:val="none"/>
          <w:u w:val="single"/>
        </w:rPr>
      </w:pPr>
      <w:r>
        <w:rPr>
          <w:rFonts w:hint="eastAsia"/>
          <w:color w:val="auto"/>
          <w:szCs w:val="21"/>
          <w:highlight w:val="none"/>
        </w:rPr>
        <w:t>关于承包人提供的上述文件的使用限制的要求：</w:t>
      </w:r>
      <w:r>
        <w:rPr>
          <w:rFonts w:hint="eastAsia"/>
          <w:b/>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p w14:paraId="026CF167">
      <w:pPr>
        <w:spacing w:line="460" w:lineRule="exact"/>
        <w:ind w:firstLine="420" w:firstLineChars="200"/>
        <w:rPr>
          <w:color w:val="auto"/>
          <w:szCs w:val="21"/>
          <w:highlight w:val="none"/>
        </w:rPr>
      </w:pPr>
      <w:r>
        <w:rPr>
          <w:color w:val="auto"/>
          <w:szCs w:val="21"/>
          <w:highlight w:val="none"/>
        </w:rPr>
        <w:t xml:space="preserve">1.11.4 </w:t>
      </w:r>
      <w:r>
        <w:rPr>
          <w:rFonts w:hint="eastAsia"/>
          <w:color w:val="auto"/>
          <w:szCs w:val="21"/>
          <w:highlight w:val="none"/>
        </w:rPr>
        <w:t>承包人在施工过程中所采用的专利、专有技术、技术秘密的使用费的承担方式：</w:t>
      </w:r>
      <w:r>
        <w:rPr>
          <w:rFonts w:hint="eastAsia"/>
          <w:b/>
          <w:color w:val="auto"/>
          <w:szCs w:val="21"/>
          <w:highlight w:val="none"/>
          <w:u w:val="single"/>
        </w:rPr>
        <w:t>已包含在本合同价内</w:t>
      </w:r>
      <w:r>
        <w:rPr>
          <w:color w:val="auto"/>
          <w:szCs w:val="21"/>
          <w:highlight w:val="none"/>
          <w:u w:val="single"/>
        </w:rPr>
        <w:t xml:space="preserve">  </w:t>
      </w:r>
      <w:r>
        <w:rPr>
          <w:rFonts w:hint="eastAsia"/>
          <w:color w:val="auto"/>
          <w:szCs w:val="21"/>
          <w:highlight w:val="none"/>
        </w:rPr>
        <w:t>。</w:t>
      </w:r>
    </w:p>
    <w:p w14:paraId="3C42FCDF">
      <w:pPr>
        <w:spacing w:line="460" w:lineRule="exact"/>
        <w:ind w:firstLine="420" w:firstLineChars="200"/>
        <w:rPr>
          <w:color w:val="auto"/>
          <w:szCs w:val="21"/>
          <w:highlight w:val="none"/>
        </w:rPr>
      </w:pPr>
      <w:r>
        <w:rPr>
          <w:color w:val="auto"/>
          <w:szCs w:val="21"/>
          <w:highlight w:val="none"/>
        </w:rPr>
        <w:t>1.13</w:t>
      </w:r>
      <w:r>
        <w:rPr>
          <w:rFonts w:hint="eastAsia"/>
          <w:color w:val="auto"/>
          <w:szCs w:val="21"/>
          <w:highlight w:val="none"/>
        </w:rPr>
        <w:t>工程量清单错误的修正</w:t>
      </w:r>
    </w:p>
    <w:p w14:paraId="2A078673">
      <w:pPr>
        <w:spacing w:line="460" w:lineRule="exact"/>
        <w:ind w:firstLine="420" w:firstLineChars="200"/>
        <w:rPr>
          <w:color w:val="auto"/>
          <w:szCs w:val="21"/>
          <w:highlight w:val="none"/>
        </w:rPr>
      </w:pPr>
      <w:bookmarkStart w:id="61" w:name="_Toc351203634"/>
      <w:r>
        <w:rPr>
          <w:rFonts w:hint="eastAsia"/>
          <w:color w:val="auto"/>
          <w:szCs w:val="21"/>
          <w:highlight w:val="none"/>
        </w:rPr>
        <w:t>出现工程量清单错误时，是否调整合同价格：按本合同条款中第12.1相应条款执行。</w:t>
      </w:r>
    </w:p>
    <w:p w14:paraId="45420D86">
      <w:pPr>
        <w:keepNext/>
        <w:keepLines/>
        <w:widowControl w:val="0"/>
        <w:adjustRightInd w:val="0"/>
        <w:spacing w:before="120" w:after="120" w:line="460" w:lineRule="exact"/>
        <w:textAlignment w:val="baseline"/>
        <w:outlineLvl w:val="3"/>
        <w:rPr>
          <w:b/>
          <w:color w:val="auto"/>
          <w:szCs w:val="21"/>
          <w:highlight w:val="none"/>
        </w:rPr>
      </w:pPr>
      <w:r>
        <w:rPr>
          <w:b/>
          <w:color w:val="auto"/>
          <w:szCs w:val="21"/>
          <w:highlight w:val="none"/>
        </w:rPr>
        <w:t>2</w:t>
      </w:r>
      <w:bookmarkStart w:id="62" w:name="_Toc297120457"/>
      <w:bookmarkStart w:id="63" w:name="_Toc292559867"/>
      <w:bookmarkStart w:id="64" w:name="_Toc296503157"/>
      <w:bookmarkStart w:id="65" w:name="_Toc296347156"/>
      <w:bookmarkStart w:id="66" w:name="_Toc292559362"/>
      <w:bookmarkStart w:id="67" w:name="_Toc296890985"/>
      <w:bookmarkStart w:id="68" w:name="_Toc296944496"/>
      <w:bookmarkStart w:id="69" w:name="_Toc296891197"/>
      <w:bookmarkStart w:id="70" w:name="_Toc297048343"/>
      <w:bookmarkStart w:id="71" w:name="_Toc296346658"/>
      <w:r>
        <w:rPr>
          <w:b/>
          <w:color w:val="auto"/>
          <w:szCs w:val="21"/>
          <w:highlight w:val="none"/>
        </w:rPr>
        <w:t xml:space="preserve">. </w:t>
      </w:r>
      <w:r>
        <w:rPr>
          <w:rFonts w:hint="eastAsia"/>
          <w:b/>
          <w:color w:val="auto"/>
          <w:szCs w:val="21"/>
          <w:highlight w:val="none"/>
        </w:rPr>
        <w:t>发包人</w:t>
      </w:r>
      <w:bookmarkEnd w:id="61"/>
    </w:p>
    <w:bookmarkEnd w:id="62"/>
    <w:bookmarkEnd w:id="63"/>
    <w:bookmarkEnd w:id="64"/>
    <w:bookmarkEnd w:id="65"/>
    <w:bookmarkEnd w:id="66"/>
    <w:bookmarkEnd w:id="67"/>
    <w:bookmarkEnd w:id="68"/>
    <w:bookmarkEnd w:id="69"/>
    <w:bookmarkEnd w:id="70"/>
    <w:bookmarkEnd w:id="71"/>
    <w:p w14:paraId="1434A27A">
      <w:pPr>
        <w:spacing w:line="460" w:lineRule="exact"/>
        <w:ind w:firstLine="420" w:firstLineChars="200"/>
        <w:rPr>
          <w:color w:val="auto"/>
          <w:szCs w:val="21"/>
          <w:highlight w:val="none"/>
        </w:rPr>
      </w:pPr>
      <w:r>
        <w:rPr>
          <w:color w:val="auto"/>
          <w:szCs w:val="21"/>
          <w:highlight w:val="none"/>
        </w:rPr>
        <w:t xml:space="preserve">2.2 </w:t>
      </w:r>
      <w:r>
        <w:rPr>
          <w:rFonts w:hint="eastAsia"/>
          <w:color w:val="auto"/>
          <w:szCs w:val="21"/>
          <w:highlight w:val="none"/>
        </w:rPr>
        <w:t>发包人代表</w:t>
      </w:r>
    </w:p>
    <w:p w14:paraId="30A5CE35">
      <w:pPr>
        <w:spacing w:line="460" w:lineRule="exact"/>
        <w:ind w:firstLine="420" w:firstLineChars="200"/>
        <w:rPr>
          <w:color w:val="auto"/>
          <w:szCs w:val="21"/>
          <w:highlight w:val="none"/>
        </w:rPr>
      </w:pPr>
      <w:r>
        <w:rPr>
          <w:rFonts w:hint="eastAsia"/>
          <w:color w:val="auto"/>
          <w:szCs w:val="21"/>
          <w:highlight w:val="none"/>
        </w:rPr>
        <w:t>发包人代表：</w:t>
      </w:r>
    </w:p>
    <w:p w14:paraId="01C8E92A">
      <w:pPr>
        <w:spacing w:line="460" w:lineRule="exact"/>
        <w:ind w:firstLine="420" w:firstLineChars="200"/>
        <w:rPr>
          <w:color w:val="auto"/>
          <w:szCs w:val="21"/>
          <w:highlight w:val="none"/>
        </w:rPr>
      </w:pPr>
      <w:r>
        <w:rPr>
          <w:rFonts w:hint="eastAsia"/>
          <w:color w:val="auto"/>
          <w:szCs w:val="21"/>
          <w:highlight w:val="none"/>
        </w:rPr>
        <w:t>姓</w:t>
      </w:r>
      <w:r>
        <w:rPr>
          <w:color w:val="auto"/>
          <w:szCs w:val="21"/>
          <w:highlight w:val="none"/>
        </w:rPr>
        <w:t xml:space="preserve">    </w:t>
      </w:r>
      <w:r>
        <w:rPr>
          <w:rFonts w:hint="eastAsia"/>
          <w:color w:val="auto"/>
          <w:szCs w:val="21"/>
          <w:highlight w:val="none"/>
        </w:rPr>
        <w:t>名：</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135EDC43">
      <w:pPr>
        <w:spacing w:line="460" w:lineRule="exact"/>
        <w:ind w:firstLine="420" w:firstLineChars="200"/>
        <w:rPr>
          <w:color w:val="auto"/>
          <w:szCs w:val="21"/>
          <w:highlight w:val="none"/>
        </w:rPr>
      </w:pPr>
      <w:r>
        <w:rPr>
          <w:rFonts w:hint="eastAsia"/>
          <w:color w:val="auto"/>
          <w:szCs w:val="21"/>
          <w:highlight w:val="none"/>
        </w:rPr>
        <w:t>身份证号：</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17D65236">
      <w:pPr>
        <w:spacing w:line="460" w:lineRule="exact"/>
        <w:ind w:firstLine="420" w:firstLineChars="200"/>
        <w:rPr>
          <w:color w:val="auto"/>
          <w:szCs w:val="21"/>
          <w:highlight w:val="none"/>
        </w:rPr>
      </w:pPr>
      <w:r>
        <w:rPr>
          <w:rFonts w:hint="eastAsia"/>
          <w:color w:val="auto"/>
          <w:szCs w:val="21"/>
          <w:highlight w:val="none"/>
        </w:rPr>
        <w:t>职</w:t>
      </w:r>
      <w:r>
        <w:rPr>
          <w:color w:val="auto"/>
          <w:szCs w:val="21"/>
          <w:highlight w:val="none"/>
        </w:rPr>
        <w:t xml:space="preserve">    </w:t>
      </w:r>
      <w:r>
        <w:rPr>
          <w:rFonts w:hint="eastAsia"/>
          <w:color w:val="auto"/>
          <w:szCs w:val="21"/>
          <w:highlight w:val="none"/>
        </w:rPr>
        <w:t>务：</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23C87BA2">
      <w:pPr>
        <w:spacing w:line="460" w:lineRule="exact"/>
        <w:ind w:firstLine="420" w:firstLineChars="200"/>
        <w:rPr>
          <w:color w:val="auto"/>
          <w:szCs w:val="21"/>
          <w:highlight w:val="none"/>
        </w:rPr>
      </w:pPr>
      <w:r>
        <w:rPr>
          <w:rFonts w:hint="eastAsia"/>
          <w:color w:val="auto"/>
          <w:szCs w:val="21"/>
          <w:highlight w:val="none"/>
        </w:rPr>
        <w:t>联系电话：</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6E09E5A0">
      <w:pPr>
        <w:spacing w:line="460" w:lineRule="exact"/>
        <w:ind w:firstLine="420" w:firstLineChars="200"/>
        <w:rPr>
          <w:color w:val="auto"/>
          <w:szCs w:val="21"/>
          <w:highlight w:val="none"/>
        </w:rPr>
      </w:pPr>
      <w:r>
        <w:rPr>
          <w:rFonts w:hint="eastAsia"/>
          <w:color w:val="auto"/>
          <w:szCs w:val="21"/>
          <w:highlight w:val="none"/>
        </w:rPr>
        <w:t>电子信箱：</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509AA1D3">
      <w:pPr>
        <w:spacing w:line="460" w:lineRule="exact"/>
        <w:ind w:firstLine="420" w:firstLineChars="200"/>
        <w:rPr>
          <w:color w:val="auto"/>
          <w:szCs w:val="21"/>
          <w:highlight w:val="none"/>
        </w:rPr>
      </w:pPr>
      <w:r>
        <w:rPr>
          <w:rFonts w:hint="eastAsia"/>
          <w:color w:val="auto"/>
          <w:szCs w:val="21"/>
          <w:highlight w:val="none"/>
        </w:rPr>
        <w:t>通信地址：</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1D17AE6B">
      <w:pPr>
        <w:spacing w:line="460" w:lineRule="exact"/>
        <w:rPr>
          <w:b/>
          <w:color w:val="auto"/>
          <w:szCs w:val="21"/>
          <w:highlight w:val="none"/>
        </w:rPr>
      </w:pPr>
      <w:r>
        <w:rPr>
          <w:rFonts w:hint="eastAsia"/>
          <w:color w:val="auto"/>
          <w:szCs w:val="21"/>
          <w:highlight w:val="none"/>
        </w:rPr>
        <w:t xml:space="preserve">    发包人对发包人代表的授权范围如下：</w:t>
      </w:r>
      <w:r>
        <w:rPr>
          <w:rFonts w:hint="eastAsia"/>
          <w:b/>
          <w:bCs/>
          <w:color w:val="auto"/>
          <w:szCs w:val="21"/>
          <w:highlight w:val="none"/>
          <w:u w:val="single"/>
        </w:rPr>
        <w:t>代表发包人行使本合同约定的发包人的权力和监理人需要取得发包人批准的权力。</w:t>
      </w:r>
    </w:p>
    <w:p w14:paraId="4F29A6D8">
      <w:pPr>
        <w:spacing w:line="460" w:lineRule="exact"/>
        <w:ind w:firstLine="420" w:firstLineChars="200"/>
        <w:rPr>
          <w:color w:val="auto"/>
          <w:szCs w:val="21"/>
          <w:highlight w:val="none"/>
        </w:rPr>
      </w:pPr>
      <w:r>
        <w:rPr>
          <w:color w:val="auto"/>
          <w:szCs w:val="21"/>
          <w:highlight w:val="none"/>
        </w:rPr>
        <w:t xml:space="preserve">2.4 </w:t>
      </w:r>
      <w:r>
        <w:rPr>
          <w:rFonts w:hint="eastAsia"/>
          <w:color w:val="auto"/>
          <w:szCs w:val="21"/>
          <w:highlight w:val="none"/>
        </w:rPr>
        <w:t>施工现场、施工条件和基础资料的提供</w:t>
      </w:r>
    </w:p>
    <w:p w14:paraId="35BC95AD">
      <w:pPr>
        <w:spacing w:line="460" w:lineRule="exact"/>
        <w:ind w:firstLine="420" w:firstLineChars="200"/>
        <w:rPr>
          <w:color w:val="auto"/>
          <w:szCs w:val="21"/>
          <w:highlight w:val="none"/>
        </w:rPr>
      </w:pPr>
      <w:r>
        <w:rPr>
          <w:color w:val="auto"/>
          <w:szCs w:val="21"/>
          <w:highlight w:val="none"/>
        </w:rPr>
        <w:t xml:space="preserve">2.4.1 </w:t>
      </w:r>
      <w:r>
        <w:rPr>
          <w:rFonts w:hint="eastAsia"/>
          <w:color w:val="auto"/>
          <w:szCs w:val="21"/>
          <w:highlight w:val="none"/>
        </w:rPr>
        <w:t>提供施工现场</w:t>
      </w:r>
    </w:p>
    <w:p w14:paraId="3D8B13FA">
      <w:pPr>
        <w:spacing w:line="460" w:lineRule="exact"/>
        <w:ind w:firstLine="420" w:firstLineChars="200"/>
        <w:rPr>
          <w:color w:val="auto"/>
          <w:szCs w:val="21"/>
          <w:highlight w:val="none"/>
        </w:rPr>
      </w:pPr>
      <w:r>
        <w:rPr>
          <w:rFonts w:hint="eastAsia"/>
          <w:color w:val="auto"/>
          <w:szCs w:val="21"/>
          <w:highlight w:val="none"/>
        </w:rPr>
        <w:t>关于发包人移交施工现场的期限要求：</w:t>
      </w:r>
      <w:r>
        <w:rPr>
          <w:rFonts w:hint="eastAsia"/>
          <w:color w:val="auto"/>
          <w:szCs w:val="21"/>
          <w:highlight w:val="none"/>
          <w:lang w:eastAsia="zh-CN"/>
        </w:rPr>
        <w:t>以</w:t>
      </w:r>
      <w:r>
        <w:rPr>
          <w:rFonts w:hint="eastAsia"/>
          <w:b/>
          <w:color w:val="auto"/>
          <w:szCs w:val="21"/>
          <w:highlight w:val="none"/>
          <w:u w:val="single"/>
        </w:rPr>
        <w:t>施工现场的现状为准</w:t>
      </w:r>
      <w:r>
        <w:rPr>
          <w:color w:val="auto"/>
          <w:szCs w:val="21"/>
          <w:highlight w:val="none"/>
          <w:u w:val="single"/>
        </w:rPr>
        <w:t xml:space="preserve">  </w:t>
      </w:r>
      <w:r>
        <w:rPr>
          <w:rFonts w:hint="eastAsia"/>
          <w:color w:val="auto"/>
          <w:szCs w:val="21"/>
          <w:highlight w:val="none"/>
        </w:rPr>
        <w:t>。</w:t>
      </w:r>
    </w:p>
    <w:p w14:paraId="71CE07CB">
      <w:pPr>
        <w:spacing w:line="460" w:lineRule="exact"/>
        <w:ind w:firstLine="420" w:firstLineChars="200"/>
        <w:rPr>
          <w:color w:val="auto"/>
          <w:szCs w:val="21"/>
          <w:highlight w:val="none"/>
        </w:rPr>
      </w:pPr>
      <w:r>
        <w:rPr>
          <w:color w:val="auto"/>
          <w:szCs w:val="21"/>
          <w:highlight w:val="none"/>
        </w:rPr>
        <w:t xml:space="preserve">2.4.2 </w:t>
      </w:r>
      <w:r>
        <w:rPr>
          <w:rFonts w:hint="eastAsia"/>
          <w:color w:val="auto"/>
          <w:szCs w:val="21"/>
          <w:highlight w:val="none"/>
        </w:rPr>
        <w:t>提供施工条件</w:t>
      </w:r>
    </w:p>
    <w:p w14:paraId="2C4E7510">
      <w:pPr>
        <w:spacing w:line="460" w:lineRule="exact"/>
        <w:ind w:firstLine="420" w:firstLineChars="200"/>
        <w:rPr>
          <w:b/>
          <w:color w:val="auto"/>
          <w:szCs w:val="21"/>
          <w:highlight w:val="none"/>
          <w:u w:val="single"/>
        </w:rPr>
      </w:pPr>
      <w:r>
        <w:rPr>
          <w:rFonts w:hint="eastAsia"/>
          <w:color w:val="auto"/>
          <w:szCs w:val="21"/>
          <w:highlight w:val="none"/>
        </w:rPr>
        <w:t>关于发包人应负责提供施工所需要的条件，包括：</w:t>
      </w:r>
      <w:r>
        <w:rPr>
          <w:rFonts w:hint="eastAsia" w:cs="Arial"/>
          <w:b/>
          <w:color w:val="auto"/>
          <w:szCs w:val="21"/>
          <w:highlight w:val="none"/>
          <w:u w:val="single"/>
          <w:lang w:bidi="ar-SA"/>
        </w:rPr>
        <w:t>发包人于开工前办理好施工所需证件、批件（承包人自身资质证件除外）</w:t>
      </w:r>
      <w:r>
        <w:rPr>
          <w:rFonts w:hint="eastAsia"/>
          <w:b/>
          <w:color w:val="auto"/>
          <w:szCs w:val="21"/>
          <w:highlight w:val="none"/>
          <w:u w:val="single"/>
        </w:rPr>
        <w:t>。施工过程中承包人不得因发包人前期手续而出现不进行施工准备、索赔、消极施工等情形，应积极配合，保证工程按计划进行，否则按违约处理。</w:t>
      </w:r>
    </w:p>
    <w:p w14:paraId="27C626DC">
      <w:pPr>
        <w:spacing w:line="460" w:lineRule="exact"/>
        <w:ind w:firstLine="420" w:firstLineChars="200"/>
        <w:rPr>
          <w:color w:val="auto"/>
          <w:szCs w:val="21"/>
          <w:highlight w:val="none"/>
        </w:rPr>
      </w:pPr>
      <w:r>
        <w:rPr>
          <w:color w:val="auto"/>
          <w:szCs w:val="21"/>
          <w:highlight w:val="none"/>
        </w:rPr>
        <w:t xml:space="preserve">2.5 </w:t>
      </w:r>
      <w:r>
        <w:rPr>
          <w:rFonts w:hint="eastAsia"/>
          <w:color w:val="auto"/>
          <w:szCs w:val="21"/>
          <w:highlight w:val="none"/>
        </w:rPr>
        <w:t>资金来源证明及支付担保</w:t>
      </w:r>
    </w:p>
    <w:p w14:paraId="69AADE27">
      <w:pPr>
        <w:spacing w:line="460" w:lineRule="exact"/>
        <w:ind w:firstLine="420" w:firstLineChars="200"/>
        <w:rPr>
          <w:color w:val="auto"/>
          <w:szCs w:val="21"/>
          <w:highlight w:val="none"/>
        </w:rPr>
      </w:pPr>
      <w:r>
        <w:rPr>
          <w:rFonts w:hint="eastAsia"/>
          <w:color w:val="auto"/>
          <w:szCs w:val="21"/>
          <w:highlight w:val="none"/>
        </w:rPr>
        <w:t>发包人提供资金来源证明的期限要求</w:t>
      </w:r>
      <w:r>
        <w:rPr>
          <w:rFonts w:hint="eastAsia"/>
          <w:color w:val="auto"/>
          <w:szCs w:val="21"/>
          <w:highlight w:val="none"/>
          <w:lang w:eastAsia="zh-CN"/>
        </w:rPr>
        <w:t>：</w:t>
      </w:r>
      <w:r>
        <w:rPr>
          <w:color w:val="auto"/>
          <w:szCs w:val="21"/>
          <w:highlight w:val="none"/>
          <w:u w:val="single"/>
        </w:rPr>
        <w:t xml:space="preserve">    </w:t>
      </w:r>
      <w:r>
        <w:rPr>
          <w:rFonts w:hint="eastAsia"/>
          <w:color w:val="auto"/>
          <w:szCs w:val="21"/>
          <w:highlight w:val="none"/>
        </w:rPr>
        <w:t>。</w:t>
      </w:r>
    </w:p>
    <w:p w14:paraId="6DE34C0E">
      <w:pPr>
        <w:spacing w:line="460" w:lineRule="exact"/>
        <w:ind w:firstLine="420" w:firstLineChars="200"/>
        <w:rPr>
          <w:color w:val="auto"/>
          <w:szCs w:val="21"/>
          <w:highlight w:val="none"/>
        </w:rPr>
      </w:pPr>
      <w:r>
        <w:rPr>
          <w:rFonts w:hint="eastAsia"/>
          <w:color w:val="auto"/>
          <w:szCs w:val="21"/>
          <w:highlight w:val="none"/>
        </w:rPr>
        <w:t>发包人是否提供支付担保：</w:t>
      </w:r>
      <w:r>
        <w:rPr>
          <w:rFonts w:hint="eastAsia" w:ascii="MingLiU_HKSCS" w:hAnsi="MingLiU_HKSCS" w:cs="MingLiU_HKSCS"/>
          <w:color w:val="auto"/>
          <w:szCs w:val="21"/>
          <w:highlight w:val="none"/>
          <w:u w:val="single"/>
          <w:lang w:bidi="ar-SA"/>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FD22659">
      <w:pPr>
        <w:spacing w:line="460" w:lineRule="exact"/>
        <w:ind w:firstLine="420" w:firstLineChars="200"/>
        <w:rPr>
          <w:color w:val="auto"/>
          <w:szCs w:val="21"/>
          <w:highlight w:val="none"/>
          <w:u w:val="single"/>
        </w:rPr>
      </w:pPr>
      <w:r>
        <w:rPr>
          <w:rFonts w:hint="eastAsia"/>
          <w:color w:val="auto"/>
          <w:szCs w:val="21"/>
          <w:highlight w:val="none"/>
        </w:rPr>
        <w:t>发包人提供支付担保的形式：</w:t>
      </w:r>
      <w:r>
        <w:rPr>
          <w:rFonts w:hint="eastAsia" w:ascii="MingLiU_HKSCS" w:hAnsi="MingLiU_HKSCS" w:cs="MingLiU_HKSCS"/>
          <w:color w:val="auto"/>
          <w:szCs w:val="21"/>
          <w:highlight w:val="none"/>
          <w:u w:val="single"/>
          <w:lang w:bidi="ar-SA"/>
        </w:rPr>
        <w:t xml:space="preserve"> </w:t>
      </w:r>
      <w:r>
        <w:rPr>
          <w:b/>
          <w:color w:val="auto"/>
          <w:szCs w:val="21"/>
          <w:highlight w:val="none"/>
          <w:u w:val="single"/>
        </w:rPr>
        <w:t xml:space="preserve"> </w:t>
      </w:r>
      <w:r>
        <w:rPr>
          <w:rFonts w:hint="eastAsia"/>
          <w:b/>
          <w:color w:val="auto"/>
          <w:szCs w:val="21"/>
          <w:highlight w:val="none"/>
          <w:u w:val="single"/>
        </w:rPr>
        <w:t>/</w:t>
      </w:r>
      <w:r>
        <w:rPr>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625A7FA5">
      <w:pPr>
        <w:keepNext/>
        <w:keepLines/>
        <w:widowControl w:val="0"/>
        <w:adjustRightInd w:val="0"/>
        <w:spacing w:before="120" w:after="120" w:line="460" w:lineRule="exact"/>
        <w:textAlignment w:val="baseline"/>
        <w:outlineLvl w:val="3"/>
        <w:rPr>
          <w:b/>
          <w:color w:val="auto"/>
          <w:szCs w:val="21"/>
          <w:highlight w:val="none"/>
        </w:rPr>
      </w:pPr>
      <w:bookmarkStart w:id="72" w:name="_Toc351203635"/>
      <w:r>
        <w:rPr>
          <w:b/>
          <w:color w:val="auto"/>
          <w:szCs w:val="21"/>
          <w:highlight w:val="none"/>
        </w:rPr>
        <w:t>3</w:t>
      </w:r>
      <w:bookmarkStart w:id="73" w:name="_Toc292559868"/>
      <w:bookmarkStart w:id="74" w:name="_Toc297048344"/>
      <w:bookmarkStart w:id="75" w:name="_Toc296944497"/>
      <w:bookmarkStart w:id="76" w:name="_Toc296503158"/>
      <w:bookmarkStart w:id="77" w:name="_Toc296347157"/>
      <w:bookmarkStart w:id="78" w:name="_Toc296346659"/>
      <w:bookmarkStart w:id="79" w:name="_Toc296891198"/>
      <w:bookmarkStart w:id="80" w:name="_Toc296890986"/>
      <w:bookmarkStart w:id="81" w:name="_Toc297120458"/>
      <w:bookmarkStart w:id="82" w:name="_Toc292559363"/>
      <w:r>
        <w:rPr>
          <w:b/>
          <w:color w:val="auto"/>
          <w:szCs w:val="21"/>
          <w:highlight w:val="none"/>
        </w:rPr>
        <w:t xml:space="preserve">. </w:t>
      </w:r>
      <w:r>
        <w:rPr>
          <w:rFonts w:hint="eastAsia"/>
          <w:b/>
          <w:color w:val="auto"/>
          <w:szCs w:val="21"/>
          <w:highlight w:val="none"/>
        </w:rPr>
        <w:t>承包人</w:t>
      </w:r>
      <w:bookmarkEnd w:id="72"/>
    </w:p>
    <w:bookmarkEnd w:id="73"/>
    <w:bookmarkEnd w:id="74"/>
    <w:bookmarkEnd w:id="75"/>
    <w:bookmarkEnd w:id="76"/>
    <w:bookmarkEnd w:id="77"/>
    <w:bookmarkEnd w:id="78"/>
    <w:bookmarkEnd w:id="79"/>
    <w:bookmarkEnd w:id="80"/>
    <w:bookmarkEnd w:id="81"/>
    <w:bookmarkEnd w:id="82"/>
    <w:p w14:paraId="19B3B1B6">
      <w:pPr>
        <w:spacing w:line="460" w:lineRule="exact"/>
        <w:ind w:firstLine="420" w:firstLineChars="200"/>
        <w:rPr>
          <w:color w:val="auto"/>
          <w:szCs w:val="21"/>
          <w:highlight w:val="none"/>
        </w:rPr>
      </w:pPr>
      <w:r>
        <w:rPr>
          <w:color w:val="auto"/>
          <w:szCs w:val="21"/>
          <w:highlight w:val="none"/>
        </w:rPr>
        <w:t xml:space="preserve">3.1 </w:t>
      </w:r>
      <w:r>
        <w:rPr>
          <w:rFonts w:hint="eastAsia"/>
          <w:color w:val="auto"/>
          <w:szCs w:val="21"/>
          <w:highlight w:val="none"/>
        </w:rPr>
        <w:t>承包人的一般义务</w:t>
      </w:r>
    </w:p>
    <w:p w14:paraId="0493F1AC">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5</w:t>
      </w:r>
      <w:r>
        <w:rPr>
          <w:rFonts w:hint="eastAsia"/>
          <w:color w:val="auto"/>
          <w:szCs w:val="21"/>
          <w:highlight w:val="none"/>
        </w:rPr>
        <w:t>）承包人提交的竣工资料的内容：</w:t>
      </w:r>
      <w:r>
        <w:rPr>
          <w:rFonts w:hint="eastAsia"/>
          <w:b/>
          <w:bCs/>
          <w:color w:val="auto"/>
          <w:szCs w:val="21"/>
          <w:highlight w:val="none"/>
          <w:u w:val="single"/>
        </w:rPr>
        <w:t>承包人提供监理工程师审查通过的完整</w:t>
      </w:r>
      <w:r>
        <w:rPr>
          <w:rFonts w:hint="eastAsia"/>
          <w:b/>
          <w:bCs/>
          <w:color w:val="auto"/>
          <w:szCs w:val="21"/>
          <w:highlight w:val="none"/>
          <w:u w:val="single"/>
          <w:lang w:eastAsia="zh-TW"/>
        </w:rPr>
        <w:t>的竣工图和竣工结算及其他资料。</w:t>
      </w:r>
      <w:r>
        <w:rPr>
          <w:rFonts w:hint="eastAsia"/>
          <w:b/>
          <w:color w:val="auto"/>
          <w:szCs w:val="21"/>
          <w:highlight w:val="none"/>
          <w:u w:val="single"/>
        </w:rPr>
        <w:t>A. 施工中没有设计变更，施工后由承包人在发包人提供的施工图纸上加盖竣工图章，提交发包人；B. 施工中只有零星的少量设计变更，承包人在施工图变更位置注明，并连同经发包人同意的变更签证，竣工后由承包人加盖竣工图章交给发包人；3、施工中对原设计中变更较多，原施工图难于作为竣工图，应由承包人组织重新绘制竣工图，并承担相应费用。</w:t>
      </w:r>
      <w:r>
        <w:rPr>
          <w:color w:val="auto"/>
          <w:szCs w:val="21"/>
          <w:highlight w:val="none"/>
          <w:u w:val="single"/>
        </w:rPr>
        <w:t xml:space="preserve">                </w:t>
      </w:r>
    </w:p>
    <w:p w14:paraId="33CCC5FF">
      <w:pPr>
        <w:spacing w:line="460" w:lineRule="exact"/>
        <w:ind w:firstLine="420" w:firstLineChars="200"/>
        <w:rPr>
          <w:color w:val="auto"/>
          <w:szCs w:val="21"/>
          <w:highlight w:val="none"/>
        </w:rPr>
      </w:pPr>
      <w:r>
        <w:rPr>
          <w:rFonts w:hint="eastAsia"/>
          <w:color w:val="auto"/>
          <w:szCs w:val="21"/>
          <w:highlight w:val="none"/>
        </w:rPr>
        <w:t>承包人需要提交的竣工资料套数：</w:t>
      </w:r>
      <w:r>
        <w:rPr>
          <w:color w:val="auto"/>
          <w:szCs w:val="21"/>
          <w:highlight w:val="none"/>
          <w:u w:val="single"/>
        </w:rPr>
        <w:t xml:space="preserve">       </w:t>
      </w:r>
      <w:r>
        <w:rPr>
          <w:rFonts w:hint="eastAsia"/>
          <w:b/>
          <w:bCs/>
          <w:color w:val="auto"/>
          <w:szCs w:val="21"/>
          <w:highlight w:val="none"/>
          <w:u w:val="single"/>
        </w:rPr>
        <w:t>肆套</w:t>
      </w:r>
      <w:r>
        <w:rPr>
          <w:color w:val="auto"/>
          <w:szCs w:val="21"/>
          <w:highlight w:val="none"/>
          <w:u w:val="single"/>
        </w:rPr>
        <w:t xml:space="preserve">                </w:t>
      </w:r>
      <w:r>
        <w:rPr>
          <w:rFonts w:hint="eastAsia"/>
          <w:color w:val="auto"/>
          <w:szCs w:val="21"/>
          <w:highlight w:val="none"/>
        </w:rPr>
        <w:t>。</w:t>
      </w:r>
    </w:p>
    <w:p w14:paraId="05EA5C59">
      <w:pPr>
        <w:spacing w:line="460" w:lineRule="exact"/>
        <w:ind w:firstLine="420" w:firstLineChars="200"/>
        <w:rPr>
          <w:color w:val="auto"/>
          <w:szCs w:val="21"/>
          <w:highlight w:val="none"/>
        </w:rPr>
      </w:pPr>
      <w:r>
        <w:rPr>
          <w:rFonts w:hint="eastAsia"/>
          <w:color w:val="auto"/>
          <w:szCs w:val="21"/>
          <w:highlight w:val="none"/>
        </w:rPr>
        <w:t>承包人提交的竣工资料的费用承担：</w:t>
      </w:r>
      <w:r>
        <w:rPr>
          <w:color w:val="auto"/>
          <w:szCs w:val="21"/>
          <w:highlight w:val="none"/>
          <w:u w:val="single"/>
        </w:rPr>
        <w:t xml:space="preserve">   </w:t>
      </w:r>
      <w:r>
        <w:rPr>
          <w:rFonts w:hint="eastAsia"/>
          <w:b/>
          <w:bCs/>
          <w:color w:val="auto"/>
          <w:szCs w:val="21"/>
          <w:highlight w:val="none"/>
          <w:u w:val="single"/>
          <w:lang w:eastAsia="zh-TW"/>
        </w:rPr>
        <w:t>由承包人承担</w:t>
      </w:r>
      <w:r>
        <w:rPr>
          <w:color w:val="auto"/>
          <w:szCs w:val="21"/>
          <w:highlight w:val="none"/>
          <w:u w:val="single"/>
        </w:rPr>
        <w:t xml:space="preserve">         </w:t>
      </w:r>
      <w:r>
        <w:rPr>
          <w:rFonts w:hint="eastAsia"/>
          <w:color w:val="auto"/>
          <w:szCs w:val="21"/>
          <w:highlight w:val="none"/>
        </w:rPr>
        <w:t>。</w:t>
      </w:r>
    </w:p>
    <w:p w14:paraId="65E8B396">
      <w:pPr>
        <w:spacing w:line="460" w:lineRule="exact"/>
        <w:ind w:firstLine="420" w:firstLineChars="200"/>
        <w:rPr>
          <w:color w:val="auto"/>
          <w:szCs w:val="21"/>
          <w:highlight w:val="none"/>
        </w:rPr>
      </w:pPr>
      <w:r>
        <w:rPr>
          <w:rFonts w:hint="eastAsia"/>
          <w:color w:val="auto"/>
          <w:szCs w:val="21"/>
          <w:highlight w:val="none"/>
        </w:rPr>
        <w:t>承包人提交的竣工资料移交时间：</w:t>
      </w:r>
      <w:r>
        <w:rPr>
          <w:color w:val="auto"/>
          <w:szCs w:val="21"/>
          <w:highlight w:val="none"/>
          <w:u w:val="single"/>
        </w:rPr>
        <w:t xml:space="preserve">  </w:t>
      </w:r>
      <w:r>
        <w:rPr>
          <w:b/>
          <w:bCs/>
          <w:color w:val="auto"/>
          <w:szCs w:val="21"/>
          <w:highlight w:val="none"/>
          <w:u w:val="single"/>
        </w:rPr>
        <w:t>工程竣工验收合格之日算起28天内</w:t>
      </w:r>
      <w:r>
        <w:rPr>
          <w:color w:val="auto"/>
          <w:szCs w:val="21"/>
          <w:highlight w:val="none"/>
          <w:u w:val="single"/>
        </w:rPr>
        <w:t xml:space="preserve">      </w:t>
      </w:r>
      <w:r>
        <w:rPr>
          <w:rFonts w:hint="eastAsia"/>
          <w:color w:val="auto"/>
          <w:szCs w:val="21"/>
          <w:highlight w:val="none"/>
        </w:rPr>
        <w:t>。</w:t>
      </w:r>
    </w:p>
    <w:p w14:paraId="1FD2C3ED">
      <w:pPr>
        <w:spacing w:line="460" w:lineRule="exact"/>
        <w:ind w:firstLine="420" w:firstLineChars="200"/>
        <w:rPr>
          <w:b/>
          <w:color w:val="auto"/>
          <w:szCs w:val="21"/>
          <w:highlight w:val="none"/>
        </w:rPr>
      </w:pPr>
      <w:r>
        <w:rPr>
          <w:rFonts w:hint="eastAsia"/>
          <w:color w:val="auto"/>
          <w:szCs w:val="21"/>
          <w:highlight w:val="none"/>
        </w:rPr>
        <w:t>承包人提交的竣工资料形式要求：</w:t>
      </w:r>
      <w:r>
        <w:rPr>
          <w:rFonts w:hint="eastAsia" w:cs="Arial"/>
          <w:b/>
          <w:color w:val="auto"/>
          <w:szCs w:val="21"/>
          <w:highlight w:val="none"/>
          <w:u w:val="single"/>
          <w:lang w:bidi="ar-SA"/>
        </w:rPr>
        <w:t>承包人提供的竣工图必须与实际相符合，否则由此对发包人所造成的所有损失由承包人承担。</w:t>
      </w:r>
      <w:r>
        <w:rPr>
          <w:b/>
          <w:color w:val="auto"/>
          <w:szCs w:val="21"/>
          <w:highlight w:val="none"/>
          <w:u w:val="single"/>
        </w:rPr>
        <w:t>竣工时，承包人根据发包人的要求在竣工图标出各类管线的实际走向和定位</w:t>
      </w:r>
      <w:r>
        <w:rPr>
          <w:b/>
          <w:color w:val="auto"/>
          <w:szCs w:val="21"/>
          <w:highlight w:val="none"/>
        </w:rPr>
        <w:t>。</w:t>
      </w:r>
    </w:p>
    <w:p w14:paraId="42278D46">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6</w:t>
      </w:r>
      <w:r>
        <w:rPr>
          <w:rFonts w:hint="eastAsia"/>
          <w:color w:val="auto"/>
          <w:szCs w:val="21"/>
          <w:highlight w:val="none"/>
        </w:rPr>
        <w:t>）承包人应履行的其他义务：</w:t>
      </w:r>
    </w:p>
    <w:p w14:paraId="5C6CFE55">
      <w:pPr>
        <w:adjustRightInd w:val="0"/>
        <w:spacing w:line="460" w:lineRule="exact"/>
        <w:ind w:firstLine="422" w:firstLineChars="200"/>
        <w:textAlignment w:val="baseline"/>
        <w:rPr>
          <w:rFonts w:cs="Arial"/>
          <w:b/>
          <w:color w:val="auto"/>
          <w:szCs w:val="21"/>
          <w:highlight w:val="none"/>
          <w:u w:val="single"/>
          <w:lang w:bidi="ar-SA"/>
        </w:rPr>
      </w:pPr>
      <w:r>
        <w:rPr>
          <w:rFonts w:hint="eastAsia" w:cs="Arial"/>
          <w:b/>
          <w:color w:val="auto"/>
          <w:szCs w:val="21"/>
          <w:highlight w:val="none"/>
          <w:u w:val="single"/>
          <w:lang w:bidi="ar-SA"/>
        </w:rPr>
        <w:t>①需由设计资质等级和业务范围允许的承包人完成的设计文件提交时间：无。</w:t>
      </w:r>
    </w:p>
    <w:p w14:paraId="63A9697E">
      <w:pPr>
        <w:adjustRightInd w:val="0"/>
        <w:spacing w:line="460" w:lineRule="exact"/>
        <w:ind w:firstLine="422" w:firstLineChars="200"/>
        <w:textAlignment w:val="baseline"/>
        <w:rPr>
          <w:rFonts w:cs="Arial"/>
          <w:b/>
          <w:color w:val="auto"/>
          <w:szCs w:val="21"/>
          <w:highlight w:val="none"/>
          <w:u w:val="single"/>
          <w:lang w:bidi="ar-SA"/>
        </w:rPr>
      </w:pPr>
      <w:r>
        <w:rPr>
          <w:rFonts w:hint="eastAsia" w:cs="Arial"/>
          <w:b/>
          <w:color w:val="auto"/>
          <w:szCs w:val="21"/>
          <w:highlight w:val="none"/>
          <w:u w:val="single"/>
          <w:lang w:bidi="ar-SA"/>
        </w:rPr>
        <w:t>②应提供计划、报表的名称及完成时间：总进度计划在开工前3天提供。具体计划及时间要求根据工程需要补充明确。</w:t>
      </w:r>
    </w:p>
    <w:p w14:paraId="191F6AA6">
      <w:pPr>
        <w:adjustRightInd w:val="0"/>
        <w:spacing w:line="460" w:lineRule="exact"/>
        <w:ind w:firstLine="422" w:firstLineChars="200"/>
        <w:textAlignment w:val="baseline"/>
        <w:rPr>
          <w:rFonts w:cs="Arial"/>
          <w:b/>
          <w:color w:val="auto"/>
          <w:szCs w:val="21"/>
          <w:highlight w:val="none"/>
          <w:u w:val="single"/>
          <w:lang w:bidi="ar-SA"/>
        </w:rPr>
      </w:pPr>
      <w:r>
        <w:rPr>
          <w:rFonts w:hint="eastAsia" w:cs="Arial"/>
          <w:b/>
          <w:color w:val="auto"/>
          <w:szCs w:val="21"/>
          <w:highlight w:val="none"/>
          <w:u w:val="single"/>
          <w:lang w:bidi="ar-SA"/>
        </w:rPr>
        <w:t>③承担施工安全保卫工作及非夜间施工照明的责任和要求：提供和维修非夜间施工使用的照明、围栏设施、安全防护等，并负责安全保卫。所需费用均包含在合同价中。</w:t>
      </w:r>
    </w:p>
    <w:p w14:paraId="0C2D75B3">
      <w:pPr>
        <w:adjustRightInd w:val="0"/>
        <w:spacing w:line="460" w:lineRule="exact"/>
        <w:ind w:firstLine="422" w:firstLineChars="200"/>
        <w:textAlignment w:val="baseline"/>
        <w:rPr>
          <w:rFonts w:cs="Arial"/>
          <w:b/>
          <w:color w:val="auto"/>
          <w:szCs w:val="21"/>
          <w:highlight w:val="none"/>
          <w:u w:val="single"/>
          <w:lang w:bidi="ar-SA"/>
        </w:rPr>
      </w:pPr>
      <w:r>
        <w:rPr>
          <w:rFonts w:hint="eastAsia" w:cs="Arial"/>
          <w:b/>
          <w:color w:val="auto"/>
          <w:szCs w:val="21"/>
          <w:highlight w:val="none"/>
          <w:u w:val="single"/>
          <w:lang w:bidi="ar-SA"/>
        </w:rPr>
        <w:t>④向发包人提供的办公和生活房屋及设施的要求：根据发包人要求免费提供。</w:t>
      </w:r>
    </w:p>
    <w:p w14:paraId="6EDEFBEB">
      <w:pPr>
        <w:adjustRightInd w:val="0"/>
        <w:spacing w:line="460" w:lineRule="exact"/>
        <w:ind w:firstLine="422" w:firstLineChars="200"/>
        <w:textAlignment w:val="baseline"/>
        <w:rPr>
          <w:rFonts w:cs="Arial"/>
          <w:b/>
          <w:color w:val="auto"/>
          <w:szCs w:val="21"/>
          <w:highlight w:val="none"/>
          <w:u w:val="single"/>
          <w:lang w:bidi="ar-SA"/>
        </w:rPr>
      </w:pPr>
      <w:r>
        <w:rPr>
          <w:rFonts w:hint="eastAsia" w:cs="Arial"/>
          <w:b/>
          <w:color w:val="auto"/>
          <w:szCs w:val="21"/>
          <w:highlight w:val="none"/>
          <w:u w:val="single"/>
          <w:lang w:bidi="ar-SA"/>
        </w:rPr>
        <w:t>⑤需承包人办理的有关施工场地交通、环卫和施工噪音管理等手续：遵守政府有关主管部门对施工场地交通、施工噪音、环境保护和安全生产等的管理规定，按规定办理有关手续，并以书面形式通知发包人。所需费用均包含在合同价中。</w:t>
      </w:r>
    </w:p>
    <w:p w14:paraId="538C4C66">
      <w:pPr>
        <w:adjustRightInd w:val="0"/>
        <w:spacing w:line="460" w:lineRule="exact"/>
        <w:ind w:firstLine="422" w:firstLineChars="200"/>
        <w:textAlignment w:val="baseline"/>
        <w:rPr>
          <w:b/>
          <w:color w:val="auto"/>
          <w:szCs w:val="21"/>
          <w:highlight w:val="none"/>
          <w:u w:val="single"/>
        </w:rPr>
      </w:pPr>
      <w:r>
        <w:rPr>
          <w:rFonts w:hint="eastAsia" w:cs="Arial"/>
          <w:b/>
          <w:color w:val="auto"/>
          <w:szCs w:val="21"/>
          <w:highlight w:val="none"/>
          <w:u w:val="single"/>
          <w:lang w:bidi="ar-SA"/>
        </w:rPr>
        <w:t>⑥已完工程成品保护的特殊要求及费用承担：</w:t>
      </w:r>
      <w:r>
        <w:rPr>
          <w:rFonts w:hint="eastAsia"/>
          <w:b/>
          <w:color w:val="auto"/>
          <w:szCs w:val="21"/>
          <w:highlight w:val="none"/>
          <w:u w:val="single"/>
        </w:rPr>
        <w:t>已完工程未交付给发包人之前，</w:t>
      </w:r>
      <w:r>
        <w:rPr>
          <w:rFonts w:hint="eastAsia" w:cs="Arial"/>
          <w:b/>
          <w:color w:val="auto"/>
          <w:szCs w:val="21"/>
          <w:highlight w:val="none"/>
          <w:u w:val="single"/>
          <w:lang w:bidi="ar-SA"/>
        </w:rPr>
        <w:t>承包人</w:t>
      </w:r>
      <w:r>
        <w:rPr>
          <w:rFonts w:hint="eastAsia"/>
          <w:b/>
          <w:color w:val="auto"/>
          <w:szCs w:val="21"/>
          <w:highlight w:val="none"/>
          <w:u w:val="single"/>
        </w:rPr>
        <w:t>负责已完成工程的保护工作，所需费用包含在合同价内。</w:t>
      </w:r>
    </w:p>
    <w:p w14:paraId="7E624AE3">
      <w:pPr>
        <w:adjustRightInd w:val="0"/>
        <w:spacing w:line="460" w:lineRule="exact"/>
        <w:ind w:firstLine="480"/>
        <w:textAlignment w:val="baseline"/>
        <w:rPr>
          <w:rFonts w:cs="Arial"/>
          <w:b/>
          <w:color w:val="auto"/>
          <w:szCs w:val="21"/>
          <w:highlight w:val="none"/>
          <w:u w:val="single"/>
          <w:lang w:bidi="ar-SA"/>
        </w:rPr>
      </w:pPr>
      <w:r>
        <w:rPr>
          <w:rFonts w:hint="eastAsia" w:cs="Arial"/>
          <w:b/>
          <w:color w:val="auto"/>
          <w:szCs w:val="21"/>
          <w:highlight w:val="none"/>
          <w:u w:val="single"/>
          <w:lang w:bidi="ar-SA"/>
        </w:rPr>
        <w:t>⑦施工场地周围地下管线和邻近建筑物、构筑物（含文物保护建筑）、古树名木的保护要求及费用承担：保护措施由承包人根据实际情况制定，报发包人和现场监理审核批准后执行。</w:t>
      </w:r>
    </w:p>
    <w:p w14:paraId="3AAFC6BB">
      <w:pPr>
        <w:spacing w:line="460" w:lineRule="exact"/>
        <w:ind w:firstLine="459"/>
        <w:rPr>
          <w:rFonts w:cs="Arial"/>
          <w:b/>
          <w:color w:val="auto"/>
          <w:szCs w:val="21"/>
          <w:highlight w:val="none"/>
          <w:u w:val="single"/>
          <w:lang w:bidi="ar-SA"/>
        </w:rPr>
      </w:pPr>
      <w:r>
        <w:rPr>
          <w:rFonts w:hint="eastAsia"/>
          <w:b/>
          <w:color w:val="auto"/>
          <w:szCs w:val="21"/>
          <w:highlight w:val="none"/>
          <w:u w:val="single"/>
        </w:rPr>
        <w:t>⑧</w:t>
      </w:r>
      <w:r>
        <w:rPr>
          <w:rFonts w:hint="eastAsia" w:cs="Arial"/>
          <w:b/>
          <w:color w:val="auto"/>
          <w:szCs w:val="21"/>
          <w:highlight w:val="none"/>
          <w:u w:val="single"/>
          <w:lang w:bidi="ar-SA"/>
        </w:rPr>
        <w:t>施工场地清洁卫生的要求：承包人必须按文明工地要求，做好场地清理及相关工作。施工现场的材料堆放要整齐，机械停放有序，做到工完料清；遵守环境卫生管理的有关规定，符合清洁卫生要求；定期地将所有建筑垃圾从施工场地清除，并运出场外；交工前，将所有剩余的建筑材料运走或运至指定地点堆放，将所有施工机械和设备从施工场地运走。上述费用包含在合同价中。未能达到上述要求发包人有权视情节严重扣除承包人履约保证金的5%。若承包人现场施工作业面、办公区满足不了文明施工要求，发包人有权安排</w:t>
      </w:r>
      <w:r>
        <w:rPr>
          <w:rFonts w:hint="eastAsia" w:cs="Arial"/>
          <w:b/>
          <w:color w:val="auto"/>
          <w:szCs w:val="21"/>
          <w:highlight w:val="none"/>
          <w:u w:val="single"/>
          <w:lang w:eastAsia="zh-CN" w:bidi="ar-SA"/>
        </w:rPr>
        <w:t>其他单位或个人</w:t>
      </w:r>
      <w:r>
        <w:rPr>
          <w:rFonts w:hint="eastAsia" w:cs="Arial"/>
          <w:b/>
          <w:color w:val="auto"/>
          <w:szCs w:val="21"/>
          <w:highlight w:val="none"/>
          <w:u w:val="single"/>
          <w:lang w:bidi="ar-SA"/>
        </w:rPr>
        <w:t>打扫， 具体发生的费用从进度款中按实际费用的2倍扣除。</w:t>
      </w:r>
    </w:p>
    <w:p w14:paraId="01CB75EB">
      <w:pPr>
        <w:spacing w:line="460" w:lineRule="exact"/>
        <w:ind w:firstLine="459"/>
        <w:rPr>
          <w:b/>
          <w:color w:val="auto"/>
          <w:szCs w:val="21"/>
          <w:highlight w:val="none"/>
          <w:u w:val="single"/>
        </w:rPr>
      </w:pPr>
      <w:r>
        <w:rPr>
          <w:rFonts w:hint="eastAsia"/>
          <w:b/>
          <w:color w:val="auto"/>
          <w:szCs w:val="21"/>
          <w:highlight w:val="none"/>
          <w:u w:val="single"/>
        </w:rPr>
        <w:t>⑨双方约定承包人应做的其他工作：A.现场施工条件和情况由承包人自行勘察，机械设备布置和防护由承包人自行负责并承担费用。B.在施工过程中不得破坏施工场地周围的自然景观和环境。C.如果在现场工作的过程中，发现电线、水管管道，或者其他公共设施，承包人应立即停止工作，并及时报告发包人或专门机构。承包人根据有关指示，负责修理那些已被破坏的公共设施，并恢复原状，费用由责任方承担。D.临时停水、停电、二次搬运、成品保护等所需措施费用和工期承包人在投标报价中已充分考虑，并已考虑了各种可能因素影响施工所增加的费用，因此，发生上述情况，发包人不另行增加费用。E.对于施工过程中承包人不得因承包方前期手续而索赔或消极施工，需积极配合，保证工程按计划进行，否则按违约处理。F.在工程施工过程中，因承包人的原因出现质量问题、安全事故或者因其他原因受到报纸、电视等媒体的曝光或被政府有关主管部门通报批评，给本工程的社会形象带来负面影响，每次由承包人向发包人支付0.5万元违约金，从承包人工程进度款中扣除。</w:t>
      </w:r>
    </w:p>
    <w:p w14:paraId="70B96709">
      <w:pPr>
        <w:adjustRightInd w:val="0"/>
        <w:spacing w:line="460" w:lineRule="exact"/>
        <w:ind w:firstLine="422" w:firstLineChars="200"/>
        <w:textAlignment w:val="baseline"/>
        <w:rPr>
          <w:rFonts w:hint="eastAsia" w:cs="Arial"/>
          <w:b/>
          <w:color w:val="auto"/>
          <w:szCs w:val="21"/>
          <w:highlight w:val="none"/>
          <w:u w:val="single"/>
          <w:lang w:bidi="ar-SA"/>
        </w:rPr>
      </w:pPr>
      <w:r>
        <w:rPr>
          <w:rFonts w:hint="eastAsia" w:cs="Arial"/>
          <w:b/>
          <w:color w:val="auto"/>
          <w:szCs w:val="21"/>
          <w:highlight w:val="none"/>
          <w:u w:val="single"/>
          <w:lang w:bidi="ar-SA"/>
        </w:rPr>
        <w:t>⑩承包人在竣工验收合格后七天内拆除现场所有临时设施，包括所有的机械设备、材料、建筑垃圾全部清运出现场，清理标准应征得发包人认可。否则发包人有权安排</w:t>
      </w:r>
      <w:r>
        <w:rPr>
          <w:rFonts w:hint="eastAsia" w:cs="Arial"/>
          <w:b/>
          <w:color w:val="auto"/>
          <w:szCs w:val="21"/>
          <w:highlight w:val="none"/>
          <w:u w:val="single"/>
          <w:lang w:eastAsia="zh-CN" w:bidi="ar-SA"/>
        </w:rPr>
        <w:t>其他</w:t>
      </w:r>
      <w:r>
        <w:rPr>
          <w:rFonts w:hint="eastAsia" w:cs="Arial"/>
          <w:b/>
          <w:color w:val="auto"/>
          <w:szCs w:val="21"/>
          <w:highlight w:val="none"/>
          <w:u w:val="single"/>
          <w:lang w:bidi="ar-SA"/>
        </w:rPr>
        <w:t xml:space="preserve">单位进行清理，并按具体发生的费用2倍及以上从进度款中扣除，并且承包人按2000元/天向发包人支付违约金。 </w:t>
      </w:r>
    </w:p>
    <w:p w14:paraId="55EAC6F3">
      <w:pPr>
        <w:adjustRightInd w:val="0"/>
        <w:spacing w:line="460" w:lineRule="exact"/>
        <w:ind w:firstLine="422" w:firstLineChars="200"/>
        <w:textAlignment w:val="baseline"/>
        <w:rPr>
          <w:rFonts w:cs="Arial"/>
          <w:b/>
          <w:color w:val="auto"/>
          <w:szCs w:val="21"/>
          <w:highlight w:val="none"/>
          <w:u w:val="single"/>
          <w:lang w:bidi="ar-SA"/>
        </w:rPr>
      </w:pPr>
      <w:r>
        <w:rPr>
          <w:rFonts w:ascii="Cambria Math" w:hAnsi="Cambria Math" w:cs="Cambria Math"/>
          <w:b/>
          <w:color w:val="auto"/>
          <w:szCs w:val="21"/>
          <w:highlight w:val="none"/>
          <w:u w:val="single"/>
          <w:lang w:bidi="ar-SA"/>
        </w:rPr>
        <w:t>⑪</w:t>
      </w:r>
      <w:r>
        <w:rPr>
          <w:rFonts w:hint="eastAsia" w:ascii="宋体" w:cs="宋体"/>
          <w:b/>
          <w:color w:val="auto"/>
          <w:szCs w:val="21"/>
          <w:highlight w:val="none"/>
          <w:u w:val="single"/>
          <w:lang w:bidi="ar-SA"/>
        </w:rPr>
        <w:t>承包人在竣工验收合格后七天内拆除现场所有临时设施，包括所有的机</w:t>
      </w:r>
      <w:r>
        <w:rPr>
          <w:rFonts w:hint="eastAsia" w:cs="Arial"/>
          <w:b/>
          <w:color w:val="auto"/>
          <w:szCs w:val="21"/>
          <w:highlight w:val="none"/>
          <w:u w:val="single"/>
          <w:lang w:bidi="ar-SA"/>
        </w:rPr>
        <w:t>械设备、材料、建筑垃圾全部清运出现场，清理标准应征得发包人认可。否则发包人有权安排</w:t>
      </w:r>
      <w:r>
        <w:rPr>
          <w:rFonts w:hint="eastAsia" w:cs="Arial"/>
          <w:b/>
          <w:color w:val="auto"/>
          <w:szCs w:val="21"/>
          <w:highlight w:val="none"/>
          <w:u w:val="single"/>
          <w:lang w:eastAsia="zh-CN" w:bidi="ar-SA"/>
        </w:rPr>
        <w:t>其他</w:t>
      </w:r>
      <w:r>
        <w:rPr>
          <w:rFonts w:hint="eastAsia" w:cs="Arial"/>
          <w:b/>
          <w:color w:val="auto"/>
          <w:szCs w:val="21"/>
          <w:highlight w:val="none"/>
          <w:u w:val="single"/>
          <w:lang w:bidi="ar-SA"/>
        </w:rPr>
        <w:t>单位进行清理，并按具体发生的费用</w:t>
      </w:r>
      <w:r>
        <w:rPr>
          <w:rFonts w:cs="Arial"/>
          <w:b/>
          <w:color w:val="auto"/>
          <w:szCs w:val="21"/>
          <w:highlight w:val="none"/>
          <w:u w:val="single"/>
          <w:lang w:bidi="ar-SA"/>
        </w:rPr>
        <w:t>2</w:t>
      </w:r>
      <w:r>
        <w:rPr>
          <w:rFonts w:hint="eastAsia" w:cs="Arial"/>
          <w:b/>
          <w:color w:val="auto"/>
          <w:szCs w:val="21"/>
          <w:highlight w:val="none"/>
          <w:u w:val="single"/>
          <w:lang w:bidi="ar-SA"/>
        </w:rPr>
        <w:t>倍及以上从进度款中扣除，并且承包人按</w:t>
      </w:r>
      <w:r>
        <w:rPr>
          <w:rFonts w:cs="Arial"/>
          <w:b/>
          <w:color w:val="auto"/>
          <w:szCs w:val="21"/>
          <w:highlight w:val="none"/>
          <w:u w:val="single"/>
          <w:lang w:bidi="ar-SA"/>
        </w:rPr>
        <w:t>5000</w:t>
      </w:r>
      <w:r>
        <w:rPr>
          <w:rFonts w:hint="eastAsia" w:cs="Arial"/>
          <w:b/>
          <w:color w:val="auto"/>
          <w:szCs w:val="21"/>
          <w:highlight w:val="none"/>
          <w:u w:val="single"/>
          <w:lang w:bidi="ar-SA"/>
        </w:rPr>
        <w:t>元</w:t>
      </w:r>
      <w:r>
        <w:rPr>
          <w:rFonts w:cs="Arial"/>
          <w:b/>
          <w:color w:val="auto"/>
          <w:szCs w:val="21"/>
          <w:highlight w:val="none"/>
          <w:u w:val="single"/>
          <w:lang w:bidi="ar-SA"/>
        </w:rPr>
        <w:t>/</w:t>
      </w:r>
      <w:r>
        <w:rPr>
          <w:rFonts w:hint="eastAsia" w:cs="Arial"/>
          <w:b/>
          <w:color w:val="auto"/>
          <w:szCs w:val="21"/>
          <w:highlight w:val="none"/>
          <w:u w:val="single"/>
          <w:lang w:bidi="ar-SA"/>
        </w:rPr>
        <w:t>天向发包人支付违约金。</w:t>
      </w:r>
    </w:p>
    <w:p w14:paraId="2ECFF5F6">
      <w:pPr>
        <w:spacing w:line="460" w:lineRule="exact"/>
        <w:ind w:firstLine="420" w:firstLineChars="200"/>
        <w:rPr>
          <w:color w:val="auto"/>
          <w:szCs w:val="21"/>
          <w:highlight w:val="none"/>
        </w:rPr>
      </w:pPr>
      <w:r>
        <w:rPr>
          <w:color w:val="auto"/>
          <w:szCs w:val="21"/>
          <w:highlight w:val="none"/>
        </w:rPr>
        <w:t xml:space="preserve">3.2 </w:t>
      </w:r>
      <w:r>
        <w:rPr>
          <w:rFonts w:hint="eastAsia"/>
          <w:color w:val="auto"/>
          <w:szCs w:val="21"/>
          <w:highlight w:val="none"/>
        </w:rPr>
        <w:t>项目经理</w:t>
      </w:r>
    </w:p>
    <w:p w14:paraId="478E47BD">
      <w:pPr>
        <w:spacing w:line="460" w:lineRule="exact"/>
        <w:ind w:firstLine="420" w:firstLineChars="200"/>
        <w:rPr>
          <w:color w:val="auto"/>
          <w:szCs w:val="21"/>
          <w:highlight w:val="none"/>
        </w:rPr>
      </w:pPr>
      <w:r>
        <w:rPr>
          <w:color w:val="auto"/>
          <w:szCs w:val="21"/>
          <w:highlight w:val="none"/>
        </w:rPr>
        <w:t xml:space="preserve">3.2.1 </w:t>
      </w:r>
      <w:r>
        <w:rPr>
          <w:rFonts w:hint="eastAsia"/>
          <w:color w:val="auto"/>
          <w:szCs w:val="21"/>
          <w:highlight w:val="none"/>
        </w:rPr>
        <w:t>项目经理：</w:t>
      </w:r>
    </w:p>
    <w:p w14:paraId="55EE75B8">
      <w:pPr>
        <w:spacing w:line="460" w:lineRule="exact"/>
        <w:ind w:firstLine="420" w:firstLineChars="200"/>
        <w:rPr>
          <w:color w:val="auto"/>
          <w:szCs w:val="21"/>
          <w:highlight w:val="none"/>
        </w:rPr>
      </w:pPr>
      <w:r>
        <w:rPr>
          <w:rFonts w:hint="eastAsia"/>
          <w:color w:val="auto"/>
          <w:szCs w:val="21"/>
          <w:highlight w:val="none"/>
        </w:rPr>
        <w:t>姓</w:t>
      </w:r>
      <w:r>
        <w:rPr>
          <w:color w:val="auto"/>
          <w:szCs w:val="21"/>
          <w:highlight w:val="none"/>
        </w:rPr>
        <w:t xml:space="preserve">    </w:t>
      </w:r>
      <w:r>
        <w:rPr>
          <w:rFonts w:hint="eastAsia"/>
          <w:color w:val="auto"/>
          <w:szCs w:val="21"/>
          <w:highlight w:val="none"/>
        </w:rPr>
        <w:t>名：</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0F763EDC">
      <w:pPr>
        <w:spacing w:line="460" w:lineRule="exact"/>
        <w:ind w:firstLine="420" w:firstLineChars="200"/>
        <w:rPr>
          <w:color w:val="auto"/>
          <w:szCs w:val="21"/>
          <w:highlight w:val="none"/>
        </w:rPr>
      </w:pPr>
      <w:r>
        <w:rPr>
          <w:rFonts w:hint="eastAsia"/>
          <w:color w:val="auto"/>
          <w:szCs w:val="21"/>
          <w:highlight w:val="none"/>
        </w:rPr>
        <w:t>身份证号：</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335B945B">
      <w:pPr>
        <w:spacing w:line="460" w:lineRule="exact"/>
        <w:ind w:firstLine="420" w:firstLineChars="200"/>
        <w:rPr>
          <w:color w:val="auto"/>
          <w:szCs w:val="21"/>
          <w:highlight w:val="none"/>
        </w:rPr>
      </w:pPr>
      <w:r>
        <w:rPr>
          <w:rFonts w:hint="eastAsia"/>
          <w:color w:val="auto"/>
          <w:szCs w:val="21"/>
          <w:highlight w:val="none"/>
        </w:rPr>
        <w:t>建造师执业资格等级：</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5A64BE4F">
      <w:pPr>
        <w:spacing w:line="460" w:lineRule="exact"/>
        <w:ind w:firstLine="420" w:firstLineChars="200"/>
        <w:rPr>
          <w:color w:val="auto"/>
          <w:szCs w:val="21"/>
          <w:highlight w:val="none"/>
        </w:rPr>
      </w:pPr>
      <w:r>
        <w:rPr>
          <w:rFonts w:hint="eastAsia"/>
          <w:color w:val="auto"/>
          <w:szCs w:val="21"/>
          <w:highlight w:val="none"/>
        </w:rPr>
        <w:t>建造师注册证书号：</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2BE2820E">
      <w:pPr>
        <w:spacing w:line="460" w:lineRule="exact"/>
        <w:ind w:firstLine="420" w:firstLineChars="200"/>
        <w:rPr>
          <w:color w:val="auto"/>
          <w:szCs w:val="21"/>
          <w:highlight w:val="none"/>
        </w:rPr>
      </w:pPr>
      <w:r>
        <w:rPr>
          <w:rFonts w:hint="eastAsia"/>
          <w:color w:val="auto"/>
          <w:szCs w:val="21"/>
          <w:highlight w:val="none"/>
        </w:rPr>
        <w:t>建造师执业印章号：</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655FD432">
      <w:pPr>
        <w:spacing w:line="460" w:lineRule="exact"/>
        <w:ind w:firstLine="420" w:firstLineChars="200"/>
        <w:rPr>
          <w:color w:val="auto"/>
          <w:szCs w:val="21"/>
          <w:highlight w:val="none"/>
        </w:rPr>
      </w:pPr>
      <w:r>
        <w:rPr>
          <w:rFonts w:hint="eastAsia"/>
          <w:color w:val="auto"/>
          <w:szCs w:val="21"/>
          <w:highlight w:val="none"/>
        </w:rPr>
        <w:t>安全生产考核合格证书号：</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1F0211B0">
      <w:pPr>
        <w:spacing w:line="460" w:lineRule="exact"/>
        <w:ind w:firstLine="420" w:firstLineChars="200"/>
        <w:rPr>
          <w:color w:val="auto"/>
          <w:szCs w:val="21"/>
          <w:highlight w:val="none"/>
        </w:rPr>
      </w:pPr>
      <w:r>
        <w:rPr>
          <w:rFonts w:hint="eastAsia"/>
          <w:color w:val="auto"/>
          <w:szCs w:val="21"/>
          <w:highlight w:val="none"/>
        </w:rPr>
        <w:t>联系电话：</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7B596297">
      <w:pPr>
        <w:spacing w:line="460" w:lineRule="exact"/>
        <w:ind w:firstLine="420" w:firstLineChars="200"/>
        <w:rPr>
          <w:color w:val="auto"/>
          <w:szCs w:val="21"/>
          <w:highlight w:val="none"/>
        </w:rPr>
      </w:pPr>
      <w:r>
        <w:rPr>
          <w:rFonts w:hint="eastAsia"/>
          <w:color w:val="auto"/>
          <w:szCs w:val="21"/>
          <w:highlight w:val="none"/>
        </w:rPr>
        <w:t>电子信箱：</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0A956752">
      <w:pPr>
        <w:spacing w:line="460" w:lineRule="exact"/>
        <w:ind w:firstLine="420" w:firstLineChars="200"/>
        <w:rPr>
          <w:color w:val="auto"/>
          <w:szCs w:val="21"/>
          <w:highlight w:val="none"/>
        </w:rPr>
      </w:pPr>
      <w:r>
        <w:rPr>
          <w:rFonts w:hint="eastAsia"/>
          <w:color w:val="auto"/>
          <w:szCs w:val="21"/>
          <w:highlight w:val="none"/>
        </w:rPr>
        <w:t>通信地址：</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2EBE8BF3">
      <w:pPr>
        <w:spacing w:line="460" w:lineRule="exact"/>
        <w:ind w:firstLine="420" w:firstLineChars="200"/>
        <w:rPr>
          <w:color w:val="auto"/>
          <w:szCs w:val="21"/>
          <w:highlight w:val="none"/>
        </w:rPr>
      </w:pPr>
      <w:r>
        <w:rPr>
          <w:rFonts w:hint="eastAsia"/>
          <w:color w:val="auto"/>
          <w:szCs w:val="21"/>
          <w:highlight w:val="none"/>
        </w:rPr>
        <w:t>承包人对项目经理的授权范围如下：</w:t>
      </w:r>
      <w:r>
        <w:rPr>
          <w:rFonts w:hint="eastAsia"/>
          <w:color w:val="auto"/>
          <w:szCs w:val="21"/>
          <w:highlight w:val="none"/>
          <w:u w:val="single"/>
        </w:rPr>
        <w:t>负责现场工程管理、协调关系、听从发包人和监理的指挥。</w:t>
      </w:r>
    </w:p>
    <w:p w14:paraId="3BAD451D">
      <w:pPr>
        <w:spacing w:line="460" w:lineRule="exact"/>
        <w:ind w:firstLine="420" w:firstLineChars="200"/>
        <w:rPr>
          <w:color w:val="auto"/>
          <w:szCs w:val="21"/>
          <w:highlight w:val="none"/>
        </w:rPr>
      </w:pPr>
      <w:r>
        <w:rPr>
          <w:rFonts w:hint="eastAsia"/>
          <w:color w:val="auto"/>
          <w:szCs w:val="21"/>
          <w:highlight w:val="none"/>
        </w:rPr>
        <w:t>关于项目经理每月在施工现场的时间要求：</w:t>
      </w:r>
      <w:r>
        <w:rPr>
          <w:color w:val="auto"/>
          <w:szCs w:val="21"/>
          <w:highlight w:val="none"/>
          <w:u w:val="single"/>
        </w:rPr>
        <w:t xml:space="preserve">  </w:t>
      </w:r>
      <w:r>
        <w:rPr>
          <w:rFonts w:hint="eastAsia" w:cs="Courier New"/>
          <w:bCs/>
          <w:color w:val="auto"/>
          <w:szCs w:val="21"/>
          <w:highlight w:val="none"/>
          <w:u w:val="single"/>
          <w:lang w:bidi="ar-SA"/>
        </w:rPr>
        <w:t>在本工程施工期内月出勤率必须达26天以上，每天不少于8小时，按照发包人要求每天不少于4次拍照考勤</w:t>
      </w:r>
      <w:r>
        <w:rPr>
          <w:rFonts w:hint="eastAsia"/>
          <w:color w:val="auto"/>
          <w:szCs w:val="21"/>
          <w:highlight w:val="none"/>
        </w:rPr>
        <w:t>。</w:t>
      </w:r>
    </w:p>
    <w:p w14:paraId="1FE07FF2">
      <w:pPr>
        <w:spacing w:line="460" w:lineRule="exact"/>
        <w:ind w:firstLine="420" w:firstLineChars="200"/>
        <w:rPr>
          <w:color w:val="auto"/>
          <w:szCs w:val="21"/>
          <w:highlight w:val="none"/>
        </w:rPr>
      </w:pPr>
      <w:r>
        <w:rPr>
          <w:rFonts w:hint="eastAsia"/>
          <w:color w:val="auto"/>
          <w:szCs w:val="21"/>
          <w:highlight w:val="none"/>
        </w:rPr>
        <w:t>承包人未提交劳动合同，以及没有为项目经理缴纳社会保险证明的违约责任：</w:t>
      </w:r>
      <w:r>
        <w:rPr>
          <w:color w:val="auto"/>
          <w:szCs w:val="21"/>
          <w:highlight w:val="none"/>
          <w:u w:val="single"/>
        </w:rPr>
        <w:t xml:space="preserve">     </w:t>
      </w:r>
      <w:r>
        <w:rPr>
          <w:rFonts w:hint="eastAsia"/>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5D8F5D50">
      <w:pPr>
        <w:spacing w:line="460" w:lineRule="exact"/>
        <w:ind w:firstLine="420" w:firstLineChars="200"/>
        <w:rPr>
          <w:rFonts w:cs="Courier New"/>
          <w:bCs/>
          <w:color w:val="auto"/>
          <w:szCs w:val="21"/>
          <w:highlight w:val="none"/>
          <w:u w:val="single"/>
          <w:lang w:bidi="ar-SA"/>
        </w:rPr>
      </w:pPr>
      <w:r>
        <w:rPr>
          <w:rFonts w:hint="eastAsia"/>
          <w:color w:val="auto"/>
          <w:szCs w:val="21"/>
          <w:highlight w:val="none"/>
        </w:rPr>
        <w:t>项目经理未经批准，擅自离开施工现场的违约责任：</w:t>
      </w:r>
      <w:r>
        <w:rPr>
          <w:rFonts w:cs="Courier New"/>
          <w:bCs/>
          <w:color w:val="auto"/>
          <w:szCs w:val="21"/>
          <w:highlight w:val="none"/>
          <w:u w:val="single"/>
          <w:lang w:bidi="ar-SA"/>
        </w:rPr>
        <w:t>发包人将不定期进行考核检查，检查时，发现建造师不在现场发包人有权收取承包人</w:t>
      </w:r>
      <w:r>
        <w:rPr>
          <w:rFonts w:hint="eastAsia" w:cs="Courier New"/>
          <w:bCs/>
          <w:color w:val="auto"/>
          <w:szCs w:val="21"/>
          <w:highlight w:val="none"/>
          <w:u w:val="single"/>
          <w:lang w:bidi="ar-SA"/>
        </w:rPr>
        <w:t>500</w:t>
      </w:r>
      <w:r>
        <w:rPr>
          <w:rFonts w:cs="Courier New"/>
          <w:bCs/>
          <w:color w:val="auto"/>
          <w:szCs w:val="21"/>
          <w:highlight w:val="none"/>
          <w:u w:val="single"/>
          <w:lang w:bidi="ar-SA"/>
        </w:rPr>
        <w:t xml:space="preserve">元/人·天的违约金。如缺勤次数过多，且施工质量、进度等不能满足要求，发包人有权将承包人清出施工现场，已完工程量不予结算。 </w:t>
      </w:r>
    </w:p>
    <w:p w14:paraId="28C32CEA">
      <w:pPr>
        <w:spacing w:line="460" w:lineRule="exact"/>
        <w:ind w:firstLine="420" w:firstLineChars="200"/>
        <w:rPr>
          <w:b/>
          <w:color w:val="auto"/>
          <w:szCs w:val="21"/>
          <w:highlight w:val="none"/>
          <w:u w:val="single"/>
        </w:rPr>
      </w:pPr>
      <w:r>
        <w:rPr>
          <w:color w:val="auto"/>
          <w:szCs w:val="21"/>
          <w:highlight w:val="none"/>
        </w:rPr>
        <w:t xml:space="preserve">3.2.3 </w:t>
      </w:r>
      <w:r>
        <w:rPr>
          <w:rFonts w:hint="eastAsia"/>
          <w:color w:val="auto"/>
          <w:szCs w:val="21"/>
          <w:highlight w:val="none"/>
        </w:rPr>
        <w:t>承包人擅自更换项目经理的违约责任：</w:t>
      </w:r>
      <w:r>
        <w:rPr>
          <w:b/>
          <w:color w:val="auto"/>
          <w:szCs w:val="21"/>
          <w:highlight w:val="none"/>
          <w:u w:val="single"/>
        </w:rPr>
        <w:t>派驻现场的建造师班子应与投标文件一致，工程施工期间承包人报名及投标书中明确的项目部主要成员，</w:t>
      </w:r>
      <w:r>
        <w:rPr>
          <w:color w:val="auto"/>
          <w:szCs w:val="21"/>
          <w:highlight w:val="none"/>
          <w:u w:val="single"/>
        </w:rPr>
        <w:t xml:space="preserve">必须保证施工全过程在本项目工地工作，项目组的任何成员变动，均须得到发包人书面认可，并提供必要的证明文件报招标投标行政监督部门备案。建造师本人每天在工地不得少于 8 小时（施工期间），有事必须向发包人书面请假，发包人书面同意后方可离开工地。如发现建造师违反上述规定，每发现一次罚款 </w:t>
      </w:r>
      <w:r>
        <w:rPr>
          <w:rFonts w:hint="eastAsia"/>
          <w:color w:val="auto"/>
          <w:szCs w:val="21"/>
          <w:highlight w:val="none"/>
          <w:u w:val="single"/>
        </w:rPr>
        <w:t>5</w:t>
      </w:r>
      <w:r>
        <w:rPr>
          <w:color w:val="auto"/>
          <w:szCs w:val="21"/>
          <w:highlight w:val="none"/>
          <w:u w:val="single"/>
        </w:rPr>
        <w:t>00 元。</w:t>
      </w:r>
      <w:r>
        <w:rPr>
          <w:rFonts w:hint="eastAsia"/>
          <w:b/>
          <w:color w:val="auto"/>
          <w:szCs w:val="21"/>
          <w:highlight w:val="none"/>
          <w:u w:val="single"/>
        </w:rPr>
        <w:t>项目经理考勤</w:t>
      </w:r>
      <w:r>
        <w:rPr>
          <w:b/>
          <w:color w:val="auto"/>
          <w:szCs w:val="21"/>
          <w:highlight w:val="none"/>
          <w:u w:val="single"/>
        </w:rPr>
        <w:t>超过5 次</w:t>
      </w:r>
      <w:r>
        <w:rPr>
          <w:rFonts w:hint="eastAsia"/>
          <w:b/>
          <w:color w:val="auto"/>
          <w:szCs w:val="21"/>
          <w:highlight w:val="none"/>
          <w:u w:val="single"/>
        </w:rPr>
        <w:t>不到岗或发包人认为项目经理不具备现场履职能力的</w:t>
      </w:r>
      <w:r>
        <w:rPr>
          <w:b/>
          <w:color w:val="auto"/>
          <w:szCs w:val="21"/>
          <w:highlight w:val="none"/>
          <w:u w:val="single"/>
        </w:rPr>
        <w:t>，发包人有权</w:t>
      </w:r>
      <w:r>
        <w:rPr>
          <w:rFonts w:hint="eastAsia"/>
          <w:b/>
          <w:color w:val="auto"/>
          <w:szCs w:val="21"/>
          <w:highlight w:val="none"/>
          <w:u w:val="single"/>
        </w:rPr>
        <w:t>要求承包人更换项目经理，更换人员需经发包人适岗考察通过后方可更换，同时承包人向发包人提交3000元违约金，</w:t>
      </w:r>
      <w:r>
        <w:rPr>
          <w:b/>
          <w:color w:val="auto"/>
          <w:szCs w:val="21"/>
          <w:highlight w:val="none"/>
          <w:u w:val="single"/>
        </w:rPr>
        <w:t>并追究由此给发包人带来的一切损失。</w:t>
      </w:r>
    </w:p>
    <w:p w14:paraId="2BFAC584">
      <w:pPr>
        <w:spacing w:line="460" w:lineRule="exact"/>
        <w:ind w:firstLine="422" w:firstLineChars="200"/>
        <w:rPr>
          <w:b/>
          <w:color w:val="auto"/>
          <w:szCs w:val="21"/>
          <w:highlight w:val="none"/>
          <w:u w:val="single"/>
        </w:rPr>
      </w:pPr>
      <w:r>
        <w:rPr>
          <w:rFonts w:hint="eastAsia"/>
          <w:b/>
          <w:color w:val="auto"/>
          <w:szCs w:val="21"/>
          <w:highlight w:val="none"/>
          <w:u w:val="single"/>
        </w:rPr>
        <w:t>承包人未经发（或经过）发包人同意更换项目经理，承包人向发包人提交3000元违约金，同时发包人有权对拟更换的项目经理进行适岗考察，通过适岗考察后方可更换。</w:t>
      </w:r>
    </w:p>
    <w:p w14:paraId="29DD7067">
      <w:pPr>
        <w:spacing w:line="460" w:lineRule="exact"/>
        <w:ind w:firstLine="420" w:firstLineChars="200"/>
        <w:rPr>
          <w:rFonts w:cs="Arial"/>
          <w:color w:val="auto"/>
          <w:szCs w:val="21"/>
          <w:highlight w:val="none"/>
          <w:u w:val="single"/>
          <w:lang w:bidi="ar-SA"/>
        </w:rPr>
      </w:pPr>
      <w:r>
        <w:rPr>
          <w:color w:val="auto"/>
          <w:szCs w:val="21"/>
          <w:highlight w:val="none"/>
        </w:rPr>
        <w:t xml:space="preserve">3.2.4 </w:t>
      </w:r>
      <w:r>
        <w:rPr>
          <w:rFonts w:hint="eastAsia"/>
          <w:color w:val="auto"/>
          <w:szCs w:val="21"/>
          <w:highlight w:val="none"/>
        </w:rPr>
        <w:t>承包人无正当理由拒绝更换项目经理的违约责任：</w:t>
      </w:r>
      <w:r>
        <w:rPr>
          <w:rFonts w:hint="eastAsia" w:cs="Arial"/>
          <w:color w:val="auto"/>
          <w:szCs w:val="21"/>
          <w:highlight w:val="none"/>
          <w:u w:val="single"/>
          <w:lang w:bidi="ar-SA"/>
        </w:rPr>
        <w:t>承包人常驻项目经理经发包人和监理方考核不合格者，承包方一周内必须无条件更换，同时须支付相应金额的违约金（更换项目建造师3000元/次）。</w:t>
      </w:r>
    </w:p>
    <w:p w14:paraId="07860228">
      <w:pPr>
        <w:spacing w:line="460" w:lineRule="exact"/>
        <w:ind w:firstLine="420" w:firstLineChars="200"/>
        <w:rPr>
          <w:color w:val="auto"/>
          <w:szCs w:val="21"/>
          <w:highlight w:val="none"/>
        </w:rPr>
      </w:pPr>
      <w:r>
        <w:rPr>
          <w:color w:val="auto"/>
          <w:szCs w:val="21"/>
          <w:highlight w:val="none"/>
        </w:rPr>
        <w:t xml:space="preserve">3.3 </w:t>
      </w:r>
      <w:r>
        <w:rPr>
          <w:rFonts w:hint="eastAsia"/>
          <w:color w:val="auto"/>
          <w:szCs w:val="21"/>
          <w:highlight w:val="none"/>
        </w:rPr>
        <w:t>承包人人员</w:t>
      </w:r>
    </w:p>
    <w:p w14:paraId="544F121C">
      <w:pPr>
        <w:spacing w:line="460" w:lineRule="exact"/>
        <w:ind w:firstLine="420" w:firstLineChars="200"/>
        <w:rPr>
          <w:color w:val="auto"/>
          <w:szCs w:val="21"/>
          <w:highlight w:val="none"/>
        </w:rPr>
      </w:pPr>
      <w:r>
        <w:rPr>
          <w:color w:val="auto"/>
          <w:szCs w:val="21"/>
          <w:highlight w:val="none"/>
        </w:rPr>
        <w:t xml:space="preserve">3.3.1 </w:t>
      </w:r>
      <w:r>
        <w:rPr>
          <w:rFonts w:hint="eastAsia"/>
          <w:color w:val="auto"/>
          <w:szCs w:val="21"/>
          <w:highlight w:val="none"/>
        </w:rPr>
        <w:t>承包人提交项目管理机构及施工现场管理人员安排报告的期限：</w:t>
      </w:r>
      <w:r>
        <w:rPr>
          <w:color w:val="auto"/>
          <w:szCs w:val="21"/>
          <w:highlight w:val="none"/>
          <w:u w:val="single"/>
        </w:rPr>
        <w:t xml:space="preserve">  </w:t>
      </w:r>
      <w:r>
        <w:rPr>
          <w:rFonts w:hint="eastAsia"/>
          <w:color w:val="auto"/>
          <w:szCs w:val="21"/>
          <w:highlight w:val="none"/>
          <w:u w:val="single"/>
        </w:rPr>
        <w:t>开工前3天</w:t>
      </w:r>
      <w:r>
        <w:rPr>
          <w:color w:val="auto"/>
          <w:szCs w:val="21"/>
          <w:highlight w:val="none"/>
          <w:u w:val="single"/>
        </w:rPr>
        <w:t xml:space="preserve"> </w:t>
      </w:r>
      <w:r>
        <w:rPr>
          <w:rFonts w:hint="eastAsia"/>
          <w:color w:val="auto"/>
          <w:szCs w:val="21"/>
          <w:highlight w:val="none"/>
        </w:rPr>
        <w:t>。</w:t>
      </w:r>
    </w:p>
    <w:p w14:paraId="543A782B">
      <w:pPr>
        <w:spacing w:line="460" w:lineRule="exact"/>
        <w:ind w:firstLine="420" w:firstLineChars="200"/>
        <w:rPr>
          <w:color w:val="auto"/>
          <w:szCs w:val="21"/>
          <w:highlight w:val="none"/>
        </w:rPr>
      </w:pPr>
      <w:r>
        <w:rPr>
          <w:color w:val="auto"/>
          <w:szCs w:val="21"/>
          <w:highlight w:val="none"/>
        </w:rPr>
        <w:t xml:space="preserve">3.3.3 </w:t>
      </w:r>
      <w:r>
        <w:rPr>
          <w:rFonts w:hint="eastAsia"/>
          <w:color w:val="auto"/>
          <w:szCs w:val="21"/>
          <w:highlight w:val="none"/>
        </w:rPr>
        <w:t>承包人无正当理由拒绝撤换主要施工管理人员的违约责任：</w:t>
      </w:r>
      <w:r>
        <w:rPr>
          <w:rFonts w:hint="eastAsia" w:cs="Arial"/>
          <w:color w:val="auto"/>
          <w:szCs w:val="21"/>
          <w:highlight w:val="none"/>
          <w:u w:val="single"/>
          <w:lang w:bidi="ar-SA"/>
        </w:rPr>
        <w:t>承包人常驻项目部组成人员经发包人和监理方考核不合格者，承包方一周内必须无条件更换，同时须支付相应金额的违约金（更换管</w:t>
      </w:r>
      <w:r>
        <w:rPr>
          <w:rFonts w:hint="eastAsia" w:cs="Arial"/>
          <w:color w:val="auto"/>
          <w:szCs w:val="21"/>
          <w:highlight w:val="none"/>
          <w:u w:val="single"/>
          <w:lang w:eastAsia="zh-CN" w:bidi="ar-SA"/>
        </w:rPr>
        <w:t>理人</w:t>
      </w:r>
      <w:r>
        <w:rPr>
          <w:rFonts w:hint="eastAsia" w:cs="Arial"/>
          <w:color w:val="auto"/>
          <w:szCs w:val="21"/>
          <w:highlight w:val="none"/>
          <w:u w:val="single"/>
          <w:lang w:bidi="ar-SA"/>
        </w:rPr>
        <w:t>员</w:t>
      </w:r>
      <w:r>
        <w:rPr>
          <w:rFonts w:cs="Arial"/>
          <w:color w:val="auto"/>
          <w:szCs w:val="21"/>
          <w:highlight w:val="none"/>
          <w:u w:val="single"/>
          <w:lang w:bidi="ar-SA"/>
        </w:rPr>
        <w:t>2</w:t>
      </w:r>
      <w:r>
        <w:rPr>
          <w:rFonts w:hint="eastAsia" w:cs="Arial"/>
          <w:color w:val="auto"/>
          <w:szCs w:val="21"/>
          <w:highlight w:val="none"/>
          <w:u w:val="single"/>
          <w:lang w:bidi="ar-SA"/>
        </w:rPr>
        <w:t>000元/次/人）。</w:t>
      </w:r>
    </w:p>
    <w:p w14:paraId="785A265E">
      <w:pPr>
        <w:spacing w:line="460" w:lineRule="exact"/>
        <w:ind w:firstLine="420" w:firstLineChars="200"/>
        <w:rPr>
          <w:color w:val="auto"/>
          <w:szCs w:val="21"/>
          <w:highlight w:val="none"/>
          <w:u w:val="single"/>
        </w:rPr>
      </w:pPr>
      <w:r>
        <w:rPr>
          <w:color w:val="auto"/>
          <w:szCs w:val="21"/>
          <w:highlight w:val="none"/>
        </w:rPr>
        <w:t xml:space="preserve">3.3.4 </w:t>
      </w:r>
      <w:r>
        <w:rPr>
          <w:rFonts w:hint="eastAsia"/>
          <w:color w:val="auto"/>
          <w:szCs w:val="21"/>
          <w:highlight w:val="none"/>
        </w:rPr>
        <w:t>承包人主要施工管理人员离开施工现场的批准要求：</w:t>
      </w:r>
      <w:r>
        <w:rPr>
          <w:color w:val="auto"/>
          <w:szCs w:val="21"/>
          <w:highlight w:val="none"/>
        </w:rPr>
        <w:t xml:space="preserve">   </w:t>
      </w:r>
      <w:r>
        <w:rPr>
          <w:rFonts w:hint="eastAsia"/>
          <w:color w:val="auto"/>
          <w:szCs w:val="21"/>
          <w:highlight w:val="none"/>
          <w:u w:val="single"/>
        </w:rPr>
        <w:t>发包人书面认可后方可离开</w:t>
      </w:r>
      <w:r>
        <w:rPr>
          <w:color w:val="auto"/>
          <w:szCs w:val="21"/>
          <w:highlight w:val="none"/>
          <w:u w:val="single"/>
        </w:rPr>
        <w:t xml:space="preserve"> </w:t>
      </w:r>
      <w:r>
        <w:rPr>
          <w:rFonts w:hint="eastAsia"/>
          <w:color w:val="auto"/>
          <w:szCs w:val="21"/>
          <w:highlight w:val="none"/>
        </w:rPr>
        <w:t>。</w:t>
      </w:r>
    </w:p>
    <w:p w14:paraId="1F6CD3BD">
      <w:pPr>
        <w:spacing w:line="460" w:lineRule="exact"/>
        <w:ind w:firstLine="420" w:firstLineChars="200"/>
        <w:rPr>
          <w:rFonts w:cs="Arial"/>
          <w:b/>
          <w:color w:val="auto"/>
          <w:szCs w:val="21"/>
          <w:highlight w:val="none"/>
          <w:u w:val="single"/>
          <w:lang w:bidi="ar-SA"/>
        </w:rPr>
      </w:pPr>
      <w:r>
        <w:rPr>
          <w:color w:val="auto"/>
          <w:szCs w:val="21"/>
          <w:highlight w:val="none"/>
        </w:rPr>
        <w:t>3.3.5</w:t>
      </w:r>
      <w:r>
        <w:rPr>
          <w:rFonts w:hint="eastAsia"/>
          <w:color w:val="auto"/>
          <w:szCs w:val="21"/>
          <w:highlight w:val="none"/>
        </w:rPr>
        <w:t>承包人擅自更换主要施工管理人员的违约责任：</w:t>
      </w:r>
      <w:r>
        <w:rPr>
          <w:rFonts w:hint="eastAsia"/>
          <w:b/>
          <w:color w:val="auto"/>
          <w:szCs w:val="21"/>
          <w:highlight w:val="none"/>
          <w:u w:val="single"/>
        </w:rPr>
        <w:t>派驻现场的投标书中明确的项目部主要成员（安全员）在工程施工期间，必须保证施工全过程在本项目工地工作，</w:t>
      </w:r>
      <w:r>
        <w:rPr>
          <w:rFonts w:hint="eastAsia" w:cs="Arial"/>
          <w:b/>
          <w:color w:val="auto"/>
          <w:szCs w:val="21"/>
          <w:highlight w:val="none"/>
          <w:u w:val="single"/>
          <w:lang w:bidi="ar-SA"/>
        </w:rPr>
        <w:t>项目组的任何成员变动，均须得到发包人书面认可，同时须向发包人支付违约金（更换管理人员2000元/次/人）。项目部组成人员必须坚守岗位，不得兼职本工程以外的工作，在本工程施工期内月出勤率必须达26天以上，每天不少于8小时，按照发包人要求每天不少于</w:t>
      </w:r>
      <w:r>
        <w:rPr>
          <w:rFonts w:cs="Arial"/>
          <w:b/>
          <w:color w:val="auto"/>
          <w:szCs w:val="21"/>
          <w:highlight w:val="none"/>
          <w:u w:val="single"/>
          <w:lang w:bidi="ar-SA"/>
        </w:rPr>
        <w:t>2</w:t>
      </w:r>
      <w:r>
        <w:rPr>
          <w:rFonts w:hint="eastAsia" w:cs="Arial"/>
          <w:b/>
          <w:color w:val="auto"/>
          <w:szCs w:val="21"/>
          <w:highlight w:val="none"/>
          <w:u w:val="single"/>
          <w:lang w:bidi="ar-SA"/>
        </w:rPr>
        <w:t>次拍照考勤，离开施工现场必须向发包人请假。施工管理人员考勤</w:t>
      </w:r>
      <w:r>
        <w:rPr>
          <w:rFonts w:cs="Arial"/>
          <w:b/>
          <w:color w:val="auto"/>
          <w:szCs w:val="21"/>
          <w:highlight w:val="none"/>
          <w:u w:val="single"/>
          <w:lang w:bidi="ar-SA"/>
        </w:rPr>
        <w:t>超过5 次</w:t>
      </w:r>
      <w:r>
        <w:rPr>
          <w:rFonts w:hint="eastAsia" w:cs="Arial"/>
          <w:b/>
          <w:color w:val="auto"/>
          <w:szCs w:val="21"/>
          <w:highlight w:val="none"/>
          <w:u w:val="single"/>
          <w:lang w:bidi="ar-SA"/>
        </w:rPr>
        <w:t>不到岗或发包人认为施工管理人员不具备现场履职能力的</w:t>
      </w:r>
      <w:r>
        <w:rPr>
          <w:rFonts w:cs="Arial"/>
          <w:b/>
          <w:color w:val="auto"/>
          <w:szCs w:val="21"/>
          <w:highlight w:val="none"/>
          <w:u w:val="single"/>
          <w:lang w:bidi="ar-SA"/>
        </w:rPr>
        <w:t>，发包人有权</w:t>
      </w:r>
      <w:r>
        <w:rPr>
          <w:rFonts w:hint="eastAsia" w:cs="Arial"/>
          <w:b/>
          <w:color w:val="auto"/>
          <w:szCs w:val="21"/>
          <w:highlight w:val="none"/>
          <w:u w:val="single"/>
          <w:lang w:bidi="ar-SA"/>
        </w:rPr>
        <w:t>要求承包人更换施工管理人员，更换人员需经发包人适岗考察通过后方可更换，同时承包人向发包人提交2000元违约金，</w:t>
      </w:r>
      <w:r>
        <w:rPr>
          <w:rFonts w:cs="Arial"/>
          <w:b/>
          <w:color w:val="auto"/>
          <w:szCs w:val="21"/>
          <w:highlight w:val="none"/>
          <w:u w:val="single"/>
          <w:lang w:bidi="ar-SA"/>
        </w:rPr>
        <w:t>并追究由此给发包人带来的一切损失。</w:t>
      </w:r>
    </w:p>
    <w:p w14:paraId="7EC5B554">
      <w:pPr>
        <w:spacing w:line="460" w:lineRule="exact"/>
        <w:ind w:firstLine="422" w:firstLineChars="200"/>
        <w:rPr>
          <w:rFonts w:cs="Arial"/>
          <w:b/>
          <w:color w:val="auto"/>
          <w:szCs w:val="21"/>
          <w:highlight w:val="none"/>
          <w:u w:val="single"/>
          <w:lang w:bidi="ar-SA"/>
        </w:rPr>
      </w:pPr>
      <w:r>
        <w:rPr>
          <w:rFonts w:hint="eastAsia" w:cs="Arial"/>
          <w:b/>
          <w:color w:val="auto"/>
          <w:szCs w:val="21"/>
          <w:highlight w:val="none"/>
          <w:u w:val="single"/>
          <w:lang w:bidi="ar-SA"/>
        </w:rPr>
        <w:t>承包人未经发（或经过）发包人同意更换施工管理人员，承包人向发包人提交2000元违约金，同时发包人有权对拟更换的施工管理人员进行适岗考察，通过适岗考察后方可更换。</w:t>
      </w:r>
    </w:p>
    <w:p w14:paraId="2ECE041F">
      <w:pPr>
        <w:spacing w:line="460" w:lineRule="exact"/>
        <w:ind w:left="210" w:leftChars="100" w:firstLine="420" w:firstLineChars="200"/>
        <w:rPr>
          <w:color w:val="auto"/>
          <w:szCs w:val="21"/>
          <w:highlight w:val="none"/>
          <w:u w:val="single"/>
        </w:rPr>
      </w:pPr>
      <w:r>
        <w:rPr>
          <w:rFonts w:hint="eastAsia"/>
          <w:color w:val="auto"/>
          <w:szCs w:val="21"/>
          <w:highlight w:val="none"/>
        </w:rPr>
        <w:t>承包人主要施工管理人员擅自离开施工现场的违约责任：</w:t>
      </w:r>
      <w:r>
        <w:rPr>
          <w:rFonts w:hint="eastAsia" w:cs="Courier New"/>
          <w:bCs/>
          <w:color w:val="auto"/>
          <w:szCs w:val="21"/>
          <w:highlight w:val="none"/>
          <w:u w:val="single"/>
          <w:lang w:bidi="ar-SA"/>
        </w:rPr>
        <w:t>发现施工管理人不在现场发包人有权收取承包人300元/人·天的违约金。如缺勤次数过多，发包人有权要求承包人</w:t>
      </w:r>
      <w:r>
        <w:rPr>
          <w:rFonts w:hint="eastAsia" w:cs="Arial"/>
          <w:color w:val="auto"/>
          <w:szCs w:val="21"/>
          <w:highlight w:val="none"/>
          <w:u w:val="single"/>
          <w:lang w:bidi="ar-SA"/>
        </w:rPr>
        <w:t>无条件更换施工管理人员</w:t>
      </w:r>
      <w:r>
        <w:rPr>
          <w:rFonts w:hint="eastAsia" w:cs="仿宋_GB2312"/>
          <w:color w:val="auto"/>
          <w:szCs w:val="21"/>
          <w:highlight w:val="none"/>
          <w:u w:val="single"/>
          <w:lang w:bidi="ar-SA"/>
        </w:rPr>
        <w:t>。</w:t>
      </w:r>
    </w:p>
    <w:p w14:paraId="799E46A8">
      <w:pPr>
        <w:spacing w:line="460" w:lineRule="exact"/>
        <w:ind w:firstLine="420" w:firstLineChars="200"/>
        <w:rPr>
          <w:color w:val="auto"/>
          <w:szCs w:val="21"/>
          <w:highlight w:val="none"/>
        </w:rPr>
      </w:pPr>
      <w:r>
        <w:rPr>
          <w:color w:val="auto"/>
          <w:szCs w:val="21"/>
          <w:highlight w:val="none"/>
        </w:rPr>
        <w:t>3</w:t>
      </w:r>
      <w:bookmarkStart w:id="83" w:name="_Toc312677988"/>
      <w:bookmarkStart w:id="84" w:name="_Toc296346660"/>
      <w:bookmarkStart w:id="85" w:name="_Toc292559364"/>
      <w:bookmarkStart w:id="86" w:name="_Toc296347158"/>
      <w:bookmarkStart w:id="87" w:name="_Toc297120459"/>
      <w:bookmarkStart w:id="88" w:name="_Toc296503159"/>
      <w:bookmarkStart w:id="89" w:name="_Toc303539102"/>
      <w:bookmarkStart w:id="90" w:name="_Toc296944498"/>
      <w:bookmarkStart w:id="91" w:name="_Toc300934945"/>
      <w:bookmarkStart w:id="92" w:name="_Toc304295523"/>
      <w:bookmarkStart w:id="93" w:name="_Toc296891199"/>
      <w:bookmarkStart w:id="94" w:name="_Toc297123492"/>
      <w:bookmarkStart w:id="95" w:name="_Toc297048345"/>
      <w:bookmarkStart w:id="96" w:name="_Toc296890987"/>
      <w:bookmarkStart w:id="97" w:name="_Toc292559869"/>
      <w:bookmarkStart w:id="98" w:name="_Toc297216151"/>
      <w:r>
        <w:rPr>
          <w:color w:val="auto"/>
          <w:szCs w:val="21"/>
          <w:highlight w:val="none"/>
        </w:rPr>
        <w:t xml:space="preserve">.5 </w:t>
      </w:r>
      <w:r>
        <w:rPr>
          <w:rFonts w:hint="eastAsia"/>
          <w:color w:val="auto"/>
          <w:szCs w:val="21"/>
          <w:highlight w:val="none"/>
        </w:rPr>
        <w:t>分包</w:t>
      </w:r>
    </w:p>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14:paraId="2268DBDA">
      <w:pPr>
        <w:spacing w:line="460" w:lineRule="exact"/>
        <w:ind w:firstLine="420" w:firstLineChars="200"/>
        <w:rPr>
          <w:color w:val="auto"/>
          <w:szCs w:val="21"/>
          <w:highlight w:val="none"/>
        </w:rPr>
      </w:pPr>
      <w:r>
        <w:rPr>
          <w:color w:val="auto"/>
          <w:szCs w:val="21"/>
          <w:highlight w:val="none"/>
        </w:rPr>
        <w:t>3</w:t>
      </w:r>
      <w:bookmarkStart w:id="99" w:name="_Toc297120460"/>
      <w:bookmarkStart w:id="100" w:name="_Toc297123493"/>
      <w:bookmarkStart w:id="101" w:name="_Toc292559870"/>
      <w:bookmarkStart w:id="102" w:name="_Toc300934946"/>
      <w:bookmarkStart w:id="103" w:name="_Toc304295524"/>
      <w:bookmarkStart w:id="104" w:name="_Toc296944499"/>
      <w:bookmarkStart w:id="105" w:name="_Toc296891200"/>
      <w:bookmarkStart w:id="106" w:name="_Toc296347159"/>
      <w:bookmarkStart w:id="107" w:name="_Toc297216152"/>
      <w:bookmarkStart w:id="108" w:name="_Toc297048346"/>
      <w:bookmarkStart w:id="109" w:name="_Toc296890988"/>
      <w:bookmarkStart w:id="110" w:name="_Toc296503160"/>
      <w:bookmarkStart w:id="111" w:name="_Toc296346661"/>
      <w:bookmarkStart w:id="112" w:name="_Toc292559365"/>
      <w:bookmarkStart w:id="113" w:name="_Toc303539103"/>
      <w:bookmarkStart w:id="114" w:name="_Toc312677989"/>
      <w:bookmarkStart w:id="115" w:name="_Toc318581158"/>
      <w:r>
        <w:rPr>
          <w:color w:val="auto"/>
          <w:szCs w:val="21"/>
          <w:highlight w:val="none"/>
        </w:rPr>
        <w:t xml:space="preserve">.5.1 </w:t>
      </w:r>
      <w:r>
        <w:rPr>
          <w:rFonts w:hint="eastAsia"/>
          <w:color w:val="auto"/>
          <w:szCs w:val="21"/>
          <w:highlight w:val="none"/>
        </w:rPr>
        <w:t>分包的一般约定</w:t>
      </w:r>
    </w:p>
    <w:p w14:paraId="28B1675F">
      <w:pPr>
        <w:spacing w:line="460" w:lineRule="exact"/>
        <w:ind w:firstLine="420" w:firstLineChars="200"/>
        <w:rPr>
          <w:color w:val="auto"/>
          <w:szCs w:val="21"/>
          <w:highlight w:val="none"/>
        </w:rPr>
      </w:pPr>
      <w:r>
        <w:rPr>
          <w:rFonts w:hint="eastAsia"/>
          <w:color w:val="auto"/>
          <w:szCs w:val="21"/>
          <w:highlight w:val="none"/>
        </w:rPr>
        <w:t>禁止分包的工程包括：</w:t>
      </w:r>
      <w:r>
        <w:rPr>
          <w:color w:val="auto"/>
          <w:szCs w:val="21"/>
          <w:highlight w:val="none"/>
          <w:u w:val="single"/>
        </w:rPr>
        <w:t xml:space="preserve">      /       </w:t>
      </w:r>
      <w:r>
        <w:rPr>
          <w:rFonts w:hint="eastAsia"/>
          <w:color w:val="auto"/>
          <w:szCs w:val="21"/>
          <w:highlight w:val="none"/>
        </w:rPr>
        <w:t>。</w:t>
      </w:r>
    </w:p>
    <w:p w14:paraId="2AC78FF0">
      <w:pPr>
        <w:spacing w:line="460" w:lineRule="exact"/>
        <w:ind w:firstLine="420" w:firstLineChars="200"/>
        <w:rPr>
          <w:color w:val="auto"/>
          <w:szCs w:val="21"/>
          <w:highlight w:val="none"/>
          <w:u w:val="single"/>
        </w:rPr>
      </w:pPr>
      <w:r>
        <w:rPr>
          <w:rFonts w:hint="eastAsia"/>
          <w:color w:val="auto"/>
          <w:szCs w:val="21"/>
          <w:highlight w:val="none"/>
        </w:rPr>
        <w:t>主体结构、关键性工作的范围：</w:t>
      </w:r>
      <w:r>
        <w:rPr>
          <w:rFonts w:hint="eastAsia" w:ascii="MingLiU_HKSCS" w:hAnsi="MingLiU_HKSCS" w:cs="MingLiU_HKSCS"/>
          <w:color w:val="auto"/>
          <w:szCs w:val="21"/>
          <w:highlight w:val="none"/>
          <w:u w:val="single"/>
          <w:lang w:bidi="ar-SA"/>
        </w:rPr>
        <w:t xml:space="preserve"> </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color w:val="auto"/>
          <w:szCs w:val="21"/>
          <w:highlight w:val="none"/>
        </w:rPr>
        <w:t xml:space="preserve"> </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Start w:id="116" w:name="_Toc296503161"/>
      <w:bookmarkStart w:id="117" w:name="_Toc296891201"/>
      <w:bookmarkStart w:id="118" w:name="_Toc303539104"/>
      <w:bookmarkStart w:id="119" w:name="_Toc296890989"/>
      <w:bookmarkStart w:id="120" w:name="_Toc297123494"/>
      <w:bookmarkStart w:id="121" w:name="_Toc296944500"/>
      <w:bookmarkStart w:id="122" w:name="_Toc297120461"/>
      <w:bookmarkStart w:id="123" w:name="_Toc304295525"/>
      <w:bookmarkStart w:id="124" w:name="_Toc300934947"/>
      <w:bookmarkStart w:id="125" w:name="_Toc296347160"/>
      <w:bookmarkStart w:id="126" w:name="_Toc296346662"/>
      <w:bookmarkStart w:id="127" w:name="_Toc297216153"/>
      <w:bookmarkStart w:id="128" w:name="_Toc297048347"/>
      <w:r>
        <w:rPr>
          <w:rFonts w:hint="eastAsia"/>
          <w:color w:val="auto"/>
          <w:szCs w:val="21"/>
          <w:highlight w:val="none"/>
        </w:rPr>
        <w:t>。</w:t>
      </w:r>
    </w:p>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14:paraId="5F20B520">
      <w:pPr>
        <w:spacing w:line="460" w:lineRule="exact"/>
        <w:rPr>
          <w:color w:val="auto"/>
          <w:szCs w:val="21"/>
          <w:highlight w:val="none"/>
        </w:rPr>
      </w:pPr>
      <w:r>
        <w:rPr>
          <w:color w:val="auto"/>
          <w:szCs w:val="21"/>
          <w:highlight w:val="none"/>
        </w:rPr>
        <w:t xml:space="preserve">    3</w:t>
      </w:r>
      <w:bookmarkStart w:id="129" w:name="_Toc318581159"/>
      <w:bookmarkStart w:id="130" w:name="_Toc312677990"/>
      <w:r>
        <w:rPr>
          <w:color w:val="auto"/>
          <w:szCs w:val="21"/>
          <w:highlight w:val="none"/>
        </w:rPr>
        <w:t>.5.2</w:t>
      </w:r>
      <w:r>
        <w:rPr>
          <w:rFonts w:hint="eastAsia"/>
          <w:color w:val="auto"/>
          <w:szCs w:val="21"/>
          <w:highlight w:val="none"/>
        </w:rPr>
        <w:t>分包的确定</w:t>
      </w:r>
    </w:p>
    <w:p w14:paraId="2BCD7873">
      <w:pPr>
        <w:spacing w:line="460" w:lineRule="exact"/>
        <w:ind w:firstLine="420" w:firstLineChars="200"/>
        <w:rPr>
          <w:color w:val="auto"/>
          <w:szCs w:val="21"/>
          <w:highlight w:val="none"/>
          <w:u w:val="single"/>
        </w:rPr>
      </w:pPr>
      <w:r>
        <w:rPr>
          <w:rFonts w:hint="eastAsia"/>
          <w:color w:val="auto"/>
          <w:szCs w:val="21"/>
          <w:highlight w:val="none"/>
        </w:rPr>
        <w:t>允许分包的专业工程包括：</w:t>
      </w:r>
      <w:r>
        <w:rPr>
          <w:rFonts w:hint="eastAsia" w:ascii="MingLiU_HKSCS" w:hAnsi="MingLiU_HKSCS" w:cs="MingLiU_HKSCS"/>
          <w:color w:val="auto"/>
          <w:szCs w:val="21"/>
          <w:highlight w:val="none"/>
          <w:u w:val="single"/>
          <w:lang w:bidi="ar-SA"/>
        </w:rPr>
        <w:t xml:space="preserve"> </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57A544EB">
      <w:pPr>
        <w:spacing w:line="460" w:lineRule="exact"/>
        <w:ind w:firstLine="420" w:firstLineChars="200"/>
        <w:rPr>
          <w:color w:val="auto"/>
          <w:szCs w:val="21"/>
          <w:highlight w:val="none"/>
        </w:rPr>
      </w:pPr>
      <w:r>
        <w:rPr>
          <w:rFonts w:hint="eastAsia"/>
          <w:color w:val="auto"/>
          <w:szCs w:val="21"/>
          <w:highlight w:val="none"/>
        </w:rPr>
        <w:t>其他关于分包的约定：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CD5DA01">
      <w:pPr>
        <w:spacing w:line="460" w:lineRule="exact"/>
        <w:ind w:firstLine="420" w:firstLineChars="200"/>
        <w:rPr>
          <w:color w:val="auto"/>
          <w:szCs w:val="21"/>
          <w:highlight w:val="none"/>
        </w:rPr>
      </w:pPr>
      <w:r>
        <w:rPr>
          <w:color w:val="auto"/>
          <w:szCs w:val="21"/>
          <w:highlight w:val="none"/>
        </w:rPr>
        <w:t xml:space="preserve">3.5.4 </w:t>
      </w:r>
      <w:r>
        <w:rPr>
          <w:rFonts w:hint="eastAsia"/>
          <w:color w:val="auto"/>
          <w:szCs w:val="21"/>
          <w:highlight w:val="none"/>
        </w:rPr>
        <w:t>分包合同价款</w:t>
      </w:r>
    </w:p>
    <w:p w14:paraId="2468C26E">
      <w:pPr>
        <w:spacing w:line="460" w:lineRule="exact"/>
        <w:ind w:firstLine="420" w:firstLineChars="200"/>
        <w:rPr>
          <w:color w:val="auto"/>
          <w:szCs w:val="21"/>
          <w:highlight w:val="none"/>
        </w:rPr>
      </w:pPr>
      <w:r>
        <w:rPr>
          <w:rFonts w:hint="eastAsia"/>
          <w:color w:val="auto"/>
          <w:szCs w:val="21"/>
          <w:highlight w:val="none"/>
        </w:rPr>
        <w:t>关于分包合同价款支付的约定：</w:t>
      </w:r>
      <w:r>
        <w:rPr>
          <w:rFonts w:hint="eastAsia" w:ascii="MingLiU_HKSCS" w:hAnsi="MingLiU_HKSCS" w:cs="MingLiU_HKSCS"/>
          <w:color w:val="auto"/>
          <w:szCs w:val="21"/>
          <w:highlight w:val="none"/>
          <w:u w:val="single"/>
          <w:lang w:bidi="ar-SA"/>
        </w:rPr>
        <w:t xml:space="preserve"> </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bookmarkEnd w:id="129"/>
    <w:bookmarkEnd w:id="130"/>
    <w:p w14:paraId="2009CF67">
      <w:pPr>
        <w:spacing w:line="460" w:lineRule="exact"/>
        <w:ind w:firstLine="420" w:firstLineChars="200"/>
        <w:rPr>
          <w:color w:val="auto"/>
          <w:szCs w:val="21"/>
          <w:highlight w:val="none"/>
        </w:rPr>
      </w:pPr>
      <w:r>
        <w:rPr>
          <w:color w:val="auto"/>
          <w:szCs w:val="21"/>
          <w:highlight w:val="none"/>
        </w:rPr>
        <w:t xml:space="preserve">3.6 </w:t>
      </w:r>
      <w:r>
        <w:rPr>
          <w:rFonts w:hint="eastAsia"/>
          <w:color w:val="auto"/>
          <w:szCs w:val="21"/>
          <w:highlight w:val="none"/>
        </w:rPr>
        <w:t>工程照管与成品、半成品保护</w:t>
      </w:r>
    </w:p>
    <w:p w14:paraId="4F71317C">
      <w:pPr>
        <w:spacing w:line="460" w:lineRule="exact"/>
        <w:ind w:firstLine="420" w:firstLineChars="200"/>
        <w:rPr>
          <w:color w:val="auto"/>
          <w:szCs w:val="21"/>
          <w:highlight w:val="none"/>
          <w:u w:val="single"/>
        </w:rPr>
      </w:pPr>
      <w:r>
        <w:rPr>
          <w:rFonts w:hint="eastAsia"/>
          <w:color w:val="auto"/>
          <w:szCs w:val="21"/>
          <w:highlight w:val="none"/>
        </w:rPr>
        <w:t>承包人负责照管工程及工程相关的材料、工程设备的起始时间：</w:t>
      </w:r>
      <w:r>
        <w:rPr>
          <w:color w:val="auto"/>
          <w:szCs w:val="21"/>
          <w:highlight w:val="none"/>
          <w:u w:val="single"/>
        </w:rPr>
        <w:t xml:space="preserve"> </w:t>
      </w:r>
      <w:r>
        <w:rPr>
          <w:rFonts w:hint="eastAsia"/>
          <w:color w:val="auto"/>
          <w:szCs w:val="21"/>
          <w:highlight w:val="none"/>
          <w:u w:val="single"/>
        </w:rPr>
        <w:t>设备、人员进场至验收交付使用前由承包人负责保修，</w:t>
      </w:r>
      <w:r>
        <w:rPr>
          <w:rFonts w:hint="eastAsia"/>
          <w:color w:val="auto"/>
          <w:szCs w:val="21"/>
          <w:highlight w:val="none"/>
          <w:u w:val="single"/>
          <w:lang w:eastAsia="zh-CN"/>
        </w:rPr>
        <w:t>无其他</w:t>
      </w:r>
      <w:r>
        <w:rPr>
          <w:rFonts w:hint="eastAsia"/>
          <w:color w:val="auto"/>
          <w:szCs w:val="21"/>
          <w:highlight w:val="none"/>
          <w:u w:val="single"/>
        </w:rPr>
        <w:t>特殊要求的，费用由承包人承担</w:t>
      </w:r>
      <w:r>
        <w:rPr>
          <w:color w:val="auto"/>
          <w:szCs w:val="21"/>
          <w:highlight w:val="none"/>
          <w:u w:val="single"/>
        </w:rPr>
        <w:t xml:space="preserve">   </w:t>
      </w:r>
      <w:r>
        <w:rPr>
          <w:rFonts w:hint="eastAsia"/>
          <w:color w:val="auto"/>
          <w:szCs w:val="21"/>
          <w:highlight w:val="none"/>
        </w:rPr>
        <w:t>。</w:t>
      </w:r>
    </w:p>
    <w:p w14:paraId="76D2602E">
      <w:pPr>
        <w:spacing w:line="460" w:lineRule="exact"/>
        <w:ind w:firstLine="420" w:firstLineChars="200"/>
        <w:rPr>
          <w:color w:val="auto"/>
          <w:szCs w:val="21"/>
          <w:highlight w:val="none"/>
        </w:rPr>
      </w:pPr>
      <w:r>
        <w:rPr>
          <w:color w:val="auto"/>
          <w:szCs w:val="21"/>
          <w:highlight w:val="none"/>
        </w:rPr>
        <w:t xml:space="preserve">3.7 </w:t>
      </w:r>
      <w:r>
        <w:rPr>
          <w:rFonts w:hint="eastAsia"/>
          <w:color w:val="auto"/>
          <w:szCs w:val="21"/>
          <w:highlight w:val="none"/>
        </w:rPr>
        <w:t>履约担保</w:t>
      </w:r>
    </w:p>
    <w:p w14:paraId="606E01BC">
      <w:pPr>
        <w:spacing w:line="460" w:lineRule="exact"/>
        <w:ind w:firstLine="420" w:firstLineChars="200"/>
        <w:rPr>
          <w:color w:val="auto"/>
          <w:szCs w:val="21"/>
          <w:highlight w:val="none"/>
        </w:rPr>
      </w:pPr>
      <w:r>
        <w:rPr>
          <w:rFonts w:hint="eastAsia"/>
          <w:color w:val="auto"/>
          <w:szCs w:val="21"/>
          <w:highlight w:val="none"/>
        </w:rPr>
        <w:t>承包人是否提供履约担保：</w:t>
      </w:r>
      <w:r>
        <w:rPr>
          <w:color w:val="auto"/>
          <w:szCs w:val="21"/>
          <w:highlight w:val="none"/>
          <w:u w:val="single"/>
        </w:rPr>
        <w:t xml:space="preserve">       </w:t>
      </w:r>
      <w:r>
        <w:rPr>
          <w:rFonts w:hint="eastAsia"/>
          <w:color w:val="auto"/>
          <w:szCs w:val="21"/>
          <w:highlight w:val="none"/>
          <w:u w:val="single"/>
        </w:rPr>
        <w:t>提供</w:t>
      </w:r>
      <w:r>
        <w:rPr>
          <w:color w:val="auto"/>
          <w:szCs w:val="21"/>
          <w:highlight w:val="none"/>
          <w:u w:val="single"/>
        </w:rPr>
        <w:t xml:space="preserve">                  </w:t>
      </w:r>
      <w:r>
        <w:rPr>
          <w:rFonts w:hint="eastAsia"/>
          <w:color w:val="auto"/>
          <w:szCs w:val="21"/>
          <w:highlight w:val="none"/>
        </w:rPr>
        <w:t>。</w:t>
      </w:r>
    </w:p>
    <w:p w14:paraId="23F2F0ED">
      <w:pPr>
        <w:spacing w:line="460" w:lineRule="exact"/>
        <w:ind w:firstLine="420" w:firstLineChars="200"/>
        <w:rPr>
          <w:rFonts w:hint="eastAsia"/>
          <w:color w:val="auto"/>
          <w:szCs w:val="21"/>
          <w:highlight w:val="none"/>
          <w:u w:val="single"/>
        </w:rPr>
      </w:pPr>
      <w:r>
        <w:rPr>
          <w:rFonts w:hint="eastAsia"/>
          <w:color w:val="auto"/>
          <w:szCs w:val="21"/>
          <w:highlight w:val="none"/>
        </w:rPr>
        <w:t>承包人提供履约担保的形式、金额及期限：</w:t>
      </w:r>
      <w:r>
        <w:rPr>
          <w:rFonts w:hint="eastAsia"/>
          <w:color w:val="auto"/>
          <w:szCs w:val="21"/>
          <w:highlight w:val="none"/>
          <w:u w:val="single"/>
          <w:lang w:eastAsia="zh-CN"/>
        </w:rPr>
        <w:t>现金或</w:t>
      </w:r>
      <w:r>
        <w:rPr>
          <w:rFonts w:hint="eastAsia"/>
          <w:color w:val="auto"/>
          <w:szCs w:val="21"/>
          <w:highlight w:val="none"/>
          <w:u w:val="single"/>
        </w:rPr>
        <w:t>银行转账</w:t>
      </w:r>
      <w:r>
        <w:rPr>
          <w:rFonts w:hint="eastAsia"/>
          <w:bCs/>
          <w:color w:val="auto"/>
          <w:szCs w:val="21"/>
          <w:highlight w:val="none"/>
          <w:u w:val="single"/>
        </w:rPr>
        <w:t>，</w:t>
      </w:r>
      <w:r>
        <w:rPr>
          <w:rFonts w:hint="eastAsia"/>
          <w:color w:val="auto"/>
          <w:szCs w:val="21"/>
          <w:highlight w:val="none"/>
          <w:u w:val="single"/>
        </w:rPr>
        <w:t>承包人须在中标公示结束后中标通知书发出前交齐</w:t>
      </w:r>
      <w:r>
        <w:rPr>
          <w:rFonts w:hint="eastAsia"/>
          <w:bCs/>
          <w:color w:val="auto"/>
          <w:szCs w:val="21"/>
          <w:highlight w:val="none"/>
          <w:u w:val="single"/>
        </w:rPr>
        <w:t>履约保证金后根据招标文件的要求签订合同，否则视为自动放弃中标资格，且投标保证金不予退还。承包人提供的履约保证金为合同总价的10%，</w:t>
      </w:r>
      <w:bookmarkStart w:id="131" w:name="_Toc351203636"/>
      <w:r>
        <w:rPr>
          <w:rFonts w:hint="eastAsia"/>
          <w:color w:val="auto"/>
          <w:szCs w:val="21"/>
          <w:highlight w:val="none"/>
          <w:u w:val="single"/>
        </w:rPr>
        <w:t>其中：工期占履约保证金额的20%，工期履约保证金待工程按合同规定的工期内完成并经验收合格且提供完整的竣工资料后，无息返还；质量占履约保证金额的40%，在施工期间，由于承包人原因造成的严重质量问题或质量事故，除根据质量问题或事故的严重程度扣除部分或全部质量履约保证金外，还需承担全部责任及由此引起的一切费用，同时承包人必须在发包人要求的期限内整改到位达到验收标准，否则已完成合格工作量在结算时按60%计算。质量履约保证金待工程竣工验收，且完成约定的验收标准后，无息返还；安全文明施工占履约保证金额的20%，承包人在施工期间未发生安全事故，待工程竣工验收合格后，无息返还，凡在施工期间，由于承包人原因造成的事故，除根据事故的严重程度或等级扣除部分或全部安全文明施工保证金外，还需承担全部责任及由此引起的一切费用，发包人不承担任何责任；竣工资料占履约保证金额的10%，若未达到招标文件要求，该保证金不予退还；项目部人员到岗占履约保证金额的10%，施工期间经发包人考核未达到要求的，应按合同约定予以处罚，并扣除部分或全部项目部人员到岗保证金，同时项目部人员不能到岗罚款仍按其他约定条款执行。</w:t>
      </w:r>
    </w:p>
    <w:p w14:paraId="62665193">
      <w:pPr>
        <w:spacing w:line="460" w:lineRule="exact"/>
        <w:ind w:firstLine="420" w:firstLineChars="199"/>
        <w:rPr>
          <w:b/>
          <w:color w:val="auto"/>
          <w:szCs w:val="21"/>
          <w:highlight w:val="none"/>
        </w:rPr>
      </w:pPr>
      <w:r>
        <w:rPr>
          <w:b/>
          <w:color w:val="auto"/>
          <w:szCs w:val="21"/>
          <w:highlight w:val="none"/>
        </w:rPr>
        <w:t>4</w:t>
      </w:r>
      <w:bookmarkStart w:id="132" w:name="_Toc297048348"/>
      <w:bookmarkStart w:id="133" w:name="_Toc267251413"/>
      <w:bookmarkStart w:id="134" w:name="_Toc296347161"/>
      <w:bookmarkStart w:id="135" w:name="_Toc292559871"/>
      <w:bookmarkStart w:id="136" w:name="_Toc296944501"/>
      <w:bookmarkStart w:id="137" w:name="_Toc296503162"/>
      <w:bookmarkStart w:id="138" w:name="_Toc296346663"/>
      <w:bookmarkStart w:id="139" w:name="_Toc292559366"/>
      <w:bookmarkStart w:id="140" w:name="_Toc297120462"/>
      <w:bookmarkStart w:id="141" w:name="_Toc296891202"/>
      <w:bookmarkStart w:id="142" w:name="_Toc296890990"/>
      <w:r>
        <w:rPr>
          <w:b/>
          <w:color w:val="auto"/>
          <w:szCs w:val="21"/>
          <w:highlight w:val="none"/>
        </w:rPr>
        <w:t xml:space="preserve">. </w:t>
      </w:r>
      <w:r>
        <w:rPr>
          <w:rFonts w:hint="eastAsia"/>
          <w:b/>
          <w:color w:val="auto"/>
          <w:szCs w:val="21"/>
          <w:highlight w:val="none"/>
        </w:rPr>
        <w:t>监</w:t>
      </w:r>
      <w:bookmarkEnd w:id="132"/>
      <w:bookmarkEnd w:id="133"/>
      <w:bookmarkEnd w:id="134"/>
      <w:bookmarkEnd w:id="135"/>
      <w:bookmarkEnd w:id="136"/>
      <w:bookmarkEnd w:id="137"/>
      <w:bookmarkEnd w:id="138"/>
      <w:bookmarkEnd w:id="139"/>
      <w:bookmarkEnd w:id="140"/>
      <w:bookmarkEnd w:id="141"/>
      <w:bookmarkEnd w:id="142"/>
      <w:r>
        <w:rPr>
          <w:rFonts w:hint="eastAsia"/>
          <w:b/>
          <w:color w:val="auto"/>
          <w:szCs w:val="21"/>
          <w:highlight w:val="none"/>
        </w:rPr>
        <w:t>理人</w:t>
      </w:r>
      <w:bookmarkEnd w:id="131"/>
    </w:p>
    <w:p w14:paraId="719F0982">
      <w:pPr>
        <w:spacing w:line="460" w:lineRule="exact"/>
        <w:ind w:firstLine="420" w:firstLineChars="200"/>
        <w:rPr>
          <w:color w:val="auto"/>
          <w:szCs w:val="21"/>
          <w:highlight w:val="none"/>
        </w:rPr>
      </w:pPr>
      <w:r>
        <w:rPr>
          <w:color w:val="auto"/>
          <w:szCs w:val="21"/>
          <w:highlight w:val="none"/>
        </w:rPr>
        <w:t>4.1</w:t>
      </w:r>
      <w:r>
        <w:rPr>
          <w:rFonts w:hint="eastAsia"/>
          <w:color w:val="auto"/>
          <w:szCs w:val="21"/>
          <w:highlight w:val="none"/>
        </w:rPr>
        <w:t>监理人的一般规定</w:t>
      </w:r>
    </w:p>
    <w:p w14:paraId="0F81A0F9">
      <w:pPr>
        <w:spacing w:line="460" w:lineRule="exact"/>
        <w:ind w:firstLine="420" w:firstLineChars="200"/>
        <w:rPr>
          <w:color w:val="auto"/>
          <w:szCs w:val="21"/>
          <w:highlight w:val="none"/>
        </w:rPr>
      </w:pPr>
      <w:r>
        <w:rPr>
          <w:rFonts w:hint="eastAsia"/>
          <w:color w:val="auto"/>
          <w:szCs w:val="21"/>
          <w:highlight w:val="none"/>
        </w:rPr>
        <w:t>关于监理人的监理内容：</w:t>
      </w:r>
      <w:r>
        <w:rPr>
          <w:color w:val="auto"/>
          <w:szCs w:val="21"/>
          <w:highlight w:val="none"/>
          <w:u w:val="single"/>
        </w:rPr>
        <w:t xml:space="preserve">   </w:t>
      </w:r>
      <w:r>
        <w:rPr>
          <w:rFonts w:hint="eastAsia"/>
          <w:color w:val="auto"/>
          <w:szCs w:val="21"/>
          <w:highlight w:val="none"/>
          <w:u w:val="single"/>
        </w:rPr>
        <w:t>见监理合同</w:t>
      </w:r>
      <w:r>
        <w:rPr>
          <w:color w:val="auto"/>
          <w:szCs w:val="21"/>
          <w:highlight w:val="none"/>
          <w:u w:val="single"/>
        </w:rPr>
        <w:t xml:space="preserve">     </w:t>
      </w:r>
      <w:r>
        <w:rPr>
          <w:rFonts w:hint="eastAsia"/>
          <w:color w:val="auto"/>
          <w:szCs w:val="21"/>
          <w:highlight w:val="none"/>
        </w:rPr>
        <w:t>。</w:t>
      </w:r>
    </w:p>
    <w:p w14:paraId="79A461C3">
      <w:pPr>
        <w:spacing w:line="460" w:lineRule="exact"/>
        <w:ind w:firstLine="420" w:firstLineChars="200"/>
        <w:rPr>
          <w:color w:val="auto"/>
          <w:szCs w:val="21"/>
          <w:highlight w:val="none"/>
        </w:rPr>
      </w:pPr>
      <w:r>
        <w:rPr>
          <w:rFonts w:hint="eastAsia"/>
          <w:color w:val="auto"/>
          <w:szCs w:val="21"/>
          <w:highlight w:val="none"/>
        </w:rPr>
        <w:t>关于监理人的监理权限：</w:t>
      </w:r>
      <w:r>
        <w:rPr>
          <w:color w:val="auto"/>
          <w:szCs w:val="21"/>
          <w:highlight w:val="none"/>
          <w:u w:val="single"/>
        </w:rPr>
        <w:t xml:space="preserve">   </w:t>
      </w:r>
      <w:r>
        <w:rPr>
          <w:rFonts w:hint="eastAsia"/>
          <w:color w:val="auto"/>
          <w:szCs w:val="21"/>
          <w:highlight w:val="none"/>
          <w:u w:val="single"/>
        </w:rPr>
        <w:t>对工程质量、进度、投资三大控制，对安全生产、文明施工、信息管理、组织协调施工现场和各方关系 ，以及《委托监理合同》内发包人委托的职权，详见监理合同</w:t>
      </w:r>
      <w:r>
        <w:rPr>
          <w:color w:val="auto"/>
          <w:szCs w:val="21"/>
          <w:highlight w:val="none"/>
          <w:u w:val="single"/>
        </w:rPr>
        <w:t xml:space="preserve">  </w:t>
      </w:r>
      <w:r>
        <w:rPr>
          <w:rFonts w:hint="eastAsia"/>
          <w:color w:val="auto"/>
          <w:szCs w:val="21"/>
          <w:highlight w:val="none"/>
        </w:rPr>
        <w:t>。</w:t>
      </w:r>
      <w:r>
        <w:rPr>
          <w:color w:val="auto"/>
          <w:szCs w:val="21"/>
          <w:highlight w:val="none"/>
        </w:rPr>
        <w:t xml:space="preserve"> </w:t>
      </w:r>
    </w:p>
    <w:p w14:paraId="7D7860FA">
      <w:pPr>
        <w:spacing w:line="460" w:lineRule="exact"/>
        <w:ind w:firstLine="420" w:firstLineChars="200"/>
        <w:rPr>
          <w:color w:val="auto"/>
          <w:szCs w:val="21"/>
          <w:highlight w:val="none"/>
        </w:rPr>
      </w:pPr>
      <w:r>
        <w:rPr>
          <w:rFonts w:hint="eastAsia"/>
          <w:color w:val="auto"/>
          <w:szCs w:val="21"/>
          <w:highlight w:val="none"/>
        </w:rPr>
        <w:t>关于监理人在施工现场的办公场所、生活场所的提供和费用承担的约定：</w:t>
      </w:r>
      <w:r>
        <w:rPr>
          <w:rFonts w:hint="eastAsia"/>
          <w:color w:val="auto"/>
          <w:szCs w:val="21"/>
          <w:highlight w:val="none"/>
          <w:u w:val="single"/>
        </w:rPr>
        <w:t>见监理合同</w:t>
      </w:r>
      <w:r>
        <w:rPr>
          <w:color w:val="auto"/>
          <w:szCs w:val="21"/>
          <w:highlight w:val="none"/>
          <w:u w:val="single"/>
        </w:rPr>
        <w:t xml:space="preserve">  </w:t>
      </w:r>
      <w:r>
        <w:rPr>
          <w:rFonts w:hint="eastAsia"/>
          <w:color w:val="auto"/>
          <w:szCs w:val="21"/>
          <w:highlight w:val="none"/>
        </w:rPr>
        <w:t>。</w:t>
      </w:r>
    </w:p>
    <w:p w14:paraId="55679975">
      <w:pPr>
        <w:spacing w:line="460" w:lineRule="exact"/>
        <w:ind w:firstLine="420" w:firstLineChars="200"/>
        <w:rPr>
          <w:color w:val="auto"/>
          <w:szCs w:val="21"/>
          <w:highlight w:val="none"/>
        </w:rPr>
      </w:pPr>
      <w:r>
        <w:rPr>
          <w:color w:val="auto"/>
          <w:szCs w:val="21"/>
          <w:highlight w:val="none"/>
        </w:rPr>
        <w:t xml:space="preserve">4.2 </w:t>
      </w:r>
      <w:r>
        <w:rPr>
          <w:rFonts w:hint="eastAsia"/>
          <w:color w:val="auto"/>
          <w:szCs w:val="21"/>
          <w:highlight w:val="none"/>
        </w:rPr>
        <w:t>监理人员</w:t>
      </w:r>
    </w:p>
    <w:p w14:paraId="5491D196">
      <w:pPr>
        <w:spacing w:line="460" w:lineRule="exact"/>
        <w:ind w:firstLine="420" w:firstLineChars="200"/>
        <w:rPr>
          <w:color w:val="auto"/>
          <w:szCs w:val="21"/>
          <w:highlight w:val="none"/>
        </w:rPr>
      </w:pPr>
      <w:r>
        <w:rPr>
          <w:rFonts w:hint="eastAsia"/>
          <w:color w:val="auto"/>
          <w:szCs w:val="21"/>
          <w:highlight w:val="none"/>
        </w:rPr>
        <w:t>总监理工程师：</w:t>
      </w:r>
    </w:p>
    <w:p w14:paraId="2F7F0334">
      <w:pPr>
        <w:spacing w:line="460" w:lineRule="exact"/>
        <w:ind w:firstLine="420" w:firstLineChars="200"/>
        <w:rPr>
          <w:color w:val="auto"/>
          <w:szCs w:val="21"/>
          <w:highlight w:val="none"/>
        </w:rPr>
      </w:pPr>
      <w:r>
        <w:rPr>
          <w:rFonts w:hint="eastAsia"/>
          <w:color w:val="auto"/>
          <w:szCs w:val="21"/>
          <w:highlight w:val="none"/>
        </w:rPr>
        <w:t>姓</w:t>
      </w:r>
      <w:r>
        <w:rPr>
          <w:color w:val="auto"/>
          <w:szCs w:val="21"/>
          <w:highlight w:val="none"/>
        </w:rPr>
        <w:t xml:space="preserve">    </w:t>
      </w:r>
      <w:r>
        <w:rPr>
          <w:rFonts w:hint="eastAsia"/>
          <w:color w:val="auto"/>
          <w:szCs w:val="21"/>
          <w:highlight w:val="none"/>
        </w:rPr>
        <w:t>名：</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4981646A">
      <w:pPr>
        <w:spacing w:line="460" w:lineRule="exact"/>
        <w:ind w:firstLine="420" w:firstLineChars="200"/>
        <w:rPr>
          <w:color w:val="auto"/>
          <w:szCs w:val="21"/>
          <w:highlight w:val="none"/>
        </w:rPr>
      </w:pPr>
      <w:r>
        <w:rPr>
          <w:rFonts w:hint="eastAsia"/>
          <w:color w:val="auto"/>
          <w:szCs w:val="21"/>
          <w:highlight w:val="none"/>
        </w:rPr>
        <w:t>职</w:t>
      </w:r>
      <w:r>
        <w:rPr>
          <w:color w:val="auto"/>
          <w:szCs w:val="21"/>
          <w:highlight w:val="none"/>
        </w:rPr>
        <w:t xml:space="preserve">    </w:t>
      </w:r>
      <w:r>
        <w:rPr>
          <w:rFonts w:hint="eastAsia"/>
          <w:color w:val="auto"/>
          <w:szCs w:val="21"/>
          <w:highlight w:val="none"/>
        </w:rPr>
        <w:t>务：</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4C507A4D">
      <w:pPr>
        <w:spacing w:line="460" w:lineRule="exact"/>
        <w:ind w:firstLine="420" w:firstLineChars="200"/>
        <w:rPr>
          <w:color w:val="auto"/>
          <w:szCs w:val="21"/>
          <w:highlight w:val="none"/>
        </w:rPr>
      </w:pPr>
      <w:r>
        <w:rPr>
          <w:rFonts w:hint="eastAsia"/>
          <w:color w:val="auto"/>
          <w:szCs w:val="21"/>
          <w:highlight w:val="none"/>
        </w:rPr>
        <w:t>监理工程师执业资格证书号：</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042436FF">
      <w:pPr>
        <w:spacing w:line="460" w:lineRule="exact"/>
        <w:ind w:firstLine="420" w:firstLineChars="200"/>
        <w:rPr>
          <w:color w:val="auto"/>
          <w:szCs w:val="21"/>
          <w:highlight w:val="none"/>
        </w:rPr>
      </w:pPr>
      <w:r>
        <w:rPr>
          <w:rFonts w:hint="eastAsia"/>
          <w:color w:val="auto"/>
          <w:szCs w:val="21"/>
          <w:highlight w:val="none"/>
        </w:rPr>
        <w:t>联系电话：</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25A2A8D9">
      <w:pPr>
        <w:spacing w:line="460" w:lineRule="exact"/>
        <w:ind w:firstLine="420" w:firstLineChars="200"/>
        <w:rPr>
          <w:color w:val="auto"/>
          <w:szCs w:val="21"/>
          <w:highlight w:val="none"/>
        </w:rPr>
      </w:pPr>
      <w:r>
        <w:rPr>
          <w:rFonts w:hint="eastAsia"/>
          <w:color w:val="auto"/>
          <w:szCs w:val="21"/>
          <w:highlight w:val="none"/>
        </w:rPr>
        <w:t>电子信箱：</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61FF2833">
      <w:pPr>
        <w:spacing w:line="460" w:lineRule="exact"/>
        <w:ind w:firstLine="420" w:firstLineChars="200"/>
        <w:rPr>
          <w:color w:val="auto"/>
          <w:szCs w:val="21"/>
          <w:highlight w:val="none"/>
        </w:rPr>
      </w:pPr>
      <w:r>
        <w:rPr>
          <w:rFonts w:hint="eastAsia"/>
          <w:color w:val="auto"/>
          <w:szCs w:val="21"/>
          <w:highlight w:val="none"/>
        </w:rPr>
        <w:t>通信地址：</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2625F62D">
      <w:pPr>
        <w:spacing w:line="460" w:lineRule="exact"/>
        <w:ind w:firstLine="420" w:firstLineChars="200"/>
        <w:rPr>
          <w:color w:val="auto"/>
          <w:szCs w:val="21"/>
          <w:highlight w:val="none"/>
        </w:rPr>
      </w:pPr>
      <w:r>
        <w:rPr>
          <w:rFonts w:hint="eastAsia"/>
          <w:color w:val="auto"/>
          <w:szCs w:val="21"/>
          <w:highlight w:val="none"/>
        </w:rPr>
        <w:t>关于监理人的其他约定：</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6A665D09">
      <w:pPr>
        <w:spacing w:line="460" w:lineRule="exact"/>
        <w:ind w:firstLine="420" w:firstLineChars="200"/>
        <w:rPr>
          <w:color w:val="auto"/>
          <w:szCs w:val="21"/>
          <w:highlight w:val="none"/>
        </w:rPr>
      </w:pPr>
      <w:r>
        <w:rPr>
          <w:color w:val="auto"/>
          <w:szCs w:val="21"/>
          <w:highlight w:val="none"/>
        </w:rPr>
        <w:t xml:space="preserve">4.4 </w:t>
      </w:r>
      <w:r>
        <w:rPr>
          <w:rFonts w:hint="eastAsia"/>
          <w:color w:val="auto"/>
          <w:szCs w:val="21"/>
          <w:highlight w:val="none"/>
        </w:rPr>
        <w:t>商定或确定</w:t>
      </w:r>
    </w:p>
    <w:p w14:paraId="5BC3DFE9">
      <w:pPr>
        <w:spacing w:line="460" w:lineRule="exact"/>
        <w:ind w:firstLine="420" w:firstLineChars="200"/>
        <w:rPr>
          <w:color w:val="auto"/>
          <w:szCs w:val="21"/>
          <w:highlight w:val="none"/>
        </w:rPr>
      </w:pPr>
      <w:bookmarkStart w:id="143" w:name="_Toc267251418"/>
      <w:r>
        <w:rPr>
          <w:rFonts w:hint="eastAsia"/>
          <w:color w:val="auto"/>
          <w:szCs w:val="21"/>
          <w:highlight w:val="none"/>
        </w:rPr>
        <w:t>在发包人和承包人不能通过协商达成一致意见时，发包人授权监理人对以下事项进行确定：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19EB7B0D">
      <w:pPr>
        <w:keepNext/>
        <w:keepLines/>
        <w:widowControl w:val="0"/>
        <w:adjustRightInd w:val="0"/>
        <w:spacing w:before="120" w:after="120" w:line="460" w:lineRule="exact"/>
        <w:textAlignment w:val="baseline"/>
        <w:outlineLvl w:val="3"/>
        <w:rPr>
          <w:b/>
          <w:color w:val="auto"/>
          <w:szCs w:val="21"/>
          <w:highlight w:val="none"/>
        </w:rPr>
      </w:pPr>
      <w:bookmarkStart w:id="144" w:name="_Toc351203637"/>
      <w:r>
        <w:rPr>
          <w:b/>
          <w:color w:val="auto"/>
          <w:szCs w:val="21"/>
          <w:highlight w:val="none"/>
        </w:rPr>
        <w:t>5</w:t>
      </w:r>
      <w:bookmarkEnd w:id="143"/>
      <w:bookmarkStart w:id="145" w:name="_Toc296347162"/>
      <w:bookmarkStart w:id="146" w:name="_Toc292559367"/>
      <w:bookmarkStart w:id="147" w:name="_Toc296346664"/>
      <w:bookmarkStart w:id="148" w:name="_Toc297120463"/>
      <w:bookmarkStart w:id="149" w:name="_Toc296503163"/>
      <w:bookmarkStart w:id="150" w:name="_Toc292559872"/>
      <w:bookmarkStart w:id="151" w:name="_Toc297048349"/>
      <w:bookmarkStart w:id="152" w:name="_Toc296890991"/>
      <w:bookmarkStart w:id="153" w:name="_Toc296891203"/>
      <w:bookmarkStart w:id="154" w:name="_Toc296944502"/>
      <w:r>
        <w:rPr>
          <w:b/>
          <w:color w:val="auto"/>
          <w:szCs w:val="21"/>
          <w:highlight w:val="none"/>
        </w:rPr>
        <w:t xml:space="preserve">. </w:t>
      </w:r>
      <w:r>
        <w:rPr>
          <w:rFonts w:hint="eastAsia"/>
          <w:b/>
          <w:color w:val="auto"/>
          <w:szCs w:val="21"/>
          <w:highlight w:val="none"/>
        </w:rPr>
        <w:t>工程质量</w:t>
      </w:r>
      <w:bookmarkEnd w:id="144"/>
    </w:p>
    <w:p w14:paraId="31C7F19F">
      <w:pPr>
        <w:spacing w:line="460" w:lineRule="exact"/>
        <w:ind w:firstLine="420" w:firstLineChars="200"/>
        <w:rPr>
          <w:color w:val="auto"/>
          <w:szCs w:val="21"/>
          <w:highlight w:val="none"/>
        </w:rPr>
      </w:pPr>
      <w:r>
        <w:rPr>
          <w:color w:val="auto"/>
          <w:szCs w:val="21"/>
          <w:highlight w:val="none"/>
        </w:rPr>
        <w:t xml:space="preserve">5.1 </w:t>
      </w:r>
      <w:r>
        <w:rPr>
          <w:rFonts w:hint="eastAsia"/>
          <w:color w:val="auto"/>
          <w:szCs w:val="21"/>
          <w:highlight w:val="none"/>
        </w:rPr>
        <w:t>质量要求</w:t>
      </w:r>
    </w:p>
    <w:p w14:paraId="77F4FBCC">
      <w:pPr>
        <w:spacing w:line="460" w:lineRule="exact"/>
        <w:ind w:firstLine="420" w:firstLineChars="200"/>
        <w:rPr>
          <w:color w:val="auto"/>
          <w:szCs w:val="21"/>
          <w:highlight w:val="none"/>
        </w:rPr>
      </w:pPr>
      <w:bookmarkStart w:id="155" w:name="_Toc318581164"/>
      <w:bookmarkStart w:id="156" w:name="_Toc312677997"/>
      <w:bookmarkStart w:id="157" w:name="_Toc297216155"/>
      <w:bookmarkStart w:id="158" w:name="_Toc304295527"/>
      <w:bookmarkStart w:id="159" w:name="_Toc300934949"/>
      <w:bookmarkStart w:id="160" w:name="_Toc297123496"/>
      <w:bookmarkStart w:id="161" w:name="_Toc303539106"/>
      <w:r>
        <w:rPr>
          <w:rFonts w:hint="eastAsia"/>
          <w:color w:val="auto"/>
          <w:szCs w:val="21"/>
          <w:highlight w:val="none"/>
        </w:rPr>
        <w:t>5.1.1工程质量必须达到国家施工质量验收规范合格标准。</w:t>
      </w:r>
    </w:p>
    <w:p w14:paraId="23CF40F6">
      <w:pPr>
        <w:spacing w:line="460" w:lineRule="exact"/>
        <w:ind w:firstLine="420" w:firstLineChars="200"/>
        <w:rPr>
          <w:color w:val="auto"/>
          <w:szCs w:val="21"/>
          <w:highlight w:val="none"/>
        </w:rPr>
      </w:pPr>
      <w:r>
        <w:rPr>
          <w:rFonts w:hint="eastAsia"/>
          <w:color w:val="auto"/>
          <w:szCs w:val="21"/>
          <w:highlight w:val="none"/>
        </w:rPr>
        <w:t>5.2质量保证措施</w:t>
      </w:r>
    </w:p>
    <w:p w14:paraId="437DA32D">
      <w:pPr>
        <w:spacing w:line="460" w:lineRule="exact"/>
        <w:ind w:firstLine="420" w:firstLineChars="200"/>
        <w:rPr>
          <w:color w:val="auto"/>
          <w:szCs w:val="21"/>
          <w:highlight w:val="none"/>
        </w:rPr>
      </w:pPr>
      <w:r>
        <w:rPr>
          <w:rFonts w:hint="eastAsia"/>
          <w:color w:val="auto"/>
          <w:szCs w:val="21"/>
          <w:highlight w:val="none"/>
        </w:rPr>
        <w:t>5.2.2承包人必须严格按照施工图纸、工程技术要求及有关工程施工规范、规格和标准施工，并无条件</w:t>
      </w:r>
      <w:r>
        <w:rPr>
          <w:rFonts w:hint="eastAsia"/>
          <w:color w:val="auto"/>
          <w:szCs w:val="21"/>
          <w:highlight w:val="none"/>
          <w:lang w:eastAsia="zh-CN"/>
        </w:rPr>
        <w:t>地</w:t>
      </w:r>
      <w:r>
        <w:rPr>
          <w:rFonts w:hint="eastAsia"/>
          <w:color w:val="auto"/>
          <w:szCs w:val="21"/>
          <w:highlight w:val="none"/>
        </w:rPr>
        <w:t xml:space="preserve">接受发包人委托的监理单位全方位、全过程的监督管理。无论监理工程师是否进行并通过了各项检验，均不解除承包人对自己承包的工程的质量所负的责任。       </w:t>
      </w:r>
    </w:p>
    <w:p w14:paraId="540EFE92">
      <w:pPr>
        <w:spacing w:line="460" w:lineRule="exact"/>
        <w:ind w:firstLine="525" w:firstLineChars="250"/>
        <w:rPr>
          <w:color w:val="auto"/>
          <w:szCs w:val="21"/>
          <w:highlight w:val="none"/>
          <w:u w:val="single"/>
        </w:rPr>
      </w:pPr>
      <w:r>
        <w:rPr>
          <w:rFonts w:hint="eastAsia"/>
          <w:color w:val="auto"/>
          <w:szCs w:val="21"/>
          <w:highlight w:val="none"/>
        </w:rPr>
        <w:t>关于工程奖项的约定：</w:t>
      </w:r>
      <w:r>
        <w:rPr>
          <w:rFonts w:hint="eastAsia"/>
          <w:color w:val="auto"/>
          <w:szCs w:val="21"/>
          <w:highlight w:val="none"/>
          <w:u w:val="single"/>
        </w:rPr>
        <w:t>工程质量达不到协议书中约定的质量标准的</w:t>
      </w:r>
      <w:r>
        <w:rPr>
          <w:rFonts w:hint="eastAsia"/>
          <w:color w:val="auto"/>
          <w:szCs w:val="21"/>
          <w:highlight w:val="none"/>
          <w:u w:val="single"/>
          <w:lang w:eastAsia="zh-CN"/>
        </w:rPr>
        <w:t>，</w:t>
      </w:r>
      <w:r>
        <w:rPr>
          <w:rFonts w:hint="eastAsia"/>
          <w:color w:val="auto"/>
          <w:szCs w:val="21"/>
          <w:highlight w:val="none"/>
          <w:u w:val="single"/>
        </w:rPr>
        <w:t>没收全部的质量保证金作为违约金  。</w:t>
      </w:r>
    </w:p>
    <w:p w14:paraId="485B35BF">
      <w:pPr>
        <w:spacing w:line="460" w:lineRule="exact"/>
        <w:ind w:firstLine="420" w:firstLineChars="200"/>
        <w:rPr>
          <w:color w:val="auto"/>
          <w:szCs w:val="21"/>
          <w:highlight w:val="none"/>
        </w:rPr>
      </w:pPr>
      <w:r>
        <w:rPr>
          <w:color w:val="auto"/>
          <w:szCs w:val="21"/>
          <w:highlight w:val="none"/>
        </w:rPr>
        <w:t xml:space="preserve">5.3 </w:t>
      </w:r>
      <w:r>
        <w:rPr>
          <w:rFonts w:hint="eastAsia"/>
          <w:color w:val="auto"/>
          <w:szCs w:val="21"/>
          <w:highlight w:val="none"/>
        </w:rPr>
        <w:t>隐蔽工程检查</w:t>
      </w:r>
    </w:p>
    <w:p w14:paraId="398C2165">
      <w:pPr>
        <w:spacing w:line="460" w:lineRule="exact"/>
        <w:ind w:firstLine="420" w:firstLineChars="200"/>
        <w:rPr>
          <w:color w:val="auto"/>
          <w:szCs w:val="21"/>
          <w:highlight w:val="none"/>
        </w:rPr>
      </w:pPr>
      <w:r>
        <w:rPr>
          <w:color w:val="auto"/>
          <w:szCs w:val="21"/>
          <w:highlight w:val="none"/>
        </w:rPr>
        <w:t>5.3.2</w:t>
      </w:r>
      <w:r>
        <w:rPr>
          <w:rFonts w:hint="eastAsia"/>
          <w:color w:val="auto"/>
          <w:szCs w:val="21"/>
          <w:highlight w:val="none"/>
        </w:rPr>
        <w:t>承包人提前通知监理人隐蔽工程检查的期限的约定：</w:t>
      </w:r>
      <w:r>
        <w:rPr>
          <w:color w:val="auto"/>
          <w:szCs w:val="21"/>
          <w:highlight w:val="none"/>
          <w:u w:val="single"/>
        </w:rPr>
        <w:t xml:space="preserve">  </w:t>
      </w:r>
      <w:r>
        <w:rPr>
          <w:rFonts w:hint="eastAsia"/>
          <w:color w:val="auto"/>
          <w:szCs w:val="21"/>
          <w:highlight w:val="none"/>
          <w:u w:val="single"/>
        </w:rPr>
        <w:t>共同检查前48小时书面通知监理人</w:t>
      </w:r>
      <w:r>
        <w:rPr>
          <w:rFonts w:hint="eastAsia"/>
          <w:color w:val="auto"/>
          <w:szCs w:val="21"/>
          <w:highlight w:val="none"/>
        </w:rPr>
        <w:t>。</w:t>
      </w:r>
    </w:p>
    <w:p w14:paraId="70FB7D7E">
      <w:pPr>
        <w:spacing w:line="460" w:lineRule="exact"/>
        <w:ind w:firstLine="420" w:firstLineChars="200"/>
        <w:rPr>
          <w:color w:val="auto"/>
          <w:szCs w:val="21"/>
          <w:highlight w:val="none"/>
        </w:rPr>
      </w:pPr>
      <w:r>
        <w:rPr>
          <w:rFonts w:hint="eastAsia"/>
          <w:color w:val="auto"/>
          <w:szCs w:val="21"/>
          <w:highlight w:val="none"/>
        </w:rPr>
        <w:t>监理人不能按时进行检查时，应提前</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小时提交书面延期要求。</w:t>
      </w:r>
    </w:p>
    <w:p w14:paraId="6031934F">
      <w:pPr>
        <w:spacing w:line="460" w:lineRule="exact"/>
        <w:ind w:firstLine="420" w:firstLineChars="200"/>
        <w:rPr>
          <w:color w:val="auto"/>
          <w:szCs w:val="21"/>
          <w:highlight w:val="none"/>
        </w:rPr>
      </w:pPr>
      <w:r>
        <w:rPr>
          <w:rFonts w:hint="eastAsia"/>
          <w:color w:val="auto"/>
          <w:szCs w:val="21"/>
          <w:highlight w:val="none"/>
        </w:rPr>
        <w:t>关于延期最长不得超过：</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小时。</w:t>
      </w:r>
    </w:p>
    <w:p w14:paraId="0FDA0A80">
      <w:pPr>
        <w:keepNext/>
        <w:keepLines/>
        <w:widowControl w:val="0"/>
        <w:adjustRightInd w:val="0"/>
        <w:spacing w:before="120" w:after="120" w:line="460" w:lineRule="exact"/>
        <w:textAlignment w:val="baseline"/>
        <w:outlineLvl w:val="3"/>
        <w:rPr>
          <w:color w:val="auto"/>
          <w:szCs w:val="21"/>
          <w:highlight w:val="none"/>
        </w:rPr>
      </w:pPr>
      <w:bookmarkStart w:id="162" w:name="_Toc351203638"/>
      <w:r>
        <w:rPr>
          <w:color w:val="auto"/>
          <w:szCs w:val="21"/>
          <w:highlight w:val="none"/>
        </w:rPr>
        <w:t xml:space="preserve">6. </w:t>
      </w:r>
      <w:r>
        <w:rPr>
          <w:rFonts w:hint="eastAsia"/>
          <w:color w:val="auto"/>
          <w:szCs w:val="21"/>
          <w:highlight w:val="none"/>
        </w:rPr>
        <w:t>安全文明施工与环境保护</w:t>
      </w:r>
      <w:bookmarkEnd w:id="162"/>
    </w:p>
    <w:p w14:paraId="6282D88D">
      <w:pPr>
        <w:spacing w:line="460" w:lineRule="exact"/>
        <w:ind w:firstLine="420" w:firstLineChars="200"/>
        <w:rPr>
          <w:color w:val="auto"/>
          <w:szCs w:val="21"/>
          <w:highlight w:val="none"/>
        </w:rPr>
      </w:pPr>
      <w:r>
        <w:rPr>
          <w:color w:val="auto"/>
          <w:szCs w:val="21"/>
          <w:highlight w:val="none"/>
        </w:rPr>
        <w:t>6.1</w:t>
      </w:r>
      <w:r>
        <w:rPr>
          <w:rFonts w:hint="eastAsia"/>
          <w:color w:val="auto"/>
          <w:szCs w:val="21"/>
          <w:highlight w:val="none"/>
        </w:rPr>
        <w:t>安全文明施工</w:t>
      </w:r>
    </w:p>
    <w:p w14:paraId="0A79F7B3">
      <w:pPr>
        <w:spacing w:line="460" w:lineRule="exact"/>
        <w:ind w:firstLine="420" w:firstLineChars="200"/>
        <w:rPr>
          <w:color w:val="auto"/>
          <w:szCs w:val="21"/>
          <w:highlight w:val="none"/>
        </w:rPr>
      </w:pPr>
      <w:r>
        <w:rPr>
          <w:color w:val="auto"/>
          <w:szCs w:val="21"/>
          <w:highlight w:val="none"/>
        </w:rPr>
        <w:t xml:space="preserve">6.1.1 </w:t>
      </w:r>
      <w:r>
        <w:rPr>
          <w:rFonts w:hint="eastAsia"/>
          <w:color w:val="auto"/>
          <w:szCs w:val="21"/>
          <w:highlight w:val="none"/>
        </w:rPr>
        <w:t>项目安全生产的达标目标及相应事项的约定：</w:t>
      </w:r>
    </w:p>
    <w:p w14:paraId="3735006F">
      <w:pPr>
        <w:spacing w:line="460" w:lineRule="exact"/>
        <w:ind w:firstLine="315" w:firstLineChars="150"/>
        <w:rPr>
          <w:color w:val="auto"/>
          <w:szCs w:val="21"/>
          <w:highlight w:val="none"/>
          <w:u w:val="single"/>
        </w:rPr>
      </w:pPr>
      <w:r>
        <w:rPr>
          <w:rFonts w:hint="eastAsia"/>
          <w:bCs/>
          <w:color w:val="auto"/>
          <w:szCs w:val="21"/>
          <w:highlight w:val="none"/>
        </w:rPr>
        <w:t>（1）</w:t>
      </w:r>
      <w:r>
        <w:rPr>
          <w:rFonts w:hint="eastAsia"/>
          <w:color w:val="auto"/>
          <w:szCs w:val="21"/>
          <w:highlight w:val="none"/>
          <w:u w:val="single" w:color="000000"/>
        </w:rPr>
        <w:t>承包人须对本合同范围内所</w:t>
      </w:r>
      <w:r>
        <w:rPr>
          <w:rFonts w:hint="eastAsia"/>
          <w:color w:val="auto"/>
          <w:szCs w:val="21"/>
          <w:highlight w:val="none"/>
          <w:u w:val="single"/>
        </w:rPr>
        <w:t>有施工范</w:t>
      </w:r>
      <w:r>
        <w:rPr>
          <w:rFonts w:hint="eastAsia"/>
          <w:color w:val="auto"/>
          <w:szCs w:val="21"/>
          <w:highlight w:val="none"/>
          <w:u w:val="single" w:color="000000"/>
        </w:rPr>
        <w:t>围和施工人员负全部安全施工责</w:t>
      </w:r>
      <w:r>
        <w:rPr>
          <w:rFonts w:hint="eastAsia"/>
          <w:color w:val="auto"/>
          <w:szCs w:val="21"/>
          <w:highlight w:val="none"/>
          <w:u w:val="single"/>
        </w:rPr>
        <w:t>任。承包人应严格</w:t>
      </w:r>
      <w:r>
        <w:rPr>
          <w:rFonts w:hint="eastAsia"/>
          <w:color w:val="auto"/>
          <w:szCs w:val="21"/>
          <w:highlight w:val="none"/>
          <w:u w:val="single"/>
          <w:lang w:eastAsia="zh-CN"/>
        </w:rPr>
        <w:t>按照</w:t>
      </w:r>
      <w:r>
        <w:rPr>
          <w:rFonts w:hint="eastAsia"/>
          <w:bCs/>
          <w:color w:val="auto"/>
          <w:szCs w:val="21"/>
          <w:highlight w:val="none"/>
          <w:u w:val="single"/>
        </w:rPr>
        <w:t>《建设工程安全生产管理条例》等法律、</w:t>
      </w:r>
      <w:r>
        <w:rPr>
          <w:rFonts w:hint="eastAsia"/>
          <w:color w:val="auto"/>
          <w:szCs w:val="21"/>
          <w:highlight w:val="none"/>
          <w:u w:val="single"/>
        </w:rPr>
        <w:t>工程建设安全</w:t>
      </w:r>
      <w:r>
        <w:rPr>
          <w:rFonts w:hint="eastAsia"/>
          <w:color w:val="auto"/>
          <w:szCs w:val="21"/>
          <w:highlight w:val="none"/>
          <w:u w:val="single"/>
          <w:lang w:eastAsia="zh-CN"/>
        </w:rPr>
        <w:t>生产</w:t>
      </w:r>
      <w:r>
        <w:rPr>
          <w:rFonts w:hint="eastAsia"/>
          <w:color w:val="auto"/>
          <w:szCs w:val="21"/>
          <w:highlight w:val="none"/>
          <w:u w:val="single"/>
        </w:rPr>
        <w:t>有关管理规定，采取安全措施组织施工。若发生安全事故，一切责任由承包方承担。</w:t>
      </w:r>
    </w:p>
    <w:p w14:paraId="2AF9F098">
      <w:pPr>
        <w:spacing w:line="460" w:lineRule="exact"/>
        <w:ind w:firstLine="420" w:firstLineChars="200"/>
        <w:rPr>
          <w:b/>
          <w:color w:val="auto"/>
          <w:szCs w:val="21"/>
          <w:highlight w:val="none"/>
          <w:u w:val="single"/>
        </w:rPr>
      </w:pPr>
      <w:r>
        <w:rPr>
          <w:rFonts w:hint="eastAsia"/>
          <w:bCs/>
          <w:color w:val="auto"/>
          <w:szCs w:val="21"/>
          <w:highlight w:val="none"/>
        </w:rPr>
        <w:t>（2）</w:t>
      </w:r>
      <w:r>
        <w:rPr>
          <w:rFonts w:hint="eastAsia"/>
          <w:b/>
          <w:color w:val="auto"/>
          <w:szCs w:val="21"/>
          <w:highlight w:val="none"/>
          <w:u w:val="single"/>
        </w:rPr>
        <w:t>承包人对施工现场的安全生产负总责。承包人在工地现场必须按规定配备专职安全员。如发包人检查到承包人人员不到位的，则发包人有权按300元/人·次计取违约金，从工程款中直接扣除。</w:t>
      </w:r>
    </w:p>
    <w:p w14:paraId="01B6BA3B">
      <w:pPr>
        <w:spacing w:line="460" w:lineRule="exact"/>
        <w:ind w:firstLine="420" w:firstLineChars="200"/>
        <w:rPr>
          <w:bCs/>
          <w:color w:val="auto"/>
          <w:szCs w:val="21"/>
          <w:highlight w:val="none"/>
          <w:u w:val="single"/>
        </w:rPr>
      </w:pPr>
      <w:r>
        <w:rPr>
          <w:rFonts w:hint="eastAsia"/>
          <w:bCs/>
          <w:color w:val="auto"/>
          <w:szCs w:val="21"/>
          <w:highlight w:val="none"/>
        </w:rPr>
        <w:t>（3）</w:t>
      </w:r>
      <w:r>
        <w:rPr>
          <w:rFonts w:hint="eastAsia"/>
          <w:bCs/>
          <w:color w:val="auto"/>
          <w:szCs w:val="21"/>
          <w:highlight w:val="none"/>
          <w:u w:val="single"/>
        </w:rPr>
        <w:t>工程施工前和施工中，承包人项目经理或技术负责人应当对有关安全施工技术进行交底；承包人必须编制安全施工措施和施工现场临时用电、施工现场周边及主要通道的安全防护措施</w:t>
      </w:r>
      <w:r>
        <w:rPr>
          <w:rFonts w:hint="eastAsia"/>
          <w:bCs/>
          <w:color w:val="auto"/>
          <w:szCs w:val="21"/>
          <w:highlight w:val="none"/>
          <w:u w:val="single"/>
          <w:lang w:eastAsia="zh-CN"/>
        </w:rPr>
        <w:t>及其他有关</w:t>
      </w:r>
      <w:r>
        <w:rPr>
          <w:rFonts w:hint="eastAsia"/>
          <w:bCs/>
          <w:color w:val="auto"/>
          <w:szCs w:val="21"/>
          <w:highlight w:val="none"/>
          <w:u w:val="single"/>
        </w:rPr>
        <w:t>法规要求的专项施工方案，专项施工方案必须经本单位技术负责人批准后，报发包人代表和现场监理批准后实施。</w:t>
      </w:r>
    </w:p>
    <w:p w14:paraId="6D1229ED">
      <w:pPr>
        <w:spacing w:line="460" w:lineRule="exact"/>
        <w:ind w:firstLine="420" w:firstLineChars="200"/>
        <w:rPr>
          <w:bCs/>
          <w:color w:val="auto"/>
          <w:szCs w:val="21"/>
          <w:highlight w:val="none"/>
          <w:u w:val="single"/>
        </w:rPr>
      </w:pPr>
      <w:r>
        <w:rPr>
          <w:rFonts w:hint="eastAsia"/>
          <w:bCs/>
          <w:color w:val="auto"/>
          <w:szCs w:val="21"/>
          <w:highlight w:val="none"/>
          <w:u w:val="single"/>
        </w:rPr>
        <w:t>工程施工前，承包人应根据法律、法规、规范、标准等要求，制定安全施工标准及要求，负责向施工作业班组、作业人员作出详细的说明，并由双方签字确认。</w:t>
      </w:r>
    </w:p>
    <w:p w14:paraId="52587E8F">
      <w:pPr>
        <w:spacing w:line="460" w:lineRule="exact"/>
        <w:ind w:firstLine="420" w:firstLineChars="200"/>
        <w:rPr>
          <w:bCs/>
          <w:color w:val="auto"/>
          <w:szCs w:val="21"/>
          <w:highlight w:val="none"/>
          <w:u w:val="single"/>
        </w:rPr>
      </w:pPr>
      <w:r>
        <w:rPr>
          <w:rFonts w:hint="eastAsia"/>
          <w:bCs/>
          <w:color w:val="auto"/>
          <w:szCs w:val="21"/>
          <w:highlight w:val="none"/>
          <w:u w:val="single"/>
        </w:rPr>
        <w:t>工程施工前，承包人使用的安全防护用具、机械设备、施工机具及配件，应当具有生产（制造）许可证、产品合格证，并在进入施工现场前进行查验，经监理工程师签字确认后方可使用。</w:t>
      </w:r>
    </w:p>
    <w:p w14:paraId="535C2BDA">
      <w:pPr>
        <w:spacing w:line="460" w:lineRule="exact"/>
        <w:ind w:firstLine="420" w:firstLineChars="200"/>
        <w:rPr>
          <w:bCs/>
          <w:color w:val="auto"/>
          <w:szCs w:val="21"/>
          <w:highlight w:val="none"/>
          <w:u w:val="single"/>
        </w:rPr>
      </w:pPr>
      <w:r>
        <w:rPr>
          <w:rFonts w:hint="eastAsia"/>
          <w:bCs/>
          <w:color w:val="auto"/>
          <w:szCs w:val="21"/>
          <w:highlight w:val="none"/>
          <w:u w:val="single"/>
        </w:rPr>
        <w:t>特种作业人员，必须按照国家有关规定经过专门的安全作业培训，并取得特种作业操作资格证书后，方可上岗作业。</w:t>
      </w:r>
    </w:p>
    <w:p w14:paraId="4EFFD2EB">
      <w:pPr>
        <w:adjustRightInd w:val="0"/>
        <w:spacing w:line="460" w:lineRule="exact"/>
        <w:ind w:firstLine="420" w:firstLineChars="200"/>
        <w:textAlignment w:val="baseline"/>
        <w:rPr>
          <w:bCs/>
          <w:color w:val="auto"/>
          <w:szCs w:val="21"/>
          <w:highlight w:val="none"/>
          <w:u w:val="single"/>
        </w:rPr>
      </w:pPr>
      <w:r>
        <w:rPr>
          <w:rFonts w:hint="eastAsia"/>
          <w:bCs/>
          <w:color w:val="auto"/>
          <w:szCs w:val="21"/>
          <w:highlight w:val="none"/>
        </w:rPr>
        <w:t>（4）</w:t>
      </w:r>
      <w:r>
        <w:rPr>
          <w:rFonts w:hint="eastAsia"/>
          <w:b/>
          <w:bCs/>
          <w:color w:val="auto"/>
          <w:szCs w:val="21"/>
          <w:highlight w:val="none"/>
          <w:u w:val="single"/>
        </w:rPr>
        <w:t>未能达到上述（1）</w:t>
      </w:r>
      <w:r>
        <w:rPr>
          <w:rFonts w:hint="eastAsia"/>
          <w:b/>
          <w:bCs/>
          <w:color w:val="auto"/>
          <w:szCs w:val="21"/>
          <w:highlight w:val="none"/>
          <w:u w:val="single"/>
          <w:lang w:eastAsia="zh-CN"/>
        </w:rPr>
        <w:t>－</w:t>
      </w:r>
      <w:r>
        <w:rPr>
          <w:rFonts w:hint="eastAsia"/>
          <w:b/>
          <w:bCs/>
          <w:color w:val="auto"/>
          <w:szCs w:val="21"/>
          <w:highlight w:val="none"/>
          <w:u w:val="single"/>
        </w:rPr>
        <w:t>（3）条要求，发包人有权视情节严重扣除承包人履约保证金的5%～10%。</w:t>
      </w:r>
    </w:p>
    <w:p w14:paraId="56E4FEC5">
      <w:pPr>
        <w:adjustRightInd w:val="0"/>
        <w:spacing w:line="460" w:lineRule="exact"/>
        <w:ind w:firstLine="420" w:firstLineChars="200"/>
        <w:textAlignment w:val="baseline"/>
        <w:rPr>
          <w:bCs/>
          <w:color w:val="auto"/>
          <w:szCs w:val="21"/>
          <w:highlight w:val="none"/>
          <w:u w:val="single"/>
        </w:rPr>
      </w:pPr>
      <w:r>
        <w:rPr>
          <w:rFonts w:hint="eastAsia"/>
          <w:bCs/>
          <w:color w:val="auto"/>
          <w:szCs w:val="21"/>
          <w:highlight w:val="none"/>
        </w:rPr>
        <w:t>（5）</w:t>
      </w:r>
      <w:r>
        <w:rPr>
          <w:rFonts w:hint="eastAsia"/>
          <w:bCs/>
          <w:color w:val="auto"/>
          <w:szCs w:val="21"/>
          <w:highlight w:val="none"/>
          <w:u w:val="single"/>
        </w:rPr>
        <w:t>建立安全制度、安全检查制度、安全教育制度、工地班前活动制度、文明施工检查制度。满足江苏省、南通市等安监部门安全文明生产的要求，做好安全技术教育及交底，落实所有安全技术措施和人身防护用品。</w:t>
      </w:r>
    </w:p>
    <w:p w14:paraId="2EA867D8">
      <w:pPr>
        <w:spacing w:line="460" w:lineRule="exact"/>
        <w:ind w:firstLine="420" w:firstLineChars="200"/>
        <w:rPr>
          <w:bCs/>
          <w:color w:val="auto"/>
          <w:szCs w:val="21"/>
          <w:highlight w:val="none"/>
        </w:rPr>
      </w:pPr>
      <w:r>
        <w:rPr>
          <w:rFonts w:hint="eastAsia"/>
          <w:bCs/>
          <w:color w:val="auto"/>
          <w:szCs w:val="21"/>
          <w:highlight w:val="none"/>
        </w:rPr>
        <w:t>（6）</w:t>
      </w:r>
      <w:r>
        <w:rPr>
          <w:rFonts w:hint="eastAsia"/>
          <w:b/>
          <w:bCs/>
          <w:color w:val="auto"/>
          <w:szCs w:val="21"/>
          <w:highlight w:val="none"/>
          <w:u w:val="single"/>
        </w:rPr>
        <w:t>本工程设安全文明施工保证金，凡在施工期间，由于承包人原因造成的事故，除根据事故的严重程度或等级扣除安全文明施工保证金外，还需承担全部责任及由此引起的一切费用，发包人不承担任何责任。</w:t>
      </w:r>
    </w:p>
    <w:p w14:paraId="7848258A">
      <w:pPr>
        <w:spacing w:line="460" w:lineRule="exact"/>
        <w:ind w:firstLine="420" w:firstLineChars="200"/>
        <w:rPr>
          <w:color w:val="auto"/>
          <w:szCs w:val="21"/>
          <w:highlight w:val="none"/>
        </w:rPr>
      </w:pPr>
      <w:r>
        <w:rPr>
          <w:rFonts w:hint="eastAsia"/>
          <w:color w:val="auto"/>
          <w:szCs w:val="21"/>
          <w:highlight w:val="none"/>
        </w:rPr>
        <w:t>6.1.4 关于治安保卫的特别约定：</w:t>
      </w:r>
      <w:r>
        <w:rPr>
          <w:rFonts w:hint="eastAsia"/>
          <w:bCs/>
          <w:color w:val="auto"/>
          <w:szCs w:val="21"/>
          <w:highlight w:val="none"/>
          <w:u w:val="single"/>
        </w:rPr>
        <w:t>施工期间承包人按发包人要求做好成品保护工作；发包人另行发包的工程每项工程完成后，经发包方、承包方、分包方三方验收合格后，交承包人负责总包管理</w:t>
      </w:r>
      <w:r>
        <w:rPr>
          <w:rFonts w:hint="eastAsia"/>
          <w:color w:val="auto"/>
          <w:szCs w:val="21"/>
          <w:highlight w:val="none"/>
        </w:rPr>
        <w:t>。</w:t>
      </w:r>
    </w:p>
    <w:p w14:paraId="1596FD2A">
      <w:pPr>
        <w:spacing w:line="460" w:lineRule="exact"/>
        <w:ind w:firstLine="420" w:firstLineChars="200"/>
        <w:rPr>
          <w:color w:val="auto"/>
          <w:szCs w:val="21"/>
          <w:highlight w:val="none"/>
        </w:rPr>
      </w:pPr>
      <w:r>
        <w:rPr>
          <w:rFonts w:hint="eastAsia"/>
          <w:color w:val="auto"/>
          <w:szCs w:val="21"/>
          <w:highlight w:val="none"/>
        </w:rPr>
        <w:t>关于编制施工场地治安管理计划的约定：</w:t>
      </w:r>
      <w:r>
        <w:rPr>
          <w:color w:val="auto"/>
          <w:szCs w:val="21"/>
          <w:highlight w:val="none"/>
          <w:u w:val="single"/>
        </w:rPr>
        <w:t xml:space="preserve"> </w:t>
      </w:r>
      <w:r>
        <w:rPr>
          <w:rFonts w:hint="eastAsia"/>
          <w:b/>
          <w:color w:val="auto"/>
          <w:szCs w:val="21"/>
          <w:highlight w:val="none"/>
          <w:u w:val="single"/>
        </w:rPr>
        <w:t>开</w:t>
      </w:r>
      <w:r>
        <w:rPr>
          <w:rFonts w:hint="eastAsia"/>
          <w:b/>
          <w:color w:val="auto"/>
          <w:spacing w:val="-7"/>
          <w:szCs w:val="21"/>
          <w:highlight w:val="none"/>
          <w:u w:val="single"/>
        </w:rPr>
        <w:t>工前三天提供</w:t>
      </w:r>
      <w:r>
        <w:rPr>
          <w:b/>
          <w:color w:val="auto"/>
          <w:spacing w:val="-7"/>
          <w:szCs w:val="21"/>
          <w:highlight w:val="none"/>
          <w:u w:val="single"/>
        </w:rPr>
        <w:t>施工场地治安管理计划。</w:t>
      </w:r>
    </w:p>
    <w:p w14:paraId="1DE4DE43">
      <w:pPr>
        <w:spacing w:line="460" w:lineRule="exact"/>
        <w:ind w:firstLine="420" w:firstLineChars="200"/>
        <w:rPr>
          <w:color w:val="auto"/>
          <w:szCs w:val="21"/>
          <w:highlight w:val="none"/>
        </w:rPr>
      </w:pPr>
      <w:r>
        <w:rPr>
          <w:color w:val="auto"/>
          <w:szCs w:val="21"/>
          <w:highlight w:val="none"/>
        </w:rPr>
        <w:t xml:space="preserve">6.1.5 </w:t>
      </w:r>
      <w:r>
        <w:rPr>
          <w:rFonts w:hint="eastAsia"/>
          <w:color w:val="auto"/>
          <w:szCs w:val="21"/>
          <w:highlight w:val="none"/>
        </w:rPr>
        <w:t>文明施工</w:t>
      </w:r>
    </w:p>
    <w:p w14:paraId="41E19776">
      <w:pPr>
        <w:spacing w:line="460" w:lineRule="exact"/>
        <w:ind w:firstLine="459"/>
        <w:rPr>
          <w:rFonts w:hint="eastAsia"/>
          <w:color w:val="auto"/>
          <w:szCs w:val="21"/>
          <w:highlight w:val="none"/>
        </w:rPr>
      </w:pPr>
      <w:r>
        <w:rPr>
          <w:rFonts w:hint="eastAsia"/>
          <w:color w:val="auto"/>
          <w:szCs w:val="21"/>
          <w:highlight w:val="none"/>
        </w:rPr>
        <w:t>合同当事人对文明施工的要求：</w:t>
      </w:r>
      <w:r>
        <w:rPr>
          <w:rFonts w:hint="eastAsia" w:cs="Arial"/>
          <w:color w:val="auto"/>
          <w:szCs w:val="21"/>
          <w:highlight w:val="none"/>
          <w:u w:val="single"/>
          <w:lang w:bidi="ar-SA"/>
        </w:rPr>
        <w:t>承包人必须按照文明工地标准和要求做好场地清理及相关工作。施工现场的材料堆放要整齐，机械停放有序，做到工完料清；遵守环境卫生管理的有关规定，符合清洁卫生要求，</w:t>
      </w:r>
      <w:r>
        <w:rPr>
          <w:rFonts w:hint="eastAsia"/>
          <w:bCs/>
          <w:color w:val="auto"/>
          <w:szCs w:val="21"/>
          <w:highlight w:val="none"/>
          <w:u w:val="single"/>
        </w:rPr>
        <w:t>承担因自身原因违反有关规定造成的损失和罚款；</w:t>
      </w:r>
      <w:r>
        <w:rPr>
          <w:rFonts w:hint="eastAsia" w:cs="Arial"/>
          <w:color w:val="auto"/>
          <w:szCs w:val="21"/>
          <w:highlight w:val="none"/>
          <w:u w:val="single"/>
          <w:lang w:bidi="ar-SA"/>
        </w:rPr>
        <w:t>定期地将所有建筑垃圾从施工场地清除，并运出场外；交工前，将所有剩余的建筑材料运走或运至指定地点堆放，将所有施工机械和设备从施工场地运走。上述费用包含在合同价中。未能达到上述要求发包人有权视情节严重扣除承包人履约保证金的5%。若承包人现场施工作业面、办公区、生活区内清洁卫生满足不了文明施工要求，发包人有权安排</w:t>
      </w:r>
      <w:r>
        <w:rPr>
          <w:rFonts w:hint="eastAsia" w:cs="Arial"/>
          <w:color w:val="auto"/>
          <w:szCs w:val="21"/>
          <w:highlight w:val="none"/>
          <w:u w:val="single"/>
          <w:lang w:eastAsia="zh-CN" w:bidi="ar-SA"/>
        </w:rPr>
        <w:t>其他单位或个人</w:t>
      </w:r>
      <w:r>
        <w:rPr>
          <w:rFonts w:hint="eastAsia" w:cs="Arial"/>
          <w:color w:val="auto"/>
          <w:szCs w:val="21"/>
          <w:highlight w:val="none"/>
          <w:u w:val="single"/>
          <w:lang w:bidi="ar-SA"/>
        </w:rPr>
        <w:t>打扫，按具体发生的费用2倍及以上从进度款中扣除。</w:t>
      </w:r>
      <w:r>
        <w:rPr>
          <w:rFonts w:hint="eastAsia"/>
          <w:bCs/>
          <w:color w:val="auto"/>
          <w:szCs w:val="21"/>
          <w:highlight w:val="none"/>
          <w:u w:val="single"/>
        </w:rPr>
        <w:t>承包人</w:t>
      </w:r>
      <w:r>
        <w:rPr>
          <w:rFonts w:hint="eastAsia"/>
          <w:color w:val="auto"/>
          <w:szCs w:val="21"/>
          <w:highlight w:val="none"/>
          <w:u w:val="single"/>
        </w:rPr>
        <w:t>必须服从发包人现场的统一管理和协调，做到文明施工。</w:t>
      </w:r>
      <w:r>
        <w:rPr>
          <w:rFonts w:hint="eastAsia"/>
          <w:bCs/>
          <w:color w:val="auto"/>
          <w:szCs w:val="21"/>
          <w:highlight w:val="none"/>
          <w:u w:val="single"/>
        </w:rPr>
        <w:t>施工现场要设立标语、标牌，做到文明施工，树立企业形象，主动接受社会监督和有关部门的管理</w:t>
      </w:r>
      <w:r>
        <w:rPr>
          <w:rFonts w:hint="eastAsia"/>
          <w:color w:val="auto"/>
          <w:szCs w:val="21"/>
          <w:highlight w:val="none"/>
          <w:u w:val="single"/>
        </w:rPr>
        <w:t xml:space="preserve">  </w:t>
      </w:r>
      <w:r>
        <w:rPr>
          <w:rFonts w:hint="eastAsia"/>
          <w:color w:val="auto"/>
          <w:szCs w:val="21"/>
          <w:highlight w:val="none"/>
        </w:rPr>
        <w:t>。</w:t>
      </w:r>
    </w:p>
    <w:p w14:paraId="2755F014">
      <w:pPr>
        <w:spacing w:line="460" w:lineRule="exact"/>
        <w:ind w:firstLine="459"/>
        <w:rPr>
          <w:rFonts w:cs="Arial"/>
          <w:color w:val="auto"/>
          <w:szCs w:val="21"/>
          <w:highlight w:val="none"/>
          <w:u w:val="single"/>
          <w:lang w:bidi="ar-SA"/>
        </w:rPr>
      </w:pPr>
      <w:r>
        <w:rPr>
          <w:rFonts w:hint="eastAsia" w:cs="Arial"/>
          <w:color w:val="auto"/>
          <w:szCs w:val="21"/>
          <w:highlight w:val="none"/>
          <w:u w:val="single"/>
          <w:lang w:bidi="ar-SA"/>
        </w:rPr>
        <w:t>承包人必须在规定时间内进行相应的施工，不得影响小区居民的正常作息，不得扰民。</w:t>
      </w:r>
    </w:p>
    <w:p w14:paraId="27C110C5">
      <w:pPr>
        <w:spacing w:line="460" w:lineRule="exact"/>
        <w:ind w:firstLine="420" w:firstLineChars="200"/>
        <w:rPr>
          <w:color w:val="auto"/>
          <w:szCs w:val="21"/>
          <w:highlight w:val="none"/>
        </w:rPr>
      </w:pPr>
      <w:r>
        <w:rPr>
          <w:color w:val="auto"/>
          <w:szCs w:val="21"/>
          <w:highlight w:val="none"/>
        </w:rPr>
        <w:t xml:space="preserve">6.1.6 </w:t>
      </w:r>
      <w:r>
        <w:rPr>
          <w:rFonts w:hint="eastAsia"/>
          <w:color w:val="auto"/>
          <w:szCs w:val="21"/>
          <w:highlight w:val="none"/>
        </w:rPr>
        <w:t>关于安全文明施工费支付比例和支付期限的约定：</w:t>
      </w:r>
      <w:r>
        <w:rPr>
          <w:color w:val="auto"/>
          <w:szCs w:val="21"/>
          <w:highlight w:val="none"/>
          <w:u w:val="single"/>
        </w:rPr>
        <w:t xml:space="preserve">  </w:t>
      </w:r>
      <w:r>
        <w:rPr>
          <w:rFonts w:hint="eastAsia"/>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251F1332">
      <w:pPr>
        <w:spacing w:line="460" w:lineRule="exact"/>
        <w:ind w:firstLine="420" w:firstLineChars="200"/>
        <w:rPr>
          <w:color w:val="auto"/>
          <w:szCs w:val="21"/>
          <w:highlight w:val="none"/>
        </w:rPr>
      </w:pPr>
      <w:r>
        <w:rPr>
          <w:rFonts w:hint="eastAsia"/>
          <w:color w:val="auto"/>
          <w:szCs w:val="21"/>
          <w:highlight w:val="none"/>
        </w:rPr>
        <w:t>6.1.9安全生产责任</w:t>
      </w:r>
    </w:p>
    <w:p w14:paraId="7BB2E9BF">
      <w:pPr>
        <w:spacing w:line="460" w:lineRule="exact"/>
        <w:ind w:firstLine="420" w:firstLineChars="200"/>
        <w:rPr>
          <w:rFonts w:cs="Arial"/>
          <w:color w:val="auto"/>
          <w:szCs w:val="21"/>
          <w:highlight w:val="none"/>
          <w:u w:val="single"/>
          <w:lang w:bidi="ar-SA"/>
        </w:rPr>
      </w:pPr>
      <w:r>
        <w:rPr>
          <w:rFonts w:hint="eastAsia" w:cs="Arial"/>
          <w:color w:val="auto"/>
          <w:szCs w:val="21"/>
          <w:highlight w:val="none"/>
          <w:u w:val="single"/>
          <w:lang w:bidi="ar-SA"/>
        </w:rPr>
        <w:t>承包人应严格</w:t>
      </w:r>
      <w:r>
        <w:rPr>
          <w:rFonts w:hint="eastAsia" w:cs="Arial"/>
          <w:color w:val="auto"/>
          <w:szCs w:val="21"/>
          <w:highlight w:val="none"/>
          <w:u w:val="single"/>
          <w:lang w:eastAsia="zh-CN" w:bidi="ar-SA"/>
        </w:rPr>
        <w:t>按照</w:t>
      </w:r>
      <w:r>
        <w:rPr>
          <w:rFonts w:hint="eastAsia" w:cs="Arial"/>
          <w:color w:val="auto"/>
          <w:szCs w:val="21"/>
          <w:highlight w:val="none"/>
          <w:u w:val="single"/>
          <w:lang w:bidi="ar-SA"/>
        </w:rPr>
        <w:t>《建设工程安全生产管理条例》等法律、法规采取安全措施、组织施工，承包人须对本合同范围内所有施工范围和施工人员负全部安全施工责任。承包人应严格</w:t>
      </w:r>
      <w:r>
        <w:rPr>
          <w:rFonts w:hint="eastAsia" w:cs="Arial"/>
          <w:color w:val="auto"/>
          <w:szCs w:val="21"/>
          <w:highlight w:val="none"/>
          <w:u w:val="single"/>
          <w:lang w:eastAsia="zh-CN" w:bidi="ar-SA"/>
        </w:rPr>
        <w:t>按照</w:t>
      </w:r>
      <w:r>
        <w:rPr>
          <w:rFonts w:hint="eastAsia" w:cs="Arial"/>
          <w:color w:val="auto"/>
          <w:szCs w:val="21"/>
          <w:highlight w:val="none"/>
          <w:u w:val="single"/>
          <w:lang w:bidi="ar-SA"/>
        </w:rPr>
        <w:t>工程建设安全</w:t>
      </w:r>
      <w:r>
        <w:rPr>
          <w:rFonts w:hint="eastAsia" w:cs="Arial"/>
          <w:color w:val="auto"/>
          <w:szCs w:val="21"/>
          <w:highlight w:val="none"/>
          <w:u w:val="single"/>
          <w:lang w:eastAsia="zh-CN" w:bidi="ar-SA"/>
        </w:rPr>
        <w:t>生产</w:t>
      </w:r>
      <w:r>
        <w:rPr>
          <w:rFonts w:hint="eastAsia" w:cs="Arial"/>
          <w:color w:val="auto"/>
          <w:szCs w:val="21"/>
          <w:highlight w:val="none"/>
          <w:u w:val="single"/>
          <w:lang w:bidi="ar-SA"/>
        </w:rPr>
        <w:t>有关管理规定，采取安全措施组织施工。若发生安全事故，一切责任由承包方承担。</w:t>
      </w:r>
    </w:p>
    <w:p w14:paraId="3BF61D52">
      <w:pPr>
        <w:spacing w:line="460" w:lineRule="exact"/>
        <w:ind w:firstLine="459"/>
        <w:rPr>
          <w:rFonts w:cs="Arial"/>
          <w:color w:val="auto"/>
          <w:szCs w:val="21"/>
          <w:highlight w:val="none"/>
          <w:u w:val="single"/>
          <w:lang w:bidi="ar-SA"/>
        </w:rPr>
      </w:pPr>
      <w:r>
        <w:rPr>
          <w:rFonts w:hint="eastAsia" w:cs="Arial"/>
          <w:color w:val="auto"/>
          <w:szCs w:val="21"/>
          <w:highlight w:val="none"/>
          <w:u w:val="single"/>
          <w:lang w:bidi="ar-SA"/>
        </w:rPr>
        <w:t>承包人对因工程施工可能造成损害的毗邻建筑物、构筑物、高压管线和地下管线等，应当采取专项措施（专项措施方案需得到发包人确认）。承包人应当遵守有关环境保护法律、法规的规定，在施工现场采取措施，防止或减少粉尘、废气、废水、固体废物、噪声、振动和施工照明对人和环境的危害和污染。</w:t>
      </w:r>
    </w:p>
    <w:p w14:paraId="3D974C5B">
      <w:pPr>
        <w:spacing w:line="460" w:lineRule="exact"/>
        <w:ind w:firstLine="459"/>
        <w:rPr>
          <w:rFonts w:cs="Arial"/>
          <w:color w:val="auto"/>
          <w:szCs w:val="21"/>
          <w:highlight w:val="none"/>
          <w:u w:val="single"/>
          <w:lang w:bidi="ar-SA"/>
        </w:rPr>
      </w:pPr>
      <w:r>
        <w:rPr>
          <w:rFonts w:hint="eastAsia" w:cs="Arial"/>
          <w:color w:val="auto"/>
          <w:szCs w:val="21"/>
          <w:highlight w:val="none"/>
          <w:u w:val="single"/>
          <w:lang w:bidi="ar-SA"/>
        </w:rPr>
        <w:t>承包人必须建立完善的消防管理制度，并有专人负责现场的消防管理，施工现场须配备足够的消防器材，满足消防要求。承包人应当在施工现场建立消防安全责任制，确定消防安全责任人，制定用火、用电，使用易燃易爆材料等各项消防安全管理制度和操作规程，设置消防通道、消防水源，配备消防设施和灭火器材，并在施工现场设置明显标志。</w:t>
      </w:r>
    </w:p>
    <w:bookmarkEnd w:id="155"/>
    <w:bookmarkEnd w:id="156"/>
    <w:bookmarkEnd w:id="157"/>
    <w:bookmarkEnd w:id="158"/>
    <w:bookmarkEnd w:id="159"/>
    <w:bookmarkEnd w:id="160"/>
    <w:bookmarkEnd w:id="161"/>
    <w:p w14:paraId="3D2BF09D">
      <w:pPr>
        <w:keepNext/>
        <w:keepLines/>
        <w:widowControl w:val="0"/>
        <w:adjustRightInd w:val="0"/>
        <w:spacing w:before="120" w:after="120" w:line="460" w:lineRule="exact"/>
        <w:textAlignment w:val="baseline"/>
        <w:outlineLvl w:val="3"/>
        <w:rPr>
          <w:b/>
          <w:color w:val="auto"/>
          <w:szCs w:val="21"/>
          <w:highlight w:val="none"/>
        </w:rPr>
      </w:pPr>
      <w:bookmarkStart w:id="163" w:name="_Toc351203639"/>
      <w:r>
        <w:rPr>
          <w:b/>
          <w:color w:val="auto"/>
          <w:szCs w:val="21"/>
          <w:highlight w:val="none"/>
        </w:rPr>
        <w:t xml:space="preserve">7. </w:t>
      </w:r>
      <w:r>
        <w:rPr>
          <w:rFonts w:hint="eastAsia"/>
          <w:b/>
          <w:color w:val="auto"/>
          <w:szCs w:val="21"/>
          <w:highlight w:val="none"/>
        </w:rPr>
        <w:t>工期和进度</w:t>
      </w:r>
      <w:bookmarkEnd w:id="163"/>
    </w:p>
    <w:p w14:paraId="3BFFA02B">
      <w:pPr>
        <w:spacing w:line="460" w:lineRule="exact"/>
        <w:ind w:firstLine="420" w:firstLineChars="200"/>
        <w:rPr>
          <w:color w:val="auto"/>
          <w:szCs w:val="21"/>
          <w:highlight w:val="none"/>
        </w:rPr>
      </w:pPr>
      <w:r>
        <w:rPr>
          <w:color w:val="auto"/>
          <w:szCs w:val="21"/>
          <w:highlight w:val="none"/>
        </w:rPr>
        <w:t xml:space="preserve">7.1 </w:t>
      </w:r>
      <w:r>
        <w:rPr>
          <w:rFonts w:hint="eastAsia"/>
          <w:color w:val="auto"/>
          <w:szCs w:val="21"/>
          <w:highlight w:val="none"/>
        </w:rPr>
        <w:t>施工组织设计</w:t>
      </w:r>
    </w:p>
    <w:p w14:paraId="31DF33E8">
      <w:pPr>
        <w:spacing w:line="460" w:lineRule="exact"/>
        <w:ind w:firstLine="420" w:firstLineChars="200"/>
        <w:rPr>
          <w:color w:val="auto"/>
          <w:szCs w:val="21"/>
          <w:highlight w:val="none"/>
        </w:rPr>
      </w:pPr>
      <w:r>
        <w:rPr>
          <w:color w:val="auto"/>
          <w:szCs w:val="21"/>
          <w:highlight w:val="none"/>
        </w:rPr>
        <w:t xml:space="preserve">7.1.1 </w:t>
      </w:r>
      <w:r>
        <w:rPr>
          <w:rFonts w:hint="eastAsia"/>
          <w:color w:val="auto"/>
          <w:szCs w:val="21"/>
          <w:highlight w:val="none"/>
        </w:rPr>
        <w:t>合同当事人约定的施工组织设计应包括的其他内容：</w:t>
      </w:r>
      <w:r>
        <w:rPr>
          <w:rFonts w:hint="eastAsia"/>
          <w:color w:val="auto"/>
          <w:spacing w:val="-2"/>
          <w:szCs w:val="21"/>
          <w:highlight w:val="none"/>
          <w:u w:val="single"/>
        </w:rPr>
        <w:t>承包人在开工前必须提交详细的施工组织设计，报发包人及总监审批，施工组织设计经发包人及监理认可后方可开工。施工组织设计将作为工程款支付的参考依据之一</w:t>
      </w:r>
      <w:r>
        <w:rPr>
          <w:color w:val="auto"/>
          <w:szCs w:val="21"/>
          <w:highlight w:val="none"/>
          <w:u w:val="single"/>
        </w:rPr>
        <w:t xml:space="preserve">  </w:t>
      </w:r>
      <w:r>
        <w:rPr>
          <w:rFonts w:hint="eastAsia"/>
          <w:color w:val="auto"/>
          <w:szCs w:val="21"/>
          <w:highlight w:val="none"/>
        </w:rPr>
        <w:t>。</w:t>
      </w:r>
    </w:p>
    <w:p w14:paraId="252A0F16">
      <w:pPr>
        <w:autoSpaceDE w:val="0"/>
        <w:autoSpaceDN w:val="0"/>
        <w:adjustRightInd w:val="0"/>
        <w:spacing w:line="460" w:lineRule="exact"/>
        <w:ind w:firstLine="420" w:firstLineChars="200"/>
        <w:rPr>
          <w:color w:val="auto"/>
          <w:szCs w:val="21"/>
          <w:highlight w:val="none"/>
        </w:rPr>
      </w:pPr>
      <w:r>
        <w:rPr>
          <w:color w:val="auto"/>
          <w:szCs w:val="21"/>
          <w:highlight w:val="none"/>
        </w:rPr>
        <w:t xml:space="preserve">7.1.2 </w:t>
      </w:r>
      <w:r>
        <w:rPr>
          <w:rFonts w:hint="eastAsia"/>
          <w:color w:val="auto"/>
          <w:szCs w:val="21"/>
          <w:highlight w:val="none"/>
        </w:rPr>
        <w:t>施工组织设计的提交和修改</w:t>
      </w:r>
    </w:p>
    <w:p w14:paraId="42998A4B">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承包人提交详细施工组织设计的期限的约定：</w:t>
      </w:r>
      <w:r>
        <w:rPr>
          <w:color w:val="auto"/>
          <w:szCs w:val="21"/>
          <w:highlight w:val="none"/>
          <w:u w:val="single"/>
        </w:rPr>
        <w:t xml:space="preserve">    </w:t>
      </w:r>
      <w:r>
        <w:rPr>
          <w:rFonts w:hint="eastAsia"/>
          <w:b/>
          <w:color w:val="auto"/>
          <w:szCs w:val="21"/>
          <w:highlight w:val="none"/>
          <w:u w:val="single"/>
        </w:rPr>
        <w:t>开工前3天</w:t>
      </w:r>
      <w:r>
        <w:rPr>
          <w:color w:val="auto"/>
          <w:szCs w:val="21"/>
          <w:highlight w:val="none"/>
          <w:u w:val="single"/>
        </w:rPr>
        <w:t xml:space="preserve">    </w:t>
      </w:r>
      <w:r>
        <w:rPr>
          <w:rFonts w:hint="eastAsia"/>
          <w:color w:val="auto"/>
          <w:szCs w:val="21"/>
          <w:highlight w:val="none"/>
        </w:rPr>
        <w:t>。</w:t>
      </w:r>
    </w:p>
    <w:p w14:paraId="0FCB1517">
      <w:pPr>
        <w:spacing w:line="460" w:lineRule="exact"/>
        <w:ind w:firstLine="420" w:firstLineChars="200"/>
        <w:rPr>
          <w:color w:val="auto"/>
          <w:szCs w:val="21"/>
          <w:highlight w:val="none"/>
        </w:rPr>
      </w:pPr>
      <w:r>
        <w:rPr>
          <w:rFonts w:hint="eastAsia"/>
          <w:color w:val="auto"/>
          <w:szCs w:val="21"/>
          <w:highlight w:val="none"/>
        </w:rPr>
        <w:t>承包人编制的进度计划中应明确各分部完成的具体时间，关键线路，劳动力动态变化图等。发包人或监理每天记录施工人数，实际施工人数小于计划人数时，承包人按所缺人数向发包人支付违约金5</w:t>
      </w:r>
      <w:r>
        <w:rPr>
          <w:color w:val="auto"/>
          <w:szCs w:val="21"/>
          <w:highlight w:val="none"/>
        </w:rPr>
        <w:t>00</w:t>
      </w:r>
      <w:r>
        <w:rPr>
          <w:rFonts w:hint="eastAsia"/>
          <w:color w:val="auto"/>
          <w:szCs w:val="21"/>
          <w:highlight w:val="none"/>
        </w:rPr>
        <w:t>元</w:t>
      </w:r>
      <w:r>
        <w:rPr>
          <w:color w:val="auto"/>
          <w:szCs w:val="21"/>
          <w:highlight w:val="none"/>
        </w:rPr>
        <w:t>/</w:t>
      </w:r>
      <w:r>
        <w:rPr>
          <w:rFonts w:hint="eastAsia"/>
          <w:color w:val="auto"/>
          <w:szCs w:val="21"/>
          <w:highlight w:val="none"/>
        </w:rPr>
        <w:t>人·天。</w:t>
      </w:r>
    </w:p>
    <w:p w14:paraId="4C16116E">
      <w:pPr>
        <w:spacing w:line="460" w:lineRule="exact"/>
        <w:ind w:firstLine="420" w:firstLineChars="200"/>
        <w:rPr>
          <w:color w:val="auto"/>
          <w:szCs w:val="21"/>
          <w:highlight w:val="none"/>
        </w:rPr>
      </w:pPr>
      <w:r>
        <w:rPr>
          <w:rFonts w:hint="eastAsia"/>
          <w:color w:val="auto"/>
          <w:szCs w:val="21"/>
          <w:highlight w:val="none"/>
        </w:rPr>
        <w:t>实际进度滞后计划进度时，承包人在接到监理通知单后，必须落实纠偏调整措施并认真实施，否则向发包人支付违约金20</w:t>
      </w:r>
      <w:r>
        <w:rPr>
          <w:color w:val="auto"/>
          <w:szCs w:val="21"/>
          <w:highlight w:val="none"/>
        </w:rPr>
        <w:t>00</w:t>
      </w:r>
      <w:r>
        <w:rPr>
          <w:rFonts w:hint="eastAsia"/>
          <w:color w:val="auto"/>
          <w:szCs w:val="21"/>
          <w:highlight w:val="none"/>
        </w:rPr>
        <w:t>元</w:t>
      </w:r>
      <w:r>
        <w:rPr>
          <w:color w:val="auto"/>
          <w:szCs w:val="21"/>
          <w:highlight w:val="none"/>
        </w:rPr>
        <w:t>/</w:t>
      </w:r>
      <w:r>
        <w:rPr>
          <w:rFonts w:hint="eastAsia"/>
          <w:color w:val="auto"/>
          <w:szCs w:val="21"/>
          <w:highlight w:val="none"/>
        </w:rPr>
        <w:t>次。</w:t>
      </w:r>
    </w:p>
    <w:p w14:paraId="4B75417A">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实际进度严重滞后进度计划明显不满足工期要求时，则工期保证金不予退还。</w:t>
      </w:r>
    </w:p>
    <w:p w14:paraId="5C0A16D5">
      <w:pPr>
        <w:spacing w:line="460" w:lineRule="exact"/>
        <w:ind w:firstLine="420" w:firstLineChars="200"/>
        <w:rPr>
          <w:color w:val="auto"/>
          <w:szCs w:val="21"/>
          <w:highlight w:val="none"/>
        </w:rPr>
      </w:pPr>
      <w:r>
        <w:rPr>
          <w:rFonts w:hint="eastAsia"/>
          <w:color w:val="auto"/>
          <w:szCs w:val="21"/>
          <w:highlight w:val="none"/>
        </w:rPr>
        <w:t>发包人和监理人在收到详细的施工组织设计后确认或提出修改意见的期限：</w:t>
      </w:r>
      <w:r>
        <w:rPr>
          <w:rFonts w:hint="eastAsia"/>
          <w:b/>
          <w:color w:val="auto"/>
          <w:szCs w:val="21"/>
          <w:highlight w:val="none"/>
          <w:u w:val="single"/>
        </w:rPr>
        <w:t>收到后3天内</w:t>
      </w:r>
      <w:r>
        <w:rPr>
          <w:color w:val="auto"/>
          <w:szCs w:val="21"/>
          <w:highlight w:val="none"/>
          <w:u w:val="single"/>
        </w:rPr>
        <w:t xml:space="preserve">   </w:t>
      </w:r>
      <w:r>
        <w:rPr>
          <w:rFonts w:hint="eastAsia"/>
          <w:color w:val="auto"/>
          <w:szCs w:val="21"/>
          <w:highlight w:val="none"/>
        </w:rPr>
        <w:t>。</w:t>
      </w:r>
    </w:p>
    <w:p w14:paraId="4A4AE90B">
      <w:pPr>
        <w:spacing w:line="460" w:lineRule="exact"/>
        <w:ind w:firstLine="420" w:firstLineChars="200"/>
        <w:rPr>
          <w:color w:val="auto"/>
          <w:szCs w:val="21"/>
          <w:highlight w:val="none"/>
        </w:rPr>
      </w:pPr>
      <w:r>
        <w:rPr>
          <w:color w:val="auto"/>
          <w:szCs w:val="21"/>
          <w:highlight w:val="none"/>
        </w:rPr>
        <w:t>7</w:t>
      </w:r>
      <w:bookmarkStart w:id="164" w:name="_Toc312677479"/>
      <w:bookmarkStart w:id="165" w:name="_Toc304295541"/>
      <w:bookmarkStart w:id="166" w:name="_Toc297123514"/>
      <w:bookmarkStart w:id="167" w:name="_Toc300934966"/>
      <w:bookmarkStart w:id="168" w:name="_Toc303539123"/>
      <w:bookmarkStart w:id="169" w:name="_Toc312678005"/>
      <w:bookmarkStart w:id="170" w:name="_Toc297216173"/>
      <w:r>
        <w:rPr>
          <w:color w:val="auto"/>
          <w:szCs w:val="21"/>
          <w:highlight w:val="none"/>
        </w:rPr>
        <w:t xml:space="preserve">.2 </w:t>
      </w:r>
      <w:r>
        <w:rPr>
          <w:rFonts w:hint="eastAsia"/>
          <w:color w:val="auto"/>
          <w:szCs w:val="21"/>
          <w:highlight w:val="none"/>
        </w:rPr>
        <w:t>施工进度计划</w:t>
      </w:r>
    </w:p>
    <w:p w14:paraId="4360A4C1">
      <w:pPr>
        <w:spacing w:line="460" w:lineRule="exact"/>
        <w:ind w:firstLine="420" w:firstLineChars="200"/>
        <w:rPr>
          <w:color w:val="auto"/>
          <w:szCs w:val="21"/>
          <w:highlight w:val="none"/>
        </w:rPr>
      </w:pPr>
      <w:r>
        <w:rPr>
          <w:color w:val="auto"/>
          <w:szCs w:val="21"/>
          <w:highlight w:val="none"/>
        </w:rPr>
        <w:t xml:space="preserve">7.2.2 </w:t>
      </w:r>
      <w:r>
        <w:rPr>
          <w:rFonts w:hint="eastAsia"/>
          <w:color w:val="auto"/>
          <w:szCs w:val="21"/>
          <w:highlight w:val="none"/>
        </w:rPr>
        <w:t>施工进度计划的修订</w:t>
      </w:r>
    </w:p>
    <w:p w14:paraId="1FEC1ACE">
      <w:pPr>
        <w:spacing w:line="460" w:lineRule="exact"/>
        <w:ind w:firstLine="420" w:firstLineChars="200"/>
        <w:rPr>
          <w:color w:val="auto"/>
          <w:szCs w:val="21"/>
          <w:highlight w:val="none"/>
          <w:u w:val="single"/>
        </w:rPr>
      </w:pPr>
      <w:r>
        <w:rPr>
          <w:color w:val="auto"/>
          <w:szCs w:val="21"/>
          <w:highlight w:val="none"/>
        </w:rPr>
        <w:t>发包人和监理人在收到</w:t>
      </w:r>
      <w:r>
        <w:rPr>
          <w:rFonts w:hint="eastAsia"/>
          <w:color w:val="auto"/>
          <w:szCs w:val="21"/>
          <w:highlight w:val="none"/>
        </w:rPr>
        <w:t>详细的施工组织设计</w:t>
      </w:r>
      <w:r>
        <w:rPr>
          <w:color w:val="auto"/>
          <w:szCs w:val="21"/>
          <w:highlight w:val="none"/>
        </w:rPr>
        <w:t>后确认或提出修改意见的期限：</w:t>
      </w:r>
      <w:r>
        <w:rPr>
          <w:rFonts w:hint="eastAsia"/>
          <w:color w:val="auto"/>
          <w:szCs w:val="21"/>
          <w:highlight w:val="none"/>
          <w:u w:val="single"/>
        </w:rPr>
        <w:t>收到施工组织设计（施工方案）和进度计划后</w:t>
      </w:r>
      <w:r>
        <w:rPr>
          <w:color w:val="auto"/>
          <w:szCs w:val="21"/>
          <w:highlight w:val="none"/>
          <w:u w:val="single"/>
        </w:rPr>
        <w:t>3</w:t>
      </w:r>
      <w:r>
        <w:rPr>
          <w:rFonts w:hint="eastAsia"/>
          <w:color w:val="auto"/>
          <w:szCs w:val="21"/>
          <w:highlight w:val="none"/>
          <w:u w:val="single"/>
        </w:rPr>
        <w:t>日内予以确认或提出修改意见，逾期视为已确认。</w:t>
      </w:r>
    </w:p>
    <w:p w14:paraId="0A65612F">
      <w:pPr>
        <w:spacing w:line="460" w:lineRule="exact"/>
        <w:ind w:firstLine="420" w:firstLineChars="200"/>
        <w:rPr>
          <w:color w:val="auto"/>
          <w:szCs w:val="21"/>
          <w:highlight w:val="none"/>
        </w:rPr>
      </w:pPr>
      <w:r>
        <w:rPr>
          <w:color w:val="auto"/>
          <w:szCs w:val="21"/>
          <w:highlight w:val="none"/>
        </w:rPr>
        <w:t xml:space="preserve">7.3 </w:t>
      </w:r>
      <w:r>
        <w:rPr>
          <w:rFonts w:hint="eastAsia"/>
          <w:color w:val="auto"/>
          <w:szCs w:val="21"/>
          <w:highlight w:val="none"/>
        </w:rPr>
        <w:t>开工</w:t>
      </w:r>
    </w:p>
    <w:p w14:paraId="3C0071B0">
      <w:pPr>
        <w:spacing w:line="460" w:lineRule="exact"/>
        <w:ind w:firstLine="420" w:firstLineChars="200"/>
        <w:rPr>
          <w:color w:val="auto"/>
          <w:szCs w:val="21"/>
          <w:highlight w:val="none"/>
        </w:rPr>
      </w:pPr>
      <w:r>
        <w:rPr>
          <w:color w:val="auto"/>
          <w:szCs w:val="21"/>
          <w:highlight w:val="none"/>
        </w:rPr>
        <w:t xml:space="preserve">7.3.1 </w:t>
      </w:r>
      <w:r>
        <w:rPr>
          <w:rFonts w:hint="eastAsia"/>
          <w:color w:val="auto"/>
          <w:szCs w:val="21"/>
          <w:highlight w:val="none"/>
        </w:rPr>
        <w:t>开工准备</w:t>
      </w:r>
    </w:p>
    <w:p w14:paraId="5344740F">
      <w:pPr>
        <w:spacing w:line="460" w:lineRule="exact"/>
        <w:ind w:firstLine="420" w:firstLineChars="200"/>
        <w:rPr>
          <w:color w:val="auto"/>
          <w:szCs w:val="21"/>
          <w:highlight w:val="none"/>
          <w:u w:val="single"/>
        </w:rPr>
      </w:pPr>
      <w:r>
        <w:rPr>
          <w:rFonts w:hint="eastAsia"/>
          <w:color w:val="auto"/>
          <w:szCs w:val="21"/>
          <w:highlight w:val="none"/>
        </w:rPr>
        <w:t>关于承包人提交工程开工报审表的期限：</w:t>
      </w:r>
      <w:r>
        <w:rPr>
          <w:color w:val="auto"/>
          <w:szCs w:val="21"/>
          <w:highlight w:val="none"/>
          <w:u w:val="single"/>
        </w:rPr>
        <w:t xml:space="preserve">   </w:t>
      </w:r>
      <w:r>
        <w:rPr>
          <w:rFonts w:hint="eastAsia"/>
          <w:b/>
          <w:color w:val="auto"/>
          <w:szCs w:val="21"/>
          <w:highlight w:val="none"/>
          <w:u w:val="single"/>
        </w:rPr>
        <w:t>合同签订后3天内</w:t>
      </w:r>
      <w:r>
        <w:rPr>
          <w:color w:val="auto"/>
          <w:szCs w:val="21"/>
          <w:highlight w:val="none"/>
          <w:u w:val="single"/>
        </w:rPr>
        <w:t xml:space="preserve">  </w:t>
      </w:r>
      <w:r>
        <w:rPr>
          <w:rFonts w:hint="eastAsia"/>
          <w:color w:val="auto"/>
          <w:szCs w:val="21"/>
          <w:highlight w:val="none"/>
        </w:rPr>
        <w:t>。</w:t>
      </w:r>
    </w:p>
    <w:p w14:paraId="04DC209B">
      <w:pPr>
        <w:spacing w:line="460" w:lineRule="exact"/>
        <w:ind w:firstLine="420" w:firstLineChars="200"/>
        <w:rPr>
          <w:color w:val="auto"/>
          <w:szCs w:val="21"/>
          <w:highlight w:val="none"/>
        </w:rPr>
      </w:pPr>
      <w:r>
        <w:rPr>
          <w:rFonts w:hint="eastAsia"/>
          <w:color w:val="auto"/>
          <w:szCs w:val="21"/>
          <w:highlight w:val="none"/>
        </w:rPr>
        <w:t>关于发包人应完成的其他开工准备工作及期限：</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2485A118">
      <w:pPr>
        <w:spacing w:line="460" w:lineRule="exact"/>
        <w:ind w:firstLine="420" w:firstLineChars="200"/>
        <w:rPr>
          <w:color w:val="auto"/>
          <w:szCs w:val="21"/>
          <w:highlight w:val="none"/>
        </w:rPr>
      </w:pPr>
      <w:r>
        <w:rPr>
          <w:rFonts w:hint="eastAsia"/>
          <w:color w:val="auto"/>
          <w:szCs w:val="21"/>
          <w:highlight w:val="none"/>
        </w:rPr>
        <w:t>关于承包人应完成的其他开工准备工作及期限：</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5BADEE7F">
      <w:pPr>
        <w:spacing w:line="460" w:lineRule="exact"/>
        <w:ind w:firstLine="420" w:firstLineChars="200"/>
        <w:rPr>
          <w:color w:val="auto"/>
          <w:szCs w:val="21"/>
          <w:highlight w:val="none"/>
        </w:rPr>
      </w:pPr>
      <w:r>
        <w:rPr>
          <w:color w:val="auto"/>
          <w:szCs w:val="21"/>
          <w:highlight w:val="none"/>
        </w:rPr>
        <w:t>7.3.2</w:t>
      </w:r>
      <w:r>
        <w:rPr>
          <w:rFonts w:hint="eastAsia"/>
          <w:color w:val="auto"/>
          <w:szCs w:val="21"/>
          <w:highlight w:val="none"/>
        </w:rPr>
        <w:t>开工通知</w:t>
      </w:r>
    </w:p>
    <w:p w14:paraId="052E6BC0">
      <w:pPr>
        <w:spacing w:line="460" w:lineRule="exact"/>
        <w:ind w:firstLine="420" w:firstLineChars="200"/>
        <w:rPr>
          <w:color w:val="auto"/>
          <w:szCs w:val="21"/>
          <w:highlight w:val="none"/>
        </w:rPr>
      </w:pPr>
      <w:r>
        <w:rPr>
          <w:rFonts w:hint="eastAsia"/>
          <w:color w:val="auto"/>
          <w:szCs w:val="21"/>
          <w:highlight w:val="none"/>
        </w:rPr>
        <w:t>因发包人原因造成监理人未能在计划开工日期之日起</w:t>
      </w:r>
      <w:r>
        <w:rPr>
          <w:color w:val="auto"/>
          <w:szCs w:val="21"/>
          <w:highlight w:val="none"/>
          <w:u w:val="single"/>
        </w:rPr>
        <w:t xml:space="preserve"> </w:t>
      </w:r>
      <w:r>
        <w:rPr>
          <w:rFonts w:hint="eastAsia"/>
          <w:color w:val="auto"/>
          <w:szCs w:val="21"/>
          <w:highlight w:val="none"/>
          <w:u w:val="single"/>
        </w:rPr>
        <w:t>90</w:t>
      </w:r>
      <w:r>
        <w:rPr>
          <w:color w:val="auto"/>
          <w:szCs w:val="21"/>
          <w:highlight w:val="none"/>
          <w:u w:val="single"/>
        </w:rPr>
        <w:t xml:space="preserve"> </w:t>
      </w:r>
      <w:r>
        <w:rPr>
          <w:rFonts w:hint="eastAsia"/>
          <w:color w:val="auto"/>
          <w:szCs w:val="21"/>
          <w:highlight w:val="none"/>
        </w:rPr>
        <w:t>天内发出开工通知的，承包人有权提出价格调整要求，或者解除合同。</w:t>
      </w:r>
    </w:p>
    <w:bookmarkEnd w:id="164"/>
    <w:bookmarkEnd w:id="165"/>
    <w:bookmarkEnd w:id="166"/>
    <w:bookmarkEnd w:id="167"/>
    <w:bookmarkEnd w:id="168"/>
    <w:bookmarkEnd w:id="169"/>
    <w:bookmarkEnd w:id="170"/>
    <w:p w14:paraId="0237E3E5">
      <w:pPr>
        <w:spacing w:line="460" w:lineRule="exact"/>
        <w:ind w:firstLine="420" w:firstLineChars="200"/>
        <w:rPr>
          <w:color w:val="auto"/>
          <w:szCs w:val="21"/>
          <w:highlight w:val="none"/>
        </w:rPr>
      </w:pPr>
      <w:r>
        <w:rPr>
          <w:color w:val="auto"/>
          <w:szCs w:val="21"/>
          <w:highlight w:val="none"/>
        </w:rPr>
        <w:t xml:space="preserve">7.4 </w:t>
      </w:r>
      <w:r>
        <w:rPr>
          <w:rFonts w:hint="eastAsia"/>
          <w:color w:val="auto"/>
          <w:szCs w:val="21"/>
          <w:highlight w:val="none"/>
        </w:rPr>
        <w:t>测量放线</w:t>
      </w:r>
    </w:p>
    <w:p w14:paraId="051AC541">
      <w:pPr>
        <w:spacing w:line="460" w:lineRule="exact"/>
        <w:ind w:firstLine="420" w:firstLineChars="200"/>
        <w:rPr>
          <w:color w:val="auto"/>
          <w:szCs w:val="21"/>
          <w:highlight w:val="none"/>
          <w:u w:val="single"/>
        </w:rPr>
      </w:pPr>
      <w:r>
        <w:rPr>
          <w:color w:val="auto"/>
          <w:szCs w:val="21"/>
          <w:highlight w:val="none"/>
        </w:rPr>
        <w:t>7.4.1</w:t>
      </w:r>
      <w:r>
        <w:rPr>
          <w:rFonts w:hint="eastAsia"/>
          <w:color w:val="auto"/>
          <w:szCs w:val="21"/>
          <w:highlight w:val="none"/>
        </w:rPr>
        <w:t>发包人通过监理人向承包人提供测量基准点、基准线和水准点及其书面资料的期限：</w:t>
      </w:r>
      <w:r>
        <w:rPr>
          <w:rFonts w:hint="eastAsia" w:cs="Arial"/>
          <w:color w:val="auto"/>
          <w:szCs w:val="21"/>
          <w:highlight w:val="none"/>
          <w:u w:val="single"/>
          <w:lang w:bidi="ar-SA"/>
        </w:rPr>
        <w:t>以书面形式交给承包人，并于开工前进行现场交验</w:t>
      </w:r>
      <w:r>
        <w:rPr>
          <w:rFonts w:hint="eastAsia"/>
          <w:color w:val="auto"/>
          <w:szCs w:val="21"/>
          <w:highlight w:val="none"/>
          <w:u w:val="single"/>
        </w:rPr>
        <w:t xml:space="preserve">  </w:t>
      </w:r>
      <w:r>
        <w:rPr>
          <w:rFonts w:hint="eastAsia"/>
          <w:color w:val="auto"/>
          <w:szCs w:val="21"/>
          <w:highlight w:val="none"/>
        </w:rPr>
        <w:t>。</w:t>
      </w:r>
    </w:p>
    <w:p w14:paraId="2308B1DE">
      <w:pPr>
        <w:spacing w:line="460" w:lineRule="exact"/>
        <w:ind w:firstLine="420" w:firstLineChars="200"/>
        <w:rPr>
          <w:color w:val="auto"/>
          <w:szCs w:val="21"/>
          <w:highlight w:val="none"/>
        </w:rPr>
      </w:pPr>
      <w:r>
        <w:rPr>
          <w:color w:val="auto"/>
          <w:szCs w:val="21"/>
          <w:highlight w:val="none"/>
        </w:rPr>
        <w:t>7</w:t>
      </w:r>
      <w:bookmarkStart w:id="171" w:name="_Toc312678010"/>
      <w:bookmarkStart w:id="172" w:name="_Toc303539125"/>
      <w:bookmarkStart w:id="173" w:name="_Toc297123516"/>
      <w:bookmarkStart w:id="174" w:name="_Toc304295546"/>
      <w:bookmarkStart w:id="175" w:name="_Toc312677484"/>
      <w:bookmarkStart w:id="176" w:name="_Toc297216175"/>
      <w:bookmarkStart w:id="177" w:name="_Toc300934968"/>
      <w:r>
        <w:rPr>
          <w:color w:val="auto"/>
          <w:szCs w:val="21"/>
          <w:highlight w:val="none"/>
        </w:rPr>
        <w:t xml:space="preserve">.5 </w:t>
      </w:r>
      <w:r>
        <w:rPr>
          <w:rFonts w:hint="eastAsia"/>
          <w:color w:val="auto"/>
          <w:szCs w:val="21"/>
          <w:highlight w:val="none"/>
        </w:rPr>
        <w:t>工期延误</w:t>
      </w:r>
    </w:p>
    <w:bookmarkEnd w:id="171"/>
    <w:bookmarkEnd w:id="172"/>
    <w:bookmarkEnd w:id="173"/>
    <w:bookmarkEnd w:id="174"/>
    <w:bookmarkEnd w:id="175"/>
    <w:bookmarkEnd w:id="176"/>
    <w:bookmarkEnd w:id="177"/>
    <w:p w14:paraId="437FF463">
      <w:pPr>
        <w:numPr>
          <w:ilvl w:val="2"/>
          <w:numId w:val="3"/>
        </w:numPr>
        <w:spacing w:line="460" w:lineRule="exact"/>
        <w:rPr>
          <w:color w:val="auto"/>
          <w:szCs w:val="21"/>
          <w:highlight w:val="none"/>
        </w:rPr>
      </w:pPr>
      <w:r>
        <w:rPr>
          <w:rFonts w:hint="eastAsia"/>
          <w:color w:val="auto"/>
          <w:szCs w:val="21"/>
          <w:highlight w:val="none"/>
        </w:rPr>
        <w:t xml:space="preserve">因发包人原因导致工期延误 </w:t>
      </w:r>
    </w:p>
    <w:p w14:paraId="1A57A670">
      <w:pPr>
        <w:spacing w:line="460" w:lineRule="exact"/>
        <w:ind w:firstLine="420" w:firstLineChars="200"/>
        <w:rPr>
          <w:color w:val="auto"/>
          <w:szCs w:val="21"/>
          <w:highlight w:val="none"/>
          <w:u w:val="single"/>
        </w:rPr>
      </w:pPr>
      <w:r>
        <w:rPr>
          <w:rFonts w:hint="eastAsia"/>
          <w:color w:val="auto"/>
          <w:szCs w:val="21"/>
          <w:highlight w:val="none"/>
        </w:rPr>
        <w:t>因发包人原因导致工期延误的其他情形：</w:t>
      </w:r>
      <w:r>
        <w:rPr>
          <w:rFonts w:hint="eastAsia"/>
          <w:b/>
          <w:color w:val="auto"/>
          <w:szCs w:val="21"/>
          <w:highlight w:val="none"/>
          <w:u w:val="single"/>
        </w:rPr>
        <w:t xml:space="preserve">  </w:t>
      </w:r>
      <w:r>
        <w:rPr>
          <w:rFonts w:hint="eastAsia"/>
          <w:color w:val="auto"/>
          <w:szCs w:val="21"/>
          <w:highlight w:val="none"/>
          <w:u w:val="single"/>
        </w:rPr>
        <w:t>双方在确定竣工日期、施工工期及各控制点工期时，已充分考虑可能出现的各种形式的暴雨、台风、高温天气、停水、停电、节假日、扰民和</w:t>
      </w:r>
      <w:r>
        <w:rPr>
          <w:rFonts w:hint="eastAsia"/>
          <w:color w:val="auto"/>
          <w:szCs w:val="21"/>
          <w:highlight w:val="none"/>
          <w:u w:val="single"/>
          <w:lang w:eastAsia="zh-CN"/>
        </w:rPr>
        <w:t>扰民</w:t>
      </w:r>
      <w:r>
        <w:rPr>
          <w:rFonts w:hint="eastAsia"/>
          <w:color w:val="auto"/>
          <w:szCs w:val="21"/>
          <w:highlight w:val="none"/>
          <w:u w:val="single"/>
        </w:rPr>
        <w:t>、市政影响等不利因素及发包人分包工程的影响，因此施工过程中，除下列规定的情况外，不管发生任何情况，均不顺延工期。 A．发包人原因未在开工前提供施工场地，提供图纸的；B．因发包人原因造成工程延期开工、停建、缓建、暂停施工（不含勒令停工）C．因发包人原因提出的一次设计变更导致工程量增加超过合同总价的8%以上的；</w:t>
      </w:r>
      <w:r>
        <w:rPr>
          <w:rFonts w:hint="eastAsia"/>
          <w:bCs/>
          <w:color w:val="auto"/>
          <w:szCs w:val="21"/>
          <w:highlight w:val="none"/>
          <w:u w:val="single"/>
        </w:rPr>
        <w:t>D．由市级以上有关部门正式发布和认定的自然灾害。</w:t>
      </w:r>
    </w:p>
    <w:p w14:paraId="2499DA8A">
      <w:pPr>
        <w:spacing w:line="460" w:lineRule="exact"/>
        <w:ind w:firstLine="420" w:firstLineChars="200"/>
        <w:rPr>
          <w:color w:val="auto"/>
          <w:szCs w:val="21"/>
          <w:highlight w:val="none"/>
        </w:rPr>
      </w:pPr>
      <w:r>
        <w:rPr>
          <w:rFonts w:hint="eastAsia"/>
          <w:bCs/>
          <w:color w:val="auto"/>
          <w:szCs w:val="21"/>
          <w:highlight w:val="none"/>
          <w:u w:val="single"/>
        </w:rPr>
        <w:t>上述情况发生后，承包人需就延误的内容，向发包人提交书面报告，办理延期手续，经发包人批准后方可顺延工期</w:t>
      </w:r>
      <w:r>
        <w:rPr>
          <w:rFonts w:hint="eastAsia"/>
          <w:color w:val="auto"/>
          <w:szCs w:val="21"/>
          <w:highlight w:val="none"/>
          <w:u w:val="single"/>
        </w:rPr>
        <w:t>，否则工期不予顺延。</w:t>
      </w:r>
      <w:r>
        <w:rPr>
          <w:color w:val="auto"/>
          <w:szCs w:val="21"/>
          <w:highlight w:val="none"/>
          <w:u w:val="single"/>
        </w:rPr>
        <w:t xml:space="preserve"> </w:t>
      </w:r>
    </w:p>
    <w:p w14:paraId="4409BE4D">
      <w:pPr>
        <w:spacing w:line="460" w:lineRule="exact"/>
        <w:ind w:firstLine="420" w:firstLineChars="200"/>
        <w:rPr>
          <w:color w:val="auto"/>
          <w:szCs w:val="21"/>
          <w:highlight w:val="none"/>
        </w:rPr>
      </w:pPr>
      <w:r>
        <w:rPr>
          <w:color w:val="auto"/>
          <w:szCs w:val="21"/>
          <w:highlight w:val="none"/>
        </w:rPr>
        <w:t>7</w:t>
      </w:r>
      <w:bookmarkStart w:id="178" w:name="_Toc312678012"/>
      <w:bookmarkStart w:id="179" w:name="_Toc300934970"/>
      <w:bookmarkStart w:id="180" w:name="_Toc312677486"/>
      <w:bookmarkStart w:id="181" w:name="_Toc297123518"/>
      <w:bookmarkStart w:id="182" w:name="_Toc304295548"/>
      <w:bookmarkStart w:id="183" w:name="_Toc303539127"/>
      <w:bookmarkStart w:id="184" w:name="_Toc297216177"/>
      <w:bookmarkStart w:id="185" w:name="_Toc318581169"/>
      <w:r>
        <w:rPr>
          <w:color w:val="auto"/>
          <w:szCs w:val="21"/>
          <w:highlight w:val="none"/>
        </w:rPr>
        <w:t xml:space="preserve">.5.2 </w:t>
      </w:r>
      <w:r>
        <w:rPr>
          <w:rFonts w:hint="eastAsia"/>
          <w:color w:val="auto"/>
          <w:szCs w:val="21"/>
          <w:highlight w:val="none"/>
        </w:rPr>
        <w:t>因承包人原因导致工期延误</w:t>
      </w:r>
    </w:p>
    <w:bookmarkEnd w:id="178"/>
    <w:bookmarkEnd w:id="179"/>
    <w:bookmarkEnd w:id="180"/>
    <w:bookmarkEnd w:id="181"/>
    <w:bookmarkEnd w:id="182"/>
    <w:bookmarkEnd w:id="183"/>
    <w:bookmarkEnd w:id="184"/>
    <w:bookmarkEnd w:id="185"/>
    <w:p w14:paraId="1A389AEF">
      <w:pPr>
        <w:spacing w:line="460" w:lineRule="exact"/>
        <w:ind w:firstLine="420" w:firstLineChars="200"/>
        <w:rPr>
          <w:color w:val="auto"/>
          <w:szCs w:val="21"/>
          <w:highlight w:val="none"/>
          <w:u w:val="single"/>
        </w:rPr>
      </w:pPr>
      <w:r>
        <w:rPr>
          <w:color w:val="auto"/>
          <w:szCs w:val="21"/>
          <w:highlight w:val="none"/>
        </w:rPr>
        <w:t>因</w:t>
      </w:r>
      <w:bookmarkStart w:id="186" w:name="_Toc312678013"/>
      <w:bookmarkStart w:id="187" w:name="_Toc318581170"/>
      <w:bookmarkStart w:id="188" w:name="_Toc312677487"/>
      <w:r>
        <w:rPr>
          <w:color w:val="auto"/>
          <w:szCs w:val="21"/>
          <w:highlight w:val="none"/>
        </w:rPr>
        <w:t>承包人原因造成工期延误，逾期竣工违约金的计算方法为：</w:t>
      </w:r>
    </w:p>
    <w:bookmarkEnd w:id="186"/>
    <w:bookmarkEnd w:id="187"/>
    <w:bookmarkEnd w:id="188"/>
    <w:p w14:paraId="0F85EC8E">
      <w:pPr>
        <w:spacing w:line="460" w:lineRule="exact"/>
        <w:ind w:firstLine="420" w:firstLineChars="200"/>
        <w:rPr>
          <w:color w:val="auto"/>
          <w:szCs w:val="21"/>
          <w:highlight w:val="none"/>
          <w:u w:val="single"/>
        </w:rPr>
      </w:pPr>
      <w:r>
        <w:rPr>
          <w:color w:val="auto"/>
          <w:szCs w:val="21"/>
          <w:highlight w:val="none"/>
          <w:u w:val="single"/>
        </w:rPr>
        <w:t>因承包人原因延误工期，在规定的工期前未能完成，则除</w:t>
      </w:r>
      <w:r>
        <w:rPr>
          <w:rFonts w:hint="eastAsia"/>
          <w:color w:val="auto"/>
          <w:szCs w:val="21"/>
          <w:highlight w:val="none"/>
          <w:u w:val="single"/>
        </w:rPr>
        <w:t>履约</w:t>
      </w:r>
      <w:r>
        <w:rPr>
          <w:color w:val="auto"/>
          <w:szCs w:val="21"/>
          <w:highlight w:val="none"/>
          <w:u w:val="single"/>
        </w:rPr>
        <w:t>保证金</w:t>
      </w:r>
      <w:r>
        <w:rPr>
          <w:rFonts w:hint="eastAsia"/>
          <w:color w:val="auto"/>
          <w:szCs w:val="21"/>
          <w:highlight w:val="none"/>
          <w:u w:val="single"/>
        </w:rPr>
        <w:t>的20%</w:t>
      </w:r>
      <w:r>
        <w:rPr>
          <w:color w:val="auto"/>
          <w:szCs w:val="21"/>
          <w:highlight w:val="none"/>
          <w:u w:val="single"/>
        </w:rPr>
        <w:t>不予退还外，工期每推迟一天，</w:t>
      </w:r>
      <w:r>
        <w:rPr>
          <w:rFonts w:hint="eastAsia"/>
          <w:color w:val="auto"/>
          <w:szCs w:val="21"/>
          <w:highlight w:val="none"/>
          <w:u w:val="single"/>
        </w:rPr>
        <w:t>提交10</w:t>
      </w:r>
      <w:r>
        <w:rPr>
          <w:color w:val="auto"/>
          <w:szCs w:val="21"/>
          <w:highlight w:val="none"/>
          <w:u w:val="single"/>
        </w:rPr>
        <w:t>0</w:t>
      </w:r>
      <w:r>
        <w:rPr>
          <w:rFonts w:hint="eastAsia"/>
          <w:color w:val="auto"/>
          <w:szCs w:val="21"/>
          <w:highlight w:val="none"/>
          <w:u w:val="single"/>
        </w:rPr>
        <w:t>0</w:t>
      </w:r>
      <w:r>
        <w:rPr>
          <w:color w:val="auto"/>
          <w:szCs w:val="21"/>
          <w:highlight w:val="none"/>
          <w:u w:val="single"/>
        </w:rPr>
        <w:t>元</w:t>
      </w:r>
      <w:r>
        <w:rPr>
          <w:rFonts w:hint="eastAsia"/>
          <w:color w:val="auto"/>
          <w:szCs w:val="21"/>
          <w:highlight w:val="none"/>
          <w:u w:val="single"/>
        </w:rPr>
        <w:t>违约金给发包人，</w:t>
      </w:r>
      <w:r>
        <w:rPr>
          <w:color w:val="auto"/>
          <w:szCs w:val="21"/>
          <w:highlight w:val="none"/>
          <w:u w:val="single"/>
        </w:rPr>
        <w:t>工期推迟</w:t>
      </w:r>
      <w:r>
        <w:rPr>
          <w:rFonts w:hint="eastAsia"/>
          <w:color w:val="auto"/>
          <w:szCs w:val="21"/>
          <w:highlight w:val="none"/>
          <w:u w:val="single"/>
        </w:rPr>
        <w:t>超过7天，按每推迟一天，提交2000元违约金给发包人</w:t>
      </w:r>
      <w:r>
        <w:rPr>
          <w:color w:val="auto"/>
          <w:szCs w:val="21"/>
          <w:highlight w:val="none"/>
          <w:u w:val="single"/>
        </w:rPr>
        <w:t>；超过</w:t>
      </w:r>
      <w:r>
        <w:rPr>
          <w:rFonts w:hint="eastAsia"/>
          <w:color w:val="auto"/>
          <w:szCs w:val="21"/>
          <w:highlight w:val="none"/>
          <w:u w:val="single"/>
        </w:rPr>
        <w:t>15</w:t>
      </w:r>
      <w:r>
        <w:rPr>
          <w:color w:val="auto"/>
          <w:szCs w:val="21"/>
          <w:highlight w:val="none"/>
          <w:u w:val="single"/>
        </w:rPr>
        <w:t>天，发包人有权要求承包人清退出场，所完成的合格工程量按60%计算。其他按通用条款中约定的内容执</w:t>
      </w:r>
      <w:r>
        <w:rPr>
          <w:rFonts w:hint="eastAsia"/>
          <w:color w:val="auto"/>
          <w:szCs w:val="21"/>
          <w:highlight w:val="none"/>
          <w:u w:val="single"/>
        </w:rPr>
        <w:t>行。</w:t>
      </w:r>
    </w:p>
    <w:p w14:paraId="00D79B6C">
      <w:pPr>
        <w:spacing w:line="460" w:lineRule="exact"/>
        <w:ind w:firstLine="420" w:firstLineChars="200"/>
        <w:rPr>
          <w:color w:val="auto"/>
          <w:szCs w:val="21"/>
          <w:highlight w:val="none"/>
        </w:rPr>
      </w:pPr>
      <w:r>
        <w:rPr>
          <w:color w:val="auto"/>
          <w:szCs w:val="21"/>
          <w:highlight w:val="none"/>
        </w:rPr>
        <w:t>7</w:t>
      </w:r>
      <w:bookmarkStart w:id="189" w:name="_Toc312678015"/>
      <w:bookmarkStart w:id="190" w:name="_Toc303539128"/>
      <w:bookmarkStart w:id="191" w:name="_Toc300934971"/>
      <w:bookmarkStart w:id="192" w:name="_Toc297216178"/>
      <w:bookmarkStart w:id="193" w:name="_Toc297123519"/>
      <w:bookmarkStart w:id="194" w:name="_Toc304295549"/>
      <w:r>
        <w:rPr>
          <w:color w:val="auto"/>
          <w:szCs w:val="21"/>
          <w:highlight w:val="none"/>
        </w:rPr>
        <w:t xml:space="preserve">.6 </w:t>
      </w:r>
      <w:r>
        <w:rPr>
          <w:rFonts w:hint="eastAsia"/>
          <w:color w:val="auto"/>
          <w:szCs w:val="21"/>
          <w:highlight w:val="none"/>
        </w:rPr>
        <w:t>不</w:t>
      </w:r>
      <w:bookmarkEnd w:id="189"/>
      <w:bookmarkEnd w:id="190"/>
      <w:bookmarkEnd w:id="191"/>
      <w:bookmarkEnd w:id="192"/>
      <w:bookmarkEnd w:id="193"/>
      <w:bookmarkEnd w:id="194"/>
      <w:r>
        <w:rPr>
          <w:rFonts w:hint="eastAsia"/>
          <w:color w:val="auto"/>
          <w:szCs w:val="21"/>
          <w:highlight w:val="none"/>
        </w:rPr>
        <w:t>利物质条件</w:t>
      </w:r>
    </w:p>
    <w:p w14:paraId="3D55F27B">
      <w:pPr>
        <w:spacing w:line="460" w:lineRule="exact"/>
        <w:ind w:firstLine="315" w:firstLineChars="150"/>
        <w:rPr>
          <w:bCs/>
          <w:color w:val="auto"/>
          <w:szCs w:val="21"/>
          <w:highlight w:val="none"/>
          <w:u w:val="single"/>
        </w:rPr>
      </w:pPr>
      <w:bookmarkStart w:id="195" w:name="_Toc304295550"/>
      <w:bookmarkStart w:id="196" w:name="_Toc303539129"/>
      <w:bookmarkStart w:id="197" w:name="_Toc300934972"/>
      <w:bookmarkStart w:id="198" w:name="_Toc318581172"/>
      <w:bookmarkStart w:id="199" w:name="_Toc297123520"/>
      <w:bookmarkStart w:id="200" w:name="_Toc312678016"/>
      <w:bookmarkStart w:id="201" w:name="_Toc297216179"/>
      <w:r>
        <w:rPr>
          <w:rFonts w:hint="eastAsia"/>
          <w:color w:val="auto"/>
          <w:szCs w:val="21"/>
          <w:highlight w:val="none"/>
        </w:rPr>
        <w:t xml:space="preserve"> 不利物质条件的其他情形和有关约定：</w:t>
      </w:r>
      <w:r>
        <w:rPr>
          <w:rFonts w:hint="eastAsia"/>
          <w:b/>
          <w:bCs/>
          <w:color w:val="auto"/>
          <w:szCs w:val="21"/>
          <w:highlight w:val="none"/>
          <w:u w:val="single"/>
        </w:rPr>
        <w:t xml:space="preserve"> </w:t>
      </w:r>
      <w:r>
        <w:rPr>
          <w:rFonts w:hint="eastAsia"/>
          <w:bCs/>
          <w:color w:val="auto"/>
          <w:szCs w:val="21"/>
          <w:highlight w:val="none"/>
          <w:u w:val="single"/>
        </w:rPr>
        <w:t xml:space="preserve"> 双方在确定竣工日期、施工工期及各控制点工期时，已充分考虑可能出现的各种形式的雨雪、冰雹、台风、高温天气、低温天气、停水、停电、节假日、扰民和</w:t>
      </w:r>
      <w:r>
        <w:rPr>
          <w:rFonts w:hint="eastAsia"/>
          <w:bCs/>
          <w:color w:val="auto"/>
          <w:szCs w:val="21"/>
          <w:highlight w:val="none"/>
          <w:u w:val="single"/>
          <w:lang w:eastAsia="zh-CN"/>
        </w:rPr>
        <w:t>扰民</w:t>
      </w:r>
      <w:r>
        <w:rPr>
          <w:rFonts w:hint="eastAsia"/>
          <w:bCs/>
          <w:color w:val="auto"/>
          <w:szCs w:val="21"/>
          <w:highlight w:val="none"/>
          <w:u w:val="single"/>
        </w:rPr>
        <w:t>、市政影响、现场交叉施工等不利因素及发包人分包工程的影响，因此施工过程中除本合同7.5.1规定的情况外，不管发生任何情况，均不顺延工期。为体现承包人的合作诚意，承包人同意因发包人原因的工期顺延，承包人自愿放弃索赔的权利。</w:t>
      </w:r>
    </w:p>
    <w:bookmarkEnd w:id="195"/>
    <w:bookmarkEnd w:id="196"/>
    <w:bookmarkEnd w:id="197"/>
    <w:bookmarkEnd w:id="198"/>
    <w:bookmarkEnd w:id="199"/>
    <w:bookmarkEnd w:id="200"/>
    <w:bookmarkEnd w:id="201"/>
    <w:p w14:paraId="024E6182">
      <w:pPr>
        <w:spacing w:line="460" w:lineRule="exact"/>
        <w:ind w:firstLine="420" w:firstLineChars="200"/>
        <w:rPr>
          <w:color w:val="auto"/>
          <w:szCs w:val="21"/>
          <w:highlight w:val="none"/>
        </w:rPr>
      </w:pPr>
      <w:r>
        <w:rPr>
          <w:color w:val="auto"/>
          <w:szCs w:val="21"/>
          <w:highlight w:val="none"/>
        </w:rPr>
        <w:t>7</w:t>
      </w:r>
      <w:bookmarkStart w:id="202" w:name="_Toc303539130"/>
      <w:bookmarkStart w:id="203" w:name="_Toc297216180"/>
      <w:bookmarkStart w:id="204" w:name="_Toc297123521"/>
      <w:bookmarkStart w:id="205" w:name="_Toc312678017"/>
      <w:bookmarkStart w:id="206" w:name="_Toc304295551"/>
      <w:bookmarkStart w:id="207" w:name="_Toc300934973"/>
      <w:r>
        <w:rPr>
          <w:color w:val="auto"/>
          <w:szCs w:val="21"/>
          <w:highlight w:val="none"/>
        </w:rPr>
        <w:t>.7</w:t>
      </w:r>
      <w:r>
        <w:rPr>
          <w:rFonts w:hint="eastAsia"/>
          <w:color w:val="auto"/>
          <w:szCs w:val="21"/>
          <w:highlight w:val="none"/>
        </w:rPr>
        <w:t>异常恶劣的气候条件</w:t>
      </w:r>
    </w:p>
    <w:bookmarkEnd w:id="202"/>
    <w:bookmarkEnd w:id="203"/>
    <w:bookmarkEnd w:id="204"/>
    <w:bookmarkEnd w:id="205"/>
    <w:bookmarkEnd w:id="206"/>
    <w:bookmarkEnd w:id="207"/>
    <w:p w14:paraId="6552643E">
      <w:pPr>
        <w:spacing w:line="460" w:lineRule="exact"/>
        <w:ind w:firstLine="420" w:firstLineChars="200"/>
        <w:rPr>
          <w:color w:val="auto"/>
          <w:szCs w:val="21"/>
          <w:highlight w:val="none"/>
        </w:rPr>
      </w:pPr>
      <w:r>
        <w:rPr>
          <w:rFonts w:hint="eastAsia"/>
          <w:color w:val="auto"/>
          <w:szCs w:val="21"/>
          <w:highlight w:val="none"/>
        </w:rPr>
        <w:t>发包人和承包人同意以下情形视为异常恶劣的气候条件：</w:t>
      </w:r>
      <w:r>
        <w:rPr>
          <w:color w:val="auto"/>
          <w:szCs w:val="21"/>
          <w:highlight w:val="none"/>
        </w:rPr>
        <w:t xml:space="preserve">   </w:t>
      </w:r>
      <w:r>
        <w:rPr>
          <w:rFonts w:hint="eastAsia"/>
          <w:color w:val="auto"/>
          <w:szCs w:val="21"/>
          <w:highlight w:val="none"/>
        </w:rPr>
        <w:t>/</w:t>
      </w:r>
      <w:r>
        <w:rPr>
          <w:color w:val="auto"/>
          <w:szCs w:val="21"/>
          <w:highlight w:val="none"/>
        </w:rPr>
        <w:t xml:space="preserve">   </w:t>
      </w:r>
      <w:r>
        <w:rPr>
          <w:rFonts w:hint="eastAsia"/>
          <w:color w:val="auto"/>
          <w:szCs w:val="21"/>
          <w:highlight w:val="none"/>
        </w:rPr>
        <w:t>；</w:t>
      </w:r>
    </w:p>
    <w:p w14:paraId="1DCB0B79">
      <w:pPr>
        <w:spacing w:line="460" w:lineRule="exact"/>
        <w:ind w:firstLine="420" w:firstLineChars="200"/>
        <w:rPr>
          <w:color w:val="auto"/>
          <w:szCs w:val="21"/>
          <w:highlight w:val="none"/>
        </w:rPr>
      </w:pPr>
      <w:r>
        <w:rPr>
          <w:color w:val="auto"/>
          <w:szCs w:val="21"/>
          <w:highlight w:val="none"/>
        </w:rPr>
        <w:t xml:space="preserve">7.9 </w:t>
      </w:r>
      <w:r>
        <w:rPr>
          <w:rFonts w:hint="eastAsia"/>
          <w:color w:val="auto"/>
          <w:szCs w:val="21"/>
          <w:highlight w:val="none"/>
        </w:rPr>
        <w:t>提前竣工的奖励</w:t>
      </w:r>
    </w:p>
    <w:p w14:paraId="23B3AEDE">
      <w:pPr>
        <w:spacing w:line="460" w:lineRule="exact"/>
        <w:ind w:firstLine="420" w:firstLineChars="200"/>
        <w:rPr>
          <w:color w:val="auto"/>
          <w:szCs w:val="21"/>
          <w:highlight w:val="none"/>
        </w:rPr>
      </w:pPr>
      <w:r>
        <w:rPr>
          <w:color w:val="auto"/>
          <w:szCs w:val="21"/>
          <w:highlight w:val="none"/>
        </w:rPr>
        <w:t>7.9.2</w:t>
      </w:r>
      <w:r>
        <w:rPr>
          <w:rFonts w:hint="eastAsia"/>
          <w:color w:val="auto"/>
          <w:szCs w:val="21"/>
          <w:highlight w:val="none"/>
        </w:rPr>
        <w:t>提前竣工的奖励：</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3A9A67C">
      <w:pPr>
        <w:keepNext/>
        <w:keepLines/>
        <w:widowControl w:val="0"/>
        <w:adjustRightInd w:val="0"/>
        <w:spacing w:before="120" w:after="120" w:line="460" w:lineRule="exact"/>
        <w:textAlignment w:val="baseline"/>
        <w:outlineLvl w:val="3"/>
        <w:rPr>
          <w:b/>
          <w:color w:val="auto"/>
          <w:highlight w:val="none"/>
        </w:rPr>
      </w:pPr>
      <w:bookmarkStart w:id="208" w:name="_Toc351203640"/>
      <w:r>
        <w:rPr>
          <w:b/>
          <w:color w:val="auto"/>
          <w:highlight w:val="none"/>
        </w:rPr>
        <w:t xml:space="preserve">8. </w:t>
      </w:r>
      <w:r>
        <w:rPr>
          <w:rFonts w:hint="eastAsia"/>
          <w:b/>
          <w:color w:val="auto"/>
          <w:highlight w:val="none"/>
        </w:rPr>
        <w:t>材料与设备</w:t>
      </w:r>
      <w:bookmarkEnd w:id="208"/>
    </w:p>
    <w:bookmarkEnd w:id="145"/>
    <w:bookmarkEnd w:id="146"/>
    <w:bookmarkEnd w:id="147"/>
    <w:bookmarkEnd w:id="148"/>
    <w:bookmarkEnd w:id="149"/>
    <w:bookmarkEnd w:id="150"/>
    <w:bookmarkEnd w:id="151"/>
    <w:bookmarkEnd w:id="152"/>
    <w:bookmarkEnd w:id="153"/>
    <w:bookmarkEnd w:id="154"/>
    <w:p w14:paraId="6EEBB2B6">
      <w:pPr>
        <w:spacing w:line="480" w:lineRule="exact"/>
        <w:ind w:firstLine="420" w:firstLineChars="200"/>
        <w:rPr>
          <w:color w:val="auto"/>
          <w:highlight w:val="none"/>
        </w:rPr>
      </w:pPr>
      <w:bookmarkStart w:id="209" w:name="_Toc267251427"/>
      <w:bookmarkStart w:id="210" w:name="_Toc296347172"/>
      <w:bookmarkStart w:id="211" w:name="_Toc292559378"/>
      <w:bookmarkStart w:id="212" w:name="_Toc297048359"/>
      <w:bookmarkStart w:id="213" w:name="_Toc292559883"/>
      <w:bookmarkStart w:id="214" w:name="_Toc296891213"/>
      <w:bookmarkStart w:id="215" w:name="_Toc296503173"/>
      <w:bookmarkStart w:id="216" w:name="_Toc297120473"/>
      <w:bookmarkStart w:id="217" w:name="_Toc267251428"/>
      <w:bookmarkStart w:id="218" w:name="_Toc296346674"/>
      <w:bookmarkStart w:id="219" w:name="_Toc296891001"/>
      <w:bookmarkStart w:id="220" w:name="_Toc296944512"/>
      <w:bookmarkStart w:id="221" w:name="_Toc351203642"/>
      <w:r>
        <w:rPr>
          <w:color w:val="auto"/>
          <w:highlight w:val="none"/>
        </w:rPr>
        <w:t>8.1发包人供应材料与工程设备</w:t>
      </w:r>
    </w:p>
    <w:p w14:paraId="6D0D62CA">
      <w:pPr>
        <w:spacing w:line="480" w:lineRule="exact"/>
        <w:ind w:firstLine="420" w:firstLineChars="200"/>
        <w:rPr>
          <w:color w:val="auto"/>
          <w:highlight w:val="none"/>
          <w:u w:val="single"/>
        </w:rPr>
      </w:pPr>
      <w:r>
        <w:rPr>
          <w:color w:val="auto"/>
          <w:highlight w:val="none"/>
          <w:u w:val="single"/>
        </w:rPr>
        <w:t>承包人应编制材料供应计划。合同生效后一般材料承包人应提前15天向发包人</w:t>
      </w:r>
      <w:r>
        <w:rPr>
          <w:rFonts w:hint="eastAsia"/>
          <w:color w:val="auto"/>
          <w:highlight w:val="none"/>
          <w:u w:val="single"/>
          <w:lang w:eastAsia="zh-CN"/>
        </w:rPr>
        <w:t>按时</w:t>
      </w:r>
      <w:r>
        <w:rPr>
          <w:color w:val="auto"/>
          <w:highlight w:val="none"/>
          <w:u w:val="single"/>
        </w:rPr>
        <w:t>提交所需材料品种、数量、型号、规格、质量等级，如有误差造成的损失由承包人承担。</w:t>
      </w:r>
    </w:p>
    <w:p w14:paraId="28DA7022">
      <w:pPr>
        <w:spacing w:line="480" w:lineRule="exact"/>
        <w:ind w:firstLine="420" w:firstLineChars="200"/>
        <w:rPr>
          <w:b/>
          <w:bCs/>
          <w:color w:val="auto"/>
          <w:highlight w:val="none"/>
          <w:u w:val="single"/>
        </w:rPr>
      </w:pPr>
      <w:r>
        <w:rPr>
          <w:color w:val="auto"/>
          <w:highlight w:val="none"/>
        </w:rPr>
        <w:t>发包人供应材料设备的结算方法：</w:t>
      </w:r>
      <w:r>
        <w:rPr>
          <w:color w:val="auto"/>
          <w:highlight w:val="none"/>
          <w:u w:val="single"/>
        </w:rPr>
        <w:t>按结算审计的甲供材料数量乘以招标时规定的暂定价扣除工程款，承包人超领部分，按发包人采购最高价结算，发包人在竣工决算时扣回；承包人领用不足部分，按发包人采购综合平均价结算，发包人在竣工决算时对承包人予以增补。</w:t>
      </w:r>
    </w:p>
    <w:p w14:paraId="16C94C2F">
      <w:pPr>
        <w:spacing w:line="480" w:lineRule="exact"/>
        <w:ind w:firstLine="420" w:firstLineChars="200"/>
        <w:rPr>
          <w:color w:val="auto"/>
          <w:highlight w:val="none"/>
        </w:rPr>
      </w:pPr>
      <w:r>
        <w:rPr>
          <w:color w:val="auto"/>
          <w:highlight w:val="none"/>
        </w:rPr>
        <w:t>8.2承包人供应材料与工程设备</w:t>
      </w:r>
    </w:p>
    <w:p w14:paraId="5612F7F2">
      <w:pPr>
        <w:spacing w:line="480" w:lineRule="exact"/>
        <w:ind w:firstLine="420" w:firstLineChars="200"/>
        <w:rPr>
          <w:color w:val="auto"/>
          <w:highlight w:val="none"/>
          <w:u w:val="single"/>
        </w:rPr>
      </w:pPr>
      <w:r>
        <w:rPr>
          <w:color w:val="auto"/>
          <w:highlight w:val="none"/>
        </w:rPr>
        <w:t>（1）</w:t>
      </w:r>
      <w:r>
        <w:rPr>
          <w:color w:val="auto"/>
          <w:highlight w:val="none"/>
          <w:u w:val="single"/>
        </w:rPr>
        <w:t>承包人采购的材料：承包人须按发包人要求建立材料台账，供发包人检查，材料台账中必须注明并包含下列内容：材料名称、规格型号或等级、厂家、进场数量、出厂合格证、编号、进场日期、使用部位、承包人验收人、检测情况、监理见证人、发包人代表等。承包人在材料使用前，应有向监理报验、提供材料台账的程序，并见证抽样送检。不合格的材料不得使用，发包人或监理抽查发现使用的材料无报验手续及材料台账（或材料台账不符合要求的）或不合格，可指令停工，要求返工剥离。所发生的费用由承包人承担，工期不予顺延。</w:t>
      </w:r>
    </w:p>
    <w:p w14:paraId="318B8545">
      <w:pPr>
        <w:spacing w:line="480" w:lineRule="exact"/>
        <w:ind w:firstLine="420" w:firstLineChars="200"/>
        <w:rPr>
          <w:color w:val="auto"/>
          <w:highlight w:val="none"/>
          <w:u w:val="single"/>
        </w:rPr>
      </w:pPr>
      <w:r>
        <w:rPr>
          <w:color w:val="auto"/>
          <w:highlight w:val="none"/>
          <w:u w:val="single"/>
        </w:rPr>
        <w:t>（2）</w:t>
      </w:r>
      <w:r>
        <w:rPr>
          <w:rFonts w:hint="eastAsia"/>
          <w:color w:val="auto"/>
          <w:highlight w:val="none"/>
          <w:u w:val="single"/>
        </w:rPr>
        <w:t>承包人供应的材料和设备，必须按有关规定提供相应的出厂证明、合格证、质保书、化验检测报告等，并负责对国家（或地方）规范、强制性条文规定的材料性能到发包人指定的检测机构进行施工前或施工后的检测，同时对材料数量、规格、质量由发包人现场工程师和监理人验收合格后方可进入施工现场使用。检验试验费包含本工程所有按规定应进行建筑材料、构配件等试样的制作、封样、送检和</w:t>
      </w:r>
      <w:r>
        <w:rPr>
          <w:rFonts w:hint="eastAsia"/>
          <w:color w:val="auto"/>
          <w:highlight w:val="none"/>
          <w:u w:val="single"/>
          <w:lang w:eastAsia="zh-CN"/>
        </w:rPr>
        <w:t>其他为</w:t>
      </w:r>
      <w:r>
        <w:rPr>
          <w:rFonts w:hint="eastAsia"/>
          <w:color w:val="auto"/>
          <w:highlight w:val="none"/>
          <w:u w:val="single"/>
        </w:rPr>
        <w:t>保证工程质量进行的材料检验试验工作和一切费用。由发包人指定工程质量检测机构进行检测，如检测合格的，由发包人支付所有检测费用；如检测不合格的，由承包人支付不合格部分的检测费用。</w:t>
      </w:r>
    </w:p>
    <w:p w14:paraId="5AF0743B">
      <w:pPr>
        <w:spacing w:line="480" w:lineRule="exact"/>
        <w:ind w:firstLine="420" w:firstLineChars="200"/>
        <w:rPr>
          <w:color w:val="auto"/>
          <w:highlight w:val="none"/>
          <w:u w:val="single"/>
        </w:rPr>
      </w:pPr>
      <w:r>
        <w:rPr>
          <w:color w:val="auto"/>
          <w:highlight w:val="none"/>
          <w:u w:val="single"/>
        </w:rPr>
        <w:t>（3）发包人在招标时指定品牌和厂家的材料，承包人在实际采购前，必须由发包人和监理认质认生产厂家后方可采购。代用材料时，须经发包人认可。</w:t>
      </w:r>
      <w:r>
        <w:rPr>
          <w:rFonts w:hint="eastAsia"/>
          <w:color w:val="auto"/>
          <w:highlight w:val="none"/>
          <w:u w:val="single"/>
        </w:rPr>
        <w:t>未经发包人认可，擅自组织材料及设备进场、使用的，每发现一次，向发包人缴纳</w:t>
      </w:r>
      <w:r>
        <w:rPr>
          <w:color w:val="auto"/>
          <w:highlight w:val="none"/>
          <w:u w:val="single"/>
        </w:rPr>
        <w:t xml:space="preserve">1000元/次的违约金。 </w:t>
      </w:r>
    </w:p>
    <w:p w14:paraId="67B1CDBF">
      <w:pPr>
        <w:spacing w:line="480" w:lineRule="exact"/>
        <w:ind w:firstLine="420" w:firstLineChars="200"/>
        <w:rPr>
          <w:color w:val="auto"/>
          <w:highlight w:val="none"/>
          <w:u w:val="single"/>
        </w:rPr>
      </w:pPr>
      <w:r>
        <w:rPr>
          <w:color w:val="auto"/>
          <w:highlight w:val="none"/>
          <w:u w:val="single"/>
        </w:rPr>
        <w:t xml:space="preserve">（4）发包人和监理人有权对承包人提供的材料和设备进行抽检，对不符合设计要求及验收规范的材料和设备，有权终止使用，发生的一切损失和费用由承包人承担，由此延误的工期不予顺延。 </w:t>
      </w:r>
    </w:p>
    <w:p w14:paraId="54FAE5D2">
      <w:pPr>
        <w:spacing w:line="480" w:lineRule="exact"/>
        <w:ind w:firstLine="420" w:firstLineChars="200"/>
        <w:rPr>
          <w:color w:val="auto"/>
          <w:highlight w:val="none"/>
          <w:u w:val="single"/>
        </w:rPr>
      </w:pPr>
      <w:r>
        <w:rPr>
          <w:color w:val="auto"/>
          <w:highlight w:val="none"/>
          <w:u w:val="single"/>
        </w:rPr>
        <w:t>（5）发包人和监理工程师对材料的决定或认可并不解除承包人应负的质量、工期的责任，也不免除承包人对材料应负的责任。承包人采购的材料与设计或规范要求不符时，承包人应按监理工程师要求的时间运出施工场地。重新采购符合要求的产品，承担由此发生的费用，由此延误的工期不予顺延。</w:t>
      </w:r>
    </w:p>
    <w:p w14:paraId="4DFE648C">
      <w:pPr>
        <w:spacing w:line="480" w:lineRule="exact"/>
        <w:ind w:firstLine="420" w:firstLineChars="200"/>
        <w:rPr>
          <w:color w:val="auto"/>
          <w:highlight w:val="none"/>
          <w:u w:val="single"/>
        </w:rPr>
      </w:pPr>
      <w:r>
        <w:rPr>
          <w:color w:val="auto"/>
          <w:highlight w:val="none"/>
          <w:u w:val="single"/>
        </w:rPr>
        <w:t>（6）招标时暂定价和认质认价材料发包人保留甲供或另行发包权利。</w:t>
      </w:r>
    </w:p>
    <w:p w14:paraId="20C91515">
      <w:pPr>
        <w:spacing w:line="480" w:lineRule="exact"/>
        <w:ind w:firstLine="420" w:firstLineChars="200"/>
        <w:rPr>
          <w:color w:val="auto"/>
          <w:highlight w:val="none"/>
          <w:u w:val="single"/>
        </w:rPr>
      </w:pPr>
      <w:r>
        <w:rPr>
          <w:color w:val="auto"/>
          <w:highlight w:val="none"/>
          <w:u w:val="single"/>
        </w:rPr>
        <w:t xml:space="preserve">（7）承包人对专业分包单位采购的材料，承包人应该对各种材料、器材、设备按规范进行检查，拒绝不符合要求的材料、器材、设备用于工程。无论何种原因，承包人在工程中使用不合格材料，除更换合格材料外，质量保证金不予退还，另向发包人支付1000元/次的违约金。 </w:t>
      </w:r>
    </w:p>
    <w:p w14:paraId="0CFC7AAD">
      <w:pPr>
        <w:spacing w:line="480" w:lineRule="exact"/>
        <w:ind w:firstLine="420" w:firstLineChars="200"/>
        <w:rPr>
          <w:color w:val="auto"/>
          <w:highlight w:val="none"/>
          <w:u w:val="single"/>
        </w:rPr>
      </w:pPr>
      <w:r>
        <w:rPr>
          <w:color w:val="auto"/>
          <w:highlight w:val="none"/>
          <w:u w:val="single"/>
        </w:rPr>
        <w:t>（8）承包人应对所有进场材料按有关规定进行严格把关，如因材料出现的质量和安全事故由承包人负全责，并赔偿相应损失。设计图纸没有规定的或图纸规定与清单不符的以清单为准，且经发包人和监理方事先认可。</w:t>
      </w:r>
    </w:p>
    <w:p w14:paraId="62D68981">
      <w:pPr>
        <w:spacing w:line="480" w:lineRule="exact"/>
        <w:ind w:firstLine="420" w:firstLineChars="200"/>
        <w:rPr>
          <w:color w:val="auto"/>
          <w:highlight w:val="none"/>
        </w:rPr>
      </w:pPr>
      <w:r>
        <w:rPr>
          <w:color w:val="auto"/>
          <w:highlight w:val="none"/>
        </w:rPr>
        <w:t>8</w:t>
      </w:r>
      <w:bookmarkStart w:id="222" w:name="_Toc297216186"/>
      <w:bookmarkStart w:id="223" w:name="_Toc292559877"/>
      <w:bookmarkStart w:id="224" w:name="_Toc300934979"/>
      <w:bookmarkStart w:id="225" w:name="_Toc280868654"/>
      <w:bookmarkStart w:id="226" w:name="_Toc303539136"/>
      <w:bookmarkStart w:id="227" w:name="_Toc296944506"/>
      <w:bookmarkStart w:id="228" w:name="_Toc304295556"/>
      <w:bookmarkStart w:id="229" w:name="_Toc296503167"/>
      <w:bookmarkStart w:id="230" w:name="_Toc296891207"/>
      <w:bookmarkStart w:id="231" w:name="_Toc297048353"/>
      <w:bookmarkStart w:id="232" w:name="_Toc312678019"/>
      <w:bookmarkStart w:id="233" w:name="_Toc312677493"/>
      <w:bookmarkStart w:id="234" w:name="_Toc297120467"/>
      <w:bookmarkStart w:id="235" w:name="_Toc297123527"/>
      <w:bookmarkStart w:id="236" w:name="_Toc296890995"/>
      <w:bookmarkStart w:id="237" w:name="_Toc296347166"/>
      <w:bookmarkStart w:id="238" w:name="_Toc296346668"/>
      <w:bookmarkStart w:id="239" w:name="_Toc292559372"/>
      <w:bookmarkStart w:id="240" w:name="_Toc280868655"/>
      <w:bookmarkStart w:id="241" w:name="_Toc267251424"/>
      <w:bookmarkStart w:id="242" w:name="_Toc280868656"/>
      <w:r>
        <w:rPr>
          <w:color w:val="auto"/>
          <w:highlight w:val="none"/>
        </w:rPr>
        <w:t>.4材料与工程设备的保管与使用</w:t>
      </w:r>
    </w:p>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14:paraId="6A1A0DD9">
      <w:pPr>
        <w:spacing w:line="480" w:lineRule="exact"/>
        <w:ind w:firstLine="420" w:firstLineChars="200"/>
        <w:rPr>
          <w:color w:val="auto"/>
          <w:highlight w:val="none"/>
        </w:rPr>
      </w:pPr>
      <w:r>
        <w:rPr>
          <w:color w:val="auto"/>
          <w:highlight w:val="none"/>
        </w:rPr>
        <w:t>8</w:t>
      </w:r>
      <w:bookmarkStart w:id="243" w:name="_Toc292559878"/>
      <w:bookmarkStart w:id="244" w:name="_Toc292559373"/>
      <w:bookmarkStart w:id="245" w:name="_Toc297120468"/>
      <w:bookmarkStart w:id="246" w:name="_Toc300934980"/>
      <w:bookmarkStart w:id="247" w:name="_Toc297123528"/>
      <w:bookmarkStart w:id="248" w:name="_Toc318581173"/>
      <w:bookmarkStart w:id="249" w:name="_Toc296503168"/>
      <w:bookmarkStart w:id="250" w:name="_Toc297216187"/>
      <w:bookmarkStart w:id="251" w:name="_Toc296890996"/>
      <w:bookmarkStart w:id="252" w:name="_Toc312677494"/>
      <w:bookmarkStart w:id="253" w:name="_Toc312678020"/>
      <w:bookmarkStart w:id="254" w:name="_Toc297048354"/>
      <w:bookmarkStart w:id="255" w:name="_Toc303539137"/>
      <w:bookmarkStart w:id="256" w:name="_Toc304295557"/>
      <w:bookmarkStart w:id="257" w:name="_Toc296347167"/>
      <w:bookmarkStart w:id="258" w:name="_Toc296346669"/>
      <w:bookmarkStart w:id="259" w:name="_Toc296944507"/>
      <w:bookmarkStart w:id="260" w:name="_Toc296891208"/>
      <w:r>
        <w:rPr>
          <w:color w:val="auto"/>
          <w:highlight w:val="none"/>
        </w:rPr>
        <w:t>.4.1发包人供应的材料设备的保管费用的承担：</w:t>
      </w:r>
      <w:r>
        <w:rPr>
          <w:color w:val="auto"/>
          <w:highlight w:val="none"/>
          <w:u w:val="single"/>
        </w:rPr>
        <w:t xml:space="preserve">     /      </w:t>
      </w:r>
      <w:r>
        <w:rPr>
          <w:color w:val="auto"/>
          <w:highlight w:val="none"/>
        </w:rPr>
        <w:t>。</w:t>
      </w:r>
      <w:bookmarkEnd w:id="243"/>
      <w:bookmarkEnd w:id="244"/>
    </w:p>
    <w:p w14:paraId="2ECEEF17">
      <w:pPr>
        <w:spacing w:line="480" w:lineRule="exact"/>
        <w:ind w:firstLine="420" w:firstLineChars="200"/>
        <w:rPr>
          <w:color w:val="auto"/>
          <w:highlight w:val="none"/>
        </w:rPr>
      </w:pPr>
      <w:r>
        <w:rPr>
          <w:color w:val="auto"/>
          <w:highlight w:val="none"/>
        </w:rPr>
        <w:t>8.6 样品</w:t>
      </w:r>
    </w:p>
    <w:p w14:paraId="6D2CD236">
      <w:pPr>
        <w:spacing w:line="480" w:lineRule="exact"/>
        <w:ind w:firstLine="420" w:firstLineChars="200"/>
        <w:rPr>
          <w:color w:val="auto"/>
          <w:highlight w:val="none"/>
        </w:rPr>
      </w:pPr>
      <w:r>
        <w:rPr>
          <w:color w:val="auto"/>
          <w:highlight w:val="none"/>
        </w:rPr>
        <w:t>8.6.1样品的报送与封存</w:t>
      </w:r>
    </w:p>
    <w:p w14:paraId="7C789A1A">
      <w:pPr>
        <w:spacing w:line="480" w:lineRule="exact"/>
        <w:ind w:firstLine="420" w:firstLineChars="200"/>
        <w:rPr>
          <w:color w:val="auto"/>
          <w:highlight w:val="none"/>
          <w:u w:val="single"/>
        </w:rPr>
      </w:pPr>
      <w:r>
        <w:rPr>
          <w:color w:val="auto"/>
          <w:highlight w:val="none"/>
        </w:rPr>
        <w:t>需要承包人报送样品的材料或工程设备，样品的种类、名称、规格、数量要求：</w:t>
      </w:r>
      <w:r>
        <w:rPr>
          <w:color w:val="auto"/>
          <w:highlight w:val="none"/>
          <w:u w:val="single"/>
        </w:rPr>
        <w:t xml:space="preserve">                  </w:t>
      </w:r>
      <w:r>
        <w:rPr>
          <w:color w:val="auto"/>
          <w:highlight w:val="none"/>
        </w:rPr>
        <w:t>。</w:t>
      </w:r>
    </w:p>
    <w:p w14:paraId="363D246B">
      <w:pPr>
        <w:spacing w:line="480" w:lineRule="exact"/>
        <w:ind w:firstLine="420" w:firstLineChars="200"/>
        <w:rPr>
          <w:color w:val="auto"/>
          <w:highlight w:val="none"/>
        </w:rPr>
      </w:pPr>
      <w:r>
        <w:rPr>
          <w:color w:val="auto"/>
          <w:highlight w:val="none"/>
        </w:rPr>
        <w:t>8.8 施工设备和临时设施</w:t>
      </w:r>
    </w:p>
    <w:p w14:paraId="381CC980">
      <w:pPr>
        <w:spacing w:line="480" w:lineRule="exact"/>
        <w:ind w:firstLine="420" w:firstLineChars="200"/>
        <w:rPr>
          <w:color w:val="auto"/>
          <w:highlight w:val="none"/>
        </w:rPr>
      </w:pPr>
      <w:r>
        <w:rPr>
          <w:color w:val="auto"/>
          <w:highlight w:val="none"/>
        </w:rPr>
        <w:t>8.8.1 承包人提供的施工设备和临时设施</w:t>
      </w:r>
    </w:p>
    <w:p w14:paraId="34B625C7">
      <w:pPr>
        <w:spacing w:line="480" w:lineRule="exact"/>
        <w:ind w:firstLine="420" w:firstLineChars="200"/>
        <w:rPr>
          <w:color w:val="auto"/>
          <w:highlight w:val="none"/>
        </w:rPr>
      </w:pPr>
      <w:r>
        <w:rPr>
          <w:color w:val="auto"/>
          <w:highlight w:val="none"/>
        </w:rPr>
        <w:t>关于修建临时设施费用承担的约定：</w:t>
      </w:r>
      <w:r>
        <w:rPr>
          <w:color w:val="auto"/>
          <w:highlight w:val="none"/>
          <w:u w:val="single"/>
        </w:rPr>
        <w:t xml:space="preserve">   由承包人承担 </w:t>
      </w:r>
      <w:r>
        <w:rPr>
          <w:color w:val="auto"/>
          <w:highlight w:val="none"/>
        </w:rPr>
        <w:t>。</w:t>
      </w:r>
    </w:p>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14:paraId="7392E4DD">
      <w:pPr>
        <w:spacing w:line="480" w:lineRule="exact"/>
        <w:ind w:firstLine="422" w:firstLineChars="200"/>
        <w:rPr>
          <w:b/>
          <w:color w:val="auto"/>
          <w:highlight w:val="none"/>
        </w:rPr>
      </w:pPr>
      <w:bookmarkStart w:id="261" w:name="_Toc351203641"/>
      <w:r>
        <w:rPr>
          <w:b/>
          <w:color w:val="auto"/>
          <w:highlight w:val="none"/>
        </w:rPr>
        <w:t>9</w:t>
      </w:r>
      <w:bookmarkEnd w:id="240"/>
      <w:bookmarkEnd w:id="241"/>
      <w:bookmarkEnd w:id="242"/>
      <w:bookmarkStart w:id="262" w:name="_Toc300934982"/>
      <w:bookmarkStart w:id="263" w:name="_Toc312677495"/>
      <w:bookmarkStart w:id="264" w:name="_Toc303539139"/>
      <w:bookmarkStart w:id="265" w:name="_Toc297123533"/>
      <w:bookmarkStart w:id="266" w:name="_Toc304295559"/>
      <w:bookmarkStart w:id="267" w:name="_Toc312678021"/>
      <w:bookmarkStart w:id="268" w:name="_Toc297216192"/>
      <w:r>
        <w:rPr>
          <w:b/>
          <w:color w:val="auto"/>
          <w:highlight w:val="none"/>
        </w:rPr>
        <w:t>. 试验与检验</w:t>
      </w:r>
      <w:bookmarkEnd w:id="261"/>
    </w:p>
    <w:bookmarkEnd w:id="262"/>
    <w:bookmarkEnd w:id="263"/>
    <w:bookmarkEnd w:id="264"/>
    <w:bookmarkEnd w:id="265"/>
    <w:bookmarkEnd w:id="266"/>
    <w:bookmarkEnd w:id="267"/>
    <w:bookmarkEnd w:id="268"/>
    <w:p w14:paraId="6442AD4D">
      <w:pPr>
        <w:spacing w:line="480" w:lineRule="exact"/>
        <w:ind w:firstLine="420" w:firstLineChars="200"/>
        <w:rPr>
          <w:color w:val="auto"/>
          <w:highlight w:val="none"/>
        </w:rPr>
      </w:pPr>
      <w:r>
        <w:rPr>
          <w:color w:val="auto"/>
          <w:highlight w:val="none"/>
        </w:rPr>
        <w:t>9</w:t>
      </w:r>
      <w:bookmarkStart w:id="269" w:name="_Toc303539140"/>
      <w:bookmarkStart w:id="270" w:name="_Toc304295560"/>
      <w:bookmarkStart w:id="271" w:name="_Toc312677496"/>
      <w:bookmarkStart w:id="272" w:name="_Toc312678022"/>
      <w:bookmarkStart w:id="273" w:name="_Toc300934983"/>
      <w:bookmarkStart w:id="274" w:name="_Toc297216193"/>
      <w:bookmarkStart w:id="275" w:name="_Toc297123534"/>
      <w:r>
        <w:rPr>
          <w:color w:val="auto"/>
          <w:highlight w:val="none"/>
        </w:rPr>
        <w:t>.1试验设备与试验人员</w:t>
      </w:r>
    </w:p>
    <w:bookmarkEnd w:id="269"/>
    <w:bookmarkEnd w:id="270"/>
    <w:bookmarkEnd w:id="271"/>
    <w:bookmarkEnd w:id="272"/>
    <w:bookmarkEnd w:id="273"/>
    <w:bookmarkEnd w:id="274"/>
    <w:bookmarkEnd w:id="275"/>
    <w:p w14:paraId="712667B9">
      <w:pPr>
        <w:spacing w:line="480" w:lineRule="exact"/>
        <w:ind w:firstLine="420" w:firstLineChars="200"/>
        <w:rPr>
          <w:color w:val="auto"/>
          <w:highlight w:val="none"/>
        </w:rPr>
      </w:pPr>
      <w:r>
        <w:rPr>
          <w:color w:val="auto"/>
          <w:highlight w:val="none"/>
        </w:rPr>
        <w:t>9</w:t>
      </w:r>
      <w:bookmarkStart w:id="276" w:name="_Toc304295561"/>
      <w:bookmarkStart w:id="277" w:name="_Toc312678023"/>
      <w:bookmarkStart w:id="278" w:name="_Toc300934984"/>
      <w:bookmarkStart w:id="279" w:name="_Toc312677497"/>
      <w:bookmarkStart w:id="280" w:name="_Toc303539141"/>
      <w:bookmarkStart w:id="281" w:name="_Toc297216194"/>
      <w:bookmarkStart w:id="282" w:name="_Toc297123535"/>
      <w:bookmarkStart w:id="283" w:name="_Toc318581174"/>
      <w:r>
        <w:rPr>
          <w:color w:val="auto"/>
          <w:highlight w:val="none"/>
        </w:rPr>
        <w:t>.1.2 试验设备</w:t>
      </w:r>
    </w:p>
    <w:p w14:paraId="409E3B8E">
      <w:pPr>
        <w:spacing w:line="480" w:lineRule="exact"/>
        <w:ind w:firstLine="420" w:firstLineChars="200"/>
        <w:rPr>
          <w:color w:val="auto"/>
          <w:highlight w:val="none"/>
          <w:u w:val="single"/>
        </w:rPr>
      </w:pPr>
      <w:r>
        <w:rPr>
          <w:color w:val="auto"/>
          <w:highlight w:val="none"/>
        </w:rPr>
        <w:t>施工现场需要配置的试验场所：</w:t>
      </w:r>
      <w:bookmarkEnd w:id="276"/>
      <w:bookmarkEnd w:id="277"/>
      <w:bookmarkEnd w:id="278"/>
      <w:bookmarkEnd w:id="279"/>
      <w:bookmarkEnd w:id="280"/>
      <w:bookmarkEnd w:id="281"/>
      <w:bookmarkEnd w:id="282"/>
      <w:bookmarkStart w:id="284" w:name="_Toc304295562"/>
      <w:bookmarkStart w:id="285" w:name="_Toc300934985"/>
      <w:bookmarkStart w:id="286" w:name="_Toc297216195"/>
      <w:bookmarkStart w:id="287" w:name="_Toc297123536"/>
      <w:bookmarkStart w:id="288" w:name="_Toc303539142"/>
      <w:bookmarkStart w:id="289" w:name="_Toc312677498"/>
      <w:bookmarkStart w:id="290" w:name="_Toc312678024"/>
      <w:r>
        <w:rPr>
          <w:color w:val="auto"/>
          <w:highlight w:val="none"/>
          <w:u w:val="single"/>
        </w:rPr>
        <w:t xml:space="preserve">   </w:t>
      </w:r>
      <w:r>
        <w:rPr>
          <w:b/>
          <w:color w:val="auto"/>
          <w:highlight w:val="none"/>
          <w:u w:val="single"/>
        </w:rPr>
        <w:t>按有关规定执行</w:t>
      </w:r>
      <w:r>
        <w:rPr>
          <w:color w:val="auto"/>
          <w:highlight w:val="none"/>
          <w:u w:val="single"/>
        </w:rPr>
        <w:t xml:space="preserve">     </w:t>
      </w:r>
      <w:r>
        <w:rPr>
          <w:color w:val="auto"/>
          <w:highlight w:val="none"/>
        </w:rPr>
        <w:t xml:space="preserve">。 </w:t>
      </w:r>
    </w:p>
    <w:p w14:paraId="67738058">
      <w:pPr>
        <w:spacing w:line="480" w:lineRule="exact"/>
        <w:ind w:firstLine="420" w:firstLineChars="200"/>
        <w:rPr>
          <w:color w:val="auto"/>
          <w:highlight w:val="none"/>
        </w:rPr>
      </w:pPr>
      <w:r>
        <w:rPr>
          <w:color w:val="auto"/>
          <w:highlight w:val="none"/>
        </w:rPr>
        <w:t>施工现场需要配备的试验设备：</w:t>
      </w:r>
      <w:r>
        <w:rPr>
          <w:color w:val="auto"/>
          <w:highlight w:val="none"/>
          <w:u w:val="single"/>
        </w:rPr>
        <w:t xml:space="preserve">  </w:t>
      </w:r>
      <w:r>
        <w:rPr>
          <w:b/>
          <w:color w:val="auto"/>
          <w:highlight w:val="none"/>
          <w:u w:val="single"/>
        </w:rPr>
        <w:t>按有关规定执行</w:t>
      </w:r>
      <w:r>
        <w:rPr>
          <w:color w:val="auto"/>
          <w:highlight w:val="none"/>
          <w:u w:val="single"/>
        </w:rPr>
        <w:t xml:space="preserve">   </w:t>
      </w:r>
      <w:r>
        <w:rPr>
          <w:color w:val="auto"/>
          <w:highlight w:val="none"/>
        </w:rPr>
        <w:t>。</w:t>
      </w:r>
    </w:p>
    <w:p w14:paraId="0B071A2E">
      <w:pPr>
        <w:spacing w:line="480" w:lineRule="exact"/>
        <w:ind w:firstLine="420" w:firstLineChars="200"/>
        <w:rPr>
          <w:color w:val="auto"/>
          <w:highlight w:val="none"/>
        </w:rPr>
      </w:pPr>
      <w:r>
        <w:rPr>
          <w:color w:val="auto"/>
          <w:highlight w:val="none"/>
        </w:rPr>
        <w:t>施工现场需要具备的其他试验条件：</w:t>
      </w:r>
      <w:r>
        <w:rPr>
          <w:color w:val="auto"/>
          <w:highlight w:val="none"/>
          <w:u w:val="single"/>
        </w:rPr>
        <w:t xml:space="preserve">   </w:t>
      </w:r>
      <w:r>
        <w:rPr>
          <w:b/>
          <w:color w:val="auto"/>
          <w:highlight w:val="none"/>
          <w:u w:val="single"/>
        </w:rPr>
        <w:t>按有关规定执行</w:t>
      </w:r>
      <w:r>
        <w:rPr>
          <w:color w:val="auto"/>
          <w:highlight w:val="none"/>
          <w:u w:val="single"/>
        </w:rPr>
        <w:t xml:space="preserve">   </w:t>
      </w:r>
      <w:r>
        <w:rPr>
          <w:color w:val="auto"/>
          <w:highlight w:val="none"/>
        </w:rPr>
        <w:t>。</w:t>
      </w:r>
    </w:p>
    <w:p w14:paraId="1F35EE4A">
      <w:pPr>
        <w:spacing w:line="480" w:lineRule="exact"/>
        <w:ind w:firstLine="420" w:firstLineChars="200"/>
        <w:rPr>
          <w:color w:val="auto"/>
          <w:highlight w:val="none"/>
        </w:rPr>
      </w:pPr>
      <w:r>
        <w:rPr>
          <w:color w:val="auto"/>
          <w:highlight w:val="none"/>
        </w:rPr>
        <w:t xml:space="preserve">9.4 现场工艺试验 </w:t>
      </w:r>
    </w:p>
    <w:p w14:paraId="78E8C871">
      <w:pPr>
        <w:spacing w:line="480" w:lineRule="exact"/>
        <w:ind w:firstLine="420" w:firstLineChars="200"/>
        <w:rPr>
          <w:color w:val="auto"/>
          <w:highlight w:val="none"/>
        </w:rPr>
      </w:pPr>
      <w:r>
        <w:rPr>
          <w:color w:val="auto"/>
          <w:highlight w:val="none"/>
        </w:rPr>
        <w:t>现场工艺试验的有关约定：</w:t>
      </w:r>
      <w:r>
        <w:rPr>
          <w:color w:val="auto"/>
          <w:highlight w:val="none"/>
          <w:u w:val="single"/>
        </w:rPr>
        <w:t xml:space="preserve">      /       </w:t>
      </w:r>
      <w:r>
        <w:rPr>
          <w:color w:val="auto"/>
          <w:highlight w:val="none"/>
        </w:rPr>
        <w:t>。</w:t>
      </w:r>
    </w:p>
    <w:bookmarkEnd w:id="283"/>
    <w:bookmarkEnd w:id="284"/>
    <w:bookmarkEnd w:id="285"/>
    <w:bookmarkEnd w:id="286"/>
    <w:bookmarkEnd w:id="287"/>
    <w:bookmarkEnd w:id="288"/>
    <w:bookmarkEnd w:id="289"/>
    <w:bookmarkEnd w:id="290"/>
    <w:p w14:paraId="01132507">
      <w:pPr>
        <w:keepNext/>
        <w:keepLines/>
        <w:widowControl w:val="0"/>
        <w:adjustRightInd w:val="0"/>
        <w:spacing w:before="120" w:after="120" w:line="460" w:lineRule="exact"/>
        <w:textAlignment w:val="baseline"/>
        <w:outlineLvl w:val="3"/>
        <w:rPr>
          <w:b/>
          <w:color w:val="auto"/>
          <w:szCs w:val="21"/>
          <w:highlight w:val="none"/>
        </w:rPr>
      </w:pPr>
      <w:r>
        <w:rPr>
          <w:b/>
          <w:color w:val="auto"/>
          <w:szCs w:val="21"/>
          <w:highlight w:val="none"/>
        </w:rPr>
        <w:t>1</w:t>
      </w:r>
      <w:bookmarkEnd w:id="209"/>
      <w:bookmarkEnd w:id="210"/>
      <w:bookmarkEnd w:id="211"/>
      <w:bookmarkEnd w:id="212"/>
      <w:bookmarkEnd w:id="213"/>
      <w:bookmarkEnd w:id="214"/>
      <w:bookmarkEnd w:id="215"/>
      <w:bookmarkEnd w:id="216"/>
      <w:bookmarkEnd w:id="217"/>
      <w:bookmarkEnd w:id="218"/>
      <w:bookmarkEnd w:id="219"/>
      <w:bookmarkEnd w:id="220"/>
      <w:bookmarkStart w:id="291" w:name="_Toc296503193"/>
      <w:bookmarkStart w:id="292" w:name="_Toc297120493"/>
      <w:bookmarkStart w:id="293" w:name="_Toc304295566"/>
      <w:bookmarkStart w:id="294" w:name="_Toc292559398"/>
      <w:bookmarkStart w:id="295" w:name="_Toc296944532"/>
      <w:bookmarkStart w:id="296" w:name="_Toc296347192"/>
      <w:bookmarkStart w:id="297" w:name="_Toc297123540"/>
      <w:bookmarkStart w:id="298" w:name="_Toc296891021"/>
      <w:bookmarkStart w:id="299" w:name="_Toc297216199"/>
      <w:bookmarkStart w:id="300" w:name="_Toc296891233"/>
      <w:bookmarkStart w:id="301" w:name="_Toc303539146"/>
      <w:bookmarkStart w:id="302" w:name="_Toc292559903"/>
      <w:bookmarkStart w:id="303" w:name="_Toc297048379"/>
      <w:bookmarkStart w:id="304" w:name="_Toc300934989"/>
      <w:bookmarkStart w:id="305" w:name="_Toc296346694"/>
      <w:bookmarkStart w:id="306" w:name="_Toc312677499"/>
      <w:bookmarkStart w:id="307" w:name="_Toc312678025"/>
      <w:bookmarkStart w:id="308" w:name="_Toc267251440"/>
      <w:bookmarkStart w:id="309" w:name="_Toc267251439"/>
      <w:bookmarkStart w:id="310" w:name="_Toc267251441"/>
      <w:bookmarkStart w:id="311" w:name="_Toc267251437"/>
      <w:bookmarkStart w:id="312" w:name="_Toc267251435"/>
      <w:bookmarkStart w:id="313" w:name="_Toc267251433"/>
      <w:bookmarkStart w:id="314" w:name="_Toc267251442"/>
      <w:r>
        <w:rPr>
          <w:b/>
          <w:color w:val="auto"/>
          <w:szCs w:val="21"/>
          <w:highlight w:val="none"/>
        </w:rPr>
        <w:t xml:space="preserve">0. </w:t>
      </w:r>
      <w:r>
        <w:rPr>
          <w:rFonts w:hint="eastAsia"/>
          <w:b/>
          <w:color w:val="auto"/>
          <w:szCs w:val="21"/>
          <w:highlight w:val="none"/>
        </w:rPr>
        <w:t>变更</w:t>
      </w:r>
      <w:bookmarkEnd w:id="221"/>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bookmarkEnd w:id="306"/>
    <w:bookmarkEnd w:id="307"/>
    <w:p w14:paraId="3A9D814D">
      <w:pPr>
        <w:spacing w:line="460" w:lineRule="exact"/>
        <w:ind w:firstLine="420" w:firstLineChars="200"/>
        <w:rPr>
          <w:color w:val="auto"/>
          <w:szCs w:val="21"/>
          <w:highlight w:val="none"/>
        </w:rPr>
      </w:pPr>
      <w:r>
        <w:rPr>
          <w:color w:val="auto"/>
          <w:szCs w:val="21"/>
          <w:highlight w:val="none"/>
        </w:rPr>
        <w:t>1</w:t>
      </w:r>
      <w:bookmarkStart w:id="315" w:name="_Toc300934990"/>
      <w:bookmarkStart w:id="316" w:name="_Toc296891234"/>
      <w:bookmarkStart w:id="317" w:name="_Toc296346695"/>
      <w:bookmarkStart w:id="318" w:name="_Toc292559904"/>
      <w:bookmarkStart w:id="319" w:name="_Toc296347193"/>
      <w:bookmarkStart w:id="320" w:name="_Toc297120494"/>
      <w:bookmarkStart w:id="321" w:name="_Toc297123541"/>
      <w:bookmarkStart w:id="322" w:name="_Toc296891022"/>
      <w:bookmarkStart w:id="323" w:name="_Toc304295567"/>
      <w:bookmarkStart w:id="324" w:name="_Toc312678026"/>
      <w:bookmarkStart w:id="325" w:name="_Toc312677500"/>
      <w:bookmarkStart w:id="326" w:name="_Toc296503194"/>
      <w:bookmarkStart w:id="327" w:name="_Toc297048380"/>
      <w:bookmarkStart w:id="328" w:name="_Toc296944533"/>
      <w:bookmarkStart w:id="329" w:name="_Toc297216200"/>
      <w:bookmarkStart w:id="330" w:name="_Toc303539147"/>
      <w:bookmarkStart w:id="331" w:name="_Toc292559399"/>
      <w:r>
        <w:rPr>
          <w:color w:val="auto"/>
          <w:szCs w:val="21"/>
          <w:highlight w:val="none"/>
        </w:rPr>
        <w:t>0.1</w:t>
      </w:r>
      <w:r>
        <w:rPr>
          <w:rFonts w:hint="eastAsia"/>
          <w:color w:val="auto"/>
          <w:szCs w:val="21"/>
          <w:highlight w:val="none"/>
        </w:rPr>
        <w:t>变更的范围</w:t>
      </w:r>
    </w:p>
    <w:p w14:paraId="556E99F8">
      <w:pPr>
        <w:spacing w:line="460" w:lineRule="exact"/>
        <w:ind w:firstLine="420" w:firstLineChars="200"/>
        <w:rPr>
          <w:color w:val="auto"/>
          <w:szCs w:val="21"/>
          <w:highlight w:val="none"/>
        </w:rPr>
      </w:pPr>
      <w:r>
        <w:rPr>
          <w:rFonts w:hint="eastAsia"/>
          <w:color w:val="auto"/>
          <w:szCs w:val="21"/>
          <w:highlight w:val="none"/>
        </w:rPr>
        <w:t>关于变更的范围的约定：</w:t>
      </w:r>
      <w:r>
        <w:rPr>
          <w:color w:val="auto"/>
          <w:szCs w:val="21"/>
          <w:highlight w:val="none"/>
          <w:u w:val="single"/>
        </w:rPr>
        <w:t xml:space="preserve">   </w:t>
      </w:r>
      <w:r>
        <w:rPr>
          <w:rFonts w:hint="eastAsia"/>
          <w:color w:val="auto"/>
          <w:szCs w:val="21"/>
          <w:highlight w:val="none"/>
          <w:u w:val="single"/>
        </w:rPr>
        <w:t>按通用条款约定</w:t>
      </w:r>
      <w:r>
        <w:rPr>
          <w:color w:val="auto"/>
          <w:szCs w:val="21"/>
          <w:highlight w:val="none"/>
          <w:u w:val="single"/>
        </w:rPr>
        <w:t xml:space="preserve"> </w:t>
      </w:r>
      <w:r>
        <w:rPr>
          <w:rFonts w:hint="eastAsia"/>
          <w:color w:val="auto"/>
          <w:szCs w:val="21"/>
          <w:highlight w:val="none"/>
        </w:rPr>
        <w:t>。</w:t>
      </w:r>
    </w:p>
    <w:p w14:paraId="21ABA4BB">
      <w:pPr>
        <w:spacing w:line="460" w:lineRule="exact"/>
        <w:ind w:firstLine="420" w:firstLineChars="200"/>
        <w:rPr>
          <w:rFonts w:hint="eastAsia"/>
          <w:color w:val="auto"/>
          <w:szCs w:val="21"/>
          <w:highlight w:val="none"/>
        </w:rPr>
      </w:pPr>
      <w:r>
        <w:rPr>
          <w:rFonts w:hint="eastAsia"/>
          <w:color w:val="auto"/>
          <w:szCs w:val="21"/>
          <w:highlight w:val="none"/>
          <w:u w:val="single"/>
        </w:rPr>
        <w:t>监理单位、承包人、设计单位根据工程需要提出工程变更，需由发包人技术组组织审核其必要性、技术性、可行性、经济性等。设计单位出具变更通知单或变更图纸应经发包人审核同意签字盖章后，方可按工程变更实施。</w:t>
      </w:r>
    </w:p>
    <w:p w14:paraId="539B5569">
      <w:pPr>
        <w:spacing w:line="460" w:lineRule="exact"/>
        <w:ind w:firstLine="420" w:firstLineChars="200"/>
        <w:rPr>
          <w:rFonts w:hint="eastAsia"/>
          <w:color w:val="auto"/>
          <w:szCs w:val="21"/>
          <w:highlight w:val="none"/>
        </w:rPr>
      </w:pPr>
      <w:r>
        <w:rPr>
          <w:rFonts w:hint="eastAsia"/>
          <w:color w:val="auto"/>
          <w:szCs w:val="21"/>
          <w:highlight w:val="none"/>
          <w:u w:val="single"/>
        </w:rPr>
        <w:t>承包人不得随意更改设计，因承包人自身原因导致的工程变更，承包人无权要求追加合同价款。</w:t>
      </w:r>
    </w:p>
    <w:p w14:paraId="7D3032FB">
      <w:pPr>
        <w:spacing w:line="460" w:lineRule="exact"/>
        <w:ind w:firstLine="420" w:firstLineChars="200"/>
        <w:rPr>
          <w:rFonts w:hint="eastAsia"/>
          <w:color w:val="auto"/>
          <w:szCs w:val="21"/>
          <w:highlight w:val="none"/>
        </w:rPr>
      </w:pPr>
      <w:r>
        <w:rPr>
          <w:rFonts w:hint="eastAsia"/>
          <w:color w:val="auto"/>
          <w:szCs w:val="21"/>
          <w:highlight w:val="none"/>
          <w:u w:val="single"/>
        </w:rPr>
        <w:t>如承包人擅自变更施工，发包人有权对其进行处罚，视情节严重每次处以0.5万～1万元的处罚。</w:t>
      </w:r>
    </w:p>
    <w:p w14:paraId="0A785E7B">
      <w:pPr>
        <w:spacing w:line="460" w:lineRule="exact"/>
        <w:ind w:firstLine="420" w:firstLineChars="200"/>
        <w:rPr>
          <w:rFonts w:hint="eastAsia"/>
          <w:color w:val="auto"/>
          <w:szCs w:val="21"/>
          <w:highlight w:val="none"/>
        </w:rPr>
      </w:pPr>
      <w:r>
        <w:rPr>
          <w:rFonts w:hint="eastAsia"/>
          <w:color w:val="auto"/>
          <w:szCs w:val="21"/>
          <w:highlight w:val="none"/>
        </w:rPr>
        <w:t>10.3变更程序</w:t>
      </w:r>
    </w:p>
    <w:p w14:paraId="1FA2DBDE">
      <w:pPr>
        <w:spacing w:line="460" w:lineRule="exact"/>
        <w:ind w:firstLine="420" w:firstLineChars="200"/>
        <w:rPr>
          <w:color w:val="auto"/>
          <w:szCs w:val="21"/>
          <w:highlight w:val="none"/>
        </w:rPr>
      </w:pPr>
      <w:r>
        <w:rPr>
          <w:rFonts w:hint="eastAsia"/>
          <w:color w:val="auto"/>
          <w:szCs w:val="21"/>
          <w:highlight w:val="none"/>
          <w:u w:val="single"/>
        </w:rPr>
        <w:t>承包人在工程变更确定后14天内，提出变更工程价款的报告，经监理工程师签证，发包人批准后方可进行</w:t>
      </w:r>
      <w:r>
        <w:rPr>
          <w:color w:val="auto"/>
          <w:szCs w:val="21"/>
          <w:highlight w:val="none"/>
          <w:u w:val="single"/>
        </w:rPr>
        <w:t>10.4 变更估价</w:t>
      </w:r>
      <w:r>
        <w:rPr>
          <w:rFonts w:hint="eastAsia"/>
          <w:color w:val="auto"/>
          <w:szCs w:val="21"/>
          <w:highlight w:val="none"/>
          <w:u w:val="single"/>
        </w:rPr>
        <w:t>。</w:t>
      </w:r>
    </w:p>
    <w:p w14:paraId="7D7D94AB">
      <w:pPr>
        <w:spacing w:line="460" w:lineRule="exact"/>
        <w:ind w:firstLine="420" w:firstLineChars="200"/>
        <w:rPr>
          <w:color w:val="auto"/>
          <w:szCs w:val="21"/>
          <w:highlight w:val="none"/>
        </w:rPr>
      </w:pPr>
      <w:r>
        <w:rPr>
          <w:rFonts w:hint="eastAsia"/>
          <w:color w:val="auto"/>
          <w:szCs w:val="21"/>
          <w:highlight w:val="none"/>
        </w:rPr>
        <w:t>10.4 变更估价</w:t>
      </w:r>
    </w:p>
    <w:p w14:paraId="61B8D0AF">
      <w:pPr>
        <w:spacing w:line="460" w:lineRule="exact"/>
        <w:ind w:firstLine="420" w:firstLineChars="200"/>
        <w:rPr>
          <w:color w:val="auto"/>
          <w:szCs w:val="21"/>
          <w:highlight w:val="none"/>
        </w:rPr>
      </w:pPr>
      <w:r>
        <w:rPr>
          <w:rFonts w:hint="eastAsia"/>
          <w:color w:val="auto"/>
          <w:szCs w:val="21"/>
          <w:highlight w:val="none"/>
        </w:rPr>
        <w:t>10.4.1 变更估价原则</w:t>
      </w:r>
    </w:p>
    <w:p w14:paraId="133661FB">
      <w:pPr>
        <w:spacing w:line="460" w:lineRule="exact"/>
        <w:ind w:firstLine="420" w:firstLineChars="200"/>
        <w:rPr>
          <w:color w:val="auto"/>
          <w:szCs w:val="21"/>
          <w:highlight w:val="none"/>
        </w:rPr>
      </w:pPr>
      <w:r>
        <w:rPr>
          <w:rFonts w:hint="eastAsia"/>
          <w:color w:val="auto"/>
          <w:szCs w:val="21"/>
          <w:highlight w:val="none"/>
        </w:rPr>
        <w:t>关于变更估价的约定</w:t>
      </w:r>
      <w:r>
        <w:rPr>
          <w:rFonts w:hint="eastAsia"/>
          <w:color w:val="auto"/>
          <w:szCs w:val="21"/>
          <w:highlight w:val="none"/>
          <w:lang w:eastAsia="zh-CN"/>
        </w:rPr>
        <w:t>：</w:t>
      </w:r>
      <w:r>
        <w:rPr>
          <w:color w:val="auto"/>
          <w:szCs w:val="21"/>
          <w:highlight w:val="none"/>
        </w:rPr>
        <w:t xml:space="preserve"> </w:t>
      </w:r>
      <w:r>
        <w:rPr>
          <w:rFonts w:hint="eastAsia"/>
          <w:color w:val="auto"/>
          <w:szCs w:val="21"/>
          <w:highlight w:val="none"/>
        </w:rPr>
        <w:t>按本合同条款中第12.1相应条款执行</w:t>
      </w:r>
    </w:p>
    <w:p w14:paraId="563D2C1B">
      <w:pPr>
        <w:spacing w:after="120" w:line="460" w:lineRule="exact"/>
        <w:ind w:firstLine="420" w:firstLineChars="200"/>
        <w:rPr>
          <w:color w:val="auto"/>
          <w:szCs w:val="21"/>
          <w:highlight w:val="none"/>
        </w:rPr>
      </w:pPr>
      <w:r>
        <w:rPr>
          <w:color w:val="auto"/>
          <w:szCs w:val="21"/>
          <w:highlight w:val="none"/>
        </w:rPr>
        <w:t>1</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2" w:name="_Toc296347196"/>
      <w:bookmarkStart w:id="333" w:name="_Toc292559402"/>
      <w:bookmarkStart w:id="334" w:name="_Toc296944536"/>
      <w:bookmarkStart w:id="335" w:name="_Toc296891025"/>
      <w:bookmarkStart w:id="336" w:name="_Toc292559907"/>
      <w:bookmarkStart w:id="337" w:name="_Toc297120497"/>
      <w:bookmarkStart w:id="338" w:name="_Toc303539150"/>
      <w:bookmarkStart w:id="339" w:name="_Toc297048383"/>
      <w:bookmarkStart w:id="340" w:name="_Toc296891237"/>
      <w:bookmarkStart w:id="341" w:name="_Toc296346698"/>
      <w:bookmarkStart w:id="342" w:name="_Toc297123544"/>
      <w:bookmarkStart w:id="343" w:name="_Toc297216203"/>
      <w:bookmarkStart w:id="344" w:name="_Toc300934993"/>
      <w:bookmarkStart w:id="345" w:name="_Toc296503197"/>
      <w:bookmarkStart w:id="346" w:name="_Toc312677503"/>
      <w:bookmarkStart w:id="347" w:name="_Toc312678029"/>
      <w:bookmarkStart w:id="348" w:name="_Toc304295570"/>
      <w:r>
        <w:rPr>
          <w:color w:val="auto"/>
          <w:szCs w:val="21"/>
          <w:highlight w:val="none"/>
        </w:rPr>
        <w:t>0.5</w:t>
      </w:r>
      <w:r>
        <w:rPr>
          <w:rFonts w:hint="eastAsia"/>
          <w:color w:val="auto"/>
          <w:szCs w:val="21"/>
          <w:highlight w:val="none"/>
        </w:rPr>
        <w:t>承</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Start w:id="349" w:name="_Toc296891031"/>
      <w:bookmarkStart w:id="350" w:name="_Toc297120503"/>
      <w:bookmarkStart w:id="351" w:name="_Toc300934994"/>
      <w:bookmarkStart w:id="352" w:name="_Toc292559913"/>
      <w:bookmarkStart w:id="353" w:name="_Toc297123545"/>
      <w:bookmarkStart w:id="354" w:name="_Toc297216204"/>
      <w:bookmarkStart w:id="355" w:name="_Toc292559408"/>
      <w:bookmarkStart w:id="356" w:name="_Toc296944542"/>
      <w:bookmarkStart w:id="357" w:name="_Toc296891243"/>
      <w:bookmarkStart w:id="358" w:name="_Toc297048389"/>
      <w:bookmarkStart w:id="359" w:name="_Toc296346704"/>
      <w:bookmarkStart w:id="360" w:name="_Toc296503203"/>
      <w:bookmarkStart w:id="361" w:name="_Toc296347202"/>
      <w:bookmarkStart w:id="362" w:name="_Toc303539151"/>
      <w:r>
        <w:rPr>
          <w:rFonts w:hint="eastAsia"/>
          <w:color w:val="auto"/>
          <w:szCs w:val="21"/>
          <w:highlight w:val="none"/>
        </w:rPr>
        <w:t>包人的合理化建议</w:t>
      </w:r>
    </w:p>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14:paraId="4EA87241">
      <w:pPr>
        <w:spacing w:line="460" w:lineRule="exact"/>
        <w:ind w:firstLine="420" w:firstLineChars="200"/>
        <w:rPr>
          <w:color w:val="auto"/>
          <w:szCs w:val="21"/>
          <w:highlight w:val="none"/>
        </w:rPr>
      </w:pPr>
      <w:r>
        <w:rPr>
          <w:rFonts w:hint="eastAsia"/>
          <w:color w:val="auto"/>
          <w:szCs w:val="21"/>
          <w:highlight w:val="none"/>
        </w:rPr>
        <w:t>监理人审查承包人合理化建议的期限：</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3C5B118B">
      <w:pPr>
        <w:spacing w:line="460" w:lineRule="exact"/>
        <w:ind w:firstLine="420" w:firstLineChars="200"/>
        <w:rPr>
          <w:color w:val="auto"/>
          <w:szCs w:val="21"/>
          <w:highlight w:val="none"/>
        </w:rPr>
      </w:pPr>
      <w:r>
        <w:rPr>
          <w:rFonts w:hint="eastAsia"/>
          <w:color w:val="auto"/>
          <w:szCs w:val="21"/>
          <w:highlight w:val="none"/>
        </w:rPr>
        <w:t>发包人审批承包人合理化建议的期限：</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5634E4B1">
      <w:pPr>
        <w:spacing w:line="460" w:lineRule="exact"/>
        <w:rPr>
          <w:color w:val="auto"/>
          <w:szCs w:val="21"/>
          <w:highlight w:val="none"/>
          <w:u w:val="single"/>
        </w:rPr>
      </w:pPr>
      <w:r>
        <w:rPr>
          <w:rFonts w:hint="eastAsia"/>
          <w:color w:val="auto"/>
          <w:szCs w:val="21"/>
          <w:highlight w:val="none"/>
        </w:rPr>
        <w:t xml:space="preserve">    承</w:t>
      </w:r>
      <w:bookmarkStart w:id="363" w:name="_Toc312677504"/>
      <w:bookmarkStart w:id="364" w:name="_Toc292559914"/>
      <w:bookmarkStart w:id="365" w:name="_Toc296503204"/>
      <w:bookmarkStart w:id="366" w:name="_Toc303539152"/>
      <w:bookmarkStart w:id="367" w:name="_Toc292559409"/>
      <w:bookmarkStart w:id="368" w:name="_Toc318581175"/>
      <w:bookmarkStart w:id="369" w:name="_Toc297216205"/>
      <w:bookmarkStart w:id="370" w:name="_Toc296891032"/>
      <w:bookmarkStart w:id="371" w:name="_Toc297120504"/>
      <w:bookmarkStart w:id="372" w:name="_Toc296346705"/>
      <w:bookmarkStart w:id="373" w:name="_Toc304295571"/>
      <w:bookmarkStart w:id="374" w:name="_Toc312678030"/>
      <w:bookmarkStart w:id="375" w:name="_Toc296891244"/>
      <w:bookmarkStart w:id="376" w:name="_Toc296944543"/>
      <w:bookmarkStart w:id="377" w:name="_Toc297123546"/>
      <w:bookmarkStart w:id="378" w:name="_Toc297048390"/>
      <w:bookmarkStart w:id="379" w:name="_Toc300934995"/>
      <w:bookmarkStart w:id="380" w:name="_Toc296347203"/>
      <w:r>
        <w:rPr>
          <w:rFonts w:hint="eastAsia"/>
          <w:color w:val="auto"/>
          <w:szCs w:val="21"/>
          <w:highlight w:val="none"/>
        </w:rPr>
        <w:t>包人提出的合理化建议降低了合同价格或者提高了工程经济效益的奖励的方法和金额为：</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14:paraId="3933D0D6">
      <w:pPr>
        <w:spacing w:line="460" w:lineRule="exact"/>
        <w:ind w:firstLine="420" w:firstLineChars="200"/>
        <w:rPr>
          <w:color w:val="auto"/>
          <w:szCs w:val="21"/>
          <w:highlight w:val="none"/>
        </w:rPr>
      </w:pPr>
      <w:r>
        <w:rPr>
          <w:color w:val="auto"/>
          <w:szCs w:val="21"/>
          <w:highlight w:val="none"/>
        </w:rPr>
        <w:t>1</w:t>
      </w:r>
      <w:bookmarkStart w:id="381" w:name="_Toc296891027"/>
      <w:bookmarkStart w:id="382" w:name="_Toc296944538"/>
      <w:bookmarkStart w:id="383" w:name="_Toc292559404"/>
      <w:bookmarkStart w:id="384" w:name="_Toc296347198"/>
      <w:bookmarkStart w:id="385" w:name="_Toc300934997"/>
      <w:bookmarkStart w:id="386" w:name="_Toc297048385"/>
      <w:bookmarkStart w:id="387" w:name="_Toc304295574"/>
      <w:bookmarkStart w:id="388" w:name="_Toc297120499"/>
      <w:bookmarkStart w:id="389" w:name="_Toc303539154"/>
      <w:bookmarkStart w:id="390" w:name="_Toc292559909"/>
      <w:bookmarkStart w:id="391" w:name="_Toc296503199"/>
      <w:bookmarkStart w:id="392" w:name="_Toc297123548"/>
      <w:bookmarkStart w:id="393" w:name="_Toc296346700"/>
      <w:bookmarkStart w:id="394" w:name="_Toc296891239"/>
      <w:bookmarkStart w:id="395" w:name="_Toc312678033"/>
      <w:bookmarkStart w:id="396" w:name="_Toc297216207"/>
      <w:bookmarkStart w:id="397" w:name="_Toc312677507"/>
      <w:r>
        <w:rPr>
          <w:color w:val="auto"/>
          <w:szCs w:val="21"/>
          <w:highlight w:val="none"/>
        </w:rPr>
        <w:t xml:space="preserve">0.7 </w:t>
      </w:r>
      <w:r>
        <w:rPr>
          <w:rFonts w:hint="eastAsia"/>
          <w:color w:val="auto"/>
          <w:szCs w:val="21"/>
          <w:highlight w:val="none"/>
        </w:rPr>
        <w:t>暂估价</w:t>
      </w:r>
    </w:p>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14:paraId="5787F612">
      <w:pPr>
        <w:spacing w:line="460" w:lineRule="exact"/>
        <w:ind w:firstLine="420" w:firstLineChars="200"/>
        <w:rPr>
          <w:color w:val="auto"/>
          <w:szCs w:val="21"/>
          <w:highlight w:val="none"/>
          <w:u w:val="single"/>
        </w:rPr>
      </w:pPr>
      <w:r>
        <w:rPr>
          <w:rFonts w:hint="eastAsia"/>
          <w:color w:val="auto"/>
          <w:szCs w:val="21"/>
          <w:highlight w:val="none"/>
        </w:rPr>
        <w:t>暂</w:t>
      </w:r>
      <w:bookmarkStart w:id="398" w:name="_Toc312678034"/>
      <w:bookmarkStart w:id="399" w:name="_Toc318581176"/>
      <w:bookmarkStart w:id="400" w:name="_Toc312677508"/>
      <w:r>
        <w:rPr>
          <w:rFonts w:hint="eastAsia"/>
          <w:color w:val="auto"/>
          <w:szCs w:val="21"/>
          <w:highlight w:val="none"/>
        </w:rPr>
        <w:t>估价材料和工程设备的明细详见附件</w:t>
      </w:r>
      <w:r>
        <w:rPr>
          <w:color w:val="auto"/>
          <w:szCs w:val="21"/>
          <w:highlight w:val="none"/>
        </w:rPr>
        <w:t>11</w:t>
      </w:r>
      <w:r>
        <w:rPr>
          <w:rFonts w:hint="eastAsia"/>
          <w:color w:val="auto"/>
          <w:szCs w:val="21"/>
          <w:highlight w:val="none"/>
        </w:rPr>
        <w:t>：</w:t>
      </w:r>
      <w:r>
        <w:rPr>
          <w:rFonts w:hint="eastAsia"/>
          <w:color w:val="auto"/>
          <w:szCs w:val="21"/>
          <w:highlight w:val="none"/>
          <w:u w:val="single"/>
        </w:rPr>
        <w:t>《暂估价一览表》。</w:t>
      </w:r>
    </w:p>
    <w:bookmarkEnd w:id="398"/>
    <w:bookmarkEnd w:id="399"/>
    <w:bookmarkEnd w:id="400"/>
    <w:p w14:paraId="66531235">
      <w:pPr>
        <w:spacing w:line="460" w:lineRule="exact"/>
        <w:ind w:firstLine="420" w:firstLineChars="200"/>
        <w:rPr>
          <w:color w:val="auto"/>
          <w:szCs w:val="21"/>
          <w:highlight w:val="none"/>
        </w:rPr>
      </w:pPr>
      <w:r>
        <w:rPr>
          <w:color w:val="auto"/>
          <w:szCs w:val="21"/>
          <w:highlight w:val="none"/>
        </w:rPr>
        <w:t>1</w:t>
      </w:r>
      <w:bookmarkStart w:id="401" w:name="_Toc312677509"/>
      <w:bookmarkStart w:id="402" w:name="_Toc312678035"/>
      <w:bookmarkStart w:id="403" w:name="_Toc318581177"/>
      <w:r>
        <w:rPr>
          <w:color w:val="auto"/>
          <w:szCs w:val="21"/>
          <w:highlight w:val="none"/>
        </w:rPr>
        <w:t xml:space="preserve">0.7.1 </w:t>
      </w:r>
      <w:r>
        <w:rPr>
          <w:rFonts w:hint="eastAsia"/>
          <w:color w:val="auto"/>
          <w:szCs w:val="21"/>
          <w:highlight w:val="none"/>
        </w:rPr>
        <w:t>依法必须招标的暂估价项目</w:t>
      </w:r>
    </w:p>
    <w:bookmarkEnd w:id="401"/>
    <w:bookmarkEnd w:id="402"/>
    <w:bookmarkEnd w:id="403"/>
    <w:p w14:paraId="059161BB">
      <w:pPr>
        <w:spacing w:line="460" w:lineRule="exact"/>
        <w:ind w:firstLine="420" w:firstLineChars="200"/>
        <w:rPr>
          <w:color w:val="auto"/>
          <w:szCs w:val="21"/>
          <w:highlight w:val="none"/>
        </w:rPr>
      </w:pPr>
      <w:r>
        <w:rPr>
          <w:rFonts w:hint="eastAsia"/>
          <w:color w:val="auto"/>
          <w:szCs w:val="21"/>
          <w:highlight w:val="none"/>
        </w:rPr>
        <w:t>对于依法必须招标的暂估价项目的确认和批准采取第</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种方式确定。</w:t>
      </w:r>
    </w:p>
    <w:p w14:paraId="62B3BFED">
      <w:pPr>
        <w:spacing w:line="460" w:lineRule="exact"/>
        <w:ind w:firstLine="420" w:firstLineChars="200"/>
        <w:rPr>
          <w:color w:val="auto"/>
          <w:szCs w:val="21"/>
          <w:highlight w:val="none"/>
        </w:rPr>
      </w:pPr>
      <w:r>
        <w:rPr>
          <w:color w:val="auto"/>
          <w:szCs w:val="21"/>
          <w:highlight w:val="none"/>
        </w:rPr>
        <w:t xml:space="preserve">10.7.2 </w:t>
      </w:r>
      <w:r>
        <w:rPr>
          <w:rFonts w:hint="eastAsia"/>
          <w:color w:val="auto"/>
          <w:szCs w:val="21"/>
          <w:highlight w:val="none"/>
        </w:rPr>
        <w:t>不属于依法必须招标的暂估价项目</w:t>
      </w:r>
    </w:p>
    <w:p w14:paraId="1A4A1553">
      <w:pPr>
        <w:spacing w:line="460" w:lineRule="exact"/>
        <w:ind w:firstLine="420" w:firstLineChars="200"/>
        <w:rPr>
          <w:color w:val="auto"/>
          <w:szCs w:val="21"/>
          <w:highlight w:val="none"/>
        </w:rPr>
      </w:pPr>
      <w:r>
        <w:rPr>
          <w:rFonts w:hint="eastAsia"/>
          <w:color w:val="auto"/>
          <w:szCs w:val="21"/>
          <w:highlight w:val="none"/>
        </w:rPr>
        <w:t>对于不属于依法必须招标的暂估价项目的确认和批准采取第</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u w:val="single"/>
        </w:rPr>
        <w:t>种</w:t>
      </w:r>
      <w:r>
        <w:rPr>
          <w:rFonts w:hint="eastAsia"/>
          <w:color w:val="auto"/>
          <w:szCs w:val="21"/>
          <w:highlight w:val="none"/>
        </w:rPr>
        <w:t>方式确定。</w:t>
      </w:r>
    </w:p>
    <w:p w14:paraId="69361E1C">
      <w:pPr>
        <w:spacing w:line="460" w:lineRule="exact"/>
        <w:ind w:firstLine="420" w:firstLineChars="200"/>
        <w:rPr>
          <w:color w:val="auto"/>
          <w:szCs w:val="21"/>
          <w:highlight w:val="none"/>
        </w:rPr>
      </w:pPr>
      <w:r>
        <w:rPr>
          <w:rFonts w:hint="eastAsia"/>
          <w:color w:val="auto"/>
          <w:szCs w:val="21"/>
          <w:highlight w:val="none"/>
        </w:rPr>
        <w:t>第</w:t>
      </w:r>
      <w:r>
        <w:rPr>
          <w:color w:val="auto"/>
          <w:szCs w:val="21"/>
          <w:highlight w:val="none"/>
        </w:rPr>
        <w:t>3</w:t>
      </w:r>
      <w:r>
        <w:rPr>
          <w:rFonts w:hint="eastAsia"/>
          <w:color w:val="auto"/>
          <w:szCs w:val="21"/>
          <w:highlight w:val="none"/>
        </w:rPr>
        <w:t>种方式：承包人直接实施的暂估价项目</w:t>
      </w:r>
    </w:p>
    <w:p w14:paraId="4C7D4236">
      <w:pPr>
        <w:spacing w:line="460" w:lineRule="exact"/>
        <w:ind w:firstLine="420" w:firstLineChars="200"/>
        <w:rPr>
          <w:color w:val="auto"/>
          <w:szCs w:val="21"/>
          <w:highlight w:val="none"/>
          <w:u w:val="single"/>
        </w:rPr>
      </w:pPr>
      <w:bookmarkStart w:id="404" w:name="_Toc351203643"/>
      <w:r>
        <w:rPr>
          <w:rFonts w:hint="eastAsia"/>
          <w:color w:val="auto"/>
          <w:szCs w:val="21"/>
          <w:highlight w:val="none"/>
        </w:rPr>
        <w:t>工程招</w:t>
      </w:r>
      <w:r>
        <w:rPr>
          <w:rFonts w:hint="eastAsia"/>
          <w:color w:val="auto"/>
          <w:szCs w:val="21"/>
          <w:highlight w:val="none"/>
          <w:lang w:val="zh-CN" w:eastAsia="zh-CN"/>
        </w:rPr>
        <w:t>标时暂估价材料竣工结算办法：</w:t>
      </w:r>
      <w:r>
        <w:rPr>
          <w:rFonts w:hint="eastAsia"/>
          <w:color w:val="auto"/>
          <w:szCs w:val="21"/>
          <w:highlight w:val="none"/>
          <w:u w:val="single"/>
        </w:rPr>
        <w:t>承包人在投标报价时擅自改变暂估价或暂列金额且评审时未被发现，报价低于暂估价或暂列金额结算时统一按招标文件明</w:t>
      </w:r>
      <w:r>
        <w:rPr>
          <w:rFonts w:hint="eastAsia"/>
          <w:color w:val="auto"/>
          <w:szCs w:val="21"/>
          <w:highlight w:val="none"/>
          <w:u w:val="single"/>
          <w:lang w:eastAsia="zh-CN"/>
        </w:rPr>
        <w:t>确的</w:t>
      </w:r>
      <w:r>
        <w:rPr>
          <w:rFonts w:hint="eastAsia"/>
          <w:color w:val="auto"/>
          <w:szCs w:val="21"/>
          <w:highlight w:val="none"/>
          <w:u w:val="single"/>
        </w:rPr>
        <w:t>暂估价或暂列金额扣除，报价高于暂估价或暂列金额时统一按报价扣除。</w:t>
      </w:r>
    </w:p>
    <w:p w14:paraId="6E964CF0">
      <w:pPr>
        <w:spacing w:line="460" w:lineRule="exact"/>
        <w:ind w:firstLine="420" w:firstLineChars="200"/>
        <w:rPr>
          <w:color w:val="auto"/>
          <w:szCs w:val="21"/>
          <w:highlight w:val="none"/>
        </w:rPr>
      </w:pPr>
      <w:r>
        <w:rPr>
          <w:rFonts w:hint="eastAsia"/>
          <w:color w:val="auto"/>
          <w:szCs w:val="21"/>
          <w:highlight w:val="none"/>
        </w:rPr>
        <w:t>10.8 暂列金额</w:t>
      </w:r>
    </w:p>
    <w:p w14:paraId="0FBD3194">
      <w:pPr>
        <w:spacing w:line="460" w:lineRule="exact"/>
        <w:ind w:firstLine="420" w:firstLineChars="200"/>
        <w:rPr>
          <w:b/>
          <w:color w:val="auto"/>
          <w:szCs w:val="21"/>
          <w:highlight w:val="none"/>
        </w:rPr>
      </w:pPr>
      <w:r>
        <w:rPr>
          <w:rFonts w:hint="eastAsia"/>
          <w:color w:val="auto"/>
          <w:szCs w:val="21"/>
          <w:highlight w:val="none"/>
        </w:rPr>
        <w:t>合同当事人关于暂列金额使用的约定：</w:t>
      </w:r>
      <w:r>
        <w:rPr>
          <w:rFonts w:hint="eastAsia"/>
          <w:b/>
          <w:color w:val="auto"/>
          <w:szCs w:val="21"/>
          <w:highlight w:val="none"/>
          <w:u w:val="single"/>
        </w:rPr>
        <w:t>暂列金额使用权归发包人，支付工程款时从合同价中扣除，结算时从合同价中扣除。</w:t>
      </w:r>
    </w:p>
    <w:p w14:paraId="61DD281E">
      <w:pPr>
        <w:keepNext/>
        <w:keepLines/>
        <w:widowControl w:val="0"/>
        <w:adjustRightInd w:val="0"/>
        <w:spacing w:before="120" w:after="120" w:line="460" w:lineRule="exact"/>
        <w:textAlignment w:val="baseline"/>
        <w:outlineLvl w:val="3"/>
        <w:rPr>
          <w:b/>
          <w:color w:val="auto"/>
          <w:szCs w:val="21"/>
          <w:highlight w:val="none"/>
        </w:rPr>
      </w:pPr>
      <w:r>
        <w:rPr>
          <w:b/>
          <w:color w:val="auto"/>
          <w:szCs w:val="21"/>
          <w:highlight w:val="none"/>
        </w:rPr>
        <w:t xml:space="preserve">11. </w:t>
      </w:r>
      <w:r>
        <w:rPr>
          <w:rFonts w:hint="eastAsia"/>
          <w:b/>
          <w:color w:val="auto"/>
          <w:szCs w:val="21"/>
          <w:highlight w:val="none"/>
        </w:rPr>
        <w:t>价格调整</w:t>
      </w:r>
      <w:bookmarkEnd w:id="404"/>
    </w:p>
    <w:bookmarkEnd w:id="308"/>
    <w:bookmarkEnd w:id="309"/>
    <w:bookmarkEnd w:id="310"/>
    <w:bookmarkEnd w:id="311"/>
    <w:bookmarkEnd w:id="312"/>
    <w:bookmarkEnd w:id="313"/>
    <w:p w14:paraId="51C73760">
      <w:pPr>
        <w:autoSpaceDE w:val="0"/>
        <w:autoSpaceDN w:val="0"/>
        <w:adjustRightInd w:val="0"/>
        <w:spacing w:line="460" w:lineRule="exact"/>
        <w:ind w:firstLine="480"/>
        <w:rPr>
          <w:b/>
          <w:color w:val="auto"/>
          <w:szCs w:val="21"/>
          <w:highlight w:val="none"/>
        </w:rPr>
      </w:pPr>
      <w:bookmarkStart w:id="405" w:name="_Toc297048391"/>
      <w:bookmarkStart w:id="406" w:name="_Toc292559410"/>
      <w:bookmarkStart w:id="407" w:name="_Toc297120505"/>
      <w:bookmarkStart w:id="408" w:name="_Toc296891033"/>
      <w:bookmarkStart w:id="409" w:name="_Toc296346706"/>
      <w:bookmarkStart w:id="410" w:name="_Toc296347204"/>
      <w:bookmarkStart w:id="411" w:name="_Toc296503205"/>
      <w:bookmarkStart w:id="412" w:name="_Toc292559915"/>
      <w:bookmarkStart w:id="413" w:name="_Toc296944544"/>
      <w:bookmarkStart w:id="414" w:name="_Toc296891245"/>
      <w:bookmarkStart w:id="415" w:name="_Toc351203644"/>
      <w:bookmarkStart w:id="416" w:name="_Toc300935002"/>
      <w:bookmarkStart w:id="417" w:name="_Toc297123552"/>
      <w:bookmarkStart w:id="418" w:name="_Toc312678040"/>
      <w:bookmarkStart w:id="419" w:name="_Toc304295579"/>
      <w:bookmarkStart w:id="420" w:name="_Toc303539159"/>
      <w:bookmarkStart w:id="421" w:name="_Toc297216211"/>
      <w:r>
        <w:rPr>
          <w:color w:val="auto"/>
          <w:szCs w:val="21"/>
          <w:highlight w:val="none"/>
          <w:lang w:val="zh-CN" w:eastAsia="zh-CN"/>
        </w:rPr>
        <w:t>市场价格波动是否调整合同价格的约定：</w:t>
      </w:r>
      <w:r>
        <w:rPr>
          <w:rFonts w:hint="eastAsia"/>
          <w:b/>
          <w:color w:val="auto"/>
          <w:szCs w:val="21"/>
          <w:highlight w:val="none"/>
          <w:u w:val="single"/>
        </w:rPr>
        <w:t xml:space="preserve"> 详见本合同专用条款12.1条  。 </w:t>
      </w:r>
      <w:r>
        <w:rPr>
          <w:rFonts w:hint="eastAsia"/>
          <w:b/>
          <w:color w:val="auto"/>
          <w:szCs w:val="21"/>
          <w:highlight w:val="none"/>
        </w:rPr>
        <w:t xml:space="preserve">  </w:t>
      </w:r>
    </w:p>
    <w:p w14:paraId="23414F40">
      <w:pPr>
        <w:keepNext/>
        <w:keepLines/>
        <w:widowControl w:val="0"/>
        <w:adjustRightInd w:val="0"/>
        <w:spacing w:before="120" w:after="120" w:line="460" w:lineRule="exact"/>
        <w:textAlignment w:val="baseline"/>
        <w:outlineLvl w:val="3"/>
        <w:rPr>
          <w:b/>
          <w:color w:val="auto"/>
          <w:szCs w:val="21"/>
          <w:highlight w:val="none"/>
        </w:rPr>
      </w:pPr>
      <w:r>
        <w:rPr>
          <w:b/>
          <w:color w:val="auto"/>
          <w:szCs w:val="21"/>
          <w:highlight w:val="none"/>
        </w:rPr>
        <w:t xml:space="preserve">12. </w:t>
      </w:r>
      <w:bookmarkEnd w:id="405"/>
      <w:bookmarkEnd w:id="406"/>
      <w:bookmarkEnd w:id="407"/>
      <w:bookmarkEnd w:id="408"/>
      <w:bookmarkEnd w:id="409"/>
      <w:bookmarkEnd w:id="410"/>
      <w:bookmarkEnd w:id="411"/>
      <w:bookmarkEnd w:id="412"/>
      <w:bookmarkEnd w:id="413"/>
      <w:bookmarkEnd w:id="414"/>
      <w:r>
        <w:rPr>
          <w:rFonts w:hint="eastAsia"/>
          <w:b/>
          <w:color w:val="auto"/>
          <w:szCs w:val="21"/>
          <w:highlight w:val="none"/>
        </w:rPr>
        <w:t>合同价格、计量与支付</w:t>
      </w:r>
      <w:bookmarkEnd w:id="415"/>
    </w:p>
    <w:bookmarkEnd w:id="416"/>
    <w:bookmarkEnd w:id="417"/>
    <w:bookmarkEnd w:id="418"/>
    <w:bookmarkEnd w:id="419"/>
    <w:bookmarkEnd w:id="420"/>
    <w:bookmarkEnd w:id="421"/>
    <w:p w14:paraId="15AF443B">
      <w:pPr>
        <w:spacing w:line="460" w:lineRule="exact"/>
        <w:ind w:firstLine="420" w:firstLineChars="200"/>
        <w:rPr>
          <w:color w:val="auto"/>
          <w:szCs w:val="21"/>
          <w:highlight w:val="none"/>
        </w:rPr>
      </w:pPr>
      <w:bookmarkStart w:id="422" w:name="_Toc267251461"/>
      <w:bookmarkStart w:id="423" w:name="_Toc292559411"/>
      <w:bookmarkStart w:id="424" w:name="_Toc292559916"/>
      <w:bookmarkStart w:id="425" w:name="_Toc297120506"/>
      <w:bookmarkStart w:id="426" w:name="_Toc297048392"/>
      <w:bookmarkStart w:id="427" w:name="_Toc296944545"/>
      <w:bookmarkStart w:id="428" w:name="_Toc296891246"/>
      <w:bookmarkStart w:id="429" w:name="_Toc296347205"/>
      <w:bookmarkStart w:id="430" w:name="_Toc296346707"/>
      <w:bookmarkStart w:id="431" w:name="_Toc296503206"/>
      <w:bookmarkStart w:id="432" w:name="_Toc296891034"/>
      <w:bookmarkStart w:id="433" w:name="_Toc303539160"/>
      <w:bookmarkStart w:id="434" w:name="_Toc312678041"/>
      <w:bookmarkStart w:id="435" w:name="_Toc297123553"/>
      <w:bookmarkStart w:id="436" w:name="_Toc300935003"/>
      <w:bookmarkStart w:id="437" w:name="_Toc304295580"/>
      <w:bookmarkStart w:id="438" w:name="_Toc297216212"/>
      <w:r>
        <w:rPr>
          <w:color w:val="auto"/>
          <w:szCs w:val="21"/>
          <w:highlight w:val="none"/>
        </w:rPr>
        <w:t>12.1 合</w:t>
      </w:r>
      <w:bookmarkEnd w:id="422"/>
      <w:bookmarkEnd w:id="423"/>
      <w:bookmarkEnd w:id="424"/>
      <w:r>
        <w:rPr>
          <w:color w:val="auto"/>
          <w:szCs w:val="21"/>
          <w:highlight w:val="none"/>
        </w:rPr>
        <w:t>同价</w:t>
      </w:r>
      <w:bookmarkEnd w:id="425"/>
      <w:bookmarkEnd w:id="426"/>
      <w:bookmarkEnd w:id="427"/>
      <w:bookmarkEnd w:id="428"/>
      <w:bookmarkEnd w:id="429"/>
      <w:bookmarkEnd w:id="430"/>
      <w:bookmarkEnd w:id="431"/>
      <w:bookmarkEnd w:id="432"/>
      <w:r>
        <w:rPr>
          <w:color w:val="auto"/>
          <w:szCs w:val="21"/>
          <w:highlight w:val="none"/>
        </w:rPr>
        <w:t>格形式</w:t>
      </w:r>
    </w:p>
    <w:bookmarkEnd w:id="433"/>
    <w:bookmarkEnd w:id="434"/>
    <w:bookmarkEnd w:id="435"/>
    <w:bookmarkEnd w:id="436"/>
    <w:bookmarkEnd w:id="437"/>
    <w:bookmarkEnd w:id="438"/>
    <w:p w14:paraId="6128E070">
      <w:pPr>
        <w:spacing w:line="460" w:lineRule="exact"/>
        <w:ind w:firstLine="422" w:firstLineChars="200"/>
        <w:rPr>
          <w:b/>
          <w:color w:val="auto"/>
          <w:szCs w:val="21"/>
          <w:highlight w:val="none"/>
        </w:rPr>
      </w:pPr>
      <w:r>
        <w:rPr>
          <w:b/>
          <w:color w:val="auto"/>
          <w:szCs w:val="21"/>
          <w:highlight w:val="none"/>
        </w:rPr>
        <w:t>1</w:t>
      </w:r>
      <w:r>
        <w:rPr>
          <w:rFonts w:hint="eastAsia"/>
          <w:b/>
          <w:color w:val="auto"/>
          <w:szCs w:val="21"/>
          <w:highlight w:val="none"/>
        </w:rPr>
        <w:t>、单价合同。</w:t>
      </w:r>
    </w:p>
    <w:p w14:paraId="494AABC9">
      <w:pPr>
        <w:autoSpaceDE w:val="0"/>
        <w:autoSpaceDN w:val="0"/>
        <w:adjustRightInd w:val="0"/>
        <w:spacing w:line="460" w:lineRule="exact"/>
        <w:ind w:firstLine="480"/>
        <w:rPr>
          <w:b/>
          <w:color w:val="auto"/>
          <w:spacing w:val="-2"/>
          <w:szCs w:val="21"/>
          <w:highlight w:val="none"/>
        </w:rPr>
      </w:pPr>
      <w:r>
        <w:rPr>
          <w:rFonts w:hint="eastAsia"/>
          <w:bCs/>
          <w:color w:val="auto"/>
          <w:szCs w:val="21"/>
          <w:highlight w:val="none"/>
        </w:rPr>
        <w:t>综合单价包含的风险范围：</w:t>
      </w:r>
      <w:r>
        <w:rPr>
          <w:rFonts w:hint="eastAsia"/>
          <w:b/>
          <w:color w:val="auto"/>
          <w:spacing w:val="-2"/>
          <w:szCs w:val="21"/>
          <w:highlight w:val="none"/>
        </w:rPr>
        <w:t>除下述风险范围内容可调整外，其余不可调整。</w:t>
      </w:r>
    </w:p>
    <w:p w14:paraId="0F3A3B21">
      <w:pPr>
        <w:spacing w:line="460" w:lineRule="exact"/>
        <w:ind w:firstLine="420" w:firstLineChars="200"/>
        <w:rPr>
          <w:color w:val="auto"/>
          <w:szCs w:val="21"/>
          <w:highlight w:val="none"/>
        </w:rPr>
      </w:pPr>
      <w:r>
        <w:rPr>
          <w:rFonts w:hint="eastAsia"/>
          <w:color w:val="auto"/>
          <w:szCs w:val="21"/>
          <w:highlight w:val="none"/>
        </w:rPr>
        <w:t>（1）工程量偏差；</w:t>
      </w:r>
    </w:p>
    <w:p w14:paraId="55642E16">
      <w:pPr>
        <w:spacing w:line="460" w:lineRule="exact"/>
        <w:ind w:firstLine="420" w:firstLineChars="200"/>
        <w:rPr>
          <w:color w:val="auto"/>
          <w:szCs w:val="21"/>
          <w:highlight w:val="none"/>
        </w:rPr>
      </w:pPr>
      <w:r>
        <w:rPr>
          <w:rFonts w:hint="eastAsia"/>
          <w:color w:val="auto"/>
          <w:szCs w:val="21"/>
          <w:highlight w:val="none"/>
        </w:rPr>
        <w:t>（2）与招标清单项目特征描述不符；</w:t>
      </w:r>
    </w:p>
    <w:p w14:paraId="4F619493">
      <w:pPr>
        <w:spacing w:line="460" w:lineRule="exact"/>
        <w:ind w:firstLine="420" w:firstLineChars="200"/>
        <w:rPr>
          <w:color w:val="auto"/>
          <w:szCs w:val="21"/>
          <w:highlight w:val="none"/>
        </w:rPr>
      </w:pPr>
      <w:r>
        <w:rPr>
          <w:rFonts w:hint="eastAsia"/>
          <w:color w:val="auto"/>
          <w:szCs w:val="21"/>
          <w:highlight w:val="none"/>
        </w:rPr>
        <w:t xml:space="preserve">（3）工程量清单缺、漏项； </w:t>
      </w:r>
    </w:p>
    <w:p w14:paraId="52C24D28">
      <w:pPr>
        <w:spacing w:line="460" w:lineRule="exact"/>
        <w:ind w:firstLine="420" w:firstLineChars="200"/>
        <w:rPr>
          <w:color w:val="auto"/>
          <w:szCs w:val="21"/>
          <w:highlight w:val="none"/>
        </w:rPr>
      </w:pPr>
      <w:r>
        <w:rPr>
          <w:rFonts w:hint="eastAsia"/>
          <w:color w:val="auto"/>
          <w:szCs w:val="21"/>
          <w:highlight w:val="none"/>
        </w:rPr>
        <w:t>（4）工程变更；</w:t>
      </w:r>
    </w:p>
    <w:p w14:paraId="76B3D3F4">
      <w:pPr>
        <w:spacing w:line="460" w:lineRule="exact"/>
        <w:ind w:firstLine="420" w:firstLineChars="200"/>
        <w:rPr>
          <w:color w:val="auto"/>
          <w:szCs w:val="21"/>
          <w:highlight w:val="none"/>
        </w:rPr>
      </w:pPr>
      <w:r>
        <w:rPr>
          <w:rFonts w:hint="eastAsia"/>
          <w:color w:val="auto"/>
          <w:szCs w:val="21"/>
          <w:highlight w:val="none"/>
        </w:rPr>
        <w:t>（5）现场签证；</w:t>
      </w:r>
    </w:p>
    <w:p w14:paraId="15A94431">
      <w:pPr>
        <w:spacing w:line="460" w:lineRule="exact"/>
        <w:ind w:firstLine="420" w:firstLineChars="200"/>
        <w:rPr>
          <w:color w:val="auto"/>
          <w:szCs w:val="21"/>
          <w:highlight w:val="none"/>
        </w:rPr>
      </w:pPr>
      <w:r>
        <w:rPr>
          <w:rFonts w:hint="eastAsia"/>
          <w:color w:val="auto"/>
          <w:szCs w:val="21"/>
          <w:highlight w:val="none"/>
        </w:rPr>
        <w:t>（6）暂列金额及暂估价；</w:t>
      </w:r>
    </w:p>
    <w:p w14:paraId="4486B50B">
      <w:pPr>
        <w:autoSpaceDE w:val="0"/>
        <w:autoSpaceDN w:val="0"/>
        <w:adjustRightInd w:val="0"/>
        <w:spacing w:line="460" w:lineRule="exact"/>
        <w:ind w:firstLine="480"/>
        <w:rPr>
          <w:color w:val="auto"/>
          <w:szCs w:val="21"/>
          <w:highlight w:val="none"/>
        </w:rPr>
      </w:pPr>
      <w:r>
        <w:rPr>
          <w:rFonts w:hint="eastAsia"/>
          <w:color w:val="auto"/>
          <w:szCs w:val="21"/>
          <w:highlight w:val="none"/>
        </w:rPr>
        <w:t>（7）发承包人双方约定的其他调整事项。</w:t>
      </w:r>
    </w:p>
    <w:p w14:paraId="4700E1D9">
      <w:pPr>
        <w:autoSpaceDE w:val="0"/>
        <w:autoSpaceDN w:val="0"/>
        <w:adjustRightInd w:val="0"/>
        <w:spacing w:line="460" w:lineRule="exact"/>
        <w:ind w:firstLine="480"/>
        <w:rPr>
          <w:bCs/>
          <w:color w:val="auto"/>
          <w:szCs w:val="21"/>
          <w:highlight w:val="none"/>
          <w:u w:val="single"/>
        </w:rPr>
      </w:pPr>
      <w:r>
        <w:rPr>
          <w:rFonts w:hint="eastAsia"/>
          <w:bCs/>
          <w:color w:val="auto"/>
          <w:szCs w:val="21"/>
          <w:highlight w:val="none"/>
        </w:rPr>
        <w:t>风险费用的计算方法：</w:t>
      </w:r>
      <w:r>
        <w:rPr>
          <w:rFonts w:hint="eastAsia"/>
          <w:bCs/>
          <w:color w:val="auto"/>
          <w:szCs w:val="21"/>
          <w:highlight w:val="none"/>
          <w:u w:val="single"/>
        </w:rPr>
        <w:t>承包人在投标报价时已经充分考虑，竣工结算时不作任何调整。</w:t>
      </w:r>
    </w:p>
    <w:p w14:paraId="2669AFD7">
      <w:pPr>
        <w:autoSpaceDE w:val="0"/>
        <w:autoSpaceDN w:val="0"/>
        <w:adjustRightInd w:val="0"/>
        <w:spacing w:line="460" w:lineRule="exact"/>
        <w:ind w:firstLine="480"/>
        <w:rPr>
          <w:bCs/>
          <w:color w:val="auto"/>
          <w:szCs w:val="21"/>
          <w:highlight w:val="none"/>
        </w:rPr>
      </w:pPr>
      <w:r>
        <w:rPr>
          <w:rFonts w:hint="eastAsia"/>
          <w:bCs/>
          <w:color w:val="auto"/>
          <w:szCs w:val="21"/>
          <w:highlight w:val="none"/>
        </w:rPr>
        <w:t>风险范围以外合同价款调整范围及方法：</w:t>
      </w:r>
    </w:p>
    <w:p w14:paraId="6EB83642">
      <w:pPr>
        <w:spacing w:line="460" w:lineRule="exact"/>
        <w:ind w:firstLine="308" w:firstLineChars="147"/>
        <w:rPr>
          <w:color w:val="auto"/>
          <w:szCs w:val="21"/>
          <w:highlight w:val="none"/>
          <w:u w:val="single"/>
        </w:rPr>
      </w:pPr>
      <w:r>
        <w:rPr>
          <w:rFonts w:hint="eastAsia"/>
          <w:color w:val="auto"/>
          <w:szCs w:val="21"/>
          <w:highlight w:val="none"/>
          <w:u w:val="single"/>
        </w:rPr>
        <w:t>（1）本工程以投标截止日前28天为基准，其后国家的法律、法规、规章和政策发生变化影响工程造价，按照省级或行业建设主管部门或其授权的工程造价管理机构发布的规定及合同的约定调整合同价格。</w:t>
      </w:r>
    </w:p>
    <w:p w14:paraId="579AC84A">
      <w:pPr>
        <w:spacing w:line="460" w:lineRule="exact"/>
        <w:ind w:firstLine="308" w:firstLineChars="147"/>
        <w:rPr>
          <w:color w:val="auto"/>
          <w:szCs w:val="21"/>
          <w:highlight w:val="none"/>
          <w:u w:val="single"/>
        </w:rPr>
      </w:pPr>
      <w:r>
        <w:rPr>
          <w:rFonts w:hint="eastAsia"/>
          <w:color w:val="auto"/>
          <w:szCs w:val="21"/>
          <w:highlight w:val="none"/>
          <w:u w:val="single"/>
        </w:rPr>
        <w:t>（2）工程量计量时，若发现工程量清单中出现的漏项或缺项部分按实结算，竣工结算的工程量按发承包双方在合同中约定应予计量且实际完成并验收合格的工程量和项目确定，完成发包人要求的合同以外的零星工作或发生非承包人责任事件的工程量按现场签证确定。</w:t>
      </w:r>
    </w:p>
    <w:p w14:paraId="15604C21">
      <w:pPr>
        <w:spacing w:line="460" w:lineRule="exact"/>
        <w:ind w:firstLine="308" w:firstLineChars="147"/>
        <w:rPr>
          <w:color w:val="auto"/>
          <w:szCs w:val="21"/>
          <w:highlight w:val="none"/>
          <w:u w:val="single"/>
        </w:rPr>
      </w:pPr>
      <w:r>
        <w:rPr>
          <w:rFonts w:hint="eastAsia"/>
          <w:color w:val="auto"/>
          <w:szCs w:val="21"/>
          <w:highlight w:val="none"/>
          <w:u w:val="single"/>
        </w:rPr>
        <w:t>（3）当招标工程量清单出现错误或者工程变更等发包人原因导致工程量清单偏差需要对综合</w:t>
      </w:r>
      <w:r>
        <w:rPr>
          <w:rFonts w:hint="eastAsia"/>
          <w:color w:val="auto"/>
          <w:szCs w:val="21"/>
          <w:highlight w:val="none"/>
          <w:u w:val="single"/>
          <w:lang w:eastAsia="zh-CN"/>
        </w:rPr>
        <w:t>单价</w:t>
      </w:r>
      <w:r>
        <w:rPr>
          <w:rFonts w:hint="eastAsia"/>
          <w:color w:val="auto"/>
          <w:szCs w:val="21"/>
          <w:highlight w:val="none"/>
          <w:u w:val="single"/>
        </w:rPr>
        <w:t>进行调整的，按照以下的计价办法结算：</w:t>
      </w:r>
    </w:p>
    <w:p w14:paraId="7F2A751C">
      <w:pPr>
        <w:spacing w:line="460" w:lineRule="exact"/>
        <w:ind w:firstLine="308" w:firstLineChars="147"/>
        <w:rPr>
          <w:color w:val="auto"/>
          <w:szCs w:val="21"/>
          <w:highlight w:val="none"/>
          <w:u w:val="single"/>
        </w:rPr>
      </w:pPr>
      <w:r>
        <w:rPr>
          <w:rFonts w:hint="eastAsia"/>
          <w:color w:val="auto"/>
          <w:szCs w:val="21"/>
          <w:highlight w:val="none"/>
          <w:u w:val="single"/>
        </w:rPr>
        <w:t>A</w:t>
      </w:r>
      <w:r>
        <w:rPr>
          <w:rFonts w:hint="eastAsia"/>
          <w:color w:val="auto"/>
          <w:szCs w:val="21"/>
          <w:highlight w:val="none"/>
          <w:u w:val="single"/>
          <w:lang w:eastAsia="zh-CN"/>
        </w:rPr>
        <w:t>.</w:t>
      </w:r>
      <w:r>
        <w:rPr>
          <w:color w:val="auto"/>
          <w:szCs w:val="21"/>
          <w:highlight w:val="none"/>
          <w:u w:val="single"/>
        </w:rPr>
        <w:t>当工程因变更、签证或清单工程量错误等原因导致实际工程量变化时，该项目的单价应按下列方式调整：</w:t>
      </w:r>
    </w:p>
    <w:p w14:paraId="738FBC82">
      <w:pPr>
        <w:spacing w:line="460" w:lineRule="exact"/>
        <w:ind w:firstLine="308" w:firstLineChars="147"/>
        <w:rPr>
          <w:color w:val="auto"/>
          <w:szCs w:val="21"/>
          <w:highlight w:val="none"/>
          <w:u w:val="single"/>
        </w:rPr>
      </w:pPr>
      <w:r>
        <w:rPr>
          <w:color w:val="auto"/>
          <w:szCs w:val="21"/>
          <w:highlight w:val="none"/>
          <w:u w:val="single"/>
        </w:rPr>
        <w:t>当Q1＞1.15Q0时：  S＝1.15Q0×P0+(Q1－1.15Q0)×P1</w:t>
      </w:r>
    </w:p>
    <w:p w14:paraId="5C9A0447">
      <w:pPr>
        <w:spacing w:line="460" w:lineRule="exact"/>
        <w:ind w:firstLine="308" w:firstLineChars="147"/>
        <w:rPr>
          <w:color w:val="auto"/>
          <w:szCs w:val="21"/>
          <w:highlight w:val="none"/>
          <w:u w:val="single"/>
        </w:rPr>
      </w:pPr>
      <w:r>
        <w:rPr>
          <w:color w:val="auto"/>
          <w:szCs w:val="21"/>
          <w:highlight w:val="none"/>
          <w:u w:val="single"/>
        </w:rPr>
        <w:t>当0.85Q0≤Q1≤1.15Q0时：  S＝Q1×P0</w:t>
      </w:r>
    </w:p>
    <w:p w14:paraId="1C5E87F0">
      <w:pPr>
        <w:spacing w:line="460" w:lineRule="exact"/>
        <w:ind w:firstLine="308" w:firstLineChars="147"/>
        <w:rPr>
          <w:color w:val="auto"/>
          <w:szCs w:val="21"/>
          <w:highlight w:val="none"/>
          <w:u w:val="single"/>
        </w:rPr>
      </w:pPr>
      <w:r>
        <w:rPr>
          <w:color w:val="auto"/>
          <w:szCs w:val="21"/>
          <w:highlight w:val="none"/>
          <w:u w:val="single"/>
        </w:rPr>
        <w:t>当Q1＜0.85Q0：  S＝Q1×P1+0.85Q0×(P0- P1)</w:t>
      </w:r>
    </w:p>
    <w:p w14:paraId="3F83D099">
      <w:pPr>
        <w:spacing w:line="460" w:lineRule="exact"/>
        <w:ind w:firstLine="308" w:firstLineChars="147"/>
        <w:rPr>
          <w:color w:val="auto"/>
          <w:szCs w:val="21"/>
          <w:highlight w:val="none"/>
          <w:u w:val="single"/>
        </w:rPr>
      </w:pPr>
      <w:r>
        <w:rPr>
          <w:color w:val="auto"/>
          <w:szCs w:val="21"/>
          <w:highlight w:val="none"/>
          <w:u w:val="single"/>
        </w:rPr>
        <w:t>S－调整后的某一分部分项工程费结算价</w:t>
      </w:r>
      <w:r>
        <w:rPr>
          <w:rFonts w:hint="eastAsia"/>
          <w:color w:val="auto"/>
          <w:szCs w:val="21"/>
          <w:highlight w:val="none"/>
          <w:u w:val="single"/>
        </w:rPr>
        <w:t xml:space="preserve">  </w:t>
      </w:r>
    </w:p>
    <w:p w14:paraId="43B38020">
      <w:pPr>
        <w:spacing w:line="460" w:lineRule="exact"/>
        <w:ind w:firstLine="308" w:firstLineChars="147"/>
        <w:rPr>
          <w:color w:val="auto"/>
          <w:szCs w:val="21"/>
          <w:highlight w:val="none"/>
          <w:u w:val="single"/>
        </w:rPr>
      </w:pPr>
      <w:r>
        <w:rPr>
          <w:color w:val="auto"/>
          <w:szCs w:val="21"/>
          <w:highlight w:val="none"/>
          <w:u w:val="single"/>
        </w:rPr>
        <w:t>Q1－最终完成的工程量</w:t>
      </w:r>
      <w:r>
        <w:rPr>
          <w:rFonts w:hint="eastAsia"/>
          <w:color w:val="auto"/>
          <w:szCs w:val="21"/>
          <w:highlight w:val="none"/>
          <w:u w:val="single"/>
        </w:rPr>
        <w:t xml:space="preserve">    </w:t>
      </w:r>
    </w:p>
    <w:p w14:paraId="7E2CB7BE">
      <w:pPr>
        <w:spacing w:line="460" w:lineRule="exact"/>
        <w:ind w:firstLine="308" w:firstLineChars="147"/>
        <w:rPr>
          <w:color w:val="auto"/>
          <w:szCs w:val="21"/>
          <w:highlight w:val="none"/>
          <w:u w:val="single"/>
        </w:rPr>
      </w:pPr>
      <w:r>
        <w:rPr>
          <w:color w:val="auto"/>
          <w:szCs w:val="21"/>
          <w:highlight w:val="none"/>
          <w:u w:val="single"/>
        </w:rPr>
        <w:t>Q0－招标工程量清单中列出的工程量</w:t>
      </w:r>
      <w:r>
        <w:rPr>
          <w:rFonts w:hint="eastAsia"/>
          <w:color w:val="auto"/>
          <w:szCs w:val="21"/>
          <w:highlight w:val="none"/>
          <w:u w:val="single"/>
        </w:rPr>
        <w:t xml:space="preserve">  </w:t>
      </w:r>
    </w:p>
    <w:p w14:paraId="05790D6D">
      <w:pPr>
        <w:spacing w:line="460" w:lineRule="exact"/>
        <w:ind w:firstLine="308" w:firstLineChars="147"/>
        <w:rPr>
          <w:color w:val="auto"/>
          <w:szCs w:val="21"/>
          <w:highlight w:val="none"/>
          <w:u w:val="single"/>
        </w:rPr>
      </w:pPr>
      <w:r>
        <w:rPr>
          <w:color w:val="auto"/>
          <w:szCs w:val="21"/>
          <w:highlight w:val="none"/>
          <w:u w:val="single"/>
        </w:rPr>
        <w:t>P1－按照最终完成工程量重新调整后的综合单价</w:t>
      </w:r>
      <w:r>
        <w:rPr>
          <w:rFonts w:hint="eastAsia"/>
          <w:color w:val="auto"/>
          <w:szCs w:val="21"/>
          <w:highlight w:val="none"/>
          <w:u w:val="single"/>
        </w:rPr>
        <w:t>（即</w:t>
      </w:r>
      <w:r>
        <w:rPr>
          <w:color w:val="auto"/>
          <w:szCs w:val="21"/>
          <w:highlight w:val="none"/>
          <w:u w:val="single"/>
        </w:rPr>
        <w:t>按招标控制价编制依据计价×（1</w:t>
      </w:r>
      <w:r>
        <w:rPr>
          <w:rFonts w:hint="eastAsia"/>
          <w:color w:val="auto"/>
          <w:szCs w:val="21"/>
          <w:highlight w:val="none"/>
          <w:u w:val="single"/>
          <w:lang w:eastAsia="zh-CN"/>
        </w:rPr>
        <w:t>－</w:t>
      </w:r>
      <w:r>
        <w:rPr>
          <w:color w:val="auto"/>
          <w:szCs w:val="21"/>
          <w:highlight w:val="none"/>
          <w:u w:val="single"/>
        </w:rPr>
        <w:t>承包人报价浮动率）[报价浮动率c＝（1－中标价/招标控制价）×100%，中标价、招标控制价须扣除暂估价、暂列金额及相应的规费税金]提出变更工程项目的单价，并应报发包人确认后调整。</w:t>
      </w:r>
      <w:r>
        <w:rPr>
          <w:rFonts w:hint="eastAsia"/>
          <w:color w:val="auto"/>
          <w:szCs w:val="21"/>
          <w:highlight w:val="none"/>
          <w:u w:val="single"/>
        </w:rPr>
        <w:t>）</w:t>
      </w:r>
    </w:p>
    <w:p w14:paraId="2FD213C3">
      <w:pPr>
        <w:spacing w:line="460" w:lineRule="exact"/>
        <w:ind w:firstLine="308" w:firstLineChars="147"/>
        <w:rPr>
          <w:color w:val="auto"/>
          <w:szCs w:val="21"/>
          <w:highlight w:val="none"/>
          <w:u w:val="single"/>
        </w:rPr>
      </w:pPr>
      <w:r>
        <w:rPr>
          <w:color w:val="auto"/>
          <w:szCs w:val="21"/>
          <w:highlight w:val="none"/>
          <w:u w:val="single"/>
        </w:rPr>
        <w:t>P0－承包人在工程量清单中填报的综合单价。</w:t>
      </w:r>
    </w:p>
    <w:p w14:paraId="2DC79412">
      <w:pPr>
        <w:spacing w:line="460" w:lineRule="exact"/>
        <w:ind w:firstLine="308" w:firstLineChars="147"/>
        <w:rPr>
          <w:color w:val="auto"/>
          <w:szCs w:val="21"/>
          <w:highlight w:val="none"/>
          <w:u w:val="single"/>
        </w:rPr>
      </w:pPr>
      <w:r>
        <w:rPr>
          <w:rFonts w:hint="eastAsia"/>
          <w:color w:val="auto"/>
          <w:szCs w:val="21"/>
          <w:highlight w:val="none"/>
          <w:u w:val="single"/>
        </w:rPr>
        <w:t>B</w:t>
      </w:r>
      <w:r>
        <w:rPr>
          <w:rFonts w:hint="eastAsia"/>
          <w:color w:val="auto"/>
          <w:szCs w:val="21"/>
          <w:highlight w:val="none"/>
          <w:u w:val="single"/>
          <w:lang w:eastAsia="zh-CN"/>
        </w:rPr>
        <w:t>.</w:t>
      </w:r>
      <w:r>
        <w:rPr>
          <w:color w:val="auto"/>
          <w:szCs w:val="21"/>
          <w:highlight w:val="none"/>
          <w:u w:val="single"/>
        </w:rPr>
        <w:t>已标价工程量清单中有适用于变更工程项目的，应采用该项目的单价；已标价工程量清单中没有适用但有类似于变更工程项目的，可在合理范围内参照类似项目的单价。</w:t>
      </w:r>
    </w:p>
    <w:p w14:paraId="6F5E4DB5">
      <w:pPr>
        <w:spacing w:line="460" w:lineRule="exact"/>
        <w:ind w:firstLine="308" w:firstLineChars="147"/>
        <w:rPr>
          <w:color w:val="auto"/>
          <w:szCs w:val="21"/>
          <w:highlight w:val="none"/>
          <w:u w:val="single"/>
        </w:rPr>
      </w:pPr>
      <w:r>
        <w:rPr>
          <w:rFonts w:hint="eastAsia"/>
          <w:color w:val="auto"/>
          <w:szCs w:val="21"/>
          <w:highlight w:val="none"/>
          <w:u w:val="single"/>
        </w:rPr>
        <w:t>C</w:t>
      </w:r>
      <w:r>
        <w:rPr>
          <w:rFonts w:hint="eastAsia"/>
          <w:color w:val="auto"/>
          <w:szCs w:val="21"/>
          <w:highlight w:val="none"/>
          <w:u w:val="single"/>
          <w:lang w:eastAsia="zh-CN"/>
        </w:rPr>
        <w:t>.</w:t>
      </w:r>
      <w:r>
        <w:rPr>
          <w:color w:val="auto"/>
          <w:szCs w:val="21"/>
          <w:highlight w:val="none"/>
          <w:u w:val="single"/>
        </w:rPr>
        <w:t>已标价工程量清单中没有适用也没有类似于变更工程项目的，应由承包人根据变更工程资料、计量规则和按招标控制价编制依据计价×（1</w:t>
      </w:r>
      <w:r>
        <w:rPr>
          <w:rFonts w:hint="eastAsia"/>
          <w:color w:val="auto"/>
          <w:szCs w:val="21"/>
          <w:highlight w:val="none"/>
          <w:u w:val="single"/>
          <w:lang w:eastAsia="zh-CN"/>
        </w:rPr>
        <w:t>－</w:t>
      </w:r>
      <w:r>
        <w:rPr>
          <w:color w:val="auto"/>
          <w:szCs w:val="21"/>
          <w:highlight w:val="none"/>
          <w:u w:val="single"/>
        </w:rPr>
        <w:t>承包人报价浮动率）[报价浮动率c＝（1－中标价/招标控制价）×100%，中标价、招标控制价须扣除暂估价、暂列金额及相应的规费税金]提出变更工程项目的单价，并应报发包人确认后调整。</w:t>
      </w:r>
    </w:p>
    <w:p w14:paraId="5EEB3FF7">
      <w:pPr>
        <w:spacing w:line="460" w:lineRule="exact"/>
        <w:ind w:firstLine="308" w:firstLineChars="147"/>
        <w:rPr>
          <w:color w:val="auto"/>
          <w:szCs w:val="21"/>
          <w:highlight w:val="none"/>
          <w:u w:val="single"/>
        </w:rPr>
      </w:pPr>
      <w:r>
        <w:rPr>
          <w:rFonts w:hint="eastAsia"/>
          <w:color w:val="auto"/>
          <w:szCs w:val="21"/>
          <w:highlight w:val="none"/>
          <w:u w:val="single"/>
        </w:rPr>
        <w:t>D</w:t>
      </w:r>
      <w:r>
        <w:rPr>
          <w:rFonts w:hint="eastAsia"/>
          <w:color w:val="auto"/>
          <w:szCs w:val="21"/>
          <w:highlight w:val="none"/>
          <w:u w:val="single"/>
          <w:lang w:eastAsia="zh-CN"/>
        </w:rPr>
        <w:t>.</w:t>
      </w:r>
      <w:r>
        <w:rPr>
          <w:color w:val="auto"/>
          <w:szCs w:val="21"/>
          <w:highlight w:val="none"/>
          <w:u w:val="single"/>
        </w:rPr>
        <w:t>已标价工程量清单中没有适用也没有类似于变更工程项目，且南通市建设工程造价管理处发布的信息价格缺价的，应由承包人根据变更工程资料、计量规则和计价办法和通过市场调查等取得有合法依据的市场价格提出变更工程项目的单价，并应报发包人确认后调整。</w:t>
      </w:r>
    </w:p>
    <w:p w14:paraId="31B02264">
      <w:pPr>
        <w:spacing w:line="460" w:lineRule="exact"/>
        <w:ind w:firstLine="308" w:firstLineChars="147"/>
        <w:rPr>
          <w:color w:val="auto"/>
          <w:szCs w:val="21"/>
          <w:highlight w:val="none"/>
          <w:u w:val="single"/>
        </w:rPr>
      </w:pPr>
      <w:r>
        <w:rPr>
          <w:rFonts w:hint="eastAsia"/>
          <w:color w:val="auto"/>
          <w:szCs w:val="21"/>
          <w:highlight w:val="none"/>
          <w:u w:val="single"/>
        </w:rPr>
        <w:t>（4）因工程变更造成施工方案变更，引起措施项目发生变化时，措施项目费应按下列原则调整：单价措施项目变更原则同分部分项工程；总价措施项目中以费率报价的，费率不变；总价项目中以费用报价的，按投标时口径折算成费率调整；原措施费中没有的措施项目，由承包人提出适当的措施费变更要求，经发包人确认后调整。</w:t>
      </w:r>
    </w:p>
    <w:p w14:paraId="14961D0F">
      <w:pPr>
        <w:autoSpaceDE w:val="0"/>
        <w:autoSpaceDN w:val="0"/>
        <w:adjustRightInd w:val="0"/>
        <w:spacing w:line="360" w:lineRule="auto"/>
        <w:ind w:firstLine="480"/>
        <w:rPr>
          <w:rFonts w:hint="eastAsia"/>
          <w:color w:val="auto"/>
          <w:szCs w:val="21"/>
          <w:highlight w:val="none"/>
          <w:u w:val="single"/>
        </w:rPr>
      </w:pPr>
      <w:r>
        <w:rPr>
          <w:rFonts w:hint="eastAsia"/>
          <w:color w:val="auto"/>
          <w:szCs w:val="21"/>
          <w:highlight w:val="none"/>
          <w:u w:val="single"/>
        </w:rPr>
        <w:t>（5）市场价格波动引起的材料价格调整的约定，按通建价</w:t>
      </w:r>
      <w:r>
        <w:rPr>
          <w:rFonts w:hint="eastAsia"/>
          <w:color w:val="auto"/>
          <w:szCs w:val="21"/>
          <w:highlight w:val="none"/>
          <w:u w:val="single"/>
          <w:lang w:eastAsia="zh-CN"/>
        </w:rPr>
        <w:t>〔2016〕22号</w:t>
      </w:r>
      <w:r>
        <w:rPr>
          <w:rFonts w:hint="eastAsia"/>
          <w:color w:val="auto"/>
          <w:szCs w:val="21"/>
          <w:highlight w:val="none"/>
          <w:u w:val="single"/>
        </w:rPr>
        <w:t>文《关于建筑业实施营改增后进一步明确建设工程材料价格风险控制及价差调整计算方法的通知》执行。</w:t>
      </w:r>
    </w:p>
    <w:p w14:paraId="01CCC683">
      <w:pPr>
        <w:spacing w:line="460" w:lineRule="exact"/>
        <w:ind w:firstLine="420" w:firstLineChars="200"/>
        <w:rPr>
          <w:rFonts w:hint="eastAsia"/>
          <w:color w:val="auto"/>
          <w:szCs w:val="21"/>
          <w:highlight w:val="none"/>
        </w:rPr>
      </w:pPr>
      <w:r>
        <w:rPr>
          <w:rFonts w:hint="eastAsia"/>
          <w:color w:val="auto"/>
          <w:szCs w:val="21"/>
          <w:highlight w:val="none"/>
        </w:rPr>
        <w:t xml:space="preserve"> 主要建筑材料价格风险控制：</w:t>
      </w:r>
    </w:p>
    <w:p w14:paraId="5421DFC9">
      <w:pPr>
        <w:spacing w:line="410" w:lineRule="exact"/>
        <w:ind w:firstLine="420" w:firstLineChars="200"/>
        <w:rPr>
          <w:rFonts w:hint="eastAsia"/>
          <w:color w:val="auto"/>
          <w:szCs w:val="21"/>
          <w:highlight w:val="none"/>
        </w:rPr>
      </w:pPr>
      <w:r>
        <w:rPr>
          <w:rFonts w:hint="eastAsia"/>
          <w:color w:val="auto"/>
          <w:szCs w:val="21"/>
          <w:highlight w:val="none"/>
        </w:rPr>
        <w:t>A</w:t>
      </w:r>
      <w:r>
        <w:rPr>
          <w:rFonts w:hint="eastAsia"/>
          <w:color w:val="auto"/>
          <w:szCs w:val="21"/>
          <w:highlight w:val="none"/>
          <w:lang w:eastAsia="zh-CN"/>
        </w:rPr>
        <w:t>.</w:t>
      </w:r>
      <w:r>
        <w:rPr>
          <w:rFonts w:hint="eastAsia"/>
          <w:color w:val="auto"/>
          <w:szCs w:val="21"/>
          <w:highlight w:val="none"/>
        </w:rPr>
        <w:t>本工程主要建筑材料</w:t>
      </w:r>
      <w:r>
        <w:rPr>
          <w:rFonts w:hint="eastAsia"/>
          <w:color w:val="auto"/>
          <w:szCs w:val="21"/>
          <w:highlight w:val="none"/>
          <w:u w:val="single"/>
        </w:rPr>
        <w:t xml:space="preserve">  / </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，其他为非主要建筑材料，非主要建筑材料价格上涨或下降的，其差价均由承包人承担或受益。</w:t>
      </w:r>
    </w:p>
    <w:p w14:paraId="274BCD40">
      <w:pPr>
        <w:spacing w:line="410" w:lineRule="exact"/>
        <w:ind w:firstLine="420" w:firstLineChars="200"/>
        <w:rPr>
          <w:rFonts w:hint="eastAsia"/>
          <w:color w:val="auto"/>
          <w:szCs w:val="21"/>
          <w:highlight w:val="none"/>
        </w:rPr>
      </w:pPr>
      <w:r>
        <w:rPr>
          <w:rFonts w:hint="eastAsia"/>
          <w:color w:val="auto"/>
          <w:szCs w:val="21"/>
          <w:highlight w:val="none"/>
        </w:rPr>
        <w:t>B</w:t>
      </w:r>
      <w:r>
        <w:rPr>
          <w:rFonts w:hint="eastAsia"/>
          <w:color w:val="auto"/>
          <w:szCs w:val="21"/>
          <w:highlight w:val="none"/>
          <w:lang w:eastAsia="zh-CN"/>
        </w:rPr>
        <w:t>.</w:t>
      </w:r>
      <w:r>
        <w:rPr>
          <w:rFonts w:hint="eastAsia"/>
          <w:color w:val="auto"/>
          <w:szCs w:val="21"/>
          <w:highlight w:val="none"/>
        </w:rPr>
        <w:t>主要建筑材料价差调整金额的计算：</w:t>
      </w:r>
    </w:p>
    <w:p w14:paraId="30EE44F0">
      <w:pPr>
        <w:spacing w:line="410" w:lineRule="exact"/>
        <w:ind w:firstLine="420" w:firstLineChars="200"/>
        <w:rPr>
          <w:rFonts w:hint="eastAsia"/>
          <w:color w:val="auto"/>
          <w:szCs w:val="21"/>
          <w:highlight w:val="none"/>
        </w:rPr>
      </w:pPr>
      <w:r>
        <w:rPr>
          <w:rFonts w:hint="eastAsia"/>
          <w:color w:val="auto"/>
          <w:szCs w:val="21"/>
          <w:highlight w:val="none"/>
        </w:rPr>
        <w:t>施工期间可调价材料价格的涨、跌幅度以本工程招标控制价所采用的202</w:t>
      </w:r>
      <w:r>
        <w:rPr>
          <w:rFonts w:hint="eastAsia"/>
          <w:color w:val="auto"/>
          <w:szCs w:val="21"/>
          <w:highlight w:val="none"/>
          <w:lang w:val="en-US" w:eastAsia="zh-CN"/>
        </w:rPr>
        <w:t>4</w:t>
      </w:r>
      <w:r>
        <w:rPr>
          <w:rFonts w:hint="eastAsia"/>
          <w:color w:val="auto"/>
          <w:szCs w:val="21"/>
          <w:highlight w:val="none"/>
        </w:rPr>
        <w:t>年</w:t>
      </w:r>
      <w:r>
        <w:rPr>
          <w:rFonts w:hint="eastAsia"/>
          <w:color w:val="auto"/>
          <w:szCs w:val="21"/>
          <w:highlight w:val="none"/>
          <w:lang w:val="en-US" w:eastAsia="zh-CN"/>
        </w:rPr>
        <w:t>7</w:t>
      </w:r>
      <w:r>
        <w:rPr>
          <w:rFonts w:hint="eastAsia"/>
          <w:color w:val="auto"/>
          <w:szCs w:val="21"/>
          <w:highlight w:val="none"/>
        </w:rPr>
        <w:t>月材料信息价格为基础（材料单价为除税价格），当信息价格涨、跌幅度在5%以内（含5%）时，其差价由承包人承担或受益；涨、跌幅度超出5%时，其超出部分的差价由发包人承担或受益，计算公式如下：</w:t>
      </w:r>
    </w:p>
    <w:p w14:paraId="5936B620">
      <w:pPr>
        <w:spacing w:line="410" w:lineRule="exact"/>
        <w:ind w:firstLine="420" w:firstLineChars="200"/>
        <w:rPr>
          <w:rFonts w:hint="eastAsia"/>
          <w:color w:val="auto"/>
          <w:szCs w:val="21"/>
          <w:highlight w:val="none"/>
        </w:rPr>
      </w:pPr>
      <w:r>
        <w:rPr>
          <w:rFonts w:hint="eastAsia"/>
          <w:color w:val="auto"/>
          <w:szCs w:val="21"/>
          <w:highlight w:val="none"/>
        </w:rPr>
        <w:t>①上涨超出5%时，差价（正值）=【施工期间可调价材料加权平均指导价格-基准日</w:t>
      </w:r>
      <w:r>
        <w:rPr>
          <w:rFonts w:hint="eastAsia"/>
          <w:color w:val="auto"/>
          <w:szCs w:val="21"/>
          <w:highlight w:val="none"/>
          <w:lang w:eastAsia="zh-CN"/>
        </w:rPr>
        <w:t>当</w:t>
      </w:r>
      <w:r>
        <w:rPr>
          <w:rFonts w:hint="eastAsia"/>
          <w:color w:val="auto"/>
          <w:szCs w:val="21"/>
          <w:highlight w:val="none"/>
        </w:rPr>
        <w:t>期的月份信息价格×(1+5%</w:t>
      </w:r>
      <w:r>
        <w:rPr>
          <w:rFonts w:hint="eastAsia"/>
          <w:color w:val="auto"/>
          <w:szCs w:val="21"/>
          <w:highlight w:val="none"/>
          <w:lang w:eastAsia="zh-CN"/>
        </w:rPr>
        <w:t>）</w:t>
      </w:r>
      <w:r>
        <w:rPr>
          <w:rFonts w:hint="eastAsia"/>
          <w:color w:val="auto"/>
          <w:szCs w:val="21"/>
          <w:highlight w:val="none"/>
        </w:rPr>
        <w:t>）】×该类主要建筑材料数量；</w:t>
      </w:r>
    </w:p>
    <w:p w14:paraId="19FA6847">
      <w:pPr>
        <w:spacing w:line="410" w:lineRule="exact"/>
        <w:ind w:firstLine="420" w:firstLineChars="200"/>
        <w:rPr>
          <w:rFonts w:hint="eastAsia"/>
          <w:color w:val="auto"/>
          <w:szCs w:val="21"/>
          <w:highlight w:val="none"/>
        </w:rPr>
      </w:pPr>
      <w:r>
        <w:rPr>
          <w:rFonts w:hint="eastAsia"/>
          <w:color w:val="auto"/>
          <w:szCs w:val="21"/>
          <w:highlight w:val="none"/>
        </w:rPr>
        <w:t>②下跌超出5%时，差价（负值）=【施工期间可调价材料加权平均指导价格-基准日</w:t>
      </w:r>
      <w:r>
        <w:rPr>
          <w:rFonts w:hint="eastAsia"/>
          <w:color w:val="auto"/>
          <w:szCs w:val="21"/>
          <w:highlight w:val="none"/>
          <w:lang w:eastAsia="zh-CN"/>
        </w:rPr>
        <w:t>当</w:t>
      </w:r>
      <w:r>
        <w:rPr>
          <w:rFonts w:hint="eastAsia"/>
          <w:color w:val="auto"/>
          <w:szCs w:val="21"/>
          <w:highlight w:val="none"/>
        </w:rPr>
        <w:t>期的月份信息价格×（1</w:t>
      </w:r>
      <w:r>
        <w:rPr>
          <w:rFonts w:hint="eastAsia"/>
          <w:color w:val="auto"/>
          <w:szCs w:val="21"/>
          <w:highlight w:val="none"/>
          <w:lang w:eastAsia="zh-CN"/>
        </w:rPr>
        <w:t>%～</w:t>
      </w:r>
      <w:r>
        <w:rPr>
          <w:rFonts w:hint="eastAsia"/>
          <w:color w:val="auto"/>
          <w:szCs w:val="21"/>
          <w:highlight w:val="none"/>
        </w:rPr>
        <w:t>5%）】× 该类主要建筑材料数量。</w:t>
      </w:r>
    </w:p>
    <w:p w14:paraId="6A0CCB51">
      <w:pPr>
        <w:spacing w:line="410" w:lineRule="exact"/>
        <w:ind w:firstLine="420" w:firstLineChars="200"/>
        <w:rPr>
          <w:rFonts w:hint="eastAsia"/>
          <w:color w:val="auto"/>
          <w:szCs w:val="21"/>
          <w:highlight w:val="none"/>
        </w:rPr>
      </w:pPr>
      <w:r>
        <w:rPr>
          <w:rFonts w:hint="eastAsia"/>
          <w:color w:val="auto"/>
          <w:szCs w:val="21"/>
          <w:highlight w:val="none"/>
        </w:rPr>
        <w:t>C</w:t>
      </w:r>
      <w:r>
        <w:rPr>
          <w:rFonts w:hint="eastAsia"/>
          <w:color w:val="auto"/>
          <w:szCs w:val="21"/>
          <w:highlight w:val="none"/>
          <w:lang w:eastAsia="zh-CN"/>
        </w:rPr>
        <w:t>.</w:t>
      </w:r>
      <w:r>
        <w:rPr>
          <w:rFonts w:hint="eastAsia"/>
          <w:color w:val="auto"/>
          <w:szCs w:val="21"/>
          <w:highlight w:val="none"/>
        </w:rPr>
        <w:t>主要建筑材料差价应根据计价定额规则计取相关费用和税金，并作为追加（减）合同价款和工程进度款同期支付。</w:t>
      </w:r>
    </w:p>
    <w:p w14:paraId="26C378C1">
      <w:pPr>
        <w:spacing w:line="460" w:lineRule="exact"/>
        <w:ind w:firstLine="420" w:firstLineChars="200"/>
        <w:rPr>
          <w:rFonts w:hint="eastAsia"/>
          <w:color w:val="auto"/>
          <w:szCs w:val="21"/>
          <w:highlight w:val="none"/>
        </w:rPr>
      </w:pPr>
      <w:r>
        <w:rPr>
          <w:rFonts w:hint="eastAsia"/>
          <w:color w:val="auto"/>
          <w:szCs w:val="21"/>
          <w:highlight w:val="none"/>
        </w:rPr>
        <w:t>D</w:t>
      </w:r>
      <w:r>
        <w:rPr>
          <w:rFonts w:hint="eastAsia"/>
          <w:color w:val="auto"/>
          <w:szCs w:val="21"/>
          <w:highlight w:val="none"/>
          <w:lang w:eastAsia="zh-CN"/>
        </w:rPr>
        <w:t>.</w:t>
      </w:r>
      <w:r>
        <w:rPr>
          <w:rFonts w:hint="eastAsia"/>
          <w:color w:val="auto"/>
          <w:szCs w:val="21"/>
          <w:highlight w:val="none"/>
        </w:rPr>
        <w:t>因发包人原因造成工期延误的，延误期间发生的材料价格上涨差额由发包人承担；因承包人原因造成工期延误的，延误期间发生的材料价格上涨差额由承包人承担。</w:t>
      </w:r>
    </w:p>
    <w:p w14:paraId="6A488B18">
      <w:pPr>
        <w:autoSpaceDE w:val="0"/>
        <w:autoSpaceDN w:val="0"/>
        <w:adjustRightInd w:val="0"/>
        <w:spacing w:line="360" w:lineRule="auto"/>
        <w:ind w:firstLine="480"/>
        <w:rPr>
          <w:rFonts w:hint="eastAsia"/>
          <w:b/>
          <w:color w:val="auto"/>
          <w:szCs w:val="21"/>
          <w:highlight w:val="none"/>
          <w:u w:val="single"/>
        </w:rPr>
      </w:pPr>
      <w:r>
        <w:rPr>
          <w:rFonts w:hint="eastAsia"/>
          <w:b/>
          <w:color w:val="auto"/>
          <w:szCs w:val="21"/>
          <w:highlight w:val="none"/>
          <w:u w:val="single"/>
        </w:rPr>
        <w:t>（6）人工费调整按通建价</w:t>
      </w:r>
      <w:r>
        <w:rPr>
          <w:rFonts w:hint="eastAsia"/>
          <w:b/>
          <w:color w:val="auto"/>
          <w:szCs w:val="21"/>
          <w:highlight w:val="none"/>
          <w:u w:val="single"/>
          <w:lang w:eastAsia="zh-CN"/>
        </w:rPr>
        <w:t>〔2015〕10号</w:t>
      </w:r>
      <w:r>
        <w:rPr>
          <w:rFonts w:hint="eastAsia"/>
          <w:b/>
          <w:color w:val="auto"/>
          <w:szCs w:val="21"/>
          <w:highlight w:val="none"/>
          <w:u w:val="single"/>
        </w:rPr>
        <w:t xml:space="preserve">文《关于发布南通市建设工程人工工资指导价动态管理实施细则的通知》执行。 </w:t>
      </w:r>
    </w:p>
    <w:p w14:paraId="7C2DA944">
      <w:pPr>
        <w:spacing w:line="460" w:lineRule="exact"/>
        <w:ind w:firstLine="420" w:firstLineChars="200"/>
        <w:rPr>
          <w:color w:val="auto"/>
          <w:szCs w:val="21"/>
          <w:highlight w:val="none"/>
        </w:rPr>
      </w:pPr>
      <w:r>
        <w:rPr>
          <w:rFonts w:hint="eastAsia"/>
          <w:color w:val="auto"/>
          <w:szCs w:val="21"/>
          <w:highlight w:val="none"/>
        </w:rPr>
        <w:t>2、总价合同。</w:t>
      </w:r>
    </w:p>
    <w:p w14:paraId="08E1B531">
      <w:pPr>
        <w:spacing w:line="460" w:lineRule="exact"/>
        <w:ind w:firstLine="315" w:firstLineChars="150"/>
        <w:rPr>
          <w:color w:val="auto"/>
          <w:szCs w:val="21"/>
          <w:highlight w:val="none"/>
        </w:rPr>
      </w:pPr>
      <w:r>
        <w:rPr>
          <w:rFonts w:hint="eastAsia"/>
          <w:color w:val="auto"/>
          <w:szCs w:val="21"/>
          <w:highlight w:val="none"/>
        </w:rPr>
        <w:t>总价包含的风险范围：</w:t>
      </w:r>
      <w:r>
        <w:rPr>
          <w:rFonts w:hint="eastAsia"/>
          <w:color w:val="auto"/>
          <w:szCs w:val="21"/>
          <w:highlight w:val="none"/>
          <w:u w:val="single"/>
        </w:rPr>
        <w:t xml:space="preserve">      /                 </w:t>
      </w:r>
      <w:r>
        <w:rPr>
          <w:rFonts w:hint="eastAsia"/>
          <w:color w:val="auto"/>
          <w:szCs w:val="21"/>
          <w:highlight w:val="none"/>
        </w:rPr>
        <w:t>。</w:t>
      </w:r>
    </w:p>
    <w:p w14:paraId="7ABC0345">
      <w:pPr>
        <w:spacing w:line="460" w:lineRule="exact"/>
        <w:ind w:firstLine="315" w:firstLineChars="150"/>
        <w:rPr>
          <w:color w:val="auto"/>
          <w:szCs w:val="21"/>
          <w:highlight w:val="none"/>
        </w:rPr>
      </w:pPr>
      <w:r>
        <w:rPr>
          <w:rFonts w:hint="eastAsia"/>
          <w:color w:val="auto"/>
          <w:szCs w:val="21"/>
          <w:highlight w:val="none"/>
        </w:rPr>
        <w:t>风险费用的计算方法：</w:t>
      </w:r>
      <w:r>
        <w:rPr>
          <w:rFonts w:hint="eastAsia"/>
          <w:color w:val="auto"/>
          <w:szCs w:val="21"/>
          <w:highlight w:val="none"/>
          <w:u w:val="single"/>
        </w:rPr>
        <w:t xml:space="preserve">     /           </w:t>
      </w:r>
      <w:r>
        <w:rPr>
          <w:rFonts w:hint="eastAsia"/>
          <w:color w:val="auto"/>
          <w:szCs w:val="21"/>
          <w:highlight w:val="none"/>
        </w:rPr>
        <w:t>。</w:t>
      </w:r>
    </w:p>
    <w:p w14:paraId="7172A4F5">
      <w:pPr>
        <w:spacing w:line="460" w:lineRule="exact"/>
        <w:ind w:firstLine="315" w:firstLineChars="150"/>
        <w:rPr>
          <w:color w:val="auto"/>
          <w:szCs w:val="21"/>
          <w:highlight w:val="none"/>
        </w:rPr>
      </w:pPr>
      <w:r>
        <w:rPr>
          <w:rFonts w:hint="eastAsia"/>
          <w:color w:val="auto"/>
          <w:szCs w:val="21"/>
          <w:highlight w:val="none"/>
        </w:rPr>
        <w:t>风险范围以外合同价格的调整方法：</w:t>
      </w:r>
      <w:r>
        <w:rPr>
          <w:rFonts w:hint="eastAsia"/>
          <w:color w:val="auto"/>
          <w:szCs w:val="21"/>
          <w:highlight w:val="none"/>
          <w:u w:val="single"/>
        </w:rPr>
        <w:t xml:space="preserve">  /         </w:t>
      </w:r>
      <w:r>
        <w:rPr>
          <w:rFonts w:hint="eastAsia"/>
          <w:color w:val="auto"/>
          <w:szCs w:val="21"/>
          <w:highlight w:val="none"/>
        </w:rPr>
        <w:t>。</w:t>
      </w:r>
    </w:p>
    <w:p w14:paraId="28AFB7BF">
      <w:pPr>
        <w:spacing w:line="460" w:lineRule="exact"/>
        <w:ind w:firstLine="315" w:firstLineChars="150"/>
        <w:rPr>
          <w:color w:val="auto"/>
          <w:szCs w:val="21"/>
          <w:highlight w:val="none"/>
        </w:rPr>
      </w:pPr>
      <w:r>
        <w:rPr>
          <w:rFonts w:hint="eastAsia"/>
          <w:color w:val="auto"/>
          <w:szCs w:val="21"/>
          <w:highlight w:val="none"/>
        </w:rPr>
        <w:t>3、其他价格方式：</w:t>
      </w:r>
      <w:r>
        <w:rPr>
          <w:rFonts w:hint="eastAsia"/>
          <w:color w:val="auto"/>
          <w:szCs w:val="21"/>
          <w:highlight w:val="none"/>
          <w:u w:val="single"/>
        </w:rPr>
        <w:t xml:space="preserve">   /           </w:t>
      </w:r>
      <w:r>
        <w:rPr>
          <w:rFonts w:hint="eastAsia"/>
          <w:color w:val="auto"/>
          <w:szCs w:val="21"/>
          <w:highlight w:val="none"/>
        </w:rPr>
        <w:t>。</w:t>
      </w:r>
    </w:p>
    <w:p w14:paraId="0BEA69BC">
      <w:pPr>
        <w:spacing w:line="460" w:lineRule="exact"/>
        <w:ind w:firstLine="420" w:firstLineChars="200"/>
        <w:rPr>
          <w:color w:val="auto"/>
          <w:szCs w:val="21"/>
          <w:highlight w:val="none"/>
        </w:rPr>
      </w:pPr>
      <w:bookmarkStart w:id="439" w:name="_Toc312678042"/>
      <w:bookmarkStart w:id="440" w:name="_Toc297123554"/>
      <w:bookmarkStart w:id="441" w:name="_Toc300935004"/>
      <w:bookmarkStart w:id="442" w:name="_Toc297216213"/>
      <w:bookmarkStart w:id="443" w:name="_Toc304295581"/>
      <w:bookmarkStart w:id="444" w:name="_Toc303539161"/>
      <w:bookmarkStart w:id="445" w:name="_Toc297048393"/>
      <w:bookmarkStart w:id="446" w:name="_Toc296347206"/>
      <w:bookmarkStart w:id="447" w:name="_Toc296944546"/>
      <w:bookmarkStart w:id="448" w:name="_Toc297120507"/>
      <w:bookmarkStart w:id="449" w:name="_Toc292559917"/>
      <w:bookmarkStart w:id="450" w:name="_Toc296891247"/>
      <w:bookmarkStart w:id="451" w:name="_Toc296891035"/>
      <w:bookmarkStart w:id="452" w:name="_Toc296346708"/>
      <w:bookmarkStart w:id="453" w:name="_Toc296503207"/>
      <w:bookmarkStart w:id="454" w:name="_Toc292559412"/>
      <w:r>
        <w:rPr>
          <w:rFonts w:hint="eastAsia"/>
          <w:color w:val="auto"/>
          <w:szCs w:val="21"/>
          <w:highlight w:val="none"/>
        </w:rPr>
        <w:t>12.2 预付款</w:t>
      </w:r>
    </w:p>
    <w:bookmarkEnd w:id="439"/>
    <w:bookmarkEnd w:id="440"/>
    <w:bookmarkEnd w:id="441"/>
    <w:bookmarkEnd w:id="442"/>
    <w:bookmarkEnd w:id="443"/>
    <w:bookmarkEnd w:id="444"/>
    <w:p w14:paraId="3C0E35BD">
      <w:pPr>
        <w:spacing w:line="460" w:lineRule="exact"/>
        <w:ind w:firstLine="420" w:firstLineChars="200"/>
        <w:rPr>
          <w:color w:val="auto"/>
          <w:szCs w:val="21"/>
          <w:highlight w:val="none"/>
        </w:rPr>
      </w:pPr>
      <w:r>
        <w:rPr>
          <w:rFonts w:hint="eastAsia"/>
          <w:color w:val="auto"/>
          <w:szCs w:val="21"/>
          <w:highlight w:val="none"/>
        </w:rPr>
        <w:t>12.2.1 预付款的支付</w:t>
      </w:r>
    </w:p>
    <w:p w14:paraId="4E39AB7C">
      <w:pPr>
        <w:spacing w:line="460" w:lineRule="exact"/>
        <w:ind w:firstLine="420" w:firstLineChars="200"/>
        <w:rPr>
          <w:color w:val="auto"/>
          <w:szCs w:val="21"/>
          <w:highlight w:val="none"/>
        </w:rPr>
      </w:pPr>
      <w:r>
        <w:rPr>
          <w:rFonts w:hint="eastAsia"/>
          <w:color w:val="auto"/>
          <w:szCs w:val="21"/>
          <w:highlight w:val="none"/>
        </w:rPr>
        <w:t>预付款支付比例或金额：</w:t>
      </w:r>
      <w:r>
        <w:rPr>
          <w:rFonts w:hint="eastAsia"/>
          <w:color w:val="auto"/>
          <w:szCs w:val="21"/>
          <w:highlight w:val="none"/>
          <w:u w:val="single"/>
        </w:rPr>
        <w:t xml:space="preserve"> </w:t>
      </w:r>
      <w:r>
        <w:rPr>
          <w:rFonts w:hint="eastAsia"/>
          <w:bCs/>
          <w:color w:val="auto"/>
          <w:szCs w:val="21"/>
          <w:highlight w:val="none"/>
          <w:u w:val="single"/>
        </w:rPr>
        <w:t xml:space="preserve">    </w:t>
      </w:r>
      <w:r>
        <w:rPr>
          <w:rFonts w:hint="eastAsia"/>
          <w:color w:val="auto"/>
          <w:szCs w:val="21"/>
          <w:highlight w:val="none"/>
          <w:u w:val="single"/>
        </w:rPr>
        <w:t xml:space="preserve">/  </w:t>
      </w:r>
      <w:r>
        <w:rPr>
          <w:rFonts w:hint="eastAsia"/>
          <w:bCs/>
          <w:color w:val="auto"/>
          <w:szCs w:val="21"/>
          <w:highlight w:val="none"/>
          <w:u w:val="single"/>
        </w:rPr>
        <w:t xml:space="preserve">     </w:t>
      </w:r>
      <w:r>
        <w:rPr>
          <w:rFonts w:hint="eastAsia"/>
          <w:color w:val="auto"/>
          <w:szCs w:val="21"/>
          <w:highlight w:val="none"/>
          <w:u w:val="single"/>
        </w:rPr>
        <w:t xml:space="preserve">  </w:t>
      </w:r>
      <w:r>
        <w:rPr>
          <w:rFonts w:hint="eastAsia"/>
          <w:color w:val="auto"/>
          <w:szCs w:val="21"/>
          <w:highlight w:val="none"/>
        </w:rPr>
        <w:t>。</w:t>
      </w:r>
    </w:p>
    <w:p w14:paraId="30364864">
      <w:pPr>
        <w:spacing w:line="460" w:lineRule="exact"/>
        <w:ind w:firstLine="420" w:firstLineChars="200"/>
        <w:rPr>
          <w:color w:val="auto"/>
          <w:szCs w:val="21"/>
          <w:highlight w:val="none"/>
        </w:rPr>
      </w:pPr>
      <w:r>
        <w:rPr>
          <w:rFonts w:hint="eastAsia"/>
          <w:color w:val="auto"/>
          <w:szCs w:val="21"/>
          <w:highlight w:val="none"/>
        </w:rPr>
        <w:t>预付款支付期限：</w:t>
      </w:r>
      <w:r>
        <w:rPr>
          <w:rFonts w:hint="eastAsia"/>
          <w:color w:val="auto"/>
          <w:szCs w:val="21"/>
          <w:highlight w:val="none"/>
          <w:u w:val="single"/>
        </w:rPr>
        <w:t xml:space="preserve">     /    </w:t>
      </w:r>
      <w:r>
        <w:rPr>
          <w:rFonts w:hint="eastAsia"/>
          <w:color w:val="auto"/>
          <w:szCs w:val="21"/>
          <w:highlight w:val="none"/>
        </w:rPr>
        <w:t>。</w:t>
      </w:r>
    </w:p>
    <w:p w14:paraId="351F4F6E">
      <w:pPr>
        <w:spacing w:line="460" w:lineRule="exact"/>
        <w:ind w:firstLine="420" w:firstLineChars="200"/>
        <w:rPr>
          <w:color w:val="auto"/>
          <w:szCs w:val="21"/>
          <w:highlight w:val="none"/>
        </w:rPr>
      </w:pPr>
      <w:r>
        <w:rPr>
          <w:rFonts w:hint="eastAsia"/>
          <w:color w:val="auto"/>
          <w:szCs w:val="21"/>
          <w:highlight w:val="none"/>
        </w:rPr>
        <w:t>预付款扣回的方式：</w:t>
      </w:r>
      <w:r>
        <w:rPr>
          <w:rFonts w:hint="eastAsia"/>
          <w:color w:val="auto"/>
          <w:szCs w:val="21"/>
          <w:highlight w:val="none"/>
          <w:u w:val="single"/>
        </w:rPr>
        <w:t xml:space="preserve">    </w:t>
      </w:r>
      <w:r>
        <w:rPr>
          <w:rFonts w:hint="eastAsia"/>
          <w:b/>
          <w:color w:val="auto"/>
          <w:szCs w:val="21"/>
          <w:highlight w:val="none"/>
          <w:u w:val="single"/>
        </w:rPr>
        <w:t xml:space="preserve">/  </w:t>
      </w:r>
      <w:r>
        <w:rPr>
          <w:rFonts w:hint="eastAsia"/>
          <w:color w:val="auto"/>
          <w:szCs w:val="21"/>
          <w:highlight w:val="none"/>
          <w:u w:val="single"/>
        </w:rPr>
        <w:t xml:space="preserve">   </w:t>
      </w:r>
      <w:r>
        <w:rPr>
          <w:rFonts w:hint="eastAsia"/>
          <w:color w:val="auto"/>
          <w:szCs w:val="21"/>
          <w:highlight w:val="none"/>
        </w:rPr>
        <w:t>。</w:t>
      </w:r>
    </w:p>
    <w:p w14:paraId="30F244E2">
      <w:pPr>
        <w:spacing w:line="460" w:lineRule="exact"/>
        <w:ind w:firstLine="420" w:firstLineChars="200"/>
        <w:rPr>
          <w:color w:val="auto"/>
          <w:szCs w:val="21"/>
          <w:highlight w:val="none"/>
        </w:rPr>
      </w:pPr>
      <w:r>
        <w:rPr>
          <w:rFonts w:hint="eastAsia"/>
          <w:color w:val="auto"/>
          <w:szCs w:val="21"/>
          <w:highlight w:val="none"/>
        </w:rPr>
        <w:t>12.2.2 预付款担保</w:t>
      </w:r>
    </w:p>
    <w:p w14:paraId="350AF988">
      <w:pPr>
        <w:spacing w:line="460" w:lineRule="exact"/>
        <w:ind w:firstLine="420" w:firstLineChars="200"/>
        <w:rPr>
          <w:color w:val="auto"/>
          <w:szCs w:val="21"/>
          <w:highlight w:val="none"/>
        </w:rPr>
      </w:pPr>
      <w:r>
        <w:rPr>
          <w:rFonts w:hint="eastAsia"/>
          <w:color w:val="auto"/>
          <w:szCs w:val="21"/>
          <w:highlight w:val="none"/>
        </w:rPr>
        <w:t>承包人提交预付款担保的期限：</w:t>
      </w:r>
      <w:r>
        <w:rPr>
          <w:rFonts w:hint="eastAsia"/>
          <w:color w:val="auto"/>
          <w:szCs w:val="21"/>
          <w:highlight w:val="none"/>
          <w:u w:val="single"/>
        </w:rPr>
        <w:t xml:space="preserve">  /      </w:t>
      </w:r>
      <w:r>
        <w:rPr>
          <w:rFonts w:hint="eastAsia"/>
          <w:color w:val="auto"/>
          <w:szCs w:val="21"/>
          <w:highlight w:val="none"/>
        </w:rPr>
        <w:t>。</w:t>
      </w:r>
    </w:p>
    <w:p w14:paraId="45677082">
      <w:pPr>
        <w:spacing w:line="460" w:lineRule="exact"/>
        <w:ind w:firstLine="420" w:firstLineChars="200"/>
        <w:rPr>
          <w:color w:val="auto"/>
          <w:szCs w:val="21"/>
          <w:highlight w:val="none"/>
        </w:rPr>
      </w:pPr>
      <w:r>
        <w:rPr>
          <w:rFonts w:hint="eastAsia"/>
          <w:color w:val="auto"/>
          <w:szCs w:val="21"/>
          <w:highlight w:val="none"/>
        </w:rPr>
        <w:t>预付款担保的形式为：</w:t>
      </w:r>
      <w:r>
        <w:rPr>
          <w:rFonts w:hint="eastAsia"/>
          <w:color w:val="auto"/>
          <w:szCs w:val="21"/>
          <w:highlight w:val="none"/>
          <w:u w:val="single"/>
        </w:rPr>
        <w:t xml:space="preserve">   /     </w:t>
      </w:r>
      <w:r>
        <w:rPr>
          <w:rFonts w:hint="eastAsia"/>
          <w:color w:val="auto"/>
          <w:szCs w:val="21"/>
          <w:highlight w:val="none"/>
        </w:rPr>
        <w:t>。</w:t>
      </w:r>
    </w:p>
    <w:bookmarkEnd w:id="445"/>
    <w:bookmarkEnd w:id="446"/>
    <w:bookmarkEnd w:id="447"/>
    <w:bookmarkEnd w:id="448"/>
    <w:bookmarkEnd w:id="449"/>
    <w:bookmarkEnd w:id="450"/>
    <w:bookmarkEnd w:id="451"/>
    <w:bookmarkEnd w:id="452"/>
    <w:bookmarkEnd w:id="453"/>
    <w:bookmarkEnd w:id="454"/>
    <w:p w14:paraId="735F256A">
      <w:pPr>
        <w:spacing w:line="460" w:lineRule="exact"/>
        <w:ind w:firstLine="420" w:firstLineChars="200"/>
        <w:rPr>
          <w:color w:val="auto"/>
          <w:szCs w:val="21"/>
          <w:highlight w:val="none"/>
        </w:rPr>
      </w:pPr>
      <w:r>
        <w:rPr>
          <w:rFonts w:hint="eastAsia"/>
          <w:color w:val="auto"/>
          <w:szCs w:val="21"/>
          <w:highlight w:val="none"/>
        </w:rPr>
        <w:t>12.3 计量</w:t>
      </w:r>
    </w:p>
    <w:p w14:paraId="605CA2E0">
      <w:pPr>
        <w:spacing w:line="460" w:lineRule="exact"/>
        <w:ind w:firstLine="420" w:firstLineChars="200"/>
        <w:rPr>
          <w:color w:val="auto"/>
          <w:szCs w:val="21"/>
          <w:highlight w:val="none"/>
        </w:rPr>
      </w:pPr>
      <w:r>
        <w:rPr>
          <w:rFonts w:hint="eastAsia"/>
          <w:color w:val="auto"/>
          <w:szCs w:val="21"/>
          <w:highlight w:val="none"/>
        </w:rPr>
        <w:t>12.3.1 计量原则</w:t>
      </w:r>
    </w:p>
    <w:p w14:paraId="66B17E0F">
      <w:pPr>
        <w:spacing w:line="460" w:lineRule="exact"/>
        <w:ind w:firstLine="420" w:firstLineChars="200"/>
        <w:rPr>
          <w:b/>
          <w:bCs/>
          <w:color w:val="auto"/>
          <w:szCs w:val="21"/>
          <w:highlight w:val="none"/>
          <w:u w:val="single"/>
        </w:rPr>
      </w:pPr>
      <w:r>
        <w:rPr>
          <w:rFonts w:hint="eastAsia"/>
          <w:color w:val="auto"/>
          <w:szCs w:val="21"/>
          <w:highlight w:val="none"/>
        </w:rPr>
        <w:t>工程量计算规则：</w:t>
      </w:r>
      <w:r>
        <w:rPr>
          <w:rFonts w:hint="eastAsia"/>
          <w:b/>
          <w:bCs/>
          <w:color w:val="auto"/>
          <w:szCs w:val="21"/>
          <w:highlight w:val="none"/>
          <w:u w:val="single"/>
        </w:rPr>
        <w:t>建筑工程工程量清单计价规范》GB50500-2013、《江苏省建设工程工程量清单计价项目指引》2014年版、《江苏省建筑与装饰工程计价定额》2014年版、《江苏省房屋修缮工程计价表》2009年版、《江苏省建设工程费用定额》（2014年）以及相应的补充规定和省市颁布的有关工程造价文件。</w:t>
      </w:r>
    </w:p>
    <w:p w14:paraId="4A56D47A">
      <w:pPr>
        <w:autoSpaceDE w:val="0"/>
        <w:autoSpaceDN w:val="0"/>
        <w:adjustRightInd w:val="0"/>
        <w:spacing w:line="460" w:lineRule="exact"/>
        <w:ind w:firstLine="420" w:firstLineChars="200"/>
        <w:rPr>
          <w:color w:val="auto"/>
          <w:szCs w:val="21"/>
          <w:highlight w:val="none"/>
        </w:rPr>
      </w:pPr>
      <w:r>
        <w:rPr>
          <w:color w:val="auto"/>
          <w:szCs w:val="21"/>
          <w:highlight w:val="none"/>
        </w:rPr>
        <w:t xml:space="preserve">12.3.2 </w:t>
      </w:r>
      <w:r>
        <w:rPr>
          <w:rFonts w:hint="eastAsia"/>
          <w:color w:val="auto"/>
          <w:szCs w:val="21"/>
          <w:highlight w:val="none"/>
        </w:rPr>
        <w:t>计量周期</w:t>
      </w:r>
    </w:p>
    <w:p w14:paraId="2B67C3F6">
      <w:pPr>
        <w:spacing w:line="460" w:lineRule="exact"/>
        <w:ind w:firstLine="420" w:firstLineChars="200"/>
        <w:rPr>
          <w:color w:val="auto"/>
          <w:szCs w:val="21"/>
          <w:highlight w:val="none"/>
        </w:rPr>
      </w:pPr>
      <w:r>
        <w:rPr>
          <w:rFonts w:hint="eastAsia"/>
          <w:color w:val="auto"/>
          <w:szCs w:val="21"/>
          <w:highlight w:val="none"/>
        </w:rPr>
        <w:t>关于计量周期的约定：</w:t>
      </w:r>
      <w:r>
        <w:rPr>
          <w:color w:val="auto"/>
          <w:szCs w:val="21"/>
          <w:highlight w:val="none"/>
          <w:u w:val="single"/>
        </w:rPr>
        <w:t xml:space="preserve">  </w:t>
      </w:r>
      <w:r>
        <w:rPr>
          <w:rFonts w:hint="eastAsia"/>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49977CF5">
      <w:pPr>
        <w:spacing w:line="460" w:lineRule="exact"/>
        <w:ind w:firstLine="420" w:firstLineChars="200"/>
        <w:rPr>
          <w:color w:val="auto"/>
          <w:szCs w:val="21"/>
          <w:highlight w:val="none"/>
        </w:rPr>
      </w:pPr>
      <w:r>
        <w:rPr>
          <w:color w:val="auto"/>
          <w:szCs w:val="21"/>
          <w:highlight w:val="none"/>
        </w:rPr>
        <w:t xml:space="preserve">12.3.3 </w:t>
      </w:r>
      <w:r>
        <w:rPr>
          <w:rFonts w:hint="eastAsia"/>
          <w:color w:val="auto"/>
          <w:szCs w:val="21"/>
          <w:highlight w:val="none"/>
        </w:rPr>
        <w:t>单价合同的计量</w:t>
      </w:r>
    </w:p>
    <w:p w14:paraId="145EDDFB">
      <w:pPr>
        <w:spacing w:line="460" w:lineRule="exact"/>
        <w:ind w:firstLine="420" w:firstLineChars="200"/>
        <w:rPr>
          <w:color w:val="auto"/>
          <w:szCs w:val="21"/>
          <w:highlight w:val="none"/>
        </w:rPr>
      </w:pPr>
      <w:r>
        <w:rPr>
          <w:rFonts w:hint="eastAsia"/>
          <w:color w:val="auto"/>
          <w:szCs w:val="21"/>
          <w:highlight w:val="none"/>
        </w:rPr>
        <w:t>关于单价合同计量的约定：</w:t>
      </w:r>
      <w:r>
        <w:rPr>
          <w:color w:val="auto"/>
          <w:szCs w:val="21"/>
          <w:highlight w:val="none"/>
          <w:u w:val="single"/>
        </w:rPr>
        <w:t xml:space="preserve">  </w:t>
      </w:r>
      <w:r>
        <w:rPr>
          <w:rFonts w:hint="eastAsia"/>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6CE4AABC">
      <w:pPr>
        <w:spacing w:line="460" w:lineRule="exact"/>
        <w:ind w:firstLine="420" w:firstLineChars="200"/>
        <w:rPr>
          <w:color w:val="auto"/>
          <w:szCs w:val="21"/>
          <w:highlight w:val="none"/>
        </w:rPr>
      </w:pPr>
      <w:r>
        <w:rPr>
          <w:color w:val="auto"/>
          <w:szCs w:val="21"/>
          <w:highlight w:val="none"/>
        </w:rPr>
        <w:t xml:space="preserve">12.3.4 </w:t>
      </w:r>
      <w:r>
        <w:rPr>
          <w:rFonts w:hint="eastAsia"/>
          <w:color w:val="auto"/>
          <w:szCs w:val="21"/>
          <w:highlight w:val="none"/>
        </w:rPr>
        <w:t>总价合同的计量</w:t>
      </w:r>
    </w:p>
    <w:p w14:paraId="06654684">
      <w:pPr>
        <w:spacing w:line="460" w:lineRule="exact"/>
        <w:ind w:firstLine="420" w:firstLineChars="200"/>
        <w:rPr>
          <w:color w:val="auto"/>
          <w:szCs w:val="21"/>
          <w:highlight w:val="none"/>
        </w:rPr>
      </w:pPr>
      <w:r>
        <w:rPr>
          <w:rFonts w:hint="eastAsia"/>
          <w:color w:val="auto"/>
          <w:szCs w:val="21"/>
          <w:highlight w:val="none"/>
        </w:rPr>
        <w:t>关于总价合同计量的约定：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0378F554">
      <w:pPr>
        <w:spacing w:line="460" w:lineRule="exact"/>
        <w:ind w:firstLine="420" w:firstLineChars="200"/>
        <w:rPr>
          <w:color w:val="auto"/>
          <w:szCs w:val="21"/>
          <w:highlight w:val="none"/>
        </w:rPr>
      </w:pPr>
      <w:r>
        <w:rPr>
          <w:color w:val="auto"/>
          <w:szCs w:val="21"/>
          <w:highlight w:val="none"/>
        </w:rPr>
        <w:t>12.3.5</w:t>
      </w:r>
      <w:r>
        <w:rPr>
          <w:rFonts w:hint="eastAsia"/>
          <w:color w:val="auto"/>
          <w:szCs w:val="21"/>
          <w:highlight w:val="none"/>
        </w:rPr>
        <w:t>总价合同采用支付分解表计量支付的，是否适用第</w:t>
      </w:r>
      <w:r>
        <w:rPr>
          <w:color w:val="auto"/>
          <w:szCs w:val="21"/>
          <w:highlight w:val="none"/>
        </w:rPr>
        <w:t xml:space="preserve">12.3.4 </w:t>
      </w:r>
      <w:r>
        <w:rPr>
          <w:rFonts w:hint="eastAsia"/>
          <w:color w:val="auto"/>
          <w:szCs w:val="21"/>
          <w:highlight w:val="none"/>
        </w:rPr>
        <w:t>项〔总价合同的计量〕约定进行计量：</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5ECF264">
      <w:pPr>
        <w:spacing w:line="460" w:lineRule="exact"/>
        <w:ind w:firstLine="420" w:firstLineChars="200"/>
        <w:rPr>
          <w:color w:val="auto"/>
          <w:szCs w:val="21"/>
          <w:highlight w:val="none"/>
        </w:rPr>
      </w:pPr>
      <w:r>
        <w:rPr>
          <w:color w:val="auto"/>
          <w:szCs w:val="21"/>
          <w:highlight w:val="none"/>
        </w:rPr>
        <w:t xml:space="preserve">12.3.6 </w:t>
      </w:r>
      <w:r>
        <w:rPr>
          <w:rFonts w:hint="eastAsia"/>
          <w:color w:val="auto"/>
          <w:szCs w:val="21"/>
          <w:highlight w:val="none"/>
        </w:rPr>
        <w:t>其他价格形式合同的计量</w:t>
      </w:r>
    </w:p>
    <w:p w14:paraId="4557D614">
      <w:pPr>
        <w:spacing w:line="460" w:lineRule="exact"/>
        <w:rPr>
          <w:color w:val="auto"/>
          <w:szCs w:val="21"/>
          <w:highlight w:val="none"/>
        </w:rPr>
      </w:pPr>
      <w:r>
        <w:rPr>
          <w:rFonts w:hint="eastAsia"/>
          <w:color w:val="auto"/>
          <w:szCs w:val="21"/>
          <w:highlight w:val="none"/>
        </w:rPr>
        <w:t>其他价格形式的计量方式和程序：</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0B611244">
      <w:pPr>
        <w:spacing w:line="460" w:lineRule="exact"/>
        <w:ind w:firstLine="420" w:firstLineChars="200"/>
        <w:rPr>
          <w:color w:val="auto"/>
          <w:szCs w:val="21"/>
          <w:highlight w:val="none"/>
        </w:rPr>
      </w:pPr>
      <w:r>
        <w:rPr>
          <w:color w:val="auto"/>
          <w:szCs w:val="21"/>
          <w:highlight w:val="none"/>
        </w:rPr>
        <w:t xml:space="preserve">12.4 </w:t>
      </w:r>
      <w:r>
        <w:rPr>
          <w:rFonts w:hint="eastAsia"/>
          <w:color w:val="auto"/>
          <w:szCs w:val="21"/>
          <w:highlight w:val="none"/>
        </w:rPr>
        <w:t>工程进度款支付</w:t>
      </w:r>
    </w:p>
    <w:p w14:paraId="20ED7E53">
      <w:pPr>
        <w:spacing w:line="460" w:lineRule="exact"/>
        <w:ind w:firstLine="420" w:firstLineChars="200"/>
        <w:rPr>
          <w:color w:val="auto"/>
          <w:szCs w:val="21"/>
          <w:highlight w:val="none"/>
        </w:rPr>
      </w:pPr>
      <w:bookmarkStart w:id="455" w:name="_Toc296891039"/>
      <w:bookmarkStart w:id="456" w:name="_Toc296944550"/>
      <w:bookmarkStart w:id="457" w:name="_Toc297048397"/>
      <w:bookmarkStart w:id="458" w:name="_Toc296347210"/>
      <w:bookmarkStart w:id="459" w:name="_Toc296346712"/>
      <w:bookmarkStart w:id="460" w:name="_Toc292559921"/>
      <w:bookmarkStart w:id="461" w:name="_Toc300935006"/>
      <w:bookmarkStart w:id="462" w:name="_Toc296891251"/>
      <w:bookmarkStart w:id="463" w:name="_Toc297120511"/>
      <w:bookmarkStart w:id="464" w:name="_Toc297216215"/>
      <w:bookmarkStart w:id="465" w:name="_Toc297123556"/>
      <w:bookmarkStart w:id="466" w:name="_Toc303539163"/>
      <w:bookmarkStart w:id="467" w:name="_Toc296503211"/>
      <w:bookmarkStart w:id="468" w:name="_Toc292559416"/>
      <w:r>
        <w:rPr>
          <w:color w:val="auto"/>
          <w:szCs w:val="21"/>
          <w:highlight w:val="none"/>
        </w:rPr>
        <w:t xml:space="preserve">12.4.1 </w:t>
      </w:r>
      <w:r>
        <w:rPr>
          <w:rFonts w:hint="eastAsia"/>
          <w:color w:val="auto"/>
          <w:szCs w:val="21"/>
          <w:highlight w:val="none"/>
        </w:rPr>
        <w:t>付款周期</w:t>
      </w:r>
    </w:p>
    <w:p w14:paraId="14C04282">
      <w:pPr>
        <w:spacing w:line="460" w:lineRule="exact"/>
        <w:ind w:firstLine="420" w:firstLineChars="200"/>
        <w:rPr>
          <w:color w:val="auto"/>
          <w:szCs w:val="21"/>
          <w:highlight w:val="none"/>
        </w:rPr>
      </w:pPr>
      <w:r>
        <w:rPr>
          <w:rFonts w:hint="eastAsia"/>
          <w:color w:val="auto"/>
          <w:szCs w:val="21"/>
          <w:highlight w:val="none"/>
        </w:rPr>
        <w:t>关于付款周期的约定：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23E27BEB">
      <w:pPr>
        <w:spacing w:line="460" w:lineRule="exact"/>
        <w:ind w:firstLine="420" w:firstLineChars="200"/>
        <w:rPr>
          <w:color w:val="auto"/>
          <w:szCs w:val="21"/>
          <w:highlight w:val="none"/>
        </w:rPr>
      </w:pPr>
      <w:r>
        <w:rPr>
          <w:color w:val="auto"/>
          <w:szCs w:val="21"/>
          <w:highlight w:val="none"/>
        </w:rPr>
        <w:t xml:space="preserve">12.4.2 </w:t>
      </w:r>
      <w:r>
        <w:rPr>
          <w:rFonts w:hint="eastAsia"/>
          <w:color w:val="auto"/>
          <w:szCs w:val="21"/>
          <w:highlight w:val="none"/>
        </w:rPr>
        <w:t>进度付款申请单的编制</w:t>
      </w:r>
    </w:p>
    <w:p w14:paraId="145EB124">
      <w:pPr>
        <w:spacing w:line="460" w:lineRule="exact"/>
        <w:ind w:firstLine="420" w:firstLineChars="200"/>
        <w:rPr>
          <w:rFonts w:hint="eastAsia"/>
          <w:color w:val="auto"/>
          <w:szCs w:val="21"/>
          <w:highlight w:val="none"/>
        </w:rPr>
      </w:pPr>
      <w:r>
        <w:rPr>
          <w:rFonts w:hint="eastAsia"/>
          <w:color w:val="auto"/>
          <w:szCs w:val="21"/>
          <w:highlight w:val="none"/>
        </w:rPr>
        <w:t>关于进度付款申请单编制的约定：</w:t>
      </w:r>
    </w:p>
    <w:p w14:paraId="39B59F2C">
      <w:pPr>
        <w:spacing w:line="460" w:lineRule="exact"/>
        <w:ind w:firstLine="422" w:firstLineChars="200"/>
        <w:rPr>
          <w:b/>
          <w:bCs/>
          <w:color w:val="auto"/>
          <w:szCs w:val="21"/>
          <w:highlight w:val="none"/>
          <w:u w:val="single"/>
        </w:rPr>
      </w:pPr>
      <w:r>
        <w:rPr>
          <w:rFonts w:hint="eastAsia"/>
          <w:b/>
          <w:bCs/>
          <w:color w:val="auto"/>
          <w:szCs w:val="21"/>
          <w:highlight w:val="none"/>
          <w:u w:val="single"/>
        </w:rPr>
        <w:t>工程竣工验收合格，且提交符合要求的资料，并需在三十日内提交工程竣工结算书及相关资料，审计结束，市物管中心审批通过后按</w:t>
      </w:r>
      <w:r>
        <w:rPr>
          <w:rFonts w:hint="eastAsia"/>
          <w:b/>
          <w:bCs/>
          <w:color w:val="auto"/>
          <w:szCs w:val="21"/>
          <w:highlight w:val="none"/>
          <w:u w:val="single"/>
          <w:lang w:eastAsia="zh-CN"/>
        </w:rPr>
        <w:t>审批金额</w:t>
      </w:r>
      <w:r>
        <w:rPr>
          <w:rFonts w:hint="eastAsia"/>
          <w:b/>
          <w:bCs/>
          <w:color w:val="auto"/>
          <w:szCs w:val="21"/>
          <w:highlight w:val="none"/>
          <w:u w:val="single"/>
        </w:rPr>
        <w:t>付款。即：乙方将质量保修金（审计价的3</w:t>
      </w:r>
      <w:r>
        <w:rPr>
          <w:b/>
          <w:bCs/>
          <w:color w:val="auto"/>
          <w:szCs w:val="21"/>
          <w:highlight w:val="none"/>
          <w:u w:val="single"/>
        </w:rPr>
        <w:t>%</w:t>
      </w:r>
      <w:r>
        <w:rPr>
          <w:rFonts w:hint="eastAsia"/>
          <w:b/>
          <w:bCs/>
          <w:color w:val="auto"/>
          <w:szCs w:val="21"/>
          <w:highlight w:val="none"/>
          <w:u w:val="single"/>
        </w:rPr>
        <w:t>）交至甲方处后，由公维基金一次性按</w:t>
      </w:r>
      <w:r>
        <w:rPr>
          <w:rFonts w:hint="eastAsia"/>
          <w:b/>
          <w:bCs/>
          <w:color w:val="auto"/>
          <w:szCs w:val="21"/>
          <w:highlight w:val="none"/>
          <w:u w:val="single"/>
          <w:lang w:eastAsia="zh-CN"/>
        </w:rPr>
        <w:t>审批金额</w:t>
      </w:r>
      <w:r>
        <w:rPr>
          <w:rFonts w:hint="eastAsia"/>
          <w:b/>
          <w:bCs/>
          <w:color w:val="auto"/>
          <w:szCs w:val="21"/>
          <w:highlight w:val="none"/>
          <w:u w:val="single"/>
        </w:rPr>
        <w:t>付款。质量保修金待保修期满无质量问题后无息返还。工程竣工结算价由第三方审计确认，以上付款时间均在资金到账后一次性付清。</w:t>
      </w:r>
    </w:p>
    <w:p w14:paraId="400D63C8">
      <w:pPr>
        <w:spacing w:line="460" w:lineRule="exact"/>
        <w:ind w:firstLine="422" w:firstLineChars="200"/>
        <w:rPr>
          <w:b/>
          <w:bCs/>
          <w:color w:val="auto"/>
          <w:szCs w:val="21"/>
          <w:highlight w:val="none"/>
          <w:u w:val="single"/>
        </w:rPr>
      </w:pPr>
      <w:r>
        <w:rPr>
          <w:rFonts w:hint="eastAsia"/>
          <w:b/>
          <w:bCs/>
          <w:color w:val="auto"/>
          <w:szCs w:val="21"/>
          <w:highlight w:val="none"/>
          <w:u w:val="single"/>
        </w:rPr>
        <w:t>履约保证金（含中标差额保证金）在</w:t>
      </w:r>
      <w:r>
        <w:rPr>
          <w:b/>
          <w:bCs/>
          <w:color w:val="auto"/>
          <w:szCs w:val="21"/>
          <w:highlight w:val="none"/>
          <w:u w:val="single"/>
        </w:rPr>
        <w:t>竣工验收</w:t>
      </w:r>
      <w:r>
        <w:rPr>
          <w:rFonts w:hint="eastAsia"/>
          <w:b/>
          <w:bCs/>
          <w:color w:val="auto"/>
          <w:szCs w:val="21"/>
          <w:highlight w:val="none"/>
          <w:u w:val="single"/>
        </w:rPr>
        <w:t>合格</w:t>
      </w:r>
      <w:r>
        <w:rPr>
          <w:b/>
          <w:bCs/>
          <w:color w:val="auto"/>
          <w:szCs w:val="21"/>
          <w:highlight w:val="none"/>
          <w:u w:val="single"/>
        </w:rPr>
        <w:t>后</w:t>
      </w:r>
      <w:r>
        <w:rPr>
          <w:rFonts w:hint="eastAsia"/>
          <w:b/>
          <w:bCs/>
          <w:color w:val="auto"/>
          <w:szCs w:val="21"/>
          <w:highlight w:val="none"/>
          <w:u w:val="single"/>
        </w:rPr>
        <w:t>，且提交完整的竣工资料和工程结算资料后按实际履约情况</w:t>
      </w:r>
      <w:r>
        <w:rPr>
          <w:b/>
          <w:bCs/>
          <w:color w:val="auto"/>
          <w:szCs w:val="21"/>
          <w:highlight w:val="none"/>
          <w:u w:val="single"/>
        </w:rPr>
        <w:t>退还</w:t>
      </w:r>
      <w:r>
        <w:rPr>
          <w:rFonts w:hint="eastAsia"/>
          <w:b/>
          <w:bCs/>
          <w:color w:val="auto"/>
          <w:szCs w:val="21"/>
          <w:highlight w:val="none"/>
          <w:u w:val="single"/>
        </w:rPr>
        <w:t>（无息）</w:t>
      </w:r>
      <w:r>
        <w:rPr>
          <w:b/>
          <w:bCs/>
          <w:color w:val="auto"/>
          <w:szCs w:val="21"/>
          <w:highlight w:val="none"/>
          <w:u w:val="single"/>
        </w:rPr>
        <w:t>。</w:t>
      </w:r>
    </w:p>
    <w:p w14:paraId="118084D1">
      <w:pPr>
        <w:spacing w:line="460" w:lineRule="exact"/>
        <w:ind w:firstLine="420" w:firstLineChars="200"/>
        <w:rPr>
          <w:color w:val="auto"/>
          <w:szCs w:val="21"/>
          <w:highlight w:val="none"/>
        </w:rPr>
      </w:pPr>
      <w:r>
        <w:rPr>
          <w:color w:val="auto"/>
          <w:szCs w:val="21"/>
          <w:highlight w:val="none"/>
        </w:rPr>
        <w:t>1</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r>
        <w:rPr>
          <w:color w:val="auto"/>
          <w:szCs w:val="21"/>
          <w:highlight w:val="none"/>
        </w:rPr>
        <w:t xml:space="preserve">2.4.3 </w:t>
      </w:r>
      <w:r>
        <w:rPr>
          <w:rFonts w:hint="eastAsia"/>
          <w:color w:val="auto"/>
          <w:szCs w:val="21"/>
          <w:highlight w:val="none"/>
        </w:rPr>
        <w:t>进度付款申请单的提交</w:t>
      </w:r>
    </w:p>
    <w:p w14:paraId="39FCA22D">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1</w:t>
      </w:r>
      <w:r>
        <w:rPr>
          <w:rFonts w:hint="eastAsia"/>
          <w:color w:val="auto"/>
          <w:szCs w:val="21"/>
          <w:highlight w:val="none"/>
        </w:rPr>
        <w:t>）单价合同进度付款申请单提交的约定：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53CAB5CB">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）总价合同进度付款申请单提交的约定：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6DA66732">
      <w:pPr>
        <w:spacing w:line="460" w:lineRule="exact"/>
        <w:rPr>
          <w:color w:val="auto"/>
          <w:szCs w:val="21"/>
          <w:highlight w:val="none"/>
        </w:rPr>
      </w:pPr>
      <w:r>
        <w:rPr>
          <w:rFonts w:hint="eastAsia"/>
          <w:color w:val="auto"/>
          <w:szCs w:val="21"/>
          <w:highlight w:val="none"/>
        </w:rPr>
        <w:t xml:space="preserve">    （</w:t>
      </w:r>
      <w:r>
        <w:rPr>
          <w:color w:val="auto"/>
          <w:szCs w:val="21"/>
          <w:highlight w:val="none"/>
        </w:rPr>
        <w:t>3</w:t>
      </w:r>
      <w:r>
        <w:rPr>
          <w:rFonts w:hint="eastAsia"/>
          <w:color w:val="auto"/>
          <w:szCs w:val="21"/>
          <w:highlight w:val="none"/>
        </w:rPr>
        <w:t>）其他价格形式合同进度付款申请单提交的约定：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519EE247">
      <w:pPr>
        <w:spacing w:line="460" w:lineRule="exact"/>
        <w:ind w:firstLine="420" w:firstLineChars="200"/>
        <w:rPr>
          <w:color w:val="auto"/>
          <w:szCs w:val="21"/>
          <w:highlight w:val="none"/>
        </w:rPr>
      </w:pPr>
      <w:r>
        <w:rPr>
          <w:color w:val="auto"/>
          <w:szCs w:val="21"/>
          <w:highlight w:val="none"/>
        </w:rPr>
        <w:t xml:space="preserve">12.4.4 </w:t>
      </w:r>
      <w:r>
        <w:rPr>
          <w:rFonts w:hint="eastAsia"/>
          <w:color w:val="auto"/>
          <w:szCs w:val="21"/>
          <w:highlight w:val="none"/>
        </w:rPr>
        <w:t>进度款审核和支付</w:t>
      </w:r>
    </w:p>
    <w:p w14:paraId="1E5921DA">
      <w:pPr>
        <w:spacing w:line="460" w:lineRule="exact"/>
        <w:ind w:firstLine="420" w:firstLineChars="200"/>
        <w:rPr>
          <w:color w:val="auto"/>
          <w:szCs w:val="21"/>
          <w:highlight w:val="none"/>
          <w:u w:val="single"/>
        </w:rPr>
      </w:pPr>
      <w:r>
        <w:rPr>
          <w:rFonts w:hint="eastAsia"/>
          <w:color w:val="auto"/>
          <w:szCs w:val="21"/>
          <w:highlight w:val="none"/>
        </w:rPr>
        <w:t>（</w:t>
      </w:r>
      <w:r>
        <w:rPr>
          <w:color w:val="auto"/>
          <w:szCs w:val="21"/>
          <w:highlight w:val="none"/>
        </w:rPr>
        <w:t>1</w:t>
      </w:r>
      <w:r>
        <w:rPr>
          <w:rFonts w:hint="eastAsia"/>
          <w:color w:val="auto"/>
          <w:szCs w:val="21"/>
          <w:highlight w:val="none"/>
        </w:rPr>
        <w:t>）监理人审查并报送发包人的期限：</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1B0752D1">
      <w:pPr>
        <w:spacing w:line="460" w:lineRule="exact"/>
        <w:ind w:firstLine="420" w:firstLineChars="200"/>
        <w:rPr>
          <w:color w:val="auto"/>
          <w:szCs w:val="21"/>
          <w:highlight w:val="none"/>
        </w:rPr>
      </w:pPr>
      <w:r>
        <w:rPr>
          <w:rFonts w:hint="eastAsia"/>
          <w:color w:val="auto"/>
          <w:szCs w:val="21"/>
          <w:highlight w:val="none"/>
        </w:rPr>
        <w:t>发包人完成审批并签发进度款支付证书的期限：</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317256EA">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）发包人支付进度款的期限：</w:t>
      </w:r>
      <w:r>
        <w:rPr>
          <w:color w:val="auto"/>
          <w:szCs w:val="21"/>
          <w:highlight w:val="none"/>
          <w:u w:val="single"/>
        </w:rPr>
        <w:t xml:space="preserve">    </w:t>
      </w:r>
      <w:r>
        <w:rPr>
          <w:rFonts w:hint="eastAsia"/>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0A6F7452">
      <w:pPr>
        <w:spacing w:line="460" w:lineRule="exact"/>
        <w:ind w:firstLine="420" w:firstLineChars="200"/>
        <w:rPr>
          <w:color w:val="auto"/>
          <w:szCs w:val="21"/>
          <w:highlight w:val="none"/>
        </w:rPr>
      </w:pPr>
      <w:r>
        <w:rPr>
          <w:rFonts w:hint="eastAsia"/>
          <w:color w:val="auto"/>
          <w:szCs w:val="21"/>
          <w:highlight w:val="none"/>
        </w:rPr>
        <w:t>发包人逾期支付进度款的违约金的计算方式：</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6642A3EC">
      <w:pPr>
        <w:spacing w:line="460" w:lineRule="exact"/>
        <w:ind w:firstLine="525" w:firstLineChars="250"/>
        <w:rPr>
          <w:color w:val="auto"/>
          <w:szCs w:val="21"/>
          <w:highlight w:val="none"/>
        </w:rPr>
      </w:pPr>
      <w:r>
        <w:rPr>
          <w:color w:val="auto"/>
          <w:szCs w:val="21"/>
          <w:highlight w:val="none"/>
        </w:rPr>
        <w:t xml:space="preserve">12.4.6 </w:t>
      </w:r>
      <w:r>
        <w:rPr>
          <w:rFonts w:hint="eastAsia"/>
          <w:color w:val="auto"/>
          <w:szCs w:val="21"/>
          <w:highlight w:val="none"/>
        </w:rPr>
        <w:t>支付分解表的编制</w:t>
      </w:r>
    </w:p>
    <w:p w14:paraId="7F3E9664">
      <w:pPr>
        <w:spacing w:line="460" w:lineRule="exact"/>
        <w:ind w:left="4273" w:leftChars="285" w:hanging="3675" w:hangingChars="1750"/>
        <w:rPr>
          <w:color w:val="auto"/>
          <w:szCs w:val="21"/>
          <w:highlight w:val="none"/>
        </w:rPr>
      </w:pPr>
      <w:r>
        <w:rPr>
          <w:color w:val="auto"/>
          <w:szCs w:val="21"/>
          <w:highlight w:val="none"/>
        </w:rPr>
        <w:t>2</w:t>
      </w:r>
      <w:r>
        <w:rPr>
          <w:rFonts w:hint="eastAsia"/>
          <w:color w:val="auto"/>
          <w:szCs w:val="21"/>
          <w:highlight w:val="none"/>
        </w:rPr>
        <w:t>、总价合同支付分解表的编制与审批：</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D8C6071">
      <w:pPr>
        <w:spacing w:line="460" w:lineRule="exact"/>
        <w:rPr>
          <w:color w:val="auto"/>
          <w:szCs w:val="21"/>
          <w:highlight w:val="none"/>
        </w:rPr>
      </w:pPr>
      <w:r>
        <w:rPr>
          <w:rFonts w:hint="eastAsia"/>
          <w:color w:val="auto"/>
          <w:szCs w:val="21"/>
          <w:highlight w:val="none"/>
        </w:rPr>
        <w:t xml:space="preserve">     </w:t>
      </w:r>
      <w:r>
        <w:rPr>
          <w:color w:val="auto"/>
          <w:szCs w:val="21"/>
          <w:highlight w:val="none"/>
        </w:rPr>
        <w:t>3</w:t>
      </w:r>
      <w:r>
        <w:rPr>
          <w:rFonts w:hint="eastAsia"/>
          <w:color w:val="auto"/>
          <w:szCs w:val="21"/>
          <w:highlight w:val="none"/>
        </w:rPr>
        <w:t>、单价合同的总价项目支付分解表的编制与审批：</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bookmarkEnd w:id="314"/>
    <w:p w14:paraId="61EA3344">
      <w:pPr>
        <w:keepNext/>
        <w:keepLines/>
        <w:widowControl w:val="0"/>
        <w:adjustRightInd w:val="0"/>
        <w:spacing w:before="120" w:after="120" w:line="460" w:lineRule="exact"/>
        <w:textAlignment w:val="baseline"/>
        <w:outlineLvl w:val="3"/>
        <w:rPr>
          <w:b/>
          <w:color w:val="auto"/>
          <w:szCs w:val="21"/>
          <w:highlight w:val="none"/>
        </w:rPr>
      </w:pPr>
      <w:bookmarkStart w:id="469" w:name="_Toc351203645"/>
      <w:bookmarkStart w:id="470" w:name="_Toc312678053"/>
      <w:bookmarkStart w:id="471" w:name="_Toc296944558"/>
      <w:bookmarkStart w:id="472" w:name="_Toc297123564"/>
      <w:bookmarkStart w:id="473" w:name="_Toc297216223"/>
      <w:bookmarkStart w:id="474" w:name="_Toc303539172"/>
      <w:bookmarkStart w:id="475" w:name="_Toc296347218"/>
      <w:bookmarkStart w:id="476" w:name="_Toc297120519"/>
      <w:bookmarkStart w:id="477" w:name="_Toc304295593"/>
      <w:bookmarkStart w:id="478" w:name="_Toc292559929"/>
      <w:bookmarkStart w:id="479" w:name="_Toc292559424"/>
      <w:bookmarkStart w:id="480" w:name="_Toc300935015"/>
      <w:bookmarkStart w:id="481" w:name="_Toc296891259"/>
      <w:bookmarkStart w:id="482" w:name="_Toc296503219"/>
      <w:bookmarkStart w:id="483" w:name="_Toc296346720"/>
      <w:bookmarkStart w:id="484" w:name="_Toc296891047"/>
      <w:bookmarkStart w:id="485" w:name="_Toc297048405"/>
      <w:r>
        <w:rPr>
          <w:b/>
          <w:color w:val="auto"/>
          <w:szCs w:val="21"/>
          <w:highlight w:val="none"/>
        </w:rPr>
        <w:t xml:space="preserve">13. </w:t>
      </w:r>
      <w:r>
        <w:rPr>
          <w:rFonts w:hint="eastAsia"/>
          <w:b/>
          <w:color w:val="auto"/>
          <w:szCs w:val="21"/>
          <w:highlight w:val="none"/>
        </w:rPr>
        <w:t>验收和工程试车</w:t>
      </w:r>
      <w:bookmarkEnd w:id="469"/>
    </w:p>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14:paraId="24D1EF0B">
      <w:pPr>
        <w:spacing w:line="460" w:lineRule="exact"/>
        <w:ind w:firstLine="420" w:firstLineChars="200"/>
        <w:rPr>
          <w:color w:val="auto"/>
          <w:szCs w:val="21"/>
          <w:highlight w:val="none"/>
        </w:rPr>
      </w:pPr>
      <w:r>
        <w:rPr>
          <w:color w:val="auto"/>
          <w:szCs w:val="21"/>
          <w:highlight w:val="none"/>
        </w:rPr>
        <w:t xml:space="preserve">13.1 </w:t>
      </w:r>
      <w:r>
        <w:rPr>
          <w:rFonts w:hint="eastAsia"/>
          <w:color w:val="auto"/>
          <w:szCs w:val="21"/>
          <w:highlight w:val="none"/>
        </w:rPr>
        <w:t>分部分项工程验收</w:t>
      </w:r>
    </w:p>
    <w:p w14:paraId="48597109">
      <w:pPr>
        <w:spacing w:line="460" w:lineRule="exact"/>
        <w:ind w:firstLine="420" w:firstLineChars="200"/>
        <w:rPr>
          <w:color w:val="auto"/>
          <w:szCs w:val="21"/>
          <w:highlight w:val="none"/>
        </w:rPr>
      </w:pPr>
      <w:r>
        <w:rPr>
          <w:color w:val="auto"/>
          <w:szCs w:val="21"/>
          <w:highlight w:val="none"/>
        </w:rPr>
        <w:t>13.1.2</w:t>
      </w:r>
      <w:r>
        <w:rPr>
          <w:rFonts w:hint="eastAsia"/>
          <w:color w:val="auto"/>
          <w:szCs w:val="21"/>
          <w:highlight w:val="none"/>
        </w:rPr>
        <w:t>监理人不能按时进行验收时，应提前</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小时提交书面延期要求。</w:t>
      </w:r>
    </w:p>
    <w:p w14:paraId="3FF24B6A">
      <w:pPr>
        <w:spacing w:line="460" w:lineRule="exact"/>
        <w:ind w:firstLine="420" w:firstLineChars="200"/>
        <w:rPr>
          <w:b/>
          <w:color w:val="auto"/>
          <w:szCs w:val="21"/>
          <w:highlight w:val="none"/>
        </w:rPr>
      </w:pPr>
      <w:r>
        <w:rPr>
          <w:rFonts w:hint="eastAsia"/>
          <w:color w:val="auto"/>
          <w:szCs w:val="21"/>
          <w:highlight w:val="none"/>
        </w:rPr>
        <w:t>关于延期最长不得超过：</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小时。</w:t>
      </w:r>
    </w:p>
    <w:p w14:paraId="0DB14511">
      <w:pPr>
        <w:spacing w:line="460" w:lineRule="exact"/>
        <w:ind w:firstLine="420" w:firstLineChars="200"/>
        <w:rPr>
          <w:color w:val="auto"/>
          <w:szCs w:val="21"/>
          <w:highlight w:val="none"/>
        </w:rPr>
      </w:pPr>
      <w:bookmarkStart w:id="486" w:name="_Toc296347222"/>
      <w:bookmarkStart w:id="487" w:name="_Toc296944562"/>
      <w:bookmarkStart w:id="488" w:name="_Toc296891051"/>
      <w:bookmarkStart w:id="489" w:name="_Toc303539173"/>
      <w:bookmarkStart w:id="490" w:name="_Toc304295596"/>
      <w:bookmarkStart w:id="491" w:name="_Toc296503223"/>
      <w:bookmarkStart w:id="492" w:name="_Toc297120523"/>
      <w:bookmarkStart w:id="493" w:name="_Toc297048409"/>
      <w:bookmarkStart w:id="494" w:name="_Toc312678056"/>
      <w:bookmarkStart w:id="495" w:name="_Toc292559428"/>
      <w:bookmarkStart w:id="496" w:name="_Toc297216224"/>
      <w:bookmarkStart w:id="497" w:name="_Toc297123565"/>
      <w:bookmarkStart w:id="498" w:name="_Toc300935016"/>
      <w:bookmarkStart w:id="499" w:name="_Toc292559933"/>
      <w:bookmarkStart w:id="500" w:name="_Toc296346724"/>
      <w:bookmarkStart w:id="501" w:name="_Toc296891263"/>
      <w:bookmarkStart w:id="502" w:name="_Toc267251473"/>
      <w:bookmarkStart w:id="503" w:name="_Toc267251470"/>
      <w:bookmarkStart w:id="504" w:name="_Toc267251474"/>
      <w:bookmarkStart w:id="505" w:name="_Toc267251472"/>
      <w:bookmarkStart w:id="506" w:name="_Toc267251476"/>
      <w:bookmarkStart w:id="507" w:name="_Toc267251471"/>
      <w:bookmarkStart w:id="508" w:name="_Toc267251475"/>
      <w:r>
        <w:rPr>
          <w:color w:val="auto"/>
          <w:szCs w:val="21"/>
          <w:highlight w:val="none"/>
        </w:rPr>
        <w:t xml:space="preserve">13.2 </w:t>
      </w:r>
      <w:r>
        <w:rPr>
          <w:rFonts w:hint="eastAsia"/>
          <w:color w:val="auto"/>
          <w:szCs w:val="21"/>
          <w:highlight w:val="none"/>
        </w:rPr>
        <w:t>竣工验收</w:t>
      </w:r>
    </w:p>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14:paraId="523E928E">
      <w:pPr>
        <w:spacing w:line="460" w:lineRule="exact"/>
        <w:ind w:firstLine="420" w:firstLineChars="200"/>
        <w:rPr>
          <w:color w:val="auto"/>
          <w:szCs w:val="21"/>
          <w:highlight w:val="none"/>
        </w:rPr>
      </w:pPr>
      <w:bookmarkStart w:id="509" w:name="_Toc280868704"/>
      <w:bookmarkStart w:id="510" w:name="_Toc280868705"/>
      <w:bookmarkStart w:id="511" w:name="_Toc280868706"/>
      <w:bookmarkStart w:id="512" w:name="_Toc280868707"/>
      <w:bookmarkStart w:id="513" w:name="_Toc280868708"/>
      <w:bookmarkStart w:id="514" w:name="_Toc280868709"/>
      <w:r>
        <w:rPr>
          <w:color w:val="auto"/>
          <w:szCs w:val="21"/>
          <w:highlight w:val="none"/>
        </w:rPr>
        <w:t>13.2.2</w:t>
      </w:r>
      <w:r>
        <w:rPr>
          <w:rFonts w:hint="eastAsia"/>
          <w:color w:val="auto"/>
          <w:szCs w:val="21"/>
          <w:highlight w:val="none"/>
        </w:rPr>
        <w:t>竣工验收程序</w:t>
      </w:r>
    </w:p>
    <w:bookmarkEnd w:id="509"/>
    <w:p w14:paraId="4B9B4BFE">
      <w:pPr>
        <w:spacing w:line="460" w:lineRule="exact"/>
        <w:ind w:firstLine="420" w:firstLineChars="200"/>
        <w:rPr>
          <w:color w:val="auto"/>
          <w:szCs w:val="21"/>
          <w:highlight w:val="none"/>
        </w:rPr>
      </w:pPr>
      <w:r>
        <w:rPr>
          <w:rFonts w:hint="eastAsia"/>
          <w:color w:val="auto"/>
          <w:szCs w:val="21"/>
          <w:highlight w:val="none"/>
        </w:rPr>
        <w:t>关于竣工验收程序的约定：</w:t>
      </w:r>
      <w:r>
        <w:rPr>
          <w:color w:val="auto"/>
          <w:szCs w:val="21"/>
          <w:highlight w:val="none"/>
          <w:u w:val="single"/>
        </w:rPr>
        <w:t xml:space="preserve">  </w:t>
      </w:r>
      <w:r>
        <w:rPr>
          <w:rFonts w:hint="eastAsia"/>
          <w:b/>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p w14:paraId="1BEA3E93">
      <w:pPr>
        <w:spacing w:line="460" w:lineRule="exact"/>
        <w:ind w:firstLine="420" w:firstLineChars="200"/>
        <w:rPr>
          <w:color w:val="auto"/>
          <w:szCs w:val="21"/>
          <w:highlight w:val="none"/>
        </w:rPr>
      </w:pPr>
      <w:r>
        <w:rPr>
          <w:rFonts w:hint="eastAsia"/>
          <w:color w:val="auto"/>
          <w:szCs w:val="21"/>
          <w:highlight w:val="none"/>
        </w:rPr>
        <w:t>发包人不按照本项约定组织竣工验收、颁发工程接收证书的违约金的计算方法：</w:t>
      </w:r>
      <w:r>
        <w:rPr>
          <w:color w:val="auto"/>
          <w:szCs w:val="21"/>
          <w:highlight w:val="none"/>
          <w:u w:val="single"/>
        </w:rPr>
        <w:t xml:space="preserve">   </w:t>
      </w:r>
      <w:r>
        <w:rPr>
          <w:rFonts w:hint="eastAsia"/>
          <w:b/>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bookmarkEnd w:id="510"/>
    <w:p w14:paraId="2070BCD7">
      <w:pPr>
        <w:spacing w:line="460" w:lineRule="exact"/>
        <w:ind w:firstLine="420" w:firstLineChars="200"/>
        <w:rPr>
          <w:color w:val="auto"/>
          <w:szCs w:val="21"/>
          <w:highlight w:val="none"/>
        </w:rPr>
      </w:pPr>
      <w:r>
        <w:rPr>
          <w:color w:val="auto"/>
          <w:szCs w:val="21"/>
          <w:highlight w:val="none"/>
        </w:rPr>
        <w:t>13.2.5</w:t>
      </w:r>
      <w:r>
        <w:rPr>
          <w:rFonts w:hint="eastAsia"/>
          <w:color w:val="auto"/>
          <w:szCs w:val="21"/>
          <w:highlight w:val="none"/>
        </w:rPr>
        <w:t>移交、接收全部与部分工程</w:t>
      </w:r>
    </w:p>
    <w:bookmarkEnd w:id="511"/>
    <w:p w14:paraId="13F40DA8">
      <w:pPr>
        <w:spacing w:line="460" w:lineRule="exact"/>
        <w:ind w:firstLine="420" w:firstLineChars="200"/>
        <w:rPr>
          <w:color w:val="auto"/>
          <w:szCs w:val="21"/>
          <w:highlight w:val="none"/>
        </w:rPr>
      </w:pPr>
      <w:r>
        <w:rPr>
          <w:rFonts w:hint="eastAsia"/>
          <w:color w:val="auto"/>
          <w:szCs w:val="21"/>
          <w:highlight w:val="none"/>
        </w:rPr>
        <w:t>承包人向发包人移交工程的期限：</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6DC2B6E0">
      <w:pPr>
        <w:spacing w:line="460" w:lineRule="exact"/>
        <w:ind w:firstLine="420" w:firstLineChars="200"/>
        <w:rPr>
          <w:color w:val="auto"/>
          <w:szCs w:val="21"/>
          <w:highlight w:val="none"/>
          <w:u w:val="single"/>
        </w:rPr>
      </w:pPr>
      <w:r>
        <w:rPr>
          <w:rFonts w:hint="eastAsia"/>
          <w:color w:val="auto"/>
          <w:szCs w:val="21"/>
          <w:highlight w:val="none"/>
        </w:rPr>
        <w:t>发包人未按本合同约定接收全部或部分工程的，违约金的计算方法为：</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bookmarkEnd w:id="512"/>
    <w:p w14:paraId="760448D5">
      <w:pPr>
        <w:spacing w:line="460" w:lineRule="exact"/>
        <w:ind w:firstLine="420" w:firstLineChars="200"/>
        <w:rPr>
          <w:color w:val="auto"/>
          <w:szCs w:val="21"/>
          <w:highlight w:val="none"/>
        </w:rPr>
      </w:pPr>
      <w:r>
        <w:rPr>
          <w:rFonts w:hint="eastAsia"/>
          <w:color w:val="auto"/>
          <w:szCs w:val="21"/>
          <w:highlight w:val="none"/>
        </w:rPr>
        <w:t>承包人未按时移交工程的，违约金的计算方法为：</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A88DE86">
      <w:pPr>
        <w:spacing w:line="460" w:lineRule="exact"/>
        <w:ind w:firstLine="420" w:firstLineChars="200"/>
        <w:rPr>
          <w:color w:val="auto"/>
          <w:szCs w:val="21"/>
          <w:highlight w:val="none"/>
        </w:rPr>
      </w:pPr>
      <w:r>
        <w:rPr>
          <w:color w:val="auto"/>
          <w:szCs w:val="21"/>
          <w:highlight w:val="none"/>
        </w:rPr>
        <w:t xml:space="preserve">13.3 </w:t>
      </w:r>
      <w:r>
        <w:rPr>
          <w:rFonts w:hint="eastAsia"/>
          <w:color w:val="auto"/>
          <w:szCs w:val="21"/>
          <w:highlight w:val="none"/>
        </w:rPr>
        <w:t>工程试车</w:t>
      </w:r>
    </w:p>
    <w:bookmarkEnd w:id="513"/>
    <w:p w14:paraId="3FB1E280">
      <w:pPr>
        <w:spacing w:line="460" w:lineRule="exact"/>
        <w:ind w:firstLine="420" w:firstLineChars="200"/>
        <w:rPr>
          <w:color w:val="auto"/>
          <w:szCs w:val="21"/>
          <w:highlight w:val="none"/>
        </w:rPr>
      </w:pPr>
      <w:r>
        <w:rPr>
          <w:color w:val="auto"/>
          <w:szCs w:val="21"/>
          <w:highlight w:val="none"/>
        </w:rPr>
        <w:t xml:space="preserve">13.3.1 </w:t>
      </w:r>
      <w:r>
        <w:rPr>
          <w:rFonts w:hint="eastAsia"/>
          <w:color w:val="auto"/>
          <w:szCs w:val="21"/>
          <w:highlight w:val="none"/>
        </w:rPr>
        <w:t>试车程序</w:t>
      </w:r>
    </w:p>
    <w:p w14:paraId="6823A156">
      <w:pPr>
        <w:spacing w:line="460" w:lineRule="exact"/>
        <w:ind w:firstLine="525" w:firstLineChars="250"/>
        <w:rPr>
          <w:color w:val="auto"/>
          <w:szCs w:val="21"/>
          <w:highlight w:val="none"/>
        </w:rPr>
      </w:pPr>
      <w:r>
        <w:rPr>
          <w:rFonts w:hint="eastAsia"/>
          <w:color w:val="auto"/>
          <w:szCs w:val="21"/>
          <w:highlight w:val="none"/>
        </w:rPr>
        <w:t>工程试车内容：</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1CB893DD">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1</w:t>
      </w:r>
      <w:r>
        <w:rPr>
          <w:rFonts w:hint="eastAsia"/>
          <w:color w:val="auto"/>
          <w:szCs w:val="21"/>
          <w:highlight w:val="none"/>
        </w:rPr>
        <w:t>）单机无负荷试车费用由</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承担；</w:t>
      </w:r>
    </w:p>
    <w:p w14:paraId="3C540AB2">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）无负荷联动试车费用由</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承担。</w:t>
      </w:r>
    </w:p>
    <w:p w14:paraId="3E220534">
      <w:pPr>
        <w:spacing w:line="460" w:lineRule="exact"/>
        <w:ind w:firstLine="420" w:firstLineChars="200"/>
        <w:rPr>
          <w:color w:val="auto"/>
          <w:szCs w:val="21"/>
          <w:highlight w:val="none"/>
        </w:rPr>
      </w:pPr>
      <w:r>
        <w:rPr>
          <w:color w:val="auto"/>
          <w:szCs w:val="21"/>
          <w:highlight w:val="none"/>
        </w:rPr>
        <w:t xml:space="preserve">13.3.3 </w:t>
      </w:r>
      <w:r>
        <w:rPr>
          <w:rFonts w:hint="eastAsia"/>
          <w:color w:val="auto"/>
          <w:szCs w:val="21"/>
          <w:highlight w:val="none"/>
        </w:rPr>
        <w:t>投料试车</w:t>
      </w:r>
    </w:p>
    <w:p w14:paraId="41C81FB5">
      <w:pPr>
        <w:spacing w:line="460" w:lineRule="exact"/>
        <w:ind w:firstLine="420" w:firstLineChars="200"/>
        <w:rPr>
          <w:color w:val="auto"/>
          <w:szCs w:val="21"/>
          <w:highlight w:val="none"/>
        </w:rPr>
      </w:pPr>
      <w:r>
        <w:rPr>
          <w:rFonts w:hint="eastAsia"/>
          <w:color w:val="auto"/>
          <w:szCs w:val="21"/>
          <w:highlight w:val="none"/>
        </w:rPr>
        <w:t>关于投料试车相关事项的约定：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366731ED">
      <w:pPr>
        <w:spacing w:line="460" w:lineRule="exact"/>
        <w:ind w:firstLine="420" w:firstLineChars="200"/>
        <w:rPr>
          <w:color w:val="auto"/>
          <w:szCs w:val="21"/>
          <w:highlight w:val="none"/>
        </w:rPr>
      </w:pPr>
      <w:r>
        <w:rPr>
          <w:color w:val="auto"/>
          <w:szCs w:val="21"/>
          <w:highlight w:val="none"/>
        </w:rPr>
        <w:t xml:space="preserve">13.6 </w:t>
      </w:r>
      <w:r>
        <w:rPr>
          <w:rFonts w:hint="eastAsia"/>
          <w:color w:val="auto"/>
          <w:szCs w:val="21"/>
          <w:highlight w:val="none"/>
        </w:rPr>
        <w:t>竣工退场</w:t>
      </w:r>
    </w:p>
    <w:p w14:paraId="0872AF5A">
      <w:pPr>
        <w:spacing w:line="460" w:lineRule="exact"/>
        <w:ind w:firstLine="420" w:firstLineChars="200"/>
        <w:rPr>
          <w:color w:val="auto"/>
          <w:szCs w:val="21"/>
          <w:highlight w:val="none"/>
        </w:rPr>
      </w:pPr>
      <w:r>
        <w:rPr>
          <w:color w:val="auto"/>
          <w:szCs w:val="21"/>
          <w:highlight w:val="none"/>
        </w:rPr>
        <w:t xml:space="preserve">13.6.1 </w:t>
      </w:r>
      <w:r>
        <w:rPr>
          <w:rFonts w:hint="eastAsia"/>
          <w:color w:val="auto"/>
          <w:szCs w:val="21"/>
          <w:highlight w:val="none"/>
        </w:rPr>
        <w:t>竣工退场</w:t>
      </w:r>
    </w:p>
    <w:p w14:paraId="59294F69">
      <w:pPr>
        <w:spacing w:line="460" w:lineRule="exact"/>
        <w:ind w:firstLine="420" w:firstLineChars="200"/>
        <w:rPr>
          <w:color w:val="auto"/>
          <w:szCs w:val="21"/>
          <w:highlight w:val="none"/>
          <w:u w:val="single"/>
        </w:rPr>
      </w:pPr>
      <w:bookmarkStart w:id="515" w:name="_Toc351203646"/>
      <w:r>
        <w:rPr>
          <w:color w:val="auto"/>
          <w:szCs w:val="21"/>
          <w:highlight w:val="none"/>
        </w:rPr>
        <w:t>承包人完成竣工退场的期限：</w:t>
      </w:r>
      <w:r>
        <w:rPr>
          <w:rFonts w:hint="eastAsia"/>
          <w:color w:val="auto"/>
          <w:szCs w:val="21"/>
          <w:highlight w:val="none"/>
          <w:u w:val="single"/>
        </w:rPr>
        <w:t>承包人须在工程竣工验收后</w:t>
      </w:r>
      <w:r>
        <w:rPr>
          <w:color w:val="auto"/>
          <w:szCs w:val="21"/>
          <w:highlight w:val="none"/>
          <w:u w:val="single"/>
        </w:rPr>
        <w:t>7</w:t>
      </w:r>
      <w:r>
        <w:rPr>
          <w:rFonts w:hint="eastAsia"/>
          <w:color w:val="auto"/>
          <w:szCs w:val="21"/>
          <w:highlight w:val="none"/>
          <w:u w:val="single"/>
        </w:rPr>
        <w:t>天内拆除现场所有临时设施。包括所有的建筑垃圾及剩余材料全部清运出现场的费用。清理标准应得到发包人认可，否则，如发生相关费用则由发包人按实际发生费用的2倍及以上在工程结算价款中扣除。环卫等部门预收保证金由承包人负责清退。</w:t>
      </w:r>
    </w:p>
    <w:p w14:paraId="54B9CD34">
      <w:pPr>
        <w:spacing w:line="460" w:lineRule="exact"/>
        <w:ind w:firstLine="420" w:firstLineChars="200"/>
        <w:rPr>
          <w:color w:val="auto"/>
          <w:szCs w:val="21"/>
          <w:highlight w:val="none"/>
        </w:rPr>
      </w:pPr>
      <w:r>
        <w:rPr>
          <w:rFonts w:hint="eastAsia"/>
          <w:color w:val="auto"/>
          <w:szCs w:val="21"/>
          <w:highlight w:val="none"/>
          <w:u w:val="single"/>
        </w:rPr>
        <w:t>竣工日期以验收合格当日的竣工验收报告日期为准，工程竣工验收后（发包人批准的除外），承包人的管理、施工人员，材料、设备必须在十天内全部退出现场；建筑、生活垃圾应随时清理出现场，确保场地清洁。人员全部撤离现场后仍然有配合监理和审计工作的义务，并能及时处理现场事务。</w:t>
      </w:r>
    </w:p>
    <w:p w14:paraId="5E2DF5C8">
      <w:pPr>
        <w:keepNext/>
        <w:keepLines/>
        <w:widowControl w:val="0"/>
        <w:adjustRightInd w:val="0"/>
        <w:spacing w:before="120" w:after="120" w:line="460" w:lineRule="exact"/>
        <w:textAlignment w:val="baseline"/>
        <w:outlineLvl w:val="3"/>
        <w:rPr>
          <w:b/>
          <w:color w:val="auto"/>
          <w:szCs w:val="21"/>
          <w:highlight w:val="none"/>
        </w:rPr>
      </w:pPr>
      <w:r>
        <w:rPr>
          <w:b/>
          <w:color w:val="auto"/>
          <w:szCs w:val="21"/>
          <w:highlight w:val="none"/>
        </w:rPr>
        <w:t xml:space="preserve">14. </w:t>
      </w:r>
      <w:r>
        <w:rPr>
          <w:rFonts w:hint="eastAsia"/>
          <w:b/>
          <w:color w:val="auto"/>
          <w:szCs w:val="21"/>
          <w:highlight w:val="none"/>
        </w:rPr>
        <w:t>竣工结算</w:t>
      </w:r>
      <w:bookmarkEnd w:id="515"/>
    </w:p>
    <w:p w14:paraId="407C8462">
      <w:pPr>
        <w:spacing w:line="460" w:lineRule="exact"/>
        <w:ind w:firstLine="420" w:firstLineChars="200"/>
        <w:rPr>
          <w:color w:val="auto"/>
          <w:szCs w:val="21"/>
          <w:highlight w:val="none"/>
        </w:rPr>
      </w:pPr>
      <w:r>
        <w:rPr>
          <w:color w:val="auto"/>
          <w:szCs w:val="21"/>
          <w:highlight w:val="none"/>
        </w:rPr>
        <w:t xml:space="preserve">14.1 </w:t>
      </w:r>
      <w:r>
        <w:rPr>
          <w:rFonts w:hint="eastAsia"/>
          <w:color w:val="auto"/>
          <w:szCs w:val="21"/>
          <w:highlight w:val="none"/>
        </w:rPr>
        <w:t>竣工付款申请</w:t>
      </w:r>
    </w:p>
    <w:p w14:paraId="03693694">
      <w:pPr>
        <w:spacing w:line="460" w:lineRule="exact"/>
        <w:ind w:firstLine="420" w:firstLineChars="200"/>
        <w:rPr>
          <w:color w:val="auto"/>
          <w:szCs w:val="21"/>
          <w:highlight w:val="none"/>
          <w:u w:val="single"/>
        </w:rPr>
      </w:pPr>
      <w:r>
        <w:rPr>
          <w:rFonts w:hint="eastAsia"/>
          <w:color w:val="auto"/>
          <w:szCs w:val="21"/>
          <w:highlight w:val="none"/>
          <w:u w:val="single"/>
        </w:rPr>
        <w:t>承包人在工程竣工后一个月内提供四套完整的竣工图和竣工结算及其他资料，承包人提供的所有资料必须满足工程备案要求，否则按每</w:t>
      </w:r>
      <w:r>
        <w:rPr>
          <w:rFonts w:hint="eastAsia"/>
          <w:color w:val="auto"/>
          <w:szCs w:val="21"/>
          <w:highlight w:val="none"/>
          <w:u w:val="single"/>
          <w:lang w:eastAsia="zh-CN"/>
        </w:rPr>
        <w:t>延迟</w:t>
      </w:r>
      <w:r>
        <w:rPr>
          <w:rFonts w:hint="eastAsia"/>
          <w:color w:val="auto"/>
          <w:szCs w:val="21"/>
          <w:highlight w:val="none"/>
          <w:u w:val="single"/>
        </w:rPr>
        <w:t>一日向发包人支付</w:t>
      </w:r>
      <w:r>
        <w:rPr>
          <w:color w:val="auto"/>
          <w:szCs w:val="21"/>
          <w:highlight w:val="none"/>
          <w:u w:val="single"/>
        </w:rPr>
        <w:t>2</w:t>
      </w:r>
      <w:r>
        <w:rPr>
          <w:rFonts w:hint="eastAsia"/>
          <w:color w:val="auto"/>
          <w:szCs w:val="21"/>
          <w:highlight w:val="none"/>
          <w:u w:val="single"/>
        </w:rPr>
        <w:t>000元/天的违约金，同时发包人可拒绝递交审计或延期审计，由此带来的一切后果由承包人承担。</w:t>
      </w:r>
      <w:r>
        <w:rPr>
          <w:color w:val="auto"/>
          <w:szCs w:val="21"/>
          <w:highlight w:val="none"/>
          <w:u w:val="single"/>
        </w:rPr>
        <w:t>A</w:t>
      </w:r>
      <w:r>
        <w:rPr>
          <w:rFonts w:hint="eastAsia"/>
          <w:color w:val="auto"/>
          <w:szCs w:val="21"/>
          <w:highlight w:val="none"/>
          <w:u w:val="single"/>
        </w:rPr>
        <w:t>施工中没有设计变更，施工后由承包人在发包人提供的施工图纸上加盖竣工图章，提交发包人；</w:t>
      </w:r>
      <w:r>
        <w:rPr>
          <w:color w:val="auto"/>
          <w:szCs w:val="21"/>
          <w:highlight w:val="none"/>
          <w:u w:val="single"/>
        </w:rPr>
        <w:t>B</w:t>
      </w:r>
      <w:r>
        <w:rPr>
          <w:rFonts w:hint="eastAsia"/>
          <w:color w:val="auto"/>
          <w:szCs w:val="21"/>
          <w:highlight w:val="none"/>
          <w:u w:val="single"/>
        </w:rPr>
        <w:t>施工中对原设计中变更较多，原施工图难于作为竣工图，应由承包人组织重新绘制竣工图，并承担相应费用。并经发包人确认后报送审计。工程竣工验收合格后</w:t>
      </w:r>
      <w:r>
        <w:rPr>
          <w:color w:val="auto"/>
          <w:szCs w:val="21"/>
          <w:highlight w:val="none"/>
          <w:u w:val="single"/>
        </w:rPr>
        <w:t>28</w:t>
      </w:r>
      <w:r>
        <w:rPr>
          <w:rFonts w:hint="eastAsia"/>
          <w:color w:val="auto"/>
          <w:szCs w:val="21"/>
          <w:highlight w:val="none"/>
          <w:u w:val="single"/>
        </w:rPr>
        <w:t>天内，承包人应向发包人递交完整的符合审计要求的结算资料，若承包人原因不能提交结算资料的，发包人有权拒绝或延期审计并拒付工程款。</w:t>
      </w:r>
    </w:p>
    <w:p w14:paraId="74F1ECD6">
      <w:pPr>
        <w:spacing w:line="460" w:lineRule="exact"/>
        <w:ind w:firstLine="420" w:firstLineChars="200"/>
        <w:rPr>
          <w:color w:val="auto"/>
          <w:szCs w:val="21"/>
          <w:highlight w:val="none"/>
        </w:rPr>
      </w:pPr>
      <w:r>
        <w:rPr>
          <w:color w:val="auto"/>
          <w:szCs w:val="21"/>
          <w:highlight w:val="none"/>
        </w:rPr>
        <w:t xml:space="preserve">14.2 </w:t>
      </w:r>
      <w:r>
        <w:rPr>
          <w:rFonts w:hint="eastAsia"/>
          <w:color w:val="auto"/>
          <w:szCs w:val="21"/>
          <w:highlight w:val="none"/>
        </w:rPr>
        <w:t>竣工结算审核</w:t>
      </w:r>
    </w:p>
    <w:p w14:paraId="750A7FF1">
      <w:pPr>
        <w:spacing w:line="460" w:lineRule="exact"/>
        <w:ind w:firstLine="420" w:firstLineChars="200"/>
        <w:rPr>
          <w:color w:val="auto"/>
          <w:szCs w:val="21"/>
          <w:highlight w:val="none"/>
        </w:rPr>
      </w:pPr>
      <w:r>
        <w:rPr>
          <w:rFonts w:hint="eastAsia"/>
          <w:color w:val="auto"/>
          <w:szCs w:val="21"/>
          <w:highlight w:val="none"/>
        </w:rPr>
        <w:t>发包人审批竣工付款申请单的期限：</w:t>
      </w:r>
      <w:r>
        <w:rPr>
          <w:color w:val="auto"/>
          <w:szCs w:val="21"/>
          <w:highlight w:val="none"/>
          <w:u w:val="single"/>
        </w:rPr>
        <w:t xml:space="preserve">  </w:t>
      </w:r>
      <w:r>
        <w:rPr>
          <w:rFonts w:hint="eastAsia"/>
          <w:color w:val="auto"/>
          <w:szCs w:val="21"/>
          <w:highlight w:val="none"/>
          <w:u w:val="single"/>
        </w:rPr>
        <w:t xml:space="preserve">    </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08321A8">
      <w:pPr>
        <w:spacing w:line="460" w:lineRule="exact"/>
        <w:ind w:firstLine="420" w:firstLineChars="200"/>
        <w:rPr>
          <w:color w:val="auto"/>
          <w:szCs w:val="21"/>
          <w:highlight w:val="none"/>
        </w:rPr>
      </w:pPr>
      <w:r>
        <w:rPr>
          <w:rFonts w:hint="eastAsia"/>
          <w:color w:val="auto"/>
          <w:szCs w:val="21"/>
          <w:highlight w:val="none"/>
        </w:rPr>
        <w:t>发包人完成竣工付款的期限：</w:t>
      </w:r>
      <w:r>
        <w:rPr>
          <w:color w:val="auto"/>
          <w:szCs w:val="21"/>
          <w:highlight w:val="none"/>
          <w:u w:val="single"/>
        </w:rPr>
        <w:t xml:space="preserve">     </w:t>
      </w:r>
      <w:r>
        <w:rPr>
          <w:rFonts w:hint="eastAsia"/>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247D4397">
      <w:pPr>
        <w:spacing w:line="460" w:lineRule="exact"/>
        <w:ind w:firstLine="420" w:firstLineChars="200"/>
        <w:rPr>
          <w:color w:val="auto"/>
          <w:szCs w:val="21"/>
          <w:highlight w:val="none"/>
        </w:rPr>
      </w:pPr>
      <w:r>
        <w:rPr>
          <w:rFonts w:hint="eastAsia"/>
          <w:color w:val="auto"/>
          <w:szCs w:val="21"/>
          <w:highlight w:val="none"/>
        </w:rPr>
        <w:t>关于竣工付款证书异议部分复核的方式和程序：</w:t>
      </w:r>
      <w:r>
        <w:rPr>
          <w:color w:val="auto"/>
          <w:szCs w:val="21"/>
          <w:highlight w:val="none"/>
          <w:u w:val="single"/>
        </w:rPr>
        <w:t xml:space="preserve">  </w:t>
      </w:r>
      <w:r>
        <w:rPr>
          <w:rFonts w:hint="eastAsia"/>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1773FC04">
      <w:pPr>
        <w:spacing w:line="460" w:lineRule="exact"/>
        <w:ind w:firstLine="420" w:firstLineChars="200"/>
        <w:rPr>
          <w:color w:val="auto"/>
          <w:szCs w:val="21"/>
          <w:highlight w:val="none"/>
        </w:rPr>
      </w:pPr>
      <w:r>
        <w:rPr>
          <w:color w:val="auto"/>
          <w:szCs w:val="21"/>
          <w:highlight w:val="none"/>
        </w:rPr>
        <w:t xml:space="preserve">14.4 </w:t>
      </w:r>
      <w:r>
        <w:rPr>
          <w:rFonts w:hint="eastAsia"/>
          <w:color w:val="auto"/>
          <w:szCs w:val="21"/>
          <w:highlight w:val="none"/>
        </w:rPr>
        <w:t>最终结清</w:t>
      </w:r>
    </w:p>
    <w:p w14:paraId="27EE4445">
      <w:pPr>
        <w:spacing w:line="460" w:lineRule="exact"/>
        <w:ind w:firstLine="420" w:firstLineChars="200"/>
        <w:rPr>
          <w:color w:val="auto"/>
          <w:szCs w:val="21"/>
          <w:highlight w:val="none"/>
        </w:rPr>
      </w:pPr>
      <w:r>
        <w:rPr>
          <w:color w:val="auto"/>
          <w:szCs w:val="21"/>
          <w:highlight w:val="none"/>
        </w:rPr>
        <w:t xml:space="preserve">14.4.1 </w:t>
      </w:r>
      <w:r>
        <w:rPr>
          <w:rFonts w:hint="eastAsia"/>
          <w:color w:val="auto"/>
          <w:szCs w:val="21"/>
          <w:highlight w:val="none"/>
        </w:rPr>
        <w:t>最终结清申请单</w:t>
      </w:r>
    </w:p>
    <w:p w14:paraId="0C9A07C7">
      <w:pPr>
        <w:spacing w:line="460" w:lineRule="exact"/>
        <w:ind w:firstLine="420" w:firstLineChars="200"/>
        <w:rPr>
          <w:color w:val="auto"/>
          <w:szCs w:val="21"/>
          <w:highlight w:val="none"/>
        </w:rPr>
      </w:pPr>
      <w:r>
        <w:rPr>
          <w:rFonts w:hint="eastAsia"/>
          <w:color w:val="auto"/>
          <w:szCs w:val="21"/>
          <w:highlight w:val="none"/>
        </w:rPr>
        <w:t>承包人提交最终结清申请单的份数：</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6D9C8F2">
      <w:pPr>
        <w:spacing w:line="460" w:lineRule="exact"/>
        <w:ind w:firstLine="420" w:firstLineChars="200"/>
        <w:rPr>
          <w:color w:val="auto"/>
          <w:szCs w:val="21"/>
          <w:highlight w:val="none"/>
        </w:rPr>
      </w:pPr>
      <w:r>
        <w:rPr>
          <w:rFonts w:hint="eastAsia"/>
          <w:color w:val="auto"/>
          <w:szCs w:val="21"/>
          <w:highlight w:val="none"/>
        </w:rPr>
        <w:t>承包人提交最终结算申请单的期限：</w:t>
      </w:r>
      <w:r>
        <w:rPr>
          <w:color w:val="auto"/>
          <w:szCs w:val="21"/>
          <w:highlight w:val="none"/>
          <w:u w:val="single"/>
        </w:rPr>
        <w:t xml:space="preserve">    </w:t>
      </w:r>
      <w:r>
        <w:rPr>
          <w:rFonts w:hint="eastAsia"/>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r>
        <w:rPr>
          <w:color w:val="auto"/>
          <w:szCs w:val="21"/>
          <w:highlight w:val="none"/>
        </w:rPr>
        <w:t xml:space="preserve"> </w:t>
      </w:r>
    </w:p>
    <w:p w14:paraId="1AAD21FF">
      <w:pPr>
        <w:spacing w:line="460" w:lineRule="exact"/>
        <w:ind w:firstLine="420" w:firstLineChars="200"/>
        <w:rPr>
          <w:color w:val="auto"/>
          <w:szCs w:val="21"/>
          <w:highlight w:val="none"/>
        </w:rPr>
      </w:pPr>
      <w:r>
        <w:rPr>
          <w:color w:val="auto"/>
          <w:szCs w:val="21"/>
          <w:highlight w:val="none"/>
        </w:rPr>
        <w:t xml:space="preserve">14.4.2 </w:t>
      </w:r>
      <w:r>
        <w:rPr>
          <w:rFonts w:hint="eastAsia"/>
          <w:color w:val="auto"/>
          <w:szCs w:val="21"/>
          <w:highlight w:val="none"/>
        </w:rPr>
        <w:t>最终结清证书和支付</w:t>
      </w:r>
    </w:p>
    <w:p w14:paraId="6920D462">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1</w:t>
      </w:r>
      <w:r>
        <w:rPr>
          <w:rFonts w:hint="eastAsia"/>
          <w:color w:val="auto"/>
          <w:szCs w:val="21"/>
          <w:highlight w:val="none"/>
        </w:rPr>
        <w:t>）发包人完成最终结清申请单的审批并颁发最终结清证书的期限：</w:t>
      </w:r>
      <w:r>
        <w:rPr>
          <w:color w:val="auto"/>
          <w:szCs w:val="21"/>
          <w:highlight w:val="none"/>
          <w:u w:val="single"/>
        </w:rPr>
        <w:t xml:space="preserve"> </w:t>
      </w:r>
      <w:r>
        <w:rPr>
          <w:rFonts w:hint="eastAsia"/>
          <w:b/>
          <w:color w:val="auto"/>
          <w:szCs w:val="21"/>
          <w:highlight w:val="none"/>
          <w:u w:val="single"/>
        </w:rPr>
        <w:t xml:space="preserve">/  </w:t>
      </w:r>
      <w:r>
        <w:rPr>
          <w:rFonts w:hint="eastAsia"/>
          <w:color w:val="auto"/>
          <w:szCs w:val="21"/>
          <w:highlight w:val="none"/>
        </w:rPr>
        <w:t>。</w:t>
      </w:r>
    </w:p>
    <w:p w14:paraId="453455BA">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）发包人完成支付的期限：</w:t>
      </w:r>
      <w:r>
        <w:rPr>
          <w:color w:val="auto"/>
          <w:szCs w:val="21"/>
          <w:highlight w:val="none"/>
          <w:u w:val="single"/>
        </w:rPr>
        <w:t xml:space="preserve">  </w:t>
      </w:r>
      <w:r>
        <w:rPr>
          <w:rFonts w:hint="eastAsia"/>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bookmarkEnd w:id="502"/>
    <w:bookmarkEnd w:id="503"/>
    <w:bookmarkEnd w:id="504"/>
    <w:bookmarkEnd w:id="505"/>
    <w:bookmarkEnd w:id="506"/>
    <w:bookmarkEnd w:id="507"/>
    <w:bookmarkEnd w:id="508"/>
    <w:bookmarkEnd w:id="514"/>
    <w:p w14:paraId="029FA851">
      <w:pPr>
        <w:keepNext/>
        <w:keepLines/>
        <w:widowControl w:val="0"/>
        <w:adjustRightInd w:val="0"/>
        <w:spacing w:before="120" w:after="120" w:line="460" w:lineRule="exact"/>
        <w:textAlignment w:val="baseline"/>
        <w:outlineLvl w:val="3"/>
        <w:rPr>
          <w:b/>
          <w:color w:val="auto"/>
          <w:szCs w:val="21"/>
          <w:highlight w:val="none"/>
        </w:rPr>
      </w:pPr>
      <w:bookmarkStart w:id="516" w:name="_Toc351203647"/>
      <w:bookmarkStart w:id="517" w:name="_Toc267251483"/>
      <w:bookmarkStart w:id="518" w:name="_Toc267251484"/>
      <w:bookmarkStart w:id="519" w:name="_Toc267251482"/>
      <w:bookmarkStart w:id="520" w:name="_Toc267251485"/>
      <w:bookmarkStart w:id="521" w:name="_Toc267251486"/>
      <w:bookmarkStart w:id="522" w:name="_Toc267251489"/>
      <w:bookmarkStart w:id="523" w:name="_Toc267251488"/>
      <w:bookmarkStart w:id="524" w:name="_Toc267251490"/>
      <w:bookmarkStart w:id="525" w:name="_Toc267251496"/>
      <w:bookmarkStart w:id="526" w:name="_Toc267251499"/>
      <w:bookmarkStart w:id="527" w:name="_Toc267251493"/>
      <w:bookmarkStart w:id="528" w:name="_Toc267251501"/>
      <w:bookmarkStart w:id="529" w:name="_Toc267251494"/>
      <w:bookmarkStart w:id="530" w:name="_Toc267251492"/>
      <w:bookmarkStart w:id="531" w:name="_Toc267251498"/>
      <w:bookmarkStart w:id="532" w:name="_Toc267251502"/>
      <w:bookmarkStart w:id="533" w:name="_Toc267251495"/>
      <w:bookmarkStart w:id="534" w:name="_Toc267251503"/>
      <w:bookmarkStart w:id="535" w:name="_Toc267251497"/>
      <w:bookmarkStart w:id="536" w:name="_Toc267251491"/>
      <w:bookmarkStart w:id="537" w:name="_Toc267251504"/>
      <w:bookmarkStart w:id="538" w:name="_Toc267251506"/>
      <w:bookmarkStart w:id="539" w:name="_Toc267251507"/>
      <w:bookmarkStart w:id="540" w:name="_Toc267251508"/>
      <w:bookmarkStart w:id="541" w:name="_Toc267251510"/>
      <w:bookmarkStart w:id="542" w:name="_Toc267251509"/>
      <w:bookmarkStart w:id="543" w:name="_Toc267251515"/>
      <w:bookmarkStart w:id="544" w:name="_Toc267251513"/>
      <w:bookmarkStart w:id="545" w:name="_Toc267251514"/>
      <w:bookmarkStart w:id="546" w:name="_Toc267251511"/>
      <w:r>
        <w:rPr>
          <w:b/>
          <w:color w:val="auto"/>
          <w:szCs w:val="21"/>
          <w:highlight w:val="none"/>
        </w:rPr>
        <w:t xml:space="preserve">15. </w:t>
      </w:r>
      <w:r>
        <w:rPr>
          <w:rFonts w:hint="eastAsia"/>
          <w:b/>
          <w:color w:val="auto"/>
          <w:szCs w:val="21"/>
          <w:highlight w:val="none"/>
        </w:rPr>
        <w:t>缺陷责任期与保修</w:t>
      </w:r>
      <w:bookmarkEnd w:id="516"/>
    </w:p>
    <w:p w14:paraId="3F746CED">
      <w:pPr>
        <w:spacing w:line="460" w:lineRule="exact"/>
        <w:ind w:firstLine="420" w:firstLineChars="200"/>
        <w:rPr>
          <w:color w:val="auto"/>
          <w:szCs w:val="21"/>
          <w:highlight w:val="none"/>
        </w:rPr>
      </w:pPr>
      <w:r>
        <w:rPr>
          <w:color w:val="auto"/>
          <w:szCs w:val="21"/>
          <w:highlight w:val="none"/>
        </w:rPr>
        <w:t>15.2</w:t>
      </w:r>
      <w:r>
        <w:rPr>
          <w:rFonts w:hint="eastAsia"/>
          <w:color w:val="auto"/>
          <w:szCs w:val="21"/>
          <w:highlight w:val="none"/>
        </w:rPr>
        <w:t>缺陷责任期</w:t>
      </w:r>
      <w:bookmarkEnd w:id="517"/>
    </w:p>
    <w:p w14:paraId="10248733">
      <w:pPr>
        <w:spacing w:line="460" w:lineRule="exact"/>
        <w:ind w:firstLine="420" w:firstLineChars="200"/>
        <w:rPr>
          <w:color w:val="auto"/>
          <w:szCs w:val="21"/>
          <w:highlight w:val="none"/>
        </w:rPr>
      </w:pPr>
      <w:r>
        <w:rPr>
          <w:rFonts w:hint="eastAsia"/>
          <w:color w:val="auto"/>
          <w:szCs w:val="21"/>
          <w:highlight w:val="none"/>
        </w:rPr>
        <w:t>缺陷责任期的具体期限：</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0702C2AC">
      <w:pPr>
        <w:spacing w:line="460" w:lineRule="exact"/>
        <w:ind w:firstLine="420" w:firstLineChars="200"/>
        <w:rPr>
          <w:color w:val="auto"/>
          <w:szCs w:val="21"/>
          <w:highlight w:val="none"/>
        </w:rPr>
      </w:pPr>
      <w:r>
        <w:rPr>
          <w:color w:val="auto"/>
          <w:szCs w:val="21"/>
          <w:highlight w:val="none"/>
        </w:rPr>
        <w:t xml:space="preserve">15.3 </w:t>
      </w:r>
      <w:r>
        <w:rPr>
          <w:rFonts w:hint="eastAsia"/>
          <w:color w:val="auto"/>
          <w:szCs w:val="21"/>
          <w:highlight w:val="none"/>
        </w:rPr>
        <w:t>质量保修金</w:t>
      </w:r>
    </w:p>
    <w:p w14:paraId="183A1836">
      <w:pPr>
        <w:spacing w:line="460" w:lineRule="exact"/>
        <w:ind w:firstLine="420" w:firstLineChars="200"/>
        <w:rPr>
          <w:color w:val="auto"/>
          <w:szCs w:val="21"/>
          <w:highlight w:val="none"/>
        </w:rPr>
      </w:pPr>
      <w:r>
        <w:rPr>
          <w:rFonts w:hint="eastAsia"/>
          <w:color w:val="auto"/>
          <w:szCs w:val="21"/>
          <w:highlight w:val="none"/>
        </w:rPr>
        <w:t>关于是否扣留质量保证金的约定：</w:t>
      </w:r>
      <w:r>
        <w:rPr>
          <w:color w:val="auto"/>
          <w:szCs w:val="21"/>
          <w:highlight w:val="none"/>
          <w:u w:val="single"/>
        </w:rPr>
        <w:t xml:space="preserve">   </w:t>
      </w:r>
      <w:r>
        <w:rPr>
          <w:rFonts w:hint="eastAsia"/>
          <w:color w:val="auto"/>
          <w:szCs w:val="21"/>
          <w:highlight w:val="none"/>
          <w:u w:val="single"/>
        </w:rPr>
        <w:t>扣留</w:t>
      </w:r>
      <w:r>
        <w:rPr>
          <w:color w:val="auto"/>
          <w:szCs w:val="21"/>
          <w:highlight w:val="none"/>
          <w:u w:val="single"/>
        </w:rPr>
        <w:t xml:space="preserve"> </w:t>
      </w:r>
      <w:r>
        <w:rPr>
          <w:rFonts w:hint="eastAsia"/>
          <w:color w:val="auto"/>
          <w:szCs w:val="21"/>
          <w:highlight w:val="none"/>
        </w:rPr>
        <w:t>。</w:t>
      </w:r>
    </w:p>
    <w:p w14:paraId="5148373D">
      <w:pPr>
        <w:spacing w:line="460" w:lineRule="exact"/>
        <w:ind w:firstLine="420" w:firstLineChars="200"/>
        <w:rPr>
          <w:color w:val="auto"/>
          <w:szCs w:val="21"/>
          <w:highlight w:val="none"/>
        </w:rPr>
      </w:pPr>
      <w:r>
        <w:rPr>
          <w:color w:val="auto"/>
          <w:szCs w:val="21"/>
          <w:highlight w:val="none"/>
        </w:rPr>
        <w:t xml:space="preserve">15.3.1 </w:t>
      </w:r>
      <w:r>
        <w:rPr>
          <w:rFonts w:hint="eastAsia"/>
          <w:color w:val="auto"/>
          <w:szCs w:val="21"/>
          <w:highlight w:val="none"/>
        </w:rPr>
        <w:t>承包人提供质量保修金的方式</w:t>
      </w:r>
    </w:p>
    <w:p w14:paraId="6C271414">
      <w:pPr>
        <w:spacing w:line="460" w:lineRule="exact"/>
        <w:ind w:firstLine="420" w:firstLineChars="200"/>
        <w:rPr>
          <w:color w:val="auto"/>
          <w:szCs w:val="21"/>
          <w:highlight w:val="none"/>
        </w:rPr>
      </w:pPr>
      <w:r>
        <w:rPr>
          <w:rFonts w:hint="eastAsia"/>
          <w:color w:val="auto"/>
          <w:szCs w:val="21"/>
          <w:highlight w:val="none"/>
        </w:rPr>
        <w:t>质量保修金采用以下第</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2</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种方式：</w:t>
      </w:r>
    </w:p>
    <w:p w14:paraId="2CF82EF6">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1</w:t>
      </w:r>
      <w:r>
        <w:rPr>
          <w:rFonts w:hint="eastAsia"/>
          <w:color w:val="auto"/>
          <w:szCs w:val="21"/>
          <w:highlight w:val="none"/>
        </w:rPr>
        <w:t>）质量保证金保函，保证金额为：</w:t>
      </w:r>
      <w:r>
        <w:rPr>
          <w:color w:val="auto"/>
          <w:szCs w:val="21"/>
          <w:highlight w:val="none"/>
          <w:u w:val="single"/>
        </w:rPr>
        <w:t xml:space="preserve">        </w:t>
      </w:r>
      <w:r>
        <w:rPr>
          <w:rFonts w:hint="eastAsia"/>
          <w:color w:val="auto"/>
          <w:szCs w:val="21"/>
          <w:highlight w:val="none"/>
        </w:rPr>
        <w:t>；</w:t>
      </w:r>
      <w:r>
        <w:rPr>
          <w:color w:val="auto"/>
          <w:szCs w:val="21"/>
          <w:highlight w:val="none"/>
        </w:rPr>
        <w:t xml:space="preserve"> </w:t>
      </w:r>
    </w:p>
    <w:p w14:paraId="62B7CE30">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w:t>
      </w:r>
      <w:r>
        <w:rPr>
          <w:color w:val="auto"/>
          <w:szCs w:val="21"/>
          <w:highlight w:val="none"/>
          <w:u w:val="single"/>
        </w:rPr>
        <w:t xml:space="preserve"> 结算审定价</w:t>
      </w:r>
      <w:r>
        <w:rPr>
          <w:rFonts w:hint="eastAsia"/>
          <w:color w:val="auto"/>
          <w:szCs w:val="21"/>
          <w:highlight w:val="none"/>
          <w:u w:val="single"/>
        </w:rPr>
        <w:t>3%</w:t>
      </w:r>
      <w:r>
        <w:rPr>
          <w:rFonts w:hint="eastAsia"/>
          <w:color w:val="auto"/>
          <w:szCs w:val="21"/>
          <w:highlight w:val="none"/>
        </w:rPr>
        <w:t>；</w:t>
      </w:r>
    </w:p>
    <w:p w14:paraId="656182A7">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3</w:t>
      </w:r>
      <w:r>
        <w:rPr>
          <w:rFonts w:hint="eastAsia"/>
          <w:color w:val="auto"/>
          <w:szCs w:val="21"/>
          <w:highlight w:val="none"/>
        </w:rPr>
        <w:t>）其他方式</w:t>
      </w:r>
      <w:r>
        <w:rPr>
          <w:rFonts w:hint="eastAsia"/>
          <w:color w:val="auto"/>
          <w:szCs w:val="21"/>
          <w:highlight w:val="none"/>
          <w:lang w:eastAsia="zh-CN"/>
        </w:rPr>
        <w:t>：</w:t>
      </w:r>
      <w:r>
        <w:rPr>
          <w:color w:val="auto"/>
          <w:szCs w:val="21"/>
          <w:highlight w:val="none"/>
          <w:u w:val="single"/>
        </w:rPr>
        <w:t xml:space="preserve">                 </w:t>
      </w:r>
      <w:r>
        <w:rPr>
          <w:rFonts w:hint="eastAsia"/>
          <w:color w:val="auto"/>
          <w:szCs w:val="21"/>
          <w:highlight w:val="none"/>
        </w:rPr>
        <w:t>。</w:t>
      </w:r>
    </w:p>
    <w:p w14:paraId="6992530F">
      <w:pPr>
        <w:spacing w:line="460" w:lineRule="exact"/>
        <w:ind w:firstLine="420" w:firstLineChars="200"/>
        <w:rPr>
          <w:color w:val="auto"/>
          <w:szCs w:val="21"/>
          <w:highlight w:val="none"/>
        </w:rPr>
      </w:pPr>
      <w:r>
        <w:rPr>
          <w:color w:val="auto"/>
          <w:szCs w:val="21"/>
          <w:highlight w:val="none"/>
        </w:rPr>
        <w:t xml:space="preserve">15.3.2 </w:t>
      </w:r>
      <w:r>
        <w:rPr>
          <w:rFonts w:hint="eastAsia"/>
          <w:color w:val="auto"/>
          <w:szCs w:val="21"/>
          <w:highlight w:val="none"/>
        </w:rPr>
        <w:t>质量保修金的扣留</w:t>
      </w:r>
      <w:r>
        <w:rPr>
          <w:color w:val="auto"/>
          <w:szCs w:val="21"/>
          <w:highlight w:val="none"/>
        </w:rPr>
        <w:t xml:space="preserve"> </w:t>
      </w:r>
    </w:p>
    <w:p w14:paraId="239FDD23">
      <w:pPr>
        <w:spacing w:line="460" w:lineRule="exact"/>
        <w:ind w:firstLine="420" w:firstLineChars="200"/>
        <w:rPr>
          <w:color w:val="auto"/>
          <w:szCs w:val="21"/>
          <w:highlight w:val="none"/>
        </w:rPr>
      </w:pPr>
      <w:r>
        <w:rPr>
          <w:rFonts w:hint="eastAsia"/>
          <w:color w:val="auto"/>
          <w:szCs w:val="21"/>
          <w:highlight w:val="none"/>
        </w:rPr>
        <w:t>质量保证金的扣留采取以下第</w:t>
      </w:r>
      <w:r>
        <w:rPr>
          <w:rFonts w:hint="eastAsia"/>
          <w:color w:val="auto"/>
          <w:szCs w:val="21"/>
          <w:highlight w:val="none"/>
          <w:u w:val="single"/>
        </w:rPr>
        <w:t>（</w:t>
      </w:r>
      <w:r>
        <w:rPr>
          <w:color w:val="auto"/>
          <w:szCs w:val="21"/>
          <w:highlight w:val="none"/>
          <w:u w:val="single"/>
        </w:rPr>
        <w:t>2</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种方式：</w:t>
      </w:r>
    </w:p>
    <w:p w14:paraId="1DECEF6F">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1</w:t>
      </w:r>
      <w:r>
        <w:rPr>
          <w:rFonts w:hint="eastAsia"/>
          <w:color w:val="auto"/>
          <w:szCs w:val="21"/>
          <w:highlight w:val="none"/>
        </w:rPr>
        <w:t>）在支付工程进度款时逐次扣留，在此情形下，质量保证金的计算基数不包括预付款的支付、扣回以及价格调整的金额；</w:t>
      </w:r>
    </w:p>
    <w:p w14:paraId="0D5D9EA7">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）工程竣工结算时一次性扣留质量保修金；</w:t>
      </w:r>
    </w:p>
    <w:p w14:paraId="00412436">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3</w:t>
      </w:r>
      <w:r>
        <w:rPr>
          <w:rFonts w:hint="eastAsia"/>
          <w:color w:val="auto"/>
          <w:szCs w:val="21"/>
          <w:highlight w:val="none"/>
        </w:rPr>
        <w:t>）其他扣留方式</w:t>
      </w:r>
      <w:r>
        <w:rPr>
          <w:rFonts w:hint="eastAsia"/>
          <w:color w:val="auto"/>
          <w:szCs w:val="21"/>
          <w:highlight w:val="none"/>
          <w:lang w:eastAsia="zh-CN"/>
        </w:rPr>
        <w:t>：</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6B84A569">
      <w:pPr>
        <w:spacing w:line="460" w:lineRule="exact"/>
        <w:ind w:firstLine="420" w:firstLineChars="200"/>
        <w:rPr>
          <w:color w:val="auto"/>
          <w:szCs w:val="21"/>
          <w:highlight w:val="none"/>
        </w:rPr>
      </w:pPr>
      <w:r>
        <w:rPr>
          <w:rFonts w:hint="eastAsia"/>
          <w:color w:val="auto"/>
          <w:szCs w:val="21"/>
          <w:highlight w:val="none"/>
        </w:rPr>
        <w:t>关于质量保修金的补充约定：</w:t>
      </w:r>
      <w:r>
        <w:rPr>
          <w:color w:val="auto"/>
          <w:szCs w:val="21"/>
          <w:highlight w:val="none"/>
          <w:u w:val="single"/>
        </w:rPr>
        <w:t xml:space="preserve">  </w:t>
      </w:r>
      <w:r>
        <w:rPr>
          <w:rFonts w:hint="eastAsia"/>
          <w:b/>
          <w:bCs/>
          <w:color w:val="auto"/>
          <w:szCs w:val="21"/>
          <w:highlight w:val="none"/>
          <w:u w:val="single"/>
        </w:rPr>
        <w:t>待保修期满无质量问题后无息返还</w:t>
      </w:r>
      <w:r>
        <w:rPr>
          <w:color w:val="auto"/>
          <w:szCs w:val="21"/>
          <w:highlight w:val="none"/>
          <w:u w:val="single"/>
        </w:rPr>
        <w:t xml:space="preserve">    </w:t>
      </w:r>
      <w:r>
        <w:rPr>
          <w:rFonts w:hint="eastAsia"/>
          <w:color w:val="auto"/>
          <w:szCs w:val="21"/>
          <w:highlight w:val="none"/>
        </w:rPr>
        <w:t>。</w:t>
      </w:r>
    </w:p>
    <w:bookmarkEnd w:id="518"/>
    <w:bookmarkEnd w:id="519"/>
    <w:p w14:paraId="4C2A16C0">
      <w:pPr>
        <w:spacing w:after="120" w:line="460" w:lineRule="exact"/>
        <w:ind w:firstLine="420" w:firstLineChars="200"/>
        <w:rPr>
          <w:color w:val="auto"/>
          <w:szCs w:val="21"/>
          <w:highlight w:val="none"/>
        </w:rPr>
      </w:pPr>
      <w:r>
        <w:rPr>
          <w:color w:val="auto"/>
          <w:szCs w:val="21"/>
          <w:highlight w:val="none"/>
        </w:rPr>
        <w:t>15.4</w:t>
      </w:r>
      <w:r>
        <w:rPr>
          <w:rFonts w:hint="eastAsia"/>
          <w:color w:val="auto"/>
          <w:szCs w:val="21"/>
          <w:highlight w:val="none"/>
        </w:rPr>
        <w:t>保修</w:t>
      </w:r>
    </w:p>
    <w:bookmarkEnd w:id="520"/>
    <w:p w14:paraId="1E2ED114">
      <w:pPr>
        <w:spacing w:line="460" w:lineRule="exact"/>
        <w:ind w:firstLine="409" w:firstLineChars="195"/>
        <w:rPr>
          <w:color w:val="auto"/>
          <w:szCs w:val="21"/>
          <w:highlight w:val="none"/>
        </w:rPr>
      </w:pPr>
      <w:r>
        <w:rPr>
          <w:color w:val="auto"/>
          <w:szCs w:val="21"/>
          <w:highlight w:val="none"/>
        </w:rPr>
        <w:t xml:space="preserve">15.4.1 </w:t>
      </w:r>
      <w:r>
        <w:rPr>
          <w:rFonts w:hint="eastAsia"/>
          <w:color w:val="auto"/>
          <w:szCs w:val="21"/>
          <w:highlight w:val="none"/>
        </w:rPr>
        <w:t>保修责任</w:t>
      </w:r>
    </w:p>
    <w:p w14:paraId="2A20C673">
      <w:pPr>
        <w:spacing w:line="460" w:lineRule="exact"/>
        <w:ind w:firstLine="420" w:firstLineChars="200"/>
        <w:rPr>
          <w:color w:val="auto"/>
          <w:szCs w:val="21"/>
          <w:highlight w:val="none"/>
        </w:rPr>
      </w:pPr>
      <w:r>
        <w:rPr>
          <w:rFonts w:hint="eastAsia"/>
          <w:color w:val="auto"/>
          <w:szCs w:val="21"/>
          <w:highlight w:val="none"/>
        </w:rPr>
        <w:t>工程保修期为：</w:t>
      </w:r>
      <w:r>
        <w:rPr>
          <w:color w:val="auto"/>
          <w:szCs w:val="21"/>
          <w:highlight w:val="none"/>
          <w:u w:val="single"/>
        </w:rPr>
        <w:t xml:space="preserve">   </w:t>
      </w:r>
      <w:r>
        <w:rPr>
          <w:rFonts w:hint="eastAsia"/>
          <w:b/>
          <w:bCs/>
          <w:color w:val="auto"/>
          <w:szCs w:val="21"/>
          <w:highlight w:val="none"/>
          <w:u w:val="single"/>
        </w:rPr>
        <w:t>见工程质量保修书</w:t>
      </w:r>
      <w:r>
        <w:rPr>
          <w:color w:val="auto"/>
          <w:szCs w:val="21"/>
          <w:highlight w:val="none"/>
          <w:u w:val="single"/>
        </w:rPr>
        <w:t xml:space="preserve">          </w:t>
      </w:r>
      <w:r>
        <w:rPr>
          <w:rFonts w:hint="eastAsia"/>
          <w:color w:val="auto"/>
          <w:szCs w:val="21"/>
          <w:highlight w:val="none"/>
        </w:rPr>
        <w:t>。</w:t>
      </w:r>
    </w:p>
    <w:p w14:paraId="50738415">
      <w:pPr>
        <w:spacing w:line="460" w:lineRule="exact"/>
        <w:ind w:firstLine="409" w:firstLineChars="195"/>
        <w:rPr>
          <w:color w:val="auto"/>
          <w:szCs w:val="21"/>
          <w:highlight w:val="none"/>
        </w:rPr>
      </w:pPr>
      <w:r>
        <w:rPr>
          <w:color w:val="auto"/>
          <w:szCs w:val="21"/>
          <w:highlight w:val="none"/>
        </w:rPr>
        <w:t xml:space="preserve">15.4.3 </w:t>
      </w:r>
      <w:r>
        <w:rPr>
          <w:rFonts w:hint="eastAsia"/>
          <w:color w:val="auto"/>
          <w:szCs w:val="21"/>
          <w:highlight w:val="none"/>
        </w:rPr>
        <w:t>修复通知</w:t>
      </w:r>
    </w:p>
    <w:p w14:paraId="407D2C3E">
      <w:pPr>
        <w:spacing w:line="460" w:lineRule="exact"/>
        <w:ind w:firstLine="420" w:firstLineChars="200"/>
        <w:rPr>
          <w:color w:val="auto"/>
          <w:szCs w:val="21"/>
          <w:highlight w:val="none"/>
        </w:rPr>
      </w:pPr>
      <w:r>
        <w:rPr>
          <w:rFonts w:hint="eastAsia"/>
          <w:color w:val="auto"/>
          <w:szCs w:val="21"/>
          <w:highlight w:val="none"/>
        </w:rPr>
        <w:t>承包人收到保修通知并到达工程现场的合理时间：</w:t>
      </w:r>
      <w:r>
        <w:rPr>
          <w:color w:val="auto"/>
          <w:szCs w:val="21"/>
          <w:highlight w:val="none"/>
          <w:u w:val="single"/>
        </w:rPr>
        <w:t xml:space="preserve"> </w:t>
      </w:r>
      <w:r>
        <w:rPr>
          <w:b/>
          <w:bCs/>
          <w:color w:val="auto"/>
          <w:szCs w:val="21"/>
          <w:highlight w:val="none"/>
          <w:u w:val="single"/>
        </w:rPr>
        <w:t xml:space="preserve"> </w:t>
      </w:r>
      <w:r>
        <w:rPr>
          <w:rFonts w:hint="eastAsia"/>
          <w:b/>
          <w:bCs/>
          <w:color w:val="auto"/>
          <w:szCs w:val="21"/>
          <w:highlight w:val="none"/>
          <w:u w:val="single"/>
        </w:rPr>
        <w:t>收到通知后24小时内</w:t>
      </w:r>
      <w:r>
        <w:rPr>
          <w:color w:val="auto"/>
          <w:szCs w:val="21"/>
          <w:highlight w:val="none"/>
          <w:u w:val="single"/>
        </w:rPr>
        <w:t xml:space="preserve">    </w:t>
      </w:r>
      <w:r>
        <w:rPr>
          <w:rFonts w:hint="eastAsia"/>
          <w:color w:val="auto"/>
          <w:szCs w:val="21"/>
          <w:highlight w:val="none"/>
        </w:rPr>
        <w:t>。</w:t>
      </w:r>
    </w:p>
    <w:bookmarkEnd w:id="521"/>
    <w:bookmarkEnd w:id="522"/>
    <w:bookmarkEnd w:id="523"/>
    <w:bookmarkEnd w:id="524"/>
    <w:p w14:paraId="44C188F1">
      <w:pPr>
        <w:keepNext/>
        <w:keepLines/>
        <w:widowControl w:val="0"/>
        <w:adjustRightInd w:val="0"/>
        <w:spacing w:before="120" w:after="120" w:line="460" w:lineRule="exact"/>
        <w:textAlignment w:val="baseline"/>
        <w:outlineLvl w:val="3"/>
        <w:rPr>
          <w:b/>
          <w:color w:val="auto"/>
          <w:szCs w:val="21"/>
          <w:highlight w:val="none"/>
        </w:rPr>
      </w:pPr>
      <w:bookmarkStart w:id="547" w:name="_Toc351203648"/>
      <w:bookmarkStart w:id="548" w:name="_Toc280868717"/>
      <w:bookmarkStart w:id="549" w:name="_Toc280868718"/>
      <w:r>
        <w:rPr>
          <w:b/>
          <w:color w:val="auto"/>
          <w:szCs w:val="21"/>
          <w:highlight w:val="none"/>
        </w:rPr>
        <w:t xml:space="preserve">16. </w:t>
      </w:r>
      <w:r>
        <w:rPr>
          <w:rFonts w:hint="eastAsia"/>
          <w:b/>
          <w:color w:val="auto"/>
          <w:szCs w:val="21"/>
          <w:highlight w:val="none"/>
        </w:rPr>
        <w:t>违约</w:t>
      </w:r>
      <w:bookmarkEnd w:id="547"/>
    </w:p>
    <w:p w14:paraId="101AAE76">
      <w:pPr>
        <w:spacing w:line="460" w:lineRule="exact"/>
        <w:ind w:left="1050" w:leftChars="150" w:hanging="735" w:hangingChars="350"/>
        <w:rPr>
          <w:color w:val="auto"/>
          <w:szCs w:val="21"/>
          <w:highlight w:val="none"/>
        </w:rPr>
      </w:pPr>
      <w:r>
        <w:rPr>
          <w:color w:val="auto"/>
          <w:szCs w:val="21"/>
          <w:highlight w:val="none"/>
        </w:rPr>
        <w:t xml:space="preserve">16.1 </w:t>
      </w:r>
      <w:r>
        <w:rPr>
          <w:rFonts w:hint="eastAsia"/>
          <w:color w:val="auto"/>
          <w:szCs w:val="21"/>
          <w:highlight w:val="none"/>
        </w:rPr>
        <w:t>发包人违约</w:t>
      </w:r>
    </w:p>
    <w:p w14:paraId="77F4856D">
      <w:pPr>
        <w:spacing w:line="460" w:lineRule="exact"/>
        <w:ind w:left="1050" w:leftChars="150" w:hanging="735" w:hangingChars="350"/>
        <w:rPr>
          <w:color w:val="auto"/>
          <w:szCs w:val="21"/>
          <w:highlight w:val="none"/>
        </w:rPr>
      </w:pPr>
      <w:r>
        <w:rPr>
          <w:color w:val="auto"/>
          <w:szCs w:val="21"/>
          <w:highlight w:val="none"/>
        </w:rPr>
        <w:t>16.1.1</w:t>
      </w:r>
      <w:r>
        <w:rPr>
          <w:rFonts w:hint="eastAsia"/>
          <w:color w:val="auto"/>
          <w:szCs w:val="21"/>
          <w:highlight w:val="none"/>
        </w:rPr>
        <w:t>发包人违约的情形</w:t>
      </w:r>
    </w:p>
    <w:p w14:paraId="1CC231B6">
      <w:pPr>
        <w:spacing w:line="460" w:lineRule="exact"/>
        <w:ind w:left="1050" w:leftChars="150" w:hanging="735" w:hangingChars="350"/>
        <w:rPr>
          <w:color w:val="auto"/>
          <w:szCs w:val="21"/>
          <w:highlight w:val="none"/>
        </w:rPr>
      </w:pPr>
      <w:r>
        <w:rPr>
          <w:rFonts w:hint="eastAsia"/>
          <w:color w:val="auto"/>
          <w:szCs w:val="21"/>
          <w:highlight w:val="none"/>
        </w:rPr>
        <w:t>发包人违约的其他情形：</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5CADC92E">
      <w:pPr>
        <w:spacing w:line="460" w:lineRule="exact"/>
        <w:ind w:left="1050" w:hanging="1050" w:hangingChars="500"/>
        <w:rPr>
          <w:color w:val="auto"/>
          <w:szCs w:val="21"/>
          <w:highlight w:val="none"/>
        </w:rPr>
      </w:pPr>
      <w:r>
        <w:rPr>
          <w:color w:val="auto"/>
          <w:szCs w:val="21"/>
          <w:highlight w:val="none"/>
        </w:rPr>
        <w:t xml:space="preserve">    16.1.2 </w:t>
      </w:r>
      <w:r>
        <w:rPr>
          <w:rFonts w:hint="eastAsia"/>
          <w:color w:val="auto"/>
          <w:szCs w:val="21"/>
          <w:highlight w:val="none"/>
        </w:rPr>
        <w:t>发包人违约的责任</w:t>
      </w:r>
    </w:p>
    <w:p w14:paraId="360E30D9">
      <w:pPr>
        <w:spacing w:line="460" w:lineRule="exact"/>
        <w:ind w:firstLine="420" w:firstLineChars="200"/>
        <w:rPr>
          <w:color w:val="auto"/>
          <w:szCs w:val="21"/>
          <w:highlight w:val="none"/>
        </w:rPr>
      </w:pPr>
      <w:r>
        <w:rPr>
          <w:rFonts w:hint="eastAsia"/>
          <w:color w:val="auto"/>
          <w:szCs w:val="21"/>
          <w:highlight w:val="none"/>
        </w:rPr>
        <w:t>发包人违约责任的承担方式和计算方法：</w:t>
      </w:r>
    </w:p>
    <w:p w14:paraId="5B5919D3">
      <w:pPr>
        <w:spacing w:line="460" w:lineRule="exact"/>
        <w:ind w:firstLine="420" w:firstLineChars="200"/>
        <w:rPr>
          <w:color w:val="auto"/>
          <w:szCs w:val="21"/>
          <w:highlight w:val="none"/>
          <w:u w:val="single"/>
        </w:rPr>
      </w:pPr>
      <w:r>
        <w:rPr>
          <w:rFonts w:hint="eastAsia"/>
          <w:color w:val="auto"/>
          <w:szCs w:val="21"/>
          <w:highlight w:val="none"/>
        </w:rPr>
        <w:t>（</w:t>
      </w:r>
      <w:r>
        <w:rPr>
          <w:color w:val="auto"/>
          <w:szCs w:val="21"/>
          <w:highlight w:val="none"/>
        </w:rPr>
        <w:t>1</w:t>
      </w:r>
      <w:r>
        <w:rPr>
          <w:rFonts w:hint="eastAsia"/>
          <w:color w:val="auto"/>
          <w:szCs w:val="21"/>
          <w:highlight w:val="none"/>
        </w:rPr>
        <w:t>）因发包人原因未能在计划开工日期前</w:t>
      </w:r>
      <w:r>
        <w:rPr>
          <w:color w:val="auto"/>
          <w:szCs w:val="21"/>
          <w:highlight w:val="none"/>
        </w:rPr>
        <w:t>7</w:t>
      </w:r>
      <w:r>
        <w:rPr>
          <w:rFonts w:hint="eastAsia"/>
          <w:color w:val="auto"/>
          <w:szCs w:val="21"/>
          <w:highlight w:val="none"/>
        </w:rPr>
        <w:t>天内下达开工通知的违约责任：</w:t>
      </w:r>
      <w:r>
        <w:rPr>
          <w:color w:val="auto"/>
          <w:szCs w:val="21"/>
          <w:highlight w:val="none"/>
          <w:u w:val="single"/>
        </w:rPr>
        <w:t xml:space="preserve">    </w:t>
      </w:r>
      <w:r>
        <w:rPr>
          <w:rFonts w:hint="eastAsia"/>
          <w:b/>
          <w:bCs/>
          <w:color w:val="auto"/>
          <w:szCs w:val="21"/>
          <w:highlight w:val="none"/>
          <w:u w:val="single"/>
        </w:rPr>
        <w:t>双方另行协商</w:t>
      </w:r>
      <w:r>
        <w:rPr>
          <w:color w:val="auto"/>
          <w:szCs w:val="21"/>
          <w:highlight w:val="none"/>
          <w:u w:val="single"/>
        </w:rPr>
        <w:t xml:space="preserve">  </w:t>
      </w:r>
      <w:r>
        <w:rPr>
          <w:rFonts w:hint="eastAsia"/>
          <w:color w:val="auto"/>
          <w:szCs w:val="21"/>
          <w:highlight w:val="none"/>
        </w:rPr>
        <w:t>。</w:t>
      </w:r>
    </w:p>
    <w:p w14:paraId="5FE7DF93">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）因发包人原因未能按合同约定支付合同价款的违约责任：</w:t>
      </w:r>
      <w:r>
        <w:rPr>
          <w:color w:val="auto"/>
          <w:szCs w:val="21"/>
          <w:highlight w:val="none"/>
          <w:u w:val="single"/>
        </w:rPr>
        <w:t xml:space="preserve"> </w:t>
      </w:r>
      <w:r>
        <w:rPr>
          <w:rFonts w:hint="eastAsia"/>
          <w:b/>
          <w:bCs/>
          <w:color w:val="auto"/>
          <w:szCs w:val="21"/>
          <w:highlight w:val="none"/>
          <w:u w:val="single"/>
        </w:rPr>
        <w:t>双方另行协商</w:t>
      </w:r>
      <w:r>
        <w:rPr>
          <w:b/>
          <w:bCs/>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04A7EDB1">
      <w:pPr>
        <w:spacing w:line="460" w:lineRule="exact"/>
        <w:ind w:firstLine="367" w:firstLineChars="175"/>
        <w:rPr>
          <w:color w:val="auto"/>
          <w:szCs w:val="21"/>
          <w:highlight w:val="none"/>
        </w:rPr>
      </w:pPr>
      <w:r>
        <w:rPr>
          <w:rFonts w:hint="eastAsia"/>
          <w:color w:val="auto"/>
          <w:szCs w:val="21"/>
          <w:highlight w:val="none"/>
        </w:rPr>
        <w:t>（</w:t>
      </w:r>
      <w:r>
        <w:rPr>
          <w:color w:val="auto"/>
          <w:szCs w:val="21"/>
          <w:highlight w:val="none"/>
        </w:rPr>
        <w:t>3</w:t>
      </w:r>
      <w:r>
        <w:rPr>
          <w:rFonts w:hint="eastAsia"/>
          <w:color w:val="auto"/>
          <w:szCs w:val="21"/>
          <w:highlight w:val="none"/>
        </w:rPr>
        <w:t>）发包人违反第</w:t>
      </w:r>
      <w:r>
        <w:rPr>
          <w:color w:val="auto"/>
          <w:szCs w:val="21"/>
          <w:highlight w:val="none"/>
        </w:rPr>
        <w:t>10.1</w:t>
      </w:r>
      <w:r>
        <w:rPr>
          <w:rFonts w:hint="eastAsia"/>
          <w:color w:val="auto"/>
          <w:szCs w:val="21"/>
          <w:highlight w:val="none"/>
        </w:rPr>
        <w:t>款〔变更的范围〕第（</w:t>
      </w:r>
      <w:r>
        <w:rPr>
          <w:color w:val="auto"/>
          <w:szCs w:val="21"/>
          <w:highlight w:val="none"/>
        </w:rPr>
        <w:t>2</w:t>
      </w:r>
      <w:r>
        <w:rPr>
          <w:rFonts w:hint="eastAsia"/>
          <w:color w:val="auto"/>
          <w:szCs w:val="21"/>
          <w:highlight w:val="none"/>
        </w:rPr>
        <w:t>）项约定，自行实施被取消的工作或转由他人实施的违约责任：</w:t>
      </w:r>
      <w:r>
        <w:rPr>
          <w:color w:val="auto"/>
          <w:szCs w:val="21"/>
          <w:highlight w:val="none"/>
          <w:u w:val="single"/>
        </w:rPr>
        <w:t xml:space="preserve"> </w:t>
      </w:r>
      <w:r>
        <w:rPr>
          <w:b/>
          <w:bCs/>
          <w:color w:val="auto"/>
          <w:szCs w:val="21"/>
          <w:highlight w:val="none"/>
          <w:u w:val="single"/>
        </w:rPr>
        <w:t xml:space="preserve"> </w:t>
      </w:r>
      <w:r>
        <w:rPr>
          <w:rFonts w:hint="eastAsia"/>
          <w:b/>
          <w:bCs/>
          <w:color w:val="auto"/>
          <w:szCs w:val="21"/>
          <w:highlight w:val="none"/>
          <w:u w:val="single"/>
        </w:rPr>
        <w:t>双方另行协商</w:t>
      </w:r>
      <w:r>
        <w:rPr>
          <w:color w:val="auto"/>
          <w:szCs w:val="21"/>
          <w:highlight w:val="none"/>
          <w:u w:val="single"/>
        </w:rPr>
        <w:t xml:space="preserve">     </w:t>
      </w:r>
      <w:r>
        <w:rPr>
          <w:rFonts w:hint="eastAsia"/>
          <w:color w:val="auto"/>
          <w:szCs w:val="21"/>
          <w:highlight w:val="none"/>
        </w:rPr>
        <w:t>。</w:t>
      </w:r>
    </w:p>
    <w:p w14:paraId="31C107F4">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4</w:t>
      </w:r>
      <w:r>
        <w:rPr>
          <w:rFonts w:hint="eastAsia"/>
          <w:color w:val="auto"/>
          <w:szCs w:val="21"/>
          <w:highlight w:val="none"/>
        </w:rPr>
        <w:t>）发包人提供的材料、工程设备的规格、数量或质量不符合合同约定，或因发包</w:t>
      </w:r>
      <w:r>
        <w:rPr>
          <w:rFonts w:hint="eastAsia"/>
          <w:color w:val="auto"/>
          <w:szCs w:val="21"/>
          <w:highlight w:val="none"/>
          <w:lang w:eastAsia="zh-CN"/>
        </w:rPr>
        <w:t>人的</w:t>
      </w:r>
      <w:r>
        <w:rPr>
          <w:rFonts w:hint="eastAsia"/>
          <w:color w:val="auto"/>
          <w:szCs w:val="21"/>
          <w:highlight w:val="none"/>
        </w:rPr>
        <w:t>原因导致交货日期延误或交货地点变更等情况的违约责任：</w:t>
      </w:r>
      <w:r>
        <w:rPr>
          <w:color w:val="auto"/>
          <w:szCs w:val="21"/>
          <w:highlight w:val="none"/>
          <w:u w:val="single"/>
        </w:rPr>
        <w:t xml:space="preserve"> </w:t>
      </w:r>
      <w:r>
        <w:rPr>
          <w:b/>
          <w:bCs/>
          <w:color w:val="auto"/>
          <w:szCs w:val="21"/>
          <w:highlight w:val="none"/>
          <w:u w:val="single"/>
        </w:rPr>
        <w:t xml:space="preserve"> </w:t>
      </w:r>
      <w:r>
        <w:rPr>
          <w:rFonts w:hint="eastAsia"/>
          <w:b/>
          <w:bCs/>
          <w:color w:val="auto"/>
          <w:szCs w:val="21"/>
          <w:highlight w:val="none"/>
          <w:u w:val="single"/>
        </w:rPr>
        <w:t>双方另行协商</w:t>
      </w:r>
      <w:r>
        <w:rPr>
          <w:color w:val="auto"/>
          <w:szCs w:val="21"/>
          <w:highlight w:val="none"/>
          <w:u w:val="single"/>
        </w:rPr>
        <w:t xml:space="preserve"> </w:t>
      </w:r>
      <w:r>
        <w:rPr>
          <w:rFonts w:hint="eastAsia"/>
          <w:color w:val="auto"/>
          <w:szCs w:val="21"/>
          <w:highlight w:val="none"/>
        </w:rPr>
        <w:t>。</w:t>
      </w:r>
    </w:p>
    <w:p w14:paraId="63081E32">
      <w:pPr>
        <w:spacing w:line="460" w:lineRule="exact"/>
        <w:rPr>
          <w:color w:val="auto"/>
          <w:szCs w:val="21"/>
          <w:highlight w:val="none"/>
        </w:rPr>
      </w:pPr>
      <w:r>
        <w:rPr>
          <w:rFonts w:hint="eastAsia"/>
          <w:color w:val="auto"/>
          <w:szCs w:val="21"/>
          <w:highlight w:val="none"/>
        </w:rPr>
        <w:t>（</w:t>
      </w:r>
      <w:r>
        <w:rPr>
          <w:color w:val="auto"/>
          <w:szCs w:val="21"/>
          <w:highlight w:val="none"/>
        </w:rPr>
        <w:t>5</w:t>
      </w:r>
      <w:r>
        <w:rPr>
          <w:rFonts w:hint="eastAsia"/>
          <w:color w:val="auto"/>
          <w:szCs w:val="21"/>
          <w:highlight w:val="none"/>
        </w:rPr>
        <w:t>）因发包人违反合同约定造成暂停施工的违约责任：</w:t>
      </w:r>
      <w:r>
        <w:rPr>
          <w:color w:val="auto"/>
          <w:szCs w:val="21"/>
          <w:highlight w:val="none"/>
          <w:u w:val="single"/>
        </w:rPr>
        <w:t xml:space="preserve"> </w:t>
      </w:r>
      <w:r>
        <w:rPr>
          <w:b/>
          <w:bCs/>
          <w:color w:val="auto"/>
          <w:szCs w:val="21"/>
          <w:highlight w:val="none"/>
          <w:u w:val="single"/>
        </w:rPr>
        <w:t xml:space="preserve"> </w:t>
      </w:r>
      <w:r>
        <w:rPr>
          <w:rFonts w:hint="eastAsia"/>
          <w:b/>
          <w:bCs/>
          <w:color w:val="auto"/>
          <w:szCs w:val="21"/>
          <w:highlight w:val="none"/>
          <w:u w:val="single"/>
        </w:rPr>
        <w:t>双方另行协商</w:t>
      </w:r>
      <w:r>
        <w:rPr>
          <w:color w:val="auto"/>
          <w:szCs w:val="21"/>
          <w:highlight w:val="none"/>
          <w:u w:val="single"/>
        </w:rPr>
        <w:t xml:space="preserve">  </w:t>
      </w:r>
      <w:r>
        <w:rPr>
          <w:rFonts w:hint="eastAsia"/>
          <w:color w:val="auto"/>
          <w:szCs w:val="21"/>
          <w:highlight w:val="none"/>
        </w:rPr>
        <w:t>。</w:t>
      </w:r>
    </w:p>
    <w:p w14:paraId="575584AC">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6</w:t>
      </w:r>
      <w:r>
        <w:rPr>
          <w:rFonts w:hint="eastAsia"/>
          <w:color w:val="auto"/>
          <w:szCs w:val="21"/>
          <w:highlight w:val="none"/>
        </w:rPr>
        <w:t>）发包人无正当理由没有在约定期限内发出复工指示，导致承包人无法复工的违约责任：</w:t>
      </w:r>
      <w:r>
        <w:rPr>
          <w:color w:val="auto"/>
          <w:szCs w:val="21"/>
          <w:highlight w:val="none"/>
          <w:u w:val="single"/>
        </w:rPr>
        <w:t xml:space="preserve">  </w:t>
      </w:r>
      <w:r>
        <w:rPr>
          <w:b/>
          <w:bCs/>
          <w:color w:val="auto"/>
          <w:szCs w:val="21"/>
          <w:highlight w:val="none"/>
          <w:u w:val="single"/>
        </w:rPr>
        <w:t xml:space="preserve"> </w:t>
      </w:r>
      <w:r>
        <w:rPr>
          <w:rFonts w:hint="eastAsia"/>
          <w:b/>
          <w:bCs/>
          <w:color w:val="auto"/>
          <w:szCs w:val="21"/>
          <w:highlight w:val="none"/>
          <w:u w:val="single"/>
        </w:rPr>
        <w:t>双方另行协商</w:t>
      </w:r>
      <w:r>
        <w:rPr>
          <w:color w:val="auto"/>
          <w:szCs w:val="21"/>
          <w:highlight w:val="none"/>
          <w:u w:val="single"/>
        </w:rPr>
        <w:t xml:space="preserve">      </w:t>
      </w:r>
      <w:r>
        <w:rPr>
          <w:rFonts w:hint="eastAsia"/>
          <w:color w:val="auto"/>
          <w:szCs w:val="21"/>
          <w:highlight w:val="none"/>
        </w:rPr>
        <w:t>。</w:t>
      </w:r>
    </w:p>
    <w:p w14:paraId="7FC56FC7">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7</w:t>
      </w:r>
      <w:r>
        <w:rPr>
          <w:rFonts w:hint="eastAsia"/>
          <w:color w:val="auto"/>
          <w:szCs w:val="21"/>
          <w:highlight w:val="none"/>
        </w:rPr>
        <w:t>）其他：</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2120411">
      <w:pPr>
        <w:spacing w:line="460" w:lineRule="exact"/>
        <w:ind w:firstLine="420" w:firstLineChars="200"/>
        <w:rPr>
          <w:color w:val="auto"/>
          <w:szCs w:val="21"/>
          <w:highlight w:val="none"/>
        </w:rPr>
      </w:pPr>
      <w:r>
        <w:rPr>
          <w:color w:val="auto"/>
          <w:szCs w:val="21"/>
          <w:highlight w:val="none"/>
        </w:rPr>
        <w:t xml:space="preserve">16.1.3 </w:t>
      </w:r>
      <w:r>
        <w:rPr>
          <w:rFonts w:hint="eastAsia"/>
          <w:color w:val="auto"/>
          <w:szCs w:val="21"/>
          <w:highlight w:val="none"/>
        </w:rPr>
        <w:t>因发包人违约解除合同</w:t>
      </w:r>
    </w:p>
    <w:p w14:paraId="6FBDD1A1">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承包人按</w:t>
      </w:r>
      <w:r>
        <w:rPr>
          <w:color w:val="auto"/>
          <w:szCs w:val="21"/>
          <w:highlight w:val="none"/>
        </w:rPr>
        <w:t>16.1.1</w:t>
      </w:r>
      <w:r>
        <w:rPr>
          <w:rFonts w:hint="eastAsia"/>
          <w:color w:val="auto"/>
          <w:szCs w:val="21"/>
          <w:highlight w:val="none"/>
        </w:rPr>
        <w:t>项〔发包人违约的情形〕约定暂停施工满</w:t>
      </w:r>
      <w:r>
        <w:rPr>
          <w:b/>
          <w:bCs/>
          <w:color w:val="auto"/>
          <w:szCs w:val="21"/>
          <w:highlight w:val="none"/>
          <w:u w:val="single"/>
        </w:rPr>
        <w:t xml:space="preserve"> </w:t>
      </w:r>
      <w:r>
        <w:rPr>
          <w:rFonts w:hint="eastAsia"/>
          <w:b/>
          <w:bCs/>
          <w:color w:val="auto"/>
          <w:szCs w:val="21"/>
          <w:highlight w:val="none"/>
          <w:u w:val="single"/>
        </w:rPr>
        <w:t>/</w:t>
      </w:r>
      <w:r>
        <w:rPr>
          <w:b/>
          <w:bCs/>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天后发包人仍不纠正其违约行为并致使合同目的不能实现的，承包人有权解除合同。</w:t>
      </w:r>
    </w:p>
    <w:p w14:paraId="5F83C6AB">
      <w:pPr>
        <w:spacing w:line="460" w:lineRule="exact"/>
        <w:ind w:left="1050" w:leftChars="150" w:hanging="735" w:hangingChars="350"/>
        <w:rPr>
          <w:color w:val="auto"/>
          <w:szCs w:val="21"/>
          <w:highlight w:val="none"/>
        </w:rPr>
      </w:pPr>
      <w:r>
        <w:rPr>
          <w:color w:val="auto"/>
          <w:szCs w:val="21"/>
          <w:highlight w:val="none"/>
        </w:rPr>
        <w:t xml:space="preserve">16.2 </w:t>
      </w:r>
      <w:r>
        <w:rPr>
          <w:rFonts w:hint="eastAsia"/>
          <w:color w:val="auto"/>
          <w:szCs w:val="21"/>
          <w:highlight w:val="none"/>
        </w:rPr>
        <w:t>承包人违约</w:t>
      </w:r>
    </w:p>
    <w:p w14:paraId="1DC9DAC5">
      <w:pPr>
        <w:spacing w:line="460" w:lineRule="exact"/>
        <w:ind w:left="1050" w:leftChars="150" w:hanging="735" w:hangingChars="350"/>
        <w:rPr>
          <w:color w:val="auto"/>
          <w:szCs w:val="21"/>
          <w:highlight w:val="none"/>
        </w:rPr>
      </w:pPr>
      <w:r>
        <w:rPr>
          <w:color w:val="auto"/>
          <w:szCs w:val="21"/>
          <w:highlight w:val="none"/>
        </w:rPr>
        <w:t xml:space="preserve">16.2.1 </w:t>
      </w:r>
      <w:r>
        <w:rPr>
          <w:rFonts w:hint="eastAsia"/>
          <w:color w:val="auto"/>
          <w:szCs w:val="21"/>
          <w:highlight w:val="none"/>
        </w:rPr>
        <w:t>承包人违约的情形</w:t>
      </w:r>
    </w:p>
    <w:p w14:paraId="223A7BCE">
      <w:pPr>
        <w:adjustRightInd w:val="0"/>
        <w:snapToGrid w:val="0"/>
        <w:spacing w:line="460" w:lineRule="exact"/>
        <w:ind w:left="-2" w:leftChars="-1" w:firstLine="420" w:firstLineChars="200"/>
        <w:rPr>
          <w:rFonts w:cs="Courier New"/>
          <w:b/>
          <w:bCs/>
          <w:color w:val="auto"/>
          <w:szCs w:val="21"/>
          <w:highlight w:val="none"/>
          <w:u w:val="single"/>
          <w:lang w:bidi="ar-SA"/>
        </w:rPr>
      </w:pPr>
      <w:r>
        <w:rPr>
          <w:rFonts w:hint="eastAsia" w:cs="Courier New"/>
          <w:color w:val="auto"/>
          <w:szCs w:val="21"/>
          <w:highlight w:val="none"/>
          <w:lang w:bidi="ar-SA"/>
        </w:rPr>
        <w:t>承包人违约的其他情形：</w:t>
      </w:r>
      <w:r>
        <w:rPr>
          <w:rFonts w:cs="Courier New"/>
          <w:color w:val="auto"/>
          <w:szCs w:val="21"/>
          <w:highlight w:val="none"/>
          <w:u w:val="single"/>
          <w:lang w:bidi="ar-SA"/>
        </w:rPr>
        <w:t xml:space="preserve"> </w:t>
      </w:r>
      <w:r>
        <w:rPr>
          <w:rFonts w:cs="Courier New"/>
          <w:b/>
          <w:bCs/>
          <w:color w:val="auto"/>
          <w:szCs w:val="21"/>
          <w:highlight w:val="none"/>
          <w:u w:val="single"/>
          <w:lang w:bidi="ar-SA"/>
        </w:rPr>
        <w:t xml:space="preserve"> </w:t>
      </w:r>
      <w:r>
        <w:rPr>
          <w:rFonts w:hint="eastAsia" w:cs="Courier New"/>
          <w:b/>
          <w:bCs/>
          <w:color w:val="auto"/>
          <w:szCs w:val="21"/>
          <w:highlight w:val="none"/>
          <w:u w:val="single"/>
          <w:lang w:bidi="ar-SA"/>
        </w:rPr>
        <w:t xml:space="preserve">1、承包人出现严重安全、质量事故，或在发包人规定的整改期限内达不到整改要求或明显无法按期完工的，发包人有权要求承包人退场，并按验收合格的工程量的60%款项结算。 </w:t>
      </w:r>
    </w:p>
    <w:p w14:paraId="1A769579">
      <w:pPr>
        <w:adjustRightInd w:val="0"/>
        <w:snapToGrid w:val="0"/>
        <w:spacing w:line="460" w:lineRule="exact"/>
        <w:ind w:left="-2" w:leftChars="-1" w:firstLine="422" w:firstLineChars="200"/>
        <w:rPr>
          <w:rFonts w:cs="Courier New"/>
          <w:b/>
          <w:bCs/>
          <w:color w:val="auto"/>
          <w:szCs w:val="21"/>
          <w:highlight w:val="none"/>
          <w:u w:val="single"/>
          <w:lang w:bidi="ar-SA"/>
        </w:rPr>
      </w:pPr>
      <w:r>
        <w:rPr>
          <w:rFonts w:hint="eastAsia" w:cs="Courier New"/>
          <w:b/>
          <w:bCs/>
          <w:color w:val="auto"/>
          <w:szCs w:val="21"/>
          <w:highlight w:val="none"/>
          <w:u w:val="single"/>
          <w:lang w:bidi="ar-SA"/>
        </w:rPr>
        <w:t>2、监理、承包人对所有进场材料的质量共同把关，承包人必须根据有关规定要求由具备相应专业资质的试验单位对材料、设备进行必要的试验、检验，如发现质量问题时，应及时退货。如承包人不按规定送检或明知有问题而不予处理，继续施工，由此引起返工而造成的材料、人工、机械、工期损失等一切费用全部由承包人承担。监理根据需要可在事前、事中、事后进行抽检，不论在哪个阶段查出问题，所造成的损失均由承包人负责。</w:t>
      </w:r>
    </w:p>
    <w:p w14:paraId="2D6F3A2E">
      <w:pPr>
        <w:adjustRightInd w:val="0"/>
        <w:snapToGrid w:val="0"/>
        <w:spacing w:line="460" w:lineRule="exact"/>
        <w:ind w:left="-2" w:leftChars="-1" w:firstLine="422" w:firstLineChars="200"/>
        <w:rPr>
          <w:rFonts w:hint="eastAsia" w:cs="Courier New"/>
          <w:b/>
          <w:bCs/>
          <w:color w:val="auto"/>
          <w:szCs w:val="21"/>
          <w:highlight w:val="none"/>
          <w:u w:val="single"/>
          <w:lang w:bidi="ar-SA"/>
        </w:rPr>
      </w:pPr>
      <w:r>
        <w:rPr>
          <w:rFonts w:hint="eastAsia" w:cs="Courier New"/>
          <w:b/>
          <w:bCs/>
          <w:color w:val="auto"/>
          <w:szCs w:val="21"/>
          <w:highlight w:val="none"/>
          <w:u w:val="single"/>
          <w:lang w:bidi="ar-SA"/>
        </w:rPr>
        <w:t>3、派驻现场的项目管理人员应与投标文件一致，工程施工期间承包人报名及投标书中明确的项目部主要成员，必须保证施工全过程在本项目工地工作，项目组的任何成员变动，均须得到发包人书面认可，同时须向发包人支付违约金（更换项目建造师3000元/次，更换其他管理人员2000元/次/人）。项目建造师及项目部组成人员必须坚守岗位，不得兼职本工程以外的工作，在本工程施工期内月出勤率必须达26天以上，每天不少于8小时，按照发包人要求每天不少于2次拍照考勤，离开施工现场必须向发包人请假。发包人将不定期进行考核检查，检查时，发现项目建造师不在现场发包人有权收取承包人500元/人·天的违约金，发现施工管理人不在现场发包人有权收取承包人300元/人·天的违约金。如缺勤次数过多，且施工质量、进度等不能满足要求，发包人有权将承包人清出施工现场，已完工程量不予结算，承包人常驻项目经理及项目部组成人员经发包人和监理方考核不合格者，承包方一周内必须无条件更换，同时须支付相应金额的违约金。</w:t>
      </w:r>
    </w:p>
    <w:p w14:paraId="729B74AB">
      <w:pPr>
        <w:adjustRightInd w:val="0"/>
        <w:snapToGrid w:val="0"/>
        <w:spacing w:line="460" w:lineRule="exact"/>
        <w:ind w:left="-2" w:leftChars="-1" w:firstLine="422" w:firstLineChars="200"/>
        <w:rPr>
          <w:rFonts w:cs="Courier New"/>
          <w:b/>
          <w:bCs/>
          <w:color w:val="auto"/>
          <w:szCs w:val="21"/>
          <w:highlight w:val="none"/>
          <w:u w:val="single"/>
          <w:lang w:bidi="ar-SA"/>
        </w:rPr>
      </w:pPr>
      <w:r>
        <w:rPr>
          <w:rFonts w:hint="eastAsia" w:cs="Courier New"/>
          <w:b/>
          <w:bCs/>
          <w:color w:val="auto"/>
          <w:szCs w:val="21"/>
          <w:highlight w:val="none"/>
          <w:u w:val="single"/>
          <w:lang w:bidi="ar-SA"/>
        </w:rPr>
        <w:t>4、考虑到本工程体量小，拟派的项目经理、安全员必须到位（更换项目建造师3000元/次，更换安全员2000元/次/人）。</w:t>
      </w:r>
    </w:p>
    <w:p w14:paraId="5F51E736">
      <w:pPr>
        <w:spacing w:line="460" w:lineRule="exact"/>
        <w:ind w:firstLine="420" w:firstLineChars="200"/>
        <w:rPr>
          <w:color w:val="auto"/>
          <w:szCs w:val="21"/>
          <w:highlight w:val="none"/>
        </w:rPr>
      </w:pPr>
      <w:r>
        <w:rPr>
          <w:color w:val="auto"/>
          <w:szCs w:val="21"/>
          <w:highlight w:val="none"/>
        </w:rPr>
        <w:t>16.2.2</w:t>
      </w:r>
      <w:r>
        <w:rPr>
          <w:rFonts w:hint="eastAsia"/>
          <w:color w:val="auto"/>
          <w:szCs w:val="21"/>
          <w:highlight w:val="none"/>
        </w:rPr>
        <w:t>承包人违约的责任</w:t>
      </w:r>
    </w:p>
    <w:p w14:paraId="7BCFFA84">
      <w:pPr>
        <w:spacing w:line="460" w:lineRule="exact"/>
        <w:ind w:left="2" w:firstLine="417" w:firstLineChars="199"/>
        <w:rPr>
          <w:color w:val="auto"/>
          <w:szCs w:val="21"/>
          <w:highlight w:val="none"/>
          <w:u w:val="single"/>
        </w:rPr>
      </w:pPr>
      <w:r>
        <w:rPr>
          <w:rFonts w:hint="eastAsia"/>
          <w:color w:val="auto"/>
          <w:szCs w:val="21"/>
          <w:highlight w:val="none"/>
        </w:rPr>
        <w:t>承包人违约责任的承担方式和计算方法：</w:t>
      </w:r>
      <w:r>
        <w:rPr>
          <w:color w:val="auto"/>
          <w:szCs w:val="21"/>
          <w:highlight w:val="none"/>
          <w:u w:val="single"/>
        </w:rPr>
        <w:t xml:space="preserve"> </w:t>
      </w:r>
      <w:r>
        <w:rPr>
          <w:rFonts w:hint="eastAsia"/>
          <w:b/>
          <w:color w:val="auto"/>
          <w:szCs w:val="21"/>
          <w:highlight w:val="none"/>
          <w:u w:val="single"/>
        </w:rPr>
        <w:t>由承包人承担全部费用并承担相关法律责任</w:t>
      </w:r>
      <w:r>
        <w:rPr>
          <w:color w:val="auto"/>
          <w:szCs w:val="21"/>
          <w:highlight w:val="none"/>
          <w:u w:val="single"/>
        </w:rPr>
        <w:t xml:space="preserve">  </w:t>
      </w:r>
      <w:r>
        <w:rPr>
          <w:rFonts w:hint="eastAsia"/>
          <w:color w:val="auto"/>
          <w:szCs w:val="21"/>
          <w:highlight w:val="none"/>
        </w:rPr>
        <w:t>。</w:t>
      </w:r>
      <w:r>
        <w:rPr>
          <w:color w:val="auto"/>
          <w:szCs w:val="21"/>
          <w:highlight w:val="none"/>
        </w:rPr>
        <w:t xml:space="preserve">    </w:t>
      </w:r>
    </w:p>
    <w:p w14:paraId="27612A8D">
      <w:pPr>
        <w:spacing w:line="460" w:lineRule="exact"/>
        <w:ind w:firstLine="420" w:firstLineChars="200"/>
        <w:rPr>
          <w:color w:val="auto"/>
          <w:szCs w:val="21"/>
          <w:highlight w:val="none"/>
        </w:rPr>
      </w:pPr>
      <w:r>
        <w:rPr>
          <w:color w:val="auto"/>
          <w:szCs w:val="21"/>
          <w:highlight w:val="none"/>
        </w:rPr>
        <w:t xml:space="preserve">16.2.3 </w:t>
      </w:r>
      <w:r>
        <w:rPr>
          <w:rFonts w:hint="eastAsia"/>
          <w:color w:val="auto"/>
          <w:szCs w:val="21"/>
          <w:highlight w:val="none"/>
        </w:rPr>
        <w:t>因承包人违约解除合同</w:t>
      </w:r>
    </w:p>
    <w:p w14:paraId="12E7BCDC">
      <w:pPr>
        <w:spacing w:line="460" w:lineRule="exact"/>
        <w:ind w:firstLine="420" w:firstLineChars="200"/>
        <w:rPr>
          <w:color w:val="auto"/>
          <w:szCs w:val="21"/>
          <w:highlight w:val="none"/>
        </w:rPr>
      </w:pPr>
      <w:r>
        <w:rPr>
          <w:rFonts w:hint="eastAsia"/>
          <w:color w:val="auto"/>
          <w:szCs w:val="21"/>
          <w:highlight w:val="none"/>
        </w:rPr>
        <w:t>关于承包人违约解除合同的特别约定：</w:t>
      </w:r>
      <w:r>
        <w:rPr>
          <w:color w:val="auto"/>
          <w:szCs w:val="21"/>
          <w:highlight w:val="none"/>
        </w:rPr>
        <w:t xml:space="preserve"> </w:t>
      </w:r>
      <w:r>
        <w:rPr>
          <w:b/>
          <w:color w:val="auto"/>
          <w:szCs w:val="21"/>
          <w:highlight w:val="none"/>
          <w:u w:val="single"/>
        </w:rPr>
        <w:t xml:space="preserve">  </w:t>
      </w:r>
      <w:r>
        <w:rPr>
          <w:rFonts w:hint="eastAsia"/>
          <w:b/>
          <w:color w:val="auto"/>
          <w:szCs w:val="21"/>
          <w:highlight w:val="none"/>
          <w:u w:val="single"/>
        </w:rPr>
        <w:t>按通用条款执行</w:t>
      </w:r>
      <w:r>
        <w:rPr>
          <w:b/>
          <w:color w:val="auto"/>
          <w:szCs w:val="21"/>
          <w:highlight w:val="none"/>
          <w:u w:val="single"/>
        </w:rPr>
        <w:t xml:space="preserve">      </w:t>
      </w:r>
      <w:r>
        <w:rPr>
          <w:color w:val="auto"/>
          <w:szCs w:val="21"/>
          <w:highlight w:val="none"/>
        </w:rPr>
        <w:t xml:space="preserve">     </w:t>
      </w:r>
      <w:r>
        <w:rPr>
          <w:rFonts w:hint="eastAsia"/>
          <w:color w:val="auto"/>
          <w:szCs w:val="21"/>
          <w:highlight w:val="none"/>
        </w:rPr>
        <w:t>。</w:t>
      </w:r>
    </w:p>
    <w:p w14:paraId="7762F96B">
      <w:pPr>
        <w:spacing w:line="460" w:lineRule="exact"/>
        <w:ind w:firstLine="420" w:firstLineChars="200"/>
        <w:rPr>
          <w:color w:val="auto"/>
          <w:szCs w:val="21"/>
          <w:highlight w:val="none"/>
        </w:rPr>
      </w:pPr>
      <w:r>
        <w:rPr>
          <w:rFonts w:hint="eastAsia"/>
          <w:color w:val="auto"/>
          <w:szCs w:val="21"/>
          <w:highlight w:val="none"/>
        </w:rPr>
        <w:t>发包人继续使用承包人在施工现场的材料、设备、临时工程、承包人文件和由承包人或以其名义编制的其他文件的费用承担方式</w:t>
      </w:r>
      <w:r>
        <w:rPr>
          <w:rFonts w:hint="eastAsia"/>
          <w:b/>
          <w:bCs/>
          <w:color w:val="auto"/>
          <w:szCs w:val="21"/>
          <w:highlight w:val="none"/>
          <w:u w:val="single"/>
        </w:rPr>
        <w:t>：</w:t>
      </w:r>
      <w:r>
        <w:rPr>
          <w:color w:val="auto"/>
          <w:szCs w:val="21"/>
          <w:highlight w:val="none"/>
          <w:u w:val="single"/>
        </w:rPr>
        <w:t xml:space="preserve">  </w:t>
      </w:r>
      <w:r>
        <w:rPr>
          <w:rFonts w:hint="eastAsia"/>
          <w:b/>
          <w:bCs/>
          <w:color w:val="auto"/>
          <w:szCs w:val="21"/>
          <w:highlight w:val="none"/>
          <w:u w:val="single"/>
        </w:rPr>
        <w:t>另行协商</w:t>
      </w:r>
      <w:r>
        <w:rPr>
          <w:color w:val="auto"/>
          <w:szCs w:val="21"/>
          <w:highlight w:val="none"/>
          <w:u w:val="single"/>
        </w:rPr>
        <w:t xml:space="preserve">     </w:t>
      </w:r>
      <w:r>
        <w:rPr>
          <w:rFonts w:hint="eastAsia"/>
          <w:color w:val="auto"/>
          <w:szCs w:val="21"/>
          <w:highlight w:val="none"/>
        </w:rPr>
        <w:t>。</w:t>
      </w:r>
    </w:p>
    <w:p w14:paraId="78874887">
      <w:pPr>
        <w:keepNext/>
        <w:keepLines/>
        <w:widowControl w:val="0"/>
        <w:adjustRightInd w:val="0"/>
        <w:spacing w:before="120" w:after="120" w:line="460" w:lineRule="exact"/>
        <w:textAlignment w:val="baseline"/>
        <w:outlineLvl w:val="3"/>
        <w:rPr>
          <w:b/>
          <w:color w:val="auto"/>
          <w:szCs w:val="21"/>
          <w:highlight w:val="none"/>
        </w:rPr>
      </w:pPr>
      <w:bookmarkStart w:id="550" w:name="_Toc351203649"/>
      <w:r>
        <w:rPr>
          <w:b/>
          <w:color w:val="auto"/>
          <w:szCs w:val="21"/>
          <w:highlight w:val="none"/>
        </w:rPr>
        <w:t xml:space="preserve">17. </w:t>
      </w:r>
      <w:r>
        <w:rPr>
          <w:rFonts w:hint="eastAsia"/>
          <w:b/>
          <w:color w:val="auto"/>
          <w:szCs w:val="21"/>
          <w:highlight w:val="none"/>
        </w:rPr>
        <w:t>不可抗力</w:t>
      </w:r>
      <w:bookmarkEnd w:id="550"/>
      <w:r>
        <w:rPr>
          <w:b/>
          <w:color w:val="auto"/>
          <w:szCs w:val="21"/>
          <w:highlight w:val="none"/>
        </w:rPr>
        <w:t xml:space="preserve"> </w:t>
      </w:r>
      <w:bookmarkEnd w:id="548"/>
    </w:p>
    <w:p w14:paraId="0856BF64">
      <w:pPr>
        <w:spacing w:after="120" w:line="460" w:lineRule="exact"/>
        <w:ind w:firstLine="420" w:firstLineChars="200"/>
        <w:rPr>
          <w:color w:val="auto"/>
          <w:szCs w:val="21"/>
          <w:highlight w:val="none"/>
        </w:rPr>
      </w:pPr>
      <w:r>
        <w:rPr>
          <w:color w:val="auto"/>
          <w:szCs w:val="21"/>
          <w:highlight w:val="none"/>
        </w:rPr>
        <w:t xml:space="preserve">17.1 </w:t>
      </w:r>
      <w:r>
        <w:rPr>
          <w:rFonts w:hint="eastAsia"/>
          <w:color w:val="auto"/>
          <w:szCs w:val="21"/>
          <w:highlight w:val="none"/>
        </w:rPr>
        <w:t>不可抗力的确认</w:t>
      </w:r>
    </w:p>
    <w:p w14:paraId="6B996479">
      <w:pPr>
        <w:spacing w:line="460" w:lineRule="exact"/>
        <w:ind w:firstLine="420" w:firstLineChars="200"/>
        <w:rPr>
          <w:color w:val="auto"/>
          <w:szCs w:val="21"/>
          <w:highlight w:val="none"/>
          <w:u w:val="single"/>
        </w:rPr>
      </w:pPr>
      <w:r>
        <w:rPr>
          <w:rFonts w:hint="eastAsia"/>
          <w:color w:val="auto"/>
          <w:szCs w:val="21"/>
          <w:highlight w:val="none"/>
        </w:rPr>
        <w:t>除通用合同条款约定的不可抗力事件之外，视为不可抗力的其他情形：</w:t>
      </w:r>
      <w:r>
        <w:rPr>
          <w:color w:val="auto"/>
          <w:szCs w:val="21"/>
          <w:highlight w:val="none"/>
        </w:rPr>
        <w:t xml:space="preserve"> </w:t>
      </w:r>
      <w:r>
        <w:rPr>
          <w:color w:val="auto"/>
          <w:szCs w:val="21"/>
          <w:highlight w:val="none"/>
          <w:u w:val="single"/>
        </w:rPr>
        <w:t xml:space="preserve">  </w:t>
      </w:r>
      <w:r>
        <w:rPr>
          <w:rFonts w:hint="eastAsia"/>
          <w:b/>
          <w:bCs/>
          <w:color w:val="auto"/>
          <w:szCs w:val="21"/>
          <w:highlight w:val="none"/>
          <w:u w:val="single"/>
        </w:rPr>
        <w:t>由市级以上有关部门正式发布和认定的自然灾害</w:t>
      </w:r>
      <w:r>
        <w:rPr>
          <w:rFonts w:hint="eastAsia"/>
          <w:color w:val="auto"/>
          <w:szCs w:val="21"/>
          <w:highlight w:val="none"/>
          <w:u w:val="single"/>
        </w:rPr>
        <w:t>。</w:t>
      </w:r>
      <w:r>
        <w:rPr>
          <w:color w:val="auto"/>
          <w:szCs w:val="21"/>
          <w:highlight w:val="none"/>
          <w:u w:val="single"/>
        </w:rPr>
        <w:t xml:space="preserve">  </w:t>
      </w:r>
    </w:p>
    <w:p w14:paraId="0CD6C1A5">
      <w:pPr>
        <w:spacing w:line="460" w:lineRule="exact"/>
        <w:ind w:firstLine="420" w:firstLineChars="200"/>
        <w:rPr>
          <w:color w:val="auto"/>
          <w:szCs w:val="21"/>
          <w:highlight w:val="none"/>
        </w:rPr>
      </w:pPr>
      <w:r>
        <w:rPr>
          <w:color w:val="auto"/>
          <w:szCs w:val="21"/>
          <w:highlight w:val="none"/>
        </w:rPr>
        <w:t xml:space="preserve">17.4 </w:t>
      </w:r>
      <w:r>
        <w:rPr>
          <w:rFonts w:hint="eastAsia"/>
          <w:color w:val="auto"/>
          <w:szCs w:val="21"/>
          <w:highlight w:val="none"/>
        </w:rPr>
        <w:t>因不可抗力解除合同</w:t>
      </w:r>
    </w:p>
    <w:p w14:paraId="31E49AA7">
      <w:pPr>
        <w:spacing w:line="460" w:lineRule="exact"/>
        <w:ind w:firstLine="420" w:firstLineChars="200"/>
        <w:rPr>
          <w:color w:val="auto"/>
          <w:szCs w:val="21"/>
          <w:highlight w:val="none"/>
        </w:rPr>
      </w:pPr>
      <w:r>
        <w:rPr>
          <w:rFonts w:hint="eastAsia"/>
          <w:color w:val="auto"/>
          <w:szCs w:val="21"/>
          <w:highlight w:val="none"/>
        </w:rPr>
        <w:t>合同解除后，发包人应在商定或确定发包人应支付款项后</w:t>
      </w:r>
      <w:r>
        <w:rPr>
          <w:color w:val="auto"/>
          <w:szCs w:val="21"/>
          <w:highlight w:val="none"/>
          <w:u w:val="single"/>
        </w:rPr>
        <w:t xml:space="preserve"> </w:t>
      </w:r>
      <w:r>
        <w:rPr>
          <w:rFonts w:hint="eastAsia"/>
          <w:color w:val="auto"/>
          <w:szCs w:val="21"/>
          <w:highlight w:val="none"/>
          <w:u w:val="single"/>
        </w:rPr>
        <w:t>60</w:t>
      </w:r>
      <w:r>
        <w:rPr>
          <w:color w:val="auto"/>
          <w:szCs w:val="21"/>
          <w:highlight w:val="none"/>
          <w:u w:val="single"/>
        </w:rPr>
        <w:t xml:space="preserve">   </w:t>
      </w:r>
      <w:r>
        <w:rPr>
          <w:rFonts w:hint="eastAsia"/>
          <w:color w:val="auto"/>
          <w:szCs w:val="21"/>
          <w:highlight w:val="none"/>
        </w:rPr>
        <w:t>天内完成款项的支付。</w:t>
      </w:r>
    </w:p>
    <w:p w14:paraId="28591FC8">
      <w:pPr>
        <w:keepNext/>
        <w:keepLines/>
        <w:widowControl w:val="0"/>
        <w:adjustRightInd w:val="0"/>
        <w:spacing w:before="120" w:after="120" w:line="460" w:lineRule="exact"/>
        <w:textAlignment w:val="baseline"/>
        <w:outlineLvl w:val="3"/>
        <w:rPr>
          <w:b/>
          <w:color w:val="auto"/>
          <w:szCs w:val="21"/>
          <w:highlight w:val="none"/>
        </w:rPr>
      </w:pPr>
      <w:bookmarkStart w:id="551" w:name="_Toc351203650"/>
      <w:r>
        <w:rPr>
          <w:b/>
          <w:color w:val="auto"/>
          <w:szCs w:val="21"/>
          <w:highlight w:val="none"/>
        </w:rPr>
        <w:t xml:space="preserve">18. </w:t>
      </w:r>
      <w:r>
        <w:rPr>
          <w:rFonts w:hint="eastAsia"/>
          <w:b/>
          <w:color w:val="auto"/>
          <w:szCs w:val="21"/>
          <w:highlight w:val="none"/>
        </w:rPr>
        <w:t>保险</w:t>
      </w:r>
      <w:bookmarkEnd w:id="551"/>
    </w:p>
    <w:bookmarkEnd w:id="549"/>
    <w:p w14:paraId="74FCB37C">
      <w:pPr>
        <w:spacing w:line="460" w:lineRule="exact"/>
        <w:ind w:firstLine="420" w:firstLineChars="200"/>
        <w:rPr>
          <w:color w:val="auto"/>
          <w:szCs w:val="21"/>
          <w:highlight w:val="none"/>
        </w:rPr>
      </w:pPr>
      <w:r>
        <w:rPr>
          <w:color w:val="auto"/>
          <w:szCs w:val="21"/>
          <w:highlight w:val="none"/>
        </w:rPr>
        <w:t xml:space="preserve">18.1 </w:t>
      </w:r>
      <w:r>
        <w:rPr>
          <w:rFonts w:hint="eastAsia"/>
          <w:color w:val="auto"/>
          <w:szCs w:val="21"/>
          <w:highlight w:val="none"/>
        </w:rPr>
        <w:t>工程保险</w:t>
      </w:r>
    </w:p>
    <w:p w14:paraId="5B065A97">
      <w:pPr>
        <w:spacing w:line="460" w:lineRule="exact"/>
        <w:ind w:firstLine="420" w:firstLineChars="200"/>
        <w:rPr>
          <w:color w:val="auto"/>
          <w:szCs w:val="21"/>
          <w:highlight w:val="none"/>
        </w:rPr>
      </w:pPr>
      <w:r>
        <w:rPr>
          <w:rFonts w:hint="eastAsia"/>
          <w:color w:val="auto"/>
          <w:szCs w:val="21"/>
          <w:highlight w:val="none"/>
        </w:rPr>
        <w:t>关于工程保险的特别约定：</w:t>
      </w:r>
    </w:p>
    <w:p w14:paraId="77009926">
      <w:pPr>
        <w:tabs>
          <w:tab w:val="left" w:pos="835"/>
          <w:tab w:val="left" w:pos="5430"/>
        </w:tabs>
        <w:autoSpaceDE w:val="0"/>
        <w:autoSpaceDN w:val="0"/>
        <w:adjustRightInd w:val="0"/>
        <w:spacing w:line="460" w:lineRule="exact"/>
        <w:ind w:firstLine="422" w:firstLineChars="200"/>
        <w:rPr>
          <w:color w:val="auto"/>
          <w:szCs w:val="21"/>
          <w:highlight w:val="none"/>
        </w:rPr>
      </w:pPr>
      <w:r>
        <w:rPr>
          <w:rFonts w:hint="eastAsia"/>
          <w:b/>
          <w:bCs/>
          <w:color w:val="auto"/>
          <w:szCs w:val="21"/>
          <w:highlight w:val="none"/>
          <w:u w:val="single"/>
        </w:rPr>
        <w:t>承包人投保内容： 从事危险作业职工的意外伤害险、施工场地内自有人员的生命财产险、施工机械设备的财产险、第三人人员的生命财产险、运至施工场地内用于工程的材料和待安装设备的财产险。</w:t>
      </w:r>
    </w:p>
    <w:p w14:paraId="3358F83A">
      <w:pPr>
        <w:spacing w:line="460" w:lineRule="exact"/>
        <w:ind w:firstLine="420" w:firstLineChars="200"/>
        <w:rPr>
          <w:color w:val="auto"/>
          <w:szCs w:val="21"/>
          <w:highlight w:val="none"/>
        </w:rPr>
      </w:pPr>
      <w:r>
        <w:rPr>
          <w:color w:val="auto"/>
          <w:szCs w:val="21"/>
          <w:highlight w:val="none"/>
        </w:rPr>
        <w:t xml:space="preserve">18.3 </w:t>
      </w:r>
      <w:r>
        <w:rPr>
          <w:rFonts w:hint="eastAsia"/>
          <w:color w:val="auto"/>
          <w:szCs w:val="21"/>
          <w:highlight w:val="none"/>
        </w:rPr>
        <w:t>其他保险</w:t>
      </w:r>
    </w:p>
    <w:p w14:paraId="192EA02B">
      <w:pPr>
        <w:spacing w:line="460" w:lineRule="exact"/>
        <w:ind w:firstLine="420" w:firstLineChars="200"/>
        <w:rPr>
          <w:color w:val="auto"/>
          <w:szCs w:val="21"/>
          <w:highlight w:val="none"/>
        </w:rPr>
      </w:pPr>
      <w:r>
        <w:rPr>
          <w:rFonts w:hint="eastAsia"/>
          <w:color w:val="auto"/>
          <w:szCs w:val="21"/>
          <w:highlight w:val="none"/>
        </w:rPr>
        <w:t>关于其他保险的约定：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3765C6D5">
      <w:pPr>
        <w:spacing w:line="460" w:lineRule="exact"/>
        <w:ind w:firstLine="420" w:firstLineChars="200"/>
        <w:rPr>
          <w:color w:val="auto"/>
          <w:szCs w:val="21"/>
          <w:highlight w:val="none"/>
        </w:rPr>
      </w:pPr>
      <w:r>
        <w:rPr>
          <w:rFonts w:hint="eastAsia"/>
          <w:color w:val="auto"/>
          <w:szCs w:val="21"/>
          <w:highlight w:val="none"/>
        </w:rPr>
        <w:t>承包人是否应为其施工设备等办理财产保险：</w:t>
      </w:r>
      <w:r>
        <w:rPr>
          <w:rFonts w:hint="eastAsia"/>
          <w:b/>
          <w:bCs/>
          <w:color w:val="auto"/>
          <w:szCs w:val="21"/>
          <w:highlight w:val="none"/>
          <w:u w:val="single"/>
        </w:rPr>
        <w:t>是</w:t>
      </w:r>
      <w:r>
        <w:rPr>
          <w:color w:val="auto"/>
          <w:szCs w:val="21"/>
          <w:highlight w:val="none"/>
          <w:u w:val="single"/>
        </w:rPr>
        <w:t xml:space="preserve">  </w:t>
      </w:r>
      <w:r>
        <w:rPr>
          <w:rFonts w:hint="eastAsia"/>
          <w:color w:val="auto"/>
          <w:szCs w:val="21"/>
          <w:highlight w:val="none"/>
        </w:rPr>
        <w:t>。</w:t>
      </w:r>
    </w:p>
    <w:p w14:paraId="2896DB69">
      <w:pPr>
        <w:spacing w:line="460" w:lineRule="exact"/>
        <w:ind w:firstLine="420" w:firstLineChars="200"/>
        <w:rPr>
          <w:color w:val="auto"/>
          <w:szCs w:val="21"/>
          <w:highlight w:val="none"/>
        </w:rPr>
      </w:pPr>
      <w:r>
        <w:rPr>
          <w:color w:val="auto"/>
          <w:szCs w:val="21"/>
          <w:highlight w:val="none"/>
        </w:rPr>
        <w:t xml:space="preserve">18.7 </w:t>
      </w:r>
      <w:r>
        <w:rPr>
          <w:rFonts w:hint="eastAsia"/>
          <w:color w:val="auto"/>
          <w:szCs w:val="21"/>
          <w:highlight w:val="none"/>
        </w:rPr>
        <w:t>通知义务</w:t>
      </w:r>
    </w:p>
    <w:p w14:paraId="3F06C083">
      <w:pPr>
        <w:spacing w:line="460" w:lineRule="exact"/>
        <w:ind w:firstLine="420" w:firstLineChars="200"/>
        <w:rPr>
          <w:color w:val="auto"/>
          <w:szCs w:val="21"/>
          <w:highlight w:val="none"/>
        </w:rPr>
      </w:pPr>
      <w:r>
        <w:rPr>
          <w:rFonts w:hint="eastAsia"/>
          <w:color w:val="auto"/>
          <w:szCs w:val="21"/>
          <w:highlight w:val="none"/>
        </w:rPr>
        <w:t>关于变更保险合同时的通知义务的约定：</w:t>
      </w:r>
      <w:r>
        <w:rPr>
          <w:color w:val="auto"/>
          <w:szCs w:val="21"/>
          <w:highlight w:val="none"/>
          <w:u w:val="single"/>
        </w:rPr>
        <w:t xml:space="preserve">      </w:t>
      </w:r>
      <w:r>
        <w:rPr>
          <w:rFonts w:hint="eastAsia"/>
          <w:b/>
          <w:bCs/>
          <w:color w:val="auto"/>
          <w:szCs w:val="21"/>
          <w:highlight w:val="none"/>
          <w:u w:val="single"/>
        </w:rPr>
        <w:t>按通用条款执行</w:t>
      </w:r>
      <w:r>
        <w:rPr>
          <w:b/>
          <w:bCs/>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bookmarkEnd w:id="525"/>
    <w:bookmarkEnd w:id="526"/>
    <w:bookmarkEnd w:id="527"/>
    <w:bookmarkEnd w:id="528"/>
    <w:bookmarkEnd w:id="529"/>
    <w:bookmarkEnd w:id="530"/>
    <w:bookmarkEnd w:id="531"/>
    <w:bookmarkEnd w:id="532"/>
    <w:bookmarkEnd w:id="533"/>
    <w:bookmarkEnd w:id="534"/>
    <w:bookmarkEnd w:id="535"/>
    <w:bookmarkEnd w:id="536"/>
    <w:p w14:paraId="6A626F02">
      <w:pPr>
        <w:keepNext/>
        <w:keepLines/>
        <w:widowControl w:val="0"/>
        <w:adjustRightInd w:val="0"/>
        <w:spacing w:before="120" w:after="120" w:line="460" w:lineRule="exact"/>
        <w:textAlignment w:val="baseline"/>
        <w:outlineLvl w:val="3"/>
        <w:rPr>
          <w:b/>
          <w:color w:val="auto"/>
          <w:szCs w:val="21"/>
          <w:highlight w:val="none"/>
        </w:rPr>
      </w:pPr>
      <w:bookmarkStart w:id="552" w:name="_Toc351203651"/>
      <w:r>
        <w:rPr>
          <w:b/>
          <w:color w:val="auto"/>
          <w:szCs w:val="21"/>
          <w:highlight w:val="none"/>
        </w:rPr>
        <w:t xml:space="preserve">20. </w:t>
      </w:r>
      <w:r>
        <w:rPr>
          <w:rFonts w:hint="eastAsia"/>
          <w:b/>
          <w:color w:val="auto"/>
          <w:szCs w:val="21"/>
          <w:highlight w:val="none"/>
        </w:rPr>
        <w:t>争议解决</w:t>
      </w:r>
      <w:bookmarkEnd w:id="552"/>
    </w:p>
    <w:bookmarkEnd w:id="537"/>
    <w:bookmarkEnd w:id="538"/>
    <w:p w14:paraId="6B90691A">
      <w:pPr>
        <w:spacing w:line="460" w:lineRule="exact"/>
        <w:ind w:firstLine="420" w:firstLineChars="200"/>
        <w:rPr>
          <w:color w:val="auto"/>
          <w:szCs w:val="21"/>
          <w:highlight w:val="none"/>
        </w:rPr>
      </w:pPr>
      <w:r>
        <w:rPr>
          <w:color w:val="auto"/>
          <w:szCs w:val="21"/>
          <w:highlight w:val="none"/>
        </w:rPr>
        <w:t xml:space="preserve">20.3 </w:t>
      </w:r>
      <w:r>
        <w:rPr>
          <w:rFonts w:hint="eastAsia"/>
          <w:color w:val="auto"/>
          <w:szCs w:val="21"/>
          <w:highlight w:val="none"/>
        </w:rPr>
        <w:t>争</w:t>
      </w:r>
      <w:bookmarkEnd w:id="539"/>
      <w:r>
        <w:rPr>
          <w:rFonts w:hint="eastAsia"/>
          <w:color w:val="auto"/>
          <w:szCs w:val="21"/>
          <w:highlight w:val="none"/>
        </w:rPr>
        <w:t>议评审</w:t>
      </w:r>
    </w:p>
    <w:p w14:paraId="2475F76E">
      <w:pPr>
        <w:spacing w:line="460" w:lineRule="exact"/>
        <w:ind w:firstLine="420" w:firstLineChars="200"/>
        <w:rPr>
          <w:color w:val="auto"/>
          <w:szCs w:val="21"/>
          <w:highlight w:val="none"/>
        </w:rPr>
      </w:pPr>
      <w:r>
        <w:rPr>
          <w:rFonts w:hint="eastAsia"/>
          <w:color w:val="auto"/>
          <w:szCs w:val="21"/>
          <w:highlight w:val="none"/>
        </w:rPr>
        <w:t>合同当事人是否同意将工程争议提交争议评审小组决定：</w:t>
      </w:r>
      <w:r>
        <w:rPr>
          <w:rFonts w:hint="eastAsia"/>
          <w:color w:val="auto"/>
          <w:szCs w:val="21"/>
          <w:highlight w:val="none"/>
          <w:u w:val="single"/>
        </w:rPr>
        <w:t>同意</w:t>
      </w:r>
      <w:r>
        <w:rPr>
          <w:color w:val="auto"/>
          <w:szCs w:val="21"/>
          <w:highlight w:val="none"/>
          <w:u w:val="single"/>
        </w:rPr>
        <w:t xml:space="preserve"> </w:t>
      </w:r>
      <w:r>
        <w:rPr>
          <w:rFonts w:hint="eastAsia"/>
          <w:color w:val="auto"/>
          <w:szCs w:val="21"/>
          <w:highlight w:val="none"/>
        </w:rPr>
        <w:t>。</w:t>
      </w:r>
      <w:r>
        <w:rPr>
          <w:color w:val="auto"/>
          <w:szCs w:val="21"/>
          <w:highlight w:val="none"/>
        </w:rPr>
        <w:t xml:space="preserve">  </w:t>
      </w:r>
    </w:p>
    <w:p w14:paraId="7E0B2478">
      <w:pPr>
        <w:spacing w:line="460" w:lineRule="exact"/>
        <w:ind w:firstLine="420" w:firstLineChars="200"/>
        <w:rPr>
          <w:color w:val="auto"/>
          <w:szCs w:val="21"/>
          <w:highlight w:val="none"/>
        </w:rPr>
      </w:pPr>
      <w:r>
        <w:rPr>
          <w:color w:val="auto"/>
          <w:szCs w:val="21"/>
          <w:highlight w:val="none"/>
        </w:rPr>
        <w:t xml:space="preserve">20.3.1 </w:t>
      </w:r>
      <w:r>
        <w:rPr>
          <w:rFonts w:hint="eastAsia"/>
          <w:color w:val="auto"/>
          <w:szCs w:val="21"/>
          <w:highlight w:val="none"/>
        </w:rPr>
        <w:t>争议评审小组的确定</w:t>
      </w:r>
    </w:p>
    <w:p w14:paraId="2EC7DD19">
      <w:pPr>
        <w:spacing w:line="460" w:lineRule="exact"/>
        <w:ind w:firstLine="420" w:firstLineChars="200"/>
        <w:rPr>
          <w:color w:val="auto"/>
          <w:szCs w:val="21"/>
          <w:highlight w:val="none"/>
          <w:u w:val="single"/>
        </w:rPr>
      </w:pPr>
      <w:r>
        <w:rPr>
          <w:rFonts w:hint="eastAsia"/>
          <w:color w:val="auto"/>
          <w:szCs w:val="21"/>
          <w:highlight w:val="none"/>
        </w:rPr>
        <w:t>争议评审小组成员的确定：</w:t>
      </w:r>
      <w:r>
        <w:rPr>
          <w:color w:val="auto"/>
          <w:szCs w:val="21"/>
          <w:highlight w:val="none"/>
          <w:u w:val="single"/>
        </w:rPr>
        <w:t xml:space="preserve">    </w:t>
      </w:r>
      <w:r>
        <w:rPr>
          <w:rFonts w:hint="eastAsia"/>
          <w:b/>
          <w:bCs/>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p w14:paraId="08F8DBDC">
      <w:pPr>
        <w:spacing w:line="460" w:lineRule="exact"/>
        <w:ind w:firstLine="420" w:firstLineChars="200"/>
        <w:rPr>
          <w:color w:val="auto"/>
          <w:szCs w:val="21"/>
          <w:highlight w:val="none"/>
        </w:rPr>
      </w:pPr>
      <w:r>
        <w:rPr>
          <w:rFonts w:hint="eastAsia"/>
          <w:color w:val="auto"/>
          <w:szCs w:val="21"/>
          <w:highlight w:val="none"/>
        </w:rPr>
        <w:t>选定争议评审员的期限：</w:t>
      </w:r>
      <w:r>
        <w:rPr>
          <w:color w:val="auto"/>
          <w:szCs w:val="21"/>
          <w:highlight w:val="none"/>
          <w:u w:val="single"/>
        </w:rPr>
        <w:t xml:space="preserve">    </w:t>
      </w:r>
      <w:r>
        <w:rPr>
          <w:rFonts w:hint="eastAsia"/>
          <w:b/>
          <w:bCs/>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p w14:paraId="2F5EEA6B">
      <w:pPr>
        <w:spacing w:line="460" w:lineRule="exact"/>
        <w:ind w:firstLine="420" w:firstLineChars="200"/>
        <w:rPr>
          <w:color w:val="auto"/>
          <w:szCs w:val="21"/>
          <w:highlight w:val="none"/>
        </w:rPr>
      </w:pPr>
      <w:r>
        <w:rPr>
          <w:rFonts w:hint="eastAsia"/>
          <w:color w:val="auto"/>
          <w:szCs w:val="21"/>
          <w:highlight w:val="none"/>
        </w:rPr>
        <w:t>争议评审小组成员的报酬承担方式：</w:t>
      </w:r>
      <w:r>
        <w:rPr>
          <w:rFonts w:hint="eastAsia"/>
          <w:b/>
          <w:bCs/>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p w14:paraId="1B596C6D">
      <w:pPr>
        <w:spacing w:line="460" w:lineRule="exact"/>
        <w:ind w:firstLine="420" w:firstLineChars="200"/>
        <w:rPr>
          <w:color w:val="auto"/>
          <w:szCs w:val="21"/>
          <w:highlight w:val="none"/>
        </w:rPr>
      </w:pPr>
      <w:r>
        <w:rPr>
          <w:rFonts w:hint="eastAsia"/>
          <w:color w:val="auto"/>
          <w:szCs w:val="21"/>
          <w:highlight w:val="none"/>
        </w:rPr>
        <w:t>其他事项的约定：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5B088842">
      <w:pPr>
        <w:autoSpaceDE w:val="0"/>
        <w:autoSpaceDN w:val="0"/>
        <w:adjustRightInd w:val="0"/>
        <w:spacing w:line="460" w:lineRule="exact"/>
        <w:ind w:firstLine="420" w:firstLineChars="200"/>
        <w:rPr>
          <w:color w:val="auto"/>
          <w:szCs w:val="21"/>
          <w:highlight w:val="none"/>
        </w:rPr>
      </w:pPr>
      <w:r>
        <w:rPr>
          <w:color w:val="auto"/>
          <w:szCs w:val="21"/>
          <w:highlight w:val="none"/>
        </w:rPr>
        <w:t xml:space="preserve">20.3.2 </w:t>
      </w:r>
      <w:r>
        <w:rPr>
          <w:rFonts w:hint="eastAsia"/>
          <w:color w:val="auto"/>
          <w:szCs w:val="21"/>
          <w:highlight w:val="none"/>
        </w:rPr>
        <w:t>争议评审小组的决定</w:t>
      </w:r>
    </w:p>
    <w:p w14:paraId="07AB02BB">
      <w:pPr>
        <w:spacing w:line="460" w:lineRule="exact"/>
        <w:ind w:firstLine="420" w:firstLineChars="200"/>
        <w:rPr>
          <w:color w:val="auto"/>
          <w:szCs w:val="21"/>
          <w:highlight w:val="none"/>
        </w:rPr>
      </w:pPr>
      <w:r>
        <w:rPr>
          <w:rFonts w:hint="eastAsia"/>
          <w:color w:val="auto"/>
          <w:szCs w:val="21"/>
          <w:highlight w:val="none"/>
        </w:rPr>
        <w:t>合同当事人关于本项的约定：</w:t>
      </w:r>
      <w:r>
        <w:rPr>
          <w:color w:val="auto"/>
          <w:szCs w:val="21"/>
          <w:highlight w:val="none"/>
          <w:u w:val="single"/>
        </w:rPr>
        <w:t xml:space="preserve">  </w:t>
      </w:r>
      <w:r>
        <w:rPr>
          <w:rFonts w:hint="eastAsia"/>
          <w:b/>
          <w:bCs/>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p w14:paraId="581B8E76">
      <w:pPr>
        <w:spacing w:line="460" w:lineRule="exact"/>
        <w:ind w:firstLine="420" w:firstLineChars="200"/>
        <w:rPr>
          <w:color w:val="auto"/>
          <w:szCs w:val="21"/>
          <w:highlight w:val="none"/>
        </w:rPr>
      </w:pPr>
      <w:r>
        <w:rPr>
          <w:color w:val="auto"/>
          <w:szCs w:val="21"/>
          <w:highlight w:val="none"/>
        </w:rPr>
        <w:t>20.4</w:t>
      </w:r>
      <w:r>
        <w:rPr>
          <w:rFonts w:hint="eastAsia"/>
          <w:color w:val="auto"/>
          <w:szCs w:val="21"/>
          <w:highlight w:val="none"/>
        </w:rPr>
        <w:t>仲裁或诉讼</w:t>
      </w:r>
      <w:bookmarkEnd w:id="540"/>
    </w:p>
    <w:p w14:paraId="5E9548D4">
      <w:pPr>
        <w:spacing w:line="460" w:lineRule="exact"/>
        <w:ind w:firstLine="420" w:firstLineChars="200"/>
        <w:rPr>
          <w:color w:val="auto"/>
          <w:szCs w:val="21"/>
          <w:highlight w:val="none"/>
        </w:rPr>
      </w:pPr>
      <w:r>
        <w:rPr>
          <w:rFonts w:hint="eastAsia"/>
          <w:color w:val="auto"/>
          <w:szCs w:val="21"/>
          <w:highlight w:val="none"/>
        </w:rPr>
        <w:t>因合同及合同有关事项发生的争议，按下列第</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2</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种方式解决：</w:t>
      </w:r>
    </w:p>
    <w:p w14:paraId="19ED30A7">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1</w:t>
      </w:r>
      <w:r>
        <w:rPr>
          <w:rFonts w:hint="eastAsia"/>
          <w:color w:val="auto"/>
          <w:szCs w:val="21"/>
          <w:highlight w:val="none"/>
        </w:rPr>
        <w:t>）向</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仲裁委员会申请仲裁；</w:t>
      </w:r>
    </w:p>
    <w:p w14:paraId="08578FA4">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）向</w:t>
      </w:r>
      <w:r>
        <w:rPr>
          <w:color w:val="auto"/>
          <w:szCs w:val="21"/>
          <w:highlight w:val="none"/>
          <w:u w:val="single"/>
        </w:rPr>
        <w:t xml:space="preserve">  </w:t>
      </w:r>
      <w:r>
        <w:rPr>
          <w:rFonts w:hint="eastAsia"/>
          <w:b/>
          <w:bCs/>
          <w:color w:val="auto"/>
          <w:szCs w:val="21"/>
          <w:highlight w:val="none"/>
          <w:u w:val="single"/>
        </w:rPr>
        <w:t>工程所在地</w:t>
      </w:r>
      <w:r>
        <w:rPr>
          <w:color w:val="auto"/>
          <w:szCs w:val="21"/>
          <w:highlight w:val="none"/>
          <w:u w:val="single"/>
        </w:rPr>
        <w:t xml:space="preserve">      </w:t>
      </w:r>
      <w:r>
        <w:rPr>
          <w:rFonts w:hint="eastAsia"/>
          <w:color w:val="auto"/>
          <w:szCs w:val="21"/>
          <w:highlight w:val="none"/>
        </w:rPr>
        <w:t>人民法院起诉。</w:t>
      </w:r>
      <w:bookmarkEnd w:id="541"/>
      <w:bookmarkEnd w:id="542"/>
      <w:bookmarkEnd w:id="543"/>
      <w:bookmarkEnd w:id="544"/>
      <w:bookmarkEnd w:id="545"/>
      <w:bookmarkEnd w:id="546"/>
    </w:p>
    <w:p w14:paraId="0DB88436">
      <w:pPr>
        <w:spacing w:line="460" w:lineRule="exact"/>
        <w:ind w:firstLine="420" w:firstLineChars="200"/>
        <w:rPr>
          <w:color w:val="auto"/>
          <w:szCs w:val="21"/>
          <w:highlight w:val="none"/>
        </w:rPr>
      </w:pPr>
      <w:r>
        <w:rPr>
          <w:color w:val="auto"/>
          <w:szCs w:val="21"/>
          <w:highlight w:val="none"/>
        </w:rPr>
        <w:t>20.</w:t>
      </w:r>
      <w:r>
        <w:rPr>
          <w:rFonts w:hint="eastAsia"/>
          <w:color w:val="auto"/>
          <w:szCs w:val="21"/>
          <w:highlight w:val="none"/>
        </w:rPr>
        <w:t>5补充条款</w:t>
      </w:r>
    </w:p>
    <w:p w14:paraId="397B133A">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1.文明施工措施费，结算时按南通市造价管理处核定为准。</w:t>
      </w:r>
    </w:p>
    <w:p w14:paraId="0653FAB8">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2.施工过程中的排污、环保、市容、城建城管、消防、治安、人口管理等办理相关手续以及对</w:t>
      </w:r>
      <w:r>
        <w:rPr>
          <w:rFonts w:hint="eastAsia"/>
          <w:b/>
          <w:color w:val="auto"/>
          <w:szCs w:val="21"/>
          <w:highlight w:val="none"/>
          <w:u w:val="single"/>
          <w:lang w:eastAsia="zh-CN"/>
        </w:rPr>
        <w:t>邻近</w:t>
      </w:r>
      <w:r>
        <w:rPr>
          <w:rFonts w:hint="eastAsia"/>
          <w:b/>
          <w:color w:val="auto"/>
          <w:szCs w:val="21"/>
          <w:highlight w:val="none"/>
          <w:u w:val="single"/>
        </w:rPr>
        <w:t>居民、行人的影响等，由承包人负责协调处理，并承担相关的费用。</w:t>
      </w:r>
    </w:p>
    <w:p w14:paraId="43D9B6AD">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3.施工过程中，因承包人施工原因，而造成煤气、自来水管道、雨污分流管等受到破坏的，除承包商须按规定修复外，发包人可对承包人处以500元/次处罚。如承包人发生上述情况而拒交罚金的，发包人有权从工程款中或履约担保金中双倍扣除。</w:t>
      </w:r>
    </w:p>
    <w:p w14:paraId="5881B873">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4.本工程的施工须严格按国家规范要求，承包人必须严格按照发包人要求的日期进场施工。由于承包人原因引起的工程投资增加由承包人负责，由于供货等承包人原因影响工期进度安排的，所产生的一切后果由承包人承担。施工过程中因违反国家有关规定而发生的罚款等费用由责任人自负。</w:t>
      </w:r>
    </w:p>
    <w:p w14:paraId="1A55FA3E">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5.本工程拆除后运出的建筑垃圾等必须运出崇川区范围之外，否则发现一车，招标人将向承包人收取</w:t>
      </w:r>
      <w:r>
        <w:rPr>
          <w:rFonts w:hint="eastAsia"/>
          <w:b/>
          <w:color w:val="auto"/>
          <w:szCs w:val="21"/>
          <w:highlight w:val="none"/>
          <w:u w:val="single"/>
          <w:lang w:eastAsia="zh-CN"/>
        </w:rPr>
        <w:t>1万-10万</w:t>
      </w:r>
      <w:r>
        <w:rPr>
          <w:rFonts w:hint="eastAsia"/>
          <w:b/>
          <w:color w:val="auto"/>
          <w:szCs w:val="21"/>
          <w:highlight w:val="none"/>
          <w:u w:val="single"/>
        </w:rPr>
        <w:t>元/车的违约金，并有权要求其重新清运出崇川区。清运前承包人必须向发包人指明堆放地点</w:t>
      </w:r>
      <w:r>
        <w:rPr>
          <w:rFonts w:hint="eastAsia"/>
          <w:b/>
          <w:color w:val="auto"/>
          <w:szCs w:val="21"/>
          <w:highlight w:val="none"/>
          <w:u w:val="single"/>
          <w:lang w:eastAsia="zh-CN"/>
        </w:rPr>
        <w:t>（</w:t>
      </w:r>
      <w:r>
        <w:rPr>
          <w:rFonts w:hint="eastAsia"/>
          <w:b/>
          <w:color w:val="auto"/>
          <w:szCs w:val="21"/>
          <w:highlight w:val="none"/>
          <w:u w:val="single"/>
        </w:rPr>
        <w:t>该地点必须符合南通市崇川区建筑垃圾(渣土)管理中心要求</w:t>
      </w:r>
      <w:r>
        <w:rPr>
          <w:rFonts w:hint="eastAsia"/>
          <w:b/>
          <w:color w:val="auto"/>
          <w:szCs w:val="21"/>
          <w:highlight w:val="none"/>
          <w:u w:val="single"/>
          <w:lang w:eastAsia="zh-CN"/>
        </w:rPr>
        <w:t>）</w:t>
      </w:r>
      <w:r>
        <w:rPr>
          <w:rFonts w:hint="eastAsia"/>
          <w:b/>
          <w:color w:val="auto"/>
          <w:szCs w:val="21"/>
          <w:highlight w:val="none"/>
          <w:u w:val="single"/>
        </w:rPr>
        <w:t>，南通市崇川区建筑垃圾</w:t>
      </w:r>
      <w:r>
        <w:rPr>
          <w:rFonts w:hint="eastAsia"/>
          <w:b/>
          <w:color w:val="auto"/>
          <w:szCs w:val="21"/>
          <w:highlight w:val="none"/>
          <w:u w:val="single"/>
          <w:lang w:eastAsia="zh-CN"/>
        </w:rPr>
        <w:t>（</w:t>
      </w:r>
      <w:r>
        <w:rPr>
          <w:rFonts w:hint="eastAsia"/>
          <w:b/>
          <w:color w:val="auto"/>
          <w:szCs w:val="21"/>
          <w:highlight w:val="none"/>
          <w:u w:val="single"/>
        </w:rPr>
        <w:t>渣土</w:t>
      </w:r>
      <w:r>
        <w:rPr>
          <w:rFonts w:hint="eastAsia"/>
          <w:b/>
          <w:color w:val="auto"/>
          <w:szCs w:val="21"/>
          <w:highlight w:val="none"/>
          <w:u w:val="single"/>
          <w:lang w:eastAsia="zh-CN"/>
        </w:rPr>
        <w:t>）</w:t>
      </w:r>
      <w:r>
        <w:rPr>
          <w:rFonts w:hint="eastAsia"/>
          <w:b/>
          <w:color w:val="auto"/>
          <w:szCs w:val="21"/>
          <w:highlight w:val="none"/>
          <w:u w:val="single"/>
        </w:rPr>
        <w:t>管理中心收取的建筑垃圾处置费由投标人考虑在报价中。</w:t>
      </w:r>
    </w:p>
    <w:p w14:paraId="535673E4">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6.承包人按图施工，如需变动，承包人需书面提出经发包人签字确认之后，方可改动；如发现承包人未经发包人同意私自更改材料或设备的，承包人应无条件及时更换，若因此影响工程进度，工期不予顺延，给发包人造成损失的，承包人应足额赔偿，同时质量保证金不予退还。</w:t>
      </w:r>
    </w:p>
    <w:p w14:paraId="01277F12">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7.施工单位工程竣工后清理现场，做到工完料清，否则发生相关费用则由发包人在工程结算价款中扣除。</w:t>
      </w:r>
    </w:p>
    <w:p w14:paraId="1243A96D">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8.如果工程中标后，因承包人自身的原因，未能兑现其投标时承诺条件或工程质量较差，或其工期进度严重脱节，经发包人同意后有权终止合同，并且已完成的有效工程量只按60%计算结算或者由发包人安排其他施工单位进行施工，所发生费用直接按实际费用的2倍或以上金额从承包人合同价款中扣除，同时发包人视情节严重有权扣除部分或全部工期保证金。</w:t>
      </w:r>
    </w:p>
    <w:p w14:paraId="448BA7CE">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9.承包人应充分考虑</w:t>
      </w:r>
      <w:r>
        <w:rPr>
          <w:rFonts w:hint="eastAsia"/>
          <w:b/>
          <w:color w:val="auto"/>
          <w:szCs w:val="21"/>
          <w:highlight w:val="none"/>
          <w:u w:val="single"/>
          <w:lang w:eastAsia="zh-CN"/>
        </w:rPr>
        <w:t>并</w:t>
      </w:r>
      <w:r>
        <w:rPr>
          <w:rFonts w:hint="eastAsia"/>
          <w:b/>
          <w:color w:val="auto"/>
          <w:szCs w:val="21"/>
          <w:highlight w:val="none"/>
          <w:u w:val="single"/>
        </w:rPr>
        <w:t>做好工程实施范围内外的单位、个人和其他可能出现的阻挠施工的情况，并承担所发生的费用，业主不再承担此类费用。</w:t>
      </w:r>
    </w:p>
    <w:p w14:paraId="2216A4D9">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10.承包人承诺在本工程施工过程中，保证做到文明、安全施工，并遵守南通市建筑安全生产监督站关于印发《南通市区市政工程施工现场安全检查评分暂行标准》的通知（通建安建〔2004〕12号。如果本工程施工工地在发包人组织的市政工程安全文明工地检查评比中，被评为不合格工地的，每有一次发包人收取承包人2万元的违约金，并作为不良行为纪律在案；如被通报批评三次的，发包人有权终止合同，所有损失由承包人承担。</w:t>
      </w:r>
    </w:p>
    <w:p w14:paraId="39BEBC6F">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11.本工程清单应与施工图、招标文件、技术要求、技术规范等相结合起来阅读，除设计变更外，发包人在清单中未列明或项目特征描述不全，但承包人为满足招标人和设计图纸的要求而必须完成的工作，应计入工程量清单相应子目中，包含在合同价中，工程竣工结算时发包人不为此类项目另外支付费用。</w:t>
      </w:r>
    </w:p>
    <w:p w14:paraId="0D7239BF">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 xml:space="preserve">12.若承包人擅自改变暂估价或暂列金额且评审时未被发现，报价低于暂估价或暂列金额结算时统一先按招标文件明确暂估价或暂列金额扣除，报价高于暂估价或暂列金额时统一先按报价扣除；若承包人擅自改变招标文件及清单内容，且评标时未被发现的，实际施工时一律以招标文件及清单内容执行，结算价格不予调整。 </w:t>
      </w:r>
    </w:p>
    <w:p w14:paraId="55A8122C">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 xml:space="preserve">13.承包人中标后应根据国家、省、市、工程所在地政府及相关部门的规定缴纳有关费用，该费用已包含在报价中，发包人不另行给付，费用缴纳的标准投标人可向有关部门查询。 </w:t>
      </w:r>
    </w:p>
    <w:p w14:paraId="719FF37A">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14.承包人在施工过程中必须收集齐全所有隐蔽项目影像视频资料以供后期审计使用，在送审结算资料必须一并提交。所有签证资料必须附有详细影像彩色照片，所摄照片必须有可参照性。如影像资料未能反映签证、清单或招标文件列明的工作内容，则结算时该项内容不予认可。</w:t>
      </w:r>
    </w:p>
    <w:p w14:paraId="516D465A">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15.参考标底及招标控制价编制依据（人工费由投标人结合实际情况自行考虑），承包人不得以标底或招标控制价中可能存在的不合理或错误作为借口而要求签证或索赔。若结算时发现承包人有明显的不平衡报价（如：子目中个别材料、人工、机械费低于市场询价的80%），发包人可自行按有利发包人利益的调整，无须承包人确认。</w:t>
      </w:r>
    </w:p>
    <w:p w14:paraId="4166BBBA">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16.赶工费、按质论价费、二次搬运费、特殊条件下施工增加费、冬雨季施工增加费、夜间施工增加费、临时设施费、已完工程及设备保护费等总价措施项目费由各投标人自行报价，结算时一律不作调整。如有已完工程及设备损坏，应按照不低于原设计标准恢复，费用列入报价。</w:t>
      </w:r>
    </w:p>
    <w:p w14:paraId="286A2E12">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17.承包人已认真踏勘过施工现场，考虑因各种困难因素所发生的一切费用，并已包含在合同价中，承包人不得以此为由提出额外增加费用的要求。场内临时供水供电及施工中所用的水、电费用由承包人自行承担。</w:t>
      </w:r>
    </w:p>
    <w:p w14:paraId="7EB4F619">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18.承包人工地踏勘已充分了解工地位置情况，道路、储存空间、装卸限制及任何</w:t>
      </w:r>
      <w:r>
        <w:rPr>
          <w:rFonts w:hint="eastAsia"/>
          <w:b/>
          <w:color w:val="auto"/>
          <w:szCs w:val="21"/>
          <w:highlight w:val="none"/>
          <w:u w:val="single"/>
          <w:lang w:eastAsia="zh-CN"/>
        </w:rPr>
        <w:t>其他</w:t>
      </w:r>
      <w:r>
        <w:rPr>
          <w:rFonts w:hint="eastAsia"/>
          <w:b/>
          <w:color w:val="auto"/>
          <w:szCs w:val="21"/>
          <w:highlight w:val="none"/>
          <w:u w:val="single"/>
        </w:rPr>
        <w:t>足以影响报价的情况，任何忽视或误解工地情况而导致的索赔及工期延长申请将不被批准。</w:t>
      </w:r>
    </w:p>
    <w:p w14:paraId="3EED7AC9">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19.本工程所有乙供材料均由承包人在确保质量的前提下自行采购，材料价格按照中档及以上的质量自行市场询价进入报价。发包人对材料的质量有认定权（如发包人对承包人采购的材料认定为不合格的，承包人必须重新采购，直至合格为止），施工时承包人需提供样品供建设单位选择，</w:t>
      </w:r>
      <w:r>
        <w:rPr>
          <w:rFonts w:hint="eastAsia"/>
          <w:b/>
          <w:color w:val="auto"/>
          <w:szCs w:val="21"/>
          <w:highlight w:val="none"/>
          <w:u w:val="single"/>
          <w:lang w:eastAsia="zh-CN"/>
        </w:rPr>
        <w:t>涉及</w:t>
      </w:r>
      <w:r>
        <w:rPr>
          <w:rFonts w:hint="eastAsia"/>
          <w:b/>
          <w:color w:val="auto"/>
          <w:szCs w:val="21"/>
          <w:highlight w:val="none"/>
          <w:u w:val="single"/>
        </w:rPr>
        <w:t>的价格不再调整。</w:t>
      </w:r>
    </w:p>
    <w:p w14:paraId="1308527B">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20.因施工场地狭小、周边建筑保护、高压杆线防护、安全通道搭设等发生的一切费用由各投标人自行考虑，所有费用包含在投标报价中，竣工结算时一律不作调整。</w:t>
      </w:r>
    </w:p>
    <w:p w14:paraId="5E963664">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21.承包人不得拒绝完成发包人在施工地点范围内变更或要求增加的工程内容，如拒绝，发包人有权拒绝其文明施工措施费考评申请。</w:t>
      </w:r>
    </w:p>
    <w:p w14:paraId="3244641F">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22.本项目的施工不得影响招标人和住户的正常生活和工作，否则由此带来的投诉、损失、曝光等均由中标人承担。</w:t>
      </w:r>
    </w:p>
    <w:p w14:paraId="0CAF4EA8">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23.本工程招标文件约定的内容均作为本合同的附件。</w:t>
      </w:r>
    </w:p>
    <w:p w14:paraId="7D7894F6">
      <w:pPr>
        <w:spacing w:line="440" w:lineRule="exact"/>
        <w:ind w:firstLine="422" w:firstLineChars="200"/>
        <w:rPr>
          <w:rFonts w:hint="eastAsia"/>
          <w:b/>
          <w:bCs/>
          <w:color w:val="auto"/>
          <w:highlight w:val="none"/>
        </w:rPr>
      </w:pPr>
    </w:p>
    <w:p w14:paraId="28BED3D9">
      <w:pPr>
        <w:spacing w:line="440" w:lineRule="exact"/>
        <w:ind w:firstLine="422" w:firstLineChars="200"/>
        <w:rPr>
          <w:rFonts w:hint="eastAsia"/>
          <w:b/>
          <w:bCs/>
          <w:color w:val="auto"/>
          <w:highlight w:val="none"/>
        </w:rPr>
      </w:pPr>
    </w:p>
    <w:p w14:paraId="1AB79717">
      <w:pPr>
        <w:spacing w:line="440" w:lineRule="exact"/>
        <w:ind w:firstLine="422" w:firstLineChars="200"/>
        <w:rPr>
          <w:b/>
          <w:bCs/>
          <w:color w:val="auto"/>
          <w:highlight w:val="none"/>
          <w:lang w:val="zh-CN" w:eastAsia="zh-CN"/>
        </w:rPr>
      </w:pPr>
      <w:r>
        <w:rPr>
          <w:rFonts w:hint="eastAsia"/>
          <w:b/>
          <w:bCs/>
          <w:color w:val="auto"/>
          <w:highlight w:val="none"/>
          <w:lang w:val="zh-CN" w:eastAsia="zh-CN"/>
        </w:rPr>
        <w:t>附件</w:t>
      </w:r>
    </w:p>
    <w:p w14:paraId="4C2CA47D">
      <w:pPr>
        <w:spacing w:line="440" w:lineRule="exact"/>
        <w:ind w:firstLine="420" w:firstLineChars="200"/>
        <w:rPr>
          <w:color w:val="auto"/>
          <w:highlight w:val="none"/>
        </w:rPr>
      </w:pPr>
      <w:r>
        <w:rPr>
          <w:rFonts w:hint="eastAsia"/>
          <w:color w:val="auto"/>
          <w:highlight w:val="none"/>
        </w:rPr>
        <w:t>协议书附件：</w:t>
      </w:r>
    </w:p>
    <w:p w14:paraId="253F2218">
      <w:pPr>
        <w:spacing w:line="440" w:lineRule="exact"/>
        <w:ind w:firstLine="420" w:firstLineChars="200"/>
        <w:rPr>
          <w:color w:val="auto"/>
          <w:highlight w:val="none"/>
        </w:rPr>
      </w:pPr>
      <w:r>
        <w:rPr>
          <w:rFonts w:hint="eastAsia"/>
          <w:color w:val="auto"/>
          <w:highlight w:val="none"/>
        </w:rPr>
        <w:t>附件1：承包人承揽工程项目一览表</w:t>
      </w:r>
    </w:p>
    <w:p w14:paraId="6AD9B4EA">
      <w:pPr>
        <w:spacing w:line="440" w:lineRule="exact"/>
        <w:ind w:firstLine="420" w:firstLineChars="200"/>
        <w:rPr>
          <w:color w:val="auto"/>
          <w:highlight w:val="none"/>
        </w:rPr>
      </w:pPr>
      <w:r>
        <w:rPr>
          <w:rFonts w:hint="eastAsia"/>
          <w:color w:val="auto"/>
          <w:highlight w:val="none"/>
        </w:rPr>
        <w:t>专用合同条款附件：</w:t>
      </w:r>
    </w:p>
    <w:p w14:paraId="1EC93B36">
      <w:pPr>
        <w:spacing w:line="440" w:lineRule="exact"/>
        <w:ind w:firstLine="420" w:firstLineChars="200"/>
        <w:rPr>
          <w:color w:val="auto"/>
          <w:highlight w:val="none"/>
        </w:rPr>
      </w:pPr>
      <w:r>
        <w:rPr>
          <w:rFonts w:hint="eastAsia"/>
          <w:color w:val="auto"/>
          <w:highlight w:val="none"/>
        </w:rPr>
        <w:t>附件2：工程质量保修书、维护协议</w:t>
      </w:r>
    </w:p>
    <w:p w14:paraId="0F646E74">
      <w:pPr>
        <w:spacing w:line="440" w:lineRule="exact"/>
        <w:ind w:firstLine="420" w:firstLineChars="200"/>
        <w:rPr>
          <w:color w:val="auto"/>
          <w:highlight w:val="none"/>
        </w:rPr>
      </w:pPr>
      <w:r>
        <w:rPr>
          <w:rFonts w:hint="eastAsia"/>
          <w:color w:val="auto"/>
          <w:highlight w:val="none"/>
        </w:rPr>
        <w:t>附件3：廉政合同</w:t>
      </w:r>
    </w:p>
    <w:p w14:paraId="33365050">
      <w:pPr>
        <w:spacing w:line="440" w:lineRule="exact"/>
        <w:ind w:firstLine="420" w:firstLineChars="200"/>
        <w:rPr>
          <w:color w:val="auto"/>
          <w:highlight w:val="none"/>
        </w:rPr>
      </w:pPr>
      <w:r>
        <w:rPr>
          <w:rFonts w:hint="eastAsia"/>
          <w:color w:val="auto"/>
          <w:highlight w:val="none"/>
        </w:rPr>
        <w:t>附件4：承包人用于本工程施工的机械设备表</w:t>
      </w:r>
    </w:p>
    <w:p w14:paraId="7C1E4D9D">
      <w:pPr>
        <w:spacing w:line="440" w:lineRule="exact"/>
        <w:ind w:firstLine="420" w:firstLineChars="200"/>
        <w:rPr>
          <w:color w:val="auto"/>
          <w:highlight w:val="none"/>
        </w:rPr>
      </w:pPr>
      <w:r>
        <w:rPr>
          <w:rFonts w:hint="eastAsia"/>
          <w:color w:val="auto"/>
          <w:highlight w:val="none"/>
        </w:rPr>
        <w:t>附件5：承包人主要施工管理人员表</w:t>
      </w:r>
    </w:p>
    <w:p w14:paraId="0E4B883A">
      <w:pPr>
        <w:spacing w:line="440" w:lineRule="exact"/>
        <w:ind w:firstLine="420" w:firstLineChars="200"/>
        <w:rPr>
          <w:color w:val="auto"/>
          <w:highlight w:val="none"/>
        </w:rPr>
      </w:pPr>
      <w:r>
        <w:rPr>
          <w:rFonts w:hint="eastAsia"/>
          <w:color w:val="auto"/>
          <w:highlight w:val="none"/>
        </w:rPr>
        <w:t>附件7：建设工程廉政责任书</w:t>
      </w:r>
    </w:p>
    <w:p w14:paraId="08B4887D">
      <w:pPr>
        <w:spacing w:line="440" w:lineRule="exact"/>
        <w:ind w:firstLine="420" w:firstLineChars="200"/>
        <w:rPr>
          <w:color w:val="auto"/>
          <w:highlight w:val="none"/>
        </w:rPr>
        <w:sectPr>
          <w:footerReference r:id="rId5" w:type="first"/>
          <w:footerReference r:id="rId3" w:type="default"/>
          <w:footerReference r:id="rId4" w:type="even"/>
          <w:pgSz w:w="11906" w:h="16838"/>
          <w:pgMar w:top="1418" w:right="1191" w:bottom="1134" w:left="1361" w:header="567" w:footer="567" w:gutter="0"/>
          <w:pgNumType w:start="0"/>
          <w:cols w:space="720" w:num="1"/>
          <w:titlePg/>
          <w:docGrid w:linePitch="312" w:charSpace="0"/>
        </w:sectPr>
      </w:pPr>
    </w:p>
    <w:p w14:paraId="2F617608">
      <w:pPr>
        <w:spacing w:line="276" w:lineRule="auto"/>
        <w:rPr>
          <w:color w:val="auto"/>
          <w:highlight w:val="none"/>
        </w:rPr>
      </w:pPr>
      <w:r>
        <w:rPr>
          <w:rFonts w:hint="eastAsia"/>
          <w:color w:val="auto"/>
          <w:highlight w:val="none"/>
        </w:rPr>
        <w:t>附件1：</w:t>
      </w:r>
    </w:p>
    <w:p w14:paraId="2436AC85">
      <w:pPr>
        <w:spacing w:line="440" w:lineRule="exact"/>
        <w:jc w:val="center"/>
        <w:rPr>
          <w:color w:val="auto"/>
          <w:highlight w:val="none"/>
        </w:rPr>
      </w:pPr>
      <w:r>
        <w:rPr>
          <w:rFonts w:hint="eastAsia"/>
          <w:b/>
          <w:color w:val="auto"/>
          <w:sz w:val="28"/>
          <w:szCs w:val="28"/>
          <w:highlight w:val="none"/>
        </w:rPr>
        <w:t>承包人承揽工程项目一览表</w:t>
      </w:r>
    </w:p>
    <w:tbl>
      <w:tblPr>
        <w:tblStyle w:val="6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876"/>
        <w:gridCol w:w="1031"/>
        <w:gridCol w:w="696"/>
        <w:gridCol w:w="878"/>
        <w:gridCol w:w="1017"/>
        <w:gridCol w:w="1031"/>
        <w:gridCol w:w="904"/>
        <w:gridCol w:w="878"/>
        <w:gridCol w:w="878"/>
      </w:tblGrid>
      <w:tr w14:paraId="6BD47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center"/>
          </w:tcPr>
          <w:p w14:paraId="6EC1428B">
            <w:pPr>
              <w:jc w:val="center"/>
              <w:rPr>
                <w:color w:val="auto"/>
                <w:sz w:val="18"/>
                <w:szCs w:val="21"/>
                <w:highlight w:val="none"/>
              </w:rPr>
            </w:pPr>
            <w:r>
              <w:rPr>
                <w:rFonts w:hint="eastAsia"/>
                <w:color w:val="auto"/>
                <w:sz w:val="18"/>
                <w:szCs w:val="21"/>
                <w:highlight w:val="none"/>
              </w:rPr>
              <w:t>单位工程</w:t>
            </w:r>
          </w:p>
          <w:p w14:paraId="5D02563B">
            <w:pPr>
              <w:jc w:val="center"/>
              <w:rPr>
                <w:color w:val="auto"/>
                <w:sz w:val="18"/>
                <w:szCs w:val="21"/>
                <w:highlight w:val="none"/>
              </w:rPr>
            </w:pPr>
            <w:r>
              <w:rPr>
                <w:rFonts w:hint="eastAsia"/>
                <w:color w:val="auto"/>
                <w:sz w:val="18"/>
                <w:szCs w:val="21"/>
                <w:highlight w:val="none"/>
              </w:rPr>
              <w:t>名称</w:t>
            </w:r>
          </w:p>
        </w:tc>
        <w:tc>
          <w:tcPr>
            <w:tcW w:w="876" w:type="dxa"/>
            <w:noWrap w:val="0"/>
            <w:vAlign w:val="center"/>
          </w:tcPr>
          <w:p w14:paraId="6228AC31">
            <w:pPr>
              <w:jc w:val="center"/>
              <w:rPr>
                <w:color w:val="auto"/>
                <w:sz w:val="18"/>
                <w:szCs w:val="21"/>
                <w:highlight w:val="none"/>
              </w:rPr>
            </w:pPr>
            <w:r>
              <w:rPr>
                <w:rFonts w:hint="eastAsia"/>
                <w:color w:val="auto"/>
                <w:sz w:val="18"/>
                <w:szCs w:val="21"/>
                <w:highlight w:val="none"/>
              </w:rPr>
              <w:t>建设</w:t>
            </w:r>
          </w:p>
          <w:p w14:paraId="46CCED33">
            <w:pPr>
              <w:jc w:val="center"/>
              <w:rPr>
                <w:color w:val="auto"/>
                <w:sz w:val="18"/>
                <w:szCs w:val="21"/>
                <w:highlight w:val="none"/>
              </w:rPr>
            </w:pPr>
            <w:r>
              <w:rPr>
                <w:rFonts w:hint="eastAsia"/>
                <w:color w:val="auto"/>
                <w:sz w:val="18"/>
                <w:szCs w:val="21"/>
                <w:highlight w:val="none"/>
              </w:rPr>
              <w:t>规模</w:t>
            </w:r>
          </w:p>
        </w:tc>
        <w:tc>
          <w:tcPr>
            <w:tcW w:w="1031" w:type="dxa"/>
            <w:noWrap w:val="0"/>
            <w:vAlign w:val="center"/>
          </w:tcPr>
          <w:p w14:paraId="6702DFDA">
            <w:pPr>
              <w:jc w:val="center"/>
              <w:rPr>
                <w:color w:val="auto"/>
                <w:sz w:val="18"/>
                <w:szCs w:val="21"/>
                <w:highlight w:val="none"/>
              </w:rPr>
            </w:pPr>
            <w:r>
              <w:rPr>
                <w:rFonts w:hint="eastAsia"/>
                <w:color w:val="auto"/>
                <w:sz w:val="18"/>
                <w:szCs w:val="21"/>
                <w:highlight w:val="none"/>
              </w:rPr>
              <w:t>建筑面积</w:t>
            </w:r>
            <w:r>
              <w:rPr>
                <w:rFonts w:hint="eastAsia"/>
                <w:color w:val="auto"/>
                <w:sz w:val="18"/>
                <w:szCs w:val="21"/>
                <w:highlight w:val="none"/>
                <w:lang w:eastAsia="zh-CN"/>
              </w:rPr>
              <w:t>（</w:t>
            </w:r>
            <w:r>
              <w:rPr>
                <w:rFonts w:hint="eastAsia"/>
                <w:color w:val="auto"/>
                <w:sz w:val="18"/>
                <w:szCs w:val="21"/>
                <w:highlight w:val="none"/>
              </w:rPr>
              <w:t>㎡</w:t>
            </w:r>
            <w:r>
              <w:rPr>
                <w:rFonts w:hint="eastAsia"/>
                <w:color w:val="auto"/>
                <w:sz w:val="18"/>
                <w:szCs w:val="21"/>
                <w:highlight w:val="none"/>
                <w:lang w:eastAsia="zh-CN"/>
              </w:rPr>
              <w:t>）</w:t>
            </w:r>
          </w:p>
        </w:tc>
        <w:tc>
          <w:tcPr>
            <w:tcW w:w="696" w:type="dxa"/>
            <w:noWrap w:val="0"/>
            <w:vAlign w:val="center"/>
          </w:tcPr>
          <w:p w14:paraId="6454C659">
            <w:pPr>
              <w:jc w:val="center"/>
              <w:rPr>
                <w:color w:val="auto"/>
                <w:sz w:val="18"/>
                <w:szCs w:val="21"/>
                <w:highlight w:val="none"/>
              </w:rPr>
            </w:pPr>
            <w:r>
              <w:rPr>
                <w:rFonts w:hint="eastAsia"/>
                <w:color w:val="auto"/>
                <w:sz w:val="18"/>
                <w:szCs w:val="21"/>
                <w:highlight w:val="none"/>
              </w:rPr>
              <w:t>结构形式</w:t>
            </w:r>
          </w:p>
        </w:tc>
        <w:tc>
          <w:tcPr>
            <w:tcW w:w="878" w:type="dxa"/>
            <w:noWrap w:val="0"/>
            <w:vAlign w:val="center"/>
          </w:tcPr>
          <w:p w14:paraId="27BCAEB7">
            <w:pPr>
              <w:jc w:val="center"/>
              <w:rPr>
                <w:color w:val="auto"/>
                <w:sz w:val="18"/>
                <w:szCs w:val="21"/>
                <w:highlight w:val="none"/>
              </w:rPr>
            </w:pPr>
            <w:r>
              <w:rPr>
                <w:rFonts w:hint="eastAsia"/>
                <w:color w:val="auto"/>
                <w:sz w:val="18"/>
                <w:szCs w:val="21"/>
                <w:highlight w:val="none"/>
              </w:rPr>
              <w:t>层数</w:t>
            </w:r>
          </w:p>
        </w:tc>
        <w:tc>
          <w:tcPr>
            <w:tcW w:w="1017" w:type="dxa"/>
            <w:noWrap w:val="0"/>
            <w:vAlign w:val="center"/>
          </w:tcPr>
          <w:p w14:paraId="7A86C042">
            <w:pPr>
              <w:jc w:val="center"/>
              <w:rPr>
                <w:color w:val="auto"/>
                <w:sz w:val="18"/>
                <w:szCs w:val="21"/>
                <w:highlight w:val="none"/>
              </w:rPr>
            </w:pPr>
            <w:r>
              <w:rPr>
                <w:rFonts w:hint="eastAsia"/>
                <w:color w:val="auto"/>
                <w:sz w:val="18"/>
                <w:szCs w:val="21"/>
                <w:highlight w:val="none"/>
              </w:rPr>
              <w:t>生产</w:t>
            </w:r>
          </w:p>
          <w:p w14:paraId="24C61E20">
            <w:pPr>
              <w:jc w:val="center"/>
              <w:rPr>
                <w:color w:val="auto"/>
                <w:sz w:val="18"/>
                <w:szCs w:val="21"/>
                <w:highlight w:val="none"/>
              </w:rPr>
            </w:pPr>
            <w:r>
              <w:rPr>
                <w:rFonts w:hint="eastAsia"/>
                <w:color w:val="auto"/>
                <w:sz w:val="18"/>
                <w:szCs w:val="21"/>
                <w:highlight w:val="none"/>
              </w:rPr>
              <w:t>能力</w:t>
            </w:r>
          </w:p>
        </w:tc>
        <w:tc>
          <w:tcPr>
            <w:tcW w:w="1031" w:type="dxa"/>
            <w:noWrap w:val="0"/>
            <w:vAlign w:val="center"/>
          </w:tcPr>
          <w:p w14:paraId="6FE15EF6">
            <w:pPr>
              <w:jc w:val="center"/>
              <w:rPr>
                <w:color w:val="auto"/>
                <w:sz w:val="18"/>
                <w:szCs w:val="21"/>
                <w:highlight w:val="none"/>
              </w:rPr>
            </w:pPr>
            <w:r>
              <w:rPr>
                <w:rFonts w:hint="eastAsia"/>
                <w:color w:val="auto"/>
                <w:sz w:val="18"/>
                <w:szCs w:val="21"/>
                <w:highlight w:val="none"/>
              </w:rPr>
              <w:t>设备安装内容</w:t>
            </w:r>
          </w:p>
        </w:tc>
        <w:tc>
          <w:tcPr>
            <w:tcW w:w="904" w:type="dxa"/>
            <w:noWrap w:val="0"/>
            <w:vAlign w:val="center"/>
          </w:tcPr>
          <w:p w14:paraId="17AA0949">
            <w:pPr>
              <w:jc w:val="center"/>
              <w:rPr>
                <w:color w:val="auto"/>
                <w:sz w:val="18"/>
                <w:szCs w:val="21"/>
                <w:highlight w:val="none"/>
              </w:rPr>
            </w:pPr>
            <w:r>
              <w:rPr>
                <w:rFonts w:hint="eastAsia"/>
                <w:color w:val="auto"/>
                <w:sz w:val="18"/>
                <w:szCs w:val="21"/>
                <w:highlight w:val="none"/>
              </w:rPr>
              <w:t>合同价（元）</w:t>
            </w:r>
          </w:p>
        </w:tc>
        <w:tc>
          <w:tcPr>
            <w:tcW w:w="878" w:type="dxa"/>
            <w:noWrap w:val="0"/>
            <w:vAlign w:val="center"/>
          </w:tcPr>
          <w:p w14:paraId="1975B81B">
            <w:pPr>
              <w:jc w:val="center"/>
              <w:rPr>
                <w:color w:val="auto"/>
                <w:sz w:val="18"/>
                <w:szCs w:val="21"/>
                <w:highlight w:val="none"/>
              </w:rPr>
            </w:pPr>
            <w:r>
              <w:rPr>
                <w:rFonts w:hint="eastAsia"/>
                <w:color w:val="auto"/>
                <w:sz w:val="18"/>
                <w:szCs w:val="21"/>
                <w:highlight w:val="none"/>
              </w:rPr>
              <w:t>开工</w:t>
            </w:r>
          </w:p>
          <w:p w14:paraId="18A4494D">
            <w:pPr>
              <w:jc w:val="center"/>
              <w:rPr>
                <w:color w:val="auto"/>
                <w:sz w:val="18"/>
                <w:szCs w:val="21"/>
                <w:highlight w:val="none"/>
              </w:rPr>
            </w:pPr>
            <w:r>
              <w:rPr>
                <w:rFonts w:hint="eastAsia"/>
                <w:color w:val="auto"/>
                <w:sz w:val="18"/>
                <w:szCs w:val="21"/>
                <w:highlight w:val="none"/>
              </w:rPr>
              <w:t>日期</w:t>
            </w:r>
          </w:p>
        </w:tc>
        <w:tc>
          <w:tcPr>
            <w:tcW w:w="878" w:type="dxa"/>
            <w:noWrap w:val="0"/>
            <w:vAlign w:val="center"/>
          </w:tcPr>
          <w:p w14:paraId="62FA1A6B">
            <w:pPr>
              <w:jc w:val="center"/>
              <w:rPr>
                <w:color w:val="auto"/>
                <w:sz w:val="18"/>
                <w:szCs w:val="21"/>
                <w:highlight w:val="none"/>
              </w:rPr>
            </w:pPr>
            <w:r>
              <w:rPr>
                <w:rFonts w:hint="eastAsia"/>
                <w:color w:val="auto"/>
                <w:sz w:val="18"/>
                <w:szCs w:val="21"/>
                <w:highlight w:val="none"/>
              </w:rPr>
              <w:t>竣工</w:t>
            </w:r>
          </w:p>
          <w:p w14:paraId="27FDE5D0">
            <w:pPr>
              <w:jc w:val="center"/>
              <w:rPr>
                <w:color w:val="auto"/>
                <w:sz w:val="18"/>
                <w:szCs w:val="21"/>
                <w:highlight w:val="none"/>
              </w:rPr>
            </w:pPr>
            <w:r>
              <w:rPr>
                <w:rFonts w:hint="eastAsia"/>
                <w:color w:val="auto"/>
                <w:sz w:val="18"/>
                <w:szCs w:val="21"/>
                <w:highlight w:val="none"/>
              </w:rPr>
              <w:t>日期</w:t>
            </w:r>
          </w:p>
        </w:tc>
      </w:tr>
      <w:tr w14:paraId="13E47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560AE753">
            <w:pPr>
              <w:spacing w:line="440" w:lineRule="exact"/>
              <w:rPr>
                <w:color w:val="auto"/>
                <w:sz w:val="18"/>
                <w:szCs w:val="21"/>
                <w:highlight w:val="none"/>
              </w:rPr>
            </w:pPr>
          </w:p>
        </w:tc>
        <w:tc>
          <w:tcPr>
            <w:tcW w:w="876" w:type="dxa"/>
            <w:noWrap w:val="0"/>
            <w:vAlign w:val="top"/>
          </w:tcPr>
          <w:p w14:paraId="380B48DB">
            <w:pPr>
              <w:spacing w:line="440" w:lineRule="exact"/>
              <w:rPr>
                <w:color w:val="auto"/>
                <w:sz w:val="18"/>
                <w:szCs w:val="21"/>
                <w:highlight w:val="none"/>
              </w:rPr>
            </w:pPr>
          </w:p>
        </w:tc>
        <w:tc>
          <w:tcPr>
            <w:tcW w:w="1031" w:type="dxa"/>
            <w:noWrap w:val="0"/>
            <w:vAlign w:val="top"/>
          </w:tcPr>
          <w:p w14:paraId="3E8BAC7F">
            <w:pPr>
              <w:spacing w:line="440" w:lineRule="exact"/>
              <w:rPr>
                <w:color w:val="auto"/>
                <w:sz w:val="18"/>
                <w:szCs w:val="21"/>
                <w:highlight w:val="none"/>
              </w:rPr>
            </w:pPr>
          </w:p>
        </w:tc>
        <w:tc>
          <w:tcPr>
            <w:tcW w:w="696" w:type="dxa"/>
            <w:noWrap w:val="0"/>
            <w:vAlign w:val="top"/>
          </w:tcPr>
          <w:p w14:paraId="3FBE02D8">
            <w:pPr>
              <w:spacing w:line="440" w:lineRule="exact"/>
              <w:rPr>
                <w:color w:val="auto"/>
                <w:sz w:val="18"/>
                <w:szCs w:val="21"/>
                <w:highlight w:val="none"/>
              </w:rPr>
            </w:pPr>
          </w:p>
        </w:tc>
        <w:tc>
          <w:tcPr>
            <w:tcW w:w="878" w:type="dxa"/>
            <w:noWrap w:val="0"/>
            <w:vAlign w:val="top"/>
          </w:tcPr>
          <w:p w14:paraId="0D1E97A4">
            <w:pPr>
              <w:spacing w:line="440" w:lineRule="exact"/>
              <w:rPr>
                <w:color w:val="auto"/>
                <w:sz w:val="18"/>
                <w:szCs w:val="21"/>
                <w:highlight w:val="none"/>
              </w:rPr>
            </w:pPr>
          </w:p>
        </w:tc>
        <w:tc>
          <w:tcPr>
            <w:tcW w:w="1017" w:type="dxa"/>
            <w:noWrap w:val="0"/>
            <w:vAlign w:val="top"/>
          </w:tcPr>
          <w:p w14:paraId="0C69377D">
            <w:pPr>
              <w:spacing w:line="440" w:lineRule="exact"/>
              <w:rPr>
                <w:color w:val="auto"/>
                <w:sz w:val="18"/>
                <w:szCs w:val="21"/>
                <w:highlight w:val="none"/>
              </w:rPr>
            </w:pPr>
          </w:p>
        </w:tc>
        <w:tc>
          <w:tcPr>
            <w:tcW w:w="1031" w:type="dxa"/>
            <w:noWrap w:val="0"/>
            <w:vAlign w:val="top"/>
          </w:tcPr>
          <w:p w14:paraId="0AF5C173">
            <w:pPr>
              <w:spacing w:line="440" w:lineRule="exact"/>
              <w:rPr>
                <w:color w:val="auto"/>
                <w:sz w:val="18"/>
                <w:szCs w:val="21"/>
                <w:highlight w:val="none"/>
              </w:rPr>
            </w:pPr>
          </w:p>
        </w:tc>
        <w:tc>
          <w:tcPr>
            <w:tcW w:w="904" w:type="dxa"/>
            <w:noWrap w:val="0"/>
            <w:vAlign w:val="top"/>
          </w:tcPr>
          <w:p w14:paraId="5979D77D">
            <w:pPr>
              <w:spacing w:line="440" w:lineRule="exact"/>
              <w:rPr>
                <w:color w:val="auto"/>
                <w:sz w:val="18"/>
                <w:szCs w:val="21"/>
                <w:highlight w:val="none"/>
              </w:rPr>
            </w:pPr>
          </w:p>
        </w:tc>
        <w:tc>
          <w:tcPr>
            <w:tcW w:w="878" w:type="dxa"/>
            <w:noWrap w:val="0"/>
            <w:vAlign w:val="top"/>
          </w:tcPr>
          <w:p w14:paraId="71D90E1C">
            <w:pPr>
              <w:spacing w:line="440" w:lineRule="exact"/>
              <w:rPr>
                <w:color w:val="auto"/>
                <w:sz w:val="18"/>
                <w:szCs w:val="21"/>
                <w:highlight w:val="none"/>
              </w:rPr>
            </w:pPr>
          </w:p>
        </w:tc>
        <w:tc>
          <w:tcPr>
            <w:tcW w:w="878" w:type="dxa"/>
            <w:noWrap w:val="0"/>
            <w:vAlign w:val="top"/>
          </w:tcPr>
          <w:p w14:paraId="55317163">
            <w:pPr>
              <w:spacing w:line="440" w:lineRule="exact"/>
              <w:rPr>
                <w:color w:val="auto"/>
                <w:sz w:val="18"/>
                <w:szCs w:val="21"/>
                <w:highlight w:val="none"/>
              </w:rPr>
            </w:pPr>
          </w:p>
        </w:tc>
      </w:tr>
      <w:tr w14:paraId="23E2B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6386F951">
            <w:pPr>
              <w:spacing w:line="440" w:lineRule="exact"/>
              <w:rPr>
                <w:color w:val="auto"/>
                <w:sz w:val="18"/>
                <w:szCs w:val="21"/>
                <w:highlight w:val="none"/>
              </w:rPr>
            </w:pPr>
          </w:p>
        </w:tc>
        <w:tc>
          <w:tcPr>
            <w:tcW w:w="876" w:type="dxa"/>
            <w:noWrap w:val="0"/>
            <w:vAlign w:val="top"/>
          </w:tcPr>
          <w:p w14:paraId="4D367321">
            <w:pPr>
              <w:spacing w:line="440" w:lineRule="exact"/>
              <w:rPr>
                <w:color w:val="auto"/>
                <w:sz w:val="18"/>
                <w:szCs w:val="21"/>
                <w:highlight w:val="none"/>
              </w:rPr>
            </w:pPr>
          </w:p>
        </w:tc>
        <w:tc>
          <w:tcPr>
            <w:tcW w:w="1031" w:type="dxa"/>
            <w:noWrap w:val="0"/>
            <w:vAlign w:val="top"/>
          </w:tcPr>
          <w:p w14:paraId="1FED8E5C">
            <w:pPr>
              <w:spacing w:line="440" w:lineRule="exact"/>
              <w:rPr>
                <w:color w:val="auto"/>
                <w:sz w:val="18"/>
                <w:szCs w:val="21"/>
                <w:highlight w:val="none"/>
              </w:rPr>
            </w:pPr>
          </w:p>
        </w:tc>
        <w:tc>
          <w:tcPr>
            <w:tcW w:w="696" w:type="dxa"/>
            <w:noWrap w:val="0"/>
            <w:vAlign w:val="top"/>
          </w:tcPr>
          <w:p w14:paraId="1585CECB">
            <w:pPr>
              <w:spacing w:line="440" w:lineRule="exact"/>
              <w:rPr>
                <w:color w:val="auto"/>
                <w:sz w:val="18"/>
                <w:szCs w:val="21"/>
                <w:highlight w:val="none"/>
              </w:rPr>
            </w:pPr>
          </w:p>
        </w:tc>
        <w:tc>
          <w:tcPr>
            <w:tcW w:w="878" w:type="dxa"/>
            <w:noWrap w:val="0"/>
            <w:vAlign w:val="top"/>
          </w:tcPr>
          <w:p w14:paraId="604CB717">
            <w:pPr>
              <w:spacing w:line="440" w:lineRule="exact"/>
              <w:rPr>
                <w:color w:val="auto"/>
                <w:sz w:val="18"/>
                <w:szCs w:val="21"/>
                <w:highlight w:val="none"/>
              </w:rPr>
            </w:pPr>
          </w:p>
        </w:tc>
        <w:tc>
          <w:tcPr>
            <w:tcW w:w="1017" w:type="dxa"/>
            <w:noWrap w:val="0"/>
            <w:vAlign w:val="top"/>
          </w:tcPr>
          <w:p w14:paraId="771D4B30">
            <w:pPr>
              <w:spacing w:line="440" w:lineRule="exact"/>
              <w:rPr>
                <w:color w:val="auto"/>
                <w:sz w:val="18"/>
                <w:szCs w:val="21"/>
                <w:highlight w:val="none"/>
              </w:rPr>
            </w:pPr>
          </w:p>
        </w:tc>
        <w:tc>
          <w:tcPr>
            <w:tcW w:w="1031" w:type="dxa"/>
            <w:noWrap w:val="0"/>
            <w:vAlign w:val="top"/>
          </w:tcPr>
          <w:p w14:paraId="4A37DF1C">
            <w:pPr>
              <w:spacing w:line="440" w:lineRule="exact"/>
              <w:rPr>
                <w:color w:val="auto"/>
                <w:sz w:val="18"/>
                <w:szCs w:val="21"/>
                <w:highlight w:val="none"/>
              </w:rPr>
            </w:pPr>
          </w:p>
        </w:tc>
        <w:tc>
          <w:tcPr>
            <w:tcW w:w="904" w:type="dxa"/>
            <w:noWrap w:val="0"/>
            <w:vAlign w:val="top"/>
          </w:tcPr>
          <w:p w14:paraId="1D5BD25C">
            <w:pPr>
              <w:spacing w:line="440" w:lineRule="exact"/>
              <w:rPr>
                <w:color w:val="auto"/>
                <w:sz w:val="18"/>
                <w:szCs w:val="21"/>
                <w:highlight w:val="none"/>
              </w:rPr>
            </w:pPr>
          </w:p>
        </w:tc>
        <w:tc>
          <w:tcPr>
            <w:tcW w:w="878" w:type="dxa"/>
            <w:noWrap w:val="0"/>
            <w:vAlign w:val="top"/>
          </w:tcPr>
          <w:p w14:paraId="741ADE88">
            <w:pPr>
              <w:spacing w:line="440" w:lineRule="exact"/>
              <w:rPr>
                <w:color w:val="auto"/>
                <w:sz w:val="18"/>
                <w:szCs w:val="21"/>
                <w:highlight w:val="none"/>
              </w:rPr>
            </w:pPr>
          </w:p>
        </w:tc>
        <w:tc>
          <w:tcPr>
            <w:tcW w:w="878" w:type="dxa"/>
            <w:noWrap w:val="0"/>
            <w:vAlign w:val="top"/>
          </w:tcPr>
          <w:p w14:paraId="3DC9E849">
            <w:pPr>
              <w:spacing w:line="440" w:lineRule="exact"/>
              <w:rPr>
                <w:color w:val="auto"/>
                <w:sz w:val="18"/>
                <w:szCs w:val="21"/>
                <w:highlight w:val="none"/>
              </w:rPr>
            </w:pPr>
          </w:p>
        </w:tc>
      </w:tr>
      <w:tr w14:paraId="388FE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15F0B0D2">
            <w:pPr>
              <w:spacing w:line="440" w:lineRule="exact"/>
              <w:rPr>
                <w:color w:val="auto"/>
                <w:sz w:val="18"/>
                <w:szCs w:val="21"/>
                <w:highlight w:val="none"/>
              </w:rPr>
            </w:pPr>
          </w:p>
        </w:tc>
        <w:tc>
          <w:tcPr>
            <w:tcW w:w="876" w:type="dxa"/>
            <w:noWrap w:val="0"/>
            <w:vAlign w:val="top"/>
          </w:tcPr>
          <w:p w14:paraId="339DEC7A">
            <w:pPr>
              <w:spacing w:line="440" w:lineRule="exact"/>
              <w:rPr>
                <w:color w:val="auto"/>
                <w:sz w:val="18"/>
                <w:szCs w:val="21"/>
                <w:highlight w:val="none"/>
              </w:rPr>
            </w:pPr>
          </w:p>
        </w:tc>
        <w:tc>
          <w:tcPr>
            <w:tcW w:w="1031" w:type="dxa"/>
            <w:noWrap w:val="0"/>
            <w:vAlign w:val="top"/>
          </w:tcPr>
          <w:p w14:paraId="46FED70E">
            <w:pPr>
              <w:spacing w:line="440" w:lineRule="exact"/>
              <w:rPr>
                <w:color w:val="auto"/>
                <w:sz w:val="18"/>
                <w:szCs w:val="21"/>
                <w:highlight w:val="none"/>
              </w:rPr>
            </w:pPr>
          </w:p>
        </w:tc>
        <w:tc>
          <w:tcPr>
            <w:tcW w:w="696" w:type="dxa"/>
            <w:noWrap w:val="0"/>
            <w:vAlign w:val="top"/>
          </w:tcPr>
          <w:p w14:paraId="5AA37F6B">
            <w:pPr>
              <w:spacing w:line="440" w:lineRule="exact"/>
              <w:rPr>
                <w:color w:val="auto"/>
                <w:sz w:val="18"/>
                <w:szCs w:val="21"/>
                <w:highlight w:val="none"/>
              </w:rPr>
            </w:pPr>
          </w:p>
        </w:tc>
        <w:tc>
          <w:tcPr>
            <w:tcW w:w="878" w:type="dxa"/>
            <w:noWrap w:val="0"/>
            <w:vAlign w:val="top"/>
          </w:tcPr>
          <w:p w14:paraId="7A702013">
            <w:pPr>
              <w:spacing w:line="440" w:lineRule="exact"/>
              <w:rPr>
                <w:color w:val="auto"/>
                <w:sz w:val="18"/>
                <w:szCs w:val="21"/>
                <w:highlight w:val="none"/>
              </w:rPr>
            </w:pPr>
          </w:p>
        </w:tc>
        <w:tc>
          <w:tcPr>
            <w:tcW w:w="1017" w:type="dxa"/>
            <w:noWrap w:val="0"/>
            <w:vAlign w:val="top"/>
          </w:tcPr>
          <w:p w14:paraId="7DDD7DFB">
            <w:pPr>
              <w:spacing w:line="440" w:lineRule="exact"/>
              <w:rPr>
                <w:color w:val="auto"/>
                <w:sz w:val="18"/>
                <w:szCs w:val="21"/>
                <w:highlight w:val="none"/>
              </w:rPr>
            </w:pPr>
          </w:p>
        </w:tc>
        <w:tc>
          <w:tcPr>
            <w:tcW w:w="1031" w:type="dxa"/>
            <w:noWrap w:val="0"/>
            <w:vAlign w:val="top"/>
          </w:tcPr>
          <w:p w14:paraId="55D884A1">
            <w:pPr>
              <w:spacing w:line="440" w:lineRule="exact"/>
              <w:rPr>
                <w:color w:val="auto"/>
                <w:sz w:val="18"/>
                <w:szCs w:val="21"/>
                <w:highlight w:val="none"/>
              </w:rPr>
            </w:pPr>
          </w:p>
        </w:tc>
        <w:tc>
          <w:tcPr>
            <w:tcW w:w="904" w:type="dxa"/>
            <w:noWrap w:val="0"/>
            <w:vAlign w:val="top"/>
          </w:tcPr>
          <w:p w14:paraId="1429BC49">
            <w:pPr>
              <w:spacing w:line="440" w:lineRule="exact"/>
              <w:rPr>
                <w:color w:val="auto"/>
                <w:sz w:val="18"/>
                <w:szCs w:val="21"/>
                <w:highlight w:val="none"/>
              </w:rPr>
            </w:pPr>
          </w:p>
        </w:tc>
        <w:tc>
          <w:tcPr>
            <w:tcW w:w="878" w:type="dxa"/>
            <w:noWrap w:val="0"/>
            <w:vAlign w:val="top"/>
          </w:tcPr>
          <w:p w14:paraId="019C5497">
            <w:pPr>
              <w:spacing w:line="440" w:lineRule="exact"/>
              <w:rPr>
                <w:color w:val="auto"/>
                <w:sz w:val="18"/>
                <w:szCs w:val="21"/>
                <w:highlight w:val="none"/>
              </w:rPr>
            </w:pPr>
          </w:p>
        </w:tc>
        <w:tc>
          <w:tcPr>
            <w:tcW w:w="878" w:type="dxa"/>
            <w:noWrap w:val="0"/>
            <w:vAlign w:val="top"/>
          </w:tcPr>
          <w:p w14:paraId="2FC00841">
            <w:pPr>
              <w:spacing w:line="440" w:lineRule="exact"/>
              <w:rPr>
                <w:color w:val="auto"/>
                <w:sz w:val="18"/>
                <w:szCs w:val="21"/>
                <w:highlight w:val="none"/>
              </w:rPr>
            </w:pPr>
          </w:p>
        </w:tc>
      </w:tr>
      <w:tr w14:paraId="2D726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2139353A">
            <w:pPr>
              <w:spacing w:line="440" w:lineRule="exact"/>
              <w:rPr>
                <w:color w:val="auto"/>
                <w:sz w:val="18"/>
                <w:szCs w:val="21"/>
                <w:highlight w:val="none"/>
              </w:rPr>
            </w:pPr>
          </w:p>
        </w:tc>
        <w:tc>
          <w:tcPr>
            <w:tcW w:w="876" w:type="dxa"/>
            <w:noWrap w:val="0"/>
            <w:vAlign w:val="top"/>
          </w:tcPr>
          <w:p w14:paraId="75010922">
            <w:pPr>
              <w:spacing w:line="440" w:lineRule="exact"/>
              <w:rPr>
                <w:color w:val="auto"/>
                <w:sz w:val="18"/>
                <w:szCs w:val="21"/>
                <w:highlight w:val="none"/>
              </w:rPr>
            </w:pPr>
          </w:p>
        </w:tc>
        <w:tc>
          <w:tcPr>
            <w:tcW w:w="1031" w:type="dxa"/>
            <w:noWrap w:val="0"/>
            <w:vAlign w:val="top"/>
          </w:tcPr>
          <w:p w14:paraId="313B08C7">
            <w:pPr>
              <w:spacing w:line="440" w:lineRule="exact"/>
              <w:rPr>
                <w:color w:val="auto"/>
                <w:sz w:val="18"/>
                <w:szCs w:val="21"/>
                <w:highlight w:val="none"/>
              </w:rPr>
            </w:pPr>
          </w:p>
        </w:tc>
        <w:tc>
          <w:tcPr>
            <w:tcW w:w="696" w:type="dxa"/>
            <w:noWrap w:val="0"/>
            <w:vAlign w:val="top"/>
          </w:tcPr>
          <w:p w14:paraId="73D84032">
            <w:pPr>
              <w:spacing w:line="440" w:lineRule="exact"/>
              <w:rPr>
                <w:color w:val="auto"/>
                <w:sz w:val="18"/>
                <w:szCs w:val="21"/>
                <w:highlight w:val="none"/>
              </w:rPr>
            </w:pPr>
          </w:p>
        </w:tc>
        <w:tc>
          <w:tcPr>
            <w:tcW w:w="878" w:type="dxa"/>
            <w:noWrap w:val="0"/>
            <w:vAlign w:val="top"/>
          </w:tcPr>
          <w:p w14:paraId="6876168E">
            <w:pPr>
              <w:spacing w:line="440" w:lineRule="exact"/>
              <w:rPr>
                <w:color w:val="auto"/>
                <w:sz w:val="18"/>
                <w:szCs w:val="21"/>
                <w:highlight w:val="none"/>
              </w:rPr>
            </w:pPr>
          </w:p>
        </w:tc>
        <w:tc>
          <w:tcPr>
            <w:tcW w:w="1017" w:type="dxa"/>
            <w:noWrap w:val="0"/>
            <w:vAlign w:val="top"/>
          </w:tcPr>
          <w:p w14:paraId="1B09A225">
            <w:pPr>
              <w:spacing w:line="440" w:lineRule="exact"/>
              <w:rPr>
                <w:color w:val="auto"/>
                <w:sz w:val="18"/>
                <w:szCs w:val="21"/>
                <w:highlight w:val="none"/>
              </w:rPr>
            </w:pPr>
          </w:p>
        </w:tc>
        <w:tc>
          <w:tcPr>
            <w:tcW w:w="1031" w:type="dxa"/>
            <w:noWrap w:val="0"/>
            <w:vAlign w:val="top"/>
          </w:tcPr>
          <w:p w14:paraId="649CF79B">
            <w:pPr>
              <w:spacing w:line="440" w:lineRule="exact"/>
              <w:rPr>
                <w:color w:val="auto"/>
                <w:sz w:val="18"/>
                <w:szCs w:val="21"/>
                <w:highlight w:val="none"/>
              </w:rPr>
            </w:pPr>
          </w:p>
        </w:tc>
        <w:tc>
          <w:tcPr>
            <w:tcW w:w="904" w:type="dxa"/>
            <w:noWrap w:val="0"/>
            <w:vAlign w:val="top"/>
          </w:tcPr>
          <w:p w14:paraId="5310A9EE">
            <w:pPr>
              <w:spacing w:line="440" w:lineRule="exact"/>
              <w:rPr>
                <w:color w:val="auto"/>
                <w:sz w:val="18"/>
                <w:szCs w:val="21"/>
                <w:highlight w:val="none"/>
              </w:rPr>
            </w:pPr>
          </w:p>
        </w:tc>
        <w:tc>
          <w:tcPr>
            <w:tcW w:w="878" w:type="dxa"/>
            <w:noWrap w:val="0"/>
            <w:vAlign w:val="top"/>
          </w:tcPr>
          <w:p w14:paraId="3CBEBF4B">
            <w:pPr>
              <w:spacing w:line="440" w:lineRule="exact"/>
              <w:rPr>
                <w:color w:val="auto"/>
                <w:sz w:val="18"/>
                <w:szCs w:val="21"/>
                <w:highlight w:val="none"/>
              </w:rPr>
            </w:pPr>
          </w:p>
        </w:tc>
        <w:tc>
          <w:tcPr>
            <w:tcW w:w="878" w:type="dxa"/>
            <w:noWrap w:val="0"/>
            <w:vAlign w:val="top"/>
          </w:tcPr>
          <w:p w14:paraId="7D9E8395">
            <w:pPr>
              <w:spacing w:line="440" w:lineRule="exact"/>
              <w:rPr>
                <w:color w:val="auto"/>
                <w:sz w:val="18"/>
                <w:szCs w:val="21"/>
                <w:highlight w:val="none"/>
              </w:rPr>
            </w:pPr>
          </w:p>
        </w:tc>
      </w:tr>
      <w:tr w14:paraId="1B448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2BF3931D">
            <w:pPr>
              <w:spacing w:line="440" w:lineRule="exact"/>
              <w:rPr>
                <w:color w:val="auto"/>
                <w:sz w:val="18"/>
                <w:szCs w:val="21"/>
                <w:highlight w:val="none"/>
              </w:rPr>
            </w:pPr>
          </w:p>
        </w:tc>
        <w:tc>
          <w:tcPr>
            <w:tcW w:w="876" w:type="dxa"/>
            <w:noWrap w:val="0"/>
            <w:vAlign w:val="top"/>
          </w:tcPr>
          <w:p w14:paraId="0D67A3F9">
            <w:pPr>
              <w:spacing w:line="440" w:lineRule="exact"/>
              <w:rPr>
                <w:color w:val="auto"/>
                <w:sz w:val="18"/>
                <w:szCs w:val="21"/>
                <w:highlight w:val="none"/>
              </w:rPr>
            </w:pPr>
          </w:p>
        </w:tc>
        <w:tc>
          <w:tcPr>
            <w:tcW w:w="1031" w:type="dxa"/>
            <w:noWrap w:val="0"/>
            <w:vAlign w:val="top"/>
          </w:tcPr>
          <w:p w14:paraId="2C6F0208">
            <w:pPr>
              <w:spacing w:line="440" w:lineRule="exact"/>
              <w:rPr>
                <w:color w:val="auto"/>
                <w:sz w:val="18"/>
                <w:szCs w:val="21"/>
                <w:highlight w:val="none"/>
              </w:rPr>
            </w:pPr>
          </w:p>
        </w:tc>
        <w:tc>
          <w:tcPr>
            <w:tcW w:w="696" w:type="dxa"/>
            <w:noWrap w:val="0"/>
            <w:vAlign w:val="top"/>
          </w:tcPr>
          <w:p w14:paraId="5C5B0819">
            <w:pPr>
              <w:spacing w:line="440" w:lineRule="exact"/>
              <w:rPr>
                <w:color w:val="auto"/>
                <w:sz w:val="18"/>
                <w:szCs w:val="21"/>
                <w:highlight w:val="none"/>
              </w:rPr>
            </w:pPr>
          </w:p>
        </w:tc>
        <w:tc>
          <w:tcPr>
            <w:tcW w:w="878" w:type="dxa"/>
            <w:noWrap w:val="0"/>
            <w:vAlign w:val="top"/>
          </w:tcPr>
          <w:p w14:paraId="69393966">
            <w:pPr>
              <w:spacing w:line="440" w:lineRule="exact"/>
              <w:rPr>
                <w:color w:val="auto"/>
                <w:sz w:val="18"/>
                <w:szCs w:val="21"/>
                <w:highlight w:val="none"/>
              </w:rPr>
            </w:pPr>
          </w:p>
        </w:tc>
        <w:tc>
          <w:tcPr>
            <w:tcW w:w="1017" w:type="dxa"/>
            <w:noWrap w:val="0"/>
            <w:vAlign w:val="top"/>
          </w:tcPr>
          <w:p w14:paraId="71ECD484">
            <w:pPr>
              <w:spacing w:line="440" w:lineRule="exact"/>
              <w:rPr>
                <w:color w:val="auto"/>
                <w:sz w:val="18"/>
                <w:szCs w:val="21"/>
                <w:highlight w:val="none"/>
              </w:rPr>
            </w:pPr>
          </w:p>
        </w:tc>
        <w:tc>
          <w:tcPr>
            <w:tcW w:w="1031" w:type="dxa"/>
            <w:noWrap w:val="0"/>
            <w:vAlign w:val="top"/>
          </w:tcPr>
          <w:p w14:paraId="5BC29236">
            <w:pPr>
              <w:spacing w:line="440" w:lineRule="exact"/>
              <w:rPr>
                <w:color w:val="auto"/>
                <w:sz w:val="18"/>
                <w:szCs w:val="21"/>
                <w:highlight w:val="none"/>
              </w:rPr>
            </w:pPr>
          </w:p>
        </w:tc>
        <w:tc>
          <w:tcPr>
            <w:tcW w:w="904" w:type="dxa"/>
            <w:noWrap w:val="0"/>
            <w:vAlign w:val="top"/>
          </w:tcPr>
          <w:p w14:paraId="18A7FE01">
            <w:pPr>
              <w:spacing w:line="440" w:lineRule="exact"/>
              <w:rPr>
                <w:color w:val="auto"/>
                <w:sz w:val="18"/>
                <w:szCs w:val="21"/>
                <w:highlight w:val="none"/>
              </w:rPr>
            </w:pPr>
          </w:p>
        </w:tc>
        <w:tc>
          <w:tcPr>
            <w:tcW w:w="878" w:type="dxa"/>
            <w:noWrap w:val="0"/>
            <w:vAlign w:val="top"/>
          </w:tcPr>
          <w:p w14:paraId="546ACD26">
            <w:pPr>
              <w:spacing w:line="440" w:lineRule="exact"/>
              <w:rPr>
                <w:color w:val="auto"/>
                <w:sz w:val="18"/>
                <w:szCs w:val="21"/>
                <w:highlight w:val="none"/>
              </w:rPr>
            </w:pPr>
          </w:p>
        </w:tc>
        <w:tc>
          <w:tcPr>
            <w:tcW w:w="878" w:type="dxa"/>
            <w:noWrap w:val="0"/>
            <w:vAlign w:val="top"/>
          </w:tcPr>
          <w:p w14:paraId="49DA8165">
            <w:pPr>
              <w:spacing w:line="440" w:lineRule="exact"/>
              <w:rPr>
                <w:color w:val="auto"/>
                <w:sz w:val="18"/>
                <w:szCs w:val="21"/>
                <w:highlight w:val="none"/>
              </w:rPr>
            </w:pPr>
          </w:p>
        </w:tc>
      </w:tr>
      <w:tr w14:paraId="63432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17D1CC65">
            <w:pPr>
              <w:spacing w:line="440" w:lineRule="exact"/>
              <w:rPr>
                <w:color w:val="auto"/>
                <w:sz w:val="18"/>
                <w:szCs w:val="21"/>
                <w:highlight w:val="none"/>
              </w:rPr>
            </w:pPr>
          </w:p>
        </w:tc>
        <w:tc>
          <w:tcPr>
            <w:tcW w:w="876" w:type="dxa"/>
            <w:noWrap w:val="0"/>
            <w:vAlign w:val="top"/>
          </w:tcPr>
          <w:p w14:paraId="194EC772">
            <w:pPr>
              <w:spacing w:line="440" w:lineRule="exact"/>
              <w:rPr>
                <w:color w:val="auto"/>
                <w:sz w:val="18"/>
                <w:szCs w:val="21"/>
                <w:highlight w:val="none"/>
              </w:rPr>
            </w:pPr>
          </w:p>
        </w:tc>
        <w:tc>
          <w:tcPr>
            <w:tcW w:w="1031" w:type="dxa"/>
            <w:noWrap w:val="0"/>
            <w:vAlign w:val="top"/>
          </w:tcPr>
          <w:p w14:paraId="37C2D263">
            <w:pPr>
              <w:spacing w:line="440" w:lineRule="exact"/>
              <w:rPr>
                <w:color w:val="auto"/>
                <w:sz w:val="18"/>
                <w:szCs w:val="21"/>
                <w:highlight w:val="none"/>
              </w:rPr>
            </w:pPr>
          </w:p>
        </w:tc>
        <w:tc>
          <w:tcPr>
            <w:tcW w:w="696" w:type="dxa"/>
            <w:noWrap w:val="0"/>
            <w:vAlign w:val="top"/>
          </w:tcPr>
          <w:p w14:paraId="2C48302F">
            <w:pPr>
              <w:spacing w:line="440" w:lineRule="exact"/>
              <w:rPr>
                <w:color w:val="auto"/>
                <w:sz w:val="18"/>
                <w:szCs w:val="21"/>
                <w:highlight w:val="none"/>
              </w:rPr>
            </w:pPr>
          </w:p>
        </w:tc>
        <w:tc>
          <w:tcPr>
            <w:tcW w:w="878" w:type="dxa"/>
            <w:noWrap w:val="0"/>
            <w:vAlign w:val="top"/>
          </w:tcPr>
          <w:p w14:paraId="469D41C4">
            <w:pPr>
              <w:spacing w:line="440" w:lineRule="exact"/>
              <w:rPr>
                <w:color w:val="auto"/>
                <w:sz w:val="18"/>
                <w:szCs w:val="21"/>
                <w:highlight w:val="none"/>
              </w:rPr>
            </w:pPr>
          </w:p>
        </w:tc>
        <w:tc>
          <w:tcPr>
            <w:tcW w:w="1017" w:type="dxa"/>
            <w:noWrap w:val="0"/>
            <w:vAlign w:val="top"/>
          </w:tcPr>
          <w:p w14:paraId="187BC8EB">
            <w:pPr>
              <w:spacing w:line="440" w:lineRule="exact"/>
              <w:rPr>
                <w:color w:val="auto"/>
                <w:sz w:val="18"/>
                <w:szCs w:val="21"/>
                <w:highlight w:val="none"/>
              </w:rPr>
            </w:pPr>
          </w:p>
        </w:tc>
        <w:tc>
          <w:tcPr>
            <w:tcW w:w="1031" w:type="dxa"/>
            <w:noWrap w:val="0"/>
            <w:vAlign w:val="top"/>
          </w:tcPr>
          <w:p w14:paraId="4D8F1252">
            <w:pPr>
              <w:spacing w:line="440" w:lineRule="exact"/>
              <w:rPr>
                <w:color w:val="auto"/>
                <w:sz w:val="18"/>
                <w:szCs w:val="21"/>
                <w:highlight w:val="none"/>
              </w:rPr>
            </w:pPr>
          </w:p>
        </w:tc>
        <w:tc>
          <w:tcPr>
            <w:tcW w:w="904" w:type="dxa"/>
            <w:noWrap w:val="0"/>
            <w:vAlign w:val="top"/>
          </w:tcPr>
          <w:p w14:paraId="643F6920">
            <w:pPr>
              <w:spacing w:line="440" w:lineRule="exact"/>
              <w:rPr>
                <w:color w:val="auto"/>
                <w:sz w:val="18"/>
                <w:szCs w:val="21"/>
                <w:highlight w:val="none"/>
              </w:rPr>
            </w:pPr>
          </w:p>
        </w:tc>
        <w:tc>
          <w:tcPr>
            <w:tcW w:w="878" w:type="dxa"/>
            <w:noWrap w:val="0"/>
            <w:vAlign w:val="top"/>
          </w:tcPr>
          <w:p w14:paraId="527174E1">
            <w:pPr>
              <w:spacing w:line="440" w:lineRule="exact"/>
              <w:rPr>
                <w:color w:val="auto"/>
                <w:sz w:val="18"/>
                <w:szCs w:val="21"/>
                <w:highlight w:val="none"/>
              </w:rPr>
            </w:pPr>
          </w:p>
        </w:tc>
        <w:tc>
          <w:tcPr>
            <w:tcW w:w="878" w:type="dxa"/>
            <w:noWrap w:val="0"/>
            <w:vAlign w:val="top"/>
          </w:tcPr>
          <w:p w14:paraId="03102A7C">
            <w:pPr>
              <w:spacing w:line="440" w:lineRule="exact"/>
              <w:rPr>
                <w:color w:val="auto"/>
                <w:sz w:val="18"/>
                <w:szCs w:val="21"/>
                <w:highlight w:val="none"/>
              </w:rPr>
            </w:pPr>
          </w:p>
        </w:tc>
      </w:tr>
      <w:tr w14:paraId="163BD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316B535A">
            <w:pPr>
              <w:spacing w:line="440" w:lineRule="exact"/>
              <w:rPr>
                <w:color w:val="auto"/>
                <w:sz w:val="18"/>
                <w:szCs w:val="21"/>
                <w:highlight w:val="none"/>
              </w:rPr>
            </w:pPr>
          </w:p>
        </w:tc>
        <w:tc>
          <w:tcPr>
            <w:tcW w:w="876" w:type="dxa"/>
            <w:noWrap w:val="0"/>
            <w:vAlign w:val="top"/>
          </w:tcPr>
          <w:p w14:paraId="52137222">
            <w:pPr>
              <w:spacing w:line="440" w:lineRule="exact"/>
              <w:rPr>
                <w:color w:val="auto"/>
                <w:sz w:val="18"/>
                <w:szCs w:val="21"/>
                <w:highlight w:val="none"/>
              </w:rPr>
            </w:pPr>
          </w:p>
        </w:tc>
        <w:tc>
          <w:tcPr>
            <w:tcW w:w="1031" w:type="dxa"/>
            <w:noWrap w:val="0"/>
            <w:vAlign w:val="top"/>
          </w:tcPr>
          <w:p w14:paraId="158C1C42">
            <w:pPr>
              <w:spacing w:line="440" w:lineRule="exact"/>
              <w:rPr>
                <w:color w:val="auto"/>
                <w:sz w:val="18"/>
                <w:szCs w:val="21"/>
                <w:highlight w:val="none"/>
              </w:rPr>
            </w:pPr>
          </w:p>
        </w:tc>
        <w:tc>
          <w:tcPr>
            <w:tcW w:w="696" w:type="dxa"/>
            <w:noWrap w:val="0"/>
            <w:vAlign w:val="top"/>
          </w:tcPr>
          <w:p w14:paraId="3F498EBC">
            <w:pPr>
              <w:spacing w:line="440" w:lineRule="exact"/>
              <w:rPr>
                <w:color w:val="auto"/>
                <w:sz w:val="18"/>
                <w:szCs w:val="21"/>
                <w:highlight w:val="none"/>
              </w:rPr>
            </w:pPr>
          </w:p>
        </w:tc>
        <w:tc>
          <w:tcPr>
            <w:tcW w:w="878" w:type="dxa"/>
            <w:noWrap w:val="0"/>
            <w:vAlign w:val="top"/>
          </w:tcPr>
          <w:p w14:paraId="668F3A73">
            <w:pPr>
              <w:spacing w:line="440" w:lineRule="exact"/>
              <w:rPr>
                <w:color w:val="auto"/>
                <w:sz w:val="18"/>
                <w:szCs w:val="21"/>
                <w:highlight w:val="none"/>
              </w:rPr>
            </w:pPr>
          </w:p>
        </w:tc>
        <w:tc>
          <w:tcPr>
            <w:tcW w:w="1017" w:type="dxa"/>
            <w:noWrap w:val="0"/>
            <w:vAlign w:val="top"/>
          </w:tcPr>
          <w:p w14:paraId="75D7C3B8">
            <w:pPr>
              <w:spacing w:line="440" w:lineRule="exact"/>
              <w:rPr>
                <w:color w:val="auto"/>
                <w:sz w:val="18"/>
                <w:szCs w:val="21"/>
                <w:highlight w:val="none"/>
              </w:rPr>
            </w:pPr>
          </w:p>
        </w:tc>
        <w:tc>
          <w:tcPr>
            <w:tcW w:w="1031" w:type="dxa"/>
            <w:noWrap w:val="0"/>
            <w:vAlign w:val="top"/>
          </w:tcPr>
          <w:p w14:paraId="41045CA4">
            <w:pPr>
              <w:spacing w:line="440" w:lineRule="exact"/>
              <w:rPr>
                <w:color w:val="auto"/>
                <w:sz w:val="18"/>
                <w:szCs w:val="21"/>
                <w:highlight w:val="none"/>
              </w:rPr>
            </w:pPr>
          </w:p>
        </w:tc>
        <w:tc>
          <w:tcPr>
            <w:tcW w:w="904" w:type="dxa"/>
            <w:noWrap w:val="0"/>
            <w:vAlign w:val="top"/>
          </w:tcPr>
          <w:p w14:paraId="3BD3726E">
            <w:pPr>
              <w:spacing w:line="440" w:lineRule="exact"/>
              <w:rPr>
                <w:color w:val="auto"/>
                <w:sz w:val="18"/>
                <w:szCs w:val="21"/>
                <w:highlight w:val="none"/>
              </w:rPr>
            </w:pPr>
          </w:p>
        </w:tc>
        <w:tc>
          <w:tcPr>
            <w:tcW w:w="878" w:type="dxa"/>
            <w:noWrap w:val="0"/>
            <w:vAlign w:val="top"/>
          </w:tcPr>
          <w:p w14:paraId="16C100EB">
            <w:pPr>
              <w:spacing w:line="440" w:lineRule="exact"/>
              <w:rPr>
                <w:color w:val="auto"/>
                <w:sz w:val="18"/>
                <w:szCs w:val="21"/>
                <w:highlight w:val="none"/>
              </w:rPr>
            </w:pPr>
          </w:p>
        </w:tc>
        <w:tc>
          <w:tcPr>
            <w:tcW w:w="878" w:type="dxa"/>
            <w:noWrap w:val="0"/>
            <w:vAlign w:val="top"/>
          </w:tcPr>
          <w:p w14:paraId="39ECE4B8">
            <w:pPr>
              <w:spacing w:line="440" w:lineRule="exact"/>
              <w:rPr>
                <w:color w:val="auto"/>
                <w:sz w:val="18"/>
                <w:szCs w:val="21"/>
                <w:highlight w:val="none"/>
              </w:rPr>
            </w:pPr>
          </w:p>
        </w:tc>
      </w:tr>
      <w:tr w14:paraId="32190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2710E3D3">
            <w:pPr>
              <w:spacing w:line="440" w:lineRule="exact"/>
              <w:rPr>
                <w:color w:val="auto"/>
                <w:sz w:val="18"/>
                <w:szCs w:val="21"/>
                <w:highlight w:val="none"/>
              </w:rPr>
            </w:pPr>
          </w:p>
        </w:tc>
        <w:tc>
          <w:tcPr>
            <w:tcW w:w="876" w:type="dxa"/>
            <w:noWrap w:val="0"/>
            <w:vAlign w:val="top"/>
          </w:tcPr>
          <w:p w14:paraId="2F07C271">
            <w:pPr>
              <w:spacing w:line="440" w:lineRule="exact"/>
              <w:rPr>
                <w:color w:val="auto"/>
                <w:sz w:val="18"/>
                <w:szCs w:val="21"/>
                <w:highlight w:val="none"/>
              </w:rPr>
            </w:pPr>
          </w:p>
        </w:tc>
        <w:tc>
          <w:tcPr>
            <w:tcW w:w="1031" w:type="dxa"/>
            <w:noWrap w:val="0"/>
            <w:vAlign w:val="top"/>
          </w:tcPr>
          <w:p w14:paraId="32467894">
            <w:pPr>
              <w:spacing w:line="440" w:lineRule="exact"/>
              <w:rPr>
                <w:color w:val="auto"/>
                <w:sz w:val="18"/>
                <w:szCs w:val="21"/>
                <w:highlight w:val="none"/>
              </w:rPr>
            </w:pPr>
          </w:p>
        </w:tc>
        <w:tc>
          <w:tcPr>
            <w:tcW w:w="696" w:type="dxa"/>
            <w:noWrap w:val="0"/>
            <w:vAlign w:val="top"/>
          </w:tcPr>
          <w:p w14:paraId="51F509EC">
            <w:pPr>
              <w:spacing w:line="440" w:lineRule="exact"/>
              <w:rPr>
                <w:color w:val="auto"/>
                <w:sz w:val="18"/>
                <w:szCs w:val="21"/>
                <w:highlight w:val="none"/>
              </w:rPr>
            </w:pPr>
          </w:p>
        </w:tc>
        <w:tc>
          <w:tcPr>
            <w:tcW w:w="878" w:type="dxa"/>
            <w:noWrap w:val="0"/>
            <w:vAlign w:val="top"/>
          </w:tcPr>
          <w:p w14:paraId="3ADD6BA8">
            <w:pPr>
              <w:spacing w:line="440" w:lineRule="exact"/>
              <w:rPr>
                <w:color w:val="auto"/>
                <w:sz w:val="18"/>
                <w:szCs w:val="21"/>
                <w:highlight w:val="none"/>
              </w:rPr>
            </w:pPr>
          </w:p>
        </w:tc>
        <w:tc>
          <w:tcPr>
            <w:tcW w:w="1017" w:type="dxa"/>
            <w:noWrap w:val="0"/>
            <w:vAlign w:val="top"/>
          </w:tcPr>
          <w:p w14:paraId="1C3CDB1B">
            <w:pPr>
              <w:spacing w:line="440" w:lineRule="exact"/>
              <w:rPr>
                <w:color w:val="auto"/>
                <w:sz w:val="18"/>
                <w:szCs w:val="21"/>
                <w:highlight w:val="none"/>
              </w:rPr>
            </w:pPr>
          </w:p>
        </w:tc>
        <w:tc>
          <w:tcPr>
            <w:tcW w:w="1031" w:type="dxa"/>
            <w:noWrap w:val="0"/>
            <w:vAlign w:val="top"/>
          </w:tcPr>
          <w:p w14:paraId="4F598D23">
            <w:pPr>
              <w:spacing w:line="440" w:lineRule="exact"/>
              <w:rPr>
                <w:color w:val="auto"/>
                <w:sz w:val="18"/>
                <w:szCs w:val="21"/>
                <w:highlight w:val="none"/>
              </w:rPr>
            </w:pPr>
          </w:p>
        </w:tc>
        <w:tc>
          <w:tcPr>
            <w:tcW w:w="904" w:type="dxa"/>
            <w:noWrap w:val="0"/>
            <w:vAlign w:val="top"/>
          </w:tcPr>
          <w:p w14:paraId="0481DFBB">
            <w:pPr>
              <w:spacing w:line="440" w:lineRule="exact"/>
              <w:rPr>
                <w:color w:val="auto"/>
                <w:sz w:val="18"/>
                <w:szCs w:val="21"/>
                <w:highlight w:val="none"/>
              </w:rPr>
            </w:pPr>
          </w:p>
        </w:tc>
        <w:tc>
          <w:tcPr>
            <w:tcW w:w="878" w:type="dxa"/>
            <w:noWrap w:val="0"/>
            <w:vAlign w:val="top"/>
          </w:tcPr>
          <w:p w14:paraId="1D25725C">
            <w:pPr>
              <w:spacing w:line="440" w:lineRule="exact"/>
              <w:rPr>
                <w:color w:val="auto"/>
                <w:sz w:val="18"/>
                <w:szCs w:val="21"/>
                <w:highlight w:val="none"/>
              </w:rPr>
            </w:pPr>
          </w:p>
        </w:tc>
        <w:tc>
          <w:tcPr>
            <w:tcW w:w="878" w:type="dxa"/>
            <w:noWrap w:val="0"/>
            <w:vAlign w:val="top"/>
          </w:tcPr>
          <w:p w14:paraId="06E216D9">
            <w:pPr>
              <w:spacing w:line="440" w:lineRule="exact"/>
              <w:rPr>
                <w:color w:val="auto"/>
                <w:sz w:val="18"/>
                <w:szCs w:val="21"/>
                <w:highlight w:val="none"/>
              </w:rPr>
            </w:pPr>
          </w:p>
        </w:tc>
      </w:tr>
      <w:tr w14:paraId="3EA9A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0DA1C296">
            <w:pPr>
              <w:spacing w:line="440" w:lineRule="exact"/>
              <w:rPr>
                <w:color w:val="auto"/>
                <w:sz w:val="18"/>
                <w:szCs w:val="21"/>
                <w:highlight w:val="none"/>
              </w:rPr>
            </w:pPr>
          </w:p>
        </w:tc>
        <w:tc>
          <w:tcPr>
            <w:tcW w:w="876" w:type="dxa"/>
            <w:noWrap w:val="0"/>
            <w:vAlign w:val="top"/>
          </w:tcPr>
          <w:p w14:paraId="79296E1B">
            <w:pPr>
              <w:spacing w:line="440" w:lineRule="exact"/>
              <w:rPr>
                <w:color w:val="auto"/>
                <w:sz w:val="18"/>
                <w:szCs w:val="21"/>
                <w:highlight w:val="none"/>
              </w:rPr>
            </w:pPr>
          </w:p>
        </w:tc>
        <w:tc>
          <w:tcPr>
            <w:tcW w:w="1031" w:type="dxa"/>
            <w:noWrap w:val="0"/>
            <w:vAlign w:val="top"/>
          </w:tcPr>
          <w:p w14:paraId="3ACBD1BC">
            <w:pPr>
              <w:spacing w:line="440" w:lineRule="exact"/>
              <w:rPr>
                <w:color w:val="auto"/>
                <w:sz w:val="18"/>
                <w:szCs w:val="21"/>
                <w:highlight w:val="none"/>
              </w:rPr>
            </w:pPr>
          </w:p>
        </w:tc>
        <w:tc>
          <w:tcPr>
            <w:tcW w:w="696" w:type="dxa"/>
            <w:noWrap w:val="0"/>
            <w:vAlign w:val="top"/>
          </w:tcPr>
          <w:p w14:paraId="094795CE">
            <w:pPr>
              <w:spacing w:line="440" w:lineRule="exact"/>
              <w:rPr>
                <w:color w:val="auto"/>
                <w:sz w:val="18"/>
                <w:szCs w:val="21"/>
                <w:highlight w:val="none"/>
              </w:rPr>
            </w:pPr>
          </w:p>
        </w:tc>
        <w:tc>
          <w:tcPr>
            <w:tcW w:w="878" w:type="dxa"/>
            <w:noWrap w:val="0"/>
            <w:vAlign w:val="top"/>
          </w:tcPr>
          <w:p w14:paraId="03A7717D">
            <w:pPr>
              <w:spacing w:line="440" w:lineRule="exact"/>
              <w:rPr>
                <w:color w:val="auto"/>
                <w:sz w:val="18"/>
                <w:szCs w:val="21"/>
                <w:highlight w:val="none"/>
              </w:rPr>
            </w:pPr>
          </w:p>
        </w:tc>
        <w:tc>
          <w:tcPr>
            <w:tcW w:w="1017" w:type="dxa"/>
            <w:noWrap w:val="0"/>
            <w:vAlign w:val="top"/>
          </w:tcPr>
          <w:p w14:paraId="49A8BB4A">
            <w:pPr>
              <w:spacing w:line="440" w:lineRule="exact"/>
              <w:rPr>
                <w:color w:val="auto"/>
                <w:sz w:val="18"/>
                <w:szCs w:val="21"/>
                <w:highlight w:val="none"/>
              </w:rPr>
            </w:pPr>
          </w:p>
        </w:tc>
        <w:tc>
          <w:tcPr>
            <w:tcW w:w="1031" w:type="dxa"/>
            <w:noWrap w:val="0"/>
            <w:vAlign w:val="top"/>
          </w:tcPr>
          <w:p w14:paraId="2DD37F4B">
            <w:pPr>
              <w:spacing w:line="440" w:lineRule="exact"/>
              <w:rPr>
                <w:color w:val="auto"/>
                <w:sz w:val="18"/>
                <w:szCs w:val="21"/>
                <w:highlight w:val="none"/>
              </w:rPr>
            </w:pPr>
          </w:p>
        </w:tc>
        <w:tc>
          <w:tcPr>
            <w:tcW w:w="904" w:type="dxa"/>
            <w:noWrap w:val="0"/>
            <w:vAlign w:val="top"/>
          </w:tcPr>
          <w:p w14:paraId="278F34B8">
            <w:pPr>
              <w:spacing w:line="440" w:lineRule="exact"/>
              <w:rPr>
                <w:color w:val="auto"/>
                <w:sz w:val="18"/>
                <w:szCs w:val="21"/>
                <w:highlight w:val="none"/>
              </w:rPr>
            </w:pPr>
          </w:p>
        </w:tc>
        <w:tc>
          <w:tcPr>
            <w:tcW w:w="878" w:type="dxa"/>
            <w:noWrap w:val="0"/>
            <w:vAlign w:val="top"/>
          </w:tcPr>
          <w:p w14:paraId="232C8A7A">
            <w:pPr>
              <w:spacing w:line="440" w:lineRule="exact"/>
              <w:rPr>
                <w:color w:val="auto"/>
                <w:sz w:val="18"/>
                <w:szCs w:val="21"/>
                <w:highlight w:val="none"/>
              </w:rPr>
            </w:pPr>
          </w:p>
        </w:tc>
        <w:tc>
          <w:tcPr>
            <w:tcW w:w="878" w:type="dxa"/>
            <w:noWrap w:val="0"/>
            <w:vAlign w:val="top"/>
          </w:tcPr>
          <w:p w14:paraId="69B7394A">
            <w:pPr>
              <w:spacing w:line="440" w:lineRule="exact"/>
              <w:rPr>
                <w:color w:val="auto"/>
                <w:sz w:val="18"/>
                <w:szCs w:val="21"/>
                <w:highlight w:val="none"/>
              </w:rPr>
            </w:pPr>
          </w:p>
        </w:tc>
      </w:tr>
      <w:tr w14:paraId="44EC4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6A91EF15">
            <w:pPr>
              <w:spacing w:line="440" w:lineRule="exact"/>
              <w:rPr>
                <w:color w:val="auto"/>
                <w:sz w:val="18"/>
                <w:szCs w:val="21"/>
                <w:highlight w:val="none"/>
              </w:rPr>
            </w:pPr>
          </w:p>
        </w:tc>
        <w:tc>
          <w:tcPr>
            <w:tcW w:w="876" w:type="dxa"/>
            <w:noWrap w:val="0"/>
            <w:vAlign w:val="top"/>
          </w:tcPr>
          <w:p w14:paraId="7215597C">
            <w:pPr>
              <w:spacing w:line="440" w:lineRule="exact"/>
              <w:rPr>
                <w:color w:val="auto"/>
                <w:sz w:val="18"/>
                <w:szCs w:val="21"/>
                <w:highlight w:val="none"/>
              </w:rPr>
            </w:pPr>
          </w:p>
        </w:tc>
        <w:tc>
          <w:tcPr>
            <w:tcW w:w="1031" w:type="dxa"/>
            <w:noWrap w:val="0"/>
            <w:vAlign w:val="top"/>
          </w:tcPr>
          <w:p w14:paraId="3CE8179C">
            <w:pPr>
              <w:spacing w:line="440" w:lineRule="exact"/>
              <w:rPr>
                <w:color w:val="auto"/>
                <w:sz w:val="18"/>
                <w:szCs w:val="21"/>
                <w:highlight w:val="none"/>
              </w:rPr>
            </w:pPr>
          </w:p>
        </w:tc>
        <w:tc>
          <w:tcPr>
            <w:tcW w:w="696" w:type="dxa"/>
            <w:noWrap w:val="0"/>
            <w:vAlign w:val="top"/>
          </w:tcPr>
          <w:p w14:paraId="7A937BF9">
            <w:pPr>
              <w:spacing w:line="440" w:lineRule="exact"/>
              <w:rPr>
                <w:color w:val="auto"/>
                <w:sz w:val="18"/>
                <w:szCs w:val="21"/>
                <w:highlight w:val="none"/>
              </w:rPr>
            </w:pPr>
          </w:p>
        </w:tc>
        <w:tc>
          <w:tcPr>
            <w:tcW w:w="878" w:type="dxa"/>
            <w:noWrap w:val="0"/>
            <w:vAlign w:val="top"/>
          </w:tcPr>
          <w:p w14:paraId="1038DDAB">
            <w:pPr>
              <w:spacing w:line="440" w:lineRule="exact"/>
              <w:rPr>
                <w:color w:val="auto"/>
                <w:sz w:val="18"/>
                <w:szCs w:val="21"/>
                <w:highlight w:val="none"/>
              </w:rPr>
            </w:pPr>
          </w:p>
        </w:tc>
        <w:tc>
          <w:tcPr>
            <w:tcW w:w="1017" w:type="dxa"/>
            <w:noWrap w:val="0"/>
            <w:vAlign w:val="top"/>
          </w:tcPr>
          <w:p w14:paraId="44B5013E">
            <w:pPr>
              <w:spacing w:line="440" w:lineRule="exact"/>
              <w:rPr>
                <w:color w:val="auto"/>
                <w:sz w:val="18"/>
                <w:szCs w:val="21"/>
                <w:highlight w:val="none"/>
              </w:rPr>
            </w:pPr>
          </w:p>
        </w:tc>
        <w:tc>
          <w:tcPr>
            <w:tcW w:w="1031" w:type="dxa"/>
            <w:noWrap w:val="0"/>
            <w:vAlign w:val="top"/>
          </w:tcPr>
          <w:p w14:paraId="1D5528AE">
            <w:pPr>
              <w:spacing w:line="440" w:lineRule="exact"/>
              <w:rPr>
                <w:color w:val="auto"/>
                <w:sz w:val="18"/>
                <w:szCs w:val="21"/>
                <w:highlight w:val="none"/>
              </w:rPr>
            </w:pPr>
          </w:p>
        </w:tc>
        <w:tc>
          <w:tcPr>
            <w:tcW w:w="904" w:type="dxa"/>
            <w:noWrap w:val="0"/>
            <w:vAlign w:val="top"/>
          </w:tcPr>
          <w:p w14:paraId="69470973">
            <w:pPr>
              <w:spacing w:line="440" w:lineRule="exact"/>
              <w:rPr>
                <w:color w:val="auto"/>
                <w:sz w:val="18"/>
                <w:szCs w:val="21"/>
                <w:highlight w:val="none"/>
              </w:rPr>
            </w:pPr>
          </w:p>
        </w:tc>
        <w:tc>
          <w:tcPr>
            <w:tcW w:w="878" w:type="dxa"/>
            <w:noWrap w:val="0"/>
            <w:vAlign w:val="top"/>
          </w:tcPr>
          <w:p w14:paraId="618F732E">
            <w:pPr>
              <w:spacing w:line="440" w:lineRule="exact"/>
              <w:rPr>
                <w:color w:val="auto"/>
                <w:sz w:val="18"/>
                <w:szCs w:val="21"/>
                <w:highlight w:val="none"/>
              </w:rPr>
            </w:pPr>
          </w:p>
        </w:tc>
        <w:tc>
          <w:tcPr>
            <w:tcW w:w="878" w:type="dxa"/>
            <w:noWrap w:val="0"/>
            <w:vAlign w:val="top"/>
          </w:tcPr>
          <w:p w14:paraId="374D2ACD">
            <w:pPr>
              <w:spacing w:line="440" w:lineRule="exact"/>
              <w:rPr>
                <w:color w:val="auto"/>
                <w:sz w:val="18"/>
                <w:szCs w:val="21"/>
                <w:highlight w:val="none"/>
              </w:rPr>
            </w:pPr>
          </w:p>
        </w:tc>
      </w:tr>
      <w:tr w14:paraId="464CE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748F597D">
            <w:pPr>
              <w:spacing w:line="440" w:lineRule="exact"/>
              <w:rPr>
                <w:color w:val="auto"/>
                <w:sz w:val="18"/>
                <w:szCs w:val="21"/>
                <w:highlight w:val="none"/>
              </w:rPr>
            </w:pPr>
          </w:p>
        </w:tc>
        <w:tc>
          <w:tcPr>
            <w:tcW w:w="876" w:type="dxa"/>
            <w:noWrap w:val="0"/>
            <w:vAlign w:val="top"/>
          </w:tcPr>
          <w:p w14:paraId="4DCC300A">
            <w:pPr>
              <w:spacing w:line="440" w:lineRule="exact"/>
              <w:rPr>
                <w:color w:val="auto"/>
                <w:sz w:val="18"/>
                <w:szCs w:val="21"/>
                <w:highlight w:val="none"/>
              </w:rPr>
            </w:pPr>
          </w:p>
        </w:tc>
        <w:tc>
          <w:tcPr>
            <w:tcW w:w="1031" w:type="dxa"/>
            <w:noWrap w:val="0"/>
            <w:vAlign w:val="top"/>
          </w:tcPr>
          <w:p w14:paraId="38FBFA3F">
            <w:pPr>
              <w:spacing w:line="440" w:lineRule="exact"/>
              <w:rPr>
                <w:color w:val="auto"/>
                <w:sz w:val="18"/>
                <w:szCs w:val="21"/>
                <w:highlight w:val="none"/>
              </w:rPr>
            </w:pPr>
          </w:p>
        </w:tc>
        <w:tc>
          <w:tcPr>
            <w:tcW w:w="696" w:type="dxa"/>
            <w:noWrap w:val="0"/>
            <w:vAlign w:val="top"/>
          </w:tcPr>
          <w:p w14:paraId="04323315">
            <w:pPr>
              <w:spacing w:line="440" w:lineRule="exact"/>
              <w:rPr>
                <w:color w:val="auto"/>
                <w:sz w:val="18"/>
                <w:szCs w:val="21"/>
                <w:highlight w:val="none"/>
              </w:rPr>
            </w:pPr>
          </w:p>
        </w:tc>
        <w:tc>
          <w:tcPr>
            <w:tcW w:w="878" w:type="dxa"/>
            <w:noWrap w:val="0"/>
            <w:vAlign w:val="top"/>
          </w:tcPr>
          <w:p w14:paraId="6F0A5AF9">
            <w:pPr>
              <w:spacing w:line="440" w:lineRule="exact"/>
              <w:rPr>
                <w:color w:val="auto"/>
                <w:sz w:val="18"/>
                <w:szCs w:val="21"/>
                <w:highlight w:val="none"/>
              </w:rPr>
            </w:pPr>
          </w:p>
        </w:tc>
        <w:tc>
          <w:tcPr>
            <w:tcW w:w="1017" w:type="dxa"/>
            <w:noWrap w:val="0"/>
            <w:vAlign w:val="top"/>
          </w:tcPr>
          <w:p w14:paraId="5F487E11">
            <w:pPr>
              <w:spacing w:line="440" w:lineRule="exact"/>
              <w:rPr>
                <w:color w:val="auto"/>
                <w:sz w:val="18"/>
                <w:szCs w:val="21"/>
                <w:highlight w:val="none"/>
              </w:rPr>
            </w:pPr>
          </w:p>
        </w:tc>
        <w:tc>
          <w:tcPr>
            <w:tcW w:w="1031" w:type="dxa"/>
            <w:noWrap w:val="0"/>
            <w:vAlign w:val="top"/>
          </w:tcPr>
          <w:p w14:paraId="664D659E">
            <w:pPr>
              <w:spacing w:line="440" w:lineRule="exact"/>
              <w:rPr>
                <w:color w:val="auto"/>
                <w:sz w:val="18"/>
                <w:szCs w:val="21"/>
                <w:highlight w:val="none"/>
              </w:rPr>
            </w:pPr>
          </w:p>
        </w:tc>
        <w:tc>
          <w:tcPr>
            <w:tcW w:w="904" w:type="dxa"/>
            <w:noWrap w:val="0"/>
            <w:vAlign w:val="top"/>
          </w:tcPr>
          <w:p w14:paraId="1C46FE61">
            <w:pPr>
              <w:spacing w:line="440" w:lineRule="exact"/>
              <w:rPr>
                <w:color w:val="auto"/>
                <w:sz w:val="18"/>
                <w:szCs w:val="21"/>
                <w:highlight w:val="none"/>
              </w:rPr>
            </w:pPr>
          </w:p>
        </w:tc>
        <w:tc>
          <w:tcPr>
            <w:tcW w:w="878" w:type="dxa"/>
            <w:noWrap w:val="0"/>
            <w:vAlign w:val="top"/>
          </w:tcPr>
          <w:p w14:paraId="3B82DED0">
            <w:pPr>
              <w:spacing w:line="440" w:lineRule="exact"/>
              <w:rPr>
                <w:color w:val="auto"/>
                <w:sz w:val="18"/>
                <w:szCs w:val="21"/>
                <w:highlight w:val="none"/>
              </w:rPr>
            </w:pPr>
          </w:p>
        </w:tc>
        <w:tc>
          <w:tcPr>
            <w:tcW w:w="878" w:type="dxa"/>
            <w:noWrap w:val="0"/>
            <w:vAlign w:val="top"/>
          </w:tcPr>
          <w:p w14:paraId="431136D5">
            <w:pPr>
              <w:spacing w:line="440" w:lineRule="exact"/>
              <w:rPr>
                <w:color w:val="auto"/>
                <w:sz w:val="18"/>
                <w:szCs w:val="21"/>
                <w:highlight w:val="none"/>
              </w:rPr>
            </w:pPr>
          </w:p>
        </w:tc>
      </w:tr>
      <w:tr w14:paraId="1A94D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0C9B8A3E">
            <w:pPr>
              <w:spacing w:line="440" w:lineRule="exact"/>
              <w:rPr>
                <w:color w:val="auto"/>
                <w:sz w:val="18"/>
                <w:szCs w:val="21"/>
                <w:highlight w:val="none"/>
              </w:rPr>
            </w:pPr>
          </w:p>
        </w:tc>
        <w:tc>
          <w:tcPr>
            <w:tcW w:w="876" w:type="dxa"/>
            <w:noWrap w:val="0"/>
            <w:vAlign w:val="top"/>
          </w:tcPr>
          <w:p w14:paraId="60D1E484">
            <w:pPr>
              <w:spacing w:line="440" w:lineRule="exact"/>
              <w:rPr>
                <w:color w:val="auto"/>
                <w:sz w:val="18"/>
                <w:szCs w:val="21"/>
                <w:highlight w:val="none"/>
              </w:rPr>
            </w:pPr>
          </w:p>
        </w:tc>
        <w:tc>
          <w:tcPr>
            <w:tcW w:w="1031" w:type="dxa"/>
            <w:noWrap w:val="0"/>
            <w:vAlign w:val="top"/>
          </w:tcPr>
          <w:p w14:paraId="248837F9">
            <w:pPr>
              <w:spacing w:line="440" w:lineRule="exact"/>
              <w:rPr>
                <w:color w:val="auto"/>
                <w:sz w:val="18"/>
                <w:szCs w:val="21"/>
                <w:highlight w:val="none"/>
              </w:rPr>
            </w:pPr>
          </w:p>
        </w:tc>
        <w:tc>
          <w:tcPr>
            <w:tcW w:w="696" w:type="dxa"/>
            <w:noWrap w:val="0"/>
            <w:vAlign w:val="top"/>
          </w:tcPr>
          <w:p w14:paraId="3B441017">
            <w:pPr>
              <w:spacing w:line="440" w:lineRule="exact"/>
              <w:rPr>
                <w:color w:val="auto"/>
                <w:sz w:val="18"/>
                <w:szCs w:val="21"/>
                <w:highlight w:val="none"/>
              </w:rPr>
            </w:pPr>
          </w:p>
        </w:tc>
        <w:tc>
          <w:tcPr>
            <w:tcW w:w="878" w:type="dxa"/>
            <w:noWrap w:val="0"/>
            <w:vAlign w:val="top"/>
          </w:tcPr>
          <w:p w14:paraId="540E8657">
            <w:pPr>
              <w:spacing w:line="440" w:lineRule="exact"/>
              <w:rPr>
                <w:color w:val="auto"/>
                <w:sz w:val="18"/>
                <w:szCs w:val="21"/>
                <w:highlight w:val="none"/>
              </w:rPr>
            </w:pPr>
          </w:p>
        </w:tc>
        <w:tc>
          <w:tcPr>
            <w:tcW w:w="1017" w:type="dxa"/>
            <w:noWrap w:val="0"/>
            <w:vAlign w:val="top"/>
          </w:tcPr>
          <w:p w14:paraId="14E0D9BC">
            <w:pPr>
              <w:spacing w:line="440" w:lineRule="exact"/>
              <w:rPr>
                <w:color w:val="auto"/>
                <w:sz w:val="18"/>
                <w:szCs w:val="21"/>
                <w:highlight w:val="none"/>
              </w:rPr>
            </w:pPr>
          </w:p>
        </w:tc>
        <w:tc>
          <w:tcPr>
            <w:tcW w:w="1031" w:type="dxa"/>
            <w:noWrap w:val="0"/>
            <w:vAlign w:val="top"/>
          </w:tcPr>
          <w:p w14:paraId="42529462">
            <w:pPr>
              <w:spacing w:line="440" w:lineRule="exact"/>
              <w:rPr>
                <w:color w:val="auto"/>
                <w:sz w:val="18"/>
                <w:szCs w:val="21"/>
                <w:highlight w:val="none"/>
              </w:rPr>
            </w:pPr>
          </w:p>
        </w:tc>
        <w:tc>
          <w:tcPr>
            <w:tcW w:w="904" w:type="dxa"/>
            <w:noWrap w:val="0"/>
            <w:vAlign w:val="top"/>
          </w:tcPr>
          <w:p w14:paraId="6498446C">
            <w:pPr>
              <w:spacing w:line="440" w:lineRule="exact"/>
              <w:rPr>
                <w:color w:val="auto"/>
                <w:sz w:val="18"/>
                <w:szCs w:val="21"/>
                <w:highlight w:val="none"/>
              </w:rPr>
            </w:pPr>
          </w:p>
        </w:tc>
        <w:tc>
          <w:tcPr>
            <w:tcW w:w="878" w:type="dxa"/>
            <w:noWrap w:val="0"/>
            <w:vAlign w:val="top"/>
          </w:tcPr>
          <w:p w14:paraId="020CAB76">
            <w:pPr>
              <w:spacing w:line="440" w:lineRule="exact"/>
              <w:rPr>
                <w:color w:val="auto"/>
                <w:sz w:val="18"/>
                <w:szCs w:val="21"/>
                <w:highlight w:val="none"/>
              </w:rPr>
            </w:pPr>
          </w:p>
        </w:tc>
        <w:tc>
          <w:tcPr>
            <w:tcW w:w="878" w:type="dxa"/>
            <w:noWrap w:val="0"/>
            <w:vAlign w:val="top"/>
          </w:tcPr>
          <w:p w14:paraId="71E0EAC9">
            <w:pPr>
              <w:spacing w:line="440" w:lineRule="exact"/>
              <w:rPr>
                <w:color w:val="auto"/>
                <w:sz w:val="18"/>
                <w:szCs w:val="21"/>
                <w:highlight w:val="none"/>
              </w:rPr>
            </w:pPr>
          </w:p>
        </w:tc>
      </w:tr>
      <w:tr w14:paraId="06428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32A2774B">
            <w:pPr>
              <w:spacing w:line="440" w:lineRule="exact"/>
              <w:rPr>
                <w:color w:val="auto"/>
                <w:sz w:val="18"/>
                <w:szCs w:val="21"/>
                <w:highlight w:val="none"/>
              </w:rPr>
            </w:pPr>
          </w:p>
        </w:tc>
        <w:tc>
          <w:tcPr>
            <w:tcW w:w="876" w:type="dxa"/>
            <w:noWrap w:val="0"/>
            <w:vAlign w:val="top"/>
          </w:tcPr>
          <w:p w14:paraId="2B78243B">
            <w:pPr>
              <w:spacing w:line="440" w:lineRule="exact"/>
              <w:rPr>
                <w:color w:val="auto"/>
                <w:sz w:val="18"/>
                <w:szCs w:val="21"/>
                <w:highlight w:val="none"/>
              </w:rPr>
            </w:pPr>
          </w:p>
        </w:tc>
        <w:tc>
          <w:tcPr>
            <w:tcW w:w="1031" w:type="dxa"/>
            <w:noWrap w:val="0"/>
            <w:vAlign w:val="top"/>
          </w:tcPr>
          <w:p w14:paraId="091192F4">
            <w:pPr>
              <w:spacing w:line="440" w:lineRule="exact"/>
              <w:rPr>
                <w:color w:val="auto"/>
                <w:sz w:val="18"/>
                <w:szCs w:val="21"/>
                <w:highlight w:val="none"/>
              </w:rPr>
            </w:pPr>
          </w:p>
        </w:tc>
        <w:tc>
          <w:tcPr>
            <w:tcW w:w="696" w:type="dxa"/>
            <w:noWrap w:val="0"/>
            <w:vAlign w:val="top"/>
          </w:tcPr>
          <w:p w14:paraId="60956C59">
            <w:pPr>
              <w:spacing w:line="440" w:lineRule="exact"/>
              <w:rPr>
                <w:color w:val="auto"/>
                <w:sz w:val="18"/>
                <w:szCs w:val="21"/>
                <w:highlight w:val="none"/>
              </w:rPr>
            </w:pPr>
          </w:p>
        </w:tc>
        <w:tc>
          <w:tcPr>
            <w:tcW w:w="878" w:type="dxa"/>
            <w:noWrap w:val="0"/>
            <w:vAlign w:val="top"/>
          </w:tcPr>
          <w:p w14:paraId="7FE25FA8">
            <w:pPr>
              <w:spacing w:line="440" w:lineRule="exact"/>
              <w:rPr>
                <w:color w:val="auto"/>
                <w:sz w:val="18"/>
                <w:szCs w:val="21"/>
                <w:highlight w:val="none"/>
              </w:rPr>
            </w:pPr>
          </w:p>
        </w:tc>
        <w:tc>
          <w:tcPr>
            <w:tcW w:w="1017" w:type="dxa"/>
            <w:noWrap w:val="0"/>
            <w:vAlign w:val="top"/>
          </w:tcPr>
          <w:p w14:paraId="7303FE99">
            <w:pPr>
              <w:spacing w:line="440" w:lineRule="exact"/>
              <w:rPr>
                <w:color w:val="auto"/>
                <w:sz w:val="18"/>
                <w:szCs w:val="21"/>
                <w:highlight w:val="none"/>
              </w:rPr>
            </w:pPr>
          </w:p>
        </w:tc>
        <w:tc>
          <w:tcPr>
            <w:tcW w:w="1031" w:type="dxa"/>
            <w:noWrap w:val="0"/>
            <w:vAlign w:val="top"/>
          </w:tcPr>
          <w:p w14:paraId="5F69EFF5">
            <w:pPr>
              <w:spacing w:line="440" w:lineRule="exact"/>
              <w:rPr>
                <w:color w:val="auto"/>
                <w:sz w:val="18"/>
                <w:szCs w:val="21"/>
                <w:highlight w:val="none"/>
              </w:rPr>
            </w:pPr>
          </w:p>
        </w:tc>
        <w:tc>
          <w:tcPr>
            <w:tcW w:w="904" w:type="dxa"/>
            <w:noWrap w:val="0"/>
            <w:vAlign w:val="top"/>
          </w:tcPr>
          <w:p w14:paraId="2EC17ADB">
            <w:pPr>
              <w:spacing w:line="440" w:lineRule="exact"/>
              <w:rPr>
                <w:color w:val="auto"/>
                <w:sz w:val="18"/>
                <w:szCs w:val="21"/>
                <w:highlight w:val="none"/>
              </w:rPr>
            </w:pPr>
          </w:p>
        </w:tc>
        <w:tc>
          <w:tcPr>
            <w:tcW w:w="878" w:type="dxa"/>
            <w:noWrap w:val="0"/>
            <w:vAlign w:val="top"/>
          </w:tcPr>
          <w:p w14:paraId="25481600">
            <w:pPr>
              <w:spacing w:line="440" w:lineRule="exact"/>
              <w:rPr>
                <w:color w:val="auto"/>
                <w:sz w:val="18"/>
                <w:szCs w:val="21"/>
                <w:highlight w:val="none"/>
              </w:rPr>
            </w:pPr>
          </w:p>
        </w:tc>
        <w:tc>
          <w:tcPr>
            <w:tcW w:w="878" w:type="dxa"/>
            <w:noWrap w:val="0"/>
            <w:vAlign w:val="top"/>
          </w:tcPr>
          <w:p w14:paraId="1E3D176E">
            <w:pPr>
              <w:spacing w:line="440" w:lineRule="exact"/>
              <w:rPr>
                <w:color w:val="auto"/>
                <w:sz w:val="18"/>
                <w:szCs w:val="21"/>
                <w:highlight w:val="none"/>
              </w:rPr>
            </w:pPr>
          </w:p>
        </w:tc>
      </w:tr>
      <w:tr w14:paraId="15DBC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3843B493">
            <w:pPr>
              <w:spacing w:line="440" w:lineRule="exact"/>
              <w:rPr>
                <w:color w:val="auto"/>
                <w:sz w:val="18"/>
                <w:szCs w:val="21"/>
                <w:highlight w:val="none"/>
              </w:rPr>
            </w:pPr>
          </w:p>
        </w:tc>
        <w:tc>
          <w:tcPr>
            <w:tcW w:w="876" w:type="dxa"/>
            <w:noWrap w:val="0"/>
            <w:vAlign w:val="top"/>
          </w:tcPr>
          <w:p w14:paraId="605DB8F1">
            <w:pPr>
              <w:spacing w:line="440" w:lineRule="exact"/>
              <w:rPr>
                <w:color w:val="auto"/>
                <w:sz w:val="18"/>
                <w:szCs w:val="21"/>
                <w:highlight w:val="none"/>
              </w:rPr>
            </w:pPr>
          </w:p>
        </w:tc>
        <w:tc>
          <w:tcPr>
            <w:tcW w:w="1031" w:type="dxa"/>
            <w:noWrap w:val="0"/>
            <w:vAlign w:val="top"/>
          </w:tcPr>
          <w:p w14:paraId="64C814EA">
            <w:pPr>
              <w:spacing w:line="440" w:lineRule="exact"/>
              <w:rPr>
                <w:color w:val="auto"/>
                <w:sz w:val="18"/>
                <w:szCs w:val="21"/>
                <w:highlight w:val="none"/>
              </w:rPr>
            </w:pPr>
          </w:p>
        </w:tc>
        <w:tc>
          <w:tcPr>
            <w:tcW w:w="696" w:type="dxa"/>
            <w:noWrap w:val="0"/>
            <w:vAlign w:val="top"/>
          </w:tcPr>
          <w:p w14:paraId="7B8AB9E1">
            <w:pPr>
              <w:spacing w:line="440" w:lineRule="exact"/>
              <w:rPr>
                <w:color w:val="auto"/>
                <w:sz w:val="18"/>
                <w:szCs w:val="21"/>
                <w:highlight w:val="none"/>
              </w:rPr>
            </w:pPr>
          </w:p>
        </w:tc>
        <w:tc>
          <w:tcPr>
            <w:tcW w:w="878" w:type="dxa"/>
            <w:noWrap w:val="0"/>
            <w:vAlign w:val="top"/>
          </w:tcPr>
          <w:p w14:paraId="4C923D6E">
            <w:pPr>
              <w:spacing w:line="440" w:lineRule="exact"/>
              <w:rPr>
                <w:color w:val="auto"/>
                <w:sz w:val="18"/>
                <w:szCs w:val="21"/>
                <w:highlight w:val="none"/>
              </w:rPr>
            </w:pPr>
          </w:p>
        </w:tc>
        <w:tc>
          <w:tcPr>
            <w:tcW w:w="1017" w:type="dxa"/>
            <w:noWrap w:val="0"/>
            <w:vAlign w:val="top"/>
          </w:tcPr>
          <w:p w14:paraId="1B0B6DD7">
            <w:pPr>
              <w:spacing w:line="440" w:lineRule="exact"/>
              <w:rPr>
                <w:color w:val="auto"/>
                <w:sz w:val="18"/>
                <w:szCs w:val="21"/>
                <w:highlight w:val="none"/>
              </w:rPr>
            </w:pPr>
          </w:p>
        </w:tc>
        <w:tc>
          <w:tcPr>
            <w:tcW w:w="1031" w:type="dxa"/>
            <w:noWrap w:val="0"/>
            <w:vAlign w:val="top"/>
          </w:tcPr>
          <w:p w14:paraId="74C5490D">
            <w:pPr>
              <w:spacing w:line="440" w:lineRule="exact"/>
              <w:rPr>
                <w:color w:val="auto"/>
                <w:sz w:val="18"/>
                <w:szCs w:val="21"/>
                <w:highlight w:val="none"/>
              </w:rPr>
            </w:pPr>
          </w:p>
        </w:tc>
        <w:tc>
          <w:tcPr>
            <w:tcW w:w="904" w:type="dxa"/>
            <w:noWrap w:val="0"/>
            <w:vAlign w:val="top"/>
          </w:tcPr>
          <w:p w14:paraId="31506499">
            <w:pPr>
              <w:spacing w:line="440" w:lineRule="exact"/>
              <w:rPr>
                <w:color w:val="auto"/>
                <w:sz w:val="18"/>
                <w:szCs w:val="21"/>
                <w:highlight w:val="none"/>
              </w:rPr>
            </w:pPr>
          </w:p>
        </w:tc>
        <w:tc>
          <w:tcPr>
            <w:tcW w:w="878" w:type="dxa"/>
            <w:noWrap w:val="0"/>
            <w:vAlign w:val="top"/>
          </w:tcPr>
          <w:p w14:paraId="095710A6">
            <w:pPr>
              <w:spacing w:line="440" w:lineRule="exact"/>
              <w:rPr>
                <w:color w:val="auto"/>
                <w:sz w:val="18"/>
                <w:szCs w:val="21"/>
                <w:highlight w:val="none"/>
              </w:rPr>
            </w:pPr>
          </w:p>
        </w:tc>
        <w:tc>
          <w:tcPr>
            <w:tcW w:w="878" w:type="dxa"/>
            <w:noWrap w:val="0"/>
            <w:vAlign w:val="top"/>
          </w:tcPr>
          <w:p w14:paraId="16D9D5DF">
            <w:pPr>
              <w:spacing w:line="440" w:lineRule="exact"/>
              <w:rPr>
                <w:color w:val="auto"/>
                <w:sz w:val="18"/>
                <w:szCs w:val="21"/>
                <w:highlight w:val="none"/>
              </w:rPr>
            </w:pPr>
          </w:p>
        </w:tc>
      </w:tr>
      <w:tr w14:paraId="6D156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0C3DB10B">
            <w:pPr>
              <w:spacing w:line="440" w:lineRule="exact"/>
              <w:rPr>
                <w:color w:val="auto"/>
                <w:sz w:val="18"/>
                <w:szCs w:val="21"/>
                <w:highlight w:val="none"/>
              </w:rPr>
            </w:pPr>
          </w:p>
        </w:tc>
        <w:tc>
          <w:tcPr>
            <w:tcW w:w="876" w:type="dxa"/>
            <w:noWrap w:val="0"/>
            <w:vAlign w:val="top"/>
          </w:tcPr>
          <w:p w14:paraId="4160A0B7">
            <w:pPr>
              <w:spacing w:line="440" w:lineRule="exact"/>
              <w:rPr>
                <w:color w:val="auto"/>
                <w:sz w:val="18"/>
                <w:szCs w:val="21"/>
                <w:highlight w:val="none"/>
              </w:rPr>
            </w:pPr>
          </w:p>
        </w:tc>
        <w:tc>
          <w:tcPr>
            <w:tcW w:w="1031" w:type="dxa"/>
            <w:noWrap w:val="0"/>
            <w:vAlign w:val="top"/>
          </w:tcPr>
          <w:p w14:paraId="19B0E844">
            <w:pPr>
              <w:spacing w:line="440" w:lineRule="exact"/>
              <w:rPr>
                <w:color w:val="auto"/>
                <w:sz w:val="18"/>
                <w:szCs w:val="21"/>
                <w:highlight w:val="none"/>
              </w:rPr>
            </w:pPr>
          </w:p>
        </w:tc>
        <w:tc>
          <w:tcPr>
            <w:tcW w:w="696" w:type="dxa"/>
            <w:noWrap w:val="0"/>
            <w:vAlign w:val="top"/>
          </w:tcPr>
          <w:p w14:paraId="720697BE">
            <w:pPr>
              <w:spacing w:line="440" w:lineRule="exact"/>
              <w:rPr>
                <w:color w:val="auto"/>
                <w:sz w:val="18"/>
                <w:szCs w:val="21"/>
                <w:highlight w:val="none"/>
              </w:rPr>
            </w:pPr>
          </w:p>
        </w:tc>
        <w:tc>
          <w:tcPr>
            <w:tcW w:w="878" w:type="dxa"/>
            <w:noWrap w:val="0"/>
            <w:vAlign w:val="top"/>
          </w:tcPr>
          <w:p w14:paraId="227B2840">
            <w:pPr>
              <w:spacing w:line="440" w:lineRule="exact"/>
              <w:rPr>
                <w:color w:val="auto"/>
                <w:sz w:val="18"/>
                <w:szCs w:val="21"/>
                <w:highlight w:val="none"/>
              </w:rPr>
            </w:pPr>
          </w:p>
        </w:tc>
        <w:tc>
          <w:tcPr>
            <w:tcW w:w="1017" w:type="dxa"/>
            <w:noWrap w:val="0"/>
            <w:vAlign w:val="top"/>
          </w:tcPr>
          <w:p w14:paraId="00780208">
            <w:pPr>
              <w:spacing w:line="440" w:lineRule="exact"/>
              <w:rPr>
                <w:color w:val="auto"/>
                <w:sz w:val="18"/>
                <w:szCs w:val="21"/>
                <w:highlight w:val="none"/>
              </w:rPr>
            </w:pPr>
          </w:p>
        </w:tc>
        <w:tc>
          <w:tcPr>
            <w:tcW w:w="1031" w:type="dxa"/>
            <w:noWrap w:val="0"/>
            <w:vAlign w:val="top"/>
          </w:tcPr>
          <w:p w14:paraId="6F11CF9B">
            <w:pPr>
              <w:spacing w:line="440" w:lineRule="exact"/>
              <w:rPr>
                <w:color w:val="auto"/>
                <w:sz w:val="18"/>
                <w:szCs w:val="21"/>
                <w:highlight w:val="none"/>
              </w:rPr>
            </w:pPr>
          </w:p>
        </w:tc>
        <w:tc>
          <w:tcPr>
            <w:tcW w:w="904" w:type="dxa"/>
            <w:noWrap w:val="0"/>
            <w:vAlign w:val="top"/>
          </w:tcPr>
          <w:p w14:paraId="24979349">
            <w:pPr>
              <w:spacing w:line="440" w:lineRule="exact"/>
              <w:rPr>
                <w:color w:val="auto"/>
                <w:sz w:val="18"/>
                <w:szCs w:val="21"/>
                <w:highlight w:val="none"/>
              </w:rPr>
            </w:pPr>
          </w:p>
        </w:tc>
        <w:tc>
          <w:tcPr>
            <w:tcW w:w="878" w:type="dxa"/>
            <w:noWrap w:val="0"/>
            <w:vAlign w:val="top"/>
          </w:tcPr>
          <w:p w14:paraId="181E13AA">
            <w:pPr>
              <w:spacing w:line="440" w:lineRule="exact"/>
              <w:rPr>
                <w:color w:val="auto"/>
                <w:sz w:val="18"/>
                <w:szCs w:val="21"/>
                <w:highlight w:val="none"/>
              </w:rPr>
            </w:pPr>
          </w:p>
        </w:tc>
        <w:tc>
          <w:tcPr>
            <w:tcW w:w="878" w:type="dxa"/>
            <w:noWrap w:val="0"/>
            <w:vAlign w:val="top"/>
          </w:tcPr>
          <w:p w14:paraId="37E175B5">
            <w:pPr>
              <w:spacing w:line="440" w:lineRule="exact"/>
              <w:rPr>
                <w:color w:val="auto"/>
                <w:sz w:val="18"/>
                <w:szCs w:val="21"/>
                <w:highlight w:val="none"/>
              </w:rPr>
            </w:pPr>
          </w:p>
        </w:tc>
      </w:tr>
      <w:tr w14:paraId="7B729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465419A5">
            <w:pPr>
              <w:spacing w:line="440" w:lineRule="exact"/>
              <w:rPr>
                <w:color w:val="auto"/>
                <w:sz w:val="18"/>
                <w:szCs w:val="21"/>
                <w:highlight w:val="none"/>
              </w:rPr>
            </w:pPr>
          </w:p>
        </w:tc>
        <w:tc>
          <w:tcPr>
            <w:tcW w:w="876" w:type="dxa"/>
            <w:noWrap w:val="0"/>
            <w:vAlign w:val="top"/>
          </w:tcPr>
          <w:p w14:paraId="18D528D4">
            <w:pPr>
              <w:spacing w:line="440" w:lineRule="exact"/>
              <w:rPr>
                <w:color w:val="auto"/>
                <w:sz w:val="18"/>
                <w:szCs w:val="21"/>
                <w:highlight w:val="none"/>
              </w:rPr>
            </w:pPr>
          </w:p>
        </w:tc>
        <w:tc>
          <w:tcPr>
            <w:tcW w:w="1031" w:type="dxa"/>
            <w:noWrap w:val="0"/>
            <w:vAlign w:val="top"/>
          </w:tcPr>
          <w:p w14:paraId="78268B36">
            <w:pPr>
              <w:spacing w:line="440" w:lineRule="exact"/>
              <w:rPr>
                <w:color w:val="auto"/>
                <w:sz w:val="18"/>
                <w:szCs w:val="21"/>
                <w:highlight w:val="none"/>
              </w:rPr>
            </w:pPr>
          </w:p>
        </w:tc>
        <w:tc>
          <w:tcPr>
            <w:tcW w:w="696" w:type="dxa"/>
            <w:noWrap w:val="0"/>
            <w:vAlign w:val="top"/>
          </w:tcPr>
          <w:p w14:paraId="652645D0">
            <w:pPr>
              <w:spacing w:line="440" w:lineRule="exact"/>
              <w:rPr>
                <w:color w:val="auto"/>
                <w:sz w:val="18"/>
                <w:szCs w:val="21"/>
                <w:highlight w:val="none"/>
              </w:rPr>
            </w:pPr>
          </w:p>
        </w:tc>
        <w:tc>
          <w:tcPr>
            <w:tcW w:w="878" w:type="dxa"/>
            <w:noWrap w:val="0"/>
            <w:vAlign w:val="top"/>
          </w:tcPr>
          <w:p w14:paraId="3A519AAC">
            <w:pPr>
              <w:spacing w:line="440" w:lineRule="exact"/>
              <w:rPr>
                <w:color w:val="auto"/>
                <w:sz w:val="18"/>
                <w:szCs w:val="21"/>
                <w:highlight w:val="none"/>
              </w:rPr>
            </w:pPr>
          </w:p>
        </w:tc>
        <w:tc>
          <w:tcPr>
            <w:tcW w:w="1017" w:type="dxa"/>
            <w:noWrap w:val="0"/>
            <w:vAlign w:val="top"/>
          </w:tcPr>
          <w:p w14:paraId="4F87CFC8">
            <w:pPr>
              <w:spacing w:line="440" w:lineRule="exact"/>
              <w:rPr>
                <w:color w:val="auto"/>
                <w:sz w:val="18"/>
                <w:szCs w:val="21"/>
                <w:highlight w:val="none"/>
              </w:rPr>
            </w:pPr>
          </w:p>
        </w:tc>
        <w:tc>
          <w:tcPr>
            <w:tcW w:w="1031" w:type="dxa"/>
            <w:noWrap w:val="0"/>
            <w:vAlign w:val="top"/>
          </w:tcPr>
          <w:p w14:paraId="51D4C65D">
            <w:pPr>
              <w:spacing w:line="440" w:lineRule="exact"/>
              <w:rPr>
                <w:color w:val="auto"/>
                <w:sz w:val="18"/>
                <w:szCs w:val="21"/>
                <w:highlight w:val="none"/>
              </w:rPr>
            </w:pPr>
          </w:p>
        </w:tc>
        <w:tc>
          <w:tcPr>
            <w:tcW w:w="904" w:type="dxa"/>
            <w:noWrap w:val="0"/>
            <w:vAlign w:val="top"/>
          </w:tcPr>
          <w:p w14:paraId="18D01FD7">
            <w:pPr>
              <w:spacing w:line="440" w:lineRule="exact"/>
              <w:rPr>
                <w:color w:val="auto"/>
                <w:sz w:val="18"/>
                <w:szCs w:val="21"/>
                <w:highlight w:val="none"/>
              </w:rPr>
            </w:pPr>
          </w:p>
        </w:tc>
        <w:tc>
          <w:tcPr>
            <w:tcW w:w="878" w:type="dxa"/>
            <w:noWrap w:val="0"/>
            <w:vAlign w:val="top"/>
          </w:tcPr>
          <w:p w14:paraId="35839F1C">
            <w:pPr>
              <w:spacing w:line="440" w:lineRule="exact"/>
              <w:rPr>
                <w:color w:val="auto"/>
                <w:sz w:val="18"/>
                <w:szCs w:val="21"/>
                <w:highlight w:val="none"/>
              </w:rPr>
            </w:pPr>
          </w:p>
        </w:tc>
        <w:tc>
          <w:tcPr>
            <w:tcW w:w="878" w:type="dxa"/>
            <w:noWrap w:val="0"/>
            <w:vAlign w:val="top"/>
          </w:tcPr>
          <w:p w14:paraId="4E499B47">
            <w:pPr>
              <w:spacing w:line="440" w:lineRule="exact"/>
              <w:rPr>
                <w:color w:val="auto"/>
                <w:sz w:val="18"/>
                <w:szCs w:val="21"/>
                <w:highlight w:val="none"/>
              </w:rPr>
            </w:pPr>
          </w:p>
        </w:tc>
      </w:tr>
      <w:tr w14:paraId="06D00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27A23E79">
            <w:pPr>
              <w:spacing w:line="440" w:lineRule="exact"/>
              <w:rPr>
                <w:color w:val="auto"/>
                <w:sz w:val="18"/>
                <w:szCs w:val="21"/>
                <w:highlight w:val="none"/>
              </w:rPr>
            </w:pPr>
          </w:p>
        </w:tc>
        <w:tc>
          <w:tcPr>
            <w:tcW w:w="876" w:type="dxa"/>
            <w:noWrap w:val="0"/>
            <w:vAlign w:val="top"/>
          </w:tcPr>
          <w:p w14:paraId="7A4B825D">
            <w:pPr>
              <w:spacing w:line="440" w:lineRule="exact"/>
              <w:rPr>
                <w:color w:val="auto"/>
                <w:sz w:val="18"/>
                <w:szCs w:val="21"/>
                <w:highlight w:val="none"/>
              </w:rPr>
            </w:pPr>
          </w:p>
        </w:tc>
        <w:tc>
          <w:tcPr>
            <w:tcW w:w="1031" w:type="dxa"/>
            <w:noWrap w:val="0"/>
            <w:vAlign w:val="top"/>
          </w:tcPr>
          <w:p w14:paraId="72A31085">
            <w:pPr>
              <w:spacing w:line="440" w:lineRule="exact"/>
              <w:rPr>
                <w:color w:val="auto"/>
                <w:sz w:val="18"/>
                <w:szCs w:val="21"/>
                <w:highlight w:val="none"/>
              </w:rPr>
            </w:pPr>
          </w:p>
        </w:tc>
        <w:tc>
          <w:tcPr>
            <w:tcW w:w="696" w:type="dxa"/>
            <w:noWrap w:val="0"/>
            <w:vAlign w:val="top"/>
          </w:tcPr>
          <w:p w14:paraId="10480401">
            <w:pPr>
              <w:spacing w:line="440" w:lineRule="exact"/>
              <w:rPr>
                <w:color w:val="auto"/>
                <w:sz w:val="18"/>
                <w:szCs w:val="21"/>
                <w:highlight w:val="none"/>
              </w:rPr>
            </w:pPr>
          </w:p>
        </w:tc>
        <w:tc>
          <w:tcPr>
            <w:tcW w:w="878" w:type="dxa"/>
            <w:noWrap w:val="0"/>
            <w:vAlign w:val="top"/>
          </w:tcPr>
          <w:p w14:paraId="2A13B163">
            <w:pPr>
              <w:spacing w:line="440" w:lineRule="exact"/>
              <w:rPr>
                <w:color w:val="auto"/>
                <w:sz w:val="18"/>
                <w:szCs w:val="21"/>
                <w:highlight w:val="none"/>
              </w:rPr>
            </w:pPr>
          </w:p>
        </w:tc>
        <w:tc>
          <w:tcPr>
            <w:tcW w:w="1017" w:type="dxa"/>
            <w:noWrap w:val="0"/>
            <w:vAlign w:val="top"/>
          </w:tcPr>
          <w:p w14:paraId="03956A13">
            <w:pPr>
              <w:spacing w:line="440" w:lineRule="exact"/>
              <w:rPr>
                <w:color w:val="auto"/>
                <w:sz w:val="18"/>
                <w:szCs w:val="21"/>
                <w:highlight w:val="none"/>
              </w:rPr>
            </w:pPr>
          </w:p>
        </w:tc>
        <w:tc>
          <w:tcPr>
            <w:tcW w:w="1031" w:type="dxa"/>
            <w:noWrap w:val="0"/>
            <w:vAlign w:val="top"/>
          </w:tcPr>
          <w:p w14:paraId="3E1118A3">
            <w:pPr>
              <w:spacing w:line="440" w:lineRule="exact"/>
              <w:rPr>
                <w:color w:val="auto"/>
                <w:sz w:val="18"/>
                <w:szCs w:val="21"/>
                <w:highlight w:val="none"/>
              </w:rPr>
            </w:pPr>
          </w:p>
        </w:tc>
        <w:tc>
          <w:tcPr>
            <w:tcW w:w="904" w:type="dxa"/>
            <w:noWrap w:val="0"/>
            <w:vAlign w:val="top"/>
          </w:tcPr>
          <w:p w14:paraId="66BB2ED5">
            <w:pPr>
              <w:spacing w:line="440" w:lineRule="exact"/>
              <w:rPr>
                <w:color w:val="auto"/>
                <w:sz w:val="18"/>
                <w:szCs w:val="21"/>
                <w:highlight w:val="none"/>
              </w:rPr>
            </w:pPr>
          </w:p>
        </w:tc>
        <w:tc>
          <w:tcPr>
            <w:tcW w:w="878" w:type="dxa"/>
            <w:noWrap w:val="0"/>
            <w:vAlign w:val="top"/>
          </w:tcPr>
          <w:p w14:paraId="2B7C6A23">
            <w:pPr>
              <w:spacing w:line="440" w:lineRule="exact"/>
              <w:rPr>
                <w:color w:val="auto"/>
                <w:sz w:val="18"/>
                <w:szCs w:val="21"/>
                <w:highlight w:val="none"/>
              </w:rPr>
            </w:pPr>
          </w:p>
        </w:tc>
        <w:tc>
          <w:tcPr>
            <w:tcW w:w="878" w:type="dxa"/>
            <w:noWrap w:val="0"/>
            <w:vAlign w:val="top"/>
          </w:tcPr>
          <w:p w14:paraId="64DDEFB8">
            <w:pPr>
              <w:spacing w:line="440" w:lineRule="exact"/>
              <w:rPr>
                <w:color w:val="auto"/>
                <w:sz w:val="18"/>
                <w:szCs w:val="21"/>
                <w:highlight w:val="none"/>
              </w:rPr>
            </w:pPr>
          </w:p>
        </w:tc>
      </w:tr>
      <w:tr w14:paraId="21B07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3F4625D6">
            <w:pPr>
              <w:spacing w:line="440" w:lineRule="exact"/>
              <w:rPr>
                <w:color w:val="auto"/>
                <w:sz w:val="18"/>
                <w:szCs w:val="21"/>
                <w:highlight w:val="none"/>
              </w:rPr>
            </w:pPr>
          </w:p>
        </w:tc>
        <w:tc>
          <w:tcPr>
            <w:tcW w:w="876" w:type="dxa"/>
            <w:noWrap w:val="0"/>
            <w:vAlign w:val="top"/>
          </w:tcPr>
          <w:p w14:paraId="484F4B33">
            <w:pPr>
              <w:spacing w:line="440" w:lineRule="exact"/>
              <w:rPr>
                <w:color w:val="auto"/>
                <w:sz w:val="18"/>
                <w:szCs w:val="21"/>
                <w:highlight w:val="none"/>
              </w:rPr>
            </w:pPr>
          </w:p>
        </w:tc>
        <w:tc>
          <w:tcPr>
            <w:tcW w:w="1031" w:type="dxa"/>
            <w:noWrap w:val="0"/>
            <w:vAlign w:val="top"/>
          </w:tcPr>
          <w:p w14:paraId="4792CD3C">
            <w:pPr>
              <w:spacing w:line="440" w:lineRule="exact"/>
              <w:rPr>
                <w:color w:val="auto"/>
                <w:sz w:val="18"/>
                <w:szCs w:val="21"/>
                <w:highlight w:val="none"/>
              </w:rPr>
            </w:pPr>
          </w:p>
        </w:tc>
        <w:tc>
          <w:tcPr>
            <w:tcW w:w="696" w:type="dxa"/>
            <w:noWrap w:val="0"/>
            <w:vAlign w:val="top"/>
          </w:tcPr>
          <w:p w14:paraId="32F142A7">
            <w:pPr>
              <w:spacing w:line="440" w:lineRule="exact"/>
              <w:rPr>
                <w:color w:val="auto"/>
                <w:sz w:val="18"/>
                <w:szCs w:val="21"/>
                <w:highlight w:val="none"/>
              </w:rPr>
            </w:pPr>
          </w:p>
        </w:tc>
        <w:tc>
          <w:tcPr>
            <w:tcW w:w="878" w:type="dxa"/>
            <w:noWrap w:val="0"/>
            <w:vAlign w:val="top"/>
          </w:tcPr>
          <w:p w14:paraId="54BAA193">
            <w:pPr>
              <w:spacing w:line="440" w:lineRule="exact"/>
              <w:rPr>
                <w:color w:val="auto"/>
                <w:sz w:val="18"/>
                <w:szCs w:val="21"/>
                <w:highlight w:val="none"/>
              </w:rPr>
            </w:pPr>
          </w:p>
        </w:tc>
        <w:tc>
          <w:tcPr>
            <w:tcW w:w="1017" w:type="dxa"/>
            <w:noWrap w:val="0"/>
            <w:vAlign w:val="top"/>
          </w:tcPr>
          <w:p w14:paraId="4DC818DD">
            <w:pPr>
              <w:spacing w:line="440" w:lineRule="exact"/>
              <w:rPr>
                <w:color w:val="auto"/>
                <w:sz w:val="18"/>
                <w:szCs w:val="21"/>
                <w:highlight w:val="none"/>
              </w:rPr>
            </w:pPr>
          </w:p>
        </w:tc>
        <w:tc>
          <w:tcPr>
            <w:tcW w:w="1031" w:type="dxa"/>
            <w:noWrap w:val="0"/>
            <w:vAlign w:val="top"/>
          </w:tcPr>
          <w:p w14:paraId="2A5B705C">
            <w:pPr>
              <w:spacing w:line="440" w:lineRule="exact"/>
              <w:rPr>
                <w:color w:val="auto"/>
                <w:sz w:val="18"/>
                <w:szCs w:val="21"/>
                <w:highlight w:val="none"/>
              </w:rPr>
            </w:pPr>
          </w:p>
        </w:tc>
        <w:tc>
          <w:tcPr>
            <w:tcW w:w="904" w:type="dxa"/>
            <w:noWrap w:val="0"/>
            <w:vAlign w:val="top"/>
          </w:tcPr>
          <w:p w14:paraId="44136CB7">
            <w:pPr>
              <w:spacing w:line="440" w:lineRule="exact"/>
              <w:rPr>
                <w:color w:val="auto"/>
                <w:sz w:val="18"/>
                <w:szCs w:val="21"/>
                <w:highlight w:val="none"/>
              </w:rPr>
            </w:pPr>
          </w:p>
        </w:tc>
        <w:tc>
          <w:tcPr>
            <w:tcW w:w="878" w:type="dxa"/>
            <w:noWrap w:val="0"/>
            <w:vAlign w:val="top"/>
          </w:tcPr>
          <w:p w14:paraId="0324C154">
            <w:pPr>
              <w:spacing w:line="440" w:lineRule="exact"/>
              <w:rPr>
                <w:color w:val="auto"/>
                <w:sz w:val="18"/>
                <w:szCs w:val="21"/>
                <w:highlight w:val="none"/>
              </w:rPr>
            </w:pPr>
          </w:p>
        </w:tc>
        <w:tc>
          <w:tcPr>
            <w:tcW w:w="878" w:type="dxa"/>
            <w:noWrap w:val="0"/>
            <w:vAlign w:val="top"/>
          </w:tcPr>
          <w:p w14:paraId="22AB69DE">
            <w:pPr>
              <w:spacing w:line="440" w:lineRule="exact"/>
              <w:rPr>
                <w:color w:val="auto"/>
                <w:sz w:val="18"/>
                <w:szCs w:val="21"/>
                <w:highlight w:val="none"/>
              </w:rPr>
            </w:pPr>
          </w:p>
        </w:tc>
      </w:tr>
      <w:tr w14:paraId="0D0A5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33BF02AF">
            <w:pPr>
              <w:spacing w:line="440" w:lineRule="exact"/>
              <w:rPr>
                <w:color w:val="auto"/>
                <w:sz w:val="18"/>
                <w:szCs w:val="21"/>
                <w:highlight w:val="none"/>
              </w:rPr>
            </w:pPr>
          </w:p>
        </w:tc>
        <w:tc>
          <w:tcPr>
            <w:tcW w:w="876" w:type="dxa"/>
            <w:noWrap w:val="0"/>
            <w:vAlign w:val="top"/>
          </w:tcPr>
          <w:p w14:paraId="2C355E53">
            <w:pPr>
              <w:spacing w:line="440" w:lineRule="exact"/>
              <w:rPr>
                <w:color w:val="auto"/>
                <w:sz w:val="18"/>
                <w:szCs w:val="21"/>
                <w:highlight w:val="none"/>
              </w:rPr>
            </w:pPr>
          </w:p>
        </w:tc>
        <w:tc>
          <w:tcPr>
            <w:tcW w:w="1031" w:type="dxa"/>
            <w:noWrap w:val="0"/>
            <w:vAlign w:val="top"/>
          </w:tcPr>
          <w:p w14:paraId="5C6C0129">
            <w:pPr>
              <w:spacing w:line="440" w:lineRule="exact"/>
              <w:rPr>
                <w:color w:val="auto"/>
                <w:sz w:val="18"/>
                <w:szCs w:val="21"/>
                <w:highlight w:val="none"/>
              </w:rPr>
            </w:pPr>
          </w:p>
        </w:tc>
        <w:tc>
          <w:tcPr>
            <w:tcW w:w="696" w:type="dxa"/>
            <w:noWrap w:val="0"/>
            <w:vAlign w:val="top"/>
          </w:tcPr>
          <w:p w14:paraId="3C36650F">
            <w:pPr>
              <w:spacing w:line="440" w:lineRule="exact"/>
              <w:rPr>
                <w:color w:val="auto"/>
                <w:sz w:val="18"/>
                <w:szCs w:val="21"/>
                <w:highlight w:val="none"/>
              </w:rPr>
            </w:pPr>
          </w:p>
        </w:tc>
        <w:tc>
          <w:tcPr>
            <w:tcW w:w="878" w:type="dxa"/>
            <w:noWrap w:val="0"/>
            <w:vAlign w:val="top"/>
          </w:tcPr>
          <w:p w14:paraId="38351407">
            <w:pPr>
              <w:spacing w:line="440" w:lineRule="exact"/>
              <w:rPr>
                <w:color w:val="auto"/>
                <w:sz w:val="18"/>
                <w:szCs w:val="21"/>
                <w:highlight w:val="none"/>
              </w:rPr>
            </w:pPr>
          </w:p>
        </w:tc>
        <w:tc>
          <w:tcPr>
            <w:tcW w:w="1017" w:type="dxa"/>
            <w:noWrap w:val="0"/>
            <w:vAlign w:val="top"/>
          </w:tcPr>
          <w:p w14:paraId="3B3EAAC7">
            <w:pPr>
              <w:spacing w:line="440" w:lineRule="exact"/>
              <w:rPr>
                <w:color w:val="auto"/>
                <w:sz w:val="18"/>
                <w:szCs w:val="21"/>
                <w:highlight w:val="none"/>
              </w:rPr>
            </w:pPr>
          </w:p>
        </w:tc>
        <w:tc>
          <w:tcPr>
            <w:tcW w:w="1031" w:type="dxa"/>
            <w:noWrap w:val="0"/>
            <w:vAlign w:val="top"/>
          </w:tcPr>
          <w:p w14:paraId="55CB36C9">
            <w:pPr>
              <w:spacing w:line="440" w:lineRule="exact"/>
              <w:rPr>
                <w:color w:val="auto"/>
                <w:sz w:val="18"/>
                <w:szCs w:val="21"/>
                <w:highlight w:val="none"/>
              </w:rPr>
            </w:pPr>
          </w:p>
        </w:tc>
        <w:tc>
          <w:tcPr>
            <w:tcW w:w="904" w:type="dxa"/>
            <w:noWrap w:val="0"/>
            <w:vAlign w:val="top"/>
          </w:tcPr>
          <w:p w14:paraId="3CF7585B">
            <w:pPr>
              <w:spacing w:line="440" w:lineRule="exact"/>
              <w:rPr>
                <w:color w:val="auto"/>
                <w:sz w:val="18"/>
                <w:szCs w:val="21"/>
                <w:highlight w:val="none"/>
              </w:rPr>
            </w:pPr>
          </w:p>
        </w:tc>
        <w:tc>
          <w:tcPr>
            <w:tcW w:w="878" w:type="dxa"/>
            <w:noWrap w:val="0"/>
            <w:vAlign w:val="top"/>
          </w:tcPr>
          <w:p w14:paraId="2E8409BC">
            <w:pPr>
              <w:spacing w:line="440" w:lineRule="exact"/>
              <w:rPr>
                <w:color w:val="auto"/>
                <w:sz w:val="18"/>
                <w:szCs w:val="21"/>
                <w:highlight w:val="none"/>
              </w:rPr>
            </w:pPr>
          </w:p>
        </w:tc>
        <w:tc>
          <w:tcPr>
            <w:tcW w:w="878" w:type="dxa"/>
            <w:noWrap w:val="0"/>
            <w:vAlign w:val="top"/>
          </w:tcPr>
          <w:p w14:paraId="27CD374B">
            <w:pPr>
              <w:spacing w:line="440" w:lineRule="exact"/>
              <w:rPr>
                <w:color w:val="auto"/>
                <w:sz w:val="18"/>
                <w:szCs w:val="21"/>
                <w:highlight w:val="none"/>
              </w:rPr>
            </w:pPr>
          </w:p>
        </w:tc>
      </w:tr>
      <w:tr w14:paraId="66729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16907A23">
            <w:pPr>
              <w:spacing w:line="440" w:lineRule="exact"/>
              <w:rPr>
                <w:color w:val="auto"/>
                <w:sz w:val="18"/>
                <w:szCs w:val="21"/>
                <w:highlight w:val="none"/>
              </w:rPr>
            </w:pPr>
          </w:p>
        </w:tc>
        <w:tc>
          <w:tcPr>
            <w:tcW w:w="876" w:type="dxa"/>
            <w:noWrap w:val="0"/>
            <w:vAlign w:val="top"/>
          </w:tcPr>
          <w:p w14:paraId="6DD1D2DF">
            <w:pPr>
              <w:spacing w:line="440" w:lineRule="exact"/>
              <w:rPr>
                <w:color w:val="auto"/>
                <w:sz w:val="18"/>
                <w:szCs w:val="21"/>
                <w:highlight w:val="none"/>
              </w:rPr>
            </w:pPr>
          </w:p>
        </w:tc>
        <w:tc>
          <w:tcPr>
            <w:tcW w:w="1031" w:type="dxa"/>
            <w:noWrap w:val="0"/>
            <w:vAlign w:val="top"/>
          </w:tcPr>
          <w:p w14:paraId="55938FAA">
            <w:pPr>
              <w:spacing w:line="440" w:lineRule="exact"/>
              <w:rPr>
                <w:color w:val="auto"/>
                <w:sz w:val="18"/>
                <w:szCs w:val="21"/>
                <w:highlight w:val="none"/>
              </w:rPr>
            </w:pPr>
          </w:p>
        </w:tc>
        <w:tc>
          <w:tcPr>
            <w:tcW w:w="696" w:type="dxa"/>
            <w:noWrap w:val="0"/>
            <w:vAlign w:val="top"/>
          </w:tcPr>
          <w:p w14:paraId="109278E9">
            <w:pPr>
              <w:spacing w:line="440" w:lineRule="exact"/>
              <w:rPr>
                <w:color w:val="auto"/>
                <w:sz w:val="18"/>
                <w:szCs w:val="21"/>
                <w:highlight w:val="none"/>
              </w:rPr>
            </w:pPr>
          </w:p>
        </w:tc>
        <w:tc>
          <w:tcPr>
            <w:tcW w:w="878" w:type="dxa"/>
            <w:noWrap w:val="0"/>
            <w:vAlign w:val="top"/>
          </w:tcPr>
          <w:p w14:paraId="312FCA53">
            <w:pPr>
              <w:spacing w:line="440" w:lineRule="exact"/>
              <w:rPr>
                <w:color w:val="auto"/>
                <w:sz w:val="18"/>
                <w:szCs w:val="21"/>
                <w:highlight w:val="none"/>
              </w:rPr>
            </w:pPr>
          </w:p>
        </w:tc>
        <w:tc>
          <w:tcPr>
            <w:tcW w:w="1017" w:type="dxa"/>
            <w:noWrap w:val="0"/>
            <w:vAlign w:val="top"/>
          </w:tcPr>
          <w:p w14:paraId="572303DF">
            <w:pPr>
              <w:spacing w:line="440" w:lineRule="exact"/>
              <w:rPr>
                <w:color w:val="auto"/>
                <w:sz w:val="18"/>
                <w:szCs w:val="21"/>
                <w:highlight w:val="none"/>
              </w:rPr>
            </w:pPr>
          </w:p>
        </w:tc>
        <w:tc>
          <w:tcPr>
            <w:tcW w:w="1031" w:type="dxa"/>
            <w:noWrap w:val="0"/>
            <w:vAlign w:val="top"/>
          </w:tcPr>
          <w:p w14:paraId="0EF12F8C">
            <w:pPr>
              <w:spacing w:line="440" w:lineRule="exact"/>
              <w:rPr>
                <w:color w:val="auto"/>
                <w:sz w:val="18"/>
                <w:szCs w:val="21"/>
                <w:highlight w:val="none"/>
              </w:rPr>
            </w:pPr>
          </w:p>
        </w:tc>
        <w:tc>
          <w:tcPr>
            <w:tcW w:w="904" w:type="dxa"/>
            <w:noWrap w:val="0"/>
            <w:vAlign w:val="top"/>
          </w:tcPr>
          <w:p w14:paraId="327BA563">
            <w:pPr>
              <w:spacing w:line="440" w:lineRule="exact"/>
              <w:rPr>
                <w:color w:val="auto"/>
                <w:sz w:val="18"/>
                <w:szCs w:val="21"/>
                <w:highlight w:val="none"/>
              </w:rPr>
            </w:pPr>
          </w:p>
        </w:tc>
        <w:tc>
          <w:tcPr>
            <w:tcW w:w="878" w:type="dxa"/>
            <w:noWrap w:val="0"/>
            <w:vAlign w:val="top"/>
          </w:tcPr>
          <w:p w14:paraId="48D083E7">
            <w:pPr>
              <w:spacing w:line="440" w:lineRule="exact"/>
              <w:rPr>
                <w:color w:val="auto"/>
                <w:sz w:val="18"/>
                <w:szCs w:val="21"/>
                <w:highlight w:val="none"/>
              </w:rPr>
            </w:pPr>
          </w:p>
        </w:tc>
        <w:tc>
          <w:tcPr>
            <w:tcW w:w="878" w:type="dxa"/>
            <w:noWrap w:val="0"/>
            <w:vAlign w:val="top"/>
          </w:tcPr>
          <w:p w14:paraId="2A486E03">
            <w:pPr>
              <w:spacing w:line="440" w:lineRule="exact"/>
              <w:rPr>
                <w:color w:val="auto"/>
                <w:sz w:val="18"/>
                <w:szCs w:val="21"/>
                <w:highlight w:val="none"/>
              </w:rPr>
            </w:pPr>
          </w:p>
        </w:tc>
      </w:tr>
      <w:tr w14:paraId="60B64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1C61C235">
            <w:pPr>
              <w:spacing w:line="440" w:lineRule="exact"/>
              <w:rPr>
                <w:color w:val="auto"/>
                <w:sz w:val="18"/>
                <w:szCs w:val="21"/>
                <w:highlight w:val="none"/>
              </w:rPr>
            </w:pPr>
          </w:p>
        </w:tc>
        <w:tc>
          <w:tcPr>
            <w:tcW w:w="876" w:type="dxa"/>
            <w:noWrap w:val="0"/>
            <w:vAlign w:val="top"/>
          </w:tcPr>
          <w:p w14:paraId="3D3F09A5">
            <w:pPr>
              <w:spacing w:line="440" w:lineRule="exact"/>
              <w:rPr>
                <w:color w:val="auto"/>
                <w:sz w:val="18"/>
                <w:szCs w:val="21"/>
                <w:highlight w:val="none"/>
              </w:rPr>
            </w:pPr>
          </w:p>
        </w:tc>
        <w:tc>
          <w:tcPr>
            <w:tcW w:w="1031" w:type="dxa"/>
            <w:noWrap w:val="0"/>
            <w:vAlign w:val="top"/>
          </w:tcPr>
          <w:p w14:paraId="3C331588">
            <w:pPr>
              <w:spacing w:line="440" w:lineRule="exact"/>
              <w:rPr>
                <w:color w:val="auto"/>
                <w:sz w:val="18"/>
                <w:szCs w:val="21"/>
                <w:highlight w:val="none"/>
              </w:rPr>
            </w:pPr>
          </w:p>
        </w:tc>
        <w:tc>
          <w:tcPr>
            <w:tcW w:w="696" w:type="dxa"/>
            <w:noWrap w:val="0"/>
            <w:vAlign w:val="top"/>
          </w:tcPr>
          <w:p w14:paraId="425ACCCD">
            <w:pPr>
              <w:spacing w:line="440" w:lineRule="exact"/>
              <w:rPr>
                <w:color w:val="auto"/>
                <w:sz w:val="18"/>
                <w:szCs w:val="21"/>
                <w:highlight w:val="none"/>
              </w:rPr>
            </w:pPr>
          </w:p>
        </w:tc>
        <w:tc>
          <w:tcPr>
            <w:tcW w:w="878" w:type="dxa"/>
            <w:noWrap w:val="0"/>
            <w:vAlign w:val="top"/>
          </w:tcPr>
          <w:p w14:paraId="338AC865">
            <w:pPr>
              <w:spacing w:line="440" w:lineRule="exact"/>
              <w:rPr>
                <w:color w:val="auto"/>
                <w:sz w:val="18"/>
                <w:szCs w:val="21"/>
                <w:highlight w:val="none"/>
              </w:rPr>
            </w:pPr>
          </w:p>
        </w:tc>
        <w:tc>
          <w:tcPr>
            <w:tcW w:w="1017" w:type="dxa"/>
            <w:noWrap w:val="0"/>
            <w:vAlign w:val="top"/>
          </w:tcPr>
          <w:p w14:paraId="0C5D2A4F">
            <w:pPr>
              <w:spacing w:line="440" w:lineRule="exact"/>
              <w:rPr>
                <w:color w:val="auto"/>
                <w:sz w:val="18"/>
                <w:szCs w:val="21"/>
                <w:highlight w:val="none"/>
              </w:rPr>
            </w:pPr>
          </w:p>
        </w:tc>
        <w:tc>
          <w:tcPr>
            <w:tcW w:w="1031" w:type="dxa"/>
            <w:noWrap w:val="0"/>
            <w:vAlign w:val="top"/>
          </w:tcPr>
          <w:p w14:paraId="53E3BE12">
            <w:pPr>
              <w:spacing w:line="440" w:lineRule="exact"/>
              <w:rPr>
                <w:color w:val="auto"/>
                <w:sz w:val="18"/>
                <w:szCs w:val="21"/>
                <w:highlight w:val="none"/>
              </w:rPr>
            </w:pPr>
          </w:p>
        </w:tc>
        <w:tc>
          <w:tcPr>
            <w:tcW w:w="904" w:type="dxa"/>
            <w:noWrap w:val="0"/>
            <w:vAlign w:val="top"/>
          </w:tcPr>
          <w:p w14:paraId="7448924D">
            <w:pPr>
              <w:spacing w:line="440" w:lineRule="exact"/>
              <w:rPr>
                <w:color w:val="auto"/>
                <w:sz w:val="18"/>
                <w:szCs w:val="21"/>
                <w:highlight w:val="none"/>
              </w:rPr>
            </w:pPr>
          </w:p>
        </w:tc>
        <w:tc>
          <w:tcPr>
            <w:tcW w:w="878" w:type="dxa"/>
            <w:noWrap w:val="0"/>
            <w:vAlign w:val="top"/>
          </w:tcPr>
          <w:p w14:paraId="31A36B60">
            <w:pPr>
              <w:spacing w:line="440" w:lineRule="exact"/>
              <w:rPr>
                <w:color w:val="auto"/>
                <w:sz w:val="18"/>
                <w:szCs w:val="21"/>
                <w:highlight w:val="none"/>
              </w:rPr>
            </w:pPr>
          </w:p>
        </w:tc>
        <w:tc>
          <w:tcPr>
            <w:tcW w:w="878" w:type="dxa"/>
            <w:noWrap w:val="0"/>
            <w:vAlign w:val="top"/>
          </w:tcPr>
          <w:p w14:paraId="6CAA0CDD">
            <w:pPr>
              <w:spacing w:line="440" w:lineRule="exact"/>
              <w:rPr>
                <w:color w:val="auto"/>
                <w:sz w:val="18"/>
                <w:szCs w:val="21"/>
                <w:highlight w:val="none"/>
              </w:rPr>
            </w:pPr>
          </w:p>
        </w:tc>
      </w:tr>
    </w:tbl>
    <w:p w14:paraId="535629A3">
      <w:pPr>
        <w:spacing w:line="440" w:lineRule="exact"/>
        <w:rPr>
          <w:color w:val="auto"/>
          <w:sz w:val="30"/>
          <w:szCs w:val="30"/>
          <w:highlight w:val="none"/>
        </w:rPr>
      </w:pPr>
      <w:r>
        <w:rPr>
          <w:color w:val="auto"/>
          <w:highlight w:val="none"/>
        </w:rPr>
        <w:br w:type="page"/>
      </w:r>
      <w:r>
        <w:rPr>
          <w:rFonts w:hint="eastAsia"/>
          <w:color w:val="auto"/>
          <w:sz w:val="30"/>
          <w:szCs w:val="30"/>
          <w:highlight w:val="none"/>
        </w:rPr>
        <w:t>附件2：</w:t>
      </w:r>
    </w:p>
    <w:p w14:paraId="37B4B1CF">
      <w:pPr>
        <w:spacing w:before="120" w:beforeLines="50" w:after="120" w:afterLines="50" w:line="440" w:lineRule="exact"/>
        <w:jc w:val="center"/>
        <w:rPr>
          <w:b/>
          <w:color w:val="auto"/>
          <w:sz w:val="30"/>
          <w:szCs w:val="30"/>
          <w:highlight w:val="none"/>
        </w:rPr>
      </w:pPr>
      <w:r>
        <w:rPr>
          <w:rFonts w:hint="eastAsia"/>
          <w:b/>
          <w:color w:val="auto"/>
          <w:sz w:val="30"/>
          <w:szCs w:val="30"/>
          <w:highlight w:val="none"/>
        </w:rPr>
        <w:t>工程质量保修书</w:t>
      </w:r>
    </w:p>
    <w:p w14:paraId="1ABB79EC">
      <w:pPr>
        <w:spacing w:line="440" w:lineRule="exact"/>
        <w:ind w:firstLine="420" w:firstLineChars="200"/>
        <w:rPr>
          <w:color w:val="auto"/>
          <w:highlight w:val="none"/>
        </w:rPr>
      </w:pPr>
      <w:r>
        <w:rPr>
          <w:rFonts w:hint="eastAsia"/>
          <w:color w:val="auto"/>
          <w:highlight w:val="none"/>
        </w:rPr>
        <w:t>发包人（全称）：</w:t>
      </w:r>
      <w:r>
        <w:rPr>
          <w:rFonts w:hint="eastAsia"/>
          <w:color w:val="auto"/>
          <w:highlight w:val="none"/>
          <w:u w:val="single"/>
        </w:rPr>
        <w:t xml:space="preserve">                                            </w:t>
      </w:r>
    </w:p>
    <w:p w14:paraId="1763453B">
      <w:pPr>
        <w:spacing w:line="440" w:lineRule="exact"/>
        <w:rPr>
          <w:color w:val="auto"/>
          <w:highlight w:val="none"/>
        </w:rPr>
      </w:pPr>
      <w:r>
        <w:rPr>
          <w:rFonts w:hint="eastAsia"/>
          <w:color w:val="auto"/>
          <w:highlight w:val="none"/>
        </w:rPr>
        <w:t>　　承包人（全称）：</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p>
    <w:p w14:paraId="13C45808">
      <w:pPr>
        <w:spacing w:line="440" w:lineRule="exact"/>
        <w:rPr>
          <w:color w:val="auto"/>
          <w:highlight w:val="none"/>
        </w:rPr>
      </w:pPr>
    </w:p>
    <w:p w14:paraId="363E399D">
      <w:pPr>
        <w:spacing w:line="360" w:lineRule="auto"/>
        <w:rPr>
          <w:color w:val="auto"/>
          <w:highlight w:val="none"/>
        </w:rPr>
      </w:pPr>
      <w:r>
        <w:rPr>
          <w:rFonts w:hint="eastAsia"/>
          <w:color w:val="auto"/>
          <w:highlight w:val="none"/>
        </w:rPr>
        <w:t>　　发包人和承包人根据《中华人民共和国建筑法》和《建设工程质量管理条例》，经协商一致就</w:t>
      </w:r>
      <w:r>
        <w:rPr>
          <w:rFonts w:hint="eastAsia"/>
          <w:b/>
          <w:color w:val="auto"/>
          <w:highlight w:val="none"/>
          <w:u w:val="single"/>
        </w:rPr>
        <w:t xml:space="preserve">                            </w:t>
      </w:r>
      <w:r>
        <w:rPr>
          <w:rFonts w:hint="eastAsia"/>
          <w:color w:val="auto"/>
          <w:highlight w:val="none"/>
        </w:rPr>
        <w:t>（工程全称）签订工程质量保修书。</w:t>
      </w:r>
    </w:p>
    <w:p w14:paraId="50C650A2">
      <w:pPr>
        <w:spacing w:line="360" w:lineRule="auto"/>
        <w:rPr>
          <w:color w:val="auto"/>
          <w:highlight w:val="none"/>
        </w:rPr>
      </w:pPr>
      <w:r>
        <w:rPr>
          <w:rFonts w:hint="eastAsia"/>
          <w:color w:val="auto"/>
          <w:highlight w:val="none"/>
        </w:rPr>
        <w:t>　　一、工程质量保修范围和内容</w:t>
      </w:r>
    </w:p>
    <w:p w14:paraId="20C7245B">
      <w:pPr>
        <w:spacing w:line="360" w:lineRule="auto"/>
        <w:rPr>
          <w:color w:val="auto"/>
          <w:highlight w:val="none"/>
        </w:rPr>
      </w:pPr>
      <w:r>
        <w:rPr>
          <w:rFonts w:hint="eastAsia"/>
          <w:color w:val="auto"/>
          <w:highlight w:val="none"/>
        </w:rPr>
        <w:t>　　承包人在质量保修期内，按照有关法律规定和合同约定，承担工程质量保修责任。</w:t>
      </w:r>
    </w:p>
    <w:p w14:paraId="24D2A2A2">
      <w:pPr>
        <w:spacing w:line="360" w:lineRule="auto"/>
        <w:rPr>
          <w:color w:val="auto"/>
          <w:highlight w:val="none"/>
        </w:rPr>
      </w:pPr>
      <w:r>
        <w:rPr>
          <w:rFonts w:hint="eastAsia"/>
          <w:color w:val="auto"/>
          <w:highlight w:val="none"/>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b/>
          <w:bCs/>
          <w:color w:val="auto"/>
          <w:highlight w:val="none"/>
          <w:u w:val="single"/>
        </w:rPr>
        <w:t xml:space="preserve"> </w:t>
      </w:r>
      <w:r>
        <w:rPr>
          <w:rFonts w:hint="eastAsia"/>
          <w:b/>
          <w:bCs/>
          <w:color w:val="auto"/>
          <w:highlight w:val="none"/>
          <w:u w:val="single"/>
        </w:rPr>
        <w:t>承包人所施工的内容。</w:t>
      </w:r>
      <w:r>
        <w:rPr>
          <w:color w:val="auto"/>
          <w:highlight w:val="none"/>
          <w:u w:val="single"/>
        </w:rPr>
        <w:t xml:space="preserve"> </w:t>
      </w:r>
    </w:p>
    <w:p w14:paraId="2EE81AB2">
      <w:pPr>
        <w:spacing w:line="360" w:lineRule="auto"/>
        <w:rPr>
          <w:color w:val="auto"/>
          <w:highlight w:val="none"/>
        </w:rPr>
      </w:pPr>
      <w:r>
        <w:rPr>
          <w:rFonts w:hint="eastAsia"/>
          <w:b/>
          <w:color w:val="auto"/>
          <w:highlight w:val="none"/>
        </w:rPr>
        <w:t>　　</w:t>
      </w:r>
      <w:r>
        <w:rPr>
          <w:rFonts w:hint="eastAsia"/>
          <w:color w:val="auto"/>
          <w:highlight w:val="none"/>
        </w:rPr>
        <w:t>二、质量保修期</w:t>
      </w:r>
    </w:p>
    <w:p w14:paraId="5B18E8C1">
      <w:pPr>
        <w:spacing w:line="360" w:lineRule="auto"/>
        <w:ind w:firstLine="420" w:firstLineChars="200"/>
        <w:rPr>
          <w:color w:val="auto"/>
          <w:highlight w:val="none"/>
        </w:rPr>
      </w:pPr>
      <w:r>
        <w:rPr>
          <w:rFonts w:hint="eastAsia"/>
          <w:color w:val="auto"/>
          <w:highlight w:val="none"/>
        </w:rPr>
        <w:t>根据《建设工程质量管理条例》及有关规定，工程的质量保修期如下：</w:t>
      </w:r>
    </w:p>
    <w:p w14:paraId="668C2FBB">
      <w:pPr>
        <w:spacing w:line="360" w:lineRule="auto"/>
        <w:rPr>
          <w:rFonts w:hint="eastAsia"/>
          <w:color w:val="auto"/>
          <w:highlight w:val="none"/>
        </w:rPr>
      </w:pPr>
      <w:r>
        <w:rPr>
          <w:rFonts w:hint="eastAsia"/>
          <w:color w:val="auto"/>
          <w:highlight w:val="none"/>
        </w:rPr>
        <w:t xml:space="preserve">   1．地基基础工程和主体结构工程为设计文件规定的工程合理使用年限；</w:t>
      </w:r>
    </w:p>
    <w:p w14:paraId="7CD0D8CC">
      <w:pPr>
        <w:spacing w:line="360" w:lineRule="auto"/>
        <w:rPr>
          <w:rFonts w:hint="eastAsia"/>
          <w:color w:val="auto"/>
          <w:highlight w:val="none"/>
        </w:rPr>
      </w:pPr>
      <w:r>
        <w:rPr>
          <w:rFonts w:hint="eastAsia"/>
          <w:color w:val="auto"/>
          <w:highlight w:val="none"/>
        </w:rPr>
        <w:t xml:space="preserve">   2．屋面防水工程、有防水要求的卫生间、房间和外墙面的防渗漏为 5 年；</w:t>
      </w:r>
    </w:p>
    <w:p w14:paraId="5C990633">
      <w:pPr>
        <w:spacing w:line="360" w:lineRule="auto"/>
        <w:rPr>
          <w:rFonts w:hint="eastAsia"/>
          <w:color w:val="auto"/>
          <w:highlight w:val="none"/>
        </w:rPr>
      </w:pPr>
      <w:r>
        <w:rPr>
          <w:rFonts w:hint="eastAsia"/>
          <w:color w:val="auto"/>
          <w:highlight w:val="none"/>
        </w:rPr>
        <w:t xml:space="preserve">   3．装修</w:t>
      </w:r>
      <w:r>
        <w:rPr>
          <w:rFonts w:hint="eastAsia"/>
          <w:color w:val="auto"/>
          <w:highlight w:val="none"/>
          <w:lang w:eastAsia="zh-CN"/>
        </w:rPr>
        <w:t>工期</w:t>
      </w:r>
      <w:r>
        <w:rPr>
          <w:rFonts w:hint="eastAsia"/>
          <w:color w:val="auto"/>
          <w:highlight w:val="none"/>
        </w:rPr>
        <w:t>为 2 年；</w:t>
      </w:r>
    </w:p>
    <w:p w14:paraId="15C4AEE8">
      <w:pPr>
        <w:spacing w:line="360" w:lineRule="auto"/>
        <w:rPr>
          <w:rFonts w:hint="eastAsia"/>
          <w:color w:val="auto"/>
          <w:highlight w:val="none"/>
        </w:rPr>
      </w:pPr>
      <w:r>
        <w:rPr>
          <w:rFonts w:hint="eastAsia"/>
          <w:color w:val="auto"/>
          <w:highlight w:val="none"/>
        </w:rPr>
        <w:t xml:space="preserve">   4．电气管线、给排水管道、设备安装工程为 2 年；</w:t>
      </w:r>
    </w:p>
    <w:p w14:paraId="4E4D8BC1">
      <w:pPr>
        <w:spacing w:line="360" w:lineRule="auto"/>
        <w:rPr>
          <w:rFonts w:hint="eastAsia"/>
          <w:color w:val="auto"/>
          <w:highlight w:val="none"/>
        </w:rPr>
      </w:pPr>
      <w:r>
        <w:rPr>
          <w:rFonts w:hint="eastAsia"/>
          <w:color w:val="auto"/>
          <w:highlight w:val="none"/>
        </w:rPr>
        <w:t xml:space="preserve">   5．供热与供冷系统为 2 个采暖期、供冷期；</w:t>
      </w:r>
    </w:p>
    <w:p w14:paraId="0280359B">
      <w:pPr>
        <w:spacing w:line="360" w:lineRule="auto"/>
        <w:rPr>
          <w:rFonts w:hint="eastAsia"/>
          <w:color w:val="auto"/>
          <w:highlight w:val="none"/>
        </w:rPr>
      </w:pPr>
      <w:r>
        <w:rPr>
          <w:rFonts w:hint="eastAsia"/>
          <w:color w:val="auto"/>
          <w:highlight w:val="none"/>
        </w:rPr>
        <w:t xml:space="preserve">   6．住宅小区内的给排水设施、道路等配套工程为 2 年；</w:t>
      </w:r>
    </w:p>
    <w:p w14:paraId="530AB795">
      <w:pPr>
        <w:spacing w:line="360" w:lineRule="auto"/>
        <w:rPr>
          <w:rFonts w:hint="eastAsia"/>
          <w:color w:val="auto"/>
          <w:highlight w:val="none"/>
        </w:rPr>
      </w:pPr>
      <w:r>
        <w:rPr>
          <w:rFonts w:hint="eastAsia"/>
          <w:color w:val="auto"/>
          <w:highlight w:val="none"/>
        </w:rPr>
        <w:t xml:space="preserve">   7．其他项目保修期限约定如下：</w:t>
      </w:r>
    </w:p>
    <w:p w14:paraId="34C0B4F1">
      <w:pPr>
        <w:spacing w:line="360" w:lineRule="auto"/>
        <w:rPr>
          <w:rFonts w:hint="eastAsia"/>
          <w:b/>
          <w:color w:val="auto"/>
          <w:highlight w:val="none"/>
        </w:rPr>
      </w:pPr>
      <w:r>
        <w:rPr>
          <w:rFonts w:hint="eastAsia"/>
          <w:color w:val="auto"/>
          <w:highlight w:val="none"/>
        </w:rPr>
        <w:t xml:space="preserve">  </w:t>
      </w:r>
      <w:r>
        <w:rPr>
          <w:rFonts w:hint="eastAsia"/>
          <w:b/>
          <w:color w:val="auto"/>
          <w:highlight w:val="none"/>
          <w:u w:val="single"/>
        </w:rPr>
        <w:t xml:space="preserve"> 本工程的质量保修期为</w:t>
      </w:r>
      <w:r>
        <w:rPr>
          <w:rFonts w:hint="eastAsia"/>
          <w:b/>
          <w:color w:val="auto"/>
          <w:highlight w:val="none"/>
          <w:u w:val="single"/>
          <w:lang w:val="en-US" w:eastAsia="zh-CN"/>
        </w:rPr>
        <w:t>2</w:t>
      </w:r>
      <w:r>
        <w:rPr>
          <w:rFonts w:hint="eastAsia"/>
          <w:b/>
          <w:color w:val="auto"/>
          <w:highlight w:val="none"/>
          <w:u w:val="single"/>
        </w:rPr>
        <w:t>年， 保修金为结算审定价的3%。</w:t>
      </w:r>
      <w:r>
        <w:rPr>
          <w:rFonts w:hint="eastAsia"/>
          <w:color w:val="auto"/>
          <w:highlight w:val="none"/>
        </w:rPr>
        <w:t>　</w:t>
      </w:r>
      <w:r>
        <w:rPr>
          <w:rFonts w:hint="eastAsia"/>
          <w:b/>
          <w:color w:val="auto"/>
          <w:highlight w:val="none"/>
        </w:rPr>
        <w:t>　</w:t>
      </w:r>
    </w:p>
    <w:p w14:paraId="160E345C">
      <w:pPr>
        <w:spacing w:line="360" w:lineRule="auto"/>
        <w:rPr>
          <w:color w:val="auto"/>
          <w:highlight w:val="none"/>
        </w:rPr>
      </w:pPr>
      <w:r>
        <w:rPr>
          <w:rFonts w:hint="eastAsia"/>
          <w:b/>
          <w:color w:val="auto"/>
          <w:highlight w:val="none"/>
        </w:rPr>
        <w:t xml:space="preserve">   质量保修期自竣工验收合格之日起计算</w:t>
      </w:r>
      <w:r>
        <w:rPr>
          <w:rFonts w:hint="eastAsia"/>
          <w:color w:val="auto"/>
          <w:highlight w:val="none"/>
        </w:rPr>
        <w:t>。</w:t>
      </w:r>
    </w:p>
    <w:p w14:paraId="1477C03F">
      <w:pPr>
        <w:spacing w:line="360" w:lineRule="auto"/>
        <w:ind w:firstLine="420" w:firstLineChars="200"/>
        <w:rPr>
          <w:color w:val="auto"/>
          <w:highlight w:val="none"/>
        </w:rPr>
      </w:pPr>
      <w:r>
        <w:rPr>
          <w:rFonts w:hint="eastAsia"/>
          <w:color w:val="auto"/>
          <w:highlight w:val="none"/>
        </w:rPr>
        <w:t>三、缺陷责任期</w:t>
      </w:r>
    </w:p>
    <w:p w14:paraId="33515CE6">
      <w:pPr>
        <w:spacing w:line="360" w:lineRule="auto"/>
        <w:ind w:firstLine="420" w:firstLineChars="200"/>
        <w:rPr>
          <w:color w:val="auto"/>
          <w:highlight w:val="none"/>
        </w:rPr>
      </w:pPr>
      <w:r>
        <w:rPr>
          <w:rFonts w:hint="eastAsia"/>
          <w:color w:val="auto"/>
          <w:highlight w:val="none"/>
        </w:rPr>
        <w:t>工程缺陷责任期为</w:t>
      </w:r>
      <w:r>
        <w:rPr>
          <w:rFonts w:hint="eastAsia"/>
          <w:color w:val="auto"/>
          <w:highlight w:val="none"/>
          <w:u w:val="single"/>
        </w:rPr>
        <w:t>24</w:t>
      </w:r>
      <w:r>
        <w:rPr>
          <w:color w:val="auto"/>
          <w:highlight w:val="none"/>
          <w:u w:val="single"/>
        </w:rPr>
        <w:t xml:space="preserve"> </w:t>
      </w:r>
      <w:r>
        <w:rPr>
          <w:rFonts w:hint="eastAsia"/>
          <w:color w:val="auto"/>
          <w:highlight w:val="none"/>
        </w:rPr>
        <w:t>个月，缺陷责任期自交付发包人使用之日起计算。</w:t>
      </w:r>
    </w:p>
    <w:p w14:paraId="1353B3CD">
      <w:pPr>
        <w:spacing w:line="360" w:lineRule="auto"/>
        <w:ind w:firstLine="420" w:firstLineChars="200"/>
        <w:rPr>
          <w:color w:val="auto"/>
          <w:highlight w:val="none"/>
        </w:rPr>
      </w:pPr>
      <w:r>
        <w:rPr>
          <w:rFonts w:hint="eastAsia"/>
          <w:color w:val="auto"/>
          <w:highlight w:val="none"/>
        </w:rPr>
        <w:t>缺陷责任期终止后，检查无质量问题后退还。</w:t>
      </w:r>
    </w:p>
    <w:p w14:paraId="5CB68535">
      <w:pPr>
        <w:spacing w:line="360" w:lineRule="auto"/>
        <w:rPr>
          <w:color w:val="auto"/>
          <w:highlight w:val="none"/>
        </w:rPr>
      </w:pPr>
      <w:r>
        <w:rPr>
          <w:color w:val="auto"/>
          <w:highlight w:val="none"/>
        </w:rPr>
        <w:t xml:space="preserve">    </w:t>
      </w:r>
      <w:r>
        <w:rPr>
          <w:rFonts w:hint="eastAsia"/>
          <w:color w:val="auto"/>
          <w:highlight w:val="none"/>
        </w:rPr>
        <w:t>四、质量保修责任</w:t>
      </w:r>
    </w:p>
    <w:p w14:paraId="6D5E4CEF">
      <w:pPr>
        <w:spacing w:line="360" w:lineRule="auto"/>
        <w:ind w:left="105" w:leftChars="50" w:firstLine="430" w:firstLineChars="205"/>
        <w:rPr>
          <w:color w:val="auto"/>
          <w:highlight w:val="none"/>
        </w:rPr>
      </w:pPr>
      <w:r>
        <w:rPr>
          <w:color w:val="auto"/>
          <w:highlight w:val="none"/>
        </w:rPr>
        <w:t>1</w:t>
      </w:r>
      <w:r>
        <w:rPr>
          <w:rFonts w:hint="eastAsia"/>
          <w:color w:val="auto"/>
          <w:highlight w:val="none"/>
        </w:rPr>
        <w:t>．属于保修范围、内容的项目，承包人应当在接到保修通知之日起1小时内派人保修。承包人不在约定期限内派人</w:t>
      </w:r>
      <w:r>
        <w:rPr>
          <w:rFonts w:hint="eastAsia"/>
          <w:color w:val="auto"/>
          <w:highlight w:val="none"/>
          <w:lang w:eastAsia="zh-CN"/>
        </w:rPr>
        <w:t>报修</w:t>
      </w:r>
      <w:r>
        <w:rPr>
          <w:rFonts w:hint="eastAsia"/>
          <w:color w:val="auto"/>
          <w:highlight w:val="none"/>
        </w:rPr>
        <w:t>的，发包人可以委托他人修理，费用按实际发生费用的两倍及以上从质量保修金中扣除。</w:t>
      </w:r>
    </w:p>
    <w:p w14:paraId="12C8D0DD">
      <w:pPr>
        <w:spacing w:line="360" w:lineRule="auto"/>
        <w:ind w:left="105" w:leftChars="50" w:firstLine="430" w:firstLineChars="205"/>
        <w:rPr>
          <w:color w:val="auto"/>
          <w:highlight w:val="none"/>
        </w:rPr>
      </w:pPr>
      <w:r>
        <w:rPr>
          <w:color w:val="auto"/>
          <w:highlight w:val="none"/>
        </w:rPr>
        <w:t>2</w:t>
      </w:r>
      <w:r>
        <w:rPr>
          <w:rFonts w:hint="eastAsia"/>
          <w:color w:val="auto"/>
          <w:highlight w:val="none"/>
        </w:rPr>
        <w:t>．发生紧急事故需抢修的，承包人在接到事故通知后，应当立即到达事故现场抢修。</w:t>
      </w:r>
    </w:p>
    <w:p w14:paraId="1E3189BF">
      <w:pPr>
        <w:spacing w:line="360" w:lineRule="auto"/>
        <w:ind w:left="105" w:leftChars="50" w:firstLine="430" w:firstLineChars="205"/>
        <w:rPr>
          <w:color w:val="auto"/>
          <w:highlight w:val="none"/>
        </w:rPr>
      </w:pPr>
      <w:r>
        <w:rPr>
          <w:color w:val="auto"/>
          <w:highlight w:val="none"/>
        </w:rPr>
        <w:t>3</w:t>
      </w:r>
      <w:r>
        <w:rPr>
          <w:rFonts w:hint="eastAsia"/>
          <w:color w:val="auto"/>
          <w:highlight w:val="none"/>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08429595">
      <w:pPr>
        <w:spacing w:line="360" w:lineRule="auto"/>
        <w:ind w:left="420" w:leftChars="200" w:firstLine="105" w:firstLineChars="50"/>
        <w:rPr>
          <w:color w:val="auto"/>
          <w:highlight w:val="none"/>
        </w:rPr>
      </w:pPr>
      <w:r>
        <w:rPr>
          <w:color w:val="auto"/>
          <w:highlight w:val="none"/>
        </w:rPr>
        <w:t>4</w:t>
      </w:r>
      <w:r>
        <w:rPr>
          <w:rFonts w:hint="eastAsia"/>
          <w:color w:val="auto"/>
          <w:highlight w:val="none"/>
        </w:rPr>
        <w:t>．质量保修完成后，由发包人组织验收。</w:t>
      </w:r>
    </w:p>
    <w:p w14:paraId="717C24AE">
      <w:pPr>
        <w:spacing w:line="360" w:lineRule="auto"/>
        <w:rPr>
          <w:color w:val="auto"/>
          <w:highlight w:val="none"/>
        </w:rPr>
      </w:pPr>
      <w:r>
        <w:rPr>
          <w:rFonts w:hint="eastAsia"/>
          <w:color w:val="auto"/>
          <w:highlight w:val="none"/>
        </w:rPr>
        <w:t>　　五、保修费用</w:t>
      </w:r>
    </w:p>
    <w:p w14:paraId="0915C9DC">
      <w:pPr>
        <w:spacing w:line="360" w:lineRule="auto"/>
        <w:rPr>
          <w:color w:val="auto"/>
          <w:highlight w:val="none"/>
        </w:rPr>
      </w:pPr>
      <w:r>
        <w:rPr>
          <w:rFonts w:hint="eastAsia"/>
          <w:color w:val="auto"/>
          <w:highlight w:val="none"/>
        </w:rPr>
        <w:t>　　保修费用由造成质量缺陷的责任方承担。工程质量保修金为工程总价</w:t>
      </w:r>
      <w:r>
        <w:rPr>
          <w:rFonts w:hint="eastAsia"/>
          <w:color w:val="auto"/>
          <w:highlight w:val="none"/>
          <w:lang w:eastAsia="zh-CN"/>
        </w:rPr>
        <w:t>（</w:t>
      </w:r>
      <w:r>
        <w:rPr>
          <w:rFonts w:hint="eastAsia"/>
          <w:color w:val="auto"/>
          <w:highlight w:val="none"/>
        </w:rPr>
        <w:t>审计后</w:t>
      </w:r>
      <w:r>
        <w:rPr>
          <w:rFonts w:hint="eastAsia"/>
          <w:color w:val="auto"/>
          <w:highlight w:val="none"/>
          <w:lang w:eastAsia="zh-CN"/>
        </w:rPr>
        <w:t>）</w:t>
      </w:r>
      <w:r>
        <w:rPr>
          <w:rFonts w:hint="eastAsia"/>
          <w:color w:val="auto"/>
          <w:highlight w:val="none"/>
        </w:rPr>
        <w:t>的3%。</w:t>
      </w:r>
    </w:p>
    <w:p w14:paraId="1854702D">
      <w:pPr>
        <w:spacing w:line="360" w:lineRule="auto"/>
        <w:ind w:firstLine="600"/>
        <w:rPr>
          <w:color w:val="auto"/>
          <w:highlight w:val="none"/>
        </w:rPr>
      </w:pPr>
      <w:r>
        <w:rPr>
          <w:rFonts w:hint="eastAsia"/>
          <w:b/>
          <w:color w:val="auto"/>
          <w:highlight w:val="none"/>
        </w:rPr>
        <w:t>六</w:t>
      </w:r>
      <w:r>
        <w:rPr>
          <w:rFonts w:hint="eastAsia"/>
          <w:color w:val="auto"/>
          <w:highlight w:val="none"/>
        </w:rPr>
        <w:t>、双方约定的其他工程质量保修事项：</w:t>
      </w:r>
      <w:r>
        <w:rPr>
          <w:color w:val="auto"/>
          <w:highlight w:val="none"/>
          <w:u w:val="single"/>
        </w:rPr>
        <w:t xml:space="preserve">                     </w:t>
      </w:r>
      <w:r>
        <w:rPr>
          <w:rFonts w:hint="eastAsia"/>
          <w:color w:val="auto"/>
          <w:highlight w:val="none"/>
        </w:rPr>
        <w:t>。</w:t>
      </w:r>
    </w:p>
    <w:p w14:paraId="4A2CA1B6">
      <w:pPr>
        <w:spacing w:line="360" w:lineRule="auto"/>
        <w:ind w:firstLine="399" w:firstLineChars="190"/>
        <w:rPr>
          <w:color w:val="auto"/>
          <w:highlight w:val="none"/>
        </w:rPr>
      </w:pPr>
      <w:r>
        <w:rPr>
          <w:rFonts w:hint="eastAsia"/>
          <w:color w:val="auto"/>
          <w:highlight w:val="none"/>
        </w:rPr>
        <w:t>工程质量保修书由发包人、承包人在工程竣工验收前共同签署，作为施工合同附件，其有效期限至保修期满。</w:t>
      </w:r>
    </w:p>
    <w:p w14:paraId="143457EB">
      <w:pPr>
        <w:spacing w:line="360" w:lineRule="auto"/>
        <w:ind w:firstLine="420"/>
        <w:rPr>
          <w:color w:val="auto"/>
          <w:highlight w:val="none"/>
        </w:rPr>
      </w:pPr>
    </w:p>
    <w:p w14:paraId="3CBB76C9">
      <w:pPr>
        <w:spacing w:line="360" w:lineRule="auto"/>
        <w:rPr>
          <w:color w:val="auto"/>
          <w:highlight w:val="none"/>
        </w:rPr>
      </w:pPr>
      <w:r>
        <w:rPr>
          <w:rFonts w:hint="eastAsia"/>
          <w:color w:val="auto"/>
          <w:highlight w:val="none"/>
        </w:rPr>
        <w:t>发包人</w:t>
      </w:r>
      <w:r>
        <w:rPr>
          <w:rFonts w:hint="eastAsia"/>
          <w:color w:val="auto"/>
          <w:highlight w:val="none"/>
          <w:lang w:eastAsia="zh-CN"/>
        </w:rPr>
        <w:t>（</w:t>
      </w:r>
      <w:r>
        <w:rPr>
          <w:rFonts w:hint="eastAsia"/>
          <w:color w:val="auto"/>
          <w:highlight w:val="none"/>
        </w:rPr>
        <w:t>公章</w:t>
      </w:r>
      <w:r>
        <w:rPr>
          <w:rFonts w:hint="eastAsia"/>
          <w:color w:val="auto"/>
          <w:highlight w:val="none"/>
          <w:lang w:eastAsia="zh-CN"/>
        </w:rPr>
        <w:t>）</w:t>
      </w:r>
      <w:r>
        <w:rPr>
          <w:rFonts w:hint="eastAsia"/>
          <w:color w:val="auto"/>
          <w:highlight w:val="none"/>
        </w:rPr>
        <w:t>：</w:t>
      </w:r>
      <w:r>
        <w:rPr>
          <w:rFonts w:hint="eastAsia"/>
          <w:color w:val="auto"/>
          <w:highlight w:val="none"/>
          <w:u w:val="single"/>
        </w:rPr>
        <w:t xml:space="preserve">             </w:t>
      </w:r>
      <w:r>
        <w:rPr>
          <w:color w:val="auto"/>
          <w:highlight w:val="none"/>
        </w:rPr>
        <w:t xml:space="preserve"> </w:t>
      </w:r>
      <w:r>
        <w:rPr>
          <w:rFonts w:hint="eastAsia"/>
          <w:color w:val="auto"/>
          <w:highlight w:val="none"/>
        </w:rPr>
        <w:t>承包人</w:t>
      </w:r>
      <w:r>
        <w:rPr>
          <w:rFonts w:hint="eastAsia"/>
          <w:color w:val="auto"/>
          <w:highlight w:val="none"/>
          <w:lang w:eastAsia="zh-CN"/>
        </w:rPr>
        <w:t>（</w:t>
      </w:r>
      <w:r>
        <w:rPr>
          <w:rFonts w:hint="eastAsia"/>
          <w:color w:val="auto"/>
          <w:highlight w:val="none"/>
        </w:rPr>
        <w:t>公章</w:t>
      </w:r>
      <w:r>
        <w:rPr>
          <w:rFonts w:hint="eastAsia"/>
          <w:color w:val="auto"/>
          <w:highlight w:val="none"/>
          <w:lang w:eastAsia="zh-CN"/>
        </w:rPr>
        <w:t>）</w:t>
      </w:r>
      <w:r>
        <w:rPr>
          <w:rFonts w:hint="eastAsia"/>
          <w:color w:val="auto"/>
          <w:highlight w:val="none"/>
        </w:rPr>
        <w:t>：</w:t>
      </w:r>
      <w:r>
        <w:rPr>
          <w:rFonts w:hint="eastAsia" w:cs="仿宋_GB2312"/>
          <w:color w:val="auto"/>
          <w:highlight w:val="none"/>
          <w:u w:val="single"/>
          <w:lang w:bidi="ar-SA"/>
        </w:rPr>
        <w:t xml:space="preserve">                </w:t>
      </w:r>
    </w:p>
    <w:p w14:paraId="44184086">
      <w:pPr>
        <w:spacing w:line="360" w:lineRule="auto"/>
        <w:rPr>
          <w:color w:val="auto"/>
          <w:highlight w:val="none"/>
        </w:rPr>
      </w:pPr>
      <w:r>
        <w:rPr>
          <w:rFonts w:hint="eastAsia"/>
          <w:color w:val="auto"/>
          <w:highlight w:val="none"/>
        </w:rPr>
        <w:t>地</w:t>
      </w:r>
      <w:r>
        <w:rPr>
          <w:color w:val="auto"/>
          <w:highlight w:val="none"/>
        </w:rPr>
        <w:t xml:space="preserve">  </w:t>
      </w:r>
      <w:r>
        <w:rPr>
          <w:rFonts w:hint="eastAsia"/>
          <w:color w:val="auto"/>
          <w:highlight w:val="none"/>
        </w:rPr>
        <w:t>址：</w:t>
      </w:r>
      <w:r>
        <w:rPr>
          <w:rFonts w:hint="eastAsia"/>
          <w:color w:val="auto"/>
          <w:highlight w:val="none"/>
          <w:u w:val="single"/>
        </w:rPr>
        <w:t xml:space="preserve">                    </w:t>
      </w:r>
      <w:r>
        <w:rPr>
          <w:rFonts w:hint="eastAsia"/>
          <w:color w:val="auto"/>
          <w:highlight w:val="none"/>
        </w:rPr>
        <w:t>地</w:t>
      </w:r>
      <w:r>
        <w:rPr>
          <w:color w:val="auto"/>
          <w:highlight w:val="none"/>
        </w:rPr>
        <w:t xml:space="preserve">  </w:t>
      </w:r>
      <w:r>
        <w:rPr>
          <w:rFonts w:hint="eastAsia"/>
          <w:color w:val="auto"/>
          <w:highlight w:val="none"/>
        </w:rPr>
        <w:t>址：</w:t>
      </w:r>
      <w:r>
        <w:rPr>
          <w:rFonts w:hint="eastAsia" w:cs="仿宋_GB2312"/>
          <w:color w:val="auto"/>
          <w:highlight w:val="none"/>
          <w:u w:val="single"/>
          <w:lang w:bidi="ar-SA"/>
        </w:rPr>
        <w:t xml:space="preserve">                      </w:t>
      </w:r>
    </w:p>
    <w:p w14:paraId="14B34524">
      <w:pPr>
        <w:spacing w:line="360" w:lineRule="auto"/>
        <w:rPr>
          <w:color w:val="auto"/>
          <w:highlight w:val="none"/>
        </w:rPr>
      </w:pPr>
      <w:r>
        <w:rPr>
          <w:rFonts w:hint="eastAsia"/>
          <w:color w:val="auto"/>
          <w:highlight w:val="none"/>
        </w:rPr>
        <w:t>法定代表人</w:t>
      </w:r>
      <w:r>
        <w:rPr>
          <w:rFonts w:hint="eastAsia"/>
          <w:color w:val="auto"/>
          <w:highlight w:val="none"/>
          <w:lang w:eastAsia="zh-CN"/>
        </w:rPr>
        <w:t>（</w:t>
      </w:r>
      <w:r>
        <w:rPr>
          <w:rFonts w:hint="eastAsia"/>
          <w:color w:val="auto"/>
          <w:highlight w:val="none"/>
        </w:rPr>
        <w:t>签字</w:t>
      </w:r>
      <w:r>
        <w:rPr>
          <w:rFonts w:hint="eastAsia"/>
          <w:color w:val="auto"/>
          <w:highlight w:val="none"/>
          <w:lang w:eastAsia="zh-CN"/>
        </w:rPr>
        <w:t>）</w:t>
      </w:r>
      <w:r>
        <w:rPr>
          <w:rFonts w:hint="eastAsia"/>
          <w:color w:val="auto"/>
          <w:highlight w:val="none"/>
        </w:rPr>
        <w:t>：</w:t>
      </w:r>
      <w:r>
        <w:rPr>
          <w:rFonts w:hint="eastAsia" w:cs="仿宋_GB2312"/>
          <w:color w:val="auto"/>
          <w:highlight w:val="none"/>
          <w:u w:val="single"/>
          <w:lang w:bidi="ar-SA"/>
        </w:rPr>
        <w:t xml:space="preserve">         </w:t>
      </w:r>
      <w:r>
        <w:rPr>
          <w:color w:val="auto"/>
          <w:highlight w:val="none"/>
        </w:rPr>
        <w:t xml:space="preserve"> </w:t>
      </w:r>
      <w:r>
        <w:rPr>
          <w:rFonts w:hint="eastAsia"/>
          <w:color w:val="auto"/>
          <w:highlight w:val="none"/>
        </w:rPr>
        <w:t>法定代表人</w:t>
      </w:r>
      <w:r>
        <w:rPr>
          <w:rFonts w:hint="eastAsia"/>
          <w:color w:val="auto"/>
          <w:highlight w:val="none"/>
          <w:lang w:eastAsia="zh-CN"/>
        </w:rPr>
        <w:t>（</w:t>
      </w:r>
      <w:r>
        <w:rPr>
          <w:rFonts w:hint="eastAsia"/>
          <w:color w:val="auto"/>
          <w:highlight w:val="none"/>
        </w:rPr>
        <w:t>签字</w:t>
      </w:r>
      <w:r>
        <w:rPr>
          <w:rFonts w:hint="eastAsia"/>
          <w:color w:val="auto"/>
          <w:highlight w:val="none"/>
          <w:lang w:eastAsia="zh-CN"/>
        </w:rPr>
        <w:t>）</w:t>
      </w:r>
      <w:r>
        <w:rPr>
          <w:rFonts w:hint="eastAsia"/>
          <w:color w:val="auto"/>
          <w:highlight w:val="none"/>
        </w:rPr>
        <w:t>：</w:t>
      </w:r>
      <w:r>
        <w:rPr>
          <w:rFonts w:hint="eastAsia" w:cs="仿宋_GB2312"/>
          <w:color w:val="auto"/>
          <w:highlight w:val="none"/>
          <w:u w:val="single"/>
          <w:lang w:bidi="ar-SA"/>
        </w:rPr>
        <w:t xml:space="preserve">            </w:t>
      </w:r>
    </w:p>
    <w:p w14:paraId="0C8BCF90">
      <w:pPr>
        <w:spacing w:line="360" w:lineRule="auto"/>
        <w:rPr>
          <w:color w:val="auto"/>
          <w:highlight w:val="none"/>
        </w:rPr>
      </w:pPr>
      <w:r>
        <w:rPr>
          <w:rFonts w:hint="eastAsia"/>
          <w:color w:val="auto"/>
          <w:highlight w:val="none"/>
        </w:rPr>
        <w:t>委托代理人</w:t>
      </w:r>
      <w:r>
        <w:rPr>
          <w:rFonts w:hint="eastAsia"/>
          <w:color w:val="auto"/>
          <w:highlight w:val="none"/>
          <w:lang w:eastAsia="zh-CN"/>
        </w:rPr>
        <w:t>（</w:t>
      </w:r>
      <w:r>
        <w:rPr>
          <w:rFonts w:hint="eastAsia"/>
          <w:color w:val="auto"/>
          <w:highlight w:val="none"/>
        </w:rPr>
        <w:t>签字</w:t>
      </w:r>
      <w:r>
        <w:rPr>
          <w:rFonts w:hint="eastAsia"/>
          <w:color w:val="auto"/>
          <w:highlight w:val="none"/>
          <w:lang w:eastAsia="zh-CN"/>
        </w:rPr>
        <w:t>）</w:t>
      </w:r>
      <w:r>
        <w:rPr>
          <w:rFonts w:hint="eastAsia"/>
          <w:color w:val="auto"/>
          <w:highlight w:val="none"/>
        </w:rPr>
        <w:t>：</w:t>
      </w:r>
      <w:r>
        <w:rPr>
          <w:rFonts w:hint="eastAsia" w:cs="仿宋_GB2312"/>
          <w:color w:val="auto"/>
          <w:highlight w:val="none"/>
          <w:u w:val="single"/>
          <w:lang w:bidi="ar-SA"/>
        </w:rPr>
        <w:t xml:space="preserve">         </w:t>
      </w:r>
      <w:r>
        <w:rPr>
          <w:color w:val="auto"/>
          <w:highlight w:val="none"/>
        </w:rPr>
        <w:t xml:space="preserve"> </w:t>
      </w:r>
      <w:r>
        <w:rPr>
          <w:rFonts w:hint="eastAsia"/>
          <w:color w:val="auto"/>
          <w:highlight w:val="none"/>
        </w:rPr>
        <w:t>委托代理人</w:t>
      </w:r>
      <w:r>
        <w:rPr>
          <w:rFonts w:hint="eastAsia"/>
          <w:color w:val="auto"/>
          <w:highlight w:val="none"/>
          <w:lang w:eastAsia="zh-CN"/>
        </w:rPr>
        <w:t>（</w:t>
      </w:r>
      <w:r>
        <w:rPr>
          <w:rFonts w:hint="eastAsia"/>
          <w:color w:val="auto"/>
          <w:highlight w:val="none"/>
        </w:rPr>
        <w:t>签字</w:t>
      </w:r>
      <w:r>
        <w:rPr>
          <w:rFonts w:hint="eastAsia"/>
          <w:color w:val="auto"/>
          <w:highlight w:val="none"/>
          <w:lang w:eastAsia="zh-CN"/>
        </w:rPr>
        <w:t>）</w:t>
      </w:r>
      <w:r>
        <w:rPr>
          <w:rFonts w:hint="eastAsia"/>
          <w:color w:val="auto"/>
          <w:highlight w:val="none"/>
        </w:rPr>
        <w:t>：</w:t>
      </w:r>
      <w:r>
        <w:rPr>
          <w:rFonts w:hint="eastAsia" w:cs="仿宋_GB2312"/>
          <w:color w:val="auto"/>
          <w:highlight w:val="none"/>
          <w:u w:val="single"/>
          <w:lang w:bidi="ar-SA"/>
        </w:rPr>
        <w:t xml:space="preserve">            </w:t>
      </w:r>
    </w:p>
    <w:p w14:paraId="2CC0D19B">
      <w:pPr>
        <w:spacing w:line="360" w:lineRule="auto"/>
        <w:rPr>
          <w:color w:val="auto"/>
          <w:highlight w:val="none"/>
        </w:rPr>
      </w:pPr>
      <w:r>
        <w:rPr>
          <w:rFonts w:hint="eastAsia"/>
          <w:color w:val="auto"/>
          <w:highlight w:val="none"/>
        </w:rPr>
        <w:t>电</w:t>
      </w:r>
      <w:r>
        <w:rPr>
          <w:color w:val="auto"/>
          <w:highlight w:val="none"/>
        </w:rPr>
        <w:t xml:space="preserve">  </w:t>
      </w:r>
      <w:r>
        <w:rPr>
          <w:rFonts w:hint="eastAsia"/>
          <w:color w:val="auto"/>
          <w:highlight w:val="none"/>
        </w:rPr>
        <w:t>话：</w:t>
      </w:r>
      <w:r>
        <w:rPr>
          <w:rFonts w:hint="eastAsia" w:cs="仿宋_GB2312"/>
          <w:color w:val="auto"/>
          <w:highlight w:val="none"/>
          <w:u w:val="single"/>
          <w:lang w:bidi="ar-SA"/>
        </w:rPr>
        <w:t xml:space="preserve">                   </w:t>
      </w:r>
      <w:r>
        <w:rPr>
          <w:color w:val="auto"/>
          <w:highlight w:val="none"/>
        </w:rPr>
        <w:t xml:space="preserve"> </w:t>
      </w:r>
      <w:r>
        <w:rPr>
          <w:rFonts w:hint="eastAsia"/>
          <w:color w:val="auto"/>
          <w:highlight w:val="none"/>
        </w:rPr>
        <w:t>电</w:t>
      </w:r>
      <w:r>
        <w:rPr>
          <w:color w:val="auto"/>
          <w:highlight w:val="none"/>
        </w:rPr>
        <w:t xml:space="preserve">  </w:t>
      </w:r>
      <w:r>
        <w:rPr>
          <w:rFonts w:hint="eastAsia"/>
          <w:color w:val="auto"/>
          <w:highlight w:val="none"/>
        </w:rPr>
        <w:t>话：</w:t>
      </w:r>
      <w:r>
        <w:rPr>
          <w:rFonts w:hint="eastAsia" w:cs="仿宋_GB2312"/>
          <w:color w:val="auto"/>
          <w:highlight w:val="none"/>
          <w:u w:val="single"/>
          <w:lang w:bidi="ar-SA"/>
        </w:rPr>
        <w:t xml:space="preserve">                      </w:t>
      </w:r>
    </w:p>
    <w:p w14:paraId="1694FFD6">
      <w:pPr>
        <w:spacing w:line="360" w:lineRule="auto"/>
        <w:rPr>
          <w:color w:val="auto"/>
          <w:highlight w:val="none"/>
        </w:rPr>
      </w:pPr>
      <w:r>
        <w:rPr>
          <w:rFonts w:hint="eastAsia"/>
          <w:color w:val="auto"/>
          <w:highlight w:val="none"/>
        </w:rPr>
        <w:t>传</w:t>
      </w:r>
      <w:r>
        <w:rPr>
          <w:color w:val="auto"/>
          <w:highlight w:val="none"/>
        </w:rPr>
        <w:t xml:space="preserve">  </w:t>
      </w:r>
      <w:r>
        <w:rPr>
          <w:rFonts w:hint="eastAsia"/>
          <w:color w:val="auto"/>
          <w:highlight w:val="none"/>
        </w:rPr>
        <w:t>真：</w:t>
      </w:r>
      <w:r>
        <w:rPr>
          <w:rFonts w:hint="eastAsia" w:cs="仿宋_GB2312"/>
          <w:color w:val="auto"/>
          <w:highlight w:val="none"/>
          <w:u w:val="single"/>
          <w:lang w:bidi="ar-SA"/>
        </w:rPr>
        <w:t xml:space="preserve">                  </w:t>
      </w:r>
      <w:r>
        <w:rPr>
          <w:color w:val="auto"/>
          <w:highlight w:val="none"/>
        </w:rPr>
        <w:t xml:space="preserve"> </w:t>
      </w:r>
      <w:r>
        <w:rPr>
          <w:rFonts w:hint="eastAsia"/>
          <w:color w:val="auto"/>
          <w:highlight w:val="none"/>
        </w:rPr>
        <w:t xml:space="preserve"> 传</w:t>
      </w:r>
      <w:r>
        <w:rPr>
          <w:color w:val="auto"/>
          <w:highlight w:val="none"/>
        </w:rPr>
        <w:t xml:space="preserve">  </w:t>
      </w:r>
      <w:r>
        <w:rPr>
          <w:rFonts w:hint="eastAsia"/>
          <w:color w:val="auto"/>
          <w:highlight w:val="none"/>
        </w:rPr>
        <w:t>真：</w:t>
      </w:r>
      <w:r>
        <w:rPr>
          <w:rFonts w:hint="eastAsia" w:cs="仿宋_GB2312"/>
          <w:color w:val="auto"/>
          <w:highlight w:val="none"/>
          <w:u w:val="single"/>
          <w:lang w:bidi="ar-SA"/>
        </w:rPr>
        <w:t xml:space="preserve">                       </w:t>
      </w:r>
    </w:p>
    <w:p w14:paraId="224381E3">
      <w:pPr>
        <w:spacing w:line="360" w:lineRule="auto"/>
        <w:rPr>
          <w:color w:val="auto"/>
          <w:highlight w:val="none"/>
        </w:rPr>
      </w:pPr>
      <w:r>
        <w:rPr>
          <w:rFonts w:hint="eastAsia"/>
          <w:color w:val="auto"/>
          <w:highlight w:val="none"/>
        </w:rPr>
        <w:t>开户银行：</w:t>
      </w:r>
      <w:r>
        <w:rPr>
          <w:rFonts w:hint="eastAsia" w:cs="仿宋_GB2312"/>
          <w:color w:val="auto"/>
          <w:highlight w:val="none"/>
          <w:u w:val="single"/>
          <w:lang w:bidi="ar-SA"/>
        </w:rPr>
        <w:t xml:space="preserve">                </w:t>
      </w:r>
      <w:r>
        <w:rPr>
          <w:color w:val="auto"/>
          <w:highlight w:val="none"/>
        </w:rPr>
        <w:t xml:space="preserve"> </w:t>
      </w:r>
      <w:r>
        <w:rPr>
          <w:rFonts w:hint="eastAsia"/>
          <w:color w:val="auto"/>
          <w:highlight w:val="none"/>
        </w:rPr>
        <w:t xml:space="preserve"> 开户银行：</w:t>
      </w:r>
      <w:r>
        <w:rPr>
          <w:rFonts w:hint="eastAsia" w:cs="仿宋_GB2312"/>
          <w:color w:val="auto"/>
          <w:highlight w:val="none"/>
          <w:u w:val="single"/>
          <w:lang w:bidi="ar-SA"/>
        </w:rPr>
        <w:t xml:space="preserve">                     </w:t>
      </w:r>
    </w:p>
    <w:p w14:paraId="499A9CED">
      <w:pPr>
        <w:spacing w:line="360" w:lineRule="auto"/>
        <w:rPr>
          <w:color w:val="auto"/>
          <w:highlight w:val="none"/>
        </w:rPr>
      </w:pPr>
      <w:r>
        <w:rPr>
          <w:rFonts w:hint="eastAsia"/>
          <w:color w:val="auto"/>
          <w:highlight w:val="none"/>
        </w:rPr>
        <w:t>账</w:t>
      </w:r>
      <w:r>
        <w:rPr>
          <w:color w:val="auto"/>
          <w:highlight w:val="none"/>
        </w:rPr>
        <w:t xml:space="preserve">  </w:t>
      </w:r>
      <w:r>
        <w:rPr>
          <w:rFonts w:hint="eastAsia"/>
          <w:color w:val="auto"/>
          <w:highlight w:val="none"/>
        </w:rPr>
        <w:t>号：</w:t>
      </w:r>
      <w:r>
        <w:rPr>
          <w:rFonts w:hint="eastAsia" w:cs="仿宋_GB2312"/>
          <w:color w:val="auto"/>
          <w:highlight w:val="none"/>
          <w:u w:val="single"/>
          <w:lang w:bidi="ar-SA"/>
        </w:rPr>
        <w:t xml:space="preserve">                  </w:t>
      </w:r>
      <w:r>
        <w:rPr>
          <w:color w:val="auto"/>
          <w:highlight w:val="none"/>
        </w:rPr>
        <w:t xml:space="preserve">  </w:t>
      </w:r>
      <w:r>
        <w:rPr>
          <w:rFonts w:hint="eastAsia"/>
          <w:color w:val="auto"/>
          <w:highlight w:val="none"/>
        </w:rPr>
        <w:t>账</w:t>
      </w:r>
      <w:r>
        <w:rPr>
          <w:color w:val="auto"/>
          <w:highlight w:val="none"/>
        </w:rPr>
        <w:t xml:space="preserve">  </w:t>
      </w:r>
      <w:r>
        <w:rPr>
          <w:rFonts w:hint="eastAsia"/>
          <w:color w:val="auto"/>
          <w:highlight w:val="none"/>
        </w:rPr>
        <w:t>号：</w:t>
      </w:r>
      <w:r>
        <w:rPr>
          <w:rFonts w:hint="eastAsia" w:cs="仿宋_GB2312"/>
          <w:color w:val="auto"/>
          <w:highlight w:val="none"/>
          <w:u w:val="single"/>
          <w:lang w:bidi="ar-SA"/>
        </w:rPr>
        <w:t xml:space="preserve">                     </w:t>
      </w:r>
      <w:r>
        <w:rPr>
          <w:color w:val="auto"/>
          <w:highlight w:val="none"/>
          <w:u w:val="single"/>
        </w:rPr>
        <w:t xml:space="preserve"> </w:t>
      </w:r>
    </w:p>
    <w:p w14:paraId="1EA0FDFA">
      <w:pPr>
        <w:spacing w:line="360" w:lineRule="auto"/>
        <w:rPr>
          <w:color w:val="auto"/>
          <w:highlight w:val="none"/>
        </w:rPr>
      </w:pPr>
      <w:r>
        <w:rPr>
          <w:rFonts w:hint="eastAsia"/>
          <w:color w:val="auto"/>
          <w:highlight w:val="none"/>
        </w:rPr>
        <w:t>邮政编码：</w:t>
      </w:r>
      <w:r>
        <w:rPr>
          <w:rFonts w:hint="eastAsia"/>
          <w:color w:val="auto"/>
          <w:highlight w:val="none"/>
          <w:u w:val="single"/>
        </w:rPr>
        <w:t xml:space="preserve">                </w:t>
      </w:r>
      <w:r>
        <w:rPr>
          <w:color w:val="auto"/>
          <w:highlight w:val="none"/>
        </w:rPr>
        <w:t xml:space="preserve"> </w:t>
      </w:r>
      <w:r>
        <w:rPr>
          <w:rFonts w:hint="eastAsia"/>
          <w:color w:val="auto"/>
          <w:highlight w:val="none"/>
        </w:rPr>
        <w:t>邮政编码：</w:t>
      </w:r>
      <w:r>
        <w:rPr>
          <w:rFonts w:hint="eastAsia" w:cs="仿宋_GB2312"/>
          <w:color w:val="auto"/>
          <w:highlight w:val="none"/>
          <w:u w:val="single"/>
          <w:lang w:bidi="ar-SA"/>
        </w:rPr>
        <w:t xml:space="preserve">                     </w:t>
      </w:r>
    </w:p>
    <w:p w14:paraId="57D731A7">
      <w:pPr>
        <w:spacing w:line="360" w:lineRule="auto"/>
        <w:rPr>
          <w:rFonts w:eastAsia="仿宋_GB2312"/>
          <w:b/>
          <w:color w:val="auto"/>
          <w:szCs w:val="30"/>
          <w:highlight w:val="none"/>
        </w:rPr>
      </w:pPr>
    </w:p>
    <w:p w14:paraId="7B170B28">
      <w:pPr>
        <w:spacing w:line="440" w:lineRule="exact"/>
        <w:rPr>
          <w:color w:val="auto"/>
          <w:highlight w:val="none"/>
        </w:rPr>
      </w:pPr>
      <w:r>
        <w:rPr>
          <w:color w:val="auto"/>
          <w:highlight w:val="none"/>
        </w:rPr>
        <w:br w:type="page"/>
      </w:r>
      <w:r>
        <w:rPr>
          <w:color w:val="auto"/>
          <w:highlight w:val="none"/>
        </w:rPr>
        <w:t xml:space="preserve"> </w:t>
      </w:r>
      <w:r>
        <w:rPr>
          <w:rFonts w:eastAsia="仿宋_GB2312"/>
          <w:color w:val="auto"/>
          <w:sz w:val="30"/>
          <w:szCs w:val="30"/>
          <w:highlight w:val="none"/>
        </w:rPr>
        <w:t>附件</w:t>
      </w:r>
      <w:r>
        <w:rPr>
          <w:rFonts w:hint="eastAsia" w:eastAsia="仿宋_GB2312"/>
          <w:color w:val="auto"/>
          <w:sz w:val="30"/>
          <w:szCs w:val="30"/>
          <w:highlight w:val="none"/>
        </w:rPr>
        <w:t>3</w:t>
      </w:r>
      <w:r>
        <w:rPr>
          <w:rFonts w:eastAsia="仿宋_GB2312"/>
          <w:color w:val="auto"/>
          <w:sz w:val="30"/>
          <w:szCs w:val="30"/>
          <w:highlight w:val="none"/>
        </w:rPr>
        <w:t>：</w:t>
      </w:r>
    </w:p>
    <w:p w14:paraId="29B61952">
      <w:pPr>
        <w:autoSpaceDE w:val="0"/>
        <w:autoSpaceDN w:val="0"/>
        <w:adjustRightInd w:val="0"/>
        <w:spacing w:line="360" w:lineRule="auto"/>
        <w:ind w:firstLine="148" w:firstLineChars="49"/>
        <w:jc w:val="center"/>
        <w:rPr>
          <w:b/>
          <w:i/>
          <w:color w:val="auto"/>
          <w:sz w:val="30"/>
          <w:szCs w:val="30"/>
          <w:highlight w:val="none"/>
        </w:rPr>
      </w:pPr>
      <w:r>
        <w:rPr>
          <w:rFonts w:hint="eastAsia"/>
          <w:b/>
          <w:bCs/>
          <w:color w:val="auto"/>
          <w:sz w:val="30"/>
          <w:szCs w:val="30"/>
          <w:highlight w:val="none"/>
        </w:rPr>
        <w:t>廉政合同</w:t>
      </w:r>
    </w:p>
    <w:p w14:paraId="625C0DC5">
      <w:pPr>
        <w:spacing w:line="440" w:lineRule="exact"/>
        <w:ind w:firstLine="420" w:firstLineChars="200"/>
        <w:rPr>
          <w:color w:val="auto"/>
          <w:highlight w:val="none"/>
        </w:rPr>
      </w:pPr>
      <w:r>
        <w:rPr>
          <w:rFonts w:hint="eastAsia"/>
          <w:color w:val="auto"/>
          <w:highlight w:val="none"/>
        </w:rPr>
        <w:t>发包人</w:t>
      </w:r>
      <w:r>
        <w:rPr>
          <w:rFonts w:hint="eastAsia"/>
          <w:color w:val="auto"/>
          <w:highlight w:val="none"/>
          <w:lang w:eastAsia="zh-CN"/>
        </w:rPr>
        <w:t>（</w:t>
      </w:r>
      <w:r>
        <w:rPr>
          <w:rFonts w:hint="eastAsia"/>
          <w:color w:val="auto"/>
          <w:highlight w:val="none"/>
        </w:rPr>
        <w:t>全称</w:t>
      </w:r>
      <w:r>
        <w:rPr>
          <w:rFonts w:hint="eastAsia"/>
          <w:color w:val="auto"/>
          <w:highlight w:val="none"/>
          <w:lang w:eastAsia="zh-CN"/>
        </w:rPr>
        <w:t>）</w:t>
      </w:r>
      <w:r>
        <w:rPr>
          <w:rFonts w:hint="eastAsia"/>
          <w:color w:val="auto"/>
          <w:highlight w:val="none"/>
        </w:rPr>
        <w:t>：</w:t>
      </w:r>
      <w:r>
        <w:rPr>
          <w:rFonts w:hint="eastAsia"/>
          <w:color w:val="auto"/>
          <w:highlight w:val="none"/>
          <w:u w:val="single"/>
        </w:rPr>
        <w:t xml:space="preserve">                                    </w:t>
      </w:r>
    </w:p>
    <w:p w14:paraId="6BFA844E">
      <w:pPr>
        <w:spacing w:line="440" w:lineRule="exact"/>
        <w:ind w:firstLine="420" w:firstLineChars="200"/>
        <w:rPr>
          <w:color w:val="auto"/>
          <w:highlight w:val="none"/>
        </w:rPr>
      </w:pPr>
      <w:r>
        <w:rPr>
          <w:rFonts w:hint="eastAsia"/>
          <w:color w:val="auto"/>
          <w:highlight w:val="none"/>
        </w:rPr>
        <w:t>承包人</w:t>
      </w:r>
      <w:r>
        <w:rPr>
          <w:rFonts w:hint="eastAsia"/>
          <w:color w:val="auto"/>
          <w:highlight w:val="none"/>
          <w:lang w:eastAsia="zh-CN"/>
        </w:rPr>
        <w:t>（</w:t>
      </w:r>
      <w:r>
        <w:rPr>
          <w:rFonts w:hint="eastAsia"/>
          <w:color w:val="auto"/>
          <w:highlight w:val="none"/>
        </w:rPr>
        <w:t>全称</w:t>
      </w:r>
      <w:r>
        <w:rPr>
          <w:rFonts w:hint="eastAsia"/>
          <w:color w:val="auto"/>
          <w:highlight w:val="none"/>
          <w:lang w:eastAsia="zh-CN"/>
        </w:rPr>
        <w:t>）</w:t>
      </w:r>
      <w:r>
        <w:rPr>
          <w:rFonts w:hint="eastAsia"/>
          <w:color w:val="auto"/>
          <w:highlight w:val="none"/>
        </w:rPr>
        <w:t>：</w:t>
      </w:r>
      <w:r>
        <w:rPr>
          <w:rFonts w:hint="eastAsia"/>
          <w:color w:val="auto"/>
          <w:highlight w:val="none"/>
          <w:u w:val="single"/>
        </w:rPr>
        <w:t xml:space="preserve">        </w:t>
      </w:r>
      <w:r>
        <w:rPr>
          <w:rFonts w:hint="eastAsia"/>
          <w:b/>
          <w:bCs/>
          <w:color w:val="auto"/>
          <w:highlight w:val="none"/>
          <w:u w:val="single"/>
        </w:rPr>
        <w:t xml:space="preserve">（中标人名称）    </w:t>
      </w:r>
      <w:r>
        <w:rPr>
          <w:rFonts w:hint="eastAsia"/>
          <w:color w:val="auto"/>
          <w:highlight w:val="none"/>
          <w:u w:val="single"/>
        </w:rPr>
        <w:t xml:space="preserve">        </w:t>
      </w:r>
    </w:p>
    <w:p w14:paraId="41101B0E">
      <w:pPr>
        <w:spacing w:line="440" w:lineRule="exact"/>
        <w:ind w:firstLine="420" w:firstLineChars="200"/>
        <w:rPr>
          <w:color w:val="auto"/>
          <w:highlight w:val="none"/>
        </w:rPr>
      </w:pPr>
      <w:r>
        <w:rPr>
          <w:rFonts w:hint="eastAsia"/>
          <w:color w:val="auto"/>
          <w:highlight w:val="none"/>
        </w:rPr>
        <w:t>根据国家、省工程建设和廉政建设的有关规定，为做好合同工程的廉政建设，保证工程质量与施工安全，提高建设资金的有效使用和投资效益，发包人、承包人就加强合同工程的廉政建设，订立本合同。</w:t>
      </w:r>
    </w:p>
    <w:p w14:paraId="1AAEDE87">
      <w:pPr>
        <w:spacing w:line="440" w:lineRule="exact"/>
        <w:ind w:firstLine="422" w:firstLineChars="200"/>
        <w:rPr>
          <w:b/>
          <w:bCs/>
          <w:color w:val="auto"/>
          <w:highlight w:val="none"/>
        </w:rPr>
      </w:pPr>
      <w:r>
        <w:rPr>
          <w:rFonts w:hint="eastAsia"/>
          <w:b/>
          <w:bCs/>
          <w:color w:val="auto"/>
          <w:highlight w:val="none"/>
        </w:rPr>
        <w:t>1  双方权利和义务</w:t>
      </w:r>
    </w:p>
    <w:p w14:paraId="107F1163">
      <w:pPr>
        <w:spacing w:line="440" w:lineRule="exact"/>
        <w:ind w:firstLine="420" w:firstLineChars="200"/>
        <w:rPr>
          <w:color w:val="auto"/>
          <w:highlight w:val="none"/>
        </w:rPr>
      </w:pPr>
      <w:r>
        <w:rPr>
          <w:rFonts w:hint="eastAsia"/>
          <w:color w:val="auto"/>
          <w:highlight w:val="none"/>
        </w:rPr>
        <w:t>1.1严格遵守国家有关法律法规的规定。</w:t>
      </w:r>
    </w:p>
    <w:p w14:paraId="646D52EC">
      <w:pPr>
        <w:spacing w:line="440" w:lineRule="exact"/>
        <w:ind w:firstLine="420" w:firstLineChars="200"/>
        <w:rPr>
          <w:color w:val="auto"/>
          <w:highlight w:val="none"/>
        </w:rPr>
      </w:pPr>
      <w:r>
        <w:rPr>
          <w:rFonts w:hint="eastAsia"/>
          <w:color w:val="auto"/>
          <w:highlight w:val="none"/>
        </w:rPr>
        <w:t>1.2严格执行一切合同文件，自觉按合同办事。</w:t>
      </w:r>
    </w:p>
    <w:p w14:paraId="0478681F">
      <w:pPr>
        <w:spacing w:line="440" w:lineRule="exact"/>
        <w:ind w:firstLine="420" w:firstLineChars="200"/>
        <w:rPr>
          <w:color w:val="auto"/>
          <w:highlight w:val="none"/>
        </w:rPr>
      </w:pPr>
      <w:r>
        <w:rPr>
          <w:rFonts w:hint="eastAsia"/>
          <w:color w:val="auto"/>
          <w:highlight w:val="none"/>
        </w:rPr>
        <w:t>1.3双方的业务活动坚持公平、公开、公正和诚信的原则（法律认定的商业秘密和合同文件另有规定除外），不得损害国家和集体利益，不得违反工程建设管理规章制度。</w:t>
      </w:r>
    </w:p>
    <w:p w14:paraId="3534F453">
      <w:pPr>
        <w:spacing w:line="440" w:lineRule="exact"/>
        <w:ind w:firstLine="420" w:firstLineChars="200"/>
        <w:rPr>
          <w:color w:val="auto"/>
          <w:highlight w:val="none"/>
        </w:rPr>
      </w:pPr>
      <w:r>
        <w:rPr>
          <w:rFonts w:hint="eastAsia"/>
          <w:color w:val="auto"/>
          <w:highlight w:val="none"/>
        </w:rPr>
        <w:t>1.4建立健全廉政制度，开展廉政教育，设立廉政告示牌，公布举报电话，监督并认真查处违法违纪行为。</w:t>
      </w:r>
    </w:p>
    <w:p w14:paraId="4617FCAE">
      <w:pPr>
        <w:spacing w:line="440" w:lineRule="exact"/>
        <w:ind w:firstLine="420" w:firstLineChars="200"/>
        <w:rPr>
          <w:color w:val="auto"/>
          <w:highlight w:val="none"/>
        </w:rPr>
      </w:pPr>
      <w:r>
        <w:rPr>
          <w:rFonts w:hint="eastAsia"/>
          <w:color w:val="auto"/>
          <w:highlight w:val="none"/>
        </w:rPr>
        <w:t>1.5发现对方在业务活动中有违反廉政建设规定的行为，应及时给予提醒和纠正。</w:t>
      </w:r>
    </w:p>
    <w:p w14:paraId="25037670">
      <w:pPr>
        <w:spacing w:line="440" w:lineRule="exact"/>
        <w:ind w:firstLine="420" w:firstLineChars="200"/>
        <w:rPr>
          <w:color w:val="auto"/>
          <w:highlight w:val="none"/>
        </w:rPr>
      </w:pPr>
      <w:r>
        <w:rPr>
          <w:rFonts w:hint="eastAsia"/>
          <w:color w:val="auto"/>
          <w:highlight w:val="none"/>
        </w:rPr>
        <w:t>1.6发现对方严重违反合同的行为，有向其上级部门举报、建议给予处理并要求告知处理结果的权利。没有上级部门的，可按施工合同通用条款第70条规定处理。</w:t>
      </w:r>
    </w:p>
    <w:p w14:paraId="7DAAC179">
      <w:pPr>
        <w:spacing w:line="440" w:lineRule="exact"/>
        <w:ind w:firstLine="422" w:firstLineChars="200"/>
        <w:rPr>
          <w:b/>
          <w:bCs/>
          <w:color w:val="auto"/>
          <w:highlight w:val="none"/>
        </w:rPr>
      </w:pPr>
      <w:r>
        <w:rPr>
          <w:rFonts w:hint="eastAsia"/>
          <w:b/>
          <w:bCs/>
          <w:color w:val="auto"/>
          <w:highlight w:val="none"/>
        </w:rPr>
        <w:t>2发包人义务</w:t>
      </w:r>
    </w:p>
    <w:p w14:paraId="746C8DDF">
      <w:pPr>
        <w:spacing w:line="440" w:lineRule="exact"/>
        <w:ind w:firstLine="420" w:firstLineChars="200"/>
        <w:rPr>
          <w:color w:val="auto"/>
          <w:highlight w:val="none"/>
        </w:rPr>
      </w:pPr>
      <w:r>
        <w:rPr>
          <w:rFonts w:hint="eastAsia"/>
          <w:color w:val="auto"/>
          <w:highlight w:val="none"/>
        </w:rPr>
        <w:t>2.1发包人及其工作人员不得索要或接受承包人的礼金、有价证券和贵重物品，不得在承包人报销任何应由发包人或工作人员个人支付的费用等。</w:t>
      </w:r>
    </w:p>
    <w:p w14:paraId="308AE0C5">
      <w:pPr>
        <w:spacing w:line="440" w:lineRule="exact"/>
        <w:ind w:firstLine="420" w:firstLineChars="200"/>
        <w:rPr>
          <w:color w:val="auto"/>
          <w:highlight w:val="none"/>
        </w:rPr>
      </w:pPr>
      <w:r>
        <w:rPr>
          <w:rFonts w:hint="eastAsia"/>
          <w:color w:val="auto"/>
          <w:highlight w:val="none"/>
        </w:rPr>
        <w:t>2.2发包人及其工作人员不得参加承包人安排的宴请（工作餐除外）和娱乐活动；不得接受承包人提供的通讯工具、交通工具和高档办公用品等。</w:t>
      </w:r>
    </w:p>
    <w:p w14:paraId="62B21C52">
      <w:pPr>
        <w:spacing w:line="440" w:lineRule="exact"/>
        <w:ind w:firstLine="420" w:firstLineChars="200"/>
        <w:rPr>
          <w:color w:val="auto"/>
          <w:highlight w:val="none"/>
        </w:rPr>
      </w:pPr>
      <w:r>
        <w:rPr>
          <w:rFonts w:hint="eastAsia"/>
          <w:color w:val="auto"/>
          <w:highlight w:val="none"/>
        </w:rPr>
        <w:t>2.3发包人及其工作人员不得要求或者接受承包人为其住房装修、婚丧嫁娶活动、配偶子女的工作安排以及出国出境、旅游等提供方便等。</w:t>
      </w:r>
    </w:p>
    <w:p w14:paraId="16259D99">
      <w:pPr>
        <w:spacing w:line="440" w:lineRule="exact"/>
        <w:ind w:firstLine="420" w:firstLineChars="200"/>
        <w:rPr>
          <w:color w:val="auto"/>
          <w:highlight w:val="none"/>
        </w:rPr>
      </w:pPr>
      <w:r>
        <w:rPr>
          <w:rFonts w:hint="eastAsia"/>
          <w:color w:val="auto"/>
          <w:highlight w:val="none"/>
        </w:rPr>
        <w:t>2.4 发包人及其工作人员及其配偶、子女不得从事与发包人有关的工程材料设备供应、工程分包、劳务等经济活动。</w:t>
      </w:r>
    </w:p>
    <w:p w14:paraId="4BBAD7D1">
      <w:pPr>
        <w:spacing w:line="440" w:lineRule="exact"/>
        <w:ind w:firstLine="420" w:firstLineChars="200"/>
        <w:rPr>
          <w:color w:val="auto"/>
          <w:highlight w:val="none"/>
        </w:rPr>
      </w:pPr>
      <w:r>
        <w:rPr>
          <w:rFonts w:hint="eastAsia"/>
          <w:color w:val="auto"/>
          <w:highlight w:val="none"/>
        </w:rPr>
        <w:t>2.5发包人及其工作人员不得以任何理由向承包人推荐分包单位或推销材料，不得要求承包人购买合同约定外的材料和设备。</w:t>
      </w:r>
    </w:p>
    <w:p w14:paraId="5115CD0E">
      <w:pPr>
        <w:spacing w:line="440" w:lineRule="exact"/>
        <w:ind w:firstLine="420" w:firstLineChars="200"/>
        <w:rPr>
          <w:color w:val="auto"/>
          <w:highlight w:val="none"/>
        </w:rPr>
      </w:pPr>
      <w:r>
        <w:rPr>
          <w:rFonts w:hint="eastAsia"/>
          <w:color w:val="auto"/>
          <w:highlight w:val="none"/>
        </w:rPr>
        <w:t>2.6发包人及其工作人员要秉公办事，不准营私舞弊，不准利用职权从事各种个人有偿中介活动。</w:t>
      </w:r>
    </w:p>
    <w:p w14:paraId="3861F74D">
      <w:pPr>
        <w:spacing w:line="440" w:lineRule="exact"/>
        <w:ind w:firstLine="422" w:firstLineChars="200"/>
        <w:rPr>
          <w:b/>
          <w:bCs/>
          <w:color w:val="auto"/>
          <w:highlight w:val="none"/>
        </w:rPr>
      </w:pPr>
      <w:r>
        <w:rPr>
          <w:rFonts w:hint="eastAsia"/>
          <w:b/>
          <w:bCs/>
          <w:color w:val="auto"/>
          <w:highlight w:val="none"/>
        </w:rPr>
        <w:t>3承包人义务</w:t>
      </w:r>
    </w:p>
    <w:p w14:paraId="6FB211F9">
      <w:pPr>
        <w:spacing w:line="440" w:lineRule="exact"/>
        <w:ind w:firstLine="420" w:firstLineChars="200"/>
        <w:rPr>
          <w:color w:val="auto"/>
          <w:highlight w:val="none"/>
        </w:rPr>
      </w:pPr>
      <w:r>
        <w:rPr>
          <w:rFonts w:hint="eastAsia"/>
          <w:color w:val="auto"/>
          <w:highlight w:val="none"/>
        </w:rPr>
        <w:t>3.1承包人不得以任何理由向发包人及其工作人员行贿或馈赠礼金、有价证券、贵重礼品。</w:t>
      </w:r>
    </w:p>
    <w:p w14:paraId="09556F5B">
      <w:pPr>
        <w:spacing w:line="440" w:lineRule="exact"/>
        <w:ind w:firstLine="420" w:firstLineChars="200"/>
        <w:rPr>
          <w:color w:val="auto"/>
          <w:highlight w:val="none"/>
        </w:rPr>
      </w:pPr>
      <w:r>
        <w:rPr>
          <w:rFonts w:hint="eastAsia"/>
          <w:color w:val="auto"/>
          <w:highlight w:val="none"/>
        </w:rPr>
        <w:t>3.2承包人不得以任何名义为发包人及其工作人员报销应由发包人或工作人员个人支付的任何费用。</w:t>
      </w:r>
    </w:p>
    <w:p w14:paraId="6E021FCC">
      <w:pPr>
        <w:spacing w:line="440" w:lineRule="exact"/>
        <w:ind w:firstLine="420" w:firstLineChars="200"/>
        <w:rPr>
          <w:color w:val="auto"/>
          <w:highlight w:val="none"/>
        </w:rPr>
      </w:pPr>
      <w:r>
        <w:rPr>
          <w:rFonts w:hint="eastAsia"/>
          <w:color w:val="auto"/>
          <w:highlight w:val="none"/>
        </w:rPr>
        <w:t>3.3承包人不得以任何理由安排发包人及其工作人员参加宴请（工作餐除外）及娱乐活动。</w:t>
      </w:r>
    </w:p>
    <w:p w14:paraId="62F62863">
      <w:pPr>
        <w:spacing w:line="440" w:lineRule="exact"/>
        <w:ind w:firstLine="420" w:firstLineChars="200"/>
        <w:rPr>
          <w:color w:val="auto"/>
          <w:highlight w:val="none"/>
        </w:rPr>
      </w:pPr>
      <w:r>
        <w:rPr>
          <w:rFonts w:hint="eastAsia"/>
          <w:color w:val="auto"/>
          <w:highlight w:val="none"/>
        </w:rPr>
        <w:t>3.4承包人不得为发包人和个人购置或提供通讯工具、交通工具和高档办公用品等。</w:t>
      </w:r>
    </w:p>
    <w:p w14:paraId="50D69FDF">
      <w:pPr>
        <w:tabs>
          <w:tab w:val="left" w:pos="900"/>
        </w:tabs>
        <w:spacing w:line="440" w:lineRule="exact"/>
        <w:ind w:firstLine="422" w:firstLineChars="200"/>
        <w:rPr>
          <w:b/>
          <w:bCs/>
          <w:color w:val="auto"/>
          <w:highlight w:val="none"/>
        </w:rPr>
      </w:pPr>
      <w:r>
        <w:rPr>
          <w:rFonts w:hint="eastAsia"/>
          <w:b/>
          <w:bCs/>
          <w:color w:val="auto"/>
          <w:highlight w:val="none"/>
        </w:rPr>
        <w:t>4违约责任</w:t>
      </w:r>
    </w:p>
    <w:p w14:paraId="26214EB1">
      <w:pPr>
        <w:spacing w:line="440" w:lineRule="exact"/>
        <w:ind w:firstLine="420" w:firstLineChars="200"/>
        <w:rPr>
          <w:color w:val="auto"/>
          <w:highlight w:val="none"/>
        </w:rPr>
      </w:pPr>
      <w:r>
        <w:rPr>
          <w:rFonts w:hint="eastAsia"/>
          <w:color w:val="auto"/>
          <w:highlight w:val="none"/>
        </w:rPr>
        <w:t>4.1发包人及其工作人员违反本合同第1条和第2条规定，应依据有关规定给予廉政建设规定的处分；涉嫌犯罪的，移交司法机关追究刑事责任；给承包人造成经济损失的，应予赔偿。</w:t>
      </w:r>
    </w:p>
    <w:p w14:paraId="31286096">
      <w:pPr>
        <w:spacing w:line="440" w:lineRule="exact"/>
        <w:ind w:firstLine="420" w:firstLineChars="200"/>
        <w:rPr>
          <w:color w:val="auto"/>
          <w:highlight w:val="none"/>
        </w:rPr>
      </w:pPr>
      <w:r>
        <w:rPr>
          <w:rFonts w:hint="eastAsia"/>
          <w:color w:val="auto"/>
          <w:highlight w:val="none"/>
        </w:rPr>
        <w:t>4.2承包人及其工作人员违反本合同第1条和第3条规定，应依据有关规定给予廉政建设规定的处分；给发包人造成经济损失的，应予赔偿；情节严重的，给予承包人一至三年内不得进入工程建设市场的处罚。</w:t>
      </w:r>
    </w:p>
    <w:p w14:paraId="107162EC">
      <w:pPr>
        <w:spacing w:line="440" w:lineRule="exact"/>
        <w:ind w:firstLine="422" w:firstLineChars="200"/>
        <w:rPr>
          <w:b/>
          <w:bCs/>
          <w:color w:val="auto"/>
          <w:highlight w:val="none"/>
        </w:rPr>
      </w:pPr>
      <w:r>
        <w:rPr>
          <w:rFonts w:hint="eastAsia"/>
          <w:b/>
          <w:bCs/>
          <w:color w:val="auto"/>
          <w:highlight w:val="none"/>
        </w:rPr>
        <w:t>5双方约定</w:t>
      </w:r>
    </w:p>
    <w:p w14:paraId="764DE810">
      <w:pPr>
        <w:spacing w:line="440" w:lineRule="exact"/>
        <w:ind w:firstLine="420" w:firstLineChars="200"/>
        <w:rPr>
          <w:color w:val="auto"/>
          <w:highlight w:val="none"/>
        </w:rPr>
      </w:pPr>
      <w:r>
        <w:rPr>
          <w:rFonts w:hint="eastAsia"/>
          <w:color w:val="auto"/>
          <w:highlight w:val="none"/>
        </w:rPr>
        <w:t>本合同由双方或其上级部门负责监督执行，并由双方或其上级部门相互约请对本合同执行情况进行检查。</w:t>
      </w:r>
    </w:p>
    <w:p w14:paraId="17216C1C">
      <w:pPr>
        <w:spacing w:line="440" w:lineRule="exact"/>
        <w:ind w:firstLine="422" w:firstLineChars="200"/>
        <w:rPr>
          <w:b/>
          <w:bCs/>
          <w:color w:val="auto"/>
          <w:highlight w:val="none"/>
        </w:rPr>
      </w:pPr>
      <w:r>
        <w:rPr>
          <w:rFonts w:hint="eastAsia"/>
          <w:b/>
          <w:bCs/>
          <w:color w:val="auto"/>
          <w:highlight w:val="none"/>
        </w:rPr>
        <w:t>6合同生效</w:t>
      </w:r>
    </w:p>
    <w:p w14:paraId="095926C5">
      <w:pPr>
        <w:spacing w:line="440" w:lineRule="exact"/>
        <w:ind w:firstLine="420" w:firstLineChars="200"/>
        <w:rPr>
          <w:color w:val="auto"/>
          <w:highlight w:val="none"/>
        </w:rPr>
      </w:pPr>
      <w:r>
        <w:rPr>
          <w:rFonts w:hint="eastAsia"/>
          <w:color w:val="auto"/>
          <w:highlight w:val="none"/>
        </w:rPr>
        <w:t>本合同的有效期，自双方签署之日起至该主合同结束之日止。</w:t>
      </w:r>
    </w:p>
    <w:p w14:paraId="1E92B8B2">
      <w:pPr>
        <w:spacing w:line="440" w:lineRule="exact"/>
        <w:ind w:firstLine="422" w:firstLineChars="200"/>
        <w:rPr>
          <w:b/>
          <w:bCs/>
          <w:color w:val="auto"/>
          <w:highlight w:val="none"/>
        </w:rPr>
      </w:pPr>
      <w:r>
        <w:rPr>
          <w:rFonts w:hint="eastAsia"/>
          <w:b/>
          <w:bCs/>
          <w:color w:val="auto"/>
          <w:highlight w:val="none"/>
        </w:rPr>
        <w:t>7合同法律效力</w:t>
      </w:r>
    </w:p>
    <w:p w14:paraId="76B92D9C">
      <w:pPr>
        <w:spacing w:line="440" w:lineRule="exact"/>
        <w:ind w:firstLine="420" w:firstLineChars="200"/>
        <w:rPr>
          <w:color w:val="auto"/>
          <w:highlight w:val="none"/>
        </w:rPr>
      </w:pPr>
      <w:r>
        <w:rPr>
          <w:rFonts w:hint="eastAsia"/>
          <w:color w:val="auto"/>
          <w:highlight w:val="none"/>
        </w:rPr>
        <w:t>本合同作为</w:t>
      </w:r>
      <w:r>
        <w:rPr>
          <w:rFonts w:hint="eastAsia"/>
          <w:b/>
          <w:color w:val="auto"/>
          <w:highlight w:val="none"/>
          <w:u w:val="single"/>
        </w:rPr>
        <w:t xml:space="preserve">                             </w:t>
      </w:r>
      <w:r>
        <w:rPr>
          <w:rFonts w:hint="eastAsia"/>
          <w:b/>
          <w:bCs/>
          <w:color w:val="auto"/>
          <w:highlight w:val="none"/>
          <w:u w:val="single"/>
        </w:rPr>
        <w:t xml:space="preserve">  </w:t>
      </w:r>
      <w:r>
        <w:rPr>
          <w:rFonts w:hint="eastAsia"/>
          <w:color w:val="auto"/>
          <w:highlight w:val="none"/>
        </w:rPr>
        <w:t>工程施工合同的附件，与施工合同具有同等的法律效力，经双方签署后生效。</w:t>
      </w:r>
    </w:p>
    <w:p w14:paraId="6C245EED">
      <w:pPr>
        <w:spacing w:line="440" w:lineRule="exact"/>
        <w:ind w:firstLine="422" w:firstLineChars="200"/>
        <w:rPr>
          <w:b/>
          <w:bCs/>
          <w:color w:val="auto"/>
          <w:highlight w:val="none"/>
        </w:rPr>
      </w:pPr>
      <w:r>
        <w:rPr>
          <w:rFonts w:hint="eastAsia"/>
          <w:b/>
          <w:bCs/>
          <w:color w:val="auto"/>
          <w:highlight w:val="none"/>
        </w:rPr>
        <w:t>8合同份数</w:t>
      </w:r>
    </w:p>
    <w:p w14:paraId="2A51D4D8">
      <w:pPr>
        <w:spacing w:line="440" w:lineRule="exact"/>
        <w:ind w:firstLine="420" w:firstLineChars="200"/>
        <w:rPr>
          <w:b/>
          <w:color w:val="auto"/>
          <w:highlight w:val="none"/>
          <w:u w:val="single"/>
        </w:rPr>
      </w:pPr>
      <w:r>
        <w:rPr>
          <w:rFonts w:hint="eastAsia"/>
          <w:color w:val="auto"/>
          <w:highlight w:val="none"/>
        </w:rPr>
        <w:t>本合同</w:t>
      </w:r>
      <w:r>
        <w:rPr>
          <w:rFonts w:hint="eastAsia"/>
          <w:b/>
          <w:color w:val="auto"/>
          <w:highlight w:val="none"/>
          <w:u w:val="single"/>
        </w:rPr>
        <w:t>正本贰份，副本陆份，共计捌份。</w:t>
      </w:r>
    </w:p>
    <w:p w14:paraId="51D9B750">
      <w:pPr>
        <w:autoSpaceDE w:val="0"/>
        <w:autoSpaceDN w:val="0"/>
        <w:adjustRightInd w:val="0"/>
        <w:spacing w:line="440" w:lineRule="exact"/>
        <w:ind w:firstLine="525" w:firstLineChars="250"/>
        <w:rPr>
          <w:color w:val="auto"/>
          <w:szCs w:val="20"/>
          <w:highlight w:val="none"/>
        </w:rPr>
      </w:pPr>
      <w:r>
        <w:rPr>
          <w:rFonts w:hint="eastAsia"/>
          <w:color w:val="auto"/>
          <w:szCs w:val="20"/>
          <w:highlight w:val="none"/>
        </w:rPr>
        <w:t>发　包　人</w:t>
      </w:r>
      <w:r>
        <w:rPr>
          <w:rFonts w:hint="eastAsia"/>
          <w:color w:val="auto"/>
          <w:szCs w:val="20"/>
          <w:highlight w:val="none"/>
          <w:lang w:eastAsia="zh-CN"/>
        </w:rPr>
        <w:t>（</w:t>
      </w:r>
      <w:r>
        <w:rPr>
          <w:rFonts w:hint="eastAsia"/>
          <w:color w:val="auto"/>
          <w:szCs w:val="20"/>
          <w:highlight w:val="none"/>
        </w:rPr>
        <w:t>公章</w:t>
      </w:r>
      <w:r>
        <w:rPr>
          <w:rFonts w:hint="eastAsia"/>
          <w:color w:val="auto"/>
          <w:szCs w:val="20"/>
          <w:highlight w:val="none"/>
          <w:lang w:eastAsia="zh-CN"/>
        </w:rPr>
        <w:t>）</w:t>
      </w:r>
      <w:r>
        <w:rPr>
          <w:rFonts w:hint="eastAsia"/>
          <w:color w:val="auto"/>
          <w:szCs w:val="20"/>
          <w:highlight w:val="none"/>
        </w:rPr>
        <w:t>：　　　　　      承　包　人</w:t>
      </w:r>
      <w:r>
        <w:rPr>
          <w:rFonts w:hint="eastAsia"/>
          <w:color w:val="auto"/>
          <w:szCs w:val="20"/>
          <w:highlight w:val="none"/>
          <w:lang w:eastAsia="zh-CN"/>
        </w:rPr>
        <w:t>（</w:t>
      </w:r>
      <w:r>
        <w:rPr>
          <w:rFonts w:hint="eastAsia"/>
          <w:color w:val="auto"/>
          <w:szCs w:val="20"/>
          <w:highlight w:val="none"/>
        </w:rPr>
        <w:t>公章</w:t>
      </w:r>
      <w:r>
        <w:rPr>
          <w:rFonts w:hint="eastAsia"/>
          <w:color w:val="auto"/>
          <w:szCs w:val="20"/>
          <w:highlight w:val="none"/>
          <w:lang w:eastAsia="zh-CN"/>
        </w:rPr>
        <w:t>）</w:t>
      </w:r>
      <w:r>
        <w:rPr>
          <w:rFonts w:hint="eastAsia"/>
          <w:color w:val="auto"/>
          <w:szCs w:val="20"/>
          <w:highlight w:val="none"/>
        </w:rPr>
        <w:t>：</w:t>
      </w:r>
    </w:p>
    <w:p w14:paraId="69734A3B">
      <w:pPr>
        <w:autoSpaceDE w:val="0"/>
        <w:autoSpaceDN w:val="0"/>
        <w:adjustRightInd w:val="0"/>
        <w:spacing w:line="440" w:lineRule="exact"/>
        <w:ind w:firstLine="420" w:firstLineChars="200"/>
        <w:rPr>
          <w:color w:val="auto"/>
          <w:szCs w:val="20"/>
          <w:highlight w:val="none"/>
        </w:rPr>
      </w:pPr>
      <w:r>
        <w:rPr>
          <w:rFonts w:hint="eastAsia"/>
          <w:color w:val="auto"/>
          <w:szCs w:val="20"/>
          <w:highlight w:val="none"/>
        </w:rPr>
        <w:t>法定代表人</w:t>
      </w:r>
      <w:r>
        <w:rPr>
          <w:rFonts w:hint="eastAsia"/>
          <w:color w:val="auto"/>
          <w:szCs w:val="20"/>
          <w:highlight w:val="none"/>
          <w:lang w:eastAsia="zh-CN"/>
        </w:rPr>
        <w:t>（</w:t>
      </w:r>
      <w:r>
        <w:rPr>
          <w:rFonts w:hint="eastAsia"/>
          <w:color w:val="auto"/>
          <w:szCs w:val="20"/>
          <w:highlight w:val="none"/>
        </w:rPr>
        <w:t>签字或盖章</w:t>
      </w:r>
      <w:r>
        <w:rPr>
          <w:rFonts w:hint="eastAsia"/>
          <w:color w:val="auto"/>
          <w:szCs w:val="20"/>
          <w:highlight w:val="none"/>
          <w:lang w:eastAsia="zh-CN"/>
        </w:rPr>
        <w:t>）</w:t>
      </w:r>
      <w:r>
        <w:rPr>
          <w:rFonts w:hint="eastAsia"/>
          <w:color w:val="auto"/>
          <w:szCs w:val="20"/>
          <w:highlight w:val="none"/>
        </w:rPr>
        <w:t>：　　　　　法定代表人</w:t>
      </w:r>
      <w:r>
        <w:rPr>
          <w:rFonts w:hint="eastAsia"/>
          <w:color w:val="auto"/>
          <w:szCs w:val="20"/>
          <w:highlight w:val="none"/>
          <w:lang w:eastAsia="zh-CN"/>
        </w:rPr>
        <w:t>（</w:t>
      </w:r>
      <w:r>
        <w:rPr>
          <w:rFonts w:hint="eastAsia"/>
          <w:color w:val="auto"/>
          <w:szCs w:val="20"/>
          <w:highlight w:val="none"/>
        </w:rPr>
        <w:t>签字或盖章</w:t>
      </w:r>
      <w:r>
        <w:rPr>
          <w:rFonts w:hint="eastAsia"/>
          <w:color w:val="auto"/>
          <w:szCs w:val="20"/>
          <w:highlight w:val="none"/>
          <w:lang w:eastAsia="zh-CN"/>
        </w:rPr>
        <w:t>）</w:t>
      </w:r>
      <w:r>
        <w:rPr>
          <w:rFonts w:hint="eastAsia"/>
          <w:color w:val="auto"/>
          <w:szCs w:val="20"/>
          <w:highlight w:val="none"/>
        </w:rPr>
        <w:t>：</w:t>
      </w:r>
    </w:p>
    <w:p w14:paraId="7BF37B7B">
      <w:pPr>
        <w:autoSpaceDE w:val="0"/>
        <w:autoSpaceDN w:val="0"/>
        <w:adjustRightInd w:val="0"/>
        <w:spacing w:line="440" w:lineRule="exact"/>
        <w:ind w:firstLine="420" w:firstLineChars="200"/>
        <w:rPr>
          <w:color w:val="auto"/>
          <w:szCs w:val="20"/>
          <w:highlight w:val="none"/>
        </w:rPr>
      </w:pPr>
      <w:r>
        <w:rPr>
          <w:rFonts w:hint="eastAsia"/>
          <w:color w:val="auto"/>
          <w:szCs w:val="20"/>
          <w:highlight w:val="none"/>
        </w:rPr>
        <w:t>　　年　月　日　　　　　　　　　　　年　月　日</w:t>
      </w:r>
    </w:p>
    <w:p w14:paraId="1C07E8E2">
      <w:pPr>
        <w:spacing w:line="440" w:lineRule="exact"/>
        <w:rPr>
          <w:rFonts w:hint="eastAsia"/>
          <w:color w:val="auto"/>
          <w:sz w:val="24"/>
          <w:highlight w:val="none"/>
          <w:u w:val="single"/>
        </w:rPr>
      </w:pPr>
      <w:r>
        <w:rPr>
          <w:color w:val="auto"/>
          <w:sz w:val="24"/>
          <w:highlight w:val="none"/>
          <w:u w:val="single"/>
        </w:rPr>
        <w:br w:type="page"/>
      </w:r>
    </w:p>
    <w:p w14:paraId="4F56E2A8">
      <w:pPr>
        <w:spacing w:line="440" w:lineRule="exact"/>
        <w:rPr>
          <w:rFonts w:hint="eastAsia" w:ascii="宋体"/>
          <w:color w:val="auto"/>
          <w:sz w:val="24"/>
          <w:highlight w:val="none"/>
        </w:rPr>
      </w:pPr>
      <w:r>
        <w:rPr>
          <w:rFonts w:hint="eastAsia" w:ascii="宋体"/>
          <w:color w:val="auto"/>
          <w:sz w:val="24"/>
          <w:highlight w:val="none"/>
        </w:rPr>
        <w:t>附</w:t>
      </w:r>
      <w:bookmarkStart w:id="553" w:name="_Toc296503227"/>
      <w:bookmarkStart w:id="554" w:name="_Toc296944566"/>
      <w:bookmarkStart w:id="555" w:name="_Toc296891055"/>
      <w:bookmarkStart w:id="556" w:name="_Toc296347226"/>
      <w:bookmarkStart w:id="557" w:name="_Toc267261698"/>
      <w:bookmarkStart w:id="558" w:name="_Toc296346728"/>
      <w:bookmarkStart w:id="559" w:name="_Toc296891267"/>
      <w:r>
        <w:rPr>
          <w:rFonts w:hint="eastAsia" w:ascii="宋体"/>
          <w:color w:val="auto"/>
          <w:sz w:val="24"/>
          <w:highlight w:val="none"/>
        </w:rPr>
        <w:t>件4：</w:t>
      </w:r>
    </w:p>
    <w:bookmarkEnd w:id="553"/>
    <w:bookmarkEnd w:id="554"/>
    <w:bookmarkEnd w:id="555"/>
    <w:bookmarkEnd w:id="556"/>
    <w:bookmarkEnd w:id="557"/>
    <w:bookmarkEnd w:id="558"/>
    <w:bookmarkEnd w:id="559"/>
    <w:p w14:paraId="637F2D3C">
      <w:pPr>
        <w:spacing w:before="120" w:beforeLines="50" w:after="120" w:afterLines="50" w:line="440" w:lineRule="exact"/>
        <w:jc w:val="center"/>
        <w:rPr>
          <w:rFonts w:hint="eastAsia" w:ascii="宋体"/>
          <w:b/>
          <w:color w:val="auto"/>
          <w:sz w:val="32"/>
          <w:szCs w:val="32"/>
          <w:highlight w:val="none"/>
        </w:rPr>
      </w:pPr>
      <w:r>
        <w:rPr>
          <w:rFonts w:hint="eastAsia" w:ascii="宋体"/>
          <w:b/>
          <w:color w:val="auto"/>
          <w:sz w:val="32"/>
          <w:szCs w:val="32"/>
          <w:highlight w:val="none"/>
        </w:rPr>
        <w:t>承包人用于本工程施工的机械设备表</w:t>
      </w:r>
    </w:p>
    <w:tbl>
      <w:tblPr>
        <w:tblStyle w:val="65"/>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1DBC5D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noWrap w:val="0"/>
            <w:vAlign w:val="center"/>
          </w:tcPr>
          <w:p w14:paraId="7C4AB699">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序号</w:t>
            </w:r>
          </w:p>
        </w:tc>
        <w:tc>
          <w:tcPr>
            <w:tcW w:w="1418" w:type="dxa"/>
            <w:tcBorders>
              <w:top w:val="single" w:color="auto" w:sz="12" w:space="0"/>
              <w:bottom w:val="double" w:color="auto" w:sz="6" w:space="0"/>
            </w:tcBorders>
            <w:noWrap w:val="0"/>
            <w:vAlign w:val="center"/>
          </w:tcPr>
          <w:p w14:paraId="2E3F200E">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机械或设备名称</w:t>
            </w:r>
          </w:p>
        </w:tc>
        <w:tc>
          <w:tcPr>
            <w:tcW w:w="850" w:type="dxa"/>
            <w:tcBorders>
              <w:top w:val="single" w:color="auto" w:sz="12" w:space="0"/>
              <w:bottom w:val="double" w:color="auto" w:sz="6" w:space="0"/>
            </w:tcBorders>
            <w:noWrap w:val="0"/>
            <w:vAlign w:val="center"/>
          </w:tcPr>
          <w:p w14:paraId="4E2BF195">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规格</w:t>
            </w:r>
          </w:p>
          <w:p w14:paraId="4C268B6E">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型号</w:t>
            </w:r>
          </w:p>
        </w:tc>
        <w:tc>
          <w:tcPr>
            <w:tcW w:w="1058" w:type="dxa"/>
            <w:tcBorders>
              <w:top w:val="single" w:color="auto" w:sz="12" w:space="0"/>
              <w:bottom w:val="double" w:color="auto" w:sz="6" w:space="0"/>
            </w:tcBorders>
            <w:noWrap w:val="0"/>
            <w:vAlign w:val="center"/>
          </w:tcPr>
          <w:p w14:paraId="1DEB46C2">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数量</w:t>
            </w:r>
          </w:p>
        </w:tc>
        <w:tc>
          <w:tcPr>
            <w:tcW w:w="880" w:type="dxa"/>
            <w:tcBorders>
              <w:top w:val="single" w:color="auto" w:sz="12" w:space="0"/>
              <w:bottom w:val="double" w:color="auto" w:sz="6" w:space="0"/>
            </w:tcBorders>
            <w:noWrap w:val="0"/>
            <w:vAlign w:val="center"/>
          </w:tcPr>
          <w:p w14:paraId="39D932B1">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产地</w:t>
            </w:r>
          </w:p>
        </w:tc>
        <w:tc>
          <w:tcPr>
            <w:tcW w:w="1020" w:type="dxa"/>
            <w:tcBorders>
              <w:top w:val="single" w:color="auto" w:sz="12" w:space="0"/>
              <w:bottom w:val="double" w:color="auto" w:sz="6" w:space="0"/>
            </w:tcBorders>
            <w:noWrap w:val="0"/>
            <w:vAlign w:val="center"/>
          </w:tcPr>
          <w:p w14:paraId="204FD807">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制造</w:t>
            </w:r>
          </w:p>
          <w:p w14:paraId="0A423CEA">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年份</w:t>
            </w:r>
          </w:p>
        </w:tc>
        <w:tc>
          <w:tcPr>
            <w:tcW w:w="1480" w:type="dxa"/>
            <w:tcBorders>
              <w:top w:val="single" w:color="auto" w:sz="12" w:space="0"/>
              <w:bottom w:val="double" w:color="auto" w:sz="6" w:space="0"/>
            </w:tcBorders>
            <w:noWrap w:val="0"/>
            <w:vAlign w:val="center"/>
          </w:tcPr>
          <w:p w14:paraId="0416EA82">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额定功率（kW）</w:t>
            </w:r>
          </w:p>
        </w:tc>
        <w:tc>
          <w:tcPr>
            <w:tcW w:w="1020" w:type="dxa"/>
            <w:tcBorders>
              <w:top w:val="single" w:color="auto" w:sz="12" w:space="0"/>
              <w:bottom w:val="double" w:color="auto" w:sz="6" w:space="0"/>
            </w:tcBorders>
            <w:noWrap w:val="0"/>
            <w:vAlign w:val="center"/>
          </w:tcPr>
          <w:p w14:paraId="13B2C5E1">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生产</w:t>
            </w:r>
          </w:p>
          <w:p w14:paraId="025FDBC2">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能力</w:t>
            </w:r>
          </w:p>
        </w:tc>
        <w:tc>
          <w:tcPr>
            <w:tcW w:w="921" w:type="dxa"/>
            <w:tcBorders>
              <w:top w:val="single" w:color="auto" w:sz="12" w:space="0"/>
              <w:bottom w:val="double" w:color="auto" w:sz="6" w:space="0"/>
            </w:tcBorders>
            <w:noWrap w:val="0"/>
            <w:vAlign w:val="center"/>
          </w:tcPr>
          <w:p w14:paraId="4EF11B4E">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备注</w:t>
            </w:r>
          </w:p>
        </w:tc>
      </w:tr>
      <w:tr w14:paraId="02FE63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tcBorders>
            <w:noWrap w:val="0"/>
            <w:vAlign w:val="center"/>
          </w:tcPr>
          <w:p w14:paraId="711B267F">
            <w:pPr>
              <w:keepNext/>
              <w:widowControl w:val="0"/>
              <w:spacing w:line="440" w:lineRule="exact"/>
              <w:ind w:left="63" w:right="63"/>
              <w:rPr>
                <w:rFonts w:hint="eastAsia" w:ascii="宋体"/>
                <w:color w:val="auto"/>
                <w:sz w:val="24"/>
                <w:highlight w:val="none"/>
              </w:rPr>
            </w:pPr>
          </w:p>
        </w:tc>
        <w:tc>
          <w:tcPr>
            <w:tcW w:w="1418" w:type="dxa"/>
            <w:tcBorders>
              <w:top w:val="double" w:color="auto" w:sz="6" w:space="0"/>
            </w:tcBorders>
            <w:noWrap w:val="0"/>
            <w:vAlign w:val="center"/>
          </w:tcPr>
          <w:p w14:paraId="25A1DE84">
            <w:pPr>
              <w:keepNext/>
              <w:widowControl w:val="0"/>
              <w:spacing w:line="440" w:lineRule="exact"/>
              <w:ind w:left="63" w:right="63"/>
              <w:rPr>
                <w:rFonts w:hint="eastAsia" w:ascii="宋体"/>
                <w:color w:val="auto"/>
                <w:sz w:val="24"/>
                <w:highlight w:val="none"/>
              </w:rPr>
            </w:pPr>
          </w:p>
        </w:tc>
        <w:tc>
          <w:tcPr>
            <w:tcW w:w="850" w:type="dxa"/>
            <w:tcBorders>
              <w:top w:val="double" w:color="auto" w:sz="6" w:space="0"/>
            </w:tcBorders>
            <w:noWrap w:val="0"/>
            <w:vAlign w:val="center"/>
          </w:tcPr>
          <w:p w14:paraId="2996F252">
            <w:pPr>
              <w:keepNext/>
              <w:widowControl w:val="0"/>
              <w:spacing w:line="440" w:lineRule="exact"/>
              <w:ind w:left="63" w:right="63"/>
              <w:rPr>
                <w:rFonts w:hint="eastAsia" w:ascii="宋体"/>
                <w:color w:val="auto"/>
                <w:sz w:val="24"/>
                <w:highlight w:val="none"/>
              </w:rPr>
            </w:pPr>
          </w:p>
        </w:tc>
        <w:tc>
          <w:tcPr>
            <w:tcW w:w="1058" w:type="dxa"/>
            <w:tcBorders>
              <w:top w:val="double" w:color="auto" w:sz="6" w:space="0"/>
            </w:tcBorders>
            <w:noWrap w:val="0"/>
            <w:vAlign w:val="center"/>
          </w:tcPr>
          <w:p w14:paraId="737554FD">
            <w:pPr>
              <w:keepNext/>
              <w:widowControl w:val="0"/>
              <w:spacing w:line="440" w:lineRule="exact"/>
              <w:ind w:left="63" w:right="63"/>
              <w:rPr>
                <w:rFonts w:hint="eastAsia" w:ascii="宋体"/>
                <w:color w:val="auto"/>
                <w:sz w:val="24"/>
                <w:highlight w:val="none"/>
              </w:rPr>
            </w:pPr>
          </w:p>
        </w:tc>
        <w:tc>
          <w:tcPr>
            <w:tcW w:w="880" w:type="dxa"/>
            <w:tcBorders>
              <w:top w:val="double" w:color="auto" w:sz="6" w:space="0"/>
            </w:tcBorders>
            <w:noWrap w:val="0"/>
            <w:vAlign w:val="center"/>
          </w:tcPr>
          <w:p w14:paraId="4EA1A89C">
            <w:pPr>
              <w:keepNext/>
              <w:widowControl w:val="0"/>
              <w:spacing w:line="440" w:lineRule="exact"/>
              <w:ind w:left="63" w:right="63"/>
              <w:rPr>
                <w:rFonts w:hint="eastAsia" w:ascii="宋体"/>
                <w:color w:val="auto"/>
                <w:sz w:val="24"/>
                <w:highlight w:val="none"/>
              </w:rPr>
            </w:pPr>
          </w:p>
        </w:tc>
        <w:tc>
          <w:tcPr>
            <w:tcW w:w="1020" w:type="dxa"/>
            <w:tcBorders>
              <w:top w:val="double" w:color="auto" w:sz="6" w:space="0"/>
            </w:tcBorders>
            <w:noWrap w:val="0"/>
            <w:vAlign w:val="center"/>
          </w:tcPr>
          <w:p w14:paraId="448D2F2A">
            <w:pPr>
              <w:keepNext/>
              <w:widowControl w:val="0"/>
              <w:spacing w:line="440" w:lineRule="exact"/>
              <w:ind w:left="63" w:right="63"/>
              <w:rPr>
                <w:rFonts w:hint="eastAsia" w:ascii="宋体"/>
                <w:color w:val="auto"/>
                <w:sz w:val="24"/>
                <w:highlight w:val="none"/>
              </w:rPr>
            </w:pPr>
          </w:p>
        </w:tc>
        <w:tc>
          <w:tcPr>
            <w:tcW w:w="1480" w:type="dxa"/>
            <w:tcBorders>
              <w:top w:val="double" w:color="auto" w:sz="6" w:space="0"/>
            </w:tcBorders>
            <w:noWrap w:val="0"/>
            <w:vAlign w:val="center"/>
          </w:tcPr>
          <w:p w14:paraId="155F22C4">
            <w:pPr>
              <w:keepNext/>
              <w:widowControl w:val="0"/>
              <w:spacing w:line="440" w:lineRule="exact"/>
              <w:ind w:left="63" w:right="63"/>
              <w:rPr>
                <w:rFonts w:hint="eastAsia" w:ascii="宋体"/>
                <w:color w:val="auto"/>
                <w:sz w:val="24"/>
                <w:highlight w:val="none"/>
              </w:rPr>
            </w:pPr>
          </w:p>
        </w:tc>
        <w:tc>
          <w:tcPr>
            <w:tcW w:w="1020" w:type="dxa"/>
            <w:tcBorders>
              <w:top w:val="double" w:color="auto" w:sz="6" w:space="0"/>
            </w:tcBorders>
            <w:noWrap w:val="0"/>
            <w:vAlign w:val="center"/>
          </w:tcPr>
          <w:p w14:paraId="2DA15655">
            <w:pPr>
              <w:keepNext/>
              <w:widowControl w:val="0"/>
              <w:spacing w:line="440" w:lineRule="exact"/>
              <w:ind w:left="63" w:right="63"/>
              <w:rPr>
                <w:rFonts w:hint="eastAsia" w:ascii="宋体"/>
                <w:color w:val="auto"/>
                <w:sz w:val="24"/>
                <w:highlight w:val="none"/>
              </w:rPr>
            </w:pPr>
          </w:p>
        </w:tc>
        <w:tc>
          <w:tcPr>
            <w:tcW w:w="921" w:type="dxa"/>
            <w:tcBorders>
              <w:top w:val="double" w:color="auto" w:sz="6" w:space="0"/>
            </w:tcBorders>
            <w:noWrap w:val="0"/>
            <w:vAlign w:val="center"/>
          </w:tcPr>
          <w:p w14:paraId="1034F8B9">
            <w:pPr>
              <w:keepNext/>
              <w:widowControl w:val="0"/>
              <w:spacing w:line="440" w:lineRule="exact"/>
              <w:ind w:left="63" w:right="63"/>
              <w:rPr>
                <w:rFonts w:hint="eastAsia" w:ascii="宋体"/>
                <w:color w:val="auto"/>
                <w:sz w:val="24"/>
                <w:highlight w:val="none"/>
              </w:rPr>
            </w:pPr>
          </w:p>
        </w:tc>
      </w:tr>
      <w:tr w14:paraId="08505F5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noWrap w:val="0"/>
            <w:vAlign w:val="center"/>
          </w:tcPr>
          <w:p w14:paraId="2311B0B0">
            <w:pPr>
              <w:keepNext/>
              <w:widowControl w:val="0"/>
              <w:spacing w:line="440" w:lineRule="exact"/>
              <w:ind w:left="63" w:right="63"/>
              <w:rPr>
                <w:rFonts w:hint="eastAsia" w:ascii="宋体"/>
                <w:color w:val="auto"/>
                <w:sz w:val="24"/>
                <w:highlight w:val="none"/>
              </w:rPr>
            </w:pPr>
          </w:p>
        </w:tc>
        <w:tc>
          <w:tcPr>
            <w:tcW w:w="1418" w:type="dxa"/>
            <w:tcBorders>
              <w:top w:val="nil"/>
            </w:tcBorders>
            <w:noWrap w:val="0"/>
            <w:vAlign w:val="center"/>
          </w:tcPr>
          <w:p w14:paraId="4A709F5E">
            <w:pPr>
              <w:keepNext/>
              <w:widowControl w:val="0"/>
              <w:spacing w:line="440" w:lineRule="exact"/>
              <w:ind w:left="63" w:right="63"/>
              <w:rPr>
                <w:rFonts w:hint="eastAsia" w:ascii="宋体"/>
                <w:color w:val="auto"/>
                <w:sz w:val="24"/>
                <w:highlight w:val="none"/>
              </w:rPr>
            </w:pPr>
          </w:p>
        </w:tc>
        <w:tc>
          <w:tcPr>
            <w:tcW w:w="850" w:type="dxa"/>
            <w:tcBorders>
              <w:top w:val="nil"/>
            </w:tcBorders>
            <w:noWrap w:val="0"/>
            <w:vAlign w:val="center"/>
          </w:tcPr>
          <w:p w14:paraId="35B4197B">
            <w:pPr>
              <w:keepNext/>
              <w:widowControl w:val="0"/>
              <w:spacing w:line="440" w:lineRule="exact"/>
              <w:ind w:left="63" w:right="63"/>
              <w:rPr>
                <w:rFonts w:hint="eastAsia" w:ascii="宋体"/>
                <w:color w:val="auto"/>
                <w:sz w:val="24"/>
                <w:highlight w:val="none"/>
              </w:rPr>
            </w:pPr>
          </w:p>
        </w:tc>
        <w:tc>
          <w:tcPr>
            <w:tcW w:w="1058" w:type="dxa"/>
            <w:tcBorders>
              <w:top w:val="nil"/>
            </w:tcBorders>
            <w:noWrap w:val="0"/>
            <w:vAlign w:val="center"/>
          </w:tcPr>
          <w:p w14:paraId="4FCA9767">
            <w:pPr>
              <w:keepNext/>
              <w:widowControl w:val="0"/>
              <w:spacing w:line="440" w:lineRule="exact"/>
              <w:ind w:left="63" w:right="63"/>
              <w:rPr>
                <w:rFonts w:hint="eastAsia" w:ascii="宋体"/>
                <w:color w:val="auto"/>
                <w:sz w:val="24"/>
                <w:highlight w:val="none"/>
              </w:rPr>
            </w:pPr>
          </w:p>
        </w:tc>
        <w:tc>
          <w:tcPr>
            <w:tcW w:w="880" w:type="dxa"/>
            <w:tcBorders>
              <w:top w:val="nil"/>
            </w:tcBorders>
            <w:noWrap w:val="0"/>
            <w:vAlign w:val="center"/>
          </w:tcPr>
          <w:p w14:paraId="0277D982">
            <w:pPr>
              <w:keepNext/>
              <w:widowControl w:val="0"/>
              <w:spacing w:line="440" w:lineRule="exact"/>
              <w:ind w:left="63" w:right="63"/>
              <w:rPr>
                <w:rFonts w:hint="eastAsia" w:ascii="宋体"/>
                <w:color w:val="auto"/>
                <w:sz w:val="24"/>
                <w:highlight w:val="none"/>
              </w:rPr>
            </w:pPr>
          </w:p>
        </w:tc>
        <w:tc>
          <w:tcPr>
            <w:tcW w:w="1020" w:type="dxa"/>
            <w:tcBorders>
              <w:top w:val="nil"/>
            </w:tcBorders>
            <w:noWrap w:val="0"/>
            <w:vAlign w:val="center"/>
          </w:tcPr>
          <w:p w14:paraId="29B3B341">
            <w:pPr>
              <w:keepNext/>
              <w:widowControl w:val="0"/>
              <w:spacing w:line="440" w:lineRule="exact"/>
              <w:ind w:left="63" w:right="63"/>
              <w:rPr>
                <w:rFonts w:hint="eastAsia" w:ascii="宋体"/>
                <w:color w:val="auto"/>
                <w:sz w:val="24"/>
                <w:highlight w:val="none"/>
              </w:rPr>
            </w:pPr>
          </w:p>
        </w:tc>
        <w:tc>
          <w:tcPr>
            <w:tcW w:w="1480" w:type="dxa"/>
            <w:tcBorders>
              <w:top w:val="nil"/>
            </w:tcBorders>
            <w:noWrap w:val="0"/>
            <w:vAlign w:val="center"/>
          </w:tcPr>
          <w:p w14:paraId="04A5951A">
            <w:pPr>
              <w:keepNext/>
              <w:widowControl w:val="0"/>
              <w:spacing w:line="440" w:lineRule="exact"/>
              <w:ind w:left="63" w:right="63"/>
              <w:rPr>
                <w:rFonts w:hint="eastAsia" w:ascii="宋体"/>
                <w:color w:val="auto"/>
                <w:sz w:val="24"/>
                <w:highlight w:val="none"/>
              </w:rPr>
            </w:pPr>
          </w:p>
        </w:tc>
        <w:tc>
          <w:tcPr>
            <w:tcW w:w="1020" w:type="dxa"/>
            <w:tcBorders>
              <w:top w:val="nil"/>
            </w:tcBorders>
            <w:noWrap w:val="0"/>
            <w:vAlign w:val="center"/>
          </w:tcPr>
          <w:p w14:paraId="19BABC6C">
            <w:pPr>
              <w:keepNext/>
              <w:widowControl w:val="0"/>
              <w:spacing w:line="440" w:lineRule="exact"/>
              <w:ind w:left="63" w:right="63"/>
              <w:rPr>
                <w:rFonts w:hint="eastAsia" w:ascii="宋体"/>
                <w:color w:val="auto"/>
                <w:sz w:val="24"/>
                <w:highlight w:val="none"/>
              </w:rPr>
            </w:pPr>
          </w:p>
        </w:tc>
        <w:tc>
          <w:tcPr>
            <w:tcW w:w="921" w:type="dxa"/>
            <w:tcBorders>
              <w:top w:val="nil"/>
            </w:tcBorders>
            <w:noWrap w:val="0"/>
            <w:vAlign w:val="center"/>
          </w:tcPr>
          <w:p w14:paraId="2CF1B3E9">
            <w:pPr>
              <w:keepNext/>
              <w:widowControl w:val="0"/>
              <w:spacing w:line="440" w:lineRule="exact"/>
              <w:ind w:left="63" w:right="63"/>
              <w:rPr>
                <w:rFonts w:hint="eastAsia" w:ascii="宋体"/>
                <w:color w:val="auto"/>
                <w:sz w:val="24"/>
                <w:highlight w:val="none"/>
              </w:rPr>
            </w:pPr>
          </w:p>
        </w:tc>
      </w:tr>
      <w:tr w14:paraId="3BD413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312F0318">
            <w:pPr>
              <w:keepNext/>
              <w:widowControl w:val="0"/>
              <w:spacing w:line="440" w:lineRule="exact"/>
              <w:ind w:left="63" w:right="63"/>
              <w:rPr>
                <w:rFonts w:hint="eastAsia" w:ascii="宋体"/>
                <w:color w:val="auto"/>
                <w:sz w:val="24"/>
                <w:highlight w:val="none"/>
              </w:rPr>
            </w:pPr>
          </w:p>
        </w:tc>
        <w:tc>
          <w:tcPr>
            <w:tcW w:w="1418" w:type="dxa"/>
            <w:noWrap w:val="0"/>
            <w:vAlign w:val="center"/>
          </w:tcPr>
          <w:p w14:paraId="381B5C7D">
            <w:pPr>
              <w:keepNext/>
              <w:widowControl w:val="0"/>
              <w:spacing w:line="440" w:lineRule="exact"/>
              <w:ind w:left="63" w:right="63"/>
              <w:rPr>
                <w:rFonts w:hint="eastAsia" w:ascii="宋体"/>
                <w:color w:val="auto"/>
                <w:sz w:val="24"/>
                <w:highlight w:val="none"/>
              </w:rPr>
            </w:pPr>
          </w:p>
        </w:tc>
        <w:tc>
          <w:tcPr>
            <w:tcW w:w="850" w:type="dxa"/>
            <w:noWrap w:val="0"/>
            <w:vAlign w:val="center"/>
          </w:tcPr>
          <w:p w14:paraId="0748241B">
            <w:pPr>
              <w:keepNext/>
              <w:widowControl w:val="0"/>
              <w:spacing w:line="440" w:lineRule="exact"/>
              <w:ind w:left="63" w:right="63"/>
              <w:rPr>
                <w:rFonts w:hint="eastAsia" w:ascii="宋体"/>
                <w:color w:val="auto"/>
                <w:sz w:val="24"/>
                <w:highlight w:val="none"/>
              </w:rPr>
            </w:pPr>
          </w:p>
        </w:tc>
        <w:tc>
          <w:tcPr>
            <w:tcW w:w="1058" w:type="dxa"/>
            <w:noWrap w:val="0"/>
            <w:vAlign w:val="center"/>
          </w:tcPr>
          <w:p w14:paraId="56B01A7D">
            <w:pPr>
              <w:keepNext/>
              <w:widowControl w:val="0"/>
              <w:spacing w:line="440" w:lineRule="exact"/>
              <w:ind w:left="63" w:right="63"/>
              <w:rPr>
                <w:rFonts w:hint="eastAsia" w:ascii="宋体"/>
                <w:color w:val="auto"/>
                <w:sz w:val="24"/>
                <w:highlight w:val="none"/>
              </w:rPr>
            </w:pPr>
          </w:p>
        </w:tc>
        <w:tc>
          <w:tcPr>
            <w:tcW w:w="880" w:type="dxa"/>
            <w:noWrap w:val="0"/>
            <w:vAlign w:val="center"/>
          </w:tcPr>
          <w:p w14:paraId="4E8388ED">
            <w:pPr>
              <w:keepNext/>
              <w:widowControl w:val="0"/>
              <w:spacing w:line="440" w:lineRule="exact"/>
              <w:ind w:left="63" w:right="63"/>
              <w:rPr>
                <w:rFonts w:hint="eastAsia" w:ascii="宋体"/>
                <w:color w:val="auto"/>
                <w:sz w:val="24"/>
                <w:highlight w:val="none"/>
              </w:rPr>
            </w:pPr>
          </w:p>
        </w:tc>
        <w:tc>
          <w:tcPr>
            <w:tcW w:w="1020" w:type="dxa"/>
            <w:noWrap w:val="0"/>
            <w:vAlign w:val="center"/>
          </w:tcPr>
          <w:p w14:paraId="43A0FF4D">
            <w:pPr>
              <w:keepNext/>
              <w:widowControl w:val="0"/>
              <w:spacing w:line="440" w:lineRule="exact"/>
              <w:ind w:left="63" w:right="63"/>
              <w:rPr>
                <w:rFonts w:hint="eastAsia" w:ascii="宋体"/>
                <w:color w:val="auto"/>
                <w:sz w:val="24"/>
                <w:highlight w:val="none"/>
              </w:rPr>
            </w:pPr>
          </w:p>
        </w:tc>
        <w:tc>
          <w:tcPr>
            <w:tcW w:w="1480" w:type="dxa"/>
            <w:noWrap w:val="0"/>
            <w:vAlign w:val="center"/>
          </w:tcPr>
          <w:p w14:paraId="3EF2ABAB">
            <w:pPr>
              <w:keepNext/>
              <w:widowControl w:val="0"/>
              <w:spacing w:line="440" w:lineRule="exact"/>
              <w:ind w:left="63" w:right="63"/>
              <w:rPr>
                <w:rFonts w:hint="eastAsia" w:ascii="宋体"/>
                <w:color w:val="auto"/>
                <w:sz w:val="24"/>
                <w:highlight w:val="none"/>
              </w:rPr>
            </w:pPr>
          </w:p>
        </w:tc>
        <w:tc>
          <w:tcPr>
            <w:tcW w:w="1020" w:type="dxa"/>
            <w:noWrap w:val="0"/>
            <w:vAlign w:val="center"/>
          </w:tcPr>
          <w:p w14:paraId="1844EFC8">
            <w:pPr>
              <w:keepNext/>
              <w:widowControl w:val="0"/>
              <w:spacing w:line="440" w:lineRule="exact"/>
              <w:ind w:left="63" w:right="63"/>
              <w:rPr>
                <w:rFonts w:hint="eastAsia" w:ascii="宋体"/>
                <w:color w:val="auto"/>
                <w:sz w:val="24"/>
                <w:highlight w:val="none"/>
              </w:rPr>
            </w:pPr>
          </w:p>
        </w:tc>
        <w:tc>
          <w:tcPr>
            <w:tcW w:w="921" w:type="dxa"/>
            <w:noWrap w:val="0"/>
            <w:vAlign w:val="center"/>
          </w:tcPr>
          <w:p w14:paraId="5E3A67EF">
            <w:pPr>
              <w:keepNext/>
              <w:widowControl w:val="0"/>
              <w:spacing w:line="440" w:lineRule="exact"/>
              <w:ind w:left="63" w:right="63"/>
              <w:rPr>
                <w:rFonts w:hint="eastAsia" w:ascii="宋体"/>
                <w:color w:val="auto"/>
                <w:sz w:val="24"/>
                <w:highlight w:val="none"/>
              </w:rPr>
            </w:pPr>
          </w:p>
        </w:tc>
      </w:tr>
      <w:tr w14:paraId="196ADB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4CDEDCF3">
            <w:pPr>
              <w:keepNext/>
              <w:widowControl w:val="0"/>
              <w:spacing w:line="440" w:lineRule="exact"/>
              <w:ind w:left="63" w:right="63"/>
              <w:rPr>
                <w:rFonts w:hint="eastAsia" w:ascii="宋体"/>
                <w:color w:val="auto"/>
                <w:sz w:val="24"/>
                <w:highlight w:val="none"/>
              </w:rPr>
            </w:pPr>
          </w:p>
        </w:tc>
        <w:tc>
          <w:tcPr>
            <w:tcW w:w="1418" w:type="dxa"/>
            <w:noWrap w:val="0"/>
            <w:vAlign w:val="center"/>
          </w:tcPr>
          <w:p w14:paraId="1E43959E">
            <w:pPr>
              <w:keepNext/>
              <w:widowControl w:val="0"/>
              <w:spacing w:line="440" w:lineRule="exact"/>
              <w:ind w:left="63" w:right="63"/>
              <w:rPr>
                <w:rFonts w:hint="eastAsia" w:ascii="宋体"/>
                <w:color w:val="auto"/>
                <w:sz w:val="24"/>
                <w:highlight w:val="none"/>
              </w:rPr>
            </w:pPr>
          </w:p>
        </w:tc>
        <w:tc>
          <w:tcPr>
            <w:tcW w:w="850" w:type="dxa"/>
            <w:noWrap w:val="0"/>
            <w:vAlign w:val="center"/>
          </w:tcPr>
          <w:p w14:paraId="6F5174DE">
            <w:pPr>
              <w:keepNext/>
              <w:widowControl w:val="0"/>
              <w:spacing w:line="440" w:lineRule="exact"/>
              <w:ind w:left="63" w:right="63"/>
              <w:rPr>
                <w:rFonts w:hint="eastAsia" w:ascii="宋体"/>
                <w:color w:val="auto"/>
                <w:sz w:val="24"/>
                <w:highlight w:val="none"/>
              </w:rPr>
            </w:pPr>
          </w:p>
        </w:tc>
        <w:tc>
          <w:tcPr>
            <w:tcW w:w="1058" w:type="dxa"/>
            <w:noWrap w:val="0"/>
            <w:vAlign w:val="center"/>
          </w:tcPr>
          <w:p w14:paraId="2F0EAF0F">
            <w:pPr>
              <w:keepNext/>
              <w:widowControl w:val="0"/>
              <w:spacing w:line="440" w:lineRule="exact"/>
              <w:ind w:left="63" w:right="63"/>
              <w:rPr>
                <w:rFonts w:hint="eastAsia" w:ascii="宋体"/>
                <w:color w:val="auto"/>
                <w:sz w:val="24"/>
                <w:highlight w:val="none"/>
              </w:rPr>
            </w:pPr>
          </w:p>
        </w:tc>
        <w:tc>
          <w:tcPr>
            <w:tcW w:w="880" w:type="dxa"/>
            <w:noWrap w:val="0"/>
            <w:vAlign w:val="center"/>
          </w:tcPr>
          <w:p w14:paraId="65EE162C">
            <w:pPr>
              <w:keepNext/>
              <w:widowControl w:val="0"/>
              <w:spacing w:line="440" w:lineRule="exact"/>
              <w:ind w:left="63" w:right="63"/>
              <w:rPr>
                <w:rFonts w:hint="eastAsia" w:ascii="宋体"/>
                <w:color w:val="auto"/>
                <w:sz w:val="24"/>
                <w:highlight w:val="none"/>
              </w:rPr>
            </w:pPr>
          </w:p>
        </w:tc>
        <w:tc>
          <w:tcPr>
            <w:tcW w:w="1020" w:type="dxa"/>
            <w:noWrap w:val="0"/>
            <w:vAlign w:val="center"/>
          </w:tcPr>
          <w:p w14:paraId="3EF39AF9">
            <w:pPr>
              <w:keepNext/>
              <w:widowControl w:val="0"/>
              <w:spacing w:line="440" w:lineRule="exact"/>
              <w:ind w:left="63" w:right="63"/>
              <w:rPr>
                <w:rFonts w:hint="eastAsia" w:ascii="宋体"/>
                <w:color w:val="auto"/>
                <w:sz w:val="24"/>
                <w:highlight w:val="none"/>
              </w:rPr>
            </w:pPr>
          </w:p>
        </w:tc>
        <w:tc>
          <w:tcPr>
            <w:tcW w:w="1480" w:type="dxa"/>
            <w:noWrap w:val="0"/>
            <w:vAlign w:val="center"/>
          </w:tcPr>
          <w:p w14:paraId="76A622C2">
            <w:pPr>
              <w:keepNext/>
              <w:widowControl w:val="0"/>
              <w:spacing w:line="440" w:lineRule="exact"/>
              <w:ind w:left="63" w:right="63"/>
              <w:rPr>
                <w:rFonts w:hint="eastAsia" w:ascii="宋体"/>
                <w:color w:val="auto"/>
                <w:sz w:val="24"/>
                <w:highlight w:val="none"/>
              </w:rPr>
            </w:pPr>
          </w:p>
        </w:tc>
        <w:tc>
          <w:tcPr>
            <w:tcW w:w="1020" w:type="dxa"/>
            <w:noWrap w:val="0"/>
            <w:vAlign w:val="center"/>
          </w:tcPr>
          <w:p w14:paraId="5716CBA7">
            <w:pPr>
              <w:keepNext/>
              <w:widowControl w:val="0"/>
              <w:spacing w:line="440" w:lineRule="exact"/>
              <w:ind w:left="63" w:right="63"/>
              <w:rPr>
                <w:rFonts w:hint="eastAsia" w:ascii="宋体"/>
                <w:color w:val="auto"/>
                <w:sz w:val="24"/>
                <w:highlight w:val="none"/>
              </w:rPr>
            </w:pPr>
          </w:p>
        </w:tc>
        <w:tc>
          <w:tcPr>
            <w:tcW w:w="921" w:type="dxa"/>
            <w:noWrap w:val="0"/>
            <w:vAlign w:val="center"/>
          </w:tcPr>
          <w:p w14:paraId="3EE8F95D">
            <w:pPr>
              <w:keepNext/>
              <w:widowControl w:val="0"/>
              <w:spacing w:line="440" w:lineRule="exact"/>
              <w:ind w:left="63" w:right="63"/>
              <w:rPr>
                <w:rFonts w:hint="eastAsia" w:ascii="宋体"/>
                <w:color w:val="auto"/>
                <w:sz w:val="24"/>
                <w:highlight w:val="none"/>
              </w:rPr>
            </w:pPr>
          </w:p>
        </w:tc>
      </w:tr>
      <w:tr w14:paraId="7CA3FE1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14455A21">
            <w:pPr>
              <w:keepNext/>
              <w:widowControl w:val="0"/>
              <w:spacing w:line="440" w:lineRule="exact"/>
              <w:ind w:left="63" w:right="63"/>
              <w:rPr>
                <w:rFonts w:hint="eastAsia" w:ascii="宋体"/>
                <w:color w:val="auto"/>
                <w:sz w:val="24"/>
                <w:highlight w:val="none"/>
              </w:rPr>
            </w:pPr>
          </w:p>
        </w:tc>
        <w:tc>
          <w:tcPr>
            <w:tcW w:w="1418" w:type="dxa"/>
            <w:noWrap w:val="0"/>
            <w:vAlign w:val="center"/>
          </w:tcPr>
          <w:p w14:paraId="3756B96D">
            <w:pPr>
              <w:keepNext/>
              <w:widowControl w:val="0"/>
              <w:spacing w:line="440" w:lineRule="exact"/>
              <w:ind w:left="63" w:right="63"/>
              <w:rPr>
                <w:rFonts w:hint="eastAsia" w:ascii="宋体"/>
                <w:color w:val="auto"/>
                <w:sz w:val="24"/>
                <w:highlight w:val="none"/>
              </w:rPr>
            </w:pPr>
          </w:p>
        </w:tc>
        <w:tc>
          <w:tcPr>
            <w:tcW w:w="850" w:type="dxa"/>
            <w:noWrap w:val="0"/>
            <w:vAlign w:val="center"/>
          </w:tcPr>
          <w:p w14:paraId="57548AEF">
            <w:pPr>
              <w:keepNext/>
              <w:widowControl w:val="0"/>
              <w:spacing w:line="440" w:lineRule="exact"/>
              <w:ind w:left="63" w:right="63"/>
              <w:rPr>
                <w:rFonts w:hint="eastAsia" w:ascii="宋体"/>
                <w:color w:val="auto"/>
                <w:sz w:val="24"/>
                <w:highlight w:val="none"/>
              </w:rPr>
            </w:pPr>
          </w:p>
        </w:tc>
        <w:tc>
          <w:tcPr>
            <w:tcW w:w="1058" w:type="dxa"/>
            <w:noWrap w:val="0"/>
            <w:vAlign w:val="center"/>
          </w:tcPr>
          <w:p w14:paraId="082B52B0">
            <w:pPr>
              <w:keepNext/>
              <w:widowControl w:val="0"/>
              <w:spacing w:line="440" w:lineRule="exact"/>
              <w:ind w:left="63" w:right="63"/>
              <w:rPr>
                <w:rFonts w:hint="eastAsia" w:ascii="宋体"/>
                <w:color w:val="auto"/>
                <w:sz w:val="24"/>
                <w:highlight w:val="none"/>
              </w:rPr>
            </w:pPr>
          </w:p>
        </w:tc>
        <w:tc>
          <w:tcPr>
            <w:tcW w:w="880" w:type="dxa"/>
            <w:noWrap w:val="0"/>
            <w:vAlign w:val="center"/>
          </w:tcPr>
          <w:p w14:paraId="6F851C66">
            <w:pPr>
              <w:keepNext/>
              <w:widowControl w:val="0"/>
              <w:spacing w:line="440" w:lineRule="exact"/>
              <w:ind w:left="63" w:right="63"/>
              <w:rPr>
                <w:rFonts w:hint="eastAsia" w:ascii="宋体"/>
                <w:color w:val="auto"/>
                <w:sz w:val="24"/>
                <w:highlight w:val="none"/>
              </w:rPr>
            </w:pPr>
          </w:p>
        </w:tc>
        <w:tc>
          <w:tcPr>
            <w:tcW w:w="1020" w:type="dxa"/>
            <w:noWrap w:val="0"/>
            <w:vAlign w:val="center"/>
          </w:tcPr>
          <w:p w14:paraId="1416D170">
            <w:pPr>
              <w:keepNext/>
              <w:widowControl w:val="0"/>
              <w:spacing w:line="440" w:lineRule="exact"/>
              <w:ind w:left="63" w:right="63"/>
              <w:rPr>
                <w:rFonts w:hint="eastAsia" w:ascii="宋体"/>
                <w:color w:val="auto"/>
                <w:sz w:val="24"/>
                <w:highlight w:val="none"/>
              </w:rPr>
            </w:pPr>
          </w:p>
        </w:tc>
        <w:tc>
          <w:tcPr>
            <w:tcW w:w="1480" w:type="dxa"/>
            <w:noWrap w:val="0"/>
            <w:vAlign w:val="center"/>
          </w:tcPr>
          <w:p w14:paraId="7FC4C215">
            <w:pPr>
              <w:keepNext/>
              <w:widowControl w:val="0"/>
              <w:spacing w:line="440" w:lineRule="exact"/>
              <w:ind w:left="63" w:right="63"/>
              <w:rPr>
                <w:rFonts w:hint="eastAsia" w:ascii="宋体"/>
                <w:color w:val="auto"/>
                <w:sz w:val="24"/>
                <w:highlight w:val="none"/>
              </w:rPr>
            </w:pPr>
          </w:p>
        </w:tc>
        <w:tc>
          <w:tcPr>
            <w:tcW w:w="1020" w:type="dxa"/>
            <w:noWrap w:val="0"/>
            <w:vAlign w:val="center"/>
          </w:tcPr>
          <w:p w14:paraId="4A818D50">
            <w:pPr>
              <w:keepNext/>
              <w:widowControl w:val="0"/>
              <w:spacing w:line="440" w:lineRule="exact"/>
              <w:ind w:left="63" w:right="63"/>
              <w:rPr>
                <w:rFonts w:hint="eastAsia" w:ascii="宋体"/>
                <w:color w:val="auto"/>
                <w:sz w:val="24"/>
                <w:highlight w:val="none"/>
              </w:rPr>
            </w:pPr>
          </w:p>
        </w:tc>
        <w:tc>
          <w:tcPr>
            <w:tcW w:w="921" w:type="dxa"/>
            <w:noWrap w:val="0"/>
            <w:vAlign w:val="center"/>
          </w:tcPr>
          <w:p w14:paraId="53E3A8E1">
            <w:pPr>
              <w:keepNext/>
              <w:widowControl w:val="0"/>
              <w:spacing w:line="440" w:lineRule="exact"/>
              <w:ind w:left="63" w:right="63"/>
              <w:rPr>
                <w:rFonts w:hint="eastAsia" w:ascii="宋体"/>
                <w:color w:val="auto"/>
                <w:sz w:val="24"/>
                <w:highlight w:val="none"/>
              </w:rPr>
            </w:pPr>
          </w:p>
        </w:tc>
      </w:tr>
      <w:tr w14:paraId="08B477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58DCD240">
            <w:pPr>
              <w:keepNext/>
              <w:widowControl w:val="0"/>
              <w:spacing w:line="440" w:lineRule="exact"/>
              <w:ind w:left="63" w:right="63"/>
              <w:rPr>
                <w:rFonts w:hint="eastAsia" w:ascii="宋体"/>
                <w:color w:val="auto"/>
                <w:sz w:val="24"/>
                <w:highlight w:val="none"/>
              </w:rPr>
            </w:pPr>
          </w:p>
        </w:tc>
        <w:tc>
          <w:tcPr>
            <w:tcW w:w="1418" w:type="dxa"/>
            <w:noWrap w:val="0"/>
            <w:vAlign w:val="center"/>
          </w:tcPr>
          <w:p w14:paraId="7EE0CBB4">
            <w:pPr>
              <w:keepNext/>
              <w:widowControl w:val="0"/>
              <w:spacing w:line="440" w:lineRule="exact"/>
              <w:ind w:left="63" w:right="63"/>
              <w:rPr>
                <w:rFonts w:hint="eastAsia" w:ascii="宋体"/>
                <w:color w:val="auto"/>
                <w:sz w:val="24"/>
                <w:highlight w:val="none"/>
              </w:rPr>
            </w:pPr>
          </w:p>
        </w:tc>
        <w:tc>
          <w:tcPr>
            <w:tcW w:w="850" w:type="dxa"/>
            <w:noWrap w:val="0"/>
            <w:vAlign w:val="center"/>
          </w:tcPr>
          <w:p w14:paraId="209A3A78">
            <w:pPr>
              <w:keepNext/>
              <w:widowControl w:val="0"/>
              <w:spacing w:line="440" w:lineRule="exact"/>
              <w:ind w:left="63" w:right="63"/>
              <w:rPr>
                <w:rFonts w:hint="eastAsia" w:ascii="宋体"/>
                <w:color w:val="auto"/>
                <w:sz w:val="24"/>
                <w:highlight w:val="none"/>
              </w:rPr>
            </w:pPr>
          </w:p>
        </w:tc>
        <w:tc>
          <w:tcPr>
            <w:tcW w:w="1058" w:type="dxa"/>
            <w:noWrap w:val="0"/>
            <w:vAlign w:val="center"/>
          </w:tcPr>
          <w:p w14:paraId="17D710BF">
            <w:pPr>
              <w:keepNext/>
              <w:widowControl w:val="0"/>
              <w:spacing w:line="440" w:lineRule="exact"/>
              <w:ind w:left="63" w:right="63"/>
              <w:rPr>
                <w:rFonts w:hint="eastAsia" w:ascii="宋体"/>
                <w:color w:val="auto"/>
                <w:sz w:val="24"/>
                <w:highlight w:val="none"/>
              </w:rPr>
            </w:pPr>
          </w:p>
        </w:tc>
        <w:tc>
          <w:tcPr>
            <w:tcW w:w="880" w:type="dxa"/>
            <w:noWrap w:val="0"/>
            <w:vAlign w:val="center"/>
          </w:tcPr>
          <w:p w14:paraId="44C3F4A3">
            <w:pPr>
              <w:keepNext/>
              <w:widowControl w:val="0"/>
              <w:spacing w:line="440" w:lineRule="exact"/>
              <w:ind w:left="63" w:right="63"/>
              <w:rPr>
                <w:rFonts w:hint="eastAsia" w:ascii="宋体"/>
                <w:color w:val="auto"/>
                <w:sz w:val="24"/>
                <w:highlight w:val="none"/>
              </w:rPr>
            </w:pPr>
          </w:p>
        </w:tc>
        <w:tc>
          <w:tcPr>
            <w:tcW w:w="1020" w:type="dxa"/>
            <w:noWrap w:val="0"/>
            <w:vAlign w:val="center"/>
          </w:tcPr>
          <w:p w14:paraId="4455BF0A">
            <w:pPr>
              <w:keepNext/>
              <w:widowControl w:val="0"/>
              <w:spacing w:line="440" w:lineRule="exact"/>
              <w:ind w:left="63" w:right="63"/>
              <w:rPr>
                <w:rFonts w:hint="eastAsia" w:ascii="宋体"/>
                <w:color w:val="auto"/>
                <w:sz w:val="24"/>
                <w:highlight w:val="none"/>
              </w:rPr>
            </w:pPr>
          </w:p>
        </w:tc>
        <w:tc>
          <w:tcPr>
            <w:tcW w:w="1480" w:type="dxa"/>
            <w:noWrap w:val="0"/>
            <w:vAlign w:val="center"/>
          </w:tcPr>
          <w:p w14:paraId="730C7AAF">
            <w:pPr>
              <w:keepNext/>
              <w:widowControl w:val="0"/>
              <w:spacing w:line="440" w:lineRule="exact"/>
              <w:ind w:left="63" w:right="63"/>
              <w:rPr>
                <w:rFonts w:hint="eastAsia" w:ascii="宋体"/>
                <w:color w:val="auto"/>
                <w:sz w:val="24"/>
                <w:highlight w:val="none"/>
              </w:rPr>
            </w:pPr>
          </w:p>
        </w:tc>
        <w:tc>
          <w:tcPr>
            <w:tcW w:w="1020" w:type="dxa"/>
            <w:noWrap w:val="0"/>
            <w:vAlign w:val="center"/>
          </w:tcPr>
          <w:p w14:paraId="3056E689">
            <w:pPr>
              <w:keepNext/>
              <w:widowControl w:val="0"/>
              <w:spacing w:line="440" w:lineRule="exact"/>
              <w:ind w:left="63" w:right="63"/>
              <w:rPr>
                <w:rFonts w:hint="eastAsia" w:ascii="宋体"/>
                <w:color w:val="auto"/>
                <w:sz w:val="24"/>
                <w:highlight w:val="none"/>
              </w:rPr>
            </w:pPr>
          </w:p>
        </w:tc>
        <w:tc>
          <w:tcPr>
            <w:tcW w:w="921" w:type="dxa"/>
            <w:noWrap w:val="0"/>
            <w:vAlign w:val="center"/>
          </w:tcPr>
          <w:p w14:paraId="228CE611">
            <w:pPr>
              <w:keepNext/>
              <w:widowControl w:val="0"/>
              <w:spacing w:line="440" w:lineRule="exact"/>
              <w:ind w:left="63" w:right="63"/>
              <w:rPr>
                <w:rFonts w:hint="eastAsia" w:ascii="宋体"/>
                <w:color w:val="auto"/>
                <w:sz w:val="24"/>
                <w:highlight w:val="none"/>
              </w:rPr>
            </w:pPr>
          </w:p>
        </w:tc>
      </w:tr>
      <w:tr w14:paraId="1E0DC1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708FB1CD">
            <w:pPr>
              <w:keepNext/>
              <w:widowControl w:val="0"/>
              <w:spacing w:line="440" w:lineRule="exact"/>
              <w:ind w:left="63" w:right="63"/>
              <w:rPr>
                <w:rFonts w:hint="eastAsia" w:ascii="宋体"/>
                <w:color w:val="auto"/>
                <w:sz w:val="24"/>
                <w:highlight w:val="none"/>
              </w:rPr>
            </w:pPr>
          </w:p>
        </w:tc>
        <w:tc>
          <w:tcPr>
            <w:tcW w:w="1418" w:type="dxa"/>
            <w:noWrap w:val="0"/>
            <w:vAlign w:val="center"/>
          </w:tcPr>
          <w:p w14:paraId="25E74E5E">
            <w:pPr>
              <w:keepNext/>
              <w:widowControl w:val="0"/>
              <w:spacing w:line="440" w:lineRule="exact"/>
              <w:ind w:left="63" w:right="63"/>
              <w:rPr>
                <w:rFonts w:hint="eastAsia" w:ascii="宋体"/>
                <w:color w:val="auto"/>
                <w:sz w:val="24"/>
                <w:highlight w:val="none"/>
              </w:rPr>
            </w:pPr>
          </w:p>
        </w:tc>
        <w:tc>
          <w:tcPr>
            <w:tcW w:w="850" w:type="dxa"/>
            <w:noWrap w:val="0"/>
            <w:vAlign w:val="center"/>
          </w:tcPr>
          <w:p w14:paraId="63F7330A">
            <w:pPr>
              <w:keepNext/>
              <w:widowControl w:val="0"/>
              <w:spacing w:line="440" w:lineRule="exact"/>
              <w:ind w:left="63" w:right="63"/>
              <w:rPr>
                <w:rFonts w:hint="eastAsia" w:ascii="宋体"/>
                <w:color w:val="auto"/>
                <w:sz w:val="24"/>
                <w:highlight w:val="none"/>
              </w:rPr>
            </w:pPr>
          </w:p>
        </w:tc>
        <w:tc>
          <w:tcPr>
            <w:tcW w:w="1058" w:type="dxa"/>
            <w:noWrap w:val="0"/>
            <w:vAlign w:val="center"/>
          </w:tcPr>
          <w:p w14:paraId="3FF5E658">
            <w:pPr>
              <w:keepNext/>
              <w:widowControl w:val="0"/>
              <w:spacing w:line="440" w:lineRule="exact"/>
              <w:ind w:left="63" w:right="63"/>
              <w:rPr>
                <w:rFonts w:hint="eastAsia" w:ascii="宋体"/>
                <w:color w:val="auto"/>
                <w:sz w:val="24"/>
                <w:highlight w:val="none"/>
              </w:rPr>
            </w:pPr>
          </w:p>
        </w:tc>
        <w:tc>
          <w:tcPr>
            <w:tcW w:w="880" w:type="dxa"/>
            <w:noWrap w:val="0"/>
            <w:vAlign w:val="center"/>
          </w:tcPr>
          <w:p w14:paraId="54B3E871">
            <w:pPr>
              <w:keepNext/>
              <w:widowControl w:val="0"/>
              <w:spacing w:line="440" w:lineRule="exact"/>
              <w:ind w:left="63" w:right="63"/>
              <w:rPr>
                <w:rFonts w:hint="eastAsia" w:ascii="宋体"/>
                <w:color w:val="auto"/>
                <w:sz w:val="24"/>
                <w:highlight w:val="none"/>
              </w:rPr>
            </w:pPr>
          </w:p>
        </w:tc>
        <w:tc>
          <w:tcPr>
            <w:tcW w:w="1020" w:type="dxa"/>
            <w:noWrap w:val="0"/>
            <w:vAlign w:val="center"/>
          </w:tcPr>
          <w:p w14:paraId="34D73E80">
            <w:pPr>
              <w:keepNext/>
              <w:widowControl w:val="0"/>
              <w:spacing w:line="440" w:lineRule="exact"/>
              <w:ind w:left="63" w:right="63"/>
              <w:rPr>
                <w:rFonts w:hint="eastAsia" w:ascii="宋体"/>
                <w:color w:val="auto"/>
                <w:sz w:val="24"/>
                <w:highlight w:val="none"/>
              </w:rPr>
            </w:pPr>
          </w:p>
        </w:tc>
        <w:tc>
          <w:tcPr>
            <w:tcW w:w="1480" w:type="dxa"/>
            <w:noWrap w:val="0"/>
            <w:vAlign w:val="center"/>
          </w:tcPr>
          <w:p w14:paraId="4EF3812E">
            <w:pPr>
              <w:keepNext/>
              <w:widowControl w:val="0"/>
              <w:spacing w:line="440" w:lineRule="exact"/>
              <w:ind w:left="63" w:right="63"/>
              <w:rPr>
                <w:rFonts w:hint="eastAsia" w:ascii="宋体"/>
                <w:color w:val="auto"/>
                <w:sz w:val="24"/>
                <w:highlight w:val="none"/>
              </w:rPr>
            </w:pPr>
          </w:p>
        </w:tc>
        <w:tc>
          <w:tcPr>
            <w:tcW w:w="1020" w:type="dxa"/>
            <w:noWrap w:val="0"/>
            <w:vAlign w:val="center"/>
          </w:tcPr>
          <w:p w14:paraId="731A0E37">
            <w:pPr>
              <w:keepNext/>
              <w:widowControl w:val="0"/>
              <w:spacing w:line="440" w:lineRule="exact"/>
              <w:ind w:left="63" w:right="63"/>
              <w:rPr>
                <w:rFonts w:hint="eastAsia" w:ascii="宋体"/>
                <w:color w:val="auto"/>
                <w:sz w:val="24"/>
                <w:highlight w:val="none"/>
              </w:rPr>
            </w:pPr>
          </w:p>
        </w:tc>
        <w:tc>
          <w:tcPr>
            <w:tcW w:w="921" w:type="dxa"/>
            <w:noWrap w:val="0"/>
            <w:vAlign w:val="center"/>
          </w:tcPr>
          <w:p w14:paraId="6EF68371">
            <w:pPr>
              <w:keepNext/>
              <w:widowControl w:val="0"/>
              <w:spacing w:line="440" w:lineRule="exact"/>
              <w:ind w:left="63" w:right="63"/>
              <w:rPr>
                <w:rFonts w:hint="eastAsia" w:ascii="宋体"/>
                <w:color w:val="auto"/>
                <w:sz w:val="24"/>
                <w:highlight w:val="none"/>
              </w:rPr>
            </w:pPr>
          </w:p>
        </w:tc>
      </w:tr>
      <w:tr w14:paraId="4A48A6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3A38DC80">
            <w:pPr>
              <w:keepNext/>
              <w:widowControl w:val="0"/>
              <w:spacing w:line="440" w:lineRule="exact"/>
              <w:ind w:left="63" w:right="63"/>
              <w:rPr>
                <w:rFonts w:hint="eastAsia" w:ascii="宋体"/>
                <w:color w:val="auto"/>
                <w:sz w:val="24"/>
                <w:highlight w:val="none"/>
              </w:rPr>
            </w:pPr>
          </w:p>
        </w:tc>
        <w:tc>
          <w:tcPr>
            <w:tcW w:w="1418" w:type="dxa"/>
            <w:noWrap w:val="0"/>
            <w:vAlign w:val="center"/>
          </w:tcPr>
          <w:p w14:paraId="4536FAAB">
            <w:pPr>
              <w:keepNext/>
              <w:widowControl w:val="0"/>
              <w:spacing w:line="440" w:lineRule="exact"/>
              <w:ind w:left="63" w:right="63"/>
              <w:rPr>
                <w:rFonts w:hint="eastAsia" w:ascii="宋体"/>
                <w:color w:val="auto"/>
                <w:sz w:val="24"/>
                <w:highlight w:val="none"/>
              </w:rPr>
            </w:pPr>
          </w:p>
        </w:tc>
        <w:tc>
          <w:tcPr>
            <w:tcW w:w="850" w:type="dxa"/>
            <w:noWrap w:val="0"/>
            <w:vAlign w:val="center"/>
          </w:tcPr>
          <w:p w14:paraId="6683097F">
            <w:pPr>
              <w:keepNext/>
              <w:widowControl w:val="0"/>
              <w:spacing w:line="440" w:lineRule="exact"/>
              <w:ind w:left="63" w:right="63"/>
              <w:rPr>
                <w:rFonts w:hint="eastAsia" w:ascii="宋体"/>
                <w:color w:val="auto"/>
                <w:sz w:val="24"/>
                <w:highlight w:val="none"/>
              </w:rPr>
            </w:pPr>
          </w:p>
        </w:tc>
        <w:tc>
          <w:tcPr>
            <w:tcW w:w="1058" w:type="dxa"/>
            <w:noWrap w:val="0"/>
            <w:vAlign w:val="center"/>
          </w:tcPr>
          <w:p w14:paraId="4A5857E6">
            <w:pPr>
              <w:keepNext/>
              <w:widowControl w:val="0"/>
              <w:spacing w:line="440" w:lineRule="exact"/>
              <w:ind w:left="63" w:right="63"/>
              <w:rPr>
                <w:rFonts w:hint="eastAsia" w:ascii="宋体"/>
                <w:color w:val="auto"/>
                <w:sz w:val="24"/>
                <w:highlight w:val="none"/>
              </w:rPr>
            </w:pPr>
          </w:p>
        </w:tc>
        <w:tc>
          <w:tcPr>
            <w:tcW w:w="880" w:type="dxa"/>
            <w:noWrap w:val="0"/>
            <w:vAlign w:val="center"/>
          </w:tcPr>
          <w:p w14:paraId="40CBAAC6">
            <w:pPr>
              <w:keepNext/>
              <w:widowControl w:val="0"/>
              <w:spacing w:line="440" w:lineRule="exact"/>
              <w:ind w:left="63" w:right="63"/>
              <w:rPr>
                <w:rFonts w:hint="eastAsia" w:ascii="宋体"/>
                <w:color w:val="auto"/>
                <w:sz w:val="24"/>
                <w:highlight w:val="none"/>
              </w:rPr>
            </w:pPr>
          </w:p>
        </w:tc>
        <w:tc>
          <w:tcPr>
            <w:tcW w:w="1020" w:type="dxa"/>
            <w:noWrap w:val="0"/>
            <w:vAlign w:val="center"/>
          </w:tcPr>
          <w:p w14:paraId="73022655">
            <w:pPr>
              <w:keepNext/>
              <w:widowControl w:val="0"/>
              <w:spacing w:line="440" w:lineRule="exact"/>
              <w:ind w:left="63" w:right="63"/>
              <w:rPr>
                <w:rFonts w:hint="eastAsia" w:ascii="宋体"/>
                <w:color w:val="auto"/>
                <w:sz w:val="24"/>
                <w:highlight w:val="none"/>
              </w:rPr>
            </w:pPr>
          </w:p>
        </w:tc>
        <w:tc>
          <w:tcPr>
            <w:tcW w:w="1480" w:type="dxa"/>
            <w:noWrap w:val="0"/>
            <w:vAlign w:val="center"/>
          </w:tcPr>
          <w:p w14:paraId="6A93CA39">
            <w:pPr>
              <w:keepNext/>
              <w:widowControl w:val="0"/>
              <w:spacing w:line="440" w:lineRule="exact"/>
              <w:ind w:left="63" w:right="63"/>
              <w:rPr>
                <w:rFonts w:hint="eastAsia" w:ascii="宋体"/>
                <w:color w:val="auto"/>
                <w:sz w:val="24"/>
                <w:highlight w:val="none"/>
              </w:rPr>
            </w:pPr>
          </w:p>
        </w:tc>
        <w:tc>
          <w:tcPr>
            <w:tcW w:w="1020" w:type="dxa"/>
            <w:noWrap w:val="0"/>
            <w:vAlign w:val="center"/>
          </w:tcPr>
          <w:p w14:paraId="3AA002AC">
            <w:pPr>
              <w:keepNext/>
              <w:widowControl w:val="0"/>
              <w:spacing w:line="440" w:lineRule="exact"/>
              <w:ind w:left="63" w:right="63"/>
              <w:rPr>
                <w:rFonts w:hint="eastAsia" w:ascii="宋体"/>
                <w:color w:val="auto"/>
                <w:sz w:val="24"/>
                <w:highlight w:val="none"/>
              </w:rPr>
            </w:pPr>
          </w:p>
        </w:tc>
        <w:tc>
          <w:tcPr>
            <w:tcW w:w="921" w:type="dxa"/>
            <w:noWrap w:val="0"/>
            <w:vAlign w:val="center"/>
          </w:tcPr>
          <w:p w14:paraId="3A3BF2DA">
            <w:pPr>
              <w:keepNext/>
              <w:widowControl w:val="0"/>
              <w:spacing w:line="440" w:lineRule="exact"/>
              <w:ind w:left="63" w:right="63"/>
              <w:rPr>
                <w:rFonts w:hint="eastAsia" w:ascii="宋体"/>
                <w:color w:val="auto"/>
                <w:sz w:val="24"/>
                <w:highlight w:val="none"/>
              </w:rPr>
            </w:pPr>
          </w:p>
        </w:tc>
      </w:tr>
      <w:tr w14:paraId="766C17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11C50E2E">
            <w:pPr>
              <w:rPr>
                <w:rFonts w:hint="eastAsia" w:ascii="宋体"/>
                <w:color w:val="auto"/>
                <w:sz w:val="24"/>
                <w:highlight w:val="none"/>
              </w:rPr>
            </w:pPr>
          </w:p>
        </w:tc>
        <w:tc>
          <w:tcPr>
            <w:tcW w:w="1418" w:type="dxa"/>
            <w:noWrap w:val="0"/>
            <w:vAlign w:val="top"/>
          </w:tcPr>
          <w:p w14:paraId="143BAD92">
            <w:pPr>
              <w:rPr>
                <w:rFonts w:hint="eastAsia" w:ascii="宋体"/>
                <w:color w:val="auto"/>
                <w:sz w:val="24"/>
                <w:highlight w:val="none"/>
              </w:rPr>
            </w:pPr>
          </w:p>
        </w:tc>
        <w:tc>
          <w:tcPr>
            <w:tcW w:w="850" w:type="dxa"/>
            <w:noWrap w:val="0"/>
            <w:vAlign w:val="top"/>
          </w:tcPr>
          <w:p w14:paraId="1938E32F">
            <w:pPr>
              <w:rPr>
                <w:rFonts w:hint="eastAsia" w:ascii="宋体"/>
                <w:color w:val="auto"/>
                <w:sz w:val="24"/>
                <w:highlight w:val="none"/>
              </w:rPr>
            </w:pPr>
          </w:p>
        </w:tc>
        <w:tc>
          <w:tcPr>
            <w:tcW w:w="1058" w:type="dxa"/>
            <w:noWrap w:val="0"/>
            <w:vAlign w:val="top"/>
          </w:tcPr>
          <w:p w14:paraId="2A533303">
            <w:pPr>
              <w:rPr>
                <w:rFonts w:hint="eastAsia" w:ascii="宋体"/>
                <w:color w:val="auto"/>
                <w:sz w:val="24"/>
                <w:highlight w:val="none"/>
              </w:rPr>
            </w:pPr>
          </w:p>
        </w:tc>
        <w:tc>
          <w:tcPr>
            <w:tcW w:w="880" w:type="dxa"/>
            <w:noWrap w:val="0"/>
            <w:vAlign w:val="top"/>
          </w:tcPr>
          <w:p w14:paraId="039C9F0E">
            <w:pPr>
              <w:rPr>
                <w:rFonts w:hint="eastAsia" w:ascii="宋体"/>
                <w:color w:val="auto"/>
                <w:sz w:val="24"/>
                <w:highlight w:val="none"/>
              </w:rPr>
            </w:pPr>
          </w:p>
        </w:tc>
        <w:tc>
          <w:tcPr>
            <w:tcW w:w="1020" w:type="dxa"/>
            <w:noWrap w:val="0"/>
            <w:vAlign w:val="top"/>
          </w:tcPr>
          <w:p w14:paraId="2278EE5C">
            <w:pPr>
              <w:rPr>
                <w:rFonts w:hint="eastAsia" w:ascii="宋体"/>
                <w:color w:val="auto"/>
                <w:sz w:val="24"/>
                <w:highlight w:val="none"/>
              </w:rPr>
            </w:pPr>
          </w:p>
        </w:tc>
        <w:tc>
          <w:tcPr>
            <w:tcW w:w="1480" w:type="dxa"/>
            <w:noWrap w:val="0"/>
            <w:vAlign w:val="top"/>
          </w:tcPr>
          <w:p w14:paraId="489395E7">
            <w:pPr>
              <w:rPr>
                <w:rFonts w:hint="eastAsia" w:ascii="宋体"/>
                <w:color w:val="auto"/>
                <w:sz w:val="24"/>
                <w:highlight w:val="none"/>
              </w:rPr>
            </w:pPr>
          </w:p>
        </w:tc>
        <w:tc>
          <w:tcPr>
            <w:tcW w:w="1020" w:type="dxa"/>
            <w:noWrap w:val="0"/>
            <w:vAlign w:val="top"/>
          </w:tcPr>
          <w:p w14:paraId="6D322849">
            <w:pPr>
              <w:rPr>
                <w:rFonts w:hint="eastAsia" w:ascii="宋体"/>
                <w:color w:val="auto"/>
                <w:sz w:val="24"/>
                <w:highlight w:val="none"/>
              </w:rPr>
            </w:pPr>
          </w:p>
        </w:tc>
        <w:tc>
          <w:tcPr>
            <w:tcW w:w="921" w:type="dxa"/>
            <w:noWrap w:val="0"/>
            <w:vAlign w:val="top"/>
          </w:tcPr>
          <w:p w14:paraId="31242309">
            <w:pPr>
              <w:rPr>
                <w:rFonts w:hint="eastAsia" w:ascii="宋体"/>
                <w:color w:val="auto"/>
                <w:sz w:val="24"/>
                <w:highlight w:val="none"/>
              </w:rPr>
            </w:pPr>
          </w:p>
        </w:tc>
      </w:tr>
      <w:tr w14:paraId="7A263A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1408E84A">
            <w:pPr>
              <w:keepNext/>
              <w:widowControl w:val="0"/>
              <w:spacing w:line="440" w:lineRule="exact"/>
              <w:ind w:left="63" w:right="63"/>
              <w:rPr>
                <w:rFonts w:hint="eastAsia" w:ascii="宋体"/>
                <w:color w:val="auto"/>
                <w:sz w:val="24"/>
                <w:highlight w:val="none"/>
              </w:rPr>
            </w:pPr>
          </w:p>
        </w:tc>
        <w:tc>
          <w:tcPr>
            <w:tcW w:w="1418" w:type="dxa"/>
            <w:noWrap w:val="0"/>
            <w:vAlign w:val="center"/>
          </w:tcPr>
          <w:p w14:paraId="76D58281">
            <w:pPr>
              <w:keepNext/>
              <w:widowControl w:val="0"/>
              <w:spacing w:line="440" w:lineRule="exact"/>
              <w:ind w:left="63" w:right="63"/>
              <w:rPr>
                <w:rFonts w:hint="eastAsia" w:ascii="宋体"/>
                <w:color w:val="auto"/>
                <w:sz w:val="24"/>
                <w:highlight w:val="none"/>
              </w:rPr>
            </w:pPr>
          </w:p>
        </w:tc>
        <w:tc>
          <w:tcPr>
            <w:tcW w:w="850" w:type="dxa"/>
            <w:noWrap w:val="0"/>
            <w:vAlign w:val="center"/>
          </w:tcPr>
          <w:p w14:paraId="51F7DC84">
            <w:pPr>
              <w:keepNext/>
              <w:widowControl w:val="0"/>
              <w:spacing w:line="440" w:lineRule="exact"/>
              <w:ind w:left="63" w:right="63"/>
              <w:rPr>
                <w:rFonts w:hint="eastAsia" w:ascii="宋体"/>
                <w:color w:val="auto"/>
                <w:sz w:val="24"/>
                <w:highlight w:val="none"/>
              </w:rPr>
            </w:pPr>
          </w:p>
        </w:tc>
        <w:tc>
          <w:tcPr>
            <w:tcW w:w="1058" w:type="dxa"/>
            <w:noWrap w:val="0"/>
            <w:vAlign w:val="center"/>
          </w:tcPr>
          <w:p w14:paraId="05523272">
            <w:pPr>
              <w:keepNext/>
              <w:widowControl w:val="0"/>
              <w:spacing w:line="440" w:lineRule="exact"/>
              <w:ind w:left="63" w:right="63"/>
              <w:rPr>
                <w:rFonts w:hint="eastAsia" w:ascii="宋体"/>
                <w:color w:val="auto"/>
                <w:sz w:val="24"/>
                <w:highlight w:val="none"/>
              </w:rPr>
            </w:pPr>
          </w:p>
        </w:tc>
        <w:tc>
          <w:tcPr>
            <w:tcW w:w="880" w:type="dxa"/>
            <w:noWrap w:val="0"/>
            <w:vAlign w:val="center"/>
          </w:tcPr>
          <w:p w14:paraId="2C4E9418">
            <w:pPr>
              <w:keepNext/>
              <w:widowControl w:val="0"/>
              <w:spacing w:line="440" w:lineRule="exact"/>
              <w:ind w:left="63" w:right="63"/>
              <w:rPr>
                <w:rFonts w:hint="eastAsia" w:ascii="宋体"/>
                <w:color w:val="auto"/>
                <w:sz w:val="24"/>
                <w:highlight w:val="none"/>
              </w:rPr>
            </w:pPr>
          </w:p>
        </w:tc>
        <w:tc>
          <w:tcPr>
            <w:tcW w:w="1020" w:type="dxa"/>
            <w:noWrap w:val="0"/>
            <w:vAlign w:val="center"/>
          </w:tcPr>
          <w:p w14:paraId="4B707CFD">
            <w:pPr>
              <w:keepNext/>
              <w:widowControl w:val="0"/>
              <w:spacing w:line="440" w:lineRule="exact"/>
              <w:ind w:left="63" w:right="63"/>
              <w:rPr>
                <w:rFonts w:hint="eastAsia" w:ascii="宋体"/>
                <w:color w:val="auto"/>
                <w:sz w:val="24"/>
                <w:highlight w:val="none"/>
              </w:rPr>
            </w:pPr>
          </w:p>
        </w:tc>
        <w:tc>
          <w:tcPr>
            <w:tcW w:w="1480" w:type="dxa"/>
            <w:noWrap w:val="0"/>
            <w:vAlign w:val="center"/>
          </w:tcPr>
          <w:p w14:paraId="0803340F">
            <w:pPr>
              <w:keepNext/>
              <w:widowControl w:val="0"/>
              <w:spacing w:line="440" w:lineRule="exact"/>
              <w:ind w:left="63" w:right="63"/>
              <w:rPr>
                <w:rFonts w:hint="eastAsia" w:ascii="宋体"/>
                <w:color w:val="auto"/>
                <w:sz w:val="24"/>
                <w:highlight w:val="none"/>
              </w:rPr>
            </w:pPr>
          </w:p>
        </w:tc>
        <w:tc>
          <w:tcPr>
            <w:tcW w:w="1020" w:type="dxa"/>
            <w:noWrap w:val="0"/>
            <w:vAlign w:val="center"/>
          </w:tcPr>
          <w:p w14:paraId="4A489E47">
            <w:pPr>
              <w:keepNext/>
              <w:widowControl w:val="0"/>
              <w:spacing w:line="440" w:lineRule="exact"/>
              <w:ind w:left="63" w:right="63"/>
              <w:rPr>
                <w:rFonts w:hint="eastAsia" w:ascii="宋体"/>
                <w:color w:val="auto"/>
                <w:sz w:val="24"/>
                <w:highlight w:val="none"/>
              </w:rPr>
            </w:pPr>
          </w:p>
        </w:tc>
        <w:tc>
          <w:tcPr>
            <w:tcW w:w="921" w:type="dxa"/>
            <w:noWrap w:val="0"/>
            <w:vAlign w:val="center"/>
          </w:tcPr>
          <w:p w14:paraId="7D2B6690">
            <w:pPr>
              <w:keepNext/>
              <w:widowControl w:val="0"/>
              <w:spacing w:line="440" w:lineRule="exact"/>
              <w:ind w:left="63" w:right="63"/>
              <w:rPr>
                <w:rFonts w:hint="eastAsia" w:ascii="宋体"/>
                <w:color w:val="auto"/>
                <w:sz w:val="24"/>
                <w:highlight w:val="none"/>
              </w:rPr>
            </w:pPr>
          </w:p>
        </w:tc>
      </w:tr>
      <w:tr w14:paraId="6EFCC2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4242E068">
            <w:pPr>
              <w:rPr>
                <w:rFonts w:hint="eastAsia" w:ascii="宋体"/>
                <w:color w:val="auto"/>
                <w:sz w:val="24"/>
                <w:highlight w:val="none"/>
              </w:rPr>
            </w:pPr>
          </w:p>
        </w:tc>
        <w:tc>
          <w:tcPr>
            <w:tcW w:w="1418" w:type="dxa"/>
            <w:noWrap w:val="0"/>
            <w:vAlign w:val="top"/>
          </w:tcPr>
          <w:p w14:paraId="0E6FE9FA">
            <w:pPr>
              <w:rPr>
                <w:rFonts w:hint="eastAsia" w:ascii="宋体"/>
                <w:color w:val="auto"/>
                <w:sz w:val="24"/>
                <w:highlight w:val="none"/>
              </w:rPr>
            </w:pPr>
          </w:p>
        </w:tc>
        <w:tc>
          <w:tcPr>
            <w:tcW w:w="850" w:type="dxa"/>
            <w:noWrap w:val="0"/>
            <w:vAlign w:val="top"/>
          </w:tcPr>
          <w:p w14:paraId="0E5BB922">
            <w:pPr>
              <w:rPr>
                <w:rFonts w:hint="eastAsia" w:ascii="宋体"/>
                <w:color w:val="auto"/>
                <w:sz w:val="24"/>
                <w:highlight w:val="none"/>
              </w:rPr>
            </w:pPr>
          </w:p>
        </w:tc>
        <w:tc>
          <w:tcPr>
            <w:tcW w:w="1058" w:type="dxa"/>
            <w:noWrap w:val="0"/>
            <w:vAlign w:val="top"/>
          </w:tcPr>
          <w:p w14:paraId="1201305B">
            <w:pPr>
              <w:rPr>
                <w:rFonts w:hint="eastAsia" w:ascii="宋体"/>
                <w:color w:val="auto"/>
                <w:sz w:val="24"/>
                <w:highlight w:val="none"/>
              </w:rPr>
            </w:pPr>
          </w:p>
        </w:tc>
        <w:tc>
          <w:tcPr>
            <w:tcW w:w="880" w:type="dxa"/>
            <w:noWrap w:val="0"/>
            <w:vAlign w:val="top"/>
          </w:tcPr>
          <w:p w14:paraId="650B4F69">
            <w:pPr>
              <w:rPr>
                <w:rFonts w:hint="eastAsia" w:ascii="宋体"/>
                <w:color w:val="auto"/>
                <w:sz w:val="24"/>
                <w:highlight w:val="none"/>
              </w:rPr>
            </w:pPr>
          </w:p>
        </w:tc>
        <w:tc>
          <w:tcPr>
            <w:tcW w:w="1020" w:type="dxa"/>
            <w:noWrap w:val="0"/>
            <w:vAlign w:val="top"/>
          </w:tcPr>
          <w:p w14:paraId="4329F3C8">
            <w:pPr>
              <w:rPr>
                <w:rFonts w:hint="eastAsia" w:ascii="宋体"/>
                <w:color w:val="auto"/>
                <w:sz w:val="24"/>
                <w:highlight w:val="none"/>
              </w:rPr>
            </w:pPr>
          </w:p>
        </w:tc>
        <w:tc>
          <w:tcPr>
            <w:tcW w:w="1480" w:type="dxa"/>
            <w:noWrap w:val="0"/>
            <w:vAlign w:val="top"/>
          </w:tcPr>
          <w:p w14:paraId="68BFF997">
            <w:pPr>
              <w:rPr>
                <w:rFonts w:hint="eastAsia" w:ascii="宋体"/>
                <w:color w:val="auto"/>
                <w:sz w:val="24"/>
                <w:highlight w:val="none"/>
              </w:rPr>
            </w:pPr>
          </w:p>
        </w:tc>
        <w:tc>
          <w:tcPr>
            <w:tcW w:w="1020" w:type="dxa"/>
            <w:noWrap w:val="0"/>
            <w:vAlign w:val="top"/>
          </w:tcPr>
          <w:p w14:paraId="3605CD6A">
            <w:pPr>
              <w:rPr>
                <w:rFonts w:hint="eastAsia" w:ascii="宋体"/>
                <w:color w:val="auto"/>
                <w:sz w:val="24"/>
                <w:highlight w:val="none"/>
              </w:rPr>
            </w:pPr>
          </w:p>
        </w:tc>
        <w:tc>
          <w:tcPr>
            <w:tcW w:w="921" w:type="dxa"/>
            <w:noWrap w:val="0"/>
            <w:vAlign w:val="top"/>
          </w:tcPr>
          <w:p w14:paraId="72E76CF1">
            <w:pPr>
              <w:rPr>
                <w:rFonts w:hint="eastAsia" w:ascii="宋体"/>
                <w:color w:val="auto"/>
                <w:sz w:val="24"/>
                <w:highlight w:val="none"/>
              </w:rPr>
            </w:pPr>
          </w:p>
        </w:tc>
      </w:tr>
      <w:tr w14:paraId="34BD4C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1C970433">
            <w:pPr>
              <w:rPr>
                <w:rFonts w:hint="eastAsia" w:ascii="宋体"/>
                <w:color w:val="auto"/>
                <w:sz w:val="24"/>
                <w:highlight w:val="none"/>
              </w:rPr>
            </w:pPr>
          </w:p>
        </w:tc>
        <w:tc>
          <w:tcPr>
            <w:tcW w:w="1418" w:type="dxa"/>
            <w:noWrap w:val="0"/>
            <w:vAlign w:val="top"/>
          </w:tcPr>
          <w:p w14:paraId="18A1DEE3">
            <w:pPr>
              <w:rPr>
                <w:rFonts w:hint="eastAsia" w:ascii="宋体"/>
                <w:color w:val="auto"/>
                <w:sz w:val="24"/>
                <w:highlight w:val="none"/>
              </w:rPr>
            </w:pPr>
          </w:p>
        </w:tc>
        <w:tc>
          <w:tcPr>
            <w:tcW w:w="850" w:type="dxa"/>
            <w:noWrap w:val="0"/>
            <w:vAlign w:val="top"/>
          </w:tcPr>
          <w:p w14:paraId="244F7055">
            <w:pPr>
              <w:rPr>
                <w:rFonts w:hint="eastAsia" w:ascii="宋体"/>
                <w:color w:val="auto"/>
                <w:sz w:val="24"/>
                <w:highlight w:val="none"/>
              </w:rPr>
            </w:pPr>
          </w:p>
        </w:tc>
        <w:tc>
          <w:tcPr>
            <w:tcW w:w="1058" w:type="dxa"/>
            <w:noWrap w:val="0"/>
            <w:vAlign w:val="top"/>
          </w:tcPr>
          <w:p w14:paraId="4D06C7F0">
            <w:pPr>
              <w:rPr>
                <w:rFonts w:hint="eastAsia" w:ascii="宋体"/>
                <w:color w:val="auto"/>
                <w:sz w:val="24"/>
                <w:highlight w:val="none"/>
              </w:rPr>
            </w:pPr>
          </w:p>
        </w:tc>
        <w:tc>
          <w:tcPr>
            <w:tcW w:w="880" w:type="dxa"/>
            <w:noWrap w:val="0"/>
            <w:vAlign w:val="top"/>
          </w:tcPr>
          <w:p w14:paraId="40EBC7C5">
            <w:pPr>
              <w:rPr>
                <w:rFonts w:hint="eastAsia" w:ascii="宋体"/>
                <w:color w:val="auto"/>
                <w:sz w:val="24"/>
                <w:highlight w:val="none"/>
              </w:rPr>
            </w:pPr>
          </w:p>
        </w:tc>
        <w:tc>
          <w:tcPr>
            <w:tcW w:w="1020" w:type="dxa"/>
            <w:noWrap w:val="0"/>
            <w:vAlign w:val="top"/>
          </w:tcPr>
          <w:p w14:paraId="35220AD5">
            <w:pPr>
              <w:rPr>
                <w:rFonts w:hint="eastAsia" w:ascii="宋体"/>
                <w:color w:val="auto"/>
                <w:sz w:val="24"/>
                <w:highlight w:val="none"/>
              </w:rPr>
            </w:pPr>
          </w:p>
        </w:tc>
        <w:tc>
          <w:tcPr>
            <w:tcW w:w="1480" w:type="dxa"/>
            <w:noWrap w:val="0"/>
            <w:vAlign w:val="top"/>
          </w:tcPr>
          <w:p w14:paraId="3A81B72B">
            <w:pPr>
              <w:rPr>
                <w:rFonts w:hint="eastAsia" w:ascii="宋体"/>
                <w:color w:val="auto"/>
                <w:sz w:val="24"/>
                <w:highlight w:val="none"/>
              </w:rPr>
            </w:pPr>
          </w:p>
        </w:tc>
        <w:tc>
          <w:tcPr>
            <w:tcW w:w="1020" w:type="dxa"/>
            <w:noWrap w:val="0"/>
            <w:vAlign w:val="top"/>
          </w:tcPr>
          <w:p w14:paraId="20EACA89">
            <w:pPr>
              <w:rPr>
                <w:rFonts w:hint="eastAsia" w:ascii="宋体"/>
                <w:color w:val="auto"/>
                <w:sz w:val="24"/>
                <w:highlight w:val="none"/>
              </w:rPr>
            </w:pPr>
          </w:p>
        </w:tc>
        <w:tc>
          <w:tcPr>
            <w:tcW w:w="921" w:type="dxa"/>
            <w:noWrap w:val="0"/>
            <w:vAlign w:val="top"/>
          </w:tcPr>
          <w:p w14:paraId="21A8360C">
            <w:pPr>
              <w:rPr>
                <w:rFonts w:hint="eastAsia" w:ascii="宋体"/>
                <w:color w:val="auto"/>
                <w:sz w:val="24"/>
                <w:highlight w:val="none"/>
              </w:rPr>
            </w:pPr>
          </w:p>
        </w:tc>
      </w:tr>
      <w:tr w14:paraId="109916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13D53EC3">
            <w:pPr>
              <w:rPr>
                <w:rFonts w:hint="eastAsia" w:ascii="宋体"/>
                <w:color w:val="auto"/>
                <w:sz w:val="24"/>
                <w:highlight w:val="none"/>
              </w:rPr>
            </w:pPr>
          </w:p>
        </w:tc>
        <w:tc>
          <w:tcPr>
            <w:tcW w:w="1418" w:type="dxa"/>
            <w:noWrap w:val="0"/>
            <w:vAlign w:val="top"/>
          </w:tcPr>
          <w:p w14:paraId="692E89F7">
            <w:pPr>
              <w:rPr>
                <w:rFonts w:hint="eastAsia" w:ascii="宋体"/>
                <w:color w:val="auto"/>
                <w:sz w:val="24"/>
                <w:highlight w:val="none"/>
              </w:rPr>
            </w:pPr>
          </w:p>
        </w:tc>
        <w:tc>
          <w:tcPr>
            <w:tcW w:w="850" w:type="dxa"/>
            <w:noWrap w:val="0"/>
            <w:vAlign w:val="top"/>
          </w:tcPr>
          <w:p w14:paraId="36F85D55">
            <w:pPr>
              <w:rPr>
                <w:rFonts w:hint="eastAsia" w:ascii="宋体"/>
                <w:color w:val="auto"/>
                <w:sz w:val="24"/>
                <w:highlight w:val="none"/>
              </w:rPr>
            </w:pPr>
          </w:p>
        </w:tc>
        <w:tc>
          <w:tcPr>
            <w:tcW w:w="1058" w:type="dxa"/>
            <w:noWrap w:val="0"/>
            <w:vAlign w:val="top"/>
          </w:tcPr>
          <w:p w14:paraId="62708BB8">
            <w:pPr>
              <w:rPr>
                <w:rFonts w:hint="eastAsia" w:ascii="宋体"/>
                <w:color w:val="auto"/>
                <w:sz w:val="24"/>
                <w:highlight w:val="none"/>
              </w:rPr>
            </w:pPr>
          </w:p>
        </w:tc>
        <w:tc>
          <w:tcPr>
            <w:tcW w:w="880" w:type="dxa"/>
            <w:noWrap w:val="0"/>
            <w:vAlign w:val="top"/>
          </w:tcPr>
          <w:p w14:paraId="0D94D56E">
            <w:pPr>
              <w:rPr>
                <w:rFonts w:hint="eastAsia" w:ascii="宋体"/>
                <w:color w:val="auto"/>
                <w:sz w:val="24"/>
                <w:highlight w:val="none"/>
              </w:rPr>
            </w:pPr>
          </w:p>
        </w:tc>
        <w:tc>
          <w:tcPr>
            <w:tcW w:w="1020" w:type="dxa"/>
            <w:noWrap w:val="0"/>
            <w:vAlign w:val="top"/>
          </w:tcPr>
          <w:p w14:paraId="12C87F47">
            <w:pPr>
              <w:rPr>
                <w:rFonts w:hint="eastAsia" w:ascii="宋体"/>
                <w:color w:val="auto"/>
                <w:sz w:val="24"/>
                <w:highlight w:val="none"/>
              </w:rPr>
            </w:pPr>
          </w:p>
        </w:tc>
        <w:tc>
          <w:tcPr>
            <w:tcW w:w="1480" w:type="dxa"/>
            <w:noWrap w:val="0"/>
            <w:vAlign w:val="top"/>
          </w:tcPr>
          <w:p w14:paraId="0365B1D2">
            <w:pPr>
              <w:rPr>
                <w:rFonts w:hint="eastAsia" w:ascii="宋体"/>
                <w:color w:val="auto"/>
                <w:sz w:val="24"/>
                <w:highlight w:val="none"/>
              </w:rPr>
            </w:pPr>
          </w:p>
        </w:tc>
        <w:tc>
          <w:tcPr>
            <w:tcW w:w="1020" w:type="dxa"/>
            <w:noWrap w:val="0"/>
            <w:vAlign w:val="top"/>
          </w:tcPr>
          <w:p w14:paraId="1732B37F">
            <w:pPr>
              <w:rPr>
                <w:rFonts w:hint="eastAsia" w:ascii="宋体"/>
                <w:color w:val="auto"/>
                <w:sz w:val="24"/>
                <w:highlight w:val="none"/>
              </w:rPr>
            </w:pPr>
          </w:p>
        </w:tc>
        <w:tc>
          <w:tcPr>
            <w:tcW w:w="921" w:type="dxa"/>
            <w:noWrap w:val="0"/>
            <w:vAlign w:val="top"/>
          </w:tcPr>
          <w:p w14:paraId="59E0CC25">
            <w:pPr>
              <w:rPr>
                <w:rFonts w:hint="eastAsia" w:ascii="宋体"/>
                <w:color w:val="auto"/>
                <w:sz w:val="24"/>
                <w:highlight w:val="none"/>
              </w:rPr>
            </w:pPr>
          </w:p>
        </w:tc>
      </w:tr>
      <w:tr w14:paraId="36C03BA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2B7EA34E">
            <w:pPr>
              <w:rPr>
                <w:rFonts w:hint="eastAsia" w:ascii="宋体"/>
                <w:color w:val="auto"/>
                <w:sz w:val="24"/>
                <w:highlight w:val="none"/>
              </w:rPr>
            </w:pPr>
          </w:p>
        </w:tc>
        <w:tc>
          <w:tcPr>
            <w:tcW w:w="1418" w:type="dxa"/>
            <w:noWrap w:val="0"/>
            <w:vAlign w:val="top"/>
          </w:tcPr>
          <w:p w14:paraId="2D7FAF1D">
            <w:pPr>
              <w:rPr>
                <w:rFonts w:hint="eastAsia" w:ascii="宋体"/>
                <w:color w:val="auto"/>
                <w:sz w:val="24"/>
                <w:highlight w:val="none"/>
              </w:rPr>
            </w:pPr>
          </w:p>
        </w:tc>
        <w:tc>
          <w:tcPr>
            <w:tcW w:w="850" w:type="dxa"/>
            <w:noWrap w:val="0"/>
            <w:vAlign w:val="top"/>
          </w:tcPr>
          <w:p w14:paraId="74DE7F24">
            <w:pPr>
              <w:rPr>
                <w:rFonts w:hint="eastAsia" w:ascii="宋体"/>
                <w:color w:val="auto"/>
                <w:sz w:val="24"/>
                <w:highlight w:val="none"/>
              </w:rPr>
            </w:pPr>
          </w:p>
        </w:tc>
        <w:tc>
          <w:tcPr>
            <w:tcW w:w="1058" w:type="dxa"/>
            <w:noWrap w:val="0"/>
            <w:vAlign w:val="top"/>
          </w:tcPr>
          <w:p w14:paraId="56FD9859">
            <w:pPr>
              <w:rPr>
                <w:rFonts w:hint="eastAsia" w:ascii="宋体"/>
                <w:color w:val="auto"/>
                <w:sz w:val="24"/>
                <w:highlight w:val="none"/>
              </w:rPr>
            </w:pPr>
          </w:p>
        </w:tc>
        <w:tc>
          <w:tcPr>
            <w:tcW w:w="880" w:type="dxa"/>
            <w:noWrap w:val="0"/>
            <w:vAlign w:val="top"/>
          </w:tcPr>
          <w:p w14:paraId="0E1A9095">
            <w:pPr>
              <w:rPr>
                <w:rFonts w:hint="eastAsia" w:ascii="宋体"/>
                <w:color w:val="auto"/>
                <w:sz w:val="24"/>
                <w:highlight w:val="none"/>
              </w:rPr>
            </w:pPr>
          </w:p>
        </w:tc>
        <w:tc>
          <w:tcPr>
            <w:tcW w:w="1020" w:type="dxa"/>
            <w:noWrap w:val="0"/>
            <w:vAlign w:val="top"/>
          </w:tcPr>
          <w:p w14:paraId="28EF7E1C">
            <w:pPr>
              <w:rPr>
                <w:rFonts w:hint="eastAsia" w:ascii="宋体"/>
                <w:color w:val="auto"/>
                <w:sz w:val="24"/>
                <w:highlight w:val="none"/>
              </w:rPr>
            </w:pPr>
          </w:p>
        </w:tc>
        <w:tc>
          <w:tcPr>
            <w:tcW w:w="1480" w:type="dxa"/>
            <w:noWrap w:val="0"/>
            <w:vAlign w:val="top"/>
          </w:tcPr>
          <w:p w14:paraId="6A2933FD">
            <w:pPr>
              <w:rPr>
                <w:rFonts w:hint="eastAsia" w:ascii="宋体"/>
                <w:color w:val="auto"/>
                <w:sz w:val="24"/>
                <w:highlight w:val="none"/>
              </w:rPr>
            </w:pPr>
          </w:p>
        </w:tc>
        <w:tc>
          <w:tcPr>
            <w:tcW w:w="1020" w:type="dxa"/>
            <w:noWrap w:val="0"/>
            <w:vAlign w:val="top"/>
          </w:tcPr>
          <w:p w14:paraId="77CF6E04">
            <w:pPr>
              <w:rPr>
                <w:rFonts w:hint="eastAsia" w:ascii="宋体"/>
                <w:color w:val="auto"/>
                <w:sz w:val="24"/>
                <w:highlight w:val="none"/>
              </w:rPr>
            </w:pPr>
          </w:p>
        </w:tc>
        <w:tc>
          <w:tcPr>
            <w:tcW w:w="921" w:type="dxa"/>
            <w:noWrap w:val="0"/>
            <w:vAlign w:val="top"/>
          </w:tcPr>
          <w:p w14:paraId="1C5AD153">
            <w:pPr>
              <w:rPr>
                <w:rFonts w:hint="eastAsia" w:ascii="宋体"/>
                <w:color w:val="auto"/>
                <w:sz w:val="24"/>
                <w:highlight w:val="none"/>
              </w:rPr>
            </w:pPr>
          </w:p>
        </w:tc>
      </w:tr>
      <w:tr w14:paraId="170C1B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7E6C97A9">
            <w:pPr>
              <w:rPr>
                <w:rFonts w:hint="eastAsia" w:ascii="宋体"/>
                <w:color w:val="auto"/>
                <w:sz w:val="24"/>
                <w:highlight w:val="none"/>
              </w:rPr>
            </w:pPr>
          </w:p>
        </w:tc>
        <w:tc>
          <w:tcPr>
            <w:tcW w:w="1418" w:type="dxa"/>
            <w:noWrap w:val="0"/>
            <w:vAlign w:val="top"/>
          </w:tcPr>
          <w:p w14:paraId="50BFFF85">
            <w:pPr>
              <w:rPr>
                <w:rFonts w:hint="eastAsia" w:ascii="宋体"/>
                <w:color w:val="auto"/>
                <w:sz w:val="24"/>
                <w:highlight w:val="none"/>
              </w:rPr>
            </w:pPr>
          </w:p>
        </w:tc>
        <w:tc>
          <w:tcPr>
            <w:tcW w:w="850" w:type="dxa"/>
            <w:noWrap w:val="0"/>
            <w:vAlign w:val="top"/>
          </w:tcPr>
          <w:p w14:paraId="61D80310">
            <w:pPr>
              <w:rPr>
                <w:rFonts w:hint="eastAsia" w:ascii="宋体"/>
                <w:color w:val="auto"/>
                <w:sz w:val="24"/>
                <w:highlight w:val="none"/>
              </w:rPr>
            </w:pPr>
          </w:p>
        </w:tc>
        <w:tc>
          <w:tcPr>
            <w:tcW w:w="1058" w:type="dxa"/>
            <w:noWrap w:val="0"/>
            <w:vAlign w:val="top"/>
          </w:tcPr>
          <w:p w14:paraId="317ECA57">
            <w:pPr>
              <w:rPr>
                <w:rFonts w:hint="eastAsia" w:ascii="宋体"/>
                <w:color w:val="auto"/>
                <w:sz w:val="24"/>
                <w:highlight w:val="none"/>
              </w:rPr>
            </w:pPr>
          </w:p>
        </w:tc>
        <w:tc>
          <w:tcPr>
            <w:tcW w:w="880" w:type="dxa"/>
            <w:noWrap w:val="0"/>
            <w:vAlign w:val="top"/>
          </w:tcPr>
          <w:p w14:paraId="536032DF">
            <w:pPr>
              <w:rPr>
                <w:rFonts w:hint="eastAsia" w:ascii="宋体"/>
                <w:color w:val="auto"/>
                <w:sz w:val="24"/>
                <w:highlight w:val="none"/>
              </w:rPr>
            </w:pPr>
          </w:p>
        </w:tc>
        <w:tc>
          <w:tcPr>
            <w:tcW w:w="1020" w:type="dxa"/>
            <w:noWrap w:val="0"/>
            <w:vAlign w:val="top"/>
          </w:tcPr>
          <w:p w14:paraId="3406F9A0">
            <w:pPr>
              <w:rPr>
                <w:rFonts w:hint="eastAsia" w:ascii="宋体"/>
                <w:color w:val="auto"/>
                <w:sz w:val="24"/>
                <w:highlight w:val="none"/>
              </w:rPr>
            </w:pPr>
          </w:p>
        </w:tc>
        <w:tc>
          <w:tcPr>
            <w:tcW w:w="1480" w:type="dxa"/>
            <w:noWrap w:val="0"/>
            <w:vAlign w:val="top"/>
          </w:tcPr>
          <w:p w14:paraId="4C1C78EB">
            <w:pPr>
              <w:rPr>
                <w:rFonts w:hint="eastAsia" w:ascii="宋体"/>
                <w:color w:val="auto"/>
                <w:sz w:val="24"/>
                <w:highlight w:val="none"/>
              </w:rPr>
            </w:pPr>
          </w:p>
        </w:tc>
        <w:tc>
          <w:tcPr>
            <w:tcW w:w="1020" w:type="dxa"/>
            <w:noWrap w:val="0"/>
            <w:vAlign w:val="top"/>
          </w:tcPr>
          <w:p w14:paraId="1C2F4C5E">
            <w:pPr>
              <w:rPr>
                <w:rFonts w:hint="eastAsia" w:ascii="宋体"/>
                <w:color w:val="auto"/>
                <w:sz w:val="24"/>
                <w:highlight w:val="none"/>
              </w:rPr>
            </w:pPr>
          </w:p>
        </w:tc>
        <w:tc>
          <w:tcPr>
            <w:tcW w:w="921" w:type="dxa"/>
            <w:noWrap w:val="0"/>
            <w:vAlign w:val="top"/>
          </w:tcPr>
          <w:p w14:paraId="03838E46">
            <w:pPr>
              <w:rPr>
                <w:rFonts w:hint="eastAsia" w:ascii="宋体"/>
                <w:color w:val="auto"/>
                <w:sz w:val="24"/>
                <w:highlight w:val="none"/>
              </w:rPr>
            </w:pPr>
          </w:p>
        </w:tc>
      </w:tr>
      <w:tr w14:paraId="1111B7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53D9D106">
            <w:pPr>
              <w:rPr>
                <w:rFonts w:hint="eastAsia" w:ascii="宋体"/>
                <w:color w:val="auto"/>
                <w:sz w:val="24"/>
                <w:highlight w:val="none"/>
              </w:rPr>
            </w:pPr>
          </w:p>
        </w:tc>
        <w:tc>
          <w:tcPr>
            <w:tcW w:w="1418" w:type="dxa"/>
            <w:noWrap w:val="0"/>
            <w:vAlign w:val="top"/>
          </w:tcPr>
          <w:p w14:paraId="553BE61E">
            <w:pPr>
              <w:rPr>
                <w:rFonts w:hint="eastAsia" w:ascii="宋体"/>
                <w:color w:val="auto"/>
                <w:sz w:val="24"/>
                <w:highlight w:val="none"/>
              </w:rPr>
            </w:pPr>
          </w:p>
        </w:tc>
        <w:tc>
          <w:tcPr>
            <w:tcW w:w="850" w:type="dxa"/>
            <w:noWrap w:val="0"/>
            <w:vAlign w:val="top"/>
          </w:tcPr>
          <w:p w14:paraId="5040A8F8">
            <w:pPr>
              <w:rPr>
                <w:rFonts w:hint="eastAsia" w:ascii="宋体"/>
                <w:color w:val="auto"/>
                <w:sz w:val="24"/>
                <w:highlight w:val="none"/>
              </w:rPr>
            </w:pPr>
          </w:p>
        </w:tc>
        <w:tc>
          <w:tcPr>
            <w:tcW w:w="1058" w:type="dxa"/>
            <w:noWrap w:val="0"/>
            <w:vAlign w:val="top"/>
          </w:tcPr>
          <w:p w14:paraId="58174DFB">
            <w:pPr>
              <w:rPr>
                <w:rFonts w:hint="eastAsia" w:ascii="宋体"/>
                <w:color w:val="auto"/>
                <w:sz w:val="24"/>
                <w:highlight w:val="none"/>
              </w:rPr>
            </w:pPr>
          </w:p>
        </w:tc>
        <w:tc>
          <w:tcPr>
            <w:tcW w:w="880" w:type="dxa"/>
            <w:noWrap w:val="0"/>
            <w:vAlign w:val="top"/>
          </w:tcPr>
          <w:p w14:paraId="4AC0AAC6">
            <w:pPr>
              <w:rPr>
                <w:rFonts w:hint="eastAsia" w:ascii="宋体"/>
                <w:color w:val="auto"/>
                <w:sz w:val="24"/>
                <w:highlight w:val="none"/>
              </w:rPr>
            </w:pPr>
          </w:p>
        </w:tc>
        <w:tc>
          <w:tcPr>
            <w:tcW w:w="1020" w:type="dxa"/>
            <w:noWrap w:val="0"/>
            <w:vAlign w:val="top"/>
          </w:tcPr>
          <w:p w14:paraId="5ED0A425">
            <w:pPr>
              <w:rPr>
                <w:rFonts w:hint="eastAsia" w:ascii="宋体"/>
                <w:color w:val="auto"/>
                <w:sz w:val="24"/>
                <w:highlight w:val="none"/>
              </w:rPr>
            </w:pPr>
          </w:p>
        </w:tc>
        <w:tc>
          <w:tcPr>
            <w:tcW w:w="1480" w:type="dxa"/>
            <w:noWrap w:val="0"/>
            <w:vAlign w:val="top"/>
          </w:tcPr>
          <w:p w14:paraId="291FA05B">
            <w:pPr>
              <w:rPr>
                <w:rFonts w:hint="eastAsia" w:ascii="宋体"/>
                <w:color w:val="auto"/>
                <w:sz w:val="24"/>
                <w:highlight w:val="none"/>
              </w:rPr>
            </w:pPr>
          </w:p>
        </w:tc>
        <w:tc>
          <w:tcPr>
            <w:tcW w:w="1020" w:type="dxa"/>
            <w:noWrap w:val="0"/>
            <w:vAlign w:val="top"/>
          </w:tcPr>
          <w:p w14:paraId="6C536452">
            <w:pPr>
              <w:rPr>
                <w:rFonts w:hint="eastAsia" w:ascii="宋体"/>
                <w:color w:val="auto"/>
                <w:sz w:val="24"/>
                <w:highlight w:val="none"/>
              </w:rPr>
            </w:pPr>
          </w:p>
        </w:tc>
        <w:tc>
          <w:tcPr>
            <w:tcW w:w="921" w:type="dxa"/>
            <w:noWrap w:val="0"/>
            <w:vAlign w:val="top"/>
          </w:tcPr>
          <w:p w14:paraId="790DF3DD">
            <w:pPr>
              <w:rPr>
                <w:rFonts w:hint="eastAsia" w:ascii="宋体"/>
                <w:color w:val="auto"/>
                <w:sz w:val="24"/>
                <w:highlight w:val="none"/>
              </w:rPr>
            </w:pPr>
          </w:p>
        </w:tc>
      </w:tr>
      <w:tr w14:paraId="3091EF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3CD33831">
            <w:pPr>
              <w:rPr>
                <w:rFonts w:hint="eastAsia" w:ascii="宋体"/>
                <w:color w:val="auto"/>
                <w:sz w:val="24"/>
                <w:highlight w:val="none"/>
              </w:rPr>
            </w:pPr>
          </w:p>
        </w:tc>
        <w:tc>
          <w:tcPr>
            <w:tcW w:w="1418" w:type="dxa"/>
            <w:noWrap w:val="0"/>
            <w:vAlign w:val="top"/>
          </w:tcPr>
          <w:p w14:paraId="16456A81">
            <w:pPr>
              <w:rPr>
                <w:rFonts w:hint="eastAsia" w:ascii="宋体"/>
                <w:color w:val="auto"/>
                <w:sz w:val="24"/>
                <w:highlight w:val="none"/>
              </w:rPr>
            </w:pPr>
          </w:p>
        </w:tc>
        <w:tc>
          <w:tcPr>
            <w:tcW w:w="850" w:type="dxa"/>
            <w:noWrap w:val="0"/>
            <w:vAlign w:val="top"/>
          </w:tcPr>
          <w:p w14:paraId="5D573C9F">
            <w:pPr>
              <w:rPr>
                <w:rFonts w:hint="eastAsia" w:ascii="宋体"/>
                <w:color w:val="auto"/>
                <w:sz w:val="24"/>
                <w:highlight w:val="none"/>
              </w:rPr>
            </w:pPr>
          </w:p>
        </w:tc>
        <w:tc>
          <w:tcPr>
            <w:tcW w:w="1058" w:type="dxa"/>
            <w:noWrap w:val="0"/>
            <w:vAlign w:val="top"/>
          </w:tcPr>
          <w:p w14:paraId="53BB3118">
            <w:pPr>
              <w:rPr>
                <w:rFonts w:hint="eastAsia" w:ascii="宋体"/>
                <w:color w:val="auto"/>
                <w:sz w:val="24"/>
                <w:highlight w:val="none"/>
              </w:rPr>
            </w:pPr>
          </w:p>
        </w:tc>
        <w:tc>
          <w:tcPr>
            <w:tcW w:w="880" w:type="dxa"/>
            <w:noWrap w:val="0"/>
            <w:vAlign w:val="top"/>
          </w:tcPr>
          <w:p w14:paraId="169B0BAC">
            <w:pPr>
              <w:rPr>
                <w:rFonts w:hint="eastAsia" w:ascii="宋体"/>
                <w:color w:val="auto"/>
                <w:sz w:val="24"/>
                <w:highlight w:val="none"/>
              </w:rPr>
            </w:pPr>
          </w:p>
        </w:tc>
        <w:tc>
          <w:tcPr>
            <w:tcW w:w="1020" w:type="dxa"/>
            <w:noWrap w:val="0"/>
            <w:vAlign w:val="top"/>
          </w:tcPr>
          <w:p w14:paraId="21D1A961">
            <w:pPr>
              <w:rPr>
                <w:rFonts w:hint="eastAsia" w:ascii="宋体"/>
                <w:color w:val="auto"/>
                <w:sz w:val="24"/>
                <w:highlight w:val="none"/>
              </w:rPr>
            </w:pPr>
          </w:p>
        </w:tc>
        <w:tc>
          <w:tcPr>
            <w:tcW w:w="1480" w:type="dxa"/>
            <w:noWrap w:val="0"/>
            <w:vAlign w:val="top"/>
          </w:tcPr>
          <w:p w14:paraId="01572B33">
            <w:pPr>
              <w:rPr>
                <w:rFonts w:hint="eastAsia" w:ascii="宋体"/>
                <w:color w:val="auto"/>
                <w:sz w:val="24"/>
                <w:highlight w:val="none"/>
              </w:rPr>
            </w:pPr>
          </w:p>
        </w:tc>
        <w:tc>
          <w:tcPr>
            <w:tcW w:w="1020" w:type="dxa"/>
            <w:noWrap w:val="0"/>
            <w:vAlign w:val="top"/>
          </w:tcPr>
          <w:p w14:paraId="0BC6A7FA">
            <w:pPr>
              <w:rPr>
                <w:rFonts w:hint="eastAsia" w:ascii="宋体"/>
                <w:color w:val="auto"/>
                <w:sz w:val="24"/>
                <w:highlight w:val="none"/>
              </w:rPr>
            </w:pPr>
          </w:p>
        </w:tc>
        <w:tc>
          <w:tcPr>
            <w:tcW w:w="921" w:type="dxa"/>
            <w:noWrap w:val="0"/>
            <w:vAlign w:val="top"/>
          </w:tcPr>
          <w:p w14:paraId="081A2D06">
            <w:pPr>
              <w:rPr>
                <w:rFonts w:hint="eastAsia" w:ascii="宋体"/>
                <w:color w:val="auto"/>
                <w:sz w:val="24"/>
                <w:highlight w:val="none"/>
              </w:rPr>
            </w:pPr>
          </w:p>
        </w:tc>
      </w:tr>
      <w:tr w14:paraId="6DB9F9F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45092512">
            <w:pPr>
              <w:rPr>
                <w:rFonts w:hint="eastAsia" w:ascii="宋体"/>
                <w:color w:val="auto"/>
                <w:sz w:val="24"/>
                <w:highlight w:val="none"/>
              </w:rPr>
            </w:pPr>
          </w:p>
        </w:tc>
        <w:tc>
          <w:tcPr>
            <w:tcW w:w="1418" w:type="dxa"/>
            <w:noWrap w:val="0"/>
            <w:vAlign w:val="top"/>
          </w:tcPr>
          <w:p w14:paraId="4BEFEA10">
            <w:pPr>
              <w:rPr>
                <w:rFonts w:hint="eastAsia" w:ascii="宋体"/>
                <w:color w:val="auto"/>
                <w:sz w:val="24"/>
                <w:highlight w:val="none"/>
              </w:rPr>
            </w:pPr>
          </w:p>
        </w:tc>
        <w:tc>
          <w:tcPr>
            <w:tcW w:w="850" w:type="dxa"/>
            <w:noWrap w:val="0"/>
            <w:vAlign w:val="top"/>
          </w:tcPr>
          <w:p w14:paraId="0C7FDA30">
            <w:pPr>
              <w:rPr>
                <w:rFonts w:hint="eastAsia" w:ascii="宋体"/>
                <w:color w:val="auto"/>
                <w:sz w:val="24"/>
                <w:highlight w:val="none"/>
              </w:rPr>
            </w:pPr>
          </w:p>
        </w:tc>
        <w:tc>
          <w:tcPr>
            <w:tcW w:w="1058" w:type="dxa"/>
            <w:noWrap w:val="0"/>
            <w:vAlign w:val="top"/>
          </w:tcPr>
          <w:p w14:paraId="185F49F2">
            <w:pPr>
              <w:rPr>
                <w:rFonts w:hint="eastAsia" w:ascii="宋体"/>
                <w:color w:val="auto"/>
                <w:sz w:val="24"/>
                <w:highlight w:val="none"/>
              </w:rPr>
            </w:pPr>
          </w:p>
        </w:tc>
        <w:tc>
          <w:tcPr>
            <w:tcW w:w="880" w:type="dxa"/>
            <w:noWrap w:val="0"/>
            <w:vAlign w:val="top"/>
          </w:tcPr>
          <w:p w14:paraId="32C760DF">
            <w:pPr>
              <w:rPr>
                <w:rFonts w:hint="eastAsia" w:ascii="宋体"/>
                <w:color w:val="auto"/>
                <w:sz w:val="24"/>
                <w:highlight w:val="none"/>
              </w:rPr>
            </w:pPr>
          </w:p>
        </w:tc>
        <w:tc>
          <w:tcPr>
            <w:tcW w:w="1020" w:type="dxa"/>
            <w:noWrap w:val="0"/>
            <w:vAlign w:val="top"/>
          </w:tcPr>
          <w:p w14:paraId="1E451514">
            <w:pPr>
              <w:rPr>
                <w:rFonts w:hint="eastAsia" w:ascii="宋体"/>
                <w:color w:val="auto"/>
                <w:sz w:val="24"/>
                <w:highlight w:val="none"/>
              </w:rPr>
            </w:pPr>
          </w:p>
        </w:tc>
        <w:tc>
          <w:tcPr>
            <w:tcW w:w="1480" w:type="dxa"/>
            <w:noWrap w:val="0"/>
            <w:vAlign w:val="top"/>
          </w:tcPr>
          <w:p w14:paraId="6D0ACA63">
            <w:pPr>
              <w:rPr>
                <w:rFonts w:hint="eastAsia" w:ascii="宋体"/>
                <w:color w:val="auto"/>
                <w:sz w:val="24"/>
                <w:highlight w:val="none"/>
              </w:rPr>
            </w:pPr>
          </w:p>
        </w:tc>
        <w:tc>
          <w:tcPr>
            <w:tcW w:w="1020" w:type="dxa"/>
            <w:noWrap w:val="0"/>
            <w:vAlign w:val="top"/>
          </w:tcPr>
          <w:p w14:paraId="267AC1A4">
            <w:pPr>
              <w:rPr>
                <w:rFonts w:hint="eastAsia" w:ascii="宋体"/>
                <w:color w:val="auto"/>
                <w:sz w:val="24"/>
                <w:highlight w:val="none"/>
              </w:rPr>
            </w:pPr>
          </w:p>
        </w:tc>
        <w:tc>
          <w:tcPr>
            <w:tcW w:w="921" w:type="dxa"/>
            <w:noWrap w:val="0"/>
            <w:vAlign w:val="top"/>
          </w:tcPr>
          <w:p w14:paraId="00047CBA">
            <w:pPr>
              <w:rPr>
                <w:rFonts w:hint="eastAsia" w:ascii="宋体"/>
                <w:color w:val="auto"/>
                <w:sz w:val="24"/>
                <w:highlight w:val="none"/>
              </w:rPr>
            </w:pPr>
          </w:p>
        </w:tc>
      </w:tr>
    </w:tbl>
    <w:p w14:paraId="08A13EF2">
      <w:pPr>
        <w:spacing w:line="440" w:lineRule="exact"/>
        <w:rPr>
          <w:rFonts w:hint="eastAsia" w:ascii="宋体"/>
          <w:color w:val="auto"/>
          <w:sz w:val="24"/>
          <w:highlight w:val="none"/>
        </w:rPr>
      </w:pPr>
    </w:p>
    <w:p w14:paraId="184C3A59">
      <w:pPr>
        <w:spacing w:line="440" w:lineRule="exact"/>
        <w:rPr>
          <w:rFonts w:hint="eastAsia" w:ascii="宋体"/>
          <w:color w:val="auto"/>
          <w:sz w:val="24"/>
          <w:highlight w:val="none"/>
        </w:rPr>
      </w:pPr>
    </w:p>
    <w:p w14:paraId="4FB67C88">
      <w:pPr>
        <w:spacing w:line="440" w:lineRule="exact"/>
        <w:rPr>
          <w:rFonts w:hint="eastAsia" w:ascii="宋体"/>
          <w:color w:val="auto"/>
          <w:sz w:val="24"/>
          <w:highlight w:val="none"/>
        </w:rPr>
      </w:pPr>
      <w:r>
        <w:rPr>
          <w:rFonts w:hint="eastAsia" w:ascii="宋体"/>
          <w:color w:val="auto"/>
          <w:sz w:val="24"/>
          <w:highlight w:val="none"/>
        </w:rPr>
        <w:br w:type="page"/>
      </w:r>
      <w:r>
        <w:rPr>
          <w:rFonts w:hint="eastAsia" w:ascii="宋体"/>
          <w:color w:val="auto"/>
          <w:sz w:val="24"/>
          <w:highlight w:val="none"/>
        </w:rPr>
        <w:t>附</w:t>
      </w:r>
      <w:bookmarkStart w:id="560" w:name="_Toc267261699"/>
      <w:bookmarkStart w:id="561" w:name="_Toc296503228"/>
      <w:bookmarkStart w:id="562" w:name="_Toc296944567"/>
      <w:bookmarkStart w:id="563" w:name="_Toc296347227"/>
      <w:bookmarkStart w:id="564" w:name="_Toc296346729"/>
      <w:bookmarkStart w:id="565" w:name="_Toc296891268"/>
      <w:bookmarkStart w:id="566" w:name="_Toc296891056"/>
      <w:r>
        <w:rPr>
          <w:rFonts w:hint="eastAsia" w:ascii="宋体"/>
          <w:color w:val="auto"/>
          <w:sz w:val="24"/>
          <w:highlight w:val="none"/>
        </w:rPr>
        <w:t>件5：</w:t>
      </w:r>
    </w:p>
    <w:bookmarkEnd w:id="560"/>
    <w:bookmarkEnd w:id="561"/>
    <w:bookmarkEnd w:id="562"/>
    <w:bookmarkEnd w:id="563"/>
    <w:bookmarkEnd w:id="564"/>
    <w:bookmarkEnd w:id="565"/>
    <w:bookmarkEnd w:id="566"/>
    <w:p w14:paraId="652DA4F0">
      <w:pPr>
        <w:spacing w:before="120" w:beforeLines="50" w:after="120" w:afterLines="50" w:line="440" w:lineRule="exact"/>
        <w:jc w:val="center"/>
        <w:rPr>
          <w:rFonts w:hint="eastAsia" w:ascii="宋体"/>
          <w:b/>
          <w:color w:val="auto"/>
          <w:sz w:val="32"/>
          <w:szCs w:val="32"/>
          <w:highlight w:val="none"/>
        </w:rPr>
      </w:pPr>
      <w:r>
        <w:rPr>
          <w:rFonts w:hint="eastAsia" w:ascii="宋体"/>
          <w:b/>
          <w:color w:val="auto"/>
          <w:sz w:val="32"/>
          <w:szCs w:val="32"/>
          <w:highlight w:val="none"/>
        </w:rPr>
        <w:t>承包人主要施工管理人员表</w:t>
      </w:r>
    </w:p>
    <w:tbl>
      <w:tblPr>
        <w:tblStyle w:val="65"/>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9D73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noWrap w:val="0"/>
            <w:vAlign w:val="center"/>
          </w:tcPr>
          <w:p w14:paraId="79498145">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名    称</w:t>
            </w:r>
          </w:p>
        </w:tc>
        <w:tc>
          <w:tcPr>
            <w:tcW w:w="1418" w:type="dxa"/>
            <w:tcBorders>
              <w:top w:val="single" w:color="auto" w:sz="12" w:space="0"/>
              <w:bottom w:val="double" w:color="auto" w:sz="6" w:space="0"/>
            </w:tcBorders>
            <w:noWrap w:val="0"/>
            <w:vAlign w:val="center"/>
          </w:tcPr>
          <w:p w14:paraId="11D5AFED">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姓名</w:t>
            </w:r>
          </w:p>
        </w:tc>
        <w:tc>
          <w:tcPr>
            <w:tcW w:w="1134" w:type="dxa"/>
            <w:tcBorders>
              <w:top w:val="single" w:color="auto" w:sz="12" w:space="0"/>
              <w:bottom w:val="double" w:color="auto" w:sz="6" w:space="0"/>
            </w:tcBorders>
            <w:noWrap w:val="0"/>
            <w:vAlign w:val="center"/>
          </w:tcPr>
          <w:p w14:paraId="199CC9FA">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职务</w:t>
            </w:r>
          </w:p>
        </w:tc>
        <w:tc>
          <w:tcPr>
            <w:tcW w:w="1134" w:type="dxa"/>
            <w:tcBorders>
              <w:top w:val="single" w:color="auto" w:sz="12" w:space="0"/>
              <w:bottom w:val="double" w:color="auto" w:sz="6" w:space="0"/>
            </w:tcBorders>
            <w:noWrap w:val="0"/>
            <w:vAlign w:val="center"/>
          </w:tcPr>
          <w:p w14:paraId="42B6F484">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职称</w:t>
            </w:r>
          </w:p>
        </w:tc>
        <w:tc>
          <w:tcPr>
            <w:tcW w:w="4252" w:type="dxa"/>
            <w:tcBorders>
              <w:top w:val="single" w:color="auto" w:sz="12" w:space="0"/>
              <w:bottom w:val="double" w:color="auto" w:sz="6" w:space="0"/>
            </w:tcBorders>
            <w:noWrap w:val="0"/>
            <w:vAlign w:val="center"/>
          </w:tcPr>
          <w:p w14:paraId="0DAE6E09">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主要资历、经验及承担过的项目</w:t>
            </w:r>
          </w:p>
        </w:tc>
      </w:tr>
      <w:tr w14:paraId="789629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9809" w:type="dxa"/>
            <w:gridSpan w:val="5"/>
            <w:tcBorders>
              <w:top w:val="double" w:color="auto" w:sz="6" w:space="0"/>
            </w:tcBorders>
            <w:noWrap w:val="0"/>
            <w:vAlign w:val="center"/>
          </w:tcPr>
          <w:p w14:paraId="4BE6488E">
            <w:pPr>
              <w:keepNext/>
              <w:widowControl w:val="0"/>
              <w:spacing w:line="440" w:lineRule="exact"/>
              <w:ind w:left="63" w:right="63"/>
              <w:rPr>
                <w:rFonts w:hint="eastAsia" w:ascii="宋体"/>
                <w:color w:val="auto"/>
                <w:sz w:val="24"/>
                <w:highlight w:val="none"/>
              </w:rPr>
            </w:pPr>
            <w:r>
              <w:rPr>
                <w:rFonts w:hint="eastAsia" w:ascii="宋体"/>
                <w:color w:val="auto"/>
                <w:sz w:val="24"/>
                <w:highlight w:val="none"/>
              </w:rPr>
              <w:t>一、总部人员</w:t>
            </w:r>
          </w:p>
        </w:tc>
      </w:tr>
      <w:tr w14:paraId="71D861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tcBorders>
              <w:top w:val="nil"/>
              <w:bottom w:val="nil"/>
            </w:tcBorders>
            <w:noWrap w:val="0"/>
            <w:vAlign w:val="center"/>
          </w:tcPr>
          <w:p w14:paraId="7C33AB7B">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项目主管</w:t>
            </w:r>
          </w:p>
        </w:tc>
        <w:tc>
          <w:tcPr>
            <w:tcW w:w="1418" w:type="dxa"/>
            <w:tcBorders>
              <w:top w:val="nil"/>
            </w:tcBorders>
            <w:noWrap w:val="0"/>
            <w:vAlign w:val="center"/>
          </w:tcPr>
          <w:p w14:paraId="2F5F4317">
            <w:pPr>
              <w:keepNext/>
              <w:widowControl w:val="0"/>
              <w:spacing w:line="440" w:lineRule="exact"/>
              <w:ind w:left="63" w:right="63"/>
              <w:rPr>
                <w:rFonts w:hint="eastAsia" w:ascii="宋体"/>
                <w:color w:val="auto"/>
                <w:sz w:val="24"/>
                <w:highlight w:val="none"/>
              </w:rPr>
            </w:pPr>
          </w:p>
        </w:tc>
        <w:tc>
          <w:tcPr>
            <w:tcW w:w="1134" w:type="dxa"/>
            <w:tcBorders>
              <w:top w:val="nil"/>
            </w:tcBorders>
            <w:noWrap w:val="0"/>
            <w:vAlign w:val="center"/>
          </w:tcPr>
          <w:p w14:paraId="43F4291F">
            <w:pPr>
              <w:keepNext/>
              <w:widowControl w:val="0"/>
              <w:spacing w:line="440" w:lineRule="exact"/>
              <w:ind w:left="63" w:right="63"/>
              <w:rPr>
                <w:rFonts w:hint="eastAsia" w:ascii="宋体"/>
                <w:color w:val="auto"/>
                <w:sz w:val="24"/>
                <w:highlight w:val="none"/>
              </w:rPr>
            </w:pPr>
          </w:p>
        </w:tc>
        <w:tc>
          <w:tcPr>
            <w:tcW w:w="1134" w:type="dxa"/>
            <w:tcBorders>
              <w:top w:val="nil"/>
            </w:tcBorders>
            <w:noWrap w:val="0"/>
            <w:vAlign w:val="center"/>
          </w:tcPr>
          <w:p w14:paraId="0C3134F9">
            <w:pPr>
              <w:keepNext/>
              <w:widowControl w:val="0"/>
              <w:spacing w:line="440" w:lineRule="exact"/>
              <w:ind w:left="63" w:right="63"/>
              <w:rPr>
                <w:rFonts w:hint="eastAsia" w:ascii="宋体"/>
                <w:color w:val="auto"/>
                <w:sz w:val="24"/>
                <w:highlight w:val="none"/>
              </w:rPr>
            </w:pPr>
          </w:p>
        </w:tc>
        <w:tc>
          <w:tcPr>
            <w:tcW w:w="4252" w:type="dxa"/>
            <w:tcBorders>
              <w:top w:val="nil"/>
            </w:tcBorders>
            <w:noWrap w:val="0"/>
            <w:vAlign w:val="center"/>
          </w:tcPr>
          <w:p w14:paraId="49E19B1B">
            <w:pPr>
              <w:keepNext/>
              <w:widowControl w:val="0"/>
              <w:spacing w:line="440" w:lineRule="exact"/>
              <w:ind w:left="63" w:right="63"/>
              <w:rPr>
                <w:rFonts w:hint="eastAsia" w:ascii="宋体"/>
                <w:color w:val="auto"/>
                <w:sz w:val="24"/>
                <w:highlight w:val="none"/>
              </w:rPr>
            </w:pPr>
          </w:p>
        </w:tc>
      </w:tr>
      <w:tr w14:paraId="698DC3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restart"/>
            <w:noWrap w:val="0"/>
            <w:vAlign w:val="center"/>
          </w:tcPr>
          <w:p w14:paraId="67FEEF20">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其他人员</w:t>
            </w:r>
          </w:p>
        </w:tc>
        <w:tc>
          <w:tcPr>
            <w:tcW w:w="1418" w:type="dxa"/>
            <w:noWrap w:val="0"/>
            <w:vAlign w:val="center"/>
          </w:tcPr>
          <w:p w14:paraId="1116F9D8">
            <w:pPr>
              <w:keepNext/>
              <w:widowControl w:val="0"/>
              <w:spacing w:line="440" w:lineRule="exact"/>
              <w:ind w:left="63" w:right="63"/>
              <w:rPr>
                <w:rFonts w:hint="eastAsia" w:ascii="宋体"/>
                <w:color w:val="auto"/>
                <w:sz w:val="24"/>
                <w:highlight w:val="none"/>
              </w:rPr>
            </w:pPr>
          </w:p>
        </w:tc>
        <w:tc>
          <w:tcPr>
            <w:tcW w:w="1134" w:type="dxa"/>
            <w:noWrap w:val="0"/>
            <w:vAlign w:val="center"/>
          </w:tcPr>
          <w:p w14:paraId="36A5E3E8">
            <w:pPr>
              <w:keepNext/>
              <w:widowControl w:val="0"/>
              <w:spacing w:line="440" w:lineRule="exact"/>
              <w:ind w:left="63" w:right="63"/>
              <w:rPr>
                <w:rFonts w:hint="eastAsia" w:ascii="宋体"/>
                <w:color w:val="auto"/>
                <w:sz w:val="24"/>
                <w:highlight w:val="none"/>
              </w:rPr>
            </w:pPr>
          </w:p>
        </w:tc>
        <w:tc>
          <w:tcPr>
            <w:tcW w:w="1134" w:type="dxa"/>
            <w:noWrap w:val="0"/>
            <w:vAlign w:val="center"/>
          </w:tcPr>
          <w:p w14:paraId="0935CDEE">
            <w:pPr>
              <w:keepNext/>
              <w:widowControl w:val="0"/>
              <w:spacing w:line="440" w:lineRule="exact"/>
              <w:ind w:left="63" w:right="63"/>
              <w:rPr>
                <w:rFonts w:hint="eastAsia" w:ascii="宋体"/>
                <w:color w:val="auto"/>
                <w:sz w:val="24"/>
                <w:highlight w:val="none"/>
              </w:rPr>
            </w:pPr>
          </w:p>
        </w:tc>
        <w:tc>
          <w:tcPr>
            <w:tcW w:w="4252" w:type="dxa"/>
            <w:noWrap w:val="0"/>
            <w:vAlign w:val="center"/>
          </w:tcPr>
          <w:p w14:paraId="0C5C9340">
            <w:pPr>
              <w:keepNext/>
              <w:widowControl w:val="0"/>
              <w:spacing w:line="440" w:lineRule="exact"/>
              <w:ind w:left="63" w:right="63"/>
              <w:rPr>
                <w:rFonts w:hint="eastAsia" w:ascii="宋体"/>
                <w:color w:val="auto"/>
                <w:sz w:val="24"/>
                <w:highlight w:val="none"/>
              </w:rPr>
            </w:pPr>
          </w:p>
        </w:tc>
      </w:tr>
      <w:tr w14:paraId="38EF36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noWrap w:val="0"/>
            <w:vAlign w:val="center"/>
          </w:tcPr>
          <w:p w14:paraId="5210B430">
            <w:pPr>
              <w:rPr>
                <w:color w:val="auto"/>
                <w:highlight w:val="none"/>
              </w:rPr>
            </w:pPr>
          </w:p>
        </w:tc>
        <w:tc>
          <w:tcPr>
            <w:tcW w:w="1418" w:type="dxa"/>
            <w:noWrap w:val="0"/>
            <w:vAlign w:val="center"/>
          </w:tcPr>
          <w:p w14:paraId="40B4A35C">
            <w:pPr>
              <w:keepNext/>
              <w:widowControl w:val="0"/>
              <w:spacing w:line="440" w:lineRule="exact"/>
              <w:ind w:left="63" w:right="63"/>
              <w:rPr>
                <w:rFonts w:hint="eastAsia" w:ascii="宋体"/>
                <w:color w:val="auto"/>
                <w:sz w:val="24"/>
                <w:highlight w:val="none"/>
              </w:rPr>
            </w:pPr>
          </w:p>
        </w:tc>
        <w:tc>
          <w:tcPr>
            <w:tcW w:w="1134" w:type="dxa"/>
            <w:noWrap w:val="0"/>
            <w:vAlign w:val="center"/>
          </w:tcPr>
          <w:p w14:paraId="26E4FFE1">
            <w:pPr>
              <w:keepNext/>
              <w:widowControl w:val="0"/>
              <w:spacing w:line="440" w:lineRule="exact"/>
              <w:ind w:left="63" w:right="63"/>
              <w:rPr>
                <w:rFonts w:hint="eastAsia" w:ascii="宋体"/>
                <w:color w:val="auto"/>
                <w:sz w:val="24"/>
                <w:highlight w:val="none"/>
              </w:rPr>
            </w:pPr>
          </w:p>
        </w:tc>
        <w:tc>
          <w:tcPr>
            <w:tcW w:w="1134" w:type="dxa"/>
            <w:noWrap w:val="0"/>
            <w:vAlign w:val="center"/>
          </w:tcPr>
          <w:p w14:paraId="19CBDD60">
            <w:pPr>
              <w:keepNext/>
              <w:widowControl w:val="0"/>
              <w:spacing w:line="440" w:lineRule="exact"/>
              <w:ind w:left="63" w:right="63"/>
              <w:rPr>
                <w:rFonts w:hint="eastAsia" w:ascii="宋体"/>
                <w:color w:val="auto"/>
                <w:sz w:val="24"/>
                <w:highlight w:val="none"/>
              </w:rPr>
            </w:pPr>
          </w:p>
        </w:tc>
        <w:tc>
          <w:tcPr>
            <w:tcW w:w="4252" w:type="dxa"/>
            <w:noWrap w:val="0"/>
            <w:vAlign w:val="center"/>
          </w:tcPr>
          <w:p w14:paraId="0B52AE0F">
            <w:pPr>
              <w:keepNext/>
              <w:widowControl w:val="0"/>
              <w:spacing w:line="440" w:lineRule="exact"/>
              <w:ind w:left="63" w:right="63"/>
              <w:rPr>
                <w:rFonts w:hint="eastAsia" w:ascii="宋体"/>
                <w:color w:val="auto"/>
                <w:sz w:val="24"/>
                <w:highlight w:val="none"/>
              </w:rPr>
            </w:pPr>
          </w:p>
        </w:tc>
      </w:tr>
      <w:tr w14:paraId="16CAF2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tcBorders>
              <w:bottom w:val="nil"/>
            </w:tcBorders>
            <w:noWrap w:val="0"/>
            <w:vAlign w:val="center"/>
          </w:tcPr>
          <w:p w14:paraId="552CF5EB">
            <w:pPr>
              <w:rPr>
                <w:color w:val="auto"/>
                <w:highlight w:val="none"/>
              </w:rPr>
            </w:pPr>
          </w:p>
        </w:tc>
        <w:tc>
          <w:tcPr>
            <w:tcW w:w="1418" w:type="dxa"/>
            <w:noWrap w:val="0"/>
            <w:vAlign w:val="center"/>
          </w:tcPr>
          <w:p w14:paraId="05689576">
            <w:pPr>
              <w:keepNext/>
              <w:widowControl w:val="0"/>
              <w:spacing w:line="440" w:lineRule="exact"/>
              <w:ind w:left="63" w:right="63"/>
              <w:rPr>
                <w:rFonts w:hint="eastAsia" w:ascii="宋体"/>
                <w:color w:val="auto"/>
                <w:sz w:val="24"/>
                <w:highlight w:val="none"/>
              </w:rPr>
            </w:pPr>
          </w:p>
        </w:tc>
        <w:tc>
          <w:tcPr>
            <w:tcW w:w="1134" w:type="dxa"/>
            <w:noWrap w:val="0"/>
            <w:vAlign w:val="center"/>
          </w:tcPr>
          <w:p w14:paraId="06710B9B">
            <w:pPr>
              <w:keepNext/>
              <w:widowControl w:val="0"/>
              <w:spacing w:line="440" w:lineRule="exact"/>
              <w:ind w:left="63" w:right="63"/>
              <w:rPr>
                <w:rFonts w:hint="eastAsia" w:ascii="宋体"/>
                <w:color w:val="auto"/>
                <w:sz w:val="24"/>
                <w:highlight w:val="none"/>
              </w:rPr>
            </w:pPr>
          </w:p>
        </w:tc>
        <w:tc>
          <w:tcPr>
            <w:tcW w:w="1134" w:type="dxa"/>
            <w:noWrap w:val="0"/>
            <w:vAlign w:val="center"/>
          </w:tcPr>
          <w:p w14:paraId="1E8A9B58">
            <w:pPr>
              <w:keepNext/>
              <w:widowControl w:val="0"/>
              <w:spacing w:line="440" w:lineRule="exact"/>
              <w:ind w:left="63" w:right="63"/>
              <w:rPr>
                <w:rFonts w:hint="eastAsia" w:ascii="宋体"/>
                <w:color w:val="auto"/>
                <w:sz w:val="24"/>
                <w:highlight w:val="none"/>
              </w:rPr>
            </w:pPr>
          </w:p>
        </w:tc>
        <w:tc>
          <w:tcPr>
            <w:tcW w:w="4252" w:type="dxa"/>
            <w:noWrap w:val="0"/>
            <w:vAlign w:val="center"/>
          </w:tcPr>
          <w:p w14:paraId="680B1B19">
            <w:pPr>
              <w:keepNext/>
              <w:widowControl w:val="0"/>
              <w:spacing w:line="440" w:lineRule="exact"/>
              <w:ind w:left="63" w:right="63"/>
              <w:rPr>
                <w:rFonts w:hint="eastAsia" w:ascii="宋体"/>
                <w:color w:val="auto"/>
                <w:sz w:val="24"/>
                <w:highlight w:val="none"/>
              </w:rPr>
            </w:pPr>
          </w:p>
        </w:tc>
      </w:tr>
      <w:tr w14:paraId="145D40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9809" w:type="dxa"/>
            <w:gridSpan w:val="5"/>
            <w:noWrap w:val="0"/>
            <w:vAlign w:val="center"/>
          </w:tcPr>
          <w:p w14:paraId="6574BE5F">
            <w:pPr>
              <w:keepNext/>
              <w:widowControl w:val="0"/>
              <w:spacing w:line="440" w:lineRule="exact"/>
              <w:ind w:left="63" w:right="63"/>
              <w:rPr>
                <w:rFonts w:hint="eastAsia" w:ascii="宋体"/>
                <w:color w:val="auto"/>
                <w:sz w:val="24"/>
                <w:highlight w:val="none"/>
              </w:rPr>
            </w:pPr>
            <w:r>
              <w:rPr>
                <w:rFonts w:hint="eastAsia" w:ascii="宋体"/>
                <w:color w:val="auto"/>
                <w:sz w:val="24"/>
                <w:highlight w:val="none"/>
              </w:rPr>
              <w:t>二、现场人员</w:t>
            </w:r>
          </w:p>
        </w:tc>
      </w:tr>
      <w:tr w14:paraId="65D051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noWrap w:val="0"/>
            <w:vAlign w:val="center"/>
          </w:tcPr>
          <w:p w14:paraId="06F11CE1">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项目经理</w:t>
            </w:r>
          </w:p>
        </w:tc>
        <w:tc>
          <w:tcPr>
            <w:tcW w:w="1418" w:type="dxa"/>
            <w:noWrap w:val="0"/>
            <w:vAlign w:val="center"/>
          </w:tcPr>
          <w:p w14:paraId="3D2CEC41">
            <w:pPr>
              <w:keepNext/>
              <w:widowControl w:val="0"/>
              <w:spacing w:line="440" w:lineRule="exact"/>
              <w:ind w:left="63" w:right="63"/>
              <w:rPr>
                <w:rFonts w:hint="eastAsia" w:ascii="宋体"/>
                <w:color w:val="auto"/>
                <w:sz w:val="24"/>
                <w:highlight w:val="none"/>
              </w:rPr>
            </w:pPr>
          </w:p>
        </w:tc>
        <w:tc>
          <w:tcPr>
            <w:tcW w:w="1134" w:type="dxa"/>
            <w:noWrap w:val="0"/>
            <w:vAlign w:val="center"/>
          </w:tcPr>
          <w:p w14:paraId="56A44078">
            <w:pPr>
              <w:keepNext/>
              <w:widowControl w:val="0"/>
              <w:spacing w:line="440" w:lineRule="exact"/>
              <w:ind w:left="63" w:right="63"/>
              <w:rPr>
                <w:rFonts w:hint="eastAsia" w:ascii="宋体"/>
                <w:color w:val="auto"/>
                <w:sz w:val="24"/>
                <w:highlight w:val="none"/>
              </w:rPr>
            </w:pPr>
          </w:p>
        </w:tc>
        <w:tc>
          <w:tcPr>
            <w:tcW w:w="1134" w:type="dxa"/>
            <w:noWrap w:val="0"/>
            <w:vAlign w:val="center"/>
          </w:tcPr>
          <w:p w14:paraId="6B2B4166">
            <w:pPr>
              <w:keepNext/>
              <w:widowControl w:val="0"/>
              <w:spacing w:line="440" w:lineRule="exact"/>
              <w:ind w:left="63" w:right="63"/>
              <w:rPr>
                <w:rFonts w:hint="eastAsia" w:ascii="宋体"/>
                <w:color w:val="auto"/>
                <w:sz w:val="24"/>
                <w:highlight w:val="none"/>
              </w:rPr>
            </w:pPr>
          </w:p>
        </w:tc>
        <w:tc>
          <w:tcPr>
            <w:tcW w:w="4252" w:type="dxa"/>
            <w:noWrap w:val="0"/>
            <w:vAlign w:val="center"/>
          </w:tcPr>
          <w:p w14:paraId="3B348845">
            <w:pPr>
              <w:keepNext/>
              <w:widowControl w:val="0"/>
              <w:spacing w:line="440" w:lineRule="exact"/>
              <w:ind w:left="63" w:right="63"/>
              <w:rPr>
                <w:rFonts w:hint="eastAsia" w:ascii="宋体"/>
                <w:color w:val="auto"/>
                <w:sz w:val="24"/>
                <w:highlight w:val="none"/>
              </w:rPr>
            </w:pPr>
          </w:p>
        </w:tc>
      </w:tr>
      <w:tr w14:paraId="53B52C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noWrap w:val="0"/>
            <w:vAlign w:val="center"/>
          </w:tcPr>
          <w:p w14:paraId="4A3B927B">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项目副经理</w:t>
            </w:r>
          </w:p>
        </w:tc>
        <w:tc>
          <w:tcPr>
            <w:tcW w:w="1418" w:type="dxa"/>
            <w:noWrap w:val="0"/>
            <w:vAlign w:val="center"/>
          </w:tcPr>
          <w:p w14:paraId="6192BF52">
            <w:pPr>
              <w:keepNext/>
              <w:widowControl w:val="0"/>
              <w:spacing w:line="440" w:lineRule="exact"/>
              <w:ind w:left="63" w:right="63"/>
              <w:rPr>
                <w:rFonts w:hint="eastAsia" w:ascii="宋体"/>
                <w:color w:val="auto"/>
                <w:sz w:val="24"/>
                <w:highlight w:val="none"/>
              </w:rPr>
            </w:pPr>
          </w:p>
        </w:tc>
        <w:tc>
          <w:tcPr>
            <w:tcW w:w="1134" w:type="dxa"/>
            <w:noWrap w:val="0"/>
            <w:vAlign w:val="center"/>
          </w:tcPr>
          <w:p w14:paraId="7A29A826">
            <w:pPr>
              <w:keepNext/>
              <w:widowControl w:val="0"/>
              <w:spacing w:line="440" w:lineRule="exact"/>
              <w:ind w:left="63" w:right="63"/>
              <w:rPr>
                <w:rFonts w:hint="eastAsia" w:ascii="宋体"/>
                <w:color w:val="auto"/>
                <w:sz w:val="24"/>
                <w:highlight w:val="none"/>
              </w:rPr>
            </w:pPr>
          </w:p>
        </w:tc>
        <w:tc>
          <w:tcPr>
            <w:tcW w:w="1134" w:type="dxa"/>
            <w:noWrap w:val="0"/>
            <w:vAlign w:val="center"/>
          </w:tcPr>
          <w:p w14:paraId="59090D98">
            <w:pPr>
              <w:keepNext/>
              <w:widowControl w:val="0"/>
              <w:spacing w:line="440" w:lineRule="exact"/>
              <w:ind w:left="63" w:right="63"/>
              <w:rPr>
                <w:rFonts w:hint="eastAsia" w:ascii="宋体"/>
                <w:color w:val="auto"/>
                <w:sz w:val="24"/>
                <w:highlight w:val="none"/>
              </w:rPr>
            </w:pPr>
          </w:p>
        </w:tc>
        <w:tc>
          <w:tcPr>
            <w:tcW w:w="4252" w:type="dxa"/>
            <w:noWrap w:val="0"/>
            <w:vAlign w:val="center"/>
          </w:tcPr>
          <w:p w14:paraId="5DEACC09">
            <w:pPr>
              <w:keepNext/>
              <w:widowControl w:val="0"/>
              <w:spacing w:line="440" w:lineRule="exact"/>
              <w:ind w:left="63" w:right="63"/>
              <w:rPr>
                <w:rFonts w:hint="eastAsia" w:ascii="宋体"/>
                <w:color w:val="auto"/>
                <w:sz w:val="24"/>
                <w:highlight w:val="none"/>
              </w:rPr>
            </w:pPr>
          </w:p>
        </w:tc>
      </w:tr>
      <w:tr w14:paraId="70BC59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noWrap w:val="0"/>
            <w:vAlign w:val="center"/>
          </w:tcPr>
          <w:p w14:paraId="23A8148F">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技术负责人</w:t>
            </w:r>
          </w:p>
        </w:tc>
        <w:tc>
          <w:tcPr>
            <w:tcW w:w="1418" w:type="dxa"/>
            <w:noWrap w:val="0"/>
            <w:vAlign w:val="center"/>
          </w:tcPr>
          <w:p w14:paraId="1C9352D0">
            <w:pPr>
              <w:keepNext/>
              <w:widowControl w:val="0"/>
              <w:spacing w:line="440" w:lineRule="exact"/>
              <w:ind w:left="63" w:right="63"/>
              <w:rPr>
                <w:rFonts w:hint="eastAsia" w:ascii="宋体"/>
                <w:color w:val="auto"/>
                <w:sz w:val="24"/>
                <w:highlight w:val="none"/>
              </w:rPr>
            </w:pPr>
          </w:p>
        </w:tc>
        <w:tc>
          <w:tcPr>
            <w:tcW w:w="1134" w:type="dxa"/>
            <w:noWrap w:val="0"/>
            <w:vAlign w:val="center"/>
          </w:tcPr>
          <w:p w14:paraId="649DAC57">
            <w:pPr>
              <w:keepNext/>
              <w:widowControl w:val="0"/>
              <w:spacing w:line="440" w:lineRule="exact"/>
              <w:ind w:left="63" w:right="63"/>
              <w:rPr>
                <w:rFonts w:hint="eastAsia" w:ascii="宋体"/>
                <w:color w:val="auto"/>
                <w:sz w:val="24"/>
                <w:highlight w:val="none"/>
              </w:rPr>
            </w:pPr>
          </w:p>
        </w:tc>
        <w:tc>
          <w:tcPr>
            <w:tcW w:w="1134" w:type="dxa"/>
            <w:noWrap w:val="0"/>
            <w:vAlign w:val="center"/>
          </w:tcPr>
          <w:p w14:paraId="1EC61F21">
            <w:pPr>
              <w:keepNext/>
              <w:widowControl w:val="0"/>
              <w:spacing w:line="440" w:lineRule="exact"/>
              <w:ind w:left="63" w:right="63"/>
              <w:rPr>
                <w:rFonts w:hint="eastAsia" w:ascii="宋体"/>
                <w:color w:val="auto"/>
                <w:sz w:val="24"/>
                <w:highlight w:val="none"/>
              </w:rPr>
            </w:pPr>
          </w:p>
        </w:tc>
        <w:tc>
          <w:tcPr>
            <w:tcW w:w="4252" w:type="dxa"/>
            <w:noWrap w:val="0"/>
            <w:vAlign w:val="center"/>
          </w:tcPr>
          <w:p w14:paraId="7A43C78A">
            <w:pPr>
              <w:keepNext/>
              <w:widowControl w:val="0"/>
              <w:spacing w:line="440" w:lineRule="exact"/>
              <w:ind w:left="63" w:right="63"/>
              <w:rPr>
                <w:rFonts w:hint="eastAsia" w:ascii="宋体"/>
                <w:color w:val="auto"/>
                <w:sz w:val="24"/>
                <w:highlight w:val="none"/>
              </w:rPr>
            </w:pPr>
          </w:p>
        </w:tc>
      </w:tr>
      <w:tr w14:paraId="3B9B379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noWrap w:val="0"/>
            <w:vAlign w:val="center"/>
          </w:tcPr>
          <w:p w14:paraId="254103B0">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造价管理</w:t>
            </w:r>
          </w:p>
        </w:tc>
        <w:tc>
          <w:tcPr>
            <w:tcW w:w="1418" w:type="dxa"/>
            <w:noWrap w:val="0"/>
            <w:vAlign w:val="center"/>
          </w:tcPr>
          <w:p w14:paraId="1260680E">
            <w:pPr>
              <w:keepNext/>
              <w:widowControl w:val="0"/>
              <w:spacing w:line="440" w:lineRule="exact"/>
              <w:ind w:left="63" w:right="63"/>
              <w:rPr>
                <w:rFonts w:hint="eastAsia" w:ascii="宋体"/>
                <w:color w:val="auto"/>
                <w:sz w:val="24"/>
                <w:highlight w:val="none"/>
              </w:rPr>
            </w:pPr>
          </w:p>
        </w:tc>
        <w:tc>
          <w:tcPr>
            <w:tcW w:w="1134" w:type="dxa"/>
            <w:noWrap w:val="0"/>
            <w:vAlign w:val="center"/>
          </w:tcPr>
          <w:p w14:paraId="105DC044">
            <w:pPr>
              <w:keepNext/>
              <w:widowControl w:val="0"/>
              <w:spacing w:line="440" w:lineRule="exact"/>
              <w:ind w:left="63" w:right="63"/>
              <w:rPr>
                <w:rFonts w:hint="eastAsia" w:ascii="宋体"/>
                <w:color w:val="auto"/>
                <w:sz w:val="24"/>
                <w:highlight w:val="none"/>
              </w:rPr>
            </w:pPr>
          </w:p>
        </w:tc>
        <w:tc>
          <w:tcPr>
            <w:tcW w:w="1134" w:type="dxa"/>
            <w:noWrap w:val="0"/>
            <w:vAlign w:val="center"/>
          </w:tcPr>
          <w:p w14:paraId="5406220C">
            <w:pPr>
              <w:keepNext/>
              <w:widowControl w:val="0"/>
              <w:spacing w:line="440" w:lineRule="exact"/>
              <w:ind w:left="63" w:right="63"/>
              <w:rPr>
                <w:rFonts w:hint="eastAsia" w:ascii="宋体"/>
                <w:color w:val="auto"/>
                <w:sz w:val="24"/>
                <w:highlight w:val="none"/>
              </w:rPr>
            </w:pPr>
          </w:p>
        </w:tc>
        <w:tc>
          <w:tcPr>
            <w:tcW w:w="4252" w:type="dxa"/>
            <w:noWrap w:val="0"/>
            <w:vAlign w:val="center"/>
          </w:tcPr>
          <w:p w14:paraId="7E0A9921">
            <w:pPr>
              <w:keepNext/>
              <w:widowControl w:val="0"/>
              <w:spacing w:line="440" w:lineRule="exact"/>
              <w:ind w:left="63" w:right="63"/>
              <w:rPr>
                <w:rFonts w:hint="eastAsia" w:ascii="宋体"/>
                <w:color w:val="auto"/>
                <w:sz w:val="24"/>
                <w:highlight w:val="none"/>
              </w:rPr>
            </w:pPr>
          </w:p>
        </w:tc>
      </w:tr>
      <w:tr w14:paraId="7304F9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noWrap w:val="0"/>
            <w:vAlign w:val="center"/>
          </w:tcPr>
          <w:p w14:paraId="1EA2C9F0">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质量管理</w:t>
            </w:r>
          </w:p>
        </w:tc>
        <w:tc>
          <w:tcPr>
            <w:tcW w:w="1418" w:type="dxa"/>
            <w:noWrap w:val="0"/>
            <w:vAlign w:val="center"/>
          </w:tcPr>
          <w:p w14:paraId="20521ADE">
            <w:pPr>
              <w:keepNext/>
              <w:widowControl w:val="0"/>
              <w:spacing w:line="440" w:lineRule="exact"/>
              <w:ind w:left="63" w:right="63"/>
              <w:rPr>
                <w:rFonts w:hint="eastAsia" w:ascii="宋体"/>
                <w:color w:val="auto"/>
                <w:sz w:val="24"/>
                <w:highlight w:val="none"/>
              </w:rPr>
            </w:pPr>
          </w:p>
        </w:tc>
        <w:tc>
          <w:tcPr>
            <w:tcW w:w="1134" w:type="dxa"/>
            <w:noWrap w:val="0"/>
            <w:vAlign w:val="center"/>
          </w:tcPr>
          <w:p w14:paraId="5D2608B7">
            <w:pPr>
              <w:keepNext/>
              <w:widowControl w:val="0"/>
              <w:spacing w:line="440" w:lineRule="exact"/>
              <w:ind w:left="63" w:right="63"/>
              <w:rPr>
                <w:rFonts w:hint="eastAsia" w:ascii="宋体"/>
                <w:color w:val="auto"/>
                <w:sz w:val="24"/>
                <w:highlight w:val="none"/>
              </w:rPr>
            </w:pPr>
          </w:p>
        </w:tc>
        <w:tc>
          <w:tcPr>
            <w:tcW w:w="1134" w:type="dxa"/>
            <w:noWrap w:val="0"/>
            <w:vAlign w:val="center"/>
          </w:tcPr>
          <w:p w14:paraId="22436E71">
            <w:pPr>
              <w:keepNext/>
              <w:widowControl w:val="0"/>
              <w:spacing w:line="440" w:lineRule="exact"/>
              <w:ind w:left="63" w:right="63"/>
              <w:rPr>
                <w:rFonts w:hint="eastAsia" w:ascii="宋体"/>
                <w:color w:val="auto"/>
                <w:sz w:val="24"/>
                <w:highlight w:val="none"/>
              </w:rPr>
            </w:pPr>
          </w:p>
        </w:tc>
        <w:tc>
          <w:tcPr>
            <w:tcW w:w="4252" w:type="dxa"/>
            <w:noWrap w:val="0"/>
            <w:vAlign w:val="center"/>
          </w:tcPr>
          <w:p w14:paraId="0B831EFC">
            <w:pPr>
              <w:keepNext/>
              <w:widowControl w:val="0"/>
              <w:spacing w:line="440" w:lineRule="exact"/>
              <w:ind w:left="63" w:right="63"/>
              <w:rPr>
                <w:rFonts w:hint="eastAsia" w:ascii="宋体"/>
                <w:color w:val="auto"/>
                <w:sz w:val="24"/>
                <w:highlight w:val="none"/>
              </w:rPr>
            </w:pPr>
          </w:p>
        </w:tc>
      </w:tr>
      <w:tr w14:paraId="06D03E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noWrap w:val="0"/>
            <w:vAlign w:val="center"/>
          </w:tcPr>
          <w:p w14:paraId="606EF0EF">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材料管理</w:t>
            </w:r>
          </w:p>
        </w:tc>
        <w:tc>
          <w:tcPr>
            <w:tcW w:w="1418" w:type="dxa"/>
            <w:noWrap w:val="0"/>
            <w:vAlign w:val="center"/>
          </w:tcPr>
          <w:p w14:paraId="7AF75A30">
            <w:pPr>
              <w:keepNext/>
              <w:widowControl w:val="0"/>
              <w:spacing w:line="440" w:lineRule="exact"/>
              <w:ind w:left="63" w:right="63"/>
              <w:rPr>
                <w:rFonts w:hint="eastAsia" w:ascii="宋体"/>
                <w:color w:val="auto"/>
                <w:sz w:val="24"/>
                <w:highlight w:val="none"/>
              </w:rPr>
            </w:pPr>
          </w:p>
        </w:tc>
        <w:tc>
          <w:tcPr>
            <w:tcW w:w="1134" w:type="dxa"/>
            <w:noWrap w:val="0"/>
            <w:vAlign w:val="center"/>
          </w:tcPr>
          <w:p w14:paraId="583E0910">
            <w:pPr>
              <w:keepNext/>
              <w:widowControl w:val="0"/>
              <w:spacing w:line="440" w:lineRule="exact"/>
              <w:ind w:left="63" w:right="63"/>
              <w:rPr>
                <w:rFonts w:hint="eastAsia" w:ascii="宋体"/>
                <w:color w:val="auto"/>
                <w:sz w:val="24"/>
                <w:highlight w:val="none"/>
              </w:rPr>
            </w:pPr>
          </w:p>
        </w:tc>
        <w:tc>
          <w:tcPr>
            <w:tcW w:w="1134" w:type="dxa"/>
            <w:noWrap w:val="0"/>
            <w:vAlign w:val="center"/>
          </w:tcPr>
          <w:p w14:paraId="6352735D">
            <w:pPr>
              <w:keepNext/>
              <w:widowControl w:val="0"/>
              <w:spacing w:line="440" w:lineRule="exact"/>
              <w:ind w:left="63" w:right="63"/>
              <w:rPr>
                <w:rFonts w:hint="eastAsia" w:ascii="宋体"/>
                <w:color w:val="auto"/>
                <w:sz w:val="24"/>
                <w:highlight w:val="none"/>
              </w:rPr>
            </w:pPr>
          </w:p>
        </w:tc>
        <w:tc>
          <w:tcPr>
            <w:tcW w:w="4252" w:type="dxa"/>
            <w:noWrap w:val="0"/>
            <w:vAlign w:val="center"/>
          </w:tcPr>
          <w:p w14:paraId="2275643E">
            <w:pPr>
              <w:keepNext/>
              <w:widowControl w:val="0"/>
              <w:spacing w:line="440" w:lineRule="exact"/>
              <w:ind w:left="63" w:right="63"/>
              <w:rPr>
                <w:rFonts w:hint="eastAsia" w:ascii="宋体"/>
                <w:color w:val="auto"/>
                <w:sz w:val="24"/>
                <w:highlight w:val="none"/>
              </w:rPr>
            </w:pPr>
          </w:p>
        </w:tc>
      </w:tr>
      <w:tr w14:paraId="219771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noWrap w:val="0"/>
            <w:vAlign w:val="center"/>
          </w:tcPr>
          <w:p w14:paraId="471A8A3E">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计划管理</w:t>
            </w:r>
          </w:p>
        </w:tc>
        <w:tc>
          <w:tcPr>
            <w:tcW w:w="1418" w:type="dxa"/>
            <w:noWrap w:val="0"/>
            <w:vAlign w:val="center"/>
          </w:tcPr>
          <w:p w14:paraId="281136E0">
            <w:pPr>
              <w:keepNext/>
              <w:widowControl w:val="0"/>
              <w:spacing w:line="440" w:lineRule="exact"/>
              <w:ind w:left="63" w:right="63"/>
              <w:rPr>
                <w:rFonts w:hint="eastAsia" w:ascii="宋体"/>
                <w:color w:val="auto"/>
                <w:sz w:val="24"/>
                <w:highlight w:val="none"/>
              </w:rPr>
            </w:pPr>
          </w:p>
        </w:tc>
        <w:tc>
          <w:tcPr>
            <w:tcW w:w="1134" w:type="dxa"/>
            <w:noWrap w:val="0"/>
            <w:vAlign w:val="center"/>
          </w:tcPr>
          <w:p w14:paraId="4AC89A38">
            <w:pPr>
              <w:keepNext/>
              <w:widowControl w:val="0"/>
              <w:spacing w:line="440" w:lineRule="exact"/>
              <w:ind w:left="63" w:right="63"/>
              <w:rPr>
                <w:rFonts w:hint="eastAsia" w:ascii="宋体"/>
                <w:color w:val="auto"/>
                <w:sz w:val="24"/>
                <w:highlight w:val="none"/>
              </w:rPr>
            </w:pPr>
          </w:p>
        </w:tc>
        <w:tc>
          <w:tcPr>
            <w:tcW w:w="1134" w:type="dxa"/>
            <w:noWrap w:val="0"/>
            <w:vAlign w:val="center"/>
          </w:tcPr>
          <w:p w14:paraId="5C586623">
            <w:pPr>
              <w:keepNext/>
              <w:widowControl w:val="0"/>
              <w:spacing w:line="440" w:lineRule="exact"/>
              <w:ind w:left="63" w:right="63"/>
              <w:rPr>
                <w:rFonts w:hint="eastAsia" w:ascii="宋体"/>
                <w:color w:val="auto"/>
                <w:sz w:val="24"/>
                <w:highlight w:val="none"/>
              </w:rPr>
            </w:pPr>
          </w:p>
        </w:tc>
        <w:tc>
          <w:tcPr>
            <w:tcW w:w="4252" w:type="dxa"/>
            <w:noWrap w:val="0"/>
            <w:vAlign w:val="center"/>
          </w:tcPr>
          <w:p w14:paraId="0E7A4923">
            <w:pPr>
              <w:keepNext/>
              <w:widowControl w:val="0"/>
              <w:spacing w:line="440" w:lineRule="exact"/>
              <w:ind w:left="63" w:right="63"/>
              <w:rPr>
                <w:rFonts w:hint="eastAsia" w:ascii="宋体"/>
                <w:color w:val="auto"/>
                <w:sz w:val="24"/>
                <w:highlight w:val="none"/>
              </w:rPr>
            </w:pPr>
          </w:p>
        </w:tc>
      </w:tr>
      <w:tr w14:paraId="2ED78A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noWrap w:val="0"/>
            <w:vAlign w:val="center"/>
          </w:tcPr>
          <w:p w14:paraId="2F4DCDFE">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安全管理</w:t>
            </w:r>
          </w:p>
        </w:tc>
        <w:tc>
          <w:tcPr>
            <w:tcW w:w="1418" w:type="dxa"/>
            <w:noWrap w:val="0"/>
            <w:vAlign w:val="center"/>
          </w:tcPr>
          <w:p w14:paraId="1A5AC2E2">
            <w:pPr>
              <w:keepNext/>
              <w:widowControl w:val="0"/>
              <w:spacing w:line="440" w:lineRule="exact"/>
              <w:ind w:left="63" w:right="63"/>
              <w:rPr>
                <w:rFonts w:hint="eastAsia" w:ascii="宋体"/>
                <w:color w:val="auto"/>
                <w:sz w:val="24"/>
                <w:highlight w:val="none"/>
              </w:rPr>
            </w:pPr>
          </w:p>
        </w:tc>
        <w:tc>
          <w:tcPr>
            <w:tcW w:w="1134" w:type="dxa"/>
            <w:noWrap w:val="0"/>
            <w:vAlign w:val="center"/>
          </w:tcPr>
          <w:p w14:paraId="7FF6C7AB">
            <w:pPr>
              <w:keepNext/>
              <w:widowControl w:val="0"/>
              <w:spacing w:line="440" w:lineRule="exact"/>
              <w:ind w:left="63" w:right="63"/>
              <w:rPr>
                <w:rFonts w:hint="eastAsia" w:ascii="宋体"/>
                <w:color w:val="auto"/>
                <w:sz w:val="24"/>
                <w:highlight w:val="none"/>
              </w:rPr>
            </w:pPr>
          </w:p>
        </w:tc>
        <w:tc>
          <w:tcPr>
            <w:tcW w:w="1134" w:type="dxa"/>
            <w:noWrap w:val="0"/>
            <w:vAlign w:val="center"/>
          </w:tcPr>
          <w:p w14:paraId="4F6C0732">
            <w:pPr>
              <w:keepNext/>
              <w:widowControl w:val="0"/>
              <w:spacing w:line="440" w:lineRule="exact"/>
              <w:ind w:left="63" w:right="63"/>
              <w:rPr>
                <w:rFonts w:hint="eastAsia" w:ascii="宋体"/>
                <w:color w:val="auto"/>
                <w:sz w:val="24"/>
                <w:highlight w:val="none"/>
              </w:rPr>
            </w:pPr>
          </w:p>
        </w:tc>
        <w:tc>
          <w:tcPr>
            <w:tcW w:w="4252" w:type="dxa"/>
            <w:noWrap w:val="0"/>
            <w:vAlign w:val="center"/>
          </w:tcPr>
          <w:p w14:paraId="0090C933">
            <w:pPr>
              <w:keepNext/>
              <w:widowControl w:val="0"/>
              <w:spacing w:line="440" w:lineRule="exact"/>
              <w:ind w:left="63" w:right="63"/>
              <w:rPr>
                <w:rFonts w:hint="eastAsia" w:ascii="宋体"/>
                <w:color w:val="auto"/>
                <w:sz w:val="24"/>
                <w:highlight w:val="none"/>
              </w:rPr>
            </w:pPr>
          </w:p>
        </w:tc>
      </w:tr>
      <w:tr w14:paraId="580AE43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restart"/>
            <w:noWrap w:val="0"/>
            <w:vAlign w:val="center"/>
          </w:tcPr>
          <w:p w14:paraId="1BB3A3C8">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其他人员</w:t>
            </w:r>
          </w:p>
        </w:tc>
        <w:tc>
          <w:tcPr>
            <w:tcW w:w="1418" w:type="dxa"/>
            <w:noWrap w:val="0"/>
            <w:vAlign w:val="center"/>
          </w:tcPr>
          <w:p w14:paraId="0FF45EAD">
            <w:pPr>
              <w:keepNext/>
              <w:widowControl w:val="0"/>
              <w:spacing w:line="440" w:lineRule="exact"/>
              <w:ind w:left="63" w:right="63"/>
              <w:rPr>
                <w:rFonts w:hint="eastAsia" w:ascii="宋体"/>
                <w:color w:val="auto"/>
                <w:sz w:val="24"/>
                <w:highlight w:val="none"/>
              </w:rPr>
            </w:pPr>
          </w:p>
        </w:tc>
        <w:tc>
          <w:tcPr>
            <w:tcW w:w="1134" w:type="dxa"/>
            <w:noWrap w:val="0"/>
            <w:vAlign w:val="center"/>
          </w:tcPr>
          <w:p w14:paraId="70A9CB5A">
            <w:pPr>
              <w:keepNext/>
              <w:widowControl w:val="0"/>
              <w:spacing w:line="440" w:lineRule="exact"/>
              <w:ind w:left="63" w:right="63"/>
              <w:rPr>
                <w:rFonts w:hint="eastAsia" w:ascii="宋体"/>
                <w:color w:val="auto"/>
                <w:sz w:val="24"/>
                <w:highlight w:val="none"/>
              </w:rPr>
            </w:pPr>
          </w:p>
        </w:tc>
        <w:tc>
          <w:tcPr>
            <w:tcW w:w="1134" w:type="dxa"/>
            <w:noWrap w:val="0"/>
            <w:vAlign w:val="center"/>
          </w:tcPr>
          <w:p w14:paraId="08B6C50B">
            <w:pPr>
              <w:keepNext/>
              <w:widowControl w:val="0"/>
              <w:spacing w:line="440" w:lineRule="exact"/>
              <w:ind w:left="63" w:right="63"/>
              <w:rPr>
                <w:rFonts w:hint="eastAsia" w:ascii="宋体"/>
                <w:color w:val="auto"/>
                <w:sz w:val="24"/>
                <w:highlight w:val="none"/>
              </w:rPr>
            </w:pPr>
          </w:p>
        </w:tc>
        <w:tc>
          <w:tcPr>
            <w:tcW w:w="4252" w:type="dxa"/>
            <w:noWrap w:val="0"/>
            <w:vAlign w:val="center"/>
          </w:tcPr>
          <w:p w14:paraId="6B3E62FA">
            <w:pPr>
              <w:keepNext/>
              <w:widowControl w:val="0"/>
              <w:spacing w:line="440" w:lineRule="exact"/>
              <w:ind w:left="63" w:right="63"/>
              <w:rPr>
                <w:rFonts w:hint="eastAsia" w:ascii="宋体"/>
                <w:color w:val="auto"/>
                <w:sz w:val="24"/>
                <w:highlight w:val="none"/>
              </w:rPr>
            </w:pPr>
          </w:p>
        </w:tc>
      </w:tr>
      <w:tr w14:paraId="06A58A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noWrap w:val="0"/>
            <w:vAlign w:val="center"/>
          </w:tcPr>
          <w:p w14:paraId="52034B28">
            <w:pPr>
              <w:rPr>
                <w:color w:val="auto"/>
                <w:highlight w:val="none"/>
              </w:rPr>
            </w:pPr>
          </w:p>
        </w:tc>
        <w:tc>
          <w:tcPr>
            <w:tcW w:w="1418" w:type="dxa"/>
            <w:tcBorders>
              <w:bottom w:val="nil"/>
            </w:tcBorders>
            <w:noWrap w:val="0"/>
            <w:vAlign w:val="center"/>
          </w:tcPr>
          <w:p w14:paraId="3991D1BF">
            <w:pPr>
              <w:keepNext/>
              <w:widowControl w:val="0"/>
              <w:spacing w:line="440" w:lineRule="exact"/>
              <w:ind w:left="63" w:right="63"/>
              <w:rPr>
                <w:rFonts w:hint="eastAsia" w:ascii="宋体"/>
                <w:color w:val="auto"/>
                <w:sz w:val="24"/>
                <w:highlight w:val="none"/>
              </w:rPr>
            </w:pPr>
          </w:p>
        </w:tc>
        <w:tc>
          <w:tcPr>
            <w:tcW w:w="1134" w:type="dxa"/>
            <w:tcBorders>
              <w:bottom w:val="nil"/>
            </w:tcBorders>
            <w:noWrap w:val="0"/>
            <w:vAlign w:val="center"/>
          </w:tcPr>
          <w:p w14:paraId="4E7D9D9A">
            <w:pPr>
              <w:keepNext/>
              <w:widowControl w:val="0"/>
              <w:spacing w:line="440" w:lineRule="exact"/>
              <w:ind w:left="63" w:right="63"/>
              <w:rPr>
                <w:rFonts w:hint="eastAsia" w:ascii="宋体"/>
                <w:color w:val="auto"/>
                <w:sz w:val="24"/>
                <w:highlight w:val="none"/>
              </w:rPr>
            </w:pPr>
          </w:p>
        </w:tc>
        <w:tc>
          <w:tcPr>
            <w:tcW w:w="1134" w:type="dxa"/>
            <w:tcBorders>
              <w:bottom w:val="nil"/>
            </w:tcBorders>
            <w:noWrap w:val="0"/>
            <w:vAlign w:val="center"/>
          </w:tcPr>
          <w:p w14:paraId="5238AF79">
            <w:pPr>
              <w:keepNext/>
              <w:widowControl w:val="0"/>
              <w:spacing w:line="440" w:lineRule="exact"/>
              <w:ind w:left="63" w:right="63"/>
              <w:rPr>
                <w:rFonts w:hint="eastAsia" w:ascii="宋体"/>
                <w:color w:val="auto"/>
                <w:sz w:val="24"/>
                <w:highlight w:val="none"/>
              </w:rPr>
            </w:pPr>
          </w:p>
        </w:tc>
        <w:tc>
          <w:tcPr>
            <w:tcW w:w="4252" w:type="dxa"/>
            <w:tcBorders>
              <w:bottom w:val="nil"/>
            </w:tcBorders>
            <w:noWrap w:val="0"/>
            <w:vAlign w:val="center"/>
          </w:tcPr>
          <w:p w14:paraId="2673B10F">
            <w:pPr>
              <w:keepNext/>
              <w:widowControl w:val="0"/>
              <w:spacing w:line="440" w:lineRule="exact"/>
              <w:ind w:left="63" w:right="63"/>
              <w:rPr>
                <w:rFonts w:hint="eastAsia" w:ascii="宋体"/>
                <w:color w:val="auto"/>
                <w:sz w:val="24"/>
                <w:highlight w:val="none"/>
              </w:rPr>
            </w:pPr>
          </w:p>
        </w:tc>
      </w:tr>
      <w:tr w14:paraId="4AE7FA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noWrap w:val="0"/>
            <w:vAlign w:val="center"/>
          </w:tcPr>
          <w:p w14:paraId="6C1C8F8A">
            <w:pPr>
              <w:rPr>
                <w:color w:val="auto"/>
                <w:highlight w:val="none"/>
              </w:rPr>
            </w:pPr>
          </w:p>
        </w:tc>
        <w:tc>
          <w:tcPr>
            <w:tcW w:w="1418" w:type="dxa"/>
            <w:noWrap w:val="0"/>
            <w:vAlign w:val="center"/>
          </w:tcPr>
          <w:p w14:paraId="552F8ACB">
            <w:pPr>
              <w:keepNext/>
              <w:widowControl w:val="0"/>
              <w:spacing w:line="440" w:lineRule="exact"/>
              <w:ind w:left="63" w:right="63"/>
              <w:rPr>
                <w:rFonts w:hint="eastAsia" w:ascii="宋体"/>
                <w:color w:val="auto"/>
                <w:sz w:val="24"/>
                <w:highlight w:val="none"/>
              </w:rPr>
            </w:pPr>
          </w:p>
        </w:tc>
        <w:tc>
          <w:tcPr>
            <w:tcW w:w="1134" w:type="dxa"/>
            <w:noWrap w:val="0"/>
            <w:vAlign w:val="center"/>
          </w:tcPr>
          <w:p w14:paraId="543D3DBC">
            <w:pPr>
              <w:keepNext/>
              <w:widowControl w:val="0"/>
              <w:spacing w:line="440" w:lineRule="exact"/>
              <w:ind w:left="63" w:right="63"/>
              <w:rPr>
                <w:rFonts w:hint="eastAsia" w:ascii="宋体"/>
                <w:color w:val="auto"/>
                <w:sz w:val="24"/>
                <w:highlight w:val="none"/>
              </w:rPr>
            </w:pPr>
          </w:p>
        </w:tc>
        <w:tc>
          <w:tcPr>
            <w:tcW w:w="1134" w:type="dxa"/>
            <w:noWrap w:val="0"/>
            <w:vAlign w:val="center"/>
          </w:tcPr>
          <w:p w14:paraId="1A7F5740">
            <w:pPr>
              <w:keepNext/>
              <w:widowControl w:val="0"/>
              <w:spacing w:line="440" w:lineRule="exact"/>
              <w:ind w:left="63" w:right="63"/>
              <w:rPr>
                <w:rFonts w:hint="eastAsia" w:ascii="宋体"/>
                <w:color w:val="auto"/>
                <w:sz w:val="24"/>
                <w:highlight w:val="none"/>
              </w:rPr>
            </w:pPr>
          </w:p>
        </w:tc>
        <w:tc>
          <w:tcPr>
            <w:tcW w:w="4252" w:type="dxa"/>
            <w:noWrap w:val="0"/>
            <w:vAlign w:val="center"/>
          </w:tcPr>
          <w:p w14:paraId="344D1C72">
            <w:pPr>
              <w:keepNext/>
              <w:widowControl w:val="0"/>
              <w:spacing w:line="440" w:lineRule="exact"/>
              <w:ind w:left="63" w:right="63"/>
              <w:rPr>
                <w:rFonts w:hint="eastAsia" w:ascii="宋体"/>
                <w:color w:val="auto"/>
                <w:sz w:val="24"/>
                <w:highlight w:val="none"/>
              </w:rPr>
            </w:pPr>
          </w:p>
        </w:tc>
      </w:tr>
      <w:tr w14:paraId="65AAB3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noWrap w:val="0"/>
            <w:vAlign w:val="center"/>
          </w:tcPr>
          <w:p w14:paraId="5B68D672">
            <w:pPr>
              <w:rPr>
                <w:color w:val="auto"/>
                <w:highlight w:val="none"/>
              </w:rPr>
            </w:pPr>
          </w:p>
        </w:tc>
        <w:tc>
          <w:tcPr>
            <w:tcW w:w="1418" w:type="dxa"/>
            <w:noWrap w:val="0"/>
            <w:vAlign w:val="center"/>
          </w:tcPr>
          <w:p w14:paraId="51F24E43">
            <w:pPr>
              <w:keepNext/>
              <w:widowControl w:val="0"/>
              <w:spacing w:line="440" w:lineRule="exact"/>
              <w:ind w:left="63" w:right="63"/>
              <w:rPr>
                <w:rFonts w:hint="eastAsia" w:ascii="宋体"/>
                <w:color w:val="auto"/>
                <w:sz w:val="24"/>
                <w:highlight w:val="none"/>
              </w:rPr>
            </w:pPr>
          </w:p>
        </w:tc>
        <w:tc>
          <w:tcPr>
            <w:tcW w:w="1134" w:type="dxa"/>
            <w:noWrap w:val="0"/>
            <w:vAlign w:val="center"/>
          </w:tcPr>
          <w:p w14:paraId="4E18ABB6">
            <w:pPr>
              <w:keepNext/>
              <w:widowControl w:val="0"/>
              <w:spacing w:line="440" w:lineRule="exact"/>
              <w:ind w:left="63" w:right="63"/>
              <w:rPr>
                <w:rFonts w:hint="eastAsia" w:ascii="宋体"/>
                <w:color w:val="auto"/>
                <w:sz w:val="24"/>
                <w:highlight w:val="none"/>
              </w:rPr>
            </w:pPr>
          </w:p>
        </w:tc>
        <w:tc>
          <w:tcPr>
            <w:tcW w:w="1134" w:type="dxa"/>
            <w:noWrap w:val="0"/>
            <w:vAlign w:val="center"/>
          </w:tcPr>
          <w:p w14:paraId="542EF168">
            <w:pPr>
              <w:keepNext/>
              <w:widowControl w:val="0"/>
              <w:spacing w:line="440" w:lineRule="exact"/>
              <w:ind w:left="63" w:right="63"/>
              <w:rPr>
                <w:rFonts w:hint="eastAsia" w:ascii="宋体"/>
                <w:color w:val="auto"/>
                <w:sz w:val="24"/>
                <w:highlight w:val="none"/>
              </w:rPr>
            </w:pPr>
          </w:p>
        </w:tc>
        <w:tc>
          <w:tcPr>
            <w:tcW w:w="4252" w:type="dxa"/>
            <w:noWrap w:val="0"/>
            <w:vAlign w:val="center"/>
          </w:tcPr>
          <w:p w14:paraId="554FAC44">
            <w:pPr>
              <w:keepNext/>
              <w:widowControl w:val="0"/>
              <w:spacing w:line="440" w:lineRule="exact"/>
              <w:ind w:left="63" w:right="63"/>
              <w:rPr>
                <w:rFonts w:hint="eastAsia" w:ascii="宋体"/>
                <w:color w:val="auto"/>
                <w:sz w:val="24"/>
                <w:highlight w:val="none"/>
              </w:rPr>
            </w:pPr>
          </w:p>
        </w:tc>
      </w:tr>
      <w:tr w14:paraId="3473F8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noWrap w:val="0"/>
            <w:vAlign w:val="center"/>
          </w:tcPr>
          <w:p w14:paraId="3D997740">
            <w:pPr>
              <w:rPr>
                <w:color w:val="auto"/>
                <w:highlight w:val="none"/>
              </w:rPr>
            </w:pPr>
          </w:p>
        </w:tc>
        <w:tc>
          <w:tcPr>
            <w:tcW w:w="1418" w:type="dxa"/>
            <w:noWrap w:val="0"/>
            <w:vAlign w:val="center"/>
          </w:tcPr>
          <w:p w14:paraId="0202D0C6">
            <w:pPr>
              <w:keepNext/>
              <w:widowControl w:val="0"/>
              <w:spacing w:line="440" w:lineRule="exact"/>
              <w:ind w:left="63" w:right="63"/>
              <w:rPr>
                <w:rFonts w:hint="eastAsia" w:ascii="宋体"/>
                <w:color w:val="auto"/>
                <w:sz w:val="24"/>
                <w:highlight w:val="none"/>
              </w:rPr>
            </w:pPr>
          </w:p>
        </w:tc>
        <w:tc>
          <w:tcPr>
            <w:tcW w:w="1134" w:type="dxa"/>
            <w:noWrap w:val="0"/>
            <w:vAlign w:val="center"/>
          </w:tcPr>
          <w:p w14:paraId="43F6ABF7">
            <w:pPr>
              <w:keepNext/>
              <w:widowControl w:val="0"/>
              <w:spacing w:line="440" w:lineRule="exact"/>
              <w:ind w:left="63" w:right="63"/>
              <w:rPr>
                <w:rFonts w:hint="eastAsia" w:ascii="宋体"/>
                <w:color w:val="auto"/>
                <w:sz w:val="24"/>
                <w:highlight w:val="none"/>
              </w:rPr>
            </w:pPr>
          </w:p>
        </w:tc>
        <w:tc>
          <w:tcPr>
            <w:tcW w:w="1134" w:type="dxa"/>
            <w:noWrap w:val="0"/>
            <w:vAlign w:val="center"/>
          </w:tcPr>
          <w:p w14:paraId="5DA7AA57">
            <w:pPr>
              <w:keepNext/>
              <w:widowControl w:val="0"/>
              <w:spacing w:line="440" w:lineRule="exact"/>
              <w:ind w:left="63" w:right="63"/>
              <w:rPr>
                <w:rFonts w:hint="eastAsia" w:ascii="宋体"/>
                <w:color w:val="auto"/>
                <w:sz w:val="24"/>
                <w:highlight w:val="none"/>
              </w:rPr>
            </w:pPr>
          </w:p>
        </w:tc>
        <w:tc>
          <w:tcPr>
            <w:tcW w:w="4252" w:type="dxa"/>
            <w:noWrap w:val="0"/>
            <w:vAlign w:val="center"/>
          </w:tcPr>
          <w:p w14:paraId="657D1048">
            <w:pPr>
              <w:keepNext/>
              <w:widowControl w:val="0"/>
              <w:spacing w:line="440" w:lineRule="exact"/>
              <w:ind w:left="63" w:right="63"/>
              <w:rPr>
                <w:rFonts w:hint="eastAsia" w:ascii="宋体"/>
                <w:color w:val="auto"/>
                <w:sz w:val="24"/>
                <w:highlight w:val="none"/>
              </w:rPr>
            </w:pPr>
          </w:p>
        </w:tc>
      </w:tr>
      <w:tr w14:paraId="477B77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tcBorders>
              <w:bottom w:val="single" w:color="auto" w:sz="12" w:space="0"/>
            </w:tcBorders>
            <w:noWrap w:val="0"/>
            <w:vAlign w:val="center"/>
          </w:tcPr>
          <w:p w14:paraId="1E56E3B0">
            <w:pPr>
              <w:rPr>
                <w:color w:val="auto"/>
                <w:highlight w:val="none"/>
              </w:rPr>
            </w:pPr>
          </w:p>
        </w:tc>
        <w:tc>
          <w:tcPr>
            <w:tcW w:w="1418" w:type="dxa"/>
            <w:tcBorders>
              <w:bottom w:val="single" w:color="auto" w:sz="12" w:space="0"/>
            </w:tcBorders>
            <w:noWrap w:val="0"/>
            <w:vAlign w:val="center"/>
          </w:tcPr>
          <w:p w14:paraId="137B8159">
            <w:pPr>
              <w:keepNext/>
              <w:widowControl w:val="0"/>
              <w:spacing w:line="440" w:lineRule="exact"/>
              <w:ind w:left="63" w:right="63"/>
              <w:rPr>
                <w:rFonts w:hint="eastAsia" w:ascii="宋体"/>
                <w:color w:val="auto"/>
                <w:sz w:val="24"/>
                <w:highlight w:val="none"/>
              </w:rPr>
            </w:pPr>
          </w:p>
        </w:tc>
        <w:tc>
          <w:tcPr>
            <w:tcW w:w="1134" w:type="dxa"/>
            <w:tcBorders>
              <w:bottom w:val="single" w:color="auto" w:sz="12" w:space="0"/>
            </w:tcBorders>
            <w:noWrap w:val="0"/>
            <w:vAlign w:val="center"/>
          </w:tcPr>
          <w:p w14:paraId="42864EAC">
            <w:pPr>
              <w:keepNext/>
              <w:widowControl w:val="0"/>
              <w:spacing w:line="440" w:lineRule="exact"/>
              <w:ind w:left="63" w:right="63"/>
              <w:rPr>
                <w:rFonts w:hint="eastAsia" w:ascii="宋体"/>
                <w:color w:val="auto"/>
                <w:sz w:val="24"/>
                <w:highlight w:val="none"/>
              </w:rPr>
            </w:pPr>
          </w:p>
        </w:tc>
        <w:tc>
          <w:tcPr>
            <w:tcW w:w="1134" w:type="dxa"/>
            <w:tcBorders>
              <w:bottom w:val="single" w:color="auto" w:sz="12" w:space="0"/>
            </w:tcBorders>
            <w:noWrap w:val="0"/>
            <w:vAlign w:val="center"/>
          </w:tcPr>
          <w:p w14:paraId="7818C5BE">
            <w:pPr>
              <w:keepNext/>
              <w:widowControl w:val="0"/>
              <w:spacing w:line="440" w:lineRule="exact"/>
              <w:ind w:left="63" w:right="63"/>
              <w:rPr>
                <w:rFonts w:hint="eastAsia" w:ascii="宋体"/>
                <w:color w:val="auto"/>
                <w:sz w:val="24"/>
                <w:highlight w:val="none"/>
              </w:rPr>
            </w:pPr>
          </w:p>
        </w:tc>
        <w:tc>
          <w:tcPr>
            <w:tcW w:w="4252" w:type="dxa"/>
            <w:tcBorders>
              <w:bottom w:val="single" w:color="auto" w:sz="12" w:space="0"/>
            </w:tcBorders>
            <w:noWrap w:val="0"/>
            <w:vAlign w:val="center"/>
          </w:tcPr>
          <w:p w14:paraId="4ACD5E70">
            <w:pPr>
              <w:keepNext/>
              <w:widowControl w:val="0"/>
              <w:spacing w:line="440" w:lineRule="exact"/>
              <w:ind w:left="63" w:right="63"/>
              <w:rPr>
                <w:rFonts w:hint="eastAsia" w:ascii="宋体"/>
                <w:color w:val="auto"/>
                <w:sz w:val="24"/>
                <w:highlight w:val="none"/>
              </w:rPr>
            </w:pPr>
          </w:p>
        </w:tc>
      </w:tr>
    </w:tbl>
    <w:p w14:paraId="001497CE">
      <w:pPr>
        <w:spacing w:line="440" w:lineRule="exact"/>
        <w:rPr>
          <w:rFonts w:cs="宋体"/>
          <w:color w:val="auto"/>
          <w:highlight w:val="none"/>
          <w:lang w:bidi="ar-SA"/>
        </w:rPr>
      </w:pPr>
      <w:r>
        <w:rPr>
          <w:rFonts w:hint="eastAsia" w:ascii="宋体"/>
          <w:color w:val="auto"/>
          <w:sz w:val="24"/>
          <w:highlight w:val="none"/>
        </w:rPr>
        <w:br w:type="page"/>
      </w:r>
      <w:r>
        <w:rPr>
          <w:rFonts w:hint="eastAsia" w:ascii="黑体" w:eastAsia="黑体"/>
          <w:color w:val="auto"/>
          <w:sz w:val="24"/>
          <w:highlight w:val="none"/>
        </w:rPr>
        <w:t>附件6：</w:t>
      </w:r>
    </w:p>
    <w:p w14:paraId="5534D325">
      <w:pPr>
        <w:spacing w:before="120" w:beforeLines="50" w:after="120" w:afterLines="50" w:line="440" w:lineRule="exact"/>
        <w:jc w:val="center"/>
        <w:rPr>
          <w:rFonts w:cs="宋体"/>
          <w:b/>
          <w:color w:val="auto"/>
          <w:sz w:val="32"/>
          <w:szCs w:val="32"/>
          <w:highlight w:val="none"/>
          <w:lang w:bidi="ar-SA"/>
        </w:rPr>
      </w:pPr>
      <w:r>
        <w:rPr>
          <w:rFonts w:hint="eastAsia" w:cs="宋体"/>
          <w:b/>
          <w:color w:val="auto"/>
          <w:sz w:val="32"/>
          <w:szCs w:val="32"/>
          <w:highlight w:val="none"/>
          <w:lang w:bidi="ar-SA"/>
        </w:rPr>
        <w:t>农民工工资保证协议</w:t>
      </w:r>
    </w:p>
    <w:p w14:paraId="3AA3DF46">
      <w:pPr>
        <w:widowControl/>
        <w:spacing w:line="420" w:lineRule="exact"/>
        <w:rPr>
          <w:rFonts w:cs="宋体"/>
          <w:color w:val="auto"/>
          <w:highlight w:val="none"/>
          <w:lang w:bidi="ar-SA"/>
        </w:rPr>
      </w:pPr>
      <w:r>
        <w:rPr>
          <w:rFonts w:hint="eastAsia" w:cs="宋体"/>
          <w:color w:val="auto"/>
          <w:highlight w:val="none"/>
          <w:lang w:bidi="ar-SA"/>
        </w:rPr>
        <w:t>发包人：（ 以下简称“甲方” ）</w:t>
      </w:r>
      <w:r>
        <w:rPr>
          <w:rFonts w:hint="eastAsia" w:cs="宋体"/>
          <w:color w:val="auto"/>
          <w:highlight w:val="none"/>
          <w:u w:val="single"/>
          <w:lang w:bidi="ar-SA"/>
        </w:rPr>
        <w:t xml:space="preserve">  </w:t>
      </w:r>
      <w:r>
        <w:rPr>
          <w:rFonts w:hint="eastAsia" w:cs="宋体"/>
          <w:b/>
          <w:color w:val="auto"/>
          <w:highlight w:val="none"/>
          <w:u w:val="single"/>
          <w:lang w:bidi="ar-SA"/>
        </w:rPr>
        <w:t xml:space="preserve">                          </w:t>
      </w:r>
      <w:r>
        <w:rPr>
          <w:rFonts w:hint="eastAsia" w:cs="宋体"/>
          <w:color w:val="auto"/>
          <w:highlight w:val="none"/>
          <w:u w:val="single"/>
          <w:lang w:bidi="ar-SA"/>
        </w:rPr>
        <w:t xml:space="preserve"> </w:t>
      </w:r>
    </w:p>
    <w:p w14:paraId="38EED8C8">
      <w:pPr>
        <w:widowControl/>
        <w:spacing w:line="420" w:lineRule="exact"/>
        <w:rPr>
          <w:rFonts w:cs="宋体"/>
          <w:color w:val="auto"/>
          <w:highlight w:val="none"/>
          <w:u w:val="single"/>
          <w:lang w:bidi="ar-SA"/>
        </w:rPr>
      </w:pPr>
      <w:r>
        <w:rPr>
          <w:rFonts w:hint="eastAsia" w:cs="宋体"/>
          <w:color w:val="auto"/>
          <w:highlight w:val="none"/>
          <w:lang w:bidi="ar-SA"/>
        </w:rPr>
        <w:t>承包人：（ 以下简称“乙方” ）</w:t>
      </w:r>
      <w:r>
        <w:rPr>
          <w:rFonts w:hint="eastAsia" w:cs="宋体"/>
          <w:color w:val="auto"/>
          <w:highlight w:val="none"/>
          <w:u w:val="single"/>
          <w:lang w:bidi="ar-SA"/>
        </w:rPr>
        <w:t xml:space="preserve">                             </w:t>
      </w:r>
    </w:p>
    <w:p w14:paraId="38F9A9B1">
      <w:pPr>
        <w:spacing w:line="420" w:lineRule="exact"/>
        <w:ind w:firstLine="420" w:firstLineChars="200"/>
        <w:rPr>
          <w:rFonts w:cs="宋体"/>
          <w:color w:val="auto"/>
          <w:highlight w:val="none"/>
          <w:lang w:bidi="ar-SA"/>
        </w:rPr>
      </w:pPr>
    </w:p>
    <w:p w14:paraId="11018538">
      <w:pPr>
        <w:spacing w:line="420" w:lineRule="exact"/>
        <w:ind w:firstLine="420" w:firstLineChars="200"/>
        <w:rPr>
          <w:rFonts w:cs="宋体"/>
          <w:color w:val="auto"/>
          <w:highlight w:val="none"/>
          <w:lang w:bidi="ar-SA"/>
        </w:rPr>
      </w:pPr>
      <w:r>
        <w:rPr>
          <w:rFonts w:hint="eastAsia" w:cs="宋体"/>
          <w:color w:val="auto"/>
          <w:highlight w:val="none"/>
          <w:lang w:bidi="ar-SA"/>
        </w:rPr>
        <w:t>为维护市场秩序和农民工合法权益，提高社会诚信度，我企业郑重承诺：</w:t>
      </w:r>
    </w:p>
    <w:p w14:paraId="2E664024">
      <w:pPr>
        <w:spacing w:line="420" w:lineRule="exact"/>
        <w:ind w:firstLine="420" w:firstLineChars="200"/>
        <w:rPr>
          <w:rFonts w:cs="宋体"/>
          <w:color w:val="auto"/>
          <w:highlight w:val="none"/>
          <w:lang w:bidi="ar-SA"/>
        </w:rPr>
      </w:pPr>
      <w:r>
        <w:rPr>
          <w:rFonts w:hint="eastAsia" w:cs="宋体"/>
          <w:color w:val="auto"/>
          <w:highlight w:val="none"/>
          <w:lang w:bidi="ar-SA"/>
        </w:rPr>
        <w:t>一、严格按照《</w:t>
      </w:r>
      <w:r>
        <w:rPr>
          <w:rFonts w:hint="eastAsia" w:cs="宋体"/>
          <w:color w:val="auto"/>
          <w:highlight w:val="none"/>
          <w:lang w:eastAsia="zh-CN" w:bidi="ar-SA"/>
        </w:rPr>
        <w:t>中华人民共和国建筑法》《中华人民共和国劳动合同法》《</w:t>
      </w:r>
      <w:r>
        <w:rPr>
          <w:rFonts w:hint="eastAsia" w:cs="宋体"/>
          <w:color w:val="auto"/>
          <w:highlight w:val="none"/>
          <w:lang w:bidi="ar-SA"/>
        </w:rPr>
        <w:t>江苏省工资支付条例》等法律、法规开展工程建设活动，做到：</w:t>
      </w:r>
    </w:p>
    <w:p w14:paraId="08D7568A">
      <w:pPr>
        <w:spacing w:line="420" w:lineRule="exact"/>
        <w:ind w:firstLine="420" w:firstLineChars="200"/>
        <w:rPr>
          <w:rFonts w:cs="宋体"/>
          <w:color w:val="auto"/>
          <w:highlight w:val="none"/>
          <w:lang w:bidi="ar-SA"/>
        </w:rPr>
      </w:pPr>
      <w:r>
        <w:rPr>
          <w:rFonts w:hint="eastAsia" w:cs="宋体"/>
          <w:color w:val="auto"/>
          <w:highlight w:val="none"/>
          <w:lang w:eastAsia="zh-CN" w:bidi="ar-SA"/>
        </w:rPr>
        <w:t>（</w:t>
      </w:r>
      <w:r>
        <w:rPr>
          <w:rFonts w:hint="eastAsia" w:cs="宋体"/>
          <w:color w:val="auto"/>
          <w:highlight w:val="none"/>
          <w:lang w:bidi="ar-SA"/>
        </w:rPr>
        <w:t>一</w:t>
      </w:r>
      <w:r>
        <w:rPr>
          <w:rFonts w:hint="eastAsia" w:cs="宋体"/>
          <w:color w:val="auto"/>
          <w:highlight w:val="none"/>
          <w:lang w:eastAsia="zh-CN" w:bidi="ar-SA"/>
        </w:rPr>
        <w:t>）</w:t>
      </w:r>
      <w:r>
        <w:rPr>
          <w:rFonts w:hint="eastAsia" w:cs="宋体"/>
          <w:color w:val="auto"/>
          <w:highlight w:val="none"/>
          <w:lang w:bidi="ar-SA"/>
        </w:rPr>
        <w:t>不将工程劳务违法分包、转包给无资质的“ 包工头” 等不具备用工主体资格的组织或个人，</w:t>
      </w:r>
    </w:p>
    <w:p w14:paraId="379EEDE8">
      <w:pPr>
        <w:spacing w:line="420" w:lineRule="exact"/>
        <w:ind w:firstLine="420" w:firstLineChars="200"/>
        <w:rPr>
          <w:rFonts w:cs="宋体"/>
          <w:color w:val="auto"/>
          <w:highlight w:val="none"/>
          <w:lang w:bidi="ar-SA"/>
        </w:rPr>
      </w:pPr>
      <w:r>
        <w:rPr>
          <w:rFonts w:hint="eastAsia" w:cs="宋体"/>
          <w:color w:val="auto"/>
          <w:highlight w:val="none"/>
          <w:lang w:bidi="ar-SA"/>
        </w:rPr>
        <w:t>按规定与录用的每位农民工签订《建筑企业劳动用工合同》， 明确工资支付方式、标准和结算时间等。</w:t>
      </w:r>
    </w:p>
    <w:p w14:paraId="4CD88ABA">
      <w:pPr>
        <w:spacing w:line="420" w:lineRule="exact"/>
        <w:ind w:firstLine="420" w:firstLineChars="200"/>
        <w:rPr>
          <w:rFonts w:cs="宋体"/>
          <w:color w:val="auto"/>
          <w:highlight w:val="none"/>
          <w:lang w:bidi="ar-SA"/>
        </w:rPr>
      </w:pPr>
      <w:r>
        <w:rPr>
          <w:rFonts w:hint="eastAsia" w:cs="宋体"/>
          <w:color w:val="auto"/>
          <w:highlight w:val="none"/>
          <w:lang w:eastAsia="zh-CN" w:bidi="ar-SA"/>
        </w:rPr>
        <w:t>（</w:t>
      </w:r>
      <w:r>
        <w:rPr>
          <w:rFonts w:hint="eastAsia" w:cs="宋体"/>
          <w:color w:val="auto"/>
          <w:highlight w:val="none"/>
          <w:lang w:bidi="ar-SA"/>
        </w:rPr>
        <w:t>二</w:t>
      </w:r>
      <w:r>
        <w:rPr>
          <w:rFonts w:hint="eastAsia" w:cs="宋体"/>
          <w:color w:val="auto"/>
          <w:highlight w:val="none"/>
          <w:lang w:eastAsia="zh-CN" w:bidi="ar-SA"/>
        </w:rPr>
        <w:t>）</w:t>
      </w:r>
      <w:r>
        <w:rPr>
          <w:rFonts w:hint="eastAsia" w:cs="宋体"/>
          <w:color w:val="auto"/>
          <w:highlight w:val="none"/>
          <w:lang w:bidi="ar-SA"/>
        </w:rPr>
        <w:t>将农民工工资按时、足额直接支付给农民工本人，不发放到“ 包工头” 等不具备用工主体资格的组织或个人。</w:t>
      </w:r>
    </w:p>
    <w:p w14:paraId="0E345F32">
      <w:pPr>
        <w:spacing w:line="420" w:lineRule="exact"/>
        <w:ind w:firstLine="420" w:firstLineChars="200"/>
        <w:rPr>
          <w:rFonts w:cs="宋体"/>
          <w:color w:val="auto"/>
          <w:highlight w:val="none"/>
          <w:lang w:bidi="ar-SA"/>
        </w:rPr>
      </w:pPr>
      <w:r>
        <w:rPr>
          <w:rFonts w:hint="eastAsia" w:cs="宋体"/>
          <w:color w:val="auto"/>
          <w:highlight w:val="none"/>
          <w:lang w:bidi="ar-SA"/>
        </w:rPr>
        <w:t>二、认真履行企业在清理拖欠农民工工资工作中的责任和义务，做到：</w:t>
      </w:r>
    </w:p>
    <w:p w14:paraId="3A1CAEDC">
      <w:pPr>
        <w:spacing w:line="420" w:lineRule="exact"/>
        <w:ind w:firstLine="420" w:firstLineChars="200"/>
        <w:rPr>
          <w:rFonts w:cs="宋体"/>
          <w:color w:val="auto"/>
          <w:highlight w:val="none"/>
          <w:lang w:bidi="ar-SA"/>
        </w:rPr>
      </w:pPr>
      <w:r>
        <w:rPr>
          <w:rFonts w:hint="eastAsia" w:cs="宋体"/>
          <w:color w:val="auto"/>
          <w:highlight w:val="none"/>
          <w:lang w:eastAsia="zh-CN" w:bidi="ar-SA"/>
        </w:rPr>
        <w:t>（</w:t>
      </w:r>
      <w:r>
        <w:rPr>
          <w:rFonts w:hint="eastAsia" w:cs="宋体"/>
          <w:color w:val="auto"/>
          <w:highlight w:val="none"/>
          <w:lang w:bidi="ar-SA"/>
        </w:rPr>
        <w:t>一</w:t>
      </w:r>
      <w:r>
        <w:rPr>
          <w:rFonts w:hint="eastAsia" w:cs="宋体"/>
          <w:color w:val="auto"/>
          <w:highlight w:val="none"/>
          <w:lang w:eastAsia="zh-CN" w:bidi="ar-SA"/>
        </w:rPr>
        <w:t>）</w:t>
      </w:r>
      <w:r>
        <w:rPr>
          <w:rFonts w:hint="eastAsia" w:cs="宋体"/>
          <w:color w:val="auto"/>
          <w:highlight w:val="none"/>
          <w:lang w:bidi="ar-SA"/>
        </w:rPr>
        <w:t>对总承包工程发生的农民工工资承担全部的支付责任，对项目分包企业的农民工工资支付承担监管责任，对分包工程发生的农民工工资负有直接支付责任，对其拖欠工资且拒不支付的，由我单位先行垫付；</w:t>
      </w:r>
    </w:p>
    <w:p w14:paraId="2381F752">
      <w:pPr>
        <w:spacing w:line="420" w:lineRule="exact"/>
        <w:ind w:firstLine="420" w:firstLineChars="200"/>
        <w:rPr>
          <w:rFonts w:cs="宋体"/>
          <w:color w:val="auto"/>
          <w:highlight w:val="none"/>
          <w:lang w:bidi="ar-SA"/>
        </w:rPr>
      </w:pPr>
      <w:r>
        <w:rPr>
          <w:rFonts w:hint="eastAsia" w:cs="宋体"/>
          <w:color w:val="auto"/>
          <w:highlight w:val="none"/>
          <w:lang w:eastAsia="zh-CN" w:bidi="ar-SA"/>
        </w:rPr>
        <w:t>（</w:t>
      </w:r>
      <w:r>
        <w:rPr>
          <w:rFonts w:hint="eastAsia" w:cs="宋体"/>
          <w:color w:val="auto"/>
          <w:highlight w:val="none"/>
          <w:lang w:bidi="ar-SA"/>
        </w:rPr>
        <w:t>二</w:t>
      </w:r>
      <w:r>
        <w:rPr>
          <w:rFonts w:hint="eastAsia" w:cs="宋体"/>
          <w:color w:val="auto"/>
          <w:highlight w:val="none"/>
          <w:lang w:eastAsia="zh-CN" w:bidi="ar-SA"/>
        </w:rPr>
        <w:t>）</w:t>
      </w:r>
      <w:r>
        <w:rPr>
          <w:rFonts w:hint="eastAsia" w:cs="宋体"/>
          <w:color w:val="auto"/>
          <w:highlight w:val="none"/>
          <w:lang w:bidi="ar-SA"/>
        </w:rPr>
        <w:t>坚持诚信原则，不为任何单位组织或个人开具虚假清欠证明，否则承担全部责任。</w:t>
      </w:r>
    </w:p>
    <w:p w14:paraId="64B3E840">
      <w:pPr>
        <w:spacing w:line="420" w:lineRule="exact"/>
        <w:ind w:firstLine="420" w:firstLineChars="200"/>
        <w:rPr>
          <w:rFonts w:cs="宋体"/>
          <w:color w:val="auto"/>
          <w:highlight w:val="none"/>
          <w:lang w:bidi="ar-SA"/>
        </w:rPr>
      </w:pPr>
      <w:r>
        <w:rPr>
          <w:rFonts w:hint="eastAsia" w:cs="宋体"/>
          <w:color w:val="auto"/>
          <w:highlight w:val="none"/>
          <w:lang w:bidi="ar-SA"/>
        </w:rPr>
        <w:t>三、 严格按照《国务院办公厅关于全面治理拖欠农民工工资问题的意见</w:t>
      </w:r>
      <w:r>
        <w:rPr>
          <w:rFonts w:hint="eastAsia" w:cs="宋体"/>
          <w:color w:val="auto"/>
          <w:highlight w:val="none"/>
          <w:lang w:eastAsia="zh-CN" w:bidi="ar-SA"/>
        </w:rPr>
        <w:t>》《</w:t>
      </w:r>
      <w:r>
        <w:rPr>
          <w:rFonts w:hint="eastAsia" w:cs="宋体"/>
          <w:color w:val="auto"/>
          <w:highlight w:val="none"/>
          <w:lang w:bidi="ar-SA"/>
        </w:rPr>
        <w:t>江苏省工程建设领域农民工工资支付管理办法》等部、省要求， 建立健全清理拖欠农民工工资应急预案， 接受发包人和交通行政主管部门监督，积极贯彻落实清欠工作。凡我单位承接的工程项目发生因拖欠农民工工资引发集体上访或群体性事件的，我单位承担全部责任，启动清欠应急预案，无条件同意发包人或交通行政主管部门动用我单位的农民工工资保证金、 未支付工程进度款、履约保证金先行垫付拖欠的农民工工资，并接受相应处罚。</w:t>
      </w:r>
    </w:p>
    <w:p w14:paraId="17674F78">
      <w:pPr>
        <w:spacing w:line="420" w:lineRule="exact"/>
        <w:ind w:firstLine="420" w:firstLineChars="200"/>
        <w:rPr>
          <w:rFonts w:cs="宋体"/>
          <w:color w:val="auto"/>
          <w:highlight w:val="none"/>
          <w:lang w:bidi="ar-SA"/>
        </w:rPr>
      </w:pPr>
    </w:p>
    <w:p w14:paraId="116F7794">
      <w:pPr>
        <w:spacing w:line="420" w:lineRule="exact"/>
        <w:ind w:firstLine="420" w:firstLineChars="200"/>
        <w:rPr>
          <w:rFonts w:cs="宋体"/>
          <w:color w:val="auto"/>
          <w:highlight w:val="none"/>
          <w:lang w:bidi="ar-SA"/>
        </w:rPr>
      </w:pPr>
    </w:p>
    <w:p w14:paraId="324EE4BB">
      <w:pPr>
        <w:spacing w:line="420" w:lineRule="exact"/>
        <w:jc w:val="center"/>
        <w:rPr>
          <w:rFonts w:cs="宋体"/>
          <w:color w:val="auto"/>
          <w:highlight w:val="none"/>
          <w:lang w:bidi="ar-SA"/>
        </w:rPr>
      </w:pPr>
      <w:r>
        <w:rPr>
          <w:rFonts w:hint="eastAsia" w:cs="宋体"/>
          <w:color w:val="auto"/>
          <w:highlight w:val="none"/>
          <w:lang w:bidi="ar-SA"/>
        </w:rPr>
        <w:t xml:space="preserve">                                                  承诺人： （公章）</w:t>
      </w:r>
    </w:p>
    <w:p w14:paraId="5748CB46">
      <w:pPr>
        <w:spacing w:line="440" w:lineRule="exact"/>
        <w:ind w:firstLine="420" w:firstLineChars="200"/>
        <w:jc w:val="right"/>
        <w:rPr>
          <w:rFonts w:cs="宋体"/>
          <w:color w:val="auto"/>
          <w:highlight w:val="none"/>
          <w:lang w:bidi="ar-SA"/>
        </w:rPr>
      </w:pPr>
      <w:r>
        <w:rPr>
          <w:rFonts w:hint="eastAsia" w:cs="宋体"/>
          <w:color w:val="auto"/>
          <w:highlight w:val="none"/>
          <w:lang w:bidi="ar-SA"/>
        </w:rPr>
        <w:t>时间：   年   月   日</w:t>
      </w:r>
    </w:p>
    <w:p w14:paraId="7618CD2B">
      <w:pPr>
        <w:spacing w:line="400" w:lineRule="exact"/>
        <w:rPr>
          <w:rFonts w:hint="eastAsia" w:cs="宋体"/>
          <w:color w:val="auto"/>
          <w:highlight w:val="none"/>
          <w:lang w:bidi="ar-SA"/>
        </w:rPr>
      </w:pPr>
    </w:p>
    <w:p w14:paraId="114171BB">
      <w:pPr>
        <w:spacing w:line="400" w:lineRule="exact"/>
        <w:rPr>
          <w:rFonts w:hint="eastAsia" w:cs="宋体"/>
          <w:color w:val="auto"/>
          <w:highlight w:val="none"/>
          <w:lang w:bidi="ar-SA"/>
        </w:rPr>
      </w:pPr>
    </w:p>
    <w:p w14:paraId="74CC4685">
      <w:pPr>
        <w:spacing w:line="400" w:lineRule="exact"/>
        <w:rPr>
          <w:rFonts w:hint="eastAsia" w:cs="宋体"/>
          <w:color w:val="auto"/>
          <w:highlight w:val="none"/>
          <w:lang w:bidi="ar-SA"/>
        </w:rPr>
      </w:pPr>
    </w:p>
    <w:p w14:paraId="612292DF">
      <w:pPr>
        <w:spacing w:line="400" w:lineRule="exact"/>
        <w:rPr>
          <w:rFonts w:hint="eastAsia" w:cs="宋体"/>
          <w:color w:val="auto"/>
          <w:highlight w:val="none"/>
          <w:lang w:bidi="ar-SA"/>
        </w:rPr>
      </w:pPr>
    </w:p>
    <w:p w14:paraId="133A0035">
      <w:pPr>
        <w:spacing w:line="400" w:lineRule="exact"/>
        <w:rPr>
          <w:rFonts w:cs="宋体"/>
          <w:b/>
          <w:bCs/>
          <w:color w:val="auto"/>
          <w:highlight w:val="none"/>
          <w:lang w:bidi="ar-SA"/>
        </w:rPr>
      </w:pPr>
      <w:r>
        <w:rPr>
          <w:rFonts w:cs="宋体"/>
          <w:color w:val="auto"/>
          <w:highlight w:val="none"/>
          <w:lang w:bidi="ar-SA"/>
        </w:rPr>
        <w:br w:type="page"/>
      </w:r>
      <w:r>
        <w:rPr>
          <w:rFonts w:hint="eastAsia" w:cs="宋体"/>
          <w:color w:val="auto"/>
          <w:highlight w:val="none"/>
          <w:lang w:bidi="ar-SA"/>
        </w:rPr>
        <w:t xml:space="preserve">附件7：    </w:t>
      </w:r>
      <w:r>
        <w:rPr>
          <w:rFonts w:hint="eastAsia" w:cs="宋体"/>
          <w:b/>
          <w:bCs/>
          <w:color w:val="auto"/>
          <w:highlight w:val="none"/>
          <w:lang w:bidi="ar-SA"/>
        </w:rPr>
        <w:t xml:space="preserve">          </w:t>
      </w:r>
    </w:p>
    <w:p w14:paraId="50E0CFE8">
      <w:pPr>
        <w:spacing w:line="440" w:lineRule="exact"/>
        <w:jc w:val="center"/>
        <w:rPr>
          <w:rFonts w:hint="eastAsia" w:ascii="黑体" w:eastAsia="黑体"/>
          <w:b/>
          <w:bCs/>
          <w:color w:val="auto"/>
          <w:sz w:val="32"/>
          <w:szCs w:val="32"/>
          <w:highlight w:val="none"/>
        </w:rPr>
      </w:pPr>
      <w:r>
        <w:rPr>
          <w:rFonts w:hint="eastAsia" w:ascii="黑体" w:eastAsia="黑体"/>
          <w:b/>
          <w:bCs/>
          <w:color w:val="auto"/>
          <w:sz w:val="32"/>
          <w:szCs w:val="32"/>
          <w:highlight w:val="none"/>
        </w:rPr>
        <w:t>安全生产协议书</w:t>
      </w:r>
    </w:p>
    <w:p w14:paraId="5FBE30BB">
      <w:pPr>
        <w:snapToGrid w:val="0"/>
        <w:spacing w:line="420" w:lineRule="exact"/>
        <w:jc w:val="center"/>
        <w:rPr>
          <w:color w:val="auto"/>
          <w:highlight w:val="none"/>
        </w:rPr>
      </w:pPr>
      <w:r>
        <w:rPr>
          <w:rFonts w:hint="eastAsia"/>
          <w:color w:val="auto"/>
          <w:highlight w:val="none"/>
        </w:rPr>
        <w:t>（发包人与承包人）</w:t>
      </w:r>
    </w:p>
    <w:p w14:paraId="6B8A873D">
      <w:pPr>
        <w:widowControl/>
        <w:spacing w:line="420" w:lineRule="exact"/>
        <w:rPr>
          <w:color w:val="auto"/>
          <w:szCs w:val="21"/>
          <w:highlight w:val="none"/>
        </w:rPr>
      </w:pPr>
      <w:r>
        <w:rPr>
          <w:rFonts w:hint="eastAsia"/>
          <w:color w:val="auto"/>
          <w:szCs w:val="21"/>
          <w:highlight w:val="none"/>
        </w:rPr>
        <w:t>发包人：（以下简称“甲方”）</w:t>
      </w:r>
      <w:r>
        <w:rPr>
          <w:rFonts w:hint="eastAsia"/>
          <w:b/>
          <w:color w:val="auto"/>
          <w:szCs w:val="21"/>
          <w:highlight w:val="none"/>
          <w:u w:val="single"/>
        </w:rPr>
        <w:t xml:space="preserve">                              </w:t>
      </w:r>
    </w:p>
    <w:p w14:paraId="5E454D9B">
      <w:pPr>
        <w:widowControl/>
        <w:spacing w:line="420" w:lineRule="exact"/>
        <w:rPr>
          <w:color w:val="auto"/>
          <w:highlight w:val="none"/>
          <w:u w:val="single"/>
        </w:rPr>
      </w:pPr>
      <w:r>
        <w:rPr>
          <w:rFonts w:hint="eastAsia"/>
          <w:color w:val="auto"/>
          <w:highlight w:val="none"/>
        </w:rPr>
        <w:t>承包人：（以下简称“乙方”）</w:t>
      </w:r>
      <w:r>
        <w:rPr>
          <w:rFonts w:hint="eastAsia" w:cs="宋体"/>
          <w:color w:val="auto"/>
          <w:highlight w:val="none"/>
          <w:u w:val="single"/>
          <w:lang w:bidi="ar-SA"/>
        </w:rPr>
        <w:t xml:space="preserve">    </w:t>
      </w:r>
      <w:r>
        <w:rPr>
          <w:rFonts w:hint="eastAsia"/>
          <w:color w:val="auto"/>
          <w:highlight w:val="none"/>
          <w:u w:val="single"/>
        </w:rPr>
        <w:t xml:space="preserve">                         </w:t>
      </w:r>
    </w:p>
    <w:p w14:paraId="6CDEA42E">
      <w:pPr>
        <w:snapToGrid w:val="0"/>
        <w:spacing w:line="420" w:lineRule="exact"/>
        <w:ind w:firstLine="420"/>
        <w:rPr>
          <w:color w:val="auto"/>
          <w:highlight w:val="none"/>
        </w:rPr>
      </w:pPr>
      <w:r>
        <w:rPr>
          <w:rFonts w:hint="eastAsia"/>
          <w:color w:val="auto"/>
          <w:highlight w:val="none"/>
        </w:rPr>
        <w:t>为在施工合同的实施过程中创造安全、高效的施工环境，</w:t>
      </w:r>
      <w:r>
        <w:rPr>
          <w:rFonts w:hint="eastAsia"/>
          <w:color w:val="auto"/>
          <w:highlight w:val="none"/>
          <w:lang w:eastAsia="zh-CN"/>
        </w:rPr>
        <w:t>切实做好</w:t>
      </w:r>
      <w:r>
        <w:rPr>
          <w:rFonts w:hint="eastAsia"/>
          <w:color w:val="auto"/>
          <w:highlight w:val="none"/>
        </w:rPr>
        <w:t>本项目的安全管理工作，特此签订安全生产合同。具体如下：</w:t>
      </w:r>
    </w:p>
    <w:p w14:paraId="4AF7FBF0">
      <w:pPr>
        <w:snapToGrid w:val="0"/>
        <w:spacing w:line="420" w:lineRule="exact"/>
        <w:ind w:firstLine="422"/>
        <w:rPr>
          <w:b/>
          <w:color w:val="auto"/>
          <w:highlight w:val="none"/>
        </w:rPr>
      </w:pPr>
      <w:r>
        <w:rPr>
          <w:rFonts w:hint="eastAsia"/>
          <w:b/>
          <w:color w:val="auto"/>
          <w:highlight w:val="none"/>
        </w:rPr>
        <w:t>一、</w:t>
      </w:r>
      <w:r>
        <w:rPr>
          <w:rFonts w:hint="eastAsia"/>
          <w:color w:val="auto"/>
          <w:highlight w:val="none"/>
        </w:rPr>
        <w:t>甲方职责</w:t>
      </w:r>
    </w:p>
    <w:p w14:paraId="084A14B0">
      <w:pPr>
        <w:snapToGrid w:val="0"/>
        <w:spacing w:line="420" w:lineRule="exact"/>
        <w:ind w:firstLine="420"/>
        <w:rPr>
          <w:color w:val="auto"/>
          <w:highlight w:val="none"/>
        </w:rPr>
      </w:pPr>
      <w:r>
        <w:rPr>
          <w:rFonts w:hint="eastAsia"/>
          <w:color w:val="auto"/>
          <w:highlight w:val="none"/>
        </w:rPr>
        <w:t>1．严格遵守国家有关安全生产的法律法规，认真执行工程承包合同中的有关安全要求。</w:t>
      </w:r>
    </w:p>
    <w:p w14:paraId="2F581548">
      <w:pPr>
        <w:snapToGrid w:val="0"/>
        <w:spacing w:line="420" w:lineRule="exact"/>
        <w:ind w:firstLine="420"/>
        <w:rPr>
          <w:color w:val="auto"/>
          <w:highlight w:val="none"/>
        </w:rPr>
      </w:pPr>
      <w:r>
        <w:rPr>
          <w:rFonts w:hint="eastAsia"/>
          <w:color w:val="auto"/>
          <w:highlight w:val="none"/>
        </w:rPr>
        <w:t>2．按照“安全第一、预防为主”和坚持“管生产</w:t>
      </w:r>
      <w:r>
        <w:rPr>
          <w:rFonts w:hint="eastAsia"/>
          <w:color w:val="auto"/>
          <w:highlight w:val="none"/>
          <w:lang w:eastAsia="zh-CN"/>
        </w:rPr>
        <w:t>必须</w:t>
      </w:r>
      <w:r>
        <w:rPr>
          <w:rFonts w:hint="eastAsia"/>
          <w:color w:val="auto"/>
          <w:highlight w:val="none"/>
        </w:rPr>
        <w:t>管安全”的原则进行安全生产管理，做到生产与安全工作同时计划、布置、检查、总结和评比。</w:t>
      </w:r>
    </w:p>
    <w:p w14:paraId="4240DABD">
      <w:pPr>
        <w:snapToGrid w:val="0"/>
        <w:spacing w:line="420" w:lineRule="exact"/>
        <w:ind w:firstLine="420"/>
        <w:rPr>
          <w:color w:val="auto"/>
          <w:highlight w:val="none"/>
        </w:rPr>
      </w:pPr>
      <w:r>
        <w:rPr>
          <w:rFonts w:hint="eastAsia"/>
          <w:color w:val="auto"/>
          <w:highlight w:val="none"/>
        </w:rPr>
        <w:t>3．定期召开安全生产协调会，及时传达</w:t>
      </w:r>
      <w:r>
        <w:rPr>
          <w:rFonts w:hint="eastAsia"/>
          <w:color w:val="auto"/>
          <w:highlight w:val="none"/>
          <w:lang w:eastAsia="zh-CN"/>
        </w:rPr>
        <w:t>中央和地方</w:t>
      </w:r>
      <w:r>
        <w:rPr>
          <w:rFonts w:hint="eastAsia"/>
          <w:color w:val="auto"/>
          <w:highlight w:val="none"/>
        </w:rPr>
        <w:t>有关安全生产的精神。</w:t>
      </w:r>
    </w:p>
    <w:p w14:paraId="71C78E90">
      <w:pPr>
        <w:snapToGrid w:val="0"/>
        <w:spacing w:line="420" w:lineRule="exact"/>
        <w:ind w:firstLine="420"/>
        <w:rPr>
          <w:color w:val="auto"/>
          <w:highlight w:val="none"/>
        </w:rPr>
      </w:pPr>
      <w:r>
        <w:rPr>
          <w:rFonts w:hint="eastAsia"/>
          <w:color w:val="auto"/>
          <w:highlight w:val="none"/>
        </w:rPr>
        <w:t>4．组织对乙方施工现场安全生产检查，建立安全生产责任制网络、汇总重要危险源、监督乙方及时处理发现的各种安全隐患。</w:t>
      </w:r>
    </w:p>
    <w:p w14:paraId="3EFEF5E8">
      <w:pPr>
        <w:snapToGrid w:val="0"/>
        <w:spacing w:line="420" w:lineRule="exact"/>
        <w:ind w:firstLine="422"/>
        <w:rPr>
          <w:b/>
          <w:color w:val="auto"/>
          <w:highlight w:val="none"/>
        </w:rPr>
      </w:pPr>
      <w:r>
        <w:rPr>
          <w:rFonts w:hint="eastAsia"/>
          <w:b/>
          <w:color w:val="auto"/>
          <w:highlight w:val="none"/>
        </w:rPr>
        <w:t>二、</w:t>
      </w:r>
      <w:r>
        <w:rPr>
          <w:rFonts w:hint="eastAsia"/>
          <w:color w:val="auto"/>
          <w:highlight w:val="none"/>
        </w:rPr>
        <w:t>乙方职责</w:t>
      </w:r>
    </w:p>
    <w:p w14:paraId="62B5B7B2">
      <w:pPr>
        <w:snapToGrid w:val="0"/>
        <w:spacing w:line="420" w:lineRule="exact"/>
        <w:ind w:firstLine="420"/>
        <w:rPr>
          <w:color w:val="auto"/>
          <w:highlight w:val="none"/>
        </w:rPr>
      </w:pPr>
      <w:r>
        <w:rPr>
          <w:rFonts w:hint="eastAsia"/>
          <w:color w:val="auto"/>
          <w:highlight w:val="none"/>
        </w:rPr>
        <w:t>1．严格遵守国家有关安全生产的法律法规、有关安全生产的规定，认真执行工程承包合同中的有关安全要求，接受甲方和监理工程师对安全生产工作的指导。</w:t>
      </w:r>
    </w:p>
    <w:p w14:paraId="2F8A6155">
      <w:pPr>
        <w:snapToGrid w:val="0"/>
        <w:spacing w:line="420" w:lineRule="exact"/>
        <w:ind w:firstLine="420"/>
        <w:rPr>
          <w:color w:val="auto"/>
          <w:highlight w:val="none"/>
        </w:rPr>
      </w:pPr>
      <w:r>
        <w:rPr>
          <w:rFonts w:hint="eastAsia"/>
          <w:color w:val="auto"/>
          <w:highlight w:val="none"/>
        </w:rPr>
        <w:t>2．坚持“安全第一、预防为主”和“管生产必须管安全”的原则，加强安全生产宣传教育，增强全员安全生产意识，建立健全各项安全生产管理制度，配备专职及兼职安全检查人员，有组织有领导地开展安全生产活动。各级领导、工程技术人员、生产管理人员和具体操作人员，必须熟悉和遵守本条款的各项规定，做到生产与安全工作同时计划、布置、检查、总结和评比。</w:t>
      </w:r>
    </w:p>
    <w:p w14:paraId="3A9C3B3A">
      <w:pPr>
        <w:snapToGrid w:val="0"/>
        <w:spacing w:line="420" w:lineRule="exact"/>
        <w:ind w:firstLine="420"/>
        <w:rPr>
          <w:color w:val="auto"/>
          <w:highlight w:val="none"/>
        </w:rPr>
      </w:pPr>
      <w:r>
        <w:rPr>
          <w:rFonts w:hint="eastAsia"/>
          <w:color w:val="auto"/>
          <w:highlight w:val="none"/>
        </w:rPr>
        <w:t>3．建立健全安全生产责任制网络。从派往项目实施的项目经理到生产工人（包括临时雇请的民工）的安全生产管理系统必须做到纵向到底，一环不漏；各职能部门、人员的安全生产责任制做到横向到边，人人有责。施工单位的主要负责人是工程的安全生产负责人，对安全生产负领导责任，项目经理是工程的安全生产责任人，对安全生产负直接责任，专职安全员和安全员是工程现场的安全生产直接责任人，对安全生产具体负责。现场设置的安全机构，应按施工合同约定，配备安全员（其中专职安全员不少于1人），专职负责所有员工的安全和治安保卫工作及预防事故的发生。安全机构人员，有权按有关规定发布指令，并采取保护性措施防止事故发生。</w:t>
      </w:r>
    </w:p>
    <w:p w14:paraId="1BEF37FE">
      <w:pPr>
        <w:snapToGrid w:val="0"/>
        <w:spacing w:line="420" w:lineRule="exact"/>
        <w:ind w:firstLine="420"/>
        <w:rPr>
          <w:color w:val="auto"/>
          <w:highlight w:val="none"/>
        </w:rPr>
      </w:pPr>
      <w:r>
        <w:rPr>
          <w:rFonts w:hint="eastAsia"/>
          <w:color w:val="auto"/>
          <w:highlight w:val="none"/>
        </w:rPr>
        <w:t>4．乙方在任何</w:t>
      </w:r>
      <w:r>
        <w:rPr>
          <w:rFonts w:hint="eastAsia"/>
          <w:color w:val="auto"/>
          <w:highlight w:val="none"/>
          <w:lang w:eastAsia="zh-CN"/>
        </w:rPr>
        <w:t>时候</w:t>
      </w:r>
      <w:r>
        <w:rPr>
          <w:rFonts w:hint="eastAsia"/>
          <w:color w:val="auto"/>
          <w:highlight w:val="none"/>
        </w:rPr>
        <w:t>都应采取各种合理的预防措施，防止其人员发生任何违法、违禁、暴力、违规或妨碍治安的行为。</w:t>
      </w:r>
    </w:p>
    <w:p w14:paraId="2601EFF2">
      <w:pPr>
        <w:snapToGrid w:val="0"/>
        <w:spacing w:line="420" w:lineRule="exact"/>
        <w:ind w:firstLine="420"/>
        <w:rPr>
          <w:color w:val="auto"/>
          <w:highlight w:val="none"/>
        </w:rPr>
      </w:pPr>
      <w:r>
        <w:rPr>
          <w:rFonts w:hint="eastAsia"/>
          <w:color w:val="auto"/>
          <w:highlight w:val="none"/>
        </w:rPr>
        <w:t>5．乙方必须具有省部级行政主管部门颁发的安全生产证书，参加施工的人员，必须</w:t>
      </w:r>
      <w:r>
        <w:rPr>
          <w:rFonts w:hint="eastAsia"/>
          <w:color w:val="auto"/>
          <w:highlight w:val="none"/>
          <w:lang w:eastAsia="zh-CN"/>
        </w:rPr>
        <w:t>接受</w:t>
      </w:r>
      <w:r>
        <w:rPr>
          <w:rFonts w:hint="eastAsia"/>
          <w:color w:val="auto"/>
          <w:highlight w:val="none"/>
        </w:rPr>
        <w:t>安全技术教育，熟知和遵守本工程的各项安全技术操作规程，定期进行安全技术考核，合格者方准上岗操作，对于从事机动车驾驶、电气、起重、</w:t>
      </w:r>
      <w:r>
        <w:rPr>
          <w:rFonts w:hint="eastAsia"/>
          <w:color w:val="auto"/>
          <w:highlight w:val="none"/>
          <w:lang w:eastAsia="zh-CN"/>
        </w:rPr>
        <w:t>建筑限高</w:t>
      </w:r>
      <w:r>
        <w:rPr>
          <w:rFonts w:hint="eastAsia"/>
          <w:color w:val="auto"/>
          <w:highlight w:val="none"/>
        </w:rPr>
        <w:t>架设作业、焊接等特殊工程的人员须持证上岗。施工现场如发现无证操作现象时，项目经理必须承担管理责任。</w:t>
      </w:r>
    </w:p>
    <w:p w14:paraId="768978C8">
      <w:pPr>
        <w:snapToGrid w:val="0"/>
        <w:spacing w:line="420" w:lineRule="exact"/>
        <w:ind w:firstLine="420"/>
        <w:rPr>
          <w:color w:val="auto"/>
          <w:highlight w:val="none"/>
        </w:rPr>
      </w:pPr>
      <w:r>
        <w:rPr>
          <w:rFonts w:hint="eastAsia"/>
          <w:color w:val="auto"/>
          <w:highlight w:val="none"/>
        </w:rPr>
        <w:t>6．加强施工中交通运输安全管理，各种运输机械等需划定运输路线行驶。</w:t>
      </w:r>
    </w:p>
    <w:p w14:paraId="268BE62E">
      <w:pPr>
        <w:snapToGrid w:val="0"/>
        <w:spacing w:line="420" w:lineRule="exact"/>
        <w:ind w:firstLine="420"/>
        <w:rPr>
          <w:color w:val="auto"/>
          <w:highlight w:val="none"/>
        </w:rPr>
      </w:pPr>
      <w:r>
        <w:rPr>
          <w:rFonts w:hint="eastAsia"/>
          <w:color w:val="auto"/>
          <w:highlight w:val="none"/>
        </w:rPr>
        <w:t>7．对于易燃易爆的材料除应专门有效封闭、妥善保管之外，还应</w:t>
      </w:r>
      <w:r>
        <w:rPr>
          <w:rFonts w:hint="eastAsia"/>
          <w:color w:val="auto"/>
          <w:highlight w:val="none"/>
          <w:lang w:eastAsia="zh-CN"/>
        </w:rPr>
        <w:t>配备</w:t>
      </w:r>
      <w:r>
        <w:rPr>
          <w:rFonts w:hint="eastAsia"/>
          <w:color w:val="auto"/>
          <w:highlight w:val="none"/>
        </w:rPr>
        <w:t>足够的消防设施，所有施工人员都应熟悉消防设备的性能和使用方法。</w:t>
      </w:r>
    </w:p>
    <w:p w14:paraId="5821B758">
      <w:pPr>
        <w:snapToGrid w:val="0"/>
        <w:spacing w:line="420" w:lineRule="exact"/>
        <w:ind w:firstLine="420"/>
        <w:rPr>
          <w:color w:val="auto"/>
          <w:highlight w:val="none"/>
        </w:rPr>
      </w:pPr>
      <w:r>
        <w:rPr>
          <w:rFonts w:hint="eastAsia"/>
          <w:color w:val="auto"/>
          <w:highlight w:val="none"/>
        </w:rPr>
        <w:t>8．操作人员上岗，必须按规定穿戴防护用品。施工负责人和安全检查员应随时检查劳动防护用品的穿戴情况，不按规定穿戴防护用品的人员不得上岗。</w:t>
      </w:r>
    </w:p>
    <w:p w14:paraId="3D898163">
      <w:pPr>
        <w:snapToGrid w:val="0"/>
        <w:spacing w:line="420" w:lineRule="exact"/>
        <w:ind w:firstLine="420"/>
        <w:rPr>
          <w:color w:val="auto"/>
          <w:highlight w:val="none"/>
        </w:rPr>
      </w:pPr>
      <w:r>
        <w:rPr>
          <w:rFonts w:hint="eastAsia"/>
          <w:color w:val="auto"/>
          <w:highlight w:val="none"/>
        </w:rPr>
        <w:t>9．所有施工机具、设备和劳动保护用品应具备有效的安检合格证明，并经安全员签字同意后方可使用，施工期间应定期检查，保证其处于完好状态；不合格的机具、设备和劳动保护用品严禁使用。</w:t>
      </w:r>
    </w:p>
    <w:p w14:paraId="32046F47">
      <w:pPr>
        <w:snapToGrid w:val="0"/>
        <w:spacing w:line="420" w:lineRule="exact"/>
        <w:ind w:firstLine="420"/>
        <w:rPr>
          <w:color w:val="auto"/>
          <w:highlight w:val="none"/>
        </w:rPr>
      </w:pPr>
      <w:r>
        <w:rPr>
          <w:rFonts w:hint="eastAsia"/>
          <w:color w:val="auto"/>
          <w:highlight w:val="none"/>
        </w:rPr>
        <w:t>10．施工现场必须具有相关的安全标志牌。</w:t>
      </w:r>
    </w:p>
    <w:p w14:paraId="7E00B10A">
      <w:pPr>
        <w:snapToGrid w:val="0"/>
        <w:spacing w:line="420" w:lineRule="exact"/>
        <w:ind w:firstLine="420"/>
        <w:rPr>
          <w:color w:val="auto"/>
          <w:highlight w:val="none"/>
        </w:rPr>
      </w:pPr>
      <w:r>
        <w:rPr>
          <w:rFonts w:hint="eastAsia"/>
          <w:color w:val="auto"/>
          <w:highlight w:val="none"/>
        </w:rPr>
        <w:t>11．建立主要危险源备案制度，要明确潜在隐患、防范措施和落实责任人。</w:t>
      </w:r>
    </w:p>
    <w:p w14:paraId="785C7302">
      <w:pPr>
        <w:snapToGrid w:val="0"/>
        <w:spacing w:line="420" w:lineRule="exact"/>
        <w:ind w:firstLine="420"/>
        <w:rPr>
          <w:color w:val="auto"/>
          <w:highlight w:val="none"/>
        </w:rPr>
      </w:pPr>
      <w:r>
        <w:rPr>
          <w:rFonts w:hint="eastAsia"/>
          <w:color w:val="auto"/>
          <w:highlight w:val="none"/>
        </w:rPr>
        <w:t>12．乙方必须按照本工程项目特点，组织制定本工程实施中的生产安全事故应急救援预案；如果发生安全事故，应按照《国务院关于特大安全事故行政责任追究的规定》</w:t>
      </w:r>
      <w:r>
        <w:rPr>
          <w:rFonts w:hint="eastAsia"/>
          <w:color w:val="auto"/>
          <w:highlight w:val="none"/>
          <w:lang w:eastAsia="zh-CN"/>
        </w:rPr>
        <w:t>以及其他</w:t>
      </w:r>
      <w:r>
        <w:rPr>
          <w:rFonts w:hint="eastAsia"/>
          <w:color w:val="auto"/>
          <w:highlight w:val="none"/>
        </w:rPr>
        <w:t>有关规定，及时上报有关部门，并坚持“三不放过”的原则，严肃处理相关责任人。</w:t>
      </w:r>
    </w:p>
    <w:p w14:paraId="07972929">
      <w:pPr>
        <w:snapToGrid w:val="0"/>
        <w:spacing w:line="420" w:lineRule="exact"/>
        <w:ind w:firstLine="422"/>
        <w:rPr>
          <w:b/>
          <w:color w:val="auto"/>
          <w:highlight w:val="none"/>
        </w:rPr>
      </w:pPr>
      <w:r>
        <w:rPr>
          <w:rFonts w:hint="eastAsia"/>
          <w:b/>
          <w:color w:val="auto"/>
          <w:highlight w:val="none"/>
        </w:rPr>
        <w:t>三、</w:t>
      </w:r>
      <w:r>
        <w:rPr>
          <w:rFonts w:hint="eastAsia"/>
          <w:color w:val="auto"/>
          <w:highlight w:val="none"/>
        </w:rPr>
        <w:t>违约责任</w:t>
      </w:r>
    </w:p>
    <w:p w14:paraId="21335C5A">
      <w:pPr>
        <w:snapToGrid w:val="0"/>
        <w:spacing w:line="420" w:lineRule="exact"/>
        <w:ind w:firstLine="420"/>
        <w:rPr>
          <w:color w:val="auto"/>
          <w:highlight w:val="none"/>
        </w:rPr>
      </w:pPr>
      <w:r>
        <w:rPr>
          <w:rFonts w:hint="eastAsia"/>
          <w:color w:val="auto"/>
          <w:highlight w:val="none"/>
        </w:rPr>
        <w:t>如因甲方或乙方违约造成安全事故，将报请有关部门依法追究责任。</w:t>
      </w:r>
    </w:p>
    <w:p w14:paraId="106E5C0F">
      <w:pPr>
        <w:snapToGrid w:val="0"/>
        <w:spacing w:line="420" w:lineRule="exact"/>
        <w:ind w:firstLine="420"/>
        <w:rPr>
          <w:color w:val="auto"/>
          <w:highlight w:val="none"/>
        </w:rPr>
      </w:pPr>
      <w:r>
        <w:rPr>
          <w:rFonts w:hint="eastAsia"/>
          <w:color w:val="auto"/>
          <w:highlight w:val="none"/>
        </w:rPr>
        <w:t>本合同一式二份，由双方法定代表人或其授权的代理人签署和加盖公章后生效，全部工程竣工验收后失效。</w:t>
      </w:r>
    </w:p>
    <w:p w14:paraId="0629C49A">
      <w:pPr>
        <w:snapToGrid w:val="0"/>
        <w:spacing w:line="420" w:lineRule="exact"/>
        <w:ind w:firstLine="420"/>
        <w:rPr>
          <w:color w:val="auto"/>
          <w:highlight w:val="none"/>
        </w:rPr>
      </w:pPr>
    </w:p>
    <w:p w14:paraId="25807A9C">
      <w:pPr>
        <w:snapToGrid w:val="0"/>
        <w:spacing w:line="420" w:lineRule="exact"/>
        <w:ind w:firstLine="420"/>
        <w:rPr>
          <w:color w:val="auto"/>
          <w:highlight w:val="none"/>
        </w:rPr>
      </w:pPr>
      <w:r>
        <w:rPr>
          <w:rFonts w:hint="eastAsia"/>
          <w:color w:val="auto"/>
          <w:highlight w:val="none"/>
        </w:rPr>
        <w:t xml:space="preserve">甲      方：                         乙    方：                     </w:t>
      </w:r>
    </w:p>
    <w:p w14:paraId="26FECB42">
      <w:pPr>
        <w:snapToGrid w:val="0"/>
        <w:spacing w:line="420" w:lineRule="exact"/>
        <w:ind w:firstLine="420"/>
        <w:rPr>
          <w:color w:val="auto"/>
          <w:highlight w:val="none"/>
        </w:rPr>
      </w:pPr>
      <w:r>
        <w:rPr>
          <w:rFonts w:hint="eastAsia"/>
          <w:color w:val="auto"/>
          <w:highlight w:val="none"/>
        </w:rPr>
        <w:t>法定代表人（或授权代理人）：         法定代表人（或授权代理人）：</w:t>
      </w:r>
    </w:p>
    <w:p w14:paraId="3CA83730">
      <w:pPr>
        <w:snapToGrid w:val="0"/>
        <w:spacing w:line="420" w:lineRule="exact"/>
        <w:ind w:firstLine="420"/>
        <w:rPr>
          <w:color w:val="auto"/>
          <w:highlight w:val="none"/>
        </w:rPr>
      </w:pPr>
      <w:r>
        <w:rPr>
          <w:rFonts w:hint="eastAsia"/>
          <w:color w:val="auto"/>
          <w:highlight w:val="none"/>
        </w:rPr>
        <w:t xml:space="preserve">地       址：                        地     址：             </w:t>
      </w:r>
    </w:p>
    <w:p w14:paraId="768C8BDC">
      <w:pPr>
        <w:snapToGrid w:val="0"/>
        <w:spacing w:line="420" w:lineRule="exact"/>
        <w:ind w:firstLine="420"/>
        <w:rPr>
          <w:color w:val="auto"/>
          <w:highlight w:val="none"/>
        </w:rPr>
      </w:pPr>
      <w:r>
        <w:rPr>
          <w:rFonts w:hint="eastAsia"/>
          <w:color w:val="auto"/>
          <w:highlight w:val="none"/>
        </w:rPr>
        <w:t xml:space="preserve">电       话：                        电     话：              </w:t>
      </w:r>
    </w:p>
    <w:p w14:paraId="0665DA0B">
      <w:pPr>
        <w:snapToGrid w:val="0"/>
        <w:spacing w:line="420" w:lineRule="exact"/>
        <w:ind w:firstLine="420"/>
        <w:rPr>
          <w:color w:val="auto"/>
          <w:highlight w:val="none"/>
        </w:rPr>
      </w:pPr>
    </w:p>
    <w:p w14:paraId="2B92C98A">
      <w:pPr>
        <w:snapToGrid w:val="0"/>
        <w:spacing w:line="420" w:lineRule="exact"/>
        <w:ind w:firstLine="4252" w:firstLineChars="2025"/>
        <w:rPr>
          <w:color w:val="auto"/>
          <w:highlight w:val="none"/>
        </w:rPr>
      </w:pPr>
      <w:r>
        <w:rPr>
          <w:rFonts w:hint="eastAsia"/>
          <w:color w:val="auto"/>
          <w:highlight w:val="none"/>
        </w:rPr>
        <w:t>日     期：    年   月    日</w:t>
      </w:r>
    </w:p>
    <w:p w14:paraId="0689C077">
      <w:pPr>
        <w:widowControl/>
        <w:jc w:val="left"/>
        <w:rPr>
          <w:rFonts w:ascii="宋体" w:hAnsi="宋体"/>
          <w:b/>
          <w:color w:val="auto"/>
          <w:sz w:val="32"/>
          <w:szCs w:val="32"/>
          <w:highlight w:val="none"/>
        </w:rPr>
      </w:pPr>
    </w:p>
    <w:p w14:paraId="4CA5926A">
      <w:pPr>
        <w:spacing w:line="480" w:lineRule="exact"/>
        <w:ind w:firstLine="643" w:firstLineChars="200"/>
        <w:jc w:val="center"/>
        <w:rPr>
          <w:b/>
          <w:bCs/>
          <w:color w:val="auto"/>
          <w:sz w:val="32"/>
          <w:szCs w:val="32"/>
          <w:highlight w:val="none"/>
        </w:rPr>
      </w:pPr>
      <w:r>
        <w:rPr>
          <w:rFonts w:hAnsi="宋体"/>
          <w:b/>
          <w:color w:val="auto"/>
          <w:sz w:val="32"/>
          <w:szCs w:val="32"/>
          <w:highlight w:val="none"/>
        </w:rPr>
        <w:br w:type="page"/>
      </w:r>
      <w:r>
        <w:rPr>
          <w:rFonts w:hAnsi="宋体"/>
          <w:b/>
          <w:color w:val="auto"/>
          <w:sz w:val="32"/>
          <w:szCs w:val="32"/>
          <w:highlight w:val="none"/>
        </w:rPr>
        <w:t>第四章</w:t>
      </w:r>
      <w:r>
        <w:rPr>
          <w:b/>
          <w:color w:val="auto"/>
          <w:sz w:val="32"/>
          <w:szCs w:val="32"/>
          <w:highlight w:val="none"/>
        </w:rPr>
        <w:t xml:space="preserve"> </w:t>
      </w:r>
      <w:r>
        <w:rPr>
          <w:rFonts w:hAnsi="宋体"/>
          <w:b/>
          <w:color w:val="auto"/>
          <w:sz w:val="32"/>
          <w:szCs w:val="32"/>
          <w:highlight w:val="none"/>
        </w:rPr>
        <w:t>工程建设标准</w:t>
      </w:r>
      <w:bookmarkEnd w:id="35"/>
    </w:p>
    <w:p w14:paraId="522B9CFC">
      <w:pPr>
        <w:spacing w:line="360" w:lineRule="auto"/>
        <w:ind w:right="-233" w:rightChars="-111"/>
        <w:jc w:val="left"/>
        <w:rPr>
          <w:rFonts w:hAnsi="宋体"/>
          <w:b/>
          <w:bCs/>
          <w:color w:val="auto"/>
          <w:sz w:val="24"/>
          <w:highlight w:val="none"/>
        </w:rPr>
      </w:pPr>
    </w:p>
    <w:p w14:paraId="3CCD352B">
      <w:pPr>
        <w:spacing w:line="360" w:lineRule="auto"/>
        <w:ind w:right="-233" w:rightChars="-111"/>
        <w:jc w:val="left"/>
        <w:rPr>
          <w:rFonts w:ascii="宋体" w:hAnsi="宋体"/>
          <w:b/>
          <w:color w:val="auto"/>
          <w:szCs w:val="21"/>
          <w:highlight w:val="none"/>
        </w:rPr>
      </w:pPr>
      <w:r>
        <w:rPr>
          <w:rFonts w:ascii="宋体" w:hAnsi="宋体"/>
          <w:b/>
          <w:color w:val="auto"/>
          <w:szCs w:val="21"/>
          <w:highlight w:val="none"/>
        </w:rPr>
        <w:t>一、工程采用的计价规范</w:t>
      </w:r>
    </w:p>
    <w:p w14:paraId="401C2B02">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1、《建设工程工程量清单计价规范》（GB50500-2013）；</w:t>
      </w:r>
    </w:p>
    <w:p w14:paraId="6F331B78">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2、《安装工程工程量计算规范》（GB50856-2013）；</w:t>
      </w:r>
    </w:p>
    <w:p w14:paraId="33A1EE76">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3、《江苏省建设工程费用定额》（2014年）；</w:t>
      </w:r>
    </w:p>
    <w:p w14:paraId="7216336A">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4、《江苏省建筑与装饰工程计价定额》（2014年）；</w:t>
      </w:r>
    </w:p>
    <w:p w14:paraId="75B2A76F">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5、《江苏省安装工程计价定额》（2014版）；</w:t>
      </w:r>
    </w:p>
    <w:p w14:paraId="7DEA360E">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6、《江苏省房屋修缮工程计价表》（2009年版）；</w:t>
      </w:r>
    </w:p>
    <w:p w14:paraId="4B6B0CF3">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7、《省住房城乡建设厅关于建筑业实施营改增后江苏省建设工程计价依据调整的通知》（苏建价〔2016〕154号）、《省住房城乡建设厅关于调整建设工程计价增值税税率的通知》（苏建函价〔2019〕178号）</w:t>
      </w:r>
      <w:r>
        <w:rPr>
          <w:rFonts w:hint="eastAsia" w:ascii="宋体" w:hAnsi="宋体"/>
          <w:color w:val="auto"/>
          <w:szCs w:val="21"/>
          <w:highlight w:val="none"/>
          <w:lang w:eastAsia="zh-CN"/>
        </w:rPr>
        <w:t>。</w:t>
      </w:r>
    </w:p>
    <w:p w14:paraId="15F78DD6">
      <w:pPr>
        <w:spacing w:line="360" w:lineRule="auto"/>
        <w:ind w:right="-233" w:rightChars="-111" w:firstLine="420" w:firstLineChars="200"/>
        <w:jc w:val="left"/>
        <w:rPr>
          <w:rFonts w:ascii="宋体" w:hAnsi="宋体"/>
          <w:color w:val="auto"/>
          <w:szCs w:val="21"/>
          <w:highlight w:val="none"/>
        </w:rPr>
      </w:pPr>
      <w:r>
        <w:rPr>
          <w:rFonts w:hint="eastAsia" w:ascii="宋体" w:hAnsi="宋体"/>
          <w:color w:val="auto"/>
          <w:szCs w:val="21"/>
          <w:highlight w:val="none"/>
        </w:rPr>
        <w:t>8、现行有关文件规定。</w:t>
      </w:r>
    </w:p>
    <w:p w14:paraId="2816FDB1">
      <w:pPr>
        <w:spacing w:line="360" w:lineRule="auto"/>
        <w:ind w:right="-233" w:rightChars="-111"/>
        <w:jc w:val="left"/>
        <w:rPr>
          <w:rFonts w:ascii="宋体" w:hAnsi="宋体"/>
          <w:b/>
          <w:color w:val="auto"/>
          <w:szCs w:val="21"/>
          <w:highlight w:val="none"/>
        </w:rPr>
      </w:pPr>
      <w:r>
        <w:rPr>
          <w:rFonts w:ascii="宋体" w:hAnsi="宋体"/>
          <w:b/>
          <w:color w:val="auto"/>
          <w:szCs w:val="21"/>
          <w:highlight w:val="none"/>
        </w:rPr>
        <w:t>二、本工程采用的技术规范</w:t>
      </w:r>
    </w:p>
    <w:p w14:paraId="33D127DF">
      <w:pPr>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本工程应按以下规范与标准执行（包括并不限于）。当标准互相矛盾时，以最新和最严格的为准。</w:t>
      </w:r>
    </w:p>
    <w:p w14:paraId="6BACF49F">
      <w:pPr>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1、《中华人民共和国建筑法</w:t>
      </w:r>
      <w:r>
        <w:rPr>
          <w:rFonts w:hint="eastAsia" w:ascii="宋体" w:hAnsi="宋体"/>
          <w:color w:val="auto"/>
          <w:szCs w:val="21"/>
          <w:highlight w:val="none"/>
          <w:lang w:eastAsia="zh-CN"/>
        </w:rPr>
        <w:t>》《</w:t>
      </w:r>
      <w:r>
        <w:rPr>
          <w:rFonts w:hint="eastAsia" w:ascii="宋体" w:hAnsi="宋体"/>
          <w:color w:val="auto"/>
          <w:szCs w:val="21"/>
          <w:highlight w:val="none"/>
        </w:rPr>
        <w:t>中华人民共和国安全生产法</w:t>
      </w:r>
      <w:r>
        <w:rPr>
          <w:rFonts w:hint="eastAsia" w:ascii="宋体" w:hAnsi="宋体"/>
          <w:color w:val="auto"/>
          <w:szCs w:val="21"/>
          <w:highlight w:val="none"/>
          <w:lang w:eastAsia="zh-CN"/>
        </w:rPr>
        <w:t>》《</w:t>
      </w:r>
      <w:r>
        <w:rPr>
          <w:rFonts w:hint="eastAsia" w:ascii="宋体" w:hAnsi="宋体"/>
          <w:color w:val="auto"/>
          <w:szCs w:val="21"/>
          <w:highlight w:val="none"/>
        </w:rPr>
        <w:t>建设工程安全生产管理条例</w:t>
      </w:r>
      <w:r>
        <w:rPr>
          <w:rFonts w:hint="eastAsia" w:ascii="宋体" w:hAnsi="宋体"/>
          <w:color w:val="auto"/>
          <w:szCs w:val="21"/>
          <w:highlight w:val="none"/>
          <w:lang w:eastAsia="zh-CN"/>
        </w:rPr>
        <w:t>》《</w:t>
      </w:r>
      <w:r>
        <w:rPr>
          <w:rFonts w:hint="eastAsia" w:ascii="宋体" w:hAnsi="宋体"/>
          <w:color w:val="auto"/>
          <w:szCs w:val="21"/>
          <w:highlight w:val="none"/>
        </w:rPr>
        <w:t>建筑施工安全检查标准》</w:t>
      </w:r>
      <w:r>
        <w:rPr>
          <w:rFonts w:hint="eastAsia" w:ascii="宋体" w:hAnsi="宋体"/>
          <w:color w:val="auto"/>
          <w:szCs w:val="21"/>
          <w:highlight w:val="none"/>
          <w:lang w:eastAsia="zh-CN"/>
        </w:rPr>
        <w:t>（</w:t>
      </w:r>
      <w:r>
        <w:rPr>
          <w:rFonts w:hint="eastAsia" w:ascii="宋体" w:hAnsi="宋体"/>
          <w:color w:val="auto"/>
          <w:szCs w:val="21"/>
          <w:highlight w:val="none"/>
        </w:rPr>
        <w:t>JGJ59-2011</w:t>
      </w:r>
      <w:r>
        <w:rPr>
          <w:rFonts w:hint="eastAsia" w:ascii="宋体" w:hAnsi="宋体"/>
          <w:color w:val="auto"/>
          <w:szCs w:val="21"/>
          <w:highlight w:val="none"/>
          <w:lang w:eastAsia="zh-CN"/>
        </w:rPr>
        <w:t>）</w:t>
      </w:r>
      <w:r>
        <w:rPr>
          <w:rFonts w:hint="eastAsia" w:ascii="宋体" w:hAnsi="宋体"/>
          <w:color w:val="auto"/>
          <w:szCs w:val="21"/>
          <w:highlight w:val="none"/>
        </w:rPr>
        <w:t>、《建筑施工扣件式钢管脚手架安全技术规范》（JGJ130-2011）、《建筑施工高处作业安全技术规范》（JGJ80-2016）、《建筑施工临时用电安全技术规范》（JGJ46-2005）、《江苏省建筑施工特种作业人员管理暂行办法》苏建管质</w:t>
      </w:r>
      <w:r>
        <w:rPr>
          <w:rFonts w:hint="eastAsia" w:ascii="宋体" w:hAnsi="宋体"/>
          <w:color w:val="auto"/>
          <w:szCs w:val="21"/>
          <w:highlight w:val="none"/>
          <w:lang w:eastAsia="zh-CN"/>
        </w:rPr>
        <w:t>〔2009〕5号</w:t>
      </w:r>
      <w:r>
        <w:rPr>
          <w:rFonts w:hint="eastAsia" w:ascii="宋体" w:hAnsi="宋体"/>
          <w:color w:val="auto"/>
          <w:szCs w:val="21"/>
          <w:highlight w:val="none"/>
        </w:rPr>
        <w:t>及本工程图纸所要求执行的技术规范；</w:t>
      </w:r>
    </w:p>
    <w:p w14:paraId="4A954823">
      <w:pPr>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2、其他国家、行业现行适用于本工程的设计、施工及验收规范、质量验评标准（GB、GBJ）等；</w:t>
      </w:r>
    </w:p>
    <w:p w14:paraId="0A86EC66">
      <w:pPr>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3、其他地方、行业现行适用于本工程的设计、施工及验收规范、质量验评标准（DB）等；</w:t>
      </w:r>
    </w:p>
    <w:p w14:paraId="1B2FFFFC">
      <w:pPr>
        <w:spacing w:line="360" w:lineRule="auto"/>
        <w:ind w:right="-233" w:rightChars="-111" w:firstLine="420" w:firstLineChars="200"/>
        <w:jc w:val="left"/>
        <w:rPr>
          <w:rFonts w:ascii="宋体" w:hAnsi="宋体"/>
          <w:color w:val="auto"/>
          <w:szCs w:val="21"/>
          <w:highlight w:val="none"/>
        </w:rPr>
      </w:pPr>
      <w:r>
        <w:rPr>
          <w:rFonts w:ascii="宋体" w:hAnsi="宋体"/>
          <w:color w:val="auto"/>
          <w:szCs w:val="21"/>
          <w:highlight w:val="none"/>
        </w:rPr>
        <w:t>上述技术标准和规范如有不足之处或未能达到国际最新标准时，投标方应使系统的设计、施工及选用的设备/材料符合最新版本的国际和国家标准、规范，并提供所采用的国际和国家标准、规范及所采用版本的有关技术资料。</w:t>
      </w:r>
    </w:p>
    <w:p w14:paraId="552DC441">
      <w:pPr>
        <w:spacing w:line="360" w:lineRule="auto"/>
        <w:ind w:right="-233" w:rightChars="-111"/>
        <w:jc w:val="left"/>
        <w:rPr>
          <w:rFonts w:ascii="宋体" w:hAnsi="宋体"/>
          <w:b/>
          <w:color w:val="auto"/>
          <w:szCs w:val="21"/>
          <w:highlight w:val="none"/>
        </w:rPr>
      </w:pPr>
      <w:r>
        <w:rPr>
          <w:rFonts w:ascii="宋体" w:hAnsi="宋体"/>
          <w:b/>
          <w:color w:val="auto"/>
          <w:szCs w:val="21"/>
          <w:highlight w:val="none"/>
        </w:rPr>
        <w:t>三、本工程对施工工艺的特殊要求</w:t>
      </w:r>
    </w:p>
    <w:p w14:paraId="0D9322DA">
      <w:pPr>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1、施工期间要注意周边环境，尽量避免对周围居民生活的影响。</w:t>
      </w:r>
    </w:p>
    <w:p w14:paraId="2D374D1A">
      <w:pPr>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 xml:space="preserve">2、冬、雨季施工要采取相应的保护措施。 </w:t>
      </w:r>
    </w:p>
    <w:p w14:paraId="59094ED5">
      <w:pPr>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3、工程的主要部位和特殊要求由建设、设计、监理三方讨论后以书面形式通知施工单位实施。</w:t>
      </w:r>
    </w:p>
    <w:p w14:paraId="21A6B423">
      <w:pPr>
        <w:spacing w:line="360" w:lineRule="auto"/>
        <w:ind w:right="-233" w:rightChars="-111"/>
        <w:jc w:val="left"/>
        <w:rPr>
          <w:rFonts w:ascii="宋体" w:hAnsi="宋体"/>
          <w:color w:val="auto"/>
          <w:szCs w:val="21"/>
          <w:highlight w:val="none"/>
        </w:rPr>
      </w:pPr>
      <w:r>
        <w:rPr>
          <w:rFonts w:hint="eastAsia" w:ascii="宋体" w:hAnsi="宋体"/>
          <w:b/>
          <w:color w:val="auto"/>
          <w:szCs w:val="21"/>
          <w:highlight w:val="none"/>
        </w:rPr>
        <w:t>四、注意事项</w:t>
      </w:r>
    </w:p>
    <w:p w14:paraId="71049490">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施工单位进场前，应当对实施整治的小区进行全面检查、了解，尤其需要注意的是：一是查看周边供电线路走向与电压，确保施工作业的安全距离。因环境条件限制不能满足时，应按照规范采取相应安全措施。二是查看外墙面、地面道路是否存在开裂、凹陷等情况，必要时邀请居民代表、街办一起查看确认，保留现场照片。</w:t>
      </w:r>
    </w:p>
    <w:p w14:paraId="49571E69">
      <w:pPr>
        <w:spacing w:line="360" w:lineRule="auto"/>
        <w:ind w:firstLine="247" w:firstLineChars="118"/>
        <w:rPr>
          <w:rFonts w:ascii="宋体" w:hAnsi="宋体"/>
          <w:color w:val="auto"/>
          <w:szCs w:val="21"/>
          <w:highlight w:val="none"/>
        </w:rPr>
      </w:pPr>
      <w:r>
        <w:rPr>
          <w:rFonts w:hint="eastAsia" w:ascii="宋体" w:hAnsi="宋体"/>
          <w:color w:val="auto"/>
          <w:szCs w:val="21"/>
          <w:highlight w:val="none"/>
        </w:rPr>
        <w:t>1、动火作业</w:t>
      </w:r>
    </w:p>
    <w:p w14:paraId="3A724786">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1）施工现场动火作业前，应履行动火审批手续；动火作业周围的可燃物需清除，配备相应的灭火器材。因在已使用的小区内施工，应考虑建筑物户外的煤气管道以及相关设施的保护、隔离。</w:t>
      </w:r>
    </w:p>
    <w:p w14:paraId="0AB533B7">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2）在高处进行电焊、气焊（割）等动火作业时，周边竹笆片等可燃材料不能隔离、清除的，应该浇水淋湿。作业点下方设置集火盆并派人监护。</w:t>
      </w:r>
    </w:p>
    <w:p w14:paraId="4AC73FB1">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3）电焊或者气割作业，作业人员需持证上岗，氧气瓶与乙炔气瓶（液化气瓶）使用时距离应不小于5m，气瓶与动火点距离不小于10m。</w:t>
      </w:r>
    </w:p>
    <w:p w14:paraId="16E648CE">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4）严禁在5级以上大风时进行高处或露天焊割等动火作业。</w:t>
      </w:r>
    </w:p>
    <w:p w14:paraId="14D8AE26">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5）每次焊、割完毕或每日下班前，应对动火现场进行全面检查，确认无火险后方能离开。</w:t>
      </w:r>
    </w:p>
    <w:p w14:paraId="24A43E9B">
      <w:pPr>
        <w:spacing w:line="360" w:lineRule="auto"/>
        <w:ind w:firstLine="455" w:firstLineChars="217"/>
        <w:rPr>
          <w:rFonts w:ascii="宋体" w:hAnsi="宋体"/>
          <w:color w:val="auto"/>
          <w:szCs w:val="21"/>
          <w:highlight w:val="none"/>
        </w:rPr>
      </w:pPr>
      <w:r>
        <w:rPr>
          <w:rFonts w:hint="eastAsia" w:ascii="宋体" w:hAnsi="宋体"/>
          <w:color w:val="auto"/>
          <w:szCs w:val="21"/>
          <w:highlight w:val="none"/>
        </w:rPr>
        <w:t>2、临时用电</w:t>
      </w:r>
    </w:p>
    <w:p w14:paraId="294FFF2F">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1）严格执行“三级配电两级保护”和“一机一箱一闸一漏一保险”的用电规范，各级漏电保护器应设置合理级差。</w:t>
      </w:r>
    </w:p>
    <w:p w14:paraId="4AF570F5">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2）总配箱、分配电箱宜上锁管理，杜绝作业人员私拉乱接。开关箱不应上锁，便于操作。</w:t>
      </w:r>
    </w:p>
    <w:p w14:paraId="1A363FA5">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3）总配箱、分配电箱和开关箱内电器配置需符合规范要求。</w:t>
      </w:r>
    </w:p>
    <w:p w14:paraId="46DA3500">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4）所有用电设备需使用开关箱接线，严禁使用拖线板或直接接入二配电箱。</w:t>
      </w:r>
    </w:p>
    <w:p w14:paraId="4DCF3F2E">
      <w:pPr>
        <w:spacing w:line="360" w:lineRule="auto"/>
        <w:ind w:firstLine="455" w:firstLineChars="217"/>
        <w:rPr>
          <w:rFonts w:ascii="宋体" w:hAnsi="宋体"/>
          <w:color w:val="auto"/>
          <w:szCs w:val="21"/>
          <w:highlight w:val="none"/>
        </w:rPr>
      </w:pPr>
      <w:r>
        <w:rPr>
          <w:rFonts w:hint="eastAsia" w:ascii="宋体" w:hAnsi="宋体"/>
          <w:color w:val="auto"/>
          <w:szCs w:val="21"/>
          <w:highlight w:val="none"/>
        </w:rPr>
        <w:t>3、扬尘控制</w:t>
      </w:r>
    </w:p>
    <w:p w14:paraId="1DED5774">
      <w:pPr>
        <w:spacing w:line="360" w:lineRule="auto"/>
        <w:ind w:firstLine="247" w:firstLineChars="118"/>
        <w:rPr>
          <w:rFonts w:ascii="宋体" w:hAnsi="宋体"/>
          <w:color w:val="auto"/>
          <w:szCs w:val="21"/>
          <w:highlight w:val="none"/>
        </w:rPr>
      </w:pPr>
      <w:r>
        <w:rPr>
          <w:rFonts w:hint="eastAsia" w:ascii="宋体" w:hAnsi="宋体"/>
          <w:color w:val="auto"/>
          <w:szCs w:val="21"/>
          <w:highlight w:val="none"/>
        </w:rPr>
        <w:t>施工现场建筑垃圾需覆盖或及时外运，道路与场地需每天进行清扫和洒水。</w:t>
      </w:r>
    </w:p>
    <w:p w14:paraId="54F2EEED">
      <w:pPr>
        <w:spacing w:line="360" w:lineRule="auto"/>
        <w:ind w:firstLine="247" w:firstLineChars="118"/>
        <w:rPr>
          <w:color w:val="auto"/>
          <w:sz w:val="24"/>
          <w:highlight w:val="none"/>
        </w:rPr>
      </w:pPr>
      <w:r>
        <w:rPr>
          <w:rFonts w:hint="eastAsia" w:ascii="宋体" w:hAnsi="宋体"/>
          <w:color w:val="auto"/>
          <w:szCs w:val="21"/>
          <w:highlight w:val="none"/>
        </w:rPr>
        <w:t>4、项目经理、总监理工程师以及专职安全生产管理人员必须到岗履职；施工现场必须完善相关安全台账资料，包括施工单位以及监理单位相关资质、人员执业资格证书复印件，特殊工种人员名单以及相关证书复印件，施工人员三级安全教育和安全技术交底记录。</w:t>
      </w:r>
    </w:p>
    <w:p w14:paraId="7D709A12">
      <w:pPr>
        <w:spacing w:line="360" w:lineRule="auto"/>
        <w:ind w:right="-233" w:rightChars="-111"/>
        <w:jc w:val="center"/>
        <w:rPr>
          <w:rFonts w:hint="eastAsia"/>
          <w:b/>
          <w:bCs/>
          <w:color w:val="auto"/>
          <w:sz w:val="24"/>
          <w:highlight w:val="none"/>
        </w:rPr>
      </w:pPr>
      <w:bookmarkStart w:id="567" w:name="_Toc286661174"/>
      <w:bookmarkStart w:id="568" w:name="_Toc465181337"/>
      <w:bookmarkStart w:id="569" w:name="_Toc404159962"/>
    </w:p>
    <w:p w14:paraId="5FD511F1">
      <w:pPr>
        <w:spacing w:line="360" w:lineRule="auto"/>
        <w:ind w:right="-233" w:rightChars="-111"/>
        <w:jc w:val="center"/>
        <w:rPr>
          <w:rFonts w:hint="eastAsia"/>
          <w:b/>
          <w:bCs/>
          <w:color w:val="auto"/>
          <w:sz w:val="24"/>
          <w:highlight w:val="none"/>
        </w:rPr>
      </w:pPr>
    </w:p>
    <w:p w14:paraId="49225A39">
      <w:pPr>
        <w:spacing w:line="360" w:lineRule="auto"/>
        <w:ind w:right="-233" w:rightChars="-111"/>
        <w:jc w:val="center"/>
        <w:rPr>
          <w:rFonts w:hint="eastAsia"/>
          <w:b/>
          <w:bCs/>
          <w:color w:val="auto"/>
          <w:sz w:val="24"/>
          <w:highlight w:val="none"/>
        </w:rPr>
      </w:pPr>
    </w:p>
    <w:p w14:paraId="05AC9AA3">
      <w:pPr>
        <w:spacing w:line="360" w:lineRule="auto"/>
        <w:ind w:right="-233" w:rightChars="-111"/>
        <w:jc w:val="center"/>
        <w:rPr>
          <w:rFonts w:hint="eastAsia"/>
          <w:b/>
          <w:bCs/>
          <w:color w:val="auto"/>
          <w:sz w:val="24"/>
          <w:highlight w:val="none"/>
        </w:rPr>
      </w:pPr>
    </w:p>
    <w:p w14:paraId="35AFB8B5">
      <w:pPr>
        <w:spacing w:line="360" w:lineRule="auto"/>
        <w:ind w:right="-233" w:rightChars="-111"/>
        <w:jc w:val="center"/>
        <w:rPr>
          <w:b/>
          <w:color w:val="auto"/>
          <w:sz w:val="32"/>
          <w:highlight w:val="none"/>
        </w:rPr>
      </w:pPr>
      <w:r>
        <w:rPr>
          <w:rFonts w:hAnsi="宋体"/>
          <w:b/>
          <w:color w:val="auto"/>
          <w:sz w:val="32"/>
          <w:highlight w:val="none"/>
        </w:rPr>
        <w:t>第五章</w:t>
      </w:r>
      <w:r>
        <w:rPr>
          <w:b/>
          <w:color w:val="auto"/>
          <w:sz w:val="32"/>
          <w:highlight w:val="none"/>
        </w:rPr>
        <w:t xml:space="preserve"> </w:t>
      </w:r>
      <w:r>
        <w:rPr>
          <w:rFonts w:hAnsi="宋体"/>
          <w:b/>
          <w:color w:val="auto"/>
          <w:sz w:val="32"/>
          <w:highlight w:val="none"/>
        </w:rPr>
        <w:t>图纸、技术资料及附件</w:t>
      </w:r>
      <w:bookmarkEnd w:id="567"/>
      <w:bookmarkEnd w:id="568"/>
    </w:p>
    <w:bookmarkEnd w:id="569"/>
    <w:p w14:paraId="0DA8C0DB">
      <w:pPr>
        <w:spacing w:line="360" w:lineRule="auto"/>
        <w:ind w:firstLine="480"/>
        <w:jc w:val="center"/>
        <w:rPr>
          <w:rFonts w:hint="eastAsia" w:eastAsia="宋体"/>
          <w:color w:val="auto"/>
          <w:sz w:val="25"/>
          <w:highlight w:val="none"/>
          <w:lang w:eastAsia="zh-CN"/>
        </w:rPr>
      </w:pPr>
      <w:r>
        <w:rPr>
          <w:rFonts w:hint="eastAsia"/>
          <w:color w:val="auto"/>
          <w:sz w:val="25"/>
          <w:highlight w:val="none"/>
          <w:lang w:eastAsia="zh-CN"/>
        </w:rPr>
        <w:t>（</w:t>
      </w:r>
      <w:r>
        <w:rPr>
          <w:rFonts w:hint="eastAsia"/>
          <w:color w:val="auto"/>
          <w:sz w:val="25"/>
          <w:highlight w:val="none"/>
          <w:lang w:val="en-US" w:eastAsia="zh-CN"/>
        </w:rPr>
        <w:t>详见公告附件</w:t>
      </w:r>
      <w:r>
        <w:rPr>
          <w:rFonts w:hint="eastAsia"/>
          <w:color w:val="auto"/>
          <w:sz w:val="25"/>
          <w:highlight w:val="none"/>
          <w:lang w:eastAsia="zh-CN"/>
        </w:rPr>
        <w:t>）</w:t>
      </w:r>
    </w:p>
    <w:p w14:paraId="60D169F8">
      <w:pPr>
        <w:pStyle w:val="4"/>
        <w:jc w:val="center"/>
        <w:rPr>
          <w:bCs w:val="0"/>
          <w:color w:val="auto"/>
          <w:sz w:val="32"/>
          <w:highlight w:val="none"/>
        </w:rPr>
      </w:pPr>
      <w:bookmarkStart w:id="570" w:name="_Toc465181338"/>
      <w:bookmarkStart w:id="571" w:name="_Toc404159963"/>
      <w:bookmarkStart w:id="572" w:name="_Toc286661175"/>
      <w:r>
        <w:rPr>
          <w:rFonts w:hAnsi="宋体"/>
          <w:bCs w:val="0"/>
          <w:color w:val="auto"/>
          <w:sz w:val="32"/>
          <w:highlight w:val="none"/>
        </w:rPr>
        <w:br w:type="page"/>
      </w:r>
      <w:r>
        <w:rPr>
          <w:rFonts w:hAnsi="宋体"/>
          <w:bCs w:val="0"/>
          <w:color w:val="auto"/>
          <w:sz w:val="32"/>
          <w:highlight w:val="none"/>
        </w:rPr>
        <w:t>第六章</w:t>
      </w:r>
      <w:r>
        <w:rPr>
          <w:bCs w:val="0"/>
          <w:color w:val="auto"/>
          <w:sz w:val="32"/>
          <w:highlight w:val="none"/>
        </w:rPr>
        <w:t xml:space="preserve"> </w:t>
      </w:r>
      <w:r>
        <w:rPr>
          <w:rFonts w:hAnsi="宋体"/>
          <w:bCs w:val="0"/>
          <w:color w:val="auto"/>
          <w:sz w:val="32"/>
          <w:highlight w:val="none"/>
        </w:rPr>
        <w:t>投标文件格式</w:t>
      </w:r>
      <w:bookmarkEnd w:id="570"/>
      <w:bookmarkEnd w:id="571"/>
      <w:bookmarkEnd w:id="572"/>
    </w:p>
    <w:p w14:paraId="0BA765D6">
      <w:pPr>
        <w:spacing w:line="500" w:lineRule="exact"/>
        <w:jc w:val="center"/>
        <w:rPr>
          <w:b/>
          <w:bCs/>
          <w:color w:val="auto"/>
          <w:sz w:val="32"/>
          <w:highlight w:val="none"/>
        </w:rPr>
      </w:pPr>
      <w:bookmarkStart w:id="573" w:name="_Toc286661178"/>
    </w:p>
    <w:p w14:paraId="5C392DCB">
      <w:pPr>
        <w:spacing w:line="500" w:lineRule="exact"/>
        <w:jc w:val="center"/>
        <w:rPr>
          <w:b/>
          <w:bCs/>
          <w:color w:val="auto"/>
          <w:sz w:val="32"/>
          <w:highlight w:val="none"/>
        </w:rPr>
      </w:pPr>
      <w:r>
        <w:rPr>
          <w:rFonts w:hAnsi="宋体"/>
          <w:color w:val="auto"/>
          <w:sz w:val="32"/>
          <w:szCs w:val="32"/>
          <w:highlight w:val="none"/>
        </w:rPr>
        <w:t>（封面）</w:t>
      </w:r>
    </w:p>
    <w:p w14:paraId="1533725A">
      <w:pPr>
        <w:spacing w:line="500" w:lineRule="exact"/>
        <w:jc w:val="center"/>
        <w:rPr>
          <w:b/>
          <w:bCs/>
          <w:color w:val="auto"/>
          <w:sz w:val="32"/>
          <w:highlight w:val="none"/>
        </w:rPr>
      </w:pPr>
    </w:p>
    <w:p w14:paraId="53747C27">
      <w:pPr>
        <w:pStyle w:val="17"/>
        <w:spacing w:line="360" w:lineRule="auto"/>
        <w:ind w:firstLine="480" w:firstLineChars="150"/>
        <w:jc w:val="center"/>
        <w:rPr>
          <w:color w:val="auto"/>
          <w:sz w:val="32"/>
          <w:szCs w:val="32"/>
          <w:highlight w:val="none"/>
        </w:rPr>
      </w:pPr>
      <w:r>
        <w:rPr>
          <w:color w:val="auto"/>
          <w:sz w:val="32"/>
          <w:szCs w:val="32"/>
          <w:highlight w:val="none"/>
          <w:u w:val="single"/>
        </w:rPr>
        <w:t xml:space="preserve">                               </w:t>
      </w:r>
      <w:r>
        <w:rPr>
          <w:rFonts w:hAnsi="宋体"/>
          <w:color w:val="auto"/>
          <w:sz w:val="32"/>
          <w:szCs w:val="32"/>
          <w:highlight w:val="none"/>
        </w:rPr>
        <w:t>（项目名称）</w:t>
      </w:r>
    </w:p>
    <w:p w14:paraId="3080C645">
      <w:pPr>
        <w:pStyle w:val="17"/>
        <w:spacing w:line="360" w:lineRule="auto"/>
        <w:jc w:val="center"/>
        <w:rPr>
          <w:color w:val="auto"/>
          <w:sz w:val="30"/>
          <w:highlight w:val="none"/>
        </w:rPr>
      </w:pPr>
    </w:p>
    <w:p w14:paraId="356B763A">
      <w:pPr>
        <w:pStyle w:val="17"/>
        <w:spacing w:line="360" w:lineRule="auto"/>
        <w:ind w:firstLine="0"/>
        <w:rPr>
          <w:color w:val="auto"/>
          <w:sz w:val="30"/>
          <w:highlight w:val="none"/>
        </w:rPr>
      </w:pPr>
    </w:p>
    <w:p w14:paraId="64001268">
      <w:pPr>
        <w:pStyle w:val="17"/>
        <w:spacing w:line="360" w:lineRule="auto"/>
        <w:jc w:val="center"/>
        <w:rPr>
          <w:b/>
          <w:bCs/>
          <w:color w:val="auto"/>
          <w:spacing w:val="60"/>
          <w:sz w:val="84"/>
          <w:szCs w:val="84"/>
          <w:highlight w:val="none"/>
        </w:rPr>
      </w:pPr>
      <w:r>
        <w:rPr>
          <w:b/>
          <w:bCs/>
          <w:color w:val="auto"/>
          <w:spacing w:val="60"/>
          <w:sz w:val="84"/>
          <w:szCs w:val="84"/>
          <w:highlight w:val="none"/>
        </w:rPr>
        <w:t xml:space="preserve"> </w:t>
      </w:r>
      <w:r>
        <w:rPr>
          <w:rFonts w:hAnsi="宋体"/>
          <w:b/>
          <w:bCs/>
          <w:color w:val="auto"/>
          <w:spacing w:val="60"/>
          <w:sz w:val="84"/>
          <w:szCs w:val="84"/>
          <w:highlight w:val="none"/>
        </w:rPr>
        <w:t>投标书</w:t>
      </w:r>
    </w:p>
    <w:p w14:paraId="149208BC">
      <w:pPr>
        <w:pStyle w:val="17"/>
        <w:spacing w:line="360" w:lineRule="auto"/>
        <w:jc w:val="center"/>
        <w:rPr>
          <w:color w:val="auto"/>
          <w:sz w:val="48"/>
          <w:szCs w:val="48"/>
          <w:highlight w:val="none"/>
        </w:rPr>
      </w:pPr>
      <w:r>
        <w:rPr>
          <w:rFonts w:hAnsi="宋体"/>
          <w:color w:val="auto"/>
          <w:sz w:val="48"/>
          <w:szCs w:val="48"/>
          <w:highlight w:val="none"/>
        </w:rPr>
        <w:t>（商务标）</w:t>
      </w:r>
    </w:p>
    <w:p w14:paraId="5D128284">
      <w:pPr>
        <w:pStyle w:val="17"/>
        <w:spacing w:line="360" w:lineRule="auto"/>
        <w:jc w:val="center"/>
        <w:rPr>
          <w:color w:val="auto"/>
          <w:sz w:val="30"/>
          <w:highlight w:val="none"/>
        </w:rPr>
      </w:pPr>
    </w:p>
    <w:p w14:paraId="69255CEE">
      <w:pPr>
        <w:pStyle w:val="17"/>
        <w:spacing w:line="360" w:lineRule="auto"/>
        <w:jc w:val="center"/>
        <w:rPr>
          <w:color w:val="auto"/>
          <w:sz w:val="30"/>
          <w:highlight w:val="none"/>
        </w:rPr>
      </w:pPr>
    </w:p>
    <w:p w14:paraId="2ED2C286">
      <w:pPr>
        <w:pStyle w:val="17"/>
        <w:spacing w:line="360" w:lineRule="auto"/>
        <w:jc w:val="center"/>
        <w:rPr>
          <w:color w:val="auto"/>
          <w:sz w:val="30"/>
          <w:highlight w:val="none"/>
        </w:rPr>
      </w:pPr>
    </w:p>
    <w:p w14:paraId="486C4A9C">
      <w:pPr>
        <w:pStyle w:val="17"/>
        <w:spacing w:line="360" w:lineRule="auto"/>
        <w:ind w:firstLine="480" w:firstLineChars="160"/>
        <w:rPr>
          <w:color w:val="auto"/>
          <w:sz w:val="30"/>
          <w:highlight w:val="none"/>
          <w:u w:val="single"/>
        </w:rPr>
      </w:pPr>
      <w:r>
        <w:rPr>
          <w:rFonts w:hAnsi="宋体"/>
          <w:color w:val="auto"/>
          <w:sz w:val="30"/>
          <w:highlight w:val="none"/>
        </w:rPr>
        <w:t>投标人：</w:t>
      </w:r>
      <w:r>
        <w:rPr>
          <w:color w:val="auto"/>
          <w:sz w:val="30"/>
          <w:highlight w:val="none"/>
          <w:u w:val="single"/>
        </w:rPr>
        <w:t xml:space="preserve">                                </w:t>
      </w:r>
      <w:r>
        <w:rPr>
          <w:color w:val="auto"/>
          <w:sz w:val="30"/>
          <w:highlight w:val="none"/>
        </w:rPr>
        <w:t>（</w:t>
      </w:r>
      <w:r>
        <w:rPr>
          <w:rFonts w:hAnsi="宋体"/>
          <w:color w:val="auto"/>
          <w:sz w:val="30"/>
          <w:highlight w:val="none"/>
        </w:rPr>
        <w:t>盖单位公章</w:t>
      </w:r>
      <w:r>
        <w:rPr>
          <w:color w:val="auto"/>
          <w:sz w:val="30"/>
          <w:highlight w:val="none"/>
        </w:rPr>
        <w:t>）</w:t>
      </w:r>
    </w:p>
    <w:p w14:paraId="4FEC8EAD">
      <w:pPr>
        <w:pStyle w:val="17"/>
        <w:spacing w:line="360" w:lineRule="auto"/>
        <w:ind w:firstLine="480" w:firstLineChars="160"/>
        <w:rPr>
          <w:color w:val="auto"/>
          <w:sz w:val="30"/>
          <w:highlight w:val="none"/>
        </w:rPr>
      </w:pPr>
    </w:p>
    <w:p w14:paraId="4D791BD2">
      <w:pPr>
        <w:pStyle w:val="17"/>
        <w:spacing w:line="360" w:lineRule="auto"/>
        <w:ind w:firstLine="480" w:firstLineChars="160"/>
        <w:rPr>
          <w:color w:val="auto"/>
          <w:sz w:val="30"/>
          <w:highlight w:val="none"/>
          <w:u w:val="single"/>
        </w:rPr>
      </w:pPr>
      <w:r>
        <w:rPr>
          <w:rFonts w:hAnsi="宋体"/>
          <w:color w:val="auto"/>
          <w:sz w:val="30"/>
          <w:highlight w:val="none"/>
        </w:rPr>
        <w:t>法定代表人或其委托代理人：</w:t>
      </w:r>
      <w:r>
        <w:rPr>
          <w:color w:val="auto"/>
          <w:sz w:val="30"/>
          <w:highlight w:val="none"/>
          <w:u w:val="single"/>
        </w:rPr>
        <w:t xml:space="preserve">              </w:t>
      </w:r>
      <w:r>
        <w:rPr>
          <w:color w:val="auto"/>
          <w:sz w:val="30"/>
          <w:highlight w:val="none"/>
        </w:rPr>
        <w:t>（</w:t>
      </w:r>
      <w:r>
        <w:rPr>
          <w:rFonts w:hAnsi="宋体"/>
          <w:color w:val="auto"/>
          <w:sz w:val="30"/>
          <w:highlight w:val="none"/>
        </w:rPr>
        <w:t>签字或盖章</w:t>
      </w:r>
      <w:r>
        <w:rPr>
          <w:color w:val="auto"/>
          <w:sz w:val="30"/>
          <w:highlight w:val="none"/>
        </w:rPr>
        <w:t>）</w:t>
      </w:r>
    </w:p>
    <w:p w14:paraId="5EEDD3DE">
      <w:pPr>
        <w:pStyle w:val="17"/>
        <w:spacing w:line="360" w:lineRule="auto"/>
        <w:ind w:firstLine="480" w:firstLineChars="160"/>
        <w:rPr>
          <w:color w:val="auto"/>
          <w:sz w:val="30"/>
          <w:highlight w:val="none"/>
        </w:rPr>
      </w:pPr>
    </w:p>
    <w:p w14:paraId="1F3F3766">
      <w:pPr>
        <w:pStyle w:val="17"/>
        <w:spacing w:line="360" w:lineRule="auto"/>
        <w:rPr>
          <w:color w:val="auto"/>
          <w:sz w:val="30"/>
          <w:highlight w:val="none"/>
          <w:u w:val="single"/>
        </w:rPr>
      </w:pPr>
      <w:r>
        <w:rPr>
          <w:rFonts w:hAnsi="宋体"/>
          <w:color w:val="auto"/>
          <w:sz w:val="30"/>
          <w:highlight w:val="none"/>
        </w:rPr>
        <w:t>日</w:t>
      </w:r>
      <w:r>
        <w:rPr>
          <w:color w:val="auto"/>
          <w:sz w:val="30"/>
          <w:highlight w:val="none"/>
        </w:rPr>
        <w:t xml:space="preserve">   </w:t>
      </w:r>
      <w:r>
        <w:rPr>
          <w:rFonts w:hAnsi="宋体"/>
          <w:color w:val="auto"/>
          <w:sz w:val="30"/>
          <w:highlight w:val="none"/>
        </w:rPr>
        <w:t>期：</w:t>
      </w:r>
      <w:r>
        <w:rPr>
          <w:color w:val="auto"/>
          <w:sz w:val="30"/>
          <w:highlight w:val="none"/>
          <w:u w:val="single"/>
        </w:rPr>
        <w:t xml:space="preserve">        </w:t>
      </w:r>
      <w:r>
        <w:rPr>
          <w:rFonts w:hAnsi="宋体"/>
          <w:color w:val="auto"/>
          <w:sz w:val="30"/>
          <w:highlight w:val="none"/>
          <w:u w:val="single"/>
        </w:rPr>
        <w:t>年</w:t>
      </w:r>
      <w:r>
        <w:rPr>
          <w:color w:val="auto"/>
          <w:sz w:val="30"/>
          <w:highlight w:val="none"/>
          <w:u w:val="single"/>
        </w:rPr>
        <w:t xml:space="preserve">     </w:t>
      </w:r>
      <w:r>
        <w:rPr>
          <w:rFonts w:hAnsi="宋体"/>
          <w:color w:val="auto"/>
          <w:sz w:val="30"/>
          <w:highlight w:val="none"/>
          <w:u w:val="single"/>
        </w:rPr>
        <w:t>月</w:t>
      </w:r>
      <w:r>
        <w:rPr>
          <w:color w:val="auto"/>
          <w:sz w:val="30"/>
          <w:highlight w:val="none"/>
          <w:u w:val="single"/>
        </w:rPr>
        <w:t xml:space="preserve">     </w:t>
      </w:r>
      <w:r>
        <w:rPr>
          <w:rFonts w:hAnsi="宋体"/>
          <w:color w:val="auto"/>
          <w:sz w:val="30"/>
          <w:highlight w:val="none"/>
          <w:u w:val="single"/>
        </w:rPr>
        <w:t>日</w:t>
      </w:r>
    </w:p>
    <w:p w14:paraId="7C6BF563">
      <w:pPr>
        <w:pStyle w:val="17"/>
        <w:spacing w:line="360" w:lineRule="auto"/>
        <w:jc w:val="center"/>
        <w:rPr>
          <w:color w:val="auto"/>
          <w:sz w:val="30"/>
          <w:highlight w:val="none"/>
        </w:rPr>
      </w:pPr>
    </w:p>
    <w:p w14:paraId="2F7A3ADA">
      <w:pPr>
        <w:pStyle w:val="382"/>
        <w:spacing w:line="420" w:lineRule="atLeast"/>
        <w:rPr>
          <w:color w:val="auto"/>
          <w:sz w:val="32"/>
          <w:highlight w:val="none"/>
        </w:rPr>
      </w:pPr>
    </w:p>
    <w:p w14:paraId="7F47D015">
      <w:pPr>
        <w:pStyle w:val="17"/>
        <w:spacing w:line="360" w:lineRule="auto"/>
        <w:ind w:firstLine="0"/>
        <w:jc w:val="center"/>
        <w:outlineLvl w:val="1"/>
        <w:rPr>
          <w:bCs/>
          <w:color w:val="auto"/>
          <w:sz w:val="28"/>
          <w:szCs w:val="28"/>
          <w:highlight w:val="none"/>
        </w:rPr>
      </w:pPr>
      <w:r>
        <w:rPr>
          <w:rFonts w:hAnsi="宋体"/>
          <w:color w:val="auto"/>
          <w:sz w:val="28"/>
          <w:szCs w:val="28"/>
          <w:highlight w:val="none"/>
        </w:rPr>
        <w:br w:type="page"/>
      </w:r>
      <w:r>
        <w:rPr>
          <w:rFonts w:hAnsi="宋体"/>
          <w:color w:val="auto"/>
          <w:sz w:val="28"/>
          <w:szCs w:val="28"/>
          <w:highlight w:val="none"/>
        </w:rPr>
        <w:t>一、</w:t>
      </w:r>
      <w:bookmarkEnd w:id="573"/>
      <w:r>
        <w:rPr>
          <w:rFonts w:hAnsi="宋体"/>
          <w:bCs/>
          <w:color w:val="auto"/>
          <w:sz w:val="28"/>
          <w:szCs w:val="28"/>
          <w:highlight w:val="none"/>
        </w:rPr>
        <w:t>投</w:t>
      </w:r>
      <w:r>
        <w:rPr>
          <w:bCs/>
          <w:color w:val="auto"/>
          <w:sz w:val="28"/>
          <w:szCs w:val="28"/>
          <w:highlight w:val="none"/>
        </w:rPr>
        <w:t xml:space="preserve">  </w:t>
      </w:r>
      <w:r>
        <w:rPr>
          <w:rFonts w:hAnsi="宋体"/>
          <w:bCs/>
          <w:color w:val="auto"/>
          <w:sz w:val="28"/>
          <w:szCs w:val="28"/>
          <w:highlight w:val="none"/>
        </w:rPr>
        <w:t>标</w:t>
      </w:r>
      <w:r>
        <w:rPr>
          <w:bCs/>
          <w:color w:val="auto"/>
          <w:sz w:val="28"/>
          <w:szCs w:val="28"/>
          <w:highlight w:val="none"/>
        </w:rPr>
        <w:t xml:space="preserve">  </w:t>
      </w:r>
      <w:r>
        <w:rPr>
          <w:rFonts w:hAnsi="宋体"/>
          <w:bCs/>
          <w:color w:val="auto"/>
          <w:sz w:val="28"/>
          <w:szCs w:val="28"/>
          <w:highlight w:val="none"/>
        </w:rPr>
        <w:t>函</w:t>
      </w:r>
    </w:p>
    <w:p w14:paraId="370DC045">
      <w:pPr>
        <w:pStyle w:val="17"/>
        <w:spacing w:line="360" w:lineRule="auto"/>
        <w:ind w:firstLine="0"/>
        <w:rPr>
          <w:color w:val="auto"/>
          <w:sz w:val="25"/>
          <w:highlight w:val="none"/>
          <w:u w:val="single"/>
        </w:rPr>
      </w:pPr>
    </w:p>
    <w:p w14:paraId="04520072">
      <w:pPr>
        <w:pStyle w:val="17"/>
        <w:spacing w:line="360" w:lineRule="auto"/>
        <w:ind w:firstLine="0"/>
        <w:rPr>
          <w:color w:val="auto"/>
          <w:highlight w:val="none"/>
        </w:rPr>
      </w:pPr>
      <w:r>
        <w:rPr>
          <w:color w:val="auto"/>
          <w:highlight w:val="none"/>
          <w:u w:val="single"/>
        </w:rPr>
        <w:t xml:space="preserve">                           </w:t>
      </w:r>
      <w:r>
        <w:rPr>
          <w:rFonts w:hAnsi="宋体"/>
          <w:color w:val="auto"/>
          <w:highlight w:val="none"/>
        </w:rPr>
        <w:t>：</w:t>
      </w:r>
    </w:p>
    <w:p w14:paraId="39FBCDAD">
      <w:pPr>
        <w:pStyle w:val="17"/>
        <w:spacing w:line="360" w:lineRule="auto"/>
        <w:ind w:firstLine="720" w:firstLineChars="300"/>
        <w:jc w:val="left"/>
        <w:rPr>
          <w:color w:val="auto"/>
          <w:highlight w:val="none"/>
        </w:rPr>
      </w:pPr>
      <w:r>
        <w:rPr>
          <w:rFonts w:hAnsi="宋体"/>
          <w:color w:val="auto"/>
          <w:highlight w:val="none"/>
        </w:rPr>
        <w:t>（一）</w:t>
      </w:r>
      <w:r>
        <w:rPr>
          <w:color w:val="auto"/>
          <w:highlight w:val="none"/>
        </w:rPr>
        <w:t xml:space="preserve"> </w:t>
      </w:r>
      <w:r>
        <w:rPr>
          <w:rFonts w:hAnsi="宋体"/>
          <w:color w:val="auto"/>
          <w:highlight w:val="none"/>
        </w:rPr>
        <w:t>根据已收到的</w:t>
      </w:r>
      <w:r>
        <w:rPr>
          <w:color w:val="auto"/>
          <w:highlight w:val="none"/>
          <w:u w:val="single"/>
        </w:rPr>
        <w:t xml:space="preserve">                         </w:t>
      </w:r>
      <w:r>
        <w:rPr>
          <w:rFonts w:hAnsi="宋体"/>
          <w:color w:val="auto"/>
          <w:highlight w:val="none"/>
        </w:rPr>
        <w:t>（工程名称）</w:t>
      </w:r>
      <w:r>
        <w:rPr>
          <w:color w:val="auto"/>
          <w:highlight w:val="none"/>
        </w:rPr>
        <w:t xml:space="preserve"> </w:t>
      </w:r>
      <w:r>
        <w:rPr>
          <w:rFonts w:hAnsi="宋体"/>
          <w:color w:val="auto"/>
          <w:highlight w:val="none"/>
        </w:rPr>
        <w:t>工程的招标文件，我方经仔细研究招标文件全部内容并对现场进行踏勘后，愿遵守《中华人民共和国招标投标法》等有关法律文件的规定，并愿以人民币（大写）</w:t>
      </w:r>
      <w:r>
        <w:rPr>
          <w:color w:val="auto"/>
          <w:highlight w:val="none"/>
          <w:u w:val="single"/>
        </w:rPr>
        <w:t xml:space="preserve">                  </w:t>
      </w:r>
      <w:r>
        <w:rPr>
          <w:color w:val="auto"/>
          <w:highlight w:val="none"/>
        </w:rPr>
        <w:t>[¥（</w:t>
      </w:r>
      <w:r>
        <w:rPr>
          <w:rFonts w:hAnsi="宋体"/>
          <w:color w:val="auto"/>
          <w:highlight w:val="none"/>
        </w:rPr>
        <w:t>小写</w:t>
      </w:r>
      <w:r>
        <w:rPr>
          <w:color w:val="auto"/>
          <w:highlight w:val="none"/>
        </w:rPr>
        <w:t>）</w:t>
      </w:r>
      <w:r>
        <w:rPr>
          <w:color w:val="auto"/>
          <w:highlight w:val="none"/>
          <w:u w:val="single"/>
        </w:rPr>
        <w:t xml:space="preserve">               </w:t>
      </w:r>
      <w:r>
        <w:rPr>
          <w:rFonts w:hAnsi="宋体"/>
          <w:color w:val="auto"/>
          <w:highlight w:val="none"/>
          <w:u w:val="single"/>
        </w:rPr>
        <w:t>元</w:t>
      </w:r>
      <w:r>
        <w:rPr>
          <w:rFonts w:hAnsi="宋体"/>
          <w:color w:val="auto"/>
          <w:highlight w:val="none"/>
        </w:rPr>
        <w:t>］的总价，按招标文件的要求承包本次招标范围内的全部工程，修补工程中的任何缺陷。</w:t>
      </w:r>
    </w:p>
    <w:p w14:paraId="475BB61E">
      <w:pPr>
        <w:pStyle w:val="17"/>
        <w:spacing w:line="360" w:lineRule="auto"/>
        <w:ind w:firstLine="480" w:firstLineChars="200"/>
        <w:rPr>
          <w:color w:val="auto"/>
          <w:highlight w:val="none"/>
        </w:rPr>
      </w:pPr>
      <w:r>
        <w:rPr>
          <w:color w:val="auto"/>
          <w:highlight w:val="none"/>
        </w:rPr>
        <w:t>（</w:t>
      </w:r>
      <w:r>
        <w:rPr>
          <w:rFonts w:hAnsi="宋体"/>
          <w:color w:val="auto"/>
          <w:highlight w:val="none"/>
        </w:rPr>
        <w:t>二</w:t>
      </w:r>
      <w:r>
        <w:rPr>
          <w:color w:val="auto"/>
          <w:highlight w:val="none"/>
        </w:rPr>
        <w:t>）</w:t>
      </w:r>
      <w:r>
        <w:rPr>
          <w:rFonts w:hAnsi="宋体"/>
          <w:color w:val="auto"/>
          <w:highlight w:val="none"/>
        </w:rPr>
        <w:t>我方保证在收到贵单位发出的书面开工令后立即开工，并保证在工期</w:t>
      </w:r>
      <w:r>
        <w:rPr>
          <w:rFonts w:hint="eastAsia"/>
          <w:color w:val="auto"/>
          <w:highlight w:val="none"/>
          <w:u w:val="single"/>
        </w:rPr>
        <w:t>（      ）</w:t>
      </w:r>
      <w:r>
        <w:rPr>
          <w:rFonts w:hAnsi="宋体"/>
          <w:color w:val="auto"/>
          <w:highlight w:val="none"/>
        </w:rPr>
        <w:t>日历天内竣工并移交整个工程及相关资料。</w:t>
      </w:r>
    </w:p>
    <w:p w14:paraId="4DA33D5C">
      <w:pPr>
        <w:widowControl/>
        <w:spacing w:line="360" w:lineRule="auto"/>
        <w:ind w:firstLine="420"/>
        <w:jc w:val="left"/>
        <w:rPr>
          <w:color w:val="auto"/>
          <w:sz w:val="24"/>
          <w:highlight w:val="none"/>
        </w:rPr>
      </w:pPr>
      <w:r>
        <w:rPr>
          <w:color w:val="auto"/>
          <w:sz w:val="24"/>
          <w:highlight w:val="none"/>
        </w:rPr>
        <w:t>（</w:t>
      </w:r>
      <w:r>
        <w:rPr>
          <w:rFonts w:hAnsi="宋体"/>
          <w:color w:val="auto"/>
          <w:sz w:val="24"/>
          <w:highlight w:val="none"/>
        </w:rPr>
        <w:t>三</w:t>
      </w:r>
      <w:r>
        <w:rPr>
          <w:color w:val="auto"/>
          <w:sz w:val="24"/>
          <w:highlight w:val="none"/>
        </w:rPr>
        <w:t>）</w:t>
      </w:r>
      <w:r>
        <w:rPr>
          <w:rFonts w:hAnsi="宋体"/>
          <w:color w:val="auto"/>
          <w:sz w:val="24"/>
          <w:highlight w:val="none"/>
        </w:rPr>
        <w:t>我方保证本工程质量达到</w:t>
      </w:r>
      <w:r>
        <w:rPr>
          <w:color w:val="auto"/>
          <w:sz w:val="24"/>
          <w:highlight w:val="none"/>
          <w:u w:val="single"/>
        </w:rPr>
        <w:t xml:space="preserve">                   </w:t>
      </w:r>
      <w:r>
        <w:rPr>
          <w:color w:val="auto"/>
          <w:sz w:val="24"/>
          <w:highlight w:val="none"/>
        </w:rPr>
        <w:t xml:space="preserve"> </w:t>
      </w:r>
      <w:r>
        <w:rPr>
          <w:rFonts w:hAnsi="宋体"/>
          <w:color w:val="auto"/>
          <w:sz w:val="24"/>
          <w:highlight w:val="none"/>
        </w:rPr>
        <w:t>。</w:t>
      </w:r>
    </w:p>
    <w:p w14:paraId="08501FE9">
      <w:pPr>
        <w:pStyle w:val="17"/>
        <w:widowControl/>
        <w:adjustRightInd/>
        <w:spacing w:line="360" w:lineRule="auto"/>
        <w:ind w:firstLine="420"/>
        <w:jc w:val="left"/>
        <w:textAlignment w:val="auto"/>
        <w:rPr>
          <w:color w:val="auto"/>
          <w:highlight w:val="none"/>
        </w:rPr>
      </w:pPr>
      <w:r>
        <w:rPr>
          <w:color w:val="auto"/>
          <w:highlight w:val="none"/>
        </w:rPr>
        <w:t>（</w:t>
      </w:r>
      <w:r>
        <w:rPr>
          <w:rFonts w:hAnsi="宋体"/>
          <w:color w:val="auto"/>
          <w:highlight w:val="none"/>
        </w:rPr>
        <w:t>四</w:t>
      </w:r>
      <w:r>
        <w:rPr>
          <w:color w:val="auto"/>
          <w:highlight w:val="none"/>
        </w:rPr>
        <w:t>）</w:t>
      </w:r>
      <w:r>
        <w:rPr>
          <w:rFonts w:hAnsi="宋体"/>
          <w:color w:val="auto"/>
          <w:highlight w:val="none"/>
        </w:rPr>
        <w:t>我方金额为人民币（大写）</w:t>
      </w:r>
      <w:r>
        <w:rPr>
          <w:color w:val="auto"/>
          <w:highlight w:val="none"/>
          <w:u w:val="single"/>
        </w:rPr>
        <w:t xml:space="preserve">       </w:t>
      </w:r>
      <w:r>
        <w:rPr>
          <w:color w:val="auto"/>
          <w:highlight w:val="none"/>
        </w:rPr>
        <w:t>[¥（</w:t>
      </w:r>
      <w:r>
        <w:rPr>
          <w:rFonts w:hAnsi="宋体"/>
          <w:color w:val="auto"/>
          <w:highlight w:val="none"/>
        </w:rPr>
        <w:t>小写</w:t>
      </w:r>
      <w:r>
        <w:rPr>
          <w:color w:val="auto"/>
          <w:highlight w:val="none"/>
        </w:rPr>
        <w:t>）</w:t>
      </w:r>
      <w:r>
        <w:rPr>
          <w:color w:val="auto"/>
          <w:highlight w:val="none"/>
          <w:u w:val="single"/>
        </w:rPr>
        <w:t xml:space="preserve">       </w:t>
      </w:r>
      <w:r>
        <w:rPr>
          <w:rFonts w:hAnsi="宋体"/>
          <w:color w:val="auto"/>
          <w:highlight w:val="none"/>
        </w:rPr>
        <w:t>元］的投标保证金已按招标文件要求提交。</w:t>
      </w:r>
    </w:p>
    <w:p w14:paraId="30CB5182">
      <w:pPr>
        <w:pStyle w:val="17"/>
        <w:widowControl/>
        <w:adjustRightInd/>
        <w:spacing w:line="360" w:lineRule="auto"/>
        <w:ind w:firstLine="420"/>
        <w:jc w:val="left"/>
        <w:textAlignment w:val="auto"/>
        <w:rPr>
          <w:color w:val="auto"/>
          <w:highlight w:val="none"/>
        </w:rPr>
      </w:pPr>
      <w:r>
        <w:rPr>
          <w:color w:val="auto"/>
          <w:highlight w:val="none"/>
        </w:rPr>
        <w:t>（</w:t>
      </w:r>
      <w:r>
        <w:rPr>
          <w:rFonts w:hAnsi="宋体"/>
          <w:color w:val="auto"/>
          <w:highlight w:val="none"/>
        </w:rPr>
        <w:t>五</w:t>
      </w:r>
      <w:r>
        <w:rPr>
          <w:color w:val="auto"/>
          <w:highlight w:val="none"/>
        </w:rPr>
        <w:t>）</w:t>
      </w:r>
      <w:r>
        <w:rPr>
          <w:rFonts w:hAnsi="宋体"/>
          <w:color w:val="auto"/>
          <w:highlight w:val="none"/>
        </w:rPr>
        <w:t>如果我方中标，我方承诺在收到中标通知书后，在中标通知书规定的期限内与贵方签订合同，并将按照招标文件规定的时间、数额提交履约保证金和中标差额保证金。</w:t>
      </w:r>
    </w:p>
    <w:p w14:paraId="3046DF53">
      <w:pPr>
        <w:pStyle w:val="17"/>
        <w:spacing w:line="360" w:lineRule="auto"/>
        <w:rPr>
          <w:color w:val="auto"/>
          <w:highlight w:val="none"/>
        </w:rPr>
      </w:pPr>
      <w:r>
        <w:rPr>
          <w:color w:val="auto"/>
          <w:highlight w:val="none"/>
        </w:rPr>
        <w:t>（</w:t>
      </w:r>
      <w:r>
        <w:rPr>
          <w:rFonts w:hAnsi="宋体"/>
          <w:color w:val="auto"/>
          <w:highlight w:val="none"/>
        </w:rPr>
        <w:t>六</w:t>
      </w:r>
      <w:r>
        <w:rPr>
          <w:color w:val="auto"/>
          <w:highlight w:val="none"/>
        </w:rPr>
        <w:t>）</w:t>
      </w:r>
      <w:r>
        <w:rPr>
          <w:rFonts w:hAnsi="宋体"/>
          <w:color w:val="auto"/>
          <w:highlight w:val="none"/>
        </w:rPr>
        <w:t>贵单位的招标文件、中标通知书和本投标文件将构成约束我们双方的合同。</w:t>
      </w:r>
    </w:p>
    <w:p w14:paraId="30F3B43E">
      <w:pPr>
        <w:pStyle w:val="17"/>
        <w:spacing w:line="360" w:lineRule="auto"/>
        <w:ind w:firstLine="0"/>
        <w:rPr>
          <w:color w:val="auto"/>
          <w:highlight w:val="none"/>
        </w:rPr>
      </w:pPr>
    </w:p>
    <w:p w14:paraId="3F2C26A1">
      <w:pPr>
        <w:pStyle w:val="17"/>
        <w:spacing w:line="360" w:lineRule="auto"/>
        <w:ind w:firstLine="0"/>
        <w:rPr>
          <w:color w:val="auto"/>
          <w:highlight w:val="none"/>
        </w:rPr>
      </w:pPr>
    </w:p>
    <w:p w14:paraId="4F3B1347">
      <w:pPr>
        <w:pStyle w:val="17"/>
        <w:spacing w:line="360" w:lineRule="auto"/>
        <w:ind w:firstLine="0"/>
        <w:rPr>
          <w:color w:val="auto"/>
          <w:highlight w:val="none"/>
        </w:rPr>
      </w:pPr>
    </w:p>
    <w:p w14:paraId="2CDC3599">
      <w:pPr>
        <w:pStyle w:val="17"/>
        <w:spacing w:line="360" w:lineRule="auto"/>
        <w:ind w:firstLine="0"/>
        <w:rPr>
          <w:color w:val="auto"/>
          <w:highlight w:val="none"/>
          <w:u w:val="single"/>
        </w:rPr>
      </w:pPr>
      <w:r>
        <w:rPr>
          <w:rFonts w:hAnsi="宋体"/>
          <w:color w:val="auto"/>
          <w:highlight w:val="none"/>
        </w:rPr>
        <w:t>投标人</w:t>
      </w:r>
      <w:r>
        <w:rPr>
          <w:color w:val="auto"/>
          <w:highlight w:val="none"/>
        </w:rPr>
        <w:t>（</w:t>
      </w:r>
      <w:r>
        <w:rPr>
          <w:rFonts w:hAnsi="宋体"/>
          <w:color w:val="auto"/>
          <w:highlight w:val="none"/>
        </w:rPr>
        <w:t>盖法人章</w:t>
      </w:r>
      <w:r>
        <w:rPr>
          <w:color w:val="auto"/>
          <w:highlight w:val="none"/>
        </w:rPr>
        <w:t>）</w:t>
      </w:r>
      <w:r>
        <w:rPr>
          <w:rFonts w:hAnsi="宋体"/>
          <w:color w:val="auto"/>
          <w:highlight w:val="none"/>
        </w:rPr>
        <w:t>：</w:t>
      </w:r>
      <w:r>
        <w:rPr>
          <w:color w:val="auto"/>
          <w:highlight w:val="none"/>
          <w:u w:val="single"/>
        </w:rPr>
        <w:t xml:space="preserve">                               </w:t>
      </w:r>
    </w:p>
    <w:p w14:paraId="6F83E1C1">
      <w:pPr>
        <w:pStyle w:val="17"/>
        <w:spacing w:line="360" w:lineRule="auto"/>
        <w:ind w:firstLine="0"/>
        <w:rPr>
          <w:color w:val="auto"/>
          <w:highlight w:val="none"/>
        </w:rPr>
      </w:pPr>
    </w:p>
    <w:p w14:paraId="08262A01">
      <w:pPr>
        <w:pStyle w:val="17"/>
        <w:spacing w:line="360" w:lineRule="auto"/>
        <w:ind w:firstLine="0"/>
        <w:rPr>
          <w:color w:val="auto"/>
          <w:highlight w:val="none"/>
          <w:u w:val="single"/>
        </w:rPr>
      </w:pPr>
      <w:r>
        <w:rPr>
          <w:rFonts w:hAnsi="宋体"/>
          <w:color w:val="auto"/>
          <w:highlight w:val="none"/>
        </w:rPr>
        <w:t>法定代表人或委托代理人</w:t>
      </w:r>
      <w:r>
        <w:rPr>
          <w:color w:val="auto"/>
          <w:highlight w:val="none"/>
        </w:rPr>
        <w:t>（</w:t>
      </w:r>
      <w:r>
        <w:rPr>
          <w:rFonts w:hAnsi="宋体"/>
          <w:color w:val="auto"/>
          <w:highlight w:val="none"/>
        </w:rPr>
        <w:t>签字或盖章</w:t>
      </w:r>
      <w:r>
        <w:rPr>
          <w:color w:val="auto"/>
          <w:highlight w:val="none"/>
        </w:rPr>
        <w:t>）</w:t>
      </w:r>
      <w:r>
        <w:rPr>
          <w:rFonts w:hAnsi="宋体"/>
          <w:color w:val="auto"/>
          <w:highlight w:val="none"/>
        </w:rPr>
        <w:t>：</w:t>
      </w:r>
      <w:r>
        <w:rPr>
          <w:color w:val="auto"/>
          <w:highlight w:val="none"/>
          <w:u w:val="single"/>
        </w:rPr>
        <w:t xml:space="preserve">                        </w:t>
      </w:r>
    </w:p>
    <w:p w14:paraId="3E80DA7D">
      <w:pPr>
        <w:pStyle w:val="17"/>
        <w:spacing w:line="360" w:lineRule="auto"/>
        <w:ind w:firstLine="0"/>
        <w:rPr>
          <w:color w:val="auto"/>
          <w:highlight w:val="none"/>
        </w:rPr>
      </w:pPr>
      <w:r>
        <w:rPr>
          <w:color w:val="auto"/>
          <w:highlight w:val="none"/>
        </w:rPr>
        <w:t xml:space="preserve">      </w:t>
      </w:r>
    </w:p>
    <w:p w14:paraId="49467525">
      <w:pPr>
        <w:pStyle w:val="17"/>
        <w:spacing w:line="360" w:lineRule="auto"/>
        <w:ind w:firstLine="0"/>
        <w:rPr>
          <w:color w:val="auto"/>
          <w:highlight w:val="none"/>
        </w:rPr>
      </w:pPr>
      <w:r>
        <w:rPr>
          <w:rFonts w:hAnsi="宋体"/>
          <w:color w:val="auto"/>
          <w:highlight w:val="none"/>
        </w:rPr>
        <w:t>日期：</w:t>
      </w:r>
      <w:r>
        <w:rPr>
          <w:color w:val="auto"/>
          <w:highlight w:val="none"/>
          <w:u w:val="single"/>
        </w:rPr>
        <w:t xml:space="preserve">                                  </w:t>
      </w:r>
      <w:r>
        <w:rPr>
          <w:color w:val="auto"/>
          <w:highlight w:val="none"/>
        </w:rPr>
        <w:t xml:space="preserve"> </w:t>
      </w:r>
    </w:p>
    <w:p w14:paraId="59E5875A">
      <w:pPr>
        <w:pStyle w:val="382"/>
        <w:spacing w:line="420" w:lineRule="atLeast"/>
        <w:rPr>
          <w:color w:val="auto"/>
          <w:sz w:val="32"/>
          <w:highlight w:val="none"/>
        </w:rPr>
      </w:pPr>
    </w:p>
    <w:p w14:paraId="46C71999">
      <w:pPr>
        <w:pStyle w:val="17"/>
        <w:spacing w:line="360" w:lineRule="auto"/>
        <w:ind w:firstLine="0"/>
        <w:jc w:val="center"/>
        <w:outlineLvl w:val="1"/>
        <w:rPr>
          <w:rFonts w:hint="eastAsia" w:hAnsi="宋体"/>
          <w:color w:val="auto"/>
          <w:sz w:val="28"/>
          <w:szCs w:val="28"/>
          <w:highlight w:val="none"/>
        </w:rPr>
      </w:pPr>
      <w:r>
        <w:rPr>
          <w:color w:val="auto"/>
          <w:sz w:val="32"/>
          <w:highlight w:val="none"/>
        </w:rPr>
        <w:br w:type="page"/>
      </w:r>
      <w:bookmarkStart w:id="574" w:name="_Toc286661179"/>
      <w:r>
        <w:rPr>
          <w:rFonts w:hint="eastAsia" w:hAnsi="宋体"/>
          <w:color w:val="auto"/>
          <w:sz w:val="28"/>
          <w:szCs w:val="28"/>
          <w:highlight w:val="none"/>
        </w:rPr>
        <w:t>二</w:t>
      </w:r>
      <w:r>
        <w:rPr>
          <w:rFonts w:hAnsi="宋体"/>
          <w:color w:val="auto"/>
          <w:sz w:val="28"/>
          <w:szCs w:val="28"/>
          <w:highlight w:val="none"/>
        </w:rPr>
        <w:t>、已标价的工程量清单</w:t>
      </w:r>
      <w:bookmarkEnd w:id="574"/>
    </w:p>
    <w:p w14:paraId="71A7D105">
      <w:pPr>
        <w:spacing w:line="360" w:lineRule="auto"/>
        <w:ind w:firstLine="480" w:firstLineChars="200"/>
        <w:rPr>
          <w:rFonts w:ascii="宋体" w:hAnsi="宋体"/>
          <w:color w:val="auto"/>
          <w:sz w:val="24"/>
          <w:highlight w:val="none"/>
        </w:rPr>
      </w:pPr>
      <w:r>
        <w:rPr>
          <w:rFonts w:ascii="宋体" w:hAnsi="宋体"/>
          <w:color w:val="auto"/>
          <w:sz w:val="24"/>
          <w:highlight w:val="none"/>
        </w:rPr>
        <w:t>已标价的工程量清单：投标总价、总说明、建设项目投标报价汇总表、单项工程投标报价汇总表、单位工程投标报价汇总表、分部分项工程和单价措施项目清单与计价表、综合单价分析表、总价措施项目清单与计价表、其他项目清单与计价汇总表、暂列金额明细表、材料</w:t>
      </w:r>
      <w:r>
        <w:rPr>
          <w:rFonts w:hint="eastAsia" w:ascii="宋体" w:hAnsi="宋体"/>
          <w:color w:val="auto"/>
          <w:sz w:val="24"/>
          <w:highlight w:val="none"/>
          <w:lang w:eastAsia="zh-CN"/>
        </w:rPr>
        <w:t>（</w:t>
      </w:r>
      <w:r>
        <w:rPr>
          <w:rFonts w:ascii="宋体" w:hAnsi="宋体"/>
          <w:color w:val="auto"/>
          <w:sz w:val="24"/>
          <w:highlight w:val="none"/>
        </w:rPr>
        <w:t>工程设备</w:t>
      </w:r>
      <w:r>
        <w:rPr>
          <w:rFonts w:hint="eastAsia" w:ascii="宋体" w:hAnsi="宋体"/>
          <w:color w:val="auto"/>
          <w:sz w:val="24"/>
          <w:highlight w:val="none"/>
          <w:lang w:eastAsia="zh-CN"/>
        </w:rPr>
        <w:t>）</w:t>
      </w:r>
      <w:r>
        <w:rPr>
          <w:rFonts w:ascii="宋体" w:hAnsi="宋体"/>
          <w:color w:val="auto"/>
          <w:sz w:val="24"/>
          <w:highlight w:val="none"/>
        </w:rPr>
        <w:t>暂估单价及调整表、专业工程暂估价及结算价表、计日工表、总承包服务费计价表、规费、税金项目清单与计价表等；</w:t>
      </w:r>
    </w:p>
    <w:p w14:paraId="37D2D33F">
      <w:pPr>
        <w:adjustRightInd w:val="0"/>
        <w:spacing w:after="284" w:line="420" w:lineRule="atLeast"/>
        <w:jc w:val="center"/>
        <w:textAlignment w:val="baseline"/>
        <w:rPr>
          <w:rFonts w:ascii="宋体" w:hAnsi="宋体"/>
          <w:b/>
          <w:bCs/>
          <w:color w:val="auto"/>
          <w:kern w:val="0"/>
          <w:sz w:val="30"/>
          <w:highlight w:val="none"/>
        </w:rPr>
      </w:pPr>
    </w:p>
    <w:p w14:paraId="5DEB6ED6">
      <w:pPr>
        <w:pStyle w:val="17"/>
        <w:spacing w:line="360" w:lineRule="auto"/>
        <w:jc w:val="center"/>
        <w:rPr>
          <w:color w:val="auto"/>
          <w:sz w:val="25"/>
          <w:highlight w:val="none"/>
        </w:rPr>
      </w:pPr>
    </w:p>
    <w:p w14:paraId="7B09F9F3">
      <w:pPr>
        <w:pStyle w:val="17"/>
        <w:spacing w:line="360" w:lineRule="auto"/>
        <w:jc w:val="center"/>
        <w:rPr>
          <w:color w:val="auto"/>
          <w:sz w:val="25"/>
          <w:highlight w:val="none"/>
        </w:rPr>
      </w:pPr>
    </w:p>
    <w:p w14:paraId="091C4269">
      <w:pPr>
        <w:jc w:val="right"/>
        <w:rPr>
          <w:color w:val="auto"/>
          <w:szCs w:val="21"/>
          <w:highlight w:val="none"/>
        </w:rPr>
      </w:pPr>
    </w:p>
    <w:p w14:paraId="0475980C">
      <w:pPr>
        <w:jc w:val="left"/>
        <w:rPr>
          <w:color w:val="auto"/>
          <w:szCs w:val="21"/>
          <w:highlight w:val="none"/>
        </w:rPr>
      </w:pPr>
    </w:p>
    <w:p w14:paraId="54BD9FCE">
      <w:pPr>
        <w:jc w:val="left"/>
        <w:rPr>
          <w:color w:val="auto"/>
          <w:szCs w:val="21"/>
          <w:highlight w:val="none"/>
        </w:rPr>
      </w:pPr>
    </w:p>
    <w:p w14:paraId="1DF1A9AE">
      <w:pPr>
        <w:pStyle w:val="382"/>
        <w:spacing w:line="420" w:lineRule="atLeast"/>
        <w:outlineLvl w:val="1"/>
        <w:rPr>
          <w:rFonts w:ascii="宋体" w:hAnsi="宋体"/>
          <w:color w:val="auto"/>
          <w:sz w:val="32"/>
          <w:highlight w:val="none"/>
        </w:rPr>
      </w:pPr>
      <w:r>
        <w:rPr>
          <w:rFonts w:hAnsi="宋体"/>
          <w:color w:val="auto"/>
          <w:sz w:val="28"/>
          <w:szCs w:val="28"/>
          <w:highlight w:val="none"/>
        </w:rPr>
        <w:br w:type="page"/>
      </w:r>
      <w:r>
        <w:rPr>
          <w:rFonts w:hint="eastAsia" w:ascii="宋体" w:hAnsi="宋体"/>
          <w:color w:val="auto"/>
          <w:sz w:val="32"/>
          <w:highlight w:val="none"/>
        </w:rPr>
        <w:t>三、计划投入的主要施工机械设备表</w:t>
      </w:r>
    </w:p>
    <w:tbl>
      <w:tblPr>
        <w:tblStyle w:val="6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8"/>
        <w:gridCol w:w="1700"/>
        <w:gridCol w:w="700"/>
        <w:gridCol w:w="700"/>
        <w:gridCol w:w="900"/>
        <w:gridCol w:w="900"/>
        <w:gridCol w:w="1100"/>
        <w:gridCol w:w="1100"/>
        <w:gridCol w:w="2100"/>
      </w:tblGrid>
      <w:tr w14:paraId="78147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 w:type="dxa"/>
            <w:noWrap w:val="0"/>
            <w:vAlign w:val="top"/>
          </w:tcPr>
          <w:p w14:paraId="6DE679D6">
            <w:pPr>
              <w:adjustRightInd w:val="0"/>
              <w:jc w:val="center"/>
              <w:textAlignment w:val="baseline"/>
              <w:rPr>
                <w:rFonts w:ascii="宋体" w:hAnsi="宋体"/>
                <w:color w:val="auto"/>
                <w:kern w:val="0"/>
                <w:position w:val="-32"/>
                <w:sz w:val="24"/>
                <w:highlight w:val="none"/>
              </w:rPr>
            </w:pPr>
            <w:r>
              <w:rPr>
                <w:rFonts w:hint="eastAsia" w:ascii="宋体" w:hAnsi="宋体"/>
                <w:color w:val="auto"/>
                <w:kern w:val="0"/>
                <w:position w:val="-32"/>
                <w:sz w:val="24"/>
                <w:highlight w:val="none"/>
              </w:rPr>
              <w:t>序号</w:t>
            </w:r>
          </w:p>
        </w:tc>
        <w:tc>
          <w:tcPr>
            <w:tcW w:w="1700" w:type="dxa"/>
            <w:noWrap w:val="0"/>
            <w:vAlign w:val="top"/>
          </w:tcPr>
          <w:p w14:paraId="68EC32B1">
            <w:pPr>
              <w:adjustRightInd w:val="0"/>
              <w:jc w:val="center"/>
              <w:textAlignment w:val="baseline"/>
              <w:rPr>
                <w:rFonts w:ascii="宋体" w:hAnsi="宋体"/>
                <w:color w:val="auto"/>
                <w:kern w:val="0"/>
                <w:position w:val="-50"/>
                <w:sz w:val="24"/>
                <w:highlight w:val="none"/>
              </w:rPr>
            </w:pPr>
            <w:r>
              <w:rPr>
                <w:rFonts w:hint="eastAsia" w:ascii="宋体" w:hAnsi="宋体"/>
                <w:color w:val="auto"/>
                <w:kern w:val="0"/>
                <w:position w:val="-50"/>
                <w:sz w:val="24"/>
                <w:highlight w:val="none"/>
              </w:rPr>
              <w:t>机械设备名称</w:t>
            </w:r>
          </w:p>
        </w:tc>
        <w:tc>
          <w:tcPr>
            <w:tcW w:w="700" w:type="dxa"/>
            <w:noWrap w:val="0"/>
            <w:vAlign w:val="top"/>
          </w:tcPr>
          <w:p w14:paraId="048E2CE5">
            <w:pPr>
              <w:adjustRightInd w:val="0"/>
              <w:jc w:val="center"/>
              <w:textAlignment w:val="baseline"/>
              <w:rPr>
                <w:rFonts w:ascii="宋体" w:hAnsi="宋体"/>
                <w:color w:val="auto"/>
                <w:kern w:val="0"/>
                <w:position w:val="-30"/>
                <w:sz w:val="24"/>
                <w:highlight w:val="none"/>
              </w:rPr>
            </w:pPr>
            <w:r>
              <w:rPr>
                <w:rFonts w:hint="eastAsia" w:ascii="宋体" w:hAnsi="宋体"/>
                <w:color w:val="auto"/>
                <w:kern w:val="0"/>
                <w:position w:val="-30"/>
                <w:sz w:val="24"/>
                <w:highlight w:val="none"/>
              </w:rPr>
              <w:t>型号规格</w:t>
            </w:r>
          </w:p>
        </w:tc>
        <w:tc>
          <w:tcPr>
            <w:tcW w:w="700" w:type="dxa"/>
            <w:noWrap w:val="0"/>
            <w:vAlign w:val="top"/>
          </w:tcPr>
          <w:p w14:paraId="69F9287A">
            <w:pPr>
              <w:adjustRightInd w:val="0"/>
              <w:jc w:val="center"/>
              <w:textAlignment w:val="baseline"/>
              <w:rPr>
                <w:rFonts w:ascii="宋体" w:hAnsi="宋体"/>
                <w:color w:val="auto"/>
                <w:kern w:val="0"/>
                <w:position w:val="-50"/>
                <w:sz w:val="24"/>
                <w:highlight w:val="none"/>
              </w:rPr>
            </w:pPr>
            <w:r>
              <w:rPr>
                <w:rFonts w:hint="eastAsia" w:ascii="宋体" w:hAnsi="宋体"/>
                <w:color w:val="auto"/>
                <w:kern w:val="0"/>
                <w:position w:val="-50"/>
                <w:sz w:val="24"/>
                <w:highlight w:val="none"/>
              </w:rPr>
              <w:t>数量</w:t>
            </w:r>
          </w:p>
        </w:tc>
        <w:tc>
          <w:tcPr>
            <w:tcW w:w="900" w:type="dxa"/>
            <w:noWrap w:val="0"/>
            <w:vAlign w:val="top"/>
          </w:tcPr>
          <w:p w14:paraId="583B6F26">
            <w:pPr>
              <w:adjustRightInd w:val="0"/>
              <w:jc w:val="center"/>
              <w:textAlignment w:val="baseline"/>
              <w:rPr>
                <w:rFonts w:ascii="宋体" w:hAnsi="宋体"/>
                <w:color w:val="auto"/>
                <w:kern w:val="0"/>
                <w:position w:val="-30"/>
                <w:sz w:val="24"/>
                <w:highlight w:val="none"/>
              </w:rPr>
            </w:pPr>
            <w:r>
              <w:rPr>
                <w:rFonts w:hint="eastAsia" w:ascii="宋体" w:hAnsi="宋体"/>
                <w:color w:val="auto"/>
                <w:kern w:val="0"/>
                <w:position w:val="-30"/>
                <w:sz w:val="24"/>
                <w:highlight w:val="none"/>
              </w:rPr>
              <w:t>国 别</w:t>
            </w:r>
          </w:p>
          <w:p w14:paraId="2E2D2019">
            <w:pPr>
              <w:adjustRightInd w:val="0"/>
              <w:jc w:val="center"/>
              <w:textAlignment w:val="baseline"/>
              <w:rPr>
                <w:rFonts w:ascii="宋体" w:hAnsi="宋体"/>
                <w:color w:val="auto"/>
                <w:kern w:val="0"/>
                <w:position w:val="-30"/>
                <w:sz w:val="24"/>
                <w:highlight w:val="none"/>
              </w:rPr>
            </w:pPr>
            <w:r>
              <w:rPr>
                <w:rFonts w:hint="eastAsia" w:ascii="宋体" w:hAnsi="宋体"/>
                <w:color w:val="auto"/>
                <w:kern w:val="0"/>
                <w:position w:val="-30"/>
                <w:sz w:val="24"/>
                <w:highlight w:val="none"/>
              </w:rPr>
              <w:t>产 地</w:t>
            </w:r>
          </w:p>
        </w:tc>
        <w:tc>
          <w:tcPr>
            <w:tcW w:w="900" w:type="dxa"/>
            <w:noWrap w:val="0"/>
            <w:vAlign w:val="top"/>
          </w:tcPr>
          <w:p w14:paraId="04C7D401">
            <w:pPr>
              <w:adjustRightInd w:val="0"/>
              <w:jc w:val="center"/>
              <w:textAlignment w:val="baseline"/>
              <w:rPr>
                <w:rFonts w:ascii="宋体" w:hAnsi="宋体"/>
                <w:color w:val="auto"/>
                <w:kern w:val="0"/>
                <w:position w:val="-30"/>
                <w:sz w:val="24"/>
                <w:highlight w:val="none"/>
              </w:rPr>
            </w:pPr>
            <w:r>
              <w:rPr>
                <w:rFonts w:hint="eastAsia" w:ascii="宋体" w:hAnsi="宋体"/>
                <w:color w:val="auto"/>
                <w:kern w:val="0"/>
                <w:position w:val="-30"/>
                <w:sz w:val="24"/>
                <w:highlight w:val="none"/>
              </w:rPr>
              <w:t>制 造</w:t>
            </w:r>
          </w:p>
          <w:p w14:paraId="3355E2F2">
            <w:pPr>
              <w:adjustRightInd w:val="0"/>
              <w:jc w:val="center"/>
              <w:textAlignment w:val="baseline"/>
              <w:rPr>
                <w:rFonts w:ascii="宋体" w:hAnsi="宋体"/>
                <w:color w:val="auto"/>
                <w:kern w:val="0"/>
                <w:position w:val="-30"/>
                <w:sz w:val="24"/>
                <w:highlight w:val="none"/>
              </w:rPr>
            </w:pPr>
            <w:r>
              <w:rPr>
                <w:rFonts w:hint="eastAsia" w:ascii="宋体" w:hAnsi="宋体"/>
                <w:color w:val="auto"/>
                <w:kern w:val="0"/>
                <w:position w:val="-30"/>
                <w:sz w:val="24"/>
                <w:highlight w:val="none"/>
              </w:rPr>
              <w:t>年 份</w:t>
            </w:r>
          </w:p>
        </w:tc>
        <w:tc>
          <w:tcPr>
            <w:tcW w:w="1100" w:type="dxa"/>
            <w:noWrap w:val="0"/>
            <w:vAlign w:val="top"/>
          </w:tcPr>
          <w:p w14:paraId="68ED6A8A">
            <w:pPr>
              <w:adjustRightInd w:val="0"/>
              <w:jc w:val="center"/>
              <w:textAlignment w:val="baseline"/>
              <w:rPr>
                <w:rFonts w:ascii="宋体" w:hAnsi="宋体"/>
                <w:color w:val="auto"/>
                <w:kern w:val="0"/>
                <w:position w:val="-30"/>
                <w:sz w:val="24"/>
                <w:highlight w:val="none"/>
              </w:rPr>
            </w:pPr>
            <w:r>
              <w:rPr>
                <w:rFonts w:hint="eastAsia" w:ascii="宋体" w:hAnsi="宋体"/>
                <w:color w:val="auto"/>
                <w:kern w:val="0"/>
                <w:position w:val="-30"/>
                <w:sz w:val="24"/>
                <w:highlight w:val="none"/>
              </w:rPr>
              <w:t>额定功率（</w:t>
            </w:r>
            <w:r>
              <w:rPr>
                <w:rFonts w:hint="eastAsia" w:ascii="宋体" w:hAnsi="宋体"/>
                <w:color w:val="auto"/>
                <w:kern w:val="0"/>
                <w:position w:val="-30"/>
                <w:sz w:val="24"/>
                <w:highlight w:val="none"/>
                <w:lang w:eastAsia="zh-CN"/>
              </w:rPr>
              <w:t>kW</w:t>
            </w:r>
            <w:r>
              <w:rPr>
                <w:rFonts w:hint="eastAsia" w:ascii="宋体" w:hAnsi="宋体"/>
                <w:color w:val="auto"/>
                <w:kern w:val="0"/>
                <w:position w:val="-30"/>
                <w:sz w:val="24"/>
                <w:highlight w:val="none"/>
              </w:rPr>
              <w:t>）</w:t>
            </w:r>
          </w:p>
        </w:tc>
        <w:tc>
          <w:tcPr>
            <w:tcW w:w="1100" w:type="dxa"/>
            <w:noWrap w:val="0"/>
            <w:vAlign w:val="top"/>
          </w:tcPr>
          <w:p w14:paraId="41894F28">
            <w:pPr>
              <w:adjustRightInd w:val="0"/>
              <w:jc w:val="center"/>
              <w:textAlignment w:val="baseline"/>
              <w:rPr>
                <w:rFonts w:ascii="宋体" w:hAnsi="宋体"/>
                <w:color w:val="auto"/>
                <w:kern w:val="0"/>
                <w:position w:val="-30"/>
                <w:sz w:val="24"/>
                <w:highlight w:val="none"/>
              </w:rPr>
            </w:pPr>
            <w:r>
              <w:rPr>
                <w:rFonts w:hint="eastAsia" w:ascii="宋体" w:hAnsi="宋体"/>
                <w:color w:val="auto"/>
                <w:kern w:val="0"/>
                <w:position w:val="-30"/>
                <w:sz w:val="24"/>
                <w:highlight w:val="none"/>
              </w:rPr>
              <w:t>生产能力（MH）</w:t>
            </w:r>
          </w:p>
        </w:tc>
        <w:tc>
          <w:tcPr>
            <w:tcW w:w="2100" w:type="dxa"/>
            <w:noWrap w:val="0"/>
            <w:vAlign w:val="top"/>
          </w:tcPr>
          <w:p w14:paraId="0164ECCB">
            <w:pPr>
              <w:adjustRightInd w:val="0"/>
              <w:jc w:val="center"/>
              <w:textAlignment w:val="baseline"/>
              <w:rPr>
                <w:rFonts w:ascii="宋体" w:hAnsi="宋体"/>
                <w:color w:val="auto"/>
                <w:kern w:val="0"/>
                <w:position w:val="-50"/>
                <w:sz w:val="24"/>
                <w:highlight w:val="none"/>
              </w:rPr>
            </w:pPr>
            <w:r>
              <w:rPr>
                <w:rFonts w:hint="eastAsia" w:ascii="宋体" w:hAnsi="宋体"/>
                <w:color w:val="auto"/>
                <w:kern w:val="0"/>
                <w:position w:val="-50"/>
                <w:sz w:val="24"/>
                <w:highlight w:val="none"/>
              </w:rPr>
              <w:t>备注</w:t>
            </w:r>
          </w:p>
        </w:tc>
      </w:tr>
      <w:tr w14:paraId="4B2A3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33CC62F9">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5B800E3A">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23D60ADC">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289B713B">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74AEDECB">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06CAB76D">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55DFE2F7">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3DE754CA">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438805E8">
            <w:pPr>
              <w:adjustRightInd w:val="0"/>
              <w:spacing w:line="360" w:lineRule="auto"/>
              <w:textAlignment w:val="baseline"/>
              <w:rPr>
                <w:rFonts w:ascii="宋体" w:hAnsi="宋体"/>
                <w:color w:val="auto"/>
                <w:kern w:val="0"/>
                <w:sz w:val="25"/>
                <w:highlight w:val="none"/>
              </w:rPr>
            </w:pPr>
          </w:p>
        </w:tc>
      </w:tr>
      <w:tr w14:paraId="79021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2FE2F74C">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3C374B50">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736437CF">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2B8ACF9B">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583BF6D6">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0ABCC2C0">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4D39BC64">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59E396E0">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30BF49EE">
            <w:pPr>
              <w:adjustRightInd w:val="0"/>
              <w:spacing w:line="360" w:lineRule="auto"/>
              <w:textAlignment w:val="baseline"/>
              <w:rPr>
                <w:rFonts w:ascii="宋体" w:hAnsi="宋体"/>
                <w:color w:val="auto"/>
                <w:kern w:val="0"/>
                <w:sz w:val="25"/>
                <w:highlight w:val="none"/>
              </w:rPr>
            </w:pPr>
          </w:p>
        </w:tc>
      </w:tr>
      <w:tr w14:paraId="09E7F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45752F9D">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752B54D2">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4E70C991">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335639F0">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31AE22B9">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79147EAE">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3E64570A">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1C57724C">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7CA1E4CF">
            <w:pPr>
              <w:adjustRightInd w:val="0"/>
              <w:spacing w:line="360" w:lineRule="auto"/>
              <w:textAlignment w:val="baseline"/>
              <w:rPr>
                <w:rFonts w:ascii="宋体" w:hAnsi="宋体"/>
                <w:color w:val="auto"/>
                <w:kern w:val="0"/>
                <w:sz w:val="25"/>
                <w:highlight w:val="none"/>
              </w:rPr>
            </w:pPr>
          </w:p>
        </w:tc>
      </w:tr>
      <w:tr w14:paraId="5EF31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3A7621FC">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65C08D91">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583EC9CB">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139AF576">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7EE18C7A">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5581B903">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2EFC8497">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35F55382">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709C2F04">
            <w:pPr>
              <w:adjustRightInd w:val="0"/>
              <w:spacing w:line="360" w:lineRule="auto"/>
              <w:textAlignment w:val="baseline"/>
              <w:rPr>
                <w:rFonts w:ascii="宋体" w:hAnsi="宋体"/>
                <w:color w:val="auto"/>
                <w:kern w:val="0"/>
                <w:sz w:val="25"/>
                <w:highlight w:val="none"/>
              </w:rPr>
            </w:pPr>
          </w:p>
        </w:tc>
      </w:tr>
      <w:tr w14:paraId="332CA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220DEA97">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49699EB6">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60AEAD66">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7DD0EC86">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2AC52FD5">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6DED50DE">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137FE3B0">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6DE4E42C">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022CBB90">
            <w:pPr>
              <w:adjustRightInd w:val="0"/>
              <w:spacing w:line="360" w:lineRule="auto"/>
              <w:textAlignment w:val="baseline"/>
              <w:rPr>
                <w:rFonts w:ascii="宋体" w:hAnsi="宋体"/>
                <w:color w:val="auto"/>
                <w:kern w:val="0"/>
                <w:sz w:val="25"/>
                <w:highlight w:val="none"/>
              </w:rPr>
            </w:pPr>
          </w:p>
        </w:tc>
      </w:tr>
      <w:tr w14:paraId="2C887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106F13D8">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2ED24BE0">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7CDB284C">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4E1A256D">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7FB219B4">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79C4C4C6">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73892F59">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2D0361DD">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5912DC5D">
            <w:pPr>
              <w:adjustRightInd w:val="0"/>
              <w:spacing w:line="360" w:lineRule="auto"/>
              <w:textAlignment w:val="baseline"/>
              <w:rPr>
                <w:rFonts w:ascii="宋体" w:hAnsi="宋体"/>
                <w:color w:val="auto"/>
                <w:kern w:val="0"/>
                <w:sz w:val="25"/>
                <w:highlight w:val="none"/>
              </w:rPr>
            </w:pPr>
          </w:p>
        </w:tc>
      </w:tr>
      <w:tr w14:paraId="4E1FC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63D5E06D">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750CCDAA">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5745A589">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2E42148E">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2B8CCA84">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4F2709BF">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24D0F88B">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3238FFA6">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004A71D8">
            <w:pPr>
              <w:adjustRightInd w:val="0"/>
              <w:spacing w:line="360" w:lineRule="auto"/>
              <w:textAlignment w:val="baseline"/>
              <w:rPr>
                <w:rFonts w:ascii="宋体" w:hAnsi="宋体"/>
                <w:color w:val="auto"/>
                <w:kern w:val="0"/>
                <w:sz w:val="25"/>
                <w:highlight w:val="none"/>
              </w:rPr>
            </w:pPr>
          </w:p>
        </w:tc>
      </w:tr>
      <w:tr w14:paraId="507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275AE2A8">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3B5CCB4B">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229A009A">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7B664A8C">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5548377C">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0A9FC21F">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6E8575AF">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46BBBD83">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7407D169">
            <w:pPr>
              <w:adjustRightInd w:val="0"/>
              <w:spacing w:line="360" w:lineRule="auto"/>
              <w:textAlignment w:val="baseline"/>
              <w:rPr>
                <w:rFonts w:ascii="宋体" w:hAnsi="宋体"/>
                <w:color w:val="auto"/>
                <w:kern w:val="0"/>
                <w:sz w:val="25"/>
                <w:highlight w:val="none"/>
              </w:rPr>
            </w:pPr>
          </w:p>
        </w:tc>
      </w:tr>
      <w:tr w14:paraId="1A9CD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54473449">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0B8429EC">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667FC42A">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22CCB782">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38716AAA">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09D75D75">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3B8BAAA6">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1193B92F">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24355ED1">
            <w:pPr>
              <w:adjustRightInd w:val="0"/>
              <w:spacing w:line="360" w:lineRule="auto"/>
              <w:textAlignment w:val="baseline"/>
              <w:rPr>
                <w:rFonts w:ascii="宋体" w:hAnsi="宋体"/>
                <w:color w:val="auto"/>
                <w:kern w:val="0"/>
                <w:sz w:val="25"/>
                <w:highlight w:val="none"/>
              </w:rPr>
            </w:pPr>
          </w:p>
        </w:tc>
      </w:tr>
      <w:tr w14:paraId="17DC9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6164E943">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6DD8F7BD">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4105613F">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52B75F5F">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4A551817">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1990B7FA">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6C397EFD">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5BDF7282">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1C701711">
            <w:pPr>
              <w:adjustRightInd w:val="0"/>
              <w:spacing w:line="360" w:lineRule="auto"/>
              <w:textAlignment w:val="baseline"/>
              <w:rPr>
                <w:rFonts w:ascii="宋体" w:hAnsi="宋体"/>
                <w:color w:val="auto"/>
                <w:kern w:val="0"/>
                <w:sz w:val="25"/>
                <w:highlight w:val="none"/>
              </w:rPr>
            </w:pPr>
          </w:p>
        </w:tc>
      </w:tr>
      <w:tr w14:paraId="41A74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5D4761C8">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65FAB832">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6B20DEAF">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711AD6B2">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5378EFE3">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2A09867B">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5F494466">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6182507A">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45356080">
            <w:pPr>
              <w:adjustRightInd w:val="0"/>
              <w:spacing w:line="360" w:lineRule="auto"/>
              <w:textAlignment w:val="baseline"/>
              <w:rPr>
                <w:rFonts w:ascii="宋体" w:hAnsi="宋体"/>
                <w:color w:val="auto"/>
                <w:kern w:val="0"/>
                <w:sz w:val="25"/>
                <w:highlight w:val="none"/>
              </w:rPr>
            </w:pPr>
          </w:p>
        </w:tc>
      </w:tr>
      <w:tr w14:paraId="39E74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5ECCF60F">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79F006AF">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60AEAB94">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237B1B9C">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10B81015">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237DC789">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5A5BE6F5">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7C1B0549">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7E7FCA60">
            <w:pPr>
              <w:adjustRightInd w:val="0"/>
              <w:spacing w:line="360" w:lineRule="auto"/>
              <w:textAlignment w:val="baseline"/>
              <w:rPr>
                <w:rFonts w:ascii="宋体" w:hAnsi="宋体"/>
                <w:color w:val="auto"/>
                <w:kern w:val="0"/>
                <w:sz w:val="25"/>
                <w:highlight w:val="none"/>
              </w:rPr>
            </w:pPr>
          </w:p>
        </w:tc>
      </w:tr>
      <w:tr w14:paraId="40838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712CFD7F">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13572C42">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7506B0E0">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49C49FCC">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6E2E2CA4">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603844C4">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6943F5FB">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7168653F">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3E2F6DC8">
            <w:pPr>
              <w:adjustRightInd w:val="0"/>
              <w:spacing w:line="360" w:lineRule="auto"/>
              <w:textAlignment w:val="baseline"/>
              <w:rPr>
                <w:rFonts w:ascii="宋体" w:hAnsi="宋体"/>
                <w:color w:val="auto"/>
                <w:kern w:val="0"/>
                <w:sz w:val="25"/>
                <w:highlight w:val="none"/>
              </w:rPr>
            </w:pPr>
          </w:p>
        </w:tc>
      </w:tr>
      <w:tr w14:paraId="622DC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42A48E8A">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1BCCE1BB">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442FE744">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6B33D6AF">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1697A00C">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452225F9">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6D52C3E2">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3D8298F0">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4529099F">
            <w:pPr>
              <w:adjustRightInd w:val="0"/>
              <w:spacing w:line="360" w:lineRule="auto"/>
              <w:textAlignment w:val="baseline"/>
              <w:rPr>
                <w:rFonts w:ascii="宋体" w:hAnsi="宋体"/>
                <w:color w:val="auto"/>
                <w:kern w:val="0"/>
                <w:sz w:val="25"/>
                <w:highlight w:val="none"/>
              </w:rPr>
            </w:pPr>
          </w:p>
        </w:tc>
      </w:tr>
      <w:tr w14:paraId="2ABFB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15BB1BA0">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35E7AAA2">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3AB38930">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1D68AD4A">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06B6D318">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049D61CB">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18B32493">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36C93110">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5288896F">
            <w:pPr>
              <w:adjustRightInd w:val="0"/>
              <w:spacing w:line="360" w:lineRule="auto"/>
              <w:textAlignment w:val="baseline"/>
              <w:rPr>
                <w:rFonts w:ascii="宋体" w:hAnsi="宋体"/>
                <w:color w:val="auto"/>
                <w:kern w:val="0"/>
                <w:sz w:val="25"/>
                <w:highlight w:val="none"/>
              </w:rPr>
            </w:pPr>
          </w:p>
        </w:tc>
      </w:tr>
      <w:tr w14:paraId="40C1B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68403F05">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39D2BC41">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1AA5D796">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72136191">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510AF061">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398D5790">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4D119210">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7C1A6553">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01C9FC75">
            <w:pPr>
              <w:adjustRightInd w:val="0"/>
              <w:spacing w:line="360" w:lineRule="auto"/>
              <w:textAlignment w:val="baseline"/>
              <w:rPr>
                <w:rFonts w:ascii="宋体" w:hAnsi="宋体"/>
                <w:color w:val="auto"/>
                <w:kern w:val="0"/>
                <w:sz w:val="25"/>
                <w:highlight w:val="none"/>
              </w:rPr>
            </w:pPr>
          </w:p>
        </w:tc>
      </w:tr>
      <w:tr w14:paraId="6F986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213AFD35">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5646CA3E">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657231AC">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35CE9D98">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4A15B376">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68F19D93">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6F78B683">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70640FEB">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5319151D">
            <w:pPr>
              <w:adjustRightInd w:val="0"/>
              <w:spacing w:line="360" w:lineRule="auto"/>
              <w:textAlignment w:val="baseline"/>
              <w:rPr>
                <w:rFonts w:ascii="宋体" w:hAnsi="宋体"/>
                <w:color w:val="auto"/>
                <w:kern w:val="0"/>
                <w:sz w:val="25"/>
                <w:highlight w:val="none"/>
              </w:rPr>
            </w:pPr>
          </w:p>
        </w:tc>
      </w:tr>
      <w:tr w14:paraId="3ABC7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1869D307">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3F5A9D5C">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74AAE695">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00846CE0">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041AAAB1">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41EB530E">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2BBDE3BE">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0D5EBFE0">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1A1B5DAC">
            <w:pPr>
              <w:adjustRightInd w:val="0"/>
              <w:spacing w:line="360" w:lineRule="auto"/>
              <w:textAlignment w:val="baseline"/>
              <w:rPr>
                <w:rFonts w:ascii="宋体" w:hAnsi="宋体"/>
                <w:color w:val="auto"/>
                <w:kern w:val="0"/>
                <w:sz w:val="25"/>
                <w:highlight w:val="none"/>
              </w:rPr>
            </w:pPr>
          </w:p>
        </w:tc>
      </w:tr>
    </w:tbl>
    <w:p w14:paraId="4D275356">
      <w:pPr>
        <w:pStyle w:val="17"/>
        <w:snapToGrid w:val="0"/>
        <w:spacing w:line="440" w:lineRule="exact"/>
        <w:ind w:firstLine="0"/>
        <w:jc w:val="center"/>
        <w:outlineLvl w:val="1"/>
        <w:rPr>
          <w:rFonts w:hAnsi="宋体"/>
          <w:color w:val="auto"/>
          <w:sz w:val="28"/>
          <w:szCs w:val="28"/>
          <w:highlight w:val="none"/>
        </w:rPr>
      </w:pPr>
    </w:p>
    <w:p w14:paraId="094538E8">
      <w:pPr>
        <w:pStyle w:val="17"/>
        <w:snapToGrid w:val="0"/>
        <w:spacing w:line="440" w:lineRule="exact"/>
        <w:ind w:firstLine="0"/>
        <w:jc w:val="center"/>
        <w:outlineLvl w:val="1"/>
        <w:rPr>
          <w:color w:val="auto"/>
          <w:sz w:val="28"/>
          <w:szCs w:val="28"/>
          <w:highlight w:val="none"/>
        </w:rPr>
      </w:pPr>
      <w:r>
        <w:rPr>
          <w:rFonts w:hAnsi="宋体"/>
          <w:color w:val="auto"/>
          <w:sz w:val="28"/>
          <w:szCs w:val="28"/>
          <w:highlight w:val="none"/>
        </w:rPr>
        <w:br w:type="page"/>
      </w:r>
      <w:r>
        <w:rPr>
          <w:rFonts w:hint="eastAsia" w:hAnsi="宋体"/>
          <w:color w:val="auto"/>
          <w:sz w:val="28"/>
          <w:szCs w:val="28"/>
          <w:highlight w:val="none"/>
        </w:rPr>
        <w:t>四</w:t>
      </w:r>
      <w:r>
        <w:rPr>
          <w:rFonts w:hAnsi="宋体"/>
          <w:color w:val="auto"/>
          <w:sz w:val="28"/>
          <w:szCs w:val="28"/>
          <w:highlight w:val="none"/>
        </w:rPr>
        <w:t>、主要施工管理人员表</w:t>
      </w:r>
    </w:p>
    <w:p w14:paraId="71CC7EF6">
      <w:pPr>
        <w:pStyle w:val="17"/>
        <w:spacing w:line="360" w:lineRule="auto"/>
        <w:ind w:firstLine="0"/>
        <w:jc w:val="center"/>
        <w:rPr>
          <w:color w:val="auto"/>
          <w:sz w:val="25"/>
          <w:highlight w:val="none"/>
        </w:rPr>
      </w:pPr>
    </w:p>
    <w:tbl>
      <w:tblPr>
        <w:tblStyle w:val="6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
        <w:gridCol w:w="1500"/>
        <w:gridCol w:w="799"/>
        <w:gridCol w:w="800"/>
        <w:gridCol w:w="800"/>
        <w:gridCol w:w="3700"/>
      </w:tblGrid>
      <w:tr w14:paraId="01B01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8" w:type="dxa"/>
            <w:noWrap w:val="0"/>
            <w:vAlign w:val="top"/>
          </w:tcPr>
          <w:p w14:paraId="2C86C5A7">
            <w:pPr>
              <w:spacing w:line="420" w:lineRule="atLeast"/>
              <w:rPr>
                <w:color w:val="auto"/>
                <w:kern w:val="0"/>
                <w:sz w:val="24"/>
                <w:highlight w:val="none"/>
              </w:rPr>
            </w:pPr>
            <w:r>
              <w:rPr>
                <w:rFonts w:hAnsi="宋体"/>
                <w:color w:val="auto"/>
                <w:kern w:val="0"/>
                <w:sz w:val="24"/>
                <w:highlight w:val="none"/>
              </w:rPr>
              <w:t>机构</w:t>
            </w:r>
          </w:p>
        </w:tc>
        <w:tc>
          <w:tcPr>
            <w:tcW w:w="1500" w:type="dxa"/>
            <w:noWrap w:val="0"/>
            <w:vAlign w:val="top"/>
          </w:tcPr>
          <w:p w14:paraId="733327D6">
            <w:pPr>
              <w:spacing w:line="420" w:lineRule="atLeast"/>
              <w:rPr>
                <w:color w:val="auto"/>
                <w:kern w:val="0"/>
                <w:sz w:val="24"/>
                <w:highlight w:val="none"/>
              </w:rPr>
            </w:pPr>
            <w:r>
              <w:rPr>
                <w:rFonts w:hAnsi="宋体"/>
                <w:color w:val="auto"/>
                <w:kern w:val="0"/>
                <w:sz w:val="24"/>
                <w:highlight w:val="none"/>
              </w:rPr>
              <w:t>项目工程师</w:t>
            </w:r>
          </w:p>
        </w:tc>
        <w:tc>
          <w:tcPr>
            <w:tcW w:w="799" w:type="dxa"/>
            <w:noWrap w:val="0"/>
            <w:vAlign w:val="top"/>
          </w:tcPr>
          <w:p w14:paraId="1ECF5238">
            <w:pPr>
              <w:spacing w:line="420" w:lineRule="atLeast"/>
              <w:rPr>
                <w:color w:val="auto"/>
                <w:kern w:val="0"/>
                <w:sz w:val="24"/>
                <w:highlight w:val="none"/>
              </w:rPr>
            </w:pPr>
            <w:r>
              <w:rPr>
                <w:rFonts w:hAnsi="宋体"/>
                <w:color w:val="auto"/>
                <w:kern w:val="0"/>
                <w:sz w:val="24"/>
                <w:highlight w:val="none"/>
              </w:rPr>
              <w:t>姓名</w:t>
            </w:r>
          </w:p>
        </w:tc>
        <w:tc>
          <w:tcPr>
            <w:tcW w:w="800" w:type="dxa"/>
            <w:noWrap w:val="0"/>
            <w:vAlign w:val="top"/>
          </w:tcPr>
          <w:p w14:paraId="48D826F4">
            <w:pPr>
              <w:spacing w:line="420" w:lineRule="atLeast"/>
              <w:rPr>
                <w:color w:val="auto"/>
                <w:kern w:val="0"/>
                <w:sz w:val="24"/>
                <w:highlight w:val="none"/>
              </w:rPr>
            </w:pPr>
            <w:r>
              <w:rPr>
                <w:rFonts w:hAnsi="宋体"/>
                <w:color w:val="auto"/>
                <w:kern w:val="0"/>
                <w:sz w:val="24"/>
                <w:highlight w:val="none"/>
              </w:rPr>
              <w:t>职务</w:t>
            </w:r>
          </w:p>
        </w:tc>
        <w:tc>
          <w:tcPr>
            <w:tcW w:w="800" w:type="dxa"/>
            <w:noWrap w:val="0"/>
            <w:vAlign w:val="top"/>
          </w:tcPr>
          <w:p w14:paraId="2A5CDCB2">
            <w:pPr>
              <w:spacing w:line="420" w:lineRule="atLeast"/>
              <w:rPr>
                <w:color w:val="auto"/>
                <w:kern w:val="0"/>
                <w:sz w:val="24"/>
                <w:highlight w:val="none"/>
              </w:rPr>
            </w:pPr>
            <w:r>
              <w:rPr>
                <w:rFonts w:hAnsi="宋体"/>
                <w:color w:val="auto"/>
                <w:kern w:val="0"/>
                <w:sz w:val="24"/>
                <w:highlight w:val="none"/>
              </w:rPr>
              <w:t>职称</w:t>
            </w:r>
          </w:p>
        </w:tc>
        <w:tc>
          <w:tcPr>
            <w:tcW w:w="3700" w:type="dxa"/>
            <w:noWrap w:val="0"/>
            <w:vAlign w:val="top"/>
          </w:tcPr>
          <w:p w14:paraId="6233C602">
            <w:pPr>
              <w:spacing w:line="420" w:lineRule="atLeast"/>
              <w:rPr>
                <w:color w:val="auto"/>
                <w:kern w:val="0"/>
                <w:sz w:val="24"/>
                <w:highlight w:val="none"/>
              </w:rPr>
            </w:pPr>
            <w:r>
              <w:rPr>
                <w:rFonts w:hAnsi="宋体"/>
                <w:color w:val="auto"/>
                <w:kern w:val="0"/>
                <w:sz w:val="24"/>
                <w:highlight w:val="none"/>
              </w:rPr>
              <w:t>主要资历、经验及承担过的工程</w:t>
            </w:r>
          </w:p>
        </w:tc>
      </w:tr>
      <w:tr w14:paraId="2C5A3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restart"/>
            <w:noWrap w:val="0"/>
            <w:vAlign w:val="top"/>
          </w:tcPr>
          <w:p w14:paraId="1D753691">
            <w:pPr>
              <w:spacing w:line="420" w:lineRule="atLeast"/>
              <w:rPr>
                <w:color w:val="auto"/>
                <w:kern w:val="0"/>
                <w:sz w:val="24"/>
                <w:highlight w:val="none"/>
              </w:rPr>
            </w:pPr>
          </w:p>
          <w:p w14:paraId="3C7128BF">
            <w:pPr>
              <w:spacing w:line="420" w:lineRule="atLeast"/>
              <w:rPr>
                <w:color w:val="auto"/>
                <w:kern w:val="0"/>
                <w:sz w:val="24"/>
                <w:highlight w:val="none"/>
              </w:rPr>
            </w:pPr>
          </w:p>
          <w:p w14:paraId="31DD1EA8">
            <w:pPr>
              <w:spacing w:line="420" w:lineRule="atLeast"/>
              <w:rPr>
                <w:color w:val="auto"/>
                <w:kern w:val="0"/>
                <w:sz w:val="24"/>
                <w:highlight w:val="none"/>
              </w:rPr>
            </w:pPr>
            <w:r>
              <w:rPr>
                <w:rFonts w:hAnsi="宋体"/>
                <w:color w:val="auto"/>
                <w:kern w:val="0"/>
                <w:sz w:val="24"/>
                <w:highlight w:val="none"/>
              </w:rPr>
              <w:t>总</w:t>
            </w:r>
          </w:p>
          <w:p w14:paraId="767A7D8B">
            <w:pPr>
              <w:spacing w:line="420" w:lineRule="atLeast"/>
              <w:rPr>
                <w:color w:val="auto"/>
                <w:kern w:val="0"/>
                <w:sz w:val="24"/>
                <w:highlight w:val="none"/>
              </w:rPr>
            </w:pPr>
          </w:p>
          <w:p w14:paraId="736ECF1D">
            <w:pPr>
              <w:spacing w:line="420" w:lineRule="atLeast"/>
              <w:rPr>
                <w:color w:val="auto"/>
                <w:kern w:val="0"/>
                <w:sz w:val="24"/>
                <w:highlight w:val="none"/>
              </w:rPr>
            </w:pPr>
            <w:r>
              <w:rPr>
                <w:rFonts w:hAnsi="宋体"/>
                <w:color w:val="auto"/>
                <w:kern w:val="0"/>
                <w:sz w:val="24"/>
                <w:highlight w:val="none"/>
              </w:rPr>
              <w:t>部</w:t>
            </w:r>
          </w:p>
        </w:tc>
        <w:tc>
          <w:tcPr>
            <w:tcW w:w="1500" w:type="dxa"/>
            <w:noWrap w:val="0"/>
            <w:vAlign w:val="top"/>
          </w:tcPr>
          <w:p w14:paraId="2DC8FCA8">
            <w:pPr>
              <w:spacing w:line="420" w:lineRule="atLeast"/>
              <w:rPr>
                <w:color w:val="auto"/>
                <w:kern w:val="0"/>
                <w:sz w:val="24"/>
                <w:highlight w:val="none"/>
              </w:rPr>
            </w:pPr>
            <w:r>
              <w:rPr>
                <w:rFonts w:hAnsi="宋体"/>
                <w:color w:val="auto"/>
                <w:kern w:val="0"/>
                <w:sz w:val="24"/>
                <w:highlight w:val="none"/>
              </w:rPr>
              <w:t>项目主管</w:t>
            </w:r>
          </w:p>
        </w:tc>
        <w:tc>
          <w:tcPr>
            <w:tcW w:w="799" w:type="dxa"/>
            <w:noWrap w:val="0"/>
            <w:vAlign w:val="top"/>
          </w:tcPr>
          <w:p w14:paraId="0BF4CBC7">
            <w:pPr>
              <w:spacing w:line="420" w:lineRule="atLeast"/>
              <w:rPr>
                <w:color w:val="auto"/>
                <w:kern w:val="0"/>
                <w:sz w:val="24"/>
                <w:highlight w:val="none"/>
              </w:rPr>
            </w:pPr>
          </w:p>
        </w:tc>
        <w:tc>
          <w:tcPr>
            <w:tcW w:w="800" w:type="dxa"/>
            <w:noWrap w:val="0"/>
            <w:vAlign w:val="top"/>
          </w:tcPr>
          <w:p w14:paraId="07F6D0A6">
            <w:pPr>
              <w:spacing w:line="420" w:lineRule="atLeast"/>
              <w:rPr>
                <w:color w:val="auto"/>
                <w:kern w:val="0"/>
                <w:sz w:val="24"/>
                <w:highlight w:val="none"/>
              </w:rPr>
            </w:pPr>
          </w:p>
        </w:tc>
        <w:tc>
          <w:tcPr>
            <w:tcW w:w="800" w:type="dxa"/>
            <w:noWrap w:val="0"/>
            <w:vAlign w:val="top"/>
          </w:tcPr>
          <w:p w14:paraId="47AEB7D5">
            <w:pPr>
              <w:spacing w:line="420" w:lineRule="atLeast"/>
              <w:rPr>
                <w:color w:val="auto"/>
                <w:kern w:val="0"/>
                <w:sz w:val="24"/>
                <w:highlight w:val="none"/>
              </w:rPr>
            </w:pPr>
          </w:p>
        </w:tc>
        <w:tc>
          <w:tcPr>
            <w:tcW w:w="3700" w:type="dxa"/>
            <w:noWrap w:val="0"/>
            <w:vAlign w:val="top"/>
          </w:tcPr>
          <w:p w14:paraId="62BB06F6">
            <w:pPr>
              <w:spacing w:line="420" w:lineRule="atLeast"/>
              <w:rPr>
                <w:color w:val="auto"/>
                <w:kern w:val="0"/>
                <w:sz w:val="24"/>
                <w:highlight w:val="none"/>
              </w:rPr>
            </w:pPr>
          </w:p>
        </w:tc>
      </w:tr>
      <w:tr w14:paraId="78EE7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62840C68">
            <w:pPr>
              <w:spacing w:line="420" w:lineRule="atLeast"/>
              <w:rPr>
                <w:color w:val="auto"/>
                <w:kern w:val="0"/>
                <w:sz w:val="24"/>
                <w:highlight w:val="none"/>
              </w:rPr>
            </w:pPr>
          </w:p>
        </w:tc>
        <w:tc>
          <w:tcPr>
            <w:tcW w:w="1500" w:type="dxa"/>
            <w:noWrap w:val="0"/>
            <w:vAlign w:val="top"/>
          </w:tcPr>
          <w:p w14:paraId="243CB216">
            <w:pPr>
              <w:spacing w:line="420" w:lineRule="atLeast"/>
              <w:rPr>
                <w:color w:val="auto"/>
                <w:kern w:val="0"/>
                <w:sz w:val="24"/>
                <w:highlight w:val="none"/>
              </w:rPr>
            </w:pPr>
            <w:r>
              <w:rPr>
                <w:rFonts w:hAnsi="宋体"/>
                <w:color w:val="auto"/>
                <w:kern w:val="0"/>
                <w:sz w:val="24"/>
                <w:highlight w:val="none"/>
              </w:rPr>
              <w:t>技术负责人</w:t>
            </w:r>
          </w:p>
        </w:tc>
        <w:tc>
          <w:tcPr>
            <w:tcW w:w="799" w:type="dxa"/>
            <w:noWrap w:val="0"/>
            <w:vAlign w:val="top"/>
          </w:tcPr>
          <w:p w14:paraId="7188A0BF">
            <w:pPr>
              <w:spacing w:line="420" w:lineRule="atLeast"/>
              <w:rPr>
                <w:color w:val="auto"/>
                <w:kern w:val="0"/>
                <w:sz w:val="24"/>
                <w:highlight w:val="none"/>
              </w:rPr>
            </w:pPr>
          </w:p>
        </w:tc>
        <w:tc>
          <w:tcPr>
            <w:tcW w:w="800" w:type="dxa"/>
            <w:noWrap w:val="0"/>
            <w:vAlign w:val="top"/>
          </w:tcPr>
          <w:p w14:paraId="76331F9F">
            <w:pPr>
              <w:spacing w:line="420" w:lineRule="atLeast"/>
              <w:rPr>
                <w:color w:val="auto"/>
                <w:kern w:val="0"/>
                <w:sz w:val="24"/>
                <w:highlight w:val="none"/>
              </w:rPr>
            </w:pPr>
          </w:p>
        </w:tc>
        <w:tc>
          <w:tcPr>
            <w:tcW w:w="800" w:type="dxa"/>
            <w:noWrap w:val="0"/>
            <w:vAlign w:val="top"/>
          </w:tcPr>
          <w:p w14:paraId="284A6F1E">
            <w:pPr>
              <w:spacing w:line="420" w:lineRule="atLeast"/>
              <w:rPr>
                <w:color w:val="auto"/>
                <w:kern w:val="0"/>
                <w:sz w:val="24"/>
                <w:highlight w:val="none"/>
              </w:rPr>
            </w:pPr>
          </w:p>
        </w:tc>
        <w:tc>
          <w:tcPr>
            <w:tcW w:w="3700" w:type="dxa"/>
            <w:noWrap w:val="0"/>
            <w:vAlign w:val="top"/>
          </w:tcPr>
          <w:p w14:paraId="5D2D36DF">
            <w:pPr>
              <w:spacing w:line="420" w:lineRule="atLeast"/>
              <w:rPr>
                <w:color w:val="auto"/>
                <w:kern w:val="0"/>
                <w:sz w:val="24"/>
                <w:highlight w:val="none"/>
              </w:rPr>
            </w:pPr>
          </w:p>
        </w:tc>
      </w:tr>
      <w:tr w14:paraId="1F827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1FC2897F">
            <w:pPr>
              <w:spacing w:line="420" w:lineRule="atLeast"/>
              <w:rPr>
                <w:color w:val="auto"/>
                <w:kern w:val="0"/>
                <w:sz w:val="24"/>
                <w:highlight w:val="none"/>
              </w:rPr>
            </w:pPr>
          </w:p>
        </w:tc>
        <w:tc>
          <w:tcPr>
            <w:tcW w:w="1500" w:type="dxa"/>
            <w:noWrap w:val="0"/>
            <w:vAlign w:val="top"/>
          </w:tcPr>
          <w:p w14:paraId="36BBE2C6">
            <w:pPr>
              <w:spacing w:line="420" w:lineRule="atLeast"/>
              <w:rPr>
                <w:color w:val="auto"/>
                <w:kern w:val="0"/>
                <w:sz w:val="24"/>
                <w:highlight w:val="none"/>
              </w:rPr>
            </w:pPr>
          </w:p>
        </w:tc>
        <w:tc>
          <w:tcPr>
            <w:tcW w:w="799" w:type="dxa"/>
            <w:noWrap w:val="0"/>
            <w:vAlign w:val="top"/>
          </w:tcPr>
          <w:p w14:paraId="7CA92EE8">
            <w:pPr>
              <w:spacing w:line="420" w:lineRule="atLeast"/>
              <w:rPr>
                <w:color w:val="auto"/>
                <w:kern w:val="0"/>
                <w:sz w:val="24"/>
                <w:highlight w:val="none"/>
              </w:rPr>
            </w:pPr>
          </w:p>
        </w:tc>
        <w:tc>
          <w:tcPr>
            <w:tcW w:w="800" w:type="dxa"/>
            <w:noWrap w:val="0"/>
            <w:vAlign w:val="top"/>
          </w:tcPr>
          <w:p w14:paraId="0D104AC0">
            <w:pPr>
              <w:spacing w:line="420" w:lineRule="atLeast"/>
              <w:rPr>
                <w:color w:val="auto"/>
                <w:kern w:val="0"/>
                <w:sz w:val="24"/>
                <w:highlight w:val="none"/>
              </w:rPr>
            </w:pPr>
          </w:p>
        </w:tc>
        <w:tc>
          <w:tcPr>
            <w:tcW w:w="800" w:type="dxa"/>
            <w:noWrap w:val="0"/>
            <w:vAlign w:val="top"/>
          </w:tcPr>
          <w:p w14:paraId="74B10B27">
            <w:pPr>
              <w:spacing w:line="420" w:lineRule="atLeast"/>
              <w:rPr>
                <w:color w:val="auto"/>
                <w:kern w:val="0"/>
                <w:sz w:val="24"/>
                <w:highlight w:val="none"/>
              </w:rPr>
            </w:pPr>
          </w:p>
        </w:tc>
        <w:tc>
          <w:tcPr>
            <w:tcW w:w="3700" w:type="dxa"/>
            <w:noWrap w:val="0"/>
            <w:vAlign w:val="top"/>
          </w:tcPr>
          <w:p w14:paraId="01E7655D">
            <w:pPr>
              <w:spacing w:line="420" w:lineRule="atLeast"/>
              <w:rPr>
                <w:color w:val="auto"/>
                <w:kern w:val="0"/>
                <w:sz w:val="24"/>
                <w:highlight w:val="none"/>
              </w:rPr>
            </w:pPr>
          </w:p>
        </w:tc>
      </w:tr>
      <w:tr w14:paraId="209B0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41B29BA8">
            <w:pPr>
              <w:spacing w:line="420" w:lineRule="atLeast"/>
              <w:rPr>
                <w:color w:val="auto"/>
                <w:kern w:val="0"/>
                <w:sz w:val="24"/>
                <w:highlight w:val="none"/>
              </w:rPr>
            </w:pPr>
          </w:p>
        </w:tc>
        <w:tc>
          <w:tcPr>
            <w:tcW w:w="1500" w:type="dxa"/>
            <w:noWrap w:val="0"/>
            <w:vAlign w:val="top"/>
          </w:tcPr>
          <w:p w14:paraId="6BD957E7">
            <w:pPr>
              <w:spacing w:line="420" w:lineRule="atLeast"/>
              <w:rPr>
                <w:color w:val="auto"/>
                <w:kern w:val="0"/>
                <w:sz w:val="24"/>
                <w:highlight w:val="none"/>
              </w:rPr>
            </w:pPr>
          </w:p>
        </w:tc>
        <w:tc>
          <w:tcPr>
            <w:tcW w:w="799" w:type="dxa"/>
            <w:noWrap w:val="0"/>
            <w:vAlign w:val="top"/>
          </w:tcPr>
          <w:p w14:paraId="1DD82B0E">
            <w:pPr>
              <w:spacing w:line="420" w:lineRule="atLeast"/>
              <w:rPr>
                <w:color w:val="auto"/>
                <w:kern w:val="0"/>
                <w:sz w:val="24"/>
                <w:highlight w:val="none"/>
              </w:rPr>
            </w:pPr>
          </w:p>
        </w:tc>
        <w:tc>
          <w:tcPr>
            <w:tcW w:w="800" w:type="dxa"/>
            <w:noWrap w:val="0"/>
            <w:vAlign w:val="top"/>
          </w:tcPr>
          <w:p w14:paraId="6BA0178C">
            <w:pPr>
              <w:spacing w:line="420" w:lineRule="atLeast"/>
              <w:rPr>
                <w:color w:val="auto"/>
                <w:kern w:val="0"/>
                <w:sz w:val="24"/>
                <w:highlight w:val="none"/>
              </w:rPr>
            </w:pPr>
          </w:p>
        </w:tc>
        <w:tc>
          <w:tcPr>
            <w:tcW w:w="800" w:type="dxa"/>
            <w:noWrap w:val="0"/>
            <w:vAlign w:val="top"/>
          </w:tcPr>
          <w:p w14:paraId="0547BD1B">
            <w:pPr>
              <w:spacing w:line="420" w:lineRule="atLeast"/>
              <w:rPr>
                <w:color w:val="auto"/>
                <w:kern w:val="0"/>
                <w:sz w:val="24"/>
                <w:highlight w:val="none"/>
              </w:rPr>
            </w:pPr>
          </w:p>
        </w:tc>
        <w:tc>
          <w:tcPr>
            <w:tcW w:w="3700" w:type="dxa"/>
            <w:noWrap w:val="0"/>
            <w:vAlign w:val="top"/>
          </w:tcPr>
          <w:p w14:paraId="5EFE9AC0">
            <w:pPr>
              <w:spacing w:line="420" w:lineRule="atLeast"/>
              <w:rPr>
                <w:color w:val="auto"/>
                <w:kern w:val="0"/>
                <w:sz w:val="24"/>
                <w:highlight w:val="none"/>
              </w:rPr>
            </w:pPr>
          </w:p>
        </w:tc>
      </w:tr>
      <w:tr w14:paraId="7F42E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53FD216A">
            <w:pPr>
              <w:spacing w:line="420" w:lineRule="atLeast"/>
              <w:rPr>
                <w:color w:val="auto"/>
                <w:kern w:val="0"/>
                <w:sz w:val="24"/>
                <w:highlight w:val="none"/>
              </w:rPr>
            </w:pPr>
          </w:p>
        </w:tc>
        <w:tc>
          <w:tcPr>
            <w:tcW w:w="1500" w:type="dxa"/>
            <w:noWrap w:val="0"/>
            <w:vAlign w:val="top"/>
          </w:tcPr>
          <w:p w14:paraId="4CE5FE17">
            <w:pPr>
              <w:spacing w:line="420" w:lineRule="atLeast"/>
              <w:rPr>
                <w:color w:val="auto"/>
                <w:kern w:val="0"/>
                <w:sz w:val="24"/>
                <w:highlight w:val="none"/>
              </w:rPr>
            </w:pPr>
          </w:p>
        </w:tc>
        <w:tc>
          <w:tcPr>
            <w:tcW w:w="799" w:type="dxa"/>
            <w:noWrap w:val="0"/>
            <w:vAlign w:val="top"/>
          </w:tcPr>
          <w:p w14:paraId="6BF21EC0">
            <w:pPr>
              <w:spacing w:line="420" w:lineRule="atLeast"/>
              <w:rPr>
                <w:color w:val="auto"/>
                <w:kern w:val="0"/>
                <w:sz w:val="24"/>
                <w:highlight w:val="none"/>
              </w:rPr>
            </w:pPr>
          </w:p>
        </w:tc>
        <w:tc>
          <w:tcPr>
            <w:tcW w:w="800" w:type="dxa"/>
            <w:noWrap w:val="0"/>
            <w:vAlign w:val="top"/>
          </w:tcPr>
          <w:p w14:paraId="02973B7E">
            <w:pPr>
              <w:spacing w:line="420" w:lineRule="atLeast"/>
              <w:rPr>
                <w:color w:val="auto"/>
                <w:kern w:val="0"/>
                <w:sz w:val="24"/>
                <w:highlight w:val="none"/>
              </w:rPr>
            </w:pPr>
          </w:p>
        </w:tc>
        <w:tc>
          <w:tcPr>
            <w:tcW w:w="800" w:type="dxa"/>
            <w:noWrap w:val="0"/>
            <w:vAlign w:val="top"/>
          </w:tcPr>
          <w:p w14:paraId="3A531371">
            <w:pPr>
              <w:spacing w:line="420" w:lineRule="atLeast"/>
              <w:rPr>
                <w:color w:val="auto"/>
                <w:kern w:val="0"/>
                <w:sz w:val="24"/>
                <w:highlight w:val="none"/>
              </w:rPr>
            </w:pPr>
          </w:p>
        </w:tc>
        <w:tc>
          <w:tcPr>
            <w:tcW w:w="3700" w:type="dxa"/>
            <w:noWrap w:val="0"/>
            <w:vAlign w:val="top"/>
          </w:tcPr>
          <w:p w14:paraId="626B1F2F">
            <w:pPr>
              <w:spacing w:line="420" w:lineRule="atLeast"/>
              <w:rPr>
                <w:color w:val="auto"/>
                <w:kern w:val="0"/>
                <w:sz w:val="24"/>
                <w:highlight w:val="none"/>
              </w:rPr>
            </w:pPr>
          </w:p>
        </w:tc>
      </w:tr>
      <w:tr w14:paraId="6EB46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7906735E">
            <w:pPr>
              <w:spacing w:line="420" w:lineRule="atLeast"/>
              <w:rPr>
                <w:color w:val="auto"/>
                <w:kern w:val="0"/>
                <w:sz w:val="24"/>
                <w:highlight w:val="none"/>
              </w:rPr>
            </w:pPr>
          </w:p>
        </w:tc>
        <w:tc>
          <w:tcPr>
            <w:tcW w:w="1500" w:type="dxa"/>
            <w:noWrap w:val="0"/>
            <w:vAlign w:val="top"/>
          </w:tcPr>
          <w:p w14:paraId="031E52CE">
            <w:pPr>
              <w:spacing w:line="420" w:lineRule="atLeast"/>
              <w:rPr>
                <w:color w:val="auto"/>
                <w:kern w:val="0"/>
                <w:sz w:val="24"/>
                <w:highlight w:val="none"/>
              </w:rPr>
            </w:pPr>
          </w:p>
        </w:tc>
        <w:tc>
          <w:tcPr>
            <w:tcW w:w="799" w:type="dxa"/>
            <w:noWrap w:val="0"/>
            <w:vAlign w:val="top"/>
          </w:tcPr>
          <w:p w14:paraId="581485F0">
            <w:pPr>
              <w:spacing w:line="420" w:lineRule="atLeast"/>
              <w:rPr>
                <w:color w:val="auto"/>
                <w:kern w:val="0"/>
                <w:sz w:val="24"/>
                <w:highlight w:val="none"/>
              </w:rPr>
            </w:pPr>
          </w:p>
        </w:tc>
        <w:tc>
          <w:tcPr>
            <w:tcW w:w="800" w:type="dxa"/>
            <w:noWrap w:val="0"/>
            <w:vAlign w:val="top"/>
          </w:tcPr>
          <w:p w14:paraId="5F514DFD">
            <w:pPr>
              <w:spacing w:line="420" w:lineRule="atLeast"/>
              <w:rPr>
                <w:color w:val="auto"/>
                <w:kern w:val="0"/>
                <w:sz w:val="24"/>
                <w:highlight w:val="none"/>
              </w:rPr>
            </w:pPr>
          </w:p>
        </w:tc>
        <w:tc>
          <w:tcPr>
            <w:tcW w:w="800" w:type="dxa"/>
            <w:noWrap w:val="0"/>
            <w:vAlign w:val="top"/>
          </w:tcPr>
          <w:p w14:paraId="73D2EF8B">
            <w:pPr>
              <w:spacing w:line="420" w:lineRule="atLeast"/>
              <w:rPr>
                <w:color w:val="auto"/>
                <w:kern w:val="0"/>
                <w:sz w:val="24"/>
                <w:highlight w:val="none"/>
              </w:rPr>
            </w:pPr>
          </w:p>
        </w:tc>
        <w:tc>
          <w:tcPr>
            <w:tcW w:w="3700" w:type="dxa"/>
            <w:noWrap w:val="0"/>
            <w:vAlign w:val="top"/>
          </w:tcPr>
          <w:p w14:paraId="02B600E9">
            <w:pPr>
              <w:spacing w:line="420" w:lineRule="atLeast"/>
              <w:rPr>
                <w:color w:val="auto"/>
                <w:kern w:val="0"/>
                <w:sz w:val="24"/>
                <w:highlight w:val="none"/>
              </w:rPr>
            </w:pPr>
          </w:p>
        </w:tc>
      </w:tr>
      <w:tr w14:paraId="342E1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6980A1A7">
            <w:pPr>
              <w:spacing w:line="420" w:lineRule="atLeast"/>
              <w:rPr>
                <w:color w:val="auto"/>
                <w:kern w:val="0"/>
                <w:sz w:val="24"/>
                <w:highlight w:val="none"/>
              </w:rPr>
            </w:pPr>
          </w:p>
        </w:tc>
        <w:tc>
          <w:tcPr>
            <w:tcW w:w="1500" w:type="dxa"/>
            <w:noWrap w:val="0"/>
            <w:vAlign w:val="top"/>
          </w:tcPr>
          <w:p w14:paraId="6E412267">
            <w:pPr>
              <w:spacing w:line="420" w:lineRule="atLeast"/>
              <w:rPr>
                <w:color w:val="auto"/>
                <w:kern w:val="0"/>
                <w:sz w:val="24"/>
                <w:highlight w:val="none"/>
              </w:rPr>
            </w:pPr>
          </w:p>
        </w:tc>
        <w:tc>
          <w:tcPr>
            <w:tcW w:w="799" w:type="dxa"/>
            <w:noWrap w:val="0"/>
            <w:vAlign w:val="top"/>
          </w:tcPr>
          <w:p w14:paraId="10E6BE51">
            <w:pPr>
              <w:spacing w:line="420" w:lineRule="atLeast"/>
              <w:rPr>
                <w:color w:val="auto"/>
                <w:kern w:val="0"/>
                <w:sz w:val="24"/>
                <w:highlight w:val="none"/>
              </w:rPr>
            </w:pPr>
          </w:p>
        </w:tc>
        <w:tc>
          <w:tcPr>
            <w:tcW w:w="800" w:type="dxa"/>
            <w:noWrap w:val="0"/>
            <w:vAlign w:val="top"/>
          </w:tcPr>
          <w:p w14:paraId="68B2D340">
            <w:pPr>
              <w:spacing w:line="420" w:lineRule="atLeast"/>
              <w:rPr>
                <w:color w:val="auto"/>
                <w:kern w:val="0"/>
                <w:sz w:val="24"/>
                <w:highlight w:val="none"/>
              </w:rPr>
            </w:pPr>
          </w:p>
        </w:tc>
        <w:tc>
          <w:tcPr>
            <w:tcW w:w="800" w:type="dxa"/>
            <w:noWrap w:val="0"/>
            <w:vAlign w:val="top"/>
          </w:tcPr>
          <w:p w14:paraId="002E79F7">
            <w:pPr>
              <w:spacing w:line="420" w:lineRule="atLeast"/>
              <w:rPr>
                <w:color w:val="auto"/>
                <w:kern w:val="0"/>
                <w:sz w:val="24"/>
                <w:highlight w:val="none"/>
              </w:rPr>
            </w:pPr>
          </w:p>
        </w:tc>
        <w:tc>
          <w:tcPr>
            <w:tcW w:w="3700" w:type="dxa"/>
            <w:noWrap w:val="0"/>
            <w:vAlign w:val="top"/>
          </w:tcPr>
          <w:p w14:paraId="0D7E0E6E">
            <w:pPr>
              <w:spacing w:line="420" w:lineRule="atLeast"/>
              <w:rPr>
                <w:color w:val="auto"/>
                <w:kern w:val="0"/>
                <w:sz w:val="24"/>
                <w:highlight w:val="none"/>
              </w:rPr>
            </w:pPr>
          </w:p>
        </w:tc>
      </w:tr>
      <w:tr w14:paraId="35BDB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restart"/>
            <w:noWrap w:val="0"/>
            <w:vAlign w:val="top"/>
          </w:tcPr>
          <w:p w14:paraId="647C5C9E">
            <w:pPr>
              <w:spacing w:line="420" w:lineRule="atLeast"/>
              <w:rPr>
                <w:color w:val="auto"/>
                <w:kern w:val="0"/>
                <w:sz w:val="24"/>
                <w:highlight w:val="none"/>
              </w:rPr>
            </w:pPr>
          </w:p>
          <w:p w14:paraId="79734F32">
            <w:pPr>
              <w:spacing w:line="420" w:lineRule="atLeast"/>
              <w:rPr>
                <w:color w:val="auto"/>
                <w:kern w:val="0"/>
                <w:sz w:val="24"/>
                <w:highlight w:val="none"/>
              </w:rPr>
            </w:pPr>
          </w:p>
          <w:p w14:paraId="65066DB7">
            <w:pPr>
              <w:spacing w:line="420" w:lineRule="atLeast"/>
              <w:rPr>
                <w:color w:val="auto"/>
                <w:kern w:val="0"/>
                <w:sz w:val="24"/>
                <w:highlight w:val="none"/>
              </w:rPr>
            </w:pPr>
            <w:r>
              <w:rPr>
                <w:rFonts w:hAnsi="宋体"/>
                <w:color w:val="auto"/>
                <w:kern w:val="0"/>
                <w:sz w:val="24"/>
                <w:highlight w:val="none"/>
              </w:rPr>
              <w:t>现</w:t>
            </w:r>
          </w:p>
          <w:p w14:paraId="1A5ABD06">
            <w:pPr>
              <w:spacing w:line="420" w:lineRule="atLeast"/>
              <w:rPr>
                <w:color w:val="auto"/>
                <w:kern w:val="0"/>
                <w:sz w:val="24"/>
                <w:highlight w:val="none"/>
              </w:rPr>
            </w:pPr>
          </w:p>
          <w:p w14:paraId="70F2A8E8">
            <w:pPr>
              <w:spacing w:line="420" w:lineRule="atLeast"/>
              <w:rPr>
                <w:color w:val="auto"/>
                <w:kern w:val="0"/>
                <w:sz w:val="24"/>
                <w:highlight w:val="none"/>
              </w:rPr>
            </w:pPr>
          </w:p>
          <w:p w14:paraId="35A79714">
            <w:pPr>
              <w:spacing w:line="420" w:lineRule="atLeast"/>
              <w:rPr>
                <w:color w:val="auto"/>
                <w:kern w:val="0"/>
                <w:sz w:val="24"/>
                <w:highlight w:val="none"/>
              </w:rPr>
            </w:pPr>
            <w:r>
              <w:rPr>
                <w:rFonts w:hAnsi="宋体"/>
                <w:color w:val="auto"/>
                <w:kern w:val="0"/>
                <w:sz w:val="24"/>
                <w:highlight w:val="none"/>
              </w:rPr>
              <w:t>场</w:t>
            </w:r>
          </w:p>
        </w:tc>
        <w:tc>
          <w:tcPr>
            <w:tcW w:w="1500" w:type="dxa"/>
            <w:noWrap w:val="0"/>
            <w:vAlign w:val="top"/>
          </w:tcPr>
          <w:p w14:paraId="5081E6FC">
            <w:pPr>
              <w:spacing w:line="420" w:lineRule="atLeast"/>
              <w:rPr>
                <w:color w:val="auto"/>
                <w:kern w:val="0"/>
                <w:sz w:val="24"/>
                <w:highlight w:val="none"/>
              </w:rPr>
            </w:pPr>
            <w:r>
              <w:rPr>
                <w:rFonts w:hAnsi="宋体"/>
                <w:color w:val="auto"/>
                <w:kern w:val="0"/>
                <w:sz w:val="24"/>
                <w:highlight w:val="none"/>
              </w:rPr>
              <w:t>项目负责人</w:t>
            </w:r>
          </w:p>
        </w:tc>
        <w:tc>
          <w:tcPr>
            <w:tcW w:w="799" w:type="dxa"/>
            <w:noWrap w:val="0"/>
            <w:vAlign w:val="top"/>
          </w:tcPr>
          <w:p w14:paraId="540655FD">
            <w:pPr>
              <w:spacing w:line="420" w:lineRule="atLeast"/>
              <w:rPr>
                <w:color w:val="auto"/>
                <w:kern w:val="0"/>
                <w:sz w:val="24"/>
                <w:highlight w:val="none"/>
              </w:rPr>
            </w:pPr>
          </w:p>
        </w:tc>
        <w:tc>
          <w:tcPr>
            <w:tcW w:w="800" w:type="dxa"/>
            <w:noWrap w:val="0"/>
            <w:vAlign w:val="top"/>
          </w:tcPr>
          <w:p w14:paraId="58A8E871">
            <w:pPr>
              <w:spacing w:line="420" w:lineRule="atLeast"/>
              <w:rPr>
                <w:color w:val="auto"/>
                <w:kern w:val="0"/>
                <w:sz w:val="24"/>
                <w:highlight w:val="none"/>
              </w:rPr>
            </w:pPr>
          </w:p>
        </w:tc>
        <w:tc>
          <w:tcPr>
            <w:tcW w:w="800" w:type="dxa"/>
            <w:noWrap w:val="0"/>
            <w:vAlign w:val="top"/>
          </w:tcPr>
          <w:p w14:paraId="385AD3D5">
            <w:pPr>
              <w:spacing w:line="420" w:lineRule="atLeast"/>
              <w:rPr>
                <w:color w:val="auto"/>
                <w:kern w:val="0"/>
                <w:sz w:val="24"/>
                <w:highlight w:val="none"/>
              </w:rPr>
            </w:pPr>
          </w:p>
        </w:tc>
        <w:tc>
          <w:tcPr>
            <w:tcW w:w="3700" w:type="dxa"/>
            <w:noWrap w:val="0"/>
            <w:vAlign w:val="top"/>
          </w:tcPr>
          <w:p w14:paraId="5D174A21">
            <w:pPr>
              <w:spacing w:line="420" w:lineRule="atLeast"/>
              <w:rPr>
                <w:color w:val="auto"/>
                <w:kern w:val="0"/>
                <w:sz w:val="24"/>
                <w:highlight w:val="none"/>
              </w:rPr>
            </w:pPr>
          </w:p>
        </w:tc>
      </w:tr>
      <w:tr w14:paraId="59CE5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5CCAC224">
            <w:pPr>
              <w:spacing w:line="420" w:lineRule="atLeast"/>
              <w:rPr>
                <w:color w:val="auto"/>
                <w:kern w:val="0"/>
                <w:sz w:val="24"/>
                <w:highlight w:val="none"/>
              </w:rPr>
            </w:pPr>
          </w:p>
        </w:tc>
        <w:tc>
          <w:tcPr>
            <w:tcW w:w="1500" w:type="dxa"/>
            <w:noWrap w:val="0"/>
            <w:vAlign w:val="top"/>
          </w:tcPr>
          <w:p w14:paraId="19063531">
            <w:pPr>
              <w:spacing w:line="420" w:lineRule="atLeast"/>
              <w:rPr>
                <w:color w:val="auto"/>
                <w:kern w:val="0"/>
                <w:sz w:val="24"/>
                <w:highlight w:val="none"/>
              </w:rPr>
            </w:pPr>
            <w:r>
              <w:rPr>
                <w:rFonts w:hint="eastAsia" w:hAnsi="宋体"/>
                <w:color w:val="auto"/>
                <w:kern w:val="0"/>
                <w:sz w:val="24"/>
                <w:highlight w:val="none"/>
              </w:rPr>
              <w:t>技术负责人</w:t>
            </w:r>
          </w:p>
        </w:tc>
        <w:tc>
          <w:tcPr>
            <w:tcW w:w="799" w:type="dxa"/>
            <w:noWrap w:val="0"/>
            <w:vAlign w:val="top"/>
          </w:tcPr>
          <w:p w14:paraId="4A49794B">
            <w:pPr>
              <w:spacing w:line="420" w:lineRule="atLeast"/>
              <w:rPr>
                <w:color w:val="auto"/>
                <w:kern w:val="0"/>
                <w:sz w:val="24"/>
                <w:highlight w:val="none"/>
              </w:rPr>
            </w:pPr>
          </w:p>
        </w:tc>
        <w:tc>
          <w:tcPr>
            <w:tcW w:w="800" w:type="dxa"/>
            <w:noWrap w:val="0"/>
            <w:vAlign w:val="top"/>
          </w:tcPr>
          <w:p w14:paraId="1C02AFC2">
            <w:pPr>
              <w:spacing w:line="420" w:lineRule="atLeast"/>
              <w:rPr>
                <w:color w:val="auto"/>
                <w:kern w:val="0"/>
                <w:sz w:val="24"/>
                <w:highlight w:val="none"/>
              </w:rPr>
            </w:pPr>
          </w:p>
        </w:tc>
        <w:tc>
          <w:tcPr>
            <w:tcW w:w="800" w:type="dxa"/>
            <w:noWrap w:val="0"/>
            <w:vAlign w:val="top"/>
          </w:tcPr>
          <w:p w14:paraId="267CF8C2">
            <w:pPr>
              <w:spacing w:line="420" w:lineRule="atLeast"/>
              <w:rPr>
                <w:color w:val="auto"/>
                <w:kern w:val="0"/>
                <w:sz w:val="24"/>
                <w:highlight w:val="none"/>
              </w:rPr>
            </w:pPr>
          </w:p>
        </w:tc>
        <w:tc>
          <w:tcPr>
            <w:tcW w:w="3700" w:type="dxa"/>
            <w:noWrap w:val="0"/>
            <w:vAlign w:val="top"/>
          </w:tcPr>
          <w:p w14:paraId="5773856C">
            <w:pPr>
              <w:spacing w:line="420" w:lineRule="atLeast"/>
              <w:rPr>
                <w:color w:val="auto"/>
                <w:kern w:val="0"/>
                <w:sz w:val="24"/>
                <w:highlight w:val="none"/>
              </w:rPr>
            </w:pPr>
          </w:p>
        </w:tc>
      </w:tr>
      <w:tr w14:paraId="035BD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7426380B">
            <w:pPr>
              <w:spacing w:line="420" w:lineRule="atLeast"/>
              <w:rPr>
                <w:color w:val="auto"/>
                <w:kern w:val="0"/>
                <w:sz w:val="24"/>
                <w:highlight w:val="none"/>
              </w:rPr>
            </w:pPr>
          </w:p>
        </w:tc>
        <w:tc>
          <w:tcPr>
            <w:tcW w:w="1500" w:type="dxa"/>
            <w:noWrap w:val="0"/>
            <w:vAlign w:val="top"/>
          </w:tcPr>
          <w:p w14:paraId="4E6B5AE6">
            <w:pPr>
              <w:spacing w:line="420" w:lineRule="atLeast"/>
              <w:rPr>
                <w:color w:val="auto"/>
                <w:kern w:val="0"/>
                <w:sz w:val="24"/>
                <w:highlight w:val="none"/>
              </w:rPr>
            </w:pPr>
            <w:r>
              <w:rPr>
                <w:rFonts w:hAnsi="宋体"/>
                <w:color w:val="auto"/>
                <w:kern w:val="0"/>
                <w:sz w:val="24"/>
                <w:highlight w:val="none"/>
              </w:rPr>
              <w:t>质量管理</w:t>
            </w:r>
          </w:p>
        </w:tc>
        <w:tc>
          <w:tcPr>
            <w:tcW w:w="799" w:type="dxa"/>
            <w:noWrap w:val="0"/>
            <w:vAlign w:val="top"/>
          </w:tcPr>
          <w:p w14:paraId="6CCD6AAC">
            <w:pPr>
              <w:spacing w:line="420" w:lineRule="atLeast"/>
              <w:rPr>
                <w:color w:val="auto"/>
                <w:kern w:val="0"/>
                <w:sz w:val="24"/>
                <w:highlight w:val="none"/>
              </w:rPr>
            </w:pPr>
          </w:p>
        </w:tc>
        <w:tc>
          <w:tcPr>
            <w:tcW w:w="800" w:type="dxa"/>
            <w:noWrap w:val="0"/>
            <w:vAlign w:val="top"/>
          </w:tcPr>
          <w:p w14:paraId="3D2C425A">
            <w:pPr>
              <w:spacing w:line="420" w:lineRule="atLeast"/>
              <w:rPr>
                <w:color w:val="auto"/>
                <w:kern w:val="0"/>
                <w:sz w:val="24"/>
                <w:highlight w:val="none"/>
              </w:rPr>
            </w:pPr>
          </w:p>
        </w:tc>
        <w:tc>
          <w:tcPr>
            <w:tcW w:w="800" w:type="dxa"/>
            <w:noWrap w:val="0"/>
            <w:vAlign w:val="top"/>
          </w:tcPr>
          <w:p w14:paraId="22FB0A20">
            <w:pPr>
              <w:spacing w:line="420" w:lineRule="atLeast"/>
              <w:rPr>
                <w:color w:val="auto"/>
                <w:kern w:val="0"/>
                <w:sz w:val="24"/>
                <w:highlight w:val="none"/>
              </w:rPr>
            </w:pPr>
          </w:p>
        </w:tc>
        <w:tc>
          <w:tcPr>
            <w:tcW w:w="3700" w:type="dxa"/>
            <w:noWrap w:val="0"/>
            <w:vAlign w:val="top"/>
          </w:tcPr>
          <w:p w14:paraId="43DDA734">
            <w:pPr>
              <w:spacing w:line="420" w:lineRule="atLeast"/>
              <w:rPr>
                <w:color w:val="auto"/>
                <w:kern w:val="0"/>
                <w:sz w:val="24"/>
                <w:highlight w:val="none"/>
              </w:rPr>
            </w:pPr>
          </w:p>
        </w:tc>
      </w:tr>
      <w:tr w14:paraId="5F857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4B93D56B">
            <w:pPr>
              <w:spacing w:line="420" w:lineRule="atLeast"/>
              <w:rPr>
                <w:color w:val="auto"/>
                <w:kern w:val="0"/>
                <w:sz w:val="24"/>
                <w:highlight w:val="none"/>
              </w:rPr>
            </w:pPr>
          </w:p>
        </w:tc>
        <w:tc>
          <w:tcPr>
            <w:tcW w:w="1500" w:type="dxa"/>
            <w:noWrap w:val="0"/>
            <w:vAlign w:val="top"/>
          </w:tcPr>
          <w:p w14:paraId="45C2C43B">
            <w:pPr>
              <w:spacing w:line="420" w:lineRule="atLeast"/>
              <w:rPr>
                <w:color w:val="auto"/>
                <w:kern w:val="0"/>
                <w:sz w:val="24"/>
                <w:highlight w:val="none"/>
              </w:rPr>
            </w:pPr>
            <w:r>
              <w:rPr>
                <w:rFonts w:hint="eastAsia" w:hAnsi="宋体"/>
                <w:color w:val="auto"/>
                <w:kern w:val="0"/>
                <w:sz w:val="24"/>
                <w:highlight w:val="none"/>
              </w:rPr>
              <w:t>施工</w:t>
            </w:r>
            <w:r>
              <w:rPr>
                <w:rFonts w:hAnsi="宋体"/>
                <w:color w:val="auto"/>
                <w:kern w:val="0"/>
                <w:sz w:val="24"/>
                <w:highlight w:val="none"/>
              </w:rPr>
              <w:t>管理</w:t>
            </w:r>
          </w:p>
        </w:tc>
        <w:tc>
          <w:tcPr>
            <w:tcW w:w="799" w:type="dxa"/>
            <w:noWrap w:val="0"/>
            <w:vAlign w:val="top"/>
          </w:tcPr>
          <w:p w14:paraId="15060E97">
            <w:pPr>
              <w:spacing w:line="420" w:lineRule="atLeast"/>
              <w:rPr>
                <w:color w:val="auto"/>
                <w:kern w:val="0"/>
                <w:sz w:val="24"/>
                <w:highlight w:val="none"/>
              </w:rPr>
            </w:pPr>
          </w:p>
        </w:tc>
        <w:tc>
          <w:tcPr>
            <w:tcW w:w="800" w:type="dxa"/>
            <w:noWrap w:val="0"/>
            <w:vAlign w:val="top"/>
          </w:tcPr>
          <w:p w14:paraId="03733A8C">
            <w:pPr>
              <w:spacing w:line="420" w:lineRule="atLeast"/>
              <w:rPr>
                <w:color w:val="auto"/>
                <w:kern w:val="0"/>
                <w:sz w:val="24"/>
                <w:highlight w:val="none"/>
              </w:rPr>
            </w:pPr>
          </w:p>
        </w:tc>
        <w:tc>
          <w:tcPr>
            <w:tcW w:w="800" w:type="dxa"/>
            <w:noWrap w:val="0"/>
            <w:vAlign w:val="top"/>
          </w:tcPr>
          <w:p w14:paraId="1D18561A">
            <w:pPr>
              <w:spacing w:line="420" w:lineRule="atLeast"/>
              <w:rPr>
                <w:color w:val="auto"/>
                <w:kern w:val="0"/>
                <w:sz w:val="24"/>
                <w:highlight w:val="none"/>
              </w:rPr>
            </w:pPr>
          </w:p>
        </w:tc>
        <w:tc>
          <w:tcPr>
            <w:tcW w:w="3700" w:type="dxa"/>
            <w:noWrap w:val="0"/>
            <w:vAlign w:val="top"/>
          </w:tcPr>
          <w:p w14:paraId="1C3CCF20">
            <w:pPr>
              <w:spacing w:line="420" w:lineRule="atLeast"/>
              <w:rPr>
                <w:color w:val="auto"/>
                <w:kern w:val="0"/>
                <w:sz w:val="24"/>
                <w:highlight w:val="none"/>
              </w:rPr>
            </w:pPr>
          </w:p>
        </w:tc>
      </w:tr>
      <w:tr w14:paraId="73D37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70A1228A">
            <w:pPr>
              <w:spacing w:line="420" w:lineRule="atLeast"/>
              <w:rPr>
                <w:color w:val="auto"/>
                <w:kern w:val="0"/>
                <w:sz w:val="24"/>
                <w:highlight w:val="none"/>
              </w:rPr>
            </w:pPr>
          </w:p>
        </w:tc>
        <w:tc>
          <w:tcPr>
            <w:tcW w:w="1500" w:type="dxa"/>
            <w:noWrap w:val="0"/>
            <w:vAlign w:val="top"/>
          </w:tcPr>
          <w:p w14:paraId="16497AF6">
            <w:pPr>
              <w:spacing w:line="420" w:lineRule="atLeast"/>
              <w:rPr>
                <w:color w:val="auto"/>
                <w:kern w:val="0"/>
                <w:sz w:val="24"/>
                <w:highlight w:val="none"/>
              </w:rPr>
            </w:pPr>
            <w:r>
              <w:rPr>
                <w:rFonts w:hAnsi="宋体"/>
                <w:color w:val="auto"/>
                <w:kern w:val="0"/>
                <w:sz w:val="24"/>
                <w:highlight w:val="none"/>
              </w:rPr>
              <w:t>安全管理</w:t>
            </w:r>
          </w:p>
        </w:tc>
        <w:tc>
          <w:tcPr>
            <w:tcW w:w="799" w:type="dxa"/>
            <w:noWrap w:val="0"/>
            <w:vAlign w:val="top"/>
          </w:tcPr>
          <w:p w14:paraId="08C79AE9">
            <w:pPr>
              <w:spacing w:line="420" w:lineRule="atLeast"/>
              <w:rPr>
                <w:color w:val="auto"/>
                <w:kern w:val="0"/>
                <w:sz w:val="24"/>
                <w:highlight w:val="none"/>
              </w:rPr>
            </w:pPr>
          </w:p>
        </w:tc>
        <w:tc>
          <w:tcPr>
            <w:tcW w:w="800" w:type="dxa"/>
            <w:noWrap w:val="0"/>
            <w:vAlign w:val="top"/>
          </w:tcPr>
          <w:p w14:paraId="24A9086C">
            <w:pPr>
              <w:spacing w:line="420" w:lineRule="atLeast"/>
              <w:rPr>
                <w:color w:val="auto"/>
                <w:kern w:val="0"/>
                <w:sz w:val="24"/>
                <w:highlight w:val="none"/>
              </w:rPr>
            </w:pPr>
          </w:p>
        </w:tc>
        <w:tc>
          <w:tcPr>
            <w:tcW w:w="800" w:type="dxa"/>
            <w:noWrap w:val="0"/>
            <w:vAlign w:val="top"/>
          </w:tcPr>
          <w:p w14:paraId="080EAC52">
            <w:pPr>
              <w:spacing w:line="420" w:lineRule="atLeast"/>
              <w:rPr>
                <w:color w:val="auto"/>
                <w:kern w:val="0"/>
                <w:sz w:val="24"/>
                <w:highlight w:val="none"/>
              </w:rPr>
            </w:pPr>
          </w:p>
        </w:tc>
        <w:tc>
          <w:tcPr>
            <w:tcW w:w="3700" w:type="dxa"/>
            <w:noWrap w:val="0"/>
            <w:vAlign w:val="top"/>
          </w:tcPr>
          <w:p w14:paraId="5C1BCE3A">
            <w:pPr>
              <w:spacing w:line="420" w:lineRule="atLeast"/>
              <w:rPr>
                <w:color w:val="auto"/>
                <w:kern w:val="0"/>
                <w:sz w:val="24"/>
                <w:highlight w:val="none"/>
              </w:rPr>
            </w:pPr>
          </w:p>
        </w:tc>
      </w:tr>
      <w:tr w14:paraId="43E95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728963A2">
            <w:pPr>
              <w:spacing w:line="420" w:lineRule="atLeast"/>
              <w:rPr>
                <w:color w:val="auto"/>
                <w:kern w:val="0"/>
                <w:sz w:val="24"/>
                <w:highlight w:val="none"/>
              </w:rPr>
            </w:pPr>
          </w:p>
        </w:tc>
        <w:tc>
          <w:tcPr>
            <w:tcW w:w="1500" w:type="dxa"/>
            <w:noWrap w:val="0"/>
            <w:vAlign w:val="top"/>
          </w:tcPr>
          <w:p w14:paraId="56073304">
            <w:pPr>
              <w:spacing w:line="420" w:lineRule="atLeast"/>
              <w:rPr>
                <w:color w:val="auto"/>
                <w:kern w:val="0"/>
                <w:sz w:val="24"/>
                <w:highlight w:val="none"/>
              </w:rPr>
            </w:pPr>
            <w:r>
              <w:rPr>
                <w:rFonts w:hAnsi="宋体"/>
                <w:color w:val="auto"/>
                <w:kern w:val="0"/>
                <w:sz w:val="24"/>
                <w:highlight w:val="none"/>
              </w:rPr>
              <w:t>计划管理</w:t>
            </w:r>
          </w:p>
        </w:tc>
        <w:tc>
          <w:tcPr>
            <w:tcW w:w="799" w:type="dxa"/>
            <w:noWrap w:val="0"/>
            <w:vAlign w:val="top"/>
          </w:tcPr>
          <w:p w14:paraId="46BEC799">
            <w:pPr>
              <w:spacing w:line="420" w:lineRule="atLeast"/>
              <w:rPr>
                <w:color w:val="auto"/>
                <w:kern w:val="0"/>
                <w:sz w:val="24"/>
                <w:highlight w:val="none"/>
              </w:rPr>
            </w:pPr>
          </w:p>
        </w:tc>
        <w:tc>
          <w:tcPr>
            <w:tcW w:w="800" w:type="dxa"/>
            <w:noWrap w:val="0"/>
            <w:vAlign w:val="top"/>
          </w:tcPr>
          <w:p w14:paraId="23FB5E5C">
            <w:pPr>
              <w:spacing w:line="420" w:lineRule="atLeast"/>
              <w:rPr>
                <w:color w:val="auto"/>
                <w:kern w:val="0"/>
                <w:sz w:val="24"/>
                <w:highlight w:val="none"/>
              </w:rPr>
            </w:pPr>
          </w:p>
        </w:tc>
        <w:tc>
          <w:tcPr>
            <w:tcW w:w="800" w:type="dxa"/>
            <w:noWrap w:val="0"/>
            <w:vAlign w:val="top"/>
          </w:tcPr>
          <w:p w14:paraId="7FD88FFE">
            <w:pPr>
              <w:spacing w:line="420" w:lineRule="atLeast"/>
              <w:rPr>
                <w:color w:val="auto"/>
                <w:kern w:val="0"/>
                <w:sz w:val="24"/>
                <w:highlight w:val="none"/>
              </w:rPr>
            </w:pPr>
          </w:p>
        </w:tc>
        <w:tc>
          <w:tcPr>
            <w:tcW w:w="3700" w:type="dxa"/>
            <w:noWrap w:val="0"/>
            <w:vAlign w:val="top"/>
          </w:tcPr>
          <w:p w14:paraId="51F0F48E">
            <w:pPr>
              <w:spacing w:line="420" w:lineRule="atLeast"/>
              <w:rPr>
                <w:color w:val="auto"/>
                <w:kern w:val="0"/>
                <w:sz w:val="24"/>
                <w:highlight w:val="none"/>
              </w:rPr>
            </w:pPr>
          </w:p>
        </w:tc>
      </w:tr>
      <w:tr w14:paraId="43CFD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1D339E93">
            <w:pPr>
              <w:spacing w:line="420" w:lineRule="atLeast"/>
              <w:rPr>
                <w:color w:val="auto"/>
                <w:kern w:val="0"/>
                <w:sz w:val="24"/>
                <w:highlight w:val="none"/>
              </w:rPr>
            </w:pPr>
          </w:p>
        </w:tc>
        <w:tc>
          <w:tcPr>
            <w:tcW w:w="1500" w:type="dxa"/>
            <w:noWrap w:val="0"/>
            <w:vAlign w:val="top"/>
          </w:tcPr>
          <w:p w14:paraId="55F9C1E9">
            <w:pPr>
              <w:spacing w:line="420" w:lineRule="atLeast"/>
              <w:rPr>
                <w:color w:val="auto"/>
                <w:kern w:val="0"/>
                <w:sz w:val="24"/>
                <w:highlight w:val="none"/>
              </w:rPr>
            </w:pPr>
            <w:r>
              <w:rPr>
                <w:rFonts w:hint="eastAsia"/>
                <w:color w:val="auto"/>
                <w:kern w:val="0"/>
                <w:sz w:val="24"/>
                <w:highlight w:val="none"/>
              </w:rPr>
              <w:t>材料管理</w:t>
            </w:r>
          </w:p>
        </w:tc>
        <w:tc>
          <w:tcPr>
            <w:tcW w:w="799" w:type="dxa"/>
            <w:noWrap w:val="0"/>
            <w:vAlign w:val="top"/>
          </w:tcPr>
          <w:p w14:paraId="61ABC041">
            <w:pPr>
              <w:spacing w:line="420" w:lineRule="atLeast"/>
              <w:rPr>
                <w:color w:val="auto"/>
                <w:kern w:val="0"/>
                <w:sz w:val="24"/>
                <w:highlight w:val="none"/>
              </w:rPr>
            </w:pPr>
          </w:p>
        </w:tc>
        <w:tc>
          <w:tcPr>
            <w:tcW w:w="800" w:type="dxa"/>
            <w:noWrap w:val="0"/>
            <w:vAlign w:val="top"/>
          </w:tcPr>
          <w:p w14:paraId="7F4337DF">
            <w:pPr>
              <w:spacing w:line="420" w:lineRule="atLeast"/>
              <w:rPr>
                <w:color w:val="auto"/>
                <w:kern w:val="0"/>
                <w:sz w:val="24"/>
                <w:highlight w:val="none"/>
              </w:rPr>
            </w:pPr>
          </w:p>
        </w:tc>
        <w:tc>
          <w:tcPr>
            <w:tcW w:w="800" w:type="dxa"/>
            <w:noWrap w:val="0"/>
            <w:vAlign w:val="top"/>
          </w:tcPr>
          <w:p w14:paraId="4D38E8FA">
            <w:pPr>
              <w:spacing w:line="420" w:lineRule="atLeast"/>
              <w:rPr>
                <w:color w:val="auto"/>
                <w:kern w:val="0"/>
                <w:sz w:val="24"/>
                <w:highlight w:val="none"/>
              </w:rPr>
            </w:pPr>
          </w:p>
        </w:tc>
        <w:tc>
          <w:tcPr>
            <w:tcW w:w="3700" w:type="dxa"/>
            <w:noWrap w:val="0"/>
            <w:vAlign w:val="top"/>
          </w:tcPr>
          <w:p w14:paraId="6ACDFBD1">
            <w:pPr>
              <w:spacing w:line="420" w:lineRule="atLeast"/>
              <w:rPr>
                <w:color w:val="auto"/>
                <w:kern w:val="0"/>
                <w:sz w:val="24"/>
                <w:highlight w:val="none"/>
              </w:rPr>
            </w:pPr>
          </w:p>
        </w:tc>
      </w:tr>
      <w:tr w14:paraId="38812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1D4B442F">
            <w:pPr>
              <w:spacing w:line="420" w:lineRule="atLeast"/>
              <w:rPr>
                <w:color w:val="auto"/>
                <w:kern w:val="0"/>
                <w:sz w:val="24"/>
                <w:highlight w:val="none"/>
              </w:rPr>
            </w:pPr>
          </w:p>
        </w:tc>
        <w:tc>
          <w:tcPr>
            <w:tcW w:w="1500" w:type="dxa"/>
            <w:noWrap w:val="0"/>
            <w:vAlign w:val="top"/>
          </w:tcPr>
          <w:p w14:paraId="16494A29">
            <w:pPr>
              <w:spacing w:line="420" w:lineRule="atLeast"/>
              <w:rPr>
                <w:color w:val="auto"/>
                <w:kern w:val="0"/>
                <w:sz w:val="24"/>
                <w:highlight w:val="none"/>
              </w:rPr>
            </w:pPr>
          </w:p>
        </w:tc>
        <w:tc>
          <w:tcPr>
            <w:tcW w:w="799" w:type="dxa"/>
            <w:noWrap w:val="0"/>
            <w:vAlign w:val="top"/>
          </w:tcPr>
          <w:p w14:paraId="3A8748CB">
            <w:pPr>
              <w:spacing w:line="420" w:lineRule="atLeast"/>
              <w:rPr>
                <w:color w:val="auto"/>
                <w:kern w:val="0"/>
                <w:sz w:val="24"/>
                <w:highlight w:val="none"/>
              </w:rPr>
            </w:pPr>
          </w:p>
        </w:tc>
        <w:tc>
          <w:tcPr>
            <w:tcW w:w="800" w:type="dxa"/>
            <w:noWrap w:val="0"/>
            <w:vAlign w:val="top"/>
          </w:tcPr>
          <w:p w14:paraId="297F6A9E">
            <w:pPr>
              <w:spacing w:line="420" w:lineRule="atLeast"/>
              <w:rPr>
                <w:color w:val="auto"/>
                <w:kern w:val="0"/>
                <w:sz w:val="24"/>
                <w:highlight w:val="none"/>
              </w:rPr>
            </w:pPr>
          </w:p>
        </w:tc>
        <w:tc>
          <w:tcPr>
            <w:tcW w:w="800" w:type="dxa"/>
            <w:noWrap w:val="0"/>
            <w:vAlign w:val="top"/>
          </w:tcPr>
          <w:p w14:paraId="600A5C8B">
            <w:pPr>
              <w:spacing w:line="420" w:lineRule="atLeast"/>
              <w:rPr>
                <w:color w:val="auto"/>
                <w:kern w:val="0"/>
                <w:sz w:val="24"/>
                <w:highlight w:val="none"/>
              </w:rPr>
            </w:pPr>
          </w:p>
        </w:tc>
        <w:tc>
          <w:tcPr>
            <w:tcW w:w="3700" w:type="dxa"/>
            <w:noWrap w:val="0"/>
            <w:vAlign w:val="top"/>
          </w:tcPr>
          <w:p w14:paraId="6BF81825">
            <w:pPr>
              <w:spacing w:line="420" w:lineRule="atLeast"/>
              <w:rPr>
                <w:color w:val="auto"/>
                <w:kern w:val="0"/>
                <w:sz w:val="24"/>
                <w:highlight w:val="none"/>
              </w:rPr>
            </w:pPr>
          </w:p>
        </w:tc>
      </w:tr>
      <w:tr w14:paraId="39675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5DF4493D">
            <w:pPr>
              <w:spacing w:line="420" w:lineRule="atLeast"/>
              <w:rPr>
                <w:color w:val="auto"/>
                <w:kern w:val="0"/>
                <w:sz w:val="24"/>
                <w:highlight w:val="none"/>
              </w:rPr>
            </w:pPr>
          </w:p>
        </w:tc>
        <w:tc>
          <w:tcPr>
            <w:tcW w:w="1500" w:type="dxa"/>
            <w:noWrap w:val="0"/>
            <w:vAlign w:val="top"/>
          </w:tcPr>
          <w:p w14:paraId="55E11BA0">
            <w:pPr>
              <w:spacing w:line="420" w:lineRule="atLeast"/>
              <w:rPr>
                <w:color w:val="auto"/>
                <w:kern w:val="0"/>
                <w:sz w:val="24"/>
                <w:highlight w:val="none"/>
              </w:rPr>
            </w:pPr>
          </w:p>
        </w:tc>
        <w:tc>
          <w:tcPr>
            <w:tcW w:w="799" w:type="dxa"/>
            <w:noWrap w:val="0"/>
            <w:vAlign w:val="top"/>
          </w:tcPr>
          <w:p w14:paraId="3B019BB9">
            <w:pPr>
              <w:spacing w:line="420" w:lineRule="atLeast"/>
              <w:rPr>
                <w:color w:val="auto"/>
                <w:kern w:val="0"/>
                <w:sz w:val="24"/>
                <w:highlight w:val="none"/>
              </w:rPr>
            </w:pPr>
          </w:p>
        </w:tc>
        <w:tc>
          <w:tcPr>
            <w:tcW w:w="800" w:type="dxa"/>
            <w:noWrap w:val="0"/>
            <w:vAlign w:val="top"/>
          </w:tcPr>
          <w:p w14:paraId="4338FB20">
            <w:pPr>
              <w:spacing w:line="420" w:lineRule="atLeast"/>
              <w:rPr>
                <w:color w:val="auto"/>
                <w:kern w:val="0"/>
                <w:sz w:val="24"/>
                <w:highlight w:val="none"/>
              </w:rPr>
            </w:pPr>
          </w:p>
        </w:tc>
        <w:tc>
          <w:tcPr>
            <w:tcW w:w="800" w:type="dxa"/>
            <w:noWrap w:val="0"/>
            <w:vAlign w:val="top"/>
          </w:tcPr>
          <w:p w14:paraId="0C99F2EE">
            <w:pPr>
              <w:spacing w:line="420" w:lineRule="atLeast"/>
              <w:rPr>
                <w:color w:val="auto"/>
                <w:kern w:val="0"/>
                <w:sz w:val="24"/>
                <w:highlight w:val="none"/>
              </w:rPr>
            </w:pPr>
          </w:p>
        </w:tc>
        <w:tc>
          <w:tcPr>
            <w:tcW w:w="3700" w:type="dxa"/>
            <w:noWrap w:val="0"/>
            <w:vAlign w:val="top"/>
          </w:tcPr>
          <w:p w14:paraId="755CD56E">
            <w:pPr>
              <w:spacing w:line="420" w:lineRule="atLeast"/>
              <w:jc w:val="center"/>
              <w:rPr>
                <w:color w:val="auto"/>
                <w:kern w:val="0"/>
                <w:sz w:val="24"/>
                <w:highlight w:val="none"/>
              </w:rPr>
            </w:pPr>
          </w:p>
        </w:tc>
      </w:tr>
    </w:tbl>
    <w:p w14:paraId="1F3647D7">
      <w:pPr>
        <w:spacing w:line="420" w:lineRule="atLeast"/>
        <w:rPr>
          <w:color w:val="auto"/>
          <w:sz w:val="24"/>
          <w:highlight w:val="none"/>
        </w:rPr>
      </w:pPr>
    </w:p>
    <w:p w14:paraId="7619CC44">
      <w:pPr>
        <w:pStyle w:val="17"/>
        <w:spacing w:line="360" w:lineRule="auto"/>
        <w:ind w:firstLine="0"/>
        <w:jc w:val="center"/>
        <w:outlineLvl w:val="1"/>
        <w:rPr>
          <w:rFonts w:hAnsi="宋体"/>
          <w:b/>
          <w:color w:val="auto"/>
          <w:sz w:val="32"/>
          <w:szCs w:val="32"/>
          <w:highlight w:val="none"/>
        </w:rPr>
      </w:pPr>
      <w:r>
        <w:rPr>
          <w:color w:val="auto"/>
          <w:sz w:val="32"/>
          <w:highlight w:val="none"/>
        </w:rPr>
        <w:br w:type="page"/>
      </w:r>
      <w:bookmarkStart w:id="575" w:name="_Toc404159964"/>
      <w:bookmarkStart w:id="576" w:name="_Toc465181339"/>
    </w:p>
    <w:p w14:paraId="055D29AD">
      <w:pPr>
        <w:pStyle w:val="382"/>
        <w:spacing w:line="420" w:lineRule="atLeast"/>
        <w:rPr>
          <w:b/>
          <w:color w:val="auto"/>
          <w:sz w:val="32"/>
          <w:szCs w:val="32"/>
          <w:highlight w:val="none"/>
        </w:rPr>
      </w:pPr>
      <w:r>
        <w:rPr>
          <w:rFonts w:hAnsi="宋体"/>
          <w:b/>
          <w:color w:val="auto"/>
          <w:sz w:val="32"/>
          <w:szCs w:val="32"/>
          <w:highlight w:val="none"/>
        </w:rPr>
        <w:t>第七章</w:t>
      </w:r>
      <w:bookmarkStart w:id="577" w:name="_Toc262456721"/>
      <w:bookmarkStart w:id="578" w:name="_Toc288209286"/>
      <w:bookmarkStart w:id="579" w:name="_Toc288889655"/>
      <w:r>
        <w:rPr>
          <w:b/>
          <w:color w:val="auto"/>
          <w:sz w:val="32"/>
          <w:szCs w:val="32"/>
          <w:highlight w:val="none"/>
        </w:rPr>
        <w:t xml:space="preserve"> </w:t>
      </w:r>
      <w:r>
        <w:rPr>
          <w:rFonts w:hAnsi="宋体"/>
          <w:b/>
          <w:color w:val="auto"/>
          <w:sz w:val="32"/>
          <w:szCs w:val="32"/>
          <w:highlight w:val="none"/>
        </w:rPr>
        <w:t>资格审查证明材料</w:t>
      </w:r>
      <w:bookmarkEnd w:id="575"/>
      <w:bookmarkEnd w:id="576"/>
      <w:bookmarkEnd w:id="577"/>
      <w:bookmarkEnd w:id="578"/>
      <w:bookmarkEnd w:id="579"/>
    </w:p>
    <w:p w14:paraId="007140BE">
      <w:pPr>
        <w:spacing w:line="360" w:lineRule="auto"/>
        <w:ind w:firstLine="480"/>
        <w:rPr>
          <w:color w:val="auto"/>
          <w:sz w:val="25"/>
          <w:highlight w:val="none"/>
        </w:rPr>
      </w:pPr>
    </w:p>
    <w:p w14:paraId="2010943A">
      <w:pPr>
        <w:spacing w:line="360" w:lineRule="auto"/>
        <w:ind w:firstLine="480"/>
        <w:rPr>
          <w:color w:val="auto"/>
          <w:sz w:val="25"/>
          <w:highlight w:val="none"/>
        </w:rPr>
      </w:pPr>
      <w:r>
        <w:rPr>
          <w:rFonts w:hAnsi="宋体"/>
          <w:color w:val="auto"/>
          <w:sz w:val="25"/>
          <w:highlight w:val="none"/>
        </w:rPr>
        <w:t>一、资格证明材料：见本招标文件第一章</w:t>
      </w:r>
      <w:r>
        <w:rPr>
          <w:color w:val="auto"/>
          <w:sz w:val="25"/>
          <w:highlight w:val="none"/>
        </w:rPr>
        <w:t>9.2</w:t>
      </w:r>
      <w:r>
        <w:rPr>
          <w:rFonts w:hAnsi="宋体"/>
          <w:color w:val="auto"/>
          <w:sz w:val="25"/>
          <w:highlight w:val="none"/>
        </w:rPr>
        <w:t>、</w:t>
      </w:r>
      <w:r>
        <w:rPr>
          <w:color w:val="auto"/>
          <w:sz w:val="25"/>
          <w:highlight w:val="none"/>
        </w:rPr>
        <w:t>9.3</w:t>
      </w:r>
      <w:r>
        <w:rPr>
          <w:rFonts w:hAnsi="宋体"/>
          <w:color w:val="auto"/>
          <w:sz w:val="25"/>
          <w:highlight w:val="none"/>
        </w:rPr>
        <w:t>条。</w:t>
      </w:r>
      <w:r>
        <w:rPr>
          <w:color w:val="auto"/>
          <w:sz w:val="25"/>
          <w:highlight w:val="none"/>
        </w:rPr>
        <w:t xml:space="preserve"> </w:t>
      </w:r>
    </w:p>
    <w:p w14:paraId="26FE7823">
      <w:pPr>
        <w:spacing w:line="360" w:lineRule="auto"/>
        <w:ind w:firstLine="480"/>
        <w:rPr>
          <w:color w:val="auto"/>
          <w:sz w:val="25"/>
          <w:highlight w:val="none"/>
        </w:rPr>
      </w:pPr>
      <w:r>
        <w:rPr>
          <w:rFonts w:hAnsi="宋体"/>
          <w:color w:val="auto"/>
          <w:sz w:val="25"/>
          <w:highlight w:val="none"/>
        </w:rPr>
        <w:t>二、资格审查材料封面及相关表格如下：</w:t>
      </w:r>
    </w:p>
    <w:p w14:paraId="1D90AF70">
      <w:pPr>
        <w:widowControl/>
        <w:spacing w:line="460" w:lineRule="exact"/>
        <w:ind w:firstLine="480" w:firstLineChars="200"/>
        <w:jc w:val="left"/>
        <w:rPr>
          <w:color w:val="auto"/>
          <w:kern w:val="0"/>
          <w:sz w:val="24"/>
          <w:highlight w:val="none"/>
        </w:rPr>
      </w:pPr>
    </w:p>
    <w:p w14:paraId="3CF2142F">
      <w:pPr>
        <w:widowControl/>
        <w:spacing w:line="460" w:lineRule="exact"/>
        <w:ind w:firstLine="480" w:firstLineChars="200"/>
        <w:jc w:val="left"/>
        <w:rPr>
          <w:color w:val="auto"/>
          <w:kern w:val="0"/>
          <w:sz w:val="24"/>
          <w:highlight w:val="none"/>
        </w:rPr>
      </w:pPr>
    </w:p>
    <w:p w14:paraId="5B7D65D4">
      <w:pPr>
        <w:widowControl/>
        <w:spacing w:line="460" w:lineRule="exact"/>
        <w:ind w:firstLine="480" w:firstLineChars="200"/>
        <w:jc w:val="left"/>
        <w:rPr>
          <w:color w:val="auto"/>
          <w:kern w:val="0"/>
          <w:sz w:val="24"/>
          <w:highlight w:val="none"/>
        </w:rPr>
      </w:pPr>
    </w:p>
    <w:p w14:paraId="08EB32C1">
      <w:pPr>
        <w:widowControl/>
        <w:spacing w:line="460" w:lineRule="exact"/>
        <w:ind w:firstLine="480" w:firstLineChars="200"/>
        <w:jc w:val="left"/>
        <w:rPr>
          <w:color w:val="auto"/>
          <w:kern w:val="0"/>
          <w:sz w:val="24"/>
          <w:highlight w:val="none"/>
        </w:rPr>
      </w:pPr>
    </w:p>
    <w:p w14:paraId="1E5BC9AF">
      <w:pPr>
        <w:widowControl/>
        <w:spacing w:line="460" w:lineRule="exact"/>
        <w:ind w:firstLine="480" w:firstLineChars="200"/>
        <w:jc w:val="left"/>
        <w:rPr>
          <w:color w:val="auto"/>
          <w:kern w:val="0"/>
          <w:sz w:val="24"/>
          <w:highlight w:val="none"/>
        </w:rPr>
      </w:pPr>
    </w:p>
    <w:p w14:paraId="36E4BC77">
      <w:pPr>
        <w:widowControl/>
        <w:spacing w:line="460" w:lineRule="exact"/>
        <w:ind w:firstLine="480" w:firstLineChars="200"/>
        <w:jc w:val="left"/>
        <w:rPr>
          <w:color w:val="auto"/>
          <w:kern w:val="0"/>
          <w:sz w:val="24"/>
          <w:highlight w:val="none"/>
        </w:rPr>
      </w:pPr>
    </w:p>
    <w:p w14:paraId="53234062">
      <w:pPr>
        <w:widowControl/>
        <w:spacing w:line="460" w:lineRule="exact"/>
        <w:ind w:firstLine="480" w:firstLineChars="200"/>
        <w:jc w:val="left"/>
        <w:rPr>
          <w:color w:val="auto"/>
          <w:kern w:val="0"/>
          <w:sz w:val="24"/>
          <w:highlight w:val="none"/>
        </w:rPr>
      </w:pPr>
    </w:p>
    <w:p w14:paraId="778CC4C2">
      <w:pPr>
        <w:widowControl/>
        <w:spacing w:line="460" w:lineRule="exact"/>
        <w:ind w:firstLine="480" w:firstLineChars="200"/>
        <w:jc w:val="left"/>
        <w:rPr>
          <w:color w:val="auto"/>
          <w:kern w:val="0"/>
          <w:sz w:val="24"/>
          <w:highlight w:val="none"/>
        </w:rPr>
      </w:pPr>
    </w:p>
    <w:p w14:paraId="126E8F80">
      <w:pPr>
        <w:widowControl/>
        <w:spacing w:line="460" w:lineRule="exact"/>
        <w:ind w:firstLine="480" w:firstLineChars="200"/>
        <w:jc w:val="left"/>
        <w:rPr>
          <w:color w:val="auto"/>
          <w:kern w:val="0"/>
          <w:sz w:val="24"/>
          <w:highlight w:val="none"/>
        </w:rPr>
      </w:pPr>
    </w:p>
    <w:p w14:paraId="2DCDEA55">
      <w:pPr>
        <w:widowControl/>
        <w:spacing w:line="460" w:lineRule="exact"/>
        <w:ind w:firstLine="480" w:firstLineChars="200"/>
        <w:jc w:val="left"/>
        <w:rPr>
          <w:color w:val="auto"/>
          <w:kern w:val="0"/>
          <w:sz w:val="24"/>
          <w:highlight w:val="none"/>
        </w:rPr>
      </w:pPr>
    </w:p>
    <w:p w14:paraId="0B943A73">
      <w:pPr>
        <w:widowControl/>
        <w:spacing w:line="460" w:lineRule="exact"/>
        <w:ind w:firstLine="480" w:firstLineChars="200"/>
        <w:jc w:val="left"/>
        <w:rPr>
          <w:color w:val="auto"/>
          <w:kern w:val="0"/>
          <w:sz w:val="24"/>
          <w:highlight w:val="none"/>
        </w:rPr>
      </w:pPr>
    </w:p>
    <w:p w14:paraId="3D24383C">
      <w:pPr>
        <w:widowControl/>
        <w:spacing w:line="460" w:lineRule="exact"/>
        <w:ind w:firstLine="480" w:firstLineChars="200"/>
        <w:jc w:val="left"/>
        <w:rPr>
          <w:color w:val="auto"/>
          <w:kern w:val="0"/>
          <w:sz w:val="24"/>
          <w:highlight w:val="none"/>
        </w:rPr>
      </w:pPr>
    </w:p>
    <w:p w14:paraId="60AB0EA8">
      <w:pPr>
        <w:widowControl/>
        <w:spacing w:line="460" w:lineRule="exact"/>
        <w:ind w:firstLine="480" w:firstLineChars="200"/>
        <w:jc w:val="left"/>
        <w:rPr>
          <w:color w:val="auto"/>
          <w:kern w:val="0"/>
          <w:sz w:val="24"/>
          <w:highlight w:val="none"/>
        </w:rPr>
      </w:pPr>
    </w:p>
    <w:p w14:paraId="3EC59D16">
      <w:pPr>
        <w:widowControl/>
        <w:spacing w:line="460" w:lineRule="exact"/>
        <w:ind w:firstLine="480" w:firstLineChars="200"/>
        <w:jc w:val="left"/>
        <w:rPr>
          <w:color w:val="auto"/>
          <w:kern w:val="0"/>
          <w:sz w:val="24"/>
          <w:highlight w:val="none"/>
        </w:rPr>
      </w:pPr>
    </w:p>
    <w:p w14:paraId="29B8239A">
      <w:pPr>
        <w:widowControl/>
        <w:spacing w:line="460" w:lineRule="exact"/>
        <w:ind w:firstLine="480" w:firstLineChars="200"/>
        <w:jc w:val="left"/>
        <w:rPr>
          <w:color w:val="auto"/>
          <w:kern w:val="0"/>
          <w:sz w:val="24"/>
          <w:highlight w:val="none"/>
        </w:rPr>
      </w:pPr>
    </w:p>
    <w:p w14:paraId="40B3A564">
      <w:pPr>
        <w:widowControl/>
        <w:spacing w:line="460" w:lineRule="exact"/>
        <w:ind w:firstLine="480" w:firstLineChars="200"/>
        <w:jc w:val="left"/>
        <w:rPr>
          <w:rFonts w:hint="eastAsia"/>
          <w:color w:val="auto"/>
          <w:kern w:val="0"/>
          <w:sz w:val="24"/>
          <w:highlight w:val="none"/>
        </w:rPr>
      </w:pPr>
    </w:p>
    <w:p w14:paraId="1FEC064B">
      <w:pPr>
        <w:widowControl/>
        <w:spacing w:line="460" w:lineRule="exact"/>
        <w:ind w:firstLine="480" w:firstLineChars="200"/>
        <w:jc w:val="left"/>
        <w:rPr>
          <w:rFonts w:hint="eastAsia"/>
          <w:color w:val="auto"/>
          <w:kern w:val="0"/>
          <w:sz w:val="24"/>
          <w:highlight w:val="none"/>
        </w:rPr>
      </w:pPr>
    </w:p>
    <w:p w14:paraId="0C072DBA">
      <w:pPr>
        <w:widowControl/>
        <w:spacing w:line="460" w:lineRule="exact"/>
        <w:ind w:firstLine="480" w:firstLineChars="200"/>
        <w:jc w:val="left"/>
        <w:rPr>
          <w:rFonts w:hint="eastAsia"/>
          <w:color w:val="auto"/>
          <w:kern w:val="0"/>
          <w:sz w:val="24"/>
          <w:highlight w:val="none"/>
        </w:rPr>
      </w:pPr>
    </w:p>
    <w:p w14:paraId="2F529123">
      <w:pPr>
        <w:widowControl/>
        <w:spacing w:line="460" w:lineRule="exact"/>
        <w:ind w:firstLine="480" w:firstLineChars="200"/>
        <w:jc w:val="left"/>
        <w:rPr>
          <w:color w:val="auto"/>
          <w:kern w:val="0"/>
          <w:sz w:val="24"/>
          <w:highlight w:val="none"/>
        </w:rPr>
      </w:pPr>
    </w:p>
    <w:p w14:paraId="739C07D5">
      <w:pPr>
        <w:widowControl/>
        <w:spacing w:line="460" w:lineRule="exact"/>
        <w:ind w:firstLine="480" w:firstLineChars="200"/>
        <w:jc w:val="left"/>
        <w:rPr>
          <w:color w:val="auto"/>
          <w:kern w:val="0"/>
          <w:sz w:val="24"/>
          <w:highlight w:val="none"/>
        </w:rPr>
      </w:pPr>
    </w:p>
    <w:p w14:paraId="6BFB9CB4">
      <w:pPr>
        <w:widowControl/>
        <w:spacing w:line="460" w:lineRule="exact"/>
        <w:ind w:firstLine="480" w:firstLineChars="200"/>
        <w:jc w:val="left"/>
        <w:rPr>
          <w:color w:val="auto"/>
          <w:kern w:val="0"/>
          <w:sz w:val="24"/>
          <w:highlight w:val="none"/>
        </w:rPr>
      </w:pPr>
    </w:p>
    <w:p w14:paraId="6C70D68A">
      <w:pPr>
        <w:widowControl/>
        <w:spacing w:line="460" w:lineRule="exact"/>
        <w:ind w:firstLine="480" w:firstLineChars="200"/>
        <w:jc w:val="left"/>
        <w:rPr>
          <w:color w:val="auto"/>
          <w:kern w:val="0"/>
          <w:sz w:val="24"/>
          <w:highlight w:val="none"/>
        </w:rPr>
      </w:pPr>
    </w:p>
    <w:p w14:paraId="44B03743">
      <w:pPr>
        <w:widowControl/>
        <w:spacing w:line="460" w:lineRule="exact"/>
        <w:ind w:firstLine="480" w:firstLineChars="200"/>
        <w:jc w:val="left"/>
        <w:rPr>
          <w:color w:val="auto"/>
          <w:kern w:val="0"/>
          <w:sz w:val="24"/>
          <w:highlight w:val="none"/>
        </w:rPr>
      </w:pPr>
    </w:p>
    <w:p w14:paraId="3DFC5B57">
      <w:pPr>
        <w:widowControl/>
        <w:spacing w:line="460" w:lineRule="exact"/>
        <w:ind w:firstLine="480" w:firstLineChars="200"/>
        <w:jc w:val="left"/>
        <w:rPr>
          <w:color w:val="auto"/>
          <w:kern w:val="0"/>
          <w:sz w:val="24"/>
          <w:highlight w:val="none"/>
        </w:rPr>
      </w:pPr>
    </w:p>
    <w:p w14:paraId="6AF86365">
      <w:pPr>
        <w:widowControl/>
        <w:spacing w:line="460" w:lineRule="exact"/>
        <w:ind w:firstLine="480" w:firstLineChars="200"/>
        <w:jc w:val="left"/>
        <w:rPr>
          <w:rFonts w:hint="eastAsia"/>
          <w:color w:val="auto"/>
          <w:kern w:val="0"/>
          <w:sz w:val="24"/>
          <w:highlight w:val="none"/>
        </w:rPr>
      </w:pPr>
    </w:p>
    <w:p w14:paraId="5BC6A3EC">
      <w:pPr>
        <w:widowControl/>
        <w:spacing w:line="460" w:lineRule="exact"/>
        <w:ind w:firstLine="480" w:firstLineChars="200"/>
        <w:jc w:val="left"/>
        <w:rPr>
          <w:rFonts w:hint="eastAsia"/>
          <w:color w:val="auto"/>
          <w:kern w:val="0"/>
          <w:sz w:val="24"/>
          <w:highlight w:val="none"/>
        </w:rPr>
      </w:pPr>
    </w:p>
    <w:p w14:paraId="29762619">
      <w:pPr>
        <w:spacing w:line="360" w:lineRule="auto"/>
        <w:jc w:val="center"/>
        <w:rPr>
          <w:rFonts w:hint="eastAsia" w:hAnsi="宋体"/>
          <w:color w:val="auto"/>
          <w:sz w:val="44"/>
          <w:szCs w:val="44"/>
          <w:highlight w:val="none"/>
        </w:rPr>
      </w:pPr>
    </w:p>
    <w:p w14:paraId="3D9DACA6">
      <w:pPr>
        <w:spacing w:line="360" w:lineRule="auto"/>
        <w:jc w:val="center"/>
        <w:rPr>
          <w:color w:val="auto"/>
          <w:sz w:val="44"/>
          <w:szCs w:val="44"/>
          <w:highlight w:val="none"/>
        </w:rPr>
      </w:pPr>
      <w:r>
        <w:rPr>
          <w:rFonts w:hAnsi="宋体"/>
          <w:color w:val="auto"/>
          <w:sz w:val="44"/>
          <w:szCs w:val="44"/>
          <w:highlight w:val="none"/>
        </w:rPr>
        <w:t>封面</w:t>
      </w:r>
    </w:p>
    <w:p w14:paraId="712A1A5D">
      <w:pPr>
        <w:spacing w:line="360" w:lineRule="auto"/>
        <w:rPr>
          <w:color w:val="auto"/>
          <w:szCs w:val="21"/>
          <w:highlight w:val="none"/>
        </w:rPr>
      </w:pPr>
    </w:p>
    <w:p w14:paraId="72E2B907">
      <w:pPr>
        <w:spacing w:line="360" w:lineRule="auto"/>
        <w:rPr>
          <w:color w:val="auto"/>
          <w:szCs w:val="21"/>
          <w:highlight w:val="none"/>
        </w:rPr>
      </w:pPr>
    </w:p>
    <w:p w14:paraId="1C3341FA">
      <w:pPr>
        <w:spacing w:line="360" w:lineRule="auto"/>
        <w:ind w:firstLine="1234" w:firstLineChars="343"/>
        <w:rPr>
          <w:color w:val="auto"/>
          <w:sz w:val="36"/>
          <w:highlight w:val="none"/>
        </w:rPr>
      </w:pPr>
      <w:r>
        <w:rPr>
          <w:color w:val="auto"/>
          <w:sz w:val="36"/>
          <w:highlight w:val="none"/>
          <w:u w:val="single"/>
        </w:rPr>
        <w:t xml:space="preserve">                         </w:t>
      </w:r>
      <w:r>
        <w:rPr>
          <w:rFonts w:hAnsi="宋体"/>
          <w:color w:val="auto"/>
          <w:sz w:val="36"/>
          <w:highlight w:val="none"/>
        </w:rPr>
        <w:t>（项目名称）施工招标</w:t>
      </w:r>
    </w:p>
    <w:p w14:paraId="6F820A99">
      <w:pPr>
        <w:jc w:val="center"/>
        <w:rPr>
          <w:color w:val="auto"/>
          <w:sz w:val="52"/>
          <w:szCs w:val="52"/>
          <w:highlight w:val="none"/>
        </w:rPr>
      </w:pPr>
      <w:bookmarkStart w:id="580" w:name="_Toc262456722"/>
      <w:bookmarkStart w:id="581" w:name="_Toc288209287"/>
      <w:bookmarkStart w:id="582" w:name="_Toc288889656"/>
      <w:r>
        <w:rPr>
          <w:rFonts w:hAnsi="宋体"/>
          <w:color w:val="auto"/>
          <w:sz w:val="52"/>
          <w:szCs w:val="52"/>
          <w:highlight w:val="none"/>
        </w:rPr>
        <w:t>投标人资格审查文件</w:t>
      </w:r>
      <w:bookmarkEnd w:id="580"/>
      <w:bookmarkEnd w:id="581"/>
      <w:bookmarkEnd w:id="582"/>
    </w:p>
    <w:p w14:paraId="4CB54B8E">
      <w:pPr>
        <w:spacing w:line="360" w:lineRule="auto"/>
        <w:ind w:firstLine="1920"/>
        <w:rPr>
          <w:color w:val="auto"/>
          <w:sz w:val="32"/>
          <w:highlight w:val="none"/>
        </w:rPr>
      </w:pPr>
      <w:r>
        <w:rPr>
          <w:color w:val="auto"/>
          <w:sz w:val="32"/>
          <w:highlight w:val="none"/>
        </w:rPr>
        <w:t xml:space="preserve">    </w:t>
      </w:r>
    </w:p>
    <w:p w14:paraId="60AEB7E8">
      <w:pPr>
        <w:adjustRightInd w:val="0"/>
        <w:snapToGrid w:val="0"/>
        <w:spacing w:line="360" w:lineRule="auto"/>
        <w:rPr>
          <w:color w:val="auto"/>
          <w:sz w:val="24"/>
          <w:highlight w:val="none"/>
        </w:rPr>
      </w:pPr>
    </w:p>
    <w:p w14:paraId="20CE7E47">
      <w:pPr>
        <w:adjustRightInd w:val="0"/>
        <w:snapToGrid w:val="0"/>
        <w:spacing w:line="360" w:lineRule="auto"/>
        <w:rPr>
          <w:color w:val="auto"/>
          <w:sz w:val="10"/>
          <w:highlight w:val="none"/>
        </w:rPr>
      </w:pPr>
      <w:r>
        <w:rPr>
          <w:color w:val="auto"/>
          <w:sz w:val="32"/>
          <w:highlight w:val="none"/>
        </w:rPr>
        <w:t xml:space="preserve">              </w:t>
      </w:r>
    </w:p>
    <w:p w14:paraId="1720320D">
      <w:pPr>
        <w:adjustRightInd w:val="0"/>
        <w:snapToGrid w:val="0"/>
        <w:spacing w:line="360" w:lineRule="auto"/>
        <w:jc w:val="center"/>
        <w:rPr>
          <w:color w:val="auto"/>
          <w:sz w:val="32"/>
          <w:highlight w:val="none"/>
        </w:rPr>
      </w:pPr>
    </w:p>
    <w:p w14:paraId="50CF32E9">
      <w:pPr>
        <w:adjustRightInd w:val="0"/>
        <w:snapToGrid w:val="0"/>
        <w:spacing w:line="360" w:lineRule="auto"/>
        <w:jc w:val="center"/>
        <w:rPr>
          <w:color w:val="auto"/>
          <w:sz w:val="32"/>
          <w:highlight w:val="none"/>
        </w:rPr>
      </w:pPr>
    </w:p>
    <w:p w14:paraId="4DCCD893">
      <w:pPr>
        <w:adjustRightInd w:val="0"/>
        <w:snapToGrid w:val="0"/>
        <w:spacing w:line="360" w:lineRule="auto"/>
        <w:jc w:val="center"/>
        <w:rPr>
          <w:color w:val="auto"/>
          <w:sz w:val="32"/>
          <w:highlight w:val="none"/>
        </w:rPr>
      </w:pPr>
    </w:p>
    <w:p w14:paraId="3019DE2C">
      <w:pPr>
        <w:adjustRightInd w:val="0"/>
        <w:snapToGrid w:val="0"/>
        <w:spacing w:line="360" w:lineRule="auto"/>
        <w:jc w:val="center"/>
        <w:rPr>
          <w:color w:val="auto"/>
          <w:sz w:val="32"/>
          <w:highlight w:val="none"/>
        </w:rPr>
      </w:pPr>
    </w:p>
    <w:p w14:paraId="7C92970C">
      <w:pPr>
        <w:adjustRightInd w:val="0"/>
        <w:snapToGrid w:val="0"/>
        <w:spacing w:line="360" w:lineRule="auto"/>
        <w:ind w:firstLine="964" w:firstLineChars="300"/>
        <w:rPr>
          <w:b/>
          <w:color w:val="auto"/>
          <w:sz w:val="32"/>
          <w:highlight w:val="none"/>
          <w:u w:val="single"/>
        </w:rPr>
      </w:pPr>
      <w:r>
        <w:rPr>
          <w:rFonts w:hAnsi="宋体"/>
          <w:b/>
          <w:color w:val="auto"/>
          <w:sz w:val="32"/>
          <w:highlight w:val="none"/>
        </w:rPr>
        <w:t>投标人：</w:t>
      </w:r>
      <w:r>
        <w:rPr>
          <w:b/>
          <w:color w:val="auto"/>
          <w:sz w:val="32"/>
          <w:highlight w:val="none"/>
        </w:rPr>
        <w:t xml:space="preserve"> </w:t>
      </w:r>
      <w:r>
        <w:rPr>
          <w:b/>
          <w:color w:val="auto"/>
          <w:sz w:val="32"/>
          <w:highlight w:val="none"/>
          <w:u w:val="single"/>
        </w:rPr>
        <w:t xml:space="preserve">                         </w:t>
      </w:r>
      <w:r>
        <w:rPr>
          <w:rFonts w:hAnsi="宋体"/>
          <w:b/>
          <w:color w:val="auto"/>
          <w:sz w:val="32"/>
          <w:highlight w:val="none"/>
          <w:u w:val="single"/>
        </w:rPr>
        <w:t>（盖章）</w:t>
      </w:r>
    </w:p>
    <w:p w14:paraId="4A40B557">
      <w:pPr>
        <w:adjustRightInd w:val="0"/>
        <w:snapToGrid w:val="0"/>
        <w:spacing w:line="360" w:lineRule="auto"/>
        <w:ind w:firstLine="1680"/>
        <w:rPr>
          <w:b/>
          <w:color w:val="auto"/>
          <w:sz w:val="18"/>
          <w:szCs w:val="18"/>
          <w:highlight w:val="none"/>
        </w:rPr>
      </w:pPr>
      <w:r>
        <w:rPr>
          <w:b/>
          <w:color w:val="auto"/>
          <w:sz w:val="32"/>
          <w:highlight w:val="none"/>
        </w:rPr>
        <w:t xml:space="preserve"> </w:t>
      </w:r>
    </w:p>
    <w:p w14:paraId="60083FD5">
      <w:pPr>
        <w:adjustRightInd w:val="0"/>
        <w:snapToGrid w:val="0"/>
        <w:spacing w:line="360" w:lineRule="auto"/>
        <w:ind w:firstLine="964" w:firstLineChars="300"/>
        <w:rPr>
          <w:b/>
          <w:color w:val="auto"/>
          <w:sz w:val="32"/>
          <w:highlight w:val="none"/>
          <w:u w:val="single"/>
        </w:rPr>
      </w:pPr>
      <w:r>
        <w:rPr>
          <w:rFonts w:hAnsi="宋体"/>
          <w:b/>
          <w:color w:val="auto"/>
          <w:sz w:val="32"/>
          <w:highlight w:val="none"/>
        </w:rPr>
        <w:t>法定代表人或其委托代理人：</w:t>
      </w:r>
      <w:r>
        <w:rPr>
          <w:b/>
          <w:color w:val="auto"/>
          <w:sz w:val="32"/>
          <w:highlight w:val="none"/>
        </w:rPr>
        <w:t xml:space="preserve">  </w:t>
      </w:r>
      <w:r>
        <w:rPr>
          <w:rFonts w:hAnsi="宋体"/>
          <w:b/>
          <w:color w:val="auto"/>
          <w:sz w:val="32"/>
          <w:highlight w:val="none"/>
          <w:u w:val="single"/>
        </w:rPr>
        <w:t>（签字或盖章）</w:t>
      </w:r>
    </w:p>
    <w:p w14:paraId="5F2DE284">
      <w:pPr>
        <w:adjustRightInd w:val="0"/>
        <w:snapToGrid w:val="0"/>
        <w:spacing w:line="360" w:lineRule="auto"/>
        <w:jc w:val="center"/>
        <w:rPr>
          <w:b/>
          <w:color w:val="auto"/>
          <w:sz w:val="18"/>
          <w:szCs w:val="18"/>
          <w:highlight w:val="none"/>
        </w:rPr>
      </w:pPr>
    </w:p>
    <w:p w14:paraId="56E8A8F6">
      <w:pPr>
        <w:adjustRightInd w:val="0"/>
        <w:snapToGrid w:val="0"/>
        <w:spacing w:line="360" w:lineRule="auto"/>
        <w:rPr>
          <w:b/>
          <w:color w:val="auto"/>
          <w:sz w:val="32"/>
          <w:highlight w:val="none"/>
          <w:u w:val="single"/>
        </w:rPr>
      </w:pPr>
      <w:r>
        <w:rPr>
          <w:b/>
          <w:color w:val="auto"/>
          <w:sz w:val="32"/>
          <w:highlight w:val="none"/>
        </w:rPr>
        <w:t xml:space="preserve">      </w:t>
      </w:r>
      <w:r>
        <w:rPr>
          <w:rFonts w:hAnsi="宋体"/>
          <w:b/>
          <w:color w:val="auto"/>
          <w:sz w:val="32"/>
          <w:highlight w:val="none"/>
        </w:rPr>
        <w:t>地址：</w:t>
      </w:r>
      <w:r>
        <w:rPr>
          <w:b/>
          <w:color w:val="auto"/>
          <w:sz w:val="32"/>
          <w:highlight w:val="none"/>
          <w:u w:val="single"/>
        </w:rPr>
        <w:t xml:space="preserve">                                   </w:t>
      </w:r>
    </w:p>
    <w:p w14:paraId="1A1D03DB">
      <w:pPr>
        <w:spacing w:line="360" w:lineRule="auto"/>
        <w:rPr>
          <w:b/>
          <w:color w:val="auto"/>
          <w:sz w:val="18"/>
          <w:szCs w:val="18"/>
          <w:highlight w:val="none"/>
        </w:rPr>
      </w:pPr>
      <w:r>
        <w:rPr>
          <w:b/>
          <w:color w:val="auto"/>
          <w:sz w:val="32"/>
          <w:highlight w:val="none"/>
        </w:rPr>
        <w:t xml:space="preserve">            </w:t>
      </w:r>
    </w:p>
    <w:p w14:paraId="7943584E">
      <w:pPr>
        <w:spacing w:line="360" w:lineRule="auto"/>
        <w:ind w:firstLine="964" w:firstLineChars="300"/>
        <w:rPr>
          <w:b/>
          <w:color w:val="auto"/>
          <w:sz w:val="36"/>
          <w:highlight w:val="none"/>
        </w:rPr>
      </w:pPr>
      <w:r>
        <w:rPr>
          <w:rFonts w:hAnsi="宋体"/>
          <w:b/>
          <w:color w:val="auto"/>
          <w:sz w:val="32"/>
          <w:highlight w:val="none"/>
        </w:rPr>
        <w:t>日期：</w:t>
      </w:r>
      <w:r>
        <w:rPr>
          <w:b/>
          <w:color w:val="auto"/>
          <w:sz w:val="32"/>
          <w:highlight w:val="none"/>
          <w:u w:val="single"/>
        </w:rPr>
        <w:t xml:space="preserve">         </w:t>
      </w:r>
      <w:r>
        <w:rPr>
          <w:rFonts w:hAnsi="宋体"/>
          <w:b/>
          <w:color w:val="auto"/>
          <w:sz w:val="32"/>
          <w:highlight w:val="none"/>
        </w:rPr>
        <w:t>年</w:t>
      </w:r>
      <w:r>
        <w:rPr>
          <w:b/>
          <w:color w:val="auto"/>
          <w:sz w:val="32"/>
          <w:highlight w:val="none"/>
          <w:u w:val="single"/>
        </w:rPr>
        <w:t xml:space="preserve">          </w:t>
      </w:r>
      <w:r>
        <w:rPr>
          <w:rFonts w:hAnsi="宋体"/>
          <w:b/>
          <w:color w:val="auto"/>
          <w:sz w:val="32"/>
          <w:highlight w:val="none"/>
        </w:rPr>
        <w:t>月</w:t>
      </w:r>
      <w:r>
        <w:rPr>
          <w:b/>
          <w:color w:val="auto"/>
          <w:sz w:val="32"/>
          <w:highlight w:val="none"/>
          <w:u w:val="single"/>
        </w:rPr>
        <w:t xml:space="preserve">          </w:t>
      </w:r>
      <w:r>
        <w:rPr>
          <w:rFonts w:hAnsi="宋体"/>
          <w:b/>
          <w:color w:val="auto"/>
          <w:sz w:val="32"/>
          <w:highlight w:val="none"/>
        </w:rPr>
        <w:t>日</w:t>
      </w:r>
      <w:r>
        <w:rPr>
          <w:color w:val="auto"/>
          <w:sz w:val="30"/>
          <w:highlight w:val="none"/>
        </w:rPr>
        <w:t xml:space="preserve"> </w:t>
      </w:r>
    </w:p>
    <w:p w14:paraId="7CA68280">
      <w:pPr>
        <w:tabs>
          <w:tab w:val="left" w:pos="993"/>
        </w:tabs>
        <w:spacing w:line="360" w:lineRule="auto"/>
        <w:rPr>
          <w:color w:val="auto"/>
          <w:highlight w:val="none"/>
        </w:rPr>
      </w:pPr>
    </w:p>
    <w:p w14:paraId="62DF0CDF">
      <w:pPr>
        <w:tabs>
          <w:tab w:val="left" w:pos="993"/>
        </w:tabs>
        <w:spacing w:line="360" w:lineRule="auto"/>
        <w:rPr>
          <w:color w:val="auto"/>
          <w:highlight w:val="none"/>
        </w:rPr>
      </w:pPr>
    </w:p>
    <w:p w14:paraId="76C92A3A">
      <w:pPr>
        <w:tabs>
          <w:tab w:val="left" w:pos="993"/>
        </w:tabs>
        <w:spacing w:line="360" w:lineRule="auto"/>
        <w:rPr>
          <w:color w:val="auto"/>
          <w:highlight w:val="none"/>
        </w:rPr>
      </w:pPr>
    </w:p>
    <w:p w14:paraId="2BBE12D3">
      <w:pPr>
        <w:tabs>
          <w:tab w:val="left" w:pos="993"/>
        </w:tabs>
        <w:spacing w:line="360" w:lineRule="auto"/>
        <w:rPr>
          <w:color w:val="auto"/>
          <w:highlight w:val="none"/>
        </w:rPr>
      </w:pPr>
    </w:p>
    <w:p w14:paraId="0503F6AB">
      <w:pPr>
        <w:tabs>
          <w:tab w:val="left" w:pos="993"/>
        </w:tabs>
        <w:spacing w:line="360" w:lineRule="auto"/>
        <w:rPr>
          <w:color w:val="auto"/>
          <w:highlight w:val="none"/>
        </w:rPr>
      </w:pPr>
    </w:p>
    <w:p w14:paraId="33D4585F">
      <w:pPr>
        <w:tabs>
          <w:tab w:val="left" w:pos="993"/>
        </w:tabs>
        <w:spacing w:line="360" w:lineRule="auto"/>
        <w:rPr>
          <w:color w:val="auto"/>
          <w:highlight w:val="none"/>
        </w:rPr>
      </w:pPr>
    </w:p>
    <w:p w14:paraId="38C9C253">
      <w:pPr>
        <w:tabs>
          <w:tab w:val="left" w:pos="993"/>
        </w:tabs>
        <w:spacing w:line="360" w:lineRule="auto"/>
        <w:rPr>
          <w:color w:val="auto"/>
          <w:highlight w:val="none"/>
        </w:rPr>
      </w:pPr>
    </w:p>
    <w:p w14:paraId="16E0CE62">
      <w:pPr>
        <w:tabs>
          <w:tab w:val="left" w:pos="993"/>
        </w:tabs>
        <w:spacing w:line="360" w:lineRule="auto"/>
        <w:rPr>
          <w:color w:val="auto"/>
          <w:highlight w:val="none"/>
        </w:rPr>
      </w:pPr>
    </w:p>
    <w:p w14:paraId="66709E17">
      <w:pPr>
        <w:tabs>
          <w:tab w:val="left" w:pos="993"/>
        </w:tabs>
        <w:spacing w:line="360" w:lineRule="auto"/>
        <w:rPr>
          <w:color w:val="auto"/>
          <w:highlight w:val="none"/>
        </w:rPr>
      </w:pPr>
    </w:p>
    <w:p w14:paraId="1808282A">
      <w:pPr>
        <w:pStyle w:val="17"/>
        <w:spacing w:line="360" w:lineRule="auto"/>
        <w:ind w:firstLine="0"/>
        <w:jc w:val="center"/>
        <w:outlineLvl w:val="1"/>
        <w:rPr>
          <w:color w:val="auto"/>
          <w:sz w:val="32"/>
          <w:highlight w:val="none"/>
        </w:rPr>
      </w:pPr>
      <w:r>
        <w:rPr>
          <w:rFonts w:hAnsi="宋体"/>
          <w:color w:val="auto"/>
          <w:sz w:val="28"/>
          <w:szCs w:val="28"/>
          <w:highlight w:val="none"/>
        </w:rPr>
        <w:br w:type="page"/>
      </w:r>
      <w:r>
        <w:rPr>
          <w:rFonts w:hAnsi="宋体"/>
          <w:color w:val="auto"/>
          <w:sz w:val="28"/>
          <w:szCs w:val="28"/>
          <w:highlight w:val="none"/>
        </w:rPr>
        <w:t>法定代表人身份证明</w:t>
      </w:r>
    </w:p>
    <w:p w14:paraId="796B8377">
      <w:pPr>
        <w:pStyle w:val="17"/>
        <w:snapToGrid w:val="0"/>
        <w:spacing w:line="440" w:lineRule="exact"/>
        <w:ind w:firstLine="0"/>
        <w:rPr>
          <w:color w:val="auto"/>
          <w:sz w:val="30"/>
          <w:highlight w:val="none"/>
        </w:rPr>
      </w:pPr>
    </w:p>
    <w:p w14:paraId="73998562">
      <w:pPr>
        <w:pStyle w:val="17"/>
        <w:snapToGrid w:val="0"/>
        <w:spacing w:line="440" w:lineRule="exact"/>
        <w:ind w:firstLine="480" w:firstLineChars="200"/>
        <w:rPr>
          <w:color w:val="auto"/>
          <w:highlight w:val="none"/>
          <w:u w:val="single"/>
        </w:rPr>
      </w:pPr>
      <w:r>
        <w:rPr>
          <w:rFonts w:hAnsi="宋体"/>
          <w:color w:val="auto"/>
          <w:highlight w:val="none"/>
        </w:rPr>
        <w:t>投标人单位名称：</w:t>
      </w:r>
      <w:r>
        <w:rPr>
          <w:color w:val="auto"/>
          <w:highlight w:val="none"/>
          <w:u w:val="single"/>
        </w:rPr>
        <w:t xml:space="preserve">                                 </w:t>
      </w:r>
    </w:p>
    <w:p w14:paraId="610F4B96">
      <w:pPr>
        <w:pStyle w:val="17"/>
        <w:snapToGrid w:val="0"/>
        <w:spacing w:line="440" w:lineRule="exact"/>
        <w:ind w:firstLine="480" w:firstLineChars="200"/>
        <w:rPr>
          <w:color w:val="auto"/>
          <w:highlight w:val="none"/>
          <w:u w:val="single"/>
        </w:rPr>
      </w:pPr>
      <w:r>
        <w:rPr>
          <w:rFonts w:hAnsi="宋体"/>
          <w:color w:val="auto"/>
          <w:highlight w:val="none"/>
        </w:rPr>
        <w:t>投标人单位性质：</w:t>
      </w:r>
      <w:r>
        <w:rPr>
          <w:color w:val="auto"/>
          <w:highlight w:val="none"/>
          <w:u w:val="single"/>
        </w:rPr>
        <w:t xml:space="preserve">                                 </w:t>
      </w:r>
    </w:p>
    <w:p w14:paraId="19F2D20C">
      <w:pPr>
        <w:pStyle w:val="17"/>
        <w:snapToGrid w:val="0"/>
        <w:spacing w:line="440" w:lineRule="exact"/>
        <w:ind w:firstLine="480" w:firstLineChars="200"/>
        <w:rPr>
          <w:color w:val="auto"/>
          <w:highlight w:val="none"/>
          <w:u w:val="single"/>
        </w:rPr>
      </w:pPr>
      <w:r>
        <w:rPr>
          <w:rFonts w:hAnsi="宋体"/>
          <w:color w:val="auto"/>
          <w:highlight w:val="none"/>
        </w:rPr>
        <w:t>投标人单位地址：</w:t>
      </w:r>
      <w:r>
        <w:rPr>
          <w:color w:val="auto"/>
          <w:highlight w:val="none"/>
          <w:u w:val="single"/>
        </w:rPr>
        <w:t xml:space="preserve">                                 </w:t>
      </w:r>
    </w:p>
    <w:p w14:paraId="18EB4F64">
      <w:pPr>
        <w:pStyle w:val="17"/>
        <w:snapToGrid w:val="0"/>
        <w:spacing w:line="440" w:lineRule="exact"/>
        <w:ind w:firstLine="480" w:firstLineChars="200"/>
        <w:rPr>
          <w:color w:val="auto"/>
          <w:highlight w:val="none"/>
          <w:u w:val="single"/>
        </w:rPr>
      </w:pPr>
      <w:r>
        <w:rPr>
          <w:rFonts w:hAnsi="宋体"/>
          <w:color w:val="auto"/>
          <w:highlight w:val="none"/>
        </w:rPr>
        <w:t>成立时间：</w:t>
      </w:r>
      <w:r>
        <w:rPr>
          <w:color w:val="auto"/>
          <w:highlight w:val="none"/>
          <w:u w:val="single"/>
        </w:rPr>
        <w:t xml:space="preserve">     </w:t>
      </w:r>
      <w:r>
        <w:rPr>
          <w:rFonts w:hAnsi="宋体"/>
          <w:color w:val="auto"/>
          <w:highlight w:val="none"/>
        </w:rPr>
        <w:t>年</w:t>
      </w:r>
      <w:r>
        <w:rPr>
          <w:color w:val="auto"/>
          <w:highlight w:val="none"/>
          <w:u w:val="single"/>
        </w:rPr>
        <w:t xml:space="preserve">     </w:t>
      </w:r>
      <w:r>
        <w:rPr>
          <w:rFonts w:hAnsi="宋体"/>
          <w:color w:val="auto"/>
          <w:highlight w:val="none"/>
        </w:rPr>
        <w:t>月</w:t>
      </w:r>
      <w:r>
        <w:rPr>
          <w:color w:val="auto"/>
          <w:highlight w:val="none"/>
        </w:rPr>
        <w:t xml:space="preserve"> </w:t>
      </w:r>
      <w:r>
        <w:rPr>
          <w:color w:val="auto"/>
          <w:highlight w:val="none"/>
          <w:u w:val="single"/>
        </w:rPr>
        <w:t xml:space="preserve">    </w:t>
      </w:r>
      <w:r>
        <w:rPr>
          <w:rFonts w:hAnsi="宋体"/>
          <w:color w:val="auto"/>
          <w:highlight w:val="none"/>
        </w:rPr>
        <w:t>日</w:t>
      </w:r>
    </w:p>
    <w:p w14:paraId="2034948C">
      <w:pPr>
        <w:pStyle w:val="17"/>
        <w:snapToGrid w:val="0"/>
        <w:spacing w:line="440" w:lineRule="exact"/>
        <w:ind w:firstLine="480" w:firstLineChars="200"/>
        <w:rPr>
          <w:color w:val="auto"/>
          <w:highlight w:val="none"/>
          <w:u w:val="single"/>
        </w:rPr>
      </w:pPr>
      <w:r>
        <w:rPr>
          <w:rFonts w:hAnsi="宋体"/>
          <w:color w:val="auto"/>
          <w:highlight w:val="none"/>
        </w:rPr>
        <w:t>经营期限：</w:t>
      </w:r>
      <w:r>
        <w:rPr>
          <w:color w:val="auto"/>
          <w:sz w:val="30"/>
          <w:highlight w:val="none"/>
          <w:u w:val="single"/>
        </w:rPr>
        <w:t xml:space="preserve">                               </w:t>
      </w:r>
    </w:p>
    <w:p w14:paraId="47365DD2">
      <w:pPr>
        <w:pStyle w:val="17"/>
        <w:snapToGrid w:val="0"/>
        <w:spacing w:line="440" w:lineRule="exact"/>
        <w:ind w:firstLine="480" w:firstLineChars="200"/>
        <w:rPr>
          <w:color w:val="auto"/>
          <w:highlight w:val="none"/>
          <w:u w:val="single"/>
        </w:rPr>
      </w:pPr>
      <w:r>
        <w:rPr>
          <w:rFonts w:hAnsi="宋体"/>
          <w:color w:val="auto"/>
          <w:highlight w:val="none"/>
        </w:rPr>
        <w:t>姓名：</w:t>
      </w:r>
      <w:r>
        <w:rPr>
          <w:color w:val="auto"/>
          <w:highlight w:val="none"/>
          <w:u w:val="single"/>
        </w:rPr>
        <w:t xml:space="preserve">             </w:t>
      </w:r>
      <w:r>
        <w:rPr>
          <w:rFonts w:hAnsi="宋体"/>
          <w:color w:val="auto"/>
          <w:highlight w:val="none"/>
        </w:rPr>
        <w:t>性别：</w:t>
      </w:r>
      <w:r>
        <w:rPr>
          <w:color w:val="auto"/>
          <w:highlight w:val="none"/>
          <w:u w:val="single"/>
        </w:rPr>
        <w:t xml:space="preserve">              </w:t>
      </w:r>
    </w:p>
    <w:p w14:paraId="1C18543D">
      <w:pPr>
        <w:pStyle w:val="17"/>
        <w:snapToGrid w:val="0"/>
        <w:spacing w:line="440" w:lineRule="exact"/>
        <w:ind w:firstLine="480" w:firstLineChars="200"/>
        <w:rPr>
          <w:color w:val="auto"/>
          <w:highlight w:val="none"/>
          <w:u w:val="single"/>
        </w:rPr>
      </w:pPr>
      <w:r>
        <w:rPr>
          <w:rFonts w:hAnsi="宋体"/>
          <w:color w:val="auto"/>
          <w:highlight w:val="none"/>
        </w:rPr>
        <w:t>年龄：</w:t>
      </w:r>
      <w:r>
        <w:rPr>
          <w:color w:val="auto"/>
          <w:highlight w:val="none"/>
          <w:u w:val="single"/>
        </w:rPr>
        <w:t xml:space="preserve">             </w:t>
      </w:r>
      <w:r>
        <w:rPr>
          <w:rFonts w:hAnsi="宋体"/>
          <w:color w:val="auto"/>
          <w:highlight w:val="none"/>
        </w:rPr>
        <w:t>职务：</w:t>
      </w:r>
      <w:r>
        <w:rPr>
          <w:color w:val="auto"/>
          <w:highlight w:val="none"/>
          <w:u w:val="single"/>
        </w:rPr>
        <w:t xml:space="preserve">               </w:t>
      </w:r>
    </w:p>
    <w:p w14:paraId="1C20D974">
      <w:pPr>
        <w:pStyle w:val="17"/>
        <w:snapToGrid w:val="0"/>
        <w:spacing w:line="440" w:lineRule="exact"/>
        <w:ind w:firstLine="480" w:firstLineChars="200"/>
        <w:rPr>
          <w:color w:val="auto"/>
          <w:highlight w:val="none"/>
        </w:rPr>
      </w:pPr>
      <w:r>
        <w:rPr>
          <w:rFonts w:hAnsi="宋体"/>
          <w:color w:val="auto"/>
          <w:highlight w:val="none"/>
        </w:rPr>
        <w:t>系：</w:t>
      </w:r>
      <w:r>
        <w:rPr>
          <w:color w:val="auto"/>
          <w:highlight w:val="none"/>
          <w:u w:val="single"/>
        </w:rPr>
        <w:t xml:space="preserve">                              </w:t>
      </w:r>
      <w:r>
        <w:rPr>
          <w:color w:val="auto"/>
          <w:highlight w:val="none"/>
        </w:rPr>
        <w:t>（</w:t>
      </w:r>
      <w:r>
        <w:rPr>
          <w:rFonts w:hAnsi="宋体"/>
          <w:color w:val="auto"/>
          <w:highlight w:val="none"/>
        </w:rPr>
        <w:t>投标人单位名称</w:t>
      </w:r>
      <w:r>
        <w:rPr>
          <w:color w:val="auto"/>
          <w:highlight w:val="none"/>
        </w:rPr>
        <w:t>）</w:t>
      </w:r>
      <w:r>
        <w:rPr>
          <w:rFonts w:hAnsi="宋体"/>
          <w:color w:val="auto"/>
          <w:highlight w:val="none"/>
        </w:rPr>
        <w:t>的法定代表人。</w:t>
      </w:r>
    </w:p>
    <w:p w14:paraId="4D0D006A">
      <w:pPr>
        <w:pStyle w:val="17"/>
        <w:snapToGrid w:val="0"/>
        <w:spacing w:line="440" w:lineRule="exact"/>
        <w:ind w:firstLine="480" w:firstLineChars="200"/>
        <w:rPr>
          <w:color w:val="auto"/>
          <w:highlight w:val="none"/>
        </w:rPr>
      </w:pPr>
      <w:r>
        <w:rPr>
          <w:rFonts w:hAnsi="宋体"/>
          <w:color w:val="auto"/>
          <w:highlight w:val="none"/>
        </w:rPr>
        <w:t>法定代表人联系电话：</w:t>
      </w:r>
      <w:r>
        <w:rPr>
          <w:color w:val="auto"/>
          <w:sz w:val="30"/>
          <w:highlight w:val="none"/>
          <w:u w:val="single"/>
        </w:rPr>
        <w:t xml:space="preserve">                     </w:t>
      </w:r>
    </w:p>
    <w:p w14:paraId="631BF432">
      <w:pPr>
        <w:pStyle w:val="17"/>
        <w:snapToGrid w:val="0"/>
        <w:spacing w:line="440" w:lineRule="exact"/>
        <w:ind w:firstLine="480" w:firstLineChars="200"/>
        <w:rPr>
          <w:color w:val="auto"/>
          <w:highlight w:val="none"/>
        </w:rPr>
      </w:pPr>
      <w:r>
        <w:rPr>
          <w:rFonts w:hAnsi="宋体"/>
          <w:color w:val="auto"/>
          <w:highlight w:val="none"/>
        </w:rPr>
        <w:t>特此证明。</w:t>
      </w:r>
    </w:p>
    <w:p w14:paraId="669BF488">
      <w:pPr>
        <w:pStyle w:val="17"/>
        <w:spacing w:line="360" w:lineRule="auto"/>
        <w:ind w:firstLine="0"/>
        <w:rPr>
          <w:color w:val="auto"/>
          <w:sz w:val="30"/>
          <w:highlight w:val="none"/>
        </w:rPr>
      </w:pPr>
      <w:r>
        <w:rPr>
          <w:color w:val="auto"/>
          <w:sz w:val="30"/>
          <w:highlight w:val="none"/>
        </w:rPr>
        <mc:AlternateContent>
          <mc:Choice Requires="wps">
            <w:drawing>
              <wp:anchor distT="0" distB="0" distL="114300" distR="114300" simplePos="0" relativeHeight="251659264" behindDoc="0" locked="0" layoutInCell="1" allowOverlap="1">
                <wp:simplePos x="0" y="0"/>
                <wp:positionH relativeFrom="column">
                  <wp:posOffset>463550</wp:posOffset>
                </wp:positionH>
                <wp:positionV relativeFrom="paragraph">
                  <wp:posOffset>66675</wp:posOffset>
                </wp:positionV>
                <wp:extent cx="5126355" cy="1931670"/>
                <wp:effectExtent l="7620" t="7620" r="9525" b="22860"/>
                <wp:wrapNone/>
                <wp:docPr id="1" name="自选图形 29"/>
                <wp:cNvGraphicFramePr/>
                <a:graphic xmlns:a="http://schemas.openxmlformats.org/drawingml/2006/main">
                  <a:graphicData uri="http://schemas.microsoft.com/office/word/2010/wordprocessingShape">
                    <wps:wsp>
                      <wps:cNvSpPr/>
                      <wps:spPr>
                        <a:xfrm>
                          <a:off x="0" y="0"/>
                          <a:ext cx="5126355" cy="1931670"/>
                        </a:xfrm>
                        <a:prstGeom prst="roundRect">
                          <a:avLst>
                            <a:gd name="adj" fmla="val 16667"/>
                          </a:avLst>
                        </a:prstGeom>
                        <a:noFill/>
                        <a:ln w="15875" cap="flat" cmpd="sng">
                          <a:solidFill>
                            <a:srgbClr val="000000"/>
                          </a:solidFill>
                          <a:prstDash val="dash"/>
                          <a:headEnd type="none" w="med" len="med"/>
                          <a:tailEnd type="none" w="med" len="med"/>
                        </a:ln>
                      </wps:spPr>
                      <wps:txbx>
                        <w:txbxContent>
                          <w:p w14:paraId="1EB20D54"/>
                        </w:txbxContent>
                      </wps:txbx>
                      <wps:bodyPr wrap="square" upright="1"/>
                    </wps:wsp>
                  </a:graphicData>
                </a:graphic>
              </wp:anchor>
            </w:drawing>
          </mc:Choice>
          <mc:Fallback>
            <w:pict>
              <v:roundrect id="自选图形 29" o:spid="_x0000_s1026" o:spt="2" style="position:absolute;left:0pt;margin-left:36.5pt;margin-top:5.25pt;height:152.1pt;width:403.65pt;z-index:251659264;mso-width-relative:page;mso-height-relative:page;" filled="f" stroked="t" coordsize="21600,21600" arcsize="0.166666666666667" o:gfxdata="UEsDBAoAAAAAAIdO4kAAAAAAAAAAAAAAAAAEAAAAZHJzL1BLAwQUAAAACACHTuJARJw3a9cAAAAJ&#10;AQAADwAAAGRycy9kb3ducmV2LnhtbE2PwU7DMBBE70j8g7VI3KgdQmkU4lQICYkbELhwc+NtEjVe&#10;p7HTpH/PcqLH2VnNvCm2i+vFCcfQedKQrBQIpNrbjhoN31+vdxmIEA1Z03tCDWcMsC2vrwqTWz/T&#10;J56q2AgOoZAbDW2MQy5lqFt0Jqz8gMTe3o/ORJZjI+1oZg53vbxX6lE60xE3tGbAlxbrQzU5Dc/H&#10;6f1j/bNXy6zC8Syrw5vplNa3N4l6AhFxif/P8IfP6FAy085PZIPoNWxSnhL5rtYg2M8ylYLYaUiT&#10;hw3IspCXC8pfUEsDBBQAAAAIAIdO4kA8jJ/hKQIAAD0EAAAOAAAAZHJzL2Uyb0RvYy54bWytU0uS&#10;0zAQ3VPFHVTaE8eZimfGFWcWhGFDwRQDB+hIcixKPyQldnbsKM7AjiV3gNtMFdyClmIyMGyywAv7&#10;yWq97ve6tbgatCI74YO0pqHlZEqJMMxyaTYNffvm+skFJSGC4aCsEQ3di0Cvlo8fLXpXi5ntrOLC&#10;EyQxoe5dQ7sYXV0UgXVCQ5hYJwxuttZriLj0m4J76JFdq2I2nVZFbz133jIRAv5dHTbpyOhPIbRt&#10;K5lYWbbVwsQDqxcKIkoKnXSBLnO1bStYfNW2QUSiGopKY35jEsTr9C6WC6g3Hlwn2VgCnFLCA00a&#10;pMGkR6oVRCBbL/+h0pJ5G2wbJ8zq4iAkO4IqyukDb247cCJrQauDO5oe/h8te7m78URynARKDGhs&#10;+I+PX39++HT3+fvdty9kdpks6l2oMfLW3fhxFRAmvUPrdfqiEjJkW/dHW8UQCcOf83JWnc3nlDDc&#10;Ky/Pyuo8G1/cH3c+xOfCapJAQ73dGv4am5c9hd2LELO5fCwR+DtKWq2wVTtQpKyq6jzViYxjMKLf&#10;nOmksddSqdxsZUiPZcwvzlNFgBPc4uQg1A5dCGaTcwarJE9n0ungN+unyhPMheLyM2b7KywlXEHo&#10;DnEcUYqCuhPAnxlO4t6hvQZvFU0laMEpUQIvYUI5MoJUp0SiOmVQburLoRMJxWE9IE2Ca8v32Nce&#10;Bxs1vd+Cx5xb5+WmQ3vLXH2Kw6nKro03II3tn+uc4v7WL3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RJw3a9cAAAAJAQAADwAAAAAAAAABACAAAAAiAAAAZHJzL2Rvd25yZXYueG1sUEsBAhQAFAAA&#10;AAgAh07iQDyMn+EpAgAAPQQAAA4AAAAAAAAAAQAgAAAAJgEAAGRycy9lMm9Eb2MueG1sUEsFBgAA&#10;AAAGAAYAWQEAAMEFAAAAAA==&#10;">
                <v:fill on="f" focussize="0,0"/>
                <v:stroke weight="1.25pt" color="#000000" joinstyle="round" dashstyle="dash"/>
                <v:imagedata o:title=""/>
                <o:lock v:ext="edit" aspectratio="f"/>
                <v:textbox>
                  <w:txbxContent>
                    <w:p w14:paraId="1EB20D54"/>
                  </w:txbxContent>
                </v:textbox>
              </v:roundrect>
            </w:pict>
          </mc:Fallback>
        </mc:AlternateContent>
      </w:r>
    </w:p>
    <w:p w14:paraId="2CD6362B">
      <w:pPr>
        <w:pStyle w:val="17"/>
        <w:spacing w:line="360" w:lineRule="auto"/>
        <w:ind w:firstLine="0"/>
        <w:jc w:val="center"/>
        <w:rPr>
          <w:color w:val="auto"/>
          <w:sz w:val="30"/>
          <w:highlight w:val="none"/>
        </w:rPr>
      </w:pPr>
    </w:p>
    <w:p w14:paraId="6041DECD">
      <w:pPr>
        <w:pStyle w:val="17"/>
        <w:spacing w:line="360" w:lineRule="auto"/>
        <w:ind w:firstLine="1325" w:firstLineChars="550"/>
        <w:rPr>
          <w:b/>
          <w:color w:val="auto"/>
          <w:highlight w:val="none"/>
        </w:rPr>
      </w:pPr>
      <w:r>
        <w:rPr>
          <w:rFonts w:hAnsi="宋体"/>
          <w:b/>
          <w:color w:val="auto"/>
          <w:highlight w:val="none"/>
        </w:rPr>
        <w:t>法定代表人身份证复印件贴于此处。</w:t>
      </w:r>
    </w:p>
    <w:p w14:paraId="327F89AE">
      <w:pPr>
        <w:pStyle w:val="17"/>
        <w:spacing w:line="360" w:lineRule="auto"/>
        <w:ind w:firstLine="0"/>
        <w:jc w:val="center"/>
        <w:rPr>
          <w:color w:val="auto"/>
          <w:sz w:val="30"/>
          <w:highlight w:val="none"/>
        </w:rPr>
      </w:pPr>
    </w:p>
    <w:p w14:paraId="4385A051">
      <w:pPr>
        <w:pStyle w:val="17"/>
        <w:spacing w:line="360" w:lineRule="auto"/>
        <w:jc w:val="center"/>
        <w:rPr>
          <w:color w:val="auto"/>
          <w:sz w:val="30"/>
          <w:highlight w:val="none"/>
        </w:rPr>
      </w:pPr>
    </w:p>
    <w:p w14:paraId="1F122747">
      <w:pPr>
        <w:pStyle w:val="17"/>
        <w:snapToGrid w:val="0"/>
        <w:spacing w:line="440" w:lineRule="exact"/>
        <w:ind w:firstLine="480" w:firstLineChars="200"/>
        <w:rPr>
          <w:color w:val="auto"/>
          <w:highlight w:val="none"/>
        </w:rPr>
      </w:pPr>
    </w:p>
    <w:p w14:paraId="4CDEA7F9">
      <w:pPr>
        <w:pStyle w:val="17"/>
        <w:snapToGrid w:val="0"/>
        <w:spacing w:line="440" w:lineRule="exact"/>
        <w:ind w:firstLine="480" w:firstLineChars="200"/>
        <w:rPr>
          <w:color w:val="auto"/>
          <w:highlight w:val="none"/>
        </w:rPr>
      </w:pPr>
    </w:p>
    <w:p w14:paraId="3657098D">
      <w:pPr>
        <w:pStyle w:val="17"/>
        <w:snapToGrid w:val="0"/>
        <w:spacing w:line="440" w:lineRule="exact"/>
        <w:ind w:firstLine="480" w:firstLineChars="200"/>
        <w:rPr>
          <w:color w:val="auto"/>
          <w:highlight w:val="none"/>
        </w:rPr>
      </w:pPr>
    </w:p>
    <w:p w14:paraId="64BC69B9">
      <w:pPr>
        <w:pStyle w:val="17"/>
        <w:snapToGrid w:val="0"/>
        <w:spacing w:line="440" w:lineRule="exact"/>
        <w:ind w:firstLine="3840" w:firstLineChars="1600"/>
        <w:jc w:val="right"/>
        <w:rPr>
          <w:color w:val="auto"/>
          <w:highlight w:val="none"/>
        </w:rPr>
      </w:pPr>
      <w:r>
        <w:rPr>
          <w:rFonts w:hAnsi="宋体"/>
          <w:color w:val="auto"/>
          <w:highlight w:val="none"/>
        </w:rPr>
        <w:t>投标人：</w:t>
      </w:r>
      <w:r>
        <w:rPr>
          <w:color w:val="auto"/>
          <w:highlight w:val="none"/>
          <w:u w:val="single"/>
        </w:rPr>
        <w:t xml:space="preserve">                 </w:t>
      </w:r>
      <w:r>
        <w:rPr>
          <w:color w:val="auto"/>
          <w:highlight w:val="none"/>
        </w:rPr>
        <w:t>（</w:t>
      </w:r>
      <w:r>
        <w:rPr>
          <w:rFonts w:hAnsi="宋体"/>
          <w:color w:val="auto"/>
          <w:highlight w:val="none"/>
        </w:rPr>
        <w:t>盖单位章</w:t>
      </w:r>
      <w:r>
        <w:rPr>
          <w:color w:val="auto"/>
          <w:highlight w:val="none"/>
        </w:rPr>
        <w:t>）</w:t>
      </w:r>
    </w:p>
    <w:p w14:paraId="7372E924">
      <w:pPr>
        <w:pStyle w:val="17"/>
        <w:snapToGrid w:val="0"/>
        <w:spacing w:line="440" w:lineRule="exact"/>
        <w:ind w:firstLine="3840" w:firstLineChars="1600"/>
        <w:jc w:val="right"/>
        <w:rPr>
          <w:color w:val="auto"/>
          <w:highlight w:val="none"/>
          <w:u w:val="single"/>
        </w:rPr>
      </w:pPr>
      <w:r>
        <w:rPr>
          <w:rFonts w:hAnsi="宋体"/>
          <w:color w:val="auto"/>
          <w:highlight w:val="none"/>
        </w:rPr>
        <w:t>日</w:t>
      </w:r>
      <w:r>
        <w:rPr>
          <w:color w:val="auto"/>
          <w:highlight w:val="none"/>
        </w:rPr>
        <w:t xml:space="preserve">   </w:t>
      </w:r>
      <w:r>
        <w:rPr>
          <w:rFonts w:hAnsi="宋体"/>
          <w:color w:val="auto"/>
          <w:highlight w:val="none"/>
        </w:rPr>
        <w:t>期：</w:t>
      </w:r>
      <w:r>
        <w:rPr>
          <w:color w:val="auto"/>
          <w:highlight w:val="none"/>
          <w:u w:val="single"/>
        </w:rPr>
        <w:t xml:space="preserve">        </w:t>
      </w:r>
      <w:r>
        <w:rPr>
          <w:rFonts w:hAnsi="宋体"/>
          <w:color w:val="auto"/>
          <w:highlight w:val="none"/>
        </w:rPr>
        <w:t>年</w:t>
      </w:r>
      <w:r>
        <w:rPr>
          <w:color w:val="auto"/>
          <w:highlight w:val="none"/>
          <w:u w:val="single"/>
        </w:rPr>
        <w:t xml:space="preserve">      </w:t>
      </w:r>
      <w:r>
        <w:rPr>
          <w:rFonts w:hAnsi="宋体"/>
          <w:color w:val="auto"/>
          <w:highlight w:val="none"/>
        </w:rPr>
        <w:t>月</w:t>
      </w:r>
      <w:r>
        <w:rPr>
          <w:color w:val="auto"/>
          <w:highlight w:val="none"/>
          <w:u w:val="single"/>
        </w:rPr>
        <w:t xml:space="preserve">      </w:t>
      </w:r>
      <w:r>
        <w:rPr>
          <w:rFonts w:hAnsi="宋体"/>
          <w:color w:val="auto"/>
          <w:highlight w:val="none"/>
        </w:rPr>
        <w:t>日</w:t>
      </w:r>
    </w:p>
    <w:p w14:paraId="41F0FF33">
      <w:pPr>
        <w:pStyle w:val="17"/>
        <w:spacing w:line="360" w:lineRule="auto"/>
        <w:ind w:firstLine="0"/>
        <w:jc w:val="center"/>
        <w:rPr>
          <w:color w:val="auto"/>
          <w:sz w:val="25"/>
          <w:highlight w:val="none"/>
        </w:rPr>
      </w:pPr>
    </w:p>
    <w:p w14:paraId="03DB9D6E">
      <w:pPr>
        <w:pStyle w:val="17"/>
        <w:spacing w:line="360" w:lineRule="auto"/>
        <w:ind w:firstLine="0"/>
        <w:jc w:val="center"/>
        <w:rPr>
          <w:color w:val="auto"/>
          <w:sz w:val="25"/>
          <w:highlight w:val="none"/>
        </w:rPr>
      </w:pPr>
    </w:p>
    <w:p w14:paraId="5F6754D9">
      <w:pPr>
        <w:pStyle w:val="17"/>
        <w:spacing w:line="360" w:lineRule="auto"/>
        <w:ind w:firstLine="0"/>
        <w:jc w:val="center"/>
        <w:rPr>
          <w:color w:val="auto"/>
          <w:sz w:val="25"/>
          <w:highlight w:val="none"/>
        </w:rPr>
      </w:pPr>
    </w:p>
    <w:p w14:paraId="3ADD925D">
      <w:pPr>
        <w:pStyle w:val="17"/>
        <w:spacing w:line="360" w:lineRule="auto"/>
        <w:ind w:firstLine="0"/>
        <w:jc w:val="center"/>
        <w:rPr>
          <w:color w:val="auto"/>
          <w:sz w:val="25"/>
          <w:highlight w:val="none"/>
        </w:rPr>
      </w:pPr>
    </w:p>
    <w:p w14:paraId="0847F2DF">
      <w:pPr>
        <w:pStyle w:val="17"/>
        <w:spacing w:line="360" w:lineRule="auto"/>
        <w:ind w:firstLine="0"/>
        <w:jc w:val="center"/>
        <w:rPr>
          <w:color w:val="auto"/>
          <w:sz w:val="25"/>
          <w:highlight w:val="none"/>
        </w:rPr>
      </w:pPr>
    </w:p>
    <w:p w14:paraId="1F088816">
      <w:pPr>
        <w:pStyle w:val="17"/>
        <w:spacing w:line="360" w:lineRule="auto"/>
        <w:ind w:firstLine="0"/>
        <w:jc w:val="center"/>
        <w:rPr>
          <w:color w:val="auto"/>
          <w:sz w:val="25"/>
          <w:highlight w:val="none"/>
        </w:rPr>
      </w:pPr>
    </w:p>
    <w:p w14:paraId="2B2E101B">
      <w:pPr>
        <w:pStyle w:val="17"/>
        <w:spacing w:line="360" w:lineRule="auto"/>
        <w:ind w:firstLine="0"/>
        <w:jc w:val="center"/>
        <w:rPr>
          <w:color w:val="auto"/>
          <w:sz w:val="25"/>
          <w:highlight w:val="none"/>
        </w:rPr>
      </w:pPr>
    </w:p>
    <w:p w14:paraId="21D5CF2B">
      <w:pPr>
        <w:pStyle w:val="17"/>
        <w:spacing w:line="360" w:lineRule="auto"/>
        <w:ind w:firstLine="0"/>
        <w:jc w:val="center"/>
        <w:rPr>
          <w:color w:val="auto"/>
          <w:sz w:val="25"/>
          <w:highlight w:val="none"/>
        </w:rPr>
      </w:pPr>
    </w:p>
    <w:p w14:paraId="3C7B0B3D">
      <w:pPr>
        <w:pStyle w:val="17"/>
        <w:snapToGrid w:val="0"/>
        <w:spacing w:line="440" w:lineRule="exact"/>
        <w:ind w:firstLine="0"/>
        <w:jc w:val="center"/>
        <w:outlineLvl w:val="1"/>
        <w:rPr>
          <w:color w:val="auto"/>
          <w:sz w:val="28"/>
          <w:szCs w:val="28"/>
          <w:highlight w:val="none"/>
        </w:rPr>
      </w:pPr>
      <w:r>
        <w:rPr>
          <w:rFonts w:hAnsi="宋体"/>
          <w:color w:val="auto"/>
          <w:sz w:val="28"/>
          <w:szCs w:val="28"/>
          <w:highlight w:val="none"/>
        </w:rPr>
        <w:br w:type="page"/>
      </w:r>
      <w:r>
        <w:rPr>
          <w:rFonts w:hAnsi="宋体"/>
          <w:color w:val="auto"/>
          <w:sz w:val="28"/>
          <w:szCs w:val="28"/>
          <w:highlight w:val="none"/>
        </w:rPr>
        <w:t>授权委托书</w:t>
      </w:r>
    </w:p>
    <w:p w14:paraId="68B68527">
      <w:pPr>
        <w:pStyle w:val="17"/>
        <w:snapToGrid w:val="0"/>
        <w:spacing w:line="440" w:lineRule="exact"/>
        <w:ind w:firstLine="480"/>
        <w:rPr>
          <w:color w:val="auto"/>
          <w:highlight w:val="none"/>
        </w:rPr>
      </w:pPr>
    </w:p>
    <w:p w14:paraId="3A807A5D">
      <w:pPr>
        <w:pStyle w:val="17"/>
        <w:snapToGrid w:val="0"/>
        <w:spacing w:line="440" w:lineRule="exact"/>
        <w:ind w:firstLine="480" w:firstLineChars="200"/>
        <w:rPr>
          <w:color w:val="auto"/>
          <w:highlight w:val="none"/>
        </w:rPr>
      </w:pPr>
      <w:r>
        <w:rPr>
          <w:rFonts w:hAnsi="宋体"/>
          <w:color w:val="auto"/>
          <w:highlight w:val="none"/>
        </w:rPr>
        <w:t>本授权委托书声明：本人</w:t>
      </w:r>
      <w:r>
        <w:rPr>
          <w:color w:val="auto"/>
          <w:highlight w:val="none"/>
          <w:u w:val="single"/>
        </w:rPr>
        <w:t xml:space="preserve">           </w:t>
      </w:r>
      <w:r>
        <w:rPr>
          <w:color w:val="auto"/>
          <w:highlight w:val="none"/>
        </w:rPr>
        <w:t>（</w:t>
      </w:r>
      <w:r>
        <w:rPr>
          <w:rFonts w:hAnsi="宋体"/>
          <w:color w:val="auto"/>
          <w:highlight w:val="none"/>
        </w:rPr>
        <w:t>姓名</w:t>
      </w:r>
      <w:r>
        <w:rPr>
          <w:color w:val="auto"/>
          <w:highlight w:val="none"/>
        </w:rPr>
        <w:t>）</w:t>
      </w:r>
      <w:r>
        <w:rPr>
          <w:rFonts w:hAnsi="宋体"/>
          <w:color w:val="auto"/>
          <w:highlight w:val="none"/>
        </w:rPr>
        <w:t>系</w:t>
      </w:r>
      <w:r>
        <w:rPr>
          <w:color w:val="auto"/>
          <w:highlight w:val="none"/>
          <w:u w:val="single"/>
        </w:rPr>
        <w:t xml:space="preserve">                </w:t>
      </w:r>
      <w:r>
        <w:rPr>
          <w:color w:val="auto"/>
          <w:highlight w:val="none"/>
        </w:rPr>
        <w:t>（</w:t>
      </w:r>
      <w:r>
        <w:rPr>
          <w:rFonts w:hAnsi="宋体"/>
          <w:color w:val="auto"/>
          <w:highlight w:val="none"/>
        </w:rPr>
        <w:t>投标人单位名称</w:t>
      </w:r>
      <w:r>
        <w:rPr>
          <w:color w:val="auto"/>
          <w:highlight w:val="none"/>
        </w:rPr>
        <w:t>）</w:t>
      </w:r>
      <w:r>
        <w:rPr>
          <w:rFonts w:hAnsi="宋体"/>
          <w:color w:val="auto"/>
          <w:highlight w:val="none"/>
        </w:rPr>
        <w:t>的法定代表人，现委托</w:t>
      </w:r>
      <w:r>
        <w:rPr>
          <w:color w:val="auto"/>
          <w:highlight w:val="none"/>
          <w:u w:val="single"/>
        </w:rPr>
        <w:t xml:space="preserve">        </w:t>
      </w:r>
      <w:r>
        <w:rPr>
          <w:color w:val="auto"/>
          <w:highlight w:val="none"/>
        </w:rPr>
        <w:t>（</w:t>
      </w:r>
      <w:r>
        <w:rPr>
          <w:rFonts w:hAnsi="宋体"/>
          <w:color w:val="auto"/>
          <w:highlight w:val="none"/>
        </w:rPr>
        <w:t>姓名</w:t>
      </w:r>
      <w:r>
        <w:rPr>
          <w:color w:val="auto"/>
          <w:highlight w:val="none"/>
        </w:rPr>
        <w:t>）</w:t>
      </w:r>
      <w:r>
        <w:rPr>
          <w:rFonts w:hAnsi="宋体"/>
          <w:color w:val="auto"/>
          <w:highlight w:val="none"/>
        </w:rPr>
        <w:t>（身份证号：</w:t>
      </w:r>
      <w:r>
        <w:rPr>
          <w:color w:val="auto"/>
          <w:highlight w:val="none"/>
          <w:u w:val="single"/>
        </w:rPr>
        <w:t xml:space="preserve">                </w:t>
      </w:r>
      <w:r>
        <w:rPr>
          <w:rFonts w:hAnsi="宋体"/>
          <w:color w:val="auto"/>
          <w:highlight w:val="none"/>
        </w:rPr>
        <w:t>）为我方代理人。代理人根据授权，以我方名义签署、澄清、说明、补正、递交、撤回、修改</w:t>
      </w:r>
      <w:r>
        <w:rPr>
          <w:color w:val="auto"/>
          <w:highlight w:val="none"/>
          <w:u w:val="single"/>
        </w:rPr>
        <w:t xml:space="preserve">                  </w:t>
      </w:r>
      <w:r>
        <w:rPr>
          <w:rFonts w:hAnsi="宋体"/>
          <w:color w:val="auto"/>
          <w:highlight w:val="none"/>
          <w:u w:val="single"/>
        </w:rPr>
        <w:t>（项目名称）</w:t>
      </w:r>
      <w:r>
        <w:rPr>
          <w:rFonts w:hAnsi="宋体"/>
          <w:color w:val="auto"/>
          <w:highlight w:val="none"/>
        </w:rPr>
        <w:t>施工投标文件，签订合同和处理有关事宜，其法律后果由我方承担。</w:t>
      </w:r>
    </w:p>
    <w:p w14:paraId="2DC61547">
      <w:pPr>
        <w:pStyle w:val="17"/>
        <w:snapToGrid w:val="0"/>
        <w:spacing w:line="440" w:lineRule="exact"/>
        <w:ind w:firstLine="480"/>
        <w:rPr>
          <w:color w:val="auto"/>
          <w:highlight w:val="none"/>
        </w:rPr>
      </w:pPr>
      <w:r>
        <w:rPr>
          <w:rFonts w:hAnsi="宋体"/>
          <w:color w:val="auto"/>
          <w:highlight w:val="none"/>
        </w:rPr>
        <w:t>委托期限：</w:t>
      </w:r>
      <w:r>
        <w:rPr>
          <w:color w:val="auto"/>
          <w:highlight w:val="none"/>
          <w:u w:val="single"/>
        </w:rPr>
        <w:t xml:space="preserve">             </w:t>
      </w:r>
      <w:r>
        <w:rPr>
          <w:rFonts w:hAnsi="宋体"/>
          <w:color w:val="auto"/>
          <w:highlight w:val="none"/>
        </w:rPr>
        <w:t>。</w:t>
      </w:r>
    </w:p>
    <w:p w14:paraId="57377B80">
      <w:pPr>
        <w:pStyle w:val="17"/>
        <w:snapToGrid w:val="0"/>
        <w:spacing w:line="440" w:lineRule="exact"/>
        <w:ind w:firstLine="480" w:firstLineChars="200"/>
        <w:jc w:val="left"/>
        <w:rPr>
          <w:color w:val="auto"/>
          <w:sz w:val="28"/>
          <w:szCs w:val="28"/>
          <w:highlight w:val="none"/>
        </w:rPr>
      </w:pPr>
      <w:r>
        <w:rPr>
          <w:rFonts w:hAnsi="宋体"/>
          <w:color w:val="auto"/>
          <w:highlight w:val="none"/>
        </w:rPr>
        <w:t>授权委托人联系电话：</w:t>
      </w:r>
      <w:r>
        <w:rPr>
          <w:color w:val="auto"/>
          <w:sz w:val="28"/>
          <w:szCs w:val="28"/>
          <w:highlight w:val="none"/>
          <w:u w:val="single"/>
        </w:rPr>
        <w:t xml:space="preserve">                          </w:t>
      </w:r>
    </w:p>
    <w:p w14:paraId="173DD371">
      <w:pPr>
        <w:pStyle w:val="17"/>
        <w:snapToGrid w:val="0"/>
        <w:spacing w:line="440" w:lineRule="exact"/>
        <w:ind w:firstLine="480" w:firstLineChars="200"/>
        <w:rPr>
          <w:color w:val="auto"/>
          <w:highlight w:val="none"/>
        </w:rPr>
      </w:pPr>
      <w:r>
        <w:rPr>
          <w:rFonts w:hAnsi="宋体"/>
          <w:color w:val="auto"/>
          <w:highlight w:val="none"/>
        </w:rPr>
        <w:t>代理人无转委托权。</w:t>
      </w:r>
    </w:p>
    <w:p w14:paraId="4DC1637D">
      <w:pPr>
        <w:pStyle w:val="17"/>
        <w:snapToGrid w:val="0"/>
        <w:spacing w:line="440" w:lineRule="exact"/>
        <w:ind w:firstLine="0"/>
        <w:rPr>
          <w:color w:val="auto"/>
          <w:highlight w:val="none"/>
        </w:rPr>
      </w:pPr>
    </w:p>
    <w:p w14:paraId="3E7CF2EA">
      <w:pPr>
        <w:pStyle w:val="17"/>
        <w:snapToGrid w:val="0"/>
        <w:spacing w:line="440" w:lineRule="exact"/>
        <w:ind w:firstLine="0"/>
        <w:rPr>
          <w:color w:val="auto"/>
          <w:highlight w:val="none"/>
        </w:rPr>
      </w:pPr>
      <w:r>
        <w:rPr>
          <w:rFonts w:hAnsi="宋体"/>
          <w:color w:val="auto"/>
          <w:highlight w:val="none"/>
        </w:rPr>
        <w:t>代理人：</w:t>
      </w:r>
      <w:r>
        <w:rPr>
          <w:color w:val="auto"/>
          <w:highlight w:val="none"/>
          <w:u w:val="single"/>
        </w:rPr>
        <w:t xml:space="preserve">          </w:t>
      </w:r>
      <w:r>
        <w:rPr>
          <w:color w:val="auto"/>
          <w:highlight w:val="none"/>
        </w:rPr>
        <w:t xml:space="preserve"> </w:t>
      </w:r>
      <w:r>
        <w:rPr>
          <w:rFonts w:hAnsi="宋体"/>
          <w:color w:val="auto"/>
          <w:highlight w:val="none"/>
        </w:rPr>
        <w:t>性别：</w:t>
      </w:r>
      <w:r>
        <w:rPr>
          <w:color w:val="auto"/>
          <w:highlight w:val="none"/>
          <w:u w:val="single"/>
        </w:rPr>
        <w:t xml:space="preserve">                </w:t>
      </w:r>
      <w:r>
        <w:rPr>
          <w:rFonts w:hAnsi="宋体"/>
          <w:color w:val="auto"/>
          <w:highlight w:val="none"/>
        </w:rPr>
        <w:t>年龄：</w:t>
      </w:r>
      <w:r>
        <w:rPr>
          <w:color w:val="auto"/>
          <w:highlight w:val="none"/>
          <w:u w:val="single"/>
        </w:rPr>
        <w:t xml:space="preserve">               </w:t>
      </w:r>
    </w:p>
    <w:p w14:paraId="58F81523">
      <w:pPr>
        <w:pStyle w:val="17"/>
        <w:snapToGrid w:val="0"/>
        <w:spacing w:line="440" w:lineRule="exact"/>
        <w:ind w:firstLine="0"/>
        <w:rPr>
          <w:color w:val="auto"/>
          <w:highlight w:val="none"/>
        </w:rPr>
      </w:pPr>
      <w:r>
        <w:rPr>
          <w:rFonts w:hAnsi="宋体"/>
          <w:color w:val="auto"/>
          <w:highlight w:val="none"/>
        </w:rPr>
        <w:t>代理人单位：</w:t>
      </w:r>
      <w:r>
        <w:rPr>
          <w:color w:val="auto"/>
          <w:highlight w:val="none"/>
          <w:u w:val="single"/>
        </w:rPr>
        <w:t xml:space="preserve">                    </w:t>
      </w:r>
      <w:r>
        <w:rPr>
          <w:rFonts w:hAnsi="宋体"/>
          <w:color w:val="auto"/>
          <w:highlight w:val="none"/>
        </w:rPr>
        <w:t>部门：</w:t>
      </w:r>
      <w:r>
        <w:rPr>
          <w:color w:val="auto"/>
          <w:highlight w:val="none"/>
          <w:u w:val="single"/>
        </w:rPr>
        <w:t xml:space="preserve">              </w:t>
      </w:r>
      <w:r>
        <w:rPr>
          <w:rFonts w:hAnsi="宋体"/>
          <w:color w:val="auto"/>
          <w:highlight w:val="none"/>
        </w:rPr>
        <w:t>职务：</w:t>
      </w:r>
      <w:r>
        <w:rPr>
          <w:color w:val="auto"/>
          <w:highlight w:val="none"/>
          <w:u w:val="single"/>
        </w:rPr>
        <w:t xml:space="preserve">               </w:t>
      </w:r>
    </w:p>
    <w:p w14:paraId="2B9A15B7">
      <w:pPr>
        <w:pStyle w:val="17"/>
        <w:snapToGrid w:val="0"/>
        <w:spacing w:line="440" w:lineRule="exact"/>
        <w:ind w:firstLine="0"/>
        <w:rPr>
          <w:color w:val="auto"/>
          <w:highlight w:val="none"/>
        </w:rPr>
      </w:pPr>
    </w:p>
    <w:p w14:paraId="6A9CC6BD">
      <w:pPr>
        <w:pStyle w:val="17"/>
        <w:snapToGrid w:val="0"/>
        <w:spacing w:line="440" w:lineRule="exact"/>
        <w:ind w:firstLine="0"/>
        <w:rPr>
          <w:color w:val="auto"/>
          <w:highlight w:val="none"/>
        </w:rPr>
      </w:pPr>
      <w:r>
        <w:rPr>
          <w:rFonts w:hAnsi="宋体"/>
          <w:color w:val="auto"/>
          <w:highlight w:val="none"/>
        </w:rPr>
        <w:t>投标人：</w:t>
      </w:r>
      <w:r>
        <w:rPr>
          <w:color w:val="auto"/>
          <w:highlight w:val="none"/>
          <w:u w:val="single"/>
        </w:rPr>
        <w:t xml:space="preserve">                       </w:t>
      </w:r>
      <w:r>
        <w:rPr>
          <w:color w:val="auto"/>
          <w:highlight w:val="none"/>
        </w:rPr>
        <w:t>（</w:t>
      </w:r>
      <w:r>
        <w:rPr>
          <w:rFonts w:hAnsi="宋体"/>
          <w:color w:val="auto"/>
          <w:highlight w:val="none"/>
        </w:rPr>
        <w:t>盖单位章</w:t>
      </w:r>
      <w:r>
        <w:rPr>
          <w:color w:val="auto"/>
          <w:highlight w:val="none"/>
        </w:rPr>
        <w:t>）</w:t>
      </w:r>
    </w:p>
    <w:p w14:paraId="7D6E6643">
      <w:pPr>
        <w:pStyle w:val="17"/>
        <w:snapToGrid w:val="0"/>
        <w:spacing w:line="440" w:lineRule="exact"/>
        <w:ind w:firstLine="0"/>
        <w:rPr>
          <w:color w:val="auto"/>
          <w:highlight w:val="none"/>
        </w:rPr>
      </w:pPr>
    </w:p>
    <w:p w14:paraId="4031060F">
      <w:pPr>
        <w:pStyle w:val="17"/>
        <w:snapToGrid w:val="0"/>
        <w:spacing w:line="440" w:lineRule="exact"/>
        <w:ind w:firstLine="0"/>
        <w:rPr>
          <w:color w:val="auto"/>
          <w:highlight w:val="none"/>
        </w:rPr>
      </w:pPr>
    </w:p>
    <w:p w14:paraId="58C6189B">
      <w:pPr>
        <w:pStyle w:val="17"/>
        <w:snapToGrid w:val="0"/>
        <w:spacing w:line="440" w:lineRule="exact"/>
        <w:ind w:firstLine="0"/>
        <w:rPr>
          <w:color w:val="auto"/>
          <w:highlight w:val="none"/>
        </w:rPr>
      </w:pPr>
      <w:r>
        <w:rPr>
          <w:rFonts w:hAnsi="宋体"/>
          <w:color w:val="auto"/>
          <w:highlight w:val="none"/>
        </w:rPr>
        <w:t>法定代表人：</w:t>
      </w:r>
      <w:r>
        <w:rPr>
          <w:color w:val="auto"/>
          <w:highlight w:val="none"/>
        </w:rPr>
        <w:t xml:space="preserve"> </w:t>
      </w:r>
      <w:r>
        <w:rPr>
          <w:color w:val="auto"/>
          <w:highlight w:val="none"/>
          <w:u w:val="single"/>
        </w:rPr>
        <w:t xml:space="preserve">                      </w:t>
      </w:r>
      <w:r>
        <w:rPr>
          <w:color w:val="auto"/>
          <w:highlight w:val="none"/>
        </w:rPr>
        <w:t>（</w:t>
      </w:r>
      <w:r>
        <w:rPr>
          <w:rFonts w:hAnsi="宋体"/>
          <w:color w:val="auto"/>
          <w:highlight w:val="none"/>
        </w:rPr>
        <w:t>签字或</w:t>
      </w:r>
      <w:r>
        <w:rPr>
          <w:rFonts w:hint="eastAsia" w:hAnsi="宋体"/>
          <w:color w:val="auto"/>
          <w:highlight w:val="none"/>
        </w:rPr>
        <w:t>改造</w:t>
      </w:r>
      <w:r>
        <w:rPr>
          <w:color w:val="auto"/>
          <w:highlight w:val="none"/>
        </w:rPr>
        <w:t>）</w:t>
      </w:r>
    </w:p>
    <w:p w14:paraId="2071502F">
      <w:pPr>
        <w:pStyle w:val="17"/>
        <w:snapToGrid w:val="0"/>
        <w:spacing w:line="440" w:lineRule="exact"/>
        <w:ind w:firstLine="0"/>
        <w:rPr>
          <w:color w:val="auto"/>
          <w:highlight w:val="none"/>
        </w:rPr>
      </w:pPr>
    </w:p>
    <w:p w14:paraId="0D8AE5A0">
      <w:pPr>
        <w:pStyle w:val="17"/>
        <w:jc w:val="left"/>
        <w:rPr>
          <w:color w:val="auto"/>
          <w:sz w:val="30"/>
          <w:highlight w:val="none"/>
        </w:rPr>
      </w:pPr>
      <w:r>
        <w:rPr>
          <w:color w:val="auto"/>
          <w:sz w:val="30"/>
          <w:highlight w:val="none"/>
        </w:rPr>
        <mc:AlternateContent>
          <mc:Choice Requires="wps">
            <w:drawing>
              <wp:anchor distT="0" distB="0" distL="114300" distR="114300" simplePos="0" relativeHeight="251660288" behindDoc="0" locked="0" layoutInCell="1" allowOverlap="1">
                <wp:simplePos x="0" y="0"/>
                <wp:positionH relativeFrom="column">
                  <wp:posOffset>377825</wp:posOffset>
                </wp:positionH>
                <wp:positionV relativeFrom="paragraph">
                  <wp:posOffset>94615</wp:posOffset>
                </wp:positionV>
                <wp:extent cx="5586095" cy="1889125"/>
                <wp:effectExtent l="7620" t="7620" r="26035" b="8255"/>
                <wp:wrapNone/>
                <wp:docPr id="2" name="自选图形 30"/>
                <wp:cNvGraphicFramePr/>
                <a:graphic xmlns:a="http://schemas.openxmlformats.org/drawingml/2006/main">
                  <a:graphicData uri="http://schemas.microsoft.com/office/word/2010/wordprocessingShape">
                    <wps:wsp>
                      <wps:cNvSpPr/>
                      <wps:spPr>
                        <a:xfrm>
                          <a:off x="0" y="0"/>
                          <a:ext cx="5586095" cy="1889125"/>
                        </a:xfrm>
                        <a:prstGeom prst="roundRect">
                          <a:avLst>
                            <a:gd name="adj" fmla="val 16667"/>
                          </a:avLst>
                        </a:prstGeom>
                        <a:noFill/>
                        <a:ln w="15875" cap="flat" cmpd="sng">
                          <a:solidFill>
                            <a:srgbClr val="000000"/>
                          </a:solidFill>
                          <a:prstDash val="dash"/>
                          <a:headEnd type="none" w="med" len="med"/>
                          <a:tailEnd type="none" w="med" len="med"/>
                        </a:ln>
                      </wps:spPr>
                      <wps:txbx>
                        <w:txbxContent>
                          <w:p w14:paraId="79B985EE"/>
                        </w:txbxContent>
                      </wps:txbx>
                      <wps:bodyPr wrap="square" upright="1"/>
                    </wps:wsp>
                  </a:graphicData>
                </a:graphic>
              </wp:anchor>
            </w:drawing>
          </mc:Choice>
          <mc:Fallback>
            <w:pict>
              <v:roundrect id="自选图形 30" o:spid="_x0000_s1026" o:spt="2" style="position:absolute;left:0pt;margin-left:29.75pt;margin-top:7.45pt;height:148.75pt;width:439.85pt;z-index:251660288;mso-width-relative:page;mso-height-relative:page;" filled="f" stroked="t" coordsize="21600,21600" arcsize="0.166666666666667" o:gfxdata="UEsDBAoAAAAAAIdO4kAAAAAAAAAAAAAAAAAEAAAAZHJzL1BLAwQUAAAACACHTuJAqMHLPtgAAAAJ&#10;AQAADwAAAGRycy9kb3ducmV2LnhtbE2PQU+DQBCF7yb+h8008WZ3ocUIZWmMiYk3Fb14m8IWSNlZ&#10;yi6F/nvHkx7fvJf3vsn3i+3FxYy+c6QhWisQhipXd9Ro+Pp8uX8E4QNSjb0jo+FqPOyL25scs9rN&#10;9GEuZWgEl5DPUEMbwpBJ6avWWPRrNxhi7+hGi4Hl2Mh6xJnLbS9jpR6kxY54ocXBPLemOpWT1fB0&#10;nt7ek++jWmblz1dZnl6xU1rfrSK1AxHMEv7C8IvP6FAw08FNVHvRa0jShJN836Yg2E83aQzioGET&#10;xVuQRS7/f1D8AFBLAwQUAAAACACHTuJAe9peQicCAAA9BAAADgAAAGRycy9lMm9Eb2MueG1srVPN&#10;jtMwEL4j8Q6W7zRNUbvdqOkeKMsFwYqFB5jaTmPkP2y3SW/cEM/AjeO+A7zNSvAWjN3QwnLpgRyc&#10;sT3+Zr5vZhZXvVZkJ3yQ1tS0HI0pEYZZLs2mpu/eXj+ZUxIiGA7KGlHTvQj0avn40aJzlZjY1iou&#10;PEEQE6rO1bSN0VVFEVgrNISRdcLgZWO9hohbvym4hw7RtSom4/Gs6KznzlsmQsDT1eGSDoj+HEDb&#10;NJKJlWVbLUw8oHqhICKl0EoX6DJn2zSCxddNE0QkqqbINOYVg6C9TmuxXEC18eBayYYU4JwUHnDS&#10;IA0GPUKtIALZevkPlJbM22CbOGJWFwciWRFkUY4faHPbghOZC0od3FH08P9g2avdjSeS13RCiQGN&#10;Bf/x6e7nx8/3X77ff/tKnmaJOhcq9Lx1Nx4FS7uAZuLbN16nPzIhfZZ1f5RV9JEwPJxO57Px5ZQS&#10;hnflfH5ZTqZJ+OL03PkQXwirSTJq6u3W8DdYvKwp7F6GmMXlQ4rA31PSaIWl2oEi5Ww2uxgQB2fE&#10;/o2ZXhp7LZXKxVaGdJjGdH6RMgLs4AY7B03tUIVgNjlmsEry9Ca9Dn6zfqY8wVhILn9DtL/cUsAV&#10;hPbgx9FKXlC1Avhzw0ncO5TX4FTRlIIWnBIlcAiTlT0jSHWOJ7JTBgU8VSJZsV/3CJPMteV7rGuH&#10;jY2cPmzBY8yt83LTorxlzj75YVflOgwTkNr2z30OcZr65S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owcs+2AAAAAkBAAAPAAAAAAAAAAEAIAAAACIAAABkcnMvZG93bnJldi54bWxQSwECFAAUAAAA&#10;CACHTuJAe9peQicCAAA9BAAADgAAAAAAAAABACAAAAAnAQAAZHJzL2Uyb0RvYy54bWxQSwUGAAAA&#10;AAYABgBZAQAAwAUAAAAA&#10;">
                <v:fill on="f" focussize="0,0"/>
                <v:stroke weight="1.25pt" color="#000000" joinstyle="round" dashstyle="dash"/>
                <v:imagedata o:title=""/>
                <o:lock v:ext="edit" aspectratio="f"/>
                <v:textbox>
                  <w:txbxContent>
                    <w:p w14:paraId="79B985EE"/>
                  </w:txbxContent>
                </v:textbox>
              </v:roundrect>
            </w:pict>
          </mc:Fallback>
        </mc:AlternateContent>
      </w:r>
    </w:p>
    <w:p w14:paraId="2370F91E">
      <w:pPr>
        <w:pStyle w:val="17"/>
        <w:spacing w:line="360" w:lineRule="auto"/>
        <w:ind w:firstLine="0"/>
        <w:jc w:val="center"/>
        <w:rPr>
          <w:color w:val="auto"/>
          <w:sz w:val="30"/>
          <w:highlight w:val="none"/>
        </w:rPr>
      </w:pPr>
    </w:p>
    <w:p w14:paraId="6FEF6046">
      <w:pPr>
        <w:pStyle w:val="17"/>
        <w:spacing w:line="360" w:lineRule="auto"/>
        <w:ind w:firstLine="0"/>
        <w:jc w:val="center"/>
        <w:rPr>
          <w:color w:val="auto"/>
          <w:highlight w:val="none"/>
        </w:rPr>
      </w:pPr>
      <w:r>
        <w:rPr>
          <w:rFonts w:hint="eastAsia" w:hAnsi="宋体"/>
          <w:color w:val="auto"/>
          <w:highlight w:val="none"/>
        </w:rPr>
        <w:t>委托代理人</w:t>
      </w:r>
      <w:r>
        <w:rPr>
          <w:rFonts w:hAnsi="宋体"/>
          <w:color w:val="auto"/>
          <w:highlight w:val="none"/>
        </w:rPr>
        <w:t>身份证复印件贴于此处。</w:t>
      </w:r>
    </w:p>
    <w:p w14:paraId="2F03AA7A">
      <w:pPr>
        <w:pStyle w:val="17"/>
        <w:spacing w:line="360" w:lineRule="auto"/>
        <w:ind w:firstLine="0"/>
        <w:jc w:val="center"/>
        <w:rPr>
          <w:color w:val="auto"/>
          <w:sz w:val="30"/>
          <w:highlight w:val="none"/>
        </w:rPr>
      </w:pPr>
    </w:p>
    <w:p w14:paraId="5D790493">
      <w:pPr>
        <w:pStyle w:val="17"/>
        <w:spacing w:line="360" w:lineRule="auto"/>
        <w:ind w:firstLine="0"/>
        <w:jc w:val="center"/>
        <w:rPr>
          <w:color w:val="auto"/>
          <w:sz w:val="30"/>
          <w:highlight w:val="none"/>
        </w:rPr>
      </w:pPr>
    </w:p>
    <w:p w14:paraId="108871BE">
      <w:pPr>
        <w:pStyle w:val="17"/>
        <w:snapToGrid w:val="0"/>
        <w:spacing w:line="440" w:lineRule="exact"/>
        <w:ind w:firstLine="0"/>
        <w:rPr>
          <w:color w:val="auto"/>
          <w:highlight w:val="none"/>
        </w:rPr>
      </w:pPr>
    </w:p>
    <w:p w14:paraId="6B3D90BB">
      <w:pPr>
        <w:pStyle w:val="17"/>
        <w:snapToGrid w:val="0"/>
        <w:spacing w:line="440" w:lineRule="exact"/>
        <w:ind w:firstLine="0"/>
        <w:jc w:val="right"/>
        <w:rPr>
          <w:color w:val="auto"/>
          <w:highlight w:val="none"/>
        </w:rPr>
      </w:pPr>
    </w:p>
    <w:p w14:paraId="07988D19">
      <w:pPr>
        <w:pStyle w:val="17"/>
        <w:snapToGrid w:val="0"/>
        <w:spacing w:line="440" w:lineRule="exact"/>
        <w:ind w:firstLine="0"/>
        <w:jc w:val="right"/>
        <w:rPr>
          <w:color w:val="auto"/>
          <w:highlight w:val="none"/>
        </w:rPr>
      </w:pPr>
    </w:p>
    <w:p w14:paraId="079AFFF4">
      <w:pPr>
        <w:pStyle w:val="17"/>
        <w:snapToGrid w:val="0"/>
        <w:spacing w:line="440" w:lineRule="exact"/>
        <w:ind w:firstLine="0"/>
        <w:jc w:val="right"/>
        <w:rPr>
          <w:color w:val="auto"/>
          <w:highlight w:val="none"/>
        </w:rPr>
      </w:pPr>
      <w:r>
        <w:rPr>
          <w:rFonts w:hAnsi="宋体"/>
          <w:color w:val="auto"/>
          <w:highlight w:val="none"/>
        </w:rPr>
        <w:t>日期：</w:t>
      </w:r>
      <w:r>
        <w:rPr>
          <w:color w:val="auto"/>
          <w:highlight w:val="none"/>
          <w:u w:val="single"/>
        </w:rPr>
        <w:t xml:space="preserve">         </w:t>
      </w:r>
      <w:r>
        <w:rPr>
          <w:rFonts w:hAnsi="宋体"/>
          <w:color w:val="auto"/>
          <w:highlight w:val="none"/>
        </w:rPr>
        <w:t>年</w:t>
      </w:r>
      <w:r>
        <w:rPr>
          <w:color w:val="auto"/>
          <w:highlight w:val="none"/>
          <w:u w:val="single"/>
        </w:rPr>
        <w:t xml:space="preserve">       </w:t>
      </w:r>
      <w:r>
        <w:rPr>
          <w:rFonts w:hAnsi="宋体"/>
          <w:color w:val="auto"/>
          <w:highlight w:val="none"/>
        </w:rPr>
        <w:t>月</w:t>
      </w:r>
      <w:r>
        <w:rPr>
          <w:color w:val="auto"/>
          <w:highlight w:val="none"/>
          <w:u w:val="single"/>
        </w:rPr>
        <w:t xml:space="preserve">      </w:t>
      </w:r>
      <w:r>
        <w:rPr>
          <w:rFonts w:hAnsi="宋体"/>
          <w:color w:val="auto"/>
          <w:highlight w:val="none"/>
        </w:rPr>
        <w:t>日</w:t>
      </w:r>
    </w:p>
    <w:p w14:paraId="313DF7B1">
      <w:pPr>
        <w:pStyle w:val="17"/>
        <w:spacing w:line="360" w:lineRule="auto"/>
        <w:ind w:firstLine="0"/>
        <w:jc w:val="center"/>
        <w:rPr>
          <w:color w:val="auto"/>
          <w:highlight w:val="none"/>
        </w:rPr>
      </w:pPr>
    </w:p>
    <w:p w14:paraId="1AA891DF">
      <w:pPr>
        <w:pStyle w:val="17"/>
        <w:spacing w:line="360" w:lineRule="auto"/>
        <w:ind w:firstLine="0"/>
        <w:jc w:val="center"/>
        <w:rPr>
          <w:color w:val="auto"/>
          <w:highlight w:val="none"/>
        </w:rPr>
      </w:pPr>
    </w:p>
    <w:p w14:paraId="25644397">
      <w:pPr>
        <w:pStyle w:val="17"/>
        <w:spacing w:line="360" w:lineRule="auto"/>
        <w:ind w:firstLine="0"/>
        <w:jc w:val="center"/>
        <w:rPr>
          <w:color w:val="auto"/>
          <w:highlight w:val="none"/>
        </w:rPr>
      </w:pPr>
    </w:p>
    <w:p w14:paraId="61A2D75A">
      <w:pPr>
        <w:tabs>
          <w:tab w:val="left" w:pos="993"/>
        </w:tabs>
        <w:spacing w:line="360" w:lineRule="auto"/>
        <w:rPr>
          <w:color w:val="auto"/>
          <w:highlight w:val="none"/>
        </w:rPr>
      </w:pPr>
    </w:p>
    <w:p w14:paraId="4DF5AEC3">
      <w:pPr>
        <w:tabs>
          <w:tab w:val="left" w:pos="993"/>
        </w:tabs>
        <w:spacing w:line="360" w:lineRule="auto"/>
        <w:rPr>
          <w:color w:val="auto"/>
          <w:sz w:val="24"/>
          <w:highlight w:val="none"/>
        </w:rPr>
      </w:pPr>
      <w:r>
        <w:rPr>
          <w:rFonts w:hAnsi="宋体"/>
          <w:color w:val="auto"/>
          <w:sz w:val="24"/>
          <w:highlight w:val="none"/>
        </w:rPr>
        <w:br w:type="page"/>
      </w:r>
      <w:r>
        <w:rPr>
          <w:color w:val="auto"/>
          <w:sz w:val="24"/>
          <w:highlight w:val="none"/>
        </w:rPr>
        <w:t xml:space="preserve"> </w:t>
      </w:r>
    </w:p>
    <w:p w14:paraId="342455E8">
      <w:pPr>
        <w:tabs>
          <w:tab w:val="left" w:pos="993"/>
        </w:tabs>
        <w:spacing w:line="360" w:lineRule="auto"/>
        <w:jc w:val="center"/>
        <w:rPr>
          <w:color w:val="auto"/>
          <w:sz w:val="24"/>
          <w:highlight w:val="none"/>
        </w:rPr>
      </w:pPr>
    </w:p>
    <w:p w14:paraId="2E06230B">
      <w:pPr>
        <w:tabs>
          <w:tab w:val="left" w:pos="993"/>
        </w:tabs>
        <w:spacing w:line="360" w:lineRule="auto"/>
        <w:jc w:val="center"/>
        <w:rPr>
          <w:color w:val="auto"/>
          <w:sz w:val="32"/>
          <w:szCs w:val="32"/>
          <w:highlight w:val="none"/>
        </w:rPr>
      </w:pPr>
      <w:r>
        <w:rPr>
          <w:rFonts w:hAnsi="宋体"/>
          <w:color w:val="auto"/>
          <w:sz w:val="32"/>
          <w:szCs w:val="32"/>
          <w:highlight w:val="none"/>
        </w:rPr>
        <w:t>投标申请人一般情况</w:t>
      </w:r>
    </w:p>
    <w:tbl>
      <w:tblPr>
        <w:tblStyle w:val="6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7"/>
        <w:gridCol w:w="2654"/>
        <w:gridCol w:w="705"/>
        <w:gridCol w:w="4703"/>
      </w:tblGrid>
      <w:tr w14:paraId="56D48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467" w:type="dxa"/>
            <w:noWrap w:val="0"/>
            <w:vAlign w:val="top"/>
          </w:tcPr>
          <w:p w14:paraId="340A08EC">
            <w:pPr>
              <w:tabs>
                <w:tab w:val="left" w:pos="993"/>
              </w:tabs>
              <w:spacing w:line="360" w:lineRule="auto"/>
              <w:rPr>
                <w:color w:val="auto"/>
                <w:sz w:val="24"/>
                <w:highlight w:val="none"/>
              </w:rPr>
            </w:pPr>
            <w:r>
              <w:rPr>
                <w:color w:val="auto"/>
                <w:sz w:val="24"/>
                <w:highlight w:val="none"/>
              </w:rPr>
              <w:t>1</w:t>
            </w:r>
          </w:p>
        </w:tc>
        <w:tc>
          <w:tcPr>
            <w:tcW w:w="8062" w:type="dxa"/>
            <w:gridSpan w:val="3"/>
            <w:noWrap w:val="0"/>
            <w:vAlign w:val="top"/>
          </w:tcPr>
          <w:p w14:paraId="61912E3A">
            <w:pPr>
              <w:tabs>
                <w:tab w:val="left" w:pos="993"/>
              </w:tabs>
              <w:spacing w:line="360" w:lineRule="auto"/>
              <w:rPr>
                <w:color w:val="auto"/>
                <w:sz w:val="24"/>
                <w:highlight w:val="none"/>
              </w:rPr>
            </w:pPr>
            <w:r>
              <w:rPr>
                <w:rFonts w:hAnsi="宋体"/>
                <w:color w:val="auto"/>
                <w:sz w:val="24"/>
                <w:highlight w:val="none"/>
              </w:rPr>
              <w:t>企业名称</w:t>
            </w:r>
          </w:p>
        </w:tc>
      </w:tr>
      <w:tr w14:paraId="2801B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467" w:type="dxa"/>
            <w:noWrap w:val="0"/>
            <w:vAlign w:val="top"/>
          </w:tcPr>
          <w:p w14:paraId="26DD15C9">
            <w:pPr>
              <w:tabs>
                <w:tab w:val="left" w:pos="993"/>
              </w:tabs>
              <w:spacing w:line="360" w:lineRule="auto"/>
              <w:rPr>
                <w:color w:val="auto"/>
                <w:sz w:val="24"/>
                <w:highlight w:val="none"/>
              </w:rPr>
            </w:pPr>
            <w:r>
              <w:rPr>
                <w:color w:val="auto"/>
                <w:sz w:val="24"/>
                <w:highlight w:val="none"/>
              </w:rPr>
              <w:t>2</w:t>
            </w:r>
          </w:p>
        </w:tc>
        <w:tc>
          <w:tcPr>
            <w:tcW w:w="8062" w:type="dxa"/>
            <w:gridSpan w:val="3"/>
            <w:noWrap w:val="0"/>
            <w:vAlign w:val="top"/>
          </w:tcPr>
          <w:p w14:paraId="1F52C7B8">
            <w:pPr>
              <w:tabs>
                <w:tab w:val="left" w:pos="993"/>
              </w:tabs>
              <w:spacing w:line="360" w:lineRule="auto"/>
              <w:rPr>
                <w:color w:val="auto"/>
                <w:sz w:val="24"/>
                <w:highlight w:val="none"/>
              </w:rPr>
            </w:pPr>
            <w:r>
              <w:rPr>
                <w:rFonts w:hAnsi="宋体"/>
                <w:color w:val="auto"/>
                <w:sz w:val="24"/>
                <w:highlight w:val="none"/>
              </w:rPr>
              <w:t>总部地址</w:t>
            </w:r>
          </w:p>
        </w:tc>
      </w:tr>
      <w:tr w14:paraId="079BC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467" w:type="dxa"/>
            <w:noWrap w:val="0"/>
            <w:vAlign w:val="top"/>
          </w:tcPr>
          <w:p w14:paraId="5878B54F">
            <w:pPr>
              <w:tabs>
                <w:tab w:val="left" w:pos="993"/>
              </w:tabs>
              <w:spacing w:line="360" w:lineRule="auto"/>
              <w:rPr>
                <w:color w:val="auto"/>
                <w:sz w:val="24"/>
                <w:highlight w:val="none"/>
              </w:rPr>
            </w:pPr>
            <w:r>
              <w:rPr>
                <w:color w:val="auto"/>
                <w:sz w:val="24"/>
                <w:highlight w:val="none"/>
              </w:rPr>
              <w:t>3</w:t>
            </w:r>
          </w:p>
        </w:tc>
        <w:tc>
          <w:tcPr>
            <w:tcW w:w="8062" w:type="dxa"/>
            <w:gridSpan w:val="3"/>
            <w:noWrap w:val="0"/>
            <w:vAlign w:val="top"/>
          </w:tcPr>
          <w:p w14:paraId="0EBEB2AD">
            <w:pPr>
              <w:tabs>
                <w:tab w:val="left" w:pos="993"/>
              </w:tabs>
              <w:spacing w:line="360" w:lineRule="auto"/>
              <w:rPr>
                <w:color w:val="auto"/>
                <w:sz w:val="24"/>
                <w:highlight w:val="none"/>
              </w:rPr>
            </w:pPr>
            <w:r>
              <w:rPr>
                <w:rFonts w:hAnsi="宋体"/>
                <w:color w:val="auto"/>
                <w:sz w:val="24"/>
                <w:highlight w:val="none"/>
              </w:rPr>
              <w:t>当地代表处地址</w:t>
            </w:r>
          </w:p>
        </w:tc>
      </w:tr>
      <w:tr w14:paraId="498FF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7" w:type="dxa"/>
            <w:noWrap w:val="0"/>
            <w:vAlign w:val="top"/>
          </w:tcPr>
          <w:p w14:paraId="688DE08E">
            <w:pPr>
              <w:tabs>
                <w:tab w:val="left" w:pos="993"/>
              </w:tabs>
              <w:spacing w:line="360" w:lineRule="auto"/>
              <w:rPr>
                <w:color w:val="auto"/>
                <w:sz w:val="24"/>
                <w:highlight w:val="none"/>
              </w:rPr>
            </w:pPr>
            <w:r>
              <w:rPr>
                <w:color w:val="auto"/>
                <w:sz w:val="24"/>
                <w:highlight w:val="none"/>
              </w:rPr>
              <w:t>4</w:t>
            </w:r>
          </w:p>
        </w:tc>
        <w:tc>
          <w:tcPr>
            <w:tcW w:w="3359" w:type="dxa"/>
            <w:gridSpan w:val="2"/>
            <w:noWrap w:val="0"/>
            <w:vAlign w:val="top"/>
          </w:tcPr>
          <w:p w14:paraId="0CCEE90B">
            <w:pPr>
              <w:tabs>
                <w:tab w:val="left" w:pos="993"/>
              </w:tabs>
              <w:spacing w:line="360" w:lineRule="auto"/>
              <w:rPr>
                <w:color w:val="auto"/>
                <w:sz w:val="24"/>
                <w:highlight w:val="none"/>
              </w:rPr>
            </w:pPr>
            <w:r>
              <w:rPr>
                <w:rFonts w:hAnsi="宋体"/>
                <w:color w:val="auto"/>
                <w:sz w:val="24"/>
                <w:highlight w:val="none"/>
              </w:rPr>
              <w:t>电话</w:t>
            </w:r>
          </w:p>
        </w:tc>
        <w:tc>
          <w:tcPr>
            <w:tcW w:w="4703" w:type="dxa"/>
            <w:noWrap w:val="0"/>
            <w:vAlign w:val="top"/>
          </w:tcPr>
          <w:p w14:paraId="33F23E8F">
            <w:pPr>
              <w:tabs>
                <w:tab w:val="left" w:pos="993"/>
              </w:tabs>
              <w:spacing w:line="360" w:lineRule="auto"/>
              <w:rPr>
                <w:color w:val="auto"/>
                <w:sz w:val="24"/>
                <w:highlight w:val="none"/>
              </w:rPr>
            </w:pPr>
            <w:r>
              <w:rPr>
                <w:rFonts w:hAnsi="宋体"/>
                <w:color w:val="auto"/>
                <w:sz w:val="24"/>
                <w:highlight w:val="none"/>
              </w:rPr>
              <w:t>联系人</w:t>
            </w:r>
          </w:p>
        </w:tc>
      </w:tr>
      <w:tr w14:paraId="0DE36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7" w:type="dxa"/>
            <w:noWrap w:val="0"/>
            <w:vAlign w:val="top"/>
          </w:tcPr>
          <w:p w14:paraId="16B750B3">
            <w:pPr>
              <w:tabs>
                <w:tab w:val="left" w:pos="993"/>
              </w:tabs>
              <w:spacing w:line="360" w:lineRule="auto"/>
              <w:rPr>
                <w:color w:val="auto"/>
                <w:sz w:val="24"/>
                <w:highlight w:val="none"/>
              </w:rPr>
            </w:pPr>
            <w:r>
              <w:rPr>
                <w:color w:val="auto"/>
                <w:sz w:val="24"/>
                <w:highlight w:val="none"/>
              </w:rPr>
              <w:t>5</w:t>
            </w:r>
          </w:p>
        </w:tc>
        <w:tc>
          <w:tcPr>
            <w:tcW w:w="3359" w:type="dxa"/>
            <w:gridSpan w:val="2"/>
            <w:noWrap w:val="0"/>
            <w:vAlign w:val="top"/>
          </w:tcPr>
          <w:p w14:paraId="22F355CF">
            <w:pPr>
              <w:tabs>
                <w:tab w:val="left" w:pos="993"/>
              </w:tabs>
              <w:spacing w:line="360" w:lineRule="auto"/>
              <w:rPr>
                <w:color w:val="auto"/>
                <w:sz w:val="24"/>
                <w:highlight w:val="none"/>
              </w:rPr>
            </w:pPr>
            <w:r>
              <w:rPr>
                <w:rFonts w:hAnsi="宋体"/>
                <w:color w:val="auto"/>
                <w:sz w:val="24"/>
                <w:highlight w:val="none"/>
              </w:rPr>
              <w:t>传真</w:t>
            </w:r>
          </w:p>
        </w:tc>
        <w:tc>
          <w:tcPr>
            <w:tcW w:w="4703" w:type="dxa"/>
            <w:noWrap w:val="0"/>
            <w:vAlign w:val="top"/>
          </w:tcPr>
          <w:p w14:paraId="29A17B7A">
            <w:pPr>
              <w:tabs>
                <w:tab w:val="left" w:pos="993"/>
              </w:tabs>
              <w:spacing w:line="360" w:lineRule="auto"/>
              <w:rPr>
                <w:color w:val="auto"/>
                <w:sz w:val="24"/>
                <w:highlight w:val="none"/>
              </w:rPr>
            </w:pPr>
            <w:r>
              <w:rPr>
                <w:rFonts w:hAnsi="宋体"/>
                <w:color w:val="auto"/>
                <w:sz w:val="24"/>
                <w:highlight w:val="none"/>
              </w:rPr>
              <w:t>电子邮件</w:t>
            </w:r>
          </w:p>
        </w:tc>
      </w:tr>
      <w:tr w14:paraId="232A0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7" w:type="dxa"/>
            <w:noWrap w:val="0"/>
            <w:vAlign w:val="top"/>
          </w:tcPr>
          <w:p w14:paraId="61C8B78A">
            <w:pPr>
              <w:tabs>
                <w:tab w:val="left" w:pos="993"/>
              </w:tabs>
              <w:spacing w:line="360" w:lineRule="auto"/>
              <w:rPr>
                <w:color w:val="auto"/>
                <w:sz w:val="24"/>
                <w:highlight w:val="none"/>
              </w:rPr>
            </w:pPr>
            <w:r>
              <w:rPr>
                <w:color w:val="auto"/>
                <w:sz w:val="24"/>
                <w:highlight w:val="none"/>
              </w:rPr>
              <w:t>6</w:t>
            </w:r>
          </w:p>
        </w:tc>
        <w:tc>
          <w:tcPr>
            <w:tcW w:w="3359" w:type="dxa"/>
            <w:gridSpan w:val="2"/>
            <w:noWrap w:val="0"/>
            <w:vAlign w:val="top"/>
          </w:tcPr>
          <w:p w14:paraId="01DE9F38">
            <w:pPr>
              <w:tabs>
                <w:tab w:val="left" w:pos="993"/>
              </w:tabs>
              <w:spacing w:line="360" w:lineRule="auto"/>
              <w:rPr>
                <w:color w:val="auto"/>
                <w:sz w:val="24"/>
                <w:highlight w:val="none"/>
              </w:rPr>
            </w:pPr>
            <w:r>
              <w:rPr>
                <w:rFonts w:hAnsi="宋体"/>
                <w:color w:val="auto"/>
                <w:sz w:val="24"/>
                <w:highlight w:val="none"/>
              </w:rPr>
              <w:t>注册地</w:t>
            </w:r>
          </w:p>
        </w:tc>
        <w:tc>
          <w:tcPr>
            <w:tcW w:w="4703" w:type="dxa"/>
            <w:noWrap w:val="0"/>
            <w:vAlign w:val="top"/>
          </w:tcPr>
          <w:p w14:paraId="405BC6D1">
            <w:pPr>
              <w:tabs>
                <w:tab w:val="left" w:pos="993"/>
              </w:tabs>
              <w:spacing w:line="360" w:lineRule="auto"/>
              <w:rPr>
                <w:color w:val="auto"/>
                <w:sz w:val="24"/>
                <w:highlight w:val="none"/>
              </w:rPr>
            </w:pPr>
            <w:r>
              <w:rPr>
                <w:rFonts w:hAnsi="宋体"/>
                <w:color w:val="auto"/>
                <w:sz w:val="24"/>
                <w:highlight w:val="none"/>
              </w:rPr>
              <w:t>注册年份（请附营业执照复印件）</w:t>
            </w:r>
          </w:p>
        </w:tc>
      </w:tr>
      <w:tr w14:paraId="34615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467" w:type="dxa"/>
            <w:noWrap w:val="0"/>
            <w:vAlign w:val="top"/>
          </w:tcPr>
          <w:p w14:paraId="22396860">
            <w:pPr>
              <w:tabs>
                <w:tab w:val="left" w:pos="993"/>
              </w:tabs>
              <w:spacing w:line="360" w:lineRule="auto"/>
              <w:rPr>
                <w:color w:val="auto"/>
                <w:sz w:val="24"/>
                <w:highlight w:val="none"/>
              </w:rPr>
            </w:pPr>
            <w:r>
              <w:rPr>
                <w:color w:val="auto"/>
                <w:sz w:val="24"/>
                <w:highlight w:val="none"/>
              </w:rPr>
              <w:t>7</w:t>
            </w:r>
          </w:p>
        </w:tc>
        <w:tc>
          <w:tcPr>
            <w:tcW w:w="8062" w:type="dxa"/>
            <w:gridSpan w:val="3"/>
            <w:noWrap w:val="0"/>
            <w:vAlign w:val="top"/>
          </w:tcPr>
          <w:p w14:paraId="14DC7627">
            <w:pPr>
              <w:tabs>
                <w:tab w:val="left" w:pos="993"/>
              </w:tabs>
              <w:spacing w:line="360" w:lineRule="auto"/>
              <w:rPr>
                <w:color w:val="auto"/>
                <w:sz w:val="24"/>
                <w:highlight w:val="none"/>
              </w:rPr>
            </w:pPr>
            <w:r>
              <w:rPr>
                <w:rFonts w:hAnsi="宋体"/>
                <w:color w:val="auto"/>
                <w:sz w:val="24"/>
                <w:highlight w:val="none"/>
              </w:rPr>
              <w:t>公司资质等级证书号（请附有关证书的复印件）</w:t>
            </w:r>
          </w:p>
        </w:tc>
      </w:tr>
      <w:tr w14:paraId="48F5F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noWrap w:val="0"/>
            <w:vAlign w:val="top"/>
          </w:tcPr>
          <w:p w14:paraId="642F0BF6">
            <w:pPr>
              <w:tabs>
                <w:tab w:val="left" w:pos="993"/>
              </w:tabs>
              <w:spacing w:line="360" w:lineRule="auto"/>
              <w:rPr>
                <w:color w:val="auto"/>
                <w:sz w:val="24"/>
                <w:highlight w:val="none"/>
              </w:rPr>
            </w:pPr>
            <w:r>
              <w:rPr>
                <w:color w:val="auto"/>
                <w:sz w:val="24"/>
                <w:highlight w:val="none"/>
              </w:rPr>
              <w:t>8</w:t>
            </w:r>
          </w:p>
        </w:tc>
        <w:tc>
          <w:tcPr>
            <w:tcW w:w="8062" w:type="dxa"/>
            <w:gridSpan w:val="3"/>
            <w:noWrap w:val="0"/>
            <w:vAlign w:val="top"/>
          </w:tcPr>
          <w:p w14:paraId="3A42726E">
            <w:pPr>
              <w:tabs>
                <w:tab w:val="left" w:pos="993"/>
              </w:tabs>
              <w:spacing w:line="360" w:lineRule="auto"/>
              <w:rPr>
                <w:color w:val="auto"/>
                <w:sz w:val="24"/>
                <w:highlight w:val="none"/>
              </w:rPr>
            </w:pPr>
            <w:r>
              <w:rPr>
                <w:rFonts w:hAnsi="宋体"/>
                <w:color w:val="auto"/>
                <w:sz w:val="24"/>
                <w:highlight w:val="none"/>
              </w:rPr>
              <w:t>公司</w:t>
            </w:r>
            <w:r>
              <w:rPr>
                <w:color w:val="auto"/>
                <w:sz w:val="24"/>
                <w:highlight w:val="none"/>
                <w:u w:val="single"/>
              </w:rPr>
              <w:t xml:space="preserve">   </w:t>
            </w:r>
            <w:r>
              <w:rPr>
                <w:rFonts w:hAnsi="宋体"/>
                <w:color w:val="auto"/>
                <w:sz w:val="24"/>
                <w:highlight w:val="none"/>
                <w:u w:val="single"/>
              </w:rPr>
              <w:t>（是否通过，何种）</w:t>
            </w:r>
            <w:r>
              <w:rPr>
                <w:color w:val="auto"/>
                <w:sz w:val="24"/>
                <w:highlight w:val="none"/>
                <w:u w:val="single"/>
              </w:rPr>
              <w:t xml:space="preserve">   </w:t>
            </w:r>
            <w:r>
              <w:rPr>
                <w:rFonts w:hAnsi="宋体"/>
                <w:color w:val="auto"/>
                <w:sz w:val="24"/>
                <w:highlight w:val="none"/>
              </w:rPr>
              <w:t>质量保证体系认证（如通过请附相关证书复印件，并提供认证机构年审监督报告）</w:t>
            </w:r>
          </w:p>
        </w:tc>
      </w:tr>
      <w:tr w14:paraId="17A87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noWrap w:val="0"/>
            <w:vAlign w:val="top"/>
          </w:tcPr>
          <w:p w14:paraId="5BF2A261">
            <w:pPr>
              <w:tabs>
                <w:tab w:val="left" w:pos="993"/>
              </w:tabs>
              <w:spacing w:line="360" w:lineRule="auto"/>
              <w:rPr>
                <w:color w:val="auto"/>
                <w:sz w:val="24"/>
                <w:highlight w:val="none"/>
              </w:rPr>
            </w:pPr>
            <w:r>
              <w:rPr>
                <w:color w:val="auto"/>
                <w:sz w:val="24"/>
                <w:highlight w:val="none"/>
              </w:rPr>
              <w:t>9</w:t>
            </w:r>
          </w:p>
        </w:tc>
        <w:tc>
          <w:tcPr>
            <w:tcW w:w="8062" w:type="dxa"/>
            <w:gridSpan w:val="3"/>
            <w:noWrap w:val="0"/>
            <w:vAlign w:val="top"/>
          </w:tcPr>
          <w:p w14:paraId="0038973E">
            <w:pPr>
              <w:tabs>
                <w:tab w:val="left" w:pos="993"/>
              </w:tabs>
              <w:spacing w:line="360" w:lineRule="auto"/>
              <w:rPr>
                <w:color w:val="auto"/>
                <w:sz w:val="24"/>
                <w:highlight w:val="none"/>
              </w:rPr>
            </w:pPr>
            <w:r>
              <w:rPr>
                <w:rFonts w:hAnsi="宋体"/>
                <w:color w:val="auto"/>
                <w:sz w:val="24"/>
                <w:highlight w:val="none"/>
              </w:rPr>
              <w:t>主营范围</w:t>
            </w:r>
          </w:p>
          <w:p w14:paraId="20913F6E">
            <w:pPr>
              <w:tabs>
                <w:tab w:val="left" w:pos="993"/>
              </w:tabs>
              <w:spacing w:line="360" w:lineRule="auto"/>
              <w:rPr>
                <w:color w:val="auto"/>
                <w:sz w:val="24"/>
                <w:highlight w:val="none"/>
                <w:u w:val="single"/>
              </w:rPr>
            </w:pPr>
            <w:r>
              <w:rPr>
                <w:color w:val="auto"/>
                <w:sz w:val="24"/>
                <w:highlight w:val="none"/>
              </w:rPr>
              <w:t>1.</w:t>
            </w:r>
            <w:r>
              <w:rPr>
                <w:color w:val="auto"/>
                <w:sz w:val="24"/>
                <w:highlight w:val="none"/>
                <w:u w:val="single"/>
              </w:rPr>
              <w:t xml:space="preserve">                                               </w:t>
            </w:r>
          </w:p>
          <w:p w14:paraId="4A69B6C7">
            <w:pPr>
              <w:tabs>
                <w:tab w:val="left" w:pos="993"/>
              </w:tabs>
              <w:spacing w:line="360" w:lineRule="auto"/>
              <w:rPr>
                <w:color w:val="auto"/>
                <w:sz w:val="24"/>
                <w:highlight w:val="none"/>
                <w:u w:val="single"/>
              </w:rPr>
            </w:pPr>
            <w:r>
              <w:rPr>
                <w:color w:val="auto"/>
                <w:sz w:val="24"/>
                <w:highlight w:val="none"/>
              </w:rPr>
              <w:t>2.</w:t>
            </w:r>
            <w:r>
              <w:rPr>
                <w:color w:val="auto"/>
                <w:sz w:val="24"/>
                <w:highlight w:val="none"/>
                <w:u w:val="single"/>
              </w:rPr>
              <w:t xml:space="preserve">                                               </w:t>
            </w:r>
          </w:p>
          <w:p w14:paraId="251FA60E">
            <w:pPr>
              <w:tabs>
                <w:tab w:val="left" w:pos="993"/>
              </w:tabs>
              <w:spacing w:line="360" w:lineRule="auto"/>
              <w:rPr>
                <w:color w:val="auto"/>
                <w:sz w:val="24"/>
                <w:highlight w:val="none"/>
                <w:u w:val="single"/>
              </w:rPr>
            </w:pPr>
            <w:r>
              <w:rPr>
                <w:color w:val="auto"/>
                <w:sz w:val="24"/>
                <w:highlight w:val="none"/>
              </w:rPr>
              <w:t>3.</w:t>
            </w:r>
            <w:r>
              <w:rPr>
                <w:color w:val="auto"/>
                <w:sz w:val="24"/>
                <w:highlight w:val="none"/>
                <w:u w:val="single"/>
              </w:rPr>
              <w:t xml:space="preserve">                                               </w:t>
            </w:r>
          </w:p>
          <w:p w14:paraId="6793DCA6">
            <w:pPr>
              <w:tabs>
                <w:tab w:val="left" w:pos="993"/>
              </w:tabs>
              <w:spacing w:line="360" w:lineRule="auto"/>
              <w:rPr>
                <w:color w:val="auto"/>
                <w:sz w:val="24"/>
                <w:highlight w:val="none"/>
                <w:u w:val="single"/>
              </w:rPr>
            </w:pPr>
            <w:r>
              <w:rPr>
                <w:color w:val="auto"/>
                <w:sz w:val="24"/>
                <w:highlight w:val="none"/>
              </w:rPr>
              <w:t>4.</w:t>
            </w:r>
            <w:r>
              <w:rPr>
                <w:color w:val="auto"/>
                <w:sz w:val="24"/>
                <w:highlight w:val="none"/>
                <w:u w:val="single"/>
              </w:rPr>
              <w:t xml:space="preserve">                                               </w:t>
            </w:r>
          </w:p>
          <w:p w14:paraId="1549E69D">
            <w:pPr>
              <w:tabs>
                <w:tab w:val="left" w:pos="993"/>
              </w:tabs>
              <w:spacing w:line="360" w:lineRule="auto"/>
              <w:rPr>
                <w:color w:val="auto"/>
                <w:sz w:val="24"/>
                <w:highlight w:val="none"/>
              </w:rPr>
            </w:pPr>
            <w:r>
              <w:rPr>
                <w:color w:val="auto"/>
                <w:sz w:val="24"/>
                <w:highlight w:val="none"/>
              </w:rPr>
              <w:t>……………………………</w:t>
            </w:r>
          </w:p>
        </w:tc>
      </w:tr>
      <w:tr w14:paraId="1A52F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7" w:type="dxa"/>
            <w:noWrap w:val="0"/>
            <w:vAlign w:val="top"/>
          </w:tcPr>
          <w:p w14:paraId="18535EE0">
            <w:pPr>
              <w:tabs>
                <w:tab w:val="left" w:pos="993"/>
              </w:tabs>
              <w:spacing w:line="360" w:lineRule="auto"/>
              <w:rPr>
                <w:color w:val="auto"/>
                <w:sz w:val="24"/>
                <w:highlight w:val="none"/>
              </w:rPr>
            </w:pPr>
            <w:r>
              <w:rPr>
                <w:color w:val="auto"/>
                <w:sz w:val="24"/>
                <w:highlight w:val="none"/>
              </w:rPr>
              <w:t>10</w:t>
            </w:r>
          </w:p>
        </w:tc>
        <w:tc>
          <w:tcPr>
            <w:tcW w:w="2654" w:type="dxa"/>
            <w:noWrap w:val="0"/>
            <w:vAlign w:val="top"/>
          </w:tcPr>
          <w:p w14:paraId="01217B71">
            <w:pPr>
              <w:tabs>
                <w:tab w:val="left" w:pos="993"/>
              </w:tabs>
              <w:spacing w:line="360" w:lineRule="auto"/>
              <w:rPr>
                <w:color w:val="auto"/>
                <w:sz w:val="24"/>
                <w:highlight w:val="none"/>
              </w:rPr>
            </w:pPr>
            <w:r>
              <w:rPr>
                <w:rFonts w:hAnsi="宋体"/>
                <w:color w:val="auto"/>
                <w:sz w:val="24"/>
                <w:highlight w:val="none"/>
              </w:rPr>
              <w:t>作为总承包人经历年数</w:t>
            </w:r>
          </w:p>
        </w:tc>
        <w:tc>
          <w:tcPr>
            <w:tcW w:w="5408" w:type="dxa"/>
            <w:gridSpan w:val="2"/>
            <w:noWrap w:val="0"/>
            <w:vAlign w:val="top"/>
          </w:tcPr>
          <w:p w14:paraId="36273C4C">
            <w:pPr>
              <w:tabs>
                <w:tab w:val="left" w:pos="993"/>
              </w:tabs>
              <w:spacing w:line="360" w:lineRule="auto"/>
              <w:rPr>
                <w:color w:val="auto"/>
                <w:sz w:val="24"/>
                <w:highlight w:val="none"/>
              </w:rPr>
            </w:pPr>
          </w:p>
        </w:tc>
      </w:tr>
      <w:tr w14:paraId="759E2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7" w:type="dxa"/>
            <w:noWrap w:val="0"/>
            <w:vAlign w:val="top"/>
          </w:tcPr>
          <w:p w14:paraId="27245C77">
            <w:pPr>
              <w:tabs>
                <w:tab w:val="left" w:pos="993"/>
              </w:tabs>
              <w:spacing w:line="360" w:lineRule="auto"/>
              <w:rPr>
                <w:color w:val="auto"/>
                <w:sz w:val="24"/>
                <w:highlight w:val="none"/>
              </w:rPr>
            </w:pPr>
            <w:r>
              <w:rPr>
                <w:color w:val="auto"/>
                <w:sz w:val="24"/>
                <w:highlight w:val="none"/>
              </w:rPr>
              <w:t>11</w:t>
            </w:r>
          </w:p>
        </w:tc>
        <w:tc>
          <w:tcPr>
            <w:tcW w:w="2654" w:type="dxa"/>
            <w:noWrap w:val="0"/>
            <w:vAlign w:val="top"/>
          </w:tcPr>
          <w:p w14:paraId="181C1DD7">
            <w:pPr>
              <w:tabs>
                <w:tab w:val="left" w:pos="993"/>
              </w:tabs>
              <w:spacing w:line="360" w:lineRule="auto"/>
              <w:rPr>
                <w:color w:val="auto"/>
                <w:sz w:val="24"/>
                <w:highlight w:val="none"/>
              </w:rPr>
            </w:pPr>
            <w:r>
              <w:rPr>
                <w:rFonts w:hAnsi="宋体"/>
                <w:color w:val="auto"/>
                <w:sz w:val="24"/>
                <w:highlight w:val="none"/>
              </w:rPr>
              <w:t>作为分包商经历年数</w:t>
            </w:r>
          </w:p>
        </w:tc>
        <w:tc>
          <w:tcPr>
            <w:tcW w:w="5408" w:type="dxa"/>
            <w:gridSpan w:val="2"/>
            <w:noWrap w:val="0"/>
            <w:vAlign w:val="top"/>
          </w:tcPr>
          <w:p w14:paraId="0923BC53">
            <w:pPr>
              <w:tabs>
                <w:tab w:val="left" w:pos="993"/>
              </w:tabs>
              <w:spacing w:line="360" w:lineRule="auto"/>
              <w:rPr>
                <w:color w:val="auto"/>
                <w:sz w:val="24"/>
                <w:highlight w:val="none"/>
              </w:rPr>
            </w:pPr>
          </w:p>
        </w:tc>
      </w:tr>
      <w:tr w14:paraId="0042F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467" w:type="dxa"/>
            <w:noWrap w:val="0"/>
            <w:vAlign w:val="top"/>
          </w:tcPr>
          <w:p w14:paraId="0FCC8EEA">
            <w:pPr>
              <w:tabs>
                <w:tab w:val="left" w:pos="993"/>
              </w:tabs>
              <w:spacing w:line="360" w:lineRule="auto"/>
              <w:rPr>
                <w:color w:val="auto"/>
                <w:sz w:val="24"/>
                <w:highlight w:val="none"/>
              </w:rPr>
            </w:pPr>
            <w:r>
              <w:rPr>
                <w:color w:val="auto"/>
                <w:sz w:val="24"/>
                <w:highlight w:val="none"/>
              </w:rPr>
              <w:t>12</w:t>
            </w:r>
          </w:p>
        </w:tc>
        <w:tc>
          <w:tcPr>
            <w:tcW w:w="8062" w:type="dxa"/>
            <w:gridSpan w:val="3"/>
            <w:noWrap w:val="0"/>
            <w:vAlign w:val="top"/>
          </w:tcPr>
          <w:p w14:paraId="33961591">
            <w:pPr>
              <w:tabs>
                <w:tab w:val="left" w:pos="993"/>
              </w:tabs>
              <w:spacing w:line="360" w:lineRule="auto"/>
              <w:rPr>
                <w:color w:val="auto"/>
                <w:sz w:val="24"/>
                <w:highlight w:val="none"/>
              </w:rPr>
            </w:pPr>
            <w:r>
              <w:rPr>
                <w:rFonts w:hAnsi="宋体"/>
                <w:color w:val="auto"/>
                <w:sz w:val="24"/>
                <w:highlight w:val="none"/>
              </w:rPr>
              <w:t>其他需要说明的情况</w:t>
            </w:r>
          </w:p>
        </w:tc>
      </w:tr>
    </w:tbl>
    <w:p w14:paraId="0CD24781">
      <w:pPr>
        <w:pStyle w:val="17"/>
        <w:spacing w:line="360" w:lineRule="auto"/>
        <w:ind w:firstLine="480"/>
        <w:rPr>
          <w:color w:val="auto"/>
          <w:highlight w:val="none"/>
        </w:rPr>
      </w:pPr>
      <w:r>
        <w:rPr>
          <w:b/>
          <w:bCs/>
          <w:color w:val="auto"/>
          <w:sz w:val="21"/>
          <w:highlight w:val="none"/>
        </w:rPr>
        <w:br w:type="page"/>
      </w:r>
      <w:r>
        <w:rPr>
          <w:color w:val="auto"/>
          <w:highlight w:val="none"/>
        </w:rPr>
        <w:t xml:space="preserve"> </w:t>
      </w:r>
    </w:p>
    <w:p w14:paraId="7815EAE4">
      <w:pPr>
        <w:tabs>
          <w:tab w:val="left" w:pos="993"/>
        </w:tabs>
        <w:spacing w:line="360" w:lineRule="auto"/>
        <w:jc w:val="center"/>
        <w:rPr>
          <w:color w:val="auto"/>
          <w:sz w:val="36"/>
          <w:highlight w:val="none"/>
        </w:rPr>
      </w:pPr>
      <w:r>
        <w:rPr>
          <w:rFonts w:hAnsi="宋体"/>
          <w:color w:val="auto"/>
          <w:sz w:val="36"/>
          <w:highlight w:val="none"/>
        </w:rPr>
        <w:t>近三年工程营业额数据表</w:t>
      </w:r>
    </w:p>
    <w:p w14:paraId="17D90B41">
      <w:pPr>
        <w:tabs>
          <w:tab w:val="left" w:pos="993"/>
        </w:tabs>
        <w:spacing w:line="360" w:lineRule="auto"/>
        <w:ind w:firstLine="480" w:firstLineChars="200"/>
        <w:rPr>
          <w:color w:val="auto"/>
          <w:sz w:val="24"/>
          <w:highlight w:val="none"/>
          <w:u w:val="single"/>
        </w:rPr>
      </w:pPr>
      <w:r>
        <w:rPr>
          <w:rFonts w:hAnsi="宋体"/>
          <w:color w:val="auto"/>
          <w:sz w:val="24"/>
          <w:highlight w:val="none"/>
        </w:rPr>
        <w:t>投标申请人：</w:t>
      </w:r>
      <w:r>
        <w:rPr>
          <w:color w:val="auto"/>
          <w:sz w:val="24"/>
          <w:highlight w:val="none"/>
          <w:u w:val="single"/>
        </w:rPr>
        <w:t xml:space="preserve">                                  </w:t>
      </w:r>
    </w:p>
    <w:tbl>
      <w:tblPr>
        <w:tblStyle w:val="6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92"/>
        <w:gridCol w:w="2892"/>
        <w:gridCol w:w="2892"/>
      </w:tblGrid>
      <w:tr w14:paraId="23C29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21" w:hRule="atLeast"/>
          <w:jc w:val="center"/>
        </w:trPr>
        <w:tc>
          <w:tcPr>
            <w:tcW w:w="8676" w:type="dxa"/>
            <w:gridSpan w:val="3"/>
            <w:noWrap w:val="0"/>
            <w:vAlign w:val="center"/>
          </w:tcPr>
          <w:p w14:paraId="7F3A12E4">
            <w:pPr>
              <w:tabs>
                <w:tab w:val="left" w:pos="993"/>
              </w:tabs>
              <w:spacing w:line="360" w:lineRule="auto"/>
              <w:jc w:val="center"/>
              <w:rPr>
                <w:color w:val="auto"/>
                <w:sz w:val="24"/>
                <w:highlight w:val="none"/>
              </w:rPr>
            </w:pPr>
            <w:r>
              <w:rPr>
                <w:rFonts w:hAnsi="宋体"/>
                <w:color w:val="auto"/>
                <w:sz w:val="24"/>
                <w:highlight w:val="none"/>
              </w:rPr>
              <w:t>近三年工程营业额</w:t>
            </w:r>
          </w:p>
        </w:tc>
      </w:tr>
      <w:tr w14:paraId="0D359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3" w:hRule="atLeast"/>
          <w:jc w:val="center"/>
        </w:trPr>
        <w:tc>
          <w:tcPr>
            <w:tcW w:w="2892" w:type="dxa"/>
            <w:noWrap w:val="0"/>
            <w:vAlign w:val="center"/>
          </w:tcPr>
          <w:p w14:paraId="222B3D62">
            <w:pPr>
              <w:tabs>
                <w:tab w:val="left" w:pos="993"/>
              </w:tabs>
              <w:spacing w:line="360" w:lineRule="auto"/>
              <w:jc w:val="center"/>
              <w:rPr>
                <w:color w:val="auto"/>
                <w:sz w:val="24"/>
                <w:highlight w:val="none"/>
              </w:rPr>
            </w:pPr>
            <w:r>
              <w:rPr>
                <w:rFonts w:hAnsi="宋体"/>
                <w:color w:val="auto"/>
                <w:sz w:val="24"/>
                <w:highlight w:val="none"/>
              </w:rPr>
              <w:t>财</w:t>
            </w:r>
            <w:r>
              <w:rPr>
                <w:color w:val="auto"/>
                <w:sz w:val="24"/>
                <w:highlight w:val="none"/>
              </w:rPr>
              <w:t xml:space="preserve">  </w:t>
            </w:r>
            <w:r>
              <w:rPr>
                <w:rFonts w:hAnsi="宋体"/>
                <w:color w:val="auto"/>
                <w:sz w:val="24"/>
                <w:highlight w:val="none"/>
              </w:rPr>
              <w:t>务</w:t>
            </w:r>
            <w:r>
              <w:rPr>
                <w:color w:val="auto"/>
                <w:sz w:val="24"/>
                <w:highlight w:val="none"/>
              </w:rPr>
              <w:t xml:space="preserve">  </w:t>
            </w:r>
            <w:r>
              <w:rPr>
                <w:rFonts w:hAnsi="宋体"/>
                <w:color w:val="auto"/>
                <w:sz w:val="24"/>
                <w:highlight w:val="none"/>
              </w:rPr>
              <w:t>年</w:t>
            </w:r>
            <w:r>
              <w:rPr>
                <w:color w:val="auto"/>
                <w:sz w:val="24"/>
                <w:highlight w:val="none"/>
              </w:rPr>
              <w:t xml:space="preserve">  </w:t>
            </w:r>
            <w:r>
              <w:rPr>
                <w:rFonts w:hAnsi="宋体"/>
                <w:color w:val="auto"/>
                <w:sz w:val="24"/>
                <w:highlight w:val="none"/>
              </w:rPr>
              <w:t>度</w:t>
            </w:r>
          </w:p>
        </w:tc>
        <w:tc>
          <w:tcPr>
            <w:tcW w:w="2892" w:type="dxa"/>
            <w:noWrap w:val="0"/>
            <w:vAlign w:val="center"/>
          </w:tcPr>
          <w:p w14:paraId="21BBB622">
            <w:pPr>
              <w:tabs>
                <w:tab w:val="left" w:pos="993"/>
              </w:tabs>
              <w:spacing w:line="360" w:lineRule="auto"/>
              <w:jc w:val="center"/>
              <w:rPr>
                <w:color w:val="auto"/>
                <w:sz w:val="24"/>
                <w:highlight w:val="none"/>
              </w:rPr>
            </w:pPr>
            <w:r>
              <w:rPr>
                <w:rFonts w:hAnsi="宋体"/>
                <w:color w:val="auto"/>
                <w:sz w:val="24"/>
                <w:highlight w:val="none"/>
              </w:rPr>
              <w:t>营</w:t>
            </w:r>
            <w:r>
              <w:rPr>
                <w:color w:val="auto"/>
                <w:sz w:val="24"/>
                <w:highlight w:val="none"/>
              </w:rPr>
              <w:t xml:space="preserve">  </w:t>
            </w:r>
            <w:r>
              <w:rPr>
                <w:rFonts w:hAnsi="宋体"/>
                <w:color w:val="auto"/>
                <w:sz w:val="24"/>
                <w:highlight w:val="none"/>
              </w:rPr>
              <w:t>业</w:t>
            </w:r>
            <w:r>
              <w:rPr>
                <w:color w:val="auto"/>
                <w:sz w:val="24"/>
                <w:highlight w:val="none"/>
              </w:rPr>
              <w:t xml:space="preserve">  </w:t>
            </w:r>
            <w:r>
              <w:rPr>
                <w:rFonts w:hAnsi="宋体"/>
                <w:color w:val="auto"/>
                <w:sz w:val="24"/>
                <w:highlight w:val="none"/>
              </w:rPr>
              <w:t>额（单位）</w:t>
            </w:r>
          </w:p>
        </w:tc>
        <w:tc>
          <w:tcPr>
            <w:tcW w:w="2892" w:type="dxa"/>
            <w:noWrap w:val="0"/>
            <w:vAlign w:val="center"/>
          </w:tcPr>
          <w:p w14:paraId="697F5763">
            <w:pPr>
              <w:tabs>
                <w:tab w:val="left" w:pos="993"/>
              </w:tabs>
              <w:spacing w:line="360" w:lineRule="auto"/>
              <w:jc w:val="center"/>
              <w:rPr>
                <w:color w:val="auto"/>
                <w:sz w:val="24"/>
                <w:highlight w:val="none"/>
              </w:rPr>
            </w:pPr>
            <w:r>
              <w:rPr>
                <w:rFonts w:hAnsi="宋体"/>
                <w:color w:val="auto"/>
                <w:sz w:val="24"/>
                <w:highlight w:val="none"/>
              </w:rPr>
              <w:t>备</w:t>
            </w:r>
            <w:r>
              <w:rPr>
                <w:color w:val="auto"/>
                <w:sz w:val="24"/>
                <w:highlight w:val="none"/>
              </w:rPr>
              <w:t xml:space="preserve">   </w:t>
            </w:r>
            <w:r>
              <w:rPr>
                <w:rFonts w:hAnsi="宋体"/>
                <w:color w:val="auto"/>
                <w:sz w:val="24"/>
                <w:highlight w:val="none"/>
              </w:rPr>
              <w:t>注</w:t>
            </w:r>
          </w:p>
        </w:tc>
      </w:tr>
      <w:tr w14:paraId="754EF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7" w:hRule="atLeast"/>
          <w:jc w:val="center"/>
        </w:trPr>
        <w:tc>
          <w:tcPr>
            <w:tcW w:w="2892" w:type="dxa"/>
            <w:noWrap w:val="0"/>
            <w:vAlign w:val="center"/>
          </w:tcPr>
          <w:p w14:paraId="2F84144F">
            <w:pPr>
              <w:tabs>
                <w:tab w:val="left" w:pos="993"/>
              </w:tabs>
              <w:spacing w:line="360" w:lineRule="auto"/>
              <w:jc w:val="center"/>
              <w:rPr>
                <w:rFonts w:hint="eastAsia"/>
                <w:color w:val="auto"/>
                <w:sz w:val="24"/>
                <w:highlight w:val="none"/>
              </w:rPr>
            </w:pPr>
            <w:r>
              <w:rPr>
                <w:rFonts w:hint="eastAsia" w:hAnsi="宋体"/>
                <w:color w:val="auto"/>
                <w:sz w:val="24"/>
                <w:highlight w:val="none"/>
              </w:rPr>
              <w:t>2</w:t>
            </w:r>
            <w:r>
              <w:rPr>
                <w:rFonts w:hAnsi="宋体"/>
                <w:color w:val="auto"/>
                <w:sz w:val="24"/>
                <w:highlight w:val="none"/>
              </w:rPr>
              <w:t>0</w:t>
            </w:r>
            <w:r>
              <w:rPr>
                <w:rFonts w:hint="eastAsia" w:hAnsi="宋体"/>
                <w:color w:val="auto"/>
                <w:sz w:val="24"/>
                <w:highlight w:val="none"/>
              </w:rPr>
              <w:t>21年</w:t>
            </w:r>
          </w:p>
        </w:tc>
        <w:tc>
          <w:tcPr>
            <w:tcW w:w="2892" w:type="dxa"/>
            <w:noWrap w:val="0"/>
            <w:vAlign w:val="center"/>
          </w:tcPr>
          <w:p w14:paraId="0D02FB6F">
            <w:pPr>
              <w:tabs>
                <w:tab w:val="left" w:pos="993"/>
              </w:tabs>
              <w:spacing w:line="360" w:lineRule="auto"/>
              <w:jc w:val="center"/>
              <w:rPr>
                <w:color w:val="auto"/>
                <w:sz w:val="24"/>
                <w:highlight w:val="none"/>
              </w:rPr>
            </w:pPr>
          </w:p>
        </w:tc>
        <w:tc>
          <w:tcPr>
            <w:tcW w:w="2892" w:type="dxa"/>
            <w:noWrap w:val="0"/>
            <w:vAlign w:val="center"/>
          </w:tcPr>
          <w:p w14:paraId="457C4B82">
            <w:pPr>
              <w:tabs>
                <w:tab w:val="left" w:pos="993"/>
              </w:tabs>
              <w:spacing w:line="360" w:lineRule="auto"/>
              <w:jc w:val="center"/>
              <w:rPr>
                <w:color w:val="auto"/>
                <w:sz w:val="24"/>
                <w:highlight w:val="none"/>
              </w:rPr>
            </w:pPr>
          </w:p>
        </w:tc>
      </w:tr>
      <w:tr w14:paraId="71700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8" w:hRule="atLeast"/>
          <w:jc w:val="center"/>
        </w:trPr>
        <w:tc>
          <w:tcPr>
            <w:tcW w:w="2892" w:type="dxa"/>
            <w:noWrap w:val="0"/>
            <w:vAlign w:val="center"/>
          </w:tcPr>
          <w:p w14:paraId="1B5082DC">
            <w:pPr>
              <w:tabs>
                <w:tab w:val="left" w:pos="993"/>
              </w:tabs>
              <w:spacing w:line="360" w:lineRule="auto"/>
              <w:jc w:val="center"/>
              <w:rPr>
                <w:rFonts w:hint="eastAsia"/>
                <w:color w:val="auto"/>
                <w:sz w:val="24"/>
                <w:highlight w:val="none"/>
              </w:rPr>
            </w:pPr>
            <w:r>
              <w:rPr>
                <w:rFonts w:hint="eastAsia" w:hAnsi="宋体"/>
                <w:color w:val="auto"/>
                <w:sz w:val="24"/>
                <w:highlight w:val="none"/>
              </w:rPr>
              <w:t>2</w:t>
            </w:r>
            <w:r>
              <w:rPr>
                <w:rFonts w:hAnsi="宋体"/>
                <w:color w:val="auto"/>
                <w:sz w:val="24"/>
                <w:highlight w:val="none"/>
              </w:rPr>
              <w:t>02</w:t>
            </w:r>
            <w:r>
              <w:rPr>
                <w:rFonts w:hint="eastAsia" w:hAnsi="宋体"/>
                <w:color w:val="auto"/>
                <w:sz w:val="24"/>
                <w:highlight w:val="none"/>
              </w:rPr>
              <w:t>2年</w:t>
            </w:r>
          </w:p>
        </w:tc>
        <w:tc>
          <w:tcPr>
            <w:tcW w:w="2892" w:type="dxa"/>
            <w:noWrap w:val="0"/>
            <w:vAlign w:val="center"/>
          </w:tcPr>
          <w:p w14:paraId="2AB63901">
            <w:pPr>
              <w:tabs>
                <w:tab w:val="left" w:pos="993"/>
              </w:tabs>
              <w:spacing w:line="360" w:lineRule="auto"/>
              <w:jc w:val="center"/>
              <w:rPr>
                <w:color w:val="auto"/>
                <w:sz w:val="24"/>
                <w:highlight w:val="none"/>
              </w:rPr>
            </w:pPr>
          </w:p>
        </w:tc>
        <w:tc>
          <w:tcPr>
            <w:tcW w:w="2892" w:type="dxa"/>
            <w:noWrap w:val="0"/>
            <w:vAlign w:val="center"/>
          </w:tcPr>
          <w:p w14:paraId="3B383A01">
            <w:pPr>
              <w:tabs>
                <w:tab w:val="left" w:pos="993"/>
              </w:tabs>
              <w:spacing w:line="360" w:lineRule="auto"/>
              <w:jc w:val="center"/>
              <w:rPr>
                <w:color w:val="auto"/>
                <w:sz w:val="24"/>
                <w:highlight w:val="none"/>
              </w:rPr>
            </w:pPr>
          </w:p>
        </w:tc>
      </w:tr>
      <w:tr w14:paraId="04127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8" w:hRule="atLeast"/>
          <w:jc w:val="center"/>
        </w:trPr>
        <w:tc>
          <w:tcPr>
            <w:tcW w:w="2892" w:type="dxa"/>
            <w:noWrap w:val="0"/>
            <w:vAlign w:val="center"/>
          </w:tcPr>
          <w:p w14:paraId="15873E57">
            <w:pPr>
              <w:tabs>
                <w:tab w:val="left" w:pos="993"/>
              </w:tabs>
              <w:spacing w:line="360" w:lineRule="auto"/>
              <w:jc w:val="center"/>
              <w:rPr>
                <w:rFonts w:hint="eastAsia"/>
                <w:color w:val="auto"/>
                <w:sz w:val="24"/>
                <w:highlight w:val="none"/>
              </w:rPr>
            </w:pPr>
            <w:r>
              <w:rPr>
                <w:rFonts w:hint="eastAsia" w:hAnsi="宋体"/>
                <w:color w:val="auto"/>
                <w:sz w:val="24"/>
                <w:highlight w:val="none"/>
              </w:rPr>
              <w:t>2</w:t>
            </w:r>
            <w:r>
              <w:rPr>
                <w:rFonts w:hAnsi="宋体"/>
                <w:color w:val="auto"/>
                <w:sz w:val="24"/>
                <w:highlight w:val="none"/>
              </w:rPr>
              <w:t>02</w:t>
            </w:r>
            <w:r>
              <w:rPr>
                <w:rFonts w:hint="eastAsia" w:hAnsi="宋体"/>
                <w:color w:val="auto"/>
                <w:sz w:val="24"/>
                <w:highlight w:val="none"/>
              </w:rPr>
              <w:t>3年</w:t>
            </w:r>
          </w:p>
        </w:tc>
        <w:tc>
          <w:tcPr>
            <w:tcW w:w="2892" w:type="dxa"/>
            <w:noWrap w:val="0"/>
            <w:vAlign w:val="center"/>
          </w:tcPr>
          <w:p w14:paraId="003EE6BD">
            <w:pPr>
              <w:tabs>
                <w:tab w:val="left" w:pos="993"/>
              </w:tabs>
              <w:spacing w:line="360" w:lineRule="auto"/>
              <w:jc w:val="center"/>
              <w:rPr>
                <w:color w:val="auto"/>
                <w:sz w:val="24"/>
                <w:highlight w:val="none"/>
              </w:rPr>
            </w:pPr>
          </w:p>
        </w:tc>
        <w:tc>
          <w:tcPr>
            <w:tcW w:w="2892" w:type="dxa"/>
            <w:noWrap w:val="0"/>
            <w:vAlign w:val="center"/>
          </w:tcPr>
          <w:p w14:paraId="4AFCAAB6">
            <w:pPr>
              <w:tabs>
                <w:tab w:val="left" w:pos="993"/>
              </w:tabs>
              <w:spacing w:line="360" w:lineRule="auto"/>
              <w:jc w:val="center"/>
              <w:rPr>
                <w:color w:val="auto"/>
                <w:sz w:val="24"/>
                <w:highlight w:val="none"/>
              </w:rPr>
            </w:pPr>
          </w:p>
        </w:tc>
      </w:tr>
    </w:tbl>
    <w:p w14:paraId="0FD162ED">
      <w:pPr>
        <w:tabs>
          <w:tab w:val="left" w:pos="993"/>
        </w:tabs>
        <w:spacing w:line="360" w:lineRule="auto"/>
        <w:rPr>
          <w:b/>
          <w:bCs/>
          <w:color w:val="auto"/>
          <w:sz w:val="24"/>
          <w:highlight w:val="none"/>
        </w:rPr>
      </w:pPr>
    </w:p>
    <w:p w14:paraId="17A892D3">
      <w:pPr>
        <w:tabs>
          <w:tab w:val="left" w:pos="993"/>
        </w:tabs>
        <w:spacing w:line="360" w:lineRule="auto"/>
        <w:rPr>
          <w:b/>
          <w:bCs/>
          <w:color w:val="auto"/>
          <w:sz w:val="24"/>
          <w:highlight w:val="none"/>
        </w:rPr>
      </w:pPr>
    </w:p>
    <w:p w14:paraId="78815E37">
      <w:pPr>
        <w:tabs>
          <w:tab w:val="left" w:pos="993"/>
        </w:tabs>
        <w:spacing w:line="360" w:lineRule="auto"/>
        <w:rPr>
          <w:b/>
          <w:bCs/>
          <w:color w:val="auto"/>
          <w:sz w:val="24"/>
          <w:highlight w:val="none"/>
        </w:rPr>
      </w:pPr>
    </w:p>
    <w:p w14:paraId="55B04734">
      <w:pPr>
        <w:tabs>
          <w:tab w:val="left" w:pos="993"/>
        </w:tabs>
        <w:spacing w:line="360" w:lineRule="auto"/>
        <w:rPr>
          <w:b/>
          <w:bCs/>
          <w:color w:val="auto"/>
          <w:sz w:val="24"/>
          <w:highlight w:val="none"/>
        </w:rPr>
      </w:pPr>
    </w:p>
    <w:p w14:paraId="059F5B85">
      <w:pPr>
        <w:tabs>
          <w:tab w:val="left" w:pos="993"/>
        </w:tabs>
        <w:spacing w:line="360" w:lineRule="auto"/>
        <w:rPr>
          <w:b/>
          <w:bCs/>
          <w:color w:val="auto"/>
          <w:sz w:val="24"/>
          <w:highlight w:val="none"/>
        </w:rPr>
      </w:pPr>
    </w:p>
    <w:p w14:paraId="6B750F15">
      <w:pPr>
        <w:tabs>
          <w:tab w:val="left" w:pos="993"/>
        </w:tabs>
        <w:spacing w:line="360" w:lineRule="auto"/>
        <w:rPr>
          <w:color w:val="auto"/>
          <w:highlight w:val="none"/>
        </w:rPr>
      </w:pPr>
    </w:p>
    <w:p w14:paraId="4EA91B35">
      <w:pPr>
        <w:tabs>
          <w:tab w:val="left" w:pos="993"/>
        </w:tabs>
        <w:spacing w:line="360" w:lineRule="auto"/>
        <w:jc w:val="center"/>
        <w:rPr>
          <w:rFonts w:hAnsi="宋体"/>
          <w:color w:val="auto"/>
          <w:sz w:val="36"/>
          <w:highlight w:val="none"/>
        </w:rPr>
      </w:pPr>
      <w:r>
        <w:rPr>
          <w:rFonts w:hAnsi="宋体"/>
          <w:color w:val="auto"/>
          <w:highlight w:val="none"/>
        </w:rPr>
        <w:br w:type="page"/>
      </w:r>
    </w:p>
    <w:p w14:paraId="451C9A46">
      <w:pPr>
        <w:tabs>
          <w:tab w:val="left" w:pos="993"/>
        </w:tabs>
        <w:spacing w:line="360" w:lineRule="auto"/>
        <w:jc w:val="center"/>
        <w:rPr>
          <w:rFonts w:hAnsi="宋体"/>
          <w:color w:val="auto"/>
          <w:sz w:val="36"/>
          <w:highlight w:val="none"/>
        </w:rPr>
      </w:pPr>
      <w:r>
        <w:rPr>
          <w:rFonts w:hAnsi="宋体"/>
          <w:color w:val="auto"/>
          <w:sz w:val="36"/>
          <w:highlight w:val="none"/>
        </w:rPr>
        <w:t>拟派往本招标工程项目负责人简历表</w:t>
      </w:r>
    </w:p>
    <w:p w14:paraId="455256F1">
      <w:pPr>
        <w:tabs>
          <w:tab w:val="left" w:pos="993"/>
        </w:tabs>
        <w:spacing w:line="360" w:lineRule="auto"/>
        <w:rPr>
          <w:color w:val="auto"/>
          <w:sz w:val="24"/>
          <w:highlight w:val="none"/>
          <w:u w:val="single"/>
        </w:rPr>
      </w:pPr>
      <w:r>
        <w:rPr>
          <w:rFonts w:hAnsi="宋体"/>
          <w:color w:val="auto"/>
          <w:sz w:val="24"/>
          <w:highlight w:val="none"/>
        </w:rPr>
        <w:t>投标申请人</w:t>
      </w:r>
      <w:r>
        <w:rPr>
          <w:color w:val="auto"/>
          <w:sz w:val="24"/>
          <w:highlight w:val="none"/>
          <w:u w:val="single"/>
        </w:rPr>
        <w:t xml:space="preserve">                                       </w:t>
      </w:r>
    </w:p>
    <w:tbl>
      <w:tblPr>
        <w:tblStyle w:val="6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438"/>
        <w:gridCol w:w="1446"/>
        <w:gridCol w:w="96"/>
        <w:gridCol w:w="180"/>
        <w:gridCol w:w="900"/>
        <w:gridCol w:w="180"/>
        <w:gridCol w:w="540"/>
        <w:gridCol w:w="996"/>
        <w:gridCol w:w="264"/>
        <w:gridCol w:w="900"/>
        <w:gridCol w:w="282"/>
        <w:gridCol w:w="1446"/>
      </w:tblGrid>
      <w:tr w14:paraId="00523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8" w:type="dxa"/>
            <w:noWrap w:val="0"/>
            <w:vAlign w:val="top"/>
          </w:tcPr>
          <w:p w14:paraId="1853BF82">
            <w:pPr>
              <w:tabs>
                <w:tab w:val="left" w:pos="993"/>
              </w:tabs>
              <w:spacing w:line="360" w:lineRule="auto"/>
              <w:jc w:val="center"/>
              <w:rPr>
                <w:color w:val="auto"/>
                <w:sz w:val="24"/>
                <w:highlight w:val="none"/>
              </w:rPr>
            </w:pPr>
            <w:r>
              <w:rPr>
                <w:rFonts w:hAnsi="宋体"/>
                <w:color w:val="auto"/>
                <w:sz w:val="24"/>
                <w:highlight w:val="none"/>
              </w:rPr>
              <w:t>姓名</w:t>
            </w:r>
          </w:p>
        </w:tc>
        <w:tc>
          <w:tcPr>
            <w:tcW w:w="2160" w:type="dxa"/>
            <w:gridSpan w:val="4"/>
            <w:noWrap w:val="0"/>
            <w:vAlign w:val="top"/>
          </w:tcPr>
          <w:p w14:paraId="697F5B90">
            <w:pPr>
              <w:tabs>
                <w:tab w:val="left" w:pos="993"/>
              </w:tabs>
              <w:spacing w:line="360" w:lineRule="auto"/>
              <w:jc w:val="center"/>
              <w:rPr>
                <w:color w:val="auto"/>
                <w:sz w:val="24"/>
                <w:highlight w:val="none"/>
              </w:rPr>
            </w:pPr>
          </w:p>
        </w:tc>
        <w:tc>
          <w:tcPr>
            <w:tcW w:w="1080" w:type="dxa"/>
            <w:gridSpan w:val="2"/>
            <w:noWrap w:val="0"/>
            <w:vAlign w:val="top"/>
          </w:tcPr>
          <w:p w14:paraId="7EE6A3F8">
            <w:pPr>
              <w:tabs>
                <w:tab w:val="left" w:pos="993"/>
              </w:tabs>
              <w:spacing w:line="360" w:lineRule="auto"/>
              <w:jc w:val="center"/>
              <w:rPr>
                <w:color w:val="auto"/>
                <w:sz w:val="24"/>
                <w:highlight w:val="none"/>
              </w:rPr>
            </w:pPr>
            <w:r>
              <w:rPr>
                <w:rFonts w:hAnsi="宋体"/>
                <w:color w:val="auto"/>
                <w:sz w:val="24"/>
                <w:highlight w:val="none"/>
              </w:rPr>
              <w:t>性别</w:t>
            </w:r>
          </w:p>
        </w:tc>
        <w:tc>
          <w:tcPr>
            <w:tcW w:w="1800" w:type="dxa"/>
            <w:gridSpan w:val="3"/>
            <w:noWrap w:val="0"/>
            <w:vAlign w:val="top"/>
          </w:tcPr>
          <w:p w14:paraId="61B60277">
            <w:pPr>
              <w:tabs>
                <w:tab w:val="left" w:pos="993"/>
              </w:tabs>
              <w:spacing w:line="360" w:lineRule="auto"/>
              <w:jc w:val="center"/>
              <w:rPr>
                <w:color w:val="auto"/>
                <w:sz w:val="24"/>
                <w:highlight w:val="none"/>
              </w:rPr>
            </w:pPr>
          </w:p>
        </w:tc>
        <w:tc>
          <w:tcPr>
            <w:tcW w:w="900" w:type="dxa"/>
            <w:noWrap w:val="0"/>
            <w:vAlign w:val="top"/>
          </w:tcPr>
          <w:p w14:paraId="58E69AA0">
            <w:pPr>
              <w:tabs>
                <w:tab w:val="left" w:pos="993"/>
              </w:tabs>
              <w:spacing w:line="360" w:lineRule="auto"/>
              <w:jc w:val="center"/>
              <w:rPr>
                <w:color w:val="auto"/>
                <w:sz w:val="24"/>
                <w:highlight w:val="none"/>
              </w:rPr>
            </w:pPr>
            <w:r>
              <w:rPr>
                <w:rFonts w:hAnsi="宋体"/>
                <w:color w:val="auto"/>
                <w:sz w:val="24"/>
                <w:highlight w:val="none"/>
              </w:rPr>
              <w:t>年龄</w:t>
            </w:r>
          </w:p>
        </w:tc>
        <w:tc>
          <w:tcPr>
            <w:tcW w:w="1728" w:type="dxa"/>
            <w:gridSpan w:val="2"/>
            <w:noWrap w:val="0"/>
            <w:vAlign w:val="top"/>
          </w:tcPr>
          <w:p w14:paraId="6932F65B">
            <w:pPr>
              <w:tabs>
                <w:tab w:val="left" w:pos="993"/>
              </w:tabs>
              <w:spacing w:line="360" w:lineRule="auto"/>
              <w:jc w:val="center"/>
              <w:rPr>
                <w:color w:val="auto"/>
                <w:sz w:val="24"/>
                <w:highlight w:val="none"/>
              </w:rPr>
            </w:pPr>
          </w:p>
        </w:tc>
      </w:tr>
      <w:tr w14:paraId="52ADC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8" w:type="dxa"/>
            <w:noWrap w:val="0"/>
            <w:vAlign w:val="top"/>
          </w:tcPr>
          <w:p w14:paraId="56B5CB8B">
            <w:pPr>
              <w:tabs>
                <w:tab w:val="left" w:pos="993"/>
              </w:tabs>
              <w:spacing w:line="360" w:lineRule="auto"/>
              <w:jc w:val="center"/>
              <w:rPr>
                <w:color w:val="auto"/>
                <w:sz w:val="24"/>
                <w:highlight w:val="none"/>
              </w:rPr>
            </w:pPr>
            <w:r>
              <w:rPr>
                <w:rFonts w:hAnsi="宋体"/>
                <w:color w:val="auto"/>
                <w:sz w:val="24"/>
                <w:highlight w:val="none"/>
              </w:rPr>
              <w:t>职务</w:t>
            </w:r>
          </w:p>
        </w:tc>
        <w:tc>
          <w:tcPr>
            <w:tcW w:w="2160" w:type="dxa"/>
            <w:gridSpan w:val="4"/>
            <w:noWrap w:val="0"/>
            <w:vAlign w:val="top"/>
          </w:tcPr>
          <w:p w14:paraId="292A7047">
            <w:pPr>
              <w:tabs>
                <w:tab w:val="left" w:pos="993"/>
              </w:tabs>
              <w:spacing w:line="360" w:lineRule="auto"/>
              <w:jc w:val="center"/>
              <w:rPr>
                <w:color w:val="auto"/>
                <w:sz w:val="24"/>
                <w:highlight w:val="none"/>
              </w:rPr>
            </w:pPr>
          </w:p>
        </w:tc>
        <w:tc>
          <w:tcPr>
            <w:tcW w:w="1080" w:type="dxa"/>
            <w:gridSpan w:val="2"/>
            <w:noWrap w:val="0"/>
            <w:vAlign w:val="top"/>
          </w:tcPr>
          <w:p w14:paraId="474B0B65">
            <w:pPr>
              <w:tabs>
                <w:tab w:val="left" w:pos="993"/>
              </w:tabs>
              <w:spacing w:line="360" w:lineRule="auto"/>
              <w:jc w:val="center"/>
              <w:rPr>
                <w:color w:val="auto"/>
                <w:sz w:val="24"/>
                <w:highlight w:val="none"/>
              </w:rPr>
            </w:pPr>
            <w:r>
              <w:rPr>
                <w:rFonts w:hAnsi="宋体"/>
                <w:color w:val="auto"/>
                <w:sz w:val="24"/>
                <w:highlight w:val="none"/>
              </w:rPr>
              <w:t>职称</w:t>
            </w:r>
          </w:p>
        </w:tc>
        <w:tc>
          <w:tcPr>
            <w:tcW w:w="1800" w:type="dxa"/>
            <w:gridSpan w:val="3"/>
            <w:noWrap w:val="0"/>
            <w:vAlign w:val="top"/>
          </w:tcPr>
          <w:p w14:paraId="753EDC93">
            <w:pPr>
              <w:tabs>
                <w:tab w:val="left" w:pos="993"/>
              </w:tabs>
              <w:spacing w:line="360" w:lineRule="auto"/>
              <w:jc w:val="center"/>
              <w:rPr>
                <w:color w:val="auto"/>
                <w:sz w:val="24"/>
                <w:highlight w:val="none"/>
              </w:rPr>
            </w:pPr>
          </w:p>
        </w:tc>
        <w:tc>
          <w:tcPr>
            <w:tcW w:w="900" w:type="dxa"/>
            <w:noWrap w:val="0"/>
            <w:vAlign w:val="top"/>
          </w:tcPr>
          <w:p w14:paraId="51F028F2">
            <w:pPr>
              <w:tabs>
                <w:tab w:val="left" w:pos="993"/>
              </w:tabs>
              <w:spacing w:line="360" w:lineRule="auto"/>
              <w:jc w:val="center"/>
              <w:rPr>
                <w:color w:val="auto"/>
                <w:sz w:val="24"/>
                <w:highlight w:val="none"/>
              </w:rPr>
            </w:pPr>
            <w:r>
              <w:rPr>
                <w:rFonts w:hAnsi="宋体"/>
                <w:color w:val="auto"/>
                <w:sz w:val="24"/>
                <w:highlight w:val="none"/>
              </w:rPr>
              <w:t>学历</w:t>
            </w:r>
          </w:p>
        </w:tc>
        <w:tc>
          <w:tcPr>
            <w:tcW w:w="1728" w:type="dxa"/>
            <w:gridSpan w:val="2"/>
            <w:noWrap w:val="0"/>
            <w:vAlign w:val="top"/>
          </w:tcPr>
          <w:p w14:paraId="0297FDB8">
            <w:pPr>
              <w:tabs>
                <w:tab w:val="left" w:pos="993"/>
              </w:tabs>
              <w:spacing w:line="360" w:lineRule="auto"/>
              <w:jc w:val="center"/>
              <w:rPr>
                <w:color w:val="auto"/>
                <w:sz w:val="24"/>
                <w:highlight w:val="none"/>
              </w:rPr>
            </w:pPr>
          </w:p>
        </w:tc>
      </w:tr>
      <w:tr w14:paraId="4DCCB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88" w:type="dxa"/>
            <w:gridSpan w:val="4"/>
            <w:noWrap w:val="0"/>
            <w:vAlign w:val="center"/>
          </w:tcPr>
          <w:p w14:paraId="1577B293">
            <w:pPr>
              <w:tabs>
                <w:tab w:val="left" w:pos="993"/>
              </w:tabs>
              <w:spacing w:line="360" w:lineRule="auto"/>
              <w:jc w:val="center"/>
              <w:rPr>
                <w:color w:val="auto"/>
                <w:sz w:val="24"/>
                <w:highlight w:val="none"/>
              </w:rPr>
            </w:pPr>
            <w:r>
              <w:rPr>
                <w:rFonts w:hAnsi="宋体"/>
                <w:color w:val="auto"/>
                <w:sz w:val="24"/>
                <w:highlight w:val="none"/>
              </w:rPr>
              <w:t>参加工作时间</w:t>
            </w:r>
          </w:p>
        </w:tc>
        <w:tc>
          <w:tcPr>
            <w:tcW w:w="1800" w:type="dxa"/>
            <w:gridSpan w:val="4"/>
            <w:noWrap w:val="0"/>
            <w:vAlign w:val="center"/>
          </w:tcPr>
          <w:p w14:paraId="0E5D4B8C">
            <w:pPr>
              <w:tabs>
                <w:tab w:val="left" w:pos="993"/>
              </w:tabs>
              <w:spacing w:line="360" w:lineRule="auto"/>
              <w:jc w:val="center"/>
              <w:rPr>
                <w:color w:val="auto"/>
                <w:sz w:val="24"/>
                <w:highlight w:val="none"/>
              </w:rPr>
            </w:pPr>
          </w:p>
        </w:tc>
        <w:tc>
          <w:tcPr>
            <w:tcW w:w="2442" w:type="dxa"/>
            <w:gridSpan w:val="4"/>
            <w:noWrap w:val="0"/>
            <w:vAlign w:val="center"/>
          </w:tcPr>
          <w:p w14:paraId="73DB9CCF">
            <w:pPr>
              <w:tabs>
                <w:tab w:val="left" w:pos="993"/>
              </w:tabs>
              <w:spacing w:line="360" w:lineRule="auto"/>
              <w:jc w:val="center"/>
              <w:rPr>
                <w:color w:val="auto"/>
                <w:sz w:val="24"/>
                <w:highlight w:val="none"/>
              </w:rPr>
            </w:pPr>
            <w:r>
              <w:rPr>
                <w:rFonts w:hAnsi="宋体"/>
                <w:color w:val="auto"/>
                <w:sz w:val="24"/>
                <w:highlight w:val="none"/>
              </w:rPr>
              <w:t>担任项目负责人年限</w:t>
            </w:r>
          </w:p>
        </w:tc>
        <w:tc>
          <w:tcPr>
            <w:tcW w:w="1446" w:type="dxa"/>
            <w:noWrap w:val="0"/>
            <w:vAlign w:val="top"/>
          </w:tcPr>
          <w:p w14:paraId="756AE7C5">
            <w:pPr>
              <w:tabs>
                <w:tab w:val="left" w:pos="993"/>
              </w:tabs>
              <w:spacing w:line="360" w:lineRule="auto"/>
              <w:jc w:val="center"/>
              <w:rPr>
                <w:color w:val="auto"/>
                <w:sz w:val="24"/>
                <w:highlight w:val="none"/>
              </w:rPr>
            </w:pPr>
          </w:p>
        </w:tc>
      </w:tr>
      <w:tr w14:paraId="2630A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88" w:type="dxa"/>
            <w:gridSpan w:val="4"/>
            <w:noWrap w:val="0"/>
            <w:vAlign w:val="top"/>
          </w:tcPr>
          <w:p w14:paraId="49AC3346">
            <w:pPr>
              <w:tabs>
                <w:tab w:val="left" w:pos="993"/>
              </w:tabs>
              <w:spacing w:line="360" w:lineRule="auto"/>
              <w:jc w:val="center"/>
              <w:rPr>
                <w:color w:val="auto"/>
                <w:sz w:val="24"/>
                <w:highlight w:val="none"/>
              </w:rPr>
            </w:pPr>
            <w:r>
              <w:rPr>
                <w:rFonts w:hAnsi="宋体"/>
                <w:color w:val="auto"/>
                <w:sz w:val="24"/>
                <w:highlight w:val="none"/>
              </w:rPr>
              <w:t>项目负责人注册证书编号</w:t>
            </w:r>
          </w:p>
        </w:tc>
        <w:tc>
          <w:tcPr>
            <w:tcW w:w="5688" w:type="dxa"/>
            <w:gridSpan w:val="9"/>
            <w:noWrap w:val="0"/>
            <w:vAlign w:val="top"/>
          </w:tcPr>
          <w:p w14:paraId="379B81AE">
            <w:pPr>
              <w:tabs>
                <w:tab w:val="left" w:pos="993"/>
              </w:tabs>
              <w:spacing w:line="360" w:lineRule="auto"/>
              <w:jc w:val="center"/>
              <w:rPr>
                <w:color w:val="auto"/>
                <w:sz w:val="24"/>
                <w:highlight w:val="none"/>
              </w:rPr>
            </w:pPr>
          </w:p>
        </w:tc>
      </w:tr>
      <w:tr w14:paraId="507EE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76" w:type="dxa"/>
            <w:gridSpan w:val="13"/>
            <w:noWrap w:val="0"/>
            <w:vAlign w:val="top"/>
          </w:tcPr>
          <w:p w14:paraId="19FC85AB">
            <w:pPr>
              <w:tabs>
                <w:tab w:val="left" w:pos="993"/>
              </w:tabs>
              <w:spacing w:line="360" w:lineRule="auto"/>
              <w:jc w:val="center"/>
              <w:rPr>
                <w:color w:val="auto"/>
                <w:sz w:val="24"/>
                <w:highlight w:val="none"/>
              </w:rPr>
            </w:pPr>
            <w:r>
              <w:rPr>
                <w:rFonts w:hAnsi="宋体"/>
                <w:color w:val="auto"/>
                <w:sz w:val="24"/>
                <w:highlight w:val="none"/>
              </w:rPr>
              <w:t>在建和已完工程项目情况</w:t>
            </w:r>
          </w:p>
        </w:tc>
      </w:tr>
      <w:tr w14:paraId="70207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43CB3A3A">
            <w:pPr>
              <w:tabs>
                <w:tab w:val="left" w:pos="993"/>
              </w:tabs>
              <w:spacing w:line="360" w:lineRule="auto"/>
              <w:jc w:val="center"/>
              <w:rPr>
                <w:color w:val="auto"/>
                <w:sz w:val="24"/>
                <w:highlight w:val="none"/>
              </w:rPr>
            </w:pPr>
            <w:r>
              <w:rPr>
                <w:rFonts w:hAnsi="宋体"/>
                <w:color w:val="auto"/>
                <w:sz w:val="24"/>
                <w:highlight w:val="none"/>
              </w:rPr>
              <w:t>建设单位</w:t>
            </w:r>
          </w:p>
        </w:tc>
        <w:tc>
          <w:tcPr>
            <w:tcW w:w="1446" w:type="dxa"/>
            <w:noWrap w:val="0"/>
            <w:vAlign w:val="top"/>
          </w:tcPr>
          <w:p w14:paraId="0EA8FEA6">
            <w:pPr>
              <w:tabs>
                <w:tab w:val="left" w:pos="993"/>
              </w:tabs>
              <w:spacing w:line="360" w:lineRule="auto"/>
              <w:jc w:val="center"/>
              <w:rPr>
                <w:color w:val="auto"/>
                <w:sz w:val="24"/>
                <w:highlight w:val="none"/>
              </w:rPr>
            </w:pPr>
            <w:r>
              <w:rPr>
                <w:rFonts w:hAnsi="宋体"/>
                <w:color w:val="auto"/>
                <w:sz w:val="24"/>
                <w:highlight w:val="none"/>
              </w:rPr>
              <w:t>项目名称</w:t>
            </w:r>
          </w:p>
        </w:tc>
        <w:tc>
          <w:tcPr>
            <w:tcW w:w="1176" w:type="dxa"/>
            <w:gridSpan w:val="3"/>
            <w:noWrap w:val="0"/>
            <w:vAlign w:val="top"/>
          </w:tcPr>
          <w:p w14:paraId="3397E0E5">
            <w:pPr>
              <w:tabs>
                <w:tab w:val="left" w:pos="993"/>
              </w:tabs>
              <w:spacing w:line="360" w:lineRule="auto"/>
              <w:jc w:val="center"/>
              <w:rPr>
                <w:color w:val="auto"/>
                <w:sz w:val="24"/>
                <w:highlight w:val="none"/>
              </w:rPr>
            </w:pPr>
            <w:r>
              <w:rPr>
                <w:rFonts w:hAnsi="宋体"/>
                <w:color w:val="auto"/>
                <w:sz w:val="24"/>
                <w:highlight w:val="none"/>
              </w:rPr>
              <w:t>建设规模</w:t>
            </w:r>
          </w:p>
        </w:tc>
        <w:tc>
          <w:tcPr>
            <w:tcW w:w="1716" w:type="dxa"/>
            <w:gridSpan w:val="3"/>
            <w:noWrap w:val="0"/>
            <w:vAlign w:val="top"/>
          </w:tcPr>
          <w:p w14:paraId="0F31F009">
            <w:pPr>
              <w:tabs>
                <w:tab w:val="left" w:pos="993"/>
              </w:tabs>
              <w:spacing w:line="360" w:lineRule="auto"/>
              <w:jc w:val="center"/>
              <w:rPr>
                <w:color w:val="auto"/>
                <w:sz w:val="24"/>
                <w:highlight w:val="none"/>
              </w:rPr>
            </w:pPr>
            <w:r>
              <w:rPr>
                <w:rFonts w:hAnsi="宋体"/>
                <w:color w:val="auto"/>
                <w:sz w:val="24"/>
                <w:highlight w:val="none"/>
              </w:rPr>
              <w:t>开、竣工日期</w:t>
            </w:r>
          </w:p>
        </w:tc>
        <w:tc>
          <w:tcPr>
            <w:tcW w:w="1446" w:type="dxa"/>
            <w:gridSpan w:val="3"/>
            <w:noWrap w:val="0"/>
            <w:vAlign w:val="top"/>
          </w:tcPr>
          <w:p w14:paraId="2766AF22">
            <w:pPr>
              <w:tabs>
                <w:tab w:val="left" w:pos="993"/>
              </w:tabs>
              <w:spacing w:line="360" w:lineRule="auto"/>
              <w:jc w:val="center"/>
              <w:rPr>
                <w:color w:val="auto"/>
                <w:sz w:val="24"/>
                <w:highlight w:val="none"/>
              </w:rPr>
            </w:pPr>
            <w:r>
              <w:rPr>
                <w:rFonts w:hAnsi="宋体"/>
                <w:color w:val="auto"/>
                <w:sz w:val="24"/>
                <w:highlight w:val="none"/>
              </w:rPr>
              <w:t>在建或已完</w:t>
            </w:r>
          </w:p>
        </w:tc>
        <w:tc>
          <w:tcPr>
            <w:tcW w:w="1446" w:type="dxa"/>
            <w:noWrap w:val="0"/>
            <w:vAlign w:val="top"/>
          </w:tcPr>
          <w:p w14:paraId="16F9EAE6">
            <w:pPr>
              <w:tabs>
                <w:tab w:val="left" w:pos="993"/>
              </w:tabs>
              <w:spacing w:line="360" w:lineRule="auto"/>
              <w:jc w:val="center"/>
              <w:rPr>
                <w:color w:val="auto"/>
                <w:sz w:val="24"/>
                <w:highlight w:val="none"/>
              </w:rPr>
            </w:pPr>
            <w:r>
              <w:rPr>
                <w:rFonts w:hAnsi="宋体"/>
                <w:color w:val="auto"/>
                <w:sz w:val="24"/>
                <w:highlight w:val="none"/>
              </w:rPr>
              <w:t>工程质量</w:t>
            </w:r>
          </w:p>
        </w:tc>
      </w:tr>
      <w:tr w14:paraId="1A627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6A73B9C8">
            <w:pPr>
              <w:tabs>
                <w:tab w:val="left" w:pos="993"/>
              </w:tabs>
              <w:spacing w:line="360" w:lineRule="auto"/>
              <w:jc w:val="center"/>
              <w:rPr>
                <w:color w:val="auto"/>
                <w:sz w:val="24"/>
                <w:highlight w:val="none"/>
              </w:rPr>
            </w:pPr>
          </w:p>
        </w:tc>
        <w:tc>
          <w:tcPr>
            <w:tcW w:w="1446" w:type="dxa"/>
            <w:noWrap w:val="0"/>
            <w:vAlign w:val="top"/>
          </w:tcPr>
          <w:p w14:paraId="3245B5FA">
            <w:pPr>
              <w:tabs>
                <w:tab w:val="left" w:pos="993"/>
              </w:tabs>
              <w:spacing w:line="360" w:lineRule="auto"/>
              <w:jc w:val="center"/>
              <w:rPr>
                <w:color w:val="auto"/>
                <w:sz w:val="24"/>
                <w:highlight w:val="none"/>
              </w:rPr>
            </w:pPr>
          </w:p>
        </w:tc>
        <w:tc>
          <w:tcPr>
            <w:tcW w:w="1176" w:type="dxa"/>
            <w:gridSpan w:val="3"/>
            <w:noWrap w:val="0"/>
            <w:vAlign w:val="top"/>
          </w:tcPr>
          <w:p w14:paraId="7F57B42B">
            <w:pPr>
              <w:tabs>
                <w:tab w:val="left" w:pos="993"/>
              </w:tabs>
              <w:spacing w:line="360" w:lineRule="auto"/>
              <w:jc w:val="center"/>
              <w:rPr>
                <w:color w:val="auto"/>
                <w:sz w:val="24"/>
                <w:highlight w:val="none"/>
              </w:rPr>
            </w:pPr>
          </w:p>
        </w:tc>
        <w:tc>
          <w:tcPr>
            <w:tcW w:w="1716" w:type="dxa"/>
            <w:gridSpan w:val="3"/>
            <w:noWrap w:val="0"/>
            <w:vAlign w:val="top"/>
          </w:tcPr>
          <w:p w14:paraId="6A9E6A21">
            <w:pPr>
              <w:tabs>
                <w:tab w:val="left" w:pos="993"/>
              </w:tabs>
              <w:spacing w:line="360" w:lineRule="auto"/>
              <w:jc w:val="center"/>
              <w:rPr>
                <w:color w:val="auto"/>
                <w:sz w:val="24"/>
                <w:highlight w:val="none"/>
              </w:rPr>
            </w:pPr>
          </w:p>
        </w:tc>
        <w:tc>
          <w:tcPr>
            <w:tcW w:w="1446" w:type="dxa"/>
            <w:gridSpan w:val="3"/>
            <w:noWrap w:val="0"/>
            <w:vAlign w:val="top"/>
          </w:tcPr>
          <w:p w14:paraId="4E5827F9">
            <w:pPr>
              <w:tabs>
                <w:tab w:val="left" w:pos="993"/>
              </w:tabs>
              <w:spacing w:line="360" w:lineRule="auto"/>
              <w:jc w:val="center"/>
              <w:rPr>
                <w:color w:val="auto"/>
                <w:sz w:val="24"/>
                <w:highlight w:val="none"/>
              </w:rPr>
            </w:pPr>
          </w:p>
        </w:tc>
        <w:tc>
          <w:tcPr>
            <w:tcW w:w="1446" w:type="dxa"/>
            <w:noWrap w:val="0"/>
            <w:vAlign w:val="top"/>
          </w:tcPr>
          <w:p w14:paraId="54CAC3D8">
            <w:pPr>
              <w:tabs>
                <w:tab w:val="left" w:pos="993"/>
              </w:tabs>
              <w:spacing w:line="360" w:lineRule="auto"/>
              <w:jc w:val="center"/>
              <w:rPr>
                <w:color w:val="auto"/>
                <w:sz w:val="24"/>
                <w:highlight w:val="none"/>
              </w:rPr>
            </w:pPr>
          </w:p>
        </w:tc>
      </w:tr>
      <w:tr w14:paraId="657DC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75C5270F">
            <w:pPr>
              <w:tabs>
                <w:tab w:val="left" w:pos="993"/>
              </w:tabs>
              <w:spacing w:line="360" w:lineRule="auto"/>
              <w:jc w:val="center"/>
              <w:rPr>
                <w:color w:val="auto"/>
                <w:sz w:val="24"/>
                <w:highlight w:val="none"/>
              </w:rPr>
            </w:pPr>
          </w:p>
        </w:tc>
        <w:tc>
          <w:tcPr>
            <w:tcW w:w="1446" w:type="dxa"/>
            <w:noWrap w:val="0"/>
            <w:vAlign w:val="top"/>
          </w:tcPr>
          <w:p w14:paraId="1BBC594B">
            <w:pPr>
              <w:tabs>
                <w:tab w:val="left" w:pos="993"/>
              </w:tabs>
              <w:spacing w:line="360" w:lineRule="auto"/>
              <w:jc w:val="center"/>
              <w:rPr>
                <w:color w:val="auto"/>
                <w:sz w:val="24"/>
                <w:highlight w:val="none"/>
              </w:rPr>
            </w:pPr>
          </w:p>
        </w:tc>
        <w:tc>
          <w:tcPr>
            <w:tcW w:w="1176" w:type="dxa"/>
            <w:gridSpan w:val="3"/>
            <w:noWrap w:val="0"/>
            <w:vAlign w:val="top"/>
          </w:tcPr>
          <w:p w14:paraId="15648675">
            <w:pPr>
              <w:tabs>
                <w:tab w:val="left" w:pos="993"/>
              </w:tabs>
              <w:spacing w:line="360" w:lineRule="auto"/>
              <w:jc w:val="center"/>
              <w:rPr>
                <w:color w:val="auto"/>
                <w:sz w:val="24"/>
                <w:highlight w:val="none"/>
              </w:rPr>
            </w:pPr>
          </w:p>
        </w:tc>
        <w:tc>
          <w:tcPr>
            <w:tcW w:w="1716" w:type="dxa"/>
            <w:gridSpan w:val="3"/>
            <w:noWrap w:val="0"/>
            <w:vAlign w:val="top"/>
          </w:tcPr>
          <w:p w14:paraId="2091AEFB">
            <w:pPr>
              <w:tabs>
                <w:tab w:val="left" w:pos="993"/>
              </w:tabs>
              <w:spacing w:line="360" w:lineRule="auto"/>
              <w:jc w:val="center"/>
              <w:rPr>
                <w:color w:val="auto"/>
                <w:sz w:val="24"/>
                <w:highlight w:val="none"/>
              </w:rPr>
            </w:pPr>
          </w:p>
        </w:tc>
        <w:tc>
          <w:tcPr>
            <w:tcW w:w="1446" w:type="dxa"/>
            <w:gridSpan w:val="3"/>
            <w:noWrap w:val="0"/>
            <w:vAlign w:val="top"/>
          </w:tcPr>
          <w:p w14:paraId="4DD06B7A">
            <w:pPr>
              <w:tabs>
                <w:tab w:val="left" w:pos="993"/>
              </w:tabs>
              <w:spacing w:line="360" w:lineRule="auto"/>
              <w:jc w:val="center"/>
              <w:rPr>
                <w:color w:val="auto"/>
                <w:sz w:val="24"/>
                <w:highlight w:val="none"/>
              </w:rPr>
            </w:pPr>
          </w:p>
        </w:tc>
        <w:tc>
          <w:tcPr>
            <w:tcW w:w="1446" w:type="dxa"/>
            <w:noWrap w:val="0"/>
            <w:vAlign w:val="top"/>
          </w:tcPr>
          <w:p w14:paraId="3CEE7DEE">
            <w:pPr>
              <w:tabs>
                <w:tab w:val="left" w:pos="993"/>
              </w:tabs>
              <w:spacing w:line="360" w:lineRule="auto"/>
              <w:jc w:val="center"/>
              <w:rPr>
                <w:color w:val="auto"/>
                <w:sz w:val="24"/>
                <w:highlight w:val="none"/>
              </w:rPr>
            </w:pPr>
          </w:p>
        </w:tc>
      </w:tr>
      <w:tr w14:paraId="7B4E6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47E54778">
            <w:pPr>
              <w:tabs>
                <w:tab w:val="left" w:pos="993"/>
              </w:tabs>
              <w:spacing w:line="360" w:lineRule="auto"/>
              <w:jc w:val="center"/>
              <w:rPr>
                <w:color w:val="auto"/>
                <w:sz w:val="24"/>
                <w:highlight w:val="none"/>
              </w:rPr>
            </w:pPr>
          </w:p>
        </w:tc>
        <w:tc>
          <w:tcPr>
            <w:tcW w:w="1446" w:type="dxa"/>
            <w:noWrap w:val="0"/>
            <w:vAlign w:val="top"/>
          </w:tcPr>
          <w:p w14:paraId="4301A7E6">
            <w:pPr>
              <w:tabs>
                <w:tab w:val="left" w:pos="993"/>
              </w:tabs>
              <w:spacing w:line="360" w:lineRule="auto"/>
              <w:jc w:val="center"/>
              <w:rPr>
                <w:color w:val="auto"/>
                <w:sz w:val="24"/>
                <w:highlight w:val="none"/>
              </w:rPr>
            </w:pPr>
          </w:p>
        </w:tc>
        <w:tc>
          <w:tcPr>
            <w:tcW w:w="1176" w:type="dxa"/>
            <w:gridSpan w:val="3"/>
            <w:noWrap w:val="0"/>
            <w:vAlign w:val="top"/>
          </w:tcPr>
          <w:p w14:paraId="55B35350">
            <w:pPr>
              <w:tabs>
                <w:tab w:val="left" w:pos="993"/>
              </w:tabs>
              <w:spacing w:line="360" w:lineRule="auto"/>
              <w:jc w:val="center"/>
              <w:rPr>
                <w:color w:val="auto"/>
                <w:sz w:val="24"/>
                <w:highlight w:val="none"/>
              </w:rPr>
            </w:pPr>
          </w:p>
        </w:tc>
        <w:tc>
          <w:tcPr>
            <w:tcW w:w="1716" w:type="dxa"/>
            <w:gridSpan w:val="3"/>
            <w:noWrap w:val="0"/>
            <w:vAlign w:val="top"/>
          </w:tcPr>
          <w:p w14:paraId="36324475">
            <w:pPr>
              <w:tabs>
                <w:tab w:val="left" w:pos="993"/>
              </w:tabs>
              <w:spacing w:line="360" w:lineRule="auto"/>
              <w:jc w:val="center"/>
              <w:rPr>
                <w:color w:val="auto"/>
                <w:sz w:val="24"/>
                <w:highlight w:val="none"/>
              </w:rPr>
            </w:pPr>
          </w:p>
        </w:tc>
        <w:tc>
          <w:tcPr>
            <w:tcW w:w="1446" w:type="dxa"/>
            <w:gridSpan w:val="3"/>
            <w:noWrap w:val="0"/>
            <w:vAlign w:val="top"/>
          </w:tcPr>
          <w:p w14:paraId="666C9F7A">
            <w:pPr>
              <w:tabs>
                <w:tab w:val="left" w:pos="993"/>
              </w:tabs>
              <w:spacing w:line="360" w:lineRule="auto"/>
              <w:jc w:val="center"/>
              <w:rPr>
                <w:color w:val="auto"/>
                <w:sz w:val="24"/>
                <w:highlight w:val="none"/>
              </w:rPr>
            </w:pPr>
          </w:p>
        </w:tc>
        <w:tc>
          <w:tcPr>
            <w:tcW w:w="1446" w:type="dxa"/>
            <w:noWrap w:val="0"/>
            <w:vAlign w:val="top"/>
          </w:tcPr>
          <w:p w14:paraId="366AE060">
            <w:pPr>
              <w:tabs>
                <w:tab w:val="left" w:pos="993"/>
              </w:tabs>
              <w:spacing w:line="360" w:lineRule="auto"/>
              <w:jc w:val="center"/>
              <w:rPr>
                <w:color w:val="auto"/>
                <w:sz w:val="24"/>
                <w:highlight w:val="none"/>
              </w:rPr>
            </w:pPr>
          </w:p>
        </w:tc>
      </w:tr>
      <w:tr w14:paraId="0FE05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608351EE">
            <w:pPr>
              <w:tabs>
                <w:tab w:val="left" w:pos="993"/>
              </w:tabs>
              <w:spacing w:line="360" w:lineRule="auto"/>
              <w:jc w:val="center"/>
              <w:rPr>
                <w:color w:val="auto"/>
                <w:sz w:val="24"/>
                <w:highlight w:val="none"/>
              </w:rPr>
            </w:pPr>
          </w:p>
        </w:tc>
        <w:tc>
          <w:tcPr>
            <w:tcW w:w="1446" w:type="dxa"/>
            <w:noWrap w:val="0"/>
            <w:vAlign w:val="top"/>
          </w:tcPr>
          <w:p w14:paraId="01E57ACD">
            <w:pPr>
              <w:tabs>
                <w:tab w:val="left" w:pos="993"/>
              </w:tabs>
              <w:spacing w:line="360" w:lineRule="auto"/>
              <w:jc w:val="center"/>
              <w:rPr>
                <w:color w:val="auto"/>
                <w:sz w:val="24"/>
                <w:highlight w:val="none"/>
              </w:rPr>
            </w:pPr>
          </w:p>
        </w:tc>
        <w:tc>
          <w:tcPr>
            <w:tcW w:w="1176" w:type="dxa"/>
            <w:gridSpan w:val="3"/>
            <w:noWrap w:val="0"/>
            <w:vAlign w:val="top"/>
          </w:tcPr>
          <w:p w14:paraId="2E38AF0C">
            <w:pPr>
              <w:tabs>
                <w:tab w:val="left" w:pos="993"/>
              </w:tabs>
              <w:spacing w:line="360" w:lineRule="auto"/>
              <w:jc w:val="center"/>
              <w:rPr>
                <w:color w:val="auto"/>
                <w:sz w:val="24"/>
                <w:highlight w:val="none"/>
              </w:rPr>
            </w:pPr>
          </w:p>
        </w:tc>
        <w:tc>
          <w:tcPr>
            <w:tcW w:w="1716" w:type="dxa"/>
            <w:gridSpan w:val="3"/>
            <w:noWrap w:val="0"/>
            <w:vAlign w:val="top"/>
          </w:tcPr>
          <w:p w14:paraId="71F8EC46">
            <w:pPr>
              <w:tabs>
                <w:tab w:val="left" w:pos="993"/>
              </w:tabs>
              <w:spacing w:line="360" w:lineRule="auto"/>
              <w:jc w:val="center"/>
              <w:rPr>
                <w:color w:val="auto"/>
                <w:sz w:val="24"/>
                <w:highlight w:val="none"/>
              </w:rPr>
            </w:pPr>
          </w:p>
        </w:tc>
        <w:tc>
          <w:tcPr>
            <w:tcW w:w="1446" w:type="dxa"/>
            <w:gridSpan w:val="3"/>
            <w:noWrap w:val="0"/>
            <w:vAlign w:val="top"/>
          </w:tcPr>
          <w:p w14:paraId="0A9BD4A9">
            <w:pPr>
              <w:tabs>
                <w:tab w:val="left" w:pos="993"/>
              </w:tabs>
              <w:spacing w:line="360" w:lineRule="auto"/>
              <w:jc w:val="center"/>
              <w:rPr>
                <w:color w:val="auto"/>
                <w:sz w:val="24"/>
                <w:highlight w:val="none"/>
              </w:rPr>
            </w:pPr>
          </w:p>
        </w:tc>
        <w:tc>
          <w:tcPr>
            <w:tcW w:w="1446" w:type="dxa"/>
            <w:noWrap w:val="0"/>
            <w:vAlign w:val="top"/>
          </w:tcPr>
          <w:p w14:paraId="22D6EF77">
            <w:pPr>
              <w:tabs>
                <w:tab w:val="left" w:pos="993"/>
              </w:tabs>
              <w:spacing w:line="360" w:lineRule="auto"/>
              <w:jc w:val="center"/>
              <w:rPr>
                <w:color w:val="auto"/>
                <w:sz w:val="24"/>
                <w:highlight w:val="none"/>
              </w:rPr>
            </w:pPr>
          </w:p>
        </w:tc>
      </w:tr>
      <w:tr w14:paraId="14A6F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39F87F83">
            <w:pPr>
              <w:tabs>
                <w:tab w:val="left" w:pos="993"/>
              </w:tabs>
              <w:spacing w:line="360" w:lineRule="auto"/>
              <w:jc w:val="center"/>
              <w:rPr>
                <w:color w:val="auto"/>
                <w:sz w:val="24"/>
                <w:highlight w:val="none"/>
              </w:rPr>
            </w:pPr>
          </w:p>
        </w:tc>
        <w:tc>
          <w:tcPr>
            <w:tcW w:w="1446" w:type="dxa"/>
            <w:noWrap w:val="0"/>
            <w:vAlign w:val="top"/>
          </w:tcPr>
          <w:p w14:paraId="6679B906">
            <w:pPr>
              <w:tabs>
                <w:tab w:val="left" w:pos="993"/>
              </w:tabs>
              <w:spacing w:line="360" w:lineRule="auto"/>
              <w:jc w:val="center"/>
              <w:rPr>
                <w:color w:val="auto"/>
                <w:sz w:val="24"/>
                <w:highlight w:val="none"/>
              </w:rPr>
            </w:pPr>
          </w:p>
        </w:tc>
        <w:tc>
          <w:tcPr>
            <w:tcW w:w="1176" w:type="dxa"/>
            <w:gridSpan w:val="3"/>
            <w:noWrap w:val="0"/>
            <w:vAlign w:val="top"/>
          </w:tcPr>
          <w:p w14:paraId="48713FB5">
            <w:pPr>
              <w:tabs>
                <w:tab w:val="left" w:pos="993"/>
              </w:tabs>
              <w:spacing w:line="360" w:lineRule="auto"/>
              <w:jc w:val="center"/>
              <w:rPr>
                <w:color w:val="auto"/>
                <w:sz w:val="24"/>
                <w:highlight w:val="none"/>
              </w:rPr>
            </w:pPr>
          </w:p>
        </w:tc>
        <w:tc>
          <w:tcPr>
            <w:tcW w:w="1716" w:type="dxa"/>
            <w:gridSpan w:val="3"/>
            <w:noWrap w:val="0"/>
            <w:vAlign w:val="top"/>
          </w:tcPr>
          <w:p w14:paraId="5508611C">
            <w:pPr>
              <w:tabs>
                <w:tab w:val="left" w:pos="993"/>
              </w:tabs>
              <w:spacing w:line="360" w:lineRule="auto"/>
              <w:jc w:val="center"/>
              <w:rPr>
                <w:color w:val="auto"/>
                <w:sz w:val="24"/>
                <w:highlight w:val="none"/>
              </w:rPr>
            </w:pPr>
          </w:p>
        </w:tc>
        <w:tc>
          <w:tcPr>
            <w:tcW w:w="1446" w:type="dxa"/>
            <w:gridSpan w:val="3"/>
            <w:noWrap w:val="0"/>
            <w:vAlign w:val="top"/>
          </w:tcPr>
          <w:p w14:paraId="28A1E51B">
            <w:pPr>
              <w:tabs>
                <w:tab w:val="left" w:pos="993"/>
              </w:tabs>
              <w:spacing w:line="360" w:lineRule="auto"/>
              <w:jc w:val="center"/>
              <w:rPr>
                <w:color w:val="auto"/>
                <w:sz w:val="24"/>
                <w:highlight w:val="none"/>
              </w:rPr>
            </w:pPr>
          </w:p>
        </w:tc>
        <w:tc>
          <w:tcPr>
            <w:tcW w:w="1446" w:type="dxa"/>
            <w:noWrap w:val="0"/>
            <w:vAlign w:val="top"/>
          </w:tcPr>
          <w:p w14:paraId="27D6693E">
            <w:pPr>
              <w:tabs>
                <w:tab w:val="left" w:pos="993"/>
              </w:tabs>
              <w:spacing w:line="360" w:lineRule="auto"/>
              <w:jc w:val="center"/>
              <w:rPr>
                <w:color w:val="auto"/>
                <w:sz w:val="24"/>
                <w:highlight w:val="none"/>
              </w:rPr>
            </w:pPr>
          </w:p>
        </w:tc>
      </w:tr>
      <w:tr w14:paraId="54DF3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1A057F63">
            <w:pPr>
              <w:tabs>
                <w:tab w:val="left" w:pos="993"/>
              </w:tabs>
              <w:spacing w:line="360" w:lineRule="auto"/>
              <w:jc w:val="center"/>
              <w:rPr>
                <w:color w:val="auto"/>
                <w:sz w:val="24"/>
                <w:highlight w:val="none"/>
              </w:rPr>
            </w:pPr>
          </w:p>
        </w:tc>
        <w:tc>
          <w:tcPr>
            <w:tcW w:w="1446" w:type="dxa"/>
            <w:noWrap w:val="0"/>
            <w:vAlign w:val="top"/>
          </w:tcPr>
          <w:p w14:paraId="4B90FDBC">
            <w:pPr>
              <w:tabs>
                <w:tab w:val="left" w:pos="993"/>
              </w:tabs>
              <w:spacing w:line="360" w:lineRule="auto"/>
              <w:jc w:val="center"/>
              <w:rPr>
                <w:color w:val="auto"/>
                <w:sz w:val="24"/>
                <w:highlight w:val="none"/>
              </w:rPr>
            </w:pPr>
          </w:p>
        </w:tc>
        <w:tc>
          <w:tcPr>
            <w:tcW w:w="1176" w:type="dxa"/>
            <w:gridSpan w:val="3"/>
            <w:noWrap w:val="0"/>
            <w:vAlign w:val="top"/>
          </w:tcPr>
          <w:p w14:paraId="312B40EB">
            <w:pPr>
              <w:tabs>
                <w:tab w:val="left" w:pos="993"/>
              </w:tabs>
              <w:spacing w:line="360" w:lineRule="auto"/>
              <w:jc w:val="center"/>
              <w:rPr>
                <w:color w:val="auto"/>
                <w:sz w:val="24"/>
                <w:highlight w:val="none"/>
              </w:rPr>
            </w:pPr>
          </w:p>
        </w:tc>
        <w:tc>
          <w:tcPr>
            <w:tcW w:w="1716" w:type="dxa"/>
            <w:gridSpan w:val="3"/>
            <w:noWrap w:val="0"/>
            <w:vAlign w:val="top"/>
          </w:tcPr>
          <w:p w14:paraId="48C0C67A">
            <w:pPr>
              <w:tabs>
                <w:tab w:val="left" w:pos="993"/>
              </w:tabs>
              <w:spacing w:line="360" w:lineRule="auto"/>
              <w:jc w:val="center"/>
              <w:rPr>
                <w:color w:val="auto"/>
                <w:sz w:val="24"/>
                <w:highlight w:val="none"/>
              </w:rPr>
            </w:pPr>
          </w:p>
        </w:tc>
        <w:tc>
          <w:tcPr>
            <w:tcW w:w="1446" w:type="dxa"/>
            <w:gridSpan w:val="3"/>
            <w:noWrap w:val="0"/>
            <w:vAlign w:val="top"/>
          </w:tcPr>
          <w:p w14:paraId="6C77F342">
            <w:pPr>
              <w:tabs>
                <w:tab w:val="left" w:pos="993"/>
              </w:tabs>
              <w:spacing w:line="360" w:lineRule="auto"/>
              <w:jc w:val="center"/>
              <w:rPr>
                <w:color w:val="auto"/>
                <w:sz w:val="24"/>
                <w:highlight w:val="none"/>
              </w:rPr>
            </w:pPr>
          </w:p>
        </w:tc>
        <w:tc>
          <w:tcPr>
            <w:tcW w:w="1446" w:type="dxa"/>
            <w:noWrap w:val="0"/>
            <w:vAlign w:val="top"/>
          </w:tcPr>
          <w:p w14:paraId="75611D95">
            <w:pPr>
              <w:tabs>
                <w:tab w:val="left" w:pos="993"/>
              </w:tabs>
              <w:spacing w:line="360" w:lineRule="auto"/>
              <w:jc w:val="center"/>
              <w:rPr>
                <w:color w:val="auto"/>
                <w:sz w:val="24"/>
                <w:highlight w:val="none"/>
              </w:rPr>
            </w:pPr>
          </w:p>
        </w:tc>
      </w:tr>
      <w:tr w14:paraId="1F70A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7CF92369">
            <w:pPr>
              <w:tabs>
                <w:tab w:val="left" w:pos="993"/>
              </w:tabs>
              <w:spacing w:line="360" w:lineRule="auto"/>
              <w:jc w:val="center"/>
              <w:rPr>
                <w:color w:val="auto"/>
                <w:sz w:val="24"/>
                <w:highlight w:val="none"/>
              </w:rPr>
            </w:pPr>
          </w:p>
        </w:tc>
        <w:tc>
          <w:tcPr>
            <w:tcW w:w="1446" w:type="dxa"/>
            <w:noWrap w:val="0"/>
            <w:vAlign w:val="top"/>
          </w:tcPr>
          <w:p w14:paraId="33ED50E9">
            <w:pPr>
              <w:tabs>
                <w:tab w:val="left" w:pos="993"/>
              </w:tabs>
              <w:spacing w:line="360" w:lineRule="auto"/>
              <w:jc w:val="center"/>
              <w:rPr>
                <w:color w:val="auto"/>
                <w:sz w:val="24"/>
                <w:highlight w:val="none"/>
              </w:rPr>
            </w:pPr>
          </w:p>
        </w:tc>
        <w:tc>
          <w:tcPr>
            <w:tcW w:w="1176" w:type="dxa"/>
            <w:gridSpan w:val="3"/>
            <w:noWrap w:val="0"/>
            <w:vAlign w:val="top"/>
          </w:tcPr>
          <w:p w14:paraId="586D7A97">
            <w:pPr>
              <w:tabs>
                <w:tab w:val="left" w:pos="993"/>
              </w:tabs>
              <w:spacing w:line="360" w:lineRule="auto"/>
              <w:jc w:val="center"/>
              <w:rPr>
                <w:color w:val="auto"/>
                <w:sz w:val="24"/>
                <w:highlight w:val="none"/>
              </w:rPr>
            </w:pPr>
          </w:p>
        </w:tc>
        <w:tc>
          <w:tcPr>
            <w:tcW w:w="1716" w:type="dxa"/>
            <w:gridSpan w:val="3"/>
            <w:noWrap w:val="0"/>
            <w:vAlign w:val="top"/>
          </w:tcPr>
          <w:p w14:paraId="6328D83C">
            <w:pPr>
              <w:tabs>
                <w:tab w:val="left" w:pos="993"/>
              </w:tabs>
              <w:spacing w:line="360" w:lineRule="auto"/>
              <w:jc w:val="center"/>
              <w:rPr>
                <w:color w:val="auto"/>
                <w:sz w:val="24"/>
                <w:highlight w:val="none"/>
              </w:rPr>
            </w:pPr>
          </w:p>
        </w:tc>
        <w:tc>
          <w:tcPr>
            <w:tcW w:w="1446" w:type="dxa"/>
            <w:gridSpan w:val="3"/>
            <w:noWrap w:val="0"/>
            <w:vAlign w:val="top"/>
          </w:tcPr>
          <w:p w14:paraId="52BC22C9">
            <w:pPr>
              <w:tabs>
                <w:tab w:val="left" w:pos="993"/>
              </w:tabs>
              <w:spacing w:line="360" w:lineRule="auto"/>
              <w:jc w:val="center"/>
              <w:rPr>
                <w:color w:val="auto"/>
                <w:sz w:val="24"/>
                <w:highlight w:val="none"/>
              </w:rPr>
            </w:pPr>
          </w:p>
        </w:tc>
        <w:tc>
          <w:tcPr>
            <w:tcW w:w="1446" w:type="dxa"/>
            <w:noWrap w:val="0"/>
            <w:vAlign w:val="top"/>
          </w:tcPr>
          <w:p w14:paraId="66928D98">
            <w:pPr>
              <w:tabs>
                <w:tab w:val="left" w:pos="993"/>
              </w:tabs>
              <w:spacing w:line="360" w:lineRule="auto"/>
              <w:jc w:val="center"/>
              <w:rPr>
                <w:color w:val="auto"/>
                <w:sz w:val="24"/>
                <w:highlight w:val="none"/>
              </w:rPr>
            </w:pPr>
          </w:p>
        </w:tc>
      </w:tr>
      <w:tr w14:paraId="31FDB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76BA0689">
            <w:pPr>
              <w:tabs>
                <w:tab w:val="left" w:pos="993"/>
              </w:tabs>
              <w:spacing w:line="360" w:lineRule="auto"/>
              <w:jc w:val="center"/>
              <w:rPr>
                <w:color w:val="auto"/>
                <w:sz w:val="24"/>
                <w:highlight w:val="none"/>
              </w:rPr>
            </w:pPr>
          </w:p>
        </w:tc>
        <w:tc>
          <w:tcPr>
            <w:tcW w:w="1446" w:type="dxa"/>
            <w:noWrap w:val="0"/>
            <w:vAlign w:val="top"/>
          </w:tcPr>
          <w:p w14:paraId="6014FB8E">
            <w:pPr>
              <w:tabs>
                <w:tab w:val="left" w:pos="993"/>
              </w:tabs>
              <w:spacing w:line="360" w:lineRule="auto"/>
              <w:jc w:val="center"/>
              <w:rPr>
                <w:color w:val="auto"/>
                <w:sz w:val="24"/>
                <w:highlight w:val="none"/>
              </w:rPr>
            </w:pPr>
          </w:p>
        </w:tc>
        <w:tc>
          <w:tcPr>
            <w:tcW w:w="1176" w:type="dxa"/>
            <w:gridSpan w:val="3"/>
            <w:noWrap w:val="0"/>
            <w:vAlign w:val="top"/>
          </w:tcPr>
          <w:p w14:paraId="65460BE4">
            <w:pPr>
              <w:tabs>
                <w:tab w:val="left" w:pos="993"/>
              </w:tabs>
              <w:spacing w:line="360" w:lineRule="auto"/>
              <w:jc w:val="center"/>
              <w:rPr>
                <w:color w:val="auto"/>
                <w:sz w:val="24"/>
                <w:highlight w:val="none"/>
              </w:rPr>
            </w:pPr>
          </w:p>
        </w:tc>
        <w:tc>
          <w:tcPr>
            <w:tcW w:w="1716" w:type="dxa"/>
            <w:gridSpan w:val="3"/>
            <w:noWrap w:val="0"/>
            <w:vAlign w:val="top"/>
          </w:tcPr>
          <w:p w14:paraId="0290CA5D">
            <w:pPr>
              <w:tabs>
                <w:tab w:val="left" w:pos="993"/>
              </w:tabs>
              <w:spacing w:line="360" w:lineRule="auto"/>
              <w:jc w:val="center"/>
              <w:rPr>
                <w:color w:val="auto"/>
                <w:sz w:val="24"/>
                <w:highlight w:val="none"/>
              </w:rPr>
            </w:pPr>
          </w:p>
        </w:tc>
        <w:tc>
          <w:tcPr>
            <w:tcW w:w="1446" w:type="dxa"/>
            <w:gridSpan w:val="3"/>
            <w:noWrap w:val="0"/>
            <w:vAlign w:val="top"/>
          </w:tcPr>
          <w:p w14:paraId="462C80EF">
            <w:pPr>
              <w:tabs>
                <w:tab w:val="left" w:pos="993"/>
              </w:tabs>
              <w:spacing w:line="360" w:lineRule="auto"/>
              <w:jc w:val="center"/>
              <w:rPr>
                <w:color w:val="auto"/>
                <w:sz w:val="24"/>
                <w:highlight w:val="none"/>
              </w:rPr>
            </w:pPr>
          </w:p>
        </w:tc>
        <w:tc>
          <w:tcPr>
            <w:tcW w:w="1446" w:type="dxa"/>
            <w:noWrap w:val="0"/>
            <w:vAlign w:val="top"/>
          </w:tcPr>
          <w:p w14:paraId="5D91C485">
            <w:pPr>
              <w:tabs>
                <w:tab w:val="left" w:pos="993"/>
              </w:tabs>
              <w:spacing w:line="360" w:lineRule="auto"/>
              <w:jc w:val="center"/>
              <w:rPr>
                <w:color w:val="auto"/>
                <w:sz w:val="24"/>
                <w:highlight w:val="none"/>
              </w:rPr>
            </w:pPr>
          </w:p>
        </w:tc>
      </w:tr>
      <w:tr w14:paraId="3AEBE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28B10C57">
            <w:pPr>
              <w:tabs>
                <w:tab w:val="left" w:pos="993"/>
              </w:tabs>
              <w:spacing w:line="360" w:lineRule="auto"/>
              <w:jc w:val="center"/>
              <w:rPr>
                <w:color w:val="auto"/>
                <w:sz w:val="24"/>
                <w:highlight w:val="none"/>
              </w:rPr>
            </w:pPr>
          </w:p>
        </w:tc>
        <w:tc>
          <w:tcPr>
            <w:tcW w:w="1446" w:type="dxa"/>
            <w:noWrap w:val="0"/>
            <w:vAlign w:val="top"/>
          </w:tcPr>
          <w:p w14:paraId="651378A6">
            <w:pPr>
              <w:tabs>
                <w:tab w:val="left" w:pos="993"/>
              </w:tabs>
              <w:spacing w:line="360" w:lineRule="auto"/>
              <w:jc w:val="center"/>
              <w:rPr>
                <w:color w:val="auto"/>
                <w:sz w:val="24"/>
                <w:highlight w:val="none"/>
              </w:rPr>
            </w:pPr>
          </w:p>
        </w:tc>
        <w:tc>
          <w:tcPr>
            <w:tcW w:w="1176" w:type="dxa"/>
            <w:gridSpan w:val="3"/>
            <w:noWrap w:val="0"/>
            <w:vAlign w:val="top"/>
          </w:tcPr>
          <w:p w14:paraId="33E8411F">
            <w:pPr>
              <w:tabs>
                <w:tab w:val="left" w:pos="993"/>
              </w:tabs>
              <w:spacing w:line="360" w:lineRule="auto"/>
              <w:jc w:val="center"/>
              <w:rPr>
                <w:color w:val="auto"/>
                <w:sz w:val="24"/>
                <w:highlight w:val="none"/>
              </w:rPr>
            </w:pPr>
          </w:p>
        </w:tc>
        <w:tc>
          <w:tcPr>
            <w:tcW w:w="1716" w:type="dxa"/>
            <w:gridSpan w:val="3"/>
            <w:noWrap w:val="0"/>
            <w:vAlign w:val="top"/>
          </w:tcPr>
          <w:p w14:paraId="38CECE49">
            <w:pPr>
              <w:tabs>
                <w:tab w:val="left" w:pos="993"/>
              </w:tabs>
              <w:spacing w:line="360" w:lineRule="auto"/>
              <w:jc w:val="center"/>
              <w:rPr>
                <w:color w:val="auto"/>
                <w:sz w:val="24"/>
                <w:highlight w:val="none"/>
              </w:rPr>
            </w:pPr>
          </w:p>
        </w:tc>
        <w:tc>
          <w:tcPr>
            <w:tcW w:w="1446" w:type="dxa"/>
            <w:gridSpan w:val="3"/>
            <w:noWrap w:val="0"/>
            <w:vAlign w:val="top"/>
          </w:tcPr>
          <w:p w14:paraId="63D0B56D">
            <w:pPr>
              <w:tabs>
                <w:tab w:val="left" w:pos="993"/>
              </w:tabs>
              <w:spacing w:line="360" w:lineRule="auto"/>
              <w:jc w:val="center"/>
              <w:rPr>
                <w:color w:val="auto"/>
                <w:sz w:val="24"/>
                <w:highlight w:val="none"/>
              </w:rPr>
            </w:pPr>
          </w:p>
        </w:tc>
        <w:tc>
          <w:tcPr>
            <w:tcW w:w="1446" w:type="dxa"/>
            <w:noWrap w:val="0"/>
            <w:vAlign w:val="top"/>
          </w:tcPr>
          <w:p w14:paraId="0E918BA1">
            <w:pPr>
              <w:tabs>
                <w:tab w:val="left" w:pos="993"/>
              </w:tabs>
              <w:spacing w:line="360" w:lineRule="auto"/>
              <w:jc w:val="center"/>
              <w:rPr>
                <w:color w:val="auto"/>
                <w:sz w:val="24"/>
                <w:highlight w:val="none"/>
              </w:rPr>
            </w:pPr>
          </w:p>
        </w:tc>
      </w:tr>
      <w:tr w14:paraId="72DC4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12CC9769">
            <w:pPr>
              <w:tabs>
                <w:tab w:val="left" w:pos="993"/>
              </w:tabs>
              <w:spacing w:line="360" w:lineRule="auto"/>
              <w:jc w:val="center"/>
              <w:rPr>
                <w:color w:val="auto"/>
                <w:sz w:val="24"/>
                <w:highlight w:val="none"/>
              </w:rPr>
            </w:pPr>
          </w:p>
        </w:tc>
        <w:tc>
          <w:tcPr>
            <w:tcW w:w="1446" w:type="dxa"/>
            <w:noWrap w:val="0"/>
            <w:vAlign w:val="top"/>
          </w:tcPr>
          <w:p w14:paraId="51870175">
            <w:pPr>
              <w:tabs>
                <w:tab w:val="left" w:pos="993"/>
              </w:tabs>
              <w:spacing w:line="360" w:lineRule="auto"/>
              <w:jc w:val="center"/>
              <w:rPr>
                <w:color w:val="auto"/>
                <w:sz w:val="24"/>
                <w:highlight w:val="none"/>
              </w:rPr>
            </w:pPr>
          </w:p>
        </w:tc>
        <w:tc>
          <w:tcPr>
            <w:tcW w:w="1176" w:type="dxa"/>
            <w:gridSpan w:val="3"/>
            <w:noWrap w:val="0"/>
            <w:vAlign w:val="top"/>
          </w:tcPr>
          <w:p w14:paraId="75BF2B14">
            <w:pPr>
              <w:tabs>
                <w:tab w:val="left" w:pos="993"/>
              </w:tabs>
              <w:spacing w:line="360" w:lineRule="auto"/>
              <w:jc w:val="center"/>
              <w:rPr>
                <w:color w:val="auto"/>
                <w:sz w:val="24"/>
                <w:highlight w:val="none"/>
              </w:rPr>
            </w:pPr>
          </w:p>
        </w:tc>
        <w:tc>
          <w:tcPr>
            <w:tcW w:w="1716" w:type="dxa"/>
            <w:gridSpan w:val="3"/>
            <w:noWrap w:val="0"/>
            <w:vAlign w:val="top"/>
          </w:tcPr>
          <w:p w14:paraId="61FEC3D6">
            <w:pPr>
              <w:tabs>
                <w:tab w:val="left" w:pos="993"/>
              </w:tabs>
              <w:spacing w:line="360" w:lineRule="auto"/>
              <w:jc w:val="center"/>
              <w:rPr>
                <w:color w:val="auto"/>
                <w:sz w:val="24"/>
                <w:highlight w:val="none"/>
              </w:rPr>
            </w:pPr>
          </w:p>
        </w:tc>
        <w:tc>
          <w:tcPr>
            <w:tcW w:w="1446" w:type="dxa"/>
            <w:gridSpan w:val="3"/>
            <w:noWrap w:val="0"/>
            <w:vAlign w:val="top"/>
          </w:tcPr>
          <w:p w14:paraId="03186F12">
            <w:pPr>
              <w:tabs>
                <w:tab w:val="left" w:pos="993"/>
              </w:tabs>
              <w:spacing w:line="360" w:lineRule="auto"/>
              <w:jc w:val="center"/>
              <w:rPr>
                <w:color w:val="auto"/>
                <w:sz w:val="24"/>
                <w:highlight w:val="none"/>
              </w:rPr>
            </w:pPr>
          </w:p>
        </w:tc>
        <w:tc>
          <w:tcPr>
            <w:tcW w:w="1446" w:type="dxa"/>
            <w:noWrap w:val="0"/>
            <w:vAlign w:val="top"/>
          </w:tcPr>
          <w:p w14:paraId="3E605160">
            <w:pPr>
              <w:tabs>
                <w:tab w:val="left" w:pos="993"/>
              </w:tabs>
              <w:spacing w:line="360" w:lineRule="auto"/>
              <w:jc w:val="center"/>
              <w:rPr>
                <w:color w:val="auto"/>
                <w:sz w:val="24"/>
                <w:highlight w:val="none"/>
              </w:rPr>
            </w:pPr>
          </w:p>
        </w:tc>
      </w:tr>
      <w:tr w14:paraId="54132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0C5A0939">
            <w:pPr>
              <w:tabs>
                <w:tab w:val="left" w:pos="993"/>
              </w:tabs>
              <w:spacing w:line="360" w:lineRule="auto"/>
              <w:jc w:val="center"/>
              <w:rPr>
                <w:color w:val="auto"/>
                <w:sz w:val="24"/>
                <w:highlight w:val="none"/>
              </w:rPr>
            </w:pPr>
          </w:p>
        </w:tc>
        <w:tc>
          <w:tcPr>
            <w:tcW w:w="1446" w:type="dxa"/>
            <w:noWrap w:val="0"/>
            <w:vAlign w:val="top"/>
          </w:tcPr>
          <w:p w14:paraId="08A39CA1">
            <w:pPr>
              <w:tabs>
                <w:tab w:val="left" w:pos="993"/>
              </w:tabs>
              <w:spacing w:line="360" w:lineRule="auto"/>
              <w:jc w:val="center"/>
              <w:rPr>
                <w:color w:val="auto"/>
                <w:sz w:val="24"/>
                <w:highlight w:val="none"/>
              </w:rPr>
            </w:pPr>
          </w:p>
        </w:tc>
        <w:tc>
          <w:tcPr>
            <w:tcW w:w="1176" w:type="dxa"/>
            <w:gridSpan w:val="3"/>
            <w:noWrap w:val="0"/>
            <w:vAlign w:val="top"/>
          </w:tcPr>
          <w:p w14:paraId="4C96C027">
            <w:pPr>
              <w:tabs>
                <w:tab w:val="left" w:pos="993"/>
              </w:tabs>
              <w:spacing w:line="360" w:lineRule="auto"/>
              <w:jc w:val="center"/>
              <w:rPr>
                <w:color w:val="auto"/>
                <w:sz w:val="24"/>
                <w:highlight w:val="none"/>
              </w:rPr>
            </w:pPr>
          </w:p>
        </w:tc>
        <w:tc>
          <w:tcPr>
            <w:tcW w:w="1716" w:type="dxa"/>
            <w:gridSpan w:val="3"/>
            <w:noWrap w:val="0"/>
            <w:vAlign w:val="top"/>
          </w:tcPr>
          <w:p w14:paraId="49551BBE">
            <w:pPr>
              <w:tabs>
                <w:tab w:val="left" w:pos="993"/>
              </w:tabs>
              <w:spacing w:line="360" w:lineRule="auto"/>
              <w:jc w:val="center"/>
              <w:rPr>
                <w:color w:val="auto"/>
                <w:sz w:val="24"/>
                <w:highlight w:val="none"/>
              </w:rPr>
            </w:pPr>
          </w:p>
        </w:tc>
        <w:tc>
          <w:tcPr>
            <w:tcW w:w="1446" w:type="dxa"/>
            <w:gridSpan w:val="3"/>
            <w:noWrap w:val="0"/>
            <w:vAlign w:val="top"/>
          </w:tcPr>
          <w:p w14:paraId="3AA06E3A">
            <w:pPr>
              <w:tabs>
                <w:tab w:val="left" w:pos="993"/>
              </w:tabs>
              <w:spacing w:line="360" w:lineRule="auto"/>
              <w:jc w:val="center"/>
              <w:rPr>
                <w:color w:val="auto"/>
                <w:sz w:val="24"/>
                <w:highlight w:val="none"/>
              </w:rPr>
            </w:pPr>
          </w:p>
        </w:tc>
        <w:tc>
          <w:tcPr>
            <w:tcW w:w="1446" w:type="dxa"/>
            <w:noWrap w:val="0"/>
            <w:vAlign w:val="top"/>
          </w:tcPr>
          <w:p w14:paraId="6F1F207C">
            <w:pPr>
              <w:tabs>
                <w:tab w:val="left" w:pos="993"/>
              </w:tabs>
              <w:spacing w:line="360" w:lineRule="auto"/>
              <w:jc w:val="center"/>
              <w:rPr>
                <w:color w:val="auto"/>
                <w:sz w:val="24"/>
                <w:highlight w:val="none"/>
              </w:rPr>
            </w:pPr>
          </w:p>
        </w:tc>
      </w:tr>
      <w:tr w14:paraId="55910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7F13A90C">
            <w:pPr>
              <w:tabs>
                <w:tab w:val="left" w:pos="993"/>
              </w:tabs>
              <w:spacing w:line="360" w:lineRule="auto"/>
              <w:jc w:val="center"/>
              <w:rPr>
                <w:color w:val="auto"/>
                <w:sz w:val="24"/>
                <w:highlight w:val="none"/>
              </w:rPr>
            </w:pPr>
          </w:p>
        </w:tc>
        <w:tc>
          <w:tcPr>
            <w:tcW w:w="1446" w:type="dxa"/>
            <w:noWrap w:val="0"/>
            <w:vAlign w:val="top"/>
          </w:tcPr>
          <w:p w14:paraId="2D942214">
            <w:pPr>
              <w:tabs>
                <w:tab w:val="left" w:pos="993"/>
              </w:tabs>
              <w:spacing w:line="360" w:lineRule="auto"/>
              <w:jc w:val="center"/>
              <w:rPr>
                <w:color w:val="auto"/>
                <w:sz w:val="24"/>
                <w:highlight w:val="none"/>
              </w:rPr>
            </w:pPr>
          </w:p>
        </w:tc>
        <w:tc>
          <w:tcPr>
            <w:tcW w:w="1176" w:type="dxa"/>
            <w:gridSpan w:val="3"/>
            <w:noWrap w:val="0"/>
            <w:vAlign w:val="top"/>
          </w:tcPr>
          <w:p w14:paraId="2FABB503">
            <w:pPr>
              <w:tabs>
                <w:tab w:val="left" w:pos="993"/>
              </w:tabs>
              <w:spacing w:line="360" w:lineRule="auto"/>
              <w:jc w:val="center"/>
              <w:rPr>
                <w:color w:val="auto"/>
                <w:sz w:val="24"/>
                <w:highlight w:val="none"/>
              </w:rPr>
            </w:pPr>
          </w:p>
        </w:tc>
        <w:tc>
          <w:tcPr>
            <w:tcW w:w="1716" w:type="dxa"/>
            <w:gridSpan w:val="3"/>
            <w:noWrap w:val="0"/>
            <w:vAlign w:val="top"/>
          </w:tcPr>
          <w:p w14:paraId="1D30EB8E">
            <w:pPr>
              <w:tabs>
                <w:tab w:val="left" w:pos="993"/>
              </w:tabs>
              <w:spacing w:line="360" w:lineRule="auto"/>
              <w:jc w:val="center"/>
              <w:rPr>
                <w:color w:val="auto"/>
                <w:sz w:val="24"/>
                <w:highlight w:val="none"/>
              </w:rPr>
            </w:pPr>
          </w:p>
        </w:tc>
        <w:tc>
          <w:tcPr>
            <w:tcW w:w="1446" w:type="dxa"/>
            <w:gridSpan w:val="3"/>
            <w:noWrap w:val="0"/>
            <w:vAlign w:val="top"/>
          </w:tcPr>
          <w:p w14:paraId="0931CBC3">
            <w:pPr>
              <w:tabs>
                <w:tab w:val="left" w:pos="993"/>
              </w:tabs>
              <w:spacing w:line="360" w:lineRule="auto"/>
              <w:jc w:val="center"/>
              <w:rPr>
                <w:color w:val="auto"/>
                <w:sz w:val="24"/>
                <w:highlight w:val="none"/>
              </w:rPr>
            </w:pPr>
          </w:p>
        </w:tc>
        <w:tc>
          <w:tcPr>
            <w:tcW w:w="1446" w:type="dxa"/>
            <w:noWrap w:val="0"/>
            <w:vAlign w:val="top"/>
          </w:tcPr>
          <w:p w14:paraId="155BDCFF">
            <w:pPr>
              <w:tabs>
                <w:tab w:val="left" w:pos="993"/>
              </w:tabs>
              <w:spacing w:line="360" w:lineRule="auto"/>
              <w:jc w:val="center"/>
              <w:rPr>
                <w:color w:val="auto"/>
                <w:sz w:val="24"/>
                <w:highlight w:val="none"/>
              </w:rPr>
            </w:pPr>
          </w:p>
        </w:tc>
      </w:tr>
      <w:tr w14:paraId="262AD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5F1DF864">
            <w:pPr>
              <w:tabs>
                <w:tab w:val="left" w:pos="993"/>
              </w:tabs>
              <w:spacing w:line="360" w:lineRule="auto"/>
              <w:jc w:val="center"/>
              <w:rPr>
                <w:color w:val="auto"/>
                <w:sz w:val="24"/>
                <w:highlight w:val="none"/>
              </w:rPr>
            </w:pPr>
          </w:p>
        </w:tc>
        <w:tc>
          <w:tcPr>
            <w:tcW w:w="1446" w:type="dxa"/>
            <w:noWrap w:val="0"/>
            <w:vAlign w:val="top"/>
          </w:tcPr>
          <w:p w14:paraId="21DDB04E">
            <w:pPr>
              <w:tabs>
                <w:tab w:val="left" w:pos="993"/>
              </w:tabs>
              <w:spacing w:line="360" w:lineRule="auto"/>
              <w:jc w:val="center"/>
              <w:rPr>
                <w:color w:val="auto"/>
                <w:sz w:val="24"/>
                <w:highlight w:val="none"/>
              </w:rPr>
            </w:pPr>
          </w:p>
        </w:tc>
        <w:tc>
          <w:tcPr>
            <w:tcW w:w="1176" w:type="dxa"/>
            <w:gridSpan w:val="3"/>
            <w:noWrap w:val="0"/>
            <w:vAlign w:val="top"/>
          </w:tcPr>
          <w:p w14:paraId="0E0F6876">
            <w:pPr>
              <w:tabs>
                <w:tab w:val="left" w:pos="993"/>
              </w:tabs>
              <w:spacing w:line="360" w:lineRule="auto"/>
              <w:jc w:val="center"/>
              <w:rPr>
                <w:color w:val="auto"/>
                <w:sz w:val="24"/>
                <w:highlight w:val="none"/>
              </w:rPr>
            </w:pPr>
          </w:p>
        </w:tc>
        <w:tc>
          <w:tcPr>
            <w:tcW w:w="1716" w:type="dxa"/>
            <w:gridSpan w:val="3"/>
            <w:noWrap w:val="0"/>
            <w:vAlign w:val="top"/>
          </w:tcPr>
          <w:p w14:paraId="7DF8893E">
            <w:pPr>
              <w:tabs>
                <w:tab w:val="left" w:pos="993"/>
              </w:tabs>
              <w:spacing w:line="360" w:lineRule="auto"/>
              <w:jc w:val="center"/>
              <w:rPr>
                <w:color w:val="auto"/>
                <w:sz w:val="24"/>
                <w:highlight w:val="none"/>
              </w:rPr>
            </w:pPr>
          </w:p>
        </w:tc>
        <w:tc>
          <w:tcPr>
            <w:tcW w:w="1446" w:type="dxa"/>
            <w:gridSpan w:val="3"/>
            <w:noWrap w:val="0"/>
            <w:vAlign w:val="top"/>
          </w:tcPr>
          <w:p w14:paraId="7E05988E">
            <w:pPr>
              <w:tabs>
                <w:tab w:val="left" w:pos="993"/>
              </w:tabs>
              <w:spacing w:line="360" w:lineRule="auto"/>
              <w:jc w:val="center"/>
              <w:rPr>
                <w:color w:val="auto"/>
                <w:sz w:val="24"/>
                <w:highlight w:val="none"/>
              </w:rPr>
            </w:pPr>
          </w:p>
        </w:tc>
        <w:tc>
          <w:tcPr>
            <w:tcW w:w="1446" w:type="dxa"/>
            <w:noWrap w:val="0"/>
            <w:vAlign w:val="top"/>
          </w:tcPr>
          <w:p w14:paraId="0E62A39C">
            <w:pPr>
              <w:tabs>
                <w:tab w:val="left" w:pos="993"/>
              </w:tabs>
              <w:spacing w:line="360" w:lineRule="auto"/>
              <w:jc w:val="center"/>
              <w:rPr>
                <w:color w:val="auto"/>
                <w:sz w:val="24"/>
                <w:highlight w:val="none"/>
              </w:rPr>
            </w:pPr>
          </w:p>
        </w:tc>
      </w:tr>
    </w:tbl>
    <w:p w14:paraId="4B60C820">
      <w:pPr>
        <w:tabs>
          <w:tab w:val="left" w:pos="993"/>
        </w:tabs>
        <w:spacing w:line="360" w:lineRule="auto"/>
        <w:rPr>
          <w:color w:val="auto"/>
          <w:sz w:val="24"/>
          <w:highlight w:val="none"/>
        </w:rPr>
      </w:pPr>
    </w:p>
    <w:p w14:paraId="67F8F28A">
      <w:pPr>
        <w:tabs>
          <w:tab w:val="left" w:pos="993"/>
        </w:tabs>
        <w:spacing w:line="360" w:lineRule="auto"/>
        <w:rPr>
          <w:color w:val="auto"/>
          <w:sz w:val="32"/>
          <w:highlight w:val="none"/>
        </w:rPr>
      </w:pPr>
    </w:p>
    <w:p w14:paraId="54CBFFCE">
      <w:pPr>
        <w:pStyle w:val="382"/>
        <w:snapToGrid w:val="0"/>
        <w:spacing w:after="0" w:line="420" w:lineRule="atLeast"/>
        <w:rPr>
          <w:color w:val="auto"/>
          <w:sz w:val="28"/>
          <w:highlight w:val="none"/>
        </w:rPr>
      </w:pPr>
      <w:r>
        <w:rPr>
          <w:rFonts w:hAnsi="宋体"/>
          <w:color w:val="auto"/>
          <w:sz w:val="28"/>
          <w:highlight w:val="none"/>
        </w:rPr>
        <w:br w:type="page"/>
      </w:r>
      <w:r>
        <w:rPr>
          <w:rFonts w:hAnsi="宋体"/>
          <w:color w:val="auto"/>
          <w:sz w:val="28"/>
          <w:highlight w:val="none"/>
        </w:rPr>
        <w:t>诚信承诺书</w:t>
      </w:r>
    </w:p>
    <w:p w14:paraId="195CCD36">
      <w:pPr>
        <w:pStyle w:val="382"/>
        <w:snapToGrid w:val="0"/>
        <w:spacing w:after="0" w:line="420" w:lineRule="atLeast"/>
        <w:rPr>
          <w:color w:val="auto"/>
          <w:sz w:val="32"/>
          <w:szCs w:val="32"/>
          <w:highlight w:val="none"/>
        </w:rPr>
      </w:pPr>
    </w:p>
    <w:p w14:paraId="16EFA45F">
      <w:pPr>
        <w:adjustRightInd w:val="0"/>
        <w:snapToGrid w:val="0"/>
        <w:spacing w:line="440" w:lineRule="exact"/>
        <w:rPr>
          <w:color w:val="auto"/>
          <w:sz w:val="24"/>
          <w:highlight w:val="none"/>
        </w:rPr>
      </w:pPr>
      <w:r>
        <w:rPr>
          <w:rFonts w:hint="eastAsia"/>
          <w:color w:val="auto"/>
          <w:highlight w:val="none"/>
          <w:u w:val="single"/>
          <w:lang w:eastAsia="zh-CN"/>
        </w:rPr>
        <w:t>江苏乾坤物业管理有限公司</w:t>
      </w:r>
      <w:r>
        <w:rPr>
          <w:rFonts w:hAnsi="宋体"/>
          <w:color w:val="auto"/>
          <w:sz w:val="24"/>
          <w:highlight w:val="none"/>
        </w:rPr>
        <w:t>：（招标人名称）</w:t>
      </w:r>
    </w:p>
    <w:p w14:paraId="48F484B7">
      <w:pPr>
        <w:adjustRightInd w:val="0"/>
        <w:snapToGrid w:val="0"/>
        <w:spacing w:line="440" w:lineRule="exact"/>
        <w:ind w:firstLine="480" w:firstLineChars="200"/>
        <w:rPr>
          <w:color w:val="auto"/>
          <w:sz w:val="24"/>
          <w:highlight w:val="none"/>
        </w:rPr>
      </w:pPr>
      <w:r>
        <w:rPr>
          <w:rFonts w:hAnsi="宋体"/>
          <w:color w:val="auto"/>
          <w:sz w:val="24"/>
          <w:highlight w:val="none"/>
        </w:rPr>
        <w:t>我方参加你方的</w:t>
      </w:r>
      <w:r>
        <w:rPr>
          <w:color w:val="auto"/>
          <w:sz w:val="24"/>
          <w:highlight w:val="none"/>
          <w:u w:val="single"/>
        </w:rPr>
        <w:t xml:space="preserve">                          </w:t>
      </w:r>
      <w:r>
        <w:rPr>
          <w:rFonts w:hAnsi="宋体"/>
          <w:color w:val="auto"/>
          <w:sz w:val="24"/>
          <w:highlight w:val="none"/>
        </w:rPr>
        <w:t>（以下简称</w:t>
      </w:r>
      <w:r>
        <w:rPr>
          <w:color w:val="auto"/>
          <w:sz w:val="24"/>
          <w:highlight w:val="none"/>
        </w:rPr>
        <w:t>“</w:t>
      </w:r>
      <w:r>
        <w:rPr>
          <w:rFonts w:hAnsi="宋体"/>
          <w:color w:val="auto"/>
          <w:sz w:val="24"/>
          <w:highlight w:val="none"/>
        </w:rPr>
        <w:t>本工程</w:t>
      </w:r>
      <w:r>
        <w:rPr>
          <w:color w:val="auto"/>
          <w:sz w:val="24"/>
          <w:highlight w:val="none"/>
        </w:rPr>
        <w:t>”</w:t>
      </w:r>
      <w:r>
        <w:rPr>
          <w:rFonts w:hAnsi="宋体"/>
          <w:color w:val="auto"/>
          <w:sz w:val="24"/>
          <w:highlight w:val="none"/>
        </w:rPr>
        <w:t>）的投标，现我方法定代表人向你方</w:t>
      </w:r>
      <w:r>
        <w:rPr>
          <w:rFonts w:hint="eastAsia" w:hAnsi="宋体"/>
          <w:color w:val="auto"/>
          <w:sz w:val="24"/>
          <w:highlight w:val="none"/>
          <w:lang w:eastAsia="zh-CN"/>
        </w:rPr>
        <w:t>郑重</w:t>
      </w:r>
      <w:r>
        <w:rPr>
          <w:rFonts w:hAnsi="宋体"/>
          <w:color w:val="auto"/>
          <w:sz w:val="24"/>
          <w:highlight w:val="none"/>
        </w:rPr>
        <w:t>承诺：</w:t>
      </w:r>
    </w:p>
    <w:p w14:paraId="06C2D106">
      <w:pPr>
        <w:widowControl/>
        <w:adjustRightInd w:val="0"/>
        <w:snapToGrid w:val="0"/>
        <w:spacing w:line="440" w:lineRule="exact"/>
        <w:ind w:firstLine="468" w:firstLineChars="195"/>
        <w:jc w:val="left"/>
        <w:rPr>
          <w:rFonts w:hint="eastAsia" w:ascii="宋体" w:hAnsi="宋体" w:cs="宋体"/>
          <w:color w:val="auto"/>
          <w:kern w:val="0"/>
          <w:sz w:val="23"/>
          <w:szCs w:val="23"/>
          <w:highlight w:val="none"/>
        </w:rPr>
      </w:pPr>
      <w:r>
        <w:rPr>
          <w:rFonts w:hint="eastAsia" w:ascii="宋体" w:hAnsi="宋体"/>
          <w:color w:val="auto"/>
          <w:sz w:val="24"/>
          <w:highlight w:val="none"/>
        </w:rPr>
        <w:t>1、我方拟派项目负责人</w:t>
      </w:r>
      <w:r>
        <w:rPr>
          <w:rFonts w:hint="eastAsia" w:ascii="宋体" w:hAnsi="宋体"/>
          <w:color w:val="auto"/>
          <w:sz w:val="24"/>
          <w:highlight w:val="none"/>
          <w:u w:val="single"/>
        </w:rPr>
        <w:t xml:space="preserve">   （姓名）   </w:t>
      </w:r>
      <w:r>
        <w:rPr>
          <w:rFonts w:hint="eastAsia" w:ascii="宋体" w:hAnsi="宋体"/>
          <w:color w:val="auto"/>
          <w:sz w:val="24"/>
          <w:highlight w:val="none"/>
        </w:rPr>
        <w:t>（身份证号码：</w:t>
      </w:r>
      <w:r>
        <w:rPr>
          <w:rFonts w:hint="eastAsia" w:ascii="宋体" w:hAnsi="宋体"/>
          <w:color w:val="auto"/>
          <w:sz w:val="24"/>
          <w:highlight w:val="none"/>
          <w:u w:val="single"/>
        </w:rPr>
        <w:t xml:space="preserve">             </w:t>
      </w:r>
      <w:r>
        <w:rPr>
          <w:rFonts w:hint="eastAsia" w:ascii="宋体" w:hAnsi="宋体"/>
          <w:color w:val="auto"/>
          <w:sz w:val="24"/>
          <w:highlight w:val="none"/>
        </w:rPr>
        <w:t>；注册号：</w:t>
      </w:r>
      <w:r>
        <w:rPr>
          <w:rFonts w:hint="eastAsia" w:ascii="宋体" w:hAnsi="宋体"/>
          <w:color w:val="auto"/>
          <w:sz w:val="24"/>
          <w:highlight w:val="none"/>
          <w:u w:val="single"/>
        </w:rPr>
        <w:t xml:space="preserve">        </w:t>
      </w:r>
      <w:r>
        <w:rPr>
          <w:rFonts w:hint="eastAsia" w:ascii="宋体" w:hAnsi="宋体"/>
          <w:color w:val="auto"/>
          <w:sz w:val="24"/>
          <w:highlight w:val="none"/>
        </w:rPr>
        <w:t>）至本项目投标文件截止时间前无在建工程且无已中标未开工项目。如果我方经本工程评标委员会评定为中标候选人，在公示期间被他人举报并经招标投标监管机构核实，确认拟派项目负责人有在建工程，且不符合江苏省建设厅“苏建规字</w:t>
      </w:r>
      <w:r>
        <w:rPr>
          <w:rFonts w:hint="eastAsia" w:ascii="宋体" w:hAnsi="宋体"/>
          <w:color w:val="auto"/>
          <w:sz w:val="24"/>
          <w:highlight w:val="none"/>
          <w:lang w:eastAsia="zh-CN"/>
        </w:rPr>
        <w:t>〔2017〕1号</w:t>
      </w:r>
      <w:r>
        <w:rPr>
          <w:rFonts w:hint="eastAsia" w:ascii="宋体" w:hAnsi="宋体"/>
          <w:color w:val="auto"/>
          <w:sz w:val="24"/>
          <w:highlight w:val="none"/>
        </w:rPr>
        <w:t>”《关于改革和完善房屋建筑和市政基础设施工程招标投标制度的实施意见》附件2《江苏省房屋建筑和市政基础设施工程施工招标资格审查办法》第十条第五款的规定，你方即可取消我方中标候选人资格，并同意投标保证金不予退还。</w:t>
      </w:r>
    </w:p>
    <w:p w14:paraId="636EB23B">
      <w:pPr>
        <w:widowControl/>
        <w:adjustRightInd w:val="0"/>
        <w:snapToGrid w:val="0"/>
        <w:spacing w:line="440" w:lineRule="exact"/>
        <w:ind w:firstLine="468" w:firstLineChars="195"/>
        <w:jc w:val="left"/>
        <w:rPr>
          <w:rFonts w:hint="eastAsia" w:ascii="宋体" w:hAnsi="宋体"/>
          <w:color w:val="auto"/>
          <w:sz w:val="24"/>
          <w:highlight w:val="none"/>
        </w:rPr>
      </w:pPr>
      <w:r>
        <w:rPr>
          <w:rFonts w:hint="eastAsia" w:ascii="宋体" w:hAnsi="宋体"/>
          <w:color w:val="auto"/>
          <w:sz w:val="24"/>
          <w:highlight w:val="none"/>
        </w:rPr>
        <w:t>2、我方财务和经营状况良好，具备履行合同能力；没有因骗取中标或者严重违约以及发生重大工程质量、安全生产事故等问题，被有关部门处于被责令停业、投标资格被取消或者财产被接管、冻结和破产状态；无因投标申请人违约</w:t>
      </w:r>
      <w:r>
        <w:rPr>
          <w:rFonts w:hint="eastAsia" w:ascii="宋体" w:hAnsi="宋体"/>
          <w:color w:val="auto"/>
          <w:sz w:val="24"/>
          <w:highlight w:val="none"/>
          <w:lang w:eastAsia="zh-CN"/>
        </w:rPr>
        <w:t>或者</w:t>
      </w:r>
      <w:r>
        <w:rPr>
          <w:rFonts w:hint="eastAsia" w:ascii="宋体" w:hAnsi="宋体"/>
          <w:color w:val="auto"/>
          <w:sz w:val="24"/>
          <w:highlight w:val="none"/>
        </w:rPr>
        <w:t>不恰当履约引起的合同争议纠纷及仲裁和诉讼记录。如果我方经本工程评标委员会评定为中标候选人后，被他人举报并经招标投标监管机构核实，确认存在上述不良记录，你方即可取消我方中标资格，并同意投标保证金不予退还，并接受处罚。</w:t>
      </w:r>
    </w:p>
    <w:p w14:paraId="0E48E949">
      <w:pPr>
        <w:widowControl/>
        <w:adjustRightInd w:val="0"/>
        <w:snapToGrid w:val="0"/>
        <w:spacing w:line="440" w:lineRule="exact"/>
        <w:ind w:firstLine="468" w:firstLineChars="195"/>
        <w:jc w:val="left"/>
        <w:rPr>
          <w:rFonts w:hint="eastAsia" w:ascii="宋体" w:hAnsi="宋体"/>
          <w:color w:val="auto"/>
          <w:sz w:val="24"/>
          <w:highlight w:val="none"/>
        </w:rPr>
      </w:pPr>
      <w:r>
        <w:rPr>
          <w:rFonts w:hint="eastAsia" w:ascii="宋体" w:hAnsi="宋体"/>
          <w:color w:val="auto"/>
          <w:sz w:val="24"/>
          <w:highlight w:val="none"/>
        </w:rPr>
        <w:t>3、我方递交的投标文件中的所有资料都是真实可信的，没有弄虚作假。</w:t>
      </w:r>
    </w:p>
    <w:p w14:paraId="270B4749">
      <w:pPr>
        <w:widowControl/>
        <w:adjustRightInd w:val="0"/>
        <w:snapToGrid w:val="0"/>
        <w:spacing w:line="440" w:lineRule="exact"/>
        <w:ind w:firstLine="468" w:firstLineChars="195"/>
        <w:jc w:val="left"/>
        <w:rPr>
          <w:rFonts w:hint="eastAsia" w:ascii="宋体" w:hAnsi="宋体"/>
          <w:color w:val="auto"/>
          <w:sz w:val="24"/>
          <w:highlight w:val="none"/>
        </w:rPr>
      </w:pPr>
      <w:r>
        <w:rPr>
          <w:rFonts w:hint="eastAsia" w:ascii="宋体" w:hAnsi="宋体"/>
          <w:color w:val="auto"/>
          <w:sz w:val="24"/>
          <w:highlight w:val="none"/>
        </w:rPr>
        <w:t>4、我方不组织、不参与串标围标，没有出借资质等违法违规行为。</w:t>
      </w:r>
    </w:p>
    <w:p w14:paraId="2FDED764">
      <w:pPr>
        <w:widowControl/>
        <w:adjustRightInd w:val="0"/>
        <w:snapToGrid w:val="0"/>
        <w:spacing w:line="440" w:lineRule="exact"/>
        <w:ind w:firstLine="468" w:firstLineChars="195"/>
        <w:jc w:val="left"/>
        <w:rPr>
          <w:rFonts w:hint="eastAsia" w:ascii="宋体" w:hAnsi="宋体"/>
          <w:color w:val="auto"/>
          <w:sz w:val="24"/>
          <w:highlight w:val="none"/>
        </w:rPr>
      </w:pPr>
    </w:p>
    <w:p w14:paraId="055E90C0">
      <w:pPr>
        <w:adjustRightInd w:val="0"/>
        <w:snapToGrid w:val="0"/>
        <w:spacing w:line="440" w:lineRule="exact"/>
        <w:ind w:firstLine="482" w:firstLineChars="200"/>
        <w:rPr>
          <w:rFonts w:hint="eastAsia" w:ascii="宋体" w:hAnsi="宋体"/>
          <w:b/>
          <w:color w:val="auto"/>
          <w:sz w:val="24"/>
          <w:highlight w:val="none"/>
        </w:rPr>
      </w:pPr>
      <w:r>
        <w:rPr>
          <w:rFonts w:hint="eastAsia" w:ascii="宋体" w:hAnsi="宋体"/>
          <w:b/>
          <w:color w:val="auto"/>
          <w:sz w:val="24"/>
          <w:highlight w:val="none"/>
        </w:rPr>
        <w:t>我方承诺：违反上述任何一条承诺</w:t>
      </w:r>
      <w:r>
        <w:rPr>
          <w:rFonts w:hint="eastAsia" w:ascii="宋体" w:hAnsi="宋体"/>
          <w:b/>
          <w:color w:val="auto"/>
          <w:sz w:val="24"/>
          <w:highlight w:val="none"/>
          <w:lang w:eastAsia="zh-CN"/>
        </w:rPr>
        <w:t>，愿</w:t>
      </w:r>
      <w:r>
        <w:rPr>
          <w:rFonts w:hint="eastAsia" w:ascii="宋体" w:hAnsi="宋体"/>
          <w:b/>
          <w:color w:val="auto"/>
          <w:sz w:val="24"/>
          <w:highlight w:val="none"/>
        </w:rPr>
        <w:t>接受当地建设行政主管部门作出的依法处罚，包括同意你方取消我方中标资格并不予退还投标保证金或履约保证金，将我方列入黑名单，并上报南通市建设主管部门。</w:t>
      </w:r>
    </w:p>
    <w:p w14:paraId="6D5347F2">
      <w:pPr>
        <w:adjustRightInd w:val="0"/>
        <w:snapToGrid w:val="0"/>
        <w:spacing w:line="440" w:lineRule="exact"/>
        <w:ind w:firstLine="250" w:firstLineChars="98"/>
        <w:rPr>
          <w:rFonts w:hint="eastAsia" w:ascii="宋体" w:hAnsi="宋体"/>
          <w:color w:val="auto"/>
          <w:spacing w:val="8"/>
          <w:kern w:val="0"/>
          <w:sz w:val="24"/>
          <w:highlight w:val="none"/>
        </w:rPr>
      </w:pPr>
    </w:p>
    <w:p w14:paraId="61A9D4FE">
      <w:pPr>
        <w:adjustRightInd w:val="0"/>
        <w:snapToGrid w:val="0"/>
        <w:spacing w:line="440" w:lineRule="exact"/>
        <w:ind w:firstLine="3720" w:firstLineChars="1550"/>
        <w:rPr>
          <w:rFonts w:hint="eastAsia" w:ascii="宋体" w:hAnsi="宋体"/>
          <w:color w:val="auto"/>
          <w:sz w:val="23"/>
          <w:szCs w:val="23"/>
          <w:highlight w:val="none"/>
        </w:rPr>
      </w:pPr>
      <w:r>
        <w:rPr>
          <w:rFonts w:hint="eastAsia" w:ascii="宋体" w:hAnsi="宋体"/>
          <w:color w:val="auto"/>
          <w:sz w:val="24"/>
          <w:highlight w:val="none"/>
        </w:rPr>
        <w:t>投标申请人（盖章）：</w:t>
      </w:r>
      <w:r>
        <w:rPr>
          <w:rFonts w:hint="eastAsia" w:ascii="宋体" w:hAnsi="宋体"/>
          <w:color w:val="auto"/>
          <w:sz w:val="23"/>
          <w:szCs w:val="23"/>
          <w:highlight w:val="none"/>
          <w:u w:val="single"/>
        </w:rPr>
        <w:t xml:space="preserve">                         </w:t>
      </w:r>
      <w:r>
        <w:rPr>
          <w:rFonts w:hint="eastAsia" w:ascii="宋体" w:hAnsi="宋体"/>
          <w:color w:val="auto"/>
          <w:sz w:val="23"/>
          <w:szCs w:val="23"/>
          <w:highlight w:val="none"/>
        </w:rPr>
        <w:t xml:space="preserve"> </w:t>
      </w:r>
    </w:p>
    <w:p w14:paraId="49142FAF">
      <w:pPr>
        <w:tabs>
          <w:tab w:val="left" w:pos="4320"/>
        </w:tabs>
        <w:adjustRightInd w:val="0"/>
        <w:snapToGrid w:val="0"/>
        <w:spacing w:line="440" w:lineRule="exact"/>
        <w:ind w:firstLine="3720" w:firstLineChars="1550"/>
        <w:rPr>
          <w:rFonts w:hint="eastAsia" w:ascii="宋体" w:hAnsi="宋体"/>
          <w:color w:val="auto"/>
          <w:sz w:val="23"/>
          <w:szCs w:val="23"/>
          <w:highlight w:val="none"/>
        </w:rPr>
      </w:pPr>
      <w:r>
        <w:rPr>
          <w:rFonts w:hint="eastAsia" w:ascii="宋体" w:hAnsi="宋体"/>
          <w:color w:val="auto"/>
          <w:sz w:val="24"/>
          <w:highlight w:val="none"/>
        </w:rPr>
        <w:t>法定代表人（签字或盖章）：</w:t>
      </w:r>
      <w:r>
        <w:rPr>
          <w:rFonts w:hint="eastAsia" w:ascii="宋体" w:hAnsi="宋体"/>
          <w:color w:val="auto"/>
          <w:sz w:val="23"/>
          <w:szCs w:val="23"/>
          <w:highlight w:val="none"/>
          <w:u w:val="single"/>
        </w:rPr>
        <w:t xml:space="preserve">                   </w:t>
      </w:r>
      <w:r>
        <w:rPr>
          <w:rFonts w:hint="eastAsia" w:ascii="宋体" w:hAnsi="宋体"/>
          <w:color w:val="auto"/>
          <w:sz w:val="23"/>
          <w:szCs w:val="23"/>
          <w:highlight w:val="none"/>
        </w:rPr>
        <w:t xml:space="preserve"> </w:t>
      </w:r>
    </w:p>
    <w:p w14:paraId="6A14AF86">
      <w:pPr>
        <w:adjustRightInd w:val="0"/>
        <w:snapToGrid w:val="0"/>
        <w:spacing w:line="440" w:lineRule="exact"/>
        <w:rPr>
          <w:rFonts w:hint="eastAsia" w:ascii="宋体" w:hAnsi="宋体"/>
          <w:color w:val="auto"/>
          <w:sz w:val="24"/>
          <w:highlight w:val="none"/>
        </w:rPr>
      </w:pPr>
      <w:r>
        <w:rPr>
          <w:rFonts w:hint="eastAsia" w:ascii="宋体" w:hAnsi="宋体"/>
          <w:color w:val="auto"/>
          <w:sz w:val="23"/>
          <w:szCs w:val="23"/>
          <w:highlight w:val="none"/>
        </w:rPr>
        <w:t xml:space="preserve">                                </w:t>
      </w:r>
      <w:r>
        <w:rPr>
          <w:rFonts w:hint="eastAsia" w:ascii="宋体" w:hAnsi="宋体"/>
          <w:color w:val="auto"/>
          <w:sz w:val="24"/>
          <w:highlight w:val="none"/>
        </w:rPr>
        <w:t>日期：</w:t>
      </w:r>
      <w:r>
        <w:rPr>
          <w:rFonts w:hint="eastAsia" w:ascii="宋体" w:hAnsi="宋体"/>
          <w:color w:val="auto"/>
          <w:sz w:val="23"/>
          <w:szCs w:val="23"/>
          <w:highlight w:val="none"/>
          <w:u w:val="single"/>
        </w:rPr>
        <w:t xml:space="preserve">        </w:t>
      </w:r>
      <w:r>
        <w:rPr>
          <w:rFonts w:hint="eastAsia" w:ascii="宋体" w:hAnsi="宋体"/>
          <w:color w:val="auto"/>
          <w:sz w:val="24"/>
          <w:highlight w:val="none"/>
        </w:rPr>
        <w:t>年</w:t>
      </w:r>
      <w:r>
        <w:rPr>
          <w:rFonts w:hint="eastAsia" w:ascii="宋体" w:hAnsi="宋体"/>
          <w:color w:val="auto"/>
          <w:sz w:val="23"/>
          <w:szCs w:val="23"/>
          <w:highlight w:val="none"/>
          <w:u w:val="single"/>
        </w:rPr>
        <w:t xml:space="preserve">       </w:t>
      </w:r>
      <w:r>
        <w:rPr>
          <w:rFonts w:hint="eastAsia" w:ascii="宋体" w:hAnsi="宋体"/>
          <w:color w:val="auto"/>
          <w:sz w:val="24"/>
          <w:highlight w:val="none"/>
        </w:rPr>
        <w:t>月</w:t>
      </w:r>
      <w:r>
        <w:rPr>
          <w:rFonts w:hint="eastAsia" w:ascii="宋体" w:hAnsi="宋体"/>
          <w:color w:val="auto"/>
          <w:sz w:val="23"/>
          <w:szCs w:val="23"/>
          <w:highlight w:val="none"/>
          <w:u w:val="single"/>
        </w:rPr>
        <w:t xml:space="preserve">       </w:t>
      </w:r>
      <w:r>
        <w:rPr>
          <w:rFonts w:hint="eastAsia" w:ascii="宋体" w:hAnsi="宋体"/>
          <w:color w:val="auto"/>
          <w:sz w:val="24"/>
          <w:highlight w:val="none"/>
        </w:rPr>
        <w:t>日</w:t>
      </w:r>
    </w:p>
    <w:p w14:paraId="624FD749">
      <w:pPr>
        <w:spacing w:line="360" w:lineRule="auto"/>
        <w:ind w:firstLine="250" w:firstLineChars="98"/>
        <w:rPr>
          <w:rFonts w:hint="eastAsia" w:ascii="宋体" w:hAnsi="宋体"/>
          <w:color w:val="auto"/>
          <w:spacing w:val="8"/>
          <w:kern w:val="0"/>
          <w:sz w:val="24"/>
          <w:highlight w:val="none"/>
        </w:rPr>
      </w:pPr>
    </w:p>
    <w:p w14:paraId="4AEDA9A0">
      <w:pPr>
        <w:rPr>
          <w:color w:val="auto"/>
          <w:highlight w:val="none"/>
        </w:rPr>
      </w:pPr>
    </w:p>
    <w:p w14:paraId="78D280FF">
      <w:pPr>
        <w:rPr>
          <w:color w:val="auto"/>
          <w:highlight w:val="none"/>
        </w:rPr>
      </w:pPr>
    </w:p>
    <w:p w14:paraId="7188348D">
      <w:pPr>
        <w:rPr>
          <w:color w:val="auto"/>
          <w:highlight w:val="none"/>
        </w:rPr>
      </w:pPr>
    </w:p>
    <w:p w14:paraId="51AB1267">
      <w:pPr>
        <w:pStyle w:val="382"/>
        <w:snapToGrid w:val="0"/>
        <w:spacing w:after="0" w:line="440" w:lineRule="exact"/>
        <w:rPr>
          <w:color w:val="auto"/>
          <w:sz w:val="28"/>
          <w:highlight w:val="none"/>
        </w:rPr>
      </w:pPr>
      <w:r>
        <w:rPr>
          <w:rFonts w:hAnsi="宋体"/>
          <w:color w:val="auto"/>
          <w:sz w:val="28"/>
          <w:highlight w:val="none"/>
        </w:rPr>
        <w:br w:type="page"/>
      </w:r>
      <w:r>
        <w:rPr>
          <w:rFonts w:hAnsi="宋体"/>
          <w:color w:val="auto"/>
          <w:sz w:val="28"/>
          <w:highlight w:val="none"/>
        </w:rPr>
        <w:t>工程完工证明</w:t>
      </w:r>
    </w:p>
    <w:p w14:paraId="62D43413">
      <w:pPr>
        <w:adjustRightInd w:val="0"/>
        <w:snapToGrid w:val="0"/>
        <w:spacing w:line="440" w:lineRule="exact"/>
        <w:rPr>
          <w:b/>
          <w:bCs/>
          <w:color w:val="auto"/>
          <w:highlight w:val="none"/>
        </w:rPr>
      </w:pPr>
    </w:p>
    <w:p w14:paraId="33ECEB4F">
      <w:pPr>
        <w:adjustRightInd w:val="0"/>
        <w:snapToGrid w:val="0"/>
        <w:spacing w:line="440" w:lineRule="exact"/>
        <w:rPr>
          <w:color w:val="auto"/>
          <w:highlight w:val="none"/>
        </w:rPr>
      </w:pPr>
      <w:r>
        <w:rPr>
          <w:rFonts w:hint="eastAsia"/>
          <w:color w:val="auto"/>
          <w:highlight w:val="none"/>
          <w:u w:val="single"/>
          <w:lang w:eastAsia="zh-CN"/>
        </w:rPr>
        <w:t>江苏乾坤物业管理有限公司</w:t>
      </w:r>
      <w:r>
        <w:rPr>
          <w:rFonts w:hAnsi="宋体"/>
          <w:color w:val="auto"/>
          <w:highlight w:val="none"/>
        </w:rPr>
        <w:t>：</w:t>
      </w:r>
      <w:r>
        <w:rPr>
          <w:rFonts w:hAnsi="宋体"/>
          <w:color w:val="auto"/>
          <w:sz w:val="24"/>
          <w:highlight w:val="none"/>
        </w:rPr>
        <w:t>（招标人名称）</w:t>
      </w:r>
    </w:p>
    <w:p w14:paraId="32018FF6">
      <w:pPr>
        <w:adjustRightInd w:val="0"/>
        <w:snapToGrid w:val="0"/>
        <w:spacing w:line="440" w:lineRule="exact"/>
        <w:ind w:firstLine="422" w:firstLineChars="200"/>
        <w:rPr>
          <w:color w:val="auto"/>
          <w:sz w:val="24"/>
          <w:highlight w:val="none"/>
        </w:rPr>
      </w:pPr>
      <w:r>
        <w:rPr>
          <w:b/>
          <w:color w:val="auto"/>
          <w:highlight w:val="none"/>
          <w:u w:val="single"/>
        </w:rPr>
        <w:t xml:space="preserve">                             </w:t>
      </w:r>
      <w:r>
        <w:rPr>
          <w:rFonts w:hAnsi="宋体"/>
          <w:color w:val="auto"/>
          <w:sz w:val="24"/>
          <w:highlight w:val="none"/>
        </w:rPr>
        <w:t>（中标单位名称）的项目经理（项目负责人）</w:t>
      </w:r>
      <w:r>
        <w:rPr>
          <w:b/>
          <w:color w:val="auto"/>
          <w:highlight w:val="none"/>
          <w:u w:val="single"/>
        </w:rPr>
        <w:t xml:space="preserve">          </w:t>
      </w:r>
      <w:r>
        <w:rPr>
          <w:rFonts w:hAnsi="宋体"/>
          <w:color w:val="auto"/>
          <w:sz w:val="24"/>
          <w:highlight w:val="none"/>
        </w:rPr>
        <w:t>（姓名及注册编号）承接我单位的</w:t>
      </w:r>
      <w:r>
        <w:rPr>
          <w:color w:val="auto"/>
          <w:sz w:val="24"/>
          <w:highlight w:val="none"/>
        </w:rPr>
        <w:t xml:space="preserve"> </w:t>
      </w:r>
      <w:r>
        <w:rPr>
          <w:b/>
          <w:color w:val="auto"/>
          <w:highlight w:val="none"/>
          <w:u w:val="single"/>
        </w:rPr>
        <w:t xml:space="preserve">                  </w:t>
      </w:r>
      <w:r>
        <w:rPr>
          <w:rFonts w:hAnsi="宋体"/>
          <w:color w:val="auto"/>
          <w:sz w:val="24"/>
          <w:highlight w:val="none"/>
        </w:rPr>
        <w:t>（项目名称）于</w:t>
      </w:r>
      <w:r>
        <w:rPr>
          <w:b/>
          <w:color w:val="auto"/>
          <w:highlight w:val="none"/>
          <w:u w:val="single"/>
        </w:rPr>
        <w:t xml:space="preserve">    </w:t>
      </w:r>
      <w:r>
        <w:rPr>
          <w:rFonts w:hAnsi="宋体"/>
          <w:color w:val="auto"/>
          <w:sz w:val="24"/>
          <w:highlight w:val="none"/>
        </w:rPr>
        <w:t>年</w:t>
      </w:r>
      <w:r>
        <w:rPr>
          <w:color w:val="auto"/>
          <w:sz w:val="24"/>
          <w:highlight w:val="none"/>
        </w:rPr>
        <w:t xml:space="preserve"> </w:t>
      </w:r>
      <w:r>
        <w:rPr>
          <w:b/>
          <w:color w:val="auto"/>
          <w:highlight w:val="none"/>
          <w:u w:val="single"/>
        </w:rPr>
        <w:t xml:space="preserve">   </w:t>
      </w:r>
      <w:r>
        <w:rPr>
          <w:rFonts w:hAnsi="宋体"/>
          <w:color w:val="auto"/>
          <w:sz w:val="24"/>
          <w:highlight w:val="none"/>
        </w:rPr>
        <w:t>月</w:t>
      </w:r>
      <w:r>
        <w:rPr>
          <w:b/>
          <w:color w:val="auto"/>
          <w:highlight w:val="none"/>
          <w:u w:val="single"/>
        </w:rPr>
        <w:t xml:space="preserve">    </w:t>
      </w:r>
      <w:r>
        <w:rPr>
          <w:rFonts w:hAnsi="宋体"/>
          <w:color w:val="auto"/>
          <w:sz w:val="24"/>
          <w:highlight w:val="none"/>
        </w:rPr>
        <w:t>日完工，现同意该项目经理参加其他工程招投标活动。</w:t>
      </w:r>
    </w:p>
    <w:p w14:paraId="32B6FB84">
      <w:pPr>
        <w:adjustRightInd w:val="0"/>
        <w:snapToGrid w:val="0"/>
        <w:spacing w:line="440" w:lineRule="exact"/>
        <w:ind w:firstLine="480" w:firstLineChars="200"/>
        <w:rPr>
          <w:color w:val="auto"/>
          <w:sz w:val="24"/>
          <w:highlight w:val="none"/>
        </w:rPr>
      </w:pPr>
      <w:r>
        <w:rPr>
          <w:rFonts w:hAnsi="宋体"/>
          <w:color w:val="auto"/>
          <w:sz w:val="24"/>
          <w:highlight w:val="none"/>
        </w:rPr>
        <w:t>特此证明。</w:t>
      </w:r>
    </w:p>
    <w:p w14:paraId="5C159AF5">
      <w:pPr>
        <w:adjustRightInd w:val="0"/>
        <w:snapToGrid w:val="0"/>
        <w:spacing w:line="440" w:lineRule="exact"/>
        <w:rPr>
          <w:color w:val="auto"/>
          <w:sz w:val="24"/>
          <w:highlight w:val="none"/>
        </w:rPr>
      </w:pPr>
    </w:p>
    <w:p w14:paraId="180DAFEA">
      <w:pPr>
        <w:adjustRightInd w:val="0"/>
        <w:snapToGrid w:val="0"/>
        <w:spacing w:line="440" w:lineRule="exact"/>
        <w:rPr>
          <w:color w:val="auto"/>
          <w:sz w:val="24"/>
          <w:highlight w:val="none"/>
        </w:rPr>
      </w:pPr>
      <w:r>
        <w:rPr>
          <w:rFonts w:hAnsi="宋体"/>
          <w:color w:val="auto"/>
          <w:sz w:val="24"/>
          <w:highlight w:val="none"/>
        </w:rPr>
        <w:t>注：如项目已竣工验收，附竣工验收单。</w:t>
      </w:r>
    </w:p>
    <w:p w14:paraId="42558A16">
      <w:pPr>
        <w:adjustRightInd w:val="0"/>
        <w:snapToGrid w:val="0"/>
        <w:spacing w:line="440" w:lineRule="exact"/>
        <w:rPr>
          <w:color w:val="auto"/>
          <w:highlight w:val="none"/>
        </w:rPr>
      </w:pPr>
    </w:p>
    <w:p w14:paraId="72B464DB">
      <w:pPr>
        <w:adjustRightInd w:val="0"/>
        <w:snapToGrid w:val="0"/>
        <w:spacing w:line="440" w:lineRule="exact"/>
        <w:rPr>
          <w:color w:val="auto"/>
          <w:highlight w:val="none"/>
        </w:rPr>
      </w:pPr>
    </w:p>
    <w:p w14:paraId="01A59E1A">
      <w:pPr>
        <w:adjustRightInd w:val="0"/>
        <w:snapToGrid w:val="0"/>
        <w:spacing w:line="440" w:lineRule="exact"/>
        <w:ind w:firstLine="422" w:firstLineChars="200"/>
        <w:rPr>
          <w:b/>
          <w:color w:val="auto"/>
          <w:highlight w:val="none"/>
        </w:rPr>
      </w:pPr>
    </w:p>
    <w:p w14:paraId="36F84F5D">
      <w:pPr>
        <w:adjustRightInd w:val="0"/>
        <w:snapToGrid w:val="0"/>
        <w:spacing w:line="440" w:lineRule="exact"/>
        <w:ind w:firstLine="4348" w:firstLineChars="1812"/>
        <w:rPr>
          <w:color w:val="auto"/>
          <w:sz w:val="24"/>
          <w:highlight w:val="none"/>
        </w:rPr>
      </w:pPr>
      <w:r>
        <w:rPr>
          <w:rFonts w:hAnsi="宋体"/>
          <w:color w:val="auto"/>
          <w:sz w:val="24"/>
          <w:highlight w:val="none"/>
        </w:rPr>
        <w:t>单位公章（注：单位内设科室盖章无效）</w:t>
      </w:r>
    </w:p>
    <w:p w14:paraId="33253506">
      <w:pPr>
        <w:adjustRightInd w:val="0"/>
        <w:snapToGrid w:val="0"/>
        <w:spacing w:line="440" w:lineRule="exact"/>
        <w:ind w:firstLine="4348" w:firstLineChars="1812"/>
        <w:rPr>
          <w:color w:val="auto"/>
          <w:sz w:val="24"/>
          <w:highlight w:val="none"/>
        </w:rPr>
      </w:pPr>
      <w:r>
        <w:rPr>
          <w:rFonts w:hAnsi="宋体"/>
          <w:color w:val="auto"/>
          <w:sz w:val="24"/>
          <w:highlight w:val="none"/>
        </w:rPr>
        <w:t>日期：</w:t>
      </w:r>
    </w:p>
    <w:p w14:paraId="21B4538A">
      <w:pPr>
        <w:adjustRightInd w:val="0"/>
        <w:snapToGrid w:val="0"/>
        <w:spacing w:line="440" w:lineRule="exact"/>
        <w:ind w:firstLine="8004" w:firstLineChars="1812"/>
        <w:rPr>
          <w:rFonts w:hint="eastAsia"/>
          <w:b/>
          <w:bCs/>
          <w:color w:val="auto"/>
          <w:sz w:val="44"/>
          <w:szCs w:val="44"/>
          <w:highlight w:val="none"/>
        </w:rPr>
      </w:pPr>
    </w:p>
    <w:p w14:paraId="304D2A6A">
      <w:pPr>
        <w:adjustRightInd w:val="0"/>
        <w:snapToGrid w:val="0"/>
        <w:spacing w:line="440" w:lineRule="exact"/>
        <w:ind w:firstLine="8004" w:firstLineChars="1812"/>
        <w:rPr>
          <w:rFonts w:hint="eastAsia"/>
          <w:b/>
          <w:bCs/>
          <w:color w:val="auto"/>
          <w:sz w:val="44"/>
          <w:szCs w:val="44"/>
          <w:highlight w:val="none"/>
        </w:rPr>
      </w:pPr>
    </w:p>
    <w:p w14:paraId="24A89F0E">
      <w:pPr>
        <w:adjustRightInd w:val="0"/>
        <w:snapToGrid w:val="0"/>
        <w:spacing w:line="440" w:lineRule="exact"/>
        <w:ind w:firstLine="8004" w:firstLineChars="1812"/>
        <w:rPr>
          <w:b/>
          <w:bCs/>
          <w:color w:val="auto"/>
          <w:sz w:val="44"/>
          <w:szCs w:val="44"/>
          <w:highlight w:val="none"/>
        </w:rPr>
      </w:pPr>
    </w:p>
    <w:p w14:paraId="209759D2">
      <w:pPr>
        <w:pStyle w:val="17"/>
        <w:spacing w:line="360" w:lineRule="auto"/>
        <w:jc w:val="center"/>
        <w:rPr>
          <w:rFonts w:hint="eastAsia" w:ascii="宋体" w:hAnsi="宋体"/>
          <w:color w:val="auto"/>
          <w:highlight w:val="none"/>
        </w:rPr>
      </w:pPr>
      <w:bookmarkStart w:id="583" w:name="_Toc465181340"/>
      <w:bookmarkStart w:id="584" w:name="_Toc404159965"/>
    </w:p>
    <w:p w14:paraId="2BE4FD2C">
      <w:pPr>
        <w:pStyle w:val="4"/>
        <w:jc w:val="center"/>
        <w:rPr>
          <w:rFonts w:hint="eastAsia"/>
          <w:color w:val="auto"/>
          <w:kern w:val="0"/>
          <w:sz w:val="32"/>
          <w:szCs w:val="32"/>
          <w:highlight w:val="none"/>
        </w:rPr>
      </w:pPr>
      <w:r>
        <w:rPr>
          <w:rFonts w:hAnsi="宋体"/>
          <w:color w:val="auto"/>
          <w:kern w:val="0"/>
          <w:sz w:val="32"/>
          <w:szCs w:val="32"/>
          <w:highlight w:val="none"/>
        </w:rPr>
        <w:t>第八章</w:t>
      </w:r>
      <w:r>
        <w:rPr>
          <w:color w:val="auto"/>
          <w:kern w:val="0"/>
          <w:sz w:val="32"/>
          <w:szCs w:val="32"/>
          <w:highlight w:val="none"/>
        </w:rPr>
        <w:t xml:space="preserve"> </w:t>
      </w:r>
      <w:r>
        <w:rPr>
          <w:rFonts w:hAnsi="宋体"/>
          <w:color w:val="auto"/>
          <w:kern w:val="0"/>
          <w:sz w:val="32"/>
          <w:szCs w:val="32"/>
          <w:highlight w:val="none"/>
        </w:rPr>
        <w:t>工程量清单</w:t>
      </w:r>
      <w:bookmarkEnd w:id="583"/>
      <w:bookmarkEnd w:id="584"/>
    </w:p>
    <w:sectPr>
      <w:footerReference r:id="rId7" w:type="first"/>
      <w:footerReference r:id="rId6" w:type="default"/>
      <w:pgSz w:w="11907" w:h="16840"/>
      <w:pgMar w:top="1304" w:right="927" w:bottom="1225" w:left="1134" w:header="720" w:footer="720" w:gutter="0"/>
      <w:pgNumType w:chapStyle="1"/>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915819AC-E1EA-46F0-91A0-B9651DFF06AE}"/>
  </w:font>
  <w:font w:name="黑体">
    <w:panose1 w:val="02010609060101010101"/>
    <w:charset w:val="86"/>
    <w:family w:val="auto"/>
    <w:pitch w:val="default"/>
    <w:sig w:usb0="800002BF" w:usb1="38CF7CFA" w:usb2="00000016" w:usb3="00000000" w:csb0="00040001" w:csb1="00000000"/>
    <w:embedRegular r:id="rId2" w:fontKey="{9030792A-2B4C-4AB2-93B2-0DDA26B0612E}"/>
  </w:font>
  <w:font w:name="Courier New">
    <w:panose1 w:val="02070309020205020404"/>
    <w:charset w:val="01"/>
    <w:family w:val="modern"/>
    <w:pitch w:val="default"/>
    <w:sig w:usb0="E0002EFF" w:usb1="C0007843" w:usb2="00000009" w:usb3="00000000" w:csb0="400001FF" w:csb1="FFFF0000"/>
    <w:embedRegular r:id="rId3" w:fontKey="{CD5B2ABB-5C06-47C8-8583-BAB356CD26CA}"/>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embedRegular r:id="rId4" w:fontKey="{E39D3DE3-F1F2-442E-857F-246BAE71790D}"/>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HelveticaNeue LT 55 Roman">
    <w:altName w:val="Segoe Print"/>
    <w:panose1 w:val="00000000000000000000"/>
    <w:charset w:val="00"/>
    <w:family w:val="auto"/>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华文中宋">
    <w:panose1 w:val="02010600040101010101"/>
    <w:charset w:val="86"/>
    <w:family w:val="auto"/>
    <w:pitch w:val="default"/>
    <w:sig w:usb0="00000287" w:usb1="080F0000" w:usb2="00000000" w:usb3="00000000" w:csb0="0004009F" w:csb1="DFD70000"/>
    <w:embedRegular r:id="rId5" w:fontKey="{8C0F2CA5-6958-476A-B754-F6FA01CD1B78}"/>
  </w:font>
  <w:font w:name="楷体_GB2312">
    <w:altName w:val="楷体"/>
    <w:panose1 w:val="00000000000000000000"/>
    <w:charset w:val="86"/>
    <w:family w:val="modern"/>
    <w:pitch w:val="default"/>
    <w:sig w:usb0="00000000" w:usb1="00000000" w:usb2="00000010" w:usb3="00000000" w:csb0="00040000" w:csb1="00000000"/>
    <w:embedRegular r:id="rId6" w:fontKey="{F34FFFD9-DC91-43FF-97E4-53F00E17A675}"/>
  </w:font>
  <w:font w:name="楷体">
    <w:panose1 w:val="02010609060101010101"/>
    <w:charset w:val="86"/>
    <w:family w:val="auto"/>
    <w:pitch w:val="default"/>
    <w:sig w:usb0="800002BF" w:usb1="38CF7CFA" w:usb2="00000016" w:usb3="00000000" w:csb0="00040001" w:csb1="00000000"/>
  </w:font>
  <w:font w:name="Plotter">
    <w:altName w:val="Times New Roman"/>
    <w:panose1 w:val="00000000000000000000"/>
    <w:charset w:val="00"/>
    <w:family w:val="roman"/>
    <w:pitch w:val="default"/>
    <w:sig w:usb0="00000000" w:usb1="00000000" w:usb2="00000000" w:usb3="00000000" w:csb0="00000003" w:csb1="0012CEFC"/>
  </w:font>
  <w:font w:name="Verdana">
    <w:panose1 w:val="020B0604030504040204"/>
    <w:charset w:val="00"/>
    <w:family w:val="swiss"/>
    <w:pitch w:val="default"/>
    <w:sig w:usb0="A00006FF" w:usb1="4000205B" w:usb2="00000010" w:usb3="00000000" w:csb0="2000019F" w:csb1="00000000"/>
  </w:font>
  <w:font w:name="monospace">
    <w:altName w:val="Segoe Print"/>
    <w:panose1 w:val="00000000000000000000"/>
    <w:charset w:val="00"/>
    <w:family w:val="auto"/>
    <w:pitch w:val="default"/>
    <w:sig w:usb0="00000000" w:usb1="00000000" w:usb2="00000000" w:usb3="00000000" w:csb0="00040001" w:csb1="00000000"/>
  </w:font>
  <w:font w:name="仿宋体">
    <w:altName w:val="宋体"/>
    <w:panose1 w:val="00000000000000000000"/>
    <w:charset w:val="86"/>
    <w:family w:val="roman"/>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Georgia">
    <w:panose1 w:val="02040502050405020303"/>
    <w:charset w:val="00"/>
    <w:family w:val="roman"/>
    <w:pitch w:val="default"/>
    <w:sig w:usb0="00000287" w:usb1="00000000" w:usb2="00000000" w:usb3="00000000" w:csb0="2000009F" w:csb1="00000000"/>
  </w:font>
  <w:font w:name="@时尚中黑简体">
    <w:panose1 w:val="01010104010101010101"/>
    <w:charset w:val="86"/>
    <w:family w:val="auto"/>
    <w:pitch w:val="default"/>
    <w:sig w:usb0="800002BF" w:usb1="184F6CF8" w:usb2="00000012" w:usb3="00000000" w:csb0="00040001" w:csb1="00000000"/>
  </w:font>
  <w:font w:name="Calibri Light">
    <w:panose1 w:val="020F0302020204030204"/>
    <w:charset w:val="00"/>
    <w:family w:val="swiss"/>
    <w:pitch w:val="default"/>
    <w:sig w:usb0="E4002EFF" w:usb1="C200247B" w:usb2="00000009" w:usb3="00000000" w:csb0="200001FF" w:csb1="00000000"/>
  </w:font>
  <w:font w:name="Arial Unicode MS">
    <w:altName w:val="宋体"/>
    <w:panose1 w:val="020B0604020202020204"/>
    <w:charset w:val="86"/>
    <w:family w:val="swiss"/>
    <w:pitch w:val="default"/>
    <w:sig w:usb0="00000000" w:usb1="00000000" w:usb2="0000003F" w:usb3="00000000" w:csb0="003F01FF" w:csb1="00000000"/>
  </w:font>
  <w:font w:name="宋体fal">
    <w:altName w:val="宋体"/>
    <w:panose1 w:val="00000000000000000000"/>
    <w:charset w:val="86"/>
    <w:family w:val="auto"/>
    <w:pitch w:val="default"/>
    <w:sig w:usb0="00000000" w:usb1="00000000" w:usb2="00000010" w:usb3="00000000" w:csb0="00040000" w:csb1="00000000"/>
  </w:font>
  <w:font w:name="黑体fal">
    <w:altName w:val="宋体"/>
    <w:panose1 w:val="00000000000000000000"/>
    <w:charset w:val="86"/>
    <w:family w:val="auto"/>
    <w:pitch w:val="default"/>
    <w:sig w:usb0="00000000" w:usb1="00000000" w:usb2="00000010" w:usb3="00000000" w:csb0="00040000" w:csb1="00000000"/>
  </w:font>
  <w:font w:name="文鼎粗黑">
    <w:altName w:val="宋体"/>
    <w:panose1 w:val="00000000000000000000"/>
    <w:charset w:val="86"/>
    <w:family w:val="modern"/>
    <w:pitch w:val="default"/>
    <w:sig w:usb0="00000000" w:usb1="00000000" w:usb2="00000010" w:usb3="00000000" w:csb0="00040000" w:csb1="00000000"/>
  </w:font>
  <w:font w:name="华文细黑">
    <w:panose1 w:val="02010600040101010101"/>
    <w:charset w:val="86"/>
    <w:family w:val="auto"/>
    <w:pitch w:val="default"/>
    <w:sig w:usb0="00000287" w:usb1="080F0000" w:usb2="00000000" w:usb3="00000000" w:csb0="0004009F" w:csb1="DFD70000"/>
  </w:font>
  <w:font w:name="Microsoft Sans Serif">
    <w:panose1 w:val="020B0604020202020204"/>
    <w:charset w:val="00"/>
    <w:family w:val="swiss"/>
    <w:pitch w:val="default"/>
    <w:sig w:usb0="E5002EFF" w:usb1="C000605B" w:usb2="00000029" w:usb3="00000000" w:csb0="200101FF" w:csb1="20280000"/>
  </w:font>
  <w:font w:name="长城楷体">
    <w:altName w:val="宋体"/>
    <w:panose1 w:val="00000000000000000000"/>
    <w:charset w:val="86"/>
    <w:family w:val="modern"/>
    <w:pitch w:val="default"/>
    <w:sig w:usb0="00000000" w:usb1="00000000" w:usb2="00000010" w:usb3="00000000" w:csb0="00040000" w:csb1="00000000"/>
  </w:font>
  <w:font w:name="汉鼎简大黑Arial Black">
    <w:altName w:val="宋体"/>
    <w:panose1 w:val="00000000000000000000"/>
    <w:charset w:val="86"/>
    <w:family w:val="auto"/>
    <w:pitch w:val="default"/>
    <w:sig w:usb0="00000000" w:usb1="00000000" w:usb2="00000010" w:usb3="00000000" w:csb0="00040000" w:csb1="00000000"/>
  </w:font>
  <w:font w:name="汉鼎简中等线Arial">
    <w:altName w:val="宋体"/>
    <w:panose1 w:val="00000000000000000000"/>
    <w:charset w:val="86"/>
    <w:family w:val="auto"/>
    <w:pitch w:val="default"/>
    <w:sig w:usb0="00000000" w:usb1="00000000" w:usb2="00000010" w:usb3="00000000" w:csb0="00040000" w:csb1="00000000"/>
  </w:font>
  <w:font w:name="華康細圓體">
    <w:altName w:val="Microsoft JhengHei"/>
    <w:panose1 w:val="020F0309000000000000"/>
    <w:charset w:val="88"/>
    <w:family w:val="modern"/>
    <w:pitch w:val="default"/>
    <w:sig w:usb0="00000000" w:usb1="00000000" w:usb2="00000016" w:usb3="00000000" w:csb0="00100001" w:csb1="00000000"/>
  </w:font>
  <w:font w:name="Microsoft JhengHei">
    <w:panose1 w:val="020B0604030504040204"/>
    <w:charset w:val="88"/>
    <w:family w:val="auto"/>
    <w:pitch w:val="default"/>
    <w:sig w:usb0="000002A7" w:usb1="28CF4400" w:usb2="00000016" w:usb3="00000000" w:csb0="00100009" w:csb1="00000000"/>
  </w:font>
  <w:font w:name="Helvetica Neue 55 Roman">
    <w:altName w:val="Times New Roman"/>
    <w:panose1 w:val="00000000000000000000"/>
    <w:charset w:val="00"/>
    <w:family w:val="auto"/>
    <w:pitch w:val="default"/>
    <w:sig w:usb0="00000000" w:usb1="00000000" w:usb2="00000000" w:usb3="00000000" w:csb0="00000111" w:csb1="00000000"/>
  </w:font>
  <w:font w:name="G">
    <w:altName w:val="Times New Roman"/>
    <w:panose1 w:val="00000000000000000000"/>
    <w:charset w:val="00"/>
    <w:family w:val="roman"/>
    <w:pitch w:val="default"/>
    <w:sig w:usb0="00000000" w:usb1="00000000" w:usb2="00000000" w:usb3="00000000" w:csb0="00040001" w:csb1="00000000"/>
  </w:font>
  <w:font w:name="长城仿宋">
    <w:altName w:val="宋体"/>
    <w:panose1 w:val="00000000000000000000"/>
    <w:charset w:val="86"/>
    <w:family w:val="auto"/>
    <w:pitch w:val="default"/>
    <w:sig w:usb0="00000000" w:usb1="00000000" w:usb2="00000010" w:usb3="00000000" w:csb0="00040000" w:csb1="00000000"/>
  </w:font>
  <w:font w:name="??">
    <w:altName w:val="Times New Roman"/>
    <w:panose1 w:val="00000000000000000000"/>
    <w:charset w:val="00"/>
    <w:family w:val="auto"/>
    <w:pitch w:val="default"/>
    <w:sig w:usb0="00000000" w:usb1="00000000" w:usb2="00000000" w:usb3="00000000" w:csb0="00000001" w:csb1="00000000"/>
  </w:font>
  <w:font w:name="HelveticaNeue LT 57 Cn">
    <w:altName w:val="Segoe Print"/>
    <w:panose1 w:val="00000000000000000000"/>
    <w:charset w:val="00"/>
    <w:family w:val="auto"/>
    <w:pitch w:val="default"/>
    <w:sig w:usb0="00000000" w:usb1="00000000" w:usb2="00000000" w:usb3="00000000" w:csb0="00000001" w:csb1="00000000"/>
  </w:font>
  <w:font w:name="文鼎">
    <w:altName w:val="宋体"/>
    <w:panose1 w:val="00000000000000000000"/>
    <w:charset w:val="86"/>
    <w:family w:val="roman"/>
    <w:pitch w:val="default"/>
    <w:sig w:usb0="00000000" w:usb1="00000000" w:usb2="00000000" w:usb3="00000000" w:csb0="00040000" w:csb1="00000000"/>
  </w:font>
  <w:font w:name="華康粗圓體">
    <w:altName w:val="Microsoft JhengHei"/>
    <w:panose1 w:val="020F0709000000000000"/>
    <w:charset w:val="88"/>
    <w:family w:val="modern"/>
    <w:pitch w:val="default"/>
    <w:sig w:usb0="00000000" w:usb1="00000000" w:usb2="00000016" w:usb3="00000000" w:csb0="00100001" w:csb1="00000000"/>
  </w:font>
  <w:font w:name="Impact">
    <w:panose1 w:val="020B0806030902050204"/>
    <w:charset w:val="00"/>
    <w:family w:val="swiss"/>
    <w:pitch w:val="default"/>
    <w:sig w:usb0="00000287" w:usb1="00000000" w:usb2="00000000" w:usb3="00000000" w:csb0="2000009F" w:csb1="DFD70000"/>
  </w:font>
  <w:font w:name="等线">
    <w:panose1 w:val="02010600030101010101"/>
    <w:charset w:val="86"/>
    <w:family w:val="auto"/>
    <w:pitch w:val="default"/>
    <w:sig w:usb0="A00002BF" w:usb1="38CF7CFA" w:usb2="00000016" w:usb3="00000000" w:csb0="0004000F" w:csb1="00000000"/>
    <w:embedRegular r:id="rId7" w:fontKey="{0114DEB5-A318-4B4C-9AC1-C5761DDE1AD3}"/>
  </w:font>
  <w:font w:name="方正黑体_GBK">
    <w:altName w:val="微软雅黑"/>
    <w:panose1 w:val="00000000000000000000"/>
    <w:charset w:val="86"/>
    <w:family w:val="script"/>
    <w:pitch w:val="default"/>
    <w:sig w:usb0="00000000" w:usb1="00000000" w:usb2="00000010" w:usb3="00000000" w:csb0="00040000" w:csb1="00000000"/>
    <w:embedRegular r:id="rId8" w:fontKey="{B1BD5F6B-05C8-480B-814F-6F82D8E225D2}"/>
  </w:font>
  <w:font w:name="方正小标宋简体">
    <w:panose1 w:val="02000000000000000000"/>
    <w:charset w:val="86"/>
    <w:family w:val="auto"/>
    <w:pitch w:val="default"/>
    <w:sig w:usb0="00000001" w:usb1="08000000" w:usb2="00000000" w:usb3="00000000" w:csb0="00040000" w:csb1="00000000"/>
    <w:embedRegular r:id="rId9" w:fontKey="{8D4C0108-2405-416C-AA8C-31ACC343BEF1}"/>
  </w:font>
  <w:font w:name="方正仿宋_GBK">
    <w:altName w:val="微软雅黑"/>
    <w:panose1 w:val="02000000000000000000"/>
    <w:charset w:val="86"/>
    <w:family w:val="auto"/>
    <w:pitch w:val="default"/>
    <w:sig w:usb0="00000000" w:usb1="00000000" w:usb2="00082016" w:usb3="00000000" w:csb0="00040001" w:csb1="00000000"/>
    <w:embedRegular r:id="rId10" w:fontKey="{1E1C3976-30D9-47C7-9792-1688EE044A5A}"/>
  </w:font>
  <w:font w:name="MingLiU_HKSCS">
    <w:altName w:val="PMingLiU-ExtB"/>
    <w:panose1 w:val="02020500000000000000"/>
    <w:charset w:val="88"/>
    <w:family w:val="roman"/>
    <w:pitch w:val="default"/>
    <w:sig w:usb0="00000000" w:usb1="00000000" w:usb2="00000016" w:usb3="00000000" w:csb0="00100001" w:csb1="00000000"/>
    <w:embedRegular r:id="rId11" w:fontKey="{DED5E847-7181-43B2-8130-082BCDE184AD}"/>
  </w:font>
  <w:font w:name="PMingLiU-ExtB">
    <w:panose1 w:val="02020500000000000000"/>
    <w:charset w:val="88"/>
    <w:family w:val="auto"/>
    <w:pitch w:val="default"/>
    <w:sig w:usb0="8000002F" w:usb1="02000008" w:usb2="00000000" w:usb3="00000000" w:csb0="00100001" w:csb1="00000000"/>
  </w:font>
  <w:font w:name="Cambria Math">
    <w:panose1 w:val="02040503050406030204"/>
    <w:charset w:val="00"/>
    <w:family w:val="roman"/>
    <w:pitch w:val="default"/>
    <w:sig w:usb0="E00006FF" w:usb1="420024FF" w:usb2="02000000" w:usb3="00000000" w:csb0="2000019F" w:csb1="00000000"/>
    <w:embedRegular r:id="rId12" w:fontKey="{2F676E0B-EBF3-4C32-8321-F53C35F4841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A7D76E">
    <w:pPr>
      <w:pStyle w:val="40"/>
    </w:pPr>
    <w:r>
      <w:fldChar w:fldCharType="begin"/>
    </w:r>
    <w:r>
      <w:instrText xml:space="preserve"> PAGE   \* MERGEFORMAT </w:instrText>
    </w:r>
    <w:r>
      <w:fldChar w:fldCharType="separate"/>
    </w:r>
    <w:r>
      <w:rPr>
        <w:lang w:val="zh-CN"/>
      </w:rPr>
      <w:t>3</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48B7FD">
    <w:pPr>
      <w:pStyle w:val="40"/>
      <w:framePr w:wrap="around" w:vAnchor="text" w:hAnchor="margin" w:xAlign="center" w:y="1"/>
      <w:rPr>
        <w:rStyle w:val="69"/>
      </w:rPr>
    </w:pPr>
    <w:r>
      <w:fldChar w:fldCharType="begin"/>
    </w:r>
    <w:r>
      <w:rPr>
        <w:rStyle w:val="69"/>
      </w:rPr>
      <w:instrText xml:space="preserve">PAGE  </w:instrText>
    </w:r>
    <w:r>
      <w:fldChar w:fldCharType="separate"/>
    </w:r>
    <w:r>
      <w:rPr>
        <w:vanish/>
      </w:rPr>
      <w:t xml:space="preserve"> </w:t>
    </w:r>
    <w:r>
      <w:fldChar w:fldCharType="end"/>
    </w:r>
  </w:p>
  <w:p w14:paraId="6668CEB5">
    <w:pPr>
      <w:pStyle w:val="4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16B045">
    <w:pP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BCF62C">
    <w:pPr>
      <w:pStyle w:val="40"/>
      <w:ind w:left="840" w:hanging="420"/>
      <w:jc w:val="center"/>
    </w:pPr>
    <w:r>
      <w:fldChar w:fldCharType="begin"/>
    </w:r>
    <w:r>
      <w:instrText xml:space="preserve">PAGE   \* MERGEFORMAT</w:instrText>
    </w:r>
    <w:r>
      <w:fldChar w:fldCharType="separate"/>
    </w:r>
    <w:r>
      <w:rPr>
        <w:lang w:val="zh-CN"/>
      </w:rPr>
      <w:t>94</w:t>
    </w:r>
    <w:r>
      <w:fldChar w:fldCharType="end"/>
    </w:r>
  </w:p>
  <w:p w14:paraId="154938EC">
    <w:pPr>
      <w:pStyle w:val="4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94F292">
    <w:pPr>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align>top</wp:align>
              </wp:positionV>
              <wp:extent cx="67310" cy="153035"/>
              <wp:effectExtent l="0" t="0" r="0" b="0"/>
              <wp:wrapNone/>
              <wp:docPr id="8" name="文本框6"/>
              <wp:cNvGraphicFramePr/>
              <a:graphic xmlns:a="http://schemas.openxmlformats.org/drawingml/2006/main">
                <a:graphicData uri="http://schemas.microsoft.com/office/word/2010/wordprocessingShape">
                  <wps:wsp>
                    <wps:cNvSpPr txBox="1"/>
                    <wps:spPr>
                      <a:xfrm>
                        <a:off x="0" y="0"/>
                        <a:ext cx="67310" cy="153035"/>
                      </a:xfrm>
                      <a:prstGeom prst="rect">
                        <a:avLst/>
                      </a:prstGeom>
                      <a:noFill/>
                      <a:ln>
                        <a:noFill/>
                      </a:ln>
                    </wps:spPr>
                    <wps:txbx>
                      <w:txbxContent>
                        <w:p w14:paraId="4A6A5DAD">
                          <w:pPr>
                            <w:jc w:val="center"/>
                          </w:pPr>
                          <w:r>
                            <w:fldChar w:fldCharType="begin"/>
                          </w:r>
                          <w:r>
                            <w:instrText xml:space="preserve"> PAGE  \* MERGEFORMAT </w:instrText>
                          </w:r>
                          <w:r>
                            <w:fldChar w:fldCharType="separate"/>
                          </w:r>
                          <w:r>
                            <w:t>3</w:t>
                          </w:r>
                          <w:r>
                            <w:fldChar w:fldCharType="end"/>
                          </w:r>
                        </w:p>
                      </w:txbxContent>
                    </wps:txbx>
                    <wps:bodyPr wrap="none" lIns="0" tIns="0" rIns="0" bIns="0" upright="0">
                      <a:spAutoFit/>
                    </wps:bodyPr>
                  </wps:wsp>
                </a:graphicData>
              </a:graphic>
            </wp:anchor>
          </w:drawing>
        </mc:Choice>
        <mc:Fallback>
          <w:pict>
            <v:shape id="文本框6" o:spid="_x0000_s1026" o:spt="202" type="#_x0000_t202" style="position:absolute;left:0pt;height:12.05pt;width:5.3pt;mso-position-horizontal:center;mso-position-horizontal-relative:margin;mso-position-vertical:top;mso-wrap-style:none;z-index:251659264;mso-width-relative:page;mso-height-relative:page;" filled="f" stroked="f" coordsize="21600,21600" o:gfxdata="UEsDBAoAAAAAAIdO4kAAAAAAAAAAAAAAAAAEAAAAZHJzL1BLAwQUAAAACACHTuJAZ6s1RdAAAAAD&#10;AQAADwAAAGRycy9kb3ducmV2LnhtbE2PwU7DMBBE70j8g7VI3KidCpUqxOmhEhduFITEbRtv4wh7&#10;Hdlumvw9Lhe4rDSa0czbZjd7JyaKaQisoVopEMRdMAP3Gj7eXx62IFJGNugCk4aFEuza25sGaxMu&#10;/EbTIfeilHCqUYPNeaylTJ0lj2kVRuLinUL0mIuMvTQRL6XcO7lWaiM9DlwWLI60t9R9H85ew9P8&#10;GWhMtKev09RFOyxb97pofX9XqWcQmeb8F4YrfkGHtjAdw5lNEk5DeST/3qunNiCOGtaPFci2kf/Z&#10;2x9QSwMEFAAAAAgAh07iQDts0+7LAQAAlQMAAA4AAABkcnMvZTJvRG9jLnhtbK1TS27bMBDdF8gd&#10;CO5jyTHiFoLloIWRIEDRFkh7AJoiLQL8gUNb8gXaG3TVTfc9l8/RISU5bbLJIhtqODN6M+/NcHXT&#10;G00OIoBytqbzWUmJsNw1yu5q+u3r7eU7SiAy2zDtrKjpUQC9WV+8WXW+EleudboRgSCIharzNW1j&#10;9FVRAG+FYTBzXlgMShcMi3gNu6IJrEN0o4urslwWnQuND44LAPRuhiAdEcNLAJ2UiouN43sjbBxQ&#10;g9AsIiVolQe6zt1KKXj8LCWISHRNkWnMJxZBe5vOYr1i1S4w3yo+tsBe0sITToYpi0XPUBsWGdkH&#10;9QzKKB4cOBln3JliIJIVQRbz8ok2Dy3zInNBqcGfRYfXg+WfDl8CUU1NceyWGRz46eeP068/p9/f&#10;l0mdzkOFSQ8e02L/wfW4M5Mf0JlI9zKY9EU6BOOo7fGsregj4ehcvl3MMcAxMr9elIvrBFI8/usD&#10;xDvhDElGTQNOLgvKDh8hDqlTSipl3a3SOk9P2/8ciJk8RWp8aDBZsd/2I5uta45IpsOh19TijlOi&#10;7y1qmvZjMsJkbCdj74PatXmBUj3w7/cRm8i9pQoD7FgYp5XZjZuV1uHfe856fE3r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GerNUXQAAAAAwEAAA8AAAAAAAAAAQAgAAAAIgAAAGRycy9kb3ducmV2&#10;LnhtbFBLAQIUABQAAAAIAIdO4kA7bNPuywEAAJUDAAAOAAAAAAAAAAEAIAAAAB8BAABkcnMvZTJv&#10;RG9jLnhtbFBLBQYAAAAABgAGAFkBAABcBQAAAAA=&#10;">
              <v:fill on="f" focussize="0,0"/>
              <v:stroke on="f"/>
              <v:imagedata o:title=""/>
              <o:lock v:ext="edit" aspectratio="f"/>
              <v:textbox inset="0mm,0mm,0mm,0mm" style="mso-fit-shape-to-text:t;">
                <w:txbxContent>
                  <w:p w14:paraId="4A6A5DAD">
                    <w:pPr>
                      <w:jc w:val="center"/>
                    </w:pPr>
                    <w:r>
                      <w:fldChar w:fldCharType="begin"/>
                    </w:r>
                    <w:r>
                      <w:instrText xml:space="preserve"> PAGE  \* MERGEFORMAT </w:instrText>
                    </w:r>
                    <w:r>
                      <w:fldChar w:fldCharType="separate"/>
                    </w:r>
                    <w:r>
                      <w:t>3</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5"/>
    <w:multiLevelType w:val="multilevel"/>
    <w:tmpl w:val="00000005"/>
    <w:lvl w:ilvl="0" w:tentative="0">
      <w:start w:val="1"/>
      <w:numFmt w:val="decimal"/>
      <w:lvlText w:val="4.%1"/>
      <w:lvlJc w:val="left"/>
      <w:pPr>
        <w:tabs>
          <w:tab w:val="left" w:pos="720"/>
        </w:tabs>
        <w:ind w:left="720" w:hanging="360"/>
      </w:pPr>
    </w:lvl>
    <w:lvl w:ilvl="1" w:tentative="0">
      <w:start w:val="0"/>
      <w:numFmt w:val="decimal"/>
      <w:lvlText w:val=""/>
      <w:lvlJc w:val="left"/>
    </w:lvl>
    <w:lvl w:ilvl="2" w:tentative="0">
      <w:start w:val="0"/>
      <w:numFmt w:val="decimal"/>
      <w:lvlText w:val=""/>
      <w:lvlJc w:val="left"/>
    </w:lvl>
    <w:lvl w:ilvl="3" w:tentative="0">
      <w:start w:val="0"/>
      <w:numFmt w:val="decimal"/>
      <w:pStyle w:val="178"/>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
    <w:nsid w:val="6E53476C"/>
    <w:multiLevelType w:val="multilevel"/>
    <w:tmpl w:val="6E53476C"/>
    <w:lvl w:ilvl="0" w:tentative="0">
      <w:start w:val="1"/>
      <w:numFmt w:val="japaneseCounting"/>
      <w:pStyle w:val="698"/>
      <w:lvlText w:val="第%1章"/>
      <w:lvlJc w:val="left"/>
      <w:pPr>
        <w:tabs>
          <w:tab w:val="left" w:pos="1125"/>
        </w:tabs>
        <w:ind w:left="1125" w:hanging="1125"/>
      </w:pPr>
      <w:rPr>
        <w:rFonts w:hint="eastAsia"/>
      </w:rPr>
    </w:lvl>
    <w:lvl w:ilvl="1" w:tentative="0">
      <w:start w:val="1"/>
      <w:numFmt w:val="japaneseCounting"/>
      <w:lvlText w:val="%2、"/>
      <w:lvlJc w:val="left"/>
      <w:pPr>
        <w:tabs>
          <w:tab w:val="left" w:pos="1140"/>
        </w:tabs>
        <w:ind w:left="1140" w:hanging="720"/>
      </w:pPr>
      <w:rPr>
        <w:rFonts w:ascii="楷体_GB2312" w:hAnsi="Times New Roman" w:eastAsia="楷体_GB2312" w:cs="Times New Roman"/>
        <w:b w:val="0"/>
      </w:rPr>
    </w:lvl>
    <w:lvl w:ilvl="2" w:tentative="0">
      <w:start w:val="1"/>
      <w:numFmt w:val="japaneseCounting"/>
      <w:lvlText w:val="(%3)"/>
      <w:lvlJc w:val="left"/>
      <w:pPr>
        <w:tabs>
          <w:tab w:val="left" w:pos="1590"/>
        </w:tabs>
        <w:ind w:left="1590" w:hanging="750"/>
      </w:pPr>
      <w:rPr>
        <w:rFonts w:hint="eastAsia"/>
        <w:b w:val="0"/>
      </w:r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7E392AB3"/>
    <w:multiLevelType w:val="multilevel"/>
    <w:tmpl w:val="7E392AB3"/>
    <w:lvl w:ilvl="0" w:tentative="0">
      <w:start w:val="7"/>
      <w:numFmt w:val="decimal"/>
      <w:lvlText w:val="%1"/>
      <w:lvlJc w:val="left"/>
      <w:pPr>
        <w:tabs>
          <w:tab w:val="left" w:pos="0"/>
        </w:tabs>
        <w:ind w:left="525" w:hanging="525"/>
      </w:pPr>
      <w:rPr>
        <w:rFonts w:hint="default"/>
      </w:rPr>
    </w:lvl>
    <w:lvl w:ilvl="1" w:tentative="0">
      <w:start w:val="5"/>
      <w:numFmt w:val="decimal"/>
      <w:lvlText w:val="%1.%2"/>
      <w:lvlJc w:val="left"/>
      <w:pPr>
        <w:tabs>
          <w:tab w:val="left" w:pos="0"/>
        </w:tabs>
        <w:ind w:left="735" w:hanging="525"/>
      </w:pPr>
      <w:rPr>
        <w:rFonts w:hint="default"/>
      </w:rPr>
    </w:lvl>
    <w:lvl w:ilvl="2" w:tentative="0">
      <w:start w:val="1"/>
      <w:numFmt w:val="decimal"/>
      <w:lvlText w:val="%1.%2.%3"/>
      <w:lvlJc w:val="left"/>
      <w:pPr>
        <w:tabs>
          <w:tab w:val="left" w:pos="0"/>
        </w:tabs>
        <w:ind w:left="1140" w:hanging="720"/>
      </w:pPr>
      <w:rPr>
        <w:rFonts w:hint="default"/>
      </w:rPr>
    </w:lvl>
    <w:lvl w:ilvl="3" w:tentative="0">
      <w:start w:val="1"/>
      <w:numFmt w:val="decimal"/>
      <w:lvlText w:val="%1.%2.%3.%4"/>
      <w:lvlJc w:val="left"/>
      <w:pPr>
        <w:tabs>
          <w:tab w:val="left" w:pos="0"/>
        </w:tabs>
        <w:ind w:left="1710" w:hanging="1080"/>
      </w:pPr>
      <w:rPr>
        <w:rFonts w:hint="default"/>
      </w:rPr>
    </w:lvl>
    <w:lvl w:ilvl="4" w:tentative="0">
      <w:start w:val="1"/>
      <w:numFmt w:val="decimal"/>
      <w:lvlText w:val="%1.%2.%3.%4.%5"/>
      <w:lvlJc w:val="left"/>
      <w:pPr>
        <w:tabs>
          <w:tab w:val="left" w:pos="0"/>
        </w:tabs>
        <w:ind w:left="1920" w:hanging="1080"/>
      </w:pPr>
      <w:rPr>
        <w:rFonts w:hint="default"/>
      </w:rPr>
    </w:lvl>
    <w:lvl w:ilvl="5" w:tentative="0">
      <w:start w:val="1"/>
      <w:numFmt w:val="decimal"/>
      <w:lvlText w:val="%1.%2.%3.%4.%5.%6"/>
      <w:lvlJc w:val="left"/>
      <w:pPr>
        <w:tabs>
          <w:tab w:val="left" w:pos="0"/>
        </w:tabs>
        <w:ind w:left="2490" w:hanging="1440"/>
      </w:pPr>
      <w:rPr>
        <w:rFonts w:hint="default"/>
      </w:rPr>
    </w:lvl>
    <w:lvl w:ilvl="6" w:tentative="0">
      <w:start w:val="1"/>
      <w:numFmt w:val="decimal"/>
      <w:lvlText w:val="%1.%2.%3.%4.%5.%6.%7"/>
      <w:lvlJc w:val="left"/>
      <w:pPr>
        <w:tabs>
          <w:tab w:val="left" w:pos="0"/>
        </w:tabs>
        <w:ind w:left="2700" w:hanging="1440"/>
      </w:pPr>
      <w:rPr>
        <w:rFonts w:hint="default"/>
      </w:rPr>
    </w:lvl>
    <w:lvl w:ilvl="7" w:tentative="0">
      <w:start w:val="1"/>
      <w:numFmt w:val="decimal"/>
      <w:lvlText w:val="%1.%2.%3.%4.%5.%6.%7.%8"/>
      <w:lvlJc w:val="left"/>
      <w:pPr>
        <w:tabs>
          <w:tab w:val="left" w:pos="0"/>
        </w:tabs>
        <w:ind w:left="3270" w:hanging="1800"/>
      </w:pPr>
      <w:rPr>
        <w:rFonts w:hint="default"/>
      </w:rPr>
    </w:lvl>
    <w:lvl w:ilvl="8" w:tentative="0">
      <w:start w:val="1"/>
      <w:numFmt w:val="decimal"/>
      <w:lvlText w:val="%1.%2.%3.%4.%5.%6.%7.%8.%9"/>
      <w:lvlJc w:val="left"/>
      <w:pPr>
        <w:tabs>
          <w:tab w:val="left" w:pos="0"/>
        </w:tabs>
        <w:ind w:left="3480" w:hanging="1800"/>
      </w:pPr>
      <w:rPr>
        <w:rFonts w:hint="default"/>
      </w:rPr>
    </w:lvl>
  </w:abstractNum>
  <w:num w:numId="1">
    <w:abstractNumId w:val="0"/>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HorizontalSpacing w:val="105"/>
  <w:drawingGridVerticalSpacing w:val="156"/>
  <w:displayHorizontalDrawingGridEvery w:val="0"/>
  <w:displayVerticalDrawingGridEvery w:val="2"/>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YxOTZiZTA5NGE2N2ZiZTY0YjVkMWYyZGIzNGU0MGIifQ=="/>
  </w:docVars>
  <w:rsids>
    <w:rsidRoot w:val="00AD215D"/>
    <w:rsid w:val="0000086C"/>
    <w:rsid w:val="00000DD8"/>
    <w:rsid w:val="00001107"/>
    <w:rsid w:val="00004193"/>
    <w:rsid w:val="00004982"/>
    <w:rsid w:val="000058EB"/>
    <w:rsid w:val="000059D4"/>
    <w:rsid w:val="00006060"/>
    <w:rsid w:val="0000656D"/>
    <w:rsid w:val="000069B7"/>
    <w:rsid w:val="0000766E"/>
    <w:rsid w:val="00007796"/>
    <w:rsid w:val="00007A6D"/>
    <w:rsid w:val="000106BF"/>
    <w:rsid w:val="000114C4"/>
    <w:rsid w:val="00013071"/>
    <w:rsid w:val="00013190"/>
    <w:rsid w:val="00013DFE"/>
    <w:rsid w:val="00013FCF"/>
    <w:rsid w:val="00014E2C"/>
    <w:rsid w:val="00014F48"/>
    <w:rsid w:val="000150ED"/>
    <w:rsid w:val="00015C3F"/>
    <w:rsid w:val="00016C6D"/>
    <w:rsid w:val="00017A26"/>
    <w:rsid w:val="00017BFC"/>
    <w:rsid w:val="00017ED9"/>
    <w:rsid w:val="00020055"/>
    <w:rsid w:val="0002014C"/>
    <w:rsid w:val="000204B5"/>
    <w:rsid w:val="00020A69"/>
    <w:rsid w:val="00021ABB"/>
    <w:rsid w:val="000233D4"/>
    <w:rsid w:val="00023C94"/>
    <w:rsid w:val="00024277"/>
    <w:rsid w:val="0002515D"/>
    <w:rsid w:val="00025580"/>
    <w:rsid w:val="00025619"/>
    <w:rsid w:val="0002612F"/>
    <w:rsid w:val="0002630F"/>
    <w:rsid w:val="00026893"/>
    <w:rsid w:val="00027148"/>
    <w:rsid w:val="000271E6"/>
    <w:rsid w:val="00027245"/>
    <w:rsid w:val="0002750F"/>
    <w:rsid w:val="000276F3"/>
    <w:rsid w:val="00027E2A"/>
    <w:rsid w:val="00030189"/>
    <w:rsid w:val="00031685"/>
    <w:rsid w:val="00032198"/>
    <w:rsid w:val="00032A7F"/>
    <w:rsid w:val="000342AC"/>
    <w:rsid w:val="0003442C"/>
    <w:rsid w:val="000348C1"/>
    <w:rsid w:val="00034D5C"/>
    <w:rsid w:val="000367D0"/>
    <w:rsid w:val="0003680F"/>
    <w:rsid w:val="00037064"/>
    <w:rsid w:val="00037722"/>
    <w:rsid w:val="0003772E"/>
    <w:rsid w:val="000403B9"/>
    <w:rsid w:val="00042316"/>
    <w:rsid w:val="00042F2F"/>
    <w:rsid w:val="000433C9"/>
    <w:rsid w:val="00044169"/>
    <w:rsid w:val="00044366"/>
    <w:rsid w:val="00044BD6"/>
    <w:rsid w:val="000450D3"/>
    <w:rsid w:val="00046A8F"/>
    <w:rsid w:val="00046DD6"/>
    <w:rsid w:val="00046EE2"/>
    <w:rsid w:val="00047341"/>
    <w:rsid w:val="0005144A"/>
    <w:rsid w:val="00052843"/>
    <w:rsid w:val="000541BC"/>
    <w:rsid w:val="000555E8"/>
    <w:rsid w:val="00056CED"/>
    <w:rsid w:val="00057358"/>
    <w:rsid w:val="00061337"/>
    <w:rsid w:val="000618E7"/>
    <w:rsid w:val="00061C0A"/>
    <w:rsid w:val="00061FA4"/>
    <w:rsid w:val="000624F5"/>
    <w:rsid w:val="00064B28"/>
    <w:rsid w:val="00066DCD"/>
    <w:rsid w:val="0007031D"/>
    <w:rsid w:val="000709A4"/>
    <w:rsid w:val="00070A9A"/>
    <w:rsid w:val="000712DB"/>
    <w:rsid w:val="0007198D"/>
    <w:rsid w:val="0007261B"/>
    <w:rsid w:val="00073016"/>
    <w:rsid w:val="00074379"/>
    <w:rsid w:val="00075588"/>
    <w:rsid w:val="00075D53"/>
    <w:rsid w:val="000765A5"/>
    <w:rsid w:val="0007709F"/>
    <w:rsid w:val="000814A5"/>
    <w:rsid w:val="00082252"/>
    <w:rsid w:val="00083576"/>
    <w:rsid w:val="000837F2"/>
    <w:rsid w:val="000839A7"/>
    <w:rsid w:val="00084C0F"/>
    <w:rsid w:val="000857E1"/>
    <w:rsid w:val="0009251E"/>
    <w:rsid w:val="0009334B"/>
    <w:rsid w:val="000938EA"/>
    <w:rsid w:val="00093CF9"/>
    <w:rsid w:val="00093D88"/>
    <w:rsid w:val="000941E5"/>
    <w:rsid w:val="00094483"/>
    <w:rsid w:val="00095074"/>
    <w:rsid w:val="00095746"/>
    <w:rsid w:val="00095A9E"/>
    <w:rsid w:val="00095F79"/>
    <w:rsid w:val="0009652C"/>
    <w:rsid w:val="000975F7"/>
    <w:rsid w:val="000A0544"/>
    <w:rsid w:val="000A22D4"/>
    <w:rsid w:val="000A4952"/>
    <w:rsid w:val="000A6C16"/>
    <w:rsid w:val="000A71F9"/>
    <w:rsid w:val="000B12B7"/>
    <w:rsid w:val="000B18A4"/>
    <w:rsid w:val="000B2379"/>
    <w:rsid w:val="000B27F9"/>
    <w:rsid w:val="000B33B3"/>
    <w:rsid w:val="000B340A"/>
    <w:rsid w:val="000B3612"/>
    <w:rsid w:val="000B3D57"/>
    <w:rsid w:val="000B497C"/>
    <w:rsid w:val="000B6265"/>
    <w:rsid w:val="000B763B"/>
    <w:rsid w:val="000B76E9"/>
    <w:rsid w:val="000B7D27"/>
    <w:rsid w:val="000B7E0A"/>
    <w:rsid w:val="000C024B"/>
    <w:rsid w:val="000C0E98"/>
    <w:rsid w:val="000C1A2D"/>
    <w:rsid w:val="000C1C75"/>
    <w:rsid w:val="000C1E9C"/>
    <w:rsid w:val="000C3007"/>
    <w:rsid w:val="000C3293"/>
    <w:rsid w:val="000C50ED"/>
    <w:rsid w:val="000C5E2F"/>
    <w:rsid w:val="000D02B7"/>
    <w:rsid w:val="000D0722"/>
    <w:rsid w:val="000D0B5A"/>
    <w:rsid w:val="000D0BF3"/>
    <w:rsid w:val="000D1704"/>
    <w:rsid w:val="000D3B69"/>
    <w:rsid w:val="000D48C3"/>
    <w:rsid w:val="000D4B8D"/>
    <w:rsid w:val="000D5320"/>
    <w:rsid w:val="000D5546"/>
    <w:rsid w:val="000D5C5E"/>
    <w:rsid w:val="000D6607"/>
    <w:rsid w:val="000D726E"/>
    <w:rsid w:val="000D76E9"/>
    <w:rsid w:val="000E0A24"/>
    <w:rsid w:val="000E0CE3"/>
    <w:rsid w:val="000E13FE"/>
    <w:rsid w:val="000E2047"/>
    <w:rsid w:val="000E23A5"/>
    <w:rsid w:val="000E2EE1"/>
    <w:rsid w:val="000E3721"/>
    <w:rsid w:val="000E3C36"/>
    <w:rsid w:val="000E4E00"/>
    <w:rsid w:val="000E5A06"/>
    <w:rsid w:val="000E5AA8"/>
    <w:rsid w:val="000E61F2"/>
    <w:rsid w:val="000E6693"/>
    <w:rsid w:val="000E685A"/>
    <w:rsid w:val="000E72DE"/>
    <w:rsid w:val="000E7ACC"/>
    <w:rsid w:val="000F1A2A"/>
    <w:rsid w:val="000F2810"/>
    <w:rsid w:val="000F4345"/>
    <w:rsid w:val="000F5C8C"/>
    <w:rsid w:val="000F5FC5"/>
    <w:rsid w:val="000F62CF"/>
    <w:rsid w:val="000F6383"/>
    <w:rsid w:val="000F63B5"/>
    <w:rsid w:val="000F6E52"/>
    <w:rsid w:val="000F7452"/>
    <w:rsid w:val="0010126D"/>
    <w:rsid w:val="00101ECF"/>
    <w:rsid w:val="001028A8"/>
    <w:rsid w:val="001029CA"/>
    <w:rsid w:val="00103364"/>
    <w:rsid w:val="00103B70"/>
    <w:rsid w:val="001050BF"/>
    <w:rsid w:val="00106684"/>
    <w:rsid w:val="00106AEE"/>
    <w:rsid w:val="00106D55"/>
    <w:rsid w:val="00106E29"/>
    <w:rsid w:val="001070A9"/>
    <w:rsid w:val="001104F6"/>
    <w:rsid w:val="00110658"/>
    <w:rsid w:val="00110B29"/>
    <w:rsid w:val="001113BD"/>
    <w:rsid w:val="0011141C"/>
    <w:rsid w:val="001116C5"/>
    <w:rsid w:val="0011502B"/>
    <w:rsid w:val="00115380"/>
    <w:rsid w:val="001155A0"/>
    <w:rsid w:val="001157DA"/>
    <w:rsid w:val="001158BC"/>
    <w:rsid w:val="00115A7A"/>
    <w:rsid w:val="001164B5"/>
    <w:rsid w:val="00120CF1"/>
    <w:rsid w:val="00120F6E"/>
    <w:rsid w:val="00121531"/>
    <w:rsid w:val="00122B0E"/>
    <w:rsid w:val="00122EB5"/>
    <w:rsid w:val="0012314A"/>
    <w:rsid w:val="00123CE6"/>
    <w:rsid w:val="00123E2D"/>
    <w:rsid w:val="00124BC0"/>
    <w:rsid w:val="00124DD2"/>
    <w:rsid w:val="0012642D"/>
    <w:rsid w:val="0012646D"/>
    <w:rsid w:val="001276C3"/>
    <w:rsid w:val="001277F3"/>
    <w:rsid w:val="0013143E"/>
    <w:rsid w:val="0013161F"/>
    <w:rsid w:val="001346C2"/>
    <w:rsid w:val="0013507E"/>
    <w:rsid w:val="00136129"/>
    <w:rsid w:val="0013763A"/>
    <w:rsid w:val="00140208"/>
    <w:rsid w:val="00141364"/>
    <w:rsid w:val="00142026"/>
    <w:rsid w:val="00142A01"/>
    <w:rsid w:val="00142F7A"/>
    <w:rsid w:val="00143566"/>
    <w:rsid w:val="0014373C"/>
    <w:rsid w:val="00143AA8"/>
    <w:rsid w:val="00144366"/>
    <w:rsid w:val="00144531"/>
    <w:rsid w:val="001446FE"/>
    <w:rsid w:val="001456B0"/>
    <w:rsid w:val="00145FD8"/>
    <w:rsid w:val="00146752"/>
    <w:rsid w:val="00146DA8"/>
    <w:rsid w:val="00147129"/>
    <w:rsid w:val="00147F56"/>
    <w:rsid w:val="00151636"/>
    <w:rsid w:val="00152308"/>
    <w:rsid w:val="00152E83"/>
    <w:rsid w:val="0015397A"/>
    <w:rsid w:val="001559A7"/>
    <w:rsid w:val="001559AF"/>
    <w:rsid w:val="001570F4"/>
    <w:rsid w:val="00157492"/>
    <w:rsid w:val="00160BA4"/>
    <w:rsid w:val="00160D51"/>
    <w:rsid w:val="00161FFC"/>
    <w:rsid w:val="00162CD5"/>
    <w:rsid w:val="00163705"/>
    <w:rsid w:val="00163D07"/>
    <w:rsid w:val="00164A27"/>
    <w:rsid w:val="00164B8D"/>
    <w:rsid w:val="001673F3"/>
    <w:rsid w:val="00167D89"/>
    <w:rsid w:val="00171E43"/>
    <w:rsid w:val="0017282E"/>
    <w:rsid w:val="00173EFA"/>
    <w:rsid w:val="00177120"/>
    <w:rsid w:val="00177300"/>
    <w:rsid w:val="00177AE0"/>
    <w:rsid w:val="00177AE1"/>
    <w:rsid w:val="00177B90"/>
    <w:rsid w:val="00180096"/>
    <w:rsid w:val="001801FF"/>
    <w:rsid w:val="001802DB"/>
    <w:rsid w:val="00180ED1"/>
    <w:rsid w:val="0018176E"/>
    <w:rsid w:val="0018186C"/>
    <w:rsid w:val="001839B9"/>
    <w:rsid w:val="00183E97"/>
    <w:rsid w:val="00184B10"/>
    <w:rsid w:val="00184B43"/>
    <w:rsid w:val="00184F37"/>
    <w:rsid w:val="001858D7"/>
    <w:rsid w:val="00186B76"/>
    <w:rsid w:val="00186DE1"/>
    <w:rsid w:val="00187016"/>
    <w:rsid w:val="001871A2"/>
    <w:rsid w:val="001871F9"/>
    <w:rsid w:val="001873DC"/>
    <w:rsid w:val="0019092B"/>
    <w:rsid w:val="00192238"/>
    <w:rsid w:val="00192272"/>
    <w:rsid w:val="00193843"/>
    <w:rsid w:val="00194681"/>
    <w:rsid w:val="00194C88"/>
    <w:rsid w:val="00194EB0"/>
    <w:rsid w:val="001950DE"/>
    <w:rsid w:val="0019519E"/>
    <w:rsid w:val="00195962"/>
    <w:rsid w:val="00196F2F"/>
    <w:rsid w:val="00196F64"/>
    <w:rsid w:val="001A0355"/>
    <w:rsid w:val="001A07BC"/>
    <w:rsid w:val="001A0CE3"/>
    <w:rsid w:val="001A0F6B"/>
    <w:rsid w:val="001A143F"/>
    <w:rsid w:val="001A3907"/>
    <w:rsid w:val="001A3F85"/>
    <w:rsid w:val="001A4A23"/>
    <w:rsid w:val="001A4CEC"/>
    <w:rsid w:val="001A742F"/>
    <w:rsid w:val="001B00DE"/>
    <w:rsid w:val="001B0241"/>
    <w:rsid w:val="001B0A8D"/>
    <w:rsid w:val="001B1F42"/>
    <w:rsid w:val="001B239F"/>
    <w:rsid w:val="001B349A"/>
    <w:rsid w:val="001B3CFB"/>
    <w:rsid w:val="001B4634"/>
    <w:rsid w:val="001B48A0"/>
    <w:rsid w:val="001B58D9"/>
    <w:rsid w:val="001B6251"/>
    <w:rsid w:val="001B63CD"/>
    <w:rsid w:val="001B7B0E"/>
    <w:rsid w:val="001C0057"/>
    <w:rsid w:val="001C21B0"/>
    <w:rsid w:val="001C3FE0"/>
    <w:rsid w:val="001C5295"/>
    <w:rsid w:val="001C6CDB"/>
    <w:rsid w:val="001D07EB"/>
    <w:rsid w:val="001D1F16"/>
    <w:rsid w:val="001D323F"/>
    <w:rsid w:val="001D38B0"/>
    <w:rsid w:val="001D486D"/>
    <w:rsid w:val="001D4CE9"/>
    <w:rsid w:val="001D51C1"/>
    <w:rsid w:val="001D6C4E"/>
    <w:rsid w:val="001D786B"/>
    <w:rsid w:val="001D7B5C"/>
    <w:rsid w:val="001E03AB"/>
    <w:rsid w:val="001E0690"/>
    <w:rsid w:val="001E0D4F"/>
    <w:rsid w:val="001E0F30"/>
    <w:rsid w:val="001E2858"/>
    <w:rsid w:val="001E2E03"/>
    <w:rsid w:val="001E3B49"/>
    <w:rsid w:val="001E3E9C"/>
    <w:rsid w:val="001E474B"/>
    <w:rsid w:val="001E4FB1"/>
    <w:rsid w:val="001E5061"/>
    <w:rsid w:val="001E5A0E"/>
    <w:rsid w:val="001E7369"/>
    <w:rsid w:val="001F0304"/>
    <w:rsid w:val="001F0894"/>
    <w:rsid w:val="001F17D2"/>
    <w:rsid w:val="001F17D9"/>
    <w:rsid w:val="001F3261"/>
    <w:rsid w:val="001F332A"/>
    <w:rsid w:val="001F3B7B"/>
    <w:rsid w:val="001F49CB"/>
    <w:rsid w:val="001F55B1"/>
    <w:rsid w:val="001F6E17"/>
    <w:rsid w:val="002004CB"/>
    <w:rsid w:val="00200867"/>
    <w:rsid w:val="00202891"/>
    <w:rsid w:val="00203456"/>
    <w:rsid w:val="00203A67"/>
    <w:rsid w:val="00204F9E"/>
    <w:rsid w:val="00206785"/>
    <w:rsid w:val="00207310"/>
    <w:rsid w:val="00211175"/>
    <w:rsid w:val="0021146A"/>
    <w:rsid w:val="002135E6"/>
    <w:rsid w:val="00213C03"/>
    <w:rsid w:val="00214285"/>
    <w:rsid w:val="00216282"/>
    <w:rsid w:val="00217A52"/>
    <w:rsid w:val="00220D55"/>
    <w:rsid w:val="0022120E"/>
    <w:rsid w:val="0022196C"/>
    <w:rsid w:val="00221C72"/>
    <w:rsid w:val="00224FA5"/>
    <w:rsid w:val="00224FF6"/>
    <w:rsid w:val="00225FB8"/>
    <w:rsid w:val="00226653"/>
    <w:rsid w:val="00226777"/>
    <w:rsid w:val="00226EE2"/>
    <w:rsid w:val="00230734"/>
    <w:rsid w:val="00230CB5"/>
    <w:rsid w:val="00230EF8"/>
    <w:rsid w:val="00231D1E"/>
    <w:rsid w:val="0023469E"/>
    <w:rsid w:val="00234C85"/>
    <w:rsid w:val="00237EAA"/>
    <w:rsid w:val="00240228"/>
    <w:rsid w:val="00241C61"/>
    <w:rsid w:val="00241F51"/>
    <w:rsid w:val="002433FA"/>
    <w:rsid w:val="0024428E"/>
    <w:rsid w:val="00244D40"/>
    <w:rsid w:val="00246740"/>
    <w:rsid w:val="00247121"/>
    <w:rsid w:val="00247BA6"/>
    <w:rsid w:val="00247E53"/>
    <w:rsid w:val="002501FE"/>
    <w:rsid w:val="00250E2C"/>
    <w:rsid w:val="00251929"/>
    <w:rsid w:val="00251AE8"/>
    <w:rsid w:val="00252ACB"/>
    <w:rsid w:val="002561F8"/>
    <w:rsid w:val="002575E3"/>
    <w:rsid w:val="002576D8"/>
    <w:rsid w:val="00257B67"/>
    <w:rsid w:val="00257EFB"/>
    <w:rsid w:val="00260021"/>
    <w:rsid w:val="00260686"/>
    <w:rsid w:val="00261E6E"/>
    <w:rsid w:val="00262080"/>
    <w:rsid w:val="0026326B"/>
    <w:rsid w:val="00263A00"/>
    <w:rsid w:val="00264F85"/>
    <w:rsid w:val="00265D67"/>
    <w:rsid w:val="0026701F"/>
    <w:rsid w:val="00272308"/>
    <w:rsid w:val="002723F6"/>
    <w:rsid w:val="002744DF"/>
    <w:rsid w:val="00274B01"/>
    <w:rsid w:val="00275666"/>
    <w:rsid w:val="00275E50"/>
    <w:rsid w:val="00275FEA"/>
    <w:rsid w:val="00276C3A"/>
    <w:rsid w:val="0027707E"/>
    <w:rsid w:val="002811D8"/>
    <w:rsid w:val="002825A4"/>
    <w:rsid w:val="00283894"/>
    <w:rsid w:val="00283AE1"/>
    <w:rsid w:val="00283EB9"/>
    <w:rsid w:val="00283F0D"/>
    <w:rsid w:val="00285B66"/>
    <w:rsid w:val="002865C8"/>
    <w:rsid w:val="00286A2B"/>
    <w:rsid w:val="00286F70"/>
    <w:rsid w:val="0028779A"/>
    <w:rsid w:val="002920F4"/>
    <w:rsid w:val="00292674"/>
    <w:rsid w:val="00295245"/>
    <w:rsid w:val="00295802"/>
    <w:rsid w:val="002958B3"/>
    <w:rsid w:val="00296E05"/>
    <w:rsid w:val="00297220"/>
    <w:rsid w:val="002A0C4E"/>
    <w:rsid w:val="002A0EF0"/>
    <w:rsid w:val="002A10ED"/>
    <w:rsid w:val="002A1561"/>
    <w:rsid w:val="002A2B00"/>
    <w:rsid w:val="002A2EBE"/>
    <w:rsid w:val="002A2F7B"/>
    <w:rsid w:val="002A361A"/>
    <w:rsid w:val="002A46A5"/>
    <w:rsid w:val="002A4B38"/>
    <w:rsid w:val="002A4C31"/>
    <w:rsid w:val="002A4CAC"/>
    <w:rsid w:val="002A535B"/>
    <w:rsid w:val="002A59DA"/>
    <w:rsid w:val="002A5A3E"/>
    <w:rsid w:val="002A659B"/>
    <w:rsid w:val="002A6873"/>
    <w:rsid w:val="002A7ED6"/>
    <w:rsid w:val="002B095E"/>
    <w:rsid w:val="002B218D"/>
    <w:rsid w:val="002B32A5"/>
    <w:rsid w:val="002B4715"/>
    <w:rsid w:val="002B5E45"/>
    <w:rsid w:val="002B6CE3"/>
    <w:rsid w:val="002B7CB9"/>
    <w:rsid w:val="002B7F02"/>
    <w:rsid w:val="002C0F8C"/>
    <w:rsid w:val="002C4EED"/>
    <w:rsid w:val="002C5223"/>
    <w:rsid w:val="002C553E"/>
    <w:rsid w:val="002C76A9"/>
    <w:rsid w:val="002D1625"/>
    <w:rsid w:val="002D202D"/>
    <w:rsid w:val="002D2FAA"/>
    <w:rsid w:val="002D5ED4"/>
    <w:rsid w:val="002D5EDB"/>
    <w:rsid w:val="002D61BE"/>
    <w:rsid w:val="002D7A43"/>
    <w:rsid w:val="002E0058"/>
    <w:rsid w:val="002E0D00"/>
    <w:rsid w:val="002E0E56"/>
    <w:rsid w:val="002E21A9"/>
    <w:rsid w:val="002E222C"/>
    <w:rsid w:val="002E270F"/>
    <w:rsid w:val="002E3731"/>
    <w:rsid w:val="002E4074"/>
    <w:rsid w:val="002E4764"/>
    <w:rsid w:val="002E5540"/>
    <w:rsid w:val="002E58A9"/>
    <w:rsid w:val="002E60D0"/>
    <w:rsid w:val="002E7623"/>
    <w:rsid w:val="002F0F4A"/>
    <w:rsid w:val="002F2417"/>
    <w:rsid w:val="002F41A1"/>
    <w:rsid w:val="002F4254"/>
    <w:rsid w:val="002F5BEB"/>
    <w:rsid w:val="002F5F54"/>
    <w:rsid w:val="003007C3"/>
    <w:rsid w:val="00300F06"/>
    <w:rsid w:val="00301C48"/>
    <w:rsid w:val="00301E54"/>
    <w:rsid w:val="00303AFB"/>
    <w:rsid w:val="00305AD0"/>
    <w:rsid w:val="0030648E"/>
    <w:rsid w:val="00306988"/>
    <w:rsid w:val="0030750B"/>
    <w:rsid w:val="003075C4"/>
    <w:rsid w:val="003103B0"/>
    <w:rsid w:val="00312096"/>
    <w:rsid w:val="00312B8C"/>
    <w:rsid w:val="00313505"/>
    <w:rsid w:val="0031565D"/>
    <w:rsid w:val="00316470"/>
    <w:rsid w:val="00317B91"/>
    <w:rsid w:val="00320D73"/>
    <w:rsid w:val="00321597"/>
    <w:rsid w:val="0032352F"/>
    <w:rsid w:val="003237C1"/>
    <w:rsid w:val="00326037"/>
    <w:rsid w:val="00327D18"/>
    <w:rsid w:val="003301E5"/>
    <w:rsid w:val="003306C1"/>
    <w:rsid w:val="00330CFD"/>
    <w:rsid w:val="003318F7"/>
    <w:rsid w:val="0033204E"/>
    <w:rsid w:val="003334FB"/>
    <w:rsid w:val="00333698"/>
    <w:rsid w:val="00333A39"/>
    <w:rsid w:val="003344CE"/>
    <w:rsid w:val="003345AA"/>
    <w:rsid w:val="003346C3"/>
    <w:rsid w:val="0033497C"/>
    <w:rsid w:val="00334A89"/>
    <w:rsid w:val="00334B3C"/>
    <w:rsid w:val="003358DB"/>
    <w:rsid w:val="00335A3C"/>
    <w:rsid w:val="00335A85"/>
    <w:rsid w:val="00335B77"/>
    <w:rsid w:val="00335C09"/>
    <w:rsid w:val="00335C2C"/>
    <w:rsid w:val="00336C3E"/>
    <w:rsid w:val="00336D94"/>
    <w:rsid w:val="003371D5"/>
    <w:rsid w:val="00337A37"/>
    <w:rsid w:val="00337D14"/>
    <w:rsid w:val="00337DAC"/>
    <w:rsid w:val="00340563"/>
    <w:rsid w:val="003406AF"/>
    <w:rsid w:val="00341200"/>
    <w:rsid w:val="003418D3"/>
    <w:rsid w:val="00341EF5"/>
    <w:rsid w:val="0034242F"/>
    <w:rsid w:val="00343423"/>
    <w:rsid w:val="00343B88"/>
    <w:rsid w:val="00344503"/>
    <w:rsid w:val="00344725"/>
    <w:rsid w:val="00344DCF"/>
    <w:rsid w:val="0034538C"/>
    <w:rsid w:val="00345559"/>
    <w:rsid w:val="00346A63"/>
    <w:rsid w:val="00347DB9"/>
    <w:rsid w:val="0035041D"/>
    <w:rsid w:val="00350C74"/>
    <w:rsid w:val="0035144F"/>
    <w:rsid w:val="00351471"/>
    <w:rsid w:val="0035174C"/>
    <w:rsid w:val="00351FAB"/>
    <w:rsid w:val="003523DA"/>
    <w:rsid w:val="0035420A"/>
    <w:rsid w:val="00354638"/>
    <w:rsid w:val="0035469E"/>
    <w:rsid w:val="00355755"/>
    <w:rsid w:val="0035756F"/>
    <w:rsid w:val="00357CE1"/>
    <w:rsid w:val="00357D7A"/>
    <w:rsid w:val="00360479"/>
    <w:rsid w:val="00360CC7"/>
    <w:rsid w:val="00361B53"/>
    <w:rsid w:val="00362BFA"/>
    <w:rsid w:val="003639E6"/>
    <w:rsid w:val="00363E79"/>
    <w:rsid w:val="003656B7"/>
    <w:rsid w:val="00367ACD"/>
    <w:rsid w:val="00371268"/>
    <w:rsid w:val="003715D8"/>
    <w:rsid w:val="0037247D"/>
    <w:rsid w:val="003724DA"/>
    <w:rsid w:val="003727B7"/>
    <w:rsid w:val="00372B46"/>
    <w:rsid w:val="0037348C"/>
    <w:rsid w:val="00373A65"/>
    <w:rsid w:val="00373A74"/>
    <w:rsid w:val="00376039"/>
    <w:rsid w:val="00376618"/>
    <w:rsid w:val="00376DA0"/>
    <w:rsid w:val="00377C5C"/>
    <w:rsid w:val="003808F9"/>
    <w:rsid w:val="00380A34"/>
    <w:rsid w:val="0038111E"/>
    <w:rsid w:val="0038126E"/>
    <w:rsid w:val="003818CA"/>
    <w:rsid w:val="00383591"/>
    <w:rsid w:val="00383B8B"/>
    <w:rsid w:val="003843BB"/>
    <w:rsid w:val="0038446D"/>
    <w:rsid w:val="00384D10"/>
    <w:rsid w:val="00386983"/>
    <w:rsid w:val="00386CAE"/>
    <w:rsid w:val="003879F1"/>
    <w:rsid w:val="003906E7"/>
    <w:rsid w:val="003912A1"/>
    <w:rsid w:val="0039304D"/>
    <w:rsid w:val="00393276"/>
    <w:rsid w:val="003932D2"/>
    <w:rsid w:val="0039426F"/>
    <w:rsid w:val="003958A8"/>
    <w:rsid w:val="003964F4"/>
    <w:rsid w:val="0039770A"/>
    <w:rsid w:val="003A03CF"/>
    <w:rsid w:val="003A0982"/>
    <w:rsid w:val="003A126D"/>
    <w:rsid w:val="003A315E"/>
    <w:rsid w:val="003A3251"/>
    <w:rsid w:val="003A3778"/>
    <w:rsid w:val="003A393C"/>
    <w:rsid w:val="003A4F72"/>
    <w:rsid w:val="003A5914"/>
    <w:rsid w:val="003A61A2"/>
    <w:rsid w:val="003A654F"/>
    <w:rsid w:val="003A7620"/>
    <w:rsid w:val="003B1B9C"/>
    <w:rsid w:val="003B2D4F"/>
    <w:rsid w:val="003B35C7"/>
    <w:rsid w:val="003B4175"/>
    <w:rsid w:val="003B6AB1"/>
    <w:rsid w:val="003B6D75"/>
    <w:rsid w:val="003B7DEC"/>
    <w:rsid w:val="003C1CE5"/>
    <w:rsid w:val="003C36CE"/>
    <w:rsid w:val="003C4E2A"/>
    <w:rsid w:val="003C5A54"/>
    <w:rsid w:val="003C6286"/>
    <w:rsid w:val="003C668C"/>
    <w:rsid w:val="003C73C3"/>
    <w:rsid w:val="003D0908"/>
    <w:rsid w:val="003D13D5"/>
    <w:rsid w:val="003D2465"/>
    <w:rsid w:val="003D26E4"/>
    <w:rsid w:val="003D3711"/>
    <w:rsid w:val="003D3BCC"/>
    <w:rsid w:val="003D59C7"/>
    <w:rsid w:val="003D63F3"/>
    <w:rsid w:val="003D68A4"/>
    <w:rsid w:val="003D792E"/>
    <w:rsid w:val="003E003F"/>
    <w:rsid w:val="003E00BF"/>
    <w:rsid w:val="003E1DCF"/>
    <w:rsid w:val="003E1E4C"/>
    <w:rsid w:val="003E2370"/>
    <w:rsid w:val="003E250A"/>
    <w:rsid w:val="003E267A"/>
    <w:rsid w:val="003E35AF"/>
    <w:rsid w:val="003E3955"/>
    <w:rsid w:val="003E57BF"/>
    <w:rsid w:val="003E5870"/>
    <w:rsid w:val="003E5E22"/>
    <w:rsid w:val="003E6058"/>
    <w:rsid w:val="003E6BD1"/>
    <w:rsid w:val="003F179C"/>
    <w:rsid w:val="003F1B33"/>
    <w:rsid w:val="003F1ECF"/>
    <w:rsid w:val="003F2946"/>
    <w:rsid w:val="003F318B"/>
    <w:rsid w:val="003F35E7"/>
    <w:rsid w:val="003F4D2E"/>
    <w:rsid w:val="003F5EBC"/>
    <w:rsid w:val="003F632E"/>
    <w:rsid w:val="003F7583"/>
    <w:rsid w:val="00400A41"/>
    <w:rsid w:val="00400C19"/>
    <w:rsid w:val="00401334"/>
    <w:rsid w:val="004016E6"/>
    <w:rsid w:val="00402867"/>
    <w:rsid w:val="004029E6"/>
    <w:rsid w:val="0040328E"/>
    <w:rsid w:val="0040419F"/>
    <w:rsid w:val="0040491A"/>
    <w:rsid w:val="00406195"/>
    <w:rsid w:val="00406F6C"/>
    <w:rsid w:val="0040713A"/>
    <w:rsid w:val="004075A5"/>
    <w:rsid w:val="00407D2A"/>
    <w:rsid w:val="00410269"/>
    <w:rsid w:val="004110A8"/>
    <w:rsid w:val="00412076"/>
    <w:rsid w:val="004124F0"/>
    <w:rsid w:val="00412DF1"/>
    <w:rsid w:val="00413EB8"/>
    <w:rsid w:val="00414625"/>
    <w:rsid w:val="0041700D"/>
    <w:rsid w:val="0041706F"/>
    <w:rsid w:val="004170F3"/>
    <w:rsid w:val="004202FD"/>
    <w:rsid w:val="004213B6"/>
    <w:rsid w:val="00422875"/>
    <w:rsid w:val="00423786"/>
    <w:rsid w:val="00423A2A"/>
    <w:rsid w:val="00426382"/>
    <w:rsid w:val="00426A71"/>
    <w:rsid w:val="0042767D"/>
    <w:rsid w:val="004305E8"/>
    <w:rsid w:val="00430C8F"/>
    <w:rsid w:val="0043113E"/>
    <w:rsid w:val="00431280"/>
    <w:rsid w:val="0043231C"/>
    <w:rsid w:val="00432DC0"/>
    <w:rsid w:val="00433D90"/>
    <w:rsid w:val="004354AA"/>
    <w:rsid w:val="00435EAC"/>
    <w:rsid w:val="004365BE"/>
    <w:rsid w:val="00437C23"/>
    <w:rsid w:val="00440CA1"/>
    <w:rsid w:val="0044193E"/>
    <w:rsid w:val="00441B84"/>
    <w:rsid w:val="00442650"/>
    <w:rsid w:val="004426C3"/>
    <w:rsid w:val="00443304"/>
    <w:rsid w:val="004438DD"/>
    <w:rsid w:val="00443942"/>
    <w:rsid w:val="004442BE"/>
    <w:rsid w:val="00444CBB"/>
    <w:rsid w:val="00444F35"/>
    <w:rsid w:val="00445042"/>
    <w:rsid w:val="00445C58"/>
    <w:rsid w:val="00446512"/>
    <w:rsid w:val="00446AE2"/>
    <w:rsid w:val="00450661"/>
    <w:rsid w:val="004509D1"/>
    <w:rsid w:val="0045138C"/>
    <w:rsid w:val="00451A02"/>
    <w:rsid w:val="00452B6A"/>
    <w:rsid w:val="00452EC5"/>
    <w:rsid w:val="00452FC7"/>
    <w:rsid w:val="0045305D"/>
    <w:rsid w:val="004534ED"/>
    <w:rsid w:val="00453DCA"/>
    <w:rsid w:val="00455C3D"/>
    <w:rsid w:val="00455F3E"/>
    <w:rsid w:val="0045600F"/>
    <w:rsid w:val="00456670"/>
    <w:rsid w:val="004568D2"/>
    <w:rsid w:val="00457CF2"/>
    <w:rsid w:val="00457EAE"/>
    <w:rsid w:val="0046053E"/>
    <w:rsid w:val="00461400"/>
    <w:rsid w:val="00461C8A"/>
    <w:rsid w:val="00461DD4"/>
    <w:rsid w:val="00465691"/>
    <w:rsid w:val="00465BCC"/>
    <w:rsid w:val="00470276"/>
    <w:rsid w:val="00470884"/>
    <w:rsid w:val="00470DAC"/>
    <w:rsid w:val="00471C55"/>
    <w:rsid w:val="00471E8A"/>
    <w:rsid w:val="004720B4"/>
    <w:rsid w:val="00473152"/>
    <w:rsid w:val="004734F2"/>
    <w:rsid w:val="0047494D"/>
    <w:rsid w:val="00474B2E"/>
    <w:rsid w:val="00474FC5"/>
    <w:rsid w:val="004754B0"/>
    <w:rsid w:val="00475E55"/>
    <w:rsid w:val="004772DB"/>
    <w:rsid w:val="0047762D"/>
    <w:rsid w:val="0047781E"/>
    <w:rsid w:val="0048052E"/>
    <w:rsid w:val="0048086C"/>
    <w:rsid w:val="00480EE1"/>
    <w:rsid w:val="0048196E"/>
    <w:rsid w:val="004834D3"/>
    <w:rsid w:val="004838FA"/>
    <w:rsid w:val="00486B10"/>
    <w:rsid w:val="00486E57"/>
    <w:rsid w:val="00487681"/>
    <w:rsid w:val="00487BE1"/>
    <w:rsid w:val="00487E95"/>
    <w:rsid w:val="00487FD6"/>
    <w:rsid w:val="0049009D"/>
    <w:rsid w:val="00490DBC"/>
    <w:rsid w:val="00491388"/>
    <w:rsid w:val="0049208D"/>
    <w:rsid w:val="00492200"/>
    <w:rsid w:val="00492B06"/>
    <w:rsid w:val="00493648"/>
    <w:rsid w:val="004946C3"/>
    <w:rsid w:val="00494A6A"/>
    <w:rsid w:val="00495719"/>
    <w:rsid w:val="00496496"/>
    <w:rsid w:val="00496736"/>
    <w:rsid w:val="00496B80"/>
    <w:rsid w:val="00497E1D"/>
    <w:rsid w:val="004A024F"/>
    <w:rsid w:val="004A05C9"/>
    <w:rsid w:val="004A2767"/>
    <w:rsid w:val="004A41CD"/>
    <w:rsid w:val="004A5358"/>
    <w:rsid w:val="004A6BB3"/>
    <w:rsid w:val="004A6CA9"/>
    <w:rsid w:val="004A6D2C"/>
    <w:rsid w:val="004A6DE1"/>
    <w:rsid w:val="004A7F07"/>
    <w:rsid w:val="004B0103"/>
    <w:rsid w:val="004B25C2"/>
    <w:rsid w:val="004B2B2D"/>
    <w:rsid w:val="004B3D85"/>
    <w:rsid w:val="004B42DF"/>
    <w:rsid w:val="004B4AE4"/>
    <w:rsid w:val="004B5FF7"/>
    <w:rsid w:val="004B669F"/>
    <w:rsid w:val="004B6DA5"/>
    <w:rsid w:val="004C00A6"/>
    <w:rsid w:val="004C560F"/>
    <w:rsid w:val="004C5979"/>
    <w:rsid w:val="004C5A27"/>
    <w:rsid w:val="004C5EC0"/>
    <w:rsid w:val="004C6769"/>
    <w:rsid w:val="004C692D"/>
    <w:rsid w:val="004C7385"/>
    <w:rsid w:val="004C7462"/>
    <w:rsid w:val="004D09C8"/>
    <w:rsid w:val="004D178A"/>
    <w:rsid w:val="004D2CBA"/>
    <w:rsid w:val="004D31AC"/>
    <w:rsid w:val="004D4D10"/>
    <w:rsid w:val="004D5ABB"/>
    <w:rsid w:val="004E0E1E"/>
    <w:rsid w:val="004E1094"/>
    <w:rsid w:val="004E16DC"/>
    <w:rsid w:val="004E17AF"/>
    <w:rsid w:val="004E18BA"/>
    <w:rsid w:val="004E2373"/>
    <w:rsid w:val="004E36B2"/>
    <w:rsid w:val="004E48FC"/>
    <w:rsid w:val="004E53A8"/>
    <w:rsid w:val="004E5C45"/>
    <w:rsid w:val="004E5EF3"/>
    <w:rsid w:val="004E6C2D"/>
    <w:rsid w:val="004E74F4"/>
    <w:rsid w:val="004F015F"/>
    <w:rsid w:val="004F119C"/>
    <w:rsid w:val="004F1797"/>
    <w:rsid w:val="004F3524"/>
    <w:rsid w:val="004F376E"/>
    <w:rsid w:val="004F4391"/>
    <w:rsid w:val="004F4F85"/>
    <w:rsid w:val="004F7746"/>
    <w:rsid w:val="004F77D0"/>
    <w:rsid w:val="005004E4"/>
    <w:rsid w:val="005009AF"/>
    <w:rsid w:val="00502447"/>
    <w:rsid w:val="00502D8A"/>
    <w:rsid w:val="005030A0"/>
    <w:rsid w:val="00503479"/>
    <w:rsid w:val="00503C9E"/>
    <w:rsid w:val="00504325"/>
    <w:rsid w:val="00504572"/>
    <w:rsid w:val="00505640"/>
    <w:rsid w:val="00506BE7"/>
    <w:rsid w:val="00507143"/>
    <w:rsid w:val="00507DD0"/>
    <w:rsid w:val="0051095C"/>
    <w:rsid w:val="00510E1A"/>
    <w:rsid w:val="0051229B"/>
    <w:rsid w:val="005129AF"/>
    <w:rsid w:val="00515343"/>
    <w:rsid w:val="005157F1"/>
    <w:rsid w:val="0051586C"/>
    <w:rsid w:val="00515B9B"/>
    <w:rsid w:val="00515E04"/>
    <w:rsid w:val="0051767F"/>
    <w:rsid w:val="00517D0F"/>
    <w:rsid w:val="00520FA1"/>
    <w:rsid w:val="0052280F"/>
    <w:rsid w:val="005242A0"/>
    <w:rsid w:val="0052472E"/>
    <w:rsid w:val="00531106"/>
    <w:rsid w:val="005319AC"/>
    <w:rsid w:val="00532802"/>
    <w:rsid w:val="00532AFC"/>
    <w:rsid w:val="0053312E"/>
    <w:rsid w:val="00533ED7"/>
    <w:rsid w:val="005340FB"/>
    <w:rsid w:val="005347F7"/>
    <w:rsid w:val="00536082"/>
    <w:rsid w:val="0053641E"/>
    <w:rsid w:val="00536747"/>
    <w:rsid w:val="005368F9"/>
    <w:rsid w:val="0053693C"/>
    <w:rsid w:val="005405BF"/>
    <w:rsid w:val="00541A92"/>
    <w:rsid w:val="0054232A"/>
    <w:rsid w:val="0054302E"/>
    <w:rsid w:val="005440BC"/>
    <w:rsid w:val="00550493"/>
    <w:rsid w:val="00550A9D"/>
    <w:rsid w:val="0055158D"/>
    <w:rsid w:val="005535DF"/>
    <w:rsid w:val="00555566"/>
    <w:rsid w:val="00557F98"/>
    <w:rsid w:val="00560AE3"/>
    <w:rsid w:val="00561178"/>
    <w:rsid w:val="00562712"/>
    <w:rsid w:val="005627FF"/>
    <w:rsid w:val="0056287A"/>
    <w:rsid w:val="00563001"/>
    <w:rsid w:val="00563B86"/>
    <w:rsid w:val="00563D98"/>
    <w:rsid w:val="005646A8"/>
    <w:rsid w:val="005658C7"/>
    <w:rsid w:val="00565DBC"/>
    <w:rsid w:val="005662B4"/>
    <w:rsid w:val="0056695D"/>
    <w:rsid w:val="00567967"/>
    <w:rsid w:val="00567FF9"/>
    <w:rsid w:val="00571FCA"/>
    <w:rsid w:val="00574F1E"/>
    <w:rsid w:val="00575603"/>
    <w:rsid w:val="00575A60"/>
    <w:rsid w:val="005776DF"/>
    <w:rsid w:val="00577F8E"/>
    <w:rsid w:val="00580DB1"/>
    <w:rsid w:val="00580EE7"/>
    <w:rsid w:val="0058203A"/>
    <w:rsid w:val="00582333"/>
    <w:rsid w:val="00583A56"/>
    <w:rsid w:val="005843BA"/>
    <w:rsid w:val="0058496B"/>
    <w:rsid w:val="00584A82"/>
    <w:rsid w:val="00584FCA"/>
    <w:rsid w:val="0058546B"/>
    <w:rsid w:val="00586D74"/>
    <w:rsid w:val="00587D71"/>
    <w:rsid w:val="00587F28"/>
    <w:rsid w:val="00590444"/>
    <w:rsid w:val="005911C6"/>
    <w:rsid w:val="00591C05"/>
    <w:rsid w:val="005933B5"/>
    <w:rsid w:val="00594784"/>
    <w:rsid w:val="00594C9A"/>
    <w:rsid w:val="00595A2E"/>
    <w:rsid w:val="00595B3B"/>
    <w:rsid w:val="0059742C"/>
    <w:rsid w:val="005A04D9"/>
    <w:rsid w:val="005A0673"/>
    <w:rsid w:val="005A0DC3"/>
    <w:rsid w:val="005A2059"/>
    <w:rsid w:val="005A21E7"/>
    <w:rsid w:val="005A3680"/>
    <w:rsid w:val="005A402F"/>
    <w:rsid w:val="005A5BE1"/>
    <w:rsid w:val="005A62A1"/>
    <w:rsid w:val="005A6325"/>
    <w:rsid w:val="005A6B0C"/>
    <w:rsid w:val="005B00B0"/>
    <w:rsid w:val="005B031E"/>
    <w:rsid w:val="005B10A4"/>
    <w:rsid w:val="005B1B39"/>
    <w:rsid w:val="005B1F7D"/>
    <w:rsid w:val="005B22CE"/>
    <w:rsid w:val="005B2767"/>
    <w:rsid w:val="005B2871"/>
    <w:rsid w:val="005B28BC"/>
    <w:rsid w:val="005B2F1E"/>
    <w:rsid w:val="005B374A"/>
    <w:rsid w:val="005B3D1C"/>
    <w:rsid w:val="005B4DAC"/>
    <w:rsid w:val="005B5A2F"/>
    <w:rsid w:val="005B6045"/>
    <w:rsid w:val="005B6888"/>
    <w:rsid w:val="005C11F5"/>
    <w:rsid w:val="005C1F79"/>
    <w:rsid w:val="005C26D8"/>
    <w:rsid w:val="005C29EA"/>
    <w:rsid w:val="005C2E93"/>
    <w:rsid w:val="005C2F41"/>
    <w:rsid w:val="005C40BE"/>
    <w:rsid w:val="005C57EE"/>
    <w:rsid w:val="005C5DB9"/>
    <w:rsid w:val="005C6E06"/>
    <w:rsid w:val="005C7360"/>
    <w:rsid w:val="005D09BD"/>
    <w:rsid w:val="005D1F0A"/>
    <w:rsid w:val="005D1F96"/>
    <w:rsid w:val="005D2536"/>
    <w:rsid w:val="005D27C5"/>
    <w:rsid w:val="005D4165"/>
    <w:rsid w:val="005D463C"/>
    <w:rsid w:val="005D4847"/>
    <w:rsid w:val="005D5F1B"/>
    <w:rsid w:val="005D60E0"/>
    <w:rsid w:val="005E0581"/>
    <w:rsid w:val="005E11DB"/>
    <w:rsid w:val="005E19A8"/>
    <w:rsid w:val="005E2B0D"/>
    <w:rsid w:val="005E34EC"/>
    <w:rsid w:val="005E4805"/>
    <w:rsid w:val="005E6631"/>
    <w:rsid w:val="005E70D2"/>
    <w:rsid w:val="005E7AC6"/>
    <w:rsid w:val="005F02F3"/>
    <w:rsid w:val="005F147F"/>
    <w:rsid w:val="005F3360"/>
    <w:rsid w:val="005F416B"/>
    <w:rsid w:val="005F44F4"/>
    <w:rsid w:val="005F4956"/>
    <w:rsid w:val="005F5CDA"/>
    <w:rsid w:val="005F60B3"/>
    <w:rsid w:val="005F7AF2"/>
    <w:rsid w:val="00601402"/>
    <w:rsid w:val="00601CC1"/>
    <w:rsid w:val="00602AF5"/>
    <w:rsid w:val="00602CD9"/>
    <w:rsid w:val="0060316A"/>
    <w:rsid w:val="006038F2"/>
    <w:rsid w:val="00603B10"/>
    <w:rsid w:val="0060461B"/>
    <w:rsid w:val="006046E6"/>
    <w:rsid w:val="00604D65"/>
    <w:rsid w:val="0060747B"/>
    <w:rsid w:val="00610A68"/>
    <w:rsid w:val="00610F61"/>
    <w:rsid w:val="006113A5"/>
    <w:rsid w:val="006122D7"/>
    <w:rsid w:val="0061266B"/>
    <w:rsid w:val="00613EEE"/>
    <w:rsid w:val="00614839"/>
    <w:rsid w:val="0061512D"/>
    <w:rsid w:val="00616F88"/>
    <w:rsid w:val="00617738"/>
    <w:rsid w:val="00617786"/>
    <w:rsid w:val="00620EAB"/>
    <w:rsid w:val="006210FE"/>
    <w:rsid w:val="00621637"/>
    <w:rsid w:val="00621A8C"/>
    <w:rsid w:val="00623DAC"/>
    <w:rsid w:val="00624A2B"/>
    <w:rsid w:val="00624A90"/>
    <w:rsid w:val="0062599E"/>
    <w:rsid w:val="00625ECE"/>
    <w:rsid w:val="00626136"/>
    <w:rsid w:val="0062659C"/>
    <w:rsid w:val="00626C53"/>
    <w:rsid w:val="00626E61"/>
    <w:rsid w:val="00627EB1"/>
    <w:rsid w:val="00630320"/>
    <w:rsid w:val="006311C2"/>
    <w:rsid w:val="006323B2"/>
    <w:rsid w:val="00632C3E"/>
    <w:rsid w:val="006333A4"/>
    <w:rsid w:val="0063348A"/>
    <w:rsid w:val="0063358D"/>
    <w:rsid w:val="00633695"/>
    <w:rsid w:val="00633840"/>
    <w:rsid w:val="006342E8"/>
    <w:rsid w:val="0063477F"/>
    <w:rsid w:val="006358EF"/>
    <w:rsid w:val="0063627A"/>
    <w:rsid w:val="00636531"/>
    <w:rsid w:val="00636557"/>
    <w:rsid w:val="00636BE0"/>
    <w:rsid w:val="006373D9"/>
    <w:rsid w:val="0064035B"/>
    <w:rsid w:val="00640F62"/>
    <w:rsid w:val="0064438C"/>
    <w:rsid w:val="006444E7"/>
    <w:rsid w:val="00644DA3"/>
    <w:rsid w:val="00645F9B"/>
    <w:rsid w:val="00646376"/>
    <w:rsid w:val="00646B80"/>
    <w:rsid w:val="00646CB5"/>
    <w:rsid w:val="00646D63"/>
    <w:rsid w:val="00647E9C"/>
    <w:rsid w:val="00650043"/>
    <w:rsid w:val="00651478"/>
    <w:rsid w:val="006533D8"/>
    <w:rsid w:val="0065368A"/>
    <w:rsid w:val="00653A0E"/>
    <w:rsid w:val="00655115"/>
    <w:rsid w:val="00656DA1"/>
    <w:rsid w:val="006576BD"/>
    <w:rsid w:val="006610F9"/>
    <w:rsid w:val="00661400"/>
    <w:rsid w:val="00662557"/>
    <w:rsid w:val="00663912"/>
    <w:rsid w:val="00663E6E"/>
    <w:rsid w:val="00664315"/>
    <w:rsid w:val="00665A93"/>
    <w:rsid w:val="00665ADE"/>
    <w:rsid w:val="00666265"/>
    <w:rsid w:val="006670B7"/>
    <w:rsid w:val="0066718C"/>
    <w:rsid w:val="006676CA"/>
    <w:rsid w:val="00667882"/>
    <w:rsid w:val="00671B92"/>
    <w:rsid w:val="006729A5"/>
    <w:rsid w:val="006730B2"/>
    <w:rsid w:val="006741C5"/>
    <w:rsid w:val="006746EB"/>
    <w:rsid w:val="0067588C"/>
    <w:rsid w:val="00675DA0"/>
    <w:rsid w:val="00675FD8"/>
    <w:rsid w:val="00676CC4"/>
    <w:rsid w:val="00677804"/>
    <w:rsid w:val="0068112F"/>
    <w:rsid w:val="00681174"/>
    <w:rsid w:val="00681C37"/>
    <w:rsid w:val="00681DCA"/>
    <w:rsid w:val="00682362"/>
    <w:rsid w:val="006837A7"/>
    <w:rsid w:val="00684727"/>
    <w:rsid w:val="00684973"/>
    <w:rsid w:val="00685409"/>
    <w:rsid w:val="006858E8"/>
    <w:rsid w:val="00686A9C"/>
    <w:rsid w:val="006870D4"/>
    <w:rsid w:val="006902E9"/>
    <w:rsid w:val="00690F7D"/>
    <w:rsid w:val="00692645"/>
    <w:rsid w:val="0069373B"/>
    <w:rsid w:val="0069389D"/>
    <w:rsid w:val="00693D28"/>
    <w:rsid w:val="00693E6A"/>
    <w:rsid w:val="0069404D"/>
    <w:rsid w:val="00695C2F"/>
    <w:rsid w:val="0069600E"/>
    <w:rsid w:val="00697366"/>
    <w:rsid w:val="0069737D"/>
    <w:rsid w:val="006974B8"/>
    <w:rsid w:val="00697DE7"/>
    <w:rsid w:val="006A0158"/>
    <w:rsid w:val="006A051A"/>
    <w:rsid w:val="006A12C9"/>
    <w:rsid w:val="006A1F95"/>
    <w:rsid w:val="006A2995"/>
    <w:rsid w:val="006A2B1F"/>
    <w:rsid w:val="006A320F"/>
    <w:rsid w:val="006A3878"/>
    <w:rsid w:val="006A46EE"/>
    <w:rsid w:val="006A563B"/>
    <w:rsid w:val="006B0786"/>
    <w:rsid w:val="006B0B82"/>
    <w:rsid w:val="006B1A80"/>
    <w:rsid w:val="006B1DED"/>
    <w:rsid w:val="006B301E"/>
    <w:rsid w:val="006B3798"/>
    <w:rsid w:val="006B3CAF"/>
    <w:rsid w:val="006B48B0"/>
    <w:rsid w:val="006B53AC"/>
    <w:rsid w:val="006B621A"/>
    <w:rsid w:val="006B6EAB"/>
    <w:rsid w:val="006B711F"/>
    <w:rsid w:val="006B7974"/>
    <w:rsid w:val="006B7CD4"/>
    <w:rsid w:val="006C0C53"/>
    <w:rsid w:val="006C0D92"/>
    <w:rsid w:val="006C1712"/>
    <w:rsid w:val="006C2861"/>
    <w:rsid w:val="006C3102"/>
    <w:rsid w:val="006C351D"/>
    <w:rsid w:val="006C4FB2"/>
    <w:rsid w:val="006C59C8"/>
    <w:rsid w:val="006C5F68"/>
    <w:rsid w:val="006C65F2"/>
    <w:rsid w:val="006C7388"/>
    <w:rsid w:val="006C7AEC"/>
    <w:rsid w:val="006D0A96"/>
    <w:rsid w:val="006D101C"/>
    <w:rsid w:val="006D2C0F"/>
    <w:rsid w:val="006D3077"/>
    <w:rsid w:val="006D3265"/>
    <w:rsid w:val="006D3A2A"/>
    <w:rsid w:val="006D3B7A"/>
    <w:rsid w:val="006D4A6F"/>
    <w:rsid w:val="006D53A5"/>
    <w:rsid w:val="006D57E4"/>
    <w:rsid w:val="006D5850"/>
    <w:rsid w:val="006D595E"/>
    <w:rsid w:val="006D62D3"/>
    <w:rsid w:val="006D6379"/>
    <w:rsid w:val="006D70C5"/>
    <w:rsid w:val="006D71C3"/>
    <w:rsid w:val="006E038D"/>
    <w:rsid w:val="006E0F6B"/>
    <w:rsid w:val="006E2630"/>
    <w:rsid w:val="006E311C"/>
    <w:rsid w:val="006E34E1"/>
    <w:rsid w:val="006E39BF"/>
    <w:rsid w:val="006E3C63"/>
    <w:rsid w:val="006E4AAE"/>
    <w:rsid w:val="006E52DD"/>
    <w:rsid w:val="006E5A29"/>
    <w:rsid w:val="006E5F25"/>
    <w:rsid w:val="006E6294"/>
    <w:rsid w:val="006E6483"/>
    <w:rsid w:val="006E737D"/>
    <w:rsid w:val="006E763B"/>
    <w:rsid w:val="006F066E"/>
    <w:rsid w:val="006F0C84"/>
    <w:rsid w:val="006F289A"/>
    <w:rsid w:val="006F2BC8"/>
    <w:rsid w:val="006F318B"/>
    <w:rsid w:val="006F403D"/>
    <w:rsid w:val="006F40E3"/>
    <w:rsid w:val="006F4460"/>
    <w:rsid w:val="006F46A6"/>
    <w:rsid w:val="006F4855"/>
    <w:rsid w:val="006F50F6"/>
    <w:rsid w:val="006F6436"/>
    <w:rsid w:val="006F6AA3"/>
    <w:rsid w:val="006F6E3B"/>
    <w:rsid w:val="006F7E63"/>
    <w:rsid w:val="00701494"/>
    <w:rsid w:val="00701BFD"/>
    <w:rsid w:val="00702617"/>
    <w:rsid w:val="00703477"/>
    <w:rsid w:val="0070394A"/>
    <w:rsid w:val="00703C93"/>
    <w:rsid w:val="007045C3"/>
    <w:rsid w:val="007051D8"/>
    <w:rsid w:val="007053F4"/>
    <w:rsid w:val="00705693"/>
    <w:rsid w:val="00706FF6"/>
    <w:rsid w:val="00707B9F"/>
    <w:rsid w:val="00707BA1"/>
    <w:rsid w:val="00707DFF"/>
    <w:rsid w:val="007102D1"/>
    <w:rsid w:val="007105A8"/>
    <w:rsid w:val="00710E41"/>
    <w:rsid w:val="00711587"/>
    <w:rsid w:val="00711764"/>
    <w:rsid w:val="00711924"/>
    <w:rsid w:val="00712D05"/>
    <w:rsid w:val="00714C80"/>
    <w:rsid w:val="00714C8E"/>
    <w:rsid w:val="00714F27"/>
    <w:rsid w:val="00715B3D"/>
    <w:rsid w:val="00715CB0"/>
    <w:rsid w:val="00716CD5"/>
    <w:rsid w:val="007172E1"/>
    <w:rsid w:val="0071785E"/>
    <w:rsid w:val="00717C12"/>
    <w:rsid w:val="00720A01"/>
    <w:rsid w:val="00720A11"/>
    <w:rsid w:val="00721AA1"/>
    <w:rsid w:val="00722AC5"/>
    <w:rsid w:val="00722B02"/>
    <w:rsid w:val="00725819"/>
    <w:rsid w:val="007265A3"/>
    <w:rsid w:val="00727CA5"/>
    <w:rsid w:val="00733931"/>
    <w:rsid w:val="00734B3F"/>
    <w:rsid w:val="00735B1E"/>
    <w:rsid w:val="00737099"/>
    <w:rsid w:val="00737851"/>
    <w:rsid w:val="0074008D"/>
    <w:rsid w:val="00740FAC"/>
    <w:rsid w:val="0074108F"/>
    <w:rsid w:val="00741BC0"/>
    <w:rsid w:val="00742AE0"/>
    <w:rsid w:val="00742C44"/>
    <w:rsid w:val="00742E8B"/>
    <w:rsid w:val="007431C0"/>
    <w:rsid w:val="007434A2"/>
    <w:rsid w:val="00744152"/>
    <w:rsid w:val="007460EA"/>
    <w:rsid w:val="007462BC"/>
    <w:rsid w:val="007465CB"/>
    <w:rsid w:val="00746750"/>
    <w:rsid w:val="007473E3"/>
    <w:rsid w:val="00747959"/>
    <w:rsid w:val="00751976"/>
    <w:rsid w:val="00751F26"/>
    <w:rsid w:val="00752A52"/>
    <w:rsid w:val="00752EBB"/>
    <w:rsid w:val="00752F36"/>
    <w:rsid w:val="00753682"/>
    <w:rsid w:val="00753CFD"/>
    <w:rsid w:val="00754818"/>
    <w:rsid w:val="00755688"/>
    <w:rsid w:val="00756C00"/>
    <w:rsid w:val="00757BC2"/>
    <w:rsid w:val="00760575"/>
    <w:rsid w:val="00760F18"/>
    <w:rsid w:val="007612E2"/>
    <w:rsid w:val="007618CA"/>
    <w:rsid w:val="00762864"/>
    <w:rsid w:val="007629C9"/>
    <w:rsid w:val="00763356"/>
    <w:rsid w:val="007638B5"/>
    <w:rsid w:val="00763C98"/>
    <w:rsid w:val="007643E4"/>
    <w:rsid w:val="007646D5"/>
    <w:rsid w:val="00764A16"/>
    <w:rsid w:val="00765B76"/>
    <w:rsid w:val="007704AA"/>
    <w:rsid w:val="00770523"/>
    <w:rsid w:val="0077111E"/>
    <w:rsid w:val="007711C3"/>
    <w:rsid w:val="00771E63"/>
    <w:rsid w:val="007722EE"/>
    <w:rsid w:val="00773295"/>
    <w:rsid w:val="0077477E"/>
    <w:rsid w:val="007753DA"/>
    <w:rsid w:val="00775B94"/>
    <w:rsid w:val="00776BB8"/>
    <w:rsid w:val="00777095"/>
    <w:rsid w:val="0078024F"/>
    <w:rsid w:val="0078158A"/>
    <w:rsid w:val="00781BE6"/>
    <w:rsid w:val="00782BE2"/>
    <w:rsid w:val="00783DF4"/>
    <w:rsid w:val="00784F93"/>
    <w:rsid w:val="00786079"/>
    <w:rsid w:val="0078676B"/>
    <w:rsid w:val="00786D6F"/>
    <w:rsid w:val="00787E5E"/>
    <w:rsid w:val="00787F8F"/>
    <w:rsid w:val="00790916"/>
    <w:rsid w:val="00790990"/>
    <w:rsid w:val="007912EE"/>
    <w:rsid w:val="007914D3"/>
    <w:rsid w:val="007931E0"/>
    <w:rsid w:val="00794335"/>
    <w:rsid w:val="007951E9"/>
    <w:rsid w:val="007967C3"/>
    <w:rsid w:val="00797074"/>
    <w:rsid w:val="00797239"/>
    <w:rsid w:val="007A0332"/>
    <w:rsid w:val="007A2E11"/>
    <w:rsid w:val="007A3B08"/>
    <w:rsid w:val="007A3C87"/>
    <w:rsid w:val="007A4783"/>
    <w:rsid w:val="007A4C93"/>
    <w:rsid w:val="007A4D82"/>
    <w:rsid w:val="007A5FD9"/>
    <w:rsid w:val="007B19ED"/>
    <w:rsid w:val="007B19F9"/>
    <w:rsid w:val="007B216B"/>
    <w:rsid w:val="007B257F"/>
    <w:rsid w:val="007B2EC9"/>
    <w:rsid w:val="007B31D2"/>
    <w:rsid w:val="007B3CD3"/>
    <w:rsid w:val="007B47D9"/>
    <w:rsid w:val="007B673F"/>
    <w:rsid w:val="007B69D6"/>
    <w:rsid w:val="007C1583"/>
    <w:rsid w:val="007C1C82"/>
    <w:rsid w:val="007C20FC"/>
    <w:rsid w:val="007C26F0"/>
    <w:rsid w:val="007C3286"/>
    <w:rsid w:val="007C3657"/>
    <w:rsid w:val="007C379D"/>
    <w:rsid w:val="007C380F"/>
    <w:rsid w:val="007C3F8C"/>
    <w:rsid w:val="007C47A0"/>
    <w:rsid w:val="007C4D47"/>
    <w:rsid w:val="007C53EF"/>
    <w:rsid w:val="007C65A7"/>
    <w:rsid w:val="007C6E3B"/>
    <w:rsid w:val="007D024C"/>
    <w:rsid w:val="007D0987"/>
    <w:rsid w:val="007D0A02"/>
    <w:rsid w:val="007D1C2F"/>
    <w:rsid w:val="007D1F02"/>
    <w:rsid w:val="007D25B4"/>
    <w:rsid w:val="007D3278"/>
    <w:rsid w:val="007D4F61"/>
    <w:rsid w:val="007D5E1C"/>
    <w:rsid w:val="007D5F05"/>
    <w:rsid w:val="007D716D"/>
    <w:rsid w:val="007E0A35"/>
    <w:rsid w:val="007E0F6B"/>
    <w:rsid w:val="007E1166"/>
    <w:rsid w:val="007E15AE"/>
    <w:rsid w:val="007E178D"/>
    <w:rsid w:val="007E1857"/>
    <w:rsid w:val="007E2ACA"/>
    <w:rsid w:val="007E4180"/>
    <w:rsid w:val="007E5D68"/>
    <w:rsid w:val="007E5F54"/>
    <w:rsid w:val="007E685C"/>
    <w:rsid w:val="007E7E2D"/>
    <w:rsid w:val="007F00AC"/>
    <w:rsid w:val="007F03C7"/>
    <w:rsid w:val="007F06DB"/>
    <w:rsid w:val="007F0A04"/>
    <w:rsid w:val="007F20CF"/>
    <w:rsid w:val="007F2AC5"/>
    <w:rsid w:val="007F373E"/>
    <w:rsid w:val="007F4342"/>
    <w:rsid w:val="007F5EF7"/>
    <w:rsid w:val="007F7F7B"/>
    <w:rsid w:val="008002FD"/>
    <w:rsid w:val="008015B4"/>
    <w:rsid w:val="00801811"/>
    <w:rsid w:val="0080243D"/>
    <w:rsid w:val="008029A6"/>
    <w:rsid w:val="0080399C"/>
    <w:rsid w:val="008052C4"/>
    <w:rsid w:val="00805798"/>
    <w:rsid w:val="00805F14"/>
    <w:rsid w:val="008060D1"/>
    <w:rsid w:val="00806205"/>
    <w:rsid w:val="00806B10"/>
    <w:rsid w:val="00807738"/>
    <w:rsid w:val="00807813"/>
    <w:rsid w:val="0081146A"/>
    <w:rsid w:val="00812375"/>
    <w:rsid w:val="008130D9"/>
    <w:rsid w:val="0081363F"/>
    <w:rsid w:val="00813813"/>
    <w:rsid w:val="00814F8E"/>
    <w:rsid w:val="0081607E"/>
    <w:rsid w:val="0081634A"/>
    <w:rsid w:val="00816E7D"/>
    <w:rsid w:val="00820BB4"/>
    <w:rsid w:val="0082234A"/>
    <w:rsid w:val="00822395"/>
    <w:rsid w:val="008229F4"/>
    <w:rsid w:val="0082372F"/>
    <w:rsid w:val="00823DF9"/>
    <w:rsid w:val="00823FE2"/>
    <w:rsid w:val="00824E9F"/>
    <w:rsid w:val="00824F69"/>
    <w:rsid w:val="00825168"/>
    <w:rsid w:val="008252A4"/>
    <w:rsid w:val="00825CD1"/>
    <w:rsid w:val="00826E45"/>
    <w:rsid w:val="008275EA"/>
    <w:rsid w:val="00830ACF"/>
    <w:rsid w:val="00830BA1"/>
    <w:rsid w:val="0083145C"/>
    <w:rsid w:val="00831C46"/>
    <w:rsid w:val="00831D3E"/>
    <w:rsid w:val="0083201D"/>
    <w:rsid w:val="008343C7"/>
    <w:rsid w:val="00834F80"/>
    <w:rsid w:val="00836A0A"/>
    <w:rsid w:val="00836BB9"/>
    <w:rsid w:val="008370AB"/>
    <w:rsid w:val="00837479"/>
    <w:rsid w:val="008374B5"/>
    <w:rsid w:val="008377B6"/>
    <w:rsid w:val="00837EF5"/>
    <w:rsid w:val="00840C58"/>
    <w:rsid w:val="0084186A"/>
    <w:rsid w:val="00841C70"/>
    <w:rsid w:val="00842363"/>
    <w:rsid w:val="00842633"/>
    <w:rsid w:val="00843FDB"/>
    <w:rsid w:val="00844890"/>
    <w:rsid w:val="008453B8"/>
    <w:rsid w:val="008453D2"/>
    <w:rsid w:val="00845953"/>
    <w:rsid w:val="00852151"/>
    <w:rsid w:val="00854686"/>
    <w:rsid w:val="00855D36"/>
    <w:rsid w:val="00855EEC"/>
    <w:rsid w:val="00855F0A"/>
    <w:rsid w:val="0085670A"/>
    <w:rsid w:val="00856F13"/>
    <w:rsid w:val="00857B5C"/>
    <w:rsid w:val="00857DD9"/>
    <w:rsid w:val="00857E2B"/>
    <w:rsid w:val="00860344"/>
    <w:rsid w:val="00861218"/>
    <w:rsid w:val="00861DF0"/>
    <w:rsid w:val="008635FC"/>
    <w:rsid w:val="008638F9"/>
    <w:rsid w:val="0086440C"/>
    <w:rsid w:val="0086442C"/>
    <w:rsid w:val="0086487E"/>
    <w:rsid w:val="008648DD"/>
    <w:rsid w:val="0086498A"/>
    <w:rsid w:val="00866E4C"/>
    <w:rsid w:val="008676E3"/>
    <w:rsid w:val="00871468"/>
    <w:rsid w:val="00872A4E"/>
    <w:rsid w:val="0087450E"/>
    <w:rsid w:val="008767BD"/>
    <w:rsid w:val="008771A1"/>
    <w:rsid w:val="00881AD1"/>
    <w:rsid w:val="0088270B"/>
    <w:rsid w:val="00883D0C"/>
    <w:rsid w:val="00884273"/>
    <w:rsid w:val="00884B2A"/>
    <w:rsid w:val="0088629D"/>
    <w:rsid w:val="00886BFA"/>
    <w:rsid w:val="0088784D"/>
    <w:rsid w:val="0089000E"/>
    <w:rsid w:val="00891229"/>
    <w:rsid w:val="00891893"/>
    <w:rsid w:val="00891A79"/>
    <w:rsid w:val="00891BA0"/>
    <w:rsid w:val="00891BDA"/>
    <w:rsid w:val="00893B5F"/>
    <w:rsid w:val="00894243"/>
    <w:rsid w:val="00894353"/>
    <w:rsid w:val="00896B76"/>
    <w:rsid w:val="00896D48"/>
    <w:rsid w:val="00897B00"/>
    <w:rsid w:val="008A0047"/>
    <w:rsid w:val="008A0995"/>
    <w:rsid w:val="008A1102"/>
    <w:rsid w:val="008A1422"/>
    <w:rsid w:val="008A1DFC"/>
    <w:rsid w:val="008A1FE6"/>
    <w:rsid w:val="008A2D49"/>
    <w:rsid w:val="008A5A64"/>
    <w:rsid w:val="008A630E"/>
    <w:rsid w:val="008A773D"/>
    <w:rsid w:val="008B1B8A"/>
    <w:rsid w:val="008B3168"/>
    <w:rsid w:val="008B4BA1"/>
    <w:rsid w:val="008B5E70"/>
    <w:rsid w:val="008B6756"/>
    <w:rsid w:val="008B6A2E"/>
    <w:rsid w:val="008B6E2B"/>
    <w:rsid w:val="008B7F1D"/>
    <w:rsid w:val="008C0639"/>
    <w:rsid w:val="008C0F96"/>
    <w:rsid w:val="008C16B3"/>
    <w:rsid w:val="008C18E0"/>
    <w:rsid w:val="008C3992"/>
    <w:rsid w:val="008C3DCC"/>
    <w:rsid w:val="008C43D3"/>
    <w:rsid w:val="008C478D"/>
    <w:rsid w:val="008C48F2"/>
    <w:rsid w:val="008C4B52"/>
    <w:rsid w:val="008C5358"/>
    <w:rsid w:val="008C55DB"/>
    <w:rsid w:val="008C6455"/>
    <w:rsid w:val="008C6B1C"/>
    <w:rsid w:val="008C6FB3"/>
    <w:rsid w:val="008C7554"/>
    <w:rsid w:val="008D0FF6"/>
    <w:rsid w:val="008D172B"/>
    <w:rsid w:val="008D39EE"/>
    <w:rsid w:val="008D3EC6"/>
    <w:rsid w:val="008D4437"/>
    <w:rsid w:val="008D4D62"/>
    <w:rsid w:val="008D5215"/>
    <w:rsid w:val="008D5F41"/>
    <w:rsid w:val="008D696B"/>
    <w:rsid w:val="008E0109"/>
    <w:rsid w:val="008E086C"/>
    <w:rsid w:val="008E0BF3"/>
    <w:rsid w:val="008E1EB0"/>
    <w:rsid w:val="008E1F42"/>
    <w:rsid w:val="008E25DA"/>
    <w:rsid w:val="008E29C9"/>
    <w:rsid w:val="008E3DEC"/>
    <w:rsid w:val="008E412F"/>
    <w:rsid w:val="008E425B"/>
    <w:rsid w:val="008E66D0"/>
    <w:rsid w:val="008E69A2"/>
    <w:rsid w:val="008E6D73"/>
    <w:rsid w:val="008E6DA3"/>
    <w:rsid w:val="008E6EFC"/>
    <w:rsid w:val="008F039A"/>
    <w:rsid w:val="008F0C17"/>
    <w:rsid w:val="008F1740"/>
    <w:rsid w:val="008F3B43"/>
    <w:rsid w:val="008F6CB8"/>
    <w:rsid w:val="008F716B"/>
    <w:rsid w:val="008F7C34"/>
    <w:rsid w:val="00900900"/>
    <w:rsid w:val="00900EED"/>
    <w:rsid w:val="009016E3"/>
    <w:rsid w:val="0090295E"/>
    <w:rsid w:val="00902987"/>
    <w:rsid w:val="009052F6"/>
    <w:rsid w:val="00905EA4"/>
    <w:rsid w:val="0090663A"/>
    <w:rsid w:val="0090676C"/>
    <w:rsid w:val="009069D0"/>
    <w:rsid w:val="009104DB"/>
    <w:rsid w:val="00910EC6"/>
    <w:rsid w:val="00911903"/>
    <w:rsid w:val="00912D31"/>
    <w:rsid w:val="00912D94"/>
    <w:rsid w:val="00912EFE"/>
    <w:rsid w:val="0091437E"/>
    <w:rsid w:val="00914C2F"/>
    <w:rsid w:val="00916743"/>
    <w:rsid w:val="00917AC0"/>
    <w:rsid w:val="00917D4A"/>
    <w:rsid w:val="00920094"/>
    <w:rsid w:val="00920B24"/>
    <w:rsid w:val="0092129B"/>
    <w:rsid w:val="00921C88"/>
    <w:rsid w:val="00924196"/>
    <w:rsid w:val="00924301"/>
    <w:rsid w:val="0092485A"/>
    <w:rsid w:val="009249EC"/>
    <w:rsid w:val="00924C8B"/>
    <w:rsid w:val="00925303"/>
    <w:rsid w:val="0092627C"/>
    <w:rsid w:val="009262E1"/>
    <w:rsid w:val="009266BD"/>
    <w:rsid w:val="00926AB5"/>
    <w:rsid w:val="00926E01"/>
    <w:rsid w:val="009274D7"/>
    <w:rsid w:val="0092756F"/>
    <w:rsid w:val="00930C8B"/>
    <w:rsid w:val="00930E84"/>
    <w:rsid w:val="00930F10"/>
    <w:rsid w:val="00930FA2"/>
    <w:rsid w:val="009312BE"/>
    <w:rsid w:val="009316BF"/>
    <w:rsid w:val="00932045"/>
    <w:rsid w:val="009325B4"/>
    <w:rsid w:val="00932ED1"/>
    <w:rsid w:val="0093572E"/>
    <w:rsid w:val="00936A72"/>
    <w:rsid w:val="00940937"/>
    <w:rsid w:val="00940EB0"/>
    <w:rsid w:val="009437E0"/>
    <w:rsid w:val="0094463F"/>
    <w:rsid w:val="0094464F"/>
    <w:rsid w:val="009448FD"/>
    <w:rsid w:val="0094771B"/>
    <w:rsid w:val="00951FD7"/>
    <w:rsid w:val="009522C4"/>
    <w:rsid w:val="00952EA3"/>
    <w:rsid w:val="00953BEE"/>
    <w:rsid w:val="009541E6"/>
    <w:rsid w:val="00955C63"/>
    <w:rsid w:val="00956023"/>
    <w:rsid w:val="00961AB4"/>
    <w:rsid w:val="00961AF2"/>
    <w:rsid w:val="00962682"/>
    <w:rsid w:val="009639ED"/>
    <w:rsid w:val="00963A50"/>
    <w:rsid w:val="00963EDA"/>
    <w:rsid w:val="00963F93"/>
    <w:rsid w:val="00964E48"/>
    <w:rsid w:val="00965986"/>
    <w:rsid w:val="00966C86"/>
    <w:rsid w:val="00970A2E"/>
    <w:rsid w:val="00971AB3"/>
    <w:rsid w:val="009723DF"/>
    <w:rsid w:val="00972E8A"/>
    <w:rsid w:val="009736F5"/>
    <w:rsid w:val="00973832"/>
    <w:rsid w:val="00975624"/>
    <w:rsid w:val="009756C4"/>
    <w:rsid w:val="0097602C"/>
    <w:rsid w:val="009774E9"/>
    <w:rsid w:val="009776B1"/>
    <w:rsid w:val="00977938"/>
    <w:rsid w:val="0098027C"/>
    <w:rsid w:val="009808AA"/>
    <w:rsid w:val="00980BC0"/>
    <w:rsid w:val="009817BE"/>
    <w:rsid w:val="00981E10"/>
    <w:rsid w:val="00982530"/>
    <w:rsid w:val="00982658"/>
    <w:rsid w:val="00982F1C"/>
    <w:rsid w:val="0098358C"/>
    <w:rsid w:val="00984893"/>
    <w:rsid w:val="009849C7"/>
    <w:rsid w:val="009853DF"/>
    <w:rsid w:val="00985E0F"/>
    <w:rsid w:val="009861C5"/>
    <w:rsid w:val="00986944"/>
    <w:rsid w:val="00991644"/>
    <w:rsid w:val="00993674"/>
    <w:rsid w:val="009957B1"/>
    <w:rsid w:val="00995FAC"/>
    <w:rsid w:val="00996240"/>
    <w:rsid w:val="00996907"/>
    <w:rsid w:val="009974E4"/>
    <w:rsid w:val="0099754B"/>
    <w:rsid w:val="009977E2"/>
    <w:rsid w:val="00997E9C"/>
    <w:rsid w:val="009A0742"/>
    <w:rsid w:val="009A07DB"/>
    <w:rsid w:val="009A1174"/>
    <w:rsid w:val="009A1189"/>
    <w:rsid w:val="009A18DF"/>
    <w:rsid w:val="009A1A77"/>
    <w:rsid w:val="009A1B8E"/>
    <w:rsid w:val="009A27C3"/>
    <w:rsid w:val="009A4E17"/>
    <w:rsid w:val="009A5B41"/>
    <w:rsid w:val="009A60FB"/>
    <w:rsid w:val="009A6D4D"/>
    <w:rsid w:val="009A74EF"/>
    <w:rsid w:val="009B0924"/>
    <w:rsid w:val="009B25D2"/>
    <w:rsid w:val="009B2FFB"/>
    <w:rsid w:val="009B335F"/>
    <w:rsid w:val="009B3DB2"/>
    <w:rsid w:val="009B6D96"/>
    <w:rsid w:val="009B6E79"/>
    <w:rsid w:val="009B6EA3"/>
    <w:rsid w:val="009B72E6"/>
    <w:rsid w:val="009B7E73"/>
    <w:rsid w:val="009C251A"/>
    <w:rsid w:val="009C336F"/>
    <w:rsid w:val="009C4D08"/>
    <w:rsid w:val="009C50FB"/>
    <w:rsid w:val="009C5B0A"/>
    <w:rsid w:val="009C6743"/>
    <w:rsid w:val="009C74A3"/>
    <w:rsid w:val="009C7C28"/>
    <w:rsid w:val="009C7E3A"/>
    <w:rsid w:val="009D0F53"/>
    <w:rsid w:val="009D290F"/>
    <w:rsid w:val="009D4A5A"/>
    <w:rsid w:val="009D5292"/>
    <w:rsid w:val="009D52FE"/>
    <w:rsid w:val="009D5463"/>
    <w:rsid w:val="009D56AB"/>
    <w:rsid w:val="009D5971"/>
    <w:rsid w:val="009D5C8B"/>
    <w:rsid w:val="009D7A05"/>
    <w:rsid w:val="009D7DEC"/>
    <w:rsid w:val="009D7E8E"/>
    <w:rsid w:val="009E0A37"/>
    <w:rsid w:val="009E1A67"/>
    <w:rsid w:val="009E3970"/>
    <w:rsid w:val="009E3A04"/>
    <w:rsid w:val="009E43A8"/>
    <w:rsid w:val="009E441F"/>
    <w:rsid w:val="009E461B"/>
    <w:rsid w:val="009E6822"/>
    <w:rsid w:val="009E7859"/>
    <w:rsid w:val="009E79CE"/>
    <w:rsid w:val="009E7D03"/>
    <w:rsid w:val="009E7E7F"/>
    <w:rsid w:val="009F197E"/>
    <w:rsid w:val="009F20BE"/>
    <w:rsid w:val="009F4356"/>
    <w:rsid w:val="009F461E"/>
    <w:rsid w:val="009F5096"/>
    <w:rsid w:val="009F521C"/>
    <w:rsid w:val="009F547F"/>
    <w:rsid w:val="009F64A9"/>
    <w:rsid w:val="009F652C"/>
    <w:rsid w:val="009F67D2"/>
    <w:rsid w:val="009F7DE9"/>
    <w:rsid w:val="00A0075C"/>
    <w:rsid w:val="00A009C1"/>
    <w:rsid w:val="00A00F25"/>
    <w:rsid w:val="00A043E7"/>
    <w:rsid w:val="00A0452B"/>
    <w:rsid w:val="00A04A70"/>
    <w:rsid w:val="00A06924"/>
    <w:rsid w:val="00A06CC6"/>
    <w:rsid w:val="00A07442"/>
    <w:rsid w:val="00A10345"/>
    <w:rsid w:val="00A120C0"/>
    <w:rsid w:val="00A130D5"/>
    <w:rsid w:val="00A13590"/>
    <w:rsid w:val="00A145CF"/>
    <w:rsid w:val="00A15016"/>
    <w:rsid w:val="00A16798"/>
    <w:rsid w:val="00A173E7"/>
    <w:rsid w:val="00A1740E"/>
    <w:rsid w:val="00A201EC"/>
    <w:rsid w:val="00A22327"/>
    <w:rsid w:val="00A23019"/>
    <w:rsid w:val="00A23682"/>
    <w:rsid w:val="00A24093"/>
    <w:rsid w:val="00A2473C"/>
    <w:rsid w:val="00A24A13"/>
    <w:rsid w:val="00A25003"/>
    <w:rsid w:val="00A2582E"/>
    <w:rsid w:val="00A26295"/>
    <w:rsid w:val="00A2666C"/>
    <w:rsid w:val="00A26AE4"/>
    <w:rsid w:val="00A26E21"/>
    <w:rsid w:val="00A26F58"/>
    <w:rsid w:val="00A270AF"/>
    <w:rsid w:val="00A304CF"/>
    <w:rsid w:val="00A306E4"/>
    <w:rsid w:val="00A3184A"/>
    <w:rsid w:val="00A322DB"/>
    <w:rsid w:val="00A324A1"/>
    <w:rsid w:val="00A3373F"/>
    <w:rsid w:val="00A3639B"/>
    <w:rsid w:val="00A366D7"/>
    <w:rsid w:val="00A40461"/>
    <w:rsid w:val="00A40A3F"/>
    <w:rsid w:val="00A41457"/>
    <w:rsid w:val="00A4147F"/>
    <w:rsid w:val="00A419F7"/>
    <w:rsid w:val="00A4257C"/>
    <w:rsid w:val="00A43317"/>
    <w:rsid w:val="00A43AB8"/>
    <w:rsid w:val="00A43E3B"/>
    <w:rsid w:val="00A443D2"/>
    <w:rsid w:val="00A444CB"/>
    <w:rsid w:val="00A444D0"/>
    <w:rsid w:val="00A45689"/>
    <w:rsid w:val="00A46DDB"/>
    <w:rsid w:val="00A501CF"/>
    <w:rsid w:val="00A50742"/>
    <w:rsid w:val="00A50909"/>
    <w:rsid w:val="00A53C30"/>
    <w:rsid w:val="00A541EE"/>
    <w:rsid w:val="00A546B5"/>
    <w:rsid w:val="00A54C70"/>
    <w:rsid w:val="00A555D9"/>
    <w:rsid w:val="00A559DD"/>
    <w:rsid w:val="00A57998"/>
    <w:rsid w:val="00A57DE2"/>
    <w:rsid w:val="00A60591"/>
    <w:rsid w:val="00A60D27"/>
    <w:rsid w:val="00A6200A"/>
    <w:rsid w:val="00A6285E"/>
    <w:rsid w:val="00A643CC"/>
    <w:rsid w:val="00A64428"/>
    <w:rsid w:val="00A64572"/>
    <w:rsid w:val="00A64C93"/>
    <w:rsid w:val="00A65247"/>
    <w:rsid w:val="00A65FF5"/>
    <w:rsid w:val="00A66749"/>
    <w:rsid w:val="00A66F50"/>
    <w:rsid w:val="00A67056"/>
    <w:rsid w:val="00A67388"/>
    <w:rsid w:val="00A70773"/>
    <w:rsid w:val="00A70826"/>
    <w:rsid w:val="00A7154F"/>
    <w:rsid w:val="00A72548"/>
    <w:rsid w:val="00A72627"/>
    <w:rsid w:val="00A7265C"/>
    <w:rsid w:val="00A7310F"/>
    <w:rsid w:val="00A74EFF"/>
    <w:rsid w:val="00A750AE"/>
    <w:rsid w:val="00A757C7"/>
    <w:rsid w:val="00A75E15"/>
    <w:rsid w:val="00A76276"/>
    <w:rsid w:val="00A775BC"/>
    <w:rsid w:val="00A77A3B"/>
    <w:rsid w:val="00A77B6A"/>
    <w:rsid w:val="00A81680"/>
    <w:rsid w:val="00A82D23"/>
    <w:rsid w:val="00A82F47"/>
    <w:rsid w:val="00A84F37"/>
    <w:rsid w:val="00A8562D"/>
    <w:rsid w:val="00A85B1A"/>
    <w:rsid w:val="00A868DC"/>
    <w:rsid w:val="00A869E6"/>
    <w:rsid w:val="00A87B20"/>
    <w:rsid w:val="00A900F0"/>
    <w:rsid w:val="00A918E1"/>
    <w:rsid w:val="00A92956"/>
    <w:rsid w:val="00A9372C"/>
    <w:rsid w:val="00A938E1"/>
    <w:rsid w:val="00A939EA"/>
    <w:rsid w:val="00A948D6"/>
    <w:rsid w:val="00A95C50"/>
    <w:rsid w:val="00A970FB"/>
    <w:rsid w:val="00AA03FF"/>
    <w:rsid w:val="00AA1DC5"/>
    <w:rsid w:val="00AA2F5D"/>
    <w:rsid w:val="00AA46B1"/>
    <w:rsid w:val="00AA4D95"/>
    <w:rsid w:val="00AA5569"/>
    <w:rsid w:val="00AA58DD"/>
    <w:rsid w:val="00AA605B"/>
    <w:rsid w:val="00AA6B5F"/>
    <w:rsid w:val="00AA6FE2"/>
    <w:rsid w:val="00AA75EA"/>
    <w:rsid w:val="00AA78AE"/>
    <w:rsid w:val="00AA7FFE"/>
    <w:rsid w:val="00AB00A9"/>
    <w:rsid w:val="00AB06DA"/>
    <w:rsid w:val="00AB09D8"/>
    <w:rsid w:val="00AB3AA1"/>
    <w:rsid w:val="00AB4150"/>
    <w:rsid w:val="00AB5BF8"/>
    <w:rsid w:val="00AB6209"/>
    <w:rsid w:val="00AB6FB4"/>
    <w:rsid w:val="00AB7347"/>
    <w:rsid w:val="00AC0016"/>
    <w:rsid w:val="00AC0744"/>
    <w:rsid w:val="00AC0A87"/>
    <w:rsid w:val="00AC17C5"/>
    <w:rsid w:val="00AC2659"/>
    <w:rsid w:val="00AC2895"/>
    <w:rsid w:val="00AC296C"/>
    <w:rsid w:val="00AC3342"/>
    <w:rsid w:val="00AC345F"/>
    <w:rsid w:val="00AC5FEB"/>
    <w:rsid w:val="00AC63D0"/>
    <w:rsid w:val="00AC705D"/>
    <w:rsid w:val="00AD111E"/>
    <w:rsid w:val="00AD15A5"/>
    <w:rsid w:val="00AD1883"/>
    <w:rsid w:val="00AD1D54"/>
    <w:rsid w:val="00AD215D"/>
    <w:rsid w:val="00AD21F5"/>
    <w:rsid w:val="00AD3A5C"/>
    <w:rsid w:val="00AD7E25"/>
    <w:rsid w:val="00AE0222"/>
    <w:rsid w:val="00AE104A"/>
    <w:rsid w:val="00AE3772"/>
    <w:rsid w:val="00AE4F38"/>
    <w:rsid w:val="00AE6CEB"/>
    <w:rsid w:val="00AE6F72"/>
    <w:rsid w:val="00AE70FE"/>
    <w:rsid w:val="00AE7982"/>
    <w:rsid w:val="00AF1EE9"/>
    <w:rsid w:val="00AF2451"/>
    <w:rsid w:val="00AF2A16"/>
    <w:rsid w:val="00AF314B"/>
    <w:rsid w:val="00AF34DE"/>
    <w:rsid w:val="00AF374B"/>
    <w:rsid w:val="00AF5A5F"/>
    <w:rsid w:val="00AF5CAE"/>
    <w:rsid w:val="00AF5E8A"/>
    <w:rsid w:val="00AF7903"/>
    <w:rsid w:val="00AF7BA9"/>
    <w:rsid w:val="00B016CF"/>
    <w:rsid w:val="00B01EAB"/>
    <w:rsid w:val="00B03632"/>
    <w:rsid w:val="00B04DE4"/>
    <w:rsid w:val="00B0592E"/>
    <w:rsid w:val="00B06061"/>
    <w:rsid w:val="00B11576"/>
    <w:rsid w:val="00B11D56"/>
    <w:rsid w:val="00B1217B"/>
    <w:rsid w:val="00B125B4"/>
    <w:rsid w:val="00B12667"/>
    <w:rsid w:val="00B147E9"/>
    <w:rsid w:val="00B1511A"/>
    <w:rsid w:val="00B15D62"/>
    <w:rsid w:val="00B20359"/>
    <w:rsid w:val="00B2068B"/>
    <w:rsid w:val="00B20B41"/>
    <w:rsid w:val="00B20CAA"/>
    <w:rsid w:val="00B2127B"/>
    <w:rsid w:val="00B22816"/>
    <w:rsid w:val="00B22935"/>
    <w:rsid w:val="00B22F19"/>
    <w:rsid w:val="00B25608"/>
    <w:rsid w:val="00B25807"/>
    <w:rsid w:val="00B27C02"/>
    <w:rsid w:val="00B310C5"/>
    <w:rsid w:val="00B32214"/>
    <w:rsid w:val="00B32A80"/>
    <w:rsid w:val="00B374C3"/>
    <w:rsid w:val="00B3754F"/>
    <w:rsid w:val="00B4101B"/>
    <w:rsid w:val="00B41CF3"/>
    <w:rsid w:val="00B42A7F"/>
    <w:rsid w:val="00B42ADF"/>
    <w:rsid w:val="00B43C71"/>
    <w:rsid w:val="00B448F1"/>
    <w:rsid w:val="00B4519B"/>
    <w:rsid w:val="00B45247"/>
    <w:rsid w:val="00B45332"/>
    <w:rsid w:val="00B46001"/>
    <w:rsid w:val="00B46D1A"/>
    <w:rsid w:val="00B53476"/>
    <w:rsid w:val="00B53BC4"/>
    <w:rsid w:val="00B549C9"/>
    <w:rsid w:val="00B54E9C"/>
    <w:rsid w:val="00B551A7"/>
    <w:rsid w:val="00B55392"/>
    <w:rsid w:val="00B56248"/>
    <w:rsid w:val="00B57F84"/>
    <w:rsid w:val="00B6060C"/>
    <w:rsid w:val="00B6133C"/>
    <w:rsid w:val="00B6346C"/>
    <w:rsid w:val="00B637B8"/>
    <w:rsid w:val="00B64160"/>
    <w:rsid w:val="00B6426E"/>
    <w:rsid w:val="00B64E43"/>
    <w:rsid w:val="00B65515"/>
    <w:rsid w:val="00B6656C"/>
    <w:rsid w:val="00B6742C"/>
    <w:rsid w:val="00B67E96"/>
    <w:rsid w:val="00B70AA6"/>
    <w:rsid w:val="00B71AB1"/>
    <w:rsid w:val="00B71BAE"/>
    <w:rsid w:val="00B726B9"/>
    <w:rsid w:val="00B730DD"/>
    <w:rsid w:val="00B74314"/>
    <w:rsid w:val="00B745CD"/>
    <w:rsid w:val="00B750C5"/>
    <w:rsid w:val="00B768CB"/>
    <w:rsid w:val="00B76F05"/>
    <w:rsid w:val="00B77B3F"/>
    <w:rsid w:val="00B80206"/>
    <w:rsid w:val="00B81798"/>
    <w:rsid w:val="00B81BA7"/>
    <w:rsid w:val="00B81E79"/>
    <w:rsid w:val="00B8232C"/>
    <w:rsid w:val="00B83747"/>
    <w:rsid w:val="00B85F4A"/>
    <w:rsid w:val="00B85F81"/>
    <w:rsid w:val="00B86045"/>
    <w:rsid w:val="00B86281"/>
    <w:rsid w:val="00B862F6"/>
    <w:rsid w:val="00B86B5F"/>
    <w:rsid w:val="00B871B5"/>
    <w:rsid w:val="00B8792B"/>
    <w:rsid w:val="00B87F50"/>
    <w:rsid w:val="00B87F8D"/>
    <w:rsid w:val="00B905F2"/>
    <w:rsid w:val="00B90A2E"/>
    <w:rsid w:val="00B9173C"/>
    <w:rsid w:val="00B91D79"/>
    <w:rsid w:val="00B92011"/>
    <w:rsid w:val="00B954F6"/>
    <w:rsid w:val="00B97C7B"/>
    <w:rsid w:val="00BA1B45"/>
    <w:rsid w:val="00BA1E75"/>
    <w:rsid w:val="00BA1E9D"/>
    <w:rsid w:val="00BA21D0"/>
    <w:rsid w:val="00BA2615"/>
    <w:rsid w:val="00BA3549"/>
    <w:rsid w:val="00BA3B28"/>
    <w:rsid w:val="00BA3EF9"/>
    <w:rsid w:val="00BA437D"/>
    <w:rsid w:val="00BA5C03"/>
    <w:rsid w:val="00BA5CF9"/>
    <w:rsid w:val="00BA6FD9"/>
    <w:rsid w:val="00BB0293"/>
    <w:rsid w:val="00BB03E5"/>
    <w:rsid w:val="00BB18A4"/>
    <w:rsid w:val="00BB1EB8"/>
    <w:rsid w:val="00BB1FA5"/>
    <w:rsid w:val="00BB3219"/>
    <w:rsid w:val="00BB35A3"/>
    <w:rsid w:val="00BB423A"/>
    <w:rsid w:val="00BB4818"/>
    <w:rsid w:val="00BB6783"/>
    <w:rsid w:val="00BB7426"/>
    <w:rsid w:val="00BC0280"/>
    <w:rsid w:val="00BC186A"/>
    <w:rsid w:val="00BC2DA7"/>
    <w:rsid w:val="00BC2E1C"/>
    <w:rsid w:val="00BC3514"/>
    <w:rsid w:val="00BC3769"/>
    <w:rsid w:val="00BC3EC4"/>
    <w:rsid w:val="00BC43C3"/>
    <w:rsid w:val="00BC5A24"/>
    <w:rsid w:val="00BC5FBB"/>
    <w:rsid w:val="00BC62A0"/>
    <w:rsid w:val="00BC6763"/>
    <w:rsid w:val="00BC6791"/>
    <w:rsid w:val="00BD067A"/>
    <w:rsid w:val="00BD0CD3"/>
    <w:rsid w:val="00BD0FEA"/>
    <w:rsid w:val="00BD12E3"/>
    <w:rsid w:val="00BD1398"/>
    <w:rsid w:val="00BD1761"/>
    <w:rsid w:val="00BD18A6"/>
    <w:rsid w:val="00BD3651"/>
    <w:rsid w:val="00BD3DB2"/>
    <w:rsid w:val="00BD42EE"/>
    <w:rsid w:val="00BD48CC"/>
    <w:rsid w:val="00BD48D8"/>
    <w:rsid w:val="00BD49DF"/>
    <w:rsid w:val="00BD5089"/>
    <w:rsid w:val="00BD5A84"/>
    <w:rsid w:val="00BD5B3C"/>
    <w:rsid w:val="00BD7037"/>
    <w:rsid w:val="00BE060D"/>
    <w:rsid w:val="00BE194C"/>
    <w:rsid w:val="00BE23EE"/>
    <w:rsid w:val="00BE2789"/>
    <w:rsid w:val="00BE2E57"/>
    <w:rsid w:val="00BE31BA"/>
    <w:rsid w:val="00BE33CF"/>
    <w:rsid w:val="00BE55C3"/>
    <w:rsid w:val="00BE6093"/>
    <w:rsid w:val="00BE61B2"/>
    <w:rsid w:val="00BE71C2"/>
    <w:rsid w:val="00BE798E"/>
    <w:rsid w:val="00BF0545"/>
    <w:rsid w:val="00BF1E9B"/>
    <w:rsid w:val="00BF2E9A"/>
    <w:rsid w:val="00BF365A"/>
    <w:rsid w:val="00BF4D57"/>
    <w:rsid w:val="00BF6127"/>
    <w:rsid w:val="00BF6946"/>
    <w:rsid w:val="00C01354"/>
    <w:rsid w:val="00C026A2"/>
    <w:rsid w:val="00C0388D"/>
    <w:rsid w:val="00C04EDA"/>
    <w:rsid w:val="00C05262"/>
    <w:rsid w:val="00C055EE"/>
    <w:rsid w:val="00C05A4B"/>
    <w:rsid w:val="00C06D6E"/>
    <w:rsid w:val="00C06E0A"/>
    <w:rsid w:val="00C075A8"/>
    <w:rsid w:val="00C0783F"/>
    <w:rsid w:val="00C07C24"/>
    <w:rsid w:val="00C105B4"/>
    <w:rsid w:val="00C11009"/>
    <w:rsid w:val="00C11470"/>
    <w:rsid w:val="00C116BF"/>
    <w:rsid w:val="00C13F2F"/>
    <w:rsid w:val="00C14412"/>
    <w:rsid w:val="00C16C0E"/>
    <w:rsid w:val="00C1735E"/>
    <w:rsid w:val="00C17458"/>
    <w:rsid w:val="00C210D8"/>
    <w:rsid w:val="00C2161C"/>
    <w:rsid w:val="00C2172E"/>
    <w:rsid w:val="00C21E97"/>
    <w:rsid w:val="00C23574"/>
    <w:rsid w:val="00C24623"/>
    <w:rsid w:val="00C246B1"/>
    <w:rsid w:val="00C24802"/>
    <w:rsid w:val="00C24812"/>
    <w:rsid w:val="00C255E3"/>
    <w:rsid w:val="00C25AB3"/>
    <w:rsid w:val="00C262A6"/>
    <w:rsid w:val="00C300A0"/>
    <w:rsid w:val="00C30151"/>
    <w:rsid w:val="00C30341"/>
    <w:rsid w:val="00C30EAB"/>
    <w:rsid w:val="00C3229E"/>
    <w:rsid w:val="00C33537"/>
    <w:rsid w:val="00C339CF"/>
    <w:rsid w:val="00C33D9B"/>
    <w:rsid w:val="00C342CC"/>
    <w:rsid w:val="00C3567D"/>
    <w:rsid w:val="00C35F65"/>
    <w:rsid w:val="00C36FC5"/>
    <w:rsid w:val="00C37F67"/>
    <w:rsid w:val="00C414E0"/>
    <w:rsid w:val="00C41580"/>
    <w:rsid w:val="00C44E16"/>
    <w:rsid w:val="00C457C5"/>
    <w:rsid w:val="00C464F4"/>
    <w:rsid w:val="00C47C99"/>
    <w:rsid w:val="00C50119"/>
    <w:rsid w:val="00C50749"/>
    <w:rsid w:val="00C52CBD"/>
    <w:rsid w:val="00C52D32"/>
    <w:rsid w:val="00C54191"/>
    <w:rsid w:val="00C54616"/>
    <w:rsid w:val="00C54D65"/>
    <w:rsid w:val="00C54D85"/>
    <w:rsid w:val="00C5501C"/>
    <w:rsid w:val="00C55514"/>
    <w:rsid w:val="00C55A42"/>
    <w:rsid w:val="00C55BF8"/>
    <w:rsid w:val="00C57BA9"/>
    <w:rsid w:val="00C57E2E"/>
    <w:rsid w:val="00C57EEA"/>
    <w:rsid w:val="00C61539"/>
    <w:rsid w:val="00C63192"/>
    <w:rsid w:val="00C63BB2"/>
    <w:rsid w:val="00C64843"/>
    <w:rsid w:val="00C6539D"/>
    <w:rsid w:val="00C65410"/>
    <w:rsid w:val="00C658D0"/>
    <w:rsid w:val="00C65F5C"/>
    <w:rsid w:val="00C6672F"/>
    <w:rsid w:val="00C66A10"/>
    <w:rsid w:val="00C712A3"/>
    <w:rsid w:val="00C726B5"/>
    <w:rsid w:val="00C72F19"/>
    <w:rsid w:val="00C73F2A"/>
    <w:rsid w:val="00C74781"/>
    <w:rsid w:val="00C74B6A"/>
    <w:rsid w:val="00C74E82"/>
    <w:rsid w:val="00C7742B"/>
    <w:rsid w:val="00C7777C"/>
    <w:rsid w:val="00C777E4"/>
    <w:rsid w:val="00C818BB"/>
    <w:rsid w:val="00C819A6"/>
    <w:rsid w:val="00C82AC0"/>
    <w:rsid w:val="00C82D67"/>
    <w:rsid w:val="00C8312B"/>
    <w:rsid w:val="00C85BF4"/>
    <w:rsid w:val="00C8613E"/>
    <w:rsid w:val="00C86311"/>
    <w:rsid w:val="00C86530"/>
    <w:rsid w:val="00C86BE3"/>
    <w:rsid w:val="00C928DA"/>
    <w:rsid w:val="00C933A5"/>
    <w:rsid w:val="00C93F05"/>
    <w:rsid w:val="00C9433D"/>
    <w:rsid w:val="00C95B31"/>
    <w:rsid w:val="00C96534"/>
    <w:rsid w:val="00C965E8"/>
    <w:rsid w:val="00C966FF"/>
    <w:rsid w:val="00C97795"/>
    <w:rsid w:val="00C97DE2"/>
    <w:rsid w:val="00CA05D2"/>
    <w:rsid w:val="00CA1B92"/>
    <w:rsid w:val="00CA1FC6"/>
    <w:rsid w:val="00CA2D10"/>
    <w:rsid w:val="00CA43E8"/>
    <w:rsid w:val="00CA5AC0"/>
    <w:rsid w:val="00CA63B5"/>
    <w:rsid w:val="00CA71AC"/>
    <w:rsid w:val="00CA77DB"/>
    <w:rsid w:val="00CA7A79"/>
    <w:rsid w:val="00CA7C5F"/>
    <w:rsid w:val="00CB0230"/>
    <w:rsid w:val="00CB0817"/>
    <w:rsid w:val="00CB0AA9"/>
    <w:rsid w:val="00CB0DAB"/>
    <w:rsid w:val="00CB0DEB"/>
    <w:rsid w:val="00CB1161"/>
    <w:rsid w:val="00CB27B2"/>
    <w:rsid w:val="00CB2ABF"/>
    <w:rsid w:val="00CB4CF3"/>
    <w:rsid w:val="00CB75FB"/>
    <w:rsid w:val="00CC040E"/>
    <w:rsid w:val="00CC13B2"/>
    <w:rsid w:val="00CC382A"/>
    <w:rsid w:val="00CC55D9"/>
    <w:rsid w:val="00CC55DB"/>
    <w:rsid w:val="00CC55F6"/>
    <w:rsid w:val="00CC5EF0"/>
    <w:rsid w:val="00CC5F9F"/>
    <w:rsid w:val="00CC6596"/>
    <w:rsid w:val="00CC6C99"/>
    <w:rsid w:val="00CC73F9"/>
    <w:rsid w:val="00CC7935"/>
    <w:rsid w:val="00CD1ADB"/>
    <w:rsid w:val="00CD246B"/>
    <w:rsid w:val="00CD2E03"/>
    <w:rsid w:val="00CD3FD5"/>
    <w:rsid w:val="00CD40E6"/>
    <w:rsid w:val="00CD41A6"/>
    <w:rsid w:val="00CD4D7C"/>
    <w:rsid w:val="00CD57AD"/>
    <w:rsid w:val="00CD5ED6"/>
    <w:rsid w:val="00CD6EA9"/>
    <w:rsid w:val="00CD7112"/>
    <w:rsid w:val="00CD7CF4"/>
    <w:rsid w:val="00CE0368"/>
    <w:rsid w:val="00CE0D21"/>
    <w:rsid w:val="00CE1706"/>
    <w:rsid w:val="00CE18BC"/>
    <w:rsid w:val="00CE23BD"/>
    <w:rsid w:val="00CE25F3"/>
    <w:rsid w:val="00CE2E0C"/>
    <w:rsid w:val="00CE5167"/>
    <w:rsid w:val="00CE599D"/>
    <w:rsid w:val="00CE64A4"/>
    <w:rsid w:val="00CE6866"/>
    <w:rsid w:val="00CE6C3A"/>
    <w:rsid w:val="00CE6F85"/>
    <w:rsid w:val="00CE753A"/>
    <w:rsid w:val="00CE78C4"/>
    <w:rsid w:val="00CF0F63"/>
    <w:rsid w:val="00CF302E"/>
    <w:rsid w:val="00CF3A85"/>
    <w:rsid w:val="00CF463A"/>
    <w:rsid w:val="00CF46B7"/>
    <w:rsid w:val="00CF6338"/>
    <w:rsid w:val="00CF711A"/>
    <w:rsid w:val="00CF7FD4"/>
    <w:rsid w:val="00D00150"/>
    <w:rsid w:val="00D00736"/>
    <w:rsid w:val="00D02792"/>
    <w:rsid w:val="00D03C37"/>
    <w:rsid w:val="00D04048"/>
    <w:rsid w:val="00D05E27"/>
    <w:rsid w:val="00D069CF"/>
    <w:rsid w:val="00D10CA4"/>
    <w:rsid w:val="00D119CC"/>
    <w:rsid w:val="00D12375"/>
    <w:rsid w:val="00D13681"/>
    <w:rsid w:val="00D14511"/>
    <w:rsid w:val="00D1682D"/>
    <w:rsid w:val="00D16E47"/>
    <w:rsid w:val="00D17607"/>
    <w:rsid w:val="00D22079"/>
    <w:rsid w:val="00D23788"/>
    <w:rsid w:val="00D24058"/>
    <w:rsid w:val="00D242F9"/>
    <w:rsid w:val="00D24A4C"/>
    <w:rsid w:val="00D257A4"/>
    <w:rsid w:val="00D268F0"/>
    <w:rsid w:val="00D26C06"/>
    <w:rsid w:val="00D30FDF"/>
    <w:rsid w:val="00D3279A"/>
    <w:rsid w:val="00D32A47"/>
    <w:rsid w:val="00D33CD5"/>
    <w:rsid w:val="00D34724"/>
    <w:rsid w:val="00D3563C"/>
    <w:rsid w:val="00D3608F"/>
    <w:rsid w:val="00D361B6"/>
    <w:rsid w:val="00D361BE"/>
    <w:rsid w:val="00D363DF"/>
    <w:rsid w:val="00D400E9"/>
    <w:rsid w:val="00D40528"/>
    <w:rsid w:val="00D4134C"/>
    <w:rsid w:val="00D41624"/>
    <w:rsid w:val="00D41A34"/>
    <w:rsid w:val="00D42741"/>
    <w:rsid w:val="00D44169"/>
    <w:rsid w:val="00D4563E"/>
    <w:rsid w:val="00D45D09"/>
    <w:rsid w:val="00D46681"/>
    <w:rsid w:val="00D50626"/>
    <w:rsid w:val="00D50926"/>
    <w:rsid w:val="00D510C1"/>
    <w:rsid w:val="00D515E0"/>
    <w:rsid w:val="00D51C49"/>
    <w:rsid w:val="00D5224F"/>
    <w:rsid w:val="00D52E42"/>
    <w:rsid w:val="00D52ECD"/>
    <w:rsid w:val="00D53625"/>
    <w:rsid w:val="00D54E1C"/>
    <w:rsid w:val="00D57312"/>
    <w:rsid w:val="00D5739E"/>
    <w:rsid w:val="00D602CB"/>
    <w:rsid w:val="00D61573"/>
    <w:rsid w:val="00D63279"/>
    <w:rsid w:val="00D6396F"/>
    <w:rsid w:val="00D63A57"/>
    <w:rsid w:val="00D63C62"/>
    <w:rsid w:val="00D63EA8"/>
    <w:rsid w:val="00D64CB5"/>
    <w:rsid w:val="00D65033"/>
    <w:rsid w:val="00D65994"/>
    <w:rsid w:val="00D66AE5"/>
    <w:rsid w:val="00D67F42"/>
    <w:rsid w:val="00D71653"/>
    <w:rsid w:val="00D71D79"/>
    <w:rsid w:val="00D72C6E"/>
    <w:rsid w:val="00D732A6"/>
    <w:rsid w:val="00D734F7"/>
    <w:rsid w:val="00D7375A"/>
    <w:rsid w:val="00D7398D"/>
    <w:rsid w:val="00D740E0"/>
    <w:rsid w:val="00D744AF"/>
    <w:rsid w:val="00D74DE9"/>
    <w:rsid w:val="00D766EC"/>
    <w:rsid w:val="00D76A84"/>
    <w:rsid w:val="00D76E73"/>
    <w:rsid w:val="00D77302"/>
    <w:rsid w:val="00D7779A"/>
    <w:rsid w:val="00D80077"/>
    <w:rsid w:val="00D801D5"/>
    <w:rsid w:val="00D802E1"/>
    <w:rsid w:val="00D80343"/>
    <w:rsid w:val="00D80719"/>
    <w:rsid w:val="00D8081F"/>
    <w:rsid w:val="00D813AB"/>
    <w:rsid w:val="00D828AD"/>
    <w:rsid w:val="00D829F5"/>
    <w:rsid w:val="00D83D4D"/>
    <w:rsid w:val="00D85CD5"/>
    <w:rsid w:val="00D85F05"/>
    <w:rsid w:val="00D861C0"/>
    <w:rsid w:val="00D86F97"/>
    <w:rsid w:val="00D90DFC"/>
    <w:rsid w:val="00D90F79"/>
    <w:rsid w:val="00D90F7F"/>
    <w:rsid w:val="00D90FCF"/>
    <w:rsid w:val="00D91B27"/>
    <w:rsid w:val="00D91E10"/>
    <w:rsid w:val="00D96EFB"/>
    <w:rsid w:val="00D97702"/>
    <w:rsid w:val="00DA02B8"/>
    <w:rsid w:val="00DA2E74"/>
    <w:rsid w:val="00DA4896"/>
    <w:rsid w:val="00DA53EC"/>
    <w:rsid w:val="00DA5E26"/>
    <w:rsid w:val="00DA68CD"/>
    <w:rsid w:val="00DA6A86"/>
    <w:rsid w:val="00DA721A"/>
    <w:rsid w:val="00DA78C0"/>
    <w:rsid w:val="00DB185C"/>
    <w:rsid w:val="00DB2B7A"/>
    <w:rsid w:val="00DB3633"/>
    <w:rsid w:val="00DB3651"/>
    <w:rsid w:val="00DB3EFC"/>
    <w:rsid w:val="00DB47F8"/>
    <w:rsid w:val="00DB49EA"/>
    <w:rsid w:val="00DB55B4"/>
    <w:rsid w:val="00DB5BBC"/>
    <w:rsid w:val="00DB73FC"/>
    <w:rsid w:val="00DB74B6"/>
    <w:rsid w:val="00DC15F9"/>
    <w:rsid w:val="00DC19D9"/>
    <w:rsid w:val="00DC211B"/>
    <w:rsid w:val="00DC2353"/>
    <w:rsid w:val="00DC4E86"/>
    <w:rsid w:val="00DC59D8"/>
    <w:rsid w:val="00DC5FD0"/>
    <w:rsid w:val="00DC7938"/>
    <w:rsid w:val="00DD0E27"/>
    <w:rsid w:val="00DD20E6"/>
    <w:rsid w:val="00DD2359"/>
    <w:rsid w:val="00DD27B0"/>
    <w:rsid w:val="00DD5336"/>
    <w:rsid w:val="00DD55D0"/>
    <w:rsid w:val="00DD5670"/>
    <w:rsid w:val="00DD5903"/>
    <w:rsid w:val="00DD595B"/>
    <w:rsid w:val="00DD680E"/>
    <w:rsid w:val="00DD712B"/>
    <w:rsid w:val="00DE0DB0"/>
    <w:rsid w:val="00DE2385"/>
    <w:rsid w:val="00DE2C4C"/>
    <w:rsid w:val="00DE43E0"/>
    <w:rsid w:val="00DE477B"/>
    <w:rsid w:val="00DE6612"/>
    <w:rsid w:val="00DE754C"/>
    <w:rsid w:val="00DF2FEE"/>
    <w:rsid w:val="00DF3E4B"/>
    <w:rsid w:val="00DF4990"/>
    <w:rsid w:val="00DF7DA3"/>
    <w:rsid w:val="00E006A0"/>
    <w:rsid w:val="00E01476"/>
    <w:rsid w:val="00E0152E"/>
    <w:rsid w:val="00E01715"/>
    <w:rsid w:val="00E038F9"/>
    <w:rsid w:val="00E04CE3"/>
    <w:rsid w:val="00E04D12"/>
    <w:rsid w:val="00E05841"/>
    <w:rsid w:val="00E05F74"/>
    <w:rsid w:val="00E06AE1"/>
    <w:rsid w:val="00E07713"/>
    <w:rsid w:val="00E0778B"/>
    <w:rsid w:val="00E10369"/>
    <w:rsid w:val="00E10E47"/>
    <w:rsid w:val="00E11261"/>
    <w:rsid w:val="00E124E0"/>
    <w:rsid w:val="00E131E4"/>
    <w:rsid w:val="00E1324A"/>
    <w:rsid w:val="00E1418F"/>
    <w:rsid w:val="00E1441F"/>
    <w:rsid w:val="00E15CE8"/>
    <w:rsid w:val="00E1628A"/>
    <w:rsid w:val="00E1634C"/>
    <w:rsid w:val="00E16CD3"/>
    <w:rsid w:val="00E16F4A"/>
    <w:rsid w:val="00E20D56"/>
    <w:rsid w:val="00E23D45"/>
    <w:rsid w:val="00E24F7E"/>
    <w:rsid w:val="00E252C7"/>
    <w:rsid w:val="00E25B8A"/>
    <w:rsid w:val="00E26E6C"/>
    <w:rsid w:val="00E26EB2"/>
    <w:rsid w:val="00E2734B"/>
    <w:rsid w:val="00E27E65"/>
    <w:rsid w:val="00E328D6"/>
    <w:rsid w:val="00E32BC1"/>
    <w:rsid w:val="00E33F64"/>
    <w:rsid w:val="00E3661D"/>
    <w:rsid w:val="00E36760"/>
    <w:rsid w:val="00E37392"/>
    <w:rsid w:val="00E407BE"/>
    <w:rsid w:val="00E40C6C"/>
    <w:rsid w:val="00E40F47"/>
    <w:rsid w:val="00E41650"/>
    <w:rsid w:val="00E41E3C"/>
    <w:rsid w:val="00E42D6E"/>
    <w:rsid w:val="00E42FC5"/>
    <w:rsid w:val="00E43980"/>
    <w:rsid w:val="00E4451D"/>
    <w:rsid w:val="00E44C60"/>
    <w:rsid w:val="00E45605"/>
    <w:rsid w:val="00E45C30"/>
    <w:rsid w:val="00E46465"/>
    <w:rsid w:val="00E47A99"/>
    <w:rsid w:val="00E50613"/>
    <w:rsid w:val="00E50A82"/>
    <w:rsid w:val="00E51249"/>
    <w:rsid w:val="00E5187C"/>
    <w:rsid w:val="00E52426"/>
    <w:rsid w:val="00E53149"/>
    <w:rsid w:val="00E531B0"/>
    <w:rsid w:val="00E53443"/>
    <w:rsid w:val="00E5375F"/>
    <w:rsid w:val="00E6015E"/>
    <w:rsid w:val="00E60789"/>
    <w:rsid w:val="00E60B44"/>
    <w:rsid w:val="00E6169C"/>
    <w:rsid w:val="00E617FB"/>
    <w:rsid w:val="00E61E1F"/>
    <w:rsid w:val="00E6237D"/>
    <w:rsid w:val="00E624E3"/>
    <w:rsid w:val="00E649C9"/>
    <w:rsid w:val="00E64BCC"/>
    <w:rsid w:val="00E66A4B"/>
    <w:rsid w:val="00E67B6E"/>
    <w:rsid w:val="00E67D84"/>
    <w:rsid w:val="00E70763"/>
    <w:rsid w:val="00E70ADB"/>
    <w:rsid w:val="00E72756"/>
    <w:rsid w:val="00E72FFD"/>
    <w:rsid w:val="00E7315E"/>
    <w:rsid w:val="00E7484E"/>
    <w:rsid w:val="00E7578B"/>
    <w:rsid w:val="00E75A23"/>
    <w:rsid w:val="00E75C20"/>
    <w:rsid w:val="00E77F81"/>
    <w:rsid w:val="00E80BCC"/>
    <w:rsid w:val="00E82B00"/>
    <w:rsid w:val="00E82E9D"/>
    <w:rsid w:val="00E8304A"/>
    <w:rsid w:val="00E83A4F"/>
    <w:rsid w:val="00E86321"/>
    <w:rsid w:val="00E8672B"/>
    <w:rsid w:val="00E86818"/>
    <w:rsid w:val="00E86A6F"/>
    <w:rsid w:val="00E86E22"/>
    <w:rsid w:val="00E86EE6"/>
    <w:rsid w:val="00E86F29"/>
    <w:rsid w:val="00E87A58"/>
    <w:rsid w:val="00E9151F"/>
    <w:rsid w:val="00E919B0"/>
    <w:rsid w:val="00E9496C"/>
    <w:rsid w:val="00E952E8"/>
    <w:rsid w:val="00E954B7"/>
    <w:rsid w:val="00E95A54"/>
    <w:rsid w:val="00E96C1E"/>
    <w:rsid w:val="00E976DD"/>
    <w:rsid w:val="00E97708"/>
    <w:rsid w:val="00EA0905"/>
    <w:rsid w:val="00EA0936"/>
    <w:rsid w:val="00EA0984"/>
    <w:rsid w:val="00EA0C19"/>
    <w:rsid w:val="00EA13B4"/>
    <w:rsid w:val="00EA2361"/>
    <w:rsid w:val="00EA2C05"/>
    <w:rsid w:val="00EA2CAB"/>
    <w:rsid w:val="00EA3003"/>
    <w:rsid w:val="00EA3AAF"/>
    <w:rsid w:val="00EA48D5"/>
    <w:rsid w:val="00EA74DC"/>
    <w:rsid w:val="00EA7877"/>
    <w:rsid w:val="00EA788D"/>
    <w:rsid w:val="00EA7A7A"/>
    <w:rsid w:val="00EA7D88"/>
    <w:rsid w:val="00EB3D31"/>
    <w:rsid w:val="00EB4028"/>
    <w:rsid w:val="00EB4787"/>
    <w:rsid w:val="00EB6654"/>
    <w:rsid w:val="00EB6DD1"/>
    <w:rsid w:val="00EB7468"/>
    <w:rsid w:val="00EB7709"/>
    <w:rsid w:val="00EB79C8"/>
    <w:rsid w:val="00EB7E71"/>
    <w:rsid w:val="00EC0B66"/>
    <w:rsid w:val="00EC1A01"/>
    <w:rsid w:val="00EC1EBD"/>
    <w:rsid w:val="00EC1F43"/>
    <w:rsid w:val="00EC2DAB"/>
    <w:rsid w:val="00EC313E"/>
    <w:rsid w:val="00EC366E"/>
    <w:rsid w:val="00EC46F7"/>
    <w:rsid w:val="00EC4E72"/>
    <w:rsid w:val="00EC6B0C"/>
    <w:rsid w:val="00EC737A"/>
    <w:rsid w:val="00ED05F3"/>
    <w:rsid w:val="00ED209C"/>
    <w:rsid w:val="00ED3123"/>
    <w:rsid w:val="00ED349E"/>
    <w:rsid w:val="00ED3A70"/>
    <w:rsid w:val="00ED4339"/>
    <w:rsid w:val="00ED5245"/>
    <w:rsid w:val="00ED6BFB"/>
    <w:rsid w:val="00ED701C"/>
    <w:rsid w:val="00ED7412"/>
    <w:rsid w:val="00ED759B"/>
    <w:rsid w:val="00ED76E7"/>
    <w:rsid w:val="00ED7C8E"/>
    <w:rsid w:val="00EE07F8"/>
    <w:rsid w:val="00EE1694"/>
    <w:rsid w:val="00EE18A5"/>
    <w:rsid w:val="00EE4568"/>
    <w:rsid w:val="00EE53BA"/>
    <w:rsid w:val="00EE5634"/>
    <w:rsid w:val="00EE5A66"/>
    <w:rsid w:val="00EE64A5"/>
    <w:rsid w:val="00EE71CA"/>
    <w:rsid w:val="00EE75DE"/>
    <w:rsid w:val="00EF061C"/>
    <w:rsid w:val="00EF1077"/>
    <w:rsid w:val="00EF1971"/>
    <w:rsid w:val="00EF31C2"/>
    <w:rsid w:val="00EF323F"/>
    <w:rsid w:val="00EF37CE"/>
    <w:rsid w:val="00EF48A3"/>
    <w:rsid w:val="00EF4D5B"/>
    <w:rsid w:val="00EF5678"/>
    <w:rsid w:val="00EF5FFB"/>
    <w:rsid w:val="00F013EA"/>
    <w:rsid w:val="00F03F91"/>
    <w:rsid w:val="00F043BF"/>
    <w:rsid w:val="00F04B31"/>
    <w:rsid w:val="00F05219"/>
    <w:rsid w:val="00F06622"/>
    <w:rsid w:val="00F06B92"/>
    <w:rsid w:val="00F107F7"/>
    <w:rsid w:val="00F10E04"/>
    <w:rsid w:val="00F11944"/>
    <w:rsid w:val="00F11E3E"/>
    <w:rsid w:val="00F11F4C"/>
    <w:rsid w:val="00F12244"/>
    <w:rsid w:val="00F12FAF"/>
    <w:rsid w:val="00F14BA3"/>
    <w:rsid w:val="00F14F54"/>
    <w:rsid w:val="00F1602A"/>
    <w:rsid w:val="00F17C8E"/>
    <w:rsid w:val="00F20FE4"/>
    <w:rsid w:val="00F24A46"/>
    <w:rsid w:val="00F26252"/>
    <w:rsid w:val="00F2681C"/>
    <w:rsid w:val="00F26898"/>
    <w:rsid w:val="00F269A2"/>
    <w:rsid w:val="00F26B42"/>
    <w:rsid w:val="00F272FD"/>
    <w:rsid w:val="00F27C15"/>
    <w:rsid w:val="00F27F76"/>
    <w:rsid w:val="00F3111A"/>
    <w:rsid w:val="00F3166E"/>
    <w:rsid w:val="00F317D9"/>
    <w:rsid w:val="00F32122"/>
    <w:rsid w:val="00F32721"/>
    <w:rsid w:val="00F32F1C"/>
    <w:rsid w:val="00F3430B"/>
    <w:rsid w:val="00F344E0"/>
    <w:rsid w:val="00F356EB"/>
    <w:rsid w:val="00F3590F"/>
    <w:rsid w:val="00F3672F"/>
    <w:rsid w:val="00F37E48"/>
    <w:rsid w:val="00F37F28"/>
    <w:rsid w:val="00F40423"/>
    <w:rsid w:val="00F425C3"/>
    <w:rsid w:val="00F427F9"/>
    <w:rsid w:val="00F42FC8"/>
    <w:rsid w:val="00F43501"/>
    <w:rsid w:val="00F43D2F"/>
    <w:rsid w:val="00F44C88"/>
    <w:rsid w:val="00F46690"/>
    <w:rsid w:val="00F46936"/>
    <w:rsid w:val="00F46AC1"/>
    <w:rsid w:val="00F476BF"/>
    <w:rsid w:val="00F47E5F"/>
    <w:rsid w:val="00F47EB9"/>
    <w:rsid w:val="00F5087F"/>
    <w:rsid w:val="00F51F6A"/>
    <w:rsid w:val="00F53130"/>
    <w:rsid w:val="00F531F4"/>
    <w:rsid w:val="00F5338C"/>
    <w:rsid w:val="00F542E5"/>
    <w:rsid w:val="00F545AD"/>
    <w:rsid w:val="00F549DA"/>
    <w:rsid w:val="00F55B57"/>
    <w:rsid w:val="00F60A79"/>
    <w:rsid w:val="00F60EFA"/>
    <w:rsid w:val="00F61970"/>
    <w:rsid w:val="00F62E7B"/>
    <w:rsid w:val="00F64565"/>
    <w:rsid w:val="00F64F63"/>
    <w:rsid w:val="00F65A55"/>
    <w:rsid w:val="00F66A8C"/>
    <w:rsid w:val="00F676CC"/>
    <w:rsid w:val="00F71CA1"/>
    <w:rsid w:val="00F7235B"/>
    <w:rsid w:val="00F7346F"/>
    <w:rsid w:val="00F7354F"/>
    <w:rsid w:val="00F749B1"/>
    <w:rsid w:val="00F74BA9"/>
    <w:rsid w:val="00F74E39"/>
    <w:rsid w:val="00F7514C"/>
    <w:rsid w:val="00F75C59"/>
    <w:rsid w:val="00F75E1C"/>
    <w:rsid w:val="00F77841"/>
    <w:rsid w:val="00F77931"/>
    <w:rsid w:val="00F77C67"/>
    <w:rsid w:val="00F77FCA"/>
    <w:rsid w:val="00F804E2"/>
    <w:rsid w:val="00F81328"/>
    <w:rsid w:val="00F83454"/>
    <w:rsid w:val="00F83CCC"/>
    <w:rsid w:val="00F83DE3"/>
    <w:rsid w:val="00F84D17"/>
    <w:rsid w:val="00F8633A"/>
    <w:rsid w:val="00F86864"/>
    <w:rsid w:val="00F87F91"/>
    <w:rsid w:val="00F90BB6"/>
    <w:rsid w:val="00F91074"/>
    <w:rsid w:val="00F92337"/>
    <w:rsid w:val="00F92A80"/>
    <w:rsid w:val="00F955F4"/>
    <w:rsid w:val="00F97187"/>
    <w:rsid w:val="00FA02CF"/>
    <w:rsid w:val="00FA0890"/>
    <w:rsid w:val="00FA1B42"/>
    <w:rsid w:val="00FA257C"/>
    <w:rsid w:val="00FA2CF4"/>
    <w:rsid w:val="00FA3056"/>
    <w:rsid w:val="00FA31CD"/>
    <w:rsid w:val="00FA417C"/>
    <w:rsid w:val="00FA4A91"/>
    <w:rsid w:val="00FA4B6A"/>
    <w:rsid w:val="00FA5AD3"/>
    <w:rsid w:val="00FA64E2"/>
    <w:rsid w:val="00FA69FB"/>
    <w:rsid w:val="00FA6D64"/>
    <w:rsid w:val="00FA7374"/>
    <w:rsid w:val="00FB072A"/>
    <w:rsid w:val="00FB0796"/>
    <w:rsid w:val="00FB0E06"/>
    <w:rsid w:val="00FB0F5E"/>
    <w:rsid w:val="00FB197E"/>
    <w:rsid w:val="00FB1FE0"/>
    <w:rsid w:val="00FB2974"/>
    <w:rsid w:val="00FB2985"/>
    <w:rsid w:val="00FB3141"/>
    <w:rsid w:val="00FB3E07"/>
    <w:rsid w:val="00FB4759"/>
    <w:rsid w:val="00FB5DE9"/>
    <w:rsid w:val="00FB601F"/>
    <w:rsid w:val="00FB7C38"/>
    <w:rsid w:val="00FC1731"/>
    <w:rsid w:val="00FC3079"/>
    <w:rsid w:val="00FC387E"/>
    <w:rsid w:val="00FC43AD"/>
    <w:rsid w:val="00FC4621"/>
    <w:rsid w:val="00FC4641"/>
    <w:rsid w:val="00FC4805"/>
    <w:rsid w:val="00FC578B"/>
    <w:rsid w:val="00FC58C7"/>
    <w:rsid w:val="00FC5BBB"/>
    <w:rsid w:val="00FC64D8"/>
    <w:rsid w:val="00FC72A1"/>
    <w:rsid w:val="00FC739B"/>
    <w:rsid w:val="00FC7E26"/>
    <w:rsid w:val="00FD0AD1"/>
    <w:rsid w:val="00FD0F6D"/>
    <w:rsid w:val="00FD1BC2"/>
    <w:rsid w:val="00FD1E3A"/>
    <w:rsid w:val="00FD21D9"/>
    <w:rsid w:val="00FD29C3"/>
    <w:rsid w:val="00FD32F8"/>
    <w:rsid w:val="00FD359E"/>
    <w:rsid w:val="00FD377B"/>
    <w:rsid w:val="00FD4035"/>
    <w:rsid w:val="00FD47D6"/>
    <w:rsid w:val="00FD6706"/>
    <w:rsid w:val="00FD6B3F"/>
    <w:rsid w:val="00FD6C7C"/>
    <w:rsid w:val="00FD6E6B"/>
    <w:rsid w:val="00FD6E99"/>
    <w:rsid w:val="00FE0622"/>
    <w:rsid w:val="00FE1AB7"/>
    <w:rsid w:val="00FE1D16"/>
    <w:rsid w:val="00FE1DC0"/>
    <w:rsid w:val="00FE22CD"/>
    <w:rsid w:val="00FE387C"/>
    <w:rsid w:val="00FE44DB"/>
    <w:rsid w:val="00FE4ADE"/>
    <w:rsid w:val="00FE4E7E"/>
    <w:rsid w:val="00FE55D6"/>
    <w:rsid w:val="00FE5BE1"/>
    <w:rsid w:val="00FE6157"/>
    <w:rsid w:val="00FE6373"/>
    <w:rsid w:val="00FF0C44"/>
    <w:rsid w:val="00FF0F85"/>
    <w:rsid w:val="00FF3394"/>
    <w:rsid w:val="00FF34C8"/>
    <w:rsid w:val="00FF384A"/>
    <w:rsid w:val="00FF3AD4"/>
    <w:rsid w:val="00FF3B7D"/>
    <w:rsid w:val="00FF3E65"/>
    <w:rsid w:val="00FF4ABE"/>
    <w:rsid w:val="00FF70F4"/>
    <w:rsid w:val="00FF7C93"/>
    <w:rsid w:val="01470D37"/>
    <w:rsid w:val="03175C0E"/>
    <w:rsid w:val="055A4246"/>
    <w:rsid w:val="056221BD"/>
    <w:rsid w:val="05F44B2C"/>
    <w:rsid w:val="08EB1166"/>
    <w:rsid w:val="09A10D8A"/>
    <w:rsid w:val="0BD41096"/>
    <w:rsid w:val="0BEA005E"/>
    <w:rsid w:val="0CAD3DD1"/>
    <w:rsid w:val="0D075AA7"/>
    <w:rsid w:val="0D1B3554"/>
    <w:rsid w:val="0EF27F59"/>
    <w:rsid w:val="0F242EBB"/>
    <w:rsid w:val="10D7206C"/>
    <w:rsid w:val="10F54849"/>
    <w:rsid w:val="11152301"/>
    <w:rsid w:val="119762AE"/>
    <w:rsid w:val="11BD62C8"/>
    <w:rsid w:val="12184440"/>
    <w:rsid w:val="1456046F"/>
    <w:rsid w:val="147A532B"/>
    <w:rsid w:val="157961AD"/>
    <w:rsid w:val="16093F88"/>
    <w:rsid w:val="162D3F47"/>
    <w:rsid w:val="18375D2F"/>
    <w:rsid w:val="18801B6C"/>
    <w:rsid w:val="18EE5AE0"/>
    <w:rsid w:val="192F384A"/>
    <w:rsid w:val="19504232"/>
    <w:rsid w:val="19B50133"/>
    <w:rsid w:val="1A021E5E"/>
    <w:rsid w:val="1A7E3EAB"/>
    <w:rsid w:val="1C693438"/>
    <w:rsid w:val="1DC63622"/>
    <w:rsid w:val="203F743D"/>
    <w:rsid w:val="209D707D"/>
    <w:rsid w:val="20CB15BE"/>
    <w:rsid w:val="20CF1548"/>
    <w:rsid w:val="21FB6008"/>
    <w:rsid w:val="21FB7FC5"/>
    <w:rsid w:val="22C64EAB"/>
    <w:rsid w:val="23472FF5"/>
    <w:rsid w:val="23850E10"/>
    <w:rsid w:val="23B83457"/>
    <w:rsid w:val="240808BA"/>
    <w:rsid w:val="250C6474"/>
    <w:rsid w:val="270E11C3"/>
    <w:rsid w:val="28E810DB"/>
    <w:rsid w:val="2B05123E"/>
    <w:rsid w:val="2B45118C"/>
    <w:rsid w:val="2B894ABF"/>
    <w:rsid w:val="2BEE1CF4"/>
    <w:rsid w:val="2C5E172E"/>
    <w:rsid w:val="2D5048BD"/>
    <w:rsid w:val="2F256CC9"/>
    <w:rsid w:val="309F26DC"/>
    <w:rsid w:val="30D2098C"/>
    <w:rsid w:val="31554CFE"/>
    <w:rsid w:val="32344983"/>
    <w:rsid w:val="331E46A1"/>
    <w:rsid w:val="335737E9"/>
    <w:rsid w:val="33586E10"/>
    <w:rsid w:val="33A4735C"/>
    <w:rsid w:val="34577892"/>
    <w:rsid w:val="365C555C"/>
    <w:rsid w:val="367B134E"/>
    <w:rsid w:val="37C32C7C"/>
    <w:rsid w:val="385A1BFA"/>
    <w:rsid w:val="3B9C6D75"/>
    <w:rsid w:val="3C642BDE"/>
    <w:rsid w:val="3C8F63C6"/>
    <w:rsid w:val="3CFD4BC8"/>
    <w:rsid w:val="3D5C5176"/>
    <w:rsid w:val="3E061CC7"/>
    <w:rsid w:val="3EA23AC2"/>
    <w:rsid w:val="3F4F0031"/>
    <w:rsid w:val="3F9A0FE5"/>
    <w:rsid w:val="403A23BC"/>
    <w:rsid w:val="41793079"/>
    <w:rsid w:val="44E07C59"/>
    <w:rsid w:val="469A445E"/>
    <w:rsid w:val="47906196"/>
    <w:rsid w:val="49DE373D"/>
    <w:rsid w:val="4A466519"/>
    <w:rsid w:val="4AD93E52"/>
    <w:rsid w:val="4C634446"/>
    <w:rsid w:val="4E221CC9"/>
    <w:rsid w:val="4F21036A"/>
    <w:rsid w:val="4F9D3D15"/>
    <w:rsid w:val="4FBB7D03"/>
    <w:rsid w:val="4FF34D79"/>
    <w:rsid w:val="506B295A"/>
    <w:rsid w:val="509C7AAE"/>
    <w:rsid w:val="5171485B"/>
    <w:rsid w:val="52FC6425"/>
    <w:rsid w:val="53EC337F"/>
    <w:rsid w:val="540616C5"/>
    <w:rsid w:val="54AA4379"/>
    <w:rsid w:val="565B3F9A"/>
    <w:rsid w:val="58A906AA"/>
    <w:rsid w:val="58FC4B00"/>
    <w:rsid w:val="5BCB32CD"/>
    <w:rsid w:val="5C5F572E"/>
    <w:rsid w:val="5CAE7BCF"/>
    <w:rsid w:val="60A66DCA"/>
    <w:rsid w:val="60DC30D8"/>
    <w:rsid w:val="636A50FA"/>
    <w:rsid w:val="63962BBD"/>
    <w:rsid w:val="63B94789"/>
    <w:rsid w:val="645C2ED4"/>
    <w:rsid w:val="645C4B5D"/>
    <w:rsid w:val="648F7965"/>
    <w:rsid w:val="659809DE"/>
    <w:rsid w:val="66702B25"/>
    <w:rsid w:val="672A726A"/>
    <w:rsid w:val="67341AE0"/>
    <w:rsid w:val="67AD6132"/>
    <w:rsid w:val="684C6B68"/>
    <w:rsid w:val="68E945C6"/>
    <w:rsid w:val="6908207B"/>
    <w:rsid w:val="69CC30A8"/>
    <w:rsid w:val="6A9A1827"/>
    <w:rsid w:val="6B270C29"/>
    <w:rsid w:val="6D1E0458"/>
    <w:rsid w:val="6D1F53D3"/>
    <w:rsid w:val="6D8B6E19"/>
    <w:rsid w:val="6D9A03C1"/>
    <w:rsid w:val="6E1B5192"/>
    <w:rsid w:val="6E4B636A"/>
    <w:rsid w:val="6E6E5528"/>
    <w:rsid w:val="6E7E3B8C"/>
    <w:rsid w:val="6E854198"/>
    <w:rsid w:val="71186F39"/>
    <w:rsid w:val="71381140"/>
    <w:rsid w:val="71584D8D"/>
    <w:rsid w:val="736E1BB2"/>
    <w:rsid w:val="74AD510A"/>
    <w:rsid w:val="74CA69A4"/>
    <w:rsid w:val="757A5B2C"/>
    <w:rsid w:val="75FB0F43"/>
    <w:rsid w:val="76113891"/>
    <w:rsid w:val="76B8025B"/>
    <w:rsid w:val="774D4AD7"/>
    <w:rsid w:val="77F67CDB"/>
    <w:rsid w:val="799F60E4"/>
    <w:rsid w:val="7A253585"/>
    <w:rsid w:val="7DE509DE"/>
    <w:rsid w:val="7FF01F3E"/>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unhideWhenUsed="0" w:uiPriority="0" w:semiHidden="0" w:name="index 3"/>
    <w:lsdException w:qFormat="1"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nhideWhenUsed="0" w:uiPriority="0" w:semiHidden="0" w:name="caption"/>
    <w:lsdException w:qFormat="1" w:unhideWhenUsed="0" w:uiPriority="99" w:semiHidden="0" w:name="table of figures"/>
    <w:lsdException w:unhideWhenUsed="0" w:uiPriority="0" w:semiHidden="0" w:name="envelope address"/>
    <w:lsdException w:qFormat="1" w:unhideWhenUsed="0" w:uiPriority="0" w:semiHidden="0" w:name="envelope return"/>
    <w:lsdException w:qFormat="1" w:unhideWhenUsed="0" w:uiPriority="99"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99"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99"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iPriority="0"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unhideWhenUsed="0" w:uiPriority="0" w:semiHidden="0" w:name="HTML Typewriter"/>
    <w:lsdException w:qFormat="1" w:unhideWhenUsed="0" w:uiPriority="0" w:semiHidden="0" w:name="HTML Variable"/>
    <w:lsdException w:qFormat="1" w:unhideWhenUsed="0" w:uiPriority="0"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link w:val="84"/>
    <w:qFormat/>
    <w:uiPriority w:val="0"/>
    <w:pPr>
      <w:keepNext/>
      <w:keepLines/>
      <w:spacing w:before="340" w:after="330" w:line="578" w:lineRule="auto"/>
      <w:outlineLvl w:val="0"/>
    </w:pPr>
    <w:rPr>
      <w:b/>
      <w:bCs/>
      <w:kern w:val="44"/>
      <w:sz w:val="44"/>
      <w:szCs w:val="44"/>
    </w:rPr>
  </w:style>
  <w:style w:type="paragraph" w:styleId="5">
    <w:name w:val="heading 2"/>
    <w:basedOn w:val="1"/>
    <w:next w:val="1"/>
    <w:link w:val="85"/>
    <w:qFormat/>
    <w:uiPriority w:val="0"/>
    <w:pPr>
      <w:keepNext/>
      <w:keepLines/>
      <w:spacing w:before="260" w:after="260" w:line="415" w:lineRule="auto"/>
      <w:outlineLvl w:val="1"/>
    </w:pPr>
    <w:rPr>
      <w:rFonts w:ascii="Arial" w:hAnsi="Arial" w:eastAsia="黑体"/>
      <w:b/>
      <w:bCs/>
      <w:sz w:val="32"/>
      <w:szCs w:val="32"/>
    </w:rPr>
  </w:style>
  <w:style w:type="paragraph" w:styleId="6">
    <w:name w:val="heading 3"/>
    <w:basedOn w:val="1"/>
    <w:next w:val="1"/>
    <w:link w:val="86"/>
    <w:qFormat/>
    <w:uiPriority w:val="0"/>
    <w:pPr>
      <w:keepNext/>
      <w:keepLines/>
      <w:spacing w:before="260" w:after="260" w:line="416" w:lineRule="auto"/>
      <w:outlineLvl w:val="2"/>
    </w:pPr>
    <w:rPr>
      <w:b/>
      <w:bCs/>
      <w:sz w:val="32"/>
      <w:szCs w:val="32"/>
    </w:rPr>
  </w:style>
  <w:style w:type="paragraph" w:styleId="7">
    <w:name w:val="heading 4"/>
    <w:basedOn w:val="1"/>
    <w:next w:val="1"/>
    <w:link w:val="87"/>
    <w:qFormat/>
    <w:uiPriority w:val="0"/>
    <w:pPr>
      <w:keepNext/>
      <w:keepLines/>
      <w:spacing w:before="280" w:after="290" w:line="374" w:lineRule="auto"/>
      <w:outlineLvl w:val="3"/>
    </w:pPr>
    <w:rPr>
      <w:rFonts w:ascii="Arial" w:hAnsi="Arial" w:eastAsia="黑体"/>
      <w:b/>
      <w:bCs/>
      <w:sz w:val="28"/>
      <w:szCs w:val="28"/>
    </w:rPr>
  </w:style>
  <w:style w:type="paragraph" w:styleId="8">
    <w:name w:val="heading 5"/>
    <w:next w:val="1"/>
    <w:link w:val="88"/>
    <w:qFormat/>
    <w:uiPriority w:val="0"/>
    <w:pPr>
      <w:keepNext/>
      <w:keepLines/>
      <w:spacing w:before="280" w:after="290" w:line="372" w:lineRule="auto"/>
      <w:outlineLvl w:val="4"/>
    </w:pPr>
    <w:rPr>
      <w:rFonts w:ascii="Times New Roman" w:hAnsi="Times New Roman" w:eastAsia="宋体" w:cs="Times New Roman"/>
      <w:kern w:val="2"/>
      <w:sz w:val="28"/>
      <w:lang w:val="en-US" w:eastAsia="zh-CN" w:bidi="ar-SA"/>
    </w:rPr>
  </w:style>
  <w:style w:type="paragraph" w:styleId="9">
    <w:name w:val="heading 6"/>
    <w:basedOn w:val="1"/>
    <w:next w:val="1"/>
    <w:link w:val="89"/>
    <w:qFormat/>
    <w:uiPriority w:val="0"/>
    <w:pPr>
      <w:keepNext/>
      <w:keepLines/>
      <w:spacing w:before="240" w:after="64" w:line="317" w:lineRule="auto"/>
      <w:outlineLvl w:val="5"/>
    </w:pPr>
    <w:rPr>
      <w:rFonts w:ascii="Arial" w:hAnsi="Arial" w:eastAsia="黑体"/>
      <w:b/>
      <w:sz w:val="24"/>
      <w:szCs w:val="20"/>
    </w:rPr>
  </w:style>
  <w:style w:type="paragraph" w:styleId="10">
    <w:name w:val="heading 7"/>
    <w:basedOn w:val="1"/>
    <w:next w:val="1"/>
    <w:link w:val="90"/>
    <w:qFormat/>
    <w:uiPriority w:val="0"/>
    <w:pPr>
      <w:keepNext/>
      <w:keepLines/>
      <w:spacing w:before="240" w:after="64" w:line="317" w:lineRule="auto"/>
      <w:outlineLvl w:val="6"/>
    </w:pPr>
    <w:rPr>
      <w:b/>
      <w:sz w:val="24"/>
      <w:szCs w:val="20"/>
    </w:rPr>
  </w:style>
  <w:style w:type="paragraph" w:styleId="11">
    <w:name w:val="heading 8"/>
    <w:basedOn w:val="1"/>
    <w:next w:val="1"/>
    <w:link w:val="91"/>
    <w:qFormat/>
    <w:uiPriority w:val="0"/>
    <w:pPr>
      <w:keepNext/>
      <w:keepLines/>
      <w:spacing w:before="240" w:after="64" w:line="317" w:lineRule="auto"/>
      <w:outlineLvl w:val="7"/>
    </w:pPr>
    <w:rPr>
      <w:rFonts w:ascii="Arial" w:hAnsi="Arial" w:eastAsia="黑体"/>
      <w:sz w:val="24"/>
      <w:szCs w:val="20"/>
    </w:rPr>
  </w:style>
  <w:style w:type="paragraph" w:styleId="12">
    <w:name w:val="heading 9"/>
    <w:basedOn w:val="1"/>
    <w:next w:val="1"/>
    <w:link w:val="92"/>
    <w:qFormat/>
    <w:uiPriority w:val="0"/>
    <w:pPr>
      <w:keepNext/>
      <w:keepLines/>
      <w:spacing w:before="240" w:after="64" w:line="317" w:lineRule="auto"/>
      <w:outlineLvl w:val="8"/>
    </w:pPr>
    <w:rPr>
      <w:rFonts w:ascii="Arial" w:hAnsi="Arial" w:eastAsia="黑体"/>
      <w:szCs w:val="20"/>
    </w:rPr>
  </w:style>
  <w:style w:type="character" w:default="1" w:styleId="67">
    <w:name w:val="Default Paragraph Font"/>
    <w:semiHidden/>
    <w:qFormat/>
    <w:uiPriority w:val="0"/>
  </w:style>
  <w:style w:type="table" w:default="1" w:styleId="65">
    <w:name w:val="Normal Table"/>
    <w:semiHidden/>
    <w:qFormat/>
    <w:uiPriority w:val="0"/>
    <w:tblPr>
      <w:tblCellMar>
        <w:top w:w="0" w:type="dxa"/>
        <w:left w:w="108" w:type="dxa"/>
        <w:bottom w:w="0" w:type="dxa"/>
        <w:right w:w="108" w:type="dxa"/>
      </w:tblCellMar>
    </w:tblPr>
  </w:style>
  <w:style w:type="paragraph" w:styleId="2">
    <w:name w:val="Body Text"/>
    <w:basedOn w:val="1"/>
    <w:next w:val="3"/>
    <w:link w:val="83"/>
    <w:qFormat/>
    <w:uiPriority w:val="0"/>
    <w:pPr>
      <w:spacing w:line="360" w:lineRule="auto"/>
    </w:pPr>
    <w:rPr>
      <w:rFonts w:eastAsia="仿宋_GB2312"/>
      <w:sz w:val="23"/>
    </w:rPr>
  </w:style>
  <w:style w:type="paragraph" w:customStyle="1" w:styleId="3">
    <w:name w:val="目录 82"/>
    <w:next w:val="1"/>
    <w:unhideWhenUsed/>
    <w:qFormat/>
    <w:uiPriority w:val="0"/>
    <w:pPr>
      <w:wordWrap w:val="0"/>
      <w:ind w:left="2550"/>
      <w:jc w:val="both"/>
    </w:pPr>
    <w:rPr>
      <w:rFonts w:ascii="Calibri" w:hAnsi="Calibri" w:eastAsia="宋体" w:cs="Times New Roman"/>
      <w:sz w:val="21"/>
      <w:szCs w:val="24"/>
      <w:lang w:val="en-US" w:eastAsia="zh-CN" w:bidi="ar-SA"/>
    </w:rPr>
  </w:style>
  <w:style w:type="paragraph" w:styleId="13">
    <w:name w:val="List 3"/>
    <w:basedOn w:val="1"/>
    <w:qFormat/>
    <w:uiPriority w:val="0"/>
    <w:pPr>
      <w:widowControl/>
      <w:topLinePunct/>
      <w:autoSpaceDE w:val="0"/>
      <w:adjustRightInd w:val="0"/>
      <w:spacing w:line="360" w:lineRule="auto"/>
      <w:ind w:left="100" w:leftChars="400" w:hanging="200" w:hangingChars="200"/>
      <w:jc w:val="left"/>
    </w:pPr>
    <w:rPr>
      <w:rFonts w:ascii="宋体" w:hAnsi="宋体" w:cs="宋体"/>
      <w:kern w:val="0"/>
      <w:sz w:val="24"/>
    </w:rPr>
  </w:style>
  <w:style w:type="paragraph" w:styleId="14">
    <w:name w:val="toc 7"/>
    <w:basedOn w:val="1"/>
    <w:next w:val="1"/>
    <w:qFormat/>
    <w:uiPriority w:val="39"/>
    <w:pPr>
      <w:ind w:left="1260"/>
      <w:jc w:val="left"/>
    </w:pPr>
    <w:rPr>
      <w:sz w:val="18"/>
      <w:szCs w:val="18"/>
    </w:rPr>
  </w:style>
  <w:style w:type="paragraph" w:styleId="15">
    <w:name w:val="List Bullet 4"/>
    <w:basedOn w:val="1"/>
    <w:qFormat/>
    <w:uiPriority w:val="0"/>
    <w:pPr>
      <w:widowControl/>
      <w:tabs>
        <w:tab w:val="left" w:pos="1620"/>
      </w:tabs>
      <w:topLinePunct/>
      <w:autoSpaceDE w:val="0"/>
      <w:adjustRightInd w:val="0"/>
      <w:spacing w:line="360" w:lineRule="auto"/>
      <w:ind w:left="1620" w:hanging="360"/>
      <w:jc w:val="left"/>
    </w:pPr>
    <w:rPr>
      <w:rFonts w:ascii="宋体" w:hAnsi="宋体" w:cs="宋体"/>
      <w:kern w:val="0"/>
      <w:sz w:val="24"/>
    </w:rPr>
  </w:style>
  <w:style w:type="paragraph" w:styleId="16">
    <w:name w:val="List Number"/>
    <w:basedOn w:val="1"/>
    <w:qFormat/>
    <w:uiPriority w:val="0"/>
    <w:pPr>
      <w:widowControl/>
      <w:tabs>
        <w:tab w:val="left" w:pos="1268"/>
      </w:tabs>
      <w:topLinePunct/>
      <w:autoSpaceDE w:val="0"/>
      <w:adjustRightInd w:val="0"/>
      <w:spacing w:line="360" w:lineRule="auto"/>
      <w:ind w:left="1268" w:hanging="360"/>
      <w:jc w:val="left"/>
    </w:pPr>
    <w:rPr>
      <w:rFonts w:ascii="Arial" w:hAnsi="Arial" w:cs="宋体"/>
      <w:kern w:val="0"/>
      <w:sz w:val="24"/>
      <w:szCs w:val="20"/>
    </w:rPr>
  </w:style>
  <w:style w:type="paragraph" w:styleId="17">
    <w:name w:val="Normal Indent"/>
    <w:basedOn w:val="1"/>
    <w:link w:val="93"/>
    <w:qFormat/>
    <w:uiPriority w:val="0"/>
    <w:pPr>
      <w:adjustRightInd w:val="0"/>
      <w:spacing w:line="360" w:lineRule="atLeast"/>
      <w:ind w:firstLine="482"/>
      <w:textAlignment w:val="baseline"/>
    </w:pPr>
    <w:rPr>
      <w:kern w:val="0"/>
      <w:sz w:val="24"/>
    </w:rPr>
  </w:style>
  <w:style w:type="paragraph" w:styleId="18">
    <w:name w:val="caption"/>
    <w:basedOn w:val="1"/>
    <w:next w:val="1"/>
    <w:qFormat/>
    <w:uiPriority w:val="0"/>
    <w:pPr>
      <w:widowControl/>
      <w:jc w:val="left"/>
    </w:pPr>
    <w:rPr>
      <w:rFonts w:ascii="Cambria" w:hAnsi="Cambria" w:eastAsia="黑体" w:cs="宋体"/>
      <w:kern w:val="0"/>
      <w:sz w:val="20"/>
      <w:szCs w:val="20"/>
    </w:rPr>
  </w:style>
  <w:style w:type="paragraph" w:styleId="19">
    <w:name w:val="List Bullet"/>
    <w:basedOn w:val="1"/>
    <w:qFormat/>
    <w:uiPriority w:val="0"/>
    <w:pPr>
      <w:widowControl/>
      <w:tabs>
        <w:tab w:val="left" w:pos="417"/>
      </w:tabs>
      <w:topLinePunct/>
      <w:autoSpaceDE w:val="0"/>
      <w:adjustRightInd w:val="0"/>
      <w:spacing w:line="360" w:lineRule="auto"/>
      <w:ind w:left="57"/>
      <w:jc w:val="left"/>
    </w:pPr>
    <w:rPr>
      <w:rFonts w:ascii="HelveticaNeue LT 55 Roman" w:hAnsi="HelveticaNeue LT 55 Roman" w:eastAsia="Times New Roman" w:cs="宋体"/>
      <w:kern w:val="0"/>
      <w:sz w:val="20"/>
      <w:szCs w:val="20"/>
      <w:lang w:eastAsia="en-US"/>
    </w:rPr>
  </w:style>
  <w:style w:type="paragraph" w:styleId="20">
    <w:name w:val="Document Map"/>
    <w:basedOn w:val="1"/>
    <w:link w:val="94"/>
    <w:qFormat/>
    <w:uiPriority w:val="0"/>
    <w:pPr>
      <w:shd w:val="clear" w:color="auto" w:fill="000080"/>
    </w:pPr>
  </w:style>
  <w:style w:type="paragraph" w:styleId="21">
    <w:name w:val="toa heading"/>
    <w:basedOn w:val="1"/>
    <w:next w:val="1"/>
    <w:qFormat/>
    <w:uiPriority w:val="0"/>
    <w:pPr>
      <w:adjustRightInd w:val="0"/>
      <w:spacing w:line="360" w:lineRule="atLeast"/>
      <w:jc w:val="center"/>
      <w:textAlignment w:val="baseline"/>
    </w:pPr>
    <w:rPr>
      <w:rFonts w:ascii="Arial" w:hAnsi="Arial" w:eastAsia="黑体"/>
      <w:kern w:val="0"/>
      <w:sz w:val="36"/>
      <w:szCs w:val="20"/>
    </w:rPr>
  </w:style>
  <w:style w:type="paragraph" w:styleId="22">
    <w:name w:val="annotation text"/>
    <w:basedOn w:val="1"/>
    <w:link w:val="95"/>
    <w:qFormat/>
    <w:uiPriority w:val="0"/>
    <w:pPr>
      <w:jc w:val="left"/>
    </w:pPr>
  </w:style>
  <w:style w:type="paragraph" w:styleId="23">
    <w:name w:val="Salutation"/>
    <w:basedOn w:val="1"/>
    <w:next w:val="1"/>
    <w:link w:val="96"/>
    <w:qFormat/>
    <w:uiPriority w:val="0"/>
    <w:pPr>
      <w:widowControl/>
      <w:jc w:val="left"/>
    </w:pPr>
    <w:rPr>
      <w:kern w:val="0"/>
      <w:sz w:val="30"/>
      <w:szCs w:val="20"/>
    </w:rPr>
  </w:style>
  <w:style w:type="paragraph" w:styleId="24">
    <w:name w:val="Body Text 3"/>
    <w:basedOn w:val="1"/>
    <w:link w:val="97"/>
    <w:qFormat/>
    <w:uiPriority w:val="0"/>
    <w:pPr>
      <w:spacing w:line="500" w:lineRule="exact"/>
    </w:pPr>
    <w:rPr>
      <w:color w:val="000000"/>
      <w:sz w:val="24"/>
      <w:szCs w:val="20"/>
    </w:rPr>
  </w:style>
  <w:style w:type="paragraph" w:styleId="25">
    <w:name w:val="List Bullet 3"/>
    <w:basedOn w:val="1"/>
    <w:qFormat/>
    <w:uiPriority w:val="0"/>
    <w:pPr>
      <w:widowControl/>
      <w:tabs>
        <w:tab w:val="left" w:pos="1200"/>
      </w:tabs>
      <w:topLinePunct/>
      <w:autoSpaceDE w:val="0"/>
      <w:adjustRightInd w:val="0"/>
      <w:spacing w:line="360" w:lineRule="auto"/>
      <w:ind w:left="1200" w:hanging="360"/>
      <w:jc w:val="left"/>
    </w:pPr>
    <w:rPr>
      <w:rFonts w:ascii="宋体" w:hAnsi="宋体" w:cs="宋体"/>
      <w:kern w:val="0"/>
      <w:sz w:val="24"/>
    </w:rPr>
  </w:style>
  <w:style w:type="paragraph" w:styleId="26">
    <w:name w:val="Body Text Indent"/>
    <w:basedOn w:val="1"/>
    <w:next w:val="27"/>
    <w:link w:val="98"/>
    <w:qFormat/>
    <w:uiPriority w:val="0"/>
    <w:pPr>
      <w:spacing w:line="360" w:lineRule="auto"/>
      <w:ind w:firstLine="500" w:firstLineChars="200"/>
    </w:pPr>
    <w:rPr>
      <w:rFonts w:eastAsia="仿宋_GB2312"/>
      <w:sz w:val="25"/>
    </w:rPr>
  </w:style>
  <w:style w:type="paragraph" w:styleId="27">
    <w:name w:val="envelope return"/>
    <w:basedOn w:val="1"/>
    <w:qFormat/>
    <w:uiPriority w:val="0"/>
    <w:pPr>
      <w:snapToGrid w:val="0"/>
    </w:pPr>
    <w:rPr>
      <w:rFonts w:ascii="Arial" w:hAnsi="Arial"/>
    </w:rPr>
  </w:style>
  <w:style w:type="paragraph" w:styleId="28">
    <w:name w:val="List 2"/>
    <w:basedOn w:val="1"/>
    <w:qFormat/>
    <w:uiPriority w:val="0"/>
    <w:pPr>
      <w:widowControl/>
      <w:topLinePunct/>
      <w:autoSpaceDE w:val="0"/>
      <w:adjustRightInd w:val="0"/>
      <w:spacing w:line="360" w:lineRule="auto"/>
      <w:ind w:left="100" w:leftChars="200" w:hanging="200" w:hangingChars="200"/>
      <w:jc w:val="left"/>
    </w:pPr>
    <w:rPr>
      <w:rFonts w:ascii="宋体" w:hAnsi="宋体" w:cs="宋体"/>
      <w:kern w:val="0"/>
      <w:sz w:val="24"/>
    </w:rPr>
  </w:style>
  <w:style w:type="paragraph" w:styleId="29">
    <w:name w:val="List Continue"/>
    <w:basedOn w:val="1"/>
    <w:qFormat/>
    <w:uiPriority w:val="0"/>
    <w:pPr>
      <w:widowControl/>
      <w:spacing w:after="120" w:line="360" w:lineRule="auto"/>
      <w:ind w:left="420" w:firstLine="200" w:firstLineChars="200"/>
      <w:jc w:val="left"/>
    </w:pPr>
    <w:rPr>
      <w:rFonts w:ascii="宋体" w:hAnsi="宋体" w:eastAsia="华文中宋" w:cs="宋体"/>
      <w:kern w:val="0"/>
      <w:sz w:val="24"/>
      <w:szCs w:val="20"/>
    </w:rPr>
  </w:style>
  <w:style w:type="paragraph" w:styleId="30">
    <w:name w:val="Block Text"/>
    <w:basedOn w:val="1"/>
    <w:qFormat/>
    <w:uiPriority w:val="0"/>
    <w:pPr>
      <w:spacing w:line="360" w:lineRule="auto"/>
      <w:ind w:right="210" w:rightChars="100" w:firstLine="560" w:firstLineChars="200"/>
    </w:pPr>
    <w:rPr>
      <w:rFonts w:ascii="宋体" w:hAnsi="宋体"/>
      <w:color w:val="000000"/>
      <w:spacing w:val="20"/>
      <w:kern w:val="24"/>
      <w:sz w:val="24"/>
      <w:szCs w:val="18"/>
    </w:rPr>
  </w:style>
  <w:style w:type="paragraph" w:styleId="31">
    <w:name w:val="List Bullet 2"/>
    <w:basedOn w:val="1"/>
    <w:qFormat/>
    <w:uiPriority w:val="0"/>
    <w:pPr>
      <w:widowControl/>
      <w:tabs>
        <w:tab w:val="left" w:pos="360"/>
      </w:tabs>
      <w:topLinePunct/>
      <w:autoSpaceDE w:val="0"/>
      <w:adjustRightInd w:val="0"/>
      <w:spacing w:before="120" w:line="360" w:lineRule="auto"/>
      <w:ind w:left="1260" w:firstLine="200"/>
      <w:jc w:val="left"/>
    </w:pPr>
    <w:rPr>
      <w:rFonts w:ascii="Arial" w:hAnsi="Arial" w:cs="宋体"/>
      <w:kern w:val="0"/>
      <w:sz w:val="24"/>
      <w:szCs w:val="21"/>
      <w:lang w:val="en-GB"/>
    </w:rPr>
  </w:style>
  <w:style w:type="paragraph" w:styleId="32">
    <w:name w:val="index 4"/>
    <w:basedOn w:val="1"/>
    <w:next w:val="1"/>
    <w:qFormat/>
    <w:uiPriority w:val="0"/>
    <w:pPr>
      <w:widowControl/>
      <w:ind w:left="600" w:leftChars="600"/>
      <w:jc w:val="left"/>
    </w:pPr>
    <w:rPr>
      <w:rFonts w:ascii="宋体" w:hAnsi="宋体" w:cs="宋体"/>
      <w:kern w:val="0"/>
      <w:sz w:val="24"/>
    </w:rPr>
  </w:style>
  <w:style w:type="paragraph" w:styleId="33">
    <w:name w:val="toc 5"/>
    <w:basedOn w:val="1"/>
    <w:next w:val="1"/>
    <w:qFormat/>
    <w:uiPriority w:val="39"/>
    <w:pPr>
      <w:ind w:left="840"/>
      <w:jc w:val="left"/>
    </w:pPr>
    <w:rPr>
      <w:sz w:val="18"/>
      <w:szCs w:val="18"/>
    </w:rPr>
  </w:style>
  <w:style w:type="paragraph" w:styleId="34">
    <w:name w:val="toc 3"/>
    <w:basedOn w:val="1"/>
    <w:next w:val="1"/>
    <w:qFormat/>
    <w:uiPriority w:val="0"/>
    <w:pPr>
      <w:ind w:left="840" w:leftChars="400"/>
    </w:pPr>
    <w:rPr>
      <w:rFonts w:eastAsia="仿宋_GB2312"/>
      <w:sz w:val="28"/>
    </w:rPr>
  </w:style>
  <w:style w:type="paragraph" w:styleId="35">
    <w:name w:val="Plain Text"/>
    <w:basedOn w:val="1"/>
    <w:link w:val="99"/>
    <w:qFormat/>
    <w:uiPriority w:val="0"/>
    <w:rPr>
      <w:rFonts w:ascii="宋体" w:hAnsi="Courier New"/>
      <w:szCs w:val="21"/>
    </w:rPr>
  </w:style>
  <w:style w:type="paragraph" w:styleId="36">
    <w:name w:val="toc 8"/>
    <w:basedOn w:val="1"/>
    <w:next w:val="1"/>
    <w:qFormat/>
    <w:uiPriority w:val="39"/>
    <w:pPr>
      <w:ind w:left="1470"/>
      <w:jc w:val="left"/>
    </w:pPr>
    <w:rPr>
      <w:sz w:val="18"/>
      <w:szCs w:val="18"/>
    </w:rPr>
  </w:style>
  <w:style w:type="paragraph" w:styleId="37">
    <w:name w:val="Date"/>
    <w:basedOn w:val="1"/>
    <w:next w:val="1"/>
    <w:link w:val="100"/>
    <w:qFormat/>
    <w:uiPriority w:val="0"/>
    <w:pPr>
      <w:ind w:left="100" w:leftChars="2500"/>
    </w:pPr>
  </w:style>
  <w:style w:type="paragraph" w:styleId="38">
    <w:name w:val="Body Text Indent 2"/>
    <w:basedOn w:val="1"/>
    <w:link w:val="101"/>
    <w:qFormat/>
    <w:uiPriority w:val="0"/>
    <w:pPr>
      <w:widowControl/>
      <w:tabs>
        <w:tab w:val="left" w:pos="0"/>
        <w:tab w:val="left" w:pos="993"/>
        <w:tab w:val="left" w:pos="1134"/>
      </w:tabs>
      <w:spacing w:line="500" w:lineRule="exact"/>
      <w:ind w:firstLine="851"/>
    </w:pPr>
    <w:rPr>
      <w:rFonts w:ascii="楷体_GB2312" w:eastAsia="楷体_GB2312"/>
      <w:b/>
      <w:spacing w:val="-24"/>
      <w:kern w:val="0"/>
      <w:sz w:val="28"/>
      <w:szCs w:val="20"/>
    </w:rPr>
  </w:style>
  <w:style w:type="paragraph" w:styleId="39">
    <w:name w:val="Balloon Text"/>
    <w:basedOn w:val="1"/>
    <w:link w:val="102"/>
    <w:qFormat/>
    <w:uiPriority w:val="0"/>
    <w:rPr>
      <w:sz w:val="18"/>
      <w:szCs w:val="18"/>
    </w:rPr>
  </w:style>
  <w:style w:type="paragraph" w:styleId="40">
    <w:name w:val="footer"/>
    <w:basedOn w:val="1"/>
    <w:link w:val="103"/>
    <w:qFormat/>
    <w:uiPriority w:val="99"/>
    <w:pPr>
      <w:tabs>
        <w:tab w:val="center" w:pos="4153"/>
        <w:tab w:val="right" w:pos="8306"/>
      </w:tabs>
      <w:snapToGrid w:val="0"/>
      <w:jc w:val="left"/>
    </w:pPr>
    <w:rPr>
      <w:sz w:val="18"/>
    </w:rPr>
  </w:style>
  <w:style w:type="paragraph" w:styleId="41">
    <w:name w:val="header"/>
    <w:basedOn w:val="1"/>
    <w:link w:val="104"/>
    <w:qFormat/>
    <w:uiPriority w:val="0"/>
    <w:pPr>
      <w:pBdr>
        <w:bottom w:val="single" w:color="auto" w:sz="6" w:space="1"/>
      </w:pBdr>
      <w:tabs>
        <w:tab w:val="center" w:pos="4153"/>
        <w:tab w:val="right" w:pos="8306"/>
      </w:tabs>
      <w:snapToGrid w:val="0"/>
      <w:jc w:val="center"/>
    </w:pPr>
    <w:rPr>
      <w:sz w:val="18"/>
      <w:szCs w:val="18"/>
    </w:rPr>
  </w:style>
  <w:style w:type="paragraph" w:styleId="42">
    <w:name w:val="toc 1"/>
    <w:basedOn w:val="1"/>
    <w:next w:val="1"/>
    <w:qFormat/>
    <w:uiPriority w:val="0"/>
    <w:pPr>
      <w:tabs>
        <w:tab w:val="right" w:leader="dot" w:pos="9530"/>
      </w:tabs>
    </w:pPr>
    <w:rPr>
      <w:sz w:val="24"/>
    </w:rPr>
  </w:style>
  <w:style w:type="paragraph" w:styleId="43">
    <w:name w:val="toc 4"/>
    <w:basedOn w:val="1"/>
    <w:next w:val="1"/>
    <w:qFormat/>
    <w:uiPriority w:val="39"/>
    <w:pPr>
      <w:ind w:left="630"/>
      <w:jc w:val="left"/>
    </w:pPr>
    <w:rPr>
      <w:sz w:val="18"/>
      <w:szCs w:val="18"/>
    </w:rPr>
  </w:style>
  <w:style w:type="paragraph" w:styleId="44">
    <w:name w:val="index heading"/>
    <w:basedOn w:val="45"/>
    <w:next w:val="46"/>
    <w:qFormat/>
    <w:uiPriority w:val="0"/>
    <w:pPr>
      <w:keepLines w:val="0"/>
      <w:spacing w:before="440"/>
    </w:pPr>
    <w:rPr>
      <w:b/>
      <w:caps/>
      <w:spacing w:val="0"/>
      <w:kern w:val="0"/>
      <w:sz w:val="24"/>
    </w:rPr>
  </w:style>
  <w:style w:type="paragraph" w:customStyle="1" w:styleId="45">
    <w:name w:val="Heading Base"/>
    <w:basedOn w:val="1"/>
    <w:next w:val="2"/>
    <w:qFormat/>
    <w:uiPriority w:val="0"/>
    <w:pPr>
      <w:keepNext/>
      <w:keepLines/>
      <w:widowControl/>
      <w:spacing w:before="140" w:line="220" w:lineRule="atLeast"/>
      <w:ind w:firstLine="200" w:firstLineChars="200"/>
      <w:jc w:val="left"/>
    </w:pPr>
    <w:rPr>
      <w:rFonts w:ascii="Plotter" w:hAnsi="Plotter" w:eastAsia="楷体_GB2312" w:cs="宋体"/>
      <w:spacing w:val="-4"/>
      <w:kern w:val="28"/>
      <w:sz w:val="22"/>
      <w:szCs w:val="20"/>
    </w:rPr>
  </w:style>
  <w:style w:type="paragraph" w:styleId="46">
    <w:name w:val="index 1"/>
    <w:basedOn w:val="1"/>
    <w:next w:val="1"/>
    <w:qFormat/>
    <w:uiPriority w:val="0"/>
    <w:pPr>
      <w:widowControl/>
      <w:jc w:val="left"/>
    </w:pPr>
    <w:rPr>
      <w:rFonts w:ascii="宋体" w:hAnsi="宋体" w:cs="宋体"/>
      <w:kern w:val="0"/>
      <w:sz w:val="24"/>
    </w:rPr>
  </w:style>
  <w:style w:type="paragraph" w:styleId="47">
    <w:name w:val="Subtitle"/>
    <w:basedOn w:val="1"/>
    <w:next w:val="1"/>
    <w:link w:val="105"/>
    <w:qFormat/>
    <w:uiPriority w:val="0"/>
    <w:pPr>
      <w:widowControl/>
      <w:spacing w:before="240" w:after="60" w:line="312" w:lineRule="auto"/>
      <w:jc w:val="center"/>
      <w:outlineLvl w:val="1"/>
    </w:pPr>
    <w:rPr>
      <w:rFonts w:ascii="Cambria" w:hAnsi="Cambria"/>
      <w:b/>
      <w:bCs/>
      <w:kern w:val="28"/>
      <w:sz w:val="32"/>
      <w:szCs w:val="32"/>
    </w:rPr>
  </w:style>
  <w:style w:type="paragraph" w:styleId="48">
    <w:name w:val="List"/>
    <w:basedOn w:val="1"/>
    <w:qFormat/>
    <w:uiPriority w:val="0"/>
    <w:pPr>
      <w:widowControl/>
      <w:topLinePunct/>
      <w:autoSpaceDE w:val="0"/>
      <w:adjustRightInd w:val="0"/>
      <w:spacing w:line="360" w:lineRule="auto"/>
      <w:ind w:left="200" w:hanging="200" w:hangingChars="200"/>
      <w:jc w:val="left"/>
    </w:pPr>
    <w:rPr>
      <w:rFonts w:ascii="宋体" w:hAnsi="宋体" w:cs="宋体"/>
      <w:kern w:val="0"/>
      <w:sz w:val="24"/>
    </w:rPr>
  </w:style>
  <w:style w:type="paragraph" w:styleId="49">
    <w:name w:val="footnote text"/>
    <w:basedOn w:val="1"/>
    <w:link w:val="106"/>
    <w:qFormat/>
    <w:uiPriority w:val="0"/>
    <w:pPr>
      <w:widowControl/>
      <w:adjustRightInd w:val="0"/>
      <w:spacing w:line="312" w:lineRule="atLeast"/>
      <w:jc w:val="left"/>
      <w:textAlignment w:val="baseline"/>
    </w:pPr>
    <w:rPr>
      <w:kern w:val="0"/>
      <w:sz w:val="18"/>
      <w:szCs w:val="20"/>
    </w:rPr>
  </w:style>
  <w:style w:type="paragraph" w:styleId="50">
    <w:name w:val="toc 6"/>
    <w:basedOn w:val="1"/>
    <w:next w:val="1"/>
    <w:qFormat/>
    <w:uiPriority w:val="39"/>
    <w:pPr>
      <w:ind w:left="1050"/>
      <w:jc w:val="left"/>
    </w:pPr>
    <w:rPr>
      <w:sz w:val="18"/>
      <w:szCs w:val="18"/>
    </w:rPr>
  </w:style>
  <w:style w:type="paragraph" w:styleId="51">
    <w:name w:val="List 5"/>
    <w:basedOn w:val="1"/>
    <w:qFormat/>
    <w:uiPriority w:val="0"/>
    <w:pPr>
      <w:widowControl/>
      <w:topLinePunct/>
      <w:autoSpaceDE w:val="0"/>
      <w:adjustRightInd w:val="0"/>
      <w:spacing w:line="360" w:lineRule="auto"/>
      <w:ind w:left="100" w:leftChars="800" w:hanging="200" w:hangingChars="200"/>
      <w:jc w:val="left"/>
    </w:pPr>
    <w:rPr>
      <w:rFonts w:ascii="宋体" w:hAnsi="宋体" w:cs="宋体"/>
      <w:kern w:val="0"/>
      <w:sz w:val="24"/>
    </w:rPr>
  </w:style>
  <w:style w:type="paragraph" w:styleId="52">
    <w:name w:val="Body Text Indent 3"/>
    <w:basedOn w:val="1"/>
    <w:link w:val="107"/>
    <w:qFormat/>
    <w:uiPriority w:val="0"/>
    <w:pPr>
      <w:spacing w:line="620" w:lineRule="exact"/>
      <w:ind w:firstLine="570"/>
    </w:pPr>
    <w:rPr>
      <w:rFonts w:ascii="宋体"/>
      <w:sz w:val="24"/>
      <w:szCs w:val="20"/>
    </w:rPr>
  </w:style>
  <w:style w:type="paragraph" w:styleId="53">
    <w:name w:val="table of figures"/>
    <w:basedOn w:val="1"/>
    <w:next w:val="1"/>
    <w:qFormat/>
    <w:uiPriority w:val="99"/>
    <w:pPr>
      <w:ind w:left="200" w:leftChars="200" w:hanging="200" w:hangingChars="200"/>
    </w:pPr>
  </w:style>
  <w:style w:type="paragraph" w:styleId="54">
    <w:name w:val="toc 2"/>
    <w:basedOn w:val="1"/>
    <w:next w:val="1"/>
    <w:qFormat/>
    <w:uiPriority w:val="0"/>
    <w:pPr>
      <w:tabs>
        <w:tab w:val="right" w:leader="dot" w:pos="9187"/>
      </w:tabs>
      <w:ind w:left="420" w:leftChars="200"/>
    </w:pPr>
    <w:rPr>
      <w:rFonts w:eastAsia="仿宋_GB2312"/>
      <w:sz w:val="28"/>
    </w:rPr>
  </w:style>
  <w:style w:type="paragraph" w:styleId="55">
    <w:name w:val="toc 9"/>
    <w:basedOn w:val="1"/>
    <w:next w:val="1"/>
    <w:qFormat/>
    <w:uiPriority w:val="39"/>
    <w:pPr>
      <w:ind w:left="1680"/>
      <w:jc w:val="left"/>
    </w:pPr>
    <w:rPr>
      <w:sz w:val="18"/>
      <w:szCs w:val="18"/>
    </w:rPr>
  </w:style>
  <w:style w:type="paragraph" w:styleId="56">
    <w:name w:val="Body Text 2"/>
    <w:basedOn w:val="1"/>
    <w:link w:val="108"/>
    <w:qFormat/>
    <w:uiPriority w:val="0"/>
    <w:pPr>
      <w:tabs>
        <w:tab w:val="left" w:pos="851"/>
      </w:tabs>
      <w:spacing w:line="320" w:lineRule="exact"/>
      <w:ind w:right="-108"/>
      <w:jc w:val="center"/>
    </w:pPr>
    <w:rPr>
      <w:sz w:val="24"/>
      <w:szCs w:val="20"/>
    </w:rPr>
  </w:style>
  <w:style w:type="paragraph" w:styleId="57">
    <w:name w:val="List 4"/>
    <w:basedOn w:val="1"/>
    <w:qFormat/>
    <w:uiPriority w:val="0"/>
    <w:pPr>
      <w:widowControl/>
      <w:topLinePunct/>
      <w:autoSpaceDE w:val="0"/>
      <w:adjustRightInd w:val="0"/>
      <w:spacing w:line="360" w:lineRule="auto"/>
      <w:ind w:left="100" w:leftChars="600" w:hanging="200" w:hangingChars="200"/>
      <w:jc w:val="left"/>
    </w:pPr>
    <w:rPr>
      <w:rFonts w:ascii="宋体" w:hAnsi="宋体" w:cs="宋体"/>
      <w:kern w:val="0"/>
      <w:sz w:val="24"/>
    </w:rPr>
  </w:style>
  <w:style w:type="paragraph" w:styleId="58">
    <w:name w:val="List Continue 2"/>
    <w:basedOn w:val="1"/>
    <w:qFormat/>
    <w:uiPriority w:val="99"/>
    <w:pPr>
      <w:widowControl/>
      <w:spacing w:after="120" w:line="360" w:lineRule="auto"/>
      <w:ind w:left="840" w:firstLine="200" w:firstLineChars="200"/>
      <w:jc w:val="left"/>
    </w:pPr>
    <w:rPr>
      <w:rFonts w:ascii="宋体" w:hAnsi="宋体" w:eastAsia="华文中宋" w:cs="宋体"/>
      <w:kern w:val="0"/>
      <w:sz w:val="24"/>
      <w:szCs w:val="20"/>
    </w:rPr>
  </w:style>
  <w:style w:type="paragraph" w:styleId="59">
    <w:name w:val="HTML Preformatted"/>
    <w:basedOn w:val="1"/>
    <w:link w:val="109"/>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200" w:firstLineChars="200"/>
      <w:jc w:val="left"/>
    </w:pPr>
    <w:rPr>
      <w:rFonts w:ascii="黑体" w:hAnsi="Courier New" w:eastAsia="黑体"/>
      <w:kern w:val="0"/>
      <w:sz w:val="20"/>
      <w:szCs w:val="20"/>
    </w:rPr>
  </w:style>
  <w:style w:type="paragraph" w:styleId="60">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61">
    <w:name w:val="Title"/>
    <w:basedOn w:val="1"/>
    <w:next w:val="1"/>
    <w:link w:val="110"/>
    <w:qFormat/>
    <w:uiPriority w:val="0"/>
    <w:pPr>
      <w:widowControl/>
      <w:spacing w:before="240" w:after="60"/>
      <w:jc w:val="center"/>
      <w:outlineLvl w:val="0"/>
    </w:pPr>
    <w:rPr>
      <w:rFonts w:ascii="Cambria" w:hAnsi="Cambria"/>
      <w:b/>
      <w:bCs/>
      <w:kern w:val="0"/>
      <w:sz w:val="32"/>
      <w:szCs w:val="32"/>
    </w:rPr>
  </w:style>
  <w:style w:type="paragraph" w:styleId="62">
    <w:name w:val="annotation subject"/>
    <w:basedOn w:val="22"/>
    <w:next w:val="22"/>
    <w:link w:val="111"/>
    <w:qFormat/>
    <w:uiPriority w:val="0"/>
    <w:rPr>
      <w:b/>
      <w:bCs/>
    </w:rPr>
  </w:style>
  <w:style w:type="paragraph" w:styleId="63">
    <w:name w:val="Body Text First Indent"/>
    <w:basedOn w:val="2"/>
    <w:link w:val="112"/>
    <w:qFormat/>
    <w:uiPriority w:val="0"/>
    <w:pPr>
      <w:widowControl/>
      <w:topLinePunct/>
      <w:autoSpaceDE w:val="0"/>
      <w:adjustRightInd w:val="0"/>
      <w:spacing w:after="120"/>
      <w:ind w:firstLine="420" w:firstLineChars="100"/>
    </w:pPr>
    <w:rPr>
      <w:rFonts w:ascii="Verdana" w:hAnsi="Verdana" w:eastAsia="宋体"/>
      <w:b/>
      <w:bCs/>
      <w:kern w:val="0"/>
      <w:sz w:val="32"/>
      <w:szCs w:val="32"/>
    </w:rPr>
  </w:style>
  <w:style w:type="paragraph" w:styleId="64">
    <w:name w:val="Body Text First Indent 2"/>
    <w:basedOn w:val="26"/>
    <w:link w:val="113"/>
    <w:qFormat/>
    <w:uiPriority w:val="99"/>
    <w:pPr>
      <w:widowControl/>
      <w:spacing w:after="120" w:line="240" w:lineRule="auto"/>
      <w:ind w:left="420" w:leftChars="200" w:firstLine="420"/>
      <w:jc w:val="left"/>
    </w:pPr>
    <w:rPr>
      <w:rFonts w:ascii="宋体" w:hAnsi="宋体"/>
    </w:rPr>
  </w:style>
  <w:style w:type="table" w:styleId="66">
    <w:name w:val="Table Grid"/>
    <w:basedOn w:val="65"/>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68">
    <w:name w:val="Strong"/>
    <w:qFormat/>
    <w:uiPriority w:val="22"/>
    <w:rPr>
      <w:b/>
    </w:rPr>
  </w:style>
  <w:style w:type="character" w:styleId="69">
    <w:name w:val="page number"/>
    <w:qFormat/>
    <w:uiPriority w:val="0"/>
  </w:style>
  <w:style w:type="character" w:styleId="70">
    <w:name w:val="FollowedHyperlink"/>
    <w:qFormat/>
    <w:uiPriority w:val="0"/>
    <w:rPr>
      <w:color w:val="800080"/>
      <w:u w:val="single"/>
    </w:rPr>
  </w:style>
  <w:style w:type="character" w:styleId="71">
    <w:name w:val="Emphasis"/>
    <w:qFormat/>
    <w:uiPriority w:val="0"/>
    <w:rPr>
      <w:i/>
      <w:iCs/>
    </w:rPr>
  </w:style>
  <w:style w:type="character" w:styleId="72">
    <w:name w:val="line number"/>
    <w:qFormat/>
    <w:uiPriority w:val="0"/>
    <w:rPr>
      <w:sz w:val="18"/>
    </w:rPr>
  </w:style>
  <w:style w:type="character" w:styleId="73">
    <w:name w:val="HTML Definition"/>
    <w:qFormat/>
    <w:uiPriority w:val="0"/>
  </w:style>
  <w:style w:type="character" w:styleId="74">
    <w:name w:val="HTML Acronym"/>
    <w:qFormat/>
    <w:uiPriority w:val="0"/>
    <w:rPr>
      <w:rFonts w:ascii="Verdana" w:hAnsi="Verdana"/>
      <w:kern w:val="0"/>
      <w:sz w:val="20"/>
      <w:lang w:eastAsia="en-US"/>
    </w:rPr>
  </w:style>
  <w:style w:type="character" w:styleId="75">
    <w:name w:val="HTML Variable"/>
    <w:qFormat/>
    <w:uiPriority w:val="0"/>
  </w:style>
  <w:style w:type="character" w:styleId="76">
    <w:name w:val="Hyperlink"/>
    <w:unhideWhenUsed/>
    <w:qFormat/>
    <w:uiPriority w:val="0"/>
    <w:rPr>
      <w:color w:val="0000FF"/>
      <w:u w:val="single"/>
    </w:rPr>
  </w:style>
  <w:style w:type="character" w:styleId="77">
    <w:name w:val="HTML Code"/>
    <w:qFormat/>
    <w:uiPriority w:val="0"/>
    <w:rPr>
      <w:rFonts w:hint="default" w:ascii="monospace" w:hAnsi="monospace" w:eastAsia="monospace" w:cs="monospace"/>
      <w:sz w:val="24"/>
      <w:szCs w:val="24"/>
    </w:rPr>
  </w:style>
  <w:style w:type="character" w:styleId="78">
    <w:name w:val="annotation reference"/>
    <w:qFormat/>
    <w:uiPriority w:val="0"/>
    <w:rPr>
      <w:sz w:val="21"/>
      <w:szCs w:val="21"/>
    </w:rPr>
  </w:style>
  <w:style w:type="character" w:styleId="79">
    <w:name w:val="HTML Cite"/>
    <w:qFormat/>
    <w:uiPriority w:val="0"/>
  </w:style>
  <w:style w:type="character" w:styleId="80">
    <w:name w:val="footnote reference"/>
    <w:qFormat/>
    <w:uiPriority w:val="99"/>
    <w:rPr>
      <w:rFonts w:cs="Times New Roman"/>
      <w:vertAlign w:val="superscript"/>
    </w:rPr>
  </w:style>
  <w:style w:type="character" w:styleId="81">
    <w:name w:val="HTML Keyboard"/>
    <w:qFormat/>
    <w:uiPriority w:val="0"/>
    <w:rPr>
      <w:rFonts w:ascii="monospace" w:hAnsi="monospace" w:eastAsia="monospace" w:cs="monospace"/>
      <w:sz w:val="24"/>
      <w:szCs w:val="24"/>
    </w:rPr>
  </w:style>
  <w:style w:type="character" w:styleId="82">
    <w:name w:val="HTML Sample"/>
    <w:qFormat/>
    <w:uiPriority w:val="0"/>
    <w:rPr>
      <w:rFonts w:hint="default" w:ascii="monospace" w:hAnsi="monospace" w:eastAsia="monospace" w:cs="monospace"/>
      <w:sz w:val="24"/>
      <w:szCs w:val="24"/>
    </w:rPr>
  </w:style>
  <w:style w:type="character" w:customStyle="1" w:styleId="83">
    <w:name w:val="正文文本 Char"/>
    <w:link w:val="2"/>
    <w:qFormat/>
    <w:uiPriority w:val="0"/>
    <w:rPr>
      <w:rFonts w:eastAsia="仿宋_GB2312"/>
      <w:kern w:val="2"/>
      <w:sz w:val="23"/>
      <w:szCs w:val="24"/>
    </w:rPr>
  </w:style>
  <w:style w:type="character" w:customStyle="1" w:styleId="84">
    <w:name w:val="标题 1 Char"/>
    <w:link w:val="4"/>
    <w:qFormat/>
    <w:uiPriority w:val="0"/>
    <w:rPr>
      <w:b/>
      <w:bCs/>
      <w:kern w:val="44"/>
      <w:sz w:val="44"/>
      <w:szCs w:val="44"/>
    </w:rPr>
  </w:style>
  <w:style w:type="character" w:customStyle="1" w:styleId="85">
    <w:name w:val="标题 2 Char"/>
    <w:link w:val="5"/>
    <w:qFormat/>
    <w:uiPriority w:val="0"/>
    <w:rPr>
      <w:rFonts w:ascii="Arial" w:hAnsi="Arial" w:eastAsia="黑体"/>
      <w:b/>
      <w:bCs/>
      <w:kern w:val="2"/>
      <w:sz w:val="32"/>
      <w:szCs w:val="32"/>
    </w:rPr>
  </w:style>
  <w:style w:type="character" w:customStyle="1" w:styleId="86">
    <w:name w:val="标题 3 Char"/>
    <w:link w:val="6"/>
    <w:qFormat/>
    <w:uiPriority w:val="0"/>
    <w:rPr>
      <w:b/>
      <w:bCs/>
      <w:kern w:val="2"/>
      <w:sz w:val="32"/>
      <w:szCs w:val="32"/>
    </w:rPr>
  </w:style>
  <w:style w:type="character" w:customStyle="1" w:styleId="87">
    <w:name w:val="标题 4 Char"/>
    <w:link w:val="7"/>
    <w:qFormat/>
    <w:uiPriority w:val="0"/>
    <w:rPr>
      <w:rFonts w:ascii="Arial" w:hAnsi="Arial" w:eastAsia="黑体"/>
      <w:b/>
      <w:bCs/>
      <w:kern w:val="2"/>
      <w:sz w:val="28"/>
      <w:szCs w:val="28"/>
    </w:rPr>
  </w:style>
  <w:style w:type="character" w:customStyle="1" w:styleId="88">
    <w:name w:val="标题 5 Char"/>
    <w:link w:val="8"/>
    <w:qFormat/>
    <w:uiPriority w:val="0"/>
    <w:rPr>
      <w:kern w:val="2"/>
      <w:sz w:val="28"/>
      <w:lang w:val="en-US" w:eastAsia="zh-CN" w:bidi="ar-SA"/>
    </w:rPr>
  </w:style>
  <w:style w:type="character" w:customStyle="1" w:styleId="89">
    <w:name w:val="标题 6 Char"/>
    <w:link w:val="9"/>
    <w:qFormat/>
    <w:uiPriority w:val="0"/>
    <w:rPr>
      <w:rFonts w:ascii="Arial" w:hAnsi="Arial" w:eastAsia="黑体"/>
      <w:b/>
      <w:kern w:val="2"/>
      <w:sz w:val="24"/>
    </w:rPr>
  </w:style>
  <w:style w:type="character" w:customStyle="1" w:styleId="90">
    <w:name w:val="标题 7 Char"/>
    <w:link w:val="10"/>
    <w:qFormat/>
    <w:uiPriority w:val="0"/>
    <w:rPr>
      <w:b/>
      <w:kern w:val="2"/>
      <w:sz w:val="24"/>
    </w:rPr>
  </w:style>
  <w:style w:type="character" w:customStyle="1" w:styleId="91">
    <w:name w:val="标题 8 Char"/>
    <w:link w:val="11"/>
    <w:qFormat/>
    <w:uiPriority w:val="0"/>
    <w:rPr>
      <w:rFonts w:ascii="Arial" w:hAnsi="Arial" w:eastAsia="黑体"/>
      <w:kern w:val="2"/>
      <w:sz w:val="24"/>
    </w:rPr>
  </w:style>
  <w:style w:type="character" w:customStyle="1" w:styleId="92">
    <w:name w:val="标题 9 Char"/>
    <w:link w:val="12"/>
    <w:qFormat/>
    <w:uiPriority w:val="0"/>
    <w:rPr>
      <w:rFonts w:ascii="Arial" w:hAnsi="Arial" w:eastAsia="黑体"/>
      <w:kern w:val="2"/>
      <w:sz w:val="21"/>
    </w:rPr>
  </w:style>
  <w:style w:type="character" w:customStyle="1" w:styleId="93">
    <w:name w:val="正文缩进 Char"/>
    <w:link w:val="17"/>
    <w:qFormat/>
    <w:uiPriority w:val="0"/>
    <w:rPr>
      <w:rFonts w:eastAsia="宋体"/>
      <w:sz w:val="24"/>
      <w:szCs w:val="24"/>
      <w:lang w:val="en-US" w:eastAsia="zh-CN" w:bidi="ar-SA"/>
    </w:rPr>
  </w:style>
  <w:style w:type="character" w:customStyle="1" w:styleId="94">
    <w:name w:val="文档结构图 Char"/>
    <w:link w:val="20"/>
    <w:qFormat/>
    <w:uiPriority w:val="0"/>
    <w:rPr>
      <w:rFonts w:eastAsia="宋体"/>
      <w:kern w:val="2"/>
      <w:sz w:val="21"/>
      <w:szCs w:val="24"/>
      <w:lang w:val="en-US" w:eastAsia="zh-CN" w:bidi="ar-SA"/>
    </w:rPr>
  </w:style>
  <w:style w:type="character" w:customStyle="1" w:styleId="95">
    <w:name w:val="批注文字 Char"/>
    <w:link w:val="22"/>
    <w:qFormat/>
    <w:uiPriority w:val="0"/>
    <w:rPr>
      <w:kern w:val="2"/>
      <w:sz w:val="21"/>
      <w:szCs w:val="24"/>
    </w:rPr>
  </w:style>
  <w:style w:type="character" w:customStyle="1" w:styleId="96">
    <w:name w:val="称呼 Char"/>
    <w:link w:val="23"/>
    <w:qFormat/>
    <w:uiPriority w:val="0"/>
    <w:rPr>
      <w:sz w:val="30"/>
    </w:rPr>
  </w:style>
  <w:style w:type="character" w:customStyle="1" w:styleId="97">
    <w:name w:val="正文文本 3 Char"/>
    <w:link w:val="24"/>
    <w:qFormat/>
    <w:uiPriority w:val="0"/>
    <w:rPr>
      <w:color w:val="000000"/>
      <w:kern w:val="2"/>
      <w:sz w:val="24"/>
    </w:rPr>
  </w:style>
  <w:style w:type="character" w:customStyle="1" w:styleId="98">
    <w:name w:val="正文文本缩进 Char"/>
    <w:link w:val="26"/>
    <w:qFormat/>
    <w:uiPriority w:val="0"/>
    <w:rPr>
      <w:rFonts w:eastAsia="仿宋_GB2312"/>
      <w:kern w:val="2"/>
      <w:sz w:val="25"/>
      <w:szCs w:val="24"/>
    </w:rPr>
  </w:style>
  <w:style w:type="character" w:customStyle="1" w:styleId="99">
    <w:name w:val="纯文本 Char"/>
    <w:link w:val="35"/>
    <w:qFormat/>
    <w:uiPriority w:val="0"/>
    <w:rPr>
      <w:rFonts w:ascii="宋体" w:hAnsi="Courier New" w:cs="Courier New"/>
      <w:kern w:val="2"/>
      <w:sz w:val="21"/>
      <w:szCs w:val="21"/>
    </w:rPr>
  </w:style>
  <w:style w:type="character" w:customStyle="1" w:styleId="100">
    <w:name w:val="日期 Char"/>
    <w:link w:val="37"/>
    <w:qFormat/>
    <w:uiPriority w:val="0"/>
    <w:rPr>
      <w:kern w:val="2"/>
      <w:sz w:val="21"/>
      <w:szCs w:val="24"/>
    </w:rPr>
  </w:style>
  <w:style w:type="character" w:customStyle="1" w:styleId="101">
    <w:name w:val="正文文本缩进 2 Char"/>
    <w:link w:val="38"/>
    <w:qFormat/>
    <w:uiPriority w:val="0"/>
    <w:rPr>
      <w:rFonts w:ascii="楷体_GB2312" w:eastAsia="楷体_GB2312"/>
      <w:b/>
      <w:spacing w:val="-24"/>
      <w:sz w:val="28"/>
    </w:rPr>
  </w:style>
  <w:style w:type="character" w:customStyle="1" w:styleId="102">
    <w:name w:val="批注框文本 Char"/>
    <w:link w:val="39"/>
    <w:qFormat/>
    <w:uiPriority w:val="0"/>
    <w:rPr>
      <w:rFonts w:eastAsia="宋体"/>
      <w:kern w:val="2"/>
      <w:sz w:val="18"/>
      <w:szCs w:val="18"/>
      <w:lang w:val="en-US" w:eastAsia="zh-CN" w:bidi="ar-SA"/>
    </w:rPr>
  </w:style>
  <w:style w:type="character" w:customStyle="1" w:styleId="103">
    <w:name w:val="页脚 Char"/>
    <w:link w:val="40"/>
    <w:qFormat/>
    <w:uiPriority w:val="99"/>
    <w:rPr>
      <w:rFonts w:eastAsia="宋体"/>
      <w:kern w:val="2"/>
      <w:sz w:val="18"/>
      <w:szCs w:val="24"/>
      <w:lang w:val="en-US" w:eastAsia="zh-CN" w:bidi="ar-SA"/>
    </w:rPr>
  </w:style>
  <w:style w:type="character" w:customStyle="1" w:styleId="104">
    <w:name w:val="页眉 Char"/>
    <w:link w:val="41"/>
    <w:qFormat/>
    <w:uiPriority w:val="0"/>
    <w:rPr>
      <w:kern w:val="2"/>
      <w:sz w:val="18"/>
      <w:szCs w:val="18"/>
    </w:rPr>
  </w:style>
  <w:style w:type="character" w:customStyle="1" w:styleId="105">
    <w:name w:val="副标题 Char"/>
    <w:link w:val="47"/>
    <w:qFormat/>
    <w:uiPriority w:val="0"/>
    <w:rPr>
      <w:rFonts w:ascii="Cambria" w:hAnsi="Cambria"/>
      <w:b/>
      <w:bCs/>
      <w:kern w:val="28"/>
      <w:sz w:val="32"/>
      <w:szCs w:val="32"/>
    </w:rPr>
  </w:style>
  <w:style w:type="character" w:customStyle="1" w:styleId="106">
    <w:name w:val="脚注文本 Char"/>
    <w:link w:val="49"/>
    <w:qFormat/>
    <w:uiPriority w:val="0"/>
    <w:rPr>
      <w:sz w:val="18"/>
    </w:rPr>
  </w:style>
  <w:style w:type="character" w:customStyle="1" w:styleId="107">
    <w:name w:val="正文文本缩进 3 Char"/>
    <w:link w:val="52"/>
    <w:qFormat/>
    <w:uiPriority w:val="0"/>
    <w:rPr>
      <w:rFonts w:ascii="宋体"/>
      <w:kern w:val="2"/>
      <w:sz w:val="24"/>
    </w:rPr>
  </w:style>
  <w:style w:type="character" w:customStyle="1" w:styleId="108">
    <w:name w:val="正文文本 2 Char"/>
    <w:link w:val="56"/>
    <w:qFormat/>
    <w:uiPriority w:val="0"/>
    <w:rPr>
      <w:kern w:val="2"/>
      <w:sz w:val="24"/>
    </w:rPr>
  </w:style>
  <w:style w:type="character" w:customStyle="1" w:styleId="109">
    <w:name w:val="HTML 预设格式 Char"/>
    <w:link w:val="59"/>
    <w:qFormat/>
    <w:uiPriority w:val="0"/>
    <w:rPr>
      <w:rFonts w:ascii="黑体" w:hAnsi="Courier New" w:eastAsia="黑体"/>
    </w:rPr>
  </w:style>
  <w:style w:type="character" w:customStyle="1" w:styleId="110">
    <w:name w:val="标题 Char"/>
    <w:link w:val="61"/>
    <w:qFormat/>
    <w:uiPriority w:val="0"/>
    <w:rPr>
      <w:rFonts w:ascii="Cambria" w:hAnsi="Cambria"/>
      <w:b/>
      <w:bCs/>
      <w:sz w:val="32"/>
      <w:szCs w:val="32"/>
    </w:rPr>
  </w:style>
  <w:style w:type="character" w:customStyle="1" w:styleId="111">
    <w:name w:val="批注主题 Char"/>
    <w:link w:val="62"/>
    <w:qFormat/>
    <w:uiPriority w:val="0"/>
    <w:rPr>
      <w:b/>
      <w:bCs/>
      <w:kern w:val="2"/>
      <w:sz w:val="21"/>
      <w:szCs w:val="24"/>
    </w:rPr>
  </w:style>
  <w:style w:type="character" w:customStyle="1" w:styleId="112">
    <w:name w:val="正文首行缩进 Char"/>
    <w:link w:val="63"/>
    <w:qFormat/>
    <w:uiPriority w:val="0"/>
    <w:rPr>
      <w:rFonts w:ascii="Verdana" w:hAnsi="Verdana"/>
      <w:b/>
      <w:bCs/>
      <w:sz w:val="32"/>
      <w:szCs w:val="32"/>
    </w:rPr>
  </w:style>
  <w:style w:type="character" w:customStyle="1" w:styleId="113">
    <w:name w:val="正文首行缩进 2 Char"/>
    <w:link w:val="64"/>
    <w:qFormat/>
    <w:uiPriority w:val="99"/>
    <w:rPr>
      <w:rFonts w:ascii="宋体" w:hAnsi="宋体" w:eastAsia="仿宋_GB2312"/>
      <w:kern w:val="2"/>
      <w:sz w:val="25"/>
      <w:szCs w:val="24"/>
    </w:rPr>
  </w:style>
  <w:style w:type="character" w:customStyle="1" w:styleId="114">
    <w:name w:val="HTML 预设格式 Char1"/>
    <w:qFormat/>
    <w:uiPriority w:val="0"/>
    <w:rPr>
      <w:rFonts w:ascii="Courier New" w:hAnsi="Courier New" w:cs="Courier New"/>
      <w:kern w:val="0"/>
      <w:sz w:val="20"/>
      <w:lang w:eastAsia="en-US"/>
    </w:rPr>
  </w:style>
  <w:style w:type="character" w:customStyle="1" w:styleId="115">
    <w:name w:val="样式2 Char"/>
    <w:link w:val="116"/>
    <w:qFormat/>
    <w:uiPriority w:val="0"/>
    <w:rPr>
      <w:rFonts w:ascii="Arial" w:hAnsi="Arial" w:eastAsia="黑体"/>
      <w:b/>
      <w:bCs/>
      <w:kern w:val="2"/>
      <w:sz w:val="36"/>
      <w:szCs w:val="32"/>
    </w:rPr>
  </w:style>
  <w:style w:type="paragraph" w:customStyle="1" w:styleId="116">
    <w:name w:val="样式2"/>
    <w:basedOn w:val="5"/>
    <w:next w:val="1"/>
    <w:link w:val="115"/>
    <w:qFormat/>
    <w:uiPriority w:val="0"/>
    <w:pPr>
      <w:spacing w:line="240" w:lineRule="auto"/>
      <w:jc w:val="center"/>
    </w:pPr>
    <w:rPr>
      <w:sz w:val="36"/>
    </w:rPr>
  </w:style>
  <w:style w:type="character" w:customStyle="1" w:styleId="117">
    <w:name w:val="HTML 预设格式 Char Char"/>
    <w:qFormat/>
    <w:uiPriority w:val="0"/>
    <w:rPr>
      <w:rFonts w:ascii="黑体" w:hAnsi="Courier New" w:eastAsia="黑体" w:cs="仿宋体"/>
    </w:rPr>
  </w:style>
  <w:style w:type="character" w:customStyle="1" w:styleId="118">
    <w:name w:val="Char Char3"/>
    <w:qFormat/>
    <w:uiPriority w:val="0"/>
    <w:rPr>
      <w:rFonts w:eastAsia="宋体"/>
      <w:b/>
      <w:bCs/>
      <w:kern w:val="2"/>
      <w:sz w:val="32"/>
      <w:szCs w:val="32"/>
      <w:lang w:val="en-US" w:eastAsia="zh-CN" w:bidi="ar-SA"/>
    </w:rPr>
  </w:style>
  <w:style w:type="character" w:customStyle="1" w:styleId="119">
    <w:name w:val="no42"/>
    <w:qFormat/>
    <w:uiPriority w:val="0"/>
    <w:rPr>
      <w:rFonts w:ascii="Verdana" w:hAnsi="Verdana"/>
      <w:kern w:val="0"/>
      <w:sz w:val="20"/>
      <w:lang w:eastAsia="en-US"/>
    </w:rPr>
  </w:style>
  <w:style w:type="character" w:customStyle="1" w:styleId="120">
    <w:name w:val="Balloon Text Char"/>
    <w:qFormat/>
    <w:uiPriority w:val="0"/>
    <w:rPr>
      <w:sz w:val="18"/>
      <w:lang w:bidi="ar-SA"/>
    </w:rPr>
  </w:style>
  <w:style w:type="character" w:customStyle="1" w:styleId="121">
    <w:name w:val="Char Char91"/>
    <w:qFormat/>
    <w:uiPriority w:val="0"/>
    <w:rPr>
      <w:rFonts w:eastAsia="宋体"/>
      <w:b/>
      <w:bCs/>
      <w:kern w:val="44"/>
      <w:sz w:val="32"/>
      <w:szCs w:val="44"/>
      <w:lang w:val="en-US" w:eastAsia="zh-CN" w:bidi="ar-SA"/>
    </w:rPr>
  </w:style>
  <w:style w:type="character" w:customStyle="1" w:styleId="122">
    <w:name w:val="样式3 Char Char"/>
    <w:qFormat/>
    <w:uiPriority w:val="0"/>
    <w:rPr>
      <w:rFonts w:ascii="Verdana" w:hAnsi="Verdana" w:eastAsia="黑体"/>
      <w:b/>
      <w:bCs/>
      <w:kern w:val="2"/>
      <w:sz w:val="32"/>
      <w:szCs w:val="32"/>
      <w:lang w:val="en-US" w:eastAsia="zh-CN" w:bidi="ar-SA"/>
    </w:rPr>
  </w:style>
  <w:style w:type="character" w:customStyle="1" w:styleId="123">
    <w:name w:val="Char Char24"/>
    <w:qFormat/>
    <w:uiPriority w:val="0"/>
    <w:rPr>
      <w:rFonts w:eastAsia="宋体"/>
      <w:b/>
      <w:bCs/>
      <w:kern w:val="44"/>
      <w:sz w:val="32"/>
      <w:szCs w:val="44"/>
      <w:lang w:val="en-US" w:eastAsia="zh-CN" w:bidi="ar-SA"/>
    </w:rPr>
  </w:style>
  <w:style w:type="character" w:customStyle="1" w:styleId="124">
    <w:name w:val="页脚 Char1"/>
    <w:qFormat/>
    <w:uiPriority w:val="0"/>
    <w:rPr>
      <w:rFonts w:ascii="Verdana" w:hAnsi="Verdana"/>
      <w:kern w:val="2"/>
      <w:sz w:val="18"/>
      <w:szCs w:val="18"/>
      <w:lang w:eastAsia="en-US"/>
    </w:rPr>
  </w:style>
  <w:style w:type="character" w:customStyle="1" w:styleId="125">
    <w:name w:val="Char Char22"/>
    <w:qFormat/>
    <w:uiPriority w:val="0"/>
    <w:rPr>
      <w:rFonts w:ascii="Times New Roman" w:hAnsi="Times New Roman" w:eastAsia="宋体" w:cs="Times New Roman"/>
      <w:b/>
      <w:bCs/>
      <w:kern w:val="44"/>
      <w:sz w:val="32"/>
      <w:szCs w:val="44"/>
    </w:rPr>
  </w:style>
  <w:style w:type="character" w:customStyle="1" w:styleId="126">
    <w:name w:val="标题4 Char Char"/>
    <w:link w:val="127"/>
    <w:qFormat/>
    <w:uiPriority w:val="0"/>
    <w:rPr>
      <w:rFonts w:ascii="Arial" w:hAnsi="Arial"/>
      <w:b/>
      <w:bCs/>
      <w:sz w:val="24"/>
      <w:szCs w:val="32"/>
    </w:rPr>
  </w:style>
  <w:style w:type="paragraph" w:customStyle="1" w:styleId="127">
    <w:name w:val="标题4"/>
    <w:basedOn w:val="5"/>
    <w:next w:val="32"/>
    <w:link w:val="126"/>
    <w:qFormat/>
    <w:uiPriority w:val="0"/>
    <w:pPr>
      <w:widowControl/>
      <w:spacing w:before="60" w:after="60" w:line="413" w:lineRule="auto"/>
      <w:jc w:val="left"/>
    </w:pPr>
    <w:rPr>
      <w:rFonts w:eastAsia="宋体"/>
      <w:kern w:val="0"/>
      <w:sz w:val="24"/>
    </w:rPr>
  </w:style>
  <w:style w:type="character" w:customStyle="1" w:styleId="128">
    <w:name w:val="标题2 Char Char"/>
    <w:link w:val="129"/>
    <w:qFormat/>
    <w:uiPriority w:val="0"/>
    <w:rPr>
      <w:rFonts w:ascii="微软雅黑" w:hAnsi="微软雅黑" w:eastAsia="微软雅黑"/>
      <w:b/>
      <w:bCs/>
      <w:sz w:val="24"/>
      <w:szCs w:val="24"/>
    </w:rPr>
  </w:style>
  <w:style w:type="paragraph" w:customStyle="1" w:styleId="129">
    <w:name w:val="标题2"/>
    <w:basedOn w:val="5"/>
    <w:link w:val="128"/>
    <w:qFormat/>
    <w:uiPriority w:val="0"/>
    <w:pPr>
      <w:widowControl/>
      <w:spacing w:line="416" w:lineRule="auto"/>
      <w:jc w:val="left"/>
    </w:pPr>
    <w:rPr>
      <w:rFonts w:ascii="微软雅黑" w:hAnsi="微软雅黑" w:eastAsia="微软雅黑"/>
      <w:kern w:val="0"/>
      <w:sz w:val="24"/>
      <w:szCs w:val="24"/>
    </w:rPr>
  </w:style>
  <w:style w:type="character" w:customStyle="1" w:styleId="130">
    <w:name w:val="样式3 Char Char Char Char"/>
    <w:qFormat/>
    <w:uiPriority w:val="0"/>
    <w:rPr>
      <w:rFonts w:eastAsia="黑体"/>
      <w:b/>
      <w:bCs/>
      <w:kern w:val="2"/>
      <w:sz w:val="32"/>
      <w:szCs w:val="32"/>
      <w:lang w:val="en-US" w:eastAsia="zh-CN" w:bidi="ar-SA"/>
    </w:rPr>
  </w:style>
  <w:style w:type="character" w:customStyle="1" w:styleId="131">
    <w:name w:val="bds_more3"/>
    <w:qFormat/>
    <w:uiPriority w:val="0"/>
    <w:rPr>
      <w:rFonts w:hint="eastAsia" w:ascii="宋体" w:hAnsi="宋体" w:eastAsia="宋体" w:cs="宋体"/>
    </w:rPr>
  </w:style>
  <w:style w:type="character" w:customStyle="1" w:styleId="132">
    <w:name w:val="超链接_0"/>
    <w:qFormat/>
    <w:uiPriority w:val="99"/>
    <w:rPr>
      <w:rFonts w:ascii="Calibri" w:hAnsi="Calibri" w:cs="Times New Roman"/>
      <w:color w:val="0000FF"/>
      <w:u w:val="single"/>
    </w:rPr>
  </w:style>
  <w:style w:type="character" w:customStyle="1" w:styleId="133">
    <w:name w:val="样式9 Char"/>
    <w:link w:val="134"/>
    <w:qFormat/>
    <w:uiPriority w:val="0"/>
  </w:style>
  <w:style w:type="paragraph" w:customStyle="1" w:styleId="134">
    <w:name w:val="样式9"/>
    <w:basedOn w:val="41"/>
    <w:link w:val="133"/>
    <w:qFormat/>
    <w:uiPriority w:val="0"/>
    <w:pPr>
      <w:widowControl/>
      <w:pBdr>
        <w:bottom w:val="none" w:color="auto" w:sz="0" w:space="0"/>
      </w:pBdr>
    </w:pPr>
    <w:rPr>
      <w:kern w:val="0"/>
      <w:lang w:val="en-US" w:eastAsia="zh-CN"/>
    </w:rPr>
  </w:style>
  <w:style w:type="character" w:customStyle="1" w:styleId="135">
    <w:name w:val="批注文字 Char2"/>
    <w:qFormat/>
    <w:uiPriority w:val="0"/>
    <w:rPr>
      <w:rFonts w:eastAsia="宋体"/>
      <w:kern w:val="2"/>
      <w:sz w:val="21"/>
      <w:szCs w:val="24"/>
      <w:lang w:val="en-US" w:eastAsia="zh-CN" w:bidi="ar-SA"/>
    </w:rPr>
  </w:style>
  <w:style w:type="character" w:customStyle="1" w:styleId="136">
    <w:name w:val="副标题 Char1"/>
    <w:qFormat/>
    <w:uiPriority w:val="0"/>
    <w:rPr>
      <w:rFonts w:hint="default" w:ascii="Cambria" w:hAnsi="Cambria" w:cs="Times New Roman"/>
      <w:b/>
      <w:bCs/>
      <w:kern w:val="28"/>
      <w:sz w:val="32"/>
      <w:szCs w:val="32"/>
    </w:rPr>
  </w:style>
  <w:style w:type="character" w:customStyle="1" w:styleId="137">
    <w:name w:val=" Char Char2"/>
    <w:qFormat/>
    <w:uiPriority w:val="0"/>
    <w:rPr>
      <w:rFonts w:eastAsia="宋体"/>
      <w:sz w:val="24"/>
      <w:szCs w:val="24"/>
      <w:lang w:val="en-US" w:eastAsia="zh-CN" w:bidi="ar-SA"/>
    </w:rPr>
  </w:style>
  <w:style w:type="character" w:customStyle="1" w:styleId="138">
    <w:name w:val="tw4winMark"/>
    <w:qFormat/>
    <w:uiPriority w:val="0"/>
    <w:rPr>
      <w:rFonts w:ascii="Courier New" w:hAnsi="Courier New" w:cs="Courier New"/>
      <w:vanish/>
      <w:color w:val="800080"/>
      <w:vertAlign w:val="subscript"/>
    </w:rPr>
  </w:style>
  <w:style w:type="character" w:customStyle="1" w:styleId="139">
    <w:name w:val="标题 Char1"/>
    <w:qFormat/>
    <w:uiPriority w:val="0"/>
    <w:rPr>
      <w:rFonts w:ascii="Cambria" w:hAnsi="Cambria" w:eastAsia="宋体" w:cs="Times New Roman"/>
      <w:b/>
      <w:bCs/>
      <w:sz w:val="32"/>
      <w:szCs w:val="32"/>
    </w:rPr>
  </w:style>
  <w:style w:type="character" w:customStyle="1" w:styleId="140">
    <w:name w:val="正文缩进 Char1"/>
    <w:qFormat/>
    <w:uiPriority w:val="0"/>
    <w:rPr>
      <w:rFonts w:eastAsia="宋体"/>
      <w:sz w:val="24"/>
      <w:szCs w:val="24"/>
      <w:lang w:val="en-US" w:eastAsia="zh-CN" w:bidi="ar-SA"/>
    </w:rPr>
  </w:style>
  <w:style w:type="character" w:customStyle="1" w:styleId="141">
    <w:name w:val="日期 Char2"/>
    <w:qFormat/>
    <w:uiPriority w:val="0"/>
    <w:rPr>
      <w:rFonts w:eastAsia="Tahoma"/>
      <w:kern w:val="2"/>
      <w:sz w:val="21"/>
      <w:szCs w:val="24"/>
    </w:rPr>
  </w:style>
  <w:style w:type="character" w:customStyle="1" w:styleId="142">
    <w:name w:val="Heading 1 Char"/>
    <w:qFormat/>
    <w:uiPriority w:val="0"/>
    <w:rPr>
      <w:rFonts w:eastAsia="宋体"/>
      <w:b/>
      <w:bCs/>
      <w:kern w:val="44"/>
      <w:sz w:val="32"/>
      <w:szCs w:val="44"/>
      <w:lang w:val="en-US" w:eastAsia="zh-CN" w:bidi="ar-SA"/>
    </w:rPr>
  </w:style>
  <w:style w:type="character" w:customStyle="1" w:styleId="143">
    <w:name w:val="Body Text Indent 3 Char"/>
    <w:qFormat/>
    <w:locked/>
    <w:uiPriority w:val="99"/>
    <w:rPr>
      <w:rFonts w:ascii="Times New Roman" w:hAnsi="Times New Roman" w:eastAsia="宋体"/>
      <w:sz w:val="16"/>
    </w:rPr>
  </w:style>
  <w:style w:type="character" w:customStyle="1" w:styleId="144">
    <w:name w:val="Heading 3 Char"/>
    <w:qFormat/>
    <w:uiPriority w:val="0"/>
    <w:rPr>
      <w:rFonts w:cs="Times New Roman"/>
      <w:b/>
      <w:bCs/>
      <w:kern w:val="2"/>
      <w:sz w:val="32"/>
      <w:szCs w:val="32"/>
    </w:rPr>
  </w:style>
  <w:style w:type="character" w:customStyle="1" w:styleId="145">
    <w:name w:val="sp18"/>
    <w:qFormat/>
    <w:uiPriority w:val="0"/>
    <w:rPr>
      <w:rFonts w:ascii="Verdana" w:hAnsi="Verdana"/>
      <w:kern w:val="0"/>
      <w:sz w:val="20"/>
      <w:lang w:eastAsia="en-US"/>
    </w:rPr>
  </w:style>
  <w:style w:type="character" w:customStyle="1" w:styleId="146">
    <w:name w:val="b1"/>
    <w:qFormat/>
    <w:uiPriority w:val="0"/>
    <w:rPr>
      <w:rFonts w:hint="default" w:ascii="Verdana" w:hAnsi="Verdana"/>
      <w:color w:val="000000"/>
      <w:spacing w:val="320"/>
      <w:kern w:val="0"/>
      <w:sz w:val="26"/>
      <w:szCs w:val="26"/>
      <w:lang w:eastAsia="en-US"/>
    </w:rPr>
  </w:style>
  <w:style w:type="character" w:customStyle="1" w:styleId="147">
    <w:name w:val="Char Char15"/>
    <w:qFormat/>
    <w:locked/>
    <w:uiPriority w:val="0"/>
    <w:rPr>
      <w:rFonts w:ascii="Arial" w:hAnsi="Arial" w:eastAsia="黑体"/>
      <w:kern w:val="2"/>
      <w:sz w:val="21"/>
      <w:lang w:val="en-US" w:eastAsia="zh-CN" w:bidi="ar-SA"/>
    </w:rPr>
  </w:style>
  <w:style w:type="character" w:customStyle="1" w:styleId="148">
    <w:name w:val="纯文本 Char1"/>
    <w:qFormat/>
    <w:uiPriority w:val="0"/>
    <w:rPr>
      <w:rFonts w:ascii="宋体" w:hAnsi="Courier New" w:eastAsia="宋体" w:cs="Courier New"/>
      <w:szCs w:val="21"/>
    </w:rPr>
  </w:style>
  <w:style w:type="character" w:customStyle="1" w:styleId="149">
    <w:name w:val="Tempo Heading 3 Char Char"/>
    <w:qFormat/>
    <w:uiPriority w:val="0"/>
    <w:rPr>
      <w:rFonts w:eastAsia="宋体"/>
      <w:b/>
      <w:bCs/>
      <w:kern w:val="2"/>
      <w:sz w:val="32"/>
      <w:szCs w:val="32"/>
      <w:lang w:val="en-US" w:eastAsia="zh-CN" w:bidi="ar-SA"/>
    </w:rPr>
  </w:style>
  <w:style w:type="character" w:customStyle="1" w:styleId="150">
    <w:name w:val="t-tag"/>
    <w:qFormat/>
    <w:uiPriority w:val="0"/>
    <w:rPr>
      <w:color w:val="FFFFFF"/>
      <w:sz w:val="18"/>
      <w:szCs w:val="18"/>
      <w:shd w:val="clear" w:color="auto" w:fill="FE8833"/>
    </w:rPr>
  </w:style>
  <w:style w:type="character" w:customStyle="1" w:styleId="151">
    <w:name w:val="Char Char181"/>
    <w:qFormat/>
    <w:uiPriority w:val="0"/>
    <w:rPr>
      <w:b/>
      <w:bCs/>
      <w:kern w:val="44"/>
      <w:sz w:val="44"/>
      <w:szCs w:val="44"/>
    </w:rPr>
  </w:style>
  <w:style w:type="character" w:customStyle="1" w:styleId="152">
    <w:name w:val="Char Char18"/>
    <w:qFormat/>
    <w:uiPriority w:val="0"/>
    <w:rPr>
      <w:rFonts w:ascii="Times New Roman" w:hAnsi="Times New Roman" w:eastAsia="宋体" w:cs="Times New Roman"/>
      <w:b/>
      <w:bCs/>
      <w:sz w:val="28"/>
      <w:szCs w:val="28"/>
    </w:rPr>
  </w:style>
  <w:style w:type="character" w:customStyle="1" w:styleId="153">
    <w:name w:val="批注文字 Char1"/>
    <w:qFormat/>
    <w:uiPriority w:val="0"/>
    <w:rPr>
      <w:rFonts w:ascii="Times New Roman" w:hAnsi="Times New Roman" w:eastAsia="宋体" w:cs="Times New Roman"/>
      <w:szCs w:val="24"/>
    </w:rPr>
  </w:style>
  <w:style w:type="character" w:customStyle="1" w:styleId="154">
    <w:name w:val="point_small1"/>
    <w:qFormat/>
    <w:uiPriority w:val="0"/>
    <w:rPr>
      <w:rFonts w:hint="default" w:ascii="Arial" w:hAnsi="Arial" w:cs="Arial"/>
      <w:sz w:val="18"/>
      <w:szCs w:val="18"/>
    </w:rPr>
  </w:style>
  <w:style w:type="character" w:customStyle="1" w:styleId="155">
    <w:name w:val="my-class"/>
    <w:qFormat/>
    <w:uiPriority w:val="0"/>
    <w:rPr>
      <w:rFonts w:ascii="Verdana" w:hAnsi="Verdana"/>
      <w:kern w:val="0"/>
      <w:sz w:val="20"/>
      <w:lang w:eastAsia="en-US"/>
    </w:rPr>
  </w:style>
  <w:style w:type="character" w:customStyle="1" w:styleId="156">
    <w:name w:val="Footer Char"/>
    <w:qFormat/>
    <w:uiPriority w:val="0"/>
    <w:rPr>
      <w:rFonts w:eastAsia="宋体"/>
      <w:kern w:val="2"/>
      <w:sz w:val="18"/>
      <w:szCs w:val="18"/>
      <w:lang w:val="en-US" w:eastAsia="zh-CN" w:bidi="ar-SA"/>
    </w:rPr>
  </w:style>
  <w:style w:type="character" w:customStyle="1" w:styleId="157">
    <w:name w:val="Char Char7"/>
    <w:qFormat/>
    <w:uiPriority w:val="0"/>
    <w:rPr>
      <w:rFonts w:eastAsia="宋体"/>
      <w:sz w:val="24"/>
      <w:lang w:val="en-US" w:eastAsia="zh-CN" w:bidi="ar-SA"/>
    </w:rPr>
  </w:style>
  <w:style w:type="character" w:customStyle="1" w:styleId="158">
    <w:name w:val="Char Char8"/>
    <w:qFormat/>
    <w:locked/>
    <w:uiPriority w:val="0"/>
    <w:rPr>
      <w:rFonts w:ascii="楷体_GB2312" w:eastAsia="楷体_GB2312"/>
      <w:b/>
      <w:spacing w:val="-24"/>
      <w:sz w:val="28"/>
      <w:lang w:val="en-US" w:eastAsia="zh-CN" w:bidi="ar-SA"/>
    </w:rPr>
  </w:style>
  <w:style w:type="character" w:customStyle="1" w:styleId="159">
    <w:name w:val="Comment Subject Char"/>
    <w:qFormat/>
    <w:uiPriority w:val="0"/>
    <w:rPr>
      <w:b/>
      <w:sz w:val="24"/>
      <w:lang w:bidi="ar-SA"/>
    </w:rPr>
  </w:style>
  <w:style w:type="character" w:customStyle="1" w:styleId="160">
    <w:name w:val="列出段落 Char"/>
    <w:qFormat/>
    <w:uiPriority w:val="0"/>
    <w:rPr>
      <w:rFonts w:ascii="Calibri" w:hAnsi="Calibri" w:cs="宋体"/>
      <w:sz w:val="28"/>
      <w:szCs w:val="22"/>
      <w:lang w:eastAsia="en-US" w:bidi="en-US"/>
    </w:rPr>
  </w:style>
  <w:style w:type="character" w:customStyle="1" w:styleId="161">
    <w:name w:val="textcontents"/>
    <w:qFormat/>
    <w:uiPriority w:val="0"/>
  </w:style>
  <w:style w:type="character" w:customStyle="1" w:styleId="162">
    <w:name w:val="top-icon"/>
    <w:qFormat/>
    <w:uiPriority w:val="0"/>
    <w:rPr>
      <w:rFonts w:ascii="Verdana" w:hAnsi="Verdana"/>
      <w:kern w:val="0"/>
      <w:sz w:val="20"/>
      <w:lang w:eastAsia="en-US"/>
    </w:rPr>
  </w:style>
  <w:style w:type="character" w:customStyle="1" w:styleId="163">
    <w:name w:val="sys Doc Statistics lbl"/>
    <w:qFormat/>
    <w:uiPriority w:val="0"/>
    <w:rPr>
      <w:rFonts w:ascii="Verdana" w:hAnsi="Verdana"/>
      <w:smallCaps/>
      <w:kern w:val="0"/>
      <w:sz w:val="20"/>
      <w:szCs w:val="20"/>
      <w:lang w:eastAsia="en-US"/>
    </w:rPr>
  </w:style>
  <w:style w:type="character" w:customStyle="1" w:styleId="164">
    <w:name w:val="fontstyle01"/>
    <w:qFormat/>
    <w:uiPriority w:val="0"/>
    <w:rPr>
      <w:rFonts w:hint="eastAsia" w:ascii="宋体" w:hAnsi="宋体" w:eastAsia="宋体"/>
      <w:color w:val="000000"/>
      <w:sz w:val="22"/>
      <w:szCs w:val="22"/>
    </w:rPr>
  </w:style>
  <w:style w:type="character" w:customStyle="1" w:styleId="165">
    <w:name w:val="bds_nopic2"/>
    <w:qFormat/>
    <w:uiPriority w:val="0"/>
    <w:rPr>
      <w:rFonts w:ascii="Verdana" w:hAnsi="Verdana"/>
      <w:kern w:val="0"/>
      <w:sz w:val="20"/>
      <w:lang w:eastAsia="en-US"/>
    </w:rPr>
  </w:style>
  <w:style w:type="character" w:customStyle="1" w:styleId="166">
    <w:name w:val="Plain Text Char"/>
    <w:qFormat/>
    <w:uiPriority w:val="0"/>
    <w:rPr>
      <w:rFonts w:ascii="宋体" w:hAnsi="Courier New" w:eastAsia="宋体"/>
      <w:sz w:val="24"/>
      <w:lang w:bidi="ar-SA"/>
    </w:rPr>
  </w:style>
  <w:style w:type="character" w:customStyle="1" w:styleId="167">
    <w:name w:val="标题 3 Char1"/>
    <w:qFormat/>
    <w:uiPriority w:val="0"/>
    <w:rPr>
      <w:rFonts w:ascii="Calibri" w:hAnsi="Calibri" w:eastAsia="宋体" w:cs="Arial"/>
      <w:b/>
      <w:kern w:val="0"/>
      <w:sz w:val="32"/>
      <w:szCs w:val="20"/>
    </w:rPr>
  </w:style>
  <w:style w:type="character" w:customStyle="1" w:styleId="168">
    <w:name w:val="Comment Text Char"/>
    <w:qFormat/>
    <w:uiPriority w:val="0"/>
    <w:rPr>
      <w:rFonts w:cs="Times New Roman"/>
      <w:sz w:val="24"/>
      <w:szCs w:val="24"/>
    </w:rPr>
  </w:style>
  <w:style w:type="character" w:customStyle="1" w:styleId="169">
    <w:name w:val="明显参考1"/>
    <w:qFormat/>
    <w:uiPriority w:val="99"/>
    <w:rPr>
      <w:b/>
      <w:bCs/>
      <w:sz w:val="24"/>
      <w:szCs w:val="24"/>
      <w:u w:val="single"/>
    </w:rPr>
  </w:style>
  <w:style w:type="character" w:customStyle="1" w:styleId="170">
    <w:name w:val="批注主题 Char1"/>
    <w:qFormat/>
    <w:uiPriority w:val="0"/>
    <w:rPr>
      <w:rFonts w:ascii="Times New Roman" w:hAnsi="Times New Roman" w:eastAsia="宋体" w:cs="Times New Roman"/>
      <w:b/>
      <w:bCs/>
      <w:szCs w:val="24"/>
    </w:rPr>
  </w:style>
  <w:style w:type="character" w:customStyle="1" w:styleId="171">
    <w:name w:val="Heading 1 Char Char"/>
    <w:qFormat/>
    <w:uiPriority w:val="0"/>
    <w:rPr>
      <w:rFonts w:ascii="Arial" w:hAnsi="Arial" w:eastAsia="宋体" w:cs="Arial"/>
      <w:b/>
      <w:bCs/>
      <w:kern w:val="32"/>
      <w:sz w:val="32"/>
      <w:szCs w:val="32"/>
      <w:lang w:val="en-US" w:eastAsia="zh-CN" w:bidi="ar-SA"/>
    </w:rPr>
  </w:style>
  <w:style w:type="character" w:customStyle="1" w:styleId="172">
    <w:name w:val="明显引用 Char"/>
    <w:link w:val="173"/>
    <w:qFormat/>
    <w:uiPriority w:val="0"/>
    <w:rPr>
      <w:b/>
      <w:bCs/>
      <w:i/>
      <w:iCs/>
      <w:color w:val="4F81BD"/>
    </w:rPr>
  </w:style>
  <w:style w:type="paragraph" w:styleId="173">
    <w:name w:val="Intense Quote"/>
    <w:basedOn w:val="1"/>
    <w:next w:val="1"/>
    <w:link w:val="172"/>
    <w:qFormat/>
    <w:uiPriority w:val="0"/>
    <w:pPr>
      <w:widowControl/>
      <w:pBdr>
        <w:bottom w:val="single" w:color="4F81BD" w:sz="4" w:space="4"/>
      </w:pBdr>
      <w:spacing w:before="200" w:after="280"/>
      <w:ind w:left="936" w:right="936"/>
      <w:jc w:val="left"/>
    </w:pPr>
    <w:rPr>
      <w:b/>
      <w:bCs/>
      <w:i/>
      <w:iCs/>
      <w:color w:val="4F81BD"/>
      <w:kern w:val="0"/>
      <w:sz w:val="20"/>
      <w:szCs w:val="20"/>
    </w:rPr>
  </w:style>
  <w:style w:type="character" w:customStyle="1" w:styleId="174">
    <w:name w:val="Header Char"/>
    <w:qFormat/>
    <w:uiPriority w:val="0"/>
    <w:rPr>
      <w:rFonts w:eastAsia="宋体"/>
      <w:kern w:val="2"/>
      <w:sz w:val="18"/>
      <w:szCs w:val="18"/>
      <w:lang w:val="en-US" w:eastAsia="zh-CN" w:bidi="ar-SA"/>
    </w:rPr>
  </w:style>
  <w:style w:type="character" w:customStyle="1" w:styleId="175">
    <w:name w:val="Tempo Heading 2 Char1"/>
    <w:qFormat/>
    <w:uiPriority w:val="0"/>
    <w:rPr>
      <w:rFonts w:ascii="Arial" w:hAnsi="Arial" w:eastAsia="黑体"/>
      <w:b/>
      <w:bCs/>
      <w:kern w:val="2"/>
      <w:sz w:val="32"/>
      <w:szCs w:val="32"/>
      <w:lang w:val="en-US" w:eastAsia="zh-CN" w:bidi="ar-SA"/>
    </w:rPr>
  </w:style>
  <w:style w:type="character" w:customStyle="1" w:styleId="176">
    <w:name w:val="标题 Char2"/>
    <w:qFormat/>
    <w:uiPriority w:val="0"/>
    <w:rPr>
      <w:rFonts w:ascii="Cambria" w:hAnsi="Cambria" w:eastAsia="宋体" w:cs="Times New Roman"/>
      <w:b/>
      <w:bCs/>
      <w:sz w:val="32"/>
      <w:szCs w:val="32"/>
    </w:rPr>
  </w:style>
  <w:style w:type="character" w:customStyle="1" w:styleId="177">
    <w:name w:val="样式 标题 3h3section:3Level 3 HeadH3level_3PIM 33rd level3H... Char Char"/>
    <w:link w:val="178"/>
    <w:qFormat/>
    <w:uiPriority w:val="0"/>
    <w:rPr>
      <w:rFonts w:ascii="Arial" w:hAnsi="Arial" w:eastAsia="宋体"/>
      <w:b/>
      <w:kern w:val="2"/>
      <w:sz w:val="24"/>
      <w:szCs w:val="28"/>
      <w:lang w:val="en-US" w:eastAsia="zh-CN" w:bidi="ar-SA"/>
    </w:rPr>
  </w:style>
  <w:style w:type="paragraph" w:customStyle="1" w:styleId="178">
    <w:name w:val="样式 标题 3h3section:3Level 3 HeadH3level_3PIM 33rd level3H..."/>
    <w:basedOn w:val="6"/>
    <w:link w:val="177"/>
    <w:qFormat/>
    <w:uiPriority w:val="0"/>
    <w:pPr>
      <w:numPr>
        <w:ilvl w:val="3"/>
        <w:numId w:val="1"/>
      </w:numPr>
      <w:tabs>
        <w:tab w:val="left" w:pos="1680"/>
      </w:tabs>
      <w:adjustRightInd w:val="0"/>
      <w:spacing w:line="416" w:lineRule="atLeast"/>
      <w:textAlignment w:val="baseline"/>
    </w:pPr>
    <w:rPr>
      <w:rFonts w:ascii="Arial" w:hAnsi="Arial"/>
      <w:bCs w:val="0"/>
      <w:sz w:val="24"/>
      <w:szCs w:val="28"/>
    </w:rPr>
  </w:style>
  <w:style w:type="character" w:customStyle="1" w:styleId="179">
    <w:name w:val="Char Char6"/>
    <w:qFormat/>
    <w:uiPriority w:val="0"/>
    <w:rPr>
      <w:rFonts w:eastAsia="宋体"/>
      <w:b/>
      <w:bCs/>
      <w:kern w:val="44"/>
      <w:sz w:val="32"/>
      <w:szCs w:val="44"/>
      <w:lang w:val="en-US" w:eastAsia="zh-CN" w:bidi="ar-SA"/>
    </w:rPr>
  </w:style>
  <w:style w:type="character" w:customStyle="1" w:styleId="180">
    <w:name w:val="_Style 179"/>
    <w:qFormat/>
    <w:uiPriority w:val="0"/>
    <w:rPr>
      <w:smallCaps/>
      <w:color w:val="C0504D"/>
      <w:u w:val="single"/>
    </w:rPr>
  </w:style>
  <w:style w:type="character" w:customStyle="1" w:styleId="181">
    <w:name w:val="my-notice"/>
    <w:qFormat/>
    <w:uiPriority w:val="0"/>
    <w:rPr>
      <w:rFonts w:ascii="Verdana" w:hAnsi="Verdana"/>
      <w:kern w:val="0"/>
      <w:sz w:val="20"/>
      <w:lang w:eastAsia="en-US"/>
    </w:rPr>
  </w:style>
  <w:style w:type="character" w:customStyle="1" w:styleId="182">
    <w:name w:val="HTML Markup"/>
    <w:qFormat/>
    <w:uiPriority w:val="0"/>
    <w:rPr>
      <w:vanish/>
      <w:color w:val="FF0000"/>
    </w:rPr>
  </w:style>
  <w:style w:type="character" w:customStyle="1" w:styleId="183">
    <w:name w:val="引用 Char"/>
    <w:link w:val="184"/>
    <w:qFormat/>
    <w:uiPriority w:val="0"/>
    <w:rPr>
      <w:i/>
      <w:iCs/>
      <w:color w:val="000000"/>
    </w:rPr>
  </w:style>
  <w:style w:type="paragraph" w:styleId="184">
    <w:name w:val="Quote"/>
    <w:basedOn w:val="1"/>
    <w:next w:val="1"/>
    <w:link w:val="183"/>
    <w:qFormat/>
    <w:uiPriority w:val="0"/>
    <w:pPr>
      <w:widowControl/>
      <w:jc w:val="left"/>
    </w:pPr>
    <w:rPr>
      <w:i/>
      <w:iCs/>
      <w:color w:val="000000"/>
      <w:kern w:val="0"/>
      <w:sz w:val="20"/>
      <w:szCs w:val="20"/>
    </w:rPr>
  </w:style>
  <w:style w:type="character" w:customStyle="1" w:styleId="185">
    <w:name w:val="style41"/>
    <w:qFormat/>
    <w:uiPriority w:val="0"/>
    <w:rPr>
      <w:rFonts w:ascii="Verdana" w:hAnsi="Verdana"/>
      <w:color w:val="AA1515"/>
      <w:kern w:val="0"/>
      <w:sz w:val="20"/>
      <w:lang w:eastAsia="en-US"/>
    </w:rPr>
  </w:style>
  <w:style w:type="character" w:customStyle="1" w:styleId="186">
    <w:name w:val="_Style 185"/>
    <w:qFormat/>
    <w:uiPriority w:val="0"/>
    <w:rPr>
      <w:b/>
      <w:bCs/>
      <w:smallCaps/>
      <w:spacing w:val="5"/>
    </w:rPr>
  </w:style>
  <w:style w:type="character" w:customStyle="1" w:styleId="187">
    <w:name w:val="样式 标题 3h3section:3Level 3 HeadH3level_3PIM 33rd level3H... Char Char Char"/>
    <w:qFormat/>
    <w:uiPriority w:val="0"/>
    <w:rPr>
      <w:rFonts w:ascii="Arial" w:hAnsi="Arial"/>
      <w:b/>
      <w:sz w:val="24"/>
      <w:szCs w:val="28"/>
    </w:rPr>
  </w:style>
  <w:style w:type="character" w:customStyle="1" w:styleId="188">
    <w:name w:val="tip6"/>
    <w:qFormat/>
    <w:uiPriority w:val="0"/>
    <w:rPr>
      <w:vanish/>
      <w:color w:val="FF0000"/>
      <w:sz w:val="18"/>
      <w:szCs w:val="18"/>
    </w:rPr>
  </w:style>
  <w:style w:type="character" w:customStyle="1" w:styleId="189">
    <w:name w:val="sp4"/>
    <w:qFormat/>
    <w:uiPriority w:val="0"/>
    <w:rPr>
      <w:rFonts w:ascii="Verdana" w:hAnsi="Verdana"/>
      <w:kern w:val="0"/>
      <w:sz w:val="20"/>
      <w:lang w:eastAsia="en-US"/>
    </w:rPr>
  </w:style>
  <w:style w:type="character" w:customStyle="1" w:styleId="190">
    <w:name w:val="Char Char Char Char Char Char"/>
    <w:qFormat/>
    <w:uiPriority w:val="0"/>
    <w:rPr>
      <w:rFonts w:ascii="Verdana" w:hAnsi="Verdana" w:eastAsia="宋体"/>
      <w:kern w:val="2"/>
      <w:sz w:val="21"/>
      <w:szCs w:val="24"/>
      <w:lang w:val="en-US" w:eastAsia="zh-CN" w:bidi="ar-SA"/>
    </w:rPr>
  </w:style>
  <w:style w:type="character" w:customStyle="1" w:styleId="191">
    <w:name w:val="bigfont"/>
    <w:qFormat/>
    <w:uiPriority w:val="0"/>
  </w:style>
  <w:style w:type="character" w:customStyle="1" w:styleId="192">
    <w:name w:val="正文文本 Char1"/>
    <w:qFormat/>
    <w:uiPriority w:val="0"/>
    <w:rPr>
      <w:kern w:val="2"/>
      <w:sz w:val="21"/>
      <w:szCs w:val="22"/>
    </w:rPr>
  </w:style>
  <w:style w:type="character" w:customStyle="1" w:styleId="193">
    <w:name w:val="org_name2"/>
    <w:qFormat/>
    <w:uiPriority w:val="0"/>
    <w:rPr>
      <w:rFonts w:ascii="Verdana" w:hAnsi="Verdana"/>
      <w:kern w:val="0"/>
      <w:sz w:val="20"/>
      <w:lang w:eastAsia="en-US"/>
    </w:rPr>
  </w:style>
  <w:style w:type="character" w:customStyle="1" w:styleId="194">
    <w:name w:val="Variable"/>
    <w:qFormat/>
    <w:uiPriority w:val="0"/>
    <w:rPr>
      <w:i/>
    </w:rPr>
  </w:style>
  <w:style w:type="character" w:customStyle="1" w:styleId="195">
    <w:name w:val="title2"/>
    <w:qFormat/>
    <w:uiPriority w:val="0"/>
    <w:rPr>
      <w:rFonts w:hint="default" w:ascii="Arial" w:hAnsi="Arial"/>
      <w:b/>
      <w:color w:val="111111"/>
      <w:sz w:val="24"/>
      <w:u w:val="none"/>
    </w:rPr>
  </w:style>
  <w:style w:type="character" w:customStyle="1" w:styleId="196">
    <w:name w:val="称呼 Char Char"/>
    <w:qFormat/>
    <w:uiPriority w:val="0"/>
    <w:rPr>
      <w:kern w:val="2"/>
      <w:sz w:val="24"/>
      <w:szCs w:val="24"/>
    </w:rPr>
  </w:style>
  <w:style w:type="character" w:customStyle="1" w:styleId="197">
    <w:name w:val="引用 Char1"/>
    <w:qFormat/>
    <w:uiPriority w:val="29"/>
    <w:rPr>
      <w:rFonts w:ascii="Times New Roman" w:hAnsi="Times New Roman" w:eastAsia="宋体" w:cs="Times New Roman"/>
      <w:i/>
      <w:iCs/>
      <w:color w:val="000000"/>
      <w:szCs w:val="24"/>
    </w:rPr>
  </w:style>
  <w:style w:type="character" w:customStyle="1" w:styleId="198">
    <w:name w:val="tt21"/>
    <w:qFormat/>
    <w:uiPriority w:val="0"/>
    <w:rPr>
      <w:rFonts w:ascii="宋体" w:hAnsi="宋体"/>
      <w:b/>
      <w:bCs/>
      <w:sz w:val="32"/>
      <w:szCs w:val="18"/>
    </w:rPr>
  </w:style>
  <w:style w:type="character" w:customStyle="1" w:styleId="199">
    <w:name w:val="newsbg1"/>
    <w:qFormat/>
    <w:uiPriority w:val="0"/>
  </w:style>
  <w:style w:type="character" w:customStyle="1" w:styleId="200">
    <w:name w:val="文档结构图 Char1"/>
    <w:qFormat/>
    <w:uiPriority w:val="0"/>
    <w:rPr>
      <w:rFonts w:ascii="宋体"/>
      <w:kern w:val="2"/>
      <w:sz w:val="18"/>
      <w:szCs w:val="18"/>
    </w:rPr>
  </w:style>
  <w:style w:type="character" w:customStyle="1" w:styleId="201">
    <w:name w:val="apple-converted-space"/>
    <w:qFormat/>
    <w:uiPriority w:val="0"/>
  </w:style>
  <w:style w:type="character" w:customStyle="1" w:styleId="202">
    <w:name w:val="正文（首行缩进两字） Char Char Char Char Char Char Char Char Char Char Char Char Char Char Char Char Char Char Char Char Char Char Char Char Char Char Char Char Char Char Char Char Char Char Char Char Char Char Char Char Char Char Char Char Char Char"/>
    <w:qFormat/>
    <w:uiPriority w:val="0"/>
    <w:rPr>
      <w:rFonts w:eastAsia="宋体"/>
      <w:sz w:val="24"/>
      <w:szCs w:val="24"/>
      <w:lang w:val="en-US" w:eastAsia="zh-CN" w:bidi="ar-SA"/>
    </w:rPr>
  </w:style>
  <w:style w:type="character" w:customStyle="1" w:styleId="203">
    <w:name w:val="样式3 Char Char Char"/>
    <w:link w:val="204"/>
    <w:qFormat/>
    <w:uiPriority w:val="0"/>
    <w:rPr>
      <w:rFonts w:eastAsia="黑体"/>
      <w:b/>
      <w:bCs/>
      <w:kern w:val="2"/>
      <w:sz w:val="32"/>
      <w:szCs w:val="32"/>
    </w:rPr>
  </w:style>
  <w:style w:type="paragraph" w:customStyle="1" w:styleId="204">
    <w:name w:val="样式3"/>
    <w:basedOn w:val="6"/>
    <w:next w:val="1"/>
    <w:link w:val="203"/>
    <w:qFormat/>
    <w:uiPriority w:val="0"/>
    <w:pPr>
      <w:spacing w:line="240" w:lineRule="auto"/>
      <w:jc w:val="center"/>
    </w:pPr>
    <w:rPr>
      <w:rFonts w:eastAsia="黑体"/>
    </w:rPr>
  </w:style>
  <w:style w:type="character" w:customStyle="1" w:styleId="205">
    <w:name w:val="_Style 204"/>
    <w:qFormat/>
    <w:uiPriority w:val="0"/>
    <w:rPr>
      <w:b/>
      <w:bCs/>
      <w:i/>
      <w:iCs/>
      <w:color w:val="4F81BD"/>
    </w:rPr>
  </w:style>
  <w:style w:type="character" w:customStyle="1" w:styleId="206">
    <w:name w:val="明显引用 Char1"/>
    <w:qFormat/>
    <w:uiPriority w:val="30"/>
    <w:rPr>
      <w:rFonts w:ascii="Times New Roman" w:hAnsi="Times New Roman" w:eastAsia="宋体" w:cs="Times New Roman"/>
      <w:b/>
      <w:bCs/>
      <w:i/>
      <w:iCs/>
      <w:color w:val="4F81BD"/>
      <w:szCs w:val="24"/>
    </w:rPr>
  </w:style>
  <w:style w:type="character" w:customStyle="1" w:styleId="207">
    <w:name w:val="批注框文本 Char1"/>
    <w:qFormat/>
    <w:uiPriority w:val="0"/>
    <w:rPr>
      <w:rFonts w:ascii="Times New Roman" w:hAnsi="Times New Roman" w:eastAsia="宋体" w:cs="Times New Roman"/>
      <w:sz w:val="18"/>
      <w:szCs w:val="18"/>
    </w:rPr>
  </w:style>
  <w:style w:type="character" w:customStyle="1" w:styleId="208">
    <w:name w:val="Body Text Indent Char"/>
    <w:qFormat/>
    <w:uiPriority w:val="0"/>
    <w:rPr>
      <w:rFonts w:ascii="宋体" w:hAnsi="宋体" w:eastAsia="宋体"/>
      <w:kern w:val="2"/>
      <w:sz w:val="21"/>
      <w:lang w:val="en-US" w:eastAsia="zh-CN" w:bidi="ar-SA"/>
    </w:rPr>
  </w:style>
  <w:style w:type="character" w:customStyle="1" w:styleId="209">
    <w:name w:val="Body Text Indent 2 Char"/>
    <w:qFormat/>
    <w:uiPriority w:val="0"/>
    <w:rPr>
      <w:rFonts w:eastAsia="宋体"/>
      <w:kern w:val="2"/>
      <w:sz w:val="21"/>
      <w:szCs w:val="24"/>
      <w:lang w:val="en-US" w:eastAsia="zh-CN" w:bidi="ar-SA"/>
    </w:rPr>
  </w:style>
  <w:style w:type="character" w:customStyle="1" w:styleId="210">
    <w:name w:val="Char Char23"/>
    <w:qFormat/>
    <w:uiPriority w:val="0"/>
    <w:rPr>
      <w:rFonts w:eastAsia="宋体"/>
      <w:b/>
      <w:bCs/>
      <w:kern w:val="44"/>
      <w:sz w:val="32"/>
      <w:szCs w:val="44"/>
      <w:lang w:val="en-US" w:eastAsia="zh-CN" w:bidi="ar-SA"/>
    </w:rPr>
  </w:style>
  <w:style w:type="character" w:customStyle="1" w:styleId="211">
    <w:name w:val="Heading 4 Char"/>
    <w:qFormat/>
    <w:uiPriority w:val="0"/>
    <w:rPr>
      <w:rFonts w:ascii="Arial" w:hAnsi="Arial" w:eastAsia="宋体"/>
      <w:b/>
      <w:bCs/>
      <w:kern w:val="2"/>
      <w:sz w:val="21"/>
      <w:szCs w:val="28"/>
      <w:lang w:val="en-US" w:eastAsia="zh-CN" w:bidi="ar-SA"/>
    </w:rPr>
  </w:style>
  <w:style w:type="character" w:customStyle="1" w:styleId="212">
    <w:name w:val="Footnote Text Char"/>
    <w:qFormat/>
    <w:uiPriority w:val="0"/>
    <w:rPr>
      <w:rFonts w:eastAsia="宋体"/>
      <w:sz w:val="18"/>
      <w:lang w:val="en-US" w:eastAsia="zh-CN" w:bidi="ar-SA"/>
    </w:rPr>
  </w:style>
  <w:style w:type="character" w:customStyle="1" w:styleId="213">
    <w:name w:val="_Style 212"/>
    <w:qFormat/>
    <w:uiPriority w:val="0"/>
    <w:rPr>
      <w:b/>
      <w:bCs/>
      <w:smallCaps/>
      <w:color w:val="C0504D"/>
      <w:spacing w:val="5"/>
      <w:u w:val="single"/>
    </w:rPr>
  </w:style>
  <w:style w:type="character" w:customStyle="1" w:styleId="214">
    <w:name w:val="Title Char"/>
    <w:qFormat/>
    <w:uiPriority w:val="0"/>
    <w:rPr>
      <w:rFonts w:ascii="Cambria" w:hAnsi="Cambria"/>
      <w:b/>
      <w:sz w:val="32"/>
      <w:lang w:bidi="ar-SA"/>
    </w:rPr>
  </w:style>
  <w:style w:type="character" w:customStyle="1" w:styleId="215">
    <w:name w:val="Char Char20"/>
    <w:qFormat/>
    <w:uiPriority w:val="0"/>
    <w:rPr>
      <w:rFonts w:ascii="Times New Roman" w:hAnsi="Times New Roman" w:eastAsia="宋体" w:cs="Times New Roman"/>
      <w:b/>
      <w:bCs/>
      <w:sz w:val="24"/>
      <w:szCs w:val="32"/>
    </w:rPr>
  </w:style>
  <w:style w:type="character" w:customStyle="1" w:styleId="216">
    <w:name w:val="Heading 5 Char"/>
    <w:qFormat/>
    <w:uiPriority w:val="0"/>
    <w:rPr>
      <w:rFonts w:eastAsia="宋体"/>
      <w:b/>
      <w:bCs/>
      <w:kern w:val="2"/>
      <w:sz w:val="28"/>
      <w:szCs w:val="28"/>
      <w:lang w:val="en-US" w:eastAsia="zh-CN" w:bidi="ar-SA"/>
    </w:rPr>
  </w:style>
  <w:style w:type="character" w:customStyle="1" w:styleId="217">
    <w:name w:val="Heading 3 Char1"/>
    <w:qFormat/>
    <w:uiPriority w:val="0"/>
    <w:rPr>
      <w:rFonts w:eastAsia="宋体"/>
      <w:b/>
      <w:bCs/>
      <w:kern w:val="2"/>
      <w:sz w:val="24"/>
      <w:szCs w:val="32"/>
      <w:lang w:val="en-US" w:eastAsia="zh-CN" w:bidi="ar-SA"/>
    </w:rPr>
  </w:style>
  <w:style w:type="character" w:customStyle="1" w:styleId="218">
    <w:name w:val="标题5 Char Char"/>
    <w:link w:val="219"/>
    <w:qFormat/>
    <w:uiPriority w:val="0"/>
    <w:rPr>
      <w:rFonts w:ascii="Arial" w:hAnsi="Arial"/>
      <w:b/>
      <w:bCs/>
      <w:sz w:val="24"/>
      <w:szCs w:val="32"/>
    </w:rPr>
  </w:style>
  <w:style w:type="paragraph" w:customStyle="1" w:styleId="219">
    <w:name w:val="标题5"/>
    <w:basedOn w:val="6"/>
    <w:link w:val="218"/>
    <w:qFormat/>
    <w:uiPriority w:val="0"/>
    <w:pPr>
      <w:widowControl/>
      <w:spacing w:line="413" w:lineRule="auto"/>
      <w:jc w:val="left"/>
    </w:pPr>
    <w:rPr>
      <w:rFonts w:ascii="Arial" w:hAnsi="Arial"/>
      <w:kern w:val="0"/>
      <w:sz w:val="24"/>
    </w:rPr>
  </w:style>
  <w:style w:type="character" w:customStyle="1" w:styleId="220">
    <w:name w:val="Char Char9"/>
    <w:qFormat/>
    <w:uiPriority w:val="0"/>
    <w:rPr>
      <w:rFonts w:eastAsia="宋体"/>
      <w:b/>
      <w:bCs/>
      <w:kern w:val="44"/>
      <w:sz w:val="32"/>
      <w:szCs w:val="44"/>
      <w:lang w:val="en-US" w:eastAsia="zh-CN" w:bidi="ar-SA"/>
    </w:rPr>
  </w:style>
  <w:style w:type="character" w:customStyle="1" w:styleId="221">
    <w:name w:val="Char Char19"/>
    <w:qFormat/>
    <w:uiPriority w:val="0"/>
    <w:rPr>
      <w:rFonts w:ascii="Arial" w:hAnsi="Arial" w:eastAsia="宋体" w:cs="Times New Roman"/>
      <w:b/>
      <w:bCs/>
      <w:szCs w:val="28"/>
    </w:rPr>
  </w:style>
  <w:style w:type="character" w:customStyle="1" w:styleId="222">
    <w:name w:val="Document Map Char"/>
    <w:qFormat/>
    <w:uiPriority w:val="0"/>
    <w:rPr>
      <w:rFonts w:eastAsia="宋体"/>
      <w:kern w:val="2"/>
      <w:sz w:val="21"/>
      <w:szCs w:val="24"/>
      <w:lang w:val="en-US" w:eastAsia="zh-CN" w:bidi="ar-SA"/>
    </w:rPr>
  </w:style>
  <w:style w:type="character" w:customStyle="1" w:styleId="223">
    <w:name w:val="Comment Text Char1"/>
    <w:qFormat/>
    <w:uiPriority w:val="0"/>
    <w:rPr>
      <w:sz w:val="24"/>
      <w:lang w:bidi="ar-SA"/>
    </w:rPr>
  </w:style>
  <w:style w:type="character" w:customStyle="1" w:styleId="224">
    <w:name w:val="批注文字 Char Char"/>
    <w:qFormat/>
    <w:uiPriority w:val="0"/>
    <w:rPr>
      <w:rFonts w:ascii="宋体" w:hAnsi="Times New Roman" w:eastAsia="宋体" w:cs="Times New Roman"/>
      <w:sz w:val="28"/>
      <w:szCs w:val="20"/>
    </w:rPr>
  </w:style>
  <w:style w:type="character" w:customStyle="1" w:styleId="225">
    <w:name w:val="日期 Char1"/>
    <w:qFormat/>
    <w:uiPriority w:val="0"/>
    <w:rPr>
      <w:rFonts w:ascii="Times New Roman" w:hAnsi="Times New Roman" w:eastAsia="宋体" w:cs="Times New Roman"/>
      <w:szCs w:val="24"/>
    </w:rPr>
  </w:style>
  <w:style w:type="character" w:customStyle="1" w:styleId="226">
    <w:name w:val="_Style 225"/>
    <w:qFormat/>
    <w:uiPriority w:val="0"/>
    <w:rPr>
      <w:i/>
      <w:iCs/>
      <w:color w:val="808080"/>
    </w:rPr>
  </w:style>
  <w:style w:type="character" w:customStyle="1" w:styleId="227">
    <w:name w:val="Char Char21"/>
    <w:qFormat/>
    <w:uiPriority w:val="0"/>
    <w:rPr>
      <w:rFonts w:ascii="Arial" w:hAnsi="Arial" w:eastAsia="黑体" w:cs="Times New Roman"/>
      <w:b/>
      <w:bCs/>
      <w:sz w:val="32"/>
      <w:szCs w:val="32"/>
    </w:rPr>
  </w:style>
  <w:style w:type="character" w:customStyle="1" w:styleId="228">
    <w:name w:val="Heading 2 Char"/>
    <w:qFormat/>
    <w:uiPriority w:val="0"/>
    <w:rPr>
      <w:rFonts w:ascii="Arial" w:hAnsi="Arial" w:eastAsia="黑体"/>
      <w:b/>
      <w:bCs/>
      <w:kern w:val="2"/>
      <w:sz w:val="32"/>
      <w:szCs w:val="32"/>
      <w:lang w:val="en-US" w:eastAsia="zh-CN" w:bidi="ar-SA"/>
    </w:rPr>
  </w:style>
  <w:style w:type="character" w:customStyle="1" w:styleId="229">
    <w:name w:val="Date Char"/>
    <w:qFormat/>
    <w:uiPriority w:val="0"/>
    <w:rPr>
      <w:rFonts w:eastAsia="宋体"/>
      <w:kern w:val="2"/>
      <w:sz w:val="21"/>
      <w:szCs w:val="24"/>
      <w:lang w:val="en-US" w:eastAsia="zh-CN" w:bidi="ar-SA"/>
    </w:rPr>
  </w:style>
  <w:style w:type="character" w:customStyle="1" w:styleId="230">
    <w:name w:val="标题 2 Char1"/>
    <w:qFormat/>
    <w:uiPriority w:val="0"/>
    <w:rPr>
      <w:rFonts w:ascii="Arial" w:hAnsi="Arial" w:eastAsia="黑体" w:cs="Calibri"/>
      <w:b/>
      <w:kern w:val="0"/>
      <w:sz w:val="32"/>
      <w:szCs w:val="20"/>
    </w:rPr>
  </w:style>
  <w:style w:type="character" w:customStyle="1" w:styleId="231">
    <w:name w:val="标题 1 Char1"/>
    <w:qFormat/>
    <w:uiPriority w:val="0"/>
    <w:rPr>
      <w:rFonts w:ascii="Calibri" w:hAnsi="Calibri" w:eastAsia="宋体" w:cs="Arial"/>
      <w:b/>
      <w:kern w:val="44"/>
      <w:sz w:val="44"/>
      <w:szCs w:val="20"/>
    </w:rPr>
  </w:style>
  <w:style w:type="character" w:customStyle="1" w:styleId="232">
    <w:name w:val="样式 Char"/>
    <w:link w:val="233"/>
    <w:qFormat/>
    <w:locked/>
    <w:uiPriority w:val="0"/>
    <w:rPr>
      <w:rFonts w:ascii="宋体" w:hAnsi="宋体" w:cs="宋体"/>
      <w:sz w:val="24"/>
      <w:szCs w:val="24"/>
      <w:lang w:val="en-US" w:eastAsia="zh-CN" w:bidi="ar-SA"/>
    </w:rPr>
  </w:style>
  <w:style w:type="paragraph" w:customStyle="1" w:styleId="233">
    <w:name w:val="样式"/>
    <w:link w:val="232"/>
    <w:qFormat/>
    <w:uiPriority w:val="0"/>
    <w:pPr>
      <w:widowControl w:val="0"/>
      <w:autoSpaceDE w:val="0"/>
      <w:autoSpaceDN w:val="0"/>
      <w:adjustRightInd w:val="0"/>
    </w:pPr>
    <w:rPr>
      <w:rFonts w:ascii="宋体" w:hAnsi="宋体" w:eastAsia="宋体" w:cs="宋体"/>
      <w:sz w:val="24"/>
      <w:szCs w:val="24"/>
      <w:lang w:val="en-US" w:eastAsia="zh-CN" w:bidi="ar-SA"/>
    </w:rPr>
  </w:style>
  <w:style w:type="character" w:customStyle="1" w:styleId="234">
    <w:name w:val="orange6"/>
    <w:qFormat/>
    <w:uiPriority w:val="0"/>
    <w:rPr>
      <w:color w:val="3FB58F"/>
    </w:rPr>
  </w:style>
  <w:style w:type="character" w:customStyle="1" w:styleId="235">
    <w:name w:val="页码1"/>
    <w:qFormat/>
    <w:uiPriority w:val="0"/>
    <w:rPr>
      <w:rFonts w:ascii="Verdana" w:hAnsi="Verdana"/>
      <w:kern w:val="0"/>
      <w:sz w:val="20"/>
      <w:lang w:eastAsia="en-US"/>
    </w:rPr>
  </w:style>
  <w:style w:type="character" w:customStyle="1" w:styleId="236">
    <w:name w:val="样式 标题 2 + 12.5 磅 Char"/>
    <w:link w:val="237"/>
    <w:qFormat/>
    <w:uiPriority w:val="0"/>
    <w:rPr>
      <w:rFonts w:ascii="Tahoma" w:hAnsi="Tahoma" w:eastAsia="Calibri"/>
      <w:b/>
      <w:bCs/>
      <w:sz w:val="30"/>
      <w:szCs w:val="32"/>
    </w:rPr>
  </w:style>
  <w:style w:type="paragraph" w:customStyle="1" w:styleId="237">
    <w:name w:val="样式 标题 2 + 12.5 磅"/>
    <w:basedOn w:val="5"/>
    <w:link w:val="236"/>
    <w:qFormat/>
    <w:uiPriority w:val="0"/>
    <w:pPr>
      <w:widowControl/>
      <w:spacing w:line="240" w:lineRule="auto"/>
      <w:jc w:val="center"/>
    </w:pPr>
    <w:rPr>
      <w:rFonts w:ascii="Tahoma" w:hAnsi="Tahoma" w:eastAsia="Calibri"/>
      <w:kern w:val="0"/>
      <w:sz w:val="30"/>
    </w:rPr>
  </w:style>
  <w:style w:type="character" w:customStyle="1" w:styleId="238">
    <w:name w:val="bds_nopic1"/>
    <w:qFormat/>
    <w:uiPriority w:val="0"/>
    <w:rPr>
      <w:rFonts w:ascii="Verdana" w:hAnsi="Verdana"/>
      <w:kern w:val="0"/>
      <w:sz w:val="20"/>
      <w:lang w:eastAsia="en-US"/>
    </w:rPr>
  </w:style>
  <w:style w:type="character" w:customStyle="1" w:styleId="239">
    <w:name w:val="样式 标题 1 + (中文) 黑体 Char Char"/>
    <w:qFormat/>
    <w:uiPriority w:val="0"/>
    <w:rPr>
      <w:rFonts w:eastAsia="Calibri"/>
      <w:b/>
      <w:bCs/>
      <w:kern w:val="44"/>
      <w:sz w:val="36"/>
      <w:szCs w:val="44"/>
      <w:lang w:val="en-US" w:eastAsia="zh-CN" w:bidi="ar-SA"/>
    </w:rPr>
  </w:style>
  <w:style w:type="character" w:customStyle="1" w:styleId="240">
    <w:name w:val="line1"/>
    <w:qFormat/>
    <w:uiPriority w:val="0"/>
  </w:style>
  <w:style w:type="character" w:customStyle="1" w:styleId="241">
    <w:name w:val="方案文档 Char"/>
    <w:link w:val="242"/>
    <w:qFormat/>
    <w:uiPriority w:val="0"/>
    <w:rPr>
      <w:rFonts w:ascii="宋体" w:hAnsi="宋体"/>
      <w:sz w:val="24"/>
      <w:szCs w:val="24"/>
    </w:rPr>
  </w:style>
  <w:style w:type="paragraph" w:customStyle="1" w:styleId="242">
    <w:name w:val="方案文档"/>
    <w:basedOn w:val="1"/>
    <w:link w:val="241"/>
    <w:qFormat/>
    <w:uiPriority w:val="0"/>
    <w:pPr>
      <w:widowControl/>
      <w:tabs>
        <w:tab w:val="left" w:pos="7411"/>
      </w:tabs>
      <w:spacing w:before="120" w:after="120" w:line="360" w:lineRule="auto"/>
      <w:ind w:firstLine="525"/>
      <w:jc w:val="left"/>
    </w:pPr>
    <w:rPr>
      <w:rFonts w:ascii="宋体" w:hAnsi="宋体"/>
      <w:kern w:val="0"/>
      <w:sz w:val="24"/>
    </w:rPr>
  </w:style>
  <w:style w:type="character" w:customStyle="1" w:styleId="243">
    <w:name w:val="Tempo Heading 4 Char"/>
    <w:qFormat/>
    <w:uiPriority w:val="0"/>
    <w:rPr>
      <w:rFonts w:ascii="Arial" w:hAnsi="Arial" w:eastAsia="黑体"/>
      <w:b/>
      <w:bCs/>
      <w:kern w:val="2"/>
      <w:sz w:val="28"/>
      <w:szCs w:val="28"/>
      <w:lang w:val="en-US" w:eastAsia="zh-CN" w:bidi="ar-SA"/>
    </w:rPr>
  </w:style>
  <w:style w:type="character" w:customStyle="1" w:styleId="244">
    <w:name w:val="正文文本缩进 2 Char Char"/>
    <w:qFormat/>
    <w:uiPriority w:val="0"/>
    <w:rPr>
      <w:rFonts w:ascii="Georgia" w:hAnsi="Georgia" w:cs="宋体"/>
      <w:sz w:val="24"/>
      <w:szCs w:val="24"/>
    </w:rPr>
  </w:style>
  <w:style w:type="character" w:customStyle="1" w:styleId="245">
    <w:name w:val="H1 Char"/>
    <w:qFormat/>
    <w:locked/>
    <w:uiPriority w:val="0"/>
    <w:rPr>
      <w:rFonts w:eastAsia="宋体"/>
      <w:b/>
      <w:bCs/>
      <w:kern w:val="44"/>
      <w:sz w:val="44"/>
      <w:szCs w:val="44"/>
      <w:lang w:val="en-US" w:eastAsia="zh-CN" w:bidi="ar-SA"/>
    </w:rPr>
  </w:style>
  <w:style w:type="character" w:customStyle="1" w:styleId="246">
    <w:name w:val="正文文本缩进 2 Char1"/>
    <w:qFormat/>
    <w:uiPriority w:val="0"/>
    <w:rPr>
      <w:rFonts w:ascii="仿宋_GB2312" w:hAnsi="Verdana" w:eastAsia="仿宋_GB2312"/>
      <w:kern w:val="2"/>
      <w:sz w:val="24"/>
      <w:lang w:eastAsia="en-US"/>
    </w:rPr>
  </w:style>
  <w:style w:type="character" w:customStyle="1" w:styleId="247">
    <w:name w:val="Char Char10"/>
    <w:qFormat/>
    <w:locked/>
    <w:uiPriority w:val="0"/>
    <w:rPr>
      <w:rFonts w:eastAsia="宋体"/>
      <w:kern w:val="2"/>
      <w:sz w:val="18"/>
      <w:szCs w:val="18"/>
      <w:lang w:val="en-US" w:eastAsia="zh-CN" w:bidi="ar-SA"/>
    </w:rPr>
  </w:style>
  <w:style w:type="character" w:customStyle="1" w:styleId="248">
    <w:name w:val="Char Char11"/>
    <w:qFormat/>
    <w:uiPriority w:val="0"/>
    <w:rPr>
      <w:rFonts w:ascii="宋体"/>
      <w:b/>
      <w:bCs/>
      <w:sz w:val="28"/>
      <w:lang w:bidi="ar-SA"/>
    </w:rPr>
  </w:style>
  <w:style w:type="character" w:customStyle="1" w:styleId="249">
    <w:name w:val="样式 标题 1 + (中文) 黑体 Char"/>
    <w:link w:val="250"/>
    <w:qFormat/>
    <w:uiPriority w:val="0"/>
    <w:rPr>
      <w:rFonts w:eastAsia="Calibri"/>
      <w:b/>
      <w:bCs/>
      <w:kern w:val="44"/>
      <w:sz w:val="36"/>
      <w:szCs w:val="44"/>
    </w:rPr>
  </w:style>
  <w:style w:type="paragraph" w:customStyle="1" w:styleId="250">
    <w:name w:val="样式 标题 1 + (中文) 黑体"/>
    <w:basedOn w:val="4"/>
    <w:link w:val="249"/>
    <w:qFormat/>
    <w:uiPriority w:val="0"/>
    <w:pPr>
      <w:widowControl/>
      <w:spacing w:before="240" w:after="240" w:line="240" w:lineRule="auto"/>
      <w:jc w:val="center"/>
    </w:pPr>
    <w:rPr>
      <w:rFonts w:eastAsia="Calibri"/>
      <w:sz w:val="36"/>
    </w:rPr>
  </w:style>
  <w:style w:type="character" w:customStyle="1" w:styleId="251">
    <w:name w:val="表格样式1 Char Char"/>
    <w:qFormat/>
    <w:uiPriority w:val="0"/>
    <w:rPr>
      <w:rFonts w:ascii="微软雅黑" w:hAnsi="微软雅黑" w:eastAsia="微软雅黑" w:cs="宋体"/>
      <w:kern w:val="2"/>
      <w:sz w:val="24"/>
      <w:szCs w:val="24"/>
      <w:lang w:val="zh-CN"/>
    </w:rPr>
  </w:style>
  <w:style w:type="character" w:customStyle="1" w:styleId="252">
    <w:name w:val="Char Char2"/>
    <w:qFormat/>
    <w:uiPriority w:val="0"/>
    <w:rPr>
      <w:rFonts w:ascii="Verdana" w:hAnsi="Verdana" w:eastAsia="宋体"/>
      <w:kern w:val="2"/>
      <w:sz w:val="18"/>
      <w:szCs w:val="18"/>
      <w:lang w:val="en-US" w:eastAsia="zh-CN" w:bidi="ar-SA"/>
    </w:rPr>
  </w:style>
  <w:style w:type="character" w:customStyle="1" w:styleId="253">
    <w:name w:val="no72"/>
    <w:qFormat/>
    <w:uiPriority w:val="0"/>
    <w:rPr>
      <w:rFonts w:ascii="Verdana" w:hAnsi="Verdana"/>
      <w:kern w:val="0"/>
      <w:sz w:val="20"/>
      <w:lang w:eastAsia="en-US"/>
    </w:rPr>
  </w:style>
  <w:style w:type="character" w:customStyle="1" w:styleId="254">
    <w:name w:val="Char Char14"/>
    <w:qFormat/>
    <w:uiPriority w:val="0"/>
    <w:rPr>
      <w:rFonts w:eastAsia="仿宋_GB2312"/>
      <w:kern w:val="2"/>
      <w:sz w:val="23"/>
      <w:szCs w:val="24"/>
      <w:lang w:val="en-US" w:eastAsia="zh-CN" w:bidi="ar-SA"/>
    </w:rPr>
  </w:style>
  <w:style w:type="character" w:customStyle="1" w:styleId="255">
    <w:name w:val="页眉 Char1"/>
    <w:qFormat/>
    <w:uiPriority w:val="0"/>
    <w:rPr>
      <w:rFonts w:ascii="Verdana" w:hAnsi="Verdana"/>
      <w:kern w:val="2"/>
      <w:sz w:val="18"/>
      <w:szCs w:val="18"/>
      <w:lang w:eastAsia="en-US"/>
    </w:rPr>
  </w:style>
  <w:style w:type="character" w:customStyle="1" w:styleId="256">
    <w:name w:val="Heading 2 Char Char"/>
    <w:qFormat/>
    <w:uiPriority w:val="0"/>
    <w:rPr>
      <w:rFonts w:ascii="Arial" w:hAnsi="Arial" w:eastAsia="宋体" w:cs="Arial"/>
      <w:b/>
      <w:bCs/>
      <w:i/>
      <w:iCs/>
      <w:kern w:val="0"/>
      <w:sz w:val="28"/>
      <w:szCs w:val="28"/>
      <w:lang w:val="en-US" w:eastAsia="zh-CN" w:bidi="ar-SA"/>
    </w:rPr>
  </w:style>
  <w:style w:type="character" w:customStyle="1" w:styleId="257">
    <w:name w:val="Tempo Heading 1 Char Char"/>
    <w:qFormat/>
    <w:uiPriority w:val="0"/>
    <w:rPr>
      <w:rFonts w:eastAsia="宋体"/>
      <w:b/>
      <w:bCs/>
      <w:kern w:val="44"/>
      <w:sz w:val="44"/>
      <w:szCs w:val="44"/>
      <w:lang w:val="en-US" w:eastAsia="zh-CN" w:bidi="ar-SA"/>
    </w:rPr>
  </w:style>
  <w:style w:type="character" w:customStyle="1" w:styleId="258">
    <w:name w:val="Tempo Heading 2 Char"/>
    <w:qFormat/>
    <w:uiPriority w:val="0"/>
    <w:rPr>
      <w:rFonts w:ascii="Arial" w:hAnsi="Arial" w:eastAsia="宋体" w:cs="Arial"/>
      <w:b/>
      <w:bCs/>
      <w:iCs/>
      <w:kern w:val="0"/>
      <w:sz w:val="24"/>
      <w:szCs w:val="28"/>
      <w:lang w:val="en-US" w:eastAsia="zh-CN" w:bidi="ar-SA"/>
    </w:rPr>
  </w:style>
  <w:style w:type="character" w:customStyle="1" w:styleId="259">
    <w:name w:val="无间隔 Char"/>
    <w:link w:val="260"/>
    <w:qFormat/>
    <w:uiPriority w:val="0"/>
    <w:rPr>
      <w:szCs w:val="24"/>
      <w:lang w:val="en-US" w:eastAsia="zh-CN" w:bidi="ar-SA"/>
    </w:rPr>
  </w:style>
  <w:style w:type="paragraph" w:styleId="260">
    <w:name w:val="No Spacing"/>
    <w:link w:val="259"/>
    <w:qFormat/>
    <w:uiPriority w:val="0"/>
    <w:pPr>
      <w:widowControl w:val="0"/>
      <w:jc w:val="both"/>
    </w:pPr>
    <w:rPr>
      <w:rFonts w:ascii="Times New Roman" w:hAnsi="Times New Roman" w:eastAsia="宋体" w:cs="Times New Roman"/>
      <w:szCs w:val="24"/>
      <w:lang w:val="en-US" w:eastAsia="zh-CN" w:bidi="ar-SA"/>
    </w:rPr>
  </w:style>
  <w:style w:type="character" w:customStyle="1" w:styleId="261">
    <w:name w:val="ui-bz-bg-hover1"/>
    <w:qFormat/>
    <w:uiPriority w:val="0"/>
    <w:rPr>
      <w:rFonts w:ascii="Verdana" w:hAnsi="Verdana"/>
      <w:kern w:val="0"/>
      <w:sz w:val="20"/>
      <w:lang w:eastAsia="en-US"/>
    </w:rPr>
  </w:style>
  <w:style w:type="character" w:customStyle="1" w:styleId="262">
    <w:name w:val="no6"/>
    <w:qFormat/>
    <w:uiPriority w:val="0"/>
    <w:rPr>
      <w:color w:val="0000CD"/>
      <w:u w:val="none"/>
      <w:shd w:val="clear" w:color="auto" w:fill="E9F1F7"/>
    </w:rPr>
  </w:style>
  <w:style w:type="character" w:customStyle="1" w:styleId="263">
    <w:name w:val="ui-bz-bg-hover"/>
    <w:qFormat/>
    <w:uiPriority w:val="0"/>
    <w:rPr>
      <w:shd w:val="clear" w:color="auto" w:fill="000000"/>
    </w:rPr>
  </w:style>
  <w:style w:type="character" w:customStyle="1" w:styleId="264">
    <w:name w:val="样式 标题 3h3section:3Level 3 HeadH3level_3PIM 33rd level3H... Char"/>
    <w:qFormat/>
    <w:uiPriority w:val="0"/>
    <w:rPr>
      <w:rFonts w:ascii="Arial" w:hAnsi="Arial" w:eastAsia="宋体"/>
      <w:b/>
      <w:kern w:val="2"/>
      <w:sz w:val="24"/>
      <w:szCs w:val="28"/>
      <w:lang w:val="en-US" w:eastAsia="zh-CN" w:bidi="ar-SA"/>
    </w:rPr>
  </w:style>
  <w:style w:type="character" w:customStyle="1" w:styleId="265">
    <w:name w:val="text Char Char"/>
    <w:link w:val="266"/>
    <w:qFormat/>
    <w:uiPriority w:val="0"/>
    <w:rPr>
      <w:rFonts w:ascii="宋体" w:hAnsi="宋体"/>
      <w:sz w:val="24"/>
      <w:szCs w:val="24"/>
      <w:lang w:eastAsia="en-US"/>
    </w:rPr>
  </w:style>
  <w:style w:type="paragraph" w:customStyle="1" w:styleId="266">
    <w:name w:val="text"/>
    <w:basedOn w:val="1"/>
    <w:link w:val="265"/>
    <w:qFormat/>
    <w:uiPriority w:val="0"/>
    <w:pPr>
      <w:widowControl/>
      <w:spacing w:before="100" w:beforeAutospacing="1" w:after="100" w:afterAutospacing="1"/>
      <w:jc w:val="left"/>
    </w:pPr>
    <w:rPr>
      <w:rFonts w:ascii="宋体" w:hAnsi="宋体"/>
      <w:kern w:val="0"/>
      <w:sz w:val="24"/>
      <w:lang w:eastAsia="en-US"/>
    </w:rPr>
  </w:style>
  <w:style w:type="character" w:customStyle="1" w:styleId="267">
    <w:name w:val="样式11 Char"/>
    <w:link w:val="268"/>
    <w:qFormat/>
    <w:uiPriority w:val="0"/>
  </w:style>
  <w:style w:type="paragraph" w:customStyle="1" w:styleId="268">
    <w:name w:val="样式11"/>
    <w:basedOn w:val="41"/>
    <w:link w:val="267"/>
    <w:qFormat/>
    <w:uiPriority w:val="0"/>
    <w:pPr>
      <w:widowControl/>
      <w:pBdr>
        <w:bottom w:val="none" w:color="auto" w:sz="0" w:space="0"/>
      </w:pBdr>
    </w:pPr>
    <w:rPr>
      <w:kern w:val="0"/>
      <w:lang w:val="en-US" w:eastAsia="zh-CN"/>
    </w:rPr>
  </w:style>
  <w:style w:type="character" w:customStyle="1" w:styleId="269">
    <w:name w:val="sp31"/>
    <w:qFormat/>
    <w:uiPriority w:val="0"/>
    <w:rPr>
      <w:rFonts w:ascii="Verdana" w:hAnsi="Verdana"/>
      <w:kern w:val="0"/>
      <w:sz w:val="20"/>
      <w:lang w:eastAsia="en-US"/>
    </w:rPr>
  </w:style>
  <w:style w:type="character" w:customStyle="1" w:styleId="270">
    <w:name w:val="bds_nopic"/>
    <w:qFormat/>
    <w:uiPriority w:val="0"/>
    <w:rPr>
      <w:rFonts w:ascii="Verdana" w:hAnsi="Verdana"/>
      <w:kern w:val="0"/>
      <w:sz w:val="20"/>
      <w:lang w:eastAsia="en-US"/>
    </w:rPr>
  </w:style>
  <w:style w:type="character" w:customStyle="1" w:styleId="271">
    <w:name w:val="正文文本 + SimSun"/>
    <w:qFormat/>
    <w:uiPriority w:val="0"/>
    <w:rPr>
      <w:rFonts w:ascii="@时尚中黑简体" w:eastAsia="@时尚中黑简体" w:cs="@时尚中黑简体"/>
      <w:spacing w:val="10"/>
      <w:sz w:val="17"/>
      <w:szCs w:val="17"/>
      <w:u w:val="none"/>
      <w:lang w:val="en-US" w:eastAsia="en-US"/>
    </w:rPr>
  </w:style>
  <w:style w:type="character" w:customStyle="1" w:styleId="272">
    <w:name w:val="sp22"/>
    <w:qFormat/>
    <w:uiPriority w:val="0"/>
    <w:rPr>
      <w:rFonts w:ascii="Verdana" w:hAnsi="Verdana"/>
      <w:kern w:val="0"/>
      <w:sz w:val="20"/>
      <w:lang w:eastAsia="en-US"/>
    </w:rPr>
  </w:style>
  <w:style w:type="character" w:customStyle="1" w:styleId="273">
    <w:name w:val="no5"/>
    <w:qFormat/>
    <w:uiPriority w:val="0"/>
    <w:rPr>
      <w:rFonts w:ascii="Verdana" w:hAnsi="Verdana"/>
      <w:kern w:val="0"/>
      <w:sz w:val="20"/>
      <w:lang w:eastAsia="en-US"/>
    </w:rPr>
  </w:style>
  <w:style w:type="character" w:customStyle="1" w:styleId="274">
    <w:name w:val="样式10 Char"/>
    <w:link w:val="275"/>
    <w:qFormat/>
    <w:uiPriority w:val="0"/>
  </w:style>
  <w:style w:type="paragraph" w:customStyle="1" w:styleId="275">
    <w:name w:val="样式10"/>
    <w:basedOn w:val="41"/>
    <w:link w:val="274"/>
    <w:qFormat/>
    <w:uiPriority w:val="0"/>
    <w:pPr>
      <w:widowControl/>
      <w:pBdr>
        <w:bottom w:val="none" w:color="auto" w:sz="0" w:space="0"/>
      </w:pBdr>
    </w:pPr>
    <w:rPr>
      <w:kern w:val="0"/>
      <w:lang w:val="en-US" w:eastAsia="zh-CN"/>
    </w:rPr>
  </w:style>
  <w:style w:type="character" w:customStyle="1" w:styleId="276">
    <w:name w:val="正文文本 + SimSun15"/>
    <w:qFormat/>
    <w:uiPriority w:val="0"/>
    <w:rPr>
      <w:rFonts w:ascii="@时尚中黑简体" w:hAnsi="Verdana" w:eastAsia="@时尚中黑简体" w:cs="@时尚中黑简体"/>
      <w:b/>
      <w:bCs/>
      <w:spacing w:val="10"/>
      <w:kern w:val="2"/>
      <w:sz w:val="17"/>
      <w:szCs w:val="17"/>
      <w:lang w:val="en-US" w:eastAsia="en-US" w:bidi="ar-SA"/>
    </w:rPr>
  </w:style>
  <w:style w:type="character" w:customStyle="1" w:styleId="277">
    <w:name w:val="f-star"/>
    <w:qFormat/>
    <w:uiPriority w:val="0"/>
    <w:rPr>
      <w:color w:val="999999"/>
      <w:sz w:val="21"/>
      <w:szCs w:val="21"/>
    </w:rPr>
  </w:style>
  <w:style w:type="character" w:customStyle="1" w:styleId="278">
    <w:name w:val="bds_more2"/>
    <w:qFormat/>
    <w:uiPriority w:val="0"/>
    <w:rPr>
      <w:rFonts w:ascii="Verdana" w:hAnsi="Verdana"/>
      <w:kern w:val="0"/>
      <w:sz w:val="20"/>
      <w:lang w:eastAsia="en-US"/>
    </w:rPr>
  </w:style>
  <w:style w:type="character" w:customStyle="1" w:styleId="279">
    <w:name w:val="headline-content"/>
    <w:qFormat/>
    <w:uiPriority w:val="0"/>
    <w:rPr>
      <w:rFonts w:ascii="Verdana" w:hAnsi="Verdana"/>
      <w:kern w:val="0"/>
      <w:sz w:val="20"/>
      <w:lang w:eastAsia="en-US"/>
    </w:rPr>
  </w:style>
  <w:style w:type="character" w:customStyle="1" w:styleId="280">
    <w:name w:val="文档结构图 Char2"/>
    <w:qFormat/>
    <w:uiPriority w:val="99"/>
    <w:rPr>
      <w:rFonts w:ascii="@时尚中黑简体"/>
      <w:kern w:val="2"/>
      <w:sz w:val="18"/>
      <w:szCs w:val="18"/>
    </w:rPr>
  </w:style>
  <w:style w:type="character" w:customStyle="1" w:styleId="281">
    <w:name w:val="样式 标题 2 + 12.5 磅 Char Char"/>
    <w:qFormat/>
    <w:uiPriority w:val="0"/>
    <w:rPr>
      <w:rFonts w:ascii="Tahoma" w:hAnsi="Tahoma" w:eastAsia="Calibri" w:cs="Tahoma"/>
      <w:b/>
      <w:bCs/>
      <w:kern w:val="2"/>
      <w:sz w:val="30"/>
      <w:szCs w:val="32"/>
      <w:lang w:val="en-US" w:eastAsia="zh-CN" w:bidi="ar-SA"/>
    </w:rPr>
  </w:style>
  <w:style w:type="character" w:customStyle="1" w:styleId="282">
    <w:name w:val="bds_more4"/>
    <w:qFormat/>
    <w:uiPriority w:val="0"/>
    <w:rPr>
      <w:rFonts w:ascii="Verdana" w:hAnsi="Verdana"/>
      <w:kern w:val="0"/>
      <w:sz w:val="20"/>
      <w:lang w:eastAsia="en-US"/>
    </w:rPr>
  </w:style>
  <w:style w:type="character" w:customStyle="1" w:styleId="283">
    <w:name w:val="正文首行缩进 Char1"/>
    <w:qFormat/>
    <w:uiPriority w:val="0"/>
    <w:rPr>
      <w:rFonts w:ascii="@时尚中黑简体" w:eastAsia="Arial"/>
      <w:kern w:val="2"/>
      <w:sz w:val="24"/>
      <w:szCs w:val="24"/>
      <w:lang w:val="en-US" w:eastAsia="zh-CN" w:bidi="ar-SA"/>
    </w:rPr>
  </w:style>
  <w:style w:type="character" w:customStyle="1" w:styleId="284">
    <w:name w:val="普通文字 Char"/>
    <w:qFormat/>
    <w:uiPriority w:val="0"/>
    <w:rPr>
      <w:rFonts w:ascii="宋体" w:hAnsi="Courier New" w:cs="Courier New"/>
      <w:kern w:val="2"/>
      <w:sz w:val="21"/>
      <w:szCs w:val="21"/>
    </w:rPr>
  </w:style>
  <w:style w:type="character" w:customStyle="1" w:styleId="285">
    <w:name w:val="Char Char4"/>
    <w:qFormat/>
    <w:uiPriority w:val="0"/>
    <w:rPr>
      <w:rFonts w:ascii="Verdana" w:hAnsi="Verdana" w:eastAsia="宋体"/>
      <w:kern w:val="2"/>
      <w:sz w:val="18"/>
      <w:szCs w:val="24"/>
      <w:lang w:val="en-US" w:eastAsia="zh-CN" w:bidi="ar-SA"/>
    </w:rPr>
  </w:style>
  <w:style w:type="character" w:customStyle="1" w:styleId="286">
    <w:name w:val="H2 Char"/>
    <w:qFormat/>
    <w:locked/>
    <w:uiPriority w:val="0"/>
    <w:rPr>
      <w:rFonts w:ascii="Arial" w:hAnsi="Arial" w:eastAsia="黑体"/>
      <w:b/>
      <w:bCs/>
      <w:kern w:val="2"/>
      <w:sz w:val="32"/>
      <w:szCs w:val="32"/>
      <w:lang w:val="en-US" w:eastAsia="zh-CN" w:bidi="ar-SA"/>
    </w:rPr>
  </w:style>
  <w:style w:type="character" w:customStyle="1" w:styleId="287">
    <w:name w:val="正文文本缩进 3 Char1"/>
    <w:qFormat/>
    <w:uiPriority w:val="0"/>
    <w:rPr>
      <w:rFonts w:ascii="Verdana" w:hAnsi="Verdana"/>
      <w:kern w:val="2"/>
      <w:sz w:val="16"/>
      <w:szCs w:val="16"/>
      <w:lang w:eastAsia="en-US"/>
    </w:rPr>
  </w:style>
  <w:style w:type="character" w:customStyle="1" w:styleId="288">
    <w:name w:val="Char Char17"/>
    <w:qFormat/>
    <w:uiPriority w:val="0"/>
    <w:rPr>
      <w:rFonts w:eastAsia="宋体"/>
      <w:b/>
      <w:kern w:val="2"/>
      <w:sz w:val="24"/>
      <w:lang w:val="en-US" w:eastAsia="zh-CN" w:bidi="ar-SA"/>
    </w:rPr>
  </w:style>
  <w:style w:type="character" w:customStyle="1" w:styleId="289">
    <w:name w:val="引用 Char2"/>
    <w:qFormat/>
    <w:uiPriority w:val="99"/>
    <w:rPr>
      <w:rFonts w:ascii="Verdana" w:hAnsi="Verdana"/>
      <w:i/>
      <w:iCs/>
      <w:color w:val="000000"/>
      <w:kern w:val="2"/>
      <w:sz w:val="21"/>
      <w:szCs w:val="24"/>
      <w:lang w:eastAsia="en-US"/>
    </w:rPr>
  </w:style>
  <w:style w:type="character" w:customStyle="1" w:styleId="290">
    <w:name w:val="Char Char16"/>
    <w:qFormat/>
    <w:locked/>
    <w:uiPriority w:val="0"/>
    <w:rPr>
      <w:rFonts w:ascii="Arial" w:hAnsi="Arial" w:eastAsia="黑体"/>
      <w:kern w:val="2"/>
      <w:sz w:val="24"/>
      <w:lang w:val="en-US" w:eastAsia="zh-CN" w:bidi="ar-SA"/>
    </w:rPr>
  </w:style>
  <w:style w:type="character" w:customStyle="1" w:styleId="291">
    <w:name w:val="正文文本缩进 Char1"/>
    <w:qFormat/>
    <w:uiPriority w:val="99"/>
    <w:rPr>
      <w:rFonts w:ascii="Verdana" w:hAnsi="Verdana"/>
      <w:kern w:val="2"/>
      <w:sz w:val="21"/>
      <w:szCs w:val="24"/>
      <w:lang w:eastAsia="en-US"/>
    </w:rPr>
  </w:style>
  <w:style w:type="character" w:customStyle="1" w:styleId="292">
    <w:name w:val="称呼 Char1"/>
    <w:qFormat/>
    <w:uiPriority w:val="0"/>
    <w:rPr>
      <w:kern w:val="2"/>
      <w:sz w:val="21"/>
      <w:szCs w:val="24"/>
    </w:rPr>
  </w:style>
  <w:style w:type="character" w:customStyle="1" w:styleId="293">
    <w:name w:val="正文首行缩进 Char2"/>
    <w:qFormat/>
    <w:uiPriority w:val="0"/>
    <w:rPr>
      <w:rFonts w:eastAsia="宋体"/>
      <w:kern w:val="2"/>
      <w:sz w:val="21"/>
      <w:szCs w:val="24"/>
      <w:lang w:val="en-US" w:eastAsia="zh-CN" w:bidi="ar-SA"/>
    </w:rPr>
  </w:style>
  <w:style w:type="character" w:customStyle="1" w:styleId="294">
    <w:name w:val="正文文本 3 Char1"/>
    <w:qFormat/>
    <w:uiPriority w:val="0"/>
    <w:rPr>
      <w:kern w:val="2"/>
      <w:sz w:val="16"/>
      <w:szCs w:val="16"/>
    </w:rPr>
  </w:style>
  <w:style w:type="character" w:customStyle="1" w:styleId="295">
    <w:name w:val="正文文本 2 Char1"/>
    <w:qFormat/>
    <w:uiPriority w:val="0"/>
    <w:rPr>
      <w:kern w:val="2"/>
      <w:sz w:val="21"/>
      <w:szCs w:val="24"/>
    </w:rPr>
  </w:style>
  <w:style w:type="character" w:customStyle="1" w:styleId="296">
    <w:name w:val="正文文本缩进 3 Char2"/>
    <w:qFormat/>
    <w:uiPriority w:val="0"/>
    <w:rPr>
      <w:kern w:val="2"/>
      <w:sz w:val="16"/>
      <w:szCs w:val="16"/>
    </w:rPr>
  </w:style>
  <w:style w:type="character" w:customStyle="1" w:styleId="297">
    <w:name w:val="HTML 预设格式 Char2"/>
    <w:qFormat/>
    <w:uiPriority w:val="0"/>
    <w:rPr>
      <w:rFonts w:ascii="Courier New" w:hAnsi="Courier New" w:cs="Courier New"/>
      <w:kern w:val="2"/>
    </w:rPr>
  </w:style>
  <w:style w:type="character" w:customStyle="1" w:styleId="298">
    <w:name w:val="样式12 Char"/>
    <w:link w:val="299"/>
    <w:qFormat/>
    <w:uiPriority w:val="0"/>
  </w:style>
  <w:style w:type="paragraph" w:customStyle="1" w:styleId="299">
    <w:name w:val="样式12"/>
    <w:basedOn w:val="41"/>
    <w:link w:val="298"/>
    <w:qFormat/>
    <w:uiPriority w:val="0"/>
    <w:pPr>
      <w:widowControl/>
      <w:pBdr>
        <w:bottom w:val="none" w:color="auto" w:sz="0" w:space="0"/>
      </w:pBdr>
    </w:pPr>
    <w:rPr>
      <w:kern w:val="0"/>
      <w:lang w:val="en-US" w:eastAsia="zh-CN"/>
    </w:rPr>
  </w:style>
  <w:style w:type="character" w:customStyle="1" w:styleId="300">
    <w:name w:val="正文文本 Char2"/>
    <w:qFormat/>
    <w:uiPriority w:val="0"/>
    <w:rPr>
      <w:rFonts w:ascii="宋体" w:hAnsi="宋体" w:cs="宋体"/>
      <w:sz w:val="24"/>
      <w:szCs w:val="24"/>
    </w:rPr>
  </w:style>
  <w:style w:type="character" w:customStyle="1" w:styleId="301">
    <w:name w:val="标题 Char3"/>
    <w:qFormat/>
    <w:uiPriority w:val="10"/>
    <w:rPr>
      <w:rFonts w:ascii="Calibri Light" w:hAnsi="Calibri Light" w:cs="Times New Roman"/>
      <w:b/>
      <w:bCs/>
      <w:sz w:val="32"/>
      <w:szCs w:val="32"/>
    </w:rPr>
  </w:style>
  <w:style w:type="character" w:customStyle="1" w:styleId="302">
    <w:name w:val="明显引用 Char2"/>
    <w:qFormat/>
    <w:uiPriority w:val="99"/>
    <w:rPr>
      <w:rFonts w:ascii="宋体" w:hAnsi="宋体" w:cs="宋体"/>
      <w:i/>
      <w:iCs/>
      <w:color w:val="5B9BD5"/>
      <w:sz w:val="24"/>
      <w:szCs w:val="24"/>
    </w:rPr>
  </w:style>
  <w:style w:type="character" w:customStyle="1" w:styleId="303">
    <w:name w:val="Char Char5"/>
    <w:qFormat/>
    <w:locked/>
    <w:uiPriority w:val="0"/>
    <w:rPr>
      <w:rFonts w:eastAsia="仿宋_GB2312"/>
      <w:kern w:val="2"/>
      <w:sz w:val="23"/>
      <w:szCs w:val="24"/>
    </w:rPr>
  </w:style>
  <w:style w:type="character" w:customStyle="1" w:styleId="304">
    <w:name w:val="level1"/>
    <w:qFormat/>
    <w:uiPriority w:val="0"/>
  </w:style>
  <w:style w:type="character" w:customStyle="1" w:styleId="305">
    <w:name w:val="Char Char13"/>
    <w:qFormat/>
    <w:locked/>
    <w:uiPriority w:val="0"/>
    <w:rPr>
      <w:rFonts w:eastAsia="宋体"/>
      <w:b/>
      <w:bCs/>
      <w:kern w:val="44"/>
      <w:sz w:val="44"/>
      <w:szCs w:val="44"/>
      <w:lang w:val="en-US" w:eastAsia="zh-CN" w:bidi="ar-SA"/>
    </w:rPr>
  </w:style>
  <w:style w:type="character" w:customStyle="1" w:styleId="306">
    <w:name w:val="apple-style-span"/>
    <w:qFormat/>
    <w:uiPriority w:val="99"/>
    <w:rPr>
      <w:rFonts w:cs="Times New Roman"/>
    </w:rPr>
  </w:style>
  <w:style w:type="character" w:customStyle="1" w:styleId="307">
    <w:name w:val="仿宋，小四"/>
    <w:qFormat/>
    <w:uiPriority w:val="0"/>
    <w:rPr>
      <w:rFonts w:eastAsia="仿宋_GB2312"/>
      <w:sz w:val="24"/>
    </w:rPr>
  </w:style>
  <w:style w:type="character" w:customStyle="1" w:styleId="308">
    <w:name w:val="副标题 Char2"/>
    <w:qFormat/>
    <w:uiPriority w:val="0"/>
    <w:rPr>
      <w:rFonts w:ascii="Cambria" w:hAnsi="Cambria" w:cs="Times New Roman"/>
      <w:b/>
      <w:bCs/>
      <w:kern w:val="28"/>
      <w:sz w:val="32"/>
      <w:szCs w:val="32"/>
    </w:rPr>
  </w:style>
  <w:style w:type="character" w:customStyle="1" w:styleId="309">
    <w:name w:val="批注文字 Char Char Char"/>
    <w:qFormat/>
    <w:uiPriority w:val="0"/>
    <w:rPr>
      <w:kern w:val="2"/>
      <w:sz w:val="21"/>
      <w:szCs w:val="24"/>
    </w:rPr>
  </w:style>
  <w:style w:type="character" w:customStyle="1" w:styleId="310">
    <w:name w:val="批注文字 Char4"/>
    <w:qFormat/>
    <w:uiPriority w:val="0"/>
    <w:rPr>
      <w:rFonts w:ascii="宋体" w:hAnsi="宋体" w:eastAsia="宋体" w:cs="宋体"/>
      <w:kern w:val="0"/>
      <w:sz w:val="24"/>
      <w:szCs w:val="24"/>
    </w:rPr>
  </w:style>
  <w:style w:type="character" w:customStyle="1" w:styleId="311">
    <w:name w:val="脚注文本 Char2"/>
    <w:qFormat/>
    <w:uiPriority w:val="99"/>
    <w:rPr>
      <w:kern w:val="2"/>
      <w:sz w:val="18"/>
      <w:szCs w:val="18"/>
    </w:rPr>
  </w:style>
  <w:style w:type="character" w:customStyle="1" w:styleId="312">
    <w:name w:val="标题 Char4"/>
    <w:qFormat/>
    <w:uiPriority w:val="10"/>
    <w:rPr>
      <w:rFonts w:ascii="Cambria" w:hAnsi="Cambria" w:cs="Times New Roman"/>
      <w:b/>
      <w:bCs/>
      <w:kern w:val="2"/>
      <w:sz w:val="32"/>
      <w:szCs w:val="32"/>
    </w:rPr>
  </w:style>
  <w:style w:type="character" w:customStyle="1" w:styleId="313">
    <w:name w:val="HTML 预设格式 Char3"/>
    <w:qFormat/>
    <w:uiPriority w:val="99"/>
    <w:rPr>
      <w:rFonts w:ascii="Courier New" w:hAnsi="Courier New" w:cs="Courier New"/>
      <w:kern w:val="2"/>
    </w:rPr>
  </w:style>
  <w:style w:type="character" w:customStyle="1" w:styleId="314">
    <w:name w:val="副标题 Char3"/>
    <w:qFormat/>
    <w:uiPriority w:val="11"/>
    <w:rPr>
      <w:rFonts w:ascii="Cambria" w:hAnsi="Cambria" w:cs="Times New Roman"/>
      <w:b/>
      <w:bCs/>
      <w:kern w:val="28"/>
      <w:sz w:val="32"/>
      <w:szCs w:val="32"/>
    </w:rPr>
  </w:style>
  <w:style w:type="character" w:customStyle="1" w:styleId="315">
    <w:name w:val="正文首行缩进 2 Char1"/>
    <w:qFormat/>
    <w:uiPriority w:val="99"/>
    <w:rPr>
      <w:rFonts w:eastAsia="仿宋_GB2312"/>
      <w:kern w:val="2"/>
      <w:sz w:val="21"/>
      <w:szCs w:val="24"/>
    </w:rPr>
  </w:style>
  <w:style w:type="character" w:customStyle="1" w:styleId="316">
    <w:name w:val="正文首行缩进 Char3"/>
    <w:qFormat/>
    <w:uiPriority w:val="99"/>
    <w:rPr>
      <w:rFonts w:eastAsia="仿宋_GB2312"/>
      <w:kern w:val="2"/>
      <w:sz w:val="21"/>
      <w:szCs w:val="24"/>
    </w:rPr>
  </w:style>
  <w:style w:type="character" w:customStyle="1" w:styleId="317">
    <w:name w:val="引用 Char3"/>
    <w:qFormat/>
    <w:uiPriority w:val="29"/>
    <w:rPr>
      <w:i/>
      <w:iCs/>
      <w:color w:val="000000"/>
      <w:kern w:val="2"/>
      <w:sz w:val="21"/>
      <w:szCs w:val="24"/>
    </w:rPr>
  </w:style>
  <w:style w:type="character" w:customStyle="1" w:styleId="318">
    <w:name w:val="明显引用 Char3"/>
    <w:qFormat/>
    <w:uiPriority w:val="30"/>
    <w:rPr>
      <w:b/>
      <w:bCs/>
      <w:i/>
      <w:iCs/>
      <w:color w:val="4F81BD"/>
      <w:kern w:val="2"/>
      <w:sz w:val="21"/>
      <w:szCs w:val="24"/>
    </w:rPr>
  </w:style>
  <w:style w:type="paragraph" w:customStyle="1" w:styleId="319">
    <w:name w:val="reader-word-layer reader-word-s1-11"/>
    <w:basedOn w:val="1"/>
    <w:qFormat/>
    <w:uiPriority w:val="0"/>
    <w:pPr>
      <w:widowControl/>
      <w:spacing w:before="100" w:beforeAutospacing="1" w:after="100" w:afterAutospacing="1"/>
      <w:jc w:val="left"/>
    </w:pPr>
    <w:rPr>
      <w:rFonts w:ascii="宋体" w:hAnsi="宋体" w:cs="宋体"/>
      <w:kern w:val="0"/>
      <w:sz w:val="24"/>
    </w:rPr>
  </w:style>
  <w:style w:type="paragraph" w:customStyle="1" w:styleId="320">
    <w:name w:val="xl68"/>
    <w:basedOn w:val="1"/>
    <w:qFormat/>
    <w:uiPriority w:val="99"/>
    <w:pPr>
      <w:widowControl/>
      <w:pBdr>
        <w:top w:val="single" w:color="auto" w:sz="4" w:space="0"/>
        <w:left w:val="single" w:color="auto" w:sz="4" w:space="0"/>
        <w:bottom w:val="single" w:color="auto" w:sz="4" w:space="0"/>
        <w:right w:val="single" w:color="auto" w:sz="8" w:space="0"/>
      </w:pBdr>
      <w:spacing w:before="100" w:beforeAutospacing="1" w:after="100" w:afterAutospacing="1"/>
      <w:jc w:val="left"/>
    </w:pPr>
    <w:rPr>
      <w:rFonts w:ascii="Arial Unicode MS" w:hAnsi="Arial Unicode MS" w:eastAsia="宋体fal" w:cs="Arial Unicode MS"/>
      <w:kern w:val="0"/>
      <w:sz w:val="24"/>
    </w:rPr>
  </w:style>
  <w:style w:type="paragraph" w:customStyle="1" w:styleId="321">
    <w:name w:val="无编号正文"/>
    <w:basedOn w:val="1"/>
    <w:next w:val="1"/>
    <w:qFormat/>
    <w:uiPriority w:val="99"/>
    <w:pPr>
      <w:ind w:left="200" w:leftChars="200" w:firstLine="200" w:firstLineChars="200"/>
    </w:pPr>
    <w:rPr>
      <w:rFonts w:ascii="宋体" w:hAnsi="宋体"/>
    </w:rPr>
  </w:style>
  <w:style w:type="paragraph" w:customStyle="1" w:styleId="322">
    <w:name w:val=" Char Char Char Char Char Char Char Char Char Char Char Char Char Char Char Char Char Char Char"/>
    <w:basedOn w:val="1"/>
    <w:qFormat/>
    <w:uiPriority w:val="0"/>
    <w:pPr>
      <w:widowControl/>
      <w:spacing w:line="400" w:lineRule="exact"/>
      <w:jc w:val="center"/>
    </w:pPr>
    <w:rPr>
      <w:rFonts w:ascii="Verdana" w:hAnsi="Verdana"/>
      <w:kern w:val="0"/>
      <w:szCs w:val="20"/>
      <w:lang w:eastAsia="en-US"/>
    </w:rPr>
  </w:style>
  <w:style w:type="paragraph" w:customStyle="1" w:styleId="323">
    <w:name w:val="方案标题2"/>
    <w:basedOn w:val="1"/>
    <w:next w:val="1"/>
    <w:qFormat/>
    <w:uiPriority w:val="0"/>
    <w:pPr>
      <w:keepLines/>
      <w:widowControl/>
      <w:adjustRightInd w:val="0"/>
      <w:snapToGrid w:val="0"/>
      <w:spacing w:before="200" w:after="40"/>
      <w:jc w:val="center"/>
      <w:outlineLvl w:val="1"/>
    </w:pPr>
    <w:rPr>
      <w:rFonts w:ascii="Arial" w:hAnsi="Arial" w:eastAsia="黑体fal" w:cs="Arial"/>
      <w:b/>
      <w:bCs/>
      <w:color w:val="000000"/>
      <w:spacing w:val="14"/>
      <w:kern w:val="0"/>
      <w:sz w:val="30"/>
      <w:szCs w:val="30"/>
    </w:rPr>
  </w:style>
  <w:style w:type="paragraph" w:customStyle="1" w:styleId="324">
    <w:name w:val="reader-word-layer reader-word-s1-5"/>
    <w:basedOn w:val="1"/>
    <w:qFormat/>
    <w:uiPriority w:val="0"/>
    <w:pPr>
      <w:widowControl/>
      <w:spacing w:before="100" w:beforeAutospacing="1" w:after="100" w:afterAutospacing="1"/>
      <w:jc w:val="left"/>
    </w:pPr>
    <w:rPr>
      <w:rFonts w:ascii="宋体" w:hAnsi="宋体" w:cs="宋体"/>
      <w:kern w:val="0"/>
      <w:sz w:val="24"/>
    </w:rPr>
  </w:style>
  <w:style w:type="paragraph" w:customStyle="1" w:styleId="325">
    <w:name w:val="标题 4_0"/>
    <w:basedOn w:val="326"/>
    <w:next w:val="326"/>
    <w:qFormat/>
    <w:uiPriority w:val="0"/>
    <w:pPr>
      <w:keepNext/>
      <w:keepLines/>
      <w:spacing w:before="280" w:after="290" w:line="372" w:lineRule="auto"/>
      <w:outlineLvl w:val="3"/>
    </w:pPr>
    <w:rPr>
      <w:rFonts w:ascii="Cambria" w:hAnsi="Cambria"/>
      <w:b/>
      <w:bCs/>
      <w:sz w:val="28"/>
      <w:szCs w:val="28"/>
    </w:rPr>
  </w:style>
  <w:style w:type="paragraph" w:customStyle="1" w:styleId="326">
    <w:name w:val="正文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327">
    <w:name w:val="xl1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328">
    <w:name w:val="正文缩进1"/>
    <w:basedOn w:val="1"/>
    <w:qFormat/>
    <w:uiPriority w:val="0"/>
    <w:pPr>
      <w:adjustRightInd w:val="0"/>
      <w:spacing w:line="312" w:lineRule="atLeast"/>
      <w:ind w:firstLine="420"/>
    </w:pPr>
    <w:rPr>
      <w:rFonts w:hint="eastAsia" w:ascii="Plotter" w:hAnsi="Plotter"/>
      <w:kern w:val="0"/>
      <w:szCs w:val="20"/>
    </w:rPr>
  </w:style>
  <w:style w:type="paragraph" w:customStyle="1" w:styleId="329">
    <w:name w:val="_Style 37"/>
    <w:basedOn w:val="1"/>
    <w:next w:val="1"/>
    <w:qFormat/>
    <w:uiPriority w:val="0"/>
    <w:pPr>
      <w:widowControl/>
      <w:jc w:val="left"/>
    </w:pPr>
    <w:rPr>
      <w:rFonts w:ascii="宋体" w:hAnsi="宋体" w:cs="宋体"/>
      <w:kern w:val="0"/>
      <w:sz w:val="24"/>
    </w:rPr>
  </w:style>
  <w:style w:type="paragraph" w:customStyle="1" w:styleId="330">
    <w:name w:val="正文2"/>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331">
    <w:name w:val="xl32"/>
    <w:basedOn w:val="1"/>
    <w:qFormat/>
    <w:uiPriority w:val="0"/>
    <w:pPr>
      <w:widowControl/>
      <w:pBdr>
        <w:bottom w:val="single" w:color="auto" w:sz="4" w:space="0"/>
        <w:right w:val="single" w:color="auto" w:sz="4" w:space="0"/>
      </w:pBdr>
      <w:spacing w:before="100" w:beforeAutospacing="1" w:after="100" w:afterAutospacing="1"/>
      <w:jc w:val="right"/>
    </w:pPr>
    <w:rPr>
      <w:rFonts w:ascii="Arial Unicode MS" w:hAnsi="Arial Unicode MS" w:eastAsia="宋体fal" w:cs="Arial Unicode MS"/>
      <w:kern w:val="0"/>
      <w:sz w:val="24"/>
    </w:rPr>
  </w:style>
  <w:style w:type="paragraph" w:customStyle="1" w:styleId="332">
    <w:name w:val="默认段落字体 Char Char Char"/>
    <w:basedOn w:val="20"/>
    <w:qFormat/>
    <w:uiPriority w:val="0"/>
    <w:pPr>
      <w:widowControl/>
      <w:topLinePunct/>
      <w:autoSpaceDE w:val="0"/>
      <w:adjustRightInd w:val="0"/>
      <w:spacing w:line="360" w:lineRule="auto"/>
      <w:jc w:val="left"/>
    </w:pPr>
    <w:rPr>
      <w:rFonts w:ascii="Tahoma" w:hAnsi="Tahoma" w:eastAsia="宋体" w:cs="宋体"/>
      <w:sz w:val="24"/>
    </w:rPr>
  </w:style>
  <w:style w:type="paragraph" w:customStyle="1" w:styleId="333">
    <w:name w:val="方案正文"/>
    <w:basedOn w:val="1"/>
    <w:qFormat/>
    <w:uiPriority w:val="0"/>
    <w:pPr>
      <w:widowControl/>
      <w:adjustRightInd w:val="0"/>
      <w:snapToGrid w:val="0"/>
      <w:spacing w:line="360" w:lineRule="auto"/>
      <w:ind w:firstLine="454" w:firstLineChars="200"/>
      <w:jc w:val="left"/>
    </w:pPr>
    <w:rPr>
      <w:rFonts w:ascii="Arial" w:hAnsi="Arial" w:eastAsia="宋体fal" w:cs="Arial"/>
      <w:color w:val="000000"/>
      <w:kern w:val="0"/>
      <w:sz w:val="24"/>
      <w:szCs w:val="21"/>
    </w:rPr>
  </w:style>
  <w:style w:type="paragraph" w:customStyle="1" w:styleId="334">
    <w:name w:val="小四 段落 宋体 Char"/>
    <w:basedOn w:val="1"/>
    <w:qFormat/>
    <w:uiPriority w:val="0"/>
    <w:pPr>
      <w:widowControl/>
      <w:spacing w:line="360" w:lineRule="auto"/>
      <w:ind w:right="-33" w:firstLine="480" w:firstLineChars="200"/>
      <w:jc w:val="left"/>
    </w:pPr>
    <w:rPr>
      <w:rFonts w:ascii="宋体" w:hAnsi="宋体" w:eastAsia="宋体fal" w:cs="宋体"/>
      <w:kern w:val="0"/>
      <w:sz w:val="24"/>
    </w:rPr>
  </w:style>
  <w:style w:type="paragraph" w:customStyle="1" w:styleId="335">
    <w:name w:val="项目符号A"/>
    <w:basedOn w:val="1"/>
    <w:qFormat/>
    <w:uiPriority w:val="0"/>
    <w:pPr>
      <w:widowControl/>
      <w:tabs>
        <w:tab w:val="left" w:pos="720"/>
      </w:tabs>
      <w:spacing w:before="50" w:line="300" w:lineRule="auto"/>
      <w:ind w:left="1021" w:hanging="661"/>
      <w:jc w:val="left"/>
    </w:pPr>
    <w:rPr>
      <w:rFonts w:ascii="Arial" w:hAnsi="Arial" w:cs="宋体"/>
      <w:color w:val="FF0000"/>
      <w:kern w:val="0"/>
      <w:sz w:val="24"/>
    </w:rPr>
  </w:style>
  <w:style w:type="paragraph" w:customStyle="1" w:styleId="336">
    <w:name w:val="xl57"/>
    <w:basedOn w:val="1"/>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color w:val="000000"/>
      <w:kern w:val="0"/>
      <w:sz w:val="24"/>
    </w:rPr>
  </w:style>
  <w:style w:type="paragraph" w:customStyle="1" w:styleId="337">
    <w:name w:val="SS正文首行缩进 +"/>
    <w:basedOn w:val="63"/>
    <w:qFormat/>
    <w:uiPriority w:val="0"/>
    <w:pPr>
      <w:topLinePunct w:val="0"/>
      <w:autoSpaceDE/>
      <w:adjustRightInd/>
      <w:spacing w:beforeLines="50" w:afterLines="50"/>
      <w:ind w:firstLine="480" w:firstLineChars="200"/>
    </w:pPr>
    <w:rPr>
      <w:rFonts w:ascii="黑体fal" w:eastAsia="黑体fal"/>
      <w:kern w:val="0"/>
    </w:rPr>
  </w:style>
  <w:style w:type="paragraph" w:customStyle="1" w:styleId="338">
    <w:name w:val="xl53"/>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left"/>
    </w:pPr>
    <w:rPr>
      <w:rFonts w:ascii="Arial Unicode MS" w:hAnsi="Arial Unicode MS" w:eastAsia="宋体fal" w:cs="Arial Unicode MS"/>
      <w:b/>
      <w:bCs/>
      <w:color w:val="000000"/>
      <w:kern w:val="0"/>
      <w:sz w:val="24"/>
    </w:rPr>
  </w:style>
  <w:style w:type="paragraph" w:customStyle="1" w:styleId="339">
    <w:name w:val="无间隔1"/>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40">
    <w:name w:val=" Char Char Char Char"/>
    <w:basedOn w:val="1"/>
    <w:next w:val="1"/>
    <w:qFormat/>
    <w:uiPriority w:val="0"/>
    <w:pPr>
      <w:widowControl/>
      <w:spacing w:after="160" w:line="240" w:lineRule="exact"/>
      <w:jc w:val="left"/>
    </w:pPr>
  </w:style>
  <w:style w:type="paragraph" w:customStyle="1" w:styleId="341">
    <w:name w:val="xl1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342">
    <w:name w:val="小标题 1"/>
    <w:basedOn w:val="1"/>
    <w:qFormat/>
    <w:uiPriority w:val="0"/>
    <w:pPr>
      <w:widowControl/>
      <w:autoSpaceDE w:val="0"/>
      <w:autoSpaceDN w:val="0"/>
      <w:adjustRightInd w:val="0"/>
      <w:spacing w:line="360" w:lineRule="atLeast"/>
      <w:ind w:firstLine="200" w:firstLineChars="200"/>
      <w:jc w:val="left"/>
    </w:pPr>
    <w:rPr>
      <w:rFonts w:ascii="文鼎粗黑" w:hAnsi="宋体" w:eastAsia="文鼎粗黑" w:cs="宋体"/>
      <w:kern w:val="0"/>
      <w:sz w:val="22"/>
      <w:szCs w:val="20"/>
    </w:rPr>
  </w:style>
  <w:style w:type="paragraph" w:customStyle="1" w:styleId="343">
    <w:name w:val="符号列表"/>
    <w:basedOn w:val="1"/>
    <w:qFormat/>
    <w:uiPriority w:val="0"/>
    <w:pPr>
      <w:widowControl/>
      <w:tabs>
        <w:tab w:val="left" w:pos="1680"/>
      </w:tabs>
      <w:snapToGrid w:val="0"/>
      <w:spacing w:line="440" w:lineRule="exact"/>
      <w:ind w:left="1680" w:hanging="420"/>
      <w:jc w:val="left"/>
    </w:pPr>
    <w:rPr>
      <w:rFonts w:ascii="宋体" w:hAnsi="宋体" w:eastAsia="宋体fal" w:cs="宋体"/>
      <w:color w:val="000000"/>
      <w:kern w:val="0"/>
      <w:sz w:val="24"/>
    </w:rPr>
  </w:style>
  <w:style w:type="paragraph" w:customStyle="1" w:styleId="344">
    <w:name w:val="GP标题5"/>
    <w:basedOn w:val="1"/>
    <w:next w:val="1"/>
    <w:qFormat/>
    <w:uiPriority w:val="0"/>
    <w:pPr>
      <w:widowControl/>
      <w:spacing w:beforeLines="50" w:afterLines="50" w:line="360" w:lineRule="auto"/>
      <w:jc w:val="left"/>
      <w:outlineLvl w:val="4"/>
    </w:pPr>
    <w:rPr>
      <w:rFonts w:ascii="华文细黑" w:hAnsi="华文细黑" w:eastAsia="华文细黑" w:cs="宋体"/>
      <w:b/>
      <w:kern w:val="0"/>
      <w:sz w:val="24"/>
      <w:szCs w:val="22"/>
    </w:rPr>
  </w:style>
  <w:style w:type="paragraph" w:customStyle="1" w:styleId="345">
    <w:name w:val=" Char Char1 Char Char Char"/>
    <w:basedOn w:val="20"/>
    <w:qFormat/>
    <w:uiPriority w:val="0"/>
  </w:style>
  <w:style w:type="paragraph" w:customStyle="1" w:styleId="346">
    <w:name w:val="xl18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347">
    <w:name w:val="Char1 Char Char Char Char Char Char Char Char Char Char Char Char1 Char Char1"/>
    <w:basedOn w:val="1"/>
    <w:qFormat/>
    <w:uiPriority w:val="0"/>
    <w:pPr>
      <w:widowControl/>
      <w:topLinePunct/>
      <w:autoSpaceDE w:val="0"/>
      <w:adjustRightInd w:val="0"/>
      <w:spacing w:line="360" w:lineRule="auto"/>
      <w:jc w:val="left"/>
    </w:pPr>
    <w:rPr>
      <w:rFonts w:ascii="Tahoma" w:hAnsi="Tahoma" w:cs="Tahoma"/>
      <w:kern w:val="0"/>
      <w:sz w:val="24"/>
    </w:rPr>
  </w:style>
  <w:style w:type="paragraph" w:customStyle="1" w:styleId="348">
    <w:name w:val="总标题（...设计方案）"/>
    <w:qFormat/>
    <w:uiPriority w:val="0"/>
    <w:pPr>
      <w:spacing w:line="480" w:lineRule="auto"/>
      <w:jc w:val="center"/>
    </w:pPr>
    <w:rPr>
      <w:rFonts w:ascii="Times New Roman" w:hAnsi="Times New Roman" w:eastAsia="宋体" w:cs="宋体"/>
      <w:b/>
      <w:sz w:val="44"/>
      <w:szCs w:val="21"/>
      <w:lang w:val="en-US" w:eastAsia="zh-CN" w:bidi="ar-SA"/>
    </w:rPr>
  </w:style>
  <w:style w:type="paragraph" w:customStyle="1" w:styleId="349">
    <w:name w:val="xl1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350">
    <w:name w:val="Char Char1 Char Char Char"/>
    <w:basedOn w:val="20"/>
    <w:qFormat/>
    <w:uiPriority w:val="0"/>
    <w:pPr>
      <w:widowControl/>
      <w:jc w:val="left"/>
    </w:pPr>
    <w:rPr>
      <w:rFonts w:ascii="Calibri" w:hAnsi="Calibri" w:eastAsia="宋体" w:cs="Times New Roman"/>
    </w:rPr>
  </w:style>
  <w:style w:type="paragraph" w:customStyle="1" w:styleId="351">
    <w:name w:val="xl60"/>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left"/>
    </w:pPr>
    <w:rPr>
      <w:rFonts w:ascii="Arial Unicode MS" w:hAnsi="Arial Unicode MS" w:eastAsia="宋体fal" w:cs="Arial Unicode MS"/>
      <w:color w:val="000000"/>
      <w:kern w:val="0"/>
      <w:sz w:val="24"/>
    </w:rPr>
  </w:style>
  <w:style w:type="paragraph" w:customStyle="1" w:styleId="352">
    <w:name w:val="样式 (中文) 黑体 小三 加粗 居中 行距: 1.5 倍行距"/>
    <w:basedOn w:val="1"/>
    <w:next w:val="1"/>
    <w:qFormat/>
    <w:uiPriority w:val="0"/>
    <w:pPr>
      <w:spacing w:line="360" w:lineRule="auto"/>
      <w:jc w:val="center"/>
    </w:pPr>
    <w:rPr>
      <w:rFonts w:eastAsia="黑体" w:cs="宋体"/>
      <w:b/>
      <w:bCs/>
      <w:sz w:val="30"/>
      <w:szCs w:val="20"/>
    </w:rPr>
  </w:style>
  <w:style w:type="paragraph" w:customStyle="1" w:styleId="353">
    <w:name w:val="xl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Arial Unicode MS" w:hAnsi="Arial Unicode MS" w:eastAsia="宋体fal" w:cs="Arial Unicode MS"/>
      <w:kern w:val="0"/>
      <w:sz w:val="24"/>
    </w:rPr>
  </w:style>
  <w:style w:type="paragraph" w:customStyle="1" w:styleId="354">
    <w:name w:val="xl1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355">
    <w:name w:val="Heading 5"/>
    <w:basedOn w:val="1"/>
    <w:next w:val="1"/>
    <w:qFormat/>
    <w:uiPriority w:val="0"/>
    <w:pPr>
      <w:widowControl/>
      <w:tabs>
        <w:tab w:val="left" w:pos="1008"/>
      </w:tabs>
      <w:topLinePunct/>
      <w:autoSpaceDE w:val="0"/>
      <w:adjustRightInd w:val="0"/>
      <w:spacing w:afterLines="50" w:line="300" w:lineRule="auto"/>
      <w:ind w:left="1008" w:hanging="1008"/>
      <w:jc w:val="left"/>
      <w:outlineLvl w:val="4"/>
    </w:pPr>
    <w:rPr>
      <w:rFonts w:ascii="Microsoft Sans Serif" w:hAnsi="Microsoft Sans Serif" w:cs="Microsoft Sans Serif"/>
      <w:b/>
      <w:bCs/>
      <w:kern w:val="0"/>
      <w:sz w:val="24"/>
      <w:szCs w:val="26"/>
    </w:rPr>
  </w:style>
  <w:style w:type="paragraph" w:customStyle="1" w:styleId="356">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b/>
      <w:bCs/>
      <w:color w:val="000000"/>
      <w:kern w:val="0"/>
      <w:sz w:val="24"/>
    </w:rPr>
  </w:style>
  <w:style w:type="paragraph" w:customStyle="1" w:styleId="357">
    <w:name w:val="默认段落字体 Para Char Char Char Char Char Char Char Char Char Char"/>
    <w:basedOn w:val="1"/>
    <w:qFormat/>
    <w:uiPriority w:val="0"/>
    <w:rPr>
      <w:rFonts w:hint="eastAsia" w:ascii="Tahoma" w:hAnsi="Tahoma"/>
      <w:sz w:val="24"/>
      <w:szCs w:val="20"/>
    </w:rPr>
  </w:style>
  <w:style w:type="paragraph" w:customStyle="1" w:styleId="358">
    <w:name w:val="Char Char2 Char Char Char Char"/>
    <w:basedOn w:val="1"/>
    <w:qFormat/>
    <w:uiPriority w:val="0"/>
    <w:pPr>
      <w:widowControl/>
      <w:jc w:val="left"/>
    </w:pPr>
    <w:rPr>
      <w:rFonts w:ascii="Tahoma" w:hAnsi="Tahoma" w:cs="宋体"/>
      <w:kern w:val="0"/>
      <w:sz w:val="24"/>
      <w:szCs w:val="20"/>
    </w:rPr>
  </w:style>
  <w:style w:type="paragraph" w:customStyle="1" w:styleId="359">
    <w:name w:val="(1)"/>
    <w:basedOn w:val="1"/>
    <w:qFormat/>
    <w:uiPriority w:val="99"/>
    <w:pPr>
      <w:tabs>
        <w:tab w:val="left" w:pos="1134"/>
        <w:tab w:val="left" w:pos="1647"/>
      </w:tabs>
    </w:pPr>
    <w:rPr>
      <w:rFonts w:ascii="宋体" w:hAnsi="宋体"/>
      <w:sz w:val="24"/>
    </w:rPr>
  </w:style>
  <w:style w:type="paragraph" w:customStyle="1" w:styleId="360">
    <w:name w:val="xl104"/>
    <w:basedOn w:val="1"/>
    <w:qFormat/>
    <w:uiPriority w:val="0"/>
    <w:pPr>
      <w:widowControl/>
      <w:pBdr>
        <w:top w:val="single" w:color="auto" w:sz="4" w:space="0"/>
        <w:left w:val="single" w:color="auto" w:sz="4"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kern w:val="0"/>
      <w:sz w:val="22"/>
      <w:szCs w:val="22"/>
    </w:rPr>
  </w:style>
  <w:style w:type="paragraph" w:customStyle="1" w:styleId="361">
    <w:name w:val="文字"/>
    <w:basedOn w:val="1"/>
    <w:qFormat/>
    <w:uiPriority w:val="0"/>
    <w:pPr>
      <w:tabs>
        <w:tab w:val="left" w:pos="8520"/>
      </w:tabs>
      <w:spacing w:line="312" w:lineRule="auto"/>
      <w:ind w:right="-210" w:firstLine="556"/>
    </w:pPr>
    <w:rPr>
      <w:rFonts w:ascii="楷体_GB2312" w:eastAsia="楷体_GB2312"/>
      <w:sz w:val="28"/>
      <w:szCs w:val="20"/>
    </w:rPr>
  </w:style>
  <w:style w:type="paragraph" w:customStyle="1" w:styleId="362">
    <w:name w:val="5"/>
    <w:basedOn w:val="1"/>
    <w:qFormat/>
    <w:uiPriority w:val="0"/>
    <w:pPr>
      <w:widowControl/>
      <w:tabs>
        <w:tab w:val="left" w:pos="360"/>
      </w:tabs>
      <w:topLinePunct/>
      <w:autoSpaceDE w:val="0"/>
      <w:adjustRightInd w:val="0"/>
      <w:spacing w:line="360" w:lineRule="auto"/>
      <w:jc w:val="left"/>
    </w:pPr>
    <w:rPr>
      <w:rFonts w:ascii="宋体" w:hAnsi="宋体" w:cs="宋体"/>
      <w:kern w:val="0"/>
      <w:sz w:val="24"/>
    </w:rPr>
  </w:style>
  <w:style w:type="paragraph" w:customStyle="1" w:styleId="363">
    <w:name w:val="Char Char 字元 字元 字元 Char Char Char Char"/>
    <w:basedOn w:val="1"/>
    <w:qFormat/>
    <w:uiPriority w:val="0"/>
    <w:pPr>
      <w:widowControl/>
      <w:adjustRightInd w:val="0"/>
      <w:spacing w:line="360" w:lineRule="auto"/>
      <w:jc w:val="left"/>
    </w:pPr>
    <w:rPr>
      <w:rFonts w:ascii="宋体" w:hAnsi="宋体" w:eastAsia="宋体fal" w:cs="宋体"/>
      <w:kern w:val="0"/>
      <w:sz w:val="24"/>
    </w:rPr>
  </w:style>
  <w:style w:type="paragraph" w:customStyle="1" w:styleId="364">
    <w:name w:val="CM28"/>
    <w:basedOn w:val="365"/>
    <w:next w:val="365"/>
    <w:qFormat/>
    <w:uiPriority w:val="0"/>
    <w:pPr>
      <w:spacing w:line="468" w:lineRule="atLeast"/>
    </w:pPr>
    <w:rPr>
      <w:rFonts w:cs="Times New Roman"/>
      <w:color w:val="auto"/>
    </w:rPr>
  </w:style>
  <w:style w:type="paragraph" w:customStyle="1" w:styleId="365">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366">
    <w:name w:val="xl138"/>
    <w:basedOn w:val="1"/>
    <w:qFormat/>
    <w:uiPriority w:val="0"/>
    <w:pPr>
      <w:widowControl/>
      <w:spacing w:before="100" w:beforeAutospacing="1" w:after="100" w:afterAutospacing="1"/>
      <w:jc w:val="center"/>
    </w:pPr>
    <w:rPr>
      <w:rFonts w:ascii="宋体" w:hAnsi="宋体" w:cs="宋体"/>
      <w:kern w:val="0"/>
      <w:sz w:val="24"/>
    </w:rPr>
  </w:style>
  <w:style w:type="paragraph" w:customStyle="1" w:styleId="367">
    <w:name w:val="xl140"/>
    <w:basedOn w:val="1"/>
    <w:qFormat/>
    <w:uiPriority w:val="0"/>
    <w:pPr>
      <w:widowControl/>
      <w:pBdr>
        <w:bottom w:val="single" w:color="auto" w:sz="4" w:space="0"/>
        <w:right w:val="single" w:color="auto" w:sz="4" w:space="0"/>
      </w:pBdr>
      <w:spacing w:before="100" w:beforeAutospacing="1" w:after="100" w:afterAutospacing="1"/>
      <w:jc w:val="left"/>
    </w:pPr>
    <w:rPr>
      <w:rFonts w:ascii="宋体" w:hAnsi="宋体" w:cs="宋体"/>
      <w:kern w:val="0"/>
      <w:sz w:val="18"/>
      <w:szCs w:val="18"/>
    </w:rPr>
  </w:style>
  <w:style w:type="paragraph" w:customStyle="1" w:styleId="368">
    <w:name w:val="Char Char Char Char"/>
    <w:basedOn w:val="1"/>
    <w:qFormat/>
    <w:uiPriority w:val="0"/>
    <w:rPr>
      <w:szCs w:val="20"/>
    </w:rPr>
  </w:style>
  <w:style w:type="paragraph" w:customStyle="1" w:styleId="369">
    <w:name w:val="xl58"/>
    <w:basedOn w:val="1"/>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color w:val="000000"/>
      <w:kern w:val="0"/>
      <w:sz w:val="24"/>
    </w:rPr>
  </w:style>
  <w:style w:type="paragraph" w:customStyle="1" w:styleId="370">
    <w:name w:val="xl1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371">
    <w:name w:val="Normal"/>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372">
    <w:name w:val="_Style 371"/>
    <w:basedOn w:val="4"/>
    <w:next w:val="1"/>
    <w:qFormat/>
    <w:uiPriority w:val="0"/>
    <w:pPr>
      <w:widowControl/>
      <w:spacing w:before="480" w:after="0" w:line="276" w:lineRule="auto"/>
      <w:jc w:val="left"/>
      <w:outlineLvl w:val="9"/>
    </w:pPr>
    <w:rPr>
      <w:rFonts w:ascii="Cambria" w:hAnsi="Cambria" w:eastAsia="宋体" w:cs="Times New Roman"/>
      <w:color w:val="365F91"/>
      <w:kern w:val="0"/>
      <w:sz w:val="28"/>
      <w:szCs w:val="28"/>
    </w:rPr>
  </w:style>
  <w:style w:type="paragraph" w:customStyle="1" w:styleId="373">
    <w:name w:val="xl41"/>
    <w:basedOn w:val="1"/>
    <w:qFormat/>
    <w:uiPriority w:val="0"/>
    <w:pPr>
      <w:widowControl/>
      <w:pBdr>
        <w:left w:val="single" w:color="auto" w:sz="8" w:space="0"/>
      </w:pBdr>
      <w:topLinePunct/>
      <w:autoSpaceDE w:val="0"/>
      <w:adjustRightInd w:val="0"/>
      <w:spacing w:before="100" w:beforeAutospacing="1" w:afterLines="50" w:afterAutospacing="1" w:line="360" w:lineRule="auto"/>
      <w:ind w:left="200" w:leftChars="200" w:firstLine="200"/>
      <w:jc w:val="center"/>
    </w:pPr>
    <w:rPr>
      <w:rFonts w:ascii="Arial Unicode MS" w:hAnsi="Arial Unicode MS" w:eastAsia="Arial Unicode MS" w:cs="Arial Unicode MS"/>
      <w:kern w:val="0"/>
      <w:sz w:val="16"/>
      <w:szCs w:val="16"/>
      <w:lang w:eastAsia="en-US"/>
    </w:rPr>
  </w:style>
  <w:style w:type="paragraph" w:customStyle="1" w:styleId="374">
    <w:name w:val="xl1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b/>
      <w:bCs/>
      <w:kern w:val="0"/>
      <w:sz w:val="24"/>
    </w:rPr>
  </w:style>
  <w:style w:type="paragraph" w:customStyle="1" w:styleId="375">
    <w:name w:val="Char"/>
    <w:basedOn w:val="1"/>
    <w:qFormat/>
    <w:uiPriority w:val="0"/>
  </w:style>
  <w:style w:type="paragraph" w:customStyle="1" w:styleId="376">
    <w:name w:val="xl26"/>
    <w:basedOn w:val="1"/>
    <w:qFormat/>
    <w:uiPriority w:val="0"/>
    <w:pPr>
      <w:widowControl/>
      <w:pBdr>
        <w:bottom w:val="single" w:color="auto" w:sz="4" w:space="0"/>
        <w:right w:val="single" w:color="auto" w:sz="4" w:space="0"/>
      </w:pBdr>
      <w:spacing w:before="100" w:beforeAutospacing="1" w:after="100" w:afterAutospacing="1"/>
      <w:jc w:val="left"/>
    </w:pPr>
    <w:rPr>
      <w:rFonts w:ascii="Arial Unicode MS" w:hAnsi="Arial Unicode MS" w:eastAsia="宋体fal" w:cs="Arial Unicode MS"/>
      <w:b/>
      <w:bCs/>
      <w:kern w:val="0"/>
      <w:sz w:val="24"/>
    </w:rPr>
  </w:style>
  <w:style w:type="paragraph" w:customStyle="1" w:styleId="377">
    <w:name w:val="msointensequote"/>
    <w:basedOn w:val="1"/>
    <w:next w:val="1"/>
    <w:qFormat/>
    <w:uiPriority w:val="0"/>
    <w:pPr>
      <w:widowControl/>
      <w:pBdr>
        <w:bottom w:val="single" w:color="4F81BD" w:sz="4" w:space="4"/>
      </w:pBdr>
      <w:spacing w:before="200" w:after="280"/>
      <w:ind w:left="936" w:right="936"/>
      <w:jc w:val="left"/>
    </w:pPr>
    <w:rPr>
      <w:rFonts w:ascii="宋体" w:hAnsi="宋体" w:cs="宋体"/>
      <w:b/>
      <w:bCs/>
      <w:i/>
      <w:iCs/>
      <w:color w:val="4F81BD"/>
      <w:kern w:val="0"/>
      <w:sz w:val="24"/>
      <w:szCs w:val="22"/>
    </w:rPr>
  </w:style>
  <w:style w:type="paragraph" w:customStyle="1" w:styleId="378">
    <w:name w:val="xl4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379">
    <w:name w:val="Char Char Char Char Char Char1 Char"/>
    <w:basedOn w:val="1"/>
    <w:qFormat/>
    <w:uiPriority w:val="0"/>
    <w:pPr>
      <w:widowControl/>
      <w:topLinePunct/>
      <w:autoSpaceDE w:val="0"/>
      <w:adjustRightInd w:val="0"/>
      <w:spacing w:after="160" w:line="240" w:lineRule="exact"/>
      <w:jc w:val="left"/>
    </w:pPr>
    <w:rPr>
      <w:rFonts w:ascii="Verdana" w:hAnsi="Verdana" w:cs="宋体"/>
      <w:kern w:val="0"/>
      <w:sz w:val="24"/>
      <w:szCs w:val="20"/>
      <w:lang w:eastAsia="en-US"/>
    </w:rPr>
  </w:style>
  <w:style w:type="paragraph" w:customStyle="1" w:styleId="380">
    <w:name w:val="Char Char Char Char Char Char1 Char Char Char Char Char Char Char Char Char Char Char Char Char Char Char Char"/>
    <w:basedOn w:val="1"/>
    <w:qFormat/>
    <w:uiPriority w:val="0"/>
    <w:pPr>
      <w:widowControl/>
      <w:jc w:val="left"/>
    </w:pPr>
    <w:rPr>
      <w:rFonts w:ascii="宋体" w:hAnsi="宋体" w:cs="宋体"/>
      <w:kern w:val="0"/>
      <w:sz w:val="24"/>
      <w:szCs w:val="20"/>
    </w:rPr>
  </w:style>
  <w:style w:type="paragraph" w:customStyle="1" w:styleId="381">
    <w:name w:val="1"/>
    <w:basedOn w:val="1"/>
    <w:next w:val="1"/>
    <w:qFormat/>
    <w:uiPriority w:val="0"/>
    <w:pPr>
      <w:widowControl/>
      <w:jc w:val="left"/>
    </w:pPr>
    <w:rPr>
      <w:rFonts w:ascii="宋体" w:hAnsi="宋体" w:cs="宋体"/>
      <w:kern w:val="0"/>
      <w:sz w:val="24"/>
    </w:rPr>
  </w:style>
  <w:style w:type="paragraph" w:customStyle="1" w:styleId="382">
    <w:name w:val="flType"/>
    <w:basedOn w:val="1"/>
    <w:qFormat/>
    <w:uiPriority w:val="0"/>
    <w:pPr>
      <w:adjustRightInd w:val="0"/>
      <w:spacing w:after="284" w:line="113" w:lineRule="atLeast"/>
      <w:jc w:val="center"/>
    </w:pPr>
    <w:rPr>
      <w:kern w:val="0"/>
      <w:sz w:val="24"/>
      <w:szCs w:val="20"/>
    </w:rPr>
  </w:style>
  <w:style w:type="paragraph" w:customStyle="1" w:styleId="383">
    <w:name w:val="表身（左）"/>
    <w:qFormat/>
    <w:uiPriority w:val="0"/>
    <w:pPr>
      <w:adjustRightInd w:val="0"/>
      <w:snapToGrid w:val="0"/>
      <w:spacing w:line="300" w:lineRule="auto"/>
      <w:textAlignment w:val="center"/>
    </w:pPr>
    <w:rPr>
      <w:rFonts w:ascii="Times New Roman" w:hAnsi="Times New Roman" w:eastAsia="宋体" w:cs="Times New Roman"/>
      <w:sz w:val="16"/>
      <w:lang w:val="en-US" w:eastAsia="zh-CN" w:bidi="ar-SA"/>
    </w:rPr>
  </w:style>
  <w:style w:type="paragraph" w:customStyle="1" w:styleId="384">
    <w:name w:val="font10"/>
    <w:basedOn w:val="1"/>
    <w:qFormat/>
    <w:uiPriority w:val="0"/>
    <w:pPr>
      <w:widowControl/>
      <w:spacing w:before="100" w:beforeAutospacing="1" w:after="100" w:afterAutospacing="1"/>
      <w:jc w:val="left"/>
    </w:pPr>
    <w:rPr>
      <w:rFonts w:ascii="宋体" w:hAnsi="宋体" w:cs="宋体"/>
      <w:kern w:val="0"/>
      <w:sz w:val="16"/>
      <w:szCs w:val="16"/>
    </w:rPr>
  </w:style>
  <w:style w:type="paragraph" w:customStyle="1" w:styleId="385">
    <w:name w:val="CM29"/>
    <w:basedOn w:val="1"/>
    <w:next w:val="1"/>
    <w:qFormat/>
    <w:uiPriority w:val="0"/>
    <w:pPr>
      <w:widowControl/>
      <w:topLinePunct/>
      <w:autoSpaceDE w:val="0"/>
      <w:autoSpaceDN w:val="0"/>
      <w:adjustRightInd w:val="0"/>
      <w:spacing w:line="468" w:lineRule="atLeast"/>
      <w:jc w:val="left"/>
    </w:pPr>
    <w:rPr>
      <w:rFonts w:ascii="宋体" w:hAnsi="宋体" w:cs="宋体"/>
      <w:kern w:val="0"/>
      <w:sz w:val="24"/>
    </w:rPr>
  </w:style>
  <w:style w:type="paragraph" w:customStyle="1" w:styleId="386">
    <w:name w:val="xl55"/>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right"/>
    </w:pPr>
    <w:rPr>
      <w:rFonts w:ascii="Arial Unicode MS" w:hAnsi="Arial Unicode MS" w:eastAsia="宋体fal" w:cs="Arial Unicode MS"/>
      <w:b/>
      <w:bCs/>
      <w:color w:val="000000"/>
      <w:kern w:val="0"/>
      <w:sz w:val="24"/>
    </w:rPr>
  </w:style>
  <w:style w:type="paragraph" w:customStyle="1" w:styleId="387">
    <w:name w:val="xl153"/>
    <w:basedOn w:val="1"/>
    <w:qFormat/>
    <w:uiPriority w:val="0"/>
    <w:pPr>
      <w:widowControl/>
      <w:pBdr>
        <w:top w:val="single" w:color="auto" w:sz="4" w:space="0"/>
        <w:left w:val="single" w:color="auto" w:sz="4" w:space="0"/>
        <w:bottom w:val="single" w:color="auto" w:sz="4" w:space="0"/>
        <w:right w:val="single" w:color="auto" w:sz="4" w:space="0"/>
      </w:pBdr>
      <w:shd w:val="clear" w:color="000000" w:fill="C0C0C0"/>
      <w:spacing w:before="100" w:beforeAutospacing="1" w:after="100" w:afterAutospacing="1"/>
      <w:jc w:val="left"/>
    </w:pPr>
    <w:rPr>
      <w:rFonts w:ascii="宋体" w:hAnsi="宋体" w:cs="宋体"/>
      <w:kern w:val="0"/>
      <w:sz w:val="20"/>
      <w:szCs w:val="20"/>
    </w:rPr>
  </w:style>
  <w:style w:type="paragraph" w:customStyle="1" w:styleId="388">
    <w:name w:val="xl1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389">
    <w:name w:val="xl145"/>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390">
    <w:name w:val="font14"/>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391">
    <w:name w:val="pa-0"/>
    <w:basedOn w:val="1"/>
    <w:qFormat/>
    <w:uiPriority w:val="0"/>
    <w:pPr>
      <w:widowControl/>
      <w:spacing w:line="240" w:lineRule="atLeast"/>
      <w:jc w:val="left"/>
    </w:pPr>
    <w:rPr>
      <w:rFonts w:ascii="宋体" w:hAnsi="宋体" w:cs="宋体"/>
      <w:kern w:val="0"/>
      <w:sz w:val="24"/>
    </w:rPr>
  </w:style>
  <w:style w:type="paragraph" w:customStyle="1" w:styleId="392">
    <w:name w:val="Heading 7"/>
    <w:basedOn w:val="1"/>
    <w:next w:val="1"/>
    <w:qFormat/>
    <w:uiPriority w:val="0"/>
    <w:pPr>
      <w:widowControl/>
      <w:tabs>
        <w:tab w:val="left" w:pos="1296"/>
      </w:tabs>
      <w:topLinePunct/>
      <w:autoSpaceDE w:val="0"/>
      <w:adjustRightInd w:val="0"/>
      <w:spacing w:afterLines="50" w:line="300" w:lineRule="auto"/>
      <w:ind w:left="1296" w:hanging="1296"/>
      <w:jc w:val="left"/>
      <w:outlineLvl w:val="6"/>
    </w:pPr>
    <w:rPr>
      <w:rFonts w:ascii="Microsoft Sans Serif" w:hAnsi="Microsoft Sans Serif" w:cs="Microsoft Sans Serif"/>
      <w:b/>
      <w:kern w:val="0"/>
      <w:sz w:val="24"/>
      <w:szCs w:val="21"/>
    </w:rPr>
  </w:style>
  <w:style w:type="paragraph" w:customStyle="1" w:styleId="393">
    <w:name w:val="Default Text"/>
    <w:basedOn w:val="1"/>
    <w:qFormat/>
    <w:uiPriority w:val="0"/>
    <w:pPr>
      <w:widowControl/>
      <w:overflowPunct w:val="0"/>
      <w:topLinePunct/>
      <w:autoSpaceDE w:val="0"/>
      <w:autoSpaceDN w:val="0"/>
      <w:adjustRightInd w:val="0"/>
      <w:spacing w:line="360" w:lineRule="auto"/>
      <w:jc w:val="left"/>
      <w:textAlignment w:val="baseline"/>
    </w:pPr>
    <w:rPr>
      <w:rFonts w:ascii="宋体" w:hAnsi="宋体" w:cs="宋体"/>
      <w:spacing w:val="20"/>
      <w:kern w:val="24"/>
      <w:sz w:val="24"/>
    </w:rPr>
  </w:style>
  <w:style w:type="paragraph" w:customStyle="1" w:styleId="394">
    <w:name w:val="xl63"/>
    <w:basedOn w:val="1"/>
    <w:qFormat/>
    <w:uiPriority w:val="99"/>
    <w:pPr>
      <w:widowControl/>
      <w:pBdr>
        <w:top w:val="single" w:color="auto" w:sz="4" w:space="0"/>
        <w:left w:val="single" w:color="auto" w:sz="4" w:space="0"/>
        <w:bottom w:val="single" w:color="auto" w:sz="8" w:space="0"/>
        <w:right w:val="single" w:color="auto" w:sz="8" w:space="0"/>
      </w:pBdr>
      <w:spacing w:before="100" w:beforeAutospacing="1" w:after="100" w:afterAutospacing="1"/>
      <w:jc w:val="right"/>
    </w:pPr>
    <w:rPr>
      <w:rFonts w:ascii="Arial Unicode MS" w:hAnsi="Arial Unicode MS" w:eastAsia="宋体fal" w:cs="Arial Unicode MS"/>
      <w:b/>
      <w:bCs/>
      <w:color w:val="000000"/>
      <w:kern w:val="0"/>
      <w:sz w:val="24"/>
    </w:rPr>
  </w:style>
  <w:style w:type="paragraph" w:customStyle="1" w:styleId="395">
    <w:name w:val="reader-word-layer reader-word-s1-10"/>
    <w:basedOn w:val="1"/>
    <w:qFormat/>
    <w:uiPriority w:val="0"/>
    <w:pPr>
      <w:widowControl/>
      <w:spacing w:before="100" w:beforeAutospacing="1" w:after="100" w:afterAutospacing="1"/>
      <w:jc w:val="left"/>
    </w:pPr>
    <w:rPr>
      <w:rFonts w:ascii="宋体" w:hAnsi="宋体" w:cs="宋体"/>
      <w:kern w:val="0"/>
      <w:sz w:val="24"/>
    </w:rPr>
  </w:style>
  <w:style w:type="paragraph" w:customStyle="1" w:styleId="396">
    <w:name w:val="msoquote"/>
    <w:basedOn w:val="1"/>
    <w:next w:val="1"/>
    <w:qFormat/>
    <w:uiPriority w:val="0"/>
    <w:pPr>
      <w:widowControl/>
      <w:jc w:val="left"/>
    </w:pPr>
    <w:rPr>
      <w:rFonts w:ascii="宋体" w:hAnsi="宋体" w:cs="宋体"/>
      <w:i/>
      <w:iCs/>
      <w:color w:val="000000"/>
      <w:kern w:val="0"/>
      <w:sz w:val="24"/>
      <w:szCs w:val="22"/>
    </w:rPr>
  </w:style>
  <w:style w:type="paragraph" w:customStyle="1" w:styleId="397">
    <w:name w:val="xl6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kern w:val="0"/>
      <w:sz w:val="24"/>
    </w:rPr>
  </w:style>
  <w:style w:type="paragraph" w:customStyle="1" w:styleId="398">
    <w:name w:val="宏图高科"/>
    <w:basedOn w:val="1"/>
    <w:qFormat/>
    <w:uiPriority w:val="0"/>
    <w:pPr>
      <w:widowControl/>
      <w:spacing w:line="360" w:lineRule="auto"/>
      <w:ind w:firstLine="480" w:firstLineChars="200"/>
      <w:jc w:val="left"/>
    </w:pPr>
    <w:rPr>
      <w:rFonts w:ascii="宋体" w:hAnsi="宋体" w:eastAsia="楷体_GB2312" w:cs="宋体"/>
      <w:kern w:val="0"/>
      <w:sz w:val="24"/>
      <w:szCs w:val="20"/>
    </w:rPr>
  </w:style>
  <w:style w:type="paragraph" w:customStyle="1" w:styleId="399">
    <w:name w:val="重点说明"/>
    <w:basedOn w:val="1"/>
    <w:qFormat/>
    <w:uiPriority w:val="0"/>
    <w:pPr>
      <w:widowControl/>
      <w:spacing w:before="40" w:after="40" w:line="400" w:lineRule="exact"/>
      <w:ind w:left="360" w:hanging="360"/>
    </w:pPr>
    <w:rPr>
      <w:rFonts w:ascii="宋体"/>
      <w:b/>
      <w:spacing w:val="6"/>
      <w:sz w:val="28"/>
      <w:szCs w:val="20"/>
    </w:rPr>
  </w:style>
  <w:style w:type="paragraph" w:customStyle="1" w:styleId="400">
    <w:name w:val="xl28"/>
    <w:basedOn w:val="1"/>
    <w:qFormat/>
    <w:uiPriority w:val="0"/>
    <w:pPr>
      <w:widowControl/>
      <w:pBdr>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kern w:val="0"/>
      <w:sz w:val="24"/>
    </w:rPr>
  </w:style>
  <w:style w:type="paragraph" w:customStyle="1" w:styleId="401">
    <w:name w:val="xl4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402">
    <w:name w:val="xl105"/>
    <w:basedOn w:val="1"/>
    <w:qFormat/>
    <w:uiPriority w:val="0"/>
    <w:pPr>
      <w:widowControl/>
      <w:pBdr>
        <w:top w:val="single" w:color="auto" w:sz="8" w:space="0"/>
        <w:left w:val="single" w:color="auto" w:sz="8"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szCs w:val="22"/>
    </w:rPr>
  </w:style>
  <w:style w:type="paragraph" w:customStyle="1" w:styleId="403">
    <w:name w:val="Char Char Char Char Char Char Char"/>
    <w:basedOn w:val="1"/>
    <w:qFormat/>
    <w:uiPriority w:val="0"/>
    <w:pPr>
      <w:widowControl/>
      <w:spacing w:after="160" w:line="240" w:lineRule="exact"/>
      <w:jc w:val="left"/>
    </w:pPr>
    <w:rPr>
      <w:rFonts w:ascii="宋体" w:hAnsi="宋体" w:cs="宋体"/>
      <w:kern w:val="0"/>
      <w:sz w:val="24"/>
    </w:rPr>
  </w:style>
  <w:style w:type="paragraph" w:customStyle="1" w:styleId="404">
    <w:name w:val="Char Char"/>
    <w:basedOn w:val="1"/>
    <w:next w:val="1"/>
    <w:qFormat/>
    <w:uiPriority w:val="0"/>
    <w:pPr>
      <w:widowControl/>
      <w:spacing w:after="160" w:line="240" w:lineRule="exact"/>
      <w:jc w:val="left"/>
    </w:pPr>
    <w:rPr>
      <w:szCs w:val="20"/>
    </w:rPr>
  </w:style>
  <w:style w:type="paragraph" w:customStyle="1" w:styleId="405">
    <w:name w:val="样式1"/>
    <w:basedOn w:val="4"/>
    <w:next w:val="1"/>
    <w:qFormat/>
    <w:uiPriority w:val="0"/>
    <w:pPr>
      <w:spacing w:line="240" w:lineRule="auto"/>
      <w:jc w:val="center"/>
    </w:pPr>
    <w:rPr>
      <w:rFonts w:eastAsia="黑体"/>
      <w:sz w:val="36"/>
    </w:rPr>
  </w:style>
  <w:style w:type="paragraph" w:customStyle="1" w:styleId="406">
    <w:name w:val="列表延续 2"/>
    <w:basedOn w:val="1"/>
    <w:qFormat/>
    <w:uiPriority w:val="0"/>
    <w:pPr>
      <w:widowControl/>
      <w:autoSpaceDE w:val="0"/>
      <w:autoSpaceDN w:val="0"/>
      <w:adjustRightInd w:val="0"/>
      <w:spacing w:line="360" w:lineRule="atLeast"/>
      <w:ind w:left="2040" w:hanging="2040" w:firstLineChars="200"/>
      <w:jc w:val="center"/>
    </w:pPr>
    <w:rPr>
      <w:rFonts w:ascii="长城楷体" w:hAnsi="宋体" w:eastAsia="长城楷体" w:cs="宋体"/>
      <w:spacing w:val="5"/>
      <w:kern w:val="0"/>
      <w:sz w:val="24"/>
      <w:szCs w:val="20"/>
    </w:rPr>
  </w:style>
  <w:style w:type="paragraph" w:customStyle="1" w:styleId="407">
    <w:name w:val="xl1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408">
    <w:name w:val="xl54"/>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rPr>
  </w:style>
  <w:style w:type="paragraph" w:customStyle="1" w:styleId="409">
    <w:name w:val="xl96"/>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Arial" w:hAnsi="Arial" w:cs="Arial"/>
      <w:b/>
      <w:bCs/>
      <w:kern w:val="0"/>
      <w:sz w:val="20"/>
      <w:szCs w:val="20"/>
    </w:rPr>
  </w:style>
  <w:style w:type="paragraph" w:customStyle="1" w:styleId="410">
    <w:name w:val="样式 (中文) 黑体 小三 黑色"/>
    <w:basedOn w:val="5"/>
    <w:qFormat/>
    <w:uiPriority w:val="0"/>
    <w:pPr>
      <w:spacing w:line="240" w:lineRule="auto"/>
      <w:jc w:val="center"/>
    </w:pPr>
    <w:rPr>
      <w:color w:val="000000"/>
      <w:sz w:val="30"/>
    </w:rPr>
  </w:style>
  <w:style w:type="paragraph" w:customStyle="1" w:styleId="411">
    <w:name w:val="xl1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412">
    <w:name w:val="CM33"/>
    <w:basedOn w:val="1"/>
    <w:next w:val="1"/>
    <w:qFormat/>
    <w:uiPriority w:val="0"/>
    <w:pPr>
      <w:widowControl/>
      <w:topLinePunct/>
      <w:autoSpaceDE w:val="0"/>
      <w:autoSpaceDN w:val="0"/>
      <w:adjustRightInd w:val="0"/>
      <w:spacing w:line="468" w:lineRule="atLeast"/>
      <w:jc w:val="left"/>
    </w:pPr>
    <w:rPr>
      <w:rFonts w:ascii="宋体" w:hAnsi="宋体" w:cs="宋体"/>
      <w:kern w:val="0"/>
      <w:sz w:val="24"/>
    </w:rPr>
  </w:style>
  <w:style w:type="paragraph" w:customStyle="1" w:styleId="413">
    <w:name w:val="_Style 7"/>
    <w:basedOn w:val="1"/>
    <w:next w:val="1"/>
    <w:qFormat/>
    <w:uiPriority w:val="0"/>
    <w:pPr>
      <w:widowControl/>
      <w:spacing w:after="160" w:line="240" w:lineRule="exact"/>
      <w:jc w:val="left"/>
    </w:pPr>
  </w:style>
  <w:style w:type="paragraph" w:customStyle="1" w:styleId="414">
    <w:name w:val="样式 (中文) 黑体 小二 加粗 居中 行距: 1.5 倍行距"/>
    <w:basedOn w:val="4"/>
    <w:qFormat/>
    <w:uiPriority w:val="0"/>
    <w:pPr>
      <w:spacing w:line="240" w:lineRule="auto"/>
      <w:jc w:val="center"/>
    </w:pPr>
    <w:rPr>
      <w:rFonts w:eastAsia="黑体" w:cs="宋体"/>
      <w:b w:val="0"/>
      <w:bCs w:val="0"/>
      <w:spacing w:val="60"/>
      <w:sz w:val="36"/>
      <w:szCs w:val="20"/>
    </w:rPr>
  </w:style>
  <w:style w:type="paragraph" w:customStyle="1" w:styleId="415">
    <w:name w:val="xl89"/>
    <w:basedOn w:val="1"/>
    <w:qFormat/>
    <w:uiPriority w:val="0"/>
    <w:pPr>
      <w:widowControl/>
      <w:pBdr>
        <w:top w:val="single" w:color="auto" w:sz="4" w:space="0"/>
        <w:left w:val="single" w:color="auto" w:sz="8" w:space="0"/>
        <w:bottom w:val="single" w:color="auto" w:sz="4" w:space="0"/>
        <w:right w:val="single" w:color="auto" w:sz="4" w:space="0"/>
      </w:pBdr>
      <w:shd w:val="clear" w:color="auto" w:fill="CCFFFF"/>
      <w:topLinePunct/>
      <w:autoSpaceDE w:val="0"/>
      <w:adjustRightInd w:val="0"/>
      <w:spacing w:before="100" w:beforeAutospacing="1" w:after="100" w:afterAutospacing="1"/>
      <w:jc w:val="center"/>
      <w:textAlignment w:val="center"/>
    </w:pPr>
    <w:rPr>
      <w:rFonts w:ascii="Arial" w:hAnsi="Arial" w:cs="Arial"/>
      <w:b/>
      <w:bCs/>
      <w:kern w:val="0"/>
      <w:sz w:val="20"/>
      <w:szCs w:val="20"/>
    </w:rPr>
  </w:style>
  <w:style w:type="paragraph" w:customStyle="1" w:styleId="416">
    <w:name w:val="paragraphindent"/>
    <w:basedOn w:val="1"/>
    <w:qFormat/>
    <w:uiPriority w:val="0"/>
    <w:pPr>
      <w:widowControl/>
      <w:spacing w:before="100" w:beforeAutospacing="1" w:after="100" w:afterAutospacing="1"/>
      <w:jc w:val="left"/>
    </w:pPr>
    <w:rPr>
      <w:rFonts w:ascii="宋体" w:hAnsi="宋体" w:cs="宋体"/>
      <w:kern w:val="0"/>
      <w:sz w:val="24"/>
    </w:rPr>
  </w:style>
  <w:style w:type="paragraph" w:customStyle="1" w:styleId="417">
    <w:name w:val="GP标题2"/>
    <w:basedOn w:val="1"/>
    <w:next w:val="1"/>
    <w:qFormat/>
    <w:uiPriority w:val="0"/>
    <w:pPr>
      <w:widowControl/>
      <w:spacing w:beforeLines="50" w:afterLines="50" w:line="360" w:lineRule="auto"/>
      <w:jc w:val="left"/>
      <w:outlineLvl w:val="1"/>
    </w:pPr>
    <w:rPr>
      <w:rFonts w:ascii="华文细黑" w:hAnsi="华文细黑" w:eastAsia="华文细黑" w:cs="宋体"/>
      <w:b/>
      <w:kern w:val="0"/>
      <w:sz w:val="32"/>
      <w:szCs w:val="22"/>
    </w:rPr>
  </w:style>
  <w:style w:type="paragraph" w:customStyle="1" w:styleId="418">
    <w:name w:val="xl61"/>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right"/>
    </w:pPr>
    <w:rPr>
      <w:rFonts w:ascii="Arial Unicode MS" w:hAnsi="Arial Unicode MS" w:eastAsia="宋体fal" w:cs="Arial Unicode MS"/>
      <w:b/>
      <w:bCs/>
      <w:color w:val="000000"/>
      <w:kern w:val="0"/>
      <w:sz w:val="24"/>
    </w:rPr>
  </w:style>
  <w:style w:type="paragraph" w:customStyle="1" w:styleId="419">
    <w:name w:val="xl87"/>
    <w:basedOn w:val="1"/>
    <w:qFormat/>
    <w:uiPriority w:val="0"/>
    <w:pPr>
      <w:widowControl/>
      <w:pBdr>
        <w:top w:val="single" w:color="auto" w:sz="4" w:space="0"/>
        <w:left w:val="single" w:color="auto" w:sz="8" w:space="0"/>
        <w:bottom w:val="single" w:color="auto" w:sz="4" w:space="0"/>
        <w:right w:val="single" w:color="auto" w:sz="4" w:space="0"/>
      </w:pBdr>
      <w:shd w:val="clear" w:color="auto" w:fill="CCFFFF"/>
      <w:topLinePunct/>
      <w:autoSpaceDE w:val="0"/>
      <w:adjustRightInd w:val="0"/>
      <w:spacing w:before="100" w:beforeAutospacing="1" w:after="100" w:afterAutospacing="1"/>
      <w:jc w:val="center"/>
      <w:textAlignment w:val="center"/>
    </w:pPr>
    <w:rPr>
      <w:rFonts w:ascii="宋体" w:hAnsi="宋体" w:cs="宋体"/>
      <w:b/>
      <w:bCs/>
      <w:kern w:val="0"/>
      <w:sz w:val="20"/>
      <w:szCs w:val="20"/>
    </w:rPr>
  </w:style>
  <w:style w:type="paragraph" w:customStyle="1" w:styleId="420">
    <w:name w:val="正文段"/>
    <w:basedOn w:val="1"/>
    <w:qFormat/>
    <w:uiPriority w:val="0"/>
    <w:pPr>
      <w:widowControl/>
      <w:topLinePunct/>
      <w:autoSpaceDE w:val="0"/>
      <w:adjustRightInd w:val="0"/>
      <w:spacing w:after="240" w:line="360" w:lineRule="atLeast"/>
      <w:jc w:val="left"/>
    </w:pPr>
    <w:rPr>
      <w:rFonts w:ascii="宋体" w:hAnsi="宋体" w:cs="宋体"/>
      <w:kern w:val="0"/>
      <w:sz w:val="24"/>
      <w:szCs w:val="20"/>
    </w:rPr>
  </w:style>
  <w:style w:type="paragraph" w:customStyle="1" w:styleId="421">
    <w:name w:val="xl1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b/>
      <w:bCs/>
      <w:kern w:val="0"/>
      <w:sz w:val="24"/>
    </w:rPr>
  </w:style>
  <w:style w:type="paragraph" w:customStyle="1" w:styleId="422">
    <w:name w:val="xl1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b/>
      <w:bCs/>
      <w:kern w:val="0"/>
      <w:sz w:val="18"/>
      <w:szCs w:val="18"/>
    </w:rPr>
  </w:style>
  <w:style w:type="paragraph" w:customStyle="1" w:styleId="423">
    <w:name w:val="xl67"/>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kern w:val="0"/>
      <w:sz w:val="24"/>
    </w:rPr>
  </w:style>
  <w:style w:type="paragraph" w:customStyle="1" w:styleId="424">
    <w:name w:val="font12"/>
    <w:basedOn w:val="1"/>
    <w:qFormat/>
    <w:uiPriority w:val="0"/>
    <w:pPr>
      <w:widowControl/>
      <w:spacing w:before="100" w:beforeAutospacing="1" w:after="100" w:afterAutospacing="1"/>
      <w:jc w:val="left"/>
    </w:pPr>
    <w:rPr>
      <w:rFonts w:ascii="宋体" w:hAnsi="宋体" w:cs="宋体"/>
      <w:color w:val="000000"/>
      <w:kern w:val="0"/>
      <w:sz w:val="18"/>
      <w:szCs w:val="18"/>
    </w:rPr>
  </w:style>
  <w:style w:type="paragraph" w:customStyle="1" w:styleId="425">
    <w:name w:val="列出段落2"/>
    <w:basedOn w:val="1"/>
    <w:qFormat/>
    <w:uiPriority w:val="0"/>
    <w:pPr>
      <w:widowControl/>
      <w:ind w:firstLine="420" w:firstLineChars="200"/>
      <w:jc w:val="left"/>
    </w:pPr>
    <w:rPr>
      <w:rFonts w:ascii="宋体" w:hAnsi="宋体" w:eastAsia="宋体fal" w:cs="宋体"/>
      <w:kern w:val="0"/>
      <w:sz w:val="28"/>
      <w:szCs w:val="28"/>
    </w:rPr>
  </w:style>
  <w:style w:type="paragraph" w:customStyle="1" w:styleId="426">
    <w:name w:val="xl95"/>
    <w:basedOn w:val="1"/>
    <w:qFormat/>
    <w:uiPriority w:val="0"/>
    <w:pPr>
      <w:widowControl/>
      <w:pBdr>
        <w:top w:val="single" w:color="auto" w:sz="4" w:space="0"/>
        <w:left w:val="single" w:color="auto" w:sz="8" w:space="0"/>
        <w:bottom w:val="single" w:color="auto" w:sz="4" w:space="0"/>
        <w:right w:val="single" w:color="auto" w:sz="4" w:space="0"/>
      </w:pBdr>
      <w:shd w:val="clear" w:color="auto" w:fill="CC99FF"/>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szCs w:val="22"/>
    </w:rPr>
  </w:style>
  <w:style w:type="paragraph" w:customStyle="1" w:styleId="427">
    <w:name w:val="xl18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428">
    <w:name w:val="xl78"/>
    <w:basedOn w:val="1"/>
    <w:qFormat/>
    <w:uiPriority w:val="99"/>
    <w:pPr>
      <w:widowControl/>
      <w:pBdr>
        <w:top w:val="single" w:color="auto" w:sz="4" w:space="0"/>
        <w:left w:val="single" w:color="auto" w:sz="4"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szCs w:val="22"/>
    </w:rPr>
  </w:style>
  <w:style w:type="paragraph" w:customStyle="1" w:styleId="429">
    <w:name w:val="xl1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430">
    <w:name w:val="xl27"/>
    <w:basedOn w:val="1"/>
    <w:qFormat/>
    <w:uiPriority w:val="0"/>
    <w:pPr>
      <w:widowControl/>
      <w:pBdr>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kern w:val="0"/>
      <w:sz w:val="24"/>
    </w:rPr>
  </w:style>
  <w:style w:type="paragraph" w:customStyle="1" w:styleId="431">
    <w:name w:val="xl103"/>
    <w:basedOn w:val="1"/>
    <w:qFormat/>
    <w:uiPriority w:val="0"/>
    <w:pPr>
      <w:widowControl/>
      <w:pBdr>
        <w:top w:val="single" w:color="auto" w:sz="8" w:space="0"/>
        <w:left w:val="single" w:color="auto" w:sz="4"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kern w:val="0"/>
      <w:sz w:val="22"/>
      <w:szCs w:val="22"/>
    </w:rPr>
  </w:style>
  <w:style w:type="paragraph" w:customStyle="1" w:styleId="432">
    <w:name w:val="标题 3_0"/>
    <w:basedOn w:val="326"/>
    <w:next w:val="326"/>
    <w:qFormat/>
    <w:uiPriority w:val="0"/>
    <w:pPr>
      <w:keepNext/>
      <w:keepLines/>
      <w:spacing w:before="260" w:after="260" w:line="413" w:lineRule="auto"/>
      <w:outlineLvl w:val="2"/>
    </w:pPr>
    <w:rPr>
      <w:rFonts w:ascii="Times New Roman" w:hAnsi="Times New Roman"/>
      <w:b/>
      <w:bCs/>
      <w:sz w:val="32"/>
      <w:szCs w:val="32"/>
    </w:rPr>
  </w:style>
  <w:style w:type="paragraph" w:customStyle="1" w:styleId="433">
    <w:name w:val="cwh"/>
    <w:basedOn w:val="1"/>
    <w:qFormat/>
    <w:uiPriority w:val="0"/>
    <w:pPr>
      <w:widowControl/>
      <w:spacing w:before="100" w:beforeAutospacing="1" w:after="100" w:afterAutospacing="1" w:line="280" w:lineRule="atLeast"/>
      <w:jc w:val="left"/>
    </w:pPr>
    <w:rPr>
      <w:rFonts w:ascii="宋体fal" w:hAnsi="宋体fal" w:eastAsia="宋体fal" w:cs="宋体fal"/>
      <w:kern w:val="0"/>
      <w:sz w:val="18"/>
      <w:szCs w:val="18"/>
    </w:rPr>
  </w:style>
  <w:style w:type="paragraph" w:customStyle="1" w:styleId="434">
    <w:name w:val="xl135"/>
    <w:basedOn w:val="1"/>
    <w:qFormat/>
    <w:uiPriority w:val="0"/>
    <w:pPr>
      <w:widowControl/>
      <w:pBdr>
        <w:bottom w:val="single" w:color="auto" w:sz="4" w:space="0"/>
        <w:right w:val="single" w:color="auto" w:sz="4" w:space="0"/>
      </w:pBdr>
      <w:spacing w:before="100" w:beforeAutospacing="1" w:after="100" w:afterAutospacing="1"/>
      <w:jc w:val="left"/>
    </w:pPr>
    <w:rPr>
      <w:rFonts w:ascii="宋体" w:hAnsi="宋体" w:cs="宋体"/>
      <w:kern w:val="0"/>
      <w:sz w:val="18"/>
      <w:szCs w:val="18"/>
    </w:rPr>
  </w:style>
  <w:style w:type="paragraph" w:customStyle="1" w:styleId="435">
    <w:name w:val="xl90"/>
    <w:basedOn w:val="1"/>
    <w:qFormat/>
    <w:uiPriority w:val="0"/>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pPr>
    <w:rPr>
      <w:rFonts w:ascii="Arial" w:hAnsi="Arial" w:cs="Arial"/>
      <w:kern w:val="0"/>
      <w:sz w:val="20"/>
      <w:szCs w:val="20"/>
    </w:rPr>
  </w:style>
  <w:style w:type="paragraph" w:customStyle="1" w:styleId="436">
    <w:name w:val="Char Char1 Char Char Char Char Char Char"/>
    <w:basedOn w:val="1"/>
    <w:qFormat/>
    <w:uiPriority w:val="0"/>
    <w:pPr>
      <w:widowControl/>
      <w:jc w:val="left"/>
    </w:pPr>
    <w:rPr>
      <w:rFonts w:ascii="Verdana" w:hAnsi="Verdana" w:eastAsia="仿宋_GB2312" w:cs="Verdana"/>
      <w:kern w:val="0"/>
      <w:sz w:val="28"/>
      <w:szCs w:val="28"/>
      <w:lang w:eastAsia="en-US"/>
    </w:rPr>
  </w:style>
  <w:style w:type="paragraph" w:customStyle="1" w:styleId="437">
    <w:name w:val="样式 首行缩进:  2 字符3"/>
    <w:basedOn w:val="1"/>
    <w:qFormat/>
    <w:uiPriority w:val="0"/>
    <w:pPr>
      <w:widowControl/>
      <w:topLinePunct/>
      <w:autoSpaceDE w:val="0"/>
      <w:adjustRightInd w:val="0"/>
      <w:spacing w:line="360" w:lineRule="auto"/>
      <w:jc w:val="left"/>
    </w:pPr>
    <w:rPr>
      <w:rFonts w:ascii="宋体" w:hAnsi="宋体" w:cs="宋体"/>
      <w:kern w:val="0"/>
      <w:sz w:val="24"/>
      <w:szCs w:val="20"/>
    </w:rPr>
  </w:style>
  <w:style w:type="paragraph" w:customStyle="1" w:styleId="438">
    <w:name w:val="xl99"/>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pPr>
    <w:rPr>
      <w:rFonts w:ascii="Arial" w:hAnsi="Arial" w:cs="Arial"/>
      <w:b/>
      <w:bCs/>
      <w:kern w:val="0"/>
      <w:sz w:val="20"/>
      <w:szCs w:val="20"/>
    </w:rPr>
  </w:style>
  <w:style w:type="paragraph" w:customStyle="1" w:styleId="439">
    <w:name w:val="样式 标题 2 + 小三 居中"/>
    <w:basedOn w:val="5"/>
    <w:qFormat/>
    <w:uiPriority w:val="0"/>
    <w:pPr>
      <w:widowControl/>
      <w:spacing w:line="240" w:lineRule="auto"/>
      <w:jc w:val="center"/>
    </w:pPr>
    <w:rPr>
      <w:rFonts w:ascii="Tahoma" w:hAnsi="Tahoma" w:eastAsia="@时尚中黑简体" w:cs="@时尚中黑简体"/>
      <w:sz w:val="30"/>
      <w:szCs w:val="20"/>
      <w:lang w:val="en-US" w:eastAsia="zh-CN"/>
    </w:rPr>
  </w:style>
  <w:style w:type="paragraph" w:customStyle="1" w:styleId="440">
    <w:name w:val="列出段落1"/>
    <w:basedOn w:val="1"/>
    <w:qFormat/>
    <w:uiPriority w:val="0"/>
    <w:pPr>
      <w:widowControl/>
      <w:ind w:firstLine="420" w:firstLineChars="200"/>
      <w:jc w:val="left"/>
    </w:pPr>
    <w:rPr>
      <w:rFonts w:ascii="Calibri" w:hAnsi="Calibri" w:cs="宋体"/>
      <w:kern w:val="0"/>
      <w:sz w:val="24"/>
      <w:szCs w:val="20"/>
    </w:rPr>
  </w:style>
  <w:style w:type="paragraph" w:customStyle="1" w:styleId="441">
    <w:name w:val="reader-word-layer reader-word-s4-14"/>
    <w:basedOn w:val="1"/>
    <w:qFormat/>
    <w:uiPriority w:val="0"/>
    <w:pPr>
      <w:widowControl/>
      <w:spacing w:before="100" w:beforeAutospacing="1" w:after="100" w:afterAutospacing="1"/>
      <w:jc w:val="left"/>
    </w:pPr>
    <w:rPr>
      <w:rFonts w:ascii="宋体" w:hAnsi="宋体" w:cs="宋体"/>
      <w:kern w:val="0"/>
      <w:sz w:val="24"/>
    </w:rPr>
  </w:style>
  <w:style w:type="paragraph" w:customStyle="1" w:styleId="442">
    <w:name w:val="xl141"/>
    <w:basedOn w:val="1"/>
    <w:qFormat/>
    <w:uiPriority w:val="0"/>
    <w:pPr>
      <w:widowControl/>
      <w:pBdr>
        <w:bottom w:val="single" w:color="auto" w:sz="4" w:space="0"/>
        <w:right w:val="single" w:color="auto" w:sz="4" w:space="0"/>
      </w:pBdr>
      <w:spacing w:before="100" w:beforeAutospacing="1" w:after="100" w:afterAutospacing="1"/>
      <w:jc w:val="left"/>
    </w:pPr>
    <w:rPr>
      <w:rFonts w:ascii="宋体" w:hAnsi="宋体" w:cs="宋体"/>
      <w:b/>
      <w:bCs/>
      <w:kern w:val="0"/>
      <w:sz w:val="18"/>
      <w:szCs w:val="18"/>
    </w:rPr>
  </w:style>
  <w:style w:type="paragraph" w:customStyle="1" w:styleId="443">
    <w:name w:val="¹Ø×¢ÀàÐÍ:1"/>
    <w:basedOn w:val="1"/>
    <w:qFormat/>
    <w:uiPriority w:val="0"/>
    <w:pPr>
      <w:keepNext/>
      <w:widowControl/>
      <w:pBdr>
        <w:top w:val="single" w:color="auto" w:sz="6" w:space="7"/>
        <w:bottom w:val="single" w:color="auto" w:sz="6" w:space="7"/>
      </w:pBdr>
      <w:tabs>
        <w:tab w:val="left" w:pos="375"/>
      </w:tabs>
      <w:overflowPunct w:val="0"/>
      <w:autoSpaceDE w:val="0"/>
      <w:autoSpaceDN w:val="0"/>
      <w:adjustRightInd w:val="0"/>
      <w:spacing w:before="120" w:after="120" w:line="240" w:lineRule="exact"/>
      <w:ind w:firstLine="200" w:firstLineChars="200"/>
      <w:jc w:val="left"/>
      <w:textAlignment w:val="baseline"/>
    </w:pPr>
    <w:rPr>
      <w:rFonts w:ascii="宋体" w:hAnsi="宋体" w:eastAsia="华文中宋" w:cs="宋体"/>
      <w:kern w:val="0"/>
      <w:sz w:val="24"/>
      <w:szCs w:val="20"/>
    </w:rPr>
  </w:style>
  <w:style w:type="paragraph" w:customStyle="1" w:styleId="444">
    <w:name w:val="xl59"/>
    <w:basedOn w:val="1"/>
    <w:qFormat/>
    <w:uiPriority w:val="0"/>
    <w:pPr>
      <w:widowControl/>
      <w:pBdr>
        <w:top w:val="single" w:color="auto" w:sz="8" w:space="0"/>
        <w:left w:val="single" w:color="auto" w:sz="4" w:space="0"/>
        <w:bottom w:val="single" w:color="auto" w:sz="4" w:space="0"/>
        <w:right w:val="single" w:color="auto" w:sz="8" w:space="0"/>
      </w:pBdr>
      <w:spacing w:before="100" w:beforeAutospacing="1" w:after="100" w:afterAutospacing="1"/>
      <w:jc w:val="center"/>
    </w:pPr>
    <w:rPr>
      <w:rFonts w:ascii="Arial Unicode MS" w:hAnsi="Arial Unicode MS" w:eastAsia="宋体fal" w:cs="Arial Unicode MS"/>
      <w:b/>
      <w:bCs/>
      <w:color w:val="000000"/>
      <w:kern w:val="0"/>
      <w:sz w:val="24"/>
    </w:rPr>
  </w:style>
  <w:style w:type="paragraph" w:customStyle="1" w:styleId="445">
    <w:name w:val="xl102"/>
    <w:basedOn w:val="1"/>
    <w:qFormat/>
    <w:uiPriority w:val="0"/>
    <w:pPr>
      <w:widowControl/>
      <w:pBdr>
        <w:top w:val="single" w:color="auto" w:sz="8" w:space="0"/>
        <w:left w:val="single" w:color="auto" w:sz="4"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szCs w:val="22"/>
    </w:rPr>
  </w:style>
  <w:style w:type="paragraph" w:customStyle="1" w:styleId="446">
    <w:name w:val="xl15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447">
    <w:name w:val="¹Ø×¢ÄÚÈÝ:1"/>
    <w:basedOn w:val="1"/>
    <w:qFormat/>
    <w:uiPriority w:val="0"/>
    <w:pPr>
      <w:widowControl/>
      <w:pBdr>
        <w:top w:val="single" w:color="auto" w:sz="6" w:space="7"/>
        <w:bottom w:val="single" w:color="auto" w:sz="6" w:space="7"/>
      </w:pBdr>
      <w:tabs>
        <w:tab w:val="left" w:pos="375"/>
      </w:tabs>
      <w:overflowPunct w:val="0"/>
      <w:autoSpaceDE w:val="0"/>
      <w:autoSpaceDN w:val="0"/>
      <w:adjustRightInd w:val="0"/>
      <w:spacing w:before="120" w:after="120" w:line="240" w:lineRule="exact"/>
      <w:ind w:firstLine="200" w:firstLineChars="200"/>
      <w:jc w:val="left"/>
      <w:textAlignment w:val="baseline"/>
    </w:pPr>
    <w:rPr>
      <w:rFonts w:ascii="宋体" w:hAnsi="宋体" w:eastAsia="华文中宋" w:cs="宋体"/>
      <w:kern w:val="0"/>
      <w:sz w:val="24"/>
      <w:szCs w:val="20"/>
    </w:rPr>
  </w:style>
  <w:style w:type="paragraph" w:customStyle="1" w:styleId="448">
    <w:name w:val="标书正文格式"/>
    <w:qFormat/>
    <w:uiPriority w:val="0"/>
    <w:pPr>
      <w:spacing w:line="360" w:lineRule="auto"/>
      <w:ind w:firstLine="200" w:firstLineChars="200"/>
    </w:pPr>
    <w:rPr>
      <w:rFonts w:ascii="Times New Roman" w:hAnsi="Times New Roman" w:eastAsia="楷体_GB2312" w:cs="Times New Roman"/>
      <w:sz w:val="24"/>
      <w:szCs w:val="24"/>
      <w:lang w:val="en-US" w:eastAsia="zh-CN" w:bidi="ar-SA"/>
    </w:rPr>
  </w:style>
  <w:style w:type="paragraph" w:customStyle="1" w:styleId="449">
    <w:name w:val="xl1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450">
    <w:name w:val="a"/>
    <w:basedOn w:val="1"/>
    <w:qFormat/>
    <w:uiPriority w:val="0"/>
    <w:pPr>
      <w:widowControl/>
      <w:topLinePunct/>
      <w:autoSpaceDE w:val="0"/>
      <w:adjustRightInd w:val="0"/>
      <w:spacing w:before="100" w:beforeAutospacing="1" w:after="100" w:afterAutospacing="1" w:line="360" w:lineRule="auto"/>
      <w:jc w:val="left"/>
    </w:pPr>
    <w:rPr>
      <w:rFonts w:ascii="宋体" w:hAnsi="宋体" w:cs="宋体"/>
      <w:kern w:val="0"/>
      <w:sz w:val="24"/>
    </w:rPr>
  </w:style>
  <w:style w:type="paragraph" w:customStyle="1" w:styleId="451">
    <w:name w:val="样式 标题 3 + (中文) 黑体 小四 非加粗 段前: 7.8 磅 段后: 0 磅 行距: 固定值 20 磅"/>
    <w:basedOn w:val="6"/>
    <w:qFormat/>
    <w:uiPriority w:val="0"/>
    <w:pPr>
      <w:spacing w:before="0" w:after="0" w:line="400" w:lineRule="exact"/>
    </w:pPr>
    <w:rPr>
      <w:rFonts w:eastAsia="黑体" w:cs="宋体"/>
      <w:b w:val="0"/>
      <w:bCs w:val="0"/>
      <w:sz w:val="24"/>
      <w:szCs w:val="20"/>
    </w:rPr>
  </w:style>
  <w:style w:type="paragraph" w:customStyle="1" w:styleId="452">
    <w:name w:val="标题_0"/>
    <w:basedOn w:val="453"/>
    <w:qFormat/>
    <w:uiPriority w:val="0"/>
    <w:pPr>
      <w:spacing w:before="120" w:after="120" w:line="360" w:lineRule="auto"/>
      <w:jc w:val="center"/>
      <w:outlineLvl w:val="0"/>
    </w:pPr>
    <w:rPr>
      <w:rFonts w:ascii="黑体" w:hAnsi="Arial" w:eastAsia="黑体"/>
      <w:b/>
      <w:bCs/>
      <w:kern w:val="2"/>
      <w:sz w:val="32"/>
      <w:szCs w:val="32"/>
    </w:rPr>
  </w:style>
  <w:style w:type="paragraph" w:customStyle="1" w:styleId="453">
    <w:name w:val="正文_1"/>
    <w:qFormat/>
    <w:uiPriority w:val="0"/>
    <w:rPr>
      <w:rFonts w:ascii="Times New Roman" w:hAnsi="Times New Roman" w:eastAsia="宋体" w:cs="Times New Roman"/>
      <w:sz w:val="21"/>
      <w:szCs w:val="22"/>
      <w:lang w:val="en-US" w:eastAsia="zh-CN" w:bidi="ar-SA"/>
    </w:rPr>
  </w:style>
  <w:style w:type="paragraph" w:customStyle="1" w:styleId="454">
    <w:name w:val="标题 1_0"/>
    <w:basedOn w:val="326"/>
    <w:next w:val="326"/>
    <w:qFormat/>
    <w:uiPriority w:val="0"/>
    <w:pPr>
      <w:keepNext/>
      <w:keepLines/>
      <w:spacing w:before="340" w:after="330" w:line="576" w:lineRule="auto"/>
      <w:outlineLvl w:val="0"/>
    </w:pPr>
    <w:rPr>
      <w:rFonts w:ascii="Times New Roman" w:hAnsi="Times New Roman"/>
      <w:b/>
      <w:bCs/>
      <w:kern w:val="44"/>
      <w:sz w:val="44"/>
      <w:szCs w:val="44"/>
    </w:rPr>
  </w:style>
  <w:style w:type="paragraph" w:customStyle="1" w:styleId="455">
    <w:name w:val="表样式"/>
    <w:basedOn w:val="1"/>
    <w:qFormat/>
    <w:uiPriority w:val="0"/>
    <w:pPr>
      <w:widowControl/>
      <w:tabs>
        <w:tab w:val="center" w:pos="4153"/>
        <w:tab w:val="right" w:pos="8306"/>
      </w:tabs>
      <w:autoSpaceDE w:val="0"/>
      <w:autoSpaceDN w:val="0"/>
      <w:adjustRightInd w:val="0"/>
      <w:spacing w:line="360" w:lineRule="auto"/>
      <w:jc w:val="left"/>
    </w:pPr>
    <w:rPr>
      <w:rFonts w:ascii="宋体fal" w:hAnsi="宋体" w:eastAsia="宋体fal" w:cs="宋体fal"/>
      <w:kern w:val="0"/>
      <w:sz w:val="24"/>
      <w:szCs w:val="21"/>
    </w:rPr>
  </w:style>
  <w:style w:type="paragraph" w:customStyle="1" w:styleId="456">
    <w:name w:val="xl77"/>
    <w:basedOn w:val="1"/>
    <w:qFormat/>
    <w:uiPriority w:val="99"/>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宋体" w:hAnsi="宋体" w:cs="宋体"/>
      <w:kern w:val="0"/>
      <w:sz w:val="20"/>
      <w:szCs w:val="20"/>
    </w:rPr>
  </w:style>
  <w:style w:type="paragraph" w:customStyle="1" w:styleId="457">
    <w:name w:val="Heading 3"/>
    <w:basedOn w:val="1"/>
    <w:next w:val="1"/>
    <w:qFormat/>
    <w:uiPriority w:val="0"/>
    <w:pPr>
      <w:keepNext/>
      <w:widowControl/>
      <w:pBdr>
        <w:bottom w:val="single" w:color="auto" w:sz="4" w:space="1"/>
      </w:pBdr>
      <w:tabs>
        <w:tab w:val="left" w:pos="900"/>
        <w:tab w:val="left" w:pos="1080"/>
      </w:tabs>
      <w:topLinePunct/>
      <w:autoSpaceDE w:val="0"/>
      <w:adjustRightInd w:val="0"/>
      <w:spacing w:afterLines="50" w:line="360" w:lineRule="auto"/>
      <w:ind w:left="720" w:hanging="720"/>
      <w:jc w:val="left"/>
      <w:outlineLvl w:val="2"/>
    </w:pPr>
    <w:rPr>
      <w:rFonts w:ascii="宋体" w:hAnsi="宋体" w:cs="Arial"/>
      <w:b/>
      <w:kern w:val="0"/>
      <w:sz w:val="24"/>
      <w:szCs w:val="21"/>
    </w:rPr>
  </w:style>
  <w:style w:type="paragraph" w:customStyle="1" w:styleId="458">
    <w:name w:val="段落正文"/>
    <w:basedOn w:val="1"/>
    <w:qFormat/>
    <w:uiPriority w:val="0"/>
    <w:pPr>
      <w:widowControl/>
      <w:spacing w:line="360" w:lineRule="auto"/>
      <w:ind w:firstLine="480" w:firstLineChars="200"/>
      <w:jc w:val="left"/>
    </w:pPr>
    <w:rPr>
      <w:rFonts w:ascii="宋体" w:hAnsi="宋体" w:eastAsia="华文中宋" w:cs="宋体"/>
      <w:kern w:val="0"/>
      <w:sz w:val="24"/>
    </w:rPr>
  </w:style>
  <w:style w:type="paragraph" w:customStyle="1" w:styleId="459">
    <w:name w:val="reader-word-layer reader-word-s1-9"/>
    <w:basedOn w:val="1"/>
    <w:qFormat/>
    <w:uiPriority w:val="0"/>
    <w:pPr>
      <w:widowControl/>
      <w:spacing w:before="100" w:beforeAutospacing="1" w:after="100" w:afterAutospacing="1"/>
      <w:jc w:val="left"/>
    </w:pPr>
    <w:rPr>
      <w:rFonts w:ascii="宋体" w:hAnsi="宋体" w:cs="宋体"/>
      <w:kern w:val="0"/>
      <w:sz w:val="24"/>
    </w:rPr>
  </w:style>
  <w:style w:type="paragraph" w:customStyle="1" w:styleId="460">
    <w:name w:val="font5"/>
    <w:basedOn w:val="1"/>
    <w:qFormat/>
    <w:uiPriority w:val="0"/>
    <w:pPr>
      <w:widowControl/>
      <w:topLinePunct/>
      <w:autoSpaceDE w:val="0"/>
      <w:adjustRightInd w:val="0"/>
      <w:spacing w:before="100" w:beforeAutospacing="1" w:after="100" w:afterAutospacing="1"/>
      <w:jc w:val="left"/>
    </w:pPr>
    <w:rPr>
      <w:rFonts w:ascii="宋体" w:hAnsi="宋体" w:cs="宋体"/>
      <w:kern w:val="0"/>
      <w:sz w:val="18"/>
      <w:szCs w:val="18"/>
    </w:rPr>
  </w:style>
  <w:style w:type="paragraph" w:customStyle="1" w:styleId="461">
    <w:name w:val="标准正文"/>
    <w:basedOn w:val="1"/>
    <w:qFormat/>
    <w:uiPriority w:val="0"/>
    <w:pPr>
      <w:snapToGrid w:val="0"/>
      <w:spacing w:line="312" w:lineRule="auto"/>
      <w:ind w:firstLine="482"/>
    </w:pPr>
    <w:rPr>
      <w:sz w:val="24"/>
      <w:szCs w:val="20"/>
    </w:rPr>
  </w:style>
  <w:style w:type="paragraph" w:customStyle="1" w:styleId="462">
    <w:name w:val="xl1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463">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rPr>
  </w:style>
  <w:style w:type="paragraph" w:customStyle="1" w:styleId="464">
    <w:name w:val="xl33"/>
    <w:basedOn w:val="1"/>
    <w:qFormat/>
    <w:uiPriority w:val="0"/>
    <w:pPr>
      <w:widowControl/>
      <w:pBdr>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kern w:val="0"/>
      <w:sz w:val="24"/>
    </w:rPr>
  </w:style>
  <w:style w:type="paragraph" w:customStyle="1" w:styleId="465">
    <w:name w:val="xl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Arial Unicode MS" w:hAnsi="Arial Unicode MS" w:eastAsia="宋体fal" w:cs="Arial Unicode MS"/>
      <w:color w:val="000000"/>
      <w:kern w:val="0"/>
      <w:sz w:val="24"/>
    </w:rPr>
  </w:style>
  <w:style w:type="paragraph" w:customStyle="1" w:styleId="466">
    <w:name w:val="xl91"/>
    <w:basedOn w:val="1"/>
    <w:qFormat/>
    <w:uiPriority w:val="0"/>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宋体" w:hAnsi="宋体" w:cs="宋体"/>
      <w:b/>
      <w:bCs/>
      <w:kern w:val="0"/>
      <w:sz w:val="20"/>
      <w:szCs w:val="20"/>
    </w:rPr>
  </w:style>
  <w:style w:type="paragraph" w:customStyle="1" w:styleId="467">
    <w:name w:val="列出段落11"/>
    <w:basedOn w:val="1"/>
    <w:qFormat/>
    <w:uiPriority w:val="0"/>
    <w:pPr>
      <w:widowControl/>
      <w:ind w:firstLine="420" w:firstLineChars="200"/>
      <w:jc w:val="left"/>
    </w:pPr>
    <w:rPr>
      <w:rFonts w:ascii="Calibri" w:hAnsi="Calibri" w:eastAsia="宋体fal" w:cs="宋体fal"/>
      <w:kern w:val="0"/>
      <w:sz w:val="24"/>
      <w:szCs w:val="21"/>
    </w:rPr>
  </w:style>
  <w:style w:type="paragraph" w:customStyle="1" w:styleId="468">
    <w:name w:val="xl139"/>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469">
    <w:name w:val="Char Char1"/>
    <w:basedOn w:val="1"/>
    <w:qFormat/>
    <w:uiPriority w:val="0"/>
    <w:pPr>
      <w:widowControl/>
      <w:jc w:val="left"/>
    </w:pPr>
    <w:rPr>
      <w:rFonts w:ascii="宋体" w:hAnsi="宋体" w:cs="宋体"/>
      <w:kern w:val="0"/>
      <w:sz w:val="24"/>
    </w:rPr>
  </w:style>
  <w:style w:type="paragraph" w:customStyle="1" w:styleId="470">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kern w:val="0"/>
      <w:sz w:val="20"/>
      <w:szCs w:val="20"/>
    </w:rPr>
  </w:style>
  <w:style w:type="paragraph" w:customStyle="1" w:styleId="471">
    <w:name w:val="xl97"/>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pPr>
    <w:rPr>
      <w:rFonts w:ascii="Arial" w:hAnsi="Arial" w:cs="Arial"/>
      <w:kern w:val="0"/>
      <w:sz w:val="20"/>
      <w:szCs w:val="20"/>
    </w:rPr>
  </w:style>
  <w:style w:type="paragraph" w:customStyle="1" w:styleId="472">
    <w:name w:val="样式 标题 2 + (西文) 宋体 居中"/>
    <w:basedOn w:val="5"/>
    <w:qFormat/>
    <w:uiPriority w:val="0"/>
    <w:pPr>
      <w:widowControl/>
      <w:spacing w:line="416" w:lineRule="auto"/>
      <w:jc w:val="center"/>
    </w:pPr>
    <w:rPr>
      <w:rFonts w:ascii="宋体" w:hAnsi="宋体" w:cs="宋体"/>
      <w:szCs w:val="20"/>
      <w:lang w:val="en-US" w:eastAsia="zh-CN"/>
    </w:rPr>
  </w:style>
  <w:style w:type="paragraph" w:customStyle="1" w:styleId="473">
    <w:name w:val="xl1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18"/>
      <w:szCs w:val="18"/>
    </w:rPr>
  </w:style>
  <w:style w:type="paragraph" w:customStyle="1" w:styleId="474">
    <w:name w:val="xl1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475">
    <w:name w:val="font8"/>
    <w:basedOn w:val="1"/>
    <w:qFormat/>
    <w:uiPriority w:val="0"/>
    <w:pPr>
      <w:widowControl/>
      <w:topLinePunct/>
      <w:autoSpaceDE w:val="0"/>
      <w:adjustRightInd w:val="0"/>
      <w:spacing w:before="100" w:beforeAutospacing="1" w:after="100" w:afterAutospacing="1"/>
      <w:jc w:val="left"/>
    </w:pPr>
    <w:rPr>
      <w:rFonts w:ascii="Arial" w:hAnsi="Arial" w:cs="Arial"/>
      <w:kern w:val="0"/>
      <w:sz w:val="16"/>
      <w:szCs w:val="16"/>
    </w:rPr>
  </w:style>
  <w:style w:type="paragraph" w:customStyle="1" w:styleId="476">
    <w:name w:val="xl1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477">
    <w:name w:val="xl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478">
    <w:name w:val=" Char Char Char Char Char Char Char Char Char Char Char Char Char"/>
    <w:basedOn w:val="1"/>
    <w:qFormat/>
    <w:uiPriority w:val="0"/>
    <w:pPr>
      <w:tabs>
        <w:tab w:val="left" w:pos="420"/>
      </w:tabs>
      <w:ind w:left="420" w:hanging="420"/>
    </w:pPr>
    <w:rPr>
      <w:rFonts w:ascii="Tahoma" w:hAnsi="Tahoma"/>
      <w:sz w:val="24"/>
      <w:szCs w:val="20"/>
    </w:rPr>
  </w:style>
  <w:style w:type="paragraph" w:customStyle="1" w:styleId="479">
    <w:name w:val="xl100"/>
    <w:basedOn w:val="1"/>
    <w:qFormat/>
    <w:uiPriority w:val="0"/>
    <w:pPr>
      <w:widowControl/>
      <w:pBdr>
        <w:top w:val="single" w:color="auto" w:sz="4" w:space="0"/>
        <w:left w:val="single" w:color="auto" w:sz="8" w:space="0"/>
        <w:bottom w:val="single" w:color="auto" w:sz="8" w:space="0"/>
        <w:right w:val="single" w:color="auto" w:sz="4" w:space="0"/>
      </w:pBdr>
      <w:shd w:val="clear" w:color="auto" w:fill="FF0000"/>
      <w:topLinePunct/>
      <w:autoSpaceDE w:val="0"/>
      <w:adjustRightInd w:val="0"/>
      <w:spacing w:before="100" w:beforeAutospacing="1" w:after="100" w:afterAutospacing="1"/>
      <w:jc w:val="left"/>
    </w:pPr>
    <w:rPr>
      <w:rFonts w:ascii="宋体" w:hAnsi="宋体" w:cs="宋体"/>
      <w:b/>
      <w:bCs/>
      <w:kern w:val="0"/>
      <w:sz w:val="24"/>
    </w:rPr>
  </w:style>
  <w:style w:type="paragraph" w:customStyle="1" w:styleId="480">
    <w:name w:val="_Style 479"/>
    <w:qFormat/>
    <w:uiPriority w:val="0"/>
    <w:rPr>
      <w:rFonts w:ascii="Times New Roman" w:hAnsi="Times New Roman" w:eastAsia="宋体" w:cs="Times New Roman"/>
      <w:kern w:val="2"/>
      <w:sz w:val="21"/>
      <w:szCs w:val="24"/>
      <w:lang w:val="en-US" w:eastAsia="zh-CN" w:bidi="ar-SA"/>
    </w:rPr>
  </w:style>
  <w:style w:type="paragraph" w:customStyle="1" w:styleId="481">
    <w:name w:val=" Char Char2 Char Char Char Char"/>
    <w:basedOn w:val="1"/>
    <w:qFormat/>
    <w:uiPriority w:val="0"/>
    <w:rPr>
      <w:rFonts w:ascii="Tahoma" w:hAnsi="Tahoma"/>
      <w:sz w:val="24"/>
      <w:szCs w:val="20"/>
    </w:rPr>
  </w:style>
  <w:style w:type="paragraph" w:customStyle="1" w:styleId="482">
    <w:name w:val="xl51"/>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483">
    <w:name w:val="xl29"/>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kern w:val="0"/>
      <w:sz w:val="24"/>
    </w:rPr>
  </w:style>
  <w:style w:type="paragraph" w:customStyle="1" w:styleId="484">
    <w:name w:val="31a（正文）章标题"/>
    <w:qFormat/>
    <w:uiPriority w:val="0"/>
    <w:pPr>
      <w:adjustRightInd w:val="0"/>
      <w:snapToGrid w:val="0"/>
      <w:spacing w:before="156" w:beforeLines="50" w:after="156" w:afterLines="50"/>
      <w:ind w:firstLine="315" w:firstLineChars="150"/>
      <w:jc w:val="both"/>
      <w:outlineLvl w:val="0"/>
    </w:pPr>
    <w:rPr>
      <w:rFonts w:ascii="楷体_GB2312" w:hAnsi="仿宋_GB2312" w:eastAsia="宋体" w:cs="Times New Roman"/>
      <w:sz w:val="21"/>
      <w:lang w:val="en-US" w:eastAsia="zh-CN" w:bidi="ar-SA"/>
    </w:rPr>
  </w:style>
  <w:style w:type="paragraph" w:customStyle="1" w:styleId="485">
    <w:name w:val="默认段落字体 Para Char Char Char Char"/>
    <w:basedOn w:val="1"/>
    <w:qFormat/>
    <w:uiPriority w:val="0"/>
  </w:style>
  <w:style w:type="paragraph" w:customStyle="1" w:styleId="486">
    <w:name w:val="sys Lbl"/>
    <w:basedOn w:val="1"/>
    <w:qFormat/>
    <w:uiPriority w:val="0"/>
    <w:pPr>
      <w:widowControl/>
      <w:topLinePunct/>
      <w:autoSpaceDE w:val="0"/>
      <w:adjustRightInd w:val="0"/>
      <w:spacing w:line="360" w:lineRule="auto"/>
      <w:jc w:val="left"/>
    </w:pPr>
    <w:rPr>
      <w:rFonts w:ascii="HelveticaNeue LT 55 Roman" w:hAnsi="HelveticaNeue LT 55 Roman" w:eastAsia="Times New Roman" w:cs="宋体"/>
      <w:smallCaps/>
      <w:kern w:val="0"/>
      <w:sz w:val="20"/>
      <w:szCs w:val="20"/>
      <w:lang w:eastAsia="en-US"/>
    </w:rPr>
  </w:style>
  <w:style w:type="paragraph" w:customStyle="1" w:styleId="487">
    <w:name w:val="List Paragraph1"/>
    <w:basedOn w:val="1"/>
    <w:qFormat/>
    <w:uiPriority w:val="99"/>
    <w:pPr>
      <w:ind w:firstLine="420" w:firstLineChars="200"/>
    </w:pPr>
    <w:rPr>
      <w:rFonts w:ascii="Calibri" w:hAnsi="Calibri"/>
      <w:szCs w:val="22"/>
    </w:rPr>
  </w:style>
  <w:style w:type="paragraph" w:customStyle="1" w:styleId="488">
    <w:name w:val="xl4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rPr>
  </w:style>
  <w:style w:type="paragraph" w:customStyle="1" w:styleId="489">
    <w:name w:val="样式 标题 2 + Times New Roman 四号 非加粗 段前: 5 磅 段后: 0 磅 行距: 固定值 20..."/>
    <w:basedOn w:val="5"/>
    <w:qFormat/>
    <w:uiPriority w:val="0"/>
    <w:pPr>
      <w:widowControl/>
      <w:spacing w:before="100" w:after="0" w:line="400" w:lineRule="exact"/>
      <w:jc w:val="left"/>
    </w:pPr>
    <w:rPr>
      <w:rFonts w:ascii="Times New Roman" w:hAnsi="Times New Roman" w:cs="宋体"/>
      <w:b w:val="0"/>
      <w:bCs w:val="0"/>
      <w:kern w:val="0"/>
      <w:sz w:val="28"/>
      <w:szCs w:val="20"/>
      <w:lang w:val="en-US" w:eastAsia="zh-CN"/>
    </w:rPr>
  </w:style>
  <w:style w:type="paragraph" w:customStyle="1" w:styleId="490">
    <w:name w:val="xl39"/>
    <w:basedOn w:val="1"/>
    <w:qFormat/>
    <w:uiPriority w:val="0"/>
    <w:pPr>
      <w:widowControl/>
      <w:pBdr>
        <w:left w:val="single" w:color="auto" w:sz="4" w:space="0"/>
        <w:right w:val="single" w:color="auto" w:sz="4" w:space="0"/>
      </w:pBdr>
      <w:topLinePunct/>
      <w:autoSpaceDE w:val="0"/>
      <w:adjustRightInd w:val="0"/>
      <w:spacing w:before="100" w:beforeAutospacing="1" w:afterLines="50" w:afterAutospacing="1" w:line="360" w:lineRule="auto"/>
      <w:ind w:left="200" w:leftChars="200" w:firstLine="200"/>
      <w:jc w:val="center"/>
    </w:pPr>
    <w:rPr>
      <w:rFonts w:ascii="Arial Unicode MS" w:hAnsi="Arial Unicode MS" w:eastAsia="Arial Unicode MS" w:cs="Arial Unicode MS"/>
      <w:kern w:val="0"/>
      <w:sz w:val="16"/>
      <w:szCs w:val="16"/>
      <w:lang w:eastAsia="en-US"/>
    </w:rPr>
  </w:style>
  <w:style w:type="paragraph" w:customStyle="1" w:styleId="491">
    <w:name w:val="xl133"/>
    <w:basedOn w:val="1"/>
    <w:qFormat/>
    <w:uiPriority w:val="0"/>
    <w:pPr>
      <w:widowControl/>
      <w:shd w:val="clear" w:color="000000" w:fill="C0C0C0"/>
      <w:spacing w:before="100" w:beforeAutospacing="1" w:after="100" w:afterAutospacing="1"/>
      <w:jc w:val="left"/>
    </w:pPr>
    <w:rPr>
      <w:rFonts w:ascii="宋体" w:hAnsi="宋体" w:cs="宋体"/>
      <w:kern w:val="0"/>
      <w:sz w:val="20"/>
      <w:szCs w:val="20"/>
    </w:rPr>
  </w:style>
  <w:style w:type="paragraph" w:customStyle="1" w:styleId="492">
    <w:name w:val="xl16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493">
    <w:name w:val="格式1"/>
    <w:next w:val="1"/>
    <w:qFormat/>
    <w:uiPriority w:val="0"/>
    <w:pPr>
      <w:keepNext/>
      <w:widowControl w:val="0"/>
      <w:adjustRightInd w:val="0"/>
      <w:snapToGrid w:val="0"/>
      <w:spacing w:before="156" w:line="440" w:lineRule="exact"/>
      <w:jc w:val="both"/>
      <w:outlineLvl w:val="3"/>
    </w:pPr>
    <w:rPr>
      <w:rFonts w:ascii="Times New Roman" w:hAnsi="Times New Roman" w:eastAsia="宋体" w:cs="Times New Roman"/>
      <w:b/>
      <w:bCs/>
      <w:sz w:val="24"/>
      <w:szCs w:val="24"/>
      <w:lang w:val="en-US" w:eastAsia="zh-CN" w:bidi="ar-SA"/>
    </w:rPr>
  </w:style>
  <w:style w:type="paragraph" w:customStyle="1" w:styleId="494">
    <w:name w:val="xl80"/>
    <w:basedOn w:val="1"/>
    <w:qFormat/>
    <w:uiPriority w:val="99"/>
    <w:pPr>
      <w:widowControl/>
      <w:pBdr>
        <w:top w:val="single" w:color="auto" w:sz="4" w:space="0"/>
        <w:left w:val="single" w:color="auto" w:sz="4" w:space="0"/>
        <w:bottom w:val="single" w:color="auto" w:sz="4" w:space="0"/>
        <w:right w:val="single" w:color="auto" w:sz="4" w:space="0"/>
      </w:pBdr>
      <w:shd w:val="clear" w:color="auto" w:fill="CC99FF"/>
      <w:topLinePunct/>
      <w:autoSpaceDE w:val="0"/>
      <w:adjustRightInd w:val="0"/>
      <w:spacing w:before="100" w:beforeAutospacing="1" w:after="100" w:afterAutospacing="1"/>
      <w:jc w:val="center"/>
      <w:textAlignment w:val="center"/>
    </w:pPr>
    <w:rPr>
      <w:rFonts w:ascii="黑体" w:hAnsi="黑体" w:eastAsia="黑体" w:cs="宋体"/>
      <w:b/>
      <w:bCs/>
      <w:kern w:val="0"/>
      <w:sz w:val="22"/>
      <w:szCs w:val="22"/>
    </w:rPr>
  </w:style>
  <w:style w:type="paragraph" w:customStyle="1" w:styleId="495">
    <w:name w:val="Body Text 21"/>
    <w:basedOn w:val="1"/>
    <w:qFormat/>
    <w:uiPriority w:val="0"/>
    <w:pPr>
      <w:widowControl/>
      <w:adjustRightInd w:val="0"/>
      <w:spacing w:line="300" w:lineRule="auto"/>
      <w:jc w:val="center"/>
    </w:pPr>
    <w:rPr>
      <w:rFonts w:ascii="宋体fal" w:hAnsi="宋体fal" w:eastAsia="宋体fal" w:cs="宋体fal"/>
      <w:kern w:val="0"/>
      <w:sz w:val="24"/>
    </w:rPr>
  </w:style>
  <w:style w:type="paragraph" w:customStyle="1" w:styleId="496">
    <w:name w:val="Index Base"/>
    <w:basedOn w:val="1"/>
    <w:qFormat/>
    <w:uiPriority w:val="0"/>
    <w:pPr>
      <w:widowControl/>
      <w:spacing w:line="220" w:lineRule="atLeast"/>
      <w:ind w:left="360" w:firstLine="200" w:firstLineChars="200"/>
      <w:jc w:val="left"/>
    </w:pPr>
    <w:rPr>
      <w:rFonts w:ascii="宋体" w:hAnsi="宋体" w:eastAsia="楷体_GB2312" w:cs="宋体"/>
      <w:kern w:val="0"/>
      <w:sz w:val="24"/>
      <w:szCs w:val="20"/>
    </w:rPr>
  </w:style>
  <w:style w:type="paragraph" w:customStyle="1" w:styleId="497">
    <w:name w:val="CM6"/>
    <w:basedOn w:val="365"/>
    <w:next w:val="365"/>
    <w:qFormat/>
    <w:uiPriority w:val="0"/>
    <w:rPr>
      <w:rFonts w:cs="Times New Roman"/>
      <w:color w:val="auto"/>
    </w:rPr>
  </w:style>
  <w:style w:type="paragraph" w:customStyle="1" w:styleId="498">
    <w:name w:val="xl1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499">
    <w:name w:val="Heading 4"/>
    <w:basedOn w:val="1"/>
    <w:next w:val="1"/>
    <w:qFormat/>
    <w:uiPriority w:val="0"/>
    <w:pPr>
      <w:keepNext/>
      <w:widowControl/>
      <w:tabs>
        <w:tab w:val="left" w:pos="900"/>
        <w:tab w:val="left" w:pos="1440"/>
      </w:tabs>
      <w:topLinePunct/>
      <w:autoSpaceDE w:val="0"/>
      <w:adjustRightInd w:val="0"/>
      <w:snapToGrid w:val="0"/>
      <w:spacing w:afterLines="50" w:line="300" w:lineRule="auto"/>
      <w:ind w:left="864" w:hanging="864"/>
      <w:jc w:val="left"/>
      <w:outlineLvl w:val="3"/>
    </w:pPr>
    <w:rPr>
      <w:rFonts w:ascii="宋体" w:hAnsi="宋体" w:cs="Microsoft Sans Serif"/>
      <w:b/>
      <w:bCs/>
      <w:kern w:val="0"/>
      <w:sz w:val="24"/>
      <w:szCs w:val="21"/>
    </w:rPr>
  </w:style>
  <w:style w:type="paragraph" w:customStyle="1" w:styleId="500">
    <w:name w:val="font11"/>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501">
    <w:name w:val="xl131"/>
    <w:basedOn w:val="1"/>
    <w:qFormat/>
    <w:uiPriority w:val="0"/>
    <w:pPr>
      <w:widowControl/>
      <w:pBdr>
        <w:bottom w:val="single" w:color="auto" w:sz="12" w:space="0"/>
      </w:pBdr>
      <w:spacing w:before="100" w:beforeAutospacing="1" w:after="100" w:afterAutospacing="1"/>
      <w:jc w:val="left"/>
    </w:pPr>
    <w:rPr>
      <w:rFonts w:ascii="宋体" w:hAnsi="宋体" w:cs="宋体"/>
      <w:kern w:val="0"/>
      <w:sz w:val="24"/>
    </w:rPr>
  </w:style>
  <w:style w:type="paragraph" w:customStyle="1" w:styleId="502">
    <w:name w:val="xl83"/>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宋体" w:hAnsi="宋体" w:cs="宋体"/>
      <w:kern w:val="0"/>
      <w:sz w:val="20"/>
      <w:szCs w:val="20"/>
    </w:rPr>
  </w:style>
  <w:style w:type="paragraph" w:customStyle="1" w:styleId="503">
    <w:name w:val="纯文本1"/>
    <w:basedOn w:val="1"/>
    <w:qFormat/>
    <w:uiPriority w:val="0"/>
    <w:pPr>
      <w:widowControl/>
      <w:autoSpaceDE w:val="0"/>
      <w:autoSpaceDN w:val="0"/>
      <w:spacing w:before="120" w:line="360" w:lineRule="auto"/>
      <w:ind w:firstLine="425" w:firstLineChars="200"/>
      <w:jc w:val="left"/>
    </w:pPr>
    <w:rPr>
      <w:rFonts w:ascii="宋体" w:hAnsi="宋体" w:eastAsia="华文中宋" w:cs="宋体"/>
      <w:kern w:val="0"/>
      <w:sz w:val="24"/>
      <w:szCs w:val="20"/>
      <w:lang w:val="en-GB"/>
    </w:rPr>
  </w:style>
  <w:style w:type="paragraph" w:customStyle="1" w:styleId="504">
    <w:name w:val=" Char Char Char Char Char Char Char Char Char Char"/>
    <w:basedOn w:val="1"/>
    <w:qFormat/>
    <w:uiPriority w:val="0"/>
    <w:pPr>
      <w:widowControl/>
      <w:spacing w:line="400" w:lineRule="exact"/>
      <w:jc w:val="center"/>
    </w:pPr>
    <w:rPr>
      <w:rFonts w:ascii="Verdana" w:hAnsi="Verdana"/>
      <w:kern w:val="0"/>
      <w:szCs w:val="20"/>
      <w:lang w:eastAsia="en-US"/>
    </w:rPr>
  </w:style>
  <w:style w:type="paragraph" w:customStyle="1" w:styleId="505">
    <w:name w:val="Char Char Char Char Char Char Char Char Char Char Char Char Char Char Char"/>
    <w:basedOn w:val="1"/>
    <w:qFormat/>
    <w:uiPriority w:val="0"/>
    <w:pPr>
      <w:widowControl/>
      <w:spacing w:line="400" w:lineRule="exact"/>
      <w:jc w:val="center"/>
    </w:pPr>
    <w:rPr>
      <w:rFonts w:ascii="Verdana" w:hAnsi="Verdana" w:cs="宋体"/>
      <w:kern w:val="0"/>
      <w:sz w:val="24"/>
      <w:szCs w:val="20"/>
      <w:lang w:eastAsia="en-US"/>
    </w:rPr>
  </w:style>
  <w:style w:type="paragraph" w:customStyle="1" w:styleId="506">
    <w:name w:val="xl130"/>
    <w:basedOn w:val="1"/>
    <w:qFormat/>
    <w:uiPriority w:val="0"/>
    <w:pPr>
      <w:widowControl/>
      <w:spacing w:before="100" w:beforeAutospacing="1" w:after="100" w:afterAutospacing="1"/>
      <w:jc w:val="left"/>
    </w:pPr>
    <w:rPr>
      <w:rFonts w:ascii="宋体" w:hAnsi="宋体" w:cs="宋体"/>
      <w:kern w:val="0"/>
      <w:sz w:val="24"/>
    </w:rPr>
  </w:style>
  <w:style w:type="paragraph" w:customStyle="1" w:styleId="507">
    <w:name w:val="表身"/>
    <w:basedOn w:val="1"/>
    <w:qFormat/>
    <w:uiPriority w:val="0"/>
    <w:pPr>
      <w:widowControl/>
      <w:autoSpaceDE w:val="0"/>
      <w:autoSpaceDN w:val="0"/>
      <w:adjustRightInd w:val="0"/>
      <w:spacing w:line="300" w:lineRule="auto"/>
      <w:ind w:firstLine="200" w:firstLineChars="200"/>
      <w:jc w:val="left"/>
    </w:pPr>
    <w:rPr>
      <w:rFonts w:ascii="宋体" w:hAnsi="宋体" w:eastAsia="华文中宋" w:cs="宋体"/>
      <w:kern w:val="0"/>
      <w:sz w:val="18"/>
      <w:szCs w:val="18"/>
    </w:rPr>
  </w:style>
  <w:style w:type="paragraph" w:customStyle="1" w:styleId="508">
    <w:name w:val="xl101"/>
    <w:basedOn w:val="1"/>
    <w:qFormat/>
    <w:uiPriority w:val="0"/>
    <w:pPr>
      <w:widowControl/>
      <w:pBdr>
        <w:top w:val="single" w:color="auto" w:sz="4" w:space="0"/>
        <w:left w:val="single" w:color="auto" w:sz="4" w:space="0"/>
        <w:bottom w:val="single" w:color="auto" w:sz="8" w:space="0"/>
        <w:right w:val="single" w:color="auto" w:sz="4" w:space="0"/>
      </w:pBdr>
      <w:shd w:val="clear" w:color="auto" w:fill="FF0000"/>
      <w:topLinePunct/>
      <w:autoSpaceDE w:val="0"/>
      <w:adjustRightInd w:val="0"/>
      <w:spacing w:before="100" w:beforeAutospacing="1" w:after="100" w:afterAutospacing="1"/>
      <w:jc w:val="left"/>
    </w:pPr>
    <w:rPr>
      <w:rFonts w:ascii="宋体" w:hAnsi="宋体" w:cs="宋体"/>
      <w:b/>
      <w:bCs/>
      <w:kern w:val="0"/>
      <w:sz w:val="24"/>
    </w:rPr>
  </w:style>
  <w:style w:type="paragraph" w:customStyle="1" w:styleId="509">
    <w:name w:val="方案标题3"/>
    <w:basedOn w:val="323"/>
    <w:next w:val="1"/>
    <w:qFormat/>
    <w:uiPriority w:val="0"/>
    <w:pPr>
      <w:outlineLvl w:val="2"/>
    </w:pPr>
    <w:rPr>
      <w:b w:val="0"/>
      <w:bCs w:val="0"/>
    </w:rPr>
  </w:style>
  <w:style w:type="paragraph" w:customStyle="1" w:styleId="510">
    <w:name w:val="xl146"/>
    <w:basedOn w:val="1"/>
    <w:qFormat/>
    <w:uiPriority w:val="0"/>
    <w:pPr>
      <w:widowControl/>
      <w:spacing w:before="100" w:beforeAutospacing="1" w:after="100" w:afterAutospacing="1"/>
      <w:jc w:val="left"/>
      <w:textAlignment w:val="bottom"/>
    </w:pPr>
    <w:rPr>
      <w:rFonts w:ascii="宋体" w:hAnsi="宋体" w:cs="宋体"/>
      <w:kern w:val="0"/>
      <w:sz w:val="24"/>
    </w:rPr>
  </w:style>
  <w:style w:type="paragraph" w:customStyle="1" w:styleId="511">
    <w:name w:val="List Paragraph2"/>
    <w:basedOn w:val="1"/>
    <w:qFormat/>
    <w:uiPriority w:val="0"/>
    <w:pPr>
      <w:ind w:firstLine="420" w:firstLineChars="200"/>
    </w:pPr>
    <w:rPr>
      <w:rFonts w:ascii="Calibri" w:hAnsi="Calibri"/>
      <w:szCs w:val="20"/>
    </w:rPr>
  </w:style>
  <w:style w:type="paragraph" w:customStyle="1" w:styleId="512">
    <w:name w:val="xl1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513">
    <w:name w:val="xl1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514">
    <w:name w:val="Char Char Char1 Char Char Char Char Char Char Char"/>
    <w:basedOn w:val="1"/>
    <w:qFormat/>
    <w:uiPriority w:val="0"/>
    <w:rPr>
      <w:rFonts w:ascii="Tahoma" w:hAnsi="Tahoma"/>
      <w:sz w:val="24"/>
      <w:szCs w:val="20"/>
    </w:rPr>
  </w:style>
  <w:style w:type="paragraph" w:customStyle="1" w:styleId="515">
    <w:name w:val="表内文字"/>
    <w:basedOn w:val="1"/>
    <w:qFormat/>
    <w:uiPriority w:val="0"/>
    <w:pPr>
      <w:widowControl/>
      <w:jc w:val="center"/>
    </w:pPr>
    <w:rPr>
      <w:rFonts w:ascii="宋体fal" w:hAnsi="宋体fal" w:eastAsia="宋体fal" w:cs="宋体fal"/>
      <w:kern w:val="0"/>
      <w:sz w:val="24"/>
    </w:rPr>
  </w:style>
  <w:style w:type="paragraph" w:customStyle="1" w:styleId="516">
    <w:name w:val="符号1"/>
    <w:basedOn w:val="1"/>
    <w:qFormat/>
    <w:uiPriority w:val="0"/>
    <w:pPr>
      <w:widowControl/>
      <w:tabs>
        <w:tab w:val="left" w:pos="420"/>
      </w:tabs>
      <w:topLinePunct/>
      <w:autoSpaceDE w:val="0"/>
      <w:adjustRightInd w:val="0"/>
      <w:spacing w:line="360" w:lineRule="auto"/>
      <w:ind w:left="420" w:hanging="420"/>
      <w:jc w:val="left"/>
    </w:pPr>
    <w:rPr>
      <w:rFonts w:ascii="Arial" w:hAnsi="Arial" w:cs="宋体"/>
      <w:kern w:val="0"/>
      <w:sz w:val="24"/>
      <w:szCs w:val="20"/>
      <w:lang w:val="en-AU"/>
    </w:rPr>
  </w:style>
  <w:style w:type="paragraph" w:customStyle="1" w:styleId="517">
    <w:name w:val="xl1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518">
    <w:name w:val="prodsubtitle"/>
    <w:basedOn w:val="1"/>
    <w:qFormat/>
    <w:uiPriority w:val="0"/>
    <w:pPr>
      <w:widowControl/>
      <w:jc w:val="left"/>
    </w:pPr>
    <w:rPr>
      <w:rFonts w:ascii="宋体" w:hAnsi="宋体" w:cs="宋体"/>
      <w:kern w:val="0"/>
      <w:sz w:val="24"/>
    </w:rPr>
  </w:style>
  <w:style w:type="paragraph" w:customStyle="1" w:styleId="519">
    <w:name w:val="xl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520">
    <w:name w:val=" Char"/>
    <w:basedOn w:val="1"/>
    <w:qFormat/>
    <w:uiPriority w:val="0"/>
    <w:rPr>
      <w:rFonts w:ascii="Tahoma" w:hAnsi="Tahoma"/>
      <w:sz w:val="24"/>
      <w:szCs w:val="20"/>
    </w:rPr>
  </w:style>
  <w:style w:type="paragraph" w:customStyle="1" w:styleId="521">
    <w:name w:val="华文细黑1"/>
    <w:basedOn w:val="1"/>
    <w:qFormat/>
    <w:uiPriority w:val="0"/>
    <w:pPr>
      <w:widowControl/>
      <w:spacing w:line="300" w:lineRule="auto"/>
      <w:ind w:firstLine="200" w:firstLineChars="200"/>
      <w:jc w:val="left"/>
    </w:pPr>
    <w:rPr>
      <w:rFonts w:eastAsia="华文细黑"/>
      <w:kern w:val="0"/>
      <w:sz w:val="24"/>
    </w:rPr>
  </w:style>
  <w:style w:type="paragraph" w:customStyle="1" w:styleId="522">
    <w:name w:val="xl1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b/>
      <w:bCs/>
      <w:kern w:val="0"/>
      <w:sz w:val="24"/>
    </w:rPr>
  </w:style>
  <w:style w:type="paragraph" w:customStyle="1" w:styleId="523">
    <w:name w:val="Table Paragraph"/>
    <w:basedOn w:val="1"/>
    <w:qFormat/>
    <w:uiPriority w:val="0"/>
    <w:pPr>
      <w:jc w:val="left"/>
    </w:pPr>
    <w:rPr>
      <w:rFonts w:ascii="Calibri" w:hAnsi="Calibri" w:cs="Calibri"/>
      <w:kern w:val="0"/>
      <w:sz w:val="22"/>
      <w:szCs w:val="22"/>
      <w:lang w:eastAsia="en-US"/>
    </w:rPr>
  </w:style>
  <w:style w:type="paragraph" w:customStyle="1" w:styleId="524">
    <w:name w:val="reader-word-layer reader-word-s1-2"/>
    <w:basedOn w:val="1"/>
    <w:qFormat/>
    <w:uiPriority w:val="0"/>
    <w:pPr>
      <w:widowControl/>
      <w:spacing w:before="100" w:beforeAutospacing="1" w:after="100" w:afterAutospacing="1"/>
      <w:jc w:val="left"/>
    </w:pPr>
    <w:rPr>
      <w:rFonts w:ascii="宋体" w:hAnsi="宋体" w:cs="宋体"/>
      <w:kern w:val="0"/>
      <w:sz w:val="24"/>
    </w:rPr>
  </w:style>
  <w:style w:type="paragraph" w:customStyle="1" w:styleId="525">
    <w:name w:val="样式8"/>
    <w:basedOn w:val="116"/>
    <w:qFormat/>
    <w:uiPriority w:val="0"/>
    <w:rPr>
      <w:sz w:val="72"/>
    </w:rPr>
  </w:style>
  <w:style w:type="paragraph" w:customStyle="1" w:styleId="526">
    <w:name w:val="样式 宋体 首行缩进:  2 字符 段前: 7.8 磅 段后: 7.8 磅"/>
    <w:basedOn w:val="1"/>
    <w:qFormat/>
    <w:uiPriority w:val="0"/>
    <w:pPr>
      <w:adjustRightInd w:val="0"/>
      <w:snapToGrid w:val="0"/>
      <w:spacing w:before="156" w:after="156" w:line="360" w:lineRule="auto"/>
      <w:ind w:firstLine="200" w:firstLineChars="200"/>
    </w:pPr>
    <w:rPr>
      <w:rFonts w:ascii="宋体" w:hAnsi="宋体" w:cs="宋体"/>
      <w:szCs w:val="20"/>
    </w:rPr>
  </w:style>
  <w:style w:type="paragraph" w:customStyle="1" w:styleId="527">
    <w:name w:val=" Char Char1"/>
    <w:basedOn w:val="1"/>
    <w:qFormat/>
    <w:uiPriority w:val="0"/>
  </w:style>
  <w:style w:type="paragraph" w:customStyle="1" w:styleId="528">
    <w:name w:val="正文文本_0"/>
    <w:basedOn w:val="326"/>
    <w:qFormat/>
    <w:uiPriority w:val="0"/>
    <w:pPr>
      <w:adjustRightInd w:val="0"/>
      <w:spacing w:after="60" w:line="360" w:lineRule="atLeast"/>
      <w:ind w:left="72" w:leftChars="30" w:right="30" w:rightChars="30"/>
      <w:jc w:val="center"/>
      <w:textAlignment w:val="baseline"/>
    </w:pPr>
    <w:rPr>
      <w:rFonts w:ascii="Times New Roman" w:hAnsi="Times New Roman"/>
      <w:kern w:val="0"/>
      <w:sz w:val="20"/>
      <w:szCs w:val="20"/>
    </w:rPr>
  </w:style>
  <w:style w:type="paragraph" w:customStyle="1" w:styleId="529">
    <w:name w:val="Address"/>
    <w:basedOn w:val="1"/>
    <w:next w:val="1"/>
    <w:qFormat/>
    <w:uiPriority w:val="0"/>
    <w:pPr>
      <w:autoSpaceDE w:val="0"/>
      <w:autoSpaceDN w:val="0"/>
      <w:adjustRightInd w:val="0"/>
      <w:jc w:val="left"/>
    </w:pPr>
    <w:rPr>
      <w:i/>
      <w:kern w:val="0"/>
      <w:sz w:val="24"/>
      <w:szCs w:val="20"/>
    </w:rPr>
  </w:style>
  <w:style w:type="paragraph" w:customStyle="1" w:styleId="530">
    <w:name w:val="xl144"/>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center"/>
    </w:pPr>
    <w:rPr>
      <w:rFonts w:ascii="宋体" w:hAnsi="宋体" w:cs="宋体"/>
      <w:kern w:val="0"/>
      <w:sz w:val="20"/>
      <w:szCs w:val="20"/>
    </w:rPr>
  </w:style>
  <w:style w:type="paragraph" w:customStyle="1" w:styleId="531">
    <w:name w:val="方案项目"/>
    <w:basedOn w:val="333"/>
    <w:qFormat/>
    <w:uiPriority w:val="0"/>
    <w:pPr>
      <w:ind w:firstLine="540"/>
    </w:pPr>
    <w:rPr>
      <w:rFonts w:ascii="宋体fal" w:hAnsi="宋体fal" w:cs="宋体fal"/>
    </w:rPr>
  </w:style>
  <w:style w:type="paragraph" w:customStyle="1" w:styleId="532">
    <w:name w:val="Rechts"/>
    <w:basedOn w:val="1"/>
    <w:qFormat/>
    <w:uiPriority w:val="0"/>
    <w:pPr>
      <w:widowControl/>
      <w:topLinePunct/>
      <w:autoSpaceDE w:val="0"/>
      <w:adjustRightInd w:val="0"/>
      <w:spacing w:line="280" w:lineRule="atLeast"/>
      <w:jc w:val="right"/>
    </w:pPr>
    <w:rPr>
      <w:rFonts w:ascii="Arial" w:hAnsi="Arial" w:eastAsia="Times New Roman" w:cs="宋体"/>
      <w:kern w:val="0"/>
      <w:sz w:val="19"/>
      <w:szCs w:val="20"/>
      <w:lang w:val="nl" w:eastAsia="en-US"/>
    </w:rPr>
  </w:style>
  <w:style w:type="paragraph" w:customStyle="1" w:styleId="533">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534">
    <w:name w:val="Heading 2"/>
    <w:basedOn w:val="1"/>
    <w:next w:val="1"/>
    <w:qFormat/>
    <w:uiPriority w:val="0"/>
    <w:pPr>
      <w:keepNext/>
      <w:widowControl/>
      <w:tabs>
        <w:tab w:val="left" w:pos="576"/>
      </w:tabs>
      <w:topLinePunct/>
      <w:autoSpaceDE w:val="0"/>
      <w:adjustRightInd w:val="0"/>
      <w:spacing w:before="480" w:afterLines="50" w:line="300" w:lineRule="auto"/>
      <w:ind w:left="576" w:hanging="576"/>
      <w:jc w:val="left"/>
      <w:outlineLvl w:val="1"/>
    </w:pPr>
    <w:rPr>
      <w:rFonts w:ascii="Microsoft Sans Serif" w:hAnsi="Microsoft Sans Serif" w:cs="Microsoft Sans Serif"/>
      <w:b/>
      <w:iCs/>
      <w:kern w:val="0"/>
      <w:sz w:val="24"/>
      <w:szCs w:val="21"/>
    </w:rPr>
  </w:style>
  <w:style w:type="paragraph" w:customStyle="1" w:styleId="535">
    <w:name w:val="副标题1"/>
    <w:basedOn w:val="1"/>
    <w:next w:val="1"/>
    <w:qFormat/>
    <w:uiPriority w:val="0"/>
    <w:pPr>
      <w:spacing w:before="120" w:after="120"/>
      <w:jc w:val="left"/>
    </w:pPr>
    <w:rPr>
      <w:rFonts w:ascii="Arial" w:hAnsi="Arial"/>
      <w:b/>
      <w:bCs/>
      <w:color w:val="000000"/>
      <w:kern w:val="44"/>
      <w:sz w:val="20"/>
      <w:szCs w:val="20"/>
    </w:rPr>
  </w:style>
  <w:style w:type="paragraph" w:customStyle="1" w:styleId="536">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537">
    <w:name w:val="特点黄标"/>
    <w:basedOn w:val="1"/>
    <w:qFormat/>
    <w:uiPriority w:val="0"/>
    <w:pPr>
      <w:widowControl/>
      <w:autoSpaceDE w:val="0"/>
      <w:autoSpaceDN w:val="0"/>
      <w:adjustRightInd w:val="0"/>
      <w:jc w:val="left"/>
    </w:pPr>
    <w:rPr>
      <w:rFonts w:ascii="汉鼎简大黑Arial Black" w:hAnsi="宋体" w:eastAsia="汉鼎简大黑Arial Black" w:cs="汉鼎简大黑Arial Black"/>
      <w:color w:val="FFD80E"/>
      <w:kern w:val="0"/>
      <w:sz w:val="20"/>
      <w:szCs w:val="20"/>
      <w:lang w:eastAsia="en-US"/>
    </w:rPr>
  </w:style>
  <w:style w:type="paragraph" w:customStyle="1" w:styleId="538">
    <w:name w:val="GP标题3"/>
    <w:basedOn w:val="1"/>
    <w:next w:val="1"/>
    <w:qFormat/>
    <w:uiPriority w:val="0"/>
    <w:pPr>
      <w:widowControl/>
      <w:spacing w:beforeLines="50" w:afterLines="50" w:line="360" w:lineRule="auto"/>
      <w:jc w:val="left"/>
      <w:outlineLvl w:val="2"/>
    </w:pPr>
    <w:rPr>
      <w:rFonts w:ascii="华文细黑" w:hAnsi="华文细黑" w:eastAsia="华文细黑" w:cs="宋体"/>
      <w:b/>
      <w:kern w:val="0"/>
      <w:sz w:val="30"/>
      <w:szCs w:val="22"/>
    </w:rPr>
  </w:style>
  <w:style w:type="paragraph" w:customStyle="1" w:styleId="539">
    <w:name w:val="TOC 标题_0"/>
    <w:basedOn w:val="454"/>
    <w:next w:val="326"/>
    <w:qFormat/>
    <w:uiPriority w:val="0"/>
    <w:pPr>
      <w:outlineLvl w:val="9"/>
    </w:pPr>
    <w:rPr>
      <w:rFonts w:ascii="Calibri" w:hAnsi="Calibri"/>
    </w:rPr>
  </w:style>
  <w:style w:type="paragraph" w:customStyle="1" w:styleId="540">
    <w:name w:val="xl106"/>
    <w:basedOn w:val="1"/>
    <w:qFormat/>
    <w:uiPriority w:val="0"/>
    <w:pPr>
      <w:widowControl/>
      <w:pBdr>
        <w:top w:val="single" w:color="auto" w:sz="4" w:space="0"/>
        <w:left w:val="single" w:color="auto" w:sz="8"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szCs w:val="22"/>
    </w:rPr>
  </w:style>
  <w:style w:type="paragraph" w:customStyle="1" w:styleId="541">
    <w:name w:val="bodytext1"/>
    <w:basedOn w:val="1"/>
    <w:qFormat/>
    <w:uiPriority w:val="0"/>
    <w:pPr>
      <w:widowControl/>
      <w:topLinePunct/>
      <w:autoSpaceDE w:val="0"/>
      <w:adjustRightInd w:val="0"/>
      <w:spacing w:before="120" w:after="120" w:line="360" w:lineRule="auto"/>
      <w:ind w:left="1843"/>
      <w:jc w:val="left"/>
    </w:pPr>
    <w:rPr>
      <w:rFonts w:ascii="宋体" w:hAnsi="宋体" w:eastAsia="Times New Roman" w:cs="宋体"/>
      <w:kern w:val="0"/>
      <w:sz w:val="22"/>
      <w:szCs w:val="20"/>
      <w:lang w:eastAsia="en-US"/>
    </w:rPr>
  </w:style>
  <w:style w:type="paragraph" w:customStyle="1" w:styleId="542">
    <w:name w:val="xl1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543">
    <w:name w:val="p0"/>
    <w:basedOn w:val="1"/>
    <w:qFormat/>
    <w:uiPriority w:val="0"/>
    <w:pPr>
      <w:widowControl/>
    </w:pPr>
    <w:rPr>
      <w:kern w:val="0"/>
      <w:szCs w:val="21"/>
    </w:rPr>
  </w:style>
  <w:style w:type="paragraph" w:customStyle="1" w:styleId="544">
    <w:name w:val="普通 (Web)"/>
    <w:basedOn w:val="1"/>
    <w:qFormat/>
    <w:uiPriority w:val="0"/>
    <w:pPr>
      <w:widowControl/>
      <w:spacing w:line="360" w:lineRule="auto"/>
      <w:ind w:left="359" w:leftChars="171" w:right="34" w:firstLine="480" w:firstLineChars="200"/>
      <w:jc w:val="left"/>
    </w:pPr>
    <w:rPr>
      <w:rFonts w:ascii="Arial" w:hAnsi="Arial" w:cs="宋体"/>
      <w:kern w:val="0"/>
      <w:sz w:val="24"/>
      <w:szCs w:val="20"/>
    </w:rPr>
  </w:style>
  <w:style w:type="paragraph" w:customStyle="1" w:styleId="545">
    <w:name w:val="特点反白字"/>
    <w:qFormat/>
    <w:uiPriority w:val="0"/>
    <w:pPr>
      <w:autoSpaceDE w:val="0"/>
      <w:autoSpaceDN w:val="0"/>
      <w:adjustRightInd w:val="0"/>
      <w:ind w:left="198"/>
      <w:jc w:val="both"/>
    </w:pPr>
    <w:rPr>
      <w:rFonts w:ascii="汉鼎简中等线Arial" w:hAnsi="Times New Roman" w:eastAsia="汉鼎简中等线Arial" w:cs="汉鼎简中等线Arial"/>
      <w:color w:val="FFFFFF"/>
      <w:sz w:val="16"/>
      <w:szCs w:val="16"/>
      <w:lang w:val="en-US" w:eastAsia="en-US" w:bidi="ar-SA"/>
    </w:rPr>
  </w:style>
  <w:style w:type="paragraph" w:customStyle="1" w:styleId="546">
    <w:name w:val="Heading 71"/>
    <w:basedOn w:val="1"/>
    <w:qFormat/>
    <w:uiPriority w:val="0"/>
    <w:pPr>
      <w:jc w:val="left"/>
      <w:outlineLvl w:val="7"/>
    </w:pPr>
    <w:rPr>
      <w:rFonts w:ascii="宋体" w:hAnsi="宋体" w:cs="宋体"/>
      <w:kern w:val="0"/>
      <w:sz w:val="28"/>
      <w:szCs w:val="28"/>
      <w:lang w:eastAsia="en-US"/>
    </w:rPr>
  </w:style>
  <w:style w:type="paragraph" w:customStyle="1" w:styleId="547">
    <w:name w:val="默认段落字体 Para Char Char Char Char Char Char Char Char Char1 Char"/>
    <w:basedOn w:val="1"/>
    <w:qFormat/>
    <w:uiPriority w:val="0"/>
    <w:pPr>
      <w:widowControl/>
      <w:jc w:val="left"/>
    </w:pPr>
    <w:rPr>
      <w:rFonts w:ascii="Tahoma" w:hAnsi="Tahoma" w:eastAsia="宋体fal" w:cs="Tahoma"/>
      <w:kern w:val="0"/>
      <w:sz w:val="24"/>
    </w:rPr>
  </w:style>
  <w:style w:type="paragraph" w:customStyle="1" w:styleId="548">
    <w:name w:val="样式 标题 2 + (西文) 宋体 小二 段前: 自动 段后: 自动 行距: 单倍行距"/>
    <w:basedOn w:val="5"/>
    <w:qFormat/>
    <w:uiPriority w:val="0"/>
    <w:pPr>
      <w:widowControl/>
      <w:tabs>
        <w:tab w:val="left" w:pos="480"/>
      </w:tabs>
      <w:spacing w:before="0" w:after="0" w:line="500" w:lineRule="exact"/>
      <w:ind w:left="480" w:hanging="480"/>
      <w:jc w:val="left"/>
    </w:pPr>
    <w:rPr>
      <w:rFonts w:eastAsia="黑体fal" w:cs="Arial"/>
      <w:b w:val="0"/>
      <w:bCs w:val="0"/>
      <w:sz w:val="30"/>
      <w:szCs w:val="30"/>
      <w:lang w:val="en-US" w:eastAsia="zh-CN"/>
    </w:rPr>
  </w:style>
  <w:style w:type="paragraph" w:customStyle="1" w:styleId="549">
    <w:name w:val="xl86"/>
    <w:basedOn w:val="1"/>
    <w:qFormat/>
    <w:uiPriority w:val="0"/>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Arial" w:hAnsi="Arial" w:cs="Arial"/>
      <w:b/>
      <w:bCs/>
      <w:kern w:val="0"/>
      <w:sz w:val="20"/>
      <w:szCs w:val="20"/>
    </w:rPr>
  </w:style>
  <w:style w:type="paragraph" w:customStyle="1" w:styleId="550">
    <w:name w:val="xl18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551">
    <w:name w:val="Char Char Char Char Char Char Char Char Char Char Char Char Char Char Char Char"/>
    <w:basedOn w:val="1"/>
    <w:qFormat/>
    <w:uiPriority w:val="0"/>
    <w:pPr>
      <w:widowControl/>
      <w:tabs>
        <w:tab w:val="left" w:pos="360"/>
      </w:tabs>
      <w:spacing w:line="360" w:lineRule="auto"/>
      <w:ind w:left="482" w:firstLine="200" w:firstLineChars="200"/>
      <w:jc w:val="left"/>
    </w:pPr>
    <w:rPr>
      <w:rFonts w:ascii="宋体" w:hAnsi="宋体" w:eastAsia="华文中宋" w:cs="宋体"/>
      <w:kern w:val="0"/>
      <w:sz w:val="24"/>
    </w:rPr>
  </w:style>
  <w:style w:type="paragraph" w:customStyle="1" w:styleId="552">
    <w:name w:val="CM36"/>
    <w:basedOn w:val="365"/>
    <w:next w:val="365"/>
    <w:qFormat/>
    <w:uiPriority w:val="0"/>
    <w:pPr>
      <w:spacing w:line="468" w:lineRule="atLeast"/>
    </w:pPr>
    <w:rPr>
      <w:rFonts w:cs="Times New Roman"/>
      <w:color w:val="auto"/>
    </w:rPr>
  </w:style>
  <w:style w:type="paragraph" w:customStyle="1" w:styleId="553">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b/>
      <w:bCs/>
      <w:color w:val="000000"/>
      <w:kern w:val="0"/>
      <w:sz w:val="24"/>
    </w:rPr>
  </w:style>
  <w:style w:type="paragraph" w:customStyle="1" w:styleId="554">
    <w:name w:val="xl1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b/>
      <w:bCs/>
      <w:kern w:val="0"/>
      <w:sz w:val="24"/>
    </w:rPr>
  </w:style>
  <w:style w:type="paragraph" w:customStyle="1" w:styleId="555">
    <w:name w:val="xl1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b/>
      <w:bCs/>
      <w:kern w:val="0"/>
      <w:sz w:val="24"/>
    </w:rPr>
  </w:style>
  <w:style w:type="paragraph" w:customStyle="1" w:styleId="556">
    <w:name w:val="Char Char1 Char Char"/>
    <w:basedOn w:val="1"/>
    <w:qFormat/>
    <w:uiPriority w:val="0"/>
    <w:pPr>
      <w:widowControl/>
      <w:topLinePunct/>
      <w:autoSpaceDE w:val="0"/>
      <w:adjustRightInd w:val="0"/>
      <w:spacing w:line="360" w:lineRule="auto"/>
      <w:jc w:val="left"/>
    </w:pPr>
    <w:rPr>
      <w:rFonts w:ascii="Tahoma" w:hAnsi="Tahoma" w:cs="宋体"/>
      <w:kern w:val="0"/>
      <w:sz w:val="24"/>
      <w:szCs w:val="20"/>
    </w:rPr>
  </w:style>
  <w:style w:type="paragraph" w:customStyle="1" w:styleId="557">
    <w:name w:val="xl16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558">
    <w:name w:val="样式5"/>
    <w:basedOn w:val="405"/>
    <w:qFormat/>
    <w:uiPriority w:val="0"/>
    <w:pPr>
      <w:spacing w:line="360" w:lineRule="auto"/>
    </w:pPr>
  </w:style>
  <w:style w:type="paragraph" w:customStyle="1" w:styleId="559">
    <w:name w:val="Char Char Char Char1"/>
    <w:basedOn w:val="1"/>
    <w:next w:val="1"/>
    <w:qFormat/>
    <w:uiPriority w:val="0"/>
    <w:pPr>
      <w:widowControl/>
      <w:spacing w:after="160" w:line="240" w:lineRule="exact"/>
      <w:jc w:val="left"/>
    </w:pPr>
    <w:rPr>
      <w:rFonts w:ascii="宋体" w:hAnsi="宋体" w:cs="宋体"/>
      <w:kern w:val="0"/>
      <w:sz w:val="24"/>
    </w:rPr>
  </w:style>
  <w:style w:type="paragraph" w:customStyle="1" w:styleId="560">
    <w:name w:val="_Style 17"/>
    <w:basedOn w:val="1"/>
    <w:qFormat/>
    <w:uiPriority w:val="0"/>
    <w:pPr>
      <w:widowControl/>
      <w:spacing w:line="400" w:lineRule="exact"/>
      <w:jc w:val="center"/>
    </w:pPr>
  </w:style>
  <w:style w:type="paragraph" w:customStyle="1" w:styleId="561">
    <w:name w:val="样式3 Char"/>
    <w:basedOn w:val="6"/>
    <w:next w:val="1"/>
    <w:qFormat/>
    <w:uiPriority w:val="0"/>
    <w:pPr>
      <w:widowControl/>
      <w:spacing w:line="240" w:lineRule="auto"/>
      <w:jc w:val="center"/>
    </w:pPr>
    <w:rPr>
      <w:rFonts w:eastAsia="黑体"/>
      <w:lang w:val="en-US" w:eastAsia="zh-CN"/>
    </w:rPr>
  </w:style>
  <w:style w:type="paragraph" w:customStyle="1" w:styleId="562">
    <w:name w:val="Char Char1 Char Char Char Char Char Char Char Char"/>
    <w:basedOn w:val="1"/>
    <w:qFormat/>
    <w:uiPriority w:val="0"/>
    <w:pPr>
      <w:widowControl/>
      <w:topLinePunct/>
      <w:autoSpaceDE w:val="0"/>
      <w:adjustRightInd w:val="0"/>
      <w:spacing w:after="160" w:line="240" w:lineRule="exact"/>
      <w:jc w:val="left"/>
    </w:pPr>
    <w:rPr>
      <w:rFonts w:ascii="Verdana" w:hAnsi="Verdana" w:cs="宋体"/>
      <w:kern w:val="0"/>
      <w:sz w:val="20"/>
      <w:szCs w:val="20"/>
      <w:lang w:eastAsia="en-US"/>
    </w:rPr>
  </w:style>
  <w:style w:type="paragraph" w:customStyle="1" w:styleId="563">
    <w:name w:val="_Style 16"/>
    <w:basedOn w:val="1"/>
    <w:qFormat/>
    <w:uiPriority w:val="0"/>
    <w:pPr>
      <w:widowControl/>
      <w:spacing w:line="400" w:lineRule="exact"/>
      <w:jc w:val="center"/>
    </w:pPr>
    <w:rPr>
      <w:rFonts w:ascii="宋体" w:hAnsi="宋体" w:cs="宋体"/>
      <w:kern w:val="0"/>
      <w:sz w:val="24"/>
      <w:szCs w:val="20"/>
    </w:rPr>
  </w:style>
  <w:style w:type="paragraph" w:customStyle="1" w:styleId="564">
    <w:name w:val="xl62"/>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right"/>
    </w:pPr>
    <w:rPr>
      <w:rFonts w:ascii="Arial Unicode MS" w:hAnsi="Arial Unicode MS" w:eastAsia="宋体fal" w:cs="Arial Unicode MS"/>
      <w:color w:val="000000"/>
      <w:kern w:val="0"/>
      <w:sz w:val="24"/>
    </w:rPr>
  </w:style>
  <w:style w:type="paragraph" w:customStyle="1" w:styleId="565">
    <w:name w:val="xl92"/>
    <w:basedOn w:val="1"/>
    <w:qFormat/>
    <w:uiPriority w:val="0"/>
    <w:pPr>
      <w:widowControl/>
      <w:pBdr>
        <w:top w:val="single" w:color="auto" w:sz="4" w:space="0"/>
        <w:left w:val="single" w:color="auto" w:sz="4" w:space="0"/>
        <w:bottom w:val="single" w:color="auto" w:sz="4" w:space="0"/>
        <w:right w:val="single" w:color="auto" w:sz="4" w:space="0"/>
      </w:pBdr>
      <w:shd w:val="clear" w:color="auto" w:fill="CCFFFF"/>
      <w:topLinePunct/>
      <w:autoSpaceDE w:val="0"/>
      <w:adjustRightInd w:val="0"/>
      <w:spacing w:before="100" w:beforeAutospacing="1" w:after="100" w:afterAutospacing="1"/>
      <w:jc w:val="center"/>
      <w:textAlignment w:val="center"/>
    </w:pPr>
    <w:rPr>
      <w:rFonts w:ascii="Arial" w:hAnsi="Arial" w:cs="Arial"/>
      <w:b/>
      <w:bCs/>
      <w:kern w:val="0"/>
      <w:sz w:val="20"/>
      <w:szCs w:val="20"/>
    </w:rPr>
  </w:style>
  <w:style w:type="paragraph" w:customStyle="1" w:styleId="566">
    <w:name w:val=" Char Char Char Char Char Char Char1"/>
    <w:basedOn w:val="1"/>
    <w:qFormat/>
    <w:uiPriority w:val="0"/>
    <w:pPr>
      <w:widowControl/>
      <w:spacing w:line="400" w:lineRule="exact"/>
      <w:jc w:val="center"/>
    </w:pPr>
    <w:rPr>
      <w:rFonts w:ascii="Verdana" w:hAnsi="Verdana"/>
      <w:kern w:val="0"/>
      <w:szCs w:val="20"/>
      <w:lang w:eastAsia="en-US"/>
    </w:rPr>
  </w:style>
  <w:style w:type="paragraph" w:customStyle="1" w:styleId="567">
    <w:name w:val="C11"/>
    <w:basedOn w:val="1"/>
    <w:qFormat/>
    <w:uiPriority w:val="0"/>
    <w:pPr>
      <w:widowControl/>
      <w:tabs>
        <w:tab w:val="left" w:pos="360"/>
      </w:tabs>
      <w:autoSpaceDE w:val="0"/>
      <w:autoSpaceDN w:val="0"/>
      <w:adjustRightInd w:val="0"/>
      <w:spacing w:before="60" w:line="288" w:lineRule="auto"/>
      <w:ind w:firstLine="200" w:firstLineChars="200"/>
      <w:jc w:val="left"/>
      <w:textAlignment w:val="bottom"/>
    </w:pPr>
    <w:rPr>
      <w:rFonts w:ascii="宋体" w:hAnsi="宋体" w:eastAsia="華康細圓體" w:cs="宋体"/>
      <w:kern w:val="0"/>
      <w:sz w:val="22"/>
      <w:szCs w:val="20"/>
      <w:lang w:eastAsia="zh-TW"/>
    </w:rPr>
  </w:style>
  <w:style w:type="paragraph" w:customStyle="1" w:styleId="568">
    <w:name w:val="项目列表1"/>
    <w:basedOn w:val="1"/>
    <w:qFormat/>
    <w:uiPriority w:val="0"/>
    <w:pPr>
      <w:widowControl/>
      <w:tabs>
        <w:tab w:val="left" w:pos="360"/>
      </w:tabs>
      <w:wordWrap w:val="0"/>
      <w:overflowPunct w:val="0"/>
      <w:topLinePunct/>
      <w:autoSpaceDE w:val="0"/>
      <w:adjustRightInd w:val="0"/>
      <w:spacing w:line="460" w:lineRule="exact"/>
      <w:jc w:val="left"/>
      <w:textAlignment w:val="baseline"/>
    </w:pPr>
    <w:rPr>
      <w:rFonts w:ascii="Arial" w:hAnsi="Arial" w:cs="宋体"/>
      <w:kern w:val="0"/>
      <w:sz w:val="24"/>
    </w:rPr>
  </w:style>
  <w:style w:type="paragraph" w:customStyle="1" w:styleId="569">
    <w:name w:val="List 1"/>
    <w:basedOn w:val="1"/>
    <w:qFormat/>
    <w:uiPriority w:val="0"/>
    <w:pPr>
      <w:widowControl/>
      <w:overflowPunct w:val="0"/>
      <w:autoSpaceDE w:val="0"/>
      <w:autoSpaceDN w:val="0"/>
      <w:adjustRightInd w:val="0"/>
      <w:spacing w:line="360" w:lineRule="auto"/>
      <w:ind w:left="2520" w:hanging="360" w:firstLineChars="200"/>
      <w:jc w:val="left"/>
      <w:textAlignment w:val="baseline"/>
    </w:pPr>
    <w:rPr>
      <w:rFonts w:ascii="宋体" w:hAnsi="宋体" w:eastAsia="华文中宋" w:cs="宋体"/>
      <w:kern w:val="0"/>
      <w:sz w:val="24"/>
      <w:szCs w:val="20"/>
    </w:rPr>
  </w:style>
  <w:style w:type="paragraph" w:customStyle="1" w:styleId="570">
    <w:name w:val="_Style 10"/>
    <w:basedOn w:val="1"/>
    <w:qFormat/>
    <w:uiPriority w:val="0"/>
    <w:pPr>
      <w:widowControl/>
      <w:spacing w:line="400" w:lineRule="exact"/>
      <w:jc w:val="center"/>
    </w:pPr>
  </w:style>
  <w:style w:type="paragraph" w:customStyle="1" w:styleId="571">
    <w:name w:val="样式 首行缩进:  2 字符"/>
    <w:basedOn w:val="1"/>
    <w:qFormat/>
    <w:uiPriority w:val="0"/>
    <w:pPr>
      <w:spacing w:line="360" w:lineRule="auto"/>
      <w:ind w:firstLine="480" w:firstLineChars="200"/>
    </w:pPr>
    <w:rPr>
      <w:rFonts w:ascii="Arial" w:hAnsi="Arial"/>
      <w:sz w:val="24"/>
      <w:szCs w:val="20"/>
    </w:rPr>
  </w:style>
  <w:style w:type="paragraph" w:customStyle="1" w:styleId="572">
    <w:name w:val="xl52"/>
    <w:basedOn w:val="1"/>
    <w:qFormat/>
    <w:uiPriority w:val="0"/>
    <w:pPr>
      <w:widowControl/>
      <w:pBdr>
        <w:top w:val="single" w:color="auto" w:sz="4" w:space="0"/>
        <w:left w:val="single" w:color="auto" w:sz="8" w:space="0"/>
        <w:bottom w:val="single" w:color="auto" w:sz="8"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rPr>
  </w:style>
  <w:style w:type="paragraph" w:customStyle="1" w:styleId="573">
    <w:name w:val="xl15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574">
    <w:name w:val="样式 (中文) 黑体 四号 居中 行距: 1.5 倍行距"/>
    <w:basedOn w:val="6"/>
    <w:qFormat/>
    <w:uiPriority w:val="0"/>
    <w:pPr>
      <w:spacing w:line="240" w:lineRule="auto"/>
      <w:jc w:val="center"/>
    </w:pPr>
    <w:rPr>
      <w:rFonts w:eastAsia="黑体" w:cs="宋体"/>
      <w:sz w:val="28"/>
      <w:szCs w:val="20"/>
    </w:rPr>
  </w:style>
  <w:style w:type="paragraph" w:customStyle="1" w:styleId="575">
    <w:name w:val="fnt1"/>
    <w:basedOn w:val="1"/>
    <w:qFormat/>
    <w:uiPriority w:val="0"/>
    <w:pPr>
      <w:widowControl/>
      <w:spacing w:line="360" w:lineRule="auto"/>
      <w:ind w:firstLine="200" w:firstLineChars="200"/>
      <w:jc w:val="left"/>
    </w:pPr>
    <w:rPr>
      <w:rFonts w:ascii="宋体" w:hAnsi="宋体" w:eastAsia="华文中宋" w:cs="宋体"/>
      <w:color w:val="666666"/>
      <w:kern w:val="0"/>
      <w:sz w:val="24"/>
    </w:rPr>
  </w:style>
  <w:style w:type="paragraph" w:customStyle="1" w:styleId="576">
    <w:name w:val="段落"/>
    <w:basedOn w:val="1"/>
    <w:qFormat/>
    <w:uiPriority w:val="0"/>
    <w:pPr>
      <w:widowControl/>
      <w:spacing w:before="120" w:after="120" w:line="0" w:lineRule="atLeast"/>
      <w:ind w:firstLine="567" w:firstLineChars="200"/>
      <w:jc w:val="left"/>
    </w:pPr>
    <w:rPr>
      <w:rFonts w:ascii="宋体" w:hAnsi="宋体" w:eastAsia="华文中宋" w:cs="宋体"/>
      <w:kern w:val="0"/>
      <w:sz w:val="28"/>
      <w:szCs w:val="20"/>
    </w:rPr>
  </w:style>
  <w:style w:type="paragraph" w:styleId="577">
    <w:name w:val="List Paragraph"/>
    <w:basedOn w:val="1"/>
    <w:qFormat/>
    <w:uiPriority w:val="99"/>
    <w:pPr>
      <w:ind w:firstLine="420" w:firstLineChars="200"/>
    </w:pPr>
    <w:rPr>
      <w:rFonts w:ascii="Calibri" w:hAnsi="Calibri" w:eastAsia="宋体" w:cs="Times New Roman"/>
      <w:szCs w:val="22"/>
    </w:rPr>
  </w:style>
  <w:style w:type="paragraph" w:customStyle="1" w:styleId="578">
    <w:name w:val="xl81"/>
    <w:basedOn w:val="1"/>
    <w:qFormat/>
    <w:uiPriority w:val="99"/>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宋体" w:hAnsi="宋体" w:cs="宋体"/>
      <w:b/>
      <w:bCs/>
      <w:i/>
      <w:iCs/>
      <w:kern w:val="0"/>
      <w:sz w:val="20"/>
      <w:szCs w:val="20"/>
    </w:rPr>
  </w:style>
  <w:style w:type="paragraph" w:customStyle="1" w:styleId="579">
    <w:name w:val="缺省文本:1"/>
    <w:basedOn w:val="1"/>
    <w:qFormat/>
    <w:uiPriority w:val="0"/>
    <w:pPr>
      <w:widowControl/>
      <w:autoSpaceDE w:val="0"/>
      <w:autoSpaceDN w:val="0"/>
      <w:adjustRightInd w:val="0"/>
      <w:spacing w:line="360" w:lineRule="auto"/>
      <w:ind w:firstLine="200" w:firstLineChars="200"/>
      <w:jc w:val="left"/>
    </w:pPr>
    <w:rPr>
      <w:rFonts w:ascii="宋体" w:hAnsi="宋体" w:eastAsia="华文中宋" w:cs="宋体"/>
      <w:kern w:val="0"/>
      <w:sz w:val="24"/>
      <w:szCs w:val="20"/>
    </w:rPr>
  </w:style>
  <w:style w:type="paragraph" w:customStyle="1" w:styleId="580">
    <w:name w:val="Char Char Char1 Char1"/>
    <w:basedOn w:val="1"/>
    <w:qFormat/>
    <w:uiPriority w:val="0"/>
    <w:pPr>
      <w:widowControl/>
      <w:jc w:val="left"/>
    </w:pPr>
    <w:rPr>
      <w:rFonts w:ascii="宋体" w:hAnsi="宋体" w:cs="宋体"/>
      <w:kern w:val="0"/>
      <w:sz w:val="24"/>
      <w:szCs w:val="20"/>
    </w:rPr>
  </w:style>
  <w:style w:type="paragraph" w:customStyle="1" w:styleId="581">
    <w:name w:val="CM60"/>
    <w:basedOn w:val="365"/>
    <w:next w:val="365"/>
    <w:qFormat/>
    <w:uiPriority w:val="0"/>
    <w:pPr>
      <w:spacing w:line="468" w:lineRule="atLeast"/>
    </w:pPr>
    <w:rPr>
      <w:rFonts w:cs="Times New Roman"/>
      <w:color w:val="auto"/>
    </w:rPr>
  </w:style>
  <w:style w:type="paragraph" w:customStyle="1" w:styleId="582">
    <w:name w:val=" Char Char Char"/>
    <w:basedOn w:val="1"/>
    <w:qFormat/>
    <w:uiPriority w:val="0"/>
    <w:pPr>
      <w:tabs>
        <w:tab w:val="left" w:pos="420"/>
      </w:tabs>
      <w:ind w:left="420" w:hanging="420"/>
    </w:pPr>
    <w:rPr>
      <w:rFonts w:ascii="Tahoma" w:hAnsi="Tahoma"/>
      <w:sz w:val="24"/>
      <w:szCs w:val="20"/>
    </w:rPr>
  </w:style>
  <w:style w:type="paragraph" w:customStyle="1" w:styleId="583">
    <w:name w:val="CM49"/>
    <w:basedOn w:val="365"/>
    <w:next w:val="365"/>
    <w:qFormat/>
    <w:uiPriority w:val="0"/>
    <w:pPr>
      <w:spacing w:line="468" w:lineRule="atLeast"/>
    </w:pPr>
    <w:rPr>
      <w:rFonts w:cs="Times New Roman"/>
      <w:color w:val="auto"/>
    </w:rPr>
  </w:style>
  <w:style w:type="paragraph" w:customStyle="1" w:styleId="584">
    <w:name w:val="Char Char Char Char Char Char Char Char Char Char Char Char Char"/>
    <w:basedOn w:val="20"/>
    <w:qFormat/>
    <w:uiPriority w:val="0"/>
    <w:pPr>
      <w:widowControl/>
      <w:jc w:val="left"/>
    </w:pPr>
    <w:rPr>
      <w:rFonts w:ascii="Tahoma" w:hAnsi="Tahoma" w:eastAsia="Times New Roman" w:cs="Tahoma"/>
      <w:sz w:val="24"/>
      <w:shd w:val="clear" w:color="auto" w:fill="000080"/>
    </w:rPr>
  </w:style>
  <w:style w:type="paragraph" w:customStyle="1" w:styleId="585">
    <w:name w:val="reader-word-layer reader-word-s4-4"/>
    <w:basedOn w:val="1"/>
    <w:qFormat/>
    <w:uiPriority w:val="0"/>
    <w:pPr>
      <w:widowControl/>
      <w:spacing w:before="100" w:beforeAutospacing="1" w:after="100" w:afterAutospacing="1"/>
      <w:jc w:val="left"/>
    </w:pPr>
    <w:rPr>
      <w:rFonts w:ascii="宋体" w:hAnsi="宋体" w:cs="宋体"/>
      <w:kern w:val="0"/>
      <w:sz w:val="24"/>
    </w:rPr>
  </w:style>
  <w:style w:type="paragraph" w:customStyle="1" w:styleId="586">
    <w:name w:val="reader-word-layer"/>
    <w:basedOn w:val="1"/>
    <w:qFormat/>
    <w:uiPriority w:val="0"/>
    <w:pPr>
      <w:widowControl/>
      <w:spacing w:before="100" w:beforeAutospacing="1" w:after="100" w:afterAutospacing="1"/>
      <w:jc w:val="left"/>
    </w:pPr>
    <w:rPr>
      <w:rFonts w:ascii="宋体" w:hAnsi="宋体" w:cs="宋体"/>
      <w:kern w:val="0"/>
      <w:sz w:val="24"/>
    </w:rPr>
  </w:style>
  <w:style w:type="paragraph" w:customStyle="1" w:styleId="587">
    <w:name w:val="xl1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588">
    <w:name w:val="Heading 6"/>
    <w:basedOn w:val="1"/>
    <w:next w:val="1"/>
    <w:qFormat/>
    <w:uiPriority w:val="0"/>
    <w:pPr>
      <w:widowControl/>
      <w:tabs>
        <w:tab w:val="left" w:pos="420"/>
      </w:tabs>
      <w:topLinePunct/>
      <w:autoSpaceDE w:val="0"/>
      <w:adjustRightInd w:val="0"/>
      <w:spacing w:afterLines="50" w:line="300" w:lineRule="auto"/>
      <w:ind w:left="420" w:hanging="420"/>
      <w:jc w:val="left"/>
      <w:outlineLvl w:val="5"/>
    </w:pPr>
    <w:rPr>
      <w:rFonts w:ascii="Microsoft Sans Serif" w:hAnsi="Microsoft Sans Serif" w:cs="Microsoft Sans Serif"/>
      <w:b/>
      <w:bCs/>
      <w:kern w:val="0"/>
      <w:sz w:val="24"/>
      <w:szCs w:val="22"/>
    </w:rPr>
  </w:style>
  <w:style w:type="paragraph" w:customStyle="1" w:styleId="589">
    <w:name w:val="xl88"/>
    <w:basedOn w:val="1"/>
    <w:qFormat/>
    <w:uiPriority w:val="0"/>
    <w:pPr>
      <w:widowControl/>
      <w:pBdr>
        <w:top w:val="single" w:color="auto" w:sz="4" w:space="0"/>
        <w:left w:val="single" w:color="auto" w:sz="4" w:space="0"/>
        <w:bottom w:val="single" w:color="auto" w:sz="4" w:space="0"/>
        <w:right w:val="single" w:color="auto" w:sz="4" w:space="0"/>
      </w:pBdr>
      <w:shd w:val="clear" w:color="auto" w:fill="CCFFFF"/>
      <w:topLinePunct/>
      <w:autoSpaceDE w:val="0"/>
      <w:adjustRightInd w:val="0"/>
      <w:spacing w:before="100" w:beforeAutospacing="1" w:after="100" w:afterAutospacing="1"/>
      <w:jc w:val="center"/>
      <w:textAlignment w:val="center"/>
    </w:pPr>
    <w:rPr>
      <w:rFonts w:ascii="宋体" w:hAnsi="宋体" w:cs="宋体"/>
      <w:b/>
      <w:bCs/>
      <w:kern w:val="0"/>
      <w:sz w:val="20"/>
      <w:szCs w:val="20"/>
    </w:rPr>
  </w:style>
  <w:style w:type="paragraph" w:customStyle="1" w:styleId="590">
    <w:name w:val="font7"/>
    <w:basedOn w:val="1"/>
    <w:qFormat/>
    <w:uiPriority w:val="0"/>
    <w:pPr>
      <w:widowControl/>
      <w:topLinePunct/>
      <w:autoSpaceDE w:val="0"/>
      <w:adjustRightInd w:val="0"/>
      <w:spacing w:before="100" w:beforeAutospacing="1" w:after="100" w:afterAutospacing="1"/>
      <w:jc w:val="left"/>
    </w:pPr>
    <w:rPr>
      <w:rFonts w:ascii="Arial" w:hAnsi="Arial" w:cs="Arial"/>
      <w:kern w:val="0"/>
      <w:sz w:val="20"/>
      <w:szCs w:val="20"/>
    </w:rPr>
  </w:style>
  <w:style w:type="paragraph" w:customStyle="1" w:styleId="591">
    <w:name w:val="百姓X"/>
    <w:basedOn w:val="1"/>
    <w:qFormat/>
    <w:uiPriority w:val="0"/>
    <w:pPr>
      <w:widowControl/>
      <w:adjustRightInd w:val="0"/>
      <w:spacing w:before="120" w:after="120" w:line="360" w:lineRule="auto"/>
      <w:ind w:firstLine="420" w:firstLineChars="200"/>
      <w:jc w:val="left"/>
      <w:textAlignment w:val="baseline"/>
    </w:pPr>
    <w:rPr>
      <w:rFonts w:ascii="宋体" w:hAnsi="宋体" w:eastAsia="华文中宋" w:cs="宋体"/>
      <w:kern w:val="0"/>
      <w:sz w:val="24"/>
      <w:szCs w:val="20"/>
    </w:rPr>
  </w:style>
  <w:style w:type="paragraph" w:customStyle="1" w:styleId="592">
    <w:name w:val="flNote"/>
    <w:basedOn w:val="1"/>
    <w:qFormat/>
    <w:uiPriority w:val="0"/>
    <w:pPr>
      <w:widowControl/>
      <w:adjustRightInd w:val="0"/>
      <w:spacing w:before="320" w:after="160" w:line="360" w:lineRule="atLeast"/>
      <w:jc w:val="center"/>
      <w:textAlignment w:val="baseline"/>
    </w:pPr>
    <w:rPr>
      <w:rFonts w:ascii="Arial" w:hAnsi="宋体" w:eastAsia="黑体" w:cs="宋体"/>
      <w:kern w:val="0"/>
      <w:sz w:val="30"/>
      <w:szCs w:val="20"/>
    </w:rPr>
  </w:style>
  <w:style w:type="paragraph" w:customStyle="1" w:styleId="593">
    <w:name w:val="Char Char Char Char Char Char Char1"/>
    <w:basedOn w:val="1"/>
    <w:qFormat/>
    <w:uiPriority w:val="0"/>
    <w:pPr>
      <w:widowControl/>
      <w:spacing w:line="400" w:lineRule="exact"/>
      <w:jc w:val="center"/>
    </w:pPr>
    <w:rPr>
      <w:rFonts w:ascii="Verdana" w:hAnsi="Verdana" w:cs="宋体"/>
      <w:kern w:val="0"/>
      <w:sz w:val="24"/>
      <w:szCs w:val="20"/>
      <w:lang w:eastAsia="en-US"/>
    </w:rPr>
  </w:style>
  <w:style w:type="paragraph" w:customStyle="1" w:styleId="594">
    <w:name w:val="xl66"/>
    <w:basedOn w:val="1"/>
    <w:qFormat/>
    <w:uiPriority w:val="99"/>
    <w:pPr>
      <w:widowControl/>
      <w:pBdr>
        <w:top w:val="single" w:color="auto" w:sz="4" w:space="0"/>
        <w:left w:val="single" w:color="auto" w:sz="4" w:space="0"/>
        <w:bottom w:val="single" w:color="auto" w:sz="4" w:space="0"/>
        <w:right w:val="single" w:color="auto" w:sz="8" w:space="0"/>
      </w:pBdr>
      <w:spacing w:before="100" w:beforeAutospacing="1" w:after="100" w:afterAutospacing="1"/>
      <w:jc w:val="center"/>
    </w:pPr>
    <w:rPr>
      <w:rFonts w:ascii="Arial Unicode MS" w:hAnsi="Arial Unicode MS" w:eastAsia="宋体fal" w:cs="Arial Unicode MS"/>
      <w:kern w:val="0"/>
      <w:sz w:val="24"/>
    </w:rPr>
  </w:style>
  <w:style w:type="paragraph" w:customStyle="1" w:styleId="595">
    <w:name w:val="_Style 12"/>
    <w:basedOn w:val="1"/>
    <w:next w:val="35"/>
    <w:qFormat/>
    <w:uiPriority w:val="0"/>
    <w:pPr>
      <w:widowControl/>
      <w:jc w:val="left"/>
    </w:pPr>
    <w:rPr>
      <w:rFonts w:ascii="Tahoma" w:hAnsi="华文细黑" w:eastAsia="Tahoma" w:cs="华文细黑"/>
      <w:kern w:val="0"/>
      <w:sz w:val="24"/>
      <w:szCs w:val="21"/>
    </w:rPr>
  </w:style>
  <w:style w:type="paragraph" w:customStyle="1" w:styleId="596">
    <w:name w:val="样式 (中文) 黑体 小二 行距: 1.5 倍行距"/>
    <w:basedOn w:val="1"/>
    <w:qFormat/>
    <w:uiPriority w:val="0"/>
    <w:pPr>
      <w:spacing w:line="360" w:lineRule="auto"/>
    </w:pPr>
    <w:rPr>
      <w:rFonts w:eastAsia="黑体" w:cs="宋体"/>
      <w:sz w:val="36"/>
      <w:szCs w:val="20"/>
    </w:rPr>
  </w:style>
  <w:style w:type="paragraph" w:customStyle="1" w:styleId="597">
    <w:name w:val="Heading 9"/>
    <w:basedOn w:val="1"/>
    <w:next w:val="1"/>
    <w:qFormat/>
    <w:uiPriority w:val="0"/>
    <w:pPr>
      <w:widowControl/>
      <w:tabs>
        <w:tab w:val="left" w:pos="1584"/>
      </w:tabs>
      <w:topLinePunct/>
      <w:autoSpaceDE w:val="0"/>
      <w:adjustRightInd w:val="0"/>
      <w:spacing w:afterLines="50" w:line="300" w:lineRule="auto"/>
      <w:ind w:left="1584" w:hanging="1584"/>
      <w:jc w:val="left"/>
      <w:outlineLvl w:val="8"/>
    </w:pPr>
    <w:rPr>
      <w:rFonts w:ascii="Microsoft Sans Serif" w:hAnsi="Microsoft Sans Serif" w:cs="Microsoft Sans Serif"/>
      <w:kern w:val="0"/>
      <w:sz w:val="24"/>
      <w:szCs w:val="22"/>
    </w:rPr>
  </w:style>
  <w:style w:type="paragraph" w:customStyle="1" w:styleId="598">
    <w:name w:val="Paragraph after List 1"/>
    <w:basedOn w:val="1"/>
    <w:qFormat/>
    <w:uiPriority w:val="0"/>
    <w:pPr>
      <w:widowControl/>
      <w:overflowPunct w:val="0"/>
      <w:autoSpaceDE w:val="0"/>
      <w:autoSpaceDN w:val="0"/>
      <w:adjustRightInd w:val="0"/>
      <w:spacing w:line="360" w:lineRule="atLeast"/>
      <w:ind w:left="2520" w:firstLine="200" w:firstLineChars="200"/>
      <w:jc w:val="left"/>
      <w:textAlignment w:val="baseline"/>
    </w:pPr>
    <w:rPr>
      <w:rFonts w:ascii="宋体" w:hAnsi="宋体" w:eastAsia="华文中宋" w:cs="宋体"/>
      <w:kern w:val="0"/>
      <w:sz w:val="24"/>
      <w:szCs w:val="20"/>
    </w:rPr>
  </w:style>
  <w:style w:type="paragraph" w:customStyle="1" w:styleId="599">
    <w:name w:val="Doc Statistics"/>
    <w:basedOn w:val="1"/>
    <w:qFormat/>
    <w:uiPriority w:val="0"/>
    <w:pPr>
      <w:widowControl/>
      <w:tabs>
        <w:tab w:val="right" w:pos="2410"/>
      </w:tabs>
      <w:topLinePunct/>
      <w:autoSpaceDE w:val="0"/>
      <w:adjustRightInd w:val="0"/>
      <w:spacing w:line="360" w:lineRule="auto"/>
      <w:ind w:left="2552" w:hanging="2552"/>
      <w:jc w:val="left"/>
    </w:pPr>
    <w:rPr>
      <w:rFonts w:ascii="Helvetica Neue 55 Roman" w:hAnsi="Helvetica Neue 55 Roman" w:cs="宋体"/>
      <w:kern w:val="0"/>
      <w:sz w:val="20"/>
      <w:szCs w:val="20"/>
      <w:lang w:eastAsia="en-US"/>
    </w:rPr>
  </w:style>
  <w:style w:type="paragraph" w:customStyle="1" w:styleId="600">
    <w:name w:val="正文 1"/>
    <w:basedOn w:val="1"/>
    <w:qFormat/>
    <w:uiPriority w:val="0"/>
    <w:pPr>
      <w:widowControl/>
      <w:autoSpaceDE w:val="0"/>
      <w:autoSpaceDN w:val="0"/>
      <w:adjustRightInd w:val="0"/>
      <w:spacing w:before="80" w:after="80" w:line="360" w:lineRule="auto"/>
      <w:ind w:left="1417" w:firstLine="200" w:firstLineChars="200"/>
      <w:jc w:val="left"/>
    </w:pPr>
    <w:rPr>
      <w:rFonts w:ascii="宋体" w:hAnsi="宋体" w:eastAsia="华文中宋" w:cs="宋体"/>
      <w:kern w:val="0"/>
      <w:sz w:val="24"/>
      <w:szCs w:val="21"/>
    </w:rPr>
  </w:style>
  <w:style w:type="paragraph" w:customStyle="1" w:styleId="601">
    <w:name w:val="font0"/>
    <w:basedOn w:val="1"/>
    <w:qFormat/>
    <w:uiPriority w:val="0"/>
    <w:pPr>
      <w:widowControl/>
      <w:spacing w:before="100" w:beforeAutospacing="1" w:after="100" w:afterAutospacing="1"/>
      <w:jc w:val="left"/>
    </w:pPr>
    <w:rPr>
      <w:rFonts w:ascii="宋体fal" w:hAnsi="宋体fal" w:eastAsia="宋体fal" w:cs="宋体fal"/>
      <w:kern w:val="0"/>
      <w:sz w:val="24"/>
    </w:rPr>
  </w:style>
  <w:style w:type="paragraph" w:customStyle="1" w:styleId="602">
    <w:name w:val="_Style 35"/>
    <w:basedOn w:val="1"/>
    <w:next w:val="1"/>
    <w:qFormat/>
    <w:uiPriority w:val="0"/>
    <w:pPr>
      <w:widowControl/>
      <w:spacing w:after="160" w:line="240" w:lineRule="exact"/>
      <w:jc w:val="left"/>
    </w:pPr>
    <w:rPr>
      <w:rFonts w:ascii="Verdana" w:hAnsi="Verdana" w:cs="宋体"/>
      <w:kern w:val="0"/>
      <w:sz w:val="20"/>
      <w:szCs w:val="20"/>
      <w:lang w:eastAsia="en-US"/>
    </w:rPr>
  </w:style>
  <w:style w:type="paragraph" w:customStyle="1" w:styleId="603">
    <w:name w:val="表头文本"/>
    <w:basedOn w:val="1"/>
    <w:qFormat/>
    <w:uiPriority w:val="0"/>
    <w:pPr>
      <w:widowControl/>
      <w:autoSpaceDE w:val="0"/>
      <w:autoSpaceDN w:val="0"/>
      <w:adjustRightInd w:val="0"/>
      <w:jc w:val="center"/>
    </w:pPr>
    <w:rPr>
      <w:rFonts w:ascii="宋体" w:hAnsi="宋体" w:eastAsia="宋体fal" w:cs="宋体"/>
      <w:b/>
      <w:bCs/>
      <w:kern w:val="0"/>
      <w:sz w:val="24"/>
    </w:rPr>
  </w:style>
  <w:style w:type="paragraph" w:customStyle="1" w:styleId="604">
    <w:name w:val="Char Char Char"/>
    <w:basedOn w:val="1"/>
    <w:qFormat/>
    <w:uiPriority w:val="0"/>
    <w:pPr>
      <w:widowControl/>
      <w:tabs>
        <w:tab w:val="left" w:pos="420"/>
      </w:tabs>
      <w:ind w:left="420" w:hanging="420"/>
      <w:jc w:val="left"/>
    </w:pPr>
    <w:rPr>
      <w:rFonts w:ascii="G" w:hAnsi="G" w:cs="宋体"/>
      <w:kern w:val="0"/>
      <w:sz w:val="24"/>
      <w:szCs w:val="20"/>
    </w:rPr>
  </w:style>
  <w:style w:type="paragraph" w:customStyle="1" w:styleId="605">
    <w:name w:val="方案标题1"/>
    <w:basedOn w:val="4"/>
    <w:qFormat/>
    <w:uiPriority w:val="0"/>
    <w:pPr>
      <w:pageBreakBefore/>
      <w:widowControl/>
      <w:tabs>
        <w:tab w:val="left" w:pos="360"/>
      </w:tabs>
      <w:snapToGrid w:val="0"/>
      <w:spacing w:before="200" w:after="0" w:line="360" w:lineRule="auto"/>
      <w:ind w:firstLine="200" w:firstLineChars="200"/>
      <w:jc w:val="center"/>
    </w:pPr>
    <w:rPr>
      <w:rFonts w:ascii="Arial" w:hAnsi="Arial" w:eastAsia="黑体fal" w:cs="Arial"/>
      <w:b w:val="0"/>
      <w:bCs w:val="0"/>
      <w:color w:val="000000"/>
      <w:spacing w:val="14"/>
      <w:kern w:val="0"/>
      <w:sz w:val="32"/>
      <w:szCs w:val="32"/>
      <w:lang w:val="en-US" w:eastAsia="zh-CN"/>
    </w:rPr>
  </w:style>
  <w:style w:type="paragraph" w:customStyle="1" w:styleId="606">
    <w:name w:val="xl98"/>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left"/>
    </w:pPr>
    <w:rPr>
      <w:rFonts w:ascii="宋体" w:hAnsi="宋体" w:cs="宋体"/>
      <w:kern w:val="0"/>
      <w:sz w:val="24"/>
    </w:rPr>
  </w:style>
  <w:style w:type="paragraph" w:customStyle="1" w:styleId="607">
    <w:name w:val="xl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608">
    <w:name w:val="xl1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609">
    <w:name w:val="xl94"/>
    <w:basedOn w:val="1"/>
    <w:qFormat/>
    <w:uiPriority w:val="0"/>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pPr>
    <w:rPr>
      <w:rFonts w:ascii="宋体" w:hAnsi="宋体" w:cs="宋体"/>
      <w:kern w:val="0"/>
      <w:sz w:val="24"/>
    </w:rPr>
  </w:style>
  <w:style w:type="paragraph" w:customStyle="1" w:styleId="610">
    <w:name w:val="五号正文（标准）"/>
    <w:basedOn w:val="1"/>
    <w:qFormat/>
    <w:uiPriority w:val="0"/>
    <w:pPr>
      <w:spacing w:line="360" w:lineRule="auto"/>
      <w:ind w:firstLine="600" w:firstLineChars="200"/>
    </w:pPr>
    <w:rPr>
      <w:rFonts w:ascii="仿宋_GB2312" w:hAnsi="宋体" w:eastAsia="仿宋_GB2312"/>
      <w:b/>
      <w:sz w:val="30"/>
      <w:szCs w:val="20"/>
    </w:rPr>
  </w:style>
  <w:style w:type="paragraph" w:customStyle="1" w:styleId="611">
    <w:name w:val="fontsize"/>
    <w:basedOn w:val="1"/>
    <w:qFormat/>
    <w:uiPriority w:val="0"/>
    <w:pPr>
      <w:widowControl/>
      <w:spacing w:before="100" w:beforeAutospacing="1" w:after="100" w:afterAutospacing="1"/>
      <w:ind w:firstLine="180"/>
      <w:jc w:val="left"/>
    </w:pPr>
    <w:rPr>
      <w:rFonts w:ascii="Arial Unicode MS" w:hAnsi="Arial Unicode MS" w:eastAsia="Arial Unicode MS"/>
      <w:color w:val="000000"/>
      <w:spacing w:val="20"/>
      <w:kern w:val="0"/>
      <w:sz w:val="24"/>
      <w:szCs w:val="20"/>
      <w:vertAlign w:val="subscript"/>
    </w:rPr>
  </w:style>
  <w:style w:type="paragraph" w:customStyle="1" w:styleId="612">
    <w:name w:val="xl64"/>
    <w:basedOn w:val="1"/>
    <w:qFormat/>
    <w:uiPriority w:val="99"/>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613">
    <w:name w:val="xl56"/>
    <w:basedOn w:val="1"/>
    <w:qFormat/>
    <w:uiPriority w:val="0"/>
    <w:pPr>
      <w:widowControl/>
      <w:pBdr>
        <w:top w:val="single" w:color="auto" w:sz="8" w:space="0"/>
        <w:left w:val="single" w:color="auto" w:sz="8"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color w:val="000000"/>
      <w:kern w:val="0"/>
      <w:sz w:val="24"/>
    </w:rPr>
  </w:style>
  <w:style w:type="paragraph" w:customStyle="1" w:styleId="614">
    <w:name w:val="Normal1"/>
    <w:qFormat/>
    <w:uiPriority w:val="0"/>
    <w:pPr>
      <w:widowControl w:val="0"/>
      <w:adjustRightInd w:val="0"/>
      <w:spacing w:line="312" w:lineRule="atLeast"/>
      <w:jc w:val="both"/>
      <w:textAlignment w:val="baseline"/>
    </w:pPr>
    <w:rPr>
      <w:rFonts w:ascii="宋体" w:hAnsi="Times New Roman" w:eastAsia="宋体" w:cs="Times New Roman"/>
      <w:sz w:val="24"/>
      <w:lang w:val="en-US" w:eastAsia="zh-CN" w:bidi="ar-SA"/>
    </w:rPr>
  </w:style>
  <w:style w:type="paragraph" w:customStyle="1" w:styleId="615">
    <w:name w:val="font13"/>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616">
    <w:name w:val="_Style 429"/>
    <w:next w:val="1"/>
    <w:qFormat/>
    <w:uiPriority w:val="0"/>
    <w:rPr>
      <w:rFonts w:ascii="宋体" w:hAnsi="宋体" w:eastAsia="宋体" w:cs="宋体"/>
      <w:sz w:val="24"/>
      <w:szCs w:val="24"/>
      <w:lang w:val="en-US" w:eastAsia="zh-CN" w:bidi="ar-SA"/>
    </w:rPr>
  </w:style>
  <w:style w:type="paragraph" w:customStyle="1" w:styleId="617">
    <w:name w:val="标书正文格式 Char Char Char Char"/>
    <w:qFormat/>
    <w:uiPriority w:val="0"/>
    <w:pPr>
      <w:spacing w:line="360" w:lineRule="auto"/>
      <w:ind w:firstLine="200" w:firstLineChars="200"/>
    </w:pPr>
    <w:rPr>
      <w:rFonts w:ascii="Times New Roman" w:hAnsi="Times New Roman" w:eastAsia="楷体_GB2312" w:cs="Times New Roman"/>
      <w:sz w:val="24"/>
      <w:szCs w:val="24"/>
      <w:lang w:val="en-US" w:eastAsia="zh-CN" w:bidi="ar-SA"/>
    </w:rPr>
  </w:style>
  <w:style w:type="paragraph" w:customStyle="1" w:styleId="618">
    <w:name w:val="Char1 Char Char Char"/>
    <w:basedOn w:val="1"/>
    <w:qFormat/>
    <w:uiPriority w:val="0"/>
    <w:pPr>
      <w:widowControl/>
      <w:topLinePunct/>
      <w:autoSpaceDE w:val="0"/>
      <w:adjustRightInd w:val="0"/>
      <w:spacing w:line="360" w:lineRule="auto"/>
      <w:jc w:val="left"/>
    </w:pPr>
    <w:rPr>
      <w:rFonts w:ascii="宋体" w:hAnsi="宋体" w:cs="宋体"/>
      <w:kern w:val="0"/>
      <w:sz w:val="24"/>
    </w:rPr>
  </w:style>
  <w:style w:type="paragraph" w:customStyle="1" w:styleId="619">
    <w:name w:val="xl82"/>
    <w:basedOn w:val="1"/>
    <w:qFormat/>
    <w:uiPriority w:val="99"/>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Arial" w:hAnsi="Arial" w:cs="Arial"/>
      <w:kern w:val="0"/>
      <w:sz w:val="20"/>
      <w:szCs w:val="20"/>
    </w:rPr>
  </w:style>
  <w:style w:type="paragraph" w:customStyle="1" w:styleId="620">
    <w:name w:val="xl1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621">
    <w:name w:val="表身（中）"/>
    <w:basedOn w:val="383"/>
    <w:qFormat/>
    <w:uiPriority w:val="0"/>
    <w:pPr>
      <w:jc w:val="center"/>
    </w:pPr>
  </w:style>
  <w:style w:type="paragraph" w:customStyle="1" w:styleId="622">
    <w:name w:val="标题-5"/>
    <w:basedOn w:val="8"/>
    <w:next w:val="8"/>
    <w:qFormat/>
    <w:uiPriority w:val="0"/>
    <w:pPr>
      <w:topLinePunct/>
      <w:autoSpaceDE w:val="0"/>
      <w:adjustRightInd w:val="0"/>
      <w:spacing w:before="100" w:beforeAutospacing="1" w:after="100" w:afterAutospacing="1" w:line="240" w:lineRule="atLeast"/>
      <w:ind w:left="1680" w:right="280" w:rightChars="100" w:hanging="420"/>
    </w:pPr>
    <w:rPr>
      <w:rFonts w:ascii="宋体" w:hAnsi="宋体" w:cs="宋体"/>
      <w:b/>
      <w:kern w:val="0"/>
      <w:sz w:val="24"/>
      <w:szCs w:val="24"/>
      <w:lang w:bidi="en-US"/>
    </w:rPr>
  </w:style>
  <w:style w:type="paragraph" w:customStyle="1" w:styleId="623">
    <w:name w:val="xl1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624">
    <w:name w:val="xl1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宋体fal" w:hAnsi="宋体fal" w:eastAsia="宋体fal" w:cs="宋体fal"/>
      <w:kern w:val="0"/>
      <w:sz w:val="24"/>
    </w:rPr>
  </w:style>
  <w:style w:type="paragraph" w:customStyle="1" w:styleId="625">
    <w:name w:val="_Style 1"/>
    <w:basedOn w:val="1"/>
    <w:qFormat/>
    <w:uiPriority w:val="99"/>
    <w:pPr>
      <w:widowControl/>
      <w:ind w:firstLine="420" w:firstLineChars="200"/>
      <w:jc w:val="left"/>
    </w:pPr>
    <w:rPr>
      <w:rFonts w:ascii="Calibri" w:hAnsi="Calibri" w:cs="宋体"/>
      <w:kern w:val="0"/>
      <w:sz w:val="24"/>
      <w:szCs w:val="22"/>
    </w:rPr>
  </w:style>
  <w:style w:type="paragraph" w:customStyle="1" w:styleId="626">
    <w:name w:val="表格文字"/>
    <w:basedOn w:val="1"/>
    <w:next w:val="1"/>
    <w:qFormat/>
    <w:uiPriority w:val="0"/>
    <w:pPr>
      <w:autoSpaceDE w:val="0"/>
      <w:autoSpaceDN w:val="0"/>
      <w:adjustRightInd w:val="0"/>
      <w:spacing w:before="6" w:after="6"/>
      <w:jc w:val="left"/>
    </w:pPr>
    <w:rPr>
      <w:rFonts w:ascii="宋体"/>
      <w:kern w:val="0"/>
      <w:sz w:val="20"/>
    </w:rPr>
  </w:style>
  <w:style w:type="paragraph" w:customStyle="1" w:styleId="627">
    <w:name w:val="彩色列表 - 强调文字颜色 11"/>
    <w:basedOn w:val="1"/>
    <w:qFormat/>
    <w:uiPriority w:val="0"/>
    <w:pPr>
      <w:widowControl/>
      <w:ind w:firstLine="420" w:firstLineChars="200"/>
      <w:jc w:val="left"/>
    </w:pPr>
    <w:rPr>
      <w:rFonts w:ascii="宋体" w:hAnsi="宋体" w:eastAsia="华文中宋" w:cs="宋体"/>
      <w:kern w:val="0"/>
      <w:sz w:val="24"/>
    </w:rPr>
  </w:style>
  <w:style w:type="paragraph" w:customStyle="1" w:styleId="628">
    <w:name w:val="p15"/>
    <w:basedOn w:val="1"/>
    <w:qFormat/>
    <w:uiPriority w:val="0"/>
    <w:pPr>
      <w:widowControl/>
      <w:ind w:firstLine="420"/>
      <w:jc w:val="left"/>
    </w:pPr>
    <w:rPr>
      <w:rFonts w:ascii="宋体" w:hAnsi="宋体" w:cs="宋体"/>
      <w:kern w:val="0"/>
      <w:sz w:val="24"/>
      <w:szCs w:val="20"/>
    </w:rPr>
  </w:style>
  <w:style w:type="paragraph" w:customStyle="1" w:styleId="629">
    <w:name w:val="方案标题4"/>
    <w:basedOn w:val="7"/>
    <w:qFormat/>
    <w:uiPriority w:val="0"/>
    <w:pPr>
      <w:keepLines w:val="0"/>
      <w:widowControl/>
      <w:tabs>
        <w:tab w:val="left" w:pos="360"/>
        <w:tab w:val="left" w:pos="2247"/>
      </w:tabs>
      <w:adjustRightInd w:val="0"/>
      <w:snapToGrid w:val="0"/>
      <w:spacing w:before="120" w:after="0" w:line="240" w:lineRule="atLeast"/>
      <w:ind w:firstLine="200" w:firstLineChars="200"/>
      <w:jc w:val="left"/>
    </w:pPr>
    <w:rPr>
      <w:rFonts w:eastAsia="黑体fal" w:cs="Arial"/>
      <w:b w:val="0"/>
      <w:bCs w:val="0"/>
      <w:color w:val="000000"/>
      <w:spacing w:val="14"/>
      <w:kern w:val="0"/>
      <w:lang w:val="en-US" w:eastAsia="zh-CN"/>
    </w:rPr>
  </w:style>
  <w:style w:type="paragraph" w:customStyle="1" w:styleId="630">
    <w:name w:val="xl148"/>
    <w:basedOn w:val="1"/>
    <w:qFormat/>
    <w:uiPriority w:val="0"/>
    <w:pPr>
      <w:widowControl/>
      <w:pBdr>
        <w:bottom w:val="single" w:color="auto" w:sz="4" w:space="0"/>
        <w:right w:val="single" w:color="auto" w:sz="4" w:space="0"/>
      </w:pBdr>
      <w:spacing w:before="100" w:beforeAutospacing="1" w:after="100" w:afterAutospacing="1"/>
      <w:jc w:val="left"/>
      <w:textAlignment w:val="bottom"/>
    </w:pPr>
    <w:rPr>
      <w:rFonts w:ascii="宋体" w:hAnsi="宋体" w:cs="宋体"/>
      <w:kern w:val="0"/>
      <w:sz w:val="20"/>
      <w:szCs w:val="20"/>
    </w:rPr>
  </w:style>
  <w:style w:type="paragraph" w:customStyle="1" w:styleId="631">
    <w:name w:val="ÕýÎÄ 1"/>
    <w:basedOn w:val="1"/>
    <w:qFormat/>
    <w:uiPriority w:val="0"/>
    <w:pPr>
      <w:widowControl/>
      <w:overflowPunct w:val="0"/>
      <w:autoSpaceDE w:val="0"/>
      <w:autoSpaceDN w:val="0"/>
      <w:adjustRightInd w:val="0"/>
      <w:spacing w:before="80" w:after="80" w:line="360" w:lineRule="auto"/>
      <w:ind w:left="1417" w:firstLine="200" w:firstLineChars="200"/>
      <w:jc w:val="left"/>
      <w:textAlignment w:val="baseline"/>
    </w:pPr>
    <w:rPr>
      <w:rFonts w:ascii="宋体" w:hAnsi="宋体" w:eastAsia="华文中宋" w:cs="宋体"/>
      <w:kern w:val="0"/>
      <w:sz w:val="24"/>
      <w:szCs w:val="20"/>
    </w:rPr>
  </w:style>
  <w:style w:type="paragraph" w:customStyle="1" w:styleId="632">
    <w:name w:val="德吉标题二"/>
    <w:basedOn w:val="5"/>
    <w:qFormat/>
    <w:uiPriority w:val="0"/>
    <w:pPr>
      <w:spacing w:line="416" w:lineRule="auto"/>
      <w:jc w:val="left"/>
    </w:pPr>
    <w:rPr>
      <w:rFonts w:ascii="仿宋_GB2312" w:eastAsia="仿宋_GB2312"/>
      <w:lang w:val="en-US" w:eastAsia="zh-CN"/>
    </w:rPr>
  </w:style>
  <w:style w:type="paragraph" w:customStyle="1" w:styleId="633">
    <w:name w:val="样式4"/>
    <w:basedOn w:val="1"/>
    <w:next w:val="42"/>
    <w:qFormat/>
    <w:uiPriority w:val="0"/>
    <w:pPr>
      <w:tabs>
        <w:tab w:val="left" w:pos="8300"/>
      </w:tabs>
      <w:ind w:right="13"/>
      <w:jc w:val="right"/>
    </w:pPr>
    <w:rPr>
      <w:rFonts w:eastAsia="仿宋_GB2312"/>
      <w:sz w:val="28"/>
    </w:rPr>
  </w:style>
  <w:style w:type="paragraph" w:customStyle="1" w:styleId="634">
    <w:name w:val="xl1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635">
    <w:name w:val="Char Char Char Char Char Char Char Char Char Char Char Char Char Char Char Char Char Char Char"/>
    <w:basedOn w:val="1"/>
    <w:qFormat/>
    <w:uiPriority w:val="0"/>
    <w:pPr>
      <w:widowControl/>
      <w:spacing w:line="400" w:lineRule="exact"/>
      <w:jc w:val="center"/>
    </w:pPr>
    <w:rPr>
      <w:rFonts w:ascii="Verdana" w:hAnsi="Verdana" w:cs="宋体"/>
      <w:kern w:val="0"/>
      <w:sz w:val="24"/>
      <w:szCs w:val="20"/>
      <w:lang w:eastAsia="en-US"/>
    </w:rPr>
  </w:style>
  <w:style w:type="paragraph" w:customStyle="1" w:styleId="636">
    <w:name w:val="2-2ji"/>
    <w:basedOn w:val="5"/>
    <w:qFormat/>
    <w:uiPriority w:val="0"/>
    <w:pPr>
      <w:widowControl/>
      <w:spacing w:before="0" w:after="0" w:line="360" w:lineRule="auto"/>
      <w:jc w:val="center"/>
    </w:pPr>
    <w:rPr>
      <w:rFonts w:ascii="宋体" w:hAnsi="宋体" w:eastAsia="宋体"/>
      <w:sz w:val="36"/>
      <w:szCs w:val="24"/>
      <w:lang w:val="en-US" w:eastAsia="zh-CN"/>
    </w:rPr>
  </w:style>
  <w:style w:type="paragraph" w:customStyle="1" w:styleId="637">
    <w:name w:val="文档正文"/>
    <w:basedOn w:val="1"/>
    <w:qFormat/>
    <w:uiPriority w:val="0"/>
    <w:pPr>
      <w:adjustRightInd w:val="0"/>
      <w:spacing w:line="480" w:lineRule="atLeast"/>
      <w:ind w:firstLine="567"/>
    </w:pPr>
    <w:rPr>
      <w:rFonts w:ascii="长城仿宋"/>
      <w:kern w:val="0"/>
      <w:sz w:val="24"/>
      <w:szCs w:val="20"/>
    </w:rPr>
  </w:style>
  <w:style w:type="paragraph" w:customStyle="1" w:styleId="638">
    <w:name w:val="CM91"/>
    <w:basedOn w:val="365"/>
    <w:next w:val="365"/>
    <w:qFormat/>
    <w:uiPriority w:val="0"/>
    <w:pPr>
      <w:spacing w:after="265"/>
    </w:pPr>
    <w:rPr>
      <w:rFonts w:cs="Times New Roman"/>
      <w:color w:val="auto"/>
    </w:rPr>
  </w:style>
  <w:style w:type="paragraph" w:customStyle="1" w:styleId="639">
    <w:name w:val="px12l140"/>
    <w:basedOn w:val="1"/>
    <w:qFormat/>
    <w:uiPriority w:val="0"/>
    <w:pPr>
      <w:widowControl/>
      <w:spacing w:before="100" w:beforeAutospacing="1" w:after="100" w:afterAutospacing="1" w:line="336" w:lineRule="auto"/>
      <w:jc w:val="left"/>
    </w:pPr>
    <w:rPr>
      <w:rFonts w:ascii="??" w:hAnsi="??" w:eastAsia="宋体fal" w:cs="??"/>
      <w:kern w:val="0"/>
      <w:sz w:val="17"/>
      <w:szCs w:val="17"/>
    </w:rPr>
  </w:style>
  <w:style w:type="paragraph" w:customStyle="1" w:styleId="640">
    <w:name w:val="正文缩进小五"/>
    <w:basedOn w:val="1"/>
    <w:qFormat/>
    <w:uiPriority w:val="0"/>
    <w:pPr>
      <w:widowControl/>
      <w:topLinePunct/>
      <w:autoSpaceDE w:val="0"/>
      <w:adjustRightInd w:val="0"/>
      <w:spacing w:before="120" w:after="120" w:line="360" w:lineRule="auto"/>
      <w:ind w:firstLine="360"/>
      <w:jc w:val="left"/>
    </w:pPr>
    <w:rPr>
      <w:rFonts w:ascii="Arial" w:hAnsi="Arial" w:cs="宋体"/>
      <w:kern w:val="0"/>
      <w:sz w:val="18"/>
      <w:szCs w:val="18"/>
    </w:rPr>
  </w:style>
  <w:style w:type="paragraph" w:customStyle="1" w:styleId="641">
    <w:name w:val="Char Char1 Char Char Char Char"/>
    <w:basedOn w:val="1"/>
    <w:next w:val="1"/>
    <w:qFormat/>
    <w:uiPriority w:val="0"/>
    <w:pPr>
      <w:widowControl/>
      <w:spacing w:after="160" w:line="240" w:lineRule="exact"/>
      <w:jc w:val="left"/>
    </w:pPr>
    <w:rPr>
      <w:rFonts w:ascii="Verdana" w:hAnsi="Verdana" w:cs="宋体"/>
      <w:kern w:val="0"/>
      <w:sz w:val="20"/>
      <w:szCs w:val="20"/>
      <w:lang w:eastAsia="en-US"/>
    </w:rPr>
  </w:style>
  <w:style w:type="paragraph" w:customStyle="1" w:styleId="642">
    <w:name w:val="font9"/>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643">
    <w:name w:val="xl132"/>
    <w:basedOn w:val="1"/>
    <w:qFormat/>
    <w:uiPriority w:val="0"/>
    <w:pPr>
      <w:widowControl/>
      <w:pBdr>
        <w:top w:val="single" w:color="auto" w:sz="4" w:space="0"/>
        <w:left w:val="single" w:color="auto" w:sz="4" w:space="0"/>
        <w:bottom w:val="single" w:color="auto" w:sz="4" w:space="0"/>
        <w:right w:val="single" w:color="auto" w:sz="4" w:space="0"/>
      </w:pBdr>
      <w:shd w:val="clear" w:color="000000" w:fill="0066CC"/>
      <w:spacing w:before="100" w:beforeAutospacing="1" w:after="100" w:afterAutospacing="1"/>
      <w:jc w:val="center"/>
    </w:pPr>
    <w:rPr>
      <w:rFonts w:ascii="宋体" w:hAnsi="宋体" w:cs="宋体"/>
      <w:kern w:val="0"/>
      <w:sz w:val="20"/>
      <w:szCs w:val="20"/>
    </w:rPr>
  </w:style>
  <w:style w:type="paragraph" w:customStyle="1" w:styleId="644">
    <w:name w:val="样式 样式1 + 首行缩进:  2 字符"/>
    <w:basedOn w:val="1"/>
    <w:qFormat/>
    <w:uiPriority w:val="0"/>
    <w:pPr>
      <w:spacing w:line="360" w:lineRule="exact"/>
      <w:ind w:firstLine="420" w:firstLineChars="200"/>
    </w:pPr>
    <w:rPr>
      <w:rFonts w:ascii="Arial" w:hAnsi="Arial" w:cs="宋体"/>
      <w:szCs w:val="20"/>
    </w:rPr>
  </w:style>
  <w:style w:type="paragraph" w:customStyle="1" w:styleId="645">
    <w:name w:val="xl1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宋体fal" w:hAnsi="宋体fal" w:eastAsia="宋体fal" w:cs="宋体fal"/>
      <w:kern w:val="0"/>
      <w:sz w:val="24"/>
    </w:rPr>
  </w:style>
  <w:style w:type="paragraph" w:customStyle="1" w:styleId="646">
    <w:name w:val="样式 (中文) 黑体 小二 居中 行距: 1.5 倍行距"/>
    <w:basedOn w:val="1"/>
    <w:next w:val="1"/>
    <w:qFormat/>
    <w:uiPriority w:val="0"/>
    <w:pPr>
      <w:jc w:val="center"/>
    </w:pPr>
    <w:rPr>
      <w:rFonts w:eastAsia="黑体" w:cs="宋体"/>
      <w:sz w:val="36"/>
      <w:szCs w:val="20"/>
    </w:rPr>
  </w:style>
  <w:style w:type="paragraph" w:customStyle="1" w:styleId="647">
    <w:name w:val="Char1"/>
    <w:basedOn w:val="1"/>
    <w:qFormat/>
    <w:uiPriority w:val="0"/>
    <w:pPr>
      <w:widowControl/>
      <w:spacing w:after="160" w:line="240" w:lineRule="exact"/>
      <w:jc w:val="left"/>
    </w:pPr>
    <w:rPr>
      <w:rFonts w:ascii="宋体" w:hAnsi="宋体" w:cs="宋体"/>
      <w:kern w:val="0"/>
      <w:sz w:val="24"/>
    </w:rPr>
  </w:style>
  <w:style w:type="paragraph" w:customStyle="1" w:styleId="648">
    <w:name w:val="标书表格字体格式"/>
    <w:next w:val="448"/>
    <w:qFormat/>
    <w:uiPriority w:val="0"/>
    <w:rPr>
      <w:rFonts w:ascii="Times New Roman" w:hAnsi="Times New Roman" w:eastAsia="宋体fal" w:cs="Times New Roman"/>
      <w:lang w:val="en-US" w:eastAsia="zh-CN" w:bidi="ar-SA"/>
    </w:rPr>
  </w:style>
  <w:style w:type="paragraph" w:customStyle="1" w:styleId="649">
    <w:name w:val="xl16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650">
    <w:name w:val="xl1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651">
    <w:name w:val="xl30"/>
    <w:basedOn w:val="1"/>
    <w:qFormat/>
    <w:uiPriority w:val="0"/>
    <w:pPr>
      <w:widowControl/>
      <w:pBdr>
        <w:bottom w:val="single" w:color="auto" w:sz="4" w:space="0"/>
        <w:right w:val="single" w:color="auto" w:sz="4" w:space="0"/>
      </w:pBdr>
      <w:spacing w:before="100" w:beforeAutospacing="1" w:after="100" w:afterAutospacing="1"/>
      <w:jc w:val="left"/>
    </w:pPr>
    <w:rPr>
      <w:rFonts w:ascii="Arial Unicode MS" w:hAnsi="Arial Unicode MS" w:eastAsia="宋体fal" w:cs="Arial Unicode MS"/>
      <w:b/>
      <w:bCs/>
      <w:kern w:val="0"/>
      <w:sz w:val="24"/>
    </w:rPr>
  </w:style>
  <w:style w:type="paragraph" w:customStyle="1" w:styleId="652">
    <w:name w:val="xl14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bottom"/>
    </w:pPr>
    <w:rPr>
      <w:rFonts w:ascii="宋体" w:hAnsi="宋体" w:cs="宋体"/>
      <w:kern w:val="0"/>
      <w:sz w:val="20"/>
      <w:szCs w:val="20"/>
    </w:rPr>
  </w:style>
  <w:style w:type="paragraph" w:customStyle="1" w:styleId="653">
    <w:name w:val="默认段落字体 Para Char"/>
    <w:basedOn w:val="1"/>
    <w:qFormat/>
    <w:uiPriority w:val="0"/>
  </w:style>
  <w:style w:type="paragraph" w:customStyle="1" w:styleId="654">
    <w:name w:val="xl24"/>
    <w:basedOn w:val="1"/>
    <w:qFormat/>
    <w:uiPriority w:val="0"/>
    <w:pPr>
      <w:widowControl/>
      <w:spacing w:before="100" w:beforeAutospacing="1" w:after="100" w:afterAutospacing="1"/>
      <w:jc w:val="left"/>
    </w:pPr>
    <w:rPr>
      <w:rFonts w:ascii="Arial Unicode MS" w:hAnsi="Arial Unicode MS" w:eastAsia="宋体fal" w:cs="Arial Unicode MS"/>
      <w:kern w:val="0"/>
      <w:sz w:val="18"/>
      <w:szCs w:val="18"/>
    </w:rPr>
  </w:style>
  <w:style w:type="paragraph" w:customStyle="1" w:styleId="655">
    <w:name w:val="xl1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656">
    <w:name w:val=" Char Char Char1 Char"/>
    <w:basedOn w:val="1"/>
    <w:qFormat/>
    <w:uiPriority w:val="0"/>
    <w:rPr>
      <w:szCs w:val="20"/>
    </w:rPr>
  </w:style>
  <w:style w:type="paragraph" w:customStyle="1" w:styleId="657">
    <w:name w:val="列表1）"/>
    <w:basedOn w:val="17"/>
    <w:qFormat/>
    <w:uiPriority w:val="0"/>
    <w:pPr>
      <w:adjustRightInd/>
      <w:spacing w:before="10" w:line="240" w:lineRule="auto"/>
      <w:ind w:firstLine="0"/>
      <w:textAlignment w:val="auto"/>
    </w:pPr>
    <w:rPr>
      <w:rFonts w:ascii="Verdana" w:hAnsi="Verdana"/>
      <w:kern w:val="2"/>
      <w:sz w:val="21"/>
      <w:szCs w:val="21"/>
    </w:rPr>
  </w:style>
  <w:style w:type="paragraph" w:customStyle="1" w:styleId="658">
    <w:name w:val="表格样式1"/>
    <w:basedOn w:val="1"/>
    <w:qFormat/>
    <w:uiPriority w:val="0"/>
    <w:pPr>
      <w:widowControl/>
      <w:tabs>
        <w:tab w:val="left" w:pos="1440"/>
      </w:tabs>
      <w:autoSpaceDE w:val="0"/>
      <w:autoSpaceDN w:val="0"/>
      <w:adjustRightInd w:val="0"/>
      <w:snapToGrid w:val="0"/>
      <w:jc w:val="left"/>
    </w:pPr>
    <w:rPr>
      <w:rFonts w:ascii="微软雅黑" w:hAnsi="微软雅黑" w:eastAsia="微软雅黑" w:cs="宋体"/>
      <w:kern w:val="0"/>
      <w:sz w:val="24"/>
      <w:lang w:val="zh-CN"/>
    </w:rPr>
  </w:style>
  <w:style w:type="paragraph" w:customStyle="1" w:styleId="659">
    <w:name w:val="正文缩进_0"/>
    <w:basedOn w:val="453"/>
    <w:qFormat/>
    <w:uiPriority w:val="0"/>
    <w:pPr>
      <w:widowControl w:val="0"/>
      <w:ind w:firstLine="420"/>
      <w:jc w:val="both"/>
    </w:pPr>
    <w:rPr>
      <w:kern w:val="2"/>
      <w:u w:val="single"/>
    </w:rPr>
  </w:style>
  <w:style w:type="paragraph" w:customStyle="1" w:styleId="660">
    <w:name w:val="Heading 0"/>
    <w:basedOn w:val="4"/>
    <w:next w:val="2"/>
    <w:qFormat/>
    <w:uiPriority w:val="0"/>
    <w:pPr>
      <w:keepLines w:val="0"/>
      <w:pageBreakBefore/>
      <w:widowControl/>
      <w:tabs>
        <w:tab w:val="left" w:pos="432"/>
      </w:tabs>
      <w:topLinePunct/>
      <w:autoSpaceDE w:val="0"/>
      <w:adjustRightInd w:val="0"/>
      <w:spacing w:before="0" w:after="160" w:line="360" w:lineRule="auto"/>
      <w:ind w:left="431" w:hanging="431"/>
      <w:jc w:val="left"/>
      <w:outlineLvl w:val="9"/>
    </w:pPr>
    <w:rPr>
      <w:rFonts w:ascii="HelveticaNeue LT 57 Cn" w:hAnsi="HelveticaNeue LT 57 Cn" w:eastAsia="Times New Roman" w:cs="宋体"/>
      <w:b w:val="0"/>
      <w:bCs w:val="0"/>
      <w:i/>
      <w:kern w:val="0"/>
      <w:sz w:val="24"/>
      <w:szCs w:val="20"/>
      <w:lang w:val="en-US" w:eastAsia="en-US"/>
    </w:rPr>
  </w:style>
  <w:style w:type="paragraph" w:customStyle="1" w:styleId="661">
    <w:name w:val="xl85"/>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宋体" w:hAnsi="宋体" w:cs="宋体"/>
      <w:b/>
      <w:bCs/>
      <w:kern w:val="0"/>
      <w:sz w:val="20"/>
      <w:szCs w:val="20"/>
    </w:rPr>
  </w:style>
  <w:style w:type="paragraph" w:customStyle="1" w:styleId="662">
    <w:name w:val="Char Char1 Char Char Char Char Char Char Char Char Char Char Char Char Char Char"/>
    <w:basedOn w:val="1"/>
    <w:qFormat/>
    <w:uiPriority w:val="0"/>
    <w:pPr>
      <w:spacing w:after="160" w:line="240" w:lineRule="exact"/>
      <w:jc w:val="left"/>
    </w:pPr>
  </w:style>
  <w:style w:type="paragraph" w:customStyle="1" w:styleId="663">
    <w:name w:val="font6"/>
    <w:basedOn w:val="1"/>
    <w:qFormat/>
    <w:uiPriority w:val="0"/>
    <w:pPr>
      <w:widowControl/>
      <w:topLinePunct/>
      <w:autoSpaceDE w:val="0"/>
      <w:adjustRightInd w:val="0"/>
      <w:spacing w:before="100" w:beforeAutospacing="1" w:after="100" w:afterAutospacing="1"/>
      <w:jc w:val="left"/>
    </w:pPr>
    <w:rPr>
      <w:rFonts w:ascii="宋体" w:hAnsi="宋体" w:cs="宋体"/>
      <w:kern w:val="0"/>
      <w:sz w:val="20"/>
      <w:szCs w:val="20"/>
    </w:rPr>
  </w:style>
  <w:style w:type="paragraph" w:customStyle="1" w:styleId="664">
    <w:name w:val="GP标题4"/>
    <w:basedOn w:val="1"/>
    <w:next w:val="1"/>
    <w:qFormat/>
    <w:uiPriority w:val="0"/>
    <w:pPr>
      <w:widowControl/>
      <w:spacing w:beforeLines="50" w:afterLines="50" w:line="360" w:lineRule="auto"/>
      <w:ind w:left="1277"/>
      <w:jc w:val="left"/>
      <w:outlineLvl w:val="3"/>
    </w:pPr>
    <w:rPr>
      <w:rFonts w:ascii="华文细黑" w:hAnsi="华文细黑" w:eastAsia="华文细黑" w:cs="宋体"/>
      <w:b/>
      <w:kern w:val="0"/>
      <w:sz w:val="28"/>
      <w:szCs w:val="22"/>
    </w:rPr>
  </w:style>
  <w:style w:type="paragraph" w:customStyle="1" w:styleId="665">
    <w:name w:val="默认段落字体 Para Char Char Char"/>
    <w:basedOn w:val="1"/>
    <w:qFormat/>
    <w:uiPriority w:val="0"/>
    <w:pPr>
      <w:widowControl/>
      <w:spacing w:line="360" w:lineRule="auto"/>
      <w:ind w:firstLine="200" w:firstLineChars="200"/>
      <w:jc w:val="left"/>
    </w:pPr>
    <w:rPr>
      <w:rFonts w:ascii="宋体" w:hAnsi="宋体" w:eastAsia="宋体fal" w:cs="宋体"/>
      <w:kern w:val="0"/>
      <w:sz w:val="24"/>
    </w:rPr>
  </w:style>
  <w:style w:type="paragraph" w:customStyle="1" w:styleId="666">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rPr>
  </w:style>
  <w:style w:type="paragraph" w:customStyle="1" w:styleId="667">
    <w:name w:val="a2"/>
    <w:basedOn w:val="1"/>
    <w:qFormat/>
    <w:uiPriority w:val="0"/>
    <w:pPr>
      <w:widowControl/>
      <w:spacing w:before="100" w:beforeAutospacing="1" w:after="100" w:afterAutospacing="1"/>
      <w:jc w:val="left"/>
    </w:pPr>
    <w:rPr>
      <w:rFonts w:ascii="宋体" w:hAnsi="宋体" w:cs="宋体"/>
      <w:kern w:val="0"/>
      <w:sz w:val="24"/>
    </w:rPr>
  </w:style>
  <w:style w:type="paragraph" w:customStyle="1" w:styleId="668">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669">
    <w:name w:val="样式7"/>
    <w:basedOn w:val="42"/>
    <w:next w:val="1"/>
    <w:qFormat/>
    <w:uiPriority w:val="0"/>
    <w:pPr>
      <w:tabs>
        <w:tab w:val="right" w:leader="dot" w:pos="9200"/>
      </w:tabs>
    </w:pPr>
    <w:rPr>
      <w:rFonts w:eastAsia="仿宋_GB2312"/>
      <w:sz w:val="28"/>
      <w:szCs w:val="21"/>
    </w:rPr>
  </w:style>
  <w:style w:type="paragraph" w:customStyle="1" w:styleId="670">
    <w:name w:val="sys Doc Statistics"/>
    <w:basedOn w:val="1"/>
    <w:qFormat/>
    <w:uiPriority w:val="0"/>
    <w:pPr>
      <w:widowControl/>
      <w:tabs>
        <w:tab w:val="right" w:pos="2410"/>
      </w:tabs>
      <w:topLinePunct/>
      <w:autoSpaceDE w:val="0"/>
      <w:adjustRightInd w:val="0"/>
      <w:spacing w:line="360" w:lineRule="auto"/>
      <w:ind w:left="2552" w:hanging="2552"/>
      <w:jc w:val="left"/>
    </w:pPr>
    <w:rPr>
      <w:rFonts w:ascii="HelveticaNeue LT 55 Roman" w:hAnsi="HelveticaNeue LT 55 Roman" w:eastAsia="Times New Roman" w:cs="宋体"/>
      <w:kern w:val="0"/>
      <w:sz w:val="20"/>
      <w:szCs w:val="20"/>
      <w:lang w:eastAsia="en-US"/>
    </w:rPr>
  </w:style>
  <w:style w:type="paragraph" w:customStyle="1" w:styleId="671">
    <w:name w:val="南通方案正文"/>
    <w:basedOn w:val="1"/>
    <w:qFormat/>
    <w:uiPriority w:val="0"/>
    <w:pPr>
      <w:widowControl/>
      <w:spacing w:line="360" w:lineRule="auto"/>
      <w:ind w:firstLine="480" w:firstLineChars="200"/>
      <w:jc w:val="left"/>
    </w:pPr>
    <w:rPr>
      <w:rFonts w:ascii="宋体" w:hAnsi="宋体" w:eastAsia="宋体fal" w:cs="宋体"/>
      <w:kern w:val="0"/>
      <w:sz w:val="24"/>
    </w:rPr>
  </w:style>
  <w:style w:type="paragraph" w:customStyle="1" w:styleId="672">
    <w:name w:val="xl19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673">
    <w:name w:val="Pa8"/>
    <w:basedOn w:val="365"/>
    <w:next w:val="365"/>
    <w:qFormat/>
    <w:uiPriority w:val="0"/>
    <w:pPr>
      <w:adjustRightInd/>
      <w:spacing w:line="241" w:lineRule="atLeast"/>
    </w:pPr>
    <w:rPr>
      <w:rFonts w:ascii="文鼎" w:hAnsi="文鼎" w:eastAsia="文鼎" w:cs="Times New Roman"/>
      <w:szCs w:val="20"/>
    </w:rPr>
  </w:style>
  <w:style w:type="paragraph" w:customStyle="1" w:styleId="674">
    <w:name w:val=" Char Char Char Char Char Char Char Char Char Char Char Char Char Char Char"/>
    <w:basedOn w:val="1"/>
    <w:qFormat/>
    <w:uiPriority w:val="0"/>
    <w:pPr>
      <w:widowControl/>
      <w:spacing w:line="400" w:lineRule="exact"/>
      <w:jc w:val="center"/>
    </w:pPr>
    <w:rPr>
      <w:rFonts w:ascii="Verdana" w:hAnsi="Verdana"/>
      <w:kern w:val="0"/>
      <w:szCs w:val="20"/>
      <w:lang w:eastAsia="en-US"/>
    </w:rPr>
  </w:style>
  <w:style w:type="paragraph" w:customStyle="1" w:styleId="675">
    <w:name w:val="正文首缩两字"/>
    <w:basedOn w:val="1"/>
    <w:qFormat/>
    <w:uiPriority w:val="0"/>
    <w:pPr>
      <w:widowControl/>
      <w:spacing w:beforeLines="50" w:line="360" w:lineRule="auto"/>
      <w:ind w:firstLine="200" w:firstLineChars="200"/>
      <w:jc w:val="left"/>
    </w:pPr>
    <w:rPr>
      <w:rFonts w:ascii="宋体" w:hAnsi="宋体" w:cs="宋体"/>
      <w:kern w:val="0"/>
      <w:sz w:val="24"/>
    </w:rPr>
  </w:style>
  <w:style w:type="paragraph" w:customStyle="1" w:styleId="676">
    <w:name w:val="sys Doc Statistics Owner"/>
    <w:basedOn w:val="670"/>
    <w:qFormat/>
    <w:uiPriority w:val="0"/>
    <w:pPr>
      <w:tabs>
        <w:tab w:val="left" w:pos="5670"/>
        <w:tab w:val="clear" w:pos="2410"/>
      </w:tabs>
      <w:spacing w:before="240"/>
    </w:pPr>
  </w:style>
  <w:style w:type="paragraph" w:customStyle="1" w:styleId="677">
    <w:name w:val="Char Char Char Char Char"/>
    <w:basedOn w:val="1"/>
    <w:qFormat/>
    <w:uiPriority w:val="0"/>
    <w:pPr>
      <w:widowControl/>
      <w:spacing w:line="360" w:lineRule="auto"/>
      <w:ind w:firstLine="200" w:firstLineChars="200"/>
      <w:jc w:val="left"/>
    </w:pPr>
    <w:rPr>
      <w:rFonts w:ascii="Tahoma" w:hAnsi="Tahoma" w:eastAsia="仿宋_GB2312" w:cs="Tahoma"/>
      <w:kern w:val="0"/>
      <w:sz w:val="24"/>
    </w:rPr>
  </w:style>
  <w:style w:type="paragraph" w:customStyle="1" w:styleId="678">
    <w:name w:val="xl79"/>
    <w:basedOn w:val="1"/>
    <w:qFormat/>
    <w:uiPriority w:val="99"/>
    <w:pPr>
      <w:widowControl/>
      <w:pBdr>
        <w:top w:val="single" w:color="auto" w:sz="4" w:space="0"/>
        <w:left w:val="single" w:color="auto" w:sz="4" w:space="0"/>
        <w:bottom w:val="single" w:color="auto" w:sz="4" w:space="0"/>
        <w:right w:val="single" w:color="auto" w:sz="4" w:space="0"/>
      </w:pBdr>
      <w:shd w:val="clear" w:color="auto" w:fill="CC99FF"/>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szCs w:val="22"/>
    </w:rPr>
  </w:style>
  <w:style w:type="paragraph" w:customStyle="1" w:styleId="679">
    <w:name w:val="xl84"/>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Arial" w:hAnsi="Arial" w:cs="Arial"/>
      <w:b/>
      <w:bCs/>
      <w:i/>
      <w:iCs/>
      <w:kern w:val="0"/>
      <w:sz w:val="20"/>
      <w:szCs w:val="20"/>
    </w:rPr>
  </w:style>
  <w:style w:type="paragraph" w:customStyle="1" w:styleId="680">
    <w:name w:val="样式 标题 1 + 居中"/>
    <w:basedOn w:val="4"/>
    <w:qFormat/>
    <w:uiPriority w:val="0"/>
    <w:pPr>
      <w:spacing w:line="576" w:lineRule="auto"/>
      <w:jc w:val="center"/>
    </w:pPr>
    <w:rPr>
      <w:bCs w:val="0"/>
      <w:sz w:val="32"/>
      <w:szCs w:val="20"/>
    </w:rPr>
  </w:style>
  <w:style w:type="paragraph" w:customStyle="1" w:styleId="681">
    <w:name w:val="表项"/>
    <w:basedOn w:val="1"/>
    <w:qFormat/>
    <w:uiPriority w:val="0"/>
    <w:pPr>
      <w:widowControl/>
      <w:autoSpaceDE w:val="0"/>
      <w:autoSpaceDN w:val="0"/>
      <w:adjustRightInd w:val="0"/>
      <w:spacing w:line="300" w:lineRule="auto"/>
      <w:ind w:firstLine="200" w:firstLineChars="200"/>
      <w:jc w:val="center"/>
    </w:pPr>
    <w:rPr>
      <w:rFonts w:ascii="宋体" w:hAnsi="宋体" w:eastAsia="华文中宋" w:cs="宋体"/>
      <w:kern w:val="0"/>
      <w:sz w:val="18"/>
      <w:szCs w:val="18"/>
    </w:rPr>
  </w:style>
  <w:style w:type="paragraph" w:customStyle="1" w:styleId="682">
    <w:name w:val="xl4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rPr>
  </w:style>
  <w:style w:type="paragraph" w:customStyle="1" w:styleId="683">
    <w:name w:val="xl1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b/>
      <w:bCs/>
      <w:kern w:val="0"/>
      <w:sz w:val="24"/>
    </w:rPr>
  </w:style>
  <w:style w:type="paragraph" w:customStyle="1" w:styleId="684">
    <w:name w:val="正文内容首行缩进2字符"/>
    <w:basedOn w:val="1"/>
    <w:qFormat/>
    <w:uiPriority w:val="0"/>
    <w:pPr>
      <w:widowControl/>
      <w:wordWrap w:val="0"/>
      <w:overflowPunct w:val="0"/>
      <w:topLinePunct/>
      <w:autoSpaceDE w:val="0"/>
      <w:adjustRightInd w:val="0"/>
      <w:spacing w:line="460" w:lineRule="exact"/>
      <w:jc w:val="left"/>
      <w:textAlignment w:val="baseline"/>
    </w:pPr>
    <w:rPr>
      <w:rFonts w:ascii="Arial" w:hAnsi="Arial" w:cs="宋体"/>
      <w:kern w:val="0"/>
      <w:sz w:val="24"/>
    </w:rPr>
  </w:style>
  <w:style w:type="paragraph" w:customStyle="1" w:styleId="685">
    <w:name w:val="xl93"/>
    <w:basedOn w:val="1"/>
    <w:qFormat/>
    <w:uiPriority w:val="0"/>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left"/>
    </w:pPr>
    <w:rPr>
      <w:rFonts w:ascii="宋体" w:hAnsi="宋体" w:cs="宋体"/>
      <w:kern w:val="0"/>
      <w:sz w:val="24"/>
    </w:rPr>
  </w:style>
  <w:style w:type="paragraph" w:customStyle="1" w:styleId="686">
    <w:name w:val="xl19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687">
    <w:name w:val="Char Char Char1 Char"/>
    <w:basedOn w:val="1"/>
    <w:qFormat/>
    <w:uiPriority w:val="0"/>
    <w:rPr>
      <w:szCs w:val="20"/>
    </w:rPr>
  </w:style>
  <w:style w:type="paragraph" w:customStyle="1" w:styleId="688">
    <w:name w:val="xl1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689">
    <w:name w:val="Char2"/>
    <w:basedOn w:val="20"/>
    <w:qFormat/>
    <w:uiPriority w:val="0"/>
    <w:pPr>
      <w:widowControl/>
      <w:topLinePunct/>
      <w:autoSpaceDE w:val="0"/>
      <w:adjustRightInd w:val="0"/>
      <w:spacing w:line="360" w:lineRule="auto"/>
      <w:jc w:val="left"/>
    </w:pPr>
    <w:rPr>
      <w:rFonts w:ascii="Tahoma" w:hAnsi="Tahoma" w:eastAsia="宋体" w:cs="宋体"/>
      <w:sz w:val="24"/>
    </w:rPr>
  </w:style>
  <w:style w:type="paragraph" w:customStyle="1" w:styleId="690">
    <w:name w:val="正文1"/>
    <w:basedOn w:val="1"/>
    <w:qFormat/>
    <w:uiPriority w:val="0"/>
    <w:pPr>
      <w:widowControl/>
      <w:topLinePunct/>
      <w:autoSpaceDE w:val="0"/>
      <w:adjustRightInd w:val="0"/>
      <w:spacing w:afterLines="50" w:line="300" w:lineRule="auto"/>
      <w:ind w:firstLine="420"/>
      <w:jc w:val="left"/>
    </w:pPr>
    <w:rPr>
      <w:rFonts w:ascii="宋体" w:hAnsi="宋体" w:cs="宋体"/>
      <w:kern w:val="0"/>
      <w:sz w:val="24"/>
      <w:szCs w:val="21"/>
    </w:rPr>
  </w:style>
  <w:style w:type="paragraph" w:customStyle="1" w:styleId="691">
    <w:name w:val="b13"/>
    <w:basedOn w:val="1"/>
    <w:qFormat/>
    <w:uiPriority w:val="0"/>
    <w:pPr>
      <w:widowControl/>
      <w:autoSpaceDE w:val="0"/>
      <w:autoSpaceDN w:val="0"/>
      <w:adjustRightInd w:val="0"/>
      <w:spacing w:after="120" w:line="360" w:lineRule="auto"/>
      <w:ind w:firstLine="200" w:firstLineChars="200"/>
      <w:jc w:val="left"/>
      <w:textAlignment w:val="bottom"/>
    </w:pPr>
    <w:rPr>
      <w:rFonts w:ascii="宋体" w:hAnsi="宋体" w:eastAsia="華康粗圓體" w:cs="宋体"/>
      <w:kern w:val="0"/>
      <w:sz w:val="26"/>
      <w:szCs w:val="20"/>
      <w:lang w:eastAsia="zh-TW"/>
    </w:rPr>
  </w:style>
  <w:style w:type="paragraph" w:customStyle="1" w:styleId="692">
    <w:name w:val="Heading 41"/>
    <w:basedOn w:val="1"/>
    <w:qFormat/>
    <w:uiPriority w:val="0"/>
    <w:pPr>
      <w:jc w:val="left"/>
      <w:outlineLvl w:val="4"/>
    </w:pPr>
    <w:rPr>
      <w:rFonts w:ascii="宋体" w:hAnsi="宋体" w:cs="宋体"/>
      <w:kern w:val="0"/>
      <w:sz w:val="32"/>
      <w:szCs w:val="32"/>
      <w:lang w:eastAsia="en-US"/>
    </w:rPr>
  </w:style>
  <w:style w:type="paragraph" w:customStyle="1" w:styleId="693">
    <w:name w:val="样式6"/>
    <w:basedOn w:val="42"/>
    <w:next w:val="1"/>
    <w:qFormat/>
    <w:uiPriority w:val="0"/>
    <w:pPr>
      <w:tabs>
        <w:tab w:val="right" w:leader="dot" w:pos="9200"/>
      </w:tabs>
    </w:pPr>
    <w:rPr>
      <w:rFonts w:eastAsia="仿宋_GB2312"/>
      <w:sz w:val="28"/>
      <w:szCs w:val="21"/>
    </w:rPr>
  </w:style>
  <w:style w:type="paragraph" w:customStyle="1" w:styleId="694">
    <w:name w:val="样式 正文缩进 + 行距: 1.5 倍行距"/>
    <w:basedOn w:val="17"/>
    <w:qFormat/>
    <w:uiPriority w:val="0"/>
    <w:pPr>
      <w:adjustRightInd/>
      <w:spacing w:line="360" w:lineRule="auto"/>
      <w:ind w:firstLine="200" w:firstLineChars="200"/>
      <w:textAlignment w:val="auto"/>
    </w:pPr>
    <w:rPr>
      <w:rFonts w:ascii="Calibri" w:hAnsi="Calibri" w:eastAsia="宋体" w:cs="Times New Roman"/>
      <w:kern w:val="2"/>
    </w:rPr>
  </w:style>
  <w:style w:type="paragraph" w:customStyle="1" w:styleId="695">
    <w:name w:val="Default 123  Text1"/>
    <w:basedOn w:val="1"/>
    <w:qFormat/>
    <w:uiPriority w:val="0"/>
    <w:pPr>
      <w:widowControl/>
      <w:autoSpaceDE w:val="0"/>
      <w:autoSpaceDN w:val="0"/>
      <w:adjustRightInd w:val="0"/>
      <w:spacing w:line="360" w:lineRule="auto"/>
      <w:ind w:firstLine="200" w:firstLineChars="200"/>
      <w:jc w:val="left"/>
    </w:pPr>
    <w:rPr>
      <w:rFonts w:ascii="宋体" w:hAnsi="宋体" w:eastAsia="华文中宋" w:cs="宋体"/>
      <w:kern w:val="0"/>
      <w:sz w:val="26"/>
      <w:szCs w:val="26"/>
    </w:rPr>
  </w:style>
  <w:style w:type="paragraph" w:customStyle="1" w:styleId="696">
    <w:name w:val="默认段落字体 Para Char Char Char Char Char Char Char"/>
    <w:basedOn w:val="1"/>
    <w:qFormat/>
    <w:uiPriority w:val="0"/>
    <w:pPr>
      <w:widowControl/>
      <w:jc w:val="left"/>
    </w:pPr>
    <w:rPr>
      <w:rFonts w:ascii="宋体" w:hAnsi="宋体" w:cs="宋体"/>
      <w:kern w:val="0"/>
      <w:sz w:val="24"/>
      <w:szCs w:val="20"/>
    </w:rPr>
  </w:style>
  <w:style w:type="paragraph" w:customStyle="1" w:styleId="697">
    <w:name w:val="style1"/>
    <w:basedOn w:val="1"/>
    <w:qFormat/>
    <w:uiPriority w:val="0"/>
    <w:pPr>
      <w:widowControl/>
      <w:spacing w:before="100" w:beforeAutospacing="1" w:after="100" w:afterAutospacing="1"/>
      <w:jc w:val="left"/>
    </w:pPr>
    <w:rPr>
      <w:rFonts w:ascii="宋体" w:hAnsi="宋体" w:cs="宋体"/>
      <w:kern w:val="0"/>
      <w:sz w:val="24"/>
    </w:rPr>
  </w:style>
  <w:style w:type="paragraph" w:customStyle="1" w:styleId="698">
    <w:name w:val="Paragraph P1&amp;2"/>
    <w:basedOn w:val="1"/>
    <w:qFormat/>
    <w:uiPriority w:val="0"/>
    <w:pPr>
      <w:widowControl/>
      <w:numPr>
        <w:ilvl w:val="0"/>
        <w:numId w:val="2"/>
      </w:numPr>
      <w:tabs>
        <w:tab w:val="left" w:pos="420"/>
      </w:tabs>
      <w:spacing w:before="40" w:after="60" w:line="360" w:lineRule="auto"/>
      <w:jc w:val="left"/>
    </w:pPr>
    <w:rPr>
      <w:rFonts w:ascii="宋体" w:hAnsi="宋体"/>
      <w:color w:val="FF0000"/>
      <w:sz w:val="24"/>
    </w:rPr>
  </w:style>
  <w:style w:type="paragraph" w:customStyle="1" w:styleId="699">
    <w:name w:val="CM3"/>
    <w:basedOn w:val="365"/>
    <w:next w:val="365"/>
    <w:qFormat/>
    <w:uiPriority w:val="0"/>
    <w:pPr>
      <w:spacing w:line="468" w:lineRule="atLeast"/>
    </w:pPr>
    <w:rPr>
      <w:rFonts w:cs="Times New Roman"/>
      <w:color w:val="auto"/>
    </w:rPr>
  </w:style>
  <w:style w:type="paragraph" w:customStyle="1" w:styleId="700">
    <w:name w:val="Heading 8"/>
    <w:basedOn w:val="1"/>
    <w:next w:val="1"/>
    <w:qFormat/>
    <w:uiPriority w:val="0"/>
    <w:pPr>
      <w:widowControl/>
      <w:tabs>
        <w:tab w:val="left" w:pos="1440"/>
      </w:tabs>
      <w:topLinePunct/>
      <w:autoSpaceDE w:val="0"/>
      <w:adjustRightInd w:val="0"/>
      <w:spacing w:afterLines="50" w:line="300" w:lineRule="auto"/>
      <w:ind w:left="1440" w:hanging="1440"/>
      <w:jc w:val="left"/>
      <w:outlineLvl w:val="7"/>
    </w:pPr>
    <w:rPr>
      <w:rFonts w:ascii="Microsoft Sans Serif" w:hAnsi="Microsoft Sans Serif" w:cs="Microsoft Sans Serif"/>
      <w:i/>
      <w:iCs/>
      <w:kern w:val="0"/>
      <w:sz w:val="24"/>
      <w:szCs w:val="21"/>
    </w:rPr>
  </w:style>
  <w:style w:type="paragraph" w:customStyle="1" w:styleId="701">
    <w:name w:val="纯文本2"/>
    <w:basedOn w:val="1"/>
    <w:qFormat/>
    <w:uiPriority w:val="99"/>
    <w:pPr>
      <w:widowControl/>
      <w:jc w:val="left"/>
    </w:pPr>
    <w:rPr>
      <w:rFonts w:ascii="宋体" w:hAnsi="Courier New" w:cs="宋体"/>
      <w:kern w:val="0"/>
      <w:sz w:val="28"/>
    </w:rPr>
  </w:style>
  <w:style w:type="paragraph" w:customStyle="1" w:styleId="702">
    <w:name w:val="xl31"/>
    <w:basedOn w:val="1"/>
    <w:qFormat/>
    <w:uiPriority w:val="0"/>
    <w:pPr>
      <w:widowControl/>
      <w:pBdr>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kern w:val="0"/>
      <w:sz w:val="24"/>
    </w:rPr>
  </w:style>
  <w:style w:type="paragraph" w:customStyle="1" w:styleId="703">
    <w:name w:val="GP标题1"/>
    <w:basedOn w:val="1"/>
    <w:next w:val="1"/>
    <w:qFormat/>
    <w:uiPriority w:val="0"/>
    <w:pPr>
      <w:widowControl/>
      <w:spacing w:beforeLines="100" w:afterLines="100" w:line="360" w:lineRule="auto"/>
      <w:jc w:val="center"/>
      <w:outlineLvl w:val="0"/>
    </w:pPr>
    <w:rPr>
      <w:rFonts w:ascii="黑体" w:hAnsi="黑体" w:eastAsia="黑体" w:cs="宋体"/>
      <w:b/>
      <w:kern w:val="0"/>
      <w:sz w:val="36"/>
      <w:szCs w:val="22"/>
    </w:rPr>
  </w:style>
  <w:style w:type="paragraph" w:customStyle="1" w:styleId="704">
    <w:name w:val="空半行"/>
    <w:basedOn w:val="1"/>
    <w:uiPriority w:val="0"/>
    <w:pPr>
      <w:widowControl/>
      <w:adjustRightInd w:val="0"/>
      <w:spacing w:line="120" w:lineRule="exact"/>
      <w:jc w:val="left"/>
      <w:textAlignment w:val="baseline"/>
    </w:pPr>
    <w:rPr>
      <w:rFonts w:ascii="宋体" w:hAnsi="宋体" w:eastAsia="仿宋_GB2312" w:cs="宋体"/>
      <w:color w:val="FFFFFF"/>
      <w:kern w:val="0"/>
      <w:sz w:val="30"/>
      <w:szCs w:val="20"/>
    </w:rPr>
  </w:style>
  <w:style w:type="paragraph" w:customStyle="1" w:styleId="705">
    <w:name w:val="xl17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706">
    <w:name w:val="xl14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18"/>
      <w:szCs w:val="18"/>
    </w:rPr>
  </w:style>
  <w:style w:type="paragraph" w:customStyle="1" w:styleId="707">
    <w:name w:val="Char2 Char Char Char"/>
    <w:basedOn w:val="20"/>
    <w:uiPriority w:val="0"/>
    <w:pPr>
      <w:widowControl/>
      <w:spacing w:line="360" w:lineRule="auto"/>
      <w:ind w:firstLine="200" w:firstLineChars="200"/>
      <w:jc w:val="left"/>
    </w:pPr>
    <w:rPr>
      <w:rFonts w:ascii="Tahoma" w:hAnsi="Tahoma" w:eastAsia="华文中宋" w:cs="Times New Roman"/>
      <w:shd w:val="clear" w:color="auto" w:fill="000080"/>
    </w:rPr>
  </w:style>
  <w:style w:type="paragraph" w:customStyle="1" w:styleId="708">
    <w:name w:val="Char Char Char Char Char Char Char Char Char Char"/>
    <w:basedOn w:val="1"/>
    <w:qFormat/>
    <w:uiPriority w:val="0"/>
    <w:pPr>
      <w:widowControl/>
      <w:spacing w:after="160" w:line="240" w:lineRule="exact"/>
      <w:jc w:val="left"/>
    </w:pPr>
    <w:rPr>
      <w:rFonts w:ascii="Verdana" w:hAnsi="Verdana" w:eastAsia="仿宋_GB2312" w:cs="Verdana"/>
      <w:kern w:val="0"/>
      <w:sz w:val="24"/>
      <w:lang w:eastAsia="en-US"/>
    </w:rPr>
  </w:style>
  <w:style w:type="paragraph" w:customStyle="1" w:styleId="709">
    <w:name w:val="样式 标题 2 + (中文) 宋体 (西文)五号 非(西文)粗体 段前: 6 磅 段后: 3 磅 行距: 1.5 倍行距"/>
    <w:basedOn w:val="5"/>
    <w:qFormat/>
    <w:uiPriority w:val="0"/>
    <w:pPr>
      <w:adjustRightInd w:val="0"/>
      <w:spacing w:before="120" w:after="60" w:line="360" w:lineRule="auto"/>
      <w:jc w:val="center"/>
      <w:textAlignment w:val="baseline"/>
    </w:pPr>
    <w:rPr>
      <w:rFonts w:eastAsia="宋体"/>
      <w:bCs w:val="0"/>
      <w:kern w:val="0"/>
      <w:sz w:val="24"/>
      <w:szCs w:val="24"/>
    </w:rPr>
  </w:style>
  <w:style w:type="paragraph" w:customStyle="1" w:styleId="710">
    <w:name w:val="Body Text Keep"/>
    <w:basedOn w:val="2"/>
    <w:uiPriority w:val="0"/>
    <w:pPr>
      <w:keepNext/>
      <w:widowControl/>
      <w:spacing w:after="220" w:line="220" w:lineRule="atLeast"/>
      <w:ind w:firstLine="200" w:firstLineChars="200"/>
    </w:pPr>
    <w:rPr>
      <w:rFonts w:ascii="Calibri" w:hAnsi="Calibri" w:eastAsia="楷体_GB2312" w:cs="Times New Roman"/>
      <w:sz w:val="24"/>
      <w:lang w:val="en-US" w:eastAsia="zh-CN"/>
    </w:rPr>
  </w:style>
  <w:style w:type="paragraph" w:customStyle="1" w:styleId="711">
    <w:name w:val="_Style 709"/>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712">
    <w:name w:val="页脚 字符"/>
    <w:uiPriority w:val="99"/>
  </w:style>
  <w:style w:type="table" w:customStyle="1" w:styleId="713">
    <w:name w:val="网格型1"/>
    <w:basedOn w:val="65"/>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14">
    <w:name w:val="目录 92"/>
    <w:next w:val="1"/>
    <w:qFormat/>
    <w:uiPriority w:val="0"/>
    <w:pPr>
      <w:wordWrap w:val="0"/>
      <w:ind w:left="3400"/>
      <w:jc w:val="both"/>
    </w:pPr>
    <w:rPr>
      <w:rFonts w:ascii="宋体" w:hAnsi="Times New Roman" w:eastAsia="宋体" w:cs="宋体"/>
      <w:sz w:val="21"/>
      <w:lang w:val="en-US" w:eastAsia="zh-CN" w:bidi="ar-SA"/>
    </w:rPr>
  </w:style>
  <w:style w:type="character" w:customStyle="1" w:styleId="715">
    <w:name w:val="标题 4 Char1"/>
    <w:locked/>
    <w:uiPriority w:val="99"/>
    <w:rPr>
      <w:rFonts w:ascii="Cambria" w:hAnsi="Cambria" w:eastAsia="宋体"/>
      <w:b/>
      <w:kern w:val="2"/>
      <w:sz w:val="28"/>
    </w:rPr>
  </w:style>
  <w:style w:type="character" w:customStyle="1" w:styleId="716">
    <w:name w:val="Body Text Char"/>
    <w:locked/>
    <w:uiPriority w:val="0"/>
    <w:rPr>
      <w:kern w:val="2"/>
      <w:sz w:val="24"/>
    </w:rPr>
  </w:style>
  <w:style w:type="character" w:customStyle="1" w:styleId="717">
    <w:name w:val="Subtitle Char"/>
    <w:locked/>
    <w:uiPriority w:val="99"/>
    <w:rPr>
      <w:rFonts w:ascii="Cambria" w:hAnsi="Cambria"/>
      <w:b/>
      <w:kern w:val="28"/>
      <w:sz w:val="32"/>
    </w:rPr>
  </w:style>
  <w:style w:type="character" w:customStyle="1" w:styleId="718">
    <w:name w:val="标题4 Char3"/>
    <w:uiPriority w:val="0"/>
    <w:rPr>
      <w:rFonts w:eastAsia="宋体"/>
      <w:sz w:val="24"/>
      <w:szCs w:val="24"/>
      <w:lang w:val="en-US" w:eastAsia="zh-CN" w:bidi="ar-SA"/>
    </w:rPr>
  </w:style>
  <w:style w:type="character" w:customStyle="1" w:styleId="719">
    <w:name w:val="不明显强调1"/>
    <w:uiPriority w:val="99"/>
    <w:rPr>
      <w:i/>
      <w:color w:val="808080"/>
    </w:rPr>
  </w:style>
  <w:style w:type="character" w:customStyle="1" w:styleId="720">
    <w:name w:val="Intense Quote Char"/>
    <w:locked/>
    <w:uiPriority w:val="99"/>
    <w:rPr>
      <w:b/>
      <w:i/>
      <w:color w:val="4F81BD"/>
      <w:kern w:val="2"/>
      <w:sz w:val="24"/>
    </w:rPr>
  </w:style>
  <w:style w:type="character" w:customStyle="1" w:styleId="721">
    <w:name w:val="明显强调1"/>
    <w:qFormat/>
    <w:uiPriority w:val="99"/>
    <w:rPr>
      <w:b/>
      <w:bCs/>
      <w:i/>
      <w:iCs/>
      <w:color w:val="4F81BD"/>
    </w:rPr>
  </w:style>
  <w:style w:type="character" w:customStyle="1" w:styleId="722">
    <w:name w:val="不明显参考1"/>
    <w:qFormat/>
    <w:uiPriority w:val="99"/>
    <w:rPr>
      <w:smallCaps/>
      <w:color w:val="C0504D"/>
      <w:u w:val="single"/>
    </w:rPr>
  </w:style>
  <w:style w:type="character" w:customStyle="1" w:styleId="723">
    <w:name w:val="Body Text 3 Char"/>
    <w:locked/>
    <w:uiPriority w:val="99"/>
    <w:rPr>
      <w:rFonts w:ascii="宋体"/>
      <w:kern w:val="2"/>
      <w:sz w:val="24"/>
    </w:rPr>
  </w:style>
  <w:style w:type="character" w:customStyle="1" w:styleId="724">
    <w:name w:val="书籍标题1"/>
    <w:uiPriority w:val="99"/>
    <w:rPr>
      <w:b/>
      <w:smallCaps/>
      <w:spacing w:val="5"/>
    </w:rPr>
  </w:style>
  <w:style w:type="character" w:customStyle="1" w:styleId="725">
    <w:name w:val="书籍标题2"/>
    <w:qFormat/>
    <w:uiPriority w:val="0"/>
    <w:rPr>
      <w:b/>
      <w:bCs/>
      <w:smallCaps/>
      <w:spacing w:val="5"/>
    </w:rPr>
  </w:style>
  <w:style w:type="character" w:customStyle="1" w:styleId="726">
    <w:name w:val="15"/>
    <w:qFormat/>
    <w:uiPriority w:val="0"/>
    <w:rPr>
      <w:rFonts w:hint="default" w:ascii="Times New Roman" w:hAnsi="Times New Roman" w:cs="Times New Roman"/>
    </w:rPr>
  </w:style>
  <w:style w:type="character" w:customStyle="1" w:styleId="727">
    <w:name w:val="Quote Char"/>
    <w:qFormat/>
    <w:locked/>
    <w:uiPriority w:val="99"/>
    <w:rPr>
      <w:i/>
      <w:color w:val="000000"/>
      <w:kern w:val="2"/>
      <w:sz w:val="24"/>
    </w:rPr>
  </w:style>
  <w:style w:type="character" w:customStyle="1" w:styleId="728">
    <w:name w:val="不明显强调2"/>
    <w:qFormat/>
    <w:uiPriority w:val="0"/>
    <w:rPr>
      <w:i/>
      <w:iCs/>
      <w:color w:val="808080"/>
    </w:rPr>
  </w:style>
  <w:style w:type="character" w:customStyle="1" w:styleId="729">
    <w:name w:val="正文缩进2格 Char"/>
    <w:link w:val="730"/>
    <w:qFormat/>
    <w:uiPriority w:val="0"/>
    <w:rPr>
      <w:rFonts w:ascii="仿宋_GB2312" w:hAnsi="宋体" w:eastAsia="仿宋_GB2312"/>
      <w:sz w:val="31"/>
      <w:szCs w:val="28"/>
    </w:rPr>
  </w:style>
  <w:style w:type="paragraph" w:customStyle="1" w:styleId="730">
    <w:name w:val="正文缩进2格"/>
    <w:basedOn w:val="1"/>
    <w:link w:val="729"/>
    <w:qFormat/>
    <w:uiPriority w:val="0"/>
    <w:pPr>
      <w:spacing w:line="600" w:lineRule="exact"/>
      <w:ind w:firstLine="639" w:firstLineChars="206"/>
    </w:pPr>
    <w:rPr>
      <w:rFonts w:ascii="仿宋_GB2312" w:hAnsi="宋体" w:eastAsia="仿宋_GB2312"/>
      <w:kern w:val="0"/>
      <w:sz w:val="31"/>
      <w:szCs w:val="28"/>
    </w:rPr>
  </w:style>
  <w:style w:type="character" w:customStyle="1" w:styleId="731">
    <w:name w:val="明显参考2"/>
    <w:qFormat/>
    <w:uiPriority w:val="32"/>
    <w:rPr>
      <w:b/>
      <w:bCs/>
      <w:smallCaps/>
      <w:color w:val="C0504D"/>
      <w:spacing w:val="5"/>
      <w:u w:val="single"/>
    </w:rPr>
  </w:style>
  <w:style w:type="character" w:customStyle="1" w:styleId="732">
    <w:name w:val="10"/>
    <w:uiPriority w:val="0"/>
    <w:rPr>
      <w:rFonts w:hint="default" w:ascii="Times New Roman" w:hAnsi="Times New Roman" w:cs="Times New Roman"/>
    </w:rPr>
  </w:style>
  <w:style w:type="character" w:customStyle="1" w:styleId="733">
    <w:name w:val="font161"/>
    <w:uiPriority w:val="99"/>
    <w:rPr>
      <w:b/>
      <w:sz w:val="32"/>
    </w:rPr>
  </w:style>
  <w:style w:type="paragraph" w:customStyle="1" w:styleId="734">
    <w:name w:val="表格"/>
    <w:basedOn w:val="1"/>
    <w:uiPriority w:val="99"/>
    <w:pPr>
      <w:jc w:val="center"/>
      <w:textAlignment w:val="center"/>
    </w:pPr>
    <w:rPr>
      <w:rFonts w:ascii="华文细黑" w:hAnsi="华文细黑"/>
      <w:kern w:val="0"/>
    </w:rPr>
  </w:style>
  <w:style w:type="paragraph" w:customStyle="1" w:styleId="735">
    <w:name w:val="xl73"/>
    <w:basedOn w:val="1"/>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4"/>
    </w:rPr>
  </w:style>
  <w:style w:type="paragraph" w:customStyle="1" w:styleId="736">
    <w:name w:val="2"/>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737">
    <w:name w:val="xl71"/>
    <w:basedOn w:val="1"/>
    <w:uiPriority w:val="99"/>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738">
    <w:name w:val="_Style 26"/>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739">
    <w:name w:val="_Style 38"/>
    <w:basedOn w:val="1"/>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0"/>
    </w:rPr>
  </w:style>
  <w:style w:type="paragraph" w:customStyle="1" w:styleId="740">
    <w:name w:val="xl72"/>
    <w:basedOn w:val="1"/>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0"/>
      <w:szCs w:val="20"/>
    </w:rPr>
  </w:style>
  <w:style w:type="paragraph" w:customStyle="1" w:styleId="741">
    <w:name w:val="明显引用1"/>
    <w:basedOn w:val="1"/>
    <w:next w:val="1"/>
    <w:qFormat/>
    <w:uiPriority w:val="0"/>
    <w:pPr>
      <w:pBdr>
        <w:bottom w:val="single" w:color="4F81BD" w:sz="4" w:space="4"/>
      </w:pBdr>
      <w:spacing w:before="200" w:after="280"/>
      <w:ind w:left="936" w:right="936"/>
    </w:pPr>
    <w:rPr>
      <w:b/>
      <w:i/>
      <w:color w:val="4F81BD"/>
      <w:kern w:val="0"/>
      <w:sz w:val="24"/>
      <w:szCs w:val="20"/>
    </w:rPr>
  </w:style>
  <w:style w:type="paragraph" w:customStyle="1" w:styleId="742">
    <w:name w:val="Body Text Indent1"/>
    <w:basedOn w:val="1"/>
    <w:uiPriority w:val="99"/>
    <w:pPr>
      <w:spacing w:line="360" w:lineRule="auto"/>
      <w:ind w:firstLine="420"/>
    </w:pPr>
    <w:rPr>
      <w:rFonts w:ascii="宋体"/>
      <w:sz w:val="24"/>
    </w:rPr>
  </w:style>
  <w:style w:type="paragraph" w:customStyle="1" w:styleId="743">
    <w:name w:val="xl76"/>
    <w:basedOn w:val="1"/>
    <w:uiPriority w:val="99"/>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4"/>
    </w:rPr>
  </w:style>
  <w:style w:type="paragraph" w:customStyle="1" w:styleId="744">
    <w:name w:val="xl69"/>
    <w:basedOn w:val="1"/>
    <w:qFormat/>
    <w:uiPriority w:val="99"/>
    <w:pPr>
      <w:widowControl/>
      <w:pBdr>
        <w:top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745">
    <w:name w:val="WW-正文缩进"/>
    <w:basedOn w:val="746"/>
    <w:qFormat/>
    <w:uiPriority w:val="0"/>
    <w:pPr>
      <w:tabs>
        <w:tab w:val="left" w:pos="1654"/>
      </w:tabs>
    </w:pPr>
  </w:style>
  <w:style w:type="paragraph" w:customStyle="1" w:styleId="746">
    <w:name w:val="默认"/>
    <w:qFormat/>
    <w:uiPriority w:val="0"/>
    <w:pPr>
      <w:widowControl w:val="0"/>
      <w:tabs>
        <w:tab w:val="left" w:pos="1654"/>
      </w:tabs>
      <w:suppressAutoHyphens/>
      <w:spacing w:line="360" w:lineRule="atLeast"/>
      <w:ind w:firstLine="420"/>
    </w:pPr>
    <w:rPr>
      <w:rFonts w:ascii="Times New Roman" w:hAnsi="Times New Roman" w:eastAsia="Times New Roman" w:cs="Times New Roman"/>
      <w:color w:val="000000"/>
      <w:sz w:val="21"/>
      <w:szCs w:val="22"/>
      <w:lang w:val="en-US" w:eastAsia="zh-CN" w:bidi="ar-SA"/>
    </w:rPr>
  </w:style>
  <w:style w:type="paragraph" w:customStyle="1" w:styleId="747">
    <w:name w:val="TOC 标题1"/>
    <w:basedOn w:val="4"/>
    <w:next w:val="1"/>
    <w:qFormat/>
    <w:uiPriority w:val="99"/>
    <w:pPr>
      <w:widowControl/>
      <w:spacing w:before="480" w:after="0" w:line="276" w:lineRule="auto"/>
      <w:jc w:val="left"/>
      <w:outlineLvl w:val="9"/>
    </w:pPr>
    <w:rPr>
      <w:rFonts w:ascii="Cambria" w:hAnsi="Cambria"/>
      <w:color w:val="365F91"/>
      <w:kern w:val="0"/>
      <w:sz w:val="28"/>
      <w:szCs w:val="28"/>
      <w:lang w:val="en-US" w:eastAsia="zh-CN"/>
    </w:rPr>
  </w:style>
  <w:style w:type="paragraph" w:customStyle="1" w:styleId="748">
    <w:name w:val="样式 标题 2 + 黑色 行距: 1.5 倍行距"/>
    <w:basedOn w:val="5"/>
    <w:qFormat/>
    <w:uiPriority w:val="99"/>
    <w:pPr>
      <w:spacing w:line="360" w:lineRule="auto"/>
    </w:pPr>
    <w:rPr>
      <w:rFonts w:eastAsia="宋体" w:cs="宋体"/>
      <w:bCs w:val="0"/>
      <w:color w:val="000000"/>
      <w:szCs w:val="20"/>
      <w:lang w:val="en-US" w:eastAsia="zh-CN"/>
    </w:rPr>
  </w:style>
  <w:style w:type="paragraph" w:customStyle="1" w:styleId="749">
    <w:name w:val="正文文本缩进1"/>
    <w:basedOn w:val="1"/>
    <w:qFormat/>
    <w:uiPriority w:val="0"/>
    <w:pPr>
      <w:spacing w:line="360" w:lineRule="auto"/>
      <w:ind w:firstLine="420"/>
    </w:pPr>
    <w:rPr>
      <w:rFonts w:ascii="宋体"/>
      <w:sz w:val="24"/>
    </w:rPr>
  </w:style>
  <w:style w:type="paragraph" w:customStyle="1" w:styleId="750">
    <w:name w:val="修订1"/>
    <w:unhideWhenUsed/>
    <w:uiPriority w:val="0"/>
    <w:rPr>
      <w:rFonts w:ascii="Times New Roman" w:hAnsi="Times New Roman" w:eastAsia="宋体" w:cs="Times New Roman"/>
      <w:kern w:val="2"/>
      <w:sz w:val="21"/>
      <w:szCs w:val="24"/>
      <w:lang w:val="en-US" w:eastAsia="zh-CN" w:bidi="ar-SA"/>
    </w:rPr>
  </w:style>
  <w:style w:type="paragraph" w:customStyle="1" w:styleId="751">
    <w:name w:val="xl74"/>
    <w:basedOn w:val="1"/>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752">
    <w:name w:val="Plain Text1"/>
    <w:basedOn w:val="1"/>
    <w:uiPriority w:val="99"/>
    <w:rPr>
      <w:rFonts w:ascii="宋体" w:hAnsi="Courier New"/>
      <w:sz w:val="28"/>
    </w:rPr>
  </w:style>
  <w:style w:type="paragraph" w:customStyle="1" w:styleId="753">
    <w:name w:val="Char Char2 Char Char"/>
    <w:basedOn w:val="20"/>
    <w:qFormat/>
    <w:uiPriority w:val="99"/>
    <w:rPr>
      <w:rFonts w:ascii="Tahoma" w:hAnsi="Tahoma"/>
      <w:kern w:val="0"/>
      <w:sz w:val="2"/>
      <w:szCs w:val="20"/>
    </w:rPr>
  </w:style>
  <w:style w:type="paragraph" w:customStyle="1" w:styleId="754">
    <w:name w:val="注"/>
    <w:basedOn w:val="1"/>
    <w:uiPriority w:val="99"/>
    <w:pPr>
      <w:adjustRightInd w:val="0"/>
      <w:spacing w:line="360" w:lineRule="atLeast"/>
      <w:ind w:left="840" w:hanging="420"/>
      <w:textAlignment w:val="baseline"/>
    </w:pPr>
    <w:rPr>
      <w:kern w:val="0"/>
    </w:rPr>
  </w:style>
  <w:style w:type="paragraph" w:customStyle="1" w:styleId="755">
    <w:name w:val="引用1"/>
    <w:basedOn w:val="1"/>
    <w:next w:val="1"/>
    <w:uiPriority w:val="0"/>
    <w:rPr>
      <w:i/>
      <w:color w:val="000000"/>
      <w:kern w:val="0"/>
      <w:sz w:val="24"/>
      <w:szCs w:val="20"/>
    </w:rPr>
  </w:style>
  <w:style w:type="paragraph" w:customStyle="1" w:styleId="756">
    <w:name w:val="Personal Name"/>
    <w:basedOn w:val="61"/>
    <w:uiPriority w:val="99"/>
    <w:pPr>
      <w:widowControl w:val="0"/>
      <w:adjustRightInd w:val="0"/>
      <w:spacing w:line="420" w:lineRule="atLeast"/>
      <w:textAlignment w:val="baseline"/>
    </w:pPr>
    <w:rPr>
      <w:rFonts w:ascii="Impact" w:hAnsi="Impact"/>
      <w:b w:val="0"/>
      <w:bCs w:val="0"/>
      <w:caps/>
      <w:color w:val="000000"/>
      <w:sz w:val="28"/>
      <w:szCs w:val="28"/>
      <w:lang w:val="en-US" w:eastAsia="zh-CN"/>
    </w:rPr>
  </w:style>
  <w:style w:type="paragraph" w:customStyle="1" w:styleId="757">
    <w:name w:val="È±Ê¡ÎÄ±¾"/>
    <w:basedOn w:val="1"/>
    <w:qFormat/>
    <w:uiPriority w:val="0"/>
    <w:pPr>
      <w:widowControl/>
      <w:overflowPunct w:val="0"/>
      <w:autoSpaceDE w:val="0"/>
      <w:autoSpaceDN w:val="0"/>
      <w:adjustRightInd w:val="0"/>
      <w:jc w:val="left"/>
      <w:textAlignment w:val="baseline"/>
    </w:pPr>
    <w:rPr>
      <w:kern w:val="0"/>
      <w:sz w:val="24"/>
      <w:lang w:val="zh-CN"/>
    </w:rPr>
  </w:style>
  <w:style w:type="paragraph" w:customStyle="1" w:styleId="758">
    <w:name w:val="普通(网站)1"/>
    <w:basedOn w:val="1"/>
    <w:qFormat/>
    <w:uiPriority w:val="0"/>
    <w:pPr>
      <w:widowControl/>
      <w:spacing w:before="100" w:beforeAutospacing="1" w:after="100" w:afterAutospacing="1"/>
      <w:jc w:val="left"/>
    </w:pPr>
    <w:rPr>
      <w:rFonts w:ascii="??" w:hAnsi="??" w:cs="宋体"/>
      <w:kern w:val="0"/>
      <w:sz w:val="24"/>
    </w:rPr>
  </w:style>
  <w:style w:type="paragraph" w:customStyle="1" w:styleId="759">
    <w:name w:val="6'"/>
    <w:basedOn w:val="1"/>
    <w:qFormat/>
    <w:uiPriority w:val="99"/>
    <w:pPr>
      <w:autoSpaceDE w:val="0"/>
      <w:autoSpaceDN w:val="0"/>
      <w:adjustRightInd w:val="0"/>
      <w:snapToGrid w:val="0"/>
      <w:spacing w:line="320" w:lineRule="exact"/>
      <w:jc w:val="center"/>
      <w:textAlignment w:val="baseline"/>
    </w:pPr>
    <w:rPr>
      <w:spacing w:val="20"/>
      <w:kern w:val="28"/>
    </w:rPr>
  </w:style>
  <w:style w:type="paragraph" w:customStyle="1" w:styleId="760">
    <w:name w:val="样式 标题 1 + 黑体 三号 非加粗 居中 段前: 6 磅 段后: 6 磅 行距: 固定值 20 磅"/>
    <w:basedOn w:val="4"/>
    <w:qFormat/>
    <w:uiPriority w:val="99"/>
    <w:pPr>
      <w:spacing w:before="120" w:after="120" w:line="400" w:lineRule="exact"/>
      <w:jc w:val="center"/>
    </w:pPr>
    <w:rPr>
      <w:rFonts w:ascii="黑体" w:hAnsi="黑体" w:eastAsia="黑体" w:cs="宋体"/>
      <w:b w:val="0"/>
      <w:bCs w:val="0"/>
      <w:sz w:val="32"/>
      <w:szCs w:val="20"/>
      <w:lang w:val="en-US" w:eastAsia="zh-CN"/>
    </w:rPr>
  </w:style>
  <w:style w:type="paragraph" w:customStyle="1" w:styleId="761">
    <w:name w:val="xl70"/>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4"/>
    </w:rPr>
  </w:style>
  <w:style w:type="paragraph" w:customStyle="1" w:styleId="762">
    <w:name w:val="xl75"/>
    <w:basedOn w:val="1"/>
    <w:qFormat/>
    <w:uiPriority w:val="99"/>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763">
    <w:name w:val="标题 2 + 黑色 行距: 1.5 倍行距"/>
    <w:basedOn w:val="5"/>
    <w:qFormat/>
    <w:uiPriority w:val="99"/>
    <w:pPr>
      <w:spacing w:line="360" w:lineRule="auto"/>
    </w:pPr>
    <w:rPr>
      <w:rFonts w:eastAsia="宋体" w:cs="宋体"/>
      <w:bCs w:val="0"/>
      <w:color w:val="000000"/>
      <w:szCs w:val="20"/>
      <w:lang w:val="en-US" w:eastAsia="zh-CN"/>
    </w:rPr>
  </w:style>
  <w:style w:type="paragraph" w:customStyle="1" w:styleId="764">
    <w:name w:val="日期1"/>
    <w:basedOn w:val="1"/>
    <w:next w:val="1"/>
    <w:qFormat/>
    <w:uiPriority w:val="0"/>
    <w:pPr>
      <w:ind w:left="100" w:leftChars="2500"/>
    </w:pPr>
  </w:style>
  <w:style w:type="paragraph" w:customStyle="1" w:styleId="765">
    <w:name w:val="批注框文本1"/>
    <w:basedOn w:val="1"/>
    <w:qFormat/>
    <w:uiPriority w:val="0"/>
    <w:rPr>
      <w:sz w:val="18"/>
      <w:szCs w:val="18"/>
    </w:rPr>
  </w:style>
  <w:style w:type="paragraph" w:customStyle="1" w:styleId="766">
    <w:name w:val="文档结构图1"/>
    <w:basedOn w:val="1"/>
    <w:qFormat/>
    <w:uiPriority w:val="0"/>
    <w:pPr>
      <w:shd w:val="clear" w:color="auto" w:fill="000080"/>
    </w:pPr>
    <w:rPr>
      <w:shd w:val="clear" w:color="auto" w:fill="000080"/>
    </w:rPr>
  </w:style>
  <w:style w:type="paragraph" w:customStyle="1" w:styleId="767">
    <w:name w:val="正文首行缩进 21"/>
    <w:basedOn w:val="749"/>
    <w:qFormat/>
    <w:uiPriority w:val="0"/>
    <w:pPr>
      <w:spacing w:after="120" w:line="240" w:lineRule="auto"/>
      <w:ind w:left="420" w:leftChars="200" w:firstLineChars="200"/>
    </w:pPr>
    <w:rPr>
      <w:rFonts w:ascii="Times New Roman"/>
      <w:sz w:val="21"/>
    </w:rPr>
  </w:style>
  <w:style w:type="character" w:customStyle="1" w:styleId="768">
    <w:name w:val="批注引用1"/>
    <w:qFormat/>
    <w:uiPriority w:val="0"/>
    <w:rPr>
      <w:sz w:val="21"/>
      <w:szCs w:val="21"/>
    </w:rPr>
  </w:style>
  <w:style w:type="paragraph" w:customStyle="1" w:styleId="769">
    <w:name w:val="正文缩进2"/>
    <w:basedOn w:val="1"/>
    <w:qFormat/>
    <w:uiPriority w:val="0"/>
    <w:pPr>
      <w:widowControl/>
      <w:ind w:firstLine="420"/>
      <w:jc w:val="left"/>
    </w:pPr>
    <w:rPr>
      <w:sz w:val="20"/>
    </w:rPr>
  </w:style>
  <w:style w:type="paragraph" w:customStyle="1" w:styleId="770">
    <w:name w:val="普通(网站)2"/>
    <w:basedOn w:val="1"/>
    <w:qFormat/>
    <w:uiPriority w:val="0"/>
    <w:pPr>
      <w:widowControl/>
      <w:spacing w:before="100" w:beforeAutospacing="1" w:after="100" w:afterAutospacing="1"/>
      <w:jc w:val="left"/>
    </w:pPr>
    <w:rPr>
      <w:rFonts w:ascii="宋体" w:hAnsi="宋体" w:cs="宋体"/>
      <w:kern w:val="0"/>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89</Pages>
  <Words>35756</Words>
  <Characters>37608</Characters>
  <Lines>484</Lines>
  <Paragraphs>136</Paragraphs>
  <TotalTime>255</TotalTime>
  <ScaleCrop>false</ScaleCrop>
  <LinksUpToDate>false</LinksUpToDate>
  <CharactersWithSpaces>40554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2025-04-14T06:30:00Z</dcterms:created>
  <dc:creator>user01</dc:creator>
  <cp:lastModifiedBy>l郎呛鞘儋抖</cp:lastModifiedBy>
  <cp:lastPrinted>2019-06-25T02:28:00Z</cp:lastPrinted>
  <dcterms:modified xsi:type="dcterms:W3CDTF">2025-07-21T02:20:55Z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AD371123C71E4A69BA27A5D2B710C65B_13</vt:lpwstr>
  </property>
  <property fmtid="{D5CDD505-2E9C-101B-9397-08002B2CF9AE}" pid="4" name="KSOTemplateDocerSaveRecord">
    <vt:lpwstr>eyJoZGlkIjoiZDcwOTFhMjA3NzBhOTEzOGFiNGY2NzdmZDhhNTQyYjQiLCJ1c2VySWQiOiIxNzIwODU4MjY2In0=</vt:lpwstr>
  </property>
</Properties>
</file>