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Fonts w:hint="eastAsia" w:ascii="仿宋_GB2312" w:eastAsia="仿宋_GB2312"/>
          <w:sz w:val="36"/>
          <w:szCs w:val="36"/>
        </w:rPr>
      </w:pPr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狼山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中心</w:t>
      </w:r>
      <w:r>
        <w:rPr>
          <w:rStyle w:val="12"/>
          <w:rFonts w:hint="eastAsia" w:ascii="仿宋_GB2312" w:eastAsia="仿宋_GB2312"/>
          <w:bCs w:val="0"/>
          <w:color w:val="333333"/>
          <w:spacing w:val="-15"/>
          <w:sz w:val="36"/>
          <w:szCs w:val="36"/>
        </w:rPr>
        <w:t>202</w:t>
      </w:r>
      <w:r>
        <w:rPr>
          <w:rStyle w:val="12"/>
          <w:rFonts w:hint="eastAsia" w:ascii="仿宋_GB2312" w:eastAsia="仿宋_GB2312"/>
          <w:bCs w:val="0"/>
          <w:color w:val="333333"/>
          <w:spacing w:val="-15"/>
          <w:sz w:val="36"/>
          <w:szCs w:val="36"/>
          <w:lang w:val="en-US" w:eastAsia="zh-CN"/>
        </w:rPr>
        <w:t>6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年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春</w:t>
      </w:r>
      <w:bookmarkStart w:id="1" w:name="_GoBack"/>
      <w:bookmarkEnd w:id="1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节工会福利物资套餐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z w:val="36"/>
          <w:szCs w:val="36"/>
        </w:rPr>
        <w:t>报价表</w:t>
      </w:r>
    </w:p>
    <w:bookmarkEnd w:id="0"/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 xml:space="preserve">规格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票面价值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5744">
            <w:pPr>
              <w:pStyle w:val="8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优惠率（%）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套餐简要介绍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延伸服务说明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458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E4B">
            <w:pPr>
              <w:pStyle w:val="8"/>
              <w:spacing w:after="150" w:afterAutospacing="0" w:line="525" w:lineRule="atLeast"/>
              <w:jc w:val="both"/>
              <w:textAlignment w:val="baseline"/>
              <w:rPr>
                <w:rStyle w:val="12"/>
                <w:rFonts w:hint="eastAsia" w:ascii="MicrosoftYaHei" w:hAnsi="MicrosoftYaHei" w:cs="MicrosoftYaHei" w:eastAsiaTheme="minorEastAsia"/>
                <w:bCs w:val="0"/>
                <w:color w:val="333333"/>
              </w:rPr>
            </w:pPr>
          </w:p>
          <w:p w14:paraId="5A19B36B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  <w:p w14:paraId="2704F759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ilvl w:val="0"/>
          <w:numId w:val="1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此报价包含但不限于商品成本价、</w:t>
      </w:r>
      <w:r>
        <w:rPr>
          <w:rStyle w:val="12"/>
          <w:rFonts w:hint="eastAsia"/>
          <w:bCs w:val="0"/>
          <w:color w:val="333333"/>
        </w:rPr>
        <w:t>打包费、运输搬运费、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cs="Times New Roman" w:hAnsiTheme="minorHAnsi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z w:val="32"/>
          <w:szCs w:val="32"/>
        </w:rPr>
        <w:t>供应商名称：（盖章）</w:t>
      </w:r>
    </w:p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265A9"/>
    <w:multiLevelType w:val="multilevel"/>
    <w:tmpl w:val="203265A9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179BC"/>
    <w:rsid w:val="00753FA3"/>
    <w:rsid w:val="00780C48"/>
    <w:rsid w:val="007A73E9"/>
    <w:rsid w:val="007C4833"/>
    <w:rsid w:val="007D7CE7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  <w:rsid w:val="279E5CB0"/>
    <w:rsid w:val="6C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qFormat/>
    <w:uiPriority w:val="99"/>
  </w:style>
  <w:style w:type="character" w:customStyle="1" w:styleId="14">
    <w:name w:val="页脚 字符"/>
    <w:basedOn w:val="11"/>
    <w:link w:val="6"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452</TotalTime>
  <ScaleCrop>false</ScaleCrop>
  <LinksUpToDate>false</LinksUpToDate>
  <CharactersWithSpaces>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qzuser</cp:lastModifiedBy>
  <cp:lastPrinted>2025-06-05T09:05:00Z</cp:lastPrinted>
  <dcterms:modified xsi:type="dcterms:W3CDTF">2026-01-20T09:03:38Z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eyJoZGlkIjoiZDRjNGQ4MGY4NzUyYzQ4NzJjNjFhMTU5ODNiZDcyYzQiLCJ1c2VySWQiOiIyMDE2MDgxMjAifQ==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C566CCA0D28B4C6FA457CD8D288AD305_12</vt:lpwstr>
  </property>
</Properties>
</file>