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2565D">
      <w:pPr>
        <w:jc w:val="center"/>
        <w:rPr>
          <w:rFonts w:ascii="宋体" w:hAnsi="宋体" w:cs="宋体"/>
          <w:b/>
          <w:bCs/>
          <w:color w:val="auto"/>
          <w:sz w:val="44"/>
          <w:szCs w:val="44"/>
        </w:rPr>
      </w:pPr>
    </w:p>
    <w:p w14:paraId="0C63888E">
      <w:pPr>
        <w:jc w:val="center"/>
        <w:rPr>
          <w:rFonts w:hint="eastAsia" w:ascii="方正小标宋简体" w:hAnsi="方正小标宋简体" w:eastAsia="方正小标宋简体" w:cs="方正小标宋简体"/>
          <w:b/>
          <w:bCs w:val="0"/>
          <w:color w:val="auto"/>
          <w:spacing w:val="20"/>
          <w:sz w:val="44"/>
          <w:szCs w:val="44"/>
          <w:lang w:eastAsia="zh-CN"/>
        </w:rPr>
      </w:pPr>
      <w:r>
        <w:rPr>
          <w:rFonts w:hint="eastAsia" w:ascii="方正小标宋简体" w:hAnsi="方正小标宋简体" w:eastAsia="方正小标宋简体" w:cs="方正小标宋简体"/>
          <w:b/>
          <w:bCs w:val="0"/>
          <w:color w:val="auto"/>
          <w:spacing w:val="20"/>
          <w:sz w:val="44"/>
          <w:szCs w:val="44"/>
          <w:lang w:eastAsia="zh-CN"/>
        </w:rPr>
        <w:t>崇川区文峰街道社区卫生服务中心</w:t>
      </w:r>
    </w:p>
    <w:p w14:paraId="20AE7261">
      <w:pPr>
        <w:jc w:val="center"/>
        <w:rPr>
          <w:rFonts w:hint="eastAsia" w:ascii="方正小标宋简体" w:hAnsi="方正小标宋简体" w:eastAsia="方正小标宋简体" w:cs="方正小标宋简体"/>
          <w:b/>
          <w:bCs w:val="0"/>
          <w:color w:val="auto"/>
          <w:sz w:val="100"/>
          <w:szCs w:val="100"/>
          <w:lang w:eastAsia="zh-CN"/>
        </w:rPr>
      </w:pPr>
      <w:r>
        <w:rPr>
          <w:rFonts w:hint="eastAsia" w:ascii="方正小标宋简体" w:hAnsi="方正小标宋简体" w:eastAsia="方正小标宋简体" w:cs="方正小标宋简体"/>
          <w:b/>
          <w:bCs w:val="0"/>
          <w:color w:val="auto"/>
          <w:spacing w:val="20"/>
          <w:sz w:val="44"/>
          <w:szCs w:val="44"/>
          <w:lang w:eastAsia="zh-CN"/>
        </w:rPr>
        <w:t>十二道心电图机</w:t>
      </w:r>
      <w:r>
        <w:rPr>
          <w:rFonts w:hint="eastAsia" w:ascii="方正小标宋简体" w:hAnsi="方正小标宋简体" w:eastAsia="方正小标宋简体" w:cs="方正小标宋简体"/>
          <w:b/>
          <w:bCs w:val="0"/>
          <w:color w:val="auto"/>
          <w:spacing w:val="20"/>
          <w:sz w:val="44"/>
          <w:szCs w:val="44"/>
          <w:lang w:val="en-US" w:eastAsia="zh-CN"/>
        </w:rPr>
        <w:t>、经皮黄疸仪采购</w:t>
      </w:r>
      <w:r>
        <w:rPr>
          <w:rFonts w:hint="eastAsia" w:ascii="方正小标宋简体" w:hAnsi="方正小标宋简体" w:eastAsia="方正小标宋简体" w:cs="方正小标宋简体"/>
          <w:b/>
          <w:bCs w:val="0"/>
          <w:color w:val="auto"/>
          <w:spacing w:val="20"/>
          <w:sz w:val="44"/>
          <w:szCs w:val="44"/>
          <w:lang w:eastAsia="zh-CN"/>
        </w:rPr>
        <w:t>项目</w:t>
      </w:r>
    </w:p>
    <w:p w14:paraId="1C864DD6">
      <w:pPr>
        <w:jc w:val="center"/>
        <w:rPr>
          <w:rFonts w:hint="eastAsia" w:ascii="仿宋" w:hAnsi="仿宋" w:eastAsia="仿宋" w:cs="仿宋"/>
          <w:bCs/>
          <w:color w:val="auto"/>
          <w:sz w:val="100"/>
          <w:szCs w:val="100"/>
        </w:rPr>
      </w:pPr>
    </w:p>
    <w:p w14:paraId="338C3097">
      <w:pPr>
        <w:jc w:val="center"/>
        <w:rPr>
          <w:rFonts w:ascii="宋体" w:hAnsi="宋体" w:cs="宋体"/>
          <w:b/>
          <w:bCs/>
          <w:color w:val="auto"/>
          <w:sz w:val="52"/>
          <w:szCs w:val="52"/>
        </w:rPr>
      </w:pPr>
      <w:r>
        <w:rPr>
          <w:rFonts w:hint="eastAsia" w:ascii="仿宋" w:hAnsi="仿宋" w:eastAsia="仿宋" w:cs="仿宋"/>
          <w:bCs/>
          <w:color w:val="auto"/>
          <w:sz w:val="100"/>
          <w:szCs w:val="100"/>
        </w:rPr>
        <w:t>比价文件</w:t>
      </w:r>
    </w:p>
    <w:p w14:paraId="74A24E54">
      <w:pPr>
        <w:pStyle w:val="23"/>
        <w:ind w:firstLine="643"/>
        <w:rPr>
          <w:rFonts w:hint="default" w:hAnsi="宋体" w:cs="宋体"/>
          <w:b/>
          <w:bCs/>
          <w:color w:val="auto"/>
          <w:sz w:val="32"/>
          <w:szCs w:val="32"/>
        </w:rPr>
      </w:pPr>
    </w:p>
    <w:p w14:paraId="1871BC8F">
      <w:pPr>
        <w:ind w:firstLine="1968" w:firstLineChars="700"/>
        <w:rPr>
          <w:rFonts w:ascii="宋体" w:hAnsi="宋体" w:cs="宋体"/>
          <w:b/>
          <w:bCs/>
          <w:color w:val="auto"/>
          <w:sz w:val="28"/>
          <w:szCs w:val="28"/>
        </w:rPr>
      </w:pPr>
    </w:p>
    <w:p w14:paraId="6E6B47E4">
      <w:pPr>
        <w:rPr>
          <w:rFonts w:ascii="宋体" w:hAnsi="宋体" w:cs="宋体"/>
          <w:b/>
          <w:bCs/>
          <w:color w:val="auto"/>
          <w:sz w:val="36"/>
          <w:szCs w:val="36"/>
        </w:rPr>
      </w:pPr>
    </w:p>
    <w:p w14:paraId="22EA92C0">
      <w:pPr>
        <w:pStyle w:val="15"/>
        <w:rPr>
          <w:rFonts w:hAnsi="宋体" w:cs="宋体"/>
          <w:color w:val="auto"/>
          <w:szCs w:val="28"/>
        </w:rPr>
      </w:pPr>
    </w:p>
    <w:p w14:paraId="542CD385">
      <w:pPr>
        <w:pStyle w:val="15"/>
        <w:rPr>
          <w:rFonts w:hAnsi="宋体" w:cs="宋体"/>
          <w:color w:val="auto"/>
          <w:szCs w:val="28"/>
        </w:rPr>
      </w:pPr>
    </w:p>
    <w:p w14:paraId="734EE726">
      <w:pPr>
        <w:pStyle w:val="15"/>
        <w:rPr>
          <w:rFonts w:hAnsi="宋体" w:cs="宋体"/>
          <w:color w:val="auto"/>
          <w:szCs w:val="28"/>
        </w:rPr>
      </w:pPr>
    </w:p>
    <w:p w14:paraId="7552CEB9">
      <w:pPr>
        <w:pStyle w:val="15"/>
        <w:rPr>
          <w:rFonts w:hAnsi="宋体" w:cs="宋体"/>
          <w:color w:val="auto"/>
          <w:szCs w:val="28"/>
        </w:rPr>
      </w:pPr>
    </w:p>
    <w:p w14:paraId="28890E31">
      <w:pPr>
        <w:pStyle w:val="15"/>
        <w:rPr>
          <w:rFonts w:hAnsi="宋体" w:cs="宋体"/>
          <w:color w:val="auto"/>
          <w:szCs w:val="28"/>
        </w:rPr>
      </w:pPr>
    </w:p>
    <w:p w14:paraId="4B3CCC9D">
      <w:pPr>
        <w:pStyle w:val="15"/>
        <w:rPr>
          <w:rFonts w:hAnsi="宋体" w:cs="宋体"/>
          <w:color w:val="auto"/>
          <w:szCs w:val="28"/>
        </w:rPr>
      </w:pPr>
    </w:p>
    <w:p w14:paraId="601DA170">
      <w:pPr>
        <w:pStyle w:val="15"/>
        <w:rPr>
          <w:rFonts w:hAnsi="宋体" w:cs="宋体"/>
          <w:color w:val="auto"/>
          <w:szCs w:val="28"/>
        </w:rPr>
      </w:pPr>
    </w:p>
    <w:p w14:paraId="46EA117A">
      <w:pPr>
        <w:pStyle w:val="15"/>
        <w:ind w:firstLine="613"/>
        <w:jc w:val="center"/>
        <w:rPr>
          <w:rFonts w:hAnsi="宋体" w:cs="宋体"/>
          <w:color w:val="auto"/>
          <w:sz w:val="32"/>
          <w:szCs w:val="32"/>
        </w:rPr>
      </w:pPr>
    </w:p>
    <w:p w14:paraId="625CF3EE">
      <w:pPr>
        <w:pStyle w:val="15"/>
        <w:ind w:firstLine="0" w:firstLineChars="0"/>
        <w:rPr>
          <w:rFonts w:hAnsi="宋体" w:cs="宋体"/>
          <w:color w:val="auto"/>
          <w:sz w:val="32"/>
          <w:szCs w:val="32"/>
        </w:rPr>
      </w:pPr>
    </w:p>
    <w:p w14:paraId="7B28177B">
      <w:pPr>
        <w:pStyle w:val="15"/>
        <w:ind w:firstLine="613"/>
        <w:jc w:val="center"/>
        <w:rPr>
          <w:rFonts w:hAnsi="宋体" w:cs="宋体"/>
          <w:color w:val="auto"/>
          <w:sz w:val="32"/>
          <w:szCs w:val="32"/>
        </w:rPr>
      </w:pPr>
    </w:p>
    <w:p w14:paraId="75416623">
      <w:pPr>
        <w:pStyle w:val="15"/>
        <w:ind w:firstLine="613"/>
        <w:jc w:val="center"/>
        <w:rPr>
          <w:rFonts w:hint="eastAsia" w:hAnsi="宋体" w:eastAsia="宋体" w:cs="宋体"/>
          <w:bCs/>
          <w:color w:val="auto"/>
          <w:sz w:val="32"/>
          <w:szCs w:val="32"/>
          <w:lang w:eastAsia="zh-CN"/>
        </w:rPr>
      </w:pPr>
      <w:r>
        <w:rPr>
          <w:rFonts w:hint="eastAsia" w:hAnsi="宋体" w:cs="宋体"/>
          <w:color w:val="auto"/>
          <w:sz w:val="32"/>
          <w:szCs w:val="32"/>
        </w:rPr>
        <w:t>采购单位：</w:t>
      </w:r>
      <w:r>
        <w:rPr>
          <w:rFonts w:hint="eastAsia" w:hAnsi="宋体" w:cs="宋体"/>
          <w:bCs/>
          <w:color w:val="auto"/>
          <w:sz w:val="32"/>
          <w:szCs w:val="32"/>
          <w:lang w:eastAsia="zh-CN"/>
        </w:rPr>
        <w:t>崇川区文峰街道社区卫生服务中心</w:t>
      </w:r>
    </w:p>
    <w:p w14:paraId="6D715B35">
      <w:pPr>
        <w:pStyle w:val="15"/>
        <w:ind w:firstLine="613"/>
        <w:jc w:val="center"/>
        <w:rPr>
          <w:rFonts w:hAnsi="宋体" w:cs="宋体"/>
          <w:color w:val="auto"/>
          <w:szCs w:val="28"/>
        </w:rPr>
        <w:sectPr>
          <w:headerReference r:id="rId3" w:type="first"/>
          <w:footerReference r:id="rId4" w:type="default"/>
          <w:pgSz w:w="11906" w:h="16838"/>
          <w:pgMar w:top="1440" w:right="1797" w:bottom="1440" w:left="1797" w:header="851" w:footer="992" w:gutter="0"/>
          <w:pgNumType w:fmt="numberInDash"/>
          <w:cols w:space="720" w:num="1"/>
          <w:titlePg/>
          <w:docGrid w:linePitch="312" w:charSpace="0"/>
        </w:sectPr>
      </w:pPr>
      <w:r>
        <w:rPr>
          <w:rFonts w:hint="eastAsia" w:hAnsi="宋体" w:cs="宋体"/>
          <w:bCs/>
          <w:color w:val="auto"/>
          <w:sz w:val="32"/>
          <w:szCs w:val="32"/>
        </w:rPr>
        <w:t>日期：202</w:t>
      </w:r>
      <w:r>
        <w:rPr>
          <w:rFonts w:hint="eastAsia" w:hAnsi="宋体" w:cs="宋体"/>
          <w:bCs/>
          <w:color w:val="auto"/>
          <w:sz w:val="32"/>
          <w:szCs w:val="32"/>
          <w:lang w:val="en-US" w:eastAsia="zh-CN"/>
        </w:rPr>
        <w:t>6</w:t>
      </w:r>
      <w:r>
        <w:rPr>
          <w:rFonts w:hint="eastAsia" w:hAnsi="宋体" w:cs="宋体"/>
          <w:bCs/>
          <w:color w:val="auto"/>
          <w:sz w:val="32"/>
          <w:szCs w:val="32"/>
        </w:rPr>
        <w:t>年</w:t>
      </w:r>
      <w:r>
        <w:rPr>
          <w:rFonts w:hint="eastAsia" w:hAnsi="宋体" w:cs="宋体"/>
          <w:bCs/>
          <w:color w:val="auto"/>
          <w:sz w:val="32"/>
          <w:szCs w:val="32"/>
          <w:lang w:val="en-US" w:eastAsia="zh-CN"/>
        </w:rPr>
        <w:t>5</w:t>
      </w:r>
      <w:r>
        <w:rPr>
          <w:rFonts w:hint="eastAsia" w:hAnsi="宋体" w:cs="宋体"/>
          <w:bCs/>
          <w:color w:val="auto"/>
          <w:sz w:val="32"/>
          <w:szCs w:val="32"/>
        </w:rPr>
        <w:t>月</w:t>
      </w:r>
      <w:r>
        <w:rPr>
          <w:rFonts w:hint="eastAsia" w:hAnsi="宋体" w:cs="宋体"/>
          <w:bCs/>
          <w:color w:val="auto"/>
          <w:sz w:val="32"/>
          <w:szCs w:val="32"/>
          <w:lang w:val="en-US" w:eastAsia="zh-CN"/>
        </w:rPr>
        <w:t>15</w:t>
      </w:r>
      <w:r>
        <w:rPr>
          <w:rFonts w:hint="eastAsia" w:hAnsi="宋体" w:cs="宋体"/>
          <w:bCs/>
          <w:color w:val="auto"/>
          <w:sz w:val="32"/>
          <w:szCs w:val="32"/>
        </w:rPr>
        <w:t>日</w:t>
      </w:r>
    </w:p>
    <w:p w14:paraId="7BAA13C4">
      <w:pPr>
        <w:pStyle w:val="15"/>
        <w:jc w:val="center"/>
        <w:rPr>
          <w:rFonts w:hAnsi="宋体" w:cs="宋体"/>
          <w:color w:val="auto"/>
          <w:szCs w:val="28"/>
        </w:rPr>
      </w:pPr>
    </w:p>
    <w:p w14:paraId="6BEBD51F">
      <w:pPr>
        <w:jc w:val="center"/>
        <w:rPr>
          <w:rFonts w:ascii="宋体" w:hAnsi="宋体" w:cs="宋体"/>
          <w:color w:val="auto"/>
          <w:sz w:val="44"/>
          <w:szCs w:val="44"/>
        </w:rPr>
      </w:pPr>
      <w:r>
        <w:rPr>
          <w:rFonts w:hint="eastAsia" w:ascii="宋体" w:hAnsi="宋体" w:cs="宋体"/>
          <w:color w:val="auto"/>
          <w:sz w:val="44"/>
          <w:szCs w:val="44"/>
        </w:rPr>
        <w:t>目录</w:t>
      </w:r>
    </w:p>
    <w:p w14:paraId="47D23961">
      <w:pPr>
        <w:pStyle w:val="45"/>
        <w:tabs>
          <w:tab w:val="right" w:leader="dot" w:pos="8312"/>
        </w:tabs>
        <w:spacing w:line="1000" w:lineRule="exact"/>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TOC \o "1-1" \h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"_Toc1938" </w:instrText>
      </w:r>
      <w:r>
        <w:rPr>
          <w:color w:val="auto"/>
        </w:rPr>
        <w:fldChar w:fldCharType="separate"/>
      </w:r>
      <w:r>
        <w:rPr>
          <w:rFonts w:hint="eastAsia" w:ascii="宋体" w:hAnsi="宋体" w:cs="宋体"/>
          <w:color w:val="auto"/>
          <w:sz w:val="32"/>
          <w:szCs w:val="32"/>
        </w:rPr>
        <w:t>第一章  比价邀请函</w:t>
      </w:r>
      <w:r>
        <w:rPr>
          <w:rFonts w:hint="eastAsia" w:ascii="宋体" w:hAnsi="宋体" w:cs="宋体"/>
          <w:color w:val="auto"/>
          <w:sz w:val="32"/>
          <w:szCs w:val="32"/>
        </w:rPr>
        <w:tab/>
      </w:r>
      <w:r>
        <w:rPr>
          <w:rFonts w:hint="eastAsia" w:ascii="宋体" w:hAnsi="宋体" w:cs="宋体"/>
          <w:color w:val="auto"/>
          <w:sz w:val="32"/>
          <w:szCs w:val="32"/>
        </w:rPr>
        <w:t>1</w:t>
      </w:r>
      <w:r>
        <w:rPr>
          <w:rFonts w:hint="eastAsia" w:ascii="宋体" w:hAnsi="宋体" w:cs="宋体"/>
          <w:color w:val="auto"/>
          <w:sz w:val="32"/>
          <w:szCs w:val="32"/>
        </w:rPr>
        <w:fldChar w:fldCharType="end"/>
      </w:r>
    </w:p>
    <w:p w14:paraId="75FCE456">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"_Toc18907" </w:instrText>
      </w:r>
      <w:r>
        <w:rPr>
          <w:color w:val="auto"/>
        </w:rPr>
        <w:fldChar w:fldCharType="separate"/>
      </w:r>
      <w:r>
        <w:rPr>
          <w:rFonts w:hint="eastAsia" w:ascii="宋体" w:hAnsi="宋体" w:cs="宋体"/>
          <w:color w:val="auto"/>
          <w:sz w:val="32"/>
          <w:szCs w:val="32"/>
        </w:rPr>
        <w:t>第二章  比价须知</w:t>
      </w:r>
      <w:r>
        <w:rPr>
          <w:rFonts w:hint="eastAsia" w:ascii="宋体" w:hAnsi="宋体" w:cs="宋体"/>
          <w:color w:val="auto"/>
          <w:sz w:val="32"/>
          <w:szCs w:val="32"/>
        </w:rPr>
        <w:tab/>
      </w:r>
      <w:r>
        <w:rPr>
          <w:rFonts w:hint="eastAsia" w:ascii="宋体" w:hAnsi="宋体" w:cs="宋体"/>
          <w:color w:val="auto"/>
          <w:sz w:val="32"/>
          <w:szCs w:val="32"/>
        </w:rPr>
        <w:t>3</w:t>
      </w:r>
      <w:r>
        <w:rPr>
          <w:rFonts w:hint="eastAsia" w:ascii="宋体" w:hAnsi="宋体" w:cs="宋体"/>
          <w:color w:val="auto"/>
          <w:sz w:val="32"/>
          <w:szCs w:val="32"/>
        </w:rPr>
        <w:fldChar w:fldCharType="end"/>
      </w:r>
    </w:p>
    <w:p w14:paraId="316ED69D">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"_Toc5043" </w:instrText>
      </w:r>
      <w:r>
        <w:rPr>
          <w:color w:val="auto"/>
        </w:rPr>
        <w:fldChar w:fldCharType="separate"/>
      </w:r>
      <w:r>
        <w:rPr>
          <w:rFonts w:hint="eastAsia" w:ascii="宋体" w:hAnsi="宋体" w:cs="宋体"/>
          <w:color w:val="auto"/>
          <w:sz w:val="32"/>
          <w:szCs w:val="32"/>
        </w:rPr>
        <w:t>第三章  项目需求</w:t>
      </w:r>
      <w:r>
        <w:rPr>
          <w:rFonts w:hint="eastAsia" w:ascii="宋体" w:hAnsi="宋体" w:cs="宋体"/>
          <w:color w:val="auto"/>
          <w:sz w:val="32"/>
          <w:szCs w:val="32"/>
        </w:rPr>
        <w:tab/>
      </w:r>
      <w:r>
        <w:rPr>
          <w:rFonts w:hint="eastAsia" w:ascii="宋体" w:hAnsi="宋体" w:cs="宋体"/>
          <w:color w:val="auto"/>
          <w:sz w:val="32"/>
          <w:szCs w:val="32"/>
        </w:rPr>
        <w:t>5</w:t>
      </w:r>
      <w:r>
        <w:rPr>
          <w:rFonts w:hint="eastAsia" w:ascii="宋体" w:hAnsi="宋体" w:cs="宋体"/>
          <w:color w:val="auto"/>
          <w:sz w:val="32"/>
          <w:szCs w:val="32"/>
        </w:rPr>
        <w:fldChar w:fldCharType="end"/>
      </w:r>
    </w:p>
    <w:p w14:paraId="58DF32C7">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"_Toc24193" </w:instrText>
      </w:r>
      <w:r>
        <w:rPr>
          <w:color w:val="auto"/>
        </w:rPr>
        <w:fldChar w:fldCharType="separate"/>
      </w:r>
      <w:r>
        <w:rPr>
          <w:rFonts w:hint="eastAsia" w:ascii="宋体" w:hAnsi="宋体" w:cs="宋体"/>
          <w:color w:val="auto"/>
          <w:sz w:val="32"/>
          <w:szCs w:val="32"/>
        </w:rPr>
        <w:t>第四章  开启和评审</w:t>
      </w:r>
      <w:r>
        <w:rPr>
          <w:rFonts w:hint="eastAsia" w:ascii="宋体" w:hAnsi="宋体" w:cs="宋体"/>
          <w:color w:val="auto"/>
          <w:sz w:val="32"/>
          <w:szCs w:val="32"/>
        </w:rPr>
        <w:tab/>
      </w:r>
      <w:r>
        <w:rPr>
          <w:rFonts w:hint="eastAsia" w:ascii="宋体" w:hAnsi="宋体" w:cs="宋体"/>
          <w:color w:val="auto"/>
          <w:sz w:val="32"/>
          <w:szCs w:val="32"/>
        </w:rPr>
        <w:t>6</w:t>
      </w:r>
      <w:r>
        <w:rPr>
          <w:rFonts w:hint="eastAsia" w:ascii="宋体" w:hAnsi="宋体" w:cs="宋体"/>
          <w:color w:val="auto"/>
          <w:sz w:val="32"/>
          <w:szCs w:val="32"/>
        </w:rPr>
        <w:fldChar w:fldCharType="end"/>
      </w:r>
    </w:p>
    <w:p w14:paraId="14991646">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"_Toc21870" </w:instrText>
      </w:r>
      <w:r>
        <w:rPr>
          <w:color w:val="auto"/>
        </w:rPr>
        <w:fldChar w:fldCharType="separate"/>
      </w:r>
      <w:r>
        <w:rPr>
          <w:rFonts w:hint="eastAsia" w:ascii="宋体" w:hAnsi="宋体" w:cs="宋体"/>
          <w:color w:val="auto"/>
          <w:sz w:val="32"/>
          <w:szCs w:val="32"/>
        </w:rPr>
        <w:t>第五章  比价响应文件组成</w:t>
      </w:r>
      <w:r>
        <w:rPr>
          <w:rFonts w:hint="eastAsia" w:ascii="宋体" w:hAnsi="宋体" w:cs="宋体"/>
          <w:color w:val="auto"/>
          <w:sz w:val="32"/>
          <w:szCs w:val="32"/>
        </w:rPr>
        <w:tab/>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cs="宋体"/>
          <w:color w:val="auto"/>
          <w:sz w:val="32"/>
          <w:szCs w:val="32"/>
        </w:rPr>
        <w:t>0</w:t>
      </w:r>
    </w:p>
    <w:p w14:paraId="58CF58DA">
      <w:pPr>
        <w:pStyle w:val="45"/>
        <w:tabs>
          <w:tab w:val="right" w:leader="dot" w:pos="8312"/>
        </w:tabs>
        <w:spacing w:line="1000" w:lineRule="exact"/>
        <w:rPr>
          <w:rFonts w:ascii="宋体" w:hAnsi="宋体" w:cs="宋体"/>
          <w:color w:val="auto"/>
          <w:sz w:val="32"/>
          <w:szCs w:val="32"/>
        </w:rPr>
      </w:pPr>
    </w:p>
    <w:p w14:paraId="1E344B44">
      <w:pPr>
        <w:pStyle w:val="15"/>
        <w:spacing w:line="1000" w:lineRule="exact"/>
        <w:ind w:firstLine="591"/>
        <w:jc w:val="center"/>
        <w:rPr>
          <w:rFonts w:hAnsi="宋体" w:cs="宋体"/>
          <w:color w:val="auto"/>
          <w:szCs w:val="28"/>
        </w:rPr>
      </w:pPr>
      <w:r>
        <w:rPr>
          <w:rFonts w:hint="eastAsia" w:hAnsi="宋体" w:cs="宋体"/>
          <w:color w:val="auto"/>
          <w:sz w:val="32"/>
          <w:szCs w:val="32"/>
        </w:rPr>
        <w:fldChar w:fldCharType="end"/>
      </w:r>
    </w:p>
    <w:p w14:paraId="75353FA4">
      <w:pPr>
        <w:pStyle w:val="15"/>
        <w:jc w:val="center"/>
        <w:rPr>
          <w:rFonts w:hAnsi="宋体" w:cs="宋体"/>
          <w:color w:val="auto"/>
          <w:szCs w:val="28"/>
        </w:rPr>
      </w:pPr>
    </w:p>
    <w:p w14:paraId="59FC8D4B">
      <w:pPr>
        <w:pStyle w:val="15"/>
        <w:jc w:val="center"/>
        <w:rPr>
          <w:rFonts w:hAnsi="宋体" w:cs="宋体"/>
          <w:color w:val="auto"/>
          <w:szCs w:val="28"/>
        </w:rPr>
      </w:pPr>
    </w:p>
    <w:p w14:paraId="01363493">
      <w:pPr>
        <w:pStyle w:val="15"/>
        <w:jc w:val="center"/>
        <w:rPr>
          <w:rFonts w:hAnsi="宋体" w:cs="宋体"/>
          <w:color w:val="auto"/>
          <w:szCs w:val="28"/>
        </w:rPr>
      </w:pPr>
    </w:p>
    <w:p w14:paraId="563B874F">
      <w:pPr>
        <w:pStyle w:val="15"/>
        <w:jc w:val="center"/>
        <w:rPr>
          <w:rFonts w:hAnsi="宋体" w:cs="宋体"/>
          <w:color w:val="auto"/>
          <w:szCs w:val="28"/>
        </w:rPr>
      </w:pPr>
    </w:p>
    <w:p w14:paraId="373DECB4">
      <w:pPr>
        <w:pStyle w:val="15"/>
        <w:jc w:val="center"/>
        <w:rPr>
          <w:rFonts w:hAnsi="宋体" w:cs="宋体"/>
          <w:color w:val="auto"/>
          <w:szCs w:val="28"/>
        </w:rPr>
      </w:pPr>
    </w:p>
    <w:p w14:paraId="672F3AC6">
      <w:pPr>
        <w:pStyle w:val="15"/>
        <w:jc w:val="center"/>
        <w:rPr>
          <w:rFonts w:hAnsi="宋体" w:cs="宋体"/>
          <w:color w:val="auto"/>
          <w:szCs w:val="28"/>
        </w:rPr>
      </w:pPr>
    </w:p>
    <w:p w14:paraId="438BF4A3">
      <w:pPr>
        <w:pStyle w:val="15"/>
        <w:jc w:val="center"/>
        <w:rPr>
          <w:rFonts w:hAnsi="宋体" w:cs="宋体"/>
          <w:color w:val="auto"/>
          <w:szCs w:val="28"/>
        </w:rPr>
      </w:pPr>
    </w:p>
    <w:p w14:paraId="21729023">
      <w:pPr>
        <w:pStyle w:val="15"/>
        <w:jc w:val="center"/>
        <w:rPr>
          <w:rFonts w:hAnsi="宋体" w:cs="宋体"/>
          <w:color w:val="auto"/>
          <w:szCs w:val="28"/>
        </w:rPr>
      </w:pPr>
    </w:p>
    <w:p w14:paraId="06308C65">
      <w:pPr>
        <w:pStyle w:val="15"/>
        <w:jc w:val="center"/>
        <w:rPr>
          <w:rFonts w:hAnsi="宋体" w:cs="宋体"/>
          <w:color w:val="auto"/>
          <w:szCs w:val="28"/>
        </w:rPr>
      </w:pPr>
    </w:p>
    <w:p w14:paraId="012DD28D">
      <w:pPr>
        <w:pStyle w:val="15"/>
        <w:jc w:val="center"/>
        <w:rPr>
          <w:rFonts w:hAnsi="宋体" w:cs="宋体"/>
          <w:color w:val="auto"/>
          <w:szCs w:val="28"/>
        </w:rPr>
        <w:sectPr>
          <w:pgSz w:w="11906" w:h="16838"/>
          <w:pgMar w:top="1440" w:right="1797" w:bottom="1440" w:left="1797" w:header="851" w:footer="992" w:gutter="0"/>
          <w:pgNumType w:fmt="numberInDash"/>
          <w:cols w:space="720" w:num="1"/>
          <w:titlePg/>
          <w:docGrid w:linePitch="312" w:charSpace="0"/>
        </w:sectPr>
      </w:pPr>
    </w:p>
    <w:p w14:paraId="5F8783C1">
      <w:pPr>
        <w:pStyle w:val="15"/>
        <w:spacing w:line="800" w:lineRule="exact"/>
        <w:ind w:firstLine="0" w:firstLineChars="0"/>
        <w:jc w:val="center"/>
        <w:outlineLvl w:val="0"/>
        <w:rPr>
          <w:rFonts w:hAnsi="宋体" w:cs="宋体"/>
          <w:color w:val="auto"/>
          <w:sz w:val="36"/>
          <w:szCs w:val="36"/>
        </w:rPr>
      </w:pPr>
      <w:bookmarkStart w:id="0" w:name="_Toc1938"/>
      <w:r>
        <w:rPr>
          <w:rFonts w:hint="eastAsia" w:hAnsi="宋体" w:cs="宋体"/>
          <w:color w:val="auto"/>
          <w:sz w:val="36"/>
          <w:szCs w:val="36"/>
        </w:rPr>
        <w:t>第一章 比价邀请函</w:t>
      </w:r>
      <w:bookmarkEnd w:id="0"/>
    </w:p>
    <w:p w14:paraId="625D99D6">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崇川区文峰街道社区卫生服务中心</w:t>
      </w:r>
      <w:r>
        <w:rPr>
          <w:rFonts w:hint="eastAsia" w:ascii="宋体" w:hAnsi="宋体" w:cs="宋体"/>
          <w:color w:val="auto"/>
          <w:sz w:val="28"/>
          <w:szCs w:val="28"/>
          <w:u w:val="single"/>
          <w:lang w:val="en-US" w:eastAsia="zh-CN"/>
        </w:rPr>
        <w:t>十二道心电图机、经皮黄疸仪</w:t>
      </w:r>
      <w:r>
        <w:rPr>
          <w:rFonts w:hint="eastAsia" w:ascii="宋体" w:hAnsi="宋体" w:cs="宋体"/>
          <w:color w:val="auto"/>
          <w:sz w:val="28"/>
          <w:szCs w:val="28"/>
          <w:u w:val="single"/>
        </w:rPr>
        <w:t>采购项目</w:t>
      </w:r>
      <w:r>
        <w:rPr>
          <w:rFonts w:hint="eastAsia" w:ascii="宋体" w:hAnsi="宋体" w:cs="宋体"/>
          <w:color w:val="auto"/>
          <w:sz w:val="28"/>
          <w:szCs w:val="28"/>
        </w:rPr>
        <w:t>的潜在供应商应在</w:t>
      </w:r>
      <w:r>
        <w:rPr>
          <w:rFonts w:hint="eastAsia" w:ascii="宋体" w:hAnsi="宋体" w:cs="宋体"/>
          <w:color w:val="auto"/>
          <w:sz w:val="28"/>
          <w:szCs w:val="28"/>
          <w:u w:val="single"/>
          <w:lang w:eastAsia="zh-CN"/>
        </w:rPr>
        <w:t>南通市崇川区政府</w:t>
      </w:r>
      <w:r>
        <w:rPr>
          <w:rFonts w:hint="eastAsia" w:ascii="宋体" w:hAnsi="宋体" w:cs="宋体"/>
          <w:color w:val="auto"/>
          <w:sz w:val="28"/>
          <w:szCs w:val="28"/>
          <w:u w:val="single"/>
        </w:rPr>
        <w:t>网站</w:t>
      </w:r>
      <w:r>
        <w:rPr>
          <w:rFonts w:hint="eastAsia" w:ascii="宋体" w:hAnsi="宋体" w:cs="宋体"/>
          <w:color w:val="auto"/>
          <w:sz w:val="28"/>
          <w:szCs w:val="28"/>
        </w:rPr>
        <w:t>获取采购文件，并于</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20</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点</w:t>
      </w:r>
      <w:r>
        <w:rPr>
          <w:rFonts w:ascii="宋体" w:hAnsi="宋体" w:cs="宋体"/>
          <w:color w:val="auto"/>
          <w:sz w:val="28"/>
          <w:szCs w:val="28"/>
          <w:u w:val="single"/>
        </w:rPr>
        <w:t>3</w:t>
      </w:r>
      <w:r>
        <w:rPr>
          <w:rFonts w:hint="eastAsia" w:ascii="宋体" w:hAnsi="宋体" w:cs="宋体"/>
          <w:color w:val="auto"/>
          <w:sz w:val="28"/>
          <w:szCs w:val="28"/>
          <w:u w:val="single"/>
        </w:rPr>
        <w:t>0分</w:t>
      </w:r>
      <w:r>
        <w:rPr>
          <w:rFonts w:hint="eastAsia" w:ascii="宋体" w:hAnsi="宋体" w:cs="宋体"/>
          <w:bCs/>
          <w:color w:val="auto"/>
          <w:sz w:val="28"/>
          <w:szCs w:val="28"/>
        </w:rPr>
        <w:t>（北京时间）前提交响应文件</w:t>
      </w:r>
      <w:r>
        <w:rPr>
          <w:rFonts w:hint="eastAsia" w:ascii="宋体" w:hAnsi="宋体" w:cs="宋体"/>
          <w:color w:val="auto"/>
          <w:sz w:val="28"/>
          <w:szCs w:val="28"/>
        </w:rPr>
        <w:t>。</w:t>
      </w:r>
    </w:p>
    <w:p w14:paraId="24C6FBA7">
      <w:pPr>
        <w:spacing w:line="460" w:lineRule="exact"/>
        <w:ind w:firstLine="562" w:firstLineChars="200"/>
        <w:rPr>
          <w:rFonts w:ascii="宋体" w:hAnsi="宋体" w:cs="宋体"/>
          <w:b/>
          <w:bCs/>
          <w:color w:val="auto"/>
          <w:sz w:val="28"/>
          <w:szCs w:val="28"/>
        </w:rPr>
      </w:pPr>
      <w:bookmarkStart w:id="1" w:name="_Toc28359089"/>
      <w:bookmarkStart w:id="2" w:name="_Toc35393798"/>
      <w:bookmarkStart w:id="3" w:name="_Toc28359012"/>
      <w:bookmarkStart w:id="4" w:name="_Toc35393629"/>
      <w:r>
        <w:rPr>
          <w:rFonts w:hint="eastAsia" w:ascii="宋体" w:hAnsi="宋体" w:cs="宋体"/>
          <w:b/>
          <w:bCs/>
          <w:color w:val="auto"/>
          <w:sz w:val="28"/>
          <w:szCs w:val="28"/>
        </w:rPr>
        <w:t>一、</w:t>
      </w:r>
      <w:bookmarkEnd w:id="1"/>
      <w:bookmarkEnd w:id="2"/>
      <w:bookmarkEnd w:id="3"/>
      <w:bookmarkEnd w:id="4"/>
      <w:r>
        <w:rPr>
          <w:rFonts w:hint="eastAsia" w:ascii="宋体" w:hAnsi="宋体" w:cs="宋体"/>
          <w:b/>
          <w:bCs/>
          <w:color w:val="auto"/>
          <w:sz w:val="28"/>
          <w:szCs w:val="28"/>
        </w:rPr>
        <w:t>项目基本信息</w:t>
      </w:r>
    </w:p>
    <w:p w14:paraId="1D23BB92">
      <w:pPr>
        <w:spacing w:line="460" w:lineRule="exact"/>
        <w:ind w:firstLine="560" w:firstLineChars="200"/>
        <w:rPr>
          <w:rFonts w:ascii="宋体" w:hAnsi="宋体" w:cs="宋体"/>
          <w:color w:val="auto"/>
          <w:sz w:val="28"/>
          <w:szCs w:val="28"/>
          <w:u w:val="single"/>
        </w:rPr>
      </w:pPr>
      <w:r>
        <w:rPr>
          <w:rFonts w:hint="eastAsia" w:ascii="宋体" w:hAnsi="宋体" w:cs="宋体"/>
          <w:color w:val="auto"/>
          <w:sz w:val="28"/>
          <w:szCs w:val="28"/>
        </w:rPr>
        <w:t>项目名称：</w:t>
      </w:r>
      <w:r>
        <w:rPr>
          <w:rFonts w:hint="eastAsia" w:ascii="宋体" w:hAnsi="宋体" w:cs="宋体"/>
          <w:color w:val="auto"/>
          <w:sz w:val="28"/>
          <w:szCs w:val="28"/>
          <w:lang w:eastAsia="zh-CN"/>
        </w:rPr>
        <w:t>崇川区文峰街道社区卫生服务中心</w:t>
      </w:r>
      <w:r>
        <w:rPr>
          <w:rFonts w:hint="eastAsia" w:ascii="宋体" w:hAnsi="宋体" w:cs="宋体"/>
          <w:color w:val="auto"/>
          <w:sz w:val="28"/>
          <w:szCs w:val="28"/>
          <w:lang w:val="en-US" w:eastAsia="zh-CN"/>
        </w:rPr>
        <w:t>十二道心电图机、经皮黄疸仪</w:t>
      </w:r>
      <w:r>
        <w:rPr>
          <w:rFonts w:hint="eastAsia" w:ascii="宋体" w:hAnsi="宋体" w:cs="宋体"/>
          <w:color w:val="auto"/>
          <w:sz w:val="28"/>
          <w:szCs w:val="28"/>
        </w:rPr>
        <w:t>采购项目</w:t>
      </w:r>
    </w:p>
    <w:p w14:paraId="5C41BC58">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预算金额：</w:t>
      </w:r>
      <w:r>
        <w:rPr>
          <w:rFonts w:hint="eastAsia" w:ascii="宋体" w:hAnsi="宋体" w:cs="宋体"/>
          <w:color w:val="auto"/>
          <w:sz w:val="28"/>
          <w:szCs w:val="28"/>
          <w:lang w:val="en-US" w:eastAsia="zh-CN"/>
        </w:rPr>
        <w:t>十二道心电图机一台预算5</w:t>
      </w:r>
      <w:r>
        <w:rPr>
          <w:rFonts w:hint="eastAsia" w:ascii="宋体" w:hAnsi="宋体" w:cs="宋体"/>
          <w:color w:val="auto"/>
          <w:sz w:val="28"/>
          <w:szCs w:val="28"/>
        </w:rPr>
        <w:t>万元</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经皮黄疸仪一台预算2万元，</w:t>
      </w:r>
      <w:r>
        <w:rPr>
          <w:rFonts w:hint="eastAsia" w:ascii="宋体" w:hAnsi="宋体" w:cs="宋体"/>
          <w:color w:val="auto"/>
          <w:sz w:val="28"/>
          <w:szCs w:val="28"/>
        </w:rPr>
        <w:t>报价超过采购预算的为无效响应文件。</w:t>
      </w:r>
    </w:p>
    <w:p w14:paraId="66697E65">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采购需求：具体需求详见采购文件。</w:t>
      </w:r>
    </w:p>
    <w:p w14:paraId="7FD72F6C">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合同履行期限：合同签订后</w:t>
      </w:r>
      <w:r>
        <w:rPr>
          <w:rFonts w:ascii="宋体" w:hAnsi="宋体" w:cs="宋体"/>
          <w:color w:val="auto"/>
          <w:sz w:val="28"/>
          <w:szCs w:val="28"/>
        </w:rPr>
        <w:t>20</w:t>
      </w:r>
      <w:r>
        <w:rPr>
          <w:rFonts w:hint="eastAsia" w:ascii="宋体" w:hAnsi="宋体" w:cs="宋体"/>
          <w:color w:val="auto"/>
          <w:sz w:val="28"/>
          <w:szCs w:val="28"/>
        </w:rPr>
        <w:t>日内完成供货。</w:t>
      </w:r>
    </w:p>
    <w:p w14:paraId="0E5EC6EB">
      <w:pPr>
        <w:spacing w:line="460" w:lineRule="exact"/>
        <w:ind w:firstLine="562" w:firstLineChars="200"/>
        <w:rPr>
          <w:rFonts w:ascii="宋体" w:hAnsi="宋体" w:cs="宋体"/>
          <w:b/>
          <w:bCs/>
          <w:color w:val="auto"/>
          <w:sz w:val="28"/>
          <w:szCs w:val="28"/>
        </w:rPr>
      </w:pPr>
      <w:bookmarkStart w:id="5" w:name="_Toc28359013"/>
      <w:bookmarkStart w:id="6" w:name="_Toc28359090"/>
      <w:bookmarkStart w:id="7" w:name="_Toc35393799"/>
      <w:bookmarkStart w:id="8" w:name="_Toc35393630"/>
      <w:r>
        <w:rPr>
          <w:rFonts w:hint="eastAsia" w:ascii="宋体" w:hAnsi="宋体" w:cs="宋体"/>
          <w:b/>
          <w:bCs/>
          <w:color w:val="auto"/>
          <w:sz w:val="28"/>
          <w:szCs w:val="28"/>
        </w:rPr>
        <w:t>二、比价文件内容</w:t>
      </w:r>
    </w:p>
    <w:p w14:paraId="116785C1">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详见比价文件，请仔细研究</w:t>
      </w:r>
    </w:p>
    <w:bookmarkEnd w:id="5"/>
    <w:bookmarkEnd w:id="6"/>
    <w:bookmarkEnd w:id="7"/>
    <w:bookmarkEnd w:id="8"/>
    <w:p w14:paraId="219FA955">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三、供应商资格要求</w:t>
      </w:r>
    </w:p>
    <w:p w14:paraId="128F12B6">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6783627">
      <w:pPr>
        <w:spacing w:line="460" w:lineRule="exact"/>
        <w:ind w:firstLine="560" w:firstLineChars="200"/>
        <w:rPr>
          <w:rFonts w:ascii="宋体" w:hAnsi="宋体" w:cs="宋体"/>
          <w:color w:val="auto"/>
          <w:sz w:val="28"/>
          <w:szCs w:val="28"/>
          <w:lang w:val="zh-CN"/>
        </w:rPr>
      </w:pPr>
      <w:bookmarkStart w:id="9" w:name="_Toc28359014"/>
      <w:bookmarkStart w:id="10" w:name="_Toc35393631"/>
      <w:bookmarkStart w:id="11" w:name="_Toc35393800"/>
      <w:bookmarkStart w:id="12" w:name="_Toc28359091"/>
      <w:r>
        <w:rPr>
          <w:rFonts w:hint="eastAsia" w:ascii="宋体" w:hAnsi="宋体" w:cs="宋体"/>
          <w:color w:val="auto"/>
          <w:sz w:val="28"/>
          <w:szCs w:val="28"/>
          <w:lang w:val="zh-CN"/>
        </w:rPr>
        <w:t>2</w:t>
      </w:r>
      <w:r>
        <w:rPr>
          <w:rFonts w:hint="eastAsia" w:ascii="宋体" w:hAnsi="宋体" w:cs="宋体"/>
          <w:color w:val="auto"/>
          <w:sz w:val="28"/>
          <w:szCs w:val="28"/>
        </w:rPr>
        <w:t>.</w:t>
      </w:r>
      <w:r>
        <w:rPr>
          <w:rFonts w:hint="eastAsia" w:ascii="宋体" w:hAnsi="宋体" w:cs="宋体"/>
          <w:color w:val="auto"/>
          <w:sz w:val="28"/>
          <w:szCs w:val="28"/>
          <w:lang w:val="zh-CN"/>
        </w:rPr>
        <w:t>采购人其它要求</w:t>
      </w:r>
    </w:p>
    <w:p w14:paraId="2437D13D">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（1）具有独立承担民事责任的能力（提供有效的营业执照副本复印件）；</w:t>
      </w:r>
    </w:p>
    <w:p w14:paraId="605AD0F6">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rPr>
        <w:t>2</w:t>
      </w:r>
      <w:r>
        <w:rPr>
          <w:rFonts w:hint="eastAsia" w:ascii="宋体" w:hAnsi="宋体" w:cs="宋体"/>
          <w:color w:val="auto"/>
          <w:sz w:val="28"/>
          <w:szCs w:val="28"/>
          <w:lang w:val="zh-CN"/>
        </w:rPr>
        <w:t>）提供法定代表人身份证明及法定代表人本人身份证复印件；非法定代表人参加投标的，还必须提供法定代表人签名或盖章的授权委托书及被授权人的身份证复印件；</w:t>
      </w:r>
    </w:p>
    <w:p w14:paraId="414235F7">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rPr>
        <w:t>3</w:t>
      </w:r>
      <w:r>
        <w:rPr>
          <w:rFonts w:hint="eastAsia" w:ascii="宋体" w:hAnsi="宋体" w:cs="宋体"/>
          <w:color w:val="auto"/>
          <w:sz w:val="28"/>
          <w:szCs w:val="28"/>
          <w:lang w:val="zh-CN"/>
        </w:rPr>
        <w:t>）若投标供应商为生产厂家，需持有《医疗器械生产许可证》（对应设备分类的生产范围）；若为代理商 / 经销商，需</w:t>
      </w:r>
      <w:r>
        <w:rPr>
          <w:rFonts w:hint="eastAsia" w:ascii="宋体" w:hAnsi="宋体" w:cs="宋体"/>
          <w:color w:val="auto"/>
          <w:sz w:val="28"/>
          <w:szCs w:val="28"/>
          <w:lang w:val="en-US" w:eastAsia="zh-CN"/>
        </w:rPr>
        <w:t>具备二类医疗器械经营资格</w:t>
      </w:r>
      <w:r>
        <w:rPr>
          <w:rFonts w:hint="eastAsia" w:ascii="宋体" w:hAnsi="宋体" w:cs="宋体"/>
          <w:color w:val="auto"/>
          <w:sz w:val="28"/>
          <w:szCs w:val="28"/>
          <w:lang w:val="zh-CN"/>
        </w:rPr>
        <w:t>，同时提供生产厂家的《医疗器械生产许可证》复印件；</w:t>
      </w:r>
    </w:p>
    <w:p w14:paraId="767AB684">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4</w:t>
      </w:r>
      <w:r>
        <w:rPr>
          <w:rFonts w:hint="eastAsia" w:ascii="宋体" w:hAnsi="宋体" w:cs="宋体"/>
          <w:color w:val="auto"/>
          <w:sz w:val="28"/>
          <w:szCs w:val="28"/>
          <w:lang w:val="zh-CN"/>
        </w:rPr>
        <w:t>）</w:t>
      </w:r>
      <w:r>
        <w:rPr>
          <w:rFonts w:hint="eastAsia"/>
          <w:color w:val="auto"/>
          <w:sz w:val="28"/>
          <w:szCs w:val="28"/>
          <w:lang w:val="en-US" w:eastAsia="zh-CN"/>
        </w:rPr>
        <w:t>系统适配：需将所投设备与崇川区文峰街道社区卫生服务中心 HIS 系统对接，提供书面承诺函，格式自拟；</w:t>
      </w:r>
    </w:p>
    <w:p w14:paraId="33EFE6E4">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5</w:t>
      </w:r>
      <w:r>
        <w:rPr>
          <w:rFonts w:hint="eastAsia" w:ascii="宋体" w:hAnsi="宋体" w:cs="宋体"/>
          <w:color w:val="auto"/>
          <w:sz w:val="28"/>
          <w:szCs w:val="28"/>
          <w:lang w:val="zh-CN"/>
        </w:rPr>
        <w:t>）法定代表人为同一个人的两个及两个以上法人，母公司、全资子公司及其控股公司，都不得在同一采购项目相同标段中同时投标，一经发现，将视同围标处理；</w:t>
      </w:r>
    </w:p>
    <w:p w14:paraId="14BF14BA">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6</w:t>
      </w:r>
      <w:r>
        <w:rPr>
          <w:rFonts w:hint="eastAsia" w:ascii="宋体" w:hAnsi="宋体" w:cs="宋体"/>
          <w:color w:val="auto"/>
          <w:sz w:val="28"/>
          <w:szCs w:val="28"/>
          <w:lang w:val="zh-CN"/>
        </w:rPr>
        <w:t>）未被“信用中国”网站列入失信被执行人、重大税收违法案件当事人名单、采购严重失信行为记录名单；</w:t>
      </w:r>
    </w:p>
    <w:p w14:paraId="274B9A2F">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7</w:t>
      </w:r>
      <w:r>
        <w:rPr>
          <w:rFonts w:hint="eastAsia" w:ascii="宋体" w:hAnsi="宋体" w:cs="宋体"/>
          <w:color w:val="auto"/>
          <w:sz w:val="28"/>
          <w:szCs w:val="28"/>
          <w:lang w:val="zh-CN"/>
        </w:rPr>
        <w:t>）供应商单位负责人为同一人或者存在直接控股、管理关系的不同供应商，不得同时参加同一合同项下的采购活动；</w:t>
      </w:r>
    </w:p>
    <w:p w14:paraId="1ADFBC9D">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8</w:t>
      </w:r>
      <w:r>
        <w:rPr>
          <w:rFonts w:hint="eastAsia" w:ascii="宋体" w:hAnsi="宋体" w:cs="宋体"/>
          <w:color w:val="auto"/>
          <w:sz w:val="28"/>
          <w:szCs w:val="28"/>
          <w:lang w:val="zh-CN"/>
        </w:rPr>
        <w:t>）本项目不接受联合体投标。</w:t>
      </w:r>
    </w:p>
    <w:p w14:paraId="6B92C47C">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四、获取</w:t>
      </w:r>
      <w:bookmarkEnd w:id="9"/>
      <w:bookmarkEnd w:id="10"/>
      <w:bookmarkEnd w:id="11"/>
      <w:bookmarkEnd w:id="12"/>
      <w:r>
        <w:rPr>
          <w:rFonts w:hint="eastAsia" w:ascii="宋体" w:hAnsi="宋体" w:cs="宋体"/>
          <w:b/>
          <w:bCs/>
          <w:color w:val="auto"/>
          <w:sz w:val="28"/>
          <w:szCs w:val="28"/>
        </w:rPr>
        <w:t>比价文件</w:t>
      </w:r>
    </w:p>
    <w:p w14:paraId="38B671EC">
      <w:pPr>
        <w:spacing w:line="460" w:lineRule="exact"/>
        <w:ind w:firstLine="560" w:firstLineChars="200"/>
        <w:rPr>
          <w:rFonts w:ascii="宋体" w:hAnsi="宋体" w:cs="宋体"/>
          <w:b/>
          <w:bCs/>
          <w:color w:val="auto"/>
          <w:sz w:val="28"/>
          <w:szCs w:val="28"/>
        </w:rPr>
      </w:pPr>
      <w:bookmarkStart w:id="13" w:name="_Toc28359092"/>
      <w:bookmarkStart w:id="14" w:name="_Toc35393632"/>
      <w:bookmarkStart w:id="15" w:name="_Toc35393801"/>
      <w:bookmarkStart w:id="16" w:name="_Toc28359015"/>
      <w:r>
        <w:rPr>
          <w:rFonts w:hint="eastAsia" w:ascii="宋体" w:hAnsi="宋体" w:cs="宋体"/>
          <w:color w:val="auto"/>
          <w:sz w:val="28"/>
          <w:szCs w:val="28"/>
        </w:rPr>
        <w:t>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15</w:t>
      </w:r>
      <w:r>
        <w:rPr>
          <w:rFonts w:hint="eastAsia" w:ascii="宋体" w:hAnsi="宋体" w:cs="宋体"/>
          <w:color w:val="auto"/>
          <w:sz w:val="28"/>
          <w:szCs w:val="28"/>
          <w:u w:val="single"/>
        </w:rPr>
        <w:t>日至202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20</w:t>
      </w:r>
      <w:r>
        <w:rPr>
          <w:rFonts w:hint="eastAsia" w:ascii="宋体" w:hAnsi="宋体" w:cs="宋体"/>
          <w:color w:val="auto"/>
          <w:sz w:val="28"/>
          <w:szCs w:val="28"/>
          <w:u w:val="single"/>
        </w:rPr>
        <w:t>日1</w:t>
      </w:r>
      <w:r>
        <w:rPr>
          <w:rFonts w:hint="eastAsia" w:ascii="宋体" w:hAnsi="宋体" w:cs="宋体"/>
          <w:color w:val="auto"/>
          <w:sz w:val="28"/>
          <w:szCs w:val="28"/>
          <w:u w:val="single"/>
          <w:lang w:val="en-US" w:eastAsia="zh-CN"/>
        </w:rPr>
        <w:t>4:00</w:t>
      </w:r>
      <w:r>
        <w:rPr>
          <w:rFonts w:hint="eastAsia" w:ascii="宋体" w:hAnsi="宋体" w:cs="宋体"/>
          <w:color w:val="auto"/>
          <w:sz w:val="28"/>
          <w:szCs w:val="28"/>
          <w:u w:val="single"/>
        </w:rPr>
        <w:t>时</w:t>
      </w:r>
      <w:r>
        <w:rPr>
          <w:rFonts w:hint="eastAsia" w:ascii="宋体" w:hAnsi="宋体" w:cs="宋体"/>
          <w:b/>
          <w:bCs/>
          <w:color w:val="auto"/>
          <w:sz w:val="28"/>
          <w:szCs w:val="28"/>
        </w:rPr>
        <w:t>（北京时间，法定节假日除外）</w:t>
      </w:r>
    </w:p>
    <w:p w14:paraId="2F51769C">
      <w:pPr>
        <w:spacing w:line="4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地点：</w:t>
      </w:r>
      <w:r>
        <w:rPr>
          <w:rFonts w:hint="eastAsia" w:ascii="宋体" w:hAnsi="宋体" w:cs="宋体"/>
          <w:color w:val="auto"/>
          <w:sz w:val="28"/>
          <w:szCs w:val="28"/>
          <w:lang w:eastAsia="zh-CN"/>
        </w:rPr>
        <w:t>南通市崇川区政府网站</w:t>
      </w:r>
    </w:p>
    <w:p w14:paraId="02528F8C">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方式：自行下载。</w:t>
      </w:r>
      <w:bookmarkStart w:id="46" w:name="_GoBack"/>
      <w:bookmarkEnd w:id="46"/>
    </w:p>
    <w:p w14:paraId="16B79F2F">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五、比价响应文件提交</w:t>
      </w:r>
      <w:bookmarkEnd w:id="13"/>
      <w:bookmarkEnd w:id="14"/>
      <w:bookmarkEnd w:id="15"/>
      <w:bookmarkEnd w:id="16"/>
    </w:p>
    <w:p w14:paraId="6C9F008D">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截止时间：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20</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点</w:t>
      </w:r>
      <w:r>
        <w:rPr>
          <w:rFonts w:hint="eastAsia" w:ascii="宋体" w:hAnsi="宋体" w:cs="宋体"/>
          <w:color w:val="auto"/>
          <w:sz w:val="28"/>
          <w:szCs w:val="28"/>
          <w:u w:val="single"/>
          <w:lang w:val="en-US" w:eastAsia="zh-CN"/>
        </w:rPr>
        <w:t>0</w:t>
      </w:r>
      <w:r>
        <w:rPr>
          <w:rFonts w:hint="eastAsia" w:ascii="宋体" w:hAnsi="宋体" w:cs="宋体"/>
          <w:color w:val="auto"/>
          <w:sz w:val="28"/>
          <w:szCs w:val="28"/>
          <w:u w:val="single"/>
        </w:rPr>
        <w:t>0分</w:t>
      </w:r>
      <w:r>
        <w:rPr>
          <w:rFonts w:hint="eastAsia" w:ascii="宋体" w:hAnsi="宋体" w:cs="宋体"/>
          <w:bCs/>
          <w:color w:val="auto"/>
          <w:sz w:val="28"/>
          <w:szCs w:val="28"/>
        </w:rPr>
        <w:t>（北京时间）</w:t>
      </w:r>
    </w:p>
    <w:p w14:paraId="0158E40B">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地点：</w:t>
      </w:r>
      <w:bookmarkStart w:id="17" w:name="_Toc35393633"/>
      <w:bookmarkStart w:id="18" w:name="_Toc35393802"/>
      <w:bookmarkStart w:id="19" w:name="_Toc28359093"/>
      <w:bookmarkStart w:id="20" w:name="_Toc28359016"/>
      <w:r>
        <w:rPr>
          <w:rFonts w:hint="eastAsia" w:ascii="宋体" w:hAnsi="宋体" w:cs="宋体"/>
          <w:color w:val="auto"/>
          <w:sz w:val="28"/>
          <w:szCs w:val="28"/>
          <w:lang w:eastAsia="zh-CN"/>
        </w:rPr>
        <w:t>崇川区文峰街道社区卫生服务中心三楼会议室</w:t>
      </w:r>
      <w:r>
        <w:rPr>
          <w:rFonts w:hint="eastAsia" w:ascii="宋体" w:hAnsi="宋体" w:cs="宋体"/>
          <w:color w:val="auto"/>
          <w:sz w:val="28"/>
          <w:szCs w:val="28"/>
        </w:rPr>
        <w:t>（南通市</w:t>
      </w:r>
      <w:r>
        <w:rPr>
          <w:rFonts w:hint="eastAsia" w:ascii="宋体" w:hAnsi="宋体" w:cs="宋体"/>
          <w:color w:val="auto"/>
          <w:sz w:val="28"/>
          <w:szCs w:val="28"/>
          <w:lang w:eastAsia="zh-CN"/>
        </w:rPr>
        <w:t>青年中路</w:t>
      </w:r>
      <w:r>
        <w:rPr>
          <w:rFonts w:hint="eastAsia" w:ascii="宋体" w:hAnsi="宋体" w:cs="宋体"/>
          <w:color w:val="auto"/>
          <w:sz w:val="28"/>
          <w:szCs w:val="28"/>
          <w:lang w:val="en-US" w:eastAsia="zh-CN"/>
        </w:rPr>
        <w:t>120号3号楼3楼</w:t>
      </w:r>
      <w:r>
        <w:rPr>
          <w:rFonts w:hint="eastAsia" w:ascii="宋体" w:hAnsi="宋体" w:cs="宋体"/>
          <w:color w:val="auto"/>
          <w:sz w:val="28"/>
          <w:szCs w:val="28"/>
        </w:rPr>
        <w:t>）</w:t>
      </w:r>
    </w:p>
    <w:p w14:paraId="7122568E">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六、</w:t>
      </w:r>
      <w:bookmarkEnd w:id="17"/>
      <w:bookmarkEnd w:id="18"/>
      <w:bookmarkEnd w:id="19"/>
      <w:bookmarkEnd w:id="20"/>
      <w:r>
        <w:rPr>
          <w:rFonts w:hint="eastAsia" w:ascii="宋体" w:hAnsi="宋体" w:cs="宋体"/>
          <w:b/>
          <w:bCs/>
          <w:color w:val="auto"/>
          <w:sz w:val="28"/>
          <w:szCs w:val="28"/>
        </w:rPr>
        <w:t>比价响应文件开启</w:t>
      </w:r>
    </w:p>
    <w:p w14:paraId="5916789B">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20</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点</w:t>
      </w:r>
      <w:r>
        <w:rPr>
          <w:rFonts w:hint="eastAsia" w:ascii="宋体" w:hAnsi="宋体" w:cs="宋体"/>
          <w:color w:val="auto"/>
          <w:sz w:val="28"/>
          <w:szCs w:val="28"/>
          <w:u w:val="single"/>
          <w:lang w:val="en-US" w:eastAsia="zh-CN"/>
        </w:rPr>
        <w:t>3</w:t>
      </w:r>
      <w:r>
        <w:rPr>
          <w:rFonts w:hint="eastAsia" w:ascii="宋体" w:hAnsi="宋体" w:cs="宋体"/>
          <w:color w:val="auto"/>
          <w:sz w:val="28"/>
          <w:szCs w:val="28"/>
          <w:u w:val="single"/>
        </w:rPr>
        <w:t>0分</w:t>
      </w:r>
      <w:r>
        <w:rPr>
          <w:rFonts w:hint="eastAsia" w:ascii="宋体" w:hAnsi="宋体" w:cs="宋体"/>
          <w:bCs/>
          <w:color w:val="auto"/>
          <w:sz w:val="28"/>
          <w:szCs w:val="28"/>
        </w:rPr>
        <w:t>（北京时间）</w:t>
      </w:r>
    </w:p>
    <w:p w14:paraId="676B7791">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地点：</w:t>
      </w:r>
      <w:bookmarkStart w:id="21" w:name="_Toc28359017"/>
      <w:bookmarkStart w:id="22" w:name="_Toc28359094"/>
      <w:bookmarkStart w:id="23" w:name="_Toc35393634"/>
      <w:bookmarkStart w:id="24" w:name="_Toc35393803"/>
      <w:r>
        <w:rPr>
          <w:rFonts w:hint="eastAsia" w:ascii="宋体" w:hAnsi="宋体" w:cs="宋体"/>
          <w:color w:val="auto"/>
          <w:sz w:val="28"/>
          <w:szCs w:val="28"/>
          <w:lang w:eastAsia="zh-CN"/>
        </w:rPr>
        <w:t>崇川区文峰街道社区卫生服务中心三楼会议室</w:t>
      </w:r>
    </w:p>
    <w:p w14:paraId="3DB70B70">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七、比价公告期限</w:t>
      </w:r>
      <w:bookmarkEnd w:id="21"/>
      <w:bookmarkEnd w:id="22"/>
      <w:bookmarkEnd w:id="23"/>
      <w:bookmarkEnd w:id="24"/>
    </w:p>
    <w:p w14:paraId="33530AEF">
      <w:pPr>
        <w:spacing w:line="460" w:lineRule="exact"/>
        <w:ind w:firstLine="560" w:firstLineChars="200"/>
        <w:rPr>
          <w:rFonts w:ascii="宋体" w:hAnsi="宋体" w:cs="宋体"/>
          <w:color w:val="auto"/>
          <w:sz w:val="28"/>
          <w:szCs w:val="28"/>
        </w:rPr>
      </w:pPr>
      <w:bookmarkStart w:id="25" w:name="_Toc35393635"/>
      <w:bookmarkStart w:id="26" w:name="_Toc35393804"/>
      <w:r>
        <w:rPr>
          <w:rFonts w:hint="eastAsia" w:ascii="宋体" w:hAnsi="宋体" w:cs="宋体"/>
          <w:color w:val="auto"/>
          <w:sz w:val="28"/>
          <w:szCs w:val="28"/>
        </w:rPr>
        <w:t>自比价公告在</w:t>
      </w:r>
      <w:r>
        <w:rPr>
          <w:rFonts w:hint="eastAsia" w:ascii="宋体" w:hAnsi="宋体" w:cs="宋体"/>
          <w:color w:val="auto"/>
          <w:sz w:val="28"/>
          <w:szCs w:val="28"/>
          <w:lang w:eastAsia="zh-CN"/>
        </w:rPr>
        <w:t>南通市崇川区政府网站</w:t>
      </w:r>
      <w:r>
        <w:rPr>
          <w:rFonts w:hint="eastAsia" w:ascii="宋体" w:hAnsi="宋体" w:cs="宋体"/>
          <w:color w:val="auto"/>
          <w:sz w:val="28"/>
          <w:szCs w:val="28"/>
        </w:rPr>
        <w:t>发布之日起3个工作日。</w:t>
      </w:r>
    </w:p>
    <w:bookmarkEnd w:id="25"/>
    <w:bookmarkEnd w:id="26"/>
    <w:p w14:paraId="599E053C">
      <w:pPr>
        <w:spacing w:line="460" w:lineRule="exact"/>
        <w:ind w:firstLine="562" w:firstLineChars="200"/>
        <w:rPr>
          <w:rFonts w:ascii="宋体" w:hAnsi="宋体" w:cs="宋体"/>
          <w:b/>
          <w:bCs/>
          <w:color w:val="auto"/>
          <w:sz w:val="28"/>
          <w:szCs w:val="28"/>
        </w:rPr>
      </w:pPr>
      <w:bookmarkStart w:id="27" w:name="_Toc35393805"/>
      <w:bookmarkStart w:id="28" w:name="_Toc28359018"/>
      <w:bookmarkStart w:id="29" w:name="_Toc35393636"/>
      <w:bookmarkStart w:id="30" w:name="_Toc28359095"/>
      <w:r>
        <w:rPr>
          <w:rFonts w:hint="eastAsia" w:ascii="宋体" w:hAnsi="宋体" w:cs="宋体"/>
          <w:b/>
          <w:bCs/>
          <w:color w:val="auto"/>
          <w:sz w:val="28"/>
          <w:szCs w:val="28"/>
        </w:rPr>
        <w:t>八、凡对本次采购提出询问，请按以下方式联系。</w:t>
      </w:r>
      <w:bookmarkEnd w:id="27"/>
      <w:bookmarkEnd w:id="28"/>
      <w:bookmarkEnd w:id="29"/>
      <w:bookmarkEnd w:id="30"/>
    </w:p>
    <w:p w14:paraId="7AEBBE7E">
      <w:pPr>
        <w:spacing w:line="460" w:lineRule="exact"/>
        <w:ind w:firstLine="540"/>
        <w:rPr>
          <w:rFonts w:ascii="宋体" w:hAnsi="宋体" w:cs="宋体"/>
          <w:color w:val="auto"/>
          <w:sz w:val="28"/>
          <w:szCs w:val="28"/>
        </w:rPr>
      </w:pPr>
      <w:bookmarkStart w:id="31" w:name="_Toc35393806"/>
      <w:bookmarkStart w:id="32" w:name="_Toc28359096"/>
      <w:bookmarkStart w:id="33" w:name="_Toc35393637"/>
      <w:bookmarkStart w:id="34" w:name="_Toc28359019"/>
      <w:r>
        <w:rPr>
          <w:rFonts w:hint="eastAsia" w:ascii="宋体" w:hAnsi="宋体" w:cs="宋体"/>
          <w:color w:val="auto"/>
          <w:sz w:val="28"/>
          <w:szCs w:val="28"/>
        </w:rPr>
        <w:t>1.采购人信息</w:t>
      </w:r>
      <w:bookmarkEnd w:id="31"/>
      <w:bookmarkEnd w:id="32"/>
      <w:bookmarkEnd w:id="33"/>
      <w:bookmarkEnd w:id="34"/>
    </w:p>
    <w:p w14:paraId="68829556">
      <w:pPr>
        <w:spacing w:line="460" w:lineRule="exact"/>
        <w:ind w:firstLine="540"/>
        <w:rPr>
          <w:rFonts w:hint="eastAsia" w:ascii="宋体" w:hAnsi="宋体" w:eastAsia="宋体" w:cs="宋体"/>
          <w:color w:val="auto"/>
          <w:sz w:val="28"/>
          <w:szCs w:val="28"/>
          <w:lang w:eastAsia="zh-CN"/>
        </w:rPr>
      </w:pPr>
      <w:r>
        <w:rPr>
          <w:rFonts w:hint="eastAsia" w:ascii="宋体" w:hAnsi="宋体" w:cs="宋体"/>
          <w:color w:val="auto"/>
          <w:sz w:val="28"/>
          <w:szCs w:val="28"/>
        </w:rPr>
        <w:t>名    称：</w:t>
      </w:r>
      <w:r>
        <w:rPr>
          <w:rFonts w:hint="eastAsia" w:ascii="宋体" w:hAnsi="宋体" w:cs="宋体"/>
          <w:color w:val="auto"/>
          <w:sz w:val="28"/>
          <w:szCs w:val="28"/>
          <w:lang w:eastAsia="zh-CN"/>
        </w:rPr>
        <w:t>崇川区文峰街道社区卫生服务中心</w:t>
      </w:r>
    </w:p>
    <w:p w14:paraId="1D4A55BD">
      <w:pPr>
        <w:spacing w:line="460" w:lineRule="exact"/>
        <w:ind w:firstLine="540"/>
        <w:rPr>
          <w:rFonts w:hint="eastAsia" w:ascii="宋体" w:hAnsi="宋体" w:eastAsia="宋体" w:cs="宋体"/>
          <w:color w:val="auto"/>
          <w:sz w:val="28"/>
          <w:szCs w:val="28"/>
          <w:lang w:eastAsia="zh-CN"/>
        </w:rPr>
      </w:pPr>
      <w:bookmarkStart w:id="35" w:name="_Toc18907"/>
      <w:r>
        <w:rPr>
          <w:rFonts w:hint="eastAsia" w:ascii="宋体" w:hAnsi="宋体" w:cs="宋体"/>
          <w:color w:val="auto"/>
          <w:sz w:val="28"/>
          <w:szCs w:val="28"/>
        </w:rPr>
        <w:t>联系人：</w:t>
      </w:r>
      <w:r>
        <w:rPr>
          <w:rFonts w:hint="eastAsia" w:ascii="宋体" w:hAnsi="宋体" w:cs="宋体"/>
          <w:color w:val="auto"/>
          <w:sz w:val="28"/>
          <w:szCs w:val="28"/>
          <w:lang w:eastAsia="zh-CN"/>
        </w:rPr>
        <w:t>袁先生</w:t>
      </w:r>
    </w:p>
    <w:p w14:paraId="0FBB7B3D">
      <w:pPr>
        <w:spacing w:line="460" w:lineRule="exact"/>
        <w:ind w:firstLine="540"/>
        <w:rPr>
          <w:rFonts w:hint="default" w:ascii="宋体" w:hAnsi="宋体" w:eastAsia="宋体" w:cs="宋体"/>
          <w:color w:val="auto"/>
          <w:sz w:val="28"/>
          <w:szCs w:val="28"/>
          <w:lang w:val="en-US" w:eastAsia="zh-CN"/>
        </w:rPr>
      </w:pPr>
      <w:r>
        <w:rPr>
          <w:rFonts w:hint="eastAsia" w:ascii="宋体" w:hAnsi="宋体" w:cs="宋体"/>
          <w:color w:val="auto"/>
          <w:sz w:val="28"/>
          <w:szCs w:val="28"/>
        </w:rPr>
        <w:t>联系方式：</w:t>
      </w:r>
      <w:r>
        <w:rPr>
          <w:rFonts w:hint="eastAsia" w:ascii="宋体" w:hAnsi="宋体" w:cs="宋体"/>
          <w:color w:val="auto"/>
          <w:sz w:val="28"/>
          <w:szCs w:val="28"/>
          <w:lang w:val="en-US" w:eastAsia="zh-CN"/>
        </w:rPr>
        <w:t>15906290838</w:t>
      </w:r>
    </w:p>
    <w:p w14:paraId="0110CC34">
      <w:pPr>
        <w:spacing w:line="460" w:lineRule="exact"/>
        <w:rPr>
          <w:rFonts w:ascii="宋体" w:hAnsi="宋体" w:cs="宋体"/>
          <w:color w:val="auto"/>
          <w:sz w:val="28"/>
          <w:szCs w:val="28"/>
        </w:rPr>
      </w:pPr>
    </w:p>
    <w:p w14:paraId="01DEE597">
      <w:pPr>
        <w:jc w:val="center"/>
        <w:rPr>
          <w:rFonts w:hint="eastAsia" w:ascii="宋体" w:hAnsi="宋体" w:cs="宋体"/>
          <w:b/>
          <w:color w:val="auto"/>
          <w:sz w:val="36"/>
          <w:szCs w:val="36"/>
        </w:rPr>
      </w:pPr>
    </w:p>
    <w:p w14:paraId="5569A9E2">
      <w:pPr>
        <w:jc w:val="center"/>
        <w:rPr>
          <w:rFonts w:ascii="宋体" w:hAnsi="宋体" w:cs="宋体"/>
          <w:b/>
          <w:color w:val="auto"/>
          <w:sz w:val="36"/>
          <w:szCs w:val="36"/>
        </w:rPr>
      </w:pPr>
      <w:r>
        <w:rPr>
          <w:rFonts w:hint="eastAsia" w:ascii="宋体" w:hAnsi="宋体" w:cs="宋体"/>
          <w:b/>
          <w:color w:val="auto"/>
          <w:sz w:val="36"/>
          <w:szCs w:val="36"/>
        </w:rPr>
        <w:t>第二章 比价须知</w:t>
      </w:r>
      <w:bookmarkEnd w:id="35"/>
    </w:p>
    <w:p w14:paraId="66EFDFB0">
      <w:pPr>
        <w:snapToGrid w:val="0"/>
        <w:spacing w:line="460" w:lineRule="exact"/>
        <w:ind w:firstLine="562" w:firstLineChars="200"/>
        <w:outlineLvl w:val="1"/>
        <w:rPr>
          <w:rFonts w:ascii="宋体" w:hAnsi="宋体" w:cs="宋体"/>
          <w:color w:val="auto"/>
          <w:sz w:val="28"/>
          <w:szCs w:val="28"/>
        </w:rPr>
      </w:pPr>
      <w:r>
        <w:rPr>
          <w:rFonts w:hint="eastAsia" w:ascii="宋体" w:hAnsi="宋体" w:cs="宋体"/>
          <w:b/>
          <w:color w:val="auto"/>
          <w:sz w:val="28"/>
          <w:szCs w:val="28"/>
        </w:rPr>
        <w:t>一、采购文件由采购人解释</w:t>
      </w:r>
      <w:r>
        <w:rPr>
          <w:rFonts w:hint="eastAsia" w:ascii="宋体" w:hAnsi="宋体" w:cs="宋体"/>
          <w:color w:val="auto"/>
          <w:sz w:val="28"/>
          <w:szCs w:val="28"/>
        </w:rPr>
        <w:t>。</w:t>
      </w:r>
    </w:p>
    <w:p w14:paraId="27B01EE3">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6FBC6CC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比价人应认真审阅采购文件中所有的事项、格式、条款和规范要求等，如果议价人没有按照采购文件要求提交比价响应文件，或者比价响应文件没有对采购文件做出实质性响应，其比价将被拒绝，比价人自行承担责任。</w:t>
      </w:r>
    </w:p>
    <w:p w14:paraId="58198455">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二、采购文件的澄清、修改、答疑</w:t>
      </w:r>
    </w:p>
    <w:p w14:paraId="3694BDB5">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1.采购人有权对发出的采购文件进行必要的澄清或修改。</w:t>
      </w:r>
    </w:p>
    <w:p w14:paraId="4D886DA7">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2.采购人可视情取消、延长相关时间。</w:t>
      </w:r>
    </w:p>
    <w:p w14:paraId="1723B004">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3.采购人对采购文件的澄清、修改将构成采购文件的一部分，对议价人具有约束力。</w:t>
      </w:r>
    </w:p>
    <w:p w14:paraId="73C0279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4.比价人由于对采购文件的任何推论和误解以及采购人对有关问题的口头解释所造成的后果，均由比价人自负。</w:t>
      </w:r>
    </w:p>
    <w:p w14:paraId="5BEC50E6">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5.采购人视情组织答疑会。</w:t>
      </w:r>
    </w:p>
    <w:p w14:paraId="6D3F3033">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三、比价报价</w:t>
      </w:r>
    </w:p>
    <w:p w14:paraId="5103A3AC">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一个标的只允许一个报价，不接受任何有选择性的报价。</w:t>
      </w:r>
    </w:p>
    <w:p w14:paraId="19D244E5">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四、比价响应文件的编写、份数和签署</w:t>
      </w:r>
    </w:p>
    <w:p w14:paraId="5D344F6D">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1.议价人按第五部分“比价响应文件组成”编写比价响应文件。</w:t>
      </w:r>
      <w:r>
        <w:rPr>
          <w:rFonts w:hint="eastAsia" w:ascii="宋体" w:hAnsi="宋体" w:cs="宋体"/>
          <w:color w:val="auto"/>
          <w:kern w:val="0"/>
          <w:sz w:val="28"/>
          <w:szCs w:val="28"/>
          <w:lang w:val="zh-CN"/>
        </w:rPr>
        <w:t>比价</w:t>
      </w:r>
      <w:r>
        <w:rPr>
          <w:rFonts w:hint="eastAsia" w:ascii="宋体" w:hAnsi="宋体" w:cs="宋体"/>
          <w:color w:val="auto"/>
          <w:sz w:val="28"/>
          <w:szCs w:val="28"/>
        </w:rPr>
        <w:t>响应</w:t>
      </w:r>
      <w:r>
        <w:rPr>
          <w:rFonts w:hint="eastAsia" w:ascii="宋体" w:hAnsi="宋体" w:cs="宋体"/>
          <w:color w:val="auto"/>
          <w:kern w:val="0"/>
          <w:sz w:val="28"/>
          <w:szCs w:val="28"/>
          <w:lang w:val="zh-CN"/>
        </w:rPr>
        <w:t>文件规格幅面</w:t>
      </w:r>
      <w:r>
        <w:rPr>
          <w:rFonts w:hint="eastAsia" w:ascii="宋体" w:hAnsi="宋体" w:cs="宋体"/>
          <w:color w:val="auto"/>
          <w:sz w:val="28"/>
          <w:szCs w:val="28"/>
        </w:rPr>
        <w:t>A4纸（图纸等除外）；</w:t>
      </w:r>
      <w:r>
        <w:rPr>
          <w:rFonts w:hint="eastAsia" w:ascii="宋体" w:hAnsi="宋体" w:cs="宋体"/>
          <w:color w:val="auto"/>
          <w:kern w:val="0"/>
          <w:sz w:val="28"/>
          <w:szCs w:val="28"/>
          <w:lang w:val="zh-CN"/>
        </w:rPr>
        <w:t>正文按照采购文件所规定的内容顺序，统一编制目录，逐页编码，由于编排混乱导致比价</w:t>
      </w:r>
      <w:r>
        <w:rPr>
          <w:rFonts w:hint="eastAsia" w:ascii="宋体" w:hAnsi="宋体" w:cs="宋体"/>
          <w:color w:val="auto"/>
          <w:sz w:val="28"/>
          <w:szCs w:val="28"/>
        </w:rPr>
        <w:t>响应</w:t>
      </w:r>
      <w:r>
        <w:rPr>
          <w:rFonts w:hint="eastAsia" w:ascii="宋体" w:hAnsi="宋体" w:cs="宋体"/>
          <w:color w:val="auto"/>
          <w:kern w:val="0"/>
          <w:sz w:val="28"/>
          <w:szCs w:val="28"/>
          <w:lang w:val="zh-CN"/>
        </w:rPr>
        <w:t>文件被误读或查找不到，其责任应当由比价人承担；</w:t>
      </w:r>
      <w:r>
        <w:rPr>
          <w:rFonts w:hint="eastAsia" w:ascii="宋体" w:hAnsi="宋体" w:cs="宋体"/>
          <w:color w:val="auto"/>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72CD36E0">
      <w:pPr>
        <w:snapToGrid w:val="0"/>
        <w:spacing w:line="460" w:lineRule="exact"/>
        <w:ind w:firstLine="560" w:firstLineChars="200"/>
        <w:contextualSpacing/>
        <w:rPr>
          <w:rFonts w:ascii="宋体" w:hAnsi="宋体" w:cs="宋体"/>
          <w:b/>
          <w:color w:val="auto"/>
          <w:sz w:val="28"/>
          <w:szCs w:val="28"/>
        </w:rPr>
      </w:pPr>
      <w:r>
        <w:rPr>
          <w:rFonts w:hint="eastAsia" w:ascii="宋体" w:hAnsi="宋体" w:cs="宋体"/>
          <w:color w:val="auto"/>
          <w:sz w:val="28"/>
          <w:szCs w:val="28"/>
        </w:rPr>
        <w:t>2.纸质比价响应文件（资格审查文件、价格文件），明确标注议价人全称、“正本”、“副本”字样。</w:t>
      </w:r>
      <w:r>
        <w:rPr>
          <w:rFonts w:hint="eastAsia" w:ascii="宋体" w:hAnsi="宋体" w:cs="宋体"/>
          <w:b/>
          <w:color w:val="auto"/>
          <w:sz w:val="28"/>
          <w:szCs w:val="28"/>
        </w:rPr>
        <w:t>正本份数：1份，副本份数：</w:t>
      </w:r>
      <w:r>
        <w:rPr>
          <w:rFonts w:hint="eastAsia" w:ascii="宋体" w:hAnsi="宋体" w:cs="宋体"/>
          <w:b/>
          <w:color w:val="auto"/>
          <w:sz w:val="28"/>
          <w:szCs w:val="28"/>
          <w:lang w:val="en-US" w:eastAsia="zh-CN"/>
        </w:rPr>
        <w:t>2</w:t>
      </w:r>
      <w:r>
        <w:rPr>
          <w:rFonts w:hint="eastAsia" w:ascii="宋体" w:hAnsi="宋体" w:cs="宋体"/>
          <w:b/>
          <w:color w:val="auto"/>
          <w:sz w:val="28"/>
          <w:szCs w:val="28"/>
        </w:rPr>
        <w:t>份。</w:t>
      </w:r>
    </w:p>
    <w:p w14:paraId="07E6218D">
      <w:pPr>
        <w:snapToGrid w:val="0"/>
        <w:spacing w:line="460" w:lineRule="exact"/>
        <w:ind w:firstLine="560" w:firstLineChars="200"/>
        <w:contextualSpacing/>
        <w:rPr>
          <w:rFonts w:ascii="宋体" w:hAnsi="宋体" w:cs="宋体"/>
          <w:color w:val="auto"/>
          <w:kern w:val="0"/>
          <w:sz w:val="28"/>
          <w:szCs w:val="28"/>
          <w:lang w:val="zh-CN"/>
        </w:rPr>
      </w:pPr>
      <w:r>
        <w:rPr>
          <w:rFonts w:hint="eastAsia" w:ascii="宋体" w:hAnsi="宋体" w:cs="宋体"/>
          <w:color w:val="auto"/>
          <w:kern w:val="0"/>
          <w:sz w:val="28"/>
          <w:szCs w:val="28"/>
          <w:lang w:val="zh-CN"/>
        </w:rPr>
        <w:t>3.比价响应文件正本须打印并由比价人法定代表人或授权人签字并加盖单位印章。副本可复印，但须加盖单位印章。</w:t>
      </w:r>
    </w:p>
    <w:p w14:paraId="1B5C7724">
      <w:pPr>
        <w:snapToGrid w:val="0"/>
        <w:spacing w:line="460" w:lineRule="exact"/>
        <w:ind w:firstLine="562" w:firstLineChars="200"/>
        <w:contextualSpacing/>
        <w:rPr>
          <w:rFonts w:ascii="宋体" w:hAnsi="宋体" w:cs="宋体"/>
          <w:color w:val="auto"/>
          <w:sz w:val="28"/>
          <w:szCs w:val="28"/>
        </w:rPr>
      </w:pPr>
      <w:r>
        <w:rPr>
          <w:rFonts w:hint="eastAsia" w:ascii="宋体" w:hAnsi="宋体" w:cs="宋体"/>
          <w:b/>
          <w:bCs/>
          <w:color w:val="auto"/>
          <w:sz w:val="28"/>
          <w:szCs w:val="28"/>
        </w:rPr>
        <w:t>五、比价响应文件的递交</w:t>
      </w:r>
    </w:p>
    <w:p w14:paraId="709D81BB">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1.比价人将资格审查文件正本、副本合并密封，统一装在一个密封袋内。</w:t>
      </w:r>
    </w:p>
    <w:p w14:paraId="29692D6B">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2.价格文件须单独密封，不得出现于比价响应文件其他部分中。</w:t>
      </w:r>
    </w:p>
    <w:p w14:paraId="04DF0ED6">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color w:val="auto"/>
          <w:sz w:val="28"/>
          <w:szCs w:val="28"/>
        </w:rPr>
        <w:t>密封完好标准以未泄露响应文件内容为主要判断依据。</w:t>
      </w:r>
    </w:p>
    <w:p w14:paraId="6D938715">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4.采购人将拒绝接收未按照采购文件要求密封的比价响应文件。</w:t>
      </w:r>
    </w:p>
    <w:p w14:paraId="328990AE">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六、比价响应文件的递交时间</w:t>
      </w:r>
    </w:p>
    <w:p w14:paraId="40725457">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比价响应文件必须在规定的接收截止时间前送达采购人。采购人将拒绝接收在比价截止时间后递交的比价响应文件。</w:t>
      </w:r>
    </w:p>
    <w:p w14:paraId="7AE5634A">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七、相关费用</w:t>
      </w:r>
    </w:p>
    <w:p w14:paraId="0AEFD200">
      <w:pPr>
        <w:autoSpaceDE w:val="0"/>
        <w:autoSpaceDN w:val="0"/>
        <w:adjustRightInd w:val="0"/>
        <w:spacing w:line="460" w:lineRule="exact"/>
        <w:ind w:firstLine="560" w:firstLineChars="200"/>
        <w:jc w:val="left"/>
        <w:rPr>
          <w:rFonts w:ascii="宋体" w:hAnsi="宋体" w:cs="宋体"/>
          <w:color w:val="auto"/>
          <w:kern w:val="0"/>
          <w:sz w:val="28"/>
          <w:szCs w:val="28"/>
          <w:lang w:val="zh-CN"/>
        </w:rPr>
      </w:pPr>
      <w:r>
        <w:rPr>
          <w:rFonts w:hint="eastAsia" w:ascii="宋体" w:hAnsi="宋体" w:cs="宋体"/>
          <w:color w:val="auto"/>
          <w:kern w:val="0"/>
          <w:sz w:val="28"/>
          <w:szCs w:val="28"/>
        </w:rPr>
        <w:t>1.</w:t>
      </w:r>
      <w:r>
        <w:rPr>
          <w:rFonts w:hint="eastAsia" w:ascii="宋体" w:hAnsi="宋体" w:cs="宋体"/>
          <w:color w:val="auto"/>
          <w:kern w:val="0"/>
          <w:sz w:val="28"/>
          <w:szCs w:val="28"/>
          <w:lang w:val="zh-CN"/>
        </w:rPr>
        <w:t>无论</w:t>
      </w:r>
      <w:r>
        <w:rPr>
          <w:rFonts w:hint="eastAsia" w:ascii="宋体" w:hAnsi="宋体" w:cs="宋体"/>
          <w:color w:val="auto"/>
          <w:kern w:val="0"/>
          <w:sz w:val="28"/>
          <w:szCs w:val="28"/>
        </w:rPr>
        <w:t>比价</w:t>
      </w:r>
      <w:r>
        <w:rPr>
          <w:rFonts w:hint="eastAsia" w:ascii="宋体" w:hAnsi="宋体" w:cs="宋体"/>
          <w:color w:val="auto"/>
          <w:kern w:val="0"/>
          <w:sz w:val="28"/>
          <w:szCs w:val="28"/>
          <w:lang w:val="zh-CN"/>
        </w:rPr>
        <w:t>过程和结果如何，参加</w:t>
      </w:r>
      <w:r>
        <w:rPr>
          <w:rFonts w:hint="eastAsia" w:ascii="宋体" w:hAnsi="宋体" w:cs="宋体"/>
          <w:color w:val="auto"/>
          <w:kern w:val="0"/>
          <w:sz w:val="28"/>
          <w:szCs w:val="28"/>
        </w:rPr>
        <w:t>比价</w:t>
      </w:r>
      <w:r>
        <w:rPr>
          <w:rFonts w:hint="eastAsia" w:ascii="宋体" w:hAnsi="宋体" w:cs="宋体"/>
          <w:color w:val="auto"/>
          <w:kern w:val="0"/>
          <w:sz w:val="28"/>
          <w:szCs w:val="28"/>
          <w:lang w:val="zh-CN"/>
        </w:rPr>
        <w:t>的响应人自行承担与本次项目有关的全部费用。</w:t>
      </w:r>
    </w:p>
    <w:p w14:paraId="502B9276">
      <w:pPr>
        <w:autoSpaceDE w:val="0"/>
        <w:autoSpaceDN w:val="0"/>
        <w:adjustRightInd w:val="0"/>
        <w:spacing w:line="460" w:lineRule="exact"/>
        <w:ind w:firstLine="560" w:firstLineChars="200"/>
        <w:jc w:val="left"/>
        <w:rPr>
          <w:rFonts w:ascii="宋体" w:hAnsi="宋体" w:cs="宋体"/>
          <w:color w:val="auto"/>
          <w:kern w:val="0"/>
          <w:sz w:val="28"/>
          <w:szCs w:val="28"/>
          <w:lang w:val="zh-CN"/>
        </w:rPr>
      </w:pPr>
      <w:r>
        <w:rPr>
          <w:rFonts w:hint="eastAsia" w:ascii="宋体" w:hAnsi="宋体" w:cs="宋体"/>
          <w:color w:val="auto"/>
          <w:kern w:val="0"/>
          <w:sz w:val="28"/>
          <w:szCs w:val="28"/>
        </w:rPr>
        <w:t>2</w:t>
      </w:r>
      <w:r>
        <w:rPr>
          <w:rFonts w:hint="eastAsia" w:ascii="宋体" w:hAnsi="宋体" w:cs="宋体"/>
          <w:color w:val="auto"/>
          <w:kern w:val="0"/>
          <w:sz w:val="28"/>
          <w:szCs w:val="28"/>
          <w:lang w:val="zh-CN"/>
        </w:rPr>
        <w:t>.比价文件未列明，而投标供应商认为必需的费用也需列入报价。</w:t>
      </w:r>
    </w:p>
    <w:p w14:paraId="68E37707">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八、付款方式</w:t>
      </w:r>
      <w:bookmarkStart w:id="36" w:name="_Toc5043"/>
    </w:p>
    <w:p w14:paraId="1AFD82B1">
      <w:pPr>
        <w:snapToGrid w:val="0"/>
        <w:spacing w:line="460" w:lineRule="exact"/>
        <w:ind w:firstLine="560" w:firstLineChars="200"/>
        <w:jc w:val="left"/>
        <w:outlineLvl w:val="1"/>
        <w:rPr>
          <w:rFonts w:ascii="宋体" w:hAnsi="宋体" w:cs="宋体"/>
          <w:color w:val="auto"/>
          <w:kern w:val="0"/>
          <w:sz w:val="28"/>
          <w:szCs w:val="28"/>
          <w:lang w:val="zh-CN"/>
        </w:rPr>
      </w:pPr>
      <w:r>
        <w:rPr>
          <w:rFonts w:hint="eastAsia" w:ascii="宋体" w:hAnsi="宋体" w:cs="宋体"/>
          <w:color w:val="auto"/>
          <w:kern w:val="0"/>
          <w:sz w:val="28"/>
          <w:szCs w:val="28"/>
          <w:lang w:val="zh-CN"/>
        </w:rPr>
        <w:t>付款方式：合同签订后</w:t>
      </w:r>
      <w:r>
        <w:rPr>
          <w:rFonts w:ascii="宋体" w:hAnsi="宋体" w:cs="宋体"/>
          <w:color w:val="auto"/>
          <w:kern w:val="0"/>
          <w:sz w:val="28"/>
          <w:szCs w:val="28"/>
        </w:rPr>
        <w:t>2</w:t>
      </w:r>
      <w:r>
        <w:rPr>
          <w:rFonts w:hint="eastAsia" w:ascii="宋体" w:hAnsi="宋体" w:cs="宋体"/>
          <w:color w:val="auto"/>
          <w:kern w:val="0"/>
          <w:sz w:val="28"/>
          <w:szCs w:val="28"/>
        </w:rPr>
        <w:t>0</w:t>
      </w:r>
      <w:r>
        <w:rPr>
          <w:rFonts w:hint="eastAsia" w:ascii="宋体" w:hAnsi="宋体" w:cs="宋体"/>
          <w:color w:val="auto"/>
          <w:kern w:val="0"/>
          <w:sz w:val="28"/>
          <w:szCs w:val="28"/>
          <w:lang w:val="zh-CN"/>
        </w:rPr>
        <w:t>日内完成供货，经验收合格后</w:t>
      </w:r>
      <w:r>
        <w:rPr>
          <w:rFonts w:hint="eastAsia" w:ascii="宋体" w:hAnsi="宋体" w:cs="宋体"/>
          <w:color w:val="auto"/>
          <w:kern w:val="0"/>
          <w:sz w:val="28"/>
          <w:szCs w:val="28"/>
        </w:rPr>
        <w:t>10天</w:t>
      </w:r>
      <w:r>
        <w:rPr>
          <w:rFonts w:hint="eastAsia" w:ascii="宋体" w:hAnsi="宋体" w:cs="宋体"/>
          <w:color w:val="auto"/>
          <w:kern w:val="0"/>
          <w:sz w:val="28"/>
          <w:szCs w:val="28"/>
          <w:lang w:val="zh-CN"/>
        </w:rPr>
        <w:t>内付合同款</w:t>
      </w:r>
      <w:r>
        <w:rPr>
          <w:rFonts w:hint="eastAsia" w:ascii="宋体" w:hAnsi="宋体" w:cs="宋体"/>
          <w:color w:val="auto"/>
          <w:kern w:val="0"/>
          <w:sz w:val="28"/>
          <w:szCs w:val="28"/>
          <w:lang w:val="en-US" w:eastAsia="zh-CN"/>
        </w:rPr>
        <w:t>90%，10%余款满壹年后一次性付清（无息）</w:t>
      </w:r>
      <w:r>
        <w:rPr>
          <w:rFonts w:hint="eastAsia" w:ascii="宋体" w:hAnsi="宋体" w:cs="宋体"/>
          <w:color w:val="auto"/>
          <w:kern w:val="0"/>
          <w:sz w:val="28"/>
          <w:szCs w:val="28"/>
          <w:lang w:val="zh-CN"/>
        </w:rPr>
        <w:t>。</w:t>
      </w:r>
    </w:p>
    <w:p w14:paraId="2C65F90C">
      <w:pPr>
        <w:snapToGrid w:val="0"/>
        <w:spacing w:line="460" w:lineRule="exact"/>
        <w:jc w:val="center"/>
        <w:outlineLvl w:val="1"/>
        <w:rPr>
          <w:rFonts w:hAnsi="宋体" w:cs="宋体"/>
          <w:color w:val="auto"/>
          <w:sz w:val="36"/>
          <w:szCs w:val="36"/>
        </w:rPr>
      </w:pPr>
      <w:r>
        <w:rPr>
          <w:rFonts w:hint="eastAsia" w:hAnsi="宋体" w:cs="宋体"/>
          <w:color w:val="auto"/>
          <w:sz w:val="36"/>
          <w:szCs w:val="36"/>
        </w:rPr>
        <w:br w:type="page"/>
      </w:r>
      <w:r>
        <w:rPr>
          <w:rFonts w:hint="eastAsia" w:hAnsi="宋体" w:cs="宋体"/>
          <w:b/>
          <w:bCs/>
          <w:color w:val="auto"/>
          <w:sz w:val="36"/>
          <w:szCs w:val="36"/>
        </w:rPr>
        <w:t>第三章  项目需求</w:t>
      </w:r>
      <w:bookmarkEnd w:id="36"/>
    </w:p>
    <w:p w14:paraId="2D731AE4">
      <w:pPr>
        <w:pStyle w:val="23"/>
        <w:spacing w:line="460" w:lineRule="exact"/>
        <w:ind w:firstLine="560"/>
        <w:rPr>
          <w:rFonts w:hint="default" w:hAnsi="宋体" w:cs="宋体"/>
          <w:color w:val="auto"/>
          <w:sz w:val="28"/>
          <w:szCs w:val="28"/>
        </w:rPr>
      </w:pPr>
      <w:r>
        <w:rPr>
          <w:rFonts w:hAnsi="宋体" w:cs="宋体"/>
          <w:color w:val="auto"/>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人员培训、保险等。</w:t>
      </w:r>
      <w:bookmarkStart w:id="37" w:name="_Toc24193"/>
      <w:r>
        <w:rPr>
          <w:rFonts w:hAnsi="宋体" w:cs="宋体"/>
          <w:b/>
          <w:bCs/>
          <w:color w:val="auto"/>
          <w:kern w:val="2"/>
          <w:sz w:val="28"/>
          <w:szCs w:val="28"/>
          <w:lang w:val="zh-CN"/>
        </w:rPr>
        <w:t>本项目不接受负偏离</w:t>
      </w:r>
      <w:r>
        <w:rPr>
          <w:rFonts w:hAnsi="宋体" w:cs="宋体"/>
          <w:color w:val="auto"/>
          <w:kern w:val="2"/>
          <w:sz w:val="28"/>
          <w:szCs w:val="28"/>
          <w:lang w:val="zh-CN"/>
        </w:rPr>
        <w:t>。</w:t>
      </w:r>
    </w:p>
    <w:p w14:paraId="20F4F7D5">
      <w:pPr>
        <w:pStyle w:val="43"/>
        <w:snapToGrid w:val="0"/>
        <w:spacing w:line="460" w:lineRule="exact"/>
        <w:ind w:firstLine="562" w:firstLineChars="200"/>
        <w:contextualSpacing/>
        <w:rPr>
          <w:rFonts w:ascii="宋体" w:eastAsia="宋体" w:cs="宋体"/>
          <w:b/>
          <w:bCs/>
          <w:color w:val="auto"/>
          <w:kern w:val="2"/>
          <w:sz w:val="28"/>
        </w:rPr>
      </w:pPr>
      <w:r>
        <w:rPr>
          <w:rFonts w:hint="eastAsia" w:ascii="宋体" w:eastAsia="宋体" w:cs="宋体"/>
          <w:b/>
          <w:bCs/>
          <w:color w:val="auto"/>
          <w:kern w:val="2"/>
          <w:sz w:val="28"/>
        </w:rPr>
        <w:t>一、项目目的及必要性</w:t>
      </w:r>
    </w:p>
    <w:p w14:paraId="1424D4F9">
      <w:pPr>
        <w:pStyle w:val="23"/>
        <w:spacing w:line="460" w:lineRule="exact"/>
        <w:ind w:firstLine="560"/>
        <w:rPr>
          <w:rFonts w:hint="default" w:hAnsi="宋体" w:cs="宋体"/>
          <w:color w:val="auto"/>
          <w:sz w:val="28"/>
          <w:szCs w:val="28"/>
        </w:rPr>
      </w:pPr>
      <w:r>
        <w:rPr>
          <w:rFonts w:hAnsi="宋体" w:cs="宋体"/>
          <w:color w:val="auto"/>
          <w:sz w:val="28"/>
          <w:szCs w:val="28"/>
        </w:rPr>
        <w:t>用于</w:t>
      </w:r>
      <w:r>
        <w:rPr>
          <w:rFonts w:hint="eastAsia" w:hAnsi="宋体" w:cs="宋体"/>
          <w:color w:val="auto"/>
          <w:sz w:val="28"/>
          <w:szCs w:val="28"/>
          <w:lang w:val="en-US" w:eastAsia="zh-CN"/>
        </w:rPr>
        <w:t>日常体检工作，每一项的检测都有明确的生理意义和临床必要性，是评估内环境稳定的关键指标</w:t>
      </w:r>
      <w:r>
        <w:rPr>
          <w:rFonts w:hAnsi="宋体" w:cs="宋体"/>
          <w:color w:val="auto"/>
          <w:sz w:val="28"/>
          <w:szCs w:val="28"/>
        </w:rPr>
        <w:t>。</w:t>
      </w:r>
    </w:p>
    <w:p w14:paraId="115DF198">
      <w:pPr>
        <w:pStyle w:val="43"/>
        <w:snapToGrid w:val="0"/>
        <w:spacing w:line="460" w:lineRule="exact"/>
        <w:ind w:firstLine="562" w:firstLineChars="200"/>
        <w:contextualSpacing/>
        <w:rPr>
          <w:rFonts w:ascii="宋体" w:eastAsia="宋体" w:cs="宋体"/>
          <w:b/>
          <w:bCs/>
          <w:color w:val="auto"/>
          <w:kern w:val="2"/>
          <w:sz w:val="28"/>
          <w:lang w:val="zh-CN"/>
        </w:rPr>
      </w:pPr>
      <w:r>
        <w:rPr>
          <w:rFonts w:hint="eastAsia" w:ascii="宋体" w:eastAsia="宋体" w:cs="宋体"/>
          <w:b/>
          <w:bCs/>
          <w:color w:val="auto"/>
          <w:kern w:val="2"/>
          <w:sz w:val="28"/>
        </w:rPr>
        <w:t>二</w:t>
      </w:r>
      <w:r>
        <w:rPr>
          <w:rFonts w:hint="eastAsia" w:ascii="宋体" w:eastAsia="宋体" w:cs="宋体"/>
          <w:b/>
          <w:bCs/>
          <w:color w:val="auto"/>
          <w:kern w:val="2"/>
          <w:sz w:val="28"/>
          <w:lang w:val="zh-CN"/>
        </w:rPr>
        <w:t>、采购清单</w:t>
      </w:r>
    </w:p>
    <w:tbl>
      <w:tblPr>
        <w:tblStyle w:val="20"/>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643"/>
        <w:gridCol w:w="1322"/>
      </w:tblGrid>
      <w:tr w14:paraId="1BF1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037135C">
            <w:pPr>
              <w:widowControl/>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rPr>
              <w:t>品名</w:t>
            </w:r>
            <w:r>
              <w:rPr>
                <w:rFonts w:hint="eastAsia" w:ascii="宋体" w:hAnsi="宋体" w:eastAsia="宋体" w:cs="宋体"/>
                <w:b/>
                <w:bCs/>
                <w:color w:val="auto"/>
                <w:kern w:val="0"/>
                <w:sz w:val="24"/>
                <w:lang w:val="en-US" w:eastAsia="zh-CN"/>
              </w:rPr>
              <w:t>数量</w:t>
            </w:r>
          </w:p>
        </w:tc>
        <w:tc>
          <w:tcPr>
            <w:tcW w:w="6643" w:type="dxa"/>
            <w:shd w:val="clear" w:color="auto" w:fill="auto"/>
            <w:vAlign w:val="center"/>
          </w:tcPr>
          <w:p w14:paraId="35312B95">
            <w:pPr>
              <w:widowControl/>
              <w:spacing w:line="460" w:lineRule="exact"/>
              <w:jc w:val="center"/>
              <w:rPr>
                <w:rFonts w:hint="eastAsia" w:ascii="宋体" w:hAnsi="宋体" w:eastAsia="宋体" w:cs="宋体"/>
                <w:b/>
                <w:color w:val="auto"/>
                <w:sz w:val="28"/>
                <w:szCs w:val="28"/>
              </w:rPr>
            </w:pPr>
            <w:r>
              <w:rPr>
                <w:rFonts w:hint="eastAsia" w:ascii="宋体" w:hAnsi="宋体" w:eastAsia="宋体" w:cs="宋体"/>
                <w:b/>
                <w:color w:val="auto"/>
                <w:sz w:val="24"/>
                <w:szCs w:val="24"/>
              </w:rPr>
              <w:t>性能要求</w:t>
            </w:r>
          </w:p>
        </w:tc>
        <w:tc>
          <w:tcPr>
            <w:tcW w:w="1322" w:type="dxa"/>
            <w:shd w:val="clear" w:color="auto" w:fill="auto"/>
            <w:vAlign w:val="center"/>
          </w:tcPr>
          <w:p w14:paraId="5A72A5EF">
            <w:pPr>
              <w:widowControl/>
              <w:spacing w:line="460" w:lineRule="exact"/>
              <w:jc w:val="center"/>
              <w:rPr>
                <w:rFonts w:hint="eastAsia" w:ascii="宋体" w:hAnsi="宋体" w:eastAsia="宋体" w:cs="宋体"/>
                <w:color w:val="auto"/>
                <w:kern w:val="0"/>
                <w:sz w:val="24"/>
              </w:rPr>
            </w:pPr>
            <w:r>
              <w:rPr>
                <w:rFonts w:hint="eastAsia" w:ascii="宋体" w:hAnsi="宋体" w:eastAsia="宋体" w:cs="宋体"/>
                <w:b/>
                <w:color w:val="auto"/>
                <w:sz w:val="24"/>
                <w:szCs w:val="24"/>
              </w:rPr>
              <w:t>质量要求</w:t>
            </w:r>
          </w:p>
        </w:tc>
      </w:tr>
      <w:tr w14:paraId="235E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9AC05F9">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十二道心电图机一台</w:t>
            </w:r>
          </w:p>
        </w:tc>
        <w:tc>
          <w:tcPr>
            <w:tcW w:w="6643" w:type="dxa"/>
          </w:tcPr>
          <w:p w14:paraId="6172A94B">
            <w:pPr>
              <w:keepNext w:val="0"/>
              <w:keepLines w:val="0"/>
              <w:pageBreakBefore w:val="0"/>
              <w:widowControl/>
              <w:tabs>
                <w:tab w:val="left" w:pos="709"/>
                <w:tab w:val="left" w:pos="2977"/>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 xml:space="preserve">导    联 </w:t>
            </w:r>
            <w:r>
              <w:rPr>
                <w:rFonts w:hint="eastAsia" w:ascii="宋体" w:hAnsi="宋体" w:eastAsia="宋体" w:cs="宋体"/>
                <w:lang w:eastAsia="zh-CN"/>
              </w:rPr>
              <w:t>：</w:t>
            </w:r>
            <w:r>
              <w:rPr>
                <w:rFonts w:hint="eastAsia" w:ascii="宋体" w:hAnsi="宋体" w:eastAsia="宋体" w:cs="宋体"/>
              </w:rPr>
              <w:t>标准12导联，Cabrera导联，12导联同步采集及同步记录打印</w:t>
            </w:r>
          </w:p>
          <w:p w14:paraId="3F0F9F00">
            <w:pPr>
              <w:keepNext w:val="0"/>
              <w:keepLines w:val="0"/>
              <w:pageBreakBefore w:val="0"/>
              <w:widowControl/>
              <w:tabs>
                <w:tab w:val="left" w:pos="709"/>
                <w:tab w:val="left" w:pos="2268"/>
                <w:tab w:val="left" w:pos="2977"/>
                <w:tab w:val="left" w:pos="311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定标电压</w:t>
            </w:r>
            <w:r>
              <w:rPr>
                <w:rFonts w:hint="eastAsia" w:ascii="宋体" w:hAnsi="宋体" w:eastAsia="宋体" w:cs="宋体"/>
                <w:lang w:val="en-US" w:eastAsia="zh-CN"/>
              </w:rPr>
              <w:t>:</w:t>
            </w:r>
            <w:r>
              <w:rPr>
                <w:rFonts w:hint="eastAsia" w:ascii="宋体" w:hAnsi="宋体" w:eastAsia="宋体" w:cs="宋体"/>
              </w:rPr>
              <w:t xml:space="preserve"> 各档位灵敏度最大允许误差为±0.1%</w:t>
            </w:r>
          </w:p>
          <w:p w14:paraId="219B5D11">
            <w:pPr>
              <w:keepNext w:val="0"/>
              <w:keepLines w:val="0"/>
              <w:pageBreakBefore w:val="0"/>
              <w:widowControl/>
              <w:tabs>
                <w:tab w:val="left" w:pos="709"/>
                <w:tab w:val="left" w:pos="2410"/>
                <w:tab w:val="left" w:pos="3402"/>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耐极化电压</w:t>
            </w:r>
            <w:r>
              <w:rPr>
                <w:rFonts w:hint="eastAsia" w:ascii="宋体" w:hAnsi="宋体" w:eastAsia="宋体" w:cs="宋体"/>
                <w:lang w:val="en-US" w:eastAsia="zh-CN"/>
              </w:rPr>
              <w:t>:</w:t>
            </w:r>
            <w:r>
              <w:rPr>
                <w:rFonts w:hint="eastAsia" w:ascii="宋体" w:hAnsi="宋体" w:eastAsia="宋体" w:cs="宋体"/>
              </w:rPr>
              <w:t>±590mV</w:t>
            </w:r>
          </w:p>
          <w:p w14:paraId="0A73EAA9">
            <w:pPr>
              <w:keepNext w:val="0"/>
              <w:keepLines w:val="0"/>
              <w:pageBreakBefore w:val="0"/>
              <w:widowControl/>
              <w:tabs>
                <w:tab w:val="left" w:pos="709"/>
                <w:tab w:val="left" w:pos="2268"/>
              </w:tabs>
              <w:kinsoku/>
              <w:wordWrap/>
              <w:overflowPunct/>
              <w:topLinePunct w:val="0"/>
              <w:autoSpaceDE/>
              <w:autoSpaceDN/>
              <w:bidi w:val="0"/>
              <w:adjustRightInd/>
              <w:snapToGrid/>
              <w:spacing w:line="460" w:lineRule="exact"/>
              <w:ind w:left="142" w:right="-571" w:rightChars="-272"/>
              <w:jc w:val="left"/>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szCs w:val="21"/>
              </w:rPr>
              <w:t>幅频特性</w:t>
            </w:r>
            <w:r>
              <w:rPr>
                <w:rFonts w:hint="eastAsia" w:ascii="宋体" w:hAnsi="宋体" w:eastAsia="宋体" w:cs="宋体"/>
                <w:szCs w:val="21"/>
                <w:lang w:eastAsia="zh-CN"/>
              </w:rPr>
              <w:t>：</w:t>
            </w:r>
            <w:r>
              <w:rPr>
                <w:rFonts w:hint="eastAsia" w:ascii="宋体" w:hAnsi="宋体" w:eastAsia="宋体" w:cs="宋体"/>
              </w:rPr>
              <w:t>0.05~500Hz</w:t>
            </w:r>
          </w:p>
          <w:p w14:paraId="254E3E68">
            <w:pPr>
              <w:keepNext w:val="0"/>
              <w:keepLines w:val="0"/>
              <w:pageBreakBefore w:val="0"/>
              <w:widowControl/>
              <w:tabs>
                <w:tab w:val="left" w:pos="709"/>
                <w:tab w:val="left" w:pos="2552"/>
                <w:tab w:val="left" w:pos="2835"/>
                <w:tab w:val="left" w:pos="2977"/>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标准灵敏度</w:t>
            </w:r>
            <w:r>
              <w:rPr>
                <w:rFonts w:hint="eastAsia" w:ascii="宋体" w:hAnsi="宋体" w:eastAsia="宋体" w:cs="宋体"/>
                <w:lang w:val="en-US" w:eastAsia="zh-CN"/>
              </w:rPr>
              <w:t>:</w:t>
            </w:r>
            <w:r>
              <w:rPr>
                <w:rFonts w:hint="eastAsia" w:ascii="宋体" w:hAnsi="宋体" w:eastAsia="宋体" w:cs="宋体"/>
              </w:rPr>
              <w:t>10mm/mV，允差±0.1%</w:t>
            </w:r>
          </w:p>
          <w:p w14:paraId="6D5F73F1">
            <w:pPr>
              <w:keepNext w:val="0"/>
              <w:keepLines w:val="0"/>
              <w:pageBreakBefore w:val="0"/>
              <w:widowControl/>
              <w:tabs>
                <w:tab w:val="left" w:pos="709"/>
                <w:tab w:val="left" w:pos="2977"/>
                <w:tab w:val="left" w:pos="10065"/>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szCs w:val="21"/>
              </w:rPr>
              <w:t>线性及动态范围</w:t>
            </w:r>
            <w:r>
              <w:rPr>
                <w:rFonts w:hint="eastAsia" w:ascii="宋体" w:hAnsi="宋体" w:eastAsia="宋体" w:cs="宋体"/>
                <w:lang w:val="en-US" w:eastAsia="zh-CN"/>
              </w:rPr>
              <w:t>:</w:t>
            </w:r>
            <w:r>
              <w:rPr>
                <w:rFonts w:hint="eastAsia" w:ascii="宋体" w:hAnsi="宋体" w:eastAsia="宋体" w:cs="宋体"/>
              </w:rPr>
              <w:t>幅度变化≤2%</w:t>
            </w:r>
          </w:p>
          <w:p w14:paraId="3A549601">
            <w:pPr>
              <w:keepNext w:val="0"/>
              <w:keepLines w:val="0"/>
              <w:pageBreakBefore w:val="0"/>
              <w:widowControl/>
              <w:tabs>
                <w:tab w:val="left" w:pos="709"/>
                <w:tab w:val="left" w:pos="993"/>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rPr>
              <w:t>恢复时间</w:t>
            </w:r>
            <w:r>
              <w:rPr>
                <w:rFonts w:hint="eastAsia" w:ascii="宋体" w:hAnsi="宋体" w:eastAsia="宋体" w:cs="宋体"/>
                <w:lang w:eastAsia="zh-CN"/>
              </w:rPr>
              <w:t>：</w:t>
            </w:r>
            <w:r>
              <w:rPr>
                <w:rFonts w:hint="eastAsia" w:ascii="宋体" w:hAnsi="宋体" w:eastAsia="宋体" w:cs="宋体"/>
              </w:rPr>
              <w:t>耐极化电压恢复时间≤1s</w:t>
            </w:r>
          </w:p>
          <w:p w14:paraId="72C54DE1">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8</w:t>
            </w:r>
            <w:r>
              <w:rPr>
                <w:rFonts w:hint="eastAsia" w:ascii="宋体" w:hAnsi="宋体" w:eastAsia="宋体" w:cs="宋体"/>
                <w:lang w:eastAsia="zh-CN"/>
              </w:rPr>
              <w:t>、</w:t>
            </w:r>
            <w:r>
              <w:rPr>
                <w:rFonts w:hint="eastAsia" w:ascii="宋体" w:hAnsi="宋体" w:eastAsia="宋体" w:cs="宋体"/>
              </w:rPr>
              <w:t>显 示 器≥7.9英寸彩色液晶可触摸操作显示屏</w:t>
            </w:r>
          </w:p>
          <w:p w14:paraId="5E5EF311">
            <w:pPr>
              <w:keepNext w:val="0"/>
              <w:keepLines w:val="0"/>
              <w:pageBreakBefore w:val="0"/>
              <w:widowControl/>
              <w:tabs>
                <w:tab w:val="left" w:pos="709"/>
                <w:tab w:val="left" w:pos="851"/>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9</w:t>
            </w:r>
            <w:r>
              <w:rPr>
                <w:rFonts w:hint="eastAsia" w:ascii="宋体" w:hAnsi="宋体" w:eastAsia="宋体" w:cs="宋体"/>
                <w:lang w:eastAsia="zh-CN"/>
              </w:rPr>
              <w:t>、</w:t>
            </w:r>
            <w:r>
              <w:rPr>
                <w:rFonts w:hint="eastAsia" w:ascii="宋体" w:hAnsi="宋体" w:eastAsia="宋体" w:cs="宋体"/>
                <w:color w:val="000000"/>
                <w:szCs w:val="21"/>
              </w:rPr>
              <w:t>记 录 器</w:t>
            </w:r>
            <w:r>
              <w:rPr>
                <w:rFonts w:hint="eastAsia" w:ascii="宋体" w:hAnsi="宋体" w:eastAsia="宋体" w:cs="宋体"/>
                <w:lang w:eastAsia="zh-CN"/>
              </w:rPr>
              <w:t>：</w:t>
            </w:r>
            <w:r>
              <w:rPr>
                <w:rFonts w:hint="eastAsia" w:ascii="宋体" w:hAnsi="宋体" w:eastAsia="宋体" w:cs="宋体"/>
              </w:rPr>
              <w:t>主机内置210mm宽记录器。无需选装，可同时兼容卷纸和折叠纸，并能放进纸舱内</w:t>
            </w:r>
          </w:p>
          <w:p w14:paraId="1B2F6501">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10</w:t>
            </w:r>
            <w:r>
              <w:rPr>
                <w:rFonts w:hint="eastAsia" w:ascii="宋体" w:hAnsi="宋体" w:eastAsia="宋体" w:cs="宋体"/>
                <w:lang w:eastAsia="zh-CN"/>
              </w:rPr>
              <w:t>、</w:t>
            </w:r>
            <w:r>
              <w:rPr>
                <w:rFonts w:hint="eastAsia" w:ascii="宋体" w:hAnsi="宋体" w:eastAsia="宋体" w:cs="宋体"/>
                <w:szCs w:val="21"/>
              </w:rPr>
              <w:t>记录速度</w:t>
            </w:r>
            <w:r>
              <w:rPr>
                <w:rFonts w:hint="eastAsia" w:ascii="宋体" w:hAnsi="宋体" w:eastAsia="宋体" w:cs="宋体"/>
                <w:lang w:eastAsia="zh-CN"/>
              </w:rPr>
              <w:t>：</w:t>
            </w:r>
            <w:r>
              <w:rPr>
                <w:rFonts w:hint="eastAsia" w:ascii="宋体" w:hAnsi="宋体" w:eastAsia="宋体" w:cs="宋体"/>
              </w:rPr>
              <w:t>5mm/s、10mm/s、12.5mm/s、25mm/s、50mm/s，允差±1%</w:t>
            </w:r>
          </w:p>
          <w:p w14:paraId="494B01C2">
            <w:pPr>
              <w:keepNext w:val="0"/>
              <w:keepLines w:val="0"/>
              <w:pageBreakBefore w:val="0"/>
              <w:widowControl/>
              <w:tabs>
                <w:tab w:val="left" w:pos="709"/>
                <w:tab w:val="left" w:pos="2694"/>
                <w:tab w:val="left" w:pos="2835"/>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11</w:t>
            </w:r>
            <w:r>
              <w:rPr>
                <w:rFonts w:hint="eastAsia" w:ascii="宋体" w:hAnsi="宋体" w:eastAsia="宋体" w:cs="宋体"/>
                <w:lang w:eastAsia="zh-CN"/>
              </w:rPr>
              <w:t>、</w:t>
            </w:r>
            <w:r>
              <w:rPr>
                <w:rFonts w:hint="eastAsia" w:ascii="宋体" w:hAnsi="宋体" w:eastAsia="宋体" w:cs="宋体"/>
                <w:szCs w:val="21"/>
              </w:rPr>
              <w:t>存储功能</w:t>
            </w:r>
            <w:r>
              <w:rPr>
                <w:rFonts w:hint="eastAsia" w:ascii="宋体" w:hAnsi="宋体" w:eastAsia="宋体" w:cs="宋体"/>
                <w:lang w:eastAsia="zh-CN"/>
              </w:rPr>
              <w:t>；</w:t>
            </w:r>
            <w:r>
              <w:rPr>
                <w:rFonts w:hint="eastAsia" w:ascii="宋体" w:hAnsi="宋体" w:eastAsia="宋体" w:cs="宋体"/>
              </w:rPr>
              <w:t>主机可存储900组以上心电波形及分析数据；支持外置SD卡，USB存储</w:t>
            </w:r>
          </w:p>
          <w:p w14:paraId="1450B2A4">
            <w:pPr>
              <w:keepNext w:val="0"/>
              <w:keepLines w:val="0"/>
              <w:pageBreakBefore w:val="0"/>
              <w:widowControl/>
              <w:tabs>
                <w:tab w:val="left" w:pos="709"/>
                <w:tab w:val="left" w:pos="2268"/>
                <w:tab w:val="left" w:pos="2552"/>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12</w:t>
            </w:r>
            <w:r>
              <w:rPr>
                <w:rFonts w:hint="eastAsia" w:ascii="宋体" w:hAnsi="宋体" w:eastAsia="宋体" w:cs="宋体"/>
                <w:lang w:eastAsia="zh-CN"/>
              </w:rPr>
              <w:t>、</w:t>
            </w:r>
            <w:r>
              <w:rPr>
                <w:rFonts w:hint="eastAsia" w:ascii="宋体" w:hAnsi="宋体" w:eastAsia="宋体" w:cs="宋体"/>
                <w:szCs w:val="21"/>
              </w:rPr>
              <w:t>体位状态</w:t>
            </w:r>
            <w:r>
              <w:rPr>
                <w:rFonts w:hint="eastAsia" w:ascii="宋体" w:hAnsi="宋体" w:eastAsia="宋体" w:cs="宋体"/>
                <w:lang w:eastAsia="zh-CN"/>
              </w:rPr>
              <w:t>：</w:t>
            </w:r>
            <w:r>
              <w:rPr>
                <w:rFonts w:hint="eastAsia" w:ascii="宋体" w:hAnsi="宋体" w:eastAsia="宋体" w:cs="宋体"/>
              </w:rPr>
              <w:t>具有卧位、坐位、立位等信息，有助于更准确分析</w:t>
            </w:r>
          </w:p>
          <w:p w14:paraId="165ED30E">
            <w:pPr>
              <w:keepNext w:val="0"/>
              <w:keepLines w:val="0"/>
              <w:pageBreakBefore w:val="0"/>
              <w:widowControl/>
              <w:tabs>
                <w:tab w:val="left" w:pos="709"/>
                <w:tab w:val="left" w:pos="2977"/>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eastAsia="zh-CN"/>
              </w:rPr>
              <w:t>、</w:t>
            </w:r>
            <w:r>
              <w:rPr>
                <w:rFonts w:hint="eastAsia" w:ascii="宋体" w:hAnsi="宋体" w:eastAsia="宋体" w:cs="宋体"/>
                <w:szCs w:val="21"/>
              </w:rPr>
              <w:t>检查方式</w:t>
            </w:r>
            <w:r>
              <w:rPr>
                <w:rFonts w:hint="eastAsia" w:ascii="宋体" w:hAnsi="宋体" w:eastAsia="宋体" w:cs="宋体"/>
                <w:szCs w:val="21"/>
                <w:lang w:eastAsia="zh-CN"/>
              </w:rPr>
              <w:t>：</w:t>
            </w:r>
            <w:r>
              <w:rPr>
                <w:rFonts w:hint="eastAsia" w:ascii="宋体" w:hAnsi="宋体" w:eastAsia="宋体" w:cs="宋体"/>
              </w:rPr>
              <w:t>标准12导联检查、心律不齐检查、R-R测量检查、负荷后检查</w:t>
            </w:r>
          </w:p>
          <w:p w14:paraId="06E79025">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14</w:t>
            </w:r>
            <w:r>
              <w:rPr>
                <w:rFonts w:hint="eastAsia" w:ascii="宋体" w:hAnsi="宋体" w:eastAsia="宋体" w:cs="宋体"/>
                <w:lang w:eastAsia="zh-CN"/>
              </w:rPr>
              <w:t>、</w:t>
            </w:r>
            <w:r>
              <w:rPr>
                <w:rFonts w:hint="eastAsia" w:ascii="宋体" w:hAnsi="宋体" w:eastAsia="宋体" w:cs="宋体"/>
                <w:szCs w:val="21"/>
              </w:rPr>
              <w:t>记录方式</w:t>
            </w:r>
            <w:r>
              <w:rPr>
                <w:rFonts w:hint="eastAsia" w:ascii="宋体" w:hAnsi="宋体" w:eastAsia="宋体" w:cs="宋体"/>
                <w:lang w:eastAsia="zh-CN"/>
              </w:rPr>
              <w:t>：</w:t>
            </w:r>
            <w:r>
              <w:rPr>
                <w:rFonts w:hint="eastAsia" w:ascii="宋体" w:hAnsi="宋体" w:eastAsia="宋体" w:cs="宋体"/>
              </w:rPr>
              <w:t>自动记录、手动记录、回顾记录、延长记录、间隔记录、定时记录、压缩记录、复制记录</w:t>
            </w:r>
          </w:p>
          <w:p w14:paraId="585FBE48">
            <w:pPr>
              <w:keepNext w:val="0"/>
              <w:keepLines w:val="0"/>
              <w:pageBreakBefore w:val="0"/>
              <w:widowControl/>
              <w:tabs>
                <w:tab w:val="left" w:pos="709"/>
                <w:tab w:val="left" w:pos="2835"/>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15</w:t>
            </w:r>
            <w:r>
              <w:rPr>
                <w:rFonts w:hint="eastAsia" w:ascii="宋体" w:hAnsi="宋体" w:eastAsia="宋体" w:cs="宋体"/>
                <w:lang w:eastAsia="zh-CN"/>
              </w:rPr>
              <w:t>、</w:t>
            </w:r>
            <w:r>
              <w:rPr>
                <w:rFonts w:hint="eastAsia" w:ascii="宋体" w:hAnsi="宋体" w:eastAsia="宋体" w:cs="宋体"/>
                <w:color w:val="000000"/>
                <w:szCs w:val="21"/>
              </w:rPr>
              <w:t>ACS方式</w:t>
            </w:r>
            <w:r>
              <w:rPr>
                <w:rFonts w:hint="eastAsia" w:ascii="宋体" w:hAnsi="宋体" w:eastAsia="宋体" w:cs="宋体"/>
                <w:color w:val="000000"/>
                <w:szCs w:val="21"/>
                <w:lang w:eastAsia="zh-CN"/>
              </w:rPr>
              <w:t>：</w:t>
            </w:r>
            <w:r>
              <w:rPr>
                <w:rFonts w:hint="eastAsia" w:ascii="宋体" w:hAnsi="宋体" w:eastAsia="宋体" w:cs="宋体"/>
              </w:rPr>
              <w:t>具有ACS（急性冠脉综合征）辅助诊断功能，右侧导联后壁导联的ST段程度报告。ACS概要报告、ACS解说报告</w:t>
            </w:r>
          </w:p>
          <w:p w14:paraId="48E8D5EC">
            <w:pPr>
              <w:keepNext w:val="0"/>
              <w:keepLines w:val="0"/>
              <w:pageBreakBefore w:val="0"/>
              <w:widowControl/>
              <w:tabs>
                <w:tab w:val="left" w:pos="709"/>
                <w:tab w:val="left" w:pos="2977"/>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16</w:t>
            </w:r>
            <w:r>
              <w:rPr>
                <w:rFonts w:hint="eastAsia" w:ascii="宋体" w:hAnsi="宋体" w:eastAsia="宋体" w:cs="宋体"/>
                <w:lang w:eastAsia="zh-CN"/>
              </w:rPr>
              <w:t>、</w:t>
            </w:r>
            <w:r>
              <w:rPr>
                <w:rFonts w:hint="eastAsia" w:ascii="宋体" w:hAnsi="宋体" w:eastAsia="宋体" w:cs="宋体"/>
                <w:szCs w:val="21"/>
              </w:rPr>
              <w:t>增强记录</w:t>
            </w:r>
            <w:r>
              <w:rPr>
                <w:rFonts w:hint="eastAsia" w:ascii="宋体" w:hAnsi="宋体" w:eastAsia="宋体" w:cs="宋体"/>
                <w:lang w:eastAsia="zh-CN"/>
              </w:rPr>
              <w:t>：</w:t>
            </w:r>
            <w:r>
              <w:rPr>
                <w:rFonts w:hint="eastAsia" w:ascii="宋体" w:hAnsi="宋体" w:eastAsia="宋体" w:cs="宋体"/>
              </w:rPr>
              <w:t>向量图记录、合成18导联记录</w:t>
            </w:r>
          </w:p>
          <w:p w14:paraId="357D009B">
            <w:pPr>
              <w:keepNext w:val="0"/>
              <w:keepLines w:val="0"/>
              <w:pageBreakBefore w:val="0"/>
              <w:widowControl/>
              <w:tabs>
                <w:tab w:val="left" w:pos="709"/>
                <w:tab w:val="left" w:pos="2977"/>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17</w:t>
            </w:r>
            <w:r>
              <w:rPr>
                <w:rFonts w:hint="eastAsia" w:ascii="宋体" w:hAnsi="宋体" w:eastAsia="宋体" w:cs="宋体"/>
                <w:lang w:eastAsia="zh-CN"/>
              </w:rPr>
              <w:t>、</w:t>
            </w:r>
            <w:r>
              <w:rPr>
                <w:rFonts w:hint="eastAsia" w:ascii="宋体" w:hAnsi="宋体" w:eastAsia="宋体" w:cs="宋体"/>
                <w:color w:val="000000"/>
                <w:szCs w:val="21"/>
              </w:rPr>
              <w:t>智能自动捕获记录</w:t>
            </w:r>
            <w:r>
              <w:rPr>
                <w:rFonts w:hint="eastAsia" w:ascii="宋体" w:hAnsi="宋体" w:eastAsia="宋体" w:cs="宋体"/>
                <w:lang w:eastAsia="zh-CN"/>
              </w:rPr>
              <w:t>：</w:t>
            </w:r>
            <w:r>
              <w:rPr>
                <w:rFonts w:hint="eastAsia" w:ascii="宋体" w:hAnsi="宋体" w:eastAsia="宋体" w:cs="宋体"/>
                <w:color w:val="000000"/>
                <w:szCs w:val="21"/>
              </w:rPr>
              <w:t>安装电极完成后，无需按任何按键，心电图机即可进行一次完整检查测量</w:t>
            </w:r>
          </w:p>
          <w:p w14:paraId="521165D7">
            <w:pPr>
              <w:keepNext w:val="0"/>
              <w:keepLines w:val="0"/>
              <w:pageBreakBefore w:val="0"/>
              <w:widowControl/>
              <w:tabs>
                <w:tab w:val="left" w:pos="709"/>
                <w:tab w:val="left" w:pos="2127"/>
                <w:tab w:val="left" w:pos="2977"/>
              </w:tabs>
              <w:kinsoku/>
              <w:wordWrap/>
              <w:overflowPunct/>
              <w:topLinePunct w:val="0"/>
              <w:autoSpaceDE/>
              <w:autoSpaceDN/>
              <w:bidi w:val="0"/>
              <w:adjustRightInd/>
              <w:snapToGrid/>
              <w:spacing w:line="460" w:lineRule="exact"/>
              <w:ind w:left="142" w:right="-277" w:rightChars="-132"/>
              <w:jc w:val="left"/>
              <w:textAlignment w:val="auto"/>
              <w:rPr>
                <w:rFonts w:hint="eastAsia" w:ascii="宋体" w:hAnsi="宋体" w:eastAsia="宋体" w:cs="宋体"/>
              </w:rPr>
            </w:pPr>
            <w:r>
              <w:rPr>
                <w:rFonts w:hint="eastAsia" w:ascii="宋体" w:hAnsi="宋体" w:eastAsia="宋体" w:cs="宋体"/>
              </w:rPr>
              <w:t>18</w:t>
            </w:r>
            <w:r>
              <w:rPr>
                <w:rFonts w:hint="eastAsia" w:ascii="宋体" w:hAnsi="宋体" w:eastAsia="宋体" w:cs="宋体"/>
                <w:lang w:eastAsia="zh-CN"/>
              </w:rPr>
              <w:t>、</w:t>
            </w:r>
            <w:r>
              <w:rPr>
                <w:rFonts w:hint="eastAsia" w:ascii="宋体" w:hAnsi="宋体" w:eastAsia="宋体" w:cs="宋体"/>
              </w:rPr>
              <w:t>波形冻结</w:t>
            </w:r>
            <w:r>
              <w:rPr>
                <w:rFonts w:hint="eastAsia" w:ascii="宋体" w:hAnsi="宋体" w:eastAsia="宋体" w:cs="宋体"/>
                <w:lang w:eastAsia="zh-CN"/>
              </w:rPr>
              <w:t>：</w:t>
            </w:r>
            <w:r>
              <w:rPr>
                <w:rFonts w:hint="eastAsia" w:ascii="宋体" w:hAnsi="宋体" w:eastAsia="宋体" w:cs="宋体"/>
              </w:rPr>
              <w:t>可采集及显示5分钟的冻结心电波形数据，并能任意选择范围进行分析</w:t>
            </w:r>
          </w:p>
          <w:p w14:paraId="1C58961F">
            <w:pPr>
              <w:keepNext w:val="0"/>
              <w:keepLines w:val="0"/>
              <w:pageBreakBefore w:val="0"/>
              <w:widowControl/>
              <w:tabs>
                <w:tab w:val="left" w:pos="709"/>
                <w:tab w:val="left" w:pos="2127"/>
              </w:tabs>
              <w:kinsoku/>
              <w:wordWrap/>
              <w:overflowPunct/>
              <w:topLinePunct w:val="0"/>
              <w:autoSpaceDE/>
              <w:autoSpaceDN/>
              <w:bidi w:val="0"/>
              <w:adjustRightInd/>
              <w:snapToGrid/>
              <w:spacing w:line="460" w:lineRule="exact"/>
              <w:ind w:left="142" w:right="-277" w:rightChars="-132"/>
              <w:jc w:val="left"/>
              <w:textAlignment w:val="auto"/>
              <w:rPr>
                <w:rFonts w:hint="eastAsia" w:ascii="宋体" w:hAnsi="宋体" w:eastAsia="宋体" w:cs="宋体"/>
              </w:rPr>
            </w:pPr>
            <w:r>
              <w:rPr>
                <w:rFonts w:hint="eastAsia" w:ascii="宋体" w:hAnsi="宋体" w:eastAsia="宋体" w:cs="宋体"/>
              </w:rPr>
              <w:t>19</w:t>
            </w:r>
            <w:r>
              <w:rPr>
                <w:rFonts w:hint="eastAsia" w:ascii="宋体" w:hAnsi="宋体" w:eastAsia="宋体" w:cs="宋体"/>
                <w:lang w:eastAsia="zh-CN"/>
              </w:rPr>
              <w:t>、</w:t>
            </w:r>
            <w:r>
              <w:rPr>
                <w:rFonts w:hint="eastAsia" w:ascii="宋体" w:hAnsi="宋体" w:eastAsia="宋体" w:cs="宋体"/>
              </w:rPr>
              <w:t>回顾记录</w:t>
            </w:r>
            <w:r>
              <w:rPr>
                <w:rFonts w:hint="eastAsia" w:ascii="宋体" w:hAnsi="宋体" w:eastAsia="宋体" w:cs="宋体"/>
                <w:lang w:eastAsia="zh-CN"/>
              </w:rPr>
              <w:t>：</w:t>
            </w:r>
            <w:r>
              <w:rPr>
                <w:rFonts w:hint="eastAsia" w:ascii="宋体" w:hAnsi="宋体" w:eastAsia="宋体" w:cs="宋体"/>
              </w:rPr>
              <w:t>可记录从按下那一时刻起一定时间段（8~12秒）的心电图</w:t>
            </w:r>
          </w:p>
          <w:p w14:paraId="0B63AC25">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bookmarkStart w:id="38" w:name="_Hlk156984886"/>
            <w:r>
              <w:rPr>
                <w:rFonts w:hint="eastAsia" w:ascii="宋体" w:hAnsi="宋体" w:eastAsia="宋体" w:cs="宋体"/>
              </w:rPr>
              <w:t>20</w:t>
            </w:r>
            <w:r>
              <w:rPr>
                <w:rFonts w:hint="eastAsia" w:ascii="宋体" w:hAnsi="宋体" w:eastAsia="宋体" w:cs="宋体"/>
                <w:lang w:eastAsia="zh-CN"/>
              </w:rPr>
              <w:t>、</w:t>
            </w:r>
            <w:r>
              <w:rPr>
                <w:rFonts w:hint="eastAsia" w:ascii="宋体" w:hAnsi="宋体" w:eastAsia="宋体" w:cs="宋体"/>
                <w:szCs w:val="21"/>
              </w:rPr>
              <w:t>分析特性</w:t>
            </w:r>
            <w:bookmarkEnd w:id="38"/>
            <w:r>
              <w:rPr>
                <w:rFonts w:hint="eastAsia" w:ascii="宋体" w:hAnsi="宋体" w:eastAsia="宋体" w:cs="宋体"/>
                <w:szCs w:val="21"/>
                <w:lang w:eastAsia="zh-CN"/>
              </w:rPr>
              <w:t>：</w:t>
            </w:r>
            <w:r>
              <w:rPr>
                <w:rFonts w:hint="eastAsia" w:ascii="宋体" w:hAnsi="宋体" w:eastAsia="宋体" w:cs="宋体"/>
                <w:szCs w:val="21"/>
              </w:rPr>
              <w:t>针对婴幼儿、儿童、青少年男、女性、成年人分类，提高诊断精度</w:t>
            </w:r>
          </w:p>
          <w:p w14:paraId="08611F9A">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szCs w:val="21"/>
              </w:rPr>
            </w:pPr>
            <w:r>
              <w:rPr>
                <w:rFonts w:hint="eastAsia" w:ascii="宋体" w:hAnsi="宋体" w:eastAsia="宋体" w:cs="宋体"/>
              </w:rPr>
              <w:t>21</w:t>
            </w:r>
            <w:r>
              <w:rPr>
                <w:rFonts w:hint="eastAsia" w:ascii="宋体" w:hAnsi="宋体" w:eastAsia="宋体" w:cs="宋体"/>
                <w:lang w:eastAsia="zh-CN"/>
              </w:rPr>
              <w:t>、</w:t>
            </w:r>
            <w:r>
              <w:rPr>
                <w:rFonts w:hint="eastAsia" w:ascii="宋体" w:hAnsi="宋体" w:eastAsia="宋体" w:cs="宋体"/>
                <w:szCs w:val="21"/>
              </w:rPr>
              <w:t>分析报告</w:t>
            </w:r>
            <w:r>
              <w:rPr>
                <w:rFonts w:hint="eastAsia" w:ascii="宋体" w:hAnsi="宋体" w:eastAsia="宋体" w:cs="宋体"/>
                <w:lang w:eastAsia="zh-CN"/>
              </w:rPr>
              <w:t>：</w:t>
            </w:r>
            <w:r>
              <w:rPr>
                <w:rFonts w:hint="eastAsia" w:ascii="宋体" w:hAnsi="宋体" w:eastAsia="宋体" w:cs="宋体"/>
              </w:rPr>
              <w:t>波形报告、测量结果报告、分析指南报告、诊断解说报告、运动处方报告、处置信息报告、详细测量值报告、R-R趋势图，R-R直方图</w:t>
            </w:r>
          </w:p>
          <w:p w14:paraId="5F07B0E2">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22</w:t>
            </w:r>
            <w:r>
              <w:rPr>
                <w:rFonts w:hint="eastAsia" w:ascii="宋体" w:hAnsi="宋体" w:eastAsia="宋体" w:cs="宋体"/>
                <w:lang w:eastAsia="zh-CN"/>
              </w:rPr>
              <w:t>、</w:t>
            </w:r>
            <w:r>
              <w:rPr>
                <w:rFonts w:hint="eastAsia" w:ascii="宋体" w:hAnsi="宋体" w:eastAsia="宋体" w:cs="宋体"/>
              </w:rPr>
              <w:t>Brugada分析</w:t>
            </w:r>
            <w:r>
              <w:rPr>
                <w:rFonts w:hint="eastAsia" w:ascii="宋体" w:hAnsi="宋体" w:eastAsia="宋体" w:cs="宋体"/>
                <w:lang w:eastAsia="zh-CN"/>
              </w:rPr>
              <w:t>：</w:t>
            </w:r>
            <w:r>
              <w:rPr>
                <w:rFonts w:hint="eastAsia" w:ascii="宋体" w:hAnsi="宋体" w:eastAsia="宋体" w:cs="宋体"/>
              </w:rPr>
              <w:t>具有独特的Brugada自动检出功能并进行风险分析，风险报告功能</w:t>
            </w:r>
          </w:p>
          <w:p w14:paraId="0881FA90">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23</w:t>
            </w:r>
            <w:r>
              <w:rPr>
                <w:rFonts w:hint="eastAsia" w:ascii="宋体" w:hAnsi="宋体" w:eastAsia="宋体" w:cs="宋体"/>
                <w:lang w:eastAsia="zh-CN"/>
              </w:rPr>
              <w:t>、</w:t>
            </w:r>
            <w:r>
              <w:rPr>
                <w:rFonts w:hint="eastAsia" w:ascii="宋体" w:hAnsi="宋体" w:eastAsia="宋体" w:cs="宋体"/>
              </w:rPr>
              <w:t>分析处理</w:t>
            </w:r>
            <w:r>
              <w:rPr>
                <w:rFonts w:hint="eastAsia" w:ascii="宋体" w:hAnsi="宋体" w:eastAsia="宋体" w:cs="宋体"/>
                <w:lang w:eastAsia="zh-CN"/>
              </w:rPr>
              <w:t>：</w:t>
            </w:r>
            <w:r>
              <w:rPr>
                <w:rFonts w:hint="eastAsia" w:ascii="宋体" w:hAnsi="宋体" w:eastAsia="宋体" w:cs="宋体"/>
              </w:rPr>
              <w:t>4等级，约260种分析结果</w:t>
            </w:r>
          </w:p>
          <w:p w14:paraId="2218064B">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24</w:t>
            </w:r>
            <w:r>
              <w:rPr>
                <w:rFonts w:hint="eastAsia" w:ascii="宋体" w:hAnsi="宋体" w:eastAsia="宋体" w:cs="宋体"/>
                <w:lang w:eastAsia="zh-CN"/>
              </w:rPr>
              <w:t>、</w:t>
            </w:r>
            <w:r>
              <w:rPr>
                <w:rFonts w:hint="eastAsia" w:ascii="宋体" w:hAnsi="宋体" w:eastAsia="宋体" w:cs="宋体"/>
                <w:szCs w:val="21"/>
              </w:rPr>
              <w:t xml:space="preserve">心脏示意图 </w:t>
            </w:r>
            <w:r>
              <w:rPr>
                <w:rFonts w:hint="eastAsia" w:ascii="宋体" w:hAnsi="宋体" w:eastAsia="宋体" w:cs="宋体"/>
                <w:szCs w:val="21"/>
                <w:lang w:eastAsia="zh-CN"/>
              </w:rPr>
              <w:t>：</w:t>
            </w:r>
            <w:r>
              <w:rPr>
                <w:rFonts w:hint="eastAsia" w:ascii="宋体" w:hAnsi="宋体" w:eastAsia="宋体" w:cs="宋体"/>
                <w:szCs w:val="21"/>
              </w:rPr>
              <w:t>（1）心脏整体示意图（2）心脏正面示意图，图解从前方看心脏的正面部分（3）心脏上方截面图，图解从上方看心脏的横截面部分，解释表面视图状态，表示出后壁的状态</w:t>
            </w:r>
          </w:p>
          <w:p w14:paraId="6DE7F2FF">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25</w:t>
            </w:r>
            <w:r>
              <w:rPr>
                <w:rFonts w:hint="eastAsia" w:ascii="宋体" w:hAnsi="宋体" w:eastAsia="宋体" w:cs="宋体"/>
                <w:lang w:eastAsia="zh-CN"/>
              </w:rPr>
              <w:t>、</w:t>
            </w:r>
            <w:r>
              <w:rPr>
                <w:rFonts w:hint="eastAsia" w:ascii="宋体" w:hAnsi="宋体" w:eastAsia="宋体" w:cs="宋体"/>
              </w:rPr>
              <w:t>起搏脉冲检出</w:t>
            </w:r>
            <w:r>
              <w:rPr>
                <w:rFonts w:hint="eastAsia" w:ascii="宋体" w:hAnsi="宋体" w:eastAsia="宋体" w:cs="宋体"/>
                <w:lang w:eastAsia="zh-CN"/>
              </w:rPr>
              <w:t>：</w:t>
            </w:r>
            <w:r>
              <w:rPr>
                <w:rFonts w:hint="eastAsia" w:ascii="宋体" w:hAnsi="宋体" w:eastAsia="宋体" w:cs="宋体"/>
              </w:rPr>
              <w:t>具有起搏脉冲显示功能</w:t>
            </w:r>
          </w:p>
          <w:p w14:paraId="4573483E">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26</w:t>
            </w:r>
            <w:r>
              <w:rPr>
                <w:rFonts w:hint="eastAsia" w:ascii="宋体" w:hAnsi="宋体" w:eastAsia="宋体" w:cs="宋体"/>
                <w:lang w:eastAsia="zh-CN"/>
              </w:rPr>
              <w:t>、</w:t>
            </w:r>
            <w:r>
              <w:rPr>
                <w:rFonts w:hint="eastAsia" w:ascii="宋体" w:hAnsi="宋体" w:eastAsia="宋体" w:cs="宋体"/>
              </w:rPr>
              <w:t>R波检出导联</w:t>
            </w:r>
            <w:r>
              <w:rPr>
                <w:rFonts w:hint="eastAsia" w:ascii="宋体" w:hAnsi="宋体" w:eastAsia="宋体" w:cs="宋体"/>
                <w:lang w:eastAsia="zh-CN"/>
              </w:rPr>
              <w:t>：</w:t>
            </w:r>
            <w:r>
              <w:rPr>
                <w:rFonts w:hint="eastAsia" w:ascii="宋体" w:hAnsi="宋体" w:eastAsia="宋体" w:cs="宋体"/>
              </w:rPr>
              <w:t>自动检测R波导联，切换最佳的R波为分析导联</w:t>
            </w:r>
          </w:p>
          <w:p w14:paraId="39668124">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27</w:t>
            </w:r>
            <w:r>
              <w:rPr>
                <w:rFonts w:hint="eastAsia" w:ascii="宋体" w:hAnsi="宋体" w:eastAsia="宋体" w:cs="宋体"/>
                <w:lang w:eastAsia="zh-CN"/>
              </w:rPr>
              <w:t>、</w:t>
            </w:r>
            <w:r>
              <w:rPr>
                <w:rFonts w:hint="eastAsia" w:ascii="宋体" w:hAnsi="宋体" w:eastAsia="宋体" w:cs="宋体"/>
              </w:rPr>
              <w:t>波形单独放大</w:t>
            </w:r>
            <w:r>
              <w:rPr>
                <w:rFonts w:hint="eastAsia" w:ascii="宋体" w:hAnsi="宋体" w:eastAsia="宋体" w:cs="宋体"/>
                <w:lang w:eastAsia="zh-CN"/>
              </w:rPr>
              <w:t>：</w:t>
            </w:r>
            <w:r>
              <w:rPr>
                <w:rFonts w:hint="eastAsia" w:ascii="宋体" w:hAnsi="宋体" w:eastAsia="宋体" w:cs="宋体"/>
              </w:rPr>
              <w:t>需要波形、分析结果放大显示时，双击查看部分即可放大显示波形</w:t>
            </w:r>
          </w:p>
          <w:p w14:paraId="7A210AF9">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28</w:t>
            </w:r>
            <w:r>
              <w:rPr>
                <w:rFonts w:hint="eastAsia" w:ascii="宋体" w:hAnsi="宋体" w:eastAsia="宋体" w:cs="宋体"/>
                <w:lang w:eastAsia="zh-CN"/>
              </w:rPr>
              <w:t>、</w:t>
            </w:r>
            <w:r>
              <w:rPr>
                <w:rFonts w:hint="eastAsia" w:ascii="宋体" w:hAnsi="宋体" w:eastAsia="宋体" w:cs="宋体"/>
              </w:rPr>
              <w:t>数据修改功能</w:t>
            </w:r>
            <w:r>
              <w:rPr>
                <w:rFonts w:hint="eastAsia" w:ascii="宋体" w:hAnsi="宋体" w:eastAsia="宋体" w:cs="宋体"/>
                <w:lang w:val="en-US" w:eastAsia="zh-CN"/>
              </w:rPr>
              <w:t>:</w:t>
            </w:r>
            <w:r>
              <w:rPr>
                <w:rFonts w:hint="eastAsia" w:ascii="宋体" w:hAnsi="宋体" w:eastAsia="宋体" w:cs="宋体"/>
              </w:rPr>
              <w:t>在数据回放或保存前，可编辑修改检查数据</w:t>
            </w:r>
          </w:p>
          <w:p w14:paraId="0A6017DF">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29</w:t>
            </w:r>
            <w:r>
              <w:rPr>
                <w:rFonts w:hint="eastAsia" w:ascii="宋体" w:hAnsi="宋体" w:eastAsia="宋体" w:cs="宋体"/>
                <w:lang w:eastAsia="zh-CN"/>
              </w:rPr>
              <w:t>、</w:t>
            </w:r>
            <w:r>
              <w:rPr>
                <w:rFonts w:hint="eastAsia" w:ascii="宋体" w:hAnsi="宋体" w:eastAsia="宋体" w:cs="宋体"/>
              </w:rPr>
              <w:t>字体、波形设置</w:t>
            </w:r>
            <w:r>
              <w:rPr>
                <w:rFonts w:hint="eastAsia" w:ascii="宋体" w:hAnsi="宋体" w:eastAsia="宋体" w:cs="宋体"/>
                <w:lang w:val="en-US" w:eastAsia="zh-CN"/>
              </w:rPr>
              <w:t>:</w:t>
            </w:r>
            <w:r>
              <w:rPr>
                <w:rFonts w:hint="eastAsia" w:ascii="宋体" w:hAnsi="宋体" w:eastAsia="宋体" w:cs="宋体"/>
              </w:rPr>
              <w:t>具有字体大小，波形基线宽度调节功能</w:t>
            </w:r>
          </w:p>
          <w:p w14:paraId="1781ABBE">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30</w:t>
            </w:r>
            <w:r>
              <w:rPr>
                <w:rFonts w:hint="eastAsia" w:ascii="宋体" w:hAnsi="宋体" w:eastAsia="宋体" w:cs="宋体"/>
                <w:lang w:eastAsia="zh-CN"/>
              </w:rPr>
              <w:t>、</w:t>
            </w:r>
            <w:r>
              <w:rPr>
                <w:rFonts w:hint="eastAsia" w:ascii="宋体" w:hAnsi="宋体" w:eastAsia="宋体" w:cs="宋体"/>
                <w:szCs w:val="21"/>
              </w:rPr>
              <w:t>密码保护</w:t>
            </w:r>
            <w:r>
              <w:rPr>
                <w:rFonts w:hint="eastAsia" w:ascii="宋体" w:hAnsi="宋体" w:eastAsia="宋体" w:cs="宋体"/>
                <w:lang w:val="en-US" w:eastAsia="zh-CN"/>
              </w:rPr>
              <w:t>:</w:t>
            </w:r>
            <w:r>
              <w:rPr>
                <w:rFonts w:hint="eastAsia" w:ascii="宋体" w:hAnsi="宋体" w:eastAsia="宋体" w:cs="宋体"/>
                <w:szCs w:val="21"/>
              </w:rPr>
              <w:t>具有密码设定功能。防止非相关人员操作，影响设备正常使用</w:t>
            </w:r>
          </w:p>
          <w:p w14:paraId="0D117F71">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31</w:t>
            </w:r>
            <w:r>
              <w:rPr>
                <w:rFonts w:hint="eastAsia" w:ascii="宋体" w:hAnsi="宋体" w:eastAsia="宋体" w:cs="宋体"/>
                <w:lang w:eastAsia="zh-CN"/>
              </w:rPr>
              <w:t>、</w:t>
            </w:r>
            <w:r>
              <w:rPr>
                <w:rFonts w:hint="eastAsia" w:ascii="宋体" w:hAnsi="宋体" w:eastAsia="宋体" w:cs="宋体"/>
              </w:rPr>
              <w:t xml:space="preserve">数据传输 </w:t>
            </w:r>
            <w:r>
              <w:rPr>
                <w:rFonts w:hint="eastAsia" w:ascii="宋体" w:hAnsi="宋体" w:eastAsia="宋体" w:cs="宋体"/>
                <w:lang w:val="en-US" w:eastAsia="zh-CN"/>
              </w:rPr>
              <w:t>:</w:t>
            </w:r>
            <w:r>
              <w:rPr>
                <w:rFonts w:hint="eastAsia" w:ascii="宋体" w:hAnsi="宋体" w:eastAsia="宋体" w:cs="宋体"/>
                <w:szCs w:val="21"/>
              </w:rPr>
              <w:t>有线，无线（内置5GWIFI），自动上传，支持多种数据格式输出</w:t>
            </w:r>
          </w:p>
          <w:p w14:paraId="18A9BC91">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rPr>
            </w:pPr>
            <w:r>
              <w:rPr>
                <w:rFonts w:hint="eastAsia" w:ascii="宋体" w:hAnsi="宋体" w:eastAsia="宋体" w:cs="宋体"/>
              </w:rPr>
              <w:t>32</w:t>
            </w:r>
            <w:r>
              <w:rPr>
                <w:rFonts w:hint="eastAsia" w:ascii="宋体" w:hAnsi="宋体" w:eastAsia="宋体" w:cs="宋体"/>
                <w:lang w:eastAsia="zh-CN"/>
              </w:rPr>
              <w:t>、</w:t>
            </w:r>
            <w:r>
              <w:rPr>
                <w:rFonts w:hint="eastAsia" w:ascii="宋体" w:hAnsi="宋体" w:eastAsia="宋体" w:cs="宋体"/>
              </w:rPr>
              <w:t>共享文件夹</w:t>
            </w:r>
            <w:r>
              <w:rPr>
                <w:rFonts w:hint="eastAsia" w:ascii="宋体" w:hAnsi="宋体" w:eastAsia="宋体" w:cs="宋体"/>
                <w:lang w:val="en-US" w:eastAsia="zh-CN"/>
              </w:rPr>
              <w:t>:</w:t>
            </w:r>
            <w:r>
              <w:rPr>
                <w:rFonts w:hint="eastAsia" w:ascii="宋体" w:hAnsi="宋体" w:eastAsia="宋体" w:cs="宋体"/>
              </w:rPr>
              <w:t>具有自动上传网络共享文件夹功能</w:t>
            </w:r>
          </w:p>
          <w:p w14:paraId="5908B585">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color w:val="auto"/>
                <w:sz w:val="24"/>
                <w:szCs w:val="24"/>
              </w:rPr>
            </w:pPr>
            <w:r>
              <w:rPr>
                <w:rFonts w:hint="eastAsia" w:ascii="宋体" w:hAnsi="宋体" w:eastAsia="宋体" w:cs="宋体"/>
              </w:rPr>
              <w:t>33</w:t>
            </w:r>
            <w:r>
              <w:rPr>
                <w:rFonts w:hint="eastAsia" w:ascii="宋体" w:hAnsi="宋体" w:eastAsia="宋体" w:cs="宋体"/>
                <w:lang w:eastAsia="zh-CN"/>
              </w:rPr>
              <w:t>、</w:t>
            </w:r>
            <w:r>
              <w:rPr>
                <w:rFonts w:hint="eastAsia" w:ascii="宋体" w:hAnsi="宋体" w:eastAsia="宋体" w:cs="宋体"/>
                <w:szCs w:val="21"/>
              </w:rPr>
              <w:t>网络对时</w:t>
            </w:r>
            <w:r>
              <w:rPr>
                <w:rFonts w:hint="eastAsia" w:ascii="宋体" w:hAnsi="宋体" w:eastAsia="宋体" w:cs="宋体"/>
                <w:lang w:val="en-US" w:eastAsia="zh-CN"/>
              </w:rPr>
              <w:t>:</w:t>
            </w:r>
            <w:r>
              <w:rPr>
                <w:rFonts w:hint="eastAsia" w:ascii="宋体" w:hAnsi="宋体" w:eastAsia="宋体" w:cs="宋体"/>
              </w:rPr>
              <w:t>具有自动获取网络服务器时间，自动更新功能</w:t>
            </w:r>
          </w:p>
        </w:tc>
        <w:tc>
          <w:tcPr>
            <w:tcW w:w="1322" w:type="dxa"/>
            <w:vAlign w:val="center"/>
          </w:tcPr>
          <w:p w14:paraId="2856297D">
            <w:pPr>
              <w:spacing w:line="36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eastAsia="zh-CN"/>
              </w:rPr>
              <w:t>产品提供国家药品监督管理局颁发的《医疗器械注册证》及</w:t>
            </w:r>
            <w:r>
              <w:rPr>
                <w:rFonts w:hint="eastAsia" w:ascii="宋体" w:hAnsi="宋体" w:eastAsia="宋体" w:cs="宋体"/>
                <w:b w:val="0"/>
                <w:bCs w:val="0"/>
                <w:color w:val="auto"/>
                <w:sz w:val="24"/>
                <w:szCs w:val="24"/>
                <w:lang w:val="en-US" w:eastAsia="zh-CN"/>
              </w:rPr>
              <w:t>附件</w:t>
            </w:r>
            <w:r>
              <w:rPr>
                <w:rFonts w:hint="eastAsia" w:ascii="宋体" w:hAnsi="宋体" w:eastAsia="宋体" w:cs="宋体"/>
                <w:b w:val="0"/>
                <w:bCs w:val="0"/>
                <w:color w:val="auto"/>
                <w:sz w:val="24"/>
                <w:szCs w:val="24"/>
                <w:lang w:val="zh-CN" w:eastAsia="zh-CN"/>
              </w:rPr>
              <w:t>（进口设备需提供《进口医疗器械注册证》），且证书在有效期内，覆盖所投标的设备型号</w:t>
            </w:r>
          </w:p>
          <w:p w14:paraId="22A29249">
            <w:pPr>
              <w:widowControl/>
              <w:spacing w:line="460" w:lineRule="exact"/>
              <w:jc w:val="center"/>
              <w:rPr>
                <w:rFonts w:hint="eastAsia" w:ascii="宋体" w:hAnsi="宋体" w:eastAsia="宋体" w:cs="宋体"/>
                <w:color w:val="auto"/>
                <w:sz w:val="24"/>
                <w:szCs w:val="24"/>
              </w:rPr>
            </w:pPr>
          </w:p>
        </w:tc>
      </w:tr>
      <w:tr w14:paraId="1F1C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B27F127">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经皮黄疸仪</w:t>
            </w:r>
            <w:r>
              <w:rPr>
                <w:rFonts w:hint="eastAsia" w:ascii="宋体" w:hAnsi="宋体" w:eastAsia="宋体" w:cs="宋体"/>
                <w:color w:val="auto"/>
                <w:kern w:val="0"/>
                <w:sz w:val="24"/>
                <w:lang w:val="en-US" w:eastAsia="zh-CN"/>
              </w:rPr>
              <w:t>一台</w:t>
            </w:r>
          </w:p>
        </w:tc>
        <w:tc>
          <w:tcPr>
            <w:tcW w:w="6643" w:type="dxa"/>
          </w:tcPr>
          <w:p w14:paraId="6702B9B9">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1、测量方式：光反射式。</w:t>
            </w:r>
          </w:p>
          <w:p w14:paraId="6CD17D5A">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2、测量精度： “00”校正板检定：“0.0+0.5”， 0.00-20.0±1。</w:t>
            </w:r>
          </w:p>
          <w:p w14:paraId="0F45225A">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3、测量重复性：不超过±0.5。</w:t>
            </w:r>
          </w:p>
          <w:p w14:paraId="544F5EA6">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lang w:eastAsia="zh-CN"/>
              </w:rPr>
              <w:t>、测量单位切换功能：可分别设置μmol/L、mg/dL、无单位（经皮胆红素）。</w:t>
            </w:r>
          </w:p>
          <w:p w14:paraId="06AEEC42">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lang w:eastAsia="zh-CN"/>
              </w:rPr>
              <w:t>、平均测量功能：可设置2~5次平均测量方式。</w:t>
            </w:r>
          </w:p>
          <w:p w14:paraId="2118F922">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lang w:eastAsia="zh-CN"/>
              </w:rPr>
              <w:t>、电池电压检测功能：可显示当前电池电压状态。</w:t>
            </w:r>
          </w:p>
          <w:p w14:paraId="6CE544F1">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lang w:eastAsia="zh-CN"/>
              </w:rPr>
              <w:t>、就绪（READY）指示功能：“READY”指示灯亮表示可进行测试。</w:t>
            </w:r>
          </w:p>
          <w:p w14:paraId="288AA990">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8</w:t>
            </w:r>
            <w:r>
              <w:rPr>
                <w:rFonts w:hint="eastAsia" w:ascii="宋体" w:hAnsi="宋体" w:eastAsia="宋体" w:cs="宋体"/>
                <w:lang w:eastAsia="zh-CN"/>
              </w:rPr>
              <w:t>、仪器内部电容充电指示：未准备好测量时，</w:t>
            </w:r>
            <w:r>
              <w:rPr>
                <w:rFonts w:hint="eastAsia" w:ascii="宋体" w:hAnsi="宋体" w:eastAsia="宋体" w:cs="宋体"/>
                <w:lang w:eastAsia="zh-CN"/>
              </w:rPr>
              <w:drawing>
                <wp:inline distT="0" distB="0" distL="114300" distR="114300">
                  <wp:extent cx="227965" cy="277495"/>
                  <wp:effectExtent l="0" t="0" r="635" b="8255"/>
                  <wp:docPr id="1" name="图片 1" descr="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lash"/>
                          <pic:cNvPicPr>
                            <a:picLocks noChangeAspect="1"/>
                          </pic:cNvPicPr>
                        </pic:nvPicPr>
                        <pic:blipFill>
                          <a:blip r:embed="rId8"/>
                          <a:stretch>
                            <a:fillRect/>
                          </a:stretch>
                        </pic:blipFill>
                        <pic:spPr>
                          <a:xfrm>
                            <a:off x="0" y="0"/>
                            <a:ext cx="227965" cy="277495"/>
                          </a:xfrm>
                          <a:prstGeom prst="rect">
                            <a:avLst/>
                          </a:prstGeom>
                          <a:noFill/>
                          <a:ln>
                            <a:noFill/>
                          </a:ln>
                        </pic:spPr>
                      </pic:pic>
                    </a:graphicData>
                  </a:graphic>
                </wp:inline>
              </w:drawing>
            </w:r>
            <w:r>
              <w:rPr>
                <w:rFonts w:hint="eastAsia" w:ascii="宋体" w:hAnsi="宋体" w:eastAsia="宋体" w:cs="宋体"/>
                <w:lang w:eastAsia="zh-CN"/>
              </w:rPr>
              <w:t xml:space="preserve">符号闪烁，当准备好测量时， </w:t>
            </w:r>
          </w:p>
          <w:p w14:paraId="0B23B76F">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停止闪烁并显示该符号。</w:t>
            </w:r>
          </w:p>
          <w:p w14:paraId="64CAF30D">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val="en-US" w:eastAsia="zh-CN"/>
              </w:rPr>
              <w:t>9</w:t>
            </w:r>
            <w:r>
              <w:rPr>
                <w:rFonts w:hint="eastAsia" w:ascii="宋体" w:hAnsi="宋体" w:eastAsia="宋体" w:cs="宋体"/>
                <w:lang w:eastAsia="zh-CN"/>
              </w:rPr>
              <w:t>、数据校正功能：测量结果可与标准校正板、进口仪器比对并校正本仪器。</w:t>
            </w:r>
          </w:p>
          <w:p w14:paraId="3091B570">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0</w:t>
            </w:r>
            <w:r>
              <w:rPr>
                <w:rFonts w:hint="eastAsia" w:ascii="宋体" w:hAnsi="宋体" w:eastAsia="宋体" w:cs="宋体"/>
                <w:lang w:eastAsia="zh-CN"/>
              </w:rPr>
              <w:t>、测量数据记录和回放功能：可存储和回放100个测量数据。</w:t>
            </w:r>
          </w:p>
          <w:p w14:paraId="5D50D7A5">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1</w:t>
            </w:r>
            <w:r>
              <w:rPr>
                <w:rFonts w:hint="eastAsia" w:ascii="宋体" w:hAnsi="宋体" w:eastAsia="宋体" w:cs="宋体"/>
                <w:lang w:eastAsia="zh-CN"/>
              </w:rPr>
              <w:t>、背光灯功能：可使用户在光线不足的暗处也能正常操作和读数。</w:t>
            </w:r>
          </w:p>
          <w:p w14:paraId="33FC3533">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2</w:t>
            </w:r>
            <w:r>
              <w:rPr>
                <w:rFonts w:hint="eastAsia" w:ascii="宋体" w:hAnsi="宋体" w:eastAsia="宋体" w:cs="宋体"/>
                <w:lang w:eastAsia="zh-CN"/>
              </w:rPr>
              <w:t>、充电时间短、使用时间长（一次充足电后可检测800次以上）。</w:t>
            </w:r>
          </w:p>
          <w:p w14:paraId="69DAC90E">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3</w:t>
            </w:r>
            <w:r>
              <w:rPr>
                <w:rFonts w:hint="eastAsia" w:ascii="宋体" w:hAnsi="宋体" w:eastAsia="宋体" w:cs="宋体"/>
                <w:lang w:eastAsia="zh-CN"/>
              </w:rPr>
              <w:t>、充电器：充电器的供电电源为交流220V±22V，50Hz±1Hz。专用于对</w:t>
            </w:r>
          </w:p>
          <w:p w14:paraId="55C64634">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eastAsia="zh-CN"/>
              </w:rPr>
            </w:pPr>
            <w:r>
              <w:rPr>
                <w:rFonts w:hint="eastAsia" w:ascii="宋体" w:hAnsi="宋体" w:eastAsia="宋体" w:cs="宋体"/>
                <w:lang w:eastAsia="zh-CN"/>
              </w:rPr>
              <w:t>本仪器使用的镍氢电池组进行充电。</w:t>
            </w:r>
          </w:p>
          <w:p w14:paraId="05181C72">
            <w:pPr>
              <w:keepNext w:val="0"/>
              <w:keepLines w:val="0"/>
              <w:pageBreakBefore w:val="0"/>
              <w:widowControl/>
              <w:tabs>
                <w:tab w:val="left" w:pos="709"/>
              </w:tabs>
              <w:kinsoku/>
              <w:wordWrap/>
              <w:overflowPunct/>
              <w:topLinePunct w:val="0"/>
              <w:autoSpaceDE/>
              <w:autoSpaceDN/>
              <w:bidi w:val="0"/>
              <w:adjustRightInd/>
              <w:snapToGrid/>
              <w:spacing w:line="460" w:lineRule="exact"/>
              <w:ind w:left="142"/>
              <w:jc w:val="left"/>
              <w:textAlignment w:val="auto"/>
              <w:rPr>
                <w:rFonts w:hint="eastAsia" w:ascii="宋体" w:hAnsi="宋体" w:eastAsia="宋体" w:cs="宋体"/>
                <w:lang w:val="en-US" w:eastAsia="zh-CN"/>
              </w:rPr>
            </w:pPr>
            <w:r>
              <w:rPr>
                <w:rFonts w:hint="eastAsia" w:ascii="宋体" w:hAnsi="宋体" w:eastAsia="宋体" w:cs="宋体"/>
                <w:lang w:val="en-US" w:eastAsia="zh-CN"/>
              </w:rPr>
              <w:t>*14、具有黄疸仪闪光电路专利证书。</w:t>
            </w:r>
          </w:p>
          <w:p w14:paraId="6FC4E7F0">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rPr>
            </w:pPr>
            <w:r>
              <w:rPr>
                <w:rFonts w:hint="eastAsia" w:ascii="宋体" w:hAnsi="宋体" w:eastAsia="宋体" w:cs="宋体"/>
                <w:lang w:val="en-US" w:eastAsia="zh-CN"/>
              </w:rPr>
              <w:t>*15、使用年限8年及以上，并提供仪器铭牌照片。</w:t>
            </w:r>
          </w:p>
        </w:tc>
        <w:tc>
          <w:tcPr>
            <w:tcW w:w="1322" w:type="dxa"/>
            <w:vAlign w:val="center"/>
          </w:tcPr>
          <w:p w14:paraId="517F08C3">
            <w:pPr>
              <w:spacing w:line="36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eastAsia="zh-CN"/>
              </w:rPr>
              <w:t>产品提供国家药品监督管理局颁发的《医疗器械注册证》及</w:t>
            </w:r>
            <w:r>
              <w:rPr>
                <w:rFonts w:hint="eastAsia" w:ascii="宋体" w:hAnsi="宋体" w:eastAsia="宋体" w:cs="宋体"/>
                <w:b w:val="0"/>
                <w:bCs w:val="0"/>
                <w:color w:val="auto"/>
                <w:sz w:val="24"/>
                <w:szCs w:val="24"/>
                <w:lang w:val="en-US" w:eastAsia="zh-CN"/>
              </w:rPr>
              <w:t>附件</w:t>
            </w:r>
            <w:r>
              <w:rPr>
                <w:rFonts w:hint="eastAsia" w:ascii="宋体" w:hAnsi="宋体" w:eastAsia="宋体" w:cs="宋体"/>
                <w:b w:val="0"/>
                <w:bCs w:val="0"/>
                <w:color w:val="auto"/>
                <w:sz w:val="24"/>
                <w:szCs w:val="24"/>
                <w:lang w:val="zh-CN" w:eastAsia="zh-CN"/>
              </w:rPr>
              <w:t>（进口设备需提供《进口医疗器械注册证》），且证书在有效期内，覆盖所投标的设备型号</w:t>
            </w:r>
          </w:p>
          <w:p w14:paraId="2E4DEE60">
            <w:pPr>
              <w:widowControl/>
              <w:spacing w:line="460" w:lineRule="exact"/>
              <w:jc w:val="center"/>
              <w:rPr>
                <w:rFonts w:hint="eastAsia" w:ascii="宋体" w:hAnsi="宋体" w:eastAsia="宋体" w:cs="宋体"/>
                <w:color w:val="auto"/>
                <w:sz w:val="24"/>
                <w:szCs w:val="24"/>
              </w:rPr>
            </w:pPr>
          </w:p>
        </w:tc>
      </w:tr>
    </w:tbl>
    <w:p w14:paraId="05A36B50">
      <w:pPr>
        <w:widowControl/>
        <w:spacing w:line="4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三、付款方式</w:t>
      </w:r>
    </w:p>
    <w:p w14:paraId="7D80C937">
      <w:pPr>
        <w:snapToGrid w:val="0"/>
        <w:spacing w:line="460" w:lineRule="exact"/>
        <w:ind w:firstLine="560" w:firstLineChars="200"/>
        <w:jc w:val="left"/>
        <w:outlineLvl w:val="1"/>
        <w:rPr>
          <w:rFonts w:hint="eastAsia" w:ascii="宋体" w:hAnsi="宋体" w:cs="宋体"/>
          <w:color w:val="auto"/>
          <w:kern w:val="0"/>
          <w:sz w:val="28"/>
          <w:szCs w:val="28"/>
          <w:lang w:val="zh-CN"/>
        </w:rPr>
      </w:pPr>
      <w:r>
        <w:rPr>
          <w:rFonts w:hint="eastAsia" w:ascii="宋体" w:hAnsi="宋体" w:cs="宋体"/>
          <w:color w:val="auto"/>
          <w:kern w:val="0"/>
          <w:sz w:val="28"/>
          <w:szCs w:val="28"/>
          <w:lang w:val="zh-CN"/>
        </w:rPr>
        <w:t>付款方式：合同签订后</w:t>
      </w:r>
      <w:r>
        <w:rPr>
          <w:rFonts w:ascii="宋体" w:hAnsi="宋体" w:cs="宋体"/>
          <w:color w:val="auto"/>
          <w:kern w:val="0"/>
          <w:sz w:val="28"/>
          <w:szCs w:val="28"/>
        </w:rPr>
        <w:t>2</w:t>
      </w:r>
      <w:r>
        <w:rPr>
          <w:rFonts w:hint="eastAsia" w:ascii="宋体" w:hAnsi="宋体" w:cs="宋体"/>
          <w:color w:val="auto"/>
          <w:kern w:val="0"/>
          <w:sz w:val="28"/>
          <w:szCs w:val="28"/>
        </w:rPr>
        <w:t>0</w:t>
      </w:r>
      <w:r>
        <w:rPr>
          <w:rFonts w:hint="eastAsia" w:ascii="宋体" w:hAnsi="宋体" w:cs="宋体"/>
          <w:color w:val="auto"/>
          <w:kern w:val="0"/>
          <w:sz w:val="28"/>
          <w:szCs w:val="28"/>
          <w:lang w:val="zh-CN"/>
        </w:rPr>
        <w:t>日内完成供货，经验收合格后</w:t>
      </w:r>
      <w:r>
        <w:rPr>
          <w:rFonts w:hint="eastAsia" w:ascii="宋体" w:hAnsi="宋体" w:cs="宋体"/>
          <w:color w:val="auto"/>
          <w:kern w:val="0"/>
          <w:sz w:val="28"/>
          <w:szCs w:val="28"/>
        </w:rPr>
        <w:t>10天</w:t>
      </w:r>
      <w:r>
        <w:rPr>
          <w:rFonts w:hint="eastAsia" w:ascii="宋体" w:hAnsi="宋体" w:cs="宋体"/>
          <w:color w:val="auto"/>
          <w:kern w:val="0"/>
          <w:sz w:val="28"/>
          <w:szCs w:val="28"/>
          <w:lang w:val="zh-CN"/>
        </w:rPr>
        <w:t>内付合同款</w:t>
      </w:r>
      <w:r>
        <w:rPr>
          <w:rFonts w:hint="eastAsia" w:ascii="宋体" w:hAnsi="宋体" w:cs="宋体"/>
          <w:color w:val="auto"/>
          <w:kern w:val="0"/>
          <w:sz w:val="28"/>
          <w:szCs w:val="28"/>
          <w:lang w:val="en-US" w:eastAsia="zh-CN"/>
        </w:rPr>
        <w:t>90%，10%余款满壹年后一次性付清（无息）</w:t>
      </w:r>
      <w:r>
        <w:rPr>
          <w:rFonts w:hint="eastAsia" w:ascii="宋体" w:hAnsi="宋体" w:cs="宋体"/>
          <w:color w:val="auto"/>
          <w:kern w:val="0"/>
          <w:sz w:val="28"/>
          <w:szCs w:val="28"/>
          <w:lang w:val="zh-CN"/>
        </w:rPr>
        <w:t>。</w:t>
      </w:r>
    </w:p>
    <w:p w14:paraId="48223783">
      <w:pPr>
        <w:keepLines w:val="0"/>
        <w:pageBreakBefore w:val="0"/>
        <w:widowControl/>
        <w:kinsoku/>
        <w:overflowPunct/>
        <w:topLinePunct w:val="0"/>
        <w:autoSpaceDE/>
        <w:autoSpaceDN/>
        <w:bidi w:val="0"/>
        <w:spacing w:line="500" w:lineRule="exact"/>
        <w:ind w:firstLine="562" w:firstLineChars="200"/>
        <w:jc w:val="left"/>
        <w:textAlignment w:val="auto"/>
        <w:outlineLvl w:val="1"/>
        <w:rPr>
          <w:b/>
          <w:bCs/>
          <w:color w:val="auto"/>
          <w:kern w:val="0"/>
          <w:sz w:val="28"/>
          <w:szCs w:val="28"/>
          <w:lang w:bidi="ar"/>
        </w:rPr>
      </w:pPr>
      <w:r>
        <w:rPr>
          <w:rFonts w:hint="eastAsia"/>
          <w:b/>
          <w:bCs/>
          <w:color w:val="auto"/>
          <w:kern w:val="0"/>
          <w:sz w:val="28"/>
          <w:szCs w:val="28"/>
          <w:lang w:val="en-US" w:eastAsia="zh-CN" w:bidi="ar"/>
        </w:rPr>
        <w:t>四、</w:t>
      </w:r>
      <w:r>
        <w:rPr>
          <w:b/>
          <w:bCs/>
          <w:color w:val="auto"/>
          <w:kern w:val="0"/>
          <w:sz w:val="28"/>
          <w:szCs w:val="28"/>
          <w:lang w:bidi="ar"/>
        </w:rPr>
        <w:t xml:space="preserve">质量要求、包装要求及售后服务 </w:t>
      </w:r>
    </w:p>
    <w:p w14:paraId="508DE993">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.1 质量要求： </w:t>
      </w:r>
    </w:p>
    <w:p w14:paraId="748021A8">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.1.1 </w:t>
      </w:r>
      <w:r>
        <w:rPr>
          <w:rFonts w:hint="eastAsia"/>
          <w:color w:val="auto"/>
          <w:kern w:val="0"/>
          <w:sz w:val="28"/>
          <w:szCs w:val="28"/>
          <w:lang w:eastAsia="zh-CN" w:bidi="ar"/>
        </w:rPr>
        <w:t>成交供应商</w:t>
      </w:r>
      <w:r>
        <w:rPr>
          <w:color w:val="auto"/>
          <w:kern w:val="0"/>
          <w:sz w:val="28"/>
          <w:szCs w:val="28"/>
          <w:lang w:bidi="ar"/>
        </w:rPr>
        <w:t xml:space="preserve">必须提供全新的原厂货物。项目质量控制标准：本项目要求严格按照国家有关设备安装及验收规范、技术标准进行安装施工，符合国家颁发的有关质量验评标准，质量等级为合格。 </w:t>
      </w:r>
    </w:p>
    <w:p w14:paraId="646538EB">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.2 包装要求： </w:t>
      </w:r>
    </w:p>
    <w:p w14:paraId="16446EDB">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.2.1 除合同另有规定外，</w:t>
      </w:r>
      <w:r>
        <w:rPr>
          <w:rFonts w:hint="eastAsia"/>
          <w:color w:val="auto"/>
          <w:kern w:val="0"/>
          <w:sz w:val="28"/>
          <w:szCs w:val="28"/>
          <w:lang w:eastAsia="zh-CN" w:bidi="ar"/>
        </w:rPr>
        <w:t>成交供应商</w:t>
      </w:r>
      <w:r>
        <w:rPr>
          <w:color w:val="auto"/>
          <w:kern w:val="0"/>
          <w:sz w:val="28"/>
          <w:szCs w:val="28"/>
          <w:lang w:bidi="ar"/>
        </w:rPr>
        <w:t>提供的全部货物均应按标准保护措施进行包装。该包装应适应于远距离运输、防潮、防震、防锈和防野蛮装卸，以确保货物安全无损运抵指定地点。由于包装不善所引起的货物损失均由</w:t>
      </w:r>
      <w:r>
        <w:rPr>
          <w:rFonts w:hint="eastAsia"/>
          <w:color w:val="auto"/>
          <w:kern w:val="0"/>
          <w:sz w:val="28"/>
          <w:szCs w:val="28"/>
          <w:lang w:eastAsia="zh-CN" w:bidi="ar"/>
        </w:rPr>
        <w:t>成交供应商</w:t>
      </w:r>
      <w:r>
        <w:rPr>
          <w:color w:val="auto"/>
          <w:kern w:val="0"/>
          <w:sz w:val="28"/>
          <w:szCs w:val="28"/>
          <w:lang w:bidi="ar"/>
        </w:rPr>
        <w:t xml:space="preserve">承担。 </w:t>
      </w:r>
    </w:p>
    <w:p w14:paraId="50BFAC19">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.3 售后服务 </w:t>
      </w:r>
    </w:p>
    <w:p w14:paraId="7DE1C68A">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bookmarkStart w:id="39" w:name="OLE_LINK33"/>
      <w:bookmarkStart w:id="40" w:name="OLE_LINK34"/>
      <w:r>
        <w:rPr>
          <w:rFonts w:hint="eastAsia"/>
          <w:color w:val="auto"/>
          <w:kern w:val="0"/>
          <w:sz w:val="28"/>
          <w:szCs w:val="28"/>
          <w:lang w:val="en-US" w:eastAsia="zh-CN" w:bidi="ar"/>
        </w:rPr>
        <w:t>4</w:t>
      </w:r>
      <w:r>
        <w:rPr>
          <w:color w:val="auto"/>
          <w:kern w:val="0"/>
          <w:sz w:val="28"/>
          <w:szCs w:val="28"/>
          <w:lang w:bidi="ar"/>
        </w:rPr>
        <w:t>.3.1 质量保证期（或称“免费维修期”）：</w:t>
      </w:r>
      <w:r>
        <w:rPr>
          <w:rFonts w:hint="eastAsia"/>
          <w:color w:val="auto"/>
          <w:kern w:val="0"/>
          <w:sz w:val="28"/>
          <w:szCs w:val="28"/>
          <w:lang w:val="en-US" w:eastAsia="zh-CN" w:bidi="ar"/>
        </w:rPr>
        <w:t>三年</w:t>
      </w:r>
      <w:r>
        <w:rPr>
          <w:rFonts w:hint="eastAsia"/>
          <w:color w:val="auto"/>
          <w:kern w:val="0"/>
          <w:sz w:val="28"/>
          <w:szCs w:val="28"/>
          <w:lang w:eastAsia="zh-CN" w:bidi="ar"/>
        </w:rPr>
        <w:t>，</w:t>
      </w:r>
      <w:r>
        <w:rPr>
          <w:color w:val="auto"/>
          <w:kern w:val="0"/>
          <w:sz w:val="28"/>
          <w:szCs w:val="28"/>
          <w:lang w:bidi="ar"/>
        </w:rPr>
        <w:t xml:space="preserve">免费维修期的起始计算日期为货物通过验收交付使用日。 </w:t>
      </w:r>
    </w:p>
    <w:p w14:paraId="60477391">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.3.2 项目通过验收后，设备故障报修的响应时间：提供全天 24 小时报障电话服务。接到报障后 1 小时内提供解决方案，如果电话中无法解决，</w:t>
      </w:r>
      <w:r>
        <w:rPr>
          <w:rFonts w:hint="eastAsia"/>
          <w:color w:val="auto"/>
          <w:kern w:val="0"/>
          <w:sz w:val="28"/>
          <w:szCs w:val="28"/>
          <w:lang w:eastAsia="zh-CN" w:bidi="ar"/>
        </w:rPr>
        <w:t>成交供应商</w:t>
      </w:r>
      <w:r>
        <w:rPr>
          <w:color w:val="auto"/>
          <w:kern w:val="0"/>
          <w:sz w:val="28"/>
          <w:szCs w:val="28"/>
          <w:lang w:bidi="ar"/>
        </w:rPr>
        <w:t xml:space="preserve">应在收到采购人通知后 4 小时内派员到现场维修(技术要求另有规定除外)，并在 24 小时内消除障碍。因设备故障停用的时间，免费维修期累计相应顺延。 </w:t>
      </w:r>
    </w:p>
    <w:p w14:paraId="6C971958">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.3.3 在免费维修期内，</w:t>
      </w:r>
      <w:r>
        <w:rPr>
          <w:rFonts w:hint="eastAsia"/>
          <w:color w:val="auto"/>
          <w:kern w:val="0"/>
          <w:sz w:val="28"/>
          <w:szCs w:val="28"/>
          <w:lang w:eastAsia="zh-CN" w:bidi="ar"/>
        </w:rPr>
        <w:t>成交供应商</w:t>
      </w:r>
      <w:r>
        <w:rPr>
          <w:color w:val="auto"/>
          <w:kern w:val="0"/>
          <w:sz w:val="28"/>
          <w:szCs w:val="28"/>
          <w:lang w:bidi="ar"/>
        </w:rPr>
        <w:t>应无偿提供保养和维修服务。主要内容：及时排除故障和进行修理，无偿更换非人为损坏或不能正常工作的机件，免费维修期内全部服务费和更换零部件的费用由</w:t>
      </w:r>
      <w:r>
        <w:rPr>
          <w:rFonts w:hint="eastAsia"/>
          <w:color w:val="auto"/>
          <w:kern w:val="0"/>
          <w:sz w:val="28"/>
          <w:szCs w:val="28"/>
          <w:lang w:eastAsia="zh-CN" w:bidi="ar"/>
        </w:rPr>
        <w:t>成交供应商</w:t>
      </w:r>
      <w:r>
        <w:rPr>
          <w:color w:val="auto"/>
          <w:kern w:val="0"/>
          <w:sz w:val="28"/>
          <w:szCs w:val="28"/>
          <w:lang w:bidi="ar"/>
        </w:rPr>
        <w:t xml:space="preserve">承担。 </w:t>
      </w:r>
    </w:p>
    <w:bookmarkEnd w:id="39"/>
    <w:bookmarkEnd w:id="40"/>
    <w:p w14:paraId="6D0820D6">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.3.4 免费维修期满后，提供终身维护服务，只按厂价收取所换的材料费，不收取任何维护费用。中标人在免费维修期和维护期内负责采购人的产品升级的服务工作，并提供相关的信息技术和跟进工作。 </w:t>
      </w:r>
    </w:p>
    <w:p w14:paraId="6594F831">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.3.5 采购人维修通知的邮件发出后，视为采购人的维修通知送达中标人。 </w:t>
      </w:r>
    </w:p>
    <w:p w14:paraId="77CD88A8">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.3.6 所有货物保修服务方式均为中标人上门保修，即由中标人派员到货物使用现场维修，由此产生的一切费用均由中标人承担。 </w:t>
      </w:r>
    </w:p>
    <w:p w14:paraId="7FA0958A">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.3.7 包修、包换、包退： 按国家现行三包政策。 </w:t>
      </w:r>
    </w:p>
    <w:p w14:paraId="0CC73E07">
      <w:pPr>
        <w:keepLines w:val="0"/>
        <w:pageBreakBefore w:val="0"/>
        <w:widowControl/>
        <w:kinsoku/>
        <w:overflowPunct/>
        <w:topLinePunct w:val="0"/>
        <w:autoSpaceDE/>
        <w:autoSpaceDN/>
        <w:bidi w:val="0"/>
        <w:spacing w:line="500" w:lineRule="exact"/>
        <w:ind w:firstLine="560" w:firstLineChars="200"/>
        <w:jc w:val="left"/>
        <w:textAlignment w:val="auto"/>
        <w:outlineLvl w:val="1"/>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.4 备件：为保证设备正常运行，中标人存入所有必须的备件，并保证 </w:t>
      </w:r>
      <w:r>
        <w:rPr>
          <w:rFonts w:hint="eastAsia"/>
          <w:color w:val="auto"/>
          <w:kern w:val="0"/>
          <w:sz w:val="28"/>
          <w:szCs w:val="28"/>
          <w:lang w:val="en-US" w:eastAsia="zh-CN" w:bidi="ar"/>
        </w:rPr>
        <w:t>8</w:t>
      </w:r>
      <w:r>
        <w:rPr>
          <w:rFonts w:hint="eastAsia"/>
          <w:color w:val="auto"/>
          <w:kern w:val="0"/>
          <w:sz w:val="28"/>
          <w:szCs w:val="28"/>
          <w:lang w:bidi="ar"/>
        </w:rPr>
        <w:t xml:space="preserve">年以上的供应期。 </w:t>
      </w:r>
    </w:p>
    <w:p w14:paraId="64729047">
      <w:pPr>
        <w:keepLines w:val="0"/>
        <w:pageBreakBefore w:val="0"/>
        <w:widowControl/>
        <w:kinsoku/>
        <w:overflowPunct/>
        <w:topLinePunct w:val="0"/>
        <w:autoSpaceDE/>
        <w:autoSpaceDN/>
        <w:bidi w:val="0"/>
        <w:spacing w:line="500" w:lineRule="exact"/>
        <w:ind w:firstLine="562" w:firstLineChars="200"/>
        <w:jc w:val="left"/>
        <w:textAlignment w:val="auto"/>
        <w:outlineLvl w:val="1"/>
        <w:rPr>
          <w:b/>
          <w:bCs/>
          <w:color w:val="auto"/>
          <w:kern w:val="0"/>
          <w:sz w:val="28"/>
          <w:szCs w:val="28"/>
          <w:lang w:bidi="ar"/>
        </w:rPr>
      </w:pPr>
      <w:r>
        <w:rPr>
          <w:rFonts w:hint="eastAsia"/>
          <w:b/>
          <w:bCs/>
          <w:color w:val="auto"/>
          <w:kern w:val="0"/>
          <w:sz w:val="28"/>
          <w:szCs w:val="28"/>
          <w:lang w:val="en-US" w:eastAsia="zh-CN" w:bidi="ar"/>
        </w:rPr>
        <w:t>五</w:t>
      </w:r>
      <w:r>
        <w:rPr>
          <w:b/>
          <w:bCs/>
          <w:color w:val="auto"/>
          <w:kern w:val="0"/>
          <w:sz w:val="28"/>
          <w:szCs w:val="28"/>
          <w:lang w:bidi="ar"/>
        </w:rPr>
        <w:t xml:space="preserve">、验收要求、验收标准及方法 </w:t>
      </w:r>
    </w:p>
    <w:p w14:paraId="5F7D6CD5">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.1.验收 </w:t>
      </w:r>
    </w:p>
    <w:p w14:paraId="37ABA1CA">
      <w:pPr>
        <w:keepLines w:val="0"/>
        <w:pageBreakBefore w:val="0"/>
        <w:widowControl/>
        <w:kinsoku/>
        <w:overflowPunct/>
        <w:topLinePunct w:val="0"/>
        <w:autoSpaceDE/>
        <w:autoSpaceDN/>
        <w:bidi w:val="0"/>
        <w:spacing w:line="500" w:lineRule="exact"/>
        <w:ind w:firstLine="560" w:firstLineChars="200"/>
        <w:jc w:val="left"/>
        <w:textAlignment w:val="auto"/>
        <w:outlineLvl w:val="3"/>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.1.1 出厂检验：货物在出厂前都必须作出厂前测试。 </w:t>
      </w:r>
    </w:p>
    <w:p w14:paraId="1A2A33E0">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.1.2 验收时间：货物到达后，由</w:t>
      </w:r>
      <w:r>
        <w:rPr>
          <w:rFonts w:hint="eastAsia"/>
          <w:color w:val="auto"/>
          <w:kern w:val="0"/>
          <w:sz w:val="28"/>
          <w:szCs w:val="28"/>
          <w:lang w:eastAsia="zh-CN" w:bidi="ar"/>
        </w:rPr>
        <w:t>采购人</w:t>
      </w:r>
      <w:r>
        <w:rPr>
          <w:color w:val="auto"/>
          <w:kern w:val="0"/>
          <w:sz w:val="28"/>
          <w:szCs w:val="28"/>
          <w:lang w:bidi="ar"/>
        </w:rPr>
        <w:t>初步验收合格后</w:t>
      </w:r>
      <w:r>
        <w:rPr>
          <w:rFonts w:hint="eastAsia"/>
          <w:color w:val="auto"/>
          <w:kern w:val="0"/>
          <w:sz w:val="28"/>
          <w:szCs w:val="28"/>
          <w:lang w:eastAsia="zh-CN" w:bidi="ar"/>
        </w:rPr>
        <w:t>成交供应商</w:t>
      </w:r>
      <w:r>
        <w:rPr>
          <w:color w:val="auto"/>
          <w:kern w:val="0"/>
          <w:sz w:val="28"/>
          <w:szCs w:val="28"/>
          <w:lang w:bidi="ar"/>
        </w:rPr>
        <w:t xml:space="preserve">才可进行安装，货物的参数应符合投标文件技术参数响应要求。货物安装调试完毕正常使用后 30 天内进行系统验收。  </w:t>
      </w:r>
    </w:p>
    <w:p w14:paraId="34AFCB1B">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 验收标准： </w:t>
      </w:r>
    </w:p>
    <w:p w14:paraId="4A5BDDA6">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.2.1 交付验收标准依次序对照适用标准为：①符合中华人民共和国国家安全质量标准、环保标准或行业标准；②符合招标文件和响应承诺中采购人认可的合理最佳配置、参数及各项要求。 </w:t>
      </w:r>
    </w:p>
    <w:p w14:paraId="602F355D">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.2.2 货物为原厂商未启封全新包装，具出厂合格证，序列号、包装箱号与出厂批号一致，并可追索查阅。 </w:t>
      </w:r>
    </w:p>
    <w:p w14:paraId="6E5FB85C">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.2.3 </w:t>
      </w:r>
      <w:r>
        <w:rPr>
          <w:rFonts w:hint="eastAsia"/>
          <w:color w:val="auto"/>
          <w:kern w:val="0"/>
          <w:sz w:val="28"/>
          <w:szCs w:val="28"/>
          <w:lang w:eastAsia="zh-CN" w:bidi="ar"/>
        </w:rPr>
        <w:t>成交供应商</w:t>
      </w:r>
      <w:r>
        <w:rPr>
          <w:color w:val="auto"/>
          <w:kern w:val="0"/>
          <w:sz w:val="28"/>
          <w:szCs w:val="28"/>
          <w:lang w:bidi="ar"/>
        </w:rPr>
        <w:t xml:space="preserve">应将关键主机设备的用户手册、保修手册、有关单证资料及配备件、随机工具等交付给采购人，使用操作及安全须知等重要资料应附有中文说明。 </w:t>
      </w:r>
    </w:p>
    <w:p w14:paraId="71FF0244">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.2.5 项目质量控制标准：本项目要求严格按照国家有关设备安装及验收规范、技术标准进行安装施工，符合国家颁发的有关质量验评标准，质量等级为合格。</w:t>
      </w:r>
      <w:r>
        <w:rPr>
          <w:rFonts w:hint="eastAsia"/>
          <w:color w:val="auto"/>
          <w:kern w:val="0"/>
          <w:sz w:val="28"/>
          <w:szCs w:val="28"/>
          <w:lang w:eastAsia="zh-CN" w:bidi="ar"/>
        </w:rPr>
        <w:t>成交供应商</w:t>
      </w:r>
      <w:r>
        <w:rPr>
          <w:color w:val="auto"/>
          <w:kern w:val="0"/>
          <w:sz w:val="28"/>
          <w:szCs w:val="28"/>
          <w:lang w:bidi="ar"/>
        </w:rPr>
        <w:t>在安装施工中如果质量不符合设计要求和有关规定，</w:t>
      </w:r>
      <w:r>
        <w:rPr>
          <w:rFonts w:hint="eastAsia"/>
          <w:color w:val="auto"/>
          <w:kern w:val="0"/>
          <w:sz w:val="28"/>
          <w:szCs w:val="28"/>
          <w:lang w:eastAsia="zh-CN" w:bidi="ar"/>
        </w:rPr>
        <w:t>采购人</w:t>
      </w:r>
      <w:r>
        <w:rPr>
          <w:color w:val="auto"/>
          <w:kern w:val="0"/>
          <w:sz w:val="28"/>
          <w:szCs w:val="28"/>
          <w:lang w:bidi="ar"/>
        </w:rPr>
        <w:t>要求停工和返工时，</w:t>
      </w:r>
      <w:r>
        <w:rPr>
          <w:rFonts w:hint="eastAsia"/>
          <w:color w:val="auto"/>
          <w:kern w:val="0"/>
          <w:sz w:val="28"/>
          <w:szCs w:val="28"/>
          <w:lang w:eastAsia="zh-CN" w:bidi="ar"/>
        </w:rPr>
        <w:t>成交供应商</w:t>
      </w:r>
      <w:r>
        <w:rPr>
          <w:color w:val="auto"/>
          <w:kern w:val="0"/>
          <w:sz w:val="28"/>
          <w:szCs w:val="28"/>
          <w:lang w:bidi="ar"/>
        </w:rPr>
        <w:t>必须立即执行，并承担由此产生的各种费用，交货期不予顺延。</w:t>
      </w:r>
    </w:p>
    <w:p w14:paraId="3EBFB630">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.3.按照国家有关施工及验收规范的约定标准、规范进行质量验收。若</w:t>
      </w:r>
      <w:r>
        <w:rPr>
          <w:rFonts w:hint="eastAsia"/>
          <w:color w:val="auto"/>
          <w:kern w:val="0"/>
          <w:sz w:val="28"/>
          <w:szCs w:val="28"/>
          <w:lang w:eastAsia="zh-CN" w:bidi="ar"/>
        </w:rPr>
        <w:t>成交供应商</w:t>
      </w:r>
      <w:r>
        <w:rPr>
          <w:color w:val="auto"/>
          <w:kern w:val="0"/>
          <w:sz w:val="28"/>
          <w:szCs w:val="28"/>
          <w:lang w:bidi="ar"/>
        </w:rPr>
        <w:t>有违反操作规程和标准规范或施工质量不符合规定的，</w:t>
      </w:r>
      <w:r>
        <w:rPr>
          <w:rFonts w:hint="eastAsia"/>
          <w:color w:val="auto"/>
          <w:kern w:val="0"/>
          <w:sz w:val="28"/>
          <w:szCs w:val="28"/>
          <w:lang w:eastAsia="zh-CN" w:bidi="ar"/>
        </w:rPr>
        <w:t>采购人</w:t>
      </w:r>
      <w:r>
        <w:rPr>
          <w:color w:val="auto"/>
          <w:kern w:val="0"/>
          <w:sz w:val="28"/>
          <w:szCs w:val="28"/>
          <w:lang w:bidi="ar"/>
        </w:rPr>
        <w:t>有权令其停止（或暂停）项目，由此造成的损失均由</w:t>
      </w:r>
      <w:r>
        <w:rPr>
          <w:rFonts w:hint="eastAsia"/>
          <w:color w:val="auto"/>
          <w:kern w:val="0"/>
          <w:sz w:val="28"/>
          <w:szCs w:val="28"/>
          <w:lang w:eastAsia="zh-CN" w:bidi="ar"/>
        </w:rPr>
        <w:t>成交供应商</w:t>
      </w:r>
      <w:r>
        <w:rPr>
          <w:color w:val="auto"/>
          <w:kern w:val="0"/>
          <w:sz w:val="28"/>
          <w:szCs w:val="28"/>
          <w:lang w:bidi="ar"/>
        </w:rPr>
        <w:t xml:space="preserve">负责。 </w:t>
      </w:r>
    </w:p>
    <w:p w14:paraId="479CD4A3">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.4.技术资料：提供设备的安装手册、操作手册；工作软件说明书、维修保养手册等技术文件及产品合格证、质量保证书等全套资料。 </w:t>
      </w:r>
    </w:p>
    <w:p w14:paraId="4966A1A2">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.5.培训：</w:t>
      </w:r>
      <w:r>
        <w:rPr>
          <w:rFonts w:hint="eastAsia"/>
          <w:color w:val="auto"/>
          <w:kern w:val="0"/>
          <w:sz w:val="28"/>
          <w:szCs w:val="28"/>
          <w:lang w:eastAsia="zh-CN" w:bidi="ar"/>
        </w:rPr>
        <w:t>成交供应商</w:t>
      </w:r>
      <w:r>
        <w:rPr>
          <w:color w:val="auto"/>
          <w:kern w:val="0"/>
          <w:sz w:val="28"/>
          <w:szCs w:val="28"/>
          <w:lang w:bidi="ar"/>
        </w:rPr>
        <w:t xml:space="preserve">应提供操作及维护培训，主要内容为设备的基本结构、性能、主要部件的构造及原理，日常使用操作、保养与管理，常见故障的排除，紧急情况的处理等，培训地点主要在设备安装现场或协商安排。 </w:t>
      </w:r>
    </w:p>
    <w:p w14:paraId="763EC76F">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color w:val="auto"/>
          <w:kern w:val="0"/>
          <w:sz w:val="28"/>
          <w:szCs w:val="28"/>
          <w:lang w:bidi="ar"/>
        </w:rPr>
        <w:t xml:space="preserve"> </w:t>
      </w:r>
    </w:p>
    <w:p w14:paraId="44162377">
      <w:pPr>
        <w:snapToGrid w:val="0"/>
        <w:spacing w:line="460" w:lineRule="exact"/>
        <w:ind w:firstLine="560" w:firstLineChars="200"/>
        <w:jc w:val="left"/>
        <w:outlineLvl w:val="1"/>
        <w:rPr>
          <w:rFonts w:hint="eastAsia" w:ascii="宋体" w:hAnsi="宋体" w:cs="宋体"/>
          <w:color w:val="auto"/>
          <w:kern w:val="0"/>
          <w:sz w:val="28"/>
          <w:szCs w:val="28"/>
          <w:lang w:val="zh-CN"/>
        </w:rPr>
      </w:pPr>
    </w:p>
    <w:p w14:paraId="7B86A976">
      <w:pPr>
        <w:rPr>
          <w:rFonts w:ascii="宋体" w:hAnsi="宋体" w:cs="宋体"/>
          <w:b/>
          <w:color w:val="auto"/>
          <w:sz w:val="32"/>
          <w:szCs w:val="32"/>
        </w:rPr>
      </w:pPr>
      <w:r>
        <w:rPr>
          <w:rFonts w:hint="eastAsia" w:ascii="宋体" w:hAnsi="宋体" w:cs="宋体"/>
          <w:b/>
          <w:color w:val="auto"/>
          <w:sz w:val="32"/>
          <w:szCs w:val="32"/>
        </w:rPr>
        <w:br w:type="page"/>
      </w:r>
    </w:p>
    <w:p w14:paraId="1C320B1C">
      <w:pPr>
        <w:snapToGrid w:val="0"/>
        <w:spacing w:line="800" w:lineRule="exact"/>
        <w:jc w:val="center"/>
        <w:outlineLvl w:val="0"/>
        <w:rPr>
          <w:rFonts w:ascii="宋体" w:hAnsi="宋体" w:cs="宋体"/>
          <w:b/>
          <w:color w:val="auto"/>
          <w:sz w:val="36"/>
          <w:szCs w:val="36"/>
        </w:rPr>
      </w:pPr>
      <w:r>
        <w:rPr>
          <w:rFonts w:hint="eastAsia" w:ascii="宋体" w:hAnsi="宋体" w:cs="宋体"/>
          <w:b/>
          <w:color w:val="auto"/>
          <w:sz w:val="36"/>
          <w:szCs w:val="36"/>
        </w:rPr>
        <w:t>第四章  开启和评</w:t>
      </w:r>
      <w:bookmarkEnd w:id="37"/>
      <w:r>
        <w:rPr>
          <w:rFonts w:hint="eastAsia" w:ascii="宋体" w:hAnsi="宋体" w:cs="宋体"/>
          <w:b/>
          <w:color w:val="auto"/>
          <w:sz w:val="36"/>
          <w:szCs w:val="36"/>
        </w:rPr>
        <w:t>审</w:t>
      </w:r>
    </w:p>
    <w:p w14:paraId="09505B75">
      <w:pPr>
        <w:tabs>
          <w:tab w:val="left" w:pos="3585"/>
        </w:tabs>
        <w:snapToGrid w:val="0"/>
        <w:spacing w:line="460" w:lineRule="exact"/>
        <w:ind w:firstLine="562" w:firstLineChars="200"/>
        <w:rPr>
          <w:rFonts w:ascii="宋体" w:hAnsi="宋体" w:cs="宋体"/>
          <w:b/>
          <w:color w:val="auto"/>
          <w:sz w:val="28"/>
          <w:szCs w:val="28"/>
        </w:rPr>
      </w:pPr>
      <w:r>
        <w:rPr>
          <w:rFonts w:hint="eastAsia" w:ascii="宋体" w:hAnsi="宋体" w:cs="宋体"/>
          <w:b/>
          <w:bCs/>
          <w:color w:val="auto"/>
          <w:sz w:val="28"/>
          <w:szCs w:val="28"/>
        </w:rPr>
        <w:t>一、</w:t>
      </w:r>
      <w:r>
        <w:rPr>
          <w:rFonts w:hint="eastAsia" w:ascii="宋体" w:hAnsi="宋体" w:cs="宋体"/>
          <w:b/>
          <w:color w:val="auto"/>
          <w:sz w:val="28"/>
          <w:szCs w:val="28"/>
        </w:rPr>
        <w:t>采购人组织开标。</w:t>
      </w:r>
    </w:p>
    <w:p w14:paraId="7226FFC6">
      <w:pPr>
        <w:tabs>
          <w:tab w:val="left" w:pos="3585"/>
        </w:tabs>
        <w:snapToGrid w:val="0"/>
        <w:spacing w:line="460" w:lineRule="exact"/>
        <w:ind w:firstLine="537" w:firstLineChars="192"/>
        <w:rPr>
          <w:rFonts w:ascii="宋体" w:hAnsi="宋体" w:cs="宋体"/>
          <w:b/>
          <w:bCs/>
          <w:color w:val="auto"/>
          <w:sz w:val="28"/>
          <w:szCs w:val="28"/>
        </w:rPr>
      </w:pPr>
      <w:r>
        <w:rPr>
          <w:rFonts w:hint="eastAsia" w:ascii="宋体" w:hAnsi="宋体" w:cs="宋体"/>
          <w:color w:val="auto"/>
          <w:sz w:val="28"/>
          <w:szCs w:val="28"/>
        </w:rPr>
        <w:t>议价人的法定代表人或授权委托人须持有效身份证参加开标会。</w:t>
      </w:r>
    </w:p>
    <w:p w14:paraId="6142358C">
      <w:pPr>
        <w:snapToGrid w:val="0"/>
        <w:spacing w:line="460" w:lineRule="exact"/>
        <w:ind w:firstLine="562" w:firstLineChars="200"/>
        <w:rPr>
          <w:rFonts w:ascii="宋体" w:hAnsi="宋体" w:cs="宋体"/>
          <w:bCs/>
          <w:color w:val="auto"/>
          <w:sz w:val="28"/>
          <w:szCs w:val="28"/>
        </w:rPr>
      </w:pPr>
      <w:r>
        <w:rPr>
          <w:rFonts w:hint="eastAsia" w:ascii="宋体" w:hAnsi="宋体" w:cs="宋体"/>
          <w:b/>
          <w:bCs/>
          <w:color w:val="auto"/>
          <w:sz w:val="28"/>
          <w:szCs w:val="28"/>
        </w:rPr>
        <w:t>二、</w:t>
      </w:r>
      <w:r>
        <w:rPr>
          <w:rFonts w:hint="eastAsia" w:ascii="宋体" w:hAnsi="宋体" w:cs="宋体"/>
          <w:b/>
          <w:color w:val="auto"/>
          <w:sz w:val="28"/>
          <w:szCs w:val="28"/>
        </w:rPr>
        <w:t>评委会由采购人代表</w:t>
      </w:r>
      <w:r>
        <w:rPr>
          <w:rFonts w:hint="eastAsia" w:ascii="宋体" w:hAnsi="宋体" w:cs="宋体"/>
          <w:b/>
          <w:bCs/>
          <w:color w:val="auto"/>
          <w:sz w:val="28"/>
          <w:szCs w:val="28"/>
        </w:rPr>
        <w:t>组成</w:t>
      </w:r>
      <w:r>
        <w:rPr>
          <w:rFonts w:hint="eastAsia" w:ascii="宋体" w:hAnsi="宋体" w:cs="宋体"/>
          <w:color w:val="auto"/>
          <w:sz w:val="28"/>
          <w:szCs w:val="28"/>
        </w:rPr>
        <w:t>，按照</w:t>
      </w:r>
      <w:r>
        <w:rPr>
          <w:rFonts w:hint="eastAsia" w:ascii="宋体" w:hAnsi="宋体" w:cs="宋体"/>
          <w:bCs/>
          <w:color w:val="auto"/>
          <w:sz w:val="28"/>
          <w:szCs w:val="28"/>
        </w:rPr>
        <w:t>公平、公正、择优的原则进行</w:t>
      </w:r>
      <w:r>
        <w:rPr>
          <w:rFonts w:hint="eastAsia" w:ascii="宋体" w:hAnsi="宋体" w:cs="宋体"/>
          <w:color w:val="auto"/>
          <w:sz w:val="28"/>
          <w:szCs w:val="28"/>
        </w:rPr>
        <w:t>独立</w:t>
      </w:r>
      <w:r>
        <w:rPr>
          <w:rFonts w:hint="eastAsia" w:ascii="宋体" w:hAnsi="宋体" w:cs="宋体"/>
          <w:bCs/>
          <w:color w:val="auto"/>
          <w:sz w:val="28"/>
          <w:szCs w:val="28"/>
        </w:rPr>
        <w:t>评标。</w:t>
      </w:r>
    </w:p>
    <w:p w14:paraId="2FF345F1">
      <w:pPr>
        <w:tabs>
          <w:tab w:val="left" w:pos="3585"/>
        </w:tabs>
        <w:snapToGrid w:val="0"/>
        <w:spacing w:line="460" w:lineRule="exact"/>
        <w:ind w:firstLine="537" w:firstLineChars="192"/>
        <w:rPr>
          <w:rFonts w:ascii="宋体" w:hAnsi="宋体" w:cs="宋体"/>
          <w:color w:val="auto"/>
          <w:sz w:val="28"/>
          <w:szCs w:val="28"/>
        </w:rPr>
      </w:pPr>
      <w:r>
        <w:rPr>
          <w:rFonts w:hint="eastAsia" w:ascii="宋体" w:hAnsi="宋体" w:cs="宋体"/>
          <w:color w:val="auto"/>
          <w:sz w:val="28"/>
          <w:szCs w:val="28"/>
        </w:rPr>
        <w:t>由采购人代表对议价人资格性、符合性审查，对未通过审查的供应商，应现场告知原因。评委会对合格供应商的比价响应文件进行评审。</w:t>
      </w:r>
    </w:p>
    <w:p w14:paraId="392F426D">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（一）评审内容</w:t>
      </w:r>
    </w:p>
    <w:p w14:paraId="1913D434">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1.比价资格是否符合；</w:t>
      </w:r>
    </w:p>
    <w:p w14:paraId="07973C9A">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2.比价响应文件是否完整；</w:t>
      </w:r>
    </w:p>
    <w:p w14:paraId="491B511F">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3.比价响应文件是否恰当地签署；</w:t>
      </w:r>
    </w:p>
    <w:p w14:paraId="07D902B9">
      <w:pPr>
        <w:snapToGrid w:val="0"/>
        <w:spacing w:line="460" w:lineRule="exact"/>
        <w:ind w:firstLine="540"/>
        <w:rPr>
          <w:rFonts w:ascii="宋体" w:hAnsi="宋体" w:cs="宋体"/>
          <w:color w:val="auto"/>
          <w:sz w:val="28"/>
          <w:szCs w:val="28"/>
        </w:rPr>
      </w:pPr>
      <w:r>
        <w:rPr>
          <w:rFonts w:hint="eastAsia" w:ascii="宋体" w:hAnsi="宋体" w:cs="宋体"/>
          <w:color w:val="auto"/>
          <w:sz w:val="28"/>
          <w:szCs w:val="28"/>
        </w:rPr>
        <w:t>4.是否作出实质性响应（是否有实质性响应，只根据比价响应文件本身，而不寻求外部证据）；</w:t>
      </w:r>
    </w:p>
    <w:p w14:paraId="22240091">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5.是否有计算错误。</w:t>
      </w:r>
    </w:p>
    <w:p w14:paraId="5B01B15C">
      <w:pPr>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（二）相应的规定</w:t>
      </w:r>
    </w:p>
    <w:p w14:paraId="586FF808">
      <w:pPr>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w:t>
      </w:r>
      <w:r>
        <w:rPr>
          <w:rFonts w:hint="eastAsia" w:ascii="宋体" w:hAnsi="宋体" w:cs="宋体"/>
          <w:color w:val="auto"/>
          <w:sz w:val="28"/>
          <w:szCs w:val="28"/>
        </w:rPr>
        <w:t>如果单价汇总金额与总价金额有出入，以单价金额计算结果为准；</w:t>
      </w:r>
    </w:p>
    <w:p w14:paraId="1F9E3C6E">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2.单价金额小数点有明显错位的，应以总价为准；</w:t>
      </w:r>
    </w:p>
    <w:p w14:paraId="33CD60CA">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3.正本与副本有矛盾的，以正本为准；</w:t>
      </w:r>
    </w:p>
    <w:p w14:paraId="33EC29FE">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4.若文件大写表示的数据与数字表示的有差别，以大写表示的数据为准。</w:t>
      </w:r>
    </w:p>
    <w:p w14:paraId="243D9EF1">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5.响应文件未按照采购文件要求盖章、密封的。</w:t>
      </w:r>
    </w:p>
    <w:p w14:paraId="5CF74A9D">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5E90024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供应商应在资格评审部分提供质量和服务书面承诺书，否则评标委员会应当将其作为无效文件处理。</w:t>
      </w:r>
    </w:p>
    <w:p w14:paraId="08873101">
      <w:pPr>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w:t>
      </w:r>
      <w:r>
        <w:rPr>
          <w:rFonts w:hint="eastAsia" w:ascii="宋体" w:hAnsi="宋体" w:cs="宋体"/>
          <w:b/>
          <w:color w:val="auto"/>
          <w:sz w:val="28"/>
          <w:szCs w:val="28"/>
        </w:rPr>
        <w:t>陈述、演示、</w:t>
      </w:r>
      <w:r>
        <w:rPr>
          <w:rFonts w:hint="eastAsia" w:ascii="宋体" w:hAnsi="宋体" w:cs="宋体"/>
          <w:b/>
          <w:bCs/>
          <w:color w:val="auto"/>
          <w:sz w:val="28"/>
          <w:szCs w:val="28"/>
        </w:rPr>
        <w:t>答疑、澄清</w:t>
      </w:r>
    </w:p>
    <w:p w14:paraId="6F0AD40B">
      <w:pPr>
        <w:snapToGrid w:val="0"/>
        <w:spacing w:line="460" w:lineRule="exact"/>
        <w:ind w:firstLine="570"/>
        <w:rPr>
          <w:rFonts w:ascii="宋体" w:hAnsi="宋体" w:cs="宋体"/>
          <w:b/>
          <w:color w:val="auto"/>
          <w:sz w:val="28"/>
          <w:szCs w:val="28"/>
        </w:rPr>
      </w:pPr>
      <w:r>
        <w:rPr>
          <w:rFonts w:hint="eastAsia" w:ascii="宋体" w:hAnsi="宋体" w:cs="宋体"/>
          <w:color w:val="auto"/>
          <w:sz w:val="28"/>
          <w:szCs w:val="28"/>
          <w:shd w:val="clear" w:color="auto" w:fill="FFFFFF"/>
        </w:rPr>
        <w:t>1.如评委会认为有必要，议价人按评委会的要求作陈述、演示、</w:t>
      </w:r>
      <w:r>
        <w:rPr>
          <w:rFonts w:hint="eastAsia" w:ascii="宋体" w:hAnsi="宋体" w:cs="宋体"/>
          <w:color w:val="auto"/>
          <w:sz w:val="28"/>
          <w:szCs w:val="28"/>
        </w:rPr>
        <w:t>答疑及澄清其比选内容。时间由评委会掌握。</w:t>
      </w:r>
    </w:p>
    <w:p w14:paraId="5D66D490">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2.重要澄清答复应是书面的，但不得对比选内容进行实质性修改。</w:t>
      </w:r>
    </w:p>
    <w:p w14:paraId="7458B391">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3.对采购过程提出质询的，为各采购程序环节结束之日；</w:t>
      </w:r>
    </w:p>
    <w:p w14:paraId="5A930482">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B5A2950">
      <w:pPr>
        <w:tabs>
          <w:tab w:val="left" w:pos="6555"/>
          <w:tab w:val="right" w:pos="8306"/>
        </w:tabs>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四、出现下列情形之一的，作无效比价处理;</w:t>
      </w:r>
    </w:p>
    <w:p w14:paraId="5FB66315">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1.未按照采购文件规定要求签署、盖章的；</w:t>
      </w:r>
    </w:p>
    <w:p w14:paraId="68DF6377">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2.不具备采购文件中规定的资格要求的；</w:t>
      </w:r>
    </w:p>
    <w:p w14:paraId="31DA98B8">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3.报价超过采购文件中规定的预算金额或者最高限价的；</w:t>
      </w:r>
    </w:p>
    <w:p w14:paraId="780DA79C">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4.比价响应文件含有采购人不能接受的附加条件的；</w:t>
      </w:r>
    </w:p>
    <w:p w14:paraId="43D8C0C6">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5.不符合采购文件中规定的其他实质性要求的。</w:t>
      </w:r>
    </w:p>
    <w:p w14:paraId="405AFA14">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注：异常低价审查</w:t>
      </w:r>
    </w:p>
    <w:p w14:paraId="3E1AF630">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5.1根据财库〔2026〕2号文件,政府采购评审中出现下列情形之一的，评审委员会应当启动异常低价投标（响应）审查程序：</w:t>
      </w:r>
    </w:p>
    <w:p w14:paraId="5F07C7D7">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（1）投标（响应）报价低于全部通过符合性审查供应商投标（响应）报价平均值50%的，即投标（响应）报价&lt;全部通过符合性审查供应商投标（响应）报价平均值×50%； </w:t>
      </w:r>
    </w:p>
    <w:p w14:paraId="5DF582DE">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（2）投标（响应）报价低于通过符合性审查的次低报价供应商投标（响应）报价50%的，即投标（响应）报价&lt;通过符合性审查的次低报价供应商投标（响应）报价×50%； </w:t>
      </w:r>
    </w:p>
    <w:p w14:paraId="0DDCCA60">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（3）投标（响应）报价低于采购项目最高限价45%的，即投标（响应）报价&lt;采购项目最高限价×45%； </w:t>
      </w:r>
    </w:p>
    <w:p w14:paraId="39335523">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（4）评审委员会基于专业判断，认为供应商报价过低，有可能影响产品质量或者不能诚信履约的其他情形。 </w:t>
      </w:r>
    </w:p>
    <w:p w14:paraId="778C5469">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相关法律法规对供应商报价有规定的，从其规定。 </w:t>
      </w:r>
    </w:p>
    <w:p w14:paraId="16203A64">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5.2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4DC51608">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AC3CAA3">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五、出现下列情形之一的，作废标处理</w:t>
      </w:r>
    </w:p>
    <w:p w14:paraId="4E4D95E6">
      <w:pPr>
        <w:snapToGrid w:val="0"/>
        <w:spacing w:line="460" w:lineRule="exact"/>
        <w:ind w:firstLine="560" w:firstLineChars="200"/>
        <w:rPr>
          <w:rFonts w:ascii="宋体" w:hAnsi="宋体" w:cs="宋体"/>
          <w:b/>
          <w:color w:val="auto"/>
          <w:sz w:val="28"/>
          <w:szCs w:val="28"/>
        </w:rPr>
      </w:pPr>
      <w:r>
        <w:rPr>
          <w:rFonts w:hint="eastAsia" w:ascii="宋体" w:hAnsi="宋体" w:cs="宋体"/>
          <w:color w:val="auto"/>
          <w:sz w:val="28"/>
          <w:szCs w:val="28"/>
        </w:rPr>
        <w:t>1.出现影响采购公正的违法违规行为的；</w:t>
      </w:r>
    </w:p>
    <w:p w14:paraId="7A874255">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2.比价人的报价均超过了采购预算，采购人不能支付的；</w:t>
      </w:r>
    </w:p>
    <w:p w14:paraId="4747EB95">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3.因重大变故，采购任务取消的。</w:t>
      </w:r>
    </w:p>
    <w:p w14:paraId="11289AFC">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上述均保留评委会认定可以确定为无效比选或废标的其他情况。</w:t>
      </w:r>
    </w:p>
    <w:p w14:paraId="663653D9">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六、评标流程</w:t>
      </w:r>
    </w:p>
    <w:p w14:paraId="6C87BAED">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采用最低评标价法的，评标结果按评审后报价由低到高顺序排列。符合要求的前提下，总评审报价最低者成交,报价如有相同者，抽签确定成交供应商。</w:t>
      </w:r>
    </w:p>
    <w:p w14:paraId="68F8002D">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当成交供应商无正当理由放弃中标，被查实存在影响成交结果的违法行为等情形，采购人有权按照相关法律法规的规定对其采取惩戒措施，包含但不限于列入采购失信人黑名单等措施。</w:t>
      </w:r>
    </w:p>
    <w:p w14:paraId="4FE91706">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9A7D079">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七、中标通知</w:t>
      </w:r>
    </w:p>
    <w:p w14:paraId="4253C194">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中标结果在</w:t>
      </w:r>
      <w:r>
        <w:rPr>
          <w:rFonts w:hint="eastAsia" w:ascii="宋体" w:hAnsi="宋体" w:cs="宋体"/>
          <w:color w:val="auto"/>
          <w:sz w:val="28"/>
          <w:szCs w:val="28"/>
          <w:lang w:eastAsia="zh-CN"/>
        </w:rPr>
        <w:t>南通市崇川区政府网站</w:t>
      </w:r>
      <w:r>
        <w:rPr>
          <w:rFonts w:hint="eastAsia" w:ascii="宋体" w:hAnsi="宋体" w:cs="宋体"/>
          <w:color w:val="auto"/>
          <w:sz w:val="28"/>
          <w:szCs w:val="28"/>
        </w:rPr>
        <w:t>公示，公告期限为1个工作日。《成交通知书》一经发出，如采购单位改变中标结果，或者中标供应商放弃中标的，各自承担相应的法律责任。《成交通知书》是采购合同的组成部分。</w:t>
      </w:r>
    </w:p>
    <w:p w14:paraId="26284BBB">
      <w:pPr>
        <w:autoSpaceDE w:val="0"/>
        <w:autoSpaceDN w:val="0"/>
        <w:adjustRightInd w:val="0"/>
        <w:spacing w:line="360" w:lineRule="auto"/>
        <w:rPr>
          <w:rFonts w:ascii="宋体" w:hAnsi="宋体" w:cs="宋体"/>
          <w:color w:val="auto"/>
          <w:kern w:val="0"/>
          <w:sz w:val="28"/>
          <w:szCs w:val="28"/>
        </w:rPr>
      </w:pPr>
    </w:p>
    <w:p w14:paraId="68B447B1">
      <w:pPr>
        <w:autoSpaceDE w:val="0"/>
        <w:autoSpaceDN w:val="0"/>
        <w:adjustRightInd w:val="0"/>
        <w:spacing w:line="360" w:lineRule="auto"/>
        <w:rPr>
          <w:rFonts w:ascii="宋体" w:hAnsi="宋体" w:cs="宋体"/>
          <w:color w:val="auto"/>
          <w:kern w:val="0"/>
          <w:sz w:val="28"/>
          <w:szCs w:val="28"/>
        </w:rPr>
      </w:pPr>
    </w:p>
    <w:p w14:paraId="63E8EC43">
      <w:pPr>
        <w:autoSpaceDE w:val="0"/>
        <w:autoSpaceDN w:val="0"/>
        <w:adjustRightInd w:val="0"/>
        <w:spacing w:line="360" w:lineRule="auto"/>
        <w:rPr>
          <w:rFonts w:ascii="宋体" w:hAnsi="宋体" w:cs="宋体"/>
          <w:color w:val="auto"/>
          <w:kern w:val="0"/>
          <w:sz w:val="28"/>
          <w:szCs w:val="28"/>
        </w:rPr>
      </w:pPr>
    </w:p>
    <w:p w14:paraId="5ED8AAA9">
      <w:pPr>
        <w:autoSpaceDE w:val="0"/>
        <w:autoSpaceDN w:val="0"/>
        <w:adjustRightInd w:val="0"/>
        <w:spacing w:line="360" w:lineRule="auto"/>
        <w:rPr>
          <w:rFonts w:ascii="宋体" w:hAnsi="宋体" w:cs="宋体"/>
          <w:color w:val="auto"/>
          <w:kern w:val="0"/>
          <w:sz w:val="28"/>
          <w:szCs w:val="28"/>
        </w:rPr>
      </w:pPr>
    </w:p>
    <w:p w14:paraId="6903C8AB">
      <w:pPr>
        <w:autoSpaceDE w:val="0"/>
        <w:autoSpaceDN w:val="0"/>
        <w:adjustRightInd w:val="0"/>
        <w:spacing w:line="360" w:lineRule="auto"/>
        <w:rPr>
          <w:rFonts w:ascii="宋体" w:hAnsi="宋体" w:cs="宋体"/>
          <w:color w:val="auto"/>
          <w:kern w:val="0"/>
          <w:sz w:val="28"/>
          <w:szCs w:val="28"/>
        </w:rPr>
      </w:pPr>
    </w:p>
    <w:p w14:paraId="14BA4CDB">
      <w:pPr>
        <w:snapToGrid w:val="0"/>
        <w:spacing w:line="360" w:lineRule="auto"/>
        <w:jc w:val="center"/>
        <w:outlineLvl w:val="0"/>
        <w:rPr>
          <w:rFonts w:ascii="宋体" w:hAnsi="宋体" w:cs="宋体"/>
          <w:b/>
          <w:color w:val="auto"/>
          <w:sz w:val="32"/>
          <w:szCs w:val="32"/>
        </w:rPr>
      </w:pPr>
      <w:bookmarkStart w:id="41" w:name="_Toc14026"/>
    </w:p>
    <w:p w14:paraId="4EB952C2">
      <w:pPr>
        <w:snapToGrid w:val="0"/>
        <w:spacing w:line="360" w:lineRule="auto"/>
        <w:jc w:val="center"/>
        <w:outlineLvl w:val="0"/>
        <w:rPr>
          <w:rFonts w:ascii="宋体" w:hAnsi="宋体" w:cs="宋体"/>
          <w:b/>
          <w:color w:val="auto"/>
          <w:sz w:val="32"/>
          <w:szCs w:val="32"/>
        </w:rPr>
      </w:pPr>
    </w:p>
    <w:p w14:paraId="382DEB77">
      <w:pPr>
        <w:snapToGrid w:val="0"/>
        <w:spacing w:line="360" w:lineRule="auto"/>
        <w:jc w:val="center"/>
        <w:outlineLvl w:val="0"/>
        <w:rPr>
          <w:rFonts w:ascii="宋体" w:hAnsi="宋体" w:cs="宋体"/>
          <w:b/>
          <w:color w:val="auto"/>
          <w:sz w:val="32"/>
          <w:szCs w:val="32"/>
        </w:rPr>
      </w:pPr>
    </w:p>
    <w:p w14:paraId="62C36393">
      <w:pPr>
        <w:snapToGrid w:val="0"/>
        <w:spacing w:line="360" w:lineRule="auto"/>
        <w:outlineLvl w:val="0"/>
        <w:rPr>
          <w:rFonts w:ascii="宋体" w:hAnsi="宋体" w:cs="宋体"/>
          <w:b/>
          <w:color w:val="auto"/>
          <w:sz w:val="32"/>
          <w:szCs w:val="32"/>
        </w:rPr>
      </w:pPr>
    </w:p>
    <w:p w14:paraId="2787A7E5">
      <w:pPr>
        <w:rPr>
          <w:rFonts w:ascii="宋体" w:hAnsi="宋体" w:cs="宋体"/>
          <w:b/>
          <w:color w:val="auto"/>
          <w:sz w:val="36"/>
          <w:szCs w:val="36"/>
        </w:rPr>
      </w:pPr>
      <w:r>
        <w:rPr>
          <w:rFonts w:hint="eastAsia" w:ascii="宋体" w:hAnsi="宋体" w:cs="宋体"/>
          <w:b/>
          <w:color w:val="auto"/>
          <w:sz w:val="36"/>
          <w:szCs w:val="36"/>
        </w:rPr>
        <w:br w:type="page"/>
      </w:r>
    </w:p>
    <w:p w14:paraId="24DA708B">
      <w:pPr>
        <w:snapToGrid w:val="0"/>
        <w:spacing w:line="800" w:lineRule="exact"/>
        <w:jc w:val="center"/>
        <w:outlineLvl w:val="0"/>
        <w:rPr>
          <w:rFonts w:ascii="宋体" w:hAnsi="宋体" w:cs="宋体"/>
          <w:b/>
          <w:color w:val="auto"/>
          <w:sz w:val="36"/>
          <w:szCs w:val="36"/>
        </w:rPr>
      </w:pPr>
      <w:r>
        <w:rPr>
          <w:rFonts w:hint="eastAsia" w:ascii="宋体" w:hAnsi="宋体" w:cs="宋体"/>
          <w:b/>
          <w:color w:val="auto"/>
          <w:sz w:val="36"/>
          <w:szCs w:val="36"/>
        </w:rPr>
        <w:t xml:space="preserve">第五章  </w:t>
      </w:r>
      <w:bookmarkEnd w:id="41"/>
      <w:bookmarkStart w:id="42" w:name="_Toc21870"/>
      <w:r>
        <w:rPr>
          <w:rFonts w:hint="eastAsia" w:ascii="宋体" w:hAnsi="宋体" w:cs="宋体"/>
          <w:b/>
          <w:color w:val="auto"/>
          <w:sz w:val="36"/>
          <w:szCs w:val="36"/>
        </w:rPr>
        <w:t>比价响应文件组成</w:t>
      </w:r>
      <w:bookmarkEnd w:id="42"/>
    </w:p>
    <w:p w14:paraId="1BEB1C1C">
      <w:pPr>
        <w:snapToGrid w:val="0"/>
        <w:spacing w:line="460" w:lineRule="exact"/>
        <w:ind w:firstLine="556"/>
        <w:jc w:val="left"/>
        <w:rPr>
          <w:rFonts w:ascii="宋体" w:hAnsi="宋体" w:cs="宋体"/>
          <w:b/>
          <w:color w:val="auto"/>
          <w:sz w:val="28"/>
          <w:szCs w:val="28"/>
        </w:rPr>
      </w:pPr>
      <w:r>
        <w:rPr>
          <w:rFonts w:hint="eastAsia" w:ascii="宋体" w:hAnsi="宋体" w:cs="宋体"/>
          <w:b/>
          <w:color w:val="auto"/>
          <w:sz w:val="28"/>
          <w:szCs w:val="28"/>
        </w:rPr>
        <w:t>比价响应文件由资格审查文件、价格文件部分组成。</w:t>
      </w:r>
    </w:p>
    <w:p w14:paraId="03C8D396">
      <w:pPr>
        <w:pStyle w:val="44"/>
        <w:snapToGrid w:val="0"/>
        <w:spacing w:before="0" w:beforeAutospacing="0" w:after="0" w:afterAutospacing="0" w:line="460" w:lineRule="exact"/>
        <w:ind w:firstLine="562" w:firstLineChars="200"/>
        <w:contextualSpacing/>
        <w:rPr>
          <w:b/>
          <w:color w:val="auto"/>
          <w:sz w:val="28"/>
          <w:szCs w:val="28"/>
        </w:rPr>
      </w:pPr>
      <w:r>
        <w:rPr>
          <w:rFonts w:hint="eastAsia"/>
          <w:b/>
          <w:color w:val="auto"/>
          <w:sz w:val="28"/>
          <w:szCs w:val="28"/>
        </w:rPr>
        <w:t>一、资格审查文件（不能出现报价，一正一副，单独密封并牢固装订）：</w:t>
      </w:r>
    </w:p>
    <w:p w14:paraId="13030927">
      <w:pPr>
        <w:widowControl/>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1.关于资格的响应函（格式参见附件）；</w:t>
      </w:r>
    </w:p>
    <w:p w14:paraId="5167E98F">
      <w:pPr>
        <w:widowControl/>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2.提供法定代表人身份证明及法定代表人本人身份证复印件；非法定代表人参加投标的，还必须提供法定代表人签名或盖章的授权委托书及被授权人的身份证复印件（格式参见附件）；</w:t>
      </w:r>
    </w:p>
    <w:p w14:paraId="19B0CFEE">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3.具有独立承担民事责任的能力（提供有效的营业执照副本复印件）；</w:t>
      </w:r>
    </w:p>
    <w:p w14:paraId="04A66B15">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rPr>
        <w:t>4.</w:t>
      </w:r>
      <w:r>
        <w:rPr>
          <w:rFonts w:hint="eastAsia" w:ascii="宋体" w:hAnsi="宋体" w:cs="宋体"/>
          <w:color w:val="auto"/>
          <w:sz w:val="28"/>
          <w:szCs w:val="28"/>
          <w:lang w:val="zh-CN"/>
        </w:rPr>
        <w:t>若投标供应商为生产厂家，需持有《医疗器械生产许可证》（对应设备分类的生产范围）；若为代理商 / 经销商，需提供生产厂家的正式授权委托书（明确授权区域、期限及项目权限），同时提供生产厂家的《医疗器械生产许可证》复印件；</w:t>
      </w:r>
    </w:p>
    <w:p w14:paraId="4CDDB632">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cs="宋体"/>
          <w:color w:val="auto"/>
          <w:sz w:val="28"/>
          <w:szCs w:val="28"/>
          <w:lang w:val="zh-CN"/>
        </w:rPr>
        <w:t>所投产品提供国家药品监督管理局颁发的《医疗器械注册证》及《医疗器械注册登记表》（进口设备需提供《进口医疗器械注册证》），且证书在有效期内，覆盖所投标的设备型号；</w:t>
      </w:r>
    </w:p>
    <w:p w14:paraId="41E1E8AB">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6.</w:t>
      </w:r>
      <w:r>
        <w:rPr>
          <w:rFonts w:hint="eastAsia"/>
          <w:color w:val="auto"/>
          <w:sz w:val="28"/>
          <w:szCs w:val="28"/>
          <w:lang w:val="en-US" w:eastAsia="zh-CN"/>
        </w:rPr>
        <w:t>系统适配能力：具备将所投设备与崇川区文峰街道社区卫生服务中心HIS系统对接的技术能力，提供书面承诺函，格式自拟；</w:t>
      </w:r>
    </w:p>
    <w:p w14:paraId="22CB9C86">
      <w:pPr>
        <w:widowControl/>
        <w:snapToGrid w:val="0"/>
        <w:spacing w:line="460" w:lineRule="exact"/>
        <w:ind w:firstLine="560" w:firstLineChars="200"/>
        <w:jc w:val="left"/>
        <w:rPr>
          <w:rFonts w:ascii="宋体" w:hAnsi="宋体" w:cs="宋体"/>
          <w:color w:val="auto"/>
          <w:sz w:val="28"/>
          <w:szCs w:val="28"/>
          <w:lang w:val="zh-CN"/>
        </w:rPr>
      </w:pPr>
      <w:r>
        <w:rPr>
          <w:rFonts w:hint="eastAsia" w:ascii="宋体" w:hAnsi="宋体" w:cs="宋体"/>
          <w:color w:val="auto"/>
          <w:sz w:val="28"/>
          <w:szCs w:val="28"/>
          <w:lang w:val="en-US" w:eastAsia="zh-CN"/>
        </w:rPr>
        <w:t>7.</w:t>
      </w:r>
      <w:r>
        <w:rPr>
          <w:rFonts w:hint="eastAsia" w:ascii="宋体" w:hAnsi="宋体" w:cs="宋体"/>
          <w:color w:val="auto"/>
          <w:sz w:val="28"/>
          <w:szCs w:val="28"/>
          <w:lang w:val="zh-CN"/>
        </w:rPr>
        <w:t>未被“信用中国”网站列入失信被执行人、重大税收违法案件当事人名单、采购严重失信行为记录名单，</w:t>
      </w:r>
      <w:r>
        <w:rPr>
          <w:rFonts w:hint="eastAsia" w:ascii="宋体" w:hAnsi="宋体" w:cs="宋体"/>
          <w:color w:val="auto"/>
          <w:sz w:val="28"/>
          <w:szCs w:val="28"/>
        </w:rPr>
        <w:t>提供</w:t>
      </w:r>
      <w:r>
        <w:rPr>
          <w:rFonts w:hint="eastAsia" w:ascii="宋体" w:hAnsi="宋体" w:cs="宋体"/>
          <w:color w:val="auto"/>
          <w:sz w:val="28"/>
          <w:szCs w:val="28"/>
          <w:lang w:val="zh-CN"/>
        </w:rPr>
        <w:t>无重大违法记录声明（格式参见附件）。</w:t>
      </w:r>
    </w:p>
    <w:p w14:paraId="30330DFF">
      <w:pPr>
        <w:pStyle w:val="44"/>
        <w:snapToGrid w:val="0"/>
        <w:spacing w:before="0" w:beforeAutospacing="0" w:after="0" w:afterAutospacing="0" w:line="460" w:lineRule="exact"/>
        <w:ind w:firstLine="562" w:firstLineChars="200"/>
        <w:contextualSpacing/>
        <w:rPr>
          <w:color w:val="auto"/>
          <w:sz w:val="28"/>
          <w:szCs w:val="28"/>
        </w:rPr>
      </w:pPr>
      <w:r>
        <w:rPr>
          <w:rFonts w:hint="eastAsia"/>
          <w:b/>
          <w:color w:val="auto"/>
          <w:sz w:val="28"/>
          <w:szCs w:val="28"/>
        </w:rPr>
        <w:t>二、价格文件，一正一副（单独密封并牢固装订），不得出现在资格审查部分：</w:t>
      </w:r>
    </w:p>
    <w:p w14:paraId="359434E2">
      <w:pPr>
        <w:tabs>
          <w:tab w:val="left" w:pos="1260"/>
        </w:tabs>
        <w:snapToGrid w:val="0"/>
        <w:spacing w:line="300" w:lineRule="auto"/>
        <w:ind w:firstLine="560" w:firstLineChars="200"/>
        <w:rPr>
          <w:rFonts w:ascii="宋体" w:hAnsi="宋体" w:cs="宋体"/>
          <w:bCs/>
          <w:color w:val="auto"/>
          <w:sz w:val="28"/>
          <w:szCs w:val="28"/>
        </w:rPr>
      </w:pPr>
      <w:r>
        <w:rPr>
          <w:rFonts w:hint="eastAsia" w:ascii="宋体" w:hAnsi="宋体" w:cs="宋体"/>
          <w:color w:val="auto"/>
          <w:sz w:val="28"/>
          <w:szCs w:val="28"/>
        </w:rPr>
        <w:t>1.报价总表</w:t>
      </w:r>
      <w:r>
        <w:rPr>
          <w:rFonts w:hint="eastAsia" w:ascii="宋体" w:hAnsi="宋体" w:cs="宋体"/>
          <w:bCs/>
          <w:color w:val="auto"/>
          <w:sz w:val="28"/>
          <w:szCs w:val="28"/>
        </w:rPr>
        <w:t>。</w:t>
      </w:r>
    </w:p>
    <w:p w14:paraId="7491B8FA">
      <w:pPr>
        <w:tabs>
          <w:tab w:val="left" w:pos="1260"/>
        </w:tabs>
        <w:snapToGrid w:val="0"/>
        <w:spacing w:line="300" w:lineRule="auto"/>
        <w:ind w:firstLine="562" w:firstLineChars="200"/>
        <w:rPr>
          <w:rFonts w:ascii="宋体" w:hAnsi="宋体" w:cs="宋体"/>
          <w:b/>
          <w:color w:val="auto"/>
          <w:sz w:val="28"/>
          <w:szCs w:val="28"/>
        </w:rPr>
      </w:pPr>
    </w:p>
    <w:p w14:paraId="0ACAD982">
      <w:pPr>
        <w:rPr>
          <w:rFonts w:ascii="宋体" w:hAnsi="宋体" w:cs="宋体"/>
          <w:b/>
          <w:color w:val="auto"/>
          <w:sz w:val="28"/>
          <w:szCs w:val="28"/>
        </w:rPr>
      </w:pPr>
      <w:r>
        <w:rPr>
          <w:rFonts w:hint="eastAsia" w:ascii="宋体" w:hAnsi="宋体" w:cs="宋体"/>
          <w:b/>
          <w:color w:val="auto"/>
          <w:sz w:val="28"/>
          <w:szCs w:val="28"/>
        </w:rPr>
        <w:br w:type="page"/>
      </w:r>
    </w:p>
    <w:p w14:paraId="4ACBEFDA">
      <w:pPr>
        <w:tabs>
          <w:tab w:val="left" w:pos="1260"/>
        </w:tabs>
        <w:snapToGrid w:val="0"/>
        <w:spacing w:line="300" w:lineRule="auto"/>
        <w:rPr>
          <w:rFonts w:ascii="宋体" w:hAnsi="宋体" w:cs="宋体"/>
          <w:b/>
          <w:color w:val="auto"/>
          <w:sz w:val="28"/>
          <w:szCs w:val="28"/>
        </w:rPr>
      </w:pPr>
      <w:r>
        <w:rPr>
          <w:rFonts w:hint="eastAsia" w:ascii="宋体" w:hAnsi="宋体" w:cs="宋体"/>
          <w:b/>
          <w:color w:val="auto"/>
          <w:sz w:val="28"/>
          <w:szCs w:val="28"/>
        </w:rPr>
        <w:t>附件               资格审查文件相关格式</w:t>
      </w:r>
    </w:p>
    <w:p w14:paraId="2356E461">
      <w:pPr>
        <w:spacing w:line="440" w:lineRule="exact"/>
        <w:rPr>
          <w:rFonts w:ascii="宋体" w:hAnsi="宋体" w:cs="宋体"/>
          <w:b/>
          <w:color w:val="auto"/>
          <w:sz w:val="28"/>
          <w:szCs w:val="28"/>
        </w:rPr>
      </w:pPr>
    </w:p>
    <w:p w14:paraId="5D5283FC">
      <w:pPr>
        <w:spacing w:line="360" w:lineRule="auto"/>
        <w:jc w:val="center"/>
        <w:outlineLvl w:val="2"/>
        <w:rPr>
          <w:rFonts w:ascii="仿宋" w:hAnsi="仿宋" w:eastAsia="仿宋" w:cs="仿宋"/>
          <w:bCs/>
          <w:color w:val="auto"/>
          <w:sz w:val="28"/>
          <w:szCs w:val="28"/>
        </w:rPr>
      </w:pPr>
      <w:r>
        <w:rPr>
          <w:rFonts w:hint="eastAsia" w:ascii="仿宋" w:hAnsi="仿宋" w:eastAsia="仿宋" w:cs="仿宋"/>
          <w:b/>
          <w:color w:val="auto"/>
          <w:sz w:val="28"/>
          <w:szCs w:val="28"/>
        </w:rPr>
        <w:t>1.响  应  函</w:t>
      </w:r>
    </w:p>
    <w:p w14:paraId="40C3088A">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lang w:eastAsia="zh-CN"/>
        </w:rPr>
        <w:t>崇川区文峰街道社区卫生服务中心</w:t>
      </w:r>
      <w:r>
        <w:rPr>
          <w:rFonts w:hint="eastAsia" w:ascii="仿宋" w:hAnsi="仿宋" w:eastAsia="仿宋" w:cs="仿宋"/>
          <w:bCs/>
          <w:color w:val="auto"/>
          <w:sz w:val="28"/>
          <w:szCs w:val="28"/>
        </w:rPr>
        <w:t>：</w:t>
      </w:r>
    </w:p>
    <w:p w14:paraId="0887AD56">
      <w:pPr>
        <w:spacing w:line="520" w:lineRule="exact"/>
        <w:ind w:firstLine="560" w:firstLineChars="200"/>
        <w:rPr>
          <w:rFonts w:ascii="仿宋" w:hAnsi="仿宋" w:eastAsia="仿宋" w:cs="仿宋"/>
          <w:b/>
          <w:bCs/>
          <w:color w:val="auto"/>
          <w:sz w:val="28"/>
          <w:szCs w:val="28"/>
        </w:rPr>
      </w:pPr>
      <w:r>
        <w:rPr>
          <w:rFonts w:hint="eastAsia" w:ascii="仿宋" w:hAnsi="仿宋" w:eastAsia="仿宋" w:cs="仿宋"/>
          <w:bCs/>
          <w:color w:val="auto"/>
          <w:sz w:val="28"/>
          <w:szCs w:val="28"/>
        </w:rPr>
        <w:t>我单位参加</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rPr>
        <w:t>（项目编号）投标活动。针对以下规定做出如下声明：</w:t>
      </w:r>
    </w:p>
    <w:p w14:paraId="11DEDEB0">
      <w:pPr>
        <w:spacing w:line="520" w:lineRule="exact"/>
        <w:ind w:firstLine="482"/>
        <w:rPr>
          <w:rFonts w:ascii="仿宋" w:hAnsi="仿宋" w:eastAsia="仿宋" w:cs="仿宋"/>
          <w:bCs/>
          <w:color w:val="auto"/>
          <w:sz w:val="28"/>
          <w:szCs w:val="28"/>
        </w:rPr>
      </w:pPr>
    </w:p>
    <w:p w14:paraId="25472F45">
      <w:pPr>
        <w:spacing w:line="520" w:lineRule="exact"/>
        <w:ind w:firstLine="482"/>
        <w:rPr>
          <w:rFonts w:ascii="仿宋" w:hAnsi="仿宋" w:eastAsia="仿宋" w:cs="仿宋"/>
          <w:bCs/>
          <w:color w:val="auto"/>
          <w:sz w:val="28"/>
          <w:szCs w:val="28"/>
        </w:rPr>
      </w:pPr>
    </w:p>
    <w:p w14:paraId="65B6C04B">
      <w:pPr>
        <w:spacing w:line="520" w:lineRule="exact"/>
        <w:ind w:firstLine="482"/>
        <w:rPr>
          <w:rFonts w:ascii="仿宋" w:hAnsi="仿宋" w:eastAsia="仿宋" w:cs="仿宋"/>
          <w:color w:val="auto"/>
          <w:sz w:val="28"/>
          <w:szCs w:val="28"/>
        </w:rPr>
      </w:pPr>
      <w:r>
        <w:rPr>
          <w:rFonts w:hint="eastAsia" w:ascii="仿宋" w:hAnsi="仿宋" w:eastAsia="仿宋" w:cs="仿宋"/>
          <w:bCs/>
          <w:color w:val="auto"/>
          <w:sz w:val="28"/>
          <w:szCs w:val="28"/>
        </w:rPr>
        <w:t>1.我单位具有独立承担民事责任的能力；</w:t>
      </w:r>
    </w:p>
    <w:p w14:paraId="5C5DD387">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2.我单位具有良好的商业信誉和健全的财务会计制度；</w:t>
      </w:r>
    </w:p>
    <w:p w14:paraId="3B29A5A2">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3.我单位具有履行合同所必需的设备和专业技术能力；</w:t>
      </w:r>
    </w:p>
    <w:p w14:paraId="52DE9D2E">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4.我单位有依法缴纳税收和社会保障资金的良好记录。</w:t>
      </w:r>
    </w:p>
    <w:p w14:paraId="0B9E749E">
      <w:pPr>
        <w:spacing w:line="400" w:lineRule="exact"/>
        <w:ind w:firstLine="435"/>
        <w:rPr>
          <w:rFonts w:ascii="仿宋" w:hAnsi="仿宋" w:eastAsia="仿宋" w:cs="仿宋"/>
          <w:color w:val="auto"/>
          <w:sz w:val="24"/>
        </w:rPr>
      </w:pPr>
    </w:p>
    <w:p w14:paraId="0DD6964B">
      <w:pPr>
        <w:spacing w:line="400" w:lineRule="exact"/>
        <w:ind w:firstLine="435"/>
        <w:rPr>
          <w:rFonts w:ascii="仿宋" w:hAnsi="仿宋" w:eastAsia="仿宋" w:cs="仿宋"/>
          <w:color w:val="auto"/>
          <w:sz w:val="24"/>
        </w:rPr>
      </w:pPr>
    </w:p>
    <w:p w14:paraId="19DC8E6E">
      <w:pPr>
        <w:spacing w:line="400" w:lineRule="exact"/>
        <w:ind w:firstLine="435"/>
        <w:rPr>
          <w:rFonts w:ascii="仿宋" w:hAnsi="仿宋" w:eastAsia="仿宋" w:cs="仿宋"/>
          <w:color w:val="auto"/>
          <w:sz w:val="24"/>
        </w:rPr>
      </w:pPr>
    </w:p>
    <w:p w14:paraId="2434C393">
      <w:pPr>
        <w:spacing w:line="400" w:lineRule="exact"/>
        <w:ind w:firstLine="435"/>
        <w:rPr>
          <w:rFonts w:ascii="仿宋" w:hAnsi="仿宋" w:eastAsia="仿宋" w:cs="仿宋"/>
          <w:color w:val="auto"/>
          <w:sz w:val="24"/>
        </w:rPr>
      </w:pPr>
    </w:p>
    <w:p w14:paraId="119E18E7">
      <w:pPr>
        <w:spacing w:line="400" w:lineRule="exact"/>
        <w:ind w:firstLine="435"/>
        <w:rPr>
          <w:rFonts w:ascii="仿宋" w:hAnsi="仿宋" w:eastAsia="仿宋" w:cs="仿宋"/>
          <w:color w:val="auto"/>
          <w:sz w:val="24"/>
        </w:rPr>
      </w:pPr>
    </w:p>
    <w:p w14:paraId="14845265">
      <w:pPr>
        <w:spacing w:line="400" w:lineRule="exact"/>
        <w:ind w:firstLine="435"/>
        <w:rPr>
          <w:rFonts w:ascii="仿宋" w:hAnsi="仿宋" w:eastAsia="仿宋" w:cs="仿宋"/>
          <w:color w:val="auto"/>
          <w:sz w:val="24"/>
        </w:rPr>
      </w:pPr>
    </w:p>
    <w:p w14:paraId="3C029E84">
      <w:pPr>
        <w:spacing w:line="400" w:lineRule="exact"/>
        <w:ind w:firstLine="435"/>
        <w:rPr>
          <w:rFonts w:ascii="仿宋" w:hAnsi="仿宋" w:eastAsia="仿宋" w:cs="仿宋"/>
          <w:color w:val="auto"/>
          <w:sz w:val="24"/>
        </w:rPr>
      </w:pPr>
      <w:r>
        <w:rPr>
          <w:rFonts w:hint="eastAsia" w:ascii="仿宋" w:hAnsi="仿宋" w:eastAsia="仿宋" w:cs="仿宋"/>
          <w:color w:val="auto"/>
          <w:sz w:val="24"/>
        </w:rPr>
        <w:t>比选人全称：</w:t>
      </w:r>
    </w:p>
    <w:p w14:paraId="730CE0D7">
      <w:pPr>
        <w:spacing w:line="400" w:lineRule="exact"/>
        <w:ind w:firstLine="435"/>
        <w:rPr>
          <w:rFonts w:ascii="仿宋" w:hAnsi="仿宋" w:eastAsia="仿宋" w:cs="仿宋"/>
          <w:color w:val="auto"/>
          <w:sz w:val="24"/>
        </w:rPr>
      </w:pPr>
      <w:r>
        <w:rPr>
          <w:rFonts w:hint="eastAsia" w:ascii="仿宋" w:hAnsi="仿宋" w:eastAsia="仿宋" w:cs="仿宋"/>
          <w:color w:val="auto"/>
          <w:sz w:val="24"/>
        </w:rPr>
        <w:t>公      章：</w:t>
      </w:r>
    </w:p>
    <w:p w14:paraId="73996537">
      <w:pPr>
        <w:spacing w:line="400" w:lineRule="exact"/>
        <w:ind w:firstLine="435"/>
        <w:rPr>
          <w:rFonts w:ascii="仿宋" w:hAnsi="仿宋" w:eastAsia="仿宋" w:cs="仿宋"/>
          <w:color w:val="auto"/>
          <w:sz w:val="24"/>
        </w:rPr>
      </w:pPr>
      <w:r>
        <w:rPr>
          <w:rFonts w:hint="eastAsia" w:ascii="仿宋" w:hAnsi="仿宋" w:eastAsia="仿宋" w:cs="仿宋"/>
          <w:color w:val="auto"/>
          <w:sz w:val="24"/>
        </w:rPr>
        <w:t>授 权 代表：</w:t>
      </w:r>
    </w:p>
    <w:p w14:paraId="17CCC5C2">
      <w:pPr>
        <w:spacing w:line="400" w:lineRule="exact"/>
        <w:ind w:firstLine="435"/>
        <w:rPr>
          <w:rFonts w:ascii="仿宋" w:hAnsi="仿宋" w:eastAsia="仿宋" w:cs="仿宋"/>
          <w:color w:val="auto"/>
          <w:sz w:val="24"/>
        </w:rPr>
      </w:pPr>
      <w:r>
        <w:rPr>
          <w:rFonts w:hint="eastAsia" w:ascii="仿宋" w:hAnsi="仿宋" w:eastAsia="仿宋" w:cs="仿宋"/>
          <w:color w:val="auto"/>
          <w:sz w:val="24"/>
        </w:rPr>
        <w:t>日      期：</w:t>
      </w:r>
    </w:p>
    <w:p w14:paraId="68E702B5">
      <w:pPr>
        <w:spacing w:line="360" w:lineRule="auto"/>
        <w:jc w:val="center"/>
        <w:rPr>
          <w:rFonts w:ascii="宋体" w:hAnsi="宋体" w:cs="宋体"/>
          <w:b/>
          <w:color w:val="auto"/>
          <w:sz w:val="28"/>
          <w:szCs w:val="28"/>
        </w:rPr>
      </w:pPr>
      <w:r>
        <w:rPr>
          <w:rFonts w:hint="eastAsia" w:ascii="仿宋" w:hAnsi="仿宋" w:eastAsia="仿宋" w:cs="仿宋"/>
          <w:b/>
          <w:color w:val="auto"/>
          <w:sz w:val="28"/>
          <w:szCs w:val="28"/>
        </w:rPr>
        <w:br w:type="page"/>
      </w:r>
    </w:p>
    <w:p w14:paraId="0095121C">
      <w:pPr>
        <w:spacing w:line="360" w:lineRule="auto"/>
        <w:jc w:val="center"/>
        <w:outlineLvl w:val="2"/>
        <w:rPr>
          <w:rFonts w:ascii="仿宋" w:hAnsi="仿宋" w:eastAsia="仿宋" w:cs="仿宋"/>
          <w:b/>
          <w:color w:val="auto"/>
          <w:sz w:val="28"/>
          <w:szCs w:val="28"/>
        </w:rPr>
      </w:pPr>
      <w:r>
        <w:rPr>
          <w:rFonts w:hint="eastAsia" w:ascii="仿宋" w:hAnsi="仿宋" w:eastAsia="仿宋" w:cs="仿宋"/>
          <w:b/>
          <w:color w:val="auto"/>
          <w:sz w:val="28"/>
          <w:szCs w:val="28"/>
        </w:rPr>
        <w:t>2.法定代表人身份证明</w:t>
      </w:r>
    </w:p>
    <w:p w14:paraId="1CE8DCCB">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单位名称：</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p>
    <w:p w14:paraId="3ECFE7FE">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地    址：</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p>
    <w:p w14:paraId="2790DF4C">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姓    名：</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性   别：</w:t>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年  龄：</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职  务：</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联系方式：</w:t>
      </w:r>
      <w:r>
        <w:rPr>
          <w:rFonts w:hint="eastAsia" w:ascii="仿宋" w:hAnsi="仿宋" w:eastAsia="仿宋" w:cs="仿宋"/>
          <w:color w:val="auto"/>
          <w:sz w:val="25"/>
          <w:u w:val="single"/>
        </w:rPr>
        <w:t xml:space="preserve">         </w:t>
      </w:r>
    </w:p>
    <w:p w14:paraId="5E746A2F">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系</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的法定代表人。为</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项目，签署上述招标申请文件、进行合同谈判、签署合同和处理与之有关的一切事务。</w:t>
      </w:r>
    </w:p>
    <w:p w14:paraId="368018BA">
      <w:pPr>
        <w:spacing w:line="480" w:lineRule="exact"/>
        <w:ind w:firstLine="500" w:firstLineChars="200"/>
        <w:rPr>
          <w:rFonts w:ascii="仿宋" w:hAnsi="仿宋" w:eastAsia="仿宋" w:cs="仿宋"/>
          <w:color w:val="auto"/>
          <w:sz w:val="25"/>
        </w:rPr>
      </w:pPr>
    </w:p>
    <w:p w14:paraId="1BC88116">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特此证明</w:t>
      </w:r>
    </w:p>
    <w:p w14:paraId="1AA59880">
      <w:pPr>
        <w:spacing w:line="480" w:lineRule="exact"/>
        <w:ind w:firstLine="500" w:firstLineChars="200"/>
        <w:rPr>
          <w:rFonts w:ascii="仿宋" w:hAnsi="仿宋" w:eastAsia="仿宋" w:cs="仿宋"/>
          <w:color w:val="auto"/>
          <w:sz w:val="25"/>
        </w:rPr>
      </w:pPr>
    </w:p>
    <w:p w14:paraId="31EB3575">
      <w:pPr>
        <w:spacing w:line="480" w:lineRule="exact"/>
        <w:ind w:firstLine="500" w:firstLineChars="200"/>
        <w:rPr>
          <w:rFonts w:ascii="仿宋" w:hAnsi="仿宋" w:eastAsia="仿宋" w:cs="仿宋"/>
          <w:color w:val="auto"/>
          <w:sz w:val="25"/>
        </w:rPr>
      </w:pPr>
    </w:p>
    <w:p w14:paraId="32967744">
      <w:pPr>
        <w:spacing w:line="480" w:lineRule="exact"/>
        <w:ind w:firstLine="500" w:firstLineChars="200"/>
        <w:rPr>
          <w:rFonts w:ascii="仿宋" w:hAnsi="仿宋" w:eastAsia="仿宋" w:cs="仿宋"/>
          <w:color w:val="auto"/>
          <w:sz w:val="25"/>
        </w:rPr>
      </w:pPr>
    </w:p>
    <w:p w14:paraId="565171BF">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比选人：</w:t>
      </w:r>
      <w:r>
        <w:rPr>
          <w:rFonts w:hint="eastAsia" w:ascii="仿宋" w:hAnsi="仿宋" w:eastAsia="仿宋" w:cs="仿宋"/>
          <w:color w:val="auto"/>
          <w:sz w:val="25"/>
          <w:u w:val="single"/>
        </w:rPr>
        <w:t>（盖章）</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p>
    <w:p w14:paraId="076C8048">
      <w:pPr>
        <w:spacing w:line="480" w:lineRule="exact"/>
        <w:ind w:firstLine="500" w:firstLineChars="200"/>
        <w:rPr>
          <w:rFonts w:ascii="仿宋" w:hAnsi="仿宋" w:eastAsia="仿宋" w:cs="仿宋"/>
          <w:color w:val="auto"/>
          <w:sz w:val="25"/>
        </w:rPr>
      </w:pPr>
    </w:p>
    <w:p w14:paraId="23B8835E">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日    期：</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月</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日</w:t>
      </w:r>
    </w:p>
    <w:tbl>
      <w:tblPr>
        <w:tblStyle w:val="19"/>
        <w:tblpPr w:leftFromText="180" w:rightFromText="180" w:vertAnchor="text" w:horzAnchor="page" w:tblpXSpec="center" w:tblpY="4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0A0A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840" w:type="dxa"/>
          </w:tcPr>
          <w:p w14:paraId="61EEF4CE">
            <w:pPr>
              <w:snapToGrid w:val="0"/>
              <w:spacing w:line="420" w:lineRule="exact"/>
              <w:ind w:left="193" w:firstLine="424" w:firstLineChars="202"/>
              <w:jc w:val="left"/>
              <w:rPr>
                <w:rFonts w:ascii="仿宋" w:hAnsi="仿宋" w:eastAsia="仿宋" w:cs="仿宋"/>
                <w:color w:val="auto"/>
              </w:rPr>
            </w:pPr>
          </w:p>
          <w:p w14:paraId="05CC99D0">
            <w:pPr>
              <w:snapToGrid w:val="0"/>
              <w:spacing w:line="420" w:lineRule="exact"/>
              <w:jc w:val="center"/>
              <w:rPr>
                <w:rFonts w:ascii="仿宋" w:hAnsi="仿宋" w:eastAsia="仿宋" w:cs="仿宋"/>
                <w:b/>
                <w:bCs/>
                <w:color w:val="auto"/>
              </w:rPr>
            </w:pPr>
            <w:r>
              <w:rPr>
                <w:rFonts w:hint="eastAsia" w:ascii="仿宋" w:hAnsi="仿宋" w:eastAsia="仿宋" w:cs="仿宋"/>
                <w:b/>
                <w:bCs/>
                <w:color w:val="auto"/>
              </w:rPr>
              <w:t>法定代表人身份证（正、反面）复印件并加盖公章</w:t>
            </w:r>
            <w:r>
              <w:rPr>
                <w:rFonts w:hint="eastAsia" w:ascii="仿宋" w:hAnsi="仿宋" w:eastAsia="仿宋" w:cs="仿宋"/>
                <w:b/>
                <w:bCs/>
                <w:color w:val="auto"/>
                <w:u w:val="single"/>
              </w:rPr>
              <w:t>（黏贴此处）</w:t>
            </w:r>
          </w:p>
          <w:p w14:paraId="74B87485">
            <w:pPr>
              <w:snapToGrid w:val="0"/>
              <w:spacing w:line="420" w:lineRule="exact"/>
              <w:ind w:left="193"/>
              <w:jc w:val="left"/>
              <w:rPr>
                <w:rFonts w:ascii="仿宋" w:hAnsi="仿宋" w:eastAsia="仿宋" w:cs="仿宋"/>
                <w:b/>
                <w:bCs/>
                <w:color w:val="auto"/>
              </w:rPr>
            </w:pPr>
          </w:p>
          <w:p w14:paraId="55D435E0">
            <w:pPr>
              <w:snapToGrid w:val="0"/>
              <w:spacing w:line="420" w:lineRule="exact"/>
              <w:ind w:left="193"/>
              <w:jc w:val="left"/>
              <w:rPr>
                <w:rFonts w:ascii="仿宋" w:hAnsi="仿宋" w:eastAsia="仿宋" w:cs="仿宋"/>
                <w:b/>
                <w:bCs/>
                <w:color w:val="auto"/>
              </w:rPr>
            </w:pPr>
          </w:p>
          <w:p w14:paraId="0778DBC3">
            <w:pPr>
              <w:snapToGrid w:val="0"/>
              <w:spacing w:line="420" w:lineRule="exact"/>
              <w:ind w:left="193"/>
              <w:jc w:val="left"/>
              <w:rPr>
                <w:rFonts w:ascii="仿宋" w:hAnsi="仿宋" w:eastAsia="仿宋" w:cs="仿宋"/>
                <w:b/>
                <w:bCs/>
                <w:color w:val="auto"/>
              </w:rPr>
            </w:pPr>
          </w:p>
          <w:p w14:paraId="2D179529">
            <w:pPr>
              <w:snapToGrid w:val="0"/>
              <w:spacing w:line="420" w:lineRule="exact"/>
              <w:ind w:left="193" w:firstLine="424" w:firstLineChars="202"/>
              <w:jc w:val="left"/>
              <w:rPr>
                <w:rFonts w:ascii="仿宋" w:hAnsi="仿宋" w:eastAsia="仿宋" w:cs="仿宋"/>
                <w:color w:val="auto"/>
              </w:rPr>
            </w:pPr>
          </w:p>
        </w:tc>
      </w:tr>
    </w:tbl>
    <w:p w14:paraId="08DFC57D">
      <w:pPr>
        <w:snapToGrid w:val="0"/>
        <w:spacing w:line="360" w:lineRule="auto"/>
        <w:ind w:firstLine="480" w:firstLineChars="200"/>
        <w:rPr>
          <w:rFonts w:ascii="仿宋" w:hAnsi="仿宋" w:eastAsia="仿宋" w:cs="仿宋"/>
          <w:color w:val="auto"/>
          <w:sz w:val="24"/>
        </w:rPr>
      </w:pPr>
    </w:p>
    <w:p w14:paraId="5A2910B6">
      <w:pPr>
        <w:snapToGrid w:val="0"/>
        <w:spacing w:line="360" w:lineRule="auto"/>
        <w:ind w:firstLine="480" w:firstLineChars="200"/>
        <w:rPr>
          <w:rFonts w:ascii="仿宋" w:hAnsi="仿宋" w:eastAsia="仿宋" w:cs="仿宋"/>
          <w:color w:val="auto"/>
          <w:sz w:val="24"/>
        </w:rPr>
      </w:pPr>
    </w:p>
    <w:p w14:paraId="36BEFBE4">
      <w:pPr>
        <w:spacing w:line="360" w:lineRule="auto"/>
        <w:jc w:val="center"/>
        <w:outlineLvl w:val="2"/>
        <w:rPr>
          <w:rFonts w:ascii="仿宋" w:hAnsi="仿宋" w:eastAsia="仿宋" w:cs="仿宋"/>
          <w:b/>
          <w:color w:val="auto"/>
          <w:sz w:val="28"/>
          <w:szCs w:val="28"/>
        </w:rPr>
      </w:pPr>
      <w:r>
        <w:rPr>
          <w:rFonts w:hint="eastAsia" w:ascii="宋体" w:hAnsi="宋体" w:cs="宋体"/>
          <w:b/>
          <w:color w:val="auto"/>
          <w:sz w:val="28"/>
          <w:szCs w:val="28"/>
        </w:rPr>
        <w:br w:type="page"/>
      </w:r>
      <w:r>
        <w:rPr>
          <w:rFonts w:hint="eastAsia" w:ascii="仿宋" w:hAnsi="仿宋" w:eastAsia="仿宋" w:cs="仿宋"/>
          <w:b/>
          <w:bCs/>
          <w:color w:val="auto"/>
          <w:sz w:val="28"/>
          <w:szCs w:val="28"/>
        </w:rPr>
        <w:t>3.授权委托书（如需）</w:t>
      </w:r>
    </w:p>
    <w:p w14:paraId="0FFD1ED9">
      <w:pPr>
        <w:snapToGrid w:val="0"/>
        <w:spacing w:line="360" w:lineRule="auto"/>
        <w:rPr>
          <w:rFonts w:ascii="仿宋" w:hAnsi="仿宋" w:eastAsia="仿宋" w:cs="仿宋"/>
          <w:bCs/>
          <w:color w:val="auto"/>
          <w:sz w:val="28"/>
          <w:szCs w:val="28"/>
        </w:rPr>
      </w:pPr>
    </w:p>
    <w:p w14:paraId="26653DD7">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lang w:eastAsia="zh-CN"/>
        </w:rPr>
        <w:t>崇川区文峰街道社区卫生服务中心</w:t>
      </w:r>
      <w:r>
        <w:rPr>
          <w:rFonts w:hint="eastAsia" w:ascii="仿宋" w:hAnsi="仿宋" w:eastAsia="仿宋" w:cs="仿宋"/>
          <w:bCs/>
          <w:color w:val="auto"/>
          <w:sz w:val="28"/>
          <w:szCs w:val="28"/>
        </w:rPr>
        <w:t>：</w:t>
      </w:r>
    </w:p>
    <w:p w14:paraId="636AE327">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本授权书宣告，在下面签字的</w:t>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以法定代表人身份代表本单位授权：</w:t>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 xml:space="preserve">为本单位的合法授权代表，授权其在 </w:t>
      </w:r>
      <w:r>
        <w:rPr>
          <w:rFonts w:hint="eastAsia" w:ascii="仿宋" w:hAnsi="仿宋" w:eastAsia="仿宋" w:cs="仿宋"/>
          <w:color w:val="auto"/>
          <w:sz w:val="25"/>
          <w:szCs w:val="25"/>
          <w:u w:val="single"/>
        </w:rPr>
        <w:t xml:space="preserve">    项目</w:t>
      </w:r>
      <w:r>
        <w:rPr>
          <w:rFonts w:hint="eastAsia" w:ascii="仿宋" w:hAnsi="仿宋" w:eastAsia="仿宋" w:cs="仿宋"/>
          <w:color w:val="auto"/>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76D4B555">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本委托书限期自</w:t>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 xml:space="preserve">    </w:t>
      </w:r>
      <w:r>
        <w:rPr>
          <w:rFonts w:hint="eastAsia" w:ascii="仿宋" w:hAnsi="仿宋" w:eastAsia="仿宋" w:cs="仿宋"/>
          <w:color w:val="auto"/>
          <w:sz w:val="25"/>
        </w:rPr>
        <w:t>月</w:t>
      </w:r>
      <w:r>
        <w:rPr>
          <w:rFonts w:hint="eastAsia" w:ascii="仿宋" w:hAnsi="仿宋" w:eastAsia="仿宋" w:cs="仿宋"/>
          <w:color w:val="auto"/>
          <w:sz w:val="25"/>
          <w:u w:val="single"/>
        </w:rPr>
        <w:t xml:space="preserve">    </w:t>
      </w:r>
      <w:r>
        <w:rPr>
          <w:rFonts w:hint="eastAsia" w:ascii="仿宋" w:hAnsi="仿宋" w:eastAsia="仿宋" w:cs="仿宋"/>
          <w:color w:val="auto"/>
          <w:sz w:val="25"/>
        </w:rPr>
        <w:t>日起至</w:t>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 xml:space="preserve">    </w:t>
      </w:r>
      <w:r>
        <w:rPr>
          <w:rFonts w:hint="eastAsia" w:ascii="仿宋" w:hAnsi="仿宋" w:eastAsia="仿宋" w:cs="仿宋"/>
          <w:color w:val="auto"/>
          <w:sz w:val="25"/>
        </w:rPr>
        <w:t>月</w:t>
      </w:r>
      <w:r>
        <w:rPr>
          <w:rFonts w:hint="eastAsia" w:ascii="仿宋" w:hAnsi="仿宋" w:eastAsia="仿宋" w:cs="仿宋"/>
          <w:color w:val="auto"/>
          <w:sz w:val="25"/>
          <w:u w:val="single"/>
        </w:rPr>
        <w:t xml:space="preserve">    </w:t>
      </w:r>
      <w:r>
        <w:rPr>
          <w:rFonts w:hint="eastAsia" w:ascii="仿宋" w:hAnsi="仿宋" w:eastAsia="仿宋" w:cs="仿宋"/>
          <w:color w:val="auto"/>
          <w:sz w:val="25"/>
        </w:rPr>
        <w:t>日止。</w:t>
      </w:r>
    </w:p>
    <w:p w14:paraId="5410F855">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授权代表无权转让委托权，特此委托。</w:t>
      </w:r>
    </w:p>
    <w:p w14:paraId="08E904EB">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比选人：</w:t>
      </w:r>
      <w:r>
        <w:rPr>
          <w:rFonts w:hint="eastAsia" w:ascii="仿宋" w:hAnsi="仿宋" w:eastAsia="仿宋" w:cs="仿宋"/>
          <w:color w:val="auto"/>
          <w:sz w:val="25"/>
          <w:u w:val="single"/>
        </w:rPr>
        <w:t xml:space="preserve">                       </w:t>
      </w:r>
      <w:r>
        <w:rPr>
          <w:rFonts w:hint="eastAsia" w:ascii="仿宋" w:hAnsi="仿宋" w:eastAsia="仿宋" w:cs="仿宋"/>
          <w:color w:val="auto"/>
          <w:sz w:val="25"/>
        </w:rPr>
        <w:t>(全称、盖章)</w:t>
      </w:r>
    </w:p>
    <w:p w14:paraId="4BC73D7F">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法定代表人姓名：</w:t>
      </w:r>
      <w:r>
        <w:rPr>
          <w:rFonts w:hint="eastAsia" w:ascii="仿宋" w:hAnsi="仿宋" w:eastAsia="仿宋" w:cs="仿宋"/>
          <w:color w:val="auto"/>
          <w:sz w:val="25"/>
          <w:u w:val="single"/>
        </w:rPr>
        <w:t xml:space="preserve">               </w:t>
      </w:r>
    </w:p>
    <w:p w14:paraId="31C75C0B">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授权委托人</w:t>
      </w:r>
      <w:r>
        <w:rPr>
          <w:rFonts w:hint="eastAsia" w:ascii="仿宋" w:hAnsi="仿宋" w:eastAsia="仿宋" w:cs="仿宋"/>
          <w:color w:val="auto"/>
          <w:sz w:val="25"/>
          <w:lang w:val="en-US" w:eastAsia="zh-CN"/>
        </w:rPr>
        <w:t>签字</w:t>
      </w:r>
      <w:r>
        <w:rPr>
          <w:rFonts w:hint="eastAsia" w:ascii="仿宋" w:hAnsi="仿宋" w:eastAsia="仿宋" w:cs="仿宋"/>
          <w:color w:val="auto"/>
          <w:sz w:val="25"/>
        </w:rPr>
        <w:t>：</w:t>
      </w:r>
      <w:r>
        <w:rPr>
          <w:rFonts w:hint="eastAsia" w:ascii="仿宋" w:hAnsi="仿宋" w:eastAsia="仿宋" w:cs="仿宋"/>
          <w:color w:val="auto"/>
          <w:sz w:val="25"/>
          <w:u w:val="single"/>
        </w:rPr>
        <w:t xml:space="preserve">                   </w:t>
      </w:r>
    </w:p>
    <w:p w14:paraId="5FA4A323">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联系方式：</w:t>
      </w:r>
      <w:r>
        <w:rPr>
          <w:rFonts w:hint="eastAsia" w:ascii="仿宋" w:hAnsi="仿宋" w:eastAsia="仿宋" w:cs="仿宋"/>
          <w:color w:val="auto"/>
          <w:sz w:val="25"/>
          <w:u w:val="single"/>
        </w:rPr>
        <w:t xml:space="preserve">                     </w:t>
      </w:r>
    </w:p>
    <w:p w14:paraId="6A1191DB">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日    期：</w:t>
      </w:r>
      <w:r>
        <w:rPr>
          <w:rFonts w:hint="eastAsia" w:ascii="仿宋" w:hAnsi="仿宋" w:eastAsia="仿宋" w:cs="仿宋"/>
          <w:color w:val="auto"/>
          <w:sz w:val="25"/>
          <w:u w:val="single"/>
        </w:rPr>
        <w:t xml:space="preserve">                      </w:t>
      </w:r>
    </w:p>
    <w:tbl>
      <w:tblPr>
        <w:tblStyle w:val="19"/>
        <w:tblpPr w:leftFromText="180" w:rightFromText="180" w:vertAnchor="text" w:horzAnchor="page" w:tblpXSpec="center" w:tblpY="4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4463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7847" w:type="dxa"/>
          </w:tcPr>
          <w:p w14:paraId="166055B8">
            <w:pPr>
              <w:snapToGrid w:val="0"/>
              <w:spacing w:line="420" w:lineRule="exact"/>
              <w:ind w:firstLine="424" w:firstLineChars="202"/>
              <w:jc w:val="left"/>
              <w:rPr>
                <w:rFonts w:ascii="仿宋" w:hAnsi="仿宋" w:eastAsia="仿宋" w:cs="仿宋"/>
                <w:color w:val="auto"/>
              </w:rPr>
            </w:pPr>
          </w:p>
          <w:p w14:paraId="5315BF83">
            <w:pPr>
              <w:snapToGrid w:val="0"/>
              <w:spacing w:line="420" w:lineRule="exact"/>
              <w:jc w:val="center"/>
              <w:rPr>
                <w:rFonts w:ascii="仿宋" w:hAnsi="仿宋" w:eastAsia="仿宋" w:cs="仿宋"/>
                <w:b/>
                <w:bCs/>
                <w:color w:val="auto"/>
              </w:rPr>
            </w:pPr>
            <w:r>
              <w:rPr>
                <w:rFonts w:hint="eastAsia" w:ascii="仿宋" w:hAnsi="仿宋" w:eastAsia="仿宋" w:cs="仿宋"/>
                <w:b/>
                <w:bCs/>
                <w:color w:val="auto"/>
              </w:rPr>
              <w:t>法定代表人、授权委托人身份证（正、反面）复印件并加盖公章</w:t>
            </w:r>
            <w:r>
              <w:rPr>
                <w:rFonts w:hint="eastAsia" w:ascii="仿宋" w:hAnsi="仿宋" w:eastAsia="仿宋" w:cs="仿宋"/>
                <w:b/>
                <w:bCs/>
                <w:color w:val="auto"/>
                <w:u w:val="single"/>
              </w:rPr>
              <w:t>（黏贴此处，原件备查）</w:t>
            </w:r>
          </w:p>
          <w:p w14:paraId="7198D13D">
            <w:pPr>
              <w:snapToGrid w:val="0"/>
              <w:spacing w:line="420" w:lineRule="exact"/>
              <w:jc w:val="center"/>
              <w:rPr>
                <w:rFonts w:ascii="仿宋" w:hAnsi="仿宋" w:eastAsia="仿宋" w:cs="仿宋"/>
                <w:b/>
                <w:bCs/>
                <w:color w:val="auto"/>
              </w:rPr>
            </w:pPr>
          </w:p>
          <w:p w14:paraId="7F2B2EA4">
            <w:pPr>
              <w:snapToGrid w:val="0"/>
              <w:spacing w:line="420" w:lineRule="exact"/>
              <w:jc w:val="center"/>
              <w:rPr>
                <w:rFonts w:ascii="仿宋" w:hAnsi="仿宋" w:eastAsia="仿宋" w:cs="仿宋"/>
                <w:b/>
                <w:bCs/>
                <w:color w:val="auto"/>
              </w:rPr>
            </w:pPr>
          </w:p>
          <w:p w14:paraId="0EAEC552">
            <w:pPr>
              <w:snapToGrid w:val="0"/>
              <w:spacing w:line="420" w:lineRule="exact"/>
              <w:jc w:val="center"/>
              <w:rPr>
                <w:rFonts w:ascii="仿宋" w:hAnsi="仿宋" w:eastAsia="仿宋" w:cs="仿宋"/>
                <w:color w:val="auto"/>
              </w:rPr>
            </w:pPr>
          </w:p>
          <w:p w14:paraId="712ECC4E">
            <w:pPr>
              <w:snapToGrid w:val="0"/>
              <w:spacing w:line="420" w:lineRule="exact"/>
              <w:jc w:val="center"/>
              <w:rPr>
                <w:rFonts w:ascii="仿宋" w:hAnsi="仿宋" w:eastAsia="仿宋" w:cs="仿宋"/>
                <w:color w:val="auto"/>
              </w:rPr>
            </w:pPr>
          </w:p>
        </w:tc>
      </w:tr>
    </w:tbl>
    <w:p w14:paraId="4A4D1178">
      <w:pPr>
        <w:snapToGrid w:val="0"/>
        <w:spacing w:line="360" w:lineRule="auto"/>
        <w:jc w:val="center"/>
        <w:rPr>
          <w:rFonts w:ascii="宋体" w:hAnsi="宋体" w:cs="宋体"/>
          <w:color w:val="auto"/>
          <w:sz w:val="28"/>
          <w:szCs w:val="28"/>
        </w:rPr>
      </w:pPr>
    </w:p>
    <w:p w14:paraId="484B35A4">
      <w:pPr>
        <w:snapToGrid w:val="0"/>
        <w:spacing w:line="360" w:lineRule="auto"/>
        <w:ind w:firstLine="560" w:firstLineChars="200"/>
        <w:rPr>
          <w:rFonts w:ascii="宋体" w:hAnsi="宋体" w:cs="宋体"/>
          <w:color w:val="auto"/>
          <w:kern w:val="0"/>
          <w:sz w:val="28"/>
          <w:szCs w:val="28"/>
        </w:rPr>
      </w:pPr>
    </w:p>
    <w:p w14:paraId="0090F923">
      <w:pPr>
        <w:snapToGrid w:val="0"/>
        <w:spacing w:line="360" w:lineRule="auto"/>
        <w:ind w:firstLine="560" w:firstLineChars="200"/>
        <w:rPr>
          <w:rFonts w:ascii="宋体" w:hAnsi="宋体" w:cs="宋体"/>
          <w:color w:val="auto"/>
          <w:kern w:val="0"/>
          <w:sz w:val="28"/>
          <w:szCs w:val="28"/>
        </w:rPr>
        <w:sectPr>
          <w:footerReference r:id="rId6" w:type="first"/>
          <w:footerReference r:id="rId5" w:type="default"/>
          <w:pgSz w:w="11905" w:h="16838"/>
          <w:pgMar w:top="1440" w:right="1797" w:bottom="1440" w:left="1797" w:header="850" w:footer="992" w:gutter="0"/>
          <w:pgNumType w:start="1"/>
          <w:cols w:space="720" w:num="1"/>
          <w:docGrid w:linePitch="286" w:charSpace="0"/>
        </w:sectPr>
      </w:pPr>
    </w:p>
    <w:p w14:paraId="2560E071">
      <w:pPr>
        <w:kinsoku w:val="0"/>
        <w:topLinePunct/>
        <w:autoSpaceDE w:val="0"/>
        <w:autoSpaceDN w:val="0"/>
        <w:spacing w:line="500" w:lineRule="atLeast"/>
        <w:ind w:right="210" w:firstLine="526" w:firstLineChars="187"/>
        <w:jc w:val="center"/>
        <w:textAlignment w:val="baseline"/>
        <w:rPr>
          <w:rFonts w:ascii="仿宋" w:hAnsi="仿宋" w:eastAsia="仿宋" w:cs="仿宋"/>
          <w:b/>
          <w:color w:val="auto"/>
          <w:sz w:val="28"/>
          <w:szCs w:val="28"/>
        </w:rPr>
      </w:pPr>
      <w:r>
        <w:rPr>
          <w:rFonts w:hint="eastAsia" w:ascii="仿宋" w:hAnsi="仿宋" w:eastAsia="仿宋" w:cs="仿宋"/>
          <w:b/>
          <w:bCs/>
          <w:color w:val="auto"/>
          <w:sz w:val="28"/>
          <w:szCs w:val="28"/>
        </w:rPr>
        <w:t>4.</w:t>
      </w:r>
      <w:r>
        <w:rPr>
          <w:rFonts w:hint="eastAsia" w:ascii="仿宋" w:hAnsi="仿宋" w:eastAsia="仿宋" w:cs="仿宋"/>
          <w:b/>
          <w:color w:val="auto"/>
          <w:sz w:val="28"/>
          <w:szCs w:val="28"/>
        </w:rPr>
        <w:t>无重大违法记录声明</w:t>
      </w:r>
    </w:p>
    <w:p w14:paraId="2242DB3E">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lang w:eastAsia="zh-CN"/>
        </w:rPr>
        <w:t>崇川区文峰街道社区卫生服务中心</w:t>
      </w:r>
      <w:r>
        <w:rPr>
          <w:rFonts w:hint="eastAsia" w:ascii="仿宋" w:hAnsi="仿宋" w:eastAsia="仿宋" w:cs="仿宋"/>
          <w:bCs/>
          <w:color w:val="auto"/>
          <w:sz w:val="28"/>
          <w:szCs w:val="28"/>
        </w:rPr>
        <w:t>：</w:t>
      </w:r>
    </w:p>
    <w:p w14:paraId="62D7B43B">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我公司郑重声明：参加本次采购活动前 3 年内，我公司在经营活动中</w:t>
      </w:r>
      <w:r>
        <w:rPr>
          <w:rFonts w:hint="eastAsia" w:ascii="仿宋" w:hAnsi="仿宋" w:eastAsia="仿宋" w:cs="仿宋"/>
          <w:b/>
          <w:bCs/>
          <w:color w:val="auto"/>
          <w:sz w:val="28"/>
          <w:szCs w:val="28"/>
          <w:u w:val="single"/>
        </w:rPr>
        <w:t>（有/没有）</w:t>
      </w:r>
      <w:r>
        <w:rPr>
          <w:rFonts w:hint="eastAsia" w:ascii="仿宋" w:hAnsi="仿宋" w:eastAsia="仿宋" w:cs="仿宋"/>
          <w:color w:val="auto"/>
          <w:sz w:val="28"/>
          <w:szCs w:val="28"/>
        </w:rPr>
        <w:t>因违法经营受到刑事处罚或者责令停产停业、吊销许可证或者执照、较大数额罚款等行政处罚。</w:t>
      </w:r>
    </w:p>
    <w:p w14:paraId="7E5F464C">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在投标截止时间节点，没有被</w:t>
      </w:r>
      <w:r>
        <w:rPr>
          <w:rFonts w:hint="eastAsia" w:ascii="仿宋" w:hAnsi="仿宋" w:eastAsia="仿宋" w:cs="仿宋"/>
          <w:color w:val="auto"/>
          <w:sz w:val="28"/>
          <w:szCs w:val="32"/>
        </w:rPr>
        <w:t>“信用中国”</w:t>
      </w:r>
      <w:r>
        <w:rPr>
          <w:rFonts w:hint="eastAsia" w:ascii="仿宋" w:hAnsi="仿宋" w:eastAsia="仿宋" w:cs="仿宋"/>
          <w:color w:val="auto"/>
          <w:sz w:val="28"/>
          <w:szCs w:val="28"/>
        </w:rPr>
        <w:t>网站列入失信被执行人、重大税收违法案件当事人名单、采购严重违法失信行为记录名单。</w:t>
      </w:r>
    </w:p>
    <w:p w14:paraId="3657CB48">
      <w:pPr>
        <w:snapToGrid w:val="0"/>
        <w:spacing w:line="360" w:lineRule="auto"/>
        <w:ind w:firstLine="200"/>
        <w:rPr>
          <w:rFonts w:ascii="仿宋" w:hAnsi="仿宋" w:eastAsia="仿宋" w:cs="仿宋"/>
          <w:color w:val="auto"/>
          <w:sz w:val="28"/>
          <w:szCs w:val="28"/>
        </w:rPr>
      </w:pPr>
    </w:p>
    <w:p w14:paraId="44903E6F">
      <w:pPr>
        <w:snapToGrid w:val="0"/>
        <w:spacing w:line="480" w:lineRule="auto"/>
        <w:ind w:right="720" w:firstLine="560" w:firstLineChars="200"/>
        <w:contextualSpacing/>
        <w:jc w:val="right"/>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14:paraId="002911A5">
      <w:pPr>
        <w:snapToGrid w:val="0"/>
        <w:spacing w:line="480" w:lineRule="auto"/>
        <w:ind w:right="720" w:firstLine="560" w:firstLineChars="200"/>
        <w:contextualSpacing/>
        <w:jc w:val="right"/>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27CCE329">
      <w:pPr>
        <w:snapToGrid w:val="0"/>
        <w:spacing w:line="360" w:lineRule="auto"/>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bookmarkStart w:id="43" w:name="_Toc12794"/>
      <w:r>
        <w:rPr>
          <w:rFonts w:hint="eastAsia" w:ascii="仿宋" w:hAnsi="仿宋" w:eastAsia="仿宋" w:cs="仿宋"/>
          <w:color w:val="auto"/>
          <w:sz w:val="28"/>
          <w:szCs w:val="28"/>
        </w:rPr>
        <w:t>日期：</w:t>
      </w:r>
      <w:bookmarkEnd w:id="43"/>
    </w:p>
    <w:p w14:paraId="15D8B1D2">
      <w:pPr>
        <w:snapToGrid w:val="0"/>
        <w:spacing w:line="360" w:lineRule="auto"/>
        <w:ind w:firstLine="560" w:firstLineChars="200"/>
        <w:rPr>
          <w:rFonts w:ascii="宋体" w:hAnsi="宋体" w:cs="宋体"/>
          <w:color w:val="auto"/>
          <w:sz w:val="28"/>
          <w:szCs w:val="28"/>
        </w:rPr>
      </w:pPr>
    </w:p>
    <w:p w14:paraId="494251BD">
      <w:pPr>
        <w:spacing w:line="440" w:lineRule="exact"/>
        <w:rPr>
          <w:rFonts w:ascii="宋体" w:hAnsi="宋体" w:cs="宋体"/>
          <w:b/>
          <w:color w:val="auto"/>
          <w:sz w:val="28"/>
          <w:szCs w:val="28"/>
        </w:rPr>
      </w:pPr>
    </w:p>
    <w:p w14:paraId="43994795">
      <w:pPr>
        <w:spacing w:line="440" w:lineRule="exact"/>
        <w:rPr>
          <w:rFonts w:ascii="宋体" w:hAnsi="宋体" w:cs="宋体"/>
          <w:b/>
          <w:color w:val="auto"/>
          <w:sz w:val="28"/>
          <w:szCs w:val="28"/>
        </w:rPr>
      </w:pPr>
    </w:p>
    <w:p w14:paraId="54623089">
      <w:pPr>
        <w:spacing w:line="440" w:lineRule="exact"/>
        <w:rPr>
          <w:rFonts w:ascii="宋体" w:hAnsi="宋体" w:cs="宋体"/>
          <w:b/>
          <w:color w:val="auto"/>
          <w:sz w:val="28"/>
          <w:szCs w:val="28"/>
        </w:rPr>
      </w:pPr>
    </w:p>
    <w:p w14:paraId="24D669FB">
      <w:pPr>
        <w:spacing w:line="440" w:lineRule="exact"/>
        <w:rPr>
          <w:rFonts w:ascii="宋体" w:hAnsi="宋体" w:cs="宋体"/>
          <w:b/>
          <w:color w:val="auto"/>
          <w:sz w:val="28"/>
          <w:szCs w:val="28"/>
        </w:rPr>
      </w:pPr>
    </w:p>
    <w:p w14:paraId="0A88D192">
      <w:pPr>
        <w:spacing w:line="440" w:lineRule="exact"/>
        <w:rPr>
          <w:rFonts w:ascii="宋体" w:hAnsi="宋体" w:cs="宋体"/>
          <w:b/>
          <w:color w:val="auto"/>
          <w:sz w:val="28"/>
          <w:szCs w:val="28"/>
        </w:rPr>
      </w:pPr>
    </w:p>
    <w:p w14:paraId="0DBB26A8">
      <w:pPr>
        <w:spacing w:line="440" w:lineRule="exact"/>
        <w:rPr>
          <w:rFonts w:ascii="宋体" w:hAnsi="宋体" w:cs="宋体"/>
          <w:b/>
          <w:color w:val="auto"/>
          <w:sz w:val="28"/>
          <w:szCs w:val="28"/>
        </w:rPr>
      </w:pPr>
    </w:p>
    <w:p w14:paraId="2E474C54">
      <w:pPr>
        <w:spacing w:line="440" w:lineRule="exact"/>
        <w:rPr>
          <w:rFonts w:ascii="宋体" w:hAnsi="宋体" w:cs="宋体"/>
          <w:b/>
          <w:color w:val="auto"/>
          <w:sz w:val="28"/>
          <w:szCs w:val="28"/>
        </w:rPr>
      </w:pPr>
    </w:p>
    <w:p w14:paraId="62A1410C">
      <w:pPr>
        <w:spacing w:line="440" w:lineRule="exact"/>
        <w:rPr>
          <w:rFonts w:ascii="宋体" w:hAnsi="宋体" w:cs="宋体"/>
          <w:b/>
          <w:color w:val="auto"/>
          <w:sz w:val="28"/>
          <w:szCs w:val="28"/>
        </w:rPr>
      </w:pPr>
    </w:p>
    <w:p w14:paraId="262D5EDE">
      <w:pPr>
        <w:spacing w:line="440" w:lineRule="exact"/>
        <w:rPr>
          <w:rFonts w:ascii="宋体" w:hAnsi="宋体" w:cs="宋体"/>
          <w:b/>
          <w:color w:val="auto"/>
          <w:sz w:val="28"/>
          <w:szCs w:val="28"/>
        </w:rPr>
      </w:pPr>
    </w:p>
    <w:p w14:paraId="50278F93">
      <w:pPr>
        <w:spacing w:line="440" w:lineRule="exact"/>
        <w:rPr>
          <w:rFonts w:ascii="宋体" w:hAnsi="宋体" w:cs="宋体"/>
          <w:b/>
          <w:color w:val="auto"/>
          <w:sz w:val="28"/>
          <w:szCs w:val="28"/>
        </w:rPr>
      </w:pPr>
    </w:p>
    <w:p w14:paraId="27769B8C">
      <w:pPr>
        <w:spacing w:line="440" w:lineRule="exact"/>
        <w:rPr>
          <w:rFonts w:ascii="宋体" w:hAnsi="宋体" w:cs="宋体"/>
          <w:b/>
          <w:color w:val="auto"/>
          <w:sz w:val="28"/>
          <w:szCs w:val="28"/>
        </w:rPr>
      </w:pPr>
    </w:p>
    <w:p w14:paraId="1BC6EF38">
      <w:pPr>
        <w:spacing w:line="440" w:lineRule="exact"/>
        <w:rPr>
          <w:rFonts w:ascii="宋体" w:hAnsi="宋体" w:cs="宋体"/>
          <w:b/>
          <w:color w:val="auto"/>
          <w:sz w:val="28"/>
          <w:szCs w:val="28"/>
        </w:rPr>
      </w:pPr>
    </w:p>
    <w:p w14:paraId="2D499113">
      <w:pPr>
        <w:pStyle w:val="17"/>
        <w:ind w:firstLine="281"/>
        <w:rPr>
          <w:rFonts w:ascii="宋体" w:hAnsi="宋体" w:cs="宋体"/>
          <w:b/>
          <w:color w:val="auto"/>
          <w:sz w:val="28"/>
          <w:szCs w:val="28"/>
        </w:rPr>
      </w:pPr>
    </w:p>
    <w:p w14:paraId="5A15D5DF">
      <w:pPr>
        <w:spacing w:line="360" w:lineRule="auto"/>
        <w:jc w:val="center"/>
        <w:outlineLvl w:val="2"/>
        <w:rPr>
          <w:rFonts w:ascii="宋体" w:hAnsi="宋体" w:cs="宋体"/>
          <w:b/>
          <w:color w:val="auto"/>
          <w:sz w:val="28"/>
          <w:szCs w:val="28"/>
        </w:rPr>
      </w:pPr>
    </w:p>
    <w:p w14:paraId="3C3D7D66">
      <w:pPr>
        <w:rPr>
          <w:rFonts w:ascii="宋体" w:hAnsi="宋体" w:cs="宋体"/>
          <w:b/>
          <w:color w:val="auto"/>
          <w:sz w:val="28"/>
          <w:szCs w:val="28"/>
        </w:rPr>
      </w:pPr>
      <w:bookmarkStart w:id="44" w:name="_Hlk89675716"/>
      <w:r>
        <w:rPr>
          <w:rFonts w:hint="eastAsia" w:ascii="宋体" w:hAnsi="宋体" w:cs="宋体"/>
          <w:b/>
          <w:color w:val="auto"/>
          <w:sz w:val="28"/>
          <w:szCs w:val="28"/>
        </w:rPr>
        <w:br w:type="page"/>
      </w:r>
    </w:p>
    <w:p w14:paraId="22755C50">
      <w:pPr>
        <w:spacing w:line="360" w:lineRule="auto"/>
        <w:jc w:val="both"/>
        <w:outlineLvl w:val="2"/>
        <w:rPr>
          <w:rFonts w:ascii="宋体" w:hAnsi="宋体" w:cs="宋体"/>
          <w:b/>
          <w:color w:val="auto"/>
          <w:sz w:val="28"/>
          <w:szCs w:val="28"/>
        </w:rPr>
      </w:pPr>
      <w:r>
        <w:rPr>
          <w:rFonts w:hint="eastAsia" w:ascii="宋体" w:hAnsi="宋体" w:cs="宋体"/>
          <w:b/>
          <w:color w:val="auto"/>
          <w:sz w:val="28"/>
          <w:szCs w:val="28"/>
        </w:rPr>
        <w:t>价格文件响应文件相关格式</w:t>
      </w:r>
    </w:p>
    <w:p w14:paraId="6C4ADD82">
      <w:pPr>
        <w:pStyle w:val="43"/>
        <w:snapToGrid w:val="0"/>
        <w:spacing w:line="300" w:lineRule="auto"/>
        <w:ind w:firstLine="562" w:firstLineChars="200"/>
        <w:jc w:val="center"/>
        <w:outlineLvl w:val="0"/>
        <w:rPr>
          <w:rFonts w:ascii="仿宋" w:hAnsi="仿宋" w:eastAsia="仿宋" w:cs="仿宋"/>
          <w:b/>
          <w:color w:val="auto"/>
          <w:sz w:val="28"/>
        </w:rPr>
      </w:pPr>
      <w:bookmarkStart w:id="45" w:name="_Toc23203"/>
      <w:r>
        <w:rPr>
          <w:rFonts w:hint="eastAsia" w:ascii="仿宋" w:hAnsi="仿宋" w:eastAsia="仿宋" w:cs="仿宋"/>
          <w:b/>
          <w:color w:val="auto"/>
          <w:sz w:val="28"/>
        </w:rPr>
        <w:t>1.</w:t>
      </w:r>
      <w:bookmarkEnd w:id="45"/>
      <w:r>
        <w:rPr>
          <w:rFonts w:hint="eastAsia" w:ascii="仿宋" w:hAnsi="仿宋" w:eastAsia="仿宋" w:cs="仿宋"/>
          <w:b/>
          <w:color w:val="auto"/>
          <w:sz w:val="28"/>
        </w:rPr>
        <w:t>报价总表</w:t>
      </w:r>
    </w:p>
    <w:tbl>
      <w:tblPr>
        <w:tblStyle w:val="1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9831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5A41D52F">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D74E365">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14:paraId="63ACE820">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221BBBFD">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付款方式</w:t>
            </w:r>
          </w:p>
        </w:tc>
      </w:tr>
      <w:tr w14:paraId="67623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1E06BDC7">
            <w:pPr>
              <w:kinsoku w:val="0"/>
              <w:topLinePunct/>
              <w:spacing w:line="440" w:lineRule="exact"/>
              <w:rPr>
                <w:rFonts w:ascii="仿宋" w:hAnsi="仿宋" w:eastAsia="仿宋" w:cs="仿宋"/>
                <w:b/>
                <w:bCs/>
                <w:color w:val="auto"/>
                <w:sz w:val="28"/>
                <w:szCs w:val="28"/>
              </w:rPr>
            </w:pPr>
            <w:r>
              <w:rPr>
                <w:rFonts w:hint="eastAsia" w:ascii="仿宋" w:hAnsi="仿宋" w:eastAsia="仿宋" w:cs="仿宋"/>
                <w:color w:val="auto"/>
                <w:sz w:val="28"/>
                <w:szCs w:val="28"/>
                <w:lang w:eastAsia="zh-CN"/>
              </w:rPr>
              <w:t>崇川区文峰街道社区卫生服务中心</w:t>
            </w:r>
            <w:r>
              <w:rPr>
                <w:rFonts w:hint="eastAsia" w:ascii="仿宋" w:hAnsi="仿宋" w:eastAsia="仿宋" w:cs="仿宋"/>
                <w:color w:val="auto"/>
                <w:sz w:val="28"/>
                <w:szCs w:val="28"/>
                <w:lang w:val="en-US" w:eastAsia="zh-CN"/>
              </w:rPr>
              <w:t>十二道心电图机、经皮黄疸仪</w:t>
            </w:r>
            <w:r>
              <w:rPr>
                <w:rFonts w:hint="eastAsia" w:ascii="仿宋" w:hAnsi="仿宋" w:eastAsia="仿宋" w:cs="仿宋"/>
                <w:color w:val="auto"/>
                <w:sz w:val="28"/>
                <w:szCs w:val="28"/>
              </w:rPr>
              <w:t>采购安装项目</w:t>
            </w:r>
          </w:p>
        </w:tc>
        <w:tc>
          <w:tcPr>
            <w:tcW w:w="2400" w:type="dxa"/>
            <w:tcBorders>
              <w:top w:val="single" w:color="auto" w:sz="4" w:space="0"/>
              <w:left w:val="single" w:color="auto" w:sz="4" w:space="0"/>
              <w:bottom w:val="single" w:color="auto" w:sz="4" w:space="0"/>
              <w:right w:val="single" w:color="auto" w:sz="4" w:space="0"/>
            </w:tcBorders>
            <w:vAlign w:val="center"/>
          </w:tcPr>
          <w:p w14:paraId="619AFD0B">
            <w:pPr>
              <w:kinsoku w:val="0"/>
              <w:topLinePunct/>
              <w:spacing w:line="440" w:lineRule="exact"/>
              <w:rPr>
                <w:rFonts w:ascii="仿宋" w:hAnsi="仿宋" w:eastAsia="仿宋" w:cs="仿宋"/>
                <w:b/>
                <w:color w:val="auto"/>
                <w:sz w:val="28"/>
                <w:szCs w:val="28"/>
              </w:rPr>
            </w:pPr>
            <w:r>
              <w:rPr>
                <w:rFonts w:hint="eastAsia" w:ascii="仿宋" w:hAnsi="仿宋" w:eastAsia="仿宋" w:cs="仿宋"/>
                <w:b/>
                <w:color w:val="auto"/>
                <w:sz w:val="28"/>
                <w:szCs w:val="28"/>
              </w:rPr>
              <w:t>大写：</w:t>
            </w:r>
          </w:p>
          <w:p w14:paraId="65F43D64">
            <w:pPr>
              <w:kinsoku w:val="0"/>
              <w:topLinePunct/>
              <w:spacing w:line="440" w:lineRule="exact"/>
              <w:rPr>
                <w:rFonts w:ascii="仿宋" w:hAnsi="仿宋" w:eastAsia="仿宋" w:cs="仿宋"/>
                <w:color w:val="auto"/>
                <w:sz w:val="28"/>
                <w:szCs w:val="28"/>
              </w:rPr>
            </w:pPr>
            <w:r>
              <w:rPr>
                <w:rFonts w:hint="eastAsia" w:ascii="仿宋" w:hAnsi="仿宋" w:eastAsia="仿宋" w:cs="仿宋"/>
                <w:b/>
                <w:color w:val="auto"/>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73E5683C">
            <w:pPr>
              <w:kinsoku w:val="0"/>
              <w:topLinePunct/>
              <w:spacing w:line="440" w:lineRule="exact"/>
              <w:rPr>
                <w:rFonts w:ascii="仿宋" w:hAnsi="仿宋" w:eastAsia="仿宋" w:cs="仿宋"/>
                <w:color w:val="auto"/>
                <w:sz w:val="28"/>
                <w:szCs w:val="28"/>
              </w:rPr>
            </w:pPr>
            <w:r>
              <w:rPr>
                <w:rFonts w:hint="eastAsia" w:ascii="仿宋" w:hAnsi="仿宋" w:eastAsia="仿宋" w:cs="仿宋"/>
                <w:color w:val="auto"/>
                <w:sz w:val="28"/>
                <w:szCs w:val="28"/>
              </w:rPr>
              <w:t>完全响应比价议价文件要求</w:t>
            </w:r>
          </w:p>
        </w:tc>
        <w:tc>
          <w:tcPr>
            <w:tcW w:w="1850" w:type="dxa"/>
            <w:tcBorders>
              <w:top w:val="single" w:color="auto" w:sz="4" w:space="0"/>
              <w:left w:val="single" w:color="auto" w:sz="4" w:space="0"/>
              <w:bottom w:val="single" w:color="auto" w:sz="4" w:space="0"/>
              <w:right w:val="single" w:color="auto" w:sz="4" w:space="0"/>
            </w:tcBorders>
          </w:tcPr>
          <w:p w14:paraId="099D30F5">
            <w:pPr>
              <w:kinsoku w:val="0"/>
              <w:topLinePunct/>
              <w:spacing w:line="440" w:lineRule="exact"/>
              <w:rPr>
                <w:rFonts w:ascii="仿宋" w:hAnsi="仿宋" w:eastAsia="仿宋" w:cs="仿宋"/>
                <w:color w:val="auto"/>
                <w:sz w:val="28"/>
                <w:szCs w:val="28"/>
              </w:rPr>
            </w:pPr>
            <w:r>
              <w:rPr>
                <w:rFonts w:hint="eastAsia" w:ascii="仿宋" w:hAnsi="仿宋" w:eastAsia="仿宋" w:cs="仿宋"/>
                <w:color w:val="auto"/>
                <w:sz w:val="28"/>
                <w:szCs w:val="28"/>
              </w:rPr>
              <w:t>完全响应比价议价文件要求的付款方式</w:t>
            </w:r>
          </w:p>
        </w:tc>
      </w:tr>
    </w:tbl>
    <w:p w14:paraId="1AE43C5D">
      <w:pPr>
        <w:widowControl/>
        <w:spacing w:line="440" w:lineRule="exact"/>
        <w:ind w:firstLine="280" w:firstLineChars="1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注</w:t>
      </w:r>
    </w:p>
    <w:p w14:paraId="77A9953D">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（1）本表为格式表，不得自行改动，必须提供，否则视为未实质性响应比选采购文件。</w:t>
      </w:r>
    </w:p>
    <w:p w14:paraId="5C2C6461">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（2）本项目为固定总价报价，投标报价包含完成本项目所需的全部费用。</w:t>
      </w:r>
    </w:p>
    <w:p w14:paraId="731F7D12">
      <w:pPr>
        <w:snapToGrid w:val="0"/>
        <w:spacing w:line="500" w:lineRule="exact"/>
        <w:ind w:left="1322" w:hanging="1321" w:hangingChars="472"/>
        <w:rPr>
          <w:rFonts w:ascii="仿宋" w:hAnsi="仿宋" w:eastAsia="仿宋" w:cs="仿宋"/>
          <w:color w:val="auto"/>
          <w:sz w:val="28"/>
          <w:szCs w:val="28"/>
        </w:rPr>
      </w:pPr>
    </w:p>
    <w:p w14:paraId="3B56C0DA">
      <w:pPr>
        <w:snapToGrid w:val="0"/>
        <w:spacing w:line="500" w:lineRule="exact"/>
        <w:ind w:left="1322" w:hanging="1321" w:hangingChars="472"/>
        <w:rPr>
          <w:rFonts w:ascii="仿宋" w:hAnsi="仿宋" w:eastAsia="仿宋" w:cs="仿宋"/>
          <w:color w:val="auto"/>
          <w:sz w:val="28"/>
          <w:szCs w:val="28"/>
        </w:rPr>
      </w:pPr>
    </w:p>
    <w:p w14:paraId="2ECD77E2">
      <w:pPr>
        <w:snapToGrid w:val="0"/>
        <w:spacing w:line="500" w:lineRule="exact"/>
        <w:ind w:left="1322" w:hanging="1321" w:hangingChars="472"/>
        <w:rPr>
          <w:rFonts w:ascii="仿宋" w:hAnsi="仿宋" w:eastAsia="仿宋" w:cs="仿宋"/>
          <w:color w:val="auto"/>
          <w:sz w:val="28"/>
          <w:szCs w:val="28"/>
        </w:rPr>
      </w:pPr>
    </w:p>
    <w:p w14:paraId="66CB4D23">
      <w:pPr>
        <w:snapToGrid w:val="0"/>
        <w:spacing w:line="500" w:lineRule="exact"/>
        <w:rPr>
          <w:rFonts w:ascii="仿宋" w:hAnsi="仿宋" w:eastAsia="仿宋" w:cs="仿宋"/>
          <w:color w:val="auto"/>
          <w:sz w:val="28"/>
          <w:szCs w:val="28"/>
        </w:rPr>
      </w:pPr>
    </w:p>
    <w:p w14:paraId="7B0190FC">
      <w:pPr>
        <w:snapToGrid w:val="0"/>
        <w:spacing w:line="500" w:lineRule="exact"/>
        <w:ind w:left="1322" w:hanging="1321" w:hangingChars="472"/>
        <w:rPr>
          <w:rFonts w:ascii="仿宋" w:hAnsi="仿宋" w:eastAsia="仿宋" w:cs="仿宋"/>
          <w:color w:val="auto"/>
          <w:sz w:val="28"/>
          <w:szCs w:val="28"/>
        </w:rPr>
      </w:pPr>
      <w:r>
        <w:rPr>
          <w:rFonts w:hint="eastAsia" w:ascii="仿宋" w:hAnsi="仿宋" w:eastAsia="仿宋" w:cs="仿宋"/>
          <w:color w:val="auto"/>
          <w:sz w:val="28"/>
          <w:szCs w:val="28"/>
        </w:rPr>
        <w:t xml:space="preserve">供应商名称：（盖章）             </w:t>
      </w:r>
    </w:p>
    <w:p w14:paraId="774349EA">
      <w:pPr>
        <w:snapToGrid w:val="0"/>
        <w:spacing w:line="500" w:lineRule="exact"/>
        <w:ind w:left="1322" w:hanging="1321" w:hangingChars="472"/>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14:paraId="70613E87">
      <w:pPr>
        <w:snapToGrid w:val="0"/>
        <w:spacing w:line="500" w:lineRule="exact"/>
        <w:ind w:left="1322" w:hanging="1321" w:hangingChars="472"/>
        <w:rPr>
          <w:rFonts w:ascii="仿宋" w:hAnsi="仿宋" w:eastAsia="仿宋" w:cs="仿宋"/>
          <w:color w:val="auto"/>
        </w:rPr>
      </w:pPr>
      <w:r>
        <w:rPr>
          <w:rFonts w:hint="eastAsia" w:ascii="仿宋" w:hAnsi="仿宋" w:eastAsia="仿宋" w:cs="仿宋"/>
          <w:color w:val="auto"/>
          <w:sz w:val="28"/>
          <w:szCs w:val="28"/>
        </w:rPr>
        <w:t>日期：</w:t>
      </w:r>
    </w:p>
    <w:p w14:paraId="41C7804D">
      <w:pPr>
        <w:pStyle w:val="17"/>
        <w:ind w:firstLine="0" w:firstLineChars="0"/>
        <w:rPr>
          <w:rFonts w:ascii="宋体" w:hAnsi="宋体" w:cs="宋体"/>
          <w:b/>
          <w:color w:val="auto"/>
          <w:sz w:val="28"/>
          <w:szCs w:val="28"/>
        </w:rPr>
      </w:pPr>
    </w:p>
    <w:bookmarkEnd w:id="44"/>
    <w:p w14:paraId="70E6CF4D">
      <w:pPr>
        <w:snapToGrid w:val="0"/>
        <w:spacing w:line="500" w:lineRule="exact"/>
        <w:rPr>
          <w:rFonts w:ascii="仿宋" w:hAnsi="仿宋" w:eastAsia="仿宋" w:cs="仿宋"/>
          <w:color w:val="auto"/>
          <w:sz w:val="28"/>
          <w:szCs w:val="28"/>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9105656-C88B-4FCA-A90F-BE49A48B4AFA}"/>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D363D30B-3670-43B6-9FEB-3DBFFA2F10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96D9">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B7E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C2656">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3C2656">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517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F1F7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D9F1F7F">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823D">
    <w:pPr>
      <w:pStyle w:val="14"/>
      <w:pBdr>
        <w:bottom w:val="none" w:color="auto" w:sz="0" w:space="1"/>
      </w:pBdr>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4470E"/>
    <w:rsid w:val="00056604"/>
    <w:rsid w:val="000C7F9C"/>
    <w:rsid w:val="000E02AF"/>
    <w:rsid w:val="001E22ED"/>
    <w:rsid w:val="00272111"/>
    <w:rsid w:val="002949E5"/>
    <w:rsid w:val="002F0374"/>
    <w:rsid w:val="00462629"/>
    <w:rsid w:val="004A4D87"/>
    <w:rsid w:val="005A7FDA"/>
    <w:rsid w:val="00692657"/>
    <w:rsid w:val="0070444C"/>
    <w:rsid w:val="00746F01"/>
    <w:rsid w:val="0077249D"/>
    <w:rsid w:val="007B3871"/>
    <w:rsid w:val="00865F09"/>
    <w:rsid w:val="008D5F88"/>
    <w:rsid w:val="009F44E6"/>
    <w:rsid w:val="00A426E0"/>
    <w:rsid w:val="00A60F6E"/>
    <w:rsid w:val="00A756C8"/>
    <w:rsid w:val="00A94916"/>
    <w:rsid w:val="00AB12B3"/>
    <w:rsid w:val="00AF78D9"/>
    <w:rsid w:val="00B22993"/>
    <w:rsid w:val="00BC3A2A"/>
    <w:rsid w:val="00C1470D"/>
    <w:rsid w:val="00D5486E"/>
    <w:rsid w:val="00D97D74"/>
    <w:rsid w:val="00DD0B27"/>
    <w:rsid w:val="00E101BC"/>
    <w:rsid w:val="00E50AD7"/>
    <w:rsid w:val="00E87080"/>
    <w:rsid w:val="00EA2E61"/>
    <w:rsid w:val="00ED3BC7"/>
    <w:rsid w:val="01311D17"/>
    <w:rsid w:val="01D33B0A"/>
    <w:rsid w:val="03334B45"/>
    <w:rsid w:val="04670567"/>
    <w:rsid w:val="053D43EE"/>
    <w:rsid w:val="05702C45"/>
    <w:rsid w:val="05BC5453"/>
    <w:rsid w:val="05BD7BE6"/>
    <w:rsid w:val="06186CF6"/>
    <w:rsid w:val="072208E6"/>
    <w:rsid w:val="07BF79E1"/>
    <w:rsid w:val="081E510F"/>
    <w:rsid w:val="08646E76"/>
    <w:rsid w:val="08E1359E"/>
    <w:rsid w:val="09077801"/>
    <w:rsid w:val="092533E4"/>
    <w:rsid w:val="09890F02"/>
    <w:rsid w:val="09B16E57"/>
    <w:rsid w:val="09D473A1"/>
    <w:rsid w:val="0A2543E3"/>
    <w:rsid w:val="0A2D19CC"/>
    <w:rsid w:val="0AA862BE"/>
    <w:rsid w:val="0AAA1DCB"/>
    <w:rsid w:val="0AB310F7"/>
    <w:rsid w:val="0BE40460"/>
    <w:rsid w:val="0C6912D8"/>
    <w:rsid w:val="0D16716C"/>
    <w:rsid w:val="0E045AB1"/>
    <w:rsid w:val="0E2D3866"/>
    <w:rsid w:val="0E5E1C72"/>
    <w:rsid w:val="0F44254D"/>
    <w:rsid w:val="0FD24DB4"/>
    <w:rsid w:val="0FEF37B9"/>
    <w:rsid w:val="103B394D"/>
    <w:rsid w:val="106E028D"/>
    <w:rsid w:val="10D9242F"/>
    <w:rsid w:val="1109016D"/>
    <w:rsid w:val="11276C93"/>
    <w:rsid w:val="11366ED6"/>
    <w:rsid w:val="11513E43"/>
    <w:rsid w:val="116A3BAA"/>
    <w:rsid w:val="11C566F9"/>
    <w:rsid w:val="12377EE3"/>
    <w:rsid w:val="124D2E03"/>
    <w:rsid w:val="140E7C96"/>
    <w:rsid w:val="1560491D"/>
    <w:rsid w:val="15AE34DE"/>
    <w:rsid w:val="15EC04AB"/>
    <w:rsid w:val="167912F0"/>
    <w:rsid w:val="168257AD"/>
    <w:rsid w:val="16885CB3"/>
    <w:rsid w:val="17111102"/>
    <w:rsid w:val="173619DD"/>
    <w:rsid w:val="190C374D"/>
    <w:rsid w:val="1A0F56C6"/>
    <w:rsid w:val="1A8D0141"/>
    <w:rsid w:val="1AAB25D5"/>
    <w:rsid w:val="1AFA5418"/>
    <w:rsid w:val="1B2E0C1E"/>
    <w:rsid w:val="1C5446B4"/>
    <w:rsid w:val="1C9D24FF"/>
    <w:rsid w:val="1CDA72AF"/>
    <w:rsid w:val="1D164873"/>
    <w:rsid w:val="1DE4451C"/>
    <w:rsid w:val="1E4A4F2B"/>
    <w:rsid w:val="1E6A6411"/>
    <w:rsid w:val="1ECE5416"/>
    <w:rsid w:val="1F4C53B2"/>
    <w:rsid w:val="1F752885"/>
    <w:rsid w:val="20784E15"/>
    <w:rsid w:val="20A0611A"/>
    <w:rsid w:val="21402BB9"/>
    <w:rsid w:val="21D267A7"/>
    <w:rsid w:val="233A4603"/>
    <w:rsid w:val="23730FB4"/>
    <w:rsid w:val="238B115D"/>
    <w:rsid w:val="243D1432"/>
    <w:rsid w:val="25095F36"/>
    <w:rsid w:val="26161362"/>
    <w:rsid w:val="261E020C"/>
    <w:rsid w:val="26395046"/>
    <w:rsid w:val="265232D8"/>
    <w:rsid w:val="26DC3C24"/>
    <w:rsid w:val="274517C9"/>
    <w:rsid w:val="28642123"/>
    <w:rsid w:val="28C11323"/>
    <w:rsid w:val="29813BB3"/>
    <w:rsid w:val="2A0A4FA1"/>
    <w:rsid w:val="2A2102CB"/>
    <w:rsid w:val="2A2829E0"/>
    <w:rsid w:val="2A4E7E11"/>
    <w:rsid w:val="2AA25A11"/>
    <w:rsid w:val="2B325505"/>
    <w:rsid w:val="2C2E3100"/>
    <w:rsid w:val="2C7E7070"/>
    <w:rsid w:val="2CAB7A2E"/>
    <w:rsid w:val="2D4B6C2E"/>
    <w:rsid w:val="2EF37840"/>
    <w:rsid w:val="2F134718"/>
    <w:rsid w:val="2FA2183B"/>
    <w:rsid w:val="30447100"/>
    <w:rsid w:val="30D447A6"/>
    <w:rsid w:val="317F1A54"/>
    <w:rsid w:val="31E10D30"/>
    <w:rsid w:val="31F17939"/>
    <w:rsid w:val="32B24171"/>
    <w:rsid w:val="3336315E"/>
    <w:rsid w:val="336851BD"/>
    <w:rsid w:val="337367C1"/>
    <w:rsid w:val="33F425AD"/>
    <w:rsid w:val="34553451"/>
    <w:rsid w:val="352A6529"/>
    <w:rsid w:val="3575722E"/>
    <w:rsid w:val="36050AA1"/>
    <w:rsid w:val="361B0A05"/>
    <w:rsid w:val="369342FF"/>
    <w:rsid w:val="36E55FCA"/>
    <w:rsid w:val="37862A05"/>
    <w:rsid w:val="37A744FF"/>
    <w:rsid w:val="37B43B93"/>
    <w:rsid w:val="37DC1CD5"/>
    <w:rsid w:val="384D03E5"/>
    <w:rsid w:val="38D126F4"/>
    <w:rsid w:val="39D11DEA"/>
    <w:rsid w:val="3BF6110C"/>
    <w:rsid w:val="3C884277"/>
    <w:rsid w:val="3CF200BC"/>
    <w:rsid w:val="3D3A3A78"/>
    <w:rsid w:val="3D580F69"/>
    <w:rsid w:val="3D7247A2"/>
    <w:rsid w:val="3D8514C9"/>
    <w:rsid w:val="3DD658F8"/>
    <w:rsid w:val="3E597B9D"/>
    <w:rsid w:val="3F011C8B"/>
    <w:rsid w:val="3F77596E"/>
    <w:rsid w:val="3F8D3286"/>
    <w:rsid w:val="404628A0"/>
    <w:rsid w:val="41682388"/>
    <w:rsid w:val="41737045"/>
    <w:rsid w:val="41AC3653"/>
    <w:rsid w:val="41BB733E"/>
    <w:rsid w:val="4272256F"/>
    <w:rsid w:val="429C6D3C"/>
    <w:rsid w:val="42E32AB3"/>
    <w:rsid w:val="445D7CFA"/>
    <w:rsid w:val="445F16A4"/>
    <w:rsid w:val="452A0524"/>
    <w:rsid w:val="45F62502"/>
    <w:rsid w:val="465854CC"/>
    <w:rsid w:val="46A61E2C"/>
    <w:rsid w:val="47224600"/>
    <w:rsid w:val="475140C4"/>
    <w:rsid w:val="4779212C"/>
    <w:rsid w:val="477A6FCA"/>
    <w:rsid w:val="479B659A"/>
    <w:rsid w:val="483F2F0A"/>
    <w:rsid w:val="48EC7DAD"/>
    <w:rsid w:val="49B56CF7"/>
    <w:rsid w:val="49D37330"/>
    <w:rsid w:val="4A225C6E"/>
    <w:rsid w:val="4AB80380"/>
    <w:rsid w:val="4D3E4131"/>
    <w:rsid w:val="4E1F06C6"/>
    <w:rsid w:val="4E222111"/>
    <w:rsid w:val="4E9D3394"/>
    <w:rsid w:val="4F3E79C5"/>
    <w:rsid w:val="4F7D6BA0"/>
    <w:rsid w:val="4FE747B0"/>
    <w:rsid w:val="50546455"/>
    <w:rsid w:val="50852AB2"/>
    <w:rsid w:val="511112AD"/>
    <w:rsid w:val="51461238"/>
    <w:rsid w:val="518455EF"/>
    <w:rsid w:val="51961290"/>
    <w:rsid w:val="52AA6867"/>
    <w:rsid w:val="5441650A"/>
    <w:rsid w:val="54560510"/>
    <w:rsid w:val="54A35BFD"/>
    <w:rsid w:val="54CE7034"/>
    <w:rsid w:val="551C6C7C"/>
    <w:rsid w:val="563220FD"/>
    <w:rsid w:val="56737652"/>
    <w:rsid w:val="56A66DCB"/>
    <w:rsid w:val="56C00728"/>
    <w:rsid w:val="576D144F"/>
    <w:rsid w:val="583C1C3F"/>
    <w:rsid w:val="58B21682"/>
    <w:rsid w:val="59777658"/>
    <w:rsid w:val="5A0031AA"/>
    <w:rsid w:val="5CB85FBE"/>
    <w:rsid w:val="5CFF2BB9"/>
    <w:rsid w:val="5D487342"/>
    <w:rsid w:val="5E966215"/>
    <w:rsid w:val="5F624457"/>
    <w:rsid w:val="5FAB7EDD"/>
    <w:rsid w:val="60284554"/>
    <w:rsid w:val="60854409"/>
    <w:rsid w:val="61493CA8"/>
    <w:rsid w:val="623A2767"/>
    <w:rsid w:val="627C6F3A"/>
    <w:rsid w:val="62891C65"/>
    <w:rsid w:val="62AC668A"/>
    <w:rsid w:val="631135E8"/>
    <w:rsid w:val="63253C81"/>
    <w:rsid w:val="63C65CD0"/>
    <w:rsid w:val="63FA1297"/>
    <w:rsid w:val="64742763"/>
    <w:rsid w:val="6490346F"/>
    <w:rsid w:val="64A31301"/>
    <w:rsid w:val="64CB6754"/>
    <w:rsid w:val="65310420"/>
    <w:rsid w:val="65653D3C"/>
    <w:rsid w:val="65C7545F"/>
    <w:rsid w:val="65F244BE"/>
    <w:rsid w:val="65FB6B83"/>
    <w:rsid w:val="665E3732"/>
    <w:rsid w:val="67C904A9"/>
    <w:rsid w:val="681A5E55"/>
    <w:rsid w:val="69266C34"/>
    <w:rsid w:val="698A2A90"/>
    <w:rsid w:val="699B17DB"/>
    <w:rsid w:val="6A1606C8"/>
    <w:rsid w:val="6AF90B95"/>
    <w:rsid w:val="6C5E528B"/>
    <w:rsid w:val="6D2D3E5E"/>
    <w:rsid w:val="6E740906"/>
    <w:rsid w:val="6EA41993"/>
    <w:rsid w:val="6F1654F2"/>
    <w:rsid w:val="6F281B5B"/>
    <w:rsid w:val="6F52009D"/>
    <w:rsid w:val="7028518A"/>
    <w:rsid w:val="702A0B29"/>
    <w:rsid w:val="70400E09"/>
    <w:rsid w:val="705D0EFE"/>
    <w:rsid w:val="70EC5684"/>
    <w:rsid w:val="7101188A"/>
    <w:rsid w:val="712D267F"/>
    <w:rsid w:val="71711623"/>
    <w:rsid w:val="719E17CE"/>
    <w:rsid w:val="7221678F"/>
    <w:rsid w:val="725D08B4"/>
    <w:rsid w:val="726D52A1"/>
    <w:rsid w:val="72704785"/>
    <w:rsid w:val="73027B3B"/>
    <w:rsid w:val="732D2599"/>
    <w:rsid w:val="73A9444D"/>
    <w:rsid w:val="74920388"/>
    <w:rsid w:val="74942EF3"/>
    <w:rsid w:val="74DE7CCA"/>
    <w:rsid w:val="75EC3B3B"/>
    <w:rsid w:val="773A78A3"/>
    <w:rsid w:val="773C0441"/>
    <w:rsid w:val="77E1648F"/>
    <w:rsid w:val="77FC0FFD"/>
    <w:rsid w:val="7A760A08"/>
    <w:rsid w:val="7A9F41FA"/>
    <w:rsid w:val="7B326B91"/>
    <w:rsid w:val="7B9A6B62"/>
    <w:rsid w:val="7BA37A91"/>
    <w:rsid w:val="7C00210B"/>
    <w:rsid w:val="7C5E55AC"/>
    <w:rsid w:val="7C694787"/>
    <w:rsid w:val="7C9D703A"/>
    <w:rsid w:val="7CD54211"/>
    <w:rsid w:val="7D454D0B"/>
    <w:rsid w:val="7D6E3691"/>
    <w:rsid w:val="7D846171"/>
    <w:rsid w:val="7E0C700A"/>
    <w:rsid w:val="7E422D60"/>
    <w:rsid w:val="7E694F12"/>
    <w:rsid w:val="7EAF6DC9"/>
    <w:rsid w:val="7EE14224"/>
    <w:rsid w:val="7F495460"/>
    <w:rsid w:val="7F6508F2"/>
    <w:rsid w:val="7FB5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kern w:val="0"/>
      <w:sz w:val="20"/>
      <w:szCs w:val="20"/>
    </w:rPr>
  </w:style>
  <w:style w:type="paragraph" w:styleId="5">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仿宋_GB2312" w:eastAsia="仿宋_GB2312"/>
      <w:kern w:val="0"/>
      <w:sz w:val="24"/>
      <w:szCs w:val="20"/>
    </w:r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autoRedefine/>
    <w:qFormat/>
    <w:uiPriority w:val="0"/>
    <w:rPr>
      <w:rFonts w:ascii="宋体" w:hAnsi="Courier New"/>
      <w:szCs w:val="22"/>
    </w:rPr>
  </w:style>
  <w:style w:type="paragraph" w:styleId="11">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2">
    <w:name w:val="Balloon Text"/>
    <w:basedOn w:val="1"/>
    <w:link w:val="53"/>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next w:val="5"/>
    <w:autoRedefine/>
    <w:qFormat/>
    <w:uiPriority w:val="0"/>
    <w:pPr>
      <w:spacing w:line="520" w:lineRule="exact"/>
      <w:ind w:firstLine="539" w:firstLineChars="184"/>
    </w:pPr>
    <w:rPr>
      <w:rFonts w:ascii="宋体"/>
      <w:b/>
      <w:spacing w:val="6"/>
      <w:sz w:val="28"/>
    </w:rPr>
  </w:style>
  <w:style w:type="paragraph" w:styleId="16">
    <w:name w:val="Normal (Web)"/>
    <w:basedOn w:val="1"/>
    <w:autoRedefine/>
    <w:qFormat/>
    <w:uiPriority w:val="99"/>
    <w:pPr>
      <w:spacing w:beforeAutospacing="1" w:afterAutospacing="1"/>
      <w:jc w:val="left"/>
    </w:pPr>
    <w:rPr>
      <w:kern w:val="0"/>
      <w:sz w:val="24"/>
    </w:rPr>
  </w:style>
  <w:style w:type="paragraph" w:styleId="17">
    <w:name w:val="Body Text First Indent"/>
    <w:basedOn w:val="7"/>
    <w:autoRedefine/>
    <w:qFormat/>
    <w:uiPriority w:val="0"/>
    <w:pPr>
      <w:spacing w:after="120"/>
      <w:ind w:firstLine="420" w:firstLineChars="100"/>
    </w:pPr>
    <w:rPr>
      <w:rFonts w:ascii="Times New Roman" w:eastAsia="宋体"/>
      <w:szCs w:val="24"/>
    </w:rPr>
  </w:style>
  <w:style w:type="paragraph" w:styleId="18">
    <w:name w:val="Body Text First Indent 2"/>
    <w:basedOn w:val="8"/>
    <w:next w:val="15"/>
    <w:autoRedefine/>
    <w:qFormat/>
    <w:uiPriority w:val="0"/>
    <w:pPr>
      <w:ind w:firstLine="420" w:firstLineChars="200"/>
    </w:pPr>
    <w:rPr>
      <w:szCs w:val="24"/>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paragraph" w:customStyle="1" w:styleId="23">
    <w:name w:val="段"/>
    <w:basedOn w:val="1"/>
    <w:next w:val="1"/>
    <w:autoRedefine/>
    <w:qFormat/>
    <w:uiPriority w:val="0"/>
    <w:pPr>
      <w:widowControl/>
      <w:autoSpaceDE w:val="0"/>
      <w:autoSpaceDN w:val="0"/>
      <w:ind w:firstLine="200" w:firstLineChars="200"/>
    </w:pPr>
    <w:rPr>
      <w:rFonts w:hint="eastAsia" w:ascii="宋体"/>
      <w:kern w:val="0"/>
    </w:rPr>
  </w:style>
  <w:style w:type="paragraph" w:customStyle="1" w:styleId="24">
    <w:name w:val="style4"/>
    <w:basedOn w:val="1"/>
    <w:next w:val="25"/>
    <w:autoRedefine/>
    <w:qFormat/>
    <w:uiPriority w:val="0"/>
    <w:pPr>
      <w:widowControl/>
      <w:spacing w:before="280" w:after="280"/>
    </w:pPr>
    <w:rPr>
      <w:rFonts w:ascii="宋体"/>
      <w:sz w:val="18"/>
    </w:rPr>
  </w:style>
  <w:style w:type="paragraph" w:customStyle="1" w:styleId="25">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列出段落1"/>
    <w:basedOn w:val="1"/>
    <w:autoRedefine/>
    <w:qFormat/>
    <w:uiPriority w:val="0"/>
    <w:pPr>
      <w:ind w:firstLine="420" w:firstLineChars="200"/>
    </w:pPr>
  </w:style>
  <w:style w:type="paragraph" w:customStyle="1" w:styleId="27">
    <w:name w:val="正文缩进1"/>
    <w:basedOn w:val="1"/>
    <w:next w:val="28"/>
    <w:autoRedefine/>
    <w:qFormat/>
    <w:uiPriority w:val="0"/>
    <w:pPr>
      <w:widowControl/>
      <w:ind w:firstLine="420"/>
      <w:jc w:val="left"/>
    </w:pPr>
    <w:rPr>
      <w:kern w:val="0"/>
    </w:rPr>
  </w:style>
  <w:style w:type="paragraph" w:customStyle="1" w:styleId="28">
    <w:name w:val="List Paragraph1"/>
    <w:basedOn w:val="1"/>
    <w:next w:val="29"/>
    <w:autoRedefine/>
    <w:qFormat/>
    <w:uiPriority w:val="0"/>
    <w:pPr>
      <w:ind w:firstLine="420"/>
    </w:pPr>
    <w:rPr>
      <w:rFonts w:hAnsi="宋体" w:cs="宋体"/>
      <w:kern w:val="0"/>
      <w:szCs w:val="20"/>
    </w:rPr>
  </w:style>
  <w:style w:type="paragraph" w:customStyle="1" w:styleId="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0">
    <w:name w:val="无间隔1"/>
    <w:autoRedefine/>
    <w:qFormat/>
    <w:uiPriority w:val="0"/>
    <w:rPr>
      <w:rFonts w:ascii="Times New Roman" w:hAnsi="Times New Roman" w:eastAsia="宋体" w:cs="Times New Roman"/>
      <w:sz w:val="22"/>
      <w:szCs w:val="22"/>
      <w:lang w:val="en-US" w:eastAsia="en-US" w:bidi="en-US"/>
    </w:rPr>
  </w:style>
  <w:style w:type="paragraph" w:customStyle="1" w:styleId="31">
    <w:name w:val="样式1"/>
    <w:basedOn w:val="2"/>
    <w:next w:val="1"/>
    <w:autoRedefine/>
    <w:qFormat/>
    <w:uiPriority w:val="0"/>
    <w:rPr>
      <w:rFonts w:ascii="宋体" w:hAnsi="宋体" w:eastAsia="仿宋"/>
      <w:bCs/>
      <w:sz w:val="28"/>
      <w:szCs w:val="44"/>
    </w:rPr>
  </w:style>
  <w:style w:type="paragraph" w:customStyle="1" w:styleId="32">
    <w:name w:val="样式2"/>
    <w:basedOn w:val="1"/>
    <w:autoRedefine/>
    <w:qFormat/>
    <w:uiPriority w:val="0"/>
    <w:rPr>
      <w:rFonts w:ascii="宋体" w:hAnsi="宋体"/>
      <w:sz w:val="24"/>
    </w:rPr>
  </w:style>
  <w:style w:type="paragraph" w:customStyle="1" w:styleId="33">
    <w:name w:val="1"/>
    <w:basedOn w:val="1"/>
    <w:autoRedefine/>
    <w:qFormat/>
    <w:uiPriority w:val="0"/>
    <w:rPr>
      <w:rFonts w:ascii="宋体" w:hAnsi="宋体"/>
      <w:sz w:val="24"/>
    </w:rPr>
  </w:style>
  <w:style w:type="paragraph" w:customStyle="1" w:styleId="34">
    <w:name w:val="111"/>
    <w:basedOn w:val="1"/>
    <w:autoRedefine/>
    <w:qFormat/>
    <w:uiPriority w:val="0"/>
    <w:rPr>
      <w:rFonts w:ascii="宋体" w:hAnsi="宋体" w:eastAsia="华文宋体"/>
      <w:sz w:val="24"/>
    </w:rPr>
  </w:style>
  <w:style w:type="paragraph" w:customStyle="1" w:styleId="35">
    <w:name w:val="一级标题"/>
    <w:basedOn w:val="1"/>
    <w:autoRedefine/>
    <w:qFormat/>
    <w:uiPriority w:val="0"/>
    <w:pPr>
      <w:spacing w:line="360" w:lineRule="auto"/>
      <w:jc w:val="center"/>
    </w:pPr>
    <w:rPr>
      <w:rFonts w:ascii="宋体" w:hAnsi="宋体" w:eastAsia="仿宋"/>
      <w:sz w:val="32"/>
    </w:rPr>
  </w:style>
  <w:style w:type="paragraph" w:customStyle="1" w:styleId="36">
    <w:name w:val="2级标题"/>
    <w:basedOn w:val="1"/>
    <w:autoRedefine/>
    <w:qFormat/>
    <w:uiPriority w:val="0"/>
    <w:pPr>
      <w:spacing w:line="360" w:lineRule="auto"/>
      <w:jc w:val="left"/>
    </w:pPr>
    <w:rPr>
      <w:rFonts w:ascii="宋体" w:hAnsi="宋体" w:eastAsia="仿宋"/>
      <w:sz w:val="28"/>
    </w:rPr>
  </w:style>
  <w:style w:type="paragraph" w:customStyle="1" w:styleId="37">
    <w:name w:val="3级标题"/>
    <w:basedOn w:val="1"/>
    <w:autoRedefine/>
    <w:qFormat/>
    <w:uiPriority w:val="0"/>
    <w:rPr>
      <w:rFonts w:ascii="宋体" w:hAnsi="宋体" w:eastAsia="仿宋"/>
      <w:sz w:val="24"/>
    </w:rPr>
  </w:style>
  <w:style w:type="paragraph" w:customStyle="1" w:styleId="38">
    <w:name w:val="123"/>
    <w:basedOn w:val="1"/>
    <w:autoRedefine/>
    <w:qFormat/>
    <w:uiPriority w:val="0"/>
    <w:pPr>
      <w:jc w:val="center"/>
    </w:pPr>
    <w:rPr>
      <w:rFonts w:eastAsia="华文宋体"/>
      <w:sz w:val="28"/>
    </w:rPr>
  </w:style>
  <w:style w:type="paragraph" w:customStyle="1" w:styleId="39">
    <w:name w:val="234"/>
    <w:basedOn w:val="1"/>
    <w:autoRedefine/>
    <w:qFormat/>
    <w:uiPriority w:val="0"/>
    <w:rPr>
      <w:sz w:val="24"/>
    </w:rPr>
  </w:style>
  <w:style w:type="paragraph" w:customStyle="1" w:styleId="40">
    <w:name w:val="1111"/>
    <w:basedOn w:val="1"/>
    <w:autoRedefine/>
    <w:qFormat/>
    <w:uiPriority w:val="0"/>
    <w:rPr>
      <w:rFonts w:ascii="Calibri" w:hAnsi="Calibri" w:eastAsia="华文仿宋"/>
      <w:sz w:val="30"/>
      <w:szCs w:val="22"/>
    </w:rPr>
  </w:style>
  <w:style w:type="paragraph" w:customStyle="1" w:styleId="41">
    <w:name w:val="22222"/>
    <w:basedOn w:val="1"/>
    <w:autoRedefine/>
    <w:qFormat/>
    <w:uiPriority w:val="0"/>
    <w:rPr>
      <w:rFonts w:ascii="Calibri" w:hAnsi="Calibri" w:eastAsia="华文中宋"/>
      <w:sz w:val="24"/>
      <w:szCs w:val="22"/>
    </w:rPr>
  </w:style>
  <w:style w:type="paragraph" w:styleId="42">
    <w:name w:val="List Paragraph"/>
    <w:basedOn w:val="1"/>
    <w:autoRedefine/>
    <w:qFormat/>
    <w:uiPriority w:val="34"/>
    <w:pPr>
      <w:ind w:firstLine="420" w:firstLineChars="200"/>
    </w:pPr>
    <w:rPr>
      <w:rFonts w:ascii="Calibri" w:hAnsi="Calibri"/>
      <w:szCs w:val="20"/>
    </w:rPr>
  </w:style>
  <w:style w:type="paragraph" w:customStyle="1" w:styleId="43">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4">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7">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9">
    <w:name w:val="正文部分"/>
    <w:basedOn w:val="1"/>
    <w:link w:val="50"/>
    <w:autoRedefine/>
    <w:qFormat/>
    <w:uiPriority w:val="0"/>
    <w:pPr>
      <w:ind w:firstLine="200" w:firstLineChars="200"/>
    </w:pPr>
    <w:rPr>
      <w:rFonts w:ascii="微软雅黑" w:hAnsi="微软雅黑" w:eastAsia="微软雅黑" w:cs="微软雅黑"/>
      <w:szCs w:val="24"/>
    </w:rPr>
  </w:style>
  <w:style w:type="character" w:customStyle="1" w:styleId="50">
    <w:name w:val="正文部分 字符"/>
    <w:basedOn w:val="21"/>
    <w:link w:val="49"/>
    <w:autoRedefine/>
    <w:qFormat/>
    <w:uiPriority w:val="0"/>
    <w:rPr>
      <w:rFonts w:ascii="微软雅黑" w:hAnsi="微软雅黑" w:eastAsia="微软雅黑" w:cs="微软雅黑"/>
      <w:kern w:val="2"/>
      <w:sz w:val="21"/>
      <w:szCs w:val="24"/>
    </w:rPr>
  </w:style>
  <w:style w:type="paragraph" w:customStyle="1" w:styleId="51">
    <w:name w:val="普通(网站) Char"/>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2">
    <w:name w:val="flType"/>
    <w:basedOn w:val="1"/>
    <w:qFormat/>
    <w:uiPriority w:val="99"/>
    <w:pPr>
      <w:adjustRightInd w:val="0"/>
      <w:spacing w:after="284" w:line="113" w:lineRule="atLeast"/>
      <w:jc w:val="center"/>
      <w:textAlignment w:val="baseline"/>
    </w:pPr>
    <w:rPr>
      <w:kern w:val="0"/>
      <w:sz w:val="24"/>
    </w:rPr>
  </w:style>
  <w:style w:type="character" w:customStyle="1" w:styleId="53">
    <w:name w:val="批注框文本 字符"/>
    <w:basedOn w:val="21"/>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22</Pages>
  <Words>9190</Words>
  <Characters>9612</Characters>
  <Lines>48</Lines>
  <Paragraphs>13</Paragraphs>
  <TotalTime>22</TotalTime>
  <ScaleCrop>false</ScaleCrop>
  <LinksUpToDate>false</LinksUpToDate>
  <CharactersWithSpaces>10050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2024-11-27T01:31:00Z</dcterms:created>
  <dc:creator>Administrator</dc:creator>
  <cp:lastModifiedBy>刘子冉</cp:lastModifiedBy>
  <cp:lastPrinted>2025-08-13T00:22:00Z</cp:lastPrinted>
  <dcterms:modified xsi:type="dcterms:W3CDTF">2026-05-15T00:46:04Z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A0B8D1E312924F8694B52D9624C749D7_13</vt:lpwstr>
  </property>
  <property fmtid="{D5CDD505-2E9C-101B-9397-08002B2CF9AE}" pid="4" name="KSOTemplateDocerSaveRecord">
    <vt:lpwstr>eyJoZGlkIjoiNmU0NzY3MmZhYWExN2I0ODFjMWIxOWRiZDJkOTRkMmMiLCJ1c2VySWQiOiIzMTk1NzgyNDMifQ==</vt:lpwstr>
  </property>
</Properties>
</file>