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8"/>
        <w:overflowPunct w:val="0"/>
        <w:adjustRightInd/>
        <w:textAlignment w:val="auto"/>
        <w:rPr>
          <w:rFonts w:ascii="Times New Roman" w:hAnsi="Times New Roman" w:cs="Times New Roman"/>
        </w:rPr>
      </w:pPr>
    </w:p>
    <w:p>
      <w:pPr>
        <w:overflowPunct w:val="0"/>
        <w:rPr>
          <w:rFonts w:ascii="Times New Roman" w:hAnsi="Times New Roman" w:eastAsia="宋体" w:cs="Times New Roman"/>
        </w:rPr>
      </w:pPr>
    </w:p>
    <w:p>
      <w:pPr>
        <w:widowControl/>
        <w:jc w:val="center"/>
        <w:rPr>
          <w:rFonts w:ascii="Times New Roman" w:hAnsi="Times New Roman" w:eastAsia="宋体" w:cs="Times New Roman"/>
          <w:w w:val="80"/>
          <w:sz w:val="44"/>
          <w:szCs w:val="44"/>
        </w:rPr>
      </w:pPr>
    </w:p>
    <w:p>
      <w:pPr>
        <w:widowControl/>
        <w:jc w:val="center"/>
        <w:rPr>
          <w:rFonts w:ascii="Times New Roman" w:hAnsi="Times New Roman" w:eastAsia="宋体" w:cs="Times New Roman"/>
          <w:w w:val="80"/>
          <w:sz w:val="44"/>
          <w:szCs w:val="44"/>
        </w:rPr>
      </w:pPr>
      <w:r>
        <w:rPr>
          <w:rFonts w:hint="eastAsia" w:ascii="Times New Roman" w:hAnsi="Times New Roman" w:eastAsia="宋体" w:cs="宋体"/>
          <w:w w:val="80"/>
          <w:sz w:val="44"/>
          <w:szCs w:val="44"/>
        </w:rPr>
        <w:t>南通市口腔医院内外网文件摆渡系统采购项目</w:t>
      </w:r>
    </w:p>
    <w:p>
      <w:pPr>
        <w:tabs>
          <w:tab w:val="left" w:pos="6300"/>
        </w:tabs>
        <w:snapToGrid w:val="0"/>
        <w:spacing w:line="300" w:lineRule="auto"/>
        <w:jc w:val="center"/>
        <w:rPr>
          <w:rFonts w:ascii="Times New Roman" w:hAnsi="Times New Roman" w:eastAsia="宋体" w:cs="Times New Roman"/>
          <w:w w:val="80"/>
          <w:sz w:val="84"/>
          <w:szCs w:val="84"/>
        </w:rPr>
      </w:pPr>
    </w:p>
    <w:p>
      <w:pPr>
        <w:tabs>
          <w:tab w:val="left" w:pos="6300"/>
        </w:tabs>
        <w:snapToGrid w:val="0"/>
        <w:spacing w:line="300" w:lineRule="auto"/>
        <w:jc w:val="center"/>
        <w:rPr>
          <w:rFonts w:ascii="Times New Roman" w:hAnsi="Times New Roman" w:eastAsia="宋体" w:cs="Times New Roman"/>
          <w:w w:val="80"/>
          <w:sz w:val="84"/>
          <w:szCs w:val="84"/>
        </w:rPr>
      </w:pPr>
    </w:p>
    <w:p>
      <w:pPr>
        <w:tabs>
          <w:tab w:val="left" w:pos="1050"/>
          <w:tab w:val="right" w:leader="dot" w:pos="9402"/>
        </w:tabs>
        <w:spacing w:line="1600" w:lineRule="exact"/>
        <w:jc w:val="center"/>
        <w:rPr>
          <w:rFonts w:ascii="Times New Roman" w:hAnsi="Times New Roman" w:eastAsia="宋体" w:cs="Times New Roman"/>
          <w:sz w:val="72"/>
          <w:szCs w:val="72"/>
        </w:rPr>
      </w:pPr>
      <w:r>
        <w:rPr>
          <w:rFonts w:hint="eastAsia" w:ascii="Times New Roman" w:hAnsi="Times New Roman" w:eastAsia="宋体" w:cs="宋体"/>
          <w:w w:val="80"/>
          <w:sz w:val="72"/>
          <w:szCs w:val="72"/>
        </w:rPr>
        <w:t>公开招标文件</w:t>
      </w:r>
    </w:p>
    <w:p>
      <w:pPr>
        <w:jc w:val="center"/>
        <w:rPr>
          <w:rFonts w:ascii="Times New Roman" w:hAnsi="Times New Roman" w:eastAsia="宋体" w:cs="Times New Roman"/>
          <w:b/>
          <w:bCs/>
          <w:sz w:val="44"/>
          <w:szCs w:val="44"/>
        </w:rPr>
      </w:pPr>
    </w:p>
    <w:p>
      <w:pPr>
        <w:tabs>
          <w:tab w:val="left" w:pos="1050"/>
          <w:tab w:val="right" w:leader="dot" w:pos="9402"/>
        </w:tabs>
        <w:spacing w:line="520" w:lineRule="exact"/>
        <w:jc w:val="center"/>
        <w:rPr>
          <w:rFonts w:ascii="Times New Roman" w:hAnsi="Times New Roman" w:eastAsia="宋体" w:cs="Times New Roman"/>
          <w:w w:val="80"/>
          <w:sz w:val="32"/>
          <w:szCs w:val="32"/>
        </w:rPr>
      </w:pPr>
      <w:r>
        <w:rPr>
          <w:rFonts w:hint="eastAsia" w:ascii="Times New Roman" w:hAnsi="Times New Roman" w:eastAsia="宋体" w:cs="宋体"/>
          <w:w w:val="80"/>
          <w:sz w:val="32"/>
          <w:szCs w:val="32"/>
        </w:rPr>
        <w:t>（资格后审）</w:t>
      </w:r>
    </w:p>
    <w:p>
      <w:pPr>
        <w:snapToGrid w:val="0"/>
        <w:spacing w:line="360" w:lineRule="auto"/>
        <w:jc w:val="center"/>
        <w:rPr>
          <w:rFonts w:hint="eastAsia" w:ascii="Times New Roman" w:hAnsi="Times New Roman" w:eastAsia="宋体" w:cs="Times New Roman"/>
          <w:sz w:val="32"/>
          <w:szCs w:val="32"/>
          <w:lang w:eastAsia="zh-CN"/>
        </w:rPr>
      </w:pPr>
      <w:r>
        <w:rPr>
          <w:rFonts w:hint="eastAsia" w:ascii="Times New Roman" w:hAnsi="Times New Roman" w:eastAsia="宋体" w:cs="宋体"/>
          <w:w w:val="80"/>
          <w:sz w:val="32"/>
          <w:szCs w:val="32"/>
        </w:rPr>
        <w:t>项目编号：</w:t>
      </w:r>
      <w:r>
        <w:rPr>
          <w:rFonts w:hint="eastAsia" w:ascii="Times New Roman" w:hAnsi="Times New Roman" w:eastAsia="宋体" w:cs="Times New Roman"/>
          <w:sz w:val="32"/>
          <w:szCs w:val="32"/>
          <w:lang w:eastAsia="zh-CN"/>
        </w:rPr>
        <w:t>NTSKQYYCG2025003</w:t>
      </w:r>
    </w:p>
    <w:p>
      <w:pPr>
        <w:snapToGrid w:val="0"/>
        <w:spacing w:line="520" w:lineRule="exact"/>
        <w:rPr>
          <w:rFonts w:ascii="Times New Roman" w:hAnsi="Times New Roman" w:eastAsia="宋体" w:cs="Times New Roman"/>
          <w:b/>
          <w:bCs/>
          <w:sz w:val="28"/>
          <w:szCs w:val="28"/>
        </w:rPr>
      </w:pPr>
    </w:p>
    <w:p>
      <w:pPr>
        <w:snapToGrid w:val="0"/>
        <w:spacing w:line="520" w:lineRule="exact"/>
        <w:rPr>
          <w:rFonts w:ascii="Times New Roman" w:hAnsi="Times New Roman" w:eastAsia="宋体" w:cs="Times New Roman"/>
          <w:b/>
          <w:bCs/>
          <w:sz w:val="28"/>
          <w:szCs w:val="28"/>
        </w:rPr>
      </w:pPr>
    </w:p>
    <w:p>
      <w:pPr>
        <w:snapToGrid w:val="0"/>
        <w:spacing w:line="520" w:lineRule="exact"/>
        <w:rPr>
          <w:rFonts w:ascii="Times New Roman" w:hAnsi="Times New Roman" w:eastAsia="宋体" w:cs="Times New Roman"/>
          <w:b/>
          <w:bCs/>
          <w:sz w:val="28"/>
          <w:szCs w:val="28"/>
        </w:rPr>
      </w:pPr>
    </w:p>
    <w:p>
      <w:pPr>
        <w:snapToGrid w:val="0"/>
        <w:spacing w:line="520" w:lineRule="exact"/>
        <w:rPr>
          <w:rFonts w:ascii="Times New Roman" w:hAnsi="Times New Roman" w:eastAsia="宋体" w:cs="Times New Roman"/>
          <w:b/>
          <w:bCs/>
          <w:sz w:val="28"/>
          <w:szCs w:val="28"/>
        </w:rPr>
      </w:pPr>
    </w:p>
    <w:p>
      <w:pPr>
        <w:widowControl/>
        <w:spacing w:line="520" w:lineRule="exact"/>
        <w:jc w:val="left"/>
        <w:rPr>
          <w:rFonts w:ascii="Times New Roman" w:hAnsi="Times New Roman" w:eastAsia="宋体" w:cs="Times New Roman"/>
          <w:sz w:val="28"/>
          <w:szCs w:val="28"/>
        </w:rPr>
      </w:pPr>
    </w:p>
    <w:p>
      <w:pPr>
        <w:widowControl/>
        <w:spacing w:line="520" w:lineRule="exact"/>
        <w:jc w:val="left"/>
        <w:rPr>
          <w:rFonts w:ascii="Times New Roman" w:hAnsi="Times New Roman" w:eastAsia="宋体" w:cs="Times New Roman"/>
          <w:sz w:val="28"/>
          <w:szCs w:val="28"/>
        </w:rPr>
      </w:pPr>
    </w:p>
    <w:p>
      <w:pPr>
        <w:widowControl/>
        <w:spacing w:line="520" w:lineRule="exact"/>
        <w:jc w:val="left"/>
        <w:rPr>
          <w:rFonts w:ascii="Times New Roman" w:hAnsi="Times New Roman" w:eastAsia="宋体" w:cs="Times New Roman"/>
          <w:sz w:val="28"/>
          <w:szCs w:val="28"/>
        </w:rPr>
      </w:pPr>
    </w:p>
    <w:p>
      <w:pPr>
        <w:widowControl/>
        <w:spacing w:line="520" w:lineRule="exact"/>
        <w:jc w:val="left"/>
        <w:rPr>
          <w:rFonts w:ascii="Times New Roman" w:hAnsi="Times New Roman" w:eastAsia="宋体" w:cs="Times New Roman"/>
          <w:sz w:val="28"/>
          <w:szCs w:val="28"/>
        </w:rPr>
      </w:pPr>
    </w:p>
    <w:p>
      <w:pPr>
        <w:widowControl/>
        <w:spacing w:line="520" w:lineRule="exact"/>
        <w:jc w:val="left"/>
        <w:rPr>
          <w:rFonts w:ascii="Times New Roman" w:hAnsi="Times New Roman" w:eastAsia="宋体" w:cs="Times New Roman"/>
          <w:sz w:val="28"/>
          <w:szCs w:val="28"/>
        </w:rPr>
      </w:pPr>
    </w:p>
    <w:p>
      <w:pPr>
        <w:widowControl/>
        <w:spacing w:line="520" w:lineRule="exact"/>
        <w:jc w:val="left"/>
        <w:rPr>
          <w:rFonts w:ascii="Times New Roman" w:hAnsi="Times New Roman" w:eastAsia="宋体" w:cs="Times New Roman"/>
          <w:sz w:val="28"/>
          <w:szCs w:val="28"/>
        </w:rPr>
      </w:pPr>
    </w:p>
    <w:p>
      <w:pPr>
        <w:widowControl/>
        <w:spacing w:line="520" w:lineRule="exact"/>
        <w:jc w:val="left"/>
        <w:rPr>
          <w:rFonts w:ascii="Times New Roman" w:hAnsi="Times New Roman" w:eastAsia="宋体" w:cs="Times New Roman"/>
          <w:sz w:val="28"/>
          <w:szCs w:val="28"/>
        </w:rPr>
      </w:pPr>
    </w:p>
    <w:p>
      <w:pPr>
        <w:tabs>
          <w:tab w:val="left" w:pos="1050"/>
          <w:tab w:val="right" w:leader="dot" w:pos="9402"/>
        </w:tabs>
        <w:spacing w:line="520" w:lineRule="exact"/>
        <w:jc w:val="center"/>
        <w:rPr>
          <w:rFonts w:hint="eastAsia" w:ascii="Times New Roman" w:hAnsi="Times New Roman" w:eastAsia="宋体" w:cs="宋体"/>
          <w:w w:val="80"/>
          <w:sz w:val="32"/>
          <w:szCs w:val="32"/>
          <w:lang w:val="en-US" w:eastAsia="zh-CN"/>
        </w:rPr>
      </w:pPr>
      <w:r>
        <w:rPr>
          <w:rFonts w:hint="eastAsia" w:ascii="Times New Roman" w:hAnsi="Times New Roman" w:eastAsia="宋体" w:cs="宋体"/>
          <w:w w:val="80"/>
          <w:sz w:val="32"/>
          <w:szCs w:val="32"/>
          <w:lang w:val="en-US" w:eastAsia="zh-CN"/>
        </w:rPr>
        <w:t>采购单位：</w:t>
      </w:r>
      <w:r>
        <w:rPr>
          <w:rFonts w:hint="eastAsia" w:ascii="Times New Roman" w:hAnsi="Times New Roman" w:eastAsia="宋体" w:cs="宋体"/>
          <w:w w:val="80"/>
          <w:sz w:val="32"/>
          <w:szCs w:val="32"/>
          <w:lang w:eastAsia="zh-CN"/>
        </w:rPr>
        <w:t>南通市口腔医院</w:t>
      </w:r>
    </w:p>
    <w:p>
      <w:pPr>
        <w:tabs>
          <w:tab w:val="left" w:pos="1050"/>
          <w:tab w:val="right" w:leader="dot" w:pos="9402"/>
        </w:tabs>
        <w:spacing w:line="520" w:lineRule="exact"/>
        <w:jc w:val="center"/>
        <w:rPr>
          <w:rFonts w:hint="eastAsia" w:ascii="Times New Roman" w:hAnsi="Times New Roman" w:eastAsia="宋体" w:cs="Times New Roman"/>
          <w:w w:val="80"/>
          <w:sz w:val="32"/>
          <w:szCs w:val="32"/>
          <w:lang w:eastAsia="zh-CN"/>
        </w:rPr>
      </w:pPr>
      <w:r>
        <w:rPr>
          <w:rFonts w:hint="eastAsia" w:ascii="Times New Roman" w:hAnsi="Times New Roman" w:eastAsia="宋体" w:cs="宋体"/>
          <w:w w:val="80"/>
          <w:sz w:val="32"/>
          <w:szCs w:val="32"/>
          <w:lang w:val="en-US" w:eastAsia="zh-CN"/>
        </w:rPr>
        <w:t>采购</w:t>
      </w:r>
      <w:r>
        <w:rPr>
          <w:rFonts w:hint="eastAsia" w:ascii="Times New Roman" w:hAnsi="Times New Roman" w:eastAsia="宋体" w:cs="宋体"/>
          <w:w w:val="80"/>
          <w:sz w:val="32"/>
          <w:szCs w:val="32"/>
        </w:rPr>
        <w:t>代理机构：</w:t>
      </w:r>
      <w:r>
        <w:rPr>
          <w:rFonts w:hint="eastAsia" w:ascii="Times New Roman" w:hAnsi="Times New Roman" w:eastAsia="宋体" w:cs="宋体"/>
          <w:w w:val="80"/>
          <w:sz w:val="32"/>
          <w:szCs w:val="32"/>
          <w:lang w:eastAsia="zh-CN"/>
        </w:rPr>
        <w:t>上海申邑工程咨询有限公司</w:t>
      </w:r>
    </w:p>
    <w:p>
      <w:pPr>
        <w:tabs>
          <w:tab w:val="left" w:pos="1050"/>
          <w:tab w:val="right" w:leader="dot" w:pos="9402"/>
        </w:tabs>
        <w:spacing w:line="520" w:lineRule="exact"/>
        <w:jc w:val="center"/>
        <w:rPr>
          <w:rFonts w:ascii="Times New Roman" w:hAnsi="Times New Roman" w:eastAsia="宋体" w:cs="Times New Roman"/>
          <w:w w:val="80"/>
          <w:sz w:val="28"/>
          <w:szCs w:val="28"/>
        </w:rPr>
      </w:pPr>
      <w:bookmarkStart w:id="0" w:name="_Hlk39140250"/>
      <w:r>
        <w:rPr>
          <w:rFonts w:hint="eastAsia" w:ascii="Times New Roman" w:hAnsi="Times New Roman" w:eastAsia="宋体" w:cs="宋体"/>
          <w:w w:val="80"/>
          <w:sz w:val="32"/>
          <w:szCs w:val="32"/>
        </w:rPr>
        <w:t>二〇</w:t>
      </w:r>
      <w:bookmarkEnd w:id="0"/>
      <w:r>
        <w:rPr>
          <w:rFonts w:hint="eastAsia" w:ascii="Times New Roman" w:hAnsi="Times New Roman" w:eastAsia="宋体" w:cs="宋体"/>
          <w:w w:val="80"/>
          <w:sz w:val="32"/>
          <w:szCs w:val="32"/>
        </w:rPr>
        <w:t>二</w:t>
      </w:r>
      <w:r>
        <w:rPr>
          <w:rFonts w:hint="eastAsia" w:ascii="Times New Roman" w:hAnsi="Times New Roman" w:eastAsia="宋体" w:cs="宋体"/>
          <w:w w:val="80"/>
          <w:sz w:val="32"/>
          <w:szCs w:val="32"/>
          <w:lang w:val="en-US" w:eastAsia="zh-CN"/>
        </w:rPr>
        <w:t>五</w:t>
      </w:r>
      <w:r>
        <w:rPr>
          <w:rFonts w:hint="eastAsia" w:ascii="Times New Roman" w:hAnsi="Times New Roman" w:eastAsia="宋体" w:cs="宋体"/>
          <w:w w:val="80"/>
          <w:sz w:val="32"/>
          <w:szCs w:val="32"/>
        </w:rPr>
        <w:t>年</w:t>
      </w:r>
      <w:r>
        <w:rPr>
          <w:rFonts w:hint="eastAsia" w:ascii="Times New Roman" w:hAnsi="Times New Roman" w:eastAsia="宋体" w:cs="宋体"/>
          <w:w w:val="80"/>
          <w:sz w:val="32"/>
          <w:szCs w:val="32"/>
          <w:lang w:val="en-US" w:eastAsia="zh-CN"/>
        </w:rPr>
        <w:t>二</w:t>
      </w:r>
      <w:r>
        <w:rPr>
          <w:rFonts w:hint="eastAsia" w:ascii="Times New Roman" w:hAnsi="Times New Roman" w:eastAsia="宋体" w:cs="宋体"/>
          <w:w w:val="80"/>
          <w:sz w:val="32"/>
          <w:szCs w:val="32"/>
        </w:rPr>
        <w:t>月</w:t>
      </w:r>
    </w:p>
    <w:p>
      <w:pPr>
        <w:tabs>
          <w:tab w:val="left" w:pos="1050"/>
          <w:tab w:val="right" w:leader="dot" w:pos="9402"/>
        </w:tabs>
        <w:spacing w:line="520" w:lineRule="exact"/>
        <w:jc w:val="center"/>
        <w:rPr>
          <w:rFonts w:ascii="Times New Roman" w:hAnsi="Times New Roman" w:eastAsia="宋体" w:cs="Times New Roman"/>
          <w:b/>
          <w:bCs/>
          <w:w w:val="8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851" w:right="851" w:bottom="851" w:left="1134" w:header="454" w:footer="454" w:gutter="0"/>
          <w:cols w:space="720" w:num="1"/>
          <w:titlePg/>
          <w:docGrid w:linePitch="380" w:charSpace="-5735"/>
        </w:sectPr>
      </w:pPr>
    </w:p>
    <w:p>
      <w:pPr>
        <w:tabs>
          <w:tab w:val="left" w:pos="1050"/>
          <w:tab w:val="right" w:leader="dot" w:pos="9402"/>
        </w:tabs>
        <w:spacing w:line="520" w:lineRule="exact"/>
        <w:jc w:val="center"/>
        <w:rPr>
          <w:rFonts w:ascii="Times New Roman" w:hAnsi="Times New Roman" w:eastAsia="宋体" w:cs="Times New Roman"/>
          <w:b/>
          <w:bCs/>
          <w:w w:val="80"/>
          <w:sz w:val="32"/>
          <w:szCs w:val="32"/>
        </w:rPr>
      </w:pPr>
    </w:p>
    <w:p>
      <w:pPr>
        <w:tabs>
          <w:tab w:val="left" w:pos="1050"/>
          <w:tab w:val="right" w:leader="dot" w:pos="9402"/>
        </w:tabs>
        <w:spacing w:line="760" w:lineRule="exact"/>
        <w:jc w:val="center"/>
        <w:outlineLvl w:val="0"/>
        <w:rPr>
          <w:rFonts w:ascii="Times New Roman" w:hAnsi="Times New Roman" w:eastAsia="宋体" w:cs="Times New Roman"/>
          <w:b/>
          <w:bCs/>
          <w:w w:val="80"/>
          <w:sz w:val="44"/>
          <w:szCs w:val="44"/>
        </w:rPr>
      </w:pPr>
      <w:r>
        <w:rPr>
          <w:rFonts w:hint="eastAsia" w:ascii="Times New Roman" w:hAnsi="Times New Roman" w:eastAsia="宋体" w:cs="宋体"/>
          <w:b/>
          <w:bCs/>
          <w:w w:val="80"/>
          <w:sz w:val="44"/>
          <w:szCs w:val="44"/>
        </w:rPr>
        <w:t>目</w:t>
      </w:r>
      <w:r>
        <w:rPr>
          <w:rFonts w:ascii="Times New Roman" w:hAnsi="Times New Roman" w:eastAsia="宋体" w:cs="Times New Roman"/>
          <w:b/>
          <w:bCs/>
          <w:w w:val="80"/>
          <w:sz w:val="44"/>
          <w:szCs w:val="44"/>
        </w:rPr>
        <w:t xml:space="preserve">  </w:t>
      </w:r>
      <w:r>
        <w:rPr>
          <w:rFonts w:hint="eastAsia" w:ascii="Times New Roman" w:hAnsi="Times New Roman" w:eastAsia="宋体" w:cs="宋体"/>
          <w:b/>
          <w:bCs/>
          <w:w w:val="80"/>
          <w:sz w:val="44"/>
          <w:szCs w:val="44"/>
        </w:rPr>
        <w:t>录</w:t>
      </w:r>
    </w:p>
    <w:p>
      <w:pPr>
        <w:pStyle w:val="11"/>
        <w:overflowPunct w:val="0"/>
        <w:ind w:firstLine="0"/>
        <w:jc w:val="center"/>
        <w:rPr>
          <w:rFonts w:eastAsia="宋体"/>
          <w:sz w:val="30"/>
          <w:szCs w:val="30"/>
        </w:rPr>
      </w:pPr>
    </w:p>
    <w:p>
      <w:pPr>
        <w:pStyle w:val="40"/>
        <w:tabs>
          <w:tab w:val="right" w:leader="dot" w:pos="9072"/>
        </w:tabs>
        <w:spacing w:line="1200" w:lineRule="exact"/>
        <w:ind w:right="-2"/>
        <w:jc w:val="center"/>
        <w:rPr>
          <w:sz w:val="32"/>
          <w:szCs w:val="32"/>
        </w:rPr>
      </w:pPr>
      <w:r>
        <w:rPr>
          <w:b/>
          <w:bCs/>
          <w:sz w:val="32"/>
          <w:szCs w:val="32"/>
        </w:rPr>
        <w:fldChar w:fldCharType="begin"/>
      </w:r>
      <w:r>
        <w:rPr>
          <w:b/>
          <w:bCs/>
          <w:sz w:val="32"/>
          <w:szCs w:val="32"/>
        </w:rPr>
        <w:instrText xml:space="preserve"> TOC \o "1-1" </w:instrText>
      </w:r>
      <w:r>
        <w:rPr>
          <w:b/>
          <w:bCs/>
          <w:sz w:val="32"/>
          <w:szCs w:val="32"/>
        </w:rPr>
        <w:fldChar w:fldCharType="separate"/>
      </w:r>
      <w:r>
        <w:rPr>
          <w:rFonts w:hint="eastAsia" w:cs="宋体"/>
          <w:sz w:val="32"/>
          <w:szCs w:val="32"/>
        </w:rPr>
        <w:t>第一章</w:t>
      </w:r>
      <w:r>
        <w:rPr>
          <w:sz w:val="32"/>
          <w:szCs w:val="32"/>
        </w:rPr>
        <w:t xml:space="preserve"> </w:t>
      </w:r>
      <w:r>
        <w:rPr>
          <w:rFonts w:hint="eastAsia" w:cs="宋体"/>
          <w:sz w:val="32"/>
          <w:szCs w:val="32"/>
        </w:rPr>
        <w:t>招标公告</w:t>
      </w:r>
      <w:r>
        <w:rPr>
          <w:sz w:val="32"/>
          <w:szCs w:val="32"/>
        </w:rPr>
        <w:tab/>
      </w:r>
      <w:r>
        <w:rPr>
          <w:sz w:val="32"/>
          <w:szCs w:val="32"/>
        </w:rPr>
        <w:t>3</w:t>
      </w:r>
    </w:p>
    <w:p>
      <w:pPr>
        <w:pStyle w:val="40"/>
        <w:tabs>
          <w:tab w:val="right" w:leader="dot" w:pos="9072"/>
        </w:tabs>
        <w:spacing w:line="1200" w:lineRule="exact"/>
        <w:ind w:right="-2"/>
        <w:jc w:val="center"/>
        <w:rPr>
          <w:sz w:val="32"/>
          <w:szCs w:val="32"/>
        </w:rPr>
      </w:pPr>
      <w:r>
        <w:rPr>
          <w:rFonts w:hint="eastAsia" w:cs="宋体"/>
          <w:sz w:val="32"/>
          <w:szCs w:val="32"/>
        </w:rPr>
        <w:t>第二章</w:t>
      </w:r>
      <w:r>
        <w:rPr>
          <w:sz w:val="32"/>
          <w:szCs w:val="32"/>
        </w:rPr>
        <w:t xml:space="preserve"> </w:t>
      </w:r>
      <w:r>
        <w:rPr>
          <w:rFonts w:hint="eastAsia" w:cs="宋体"/>
          <w:sz w:val="32"/>
          <w:szCs w:val="32"/>
        </w:rPr>
        <w:t>投标人须知</w:t>
      </w:r>
      <w:r>
        <w:rPr>
          <w:sz w:val="32"/>
          <w:szCs w:val="32"/>
        </w:rPr>
        <w:tab/>
      </w:r>
      <w:r>
        <w:rPr>
          <w:rFonts w:hint="eastAsia"/>
          <w:sz w:val="32"/>
          <w:szCs w:val="32"/>
        </w:rPr>
        <w:t>5</w:t>
      </w:r>
    </w:p>
    <w:p>
      <w:pPr>
        <w:pStyle w:val="40"/>
        <w:tabs>
          <w:tab w:val="right" w:leader="dot" w:pos="9072"/>
        </w:tabs>
        <w:spacing w:line="1200" w:lineRule="exact"/>
        <w:ind w:right="-2"/>
        <w:jc w:val="center"/>
        <w:rPr>
          <w:sz w:val="32"/>
          <w:szCs w:val="32"/>
        </w:rPr>
      </w:pPr>
      <w:r>
        <w:rPr>
          <w:rFonts w:hint="eastAsia" w:cs="宋体"/>
          <w:sz w:val="32"/>
          <w:szCs w:val="32"/>
        </w:rPr>
        <w:t>第三章</w:t>
      </w:r>
      <w:r>
        <w:rPr>
          <w:sz w:val="32"/>
          <w:szCs w:val="32"/>
        </w:rPr>
        <w:t xml:space="preserve"> </w:t>
      </w:r>
      <w:r>
        <w:rPr>
          <w:rFonts w:hint="eastAsia" w:cs="宋体"/>
          <w:sz w:val="32"/>
          <w:szCs w:val="32"/>
        </w:rPr>
        <w:t>项目需求</w:t>
      </w:r>
      <w:r>
        <w:rPr>
          <w:sz w:val="32"/>
          <w:szCs w:val="32"/>
        </w:rPr>
        <w:tab/>
      </w:r>
      <w:r>
        <w:rPr>
          <w:sz w:val="32"/>
          <w:szCs w:val="32"/>
        </w:rPr>
        <w:t>1</w:t>
      </w:r>
      <w:r>
        <w:rPr>
          <w:rFonts w:hint="eastAsia"/>
          <w:sz w:val="32"/>
          <w:szCs w:val="32"/>
        </w:rPr>
        <w:t>0</w:t>
      </w:r>
    </w:p>
    <w:p>
      <w:pPr>
        <w:pStyle w:val="40"/>
        <w:tabs>
          <w:tab w:val="right" w:leader="dot" w:pos="9072"/>
        </w:tabs>
        <w:spacing w:line="1200" w:lineRule="exact"/>
        <w:ind w:right="-2"/>
        <w:jc w:val="center"/>
        <w:rPr>
          <w:sz w:val="32"/>
          <w:szCs w:val="32"/>
        </w:rPr>
      </w:pPr>
      <w:r>
        <w:rPr>
          <w:rFonts w:hint="eastAsia" w:cs="宋体"/>
          <w:sz w:val="32"/>
          <w:szCs w:val="32"/>
        </w:rPr>
        <w:t>第四章</w:t>
      </w:r>
      <w:r>
        <w:rPr>
          <w:sz w:val="32"/>
          <w:szCs w:val="32"/>
        </w:rPr>
        <w:t xml:space="preserve"> </w:t>
      </w:r>
      <w:r>
        <w:rPr>
          <w:rFonts w:hint="eastAsia" w:cs="宋体"/>
          <w:sz w:val="32"/>
          <w:szCs w:val="32"/>
        </w:rPr>
        <w:t>评审程序和方法</w:t>
      </w:r>
      <w:r>
        <w:rPr>
          <w:sz w:val="32"/>
          <w:szCs w:val="32"/>
        </w:rPr>
        <w:tab/>
      </w:r>
      <w:r>
        <w:rPr>
          <w:rFonts w:hint="eastAsia"/>
          <w:sz w:val="32"/>
          <w:szCs w:val="32"/>
        </w:rPr>
        <w:t>15</w:t>
      </w:r>
    </w:p>
    <w:p>
      <w:pPr>
        <w:pStyle w:val="40"/>
        <w:tabs>
          <w:tab w:val="right" w:leader="dot" w:pos="9072"/>
        </w:tabs>
        <w:spacing w:line="1200" w:lineRule="exact"/>
        <w:ind w:right="-2"/>
        <w:jc w:val="center"/>
        <w:rPr>
          <w:sz w:val="32"/>
          <w:szCs w:val="32"/>
        </w:rPr>
      </w:pPr>
      <w:r>
        <w:rPr>
          <w:rFonts w:hint="eastAsia" w:cs="宋体"/>
          <w:sz w:val="32"/>
          <w:szCs w:val="32"/>
        </w:rPr>
        <w:t>第五章</w:t>
      </w:r>
      <w:r>
        <w:rPr>
          <w:sz w:val="32"/>
          <w:szCs w:val="32"/>
        </w:rPr>
        <w:t xml:space="preserve"> </w:t>
      </w:r>
      <w:r>
        <w:rPr>
          <w:rFonts w:hint="eastAsia" w:cs="宋体"/>
          <w:sz w:val="32"/>
          <w:szCs w:val="32"/>
        </w:rPr>
        <w:t>合同授予</w:t>
      </w:r>
      <w:r>
        <w:rPr>
          <w:sz w:val="32"/>
          <w:szCs w:val="32"/>
        </w:rPr>
        <w:tab/>
      </w:r>
      <w:r>
        <w:rPr>
          <w:rFonts w:hint="eastAsia"/>
          <w:sz w:val="32"/>
          <w:szCs w:val="32"/>
        </w:rPr>
        <w:t>22</w:t>
      </w:r>
    </w:p>
    <w:p>
      <w:pPr>
        <w:pStyle w:val="40"/>
        <w:tabs>
          <w:tab w:val="right" w:leader="dot" w:pos="9072"/>
        </w:tabs>
        <w:spacing w:line="1200" w:lineRule="exact"/>
        <w:ind w:right="-2"/>
        <w:jc w:val="center"/>
        <w:rPr>
          <w:sz w:val="32"/>
          <w:szCs w:val="32"/>
        </w:rPr>
      </w:pPr>
      <w:r>
        <w:rPr>
          <w:rFonts w:hint="eastAsia" w:cs="宋体"/>
          <w:sz w:val="32"/>
          <w:szCs w:val="32"/>
        </w:rPr>
        <w:t>第</w:t>
      </w:r>
      <w:r>
        <w:rPr>
          <w:rFonts w:hint="eastAsia" w:cs="宋体"/>
          <w:sz w:val="32"/>
          <w:szCs w:val="32"/>
          <w:lang w:val="en-US" w:eastAsia="zh-CN"/>
        </w:rPr>
        <w:t>六</w:t>
      </w:r>
      <w:r>
        <w:rPr>
          <w:rFonts w:hint="eastAsia" w:cs="宋体"/>
          <w:sz w:val="32"/>
          <w:szCs w:val="32"/>
        </w:rPr>
        <w:t>章</w:t>
      </w:r>
      <w:r>
        <w:rPr>
          <w:sz w:val="32"/>
          <w:szCs w:val="32"/>
        </w:rPr>
        <w:t xml:space="preserve"> </w:t>
      </w:r>
      <w:r>
        <w:rPr>
          <w:rFonts w:hint="eastAsia" w:cs="宋体"/>
          <w:sz w:val="32"/>
          <w:szCs w:val="32"/>
        </w:rPr>
        <w:t>质疑与投诉</w:t>
      </w:r>
      <w:r>
        <w:rPr>
          <w:sz w:val="32"/>
          <w:szCs w:val="32"/>
        </w:rPr>
        <w:tab/>
      </w:r>
      <w:r>
        <w:rPr>
          <w:sz w:val="32"/>
          <w:szCs w:val="32"/>
        </w:rPr>
        <w:t>3</w:t>
      </w:r>
      <w:r>
        <w:rPr>
          <w:rFonts w:hint="eastAsia"/>
          <w:sz w:val="32"/>
          <w:szCs w:val="32"/>
        </w:rPr>
        <w:t>1</w:t>
      </w:r>
    </w:p>
    <w:p>
      <w:pPr>
        <w:pStyle w:val="40"/>
        <w:tabs>
          <w:tab w:val="right" w:leader="dot" w:pos="9072"/>
        </w:tabs>
        <w:spacing w:line="1200" w:lineRule="exact"/>
        <w:ind w:right="-2"/>
        <w:jc w:val="center"/>
        <w:rPr>
          <w:sz w:val="32"/>
          <w:szCs w:val="32"/>
        </w:rPr>
      </w:pPr>
      <w:r>
        <w:rPr>
          <w:rFonts w:hint="eastAsia" w:cs="宋体"/>
          <w:sz w:val="32"/>
          <w:szCs w:val="32"/>
        </w:rPr>
        <w:t>第</w:t>
      </w:r>
      <w:r>
        <w:rPr>
          <w:rFonts w:hint="eastAsia" w:cs="宋体"/>
          <w:sz w:val="32"/>
          <w:szCs w:val="32"/>
          <w:lang w:val="en-US" w:eastAsia="zh-CN"/>
        </w:rPr>
        <w:t>七</w:t>
      </w:r>
      <w:r>
        <w:rPr>
          <w:rFonts w:hint="eastAsia" w:cs="宋体"/>
          <w:sz w:val="32"/>
          <w:szCs w:val="32"/>
        </w:rPr>
        <w:t>章</w:t>
      </w:r>
      <w:r>
        <w:rPr>
          <w:sz w:val="32"/>
          <w:szCs w:val="32"/>
        </w:rPr>
        <w:t xml:space="preserve"> </w:t>
      </w:r>
      <w:r>
        <w:rPr>
          <w:rFonts w:hint="eastAsia" w:cs="宋体"/>
          <w:sz w:val="32"/>
          <w:szCs w:val="32"/>
        </w:rPr>
        <w:t>投标文件的组成及相关格式</w:t>
      </w:r>
      <w:r>
        <w:rPr>
          <w:sz w:val="32"/>
          <w:szCs w:val="32"/>
        </w:rPr>
        <w:tab/>
      </w:r>
      <w:r>
        <w:rPr>
          <w:sz w:val="32"/>
          <w:szCs w:val="32"/>
        </w:rPr>
        <w:t>3</w:t>
      </w:r>
      <w:r>
        <w:rPr>
          <w:rFonts w:hint="eastAsia"/>
          <w:sz w:val="32"/>
          <w:szCs w:val="32"/>
        </w:rPr>
        <w:t>3</w:t>
      </w:r>
    </w:p>
    <w:p>
      <w:pPr>
        <w:snapToGrid w:val="0"/>
        <w:spacing w:line="420" w:lineRule="exact"/>
        <w:ind w:firstLine="643" w:firstLineChars="200"/>
        <w:rPr>
          <w:rFonts w:ascii="Times New Roman" w:hAnsi="Times New Roman" w:eastAsia="宋体" w:cs="Times New Roman"/>
        </w:rPr>
        <w:sectPr>
          <w:pgSz w:w="11906" w:h="16838"/>
          <w:pgMar w:top="851" w:right="851" w:bottom="851" w:left="1134" w:header="454" w:footer="454" w:gutter="0"/>
          <w:cols w:space="720" w:num="1"/>
          <w:titlePg/>
          <w:docGrid w:linePitch="380" w:charSpace="-5735"/>
        </w:sectPr>
      </w:pPr>
      <w:r>
        <w:rPr>
          <w:b/>
          <w:bCs/>
          <w:sz w:val="32"/>
          <w:szCs w:val="32"/>
        </w:rPr>
        <w:fldChar w:fldCharType="end"/>
      </w:r>
      <w:r>
        <w:rPr>
          <w:rFonts w:ascii="Times New Roman" w:hAnsi="Times New Roman" w:eastAsia="宋体" w:cs="Times New Roman"/>
        </w:rPr>
        <w:br w:type="page"/>
      </w:r>
    </w:p>
    <w:p>
      <w:pPr>
        <w:snapToGrid w:val="0"/>
        <w:spacing w:line="420" w:lineRule="exact"/>
        <w:rPr>
          <w:rFonts w:ascii="Times New Roman" w:hAnsi="Times New Roman" w:eastAsia="宋体" w:cs="Times New Roman"/>
          <w:b/>
          <w:bCs/>
          <w:sz w:val="24"/>
          <w:szCs w:val="24"/>
        </w:rPr>
      </w:pPr>
      <w:r>
        <w:rPr>
          <w:rFonts w:hint="eastAsia" w:ascii="Times New Roman" w:hAnsi="Times New Roman" w:eastAsia="宋体" w:cs="宋体"/>
          <w:b/>
          <w:bCs/>
          <w:sz w:val="24"/>
          <w:szCs w:val="24"/>
        </w:rPr>
        <w:t>尊敬的投标供应商（以下称投标人）：</w:t>
      </w:r>
    </w:p>
    <w:p>
      <w:pPr>
        <w:snapToGrid w:val="0"/>
        <w:spacing w:line="420" w:lineRule="exact"/>
        <w:ind w:firstLine="482" w:firstLineChars="200"/>
        <w:rPr>
          <w:rFonts w:ascii="Times New Roman" w:hAnsi="Times New Roman" w:eastAsia="宋体" w:cs="Times New Roman"/>
          <w:sz w:val="24"/>
          <w:szCs w:val="24"/>
        </w:rPr>
      </w:pPr>
      <w:r>
        <w:rPr>
          <w:rFonts w:hint="eastAsia" w:ascii="Times New Roman" w:hAnsi="Times New Roman" w:eastAsia="宋体" w:cs="宋体"/>
          <w:b/>
          <w:bCs/>
          <w:sz w:val="24"/>
          <w:szCs w:val="24"/>
        </w:rPr>
        <w:t>欢迎参加本采购项目的公开招标。为了保证本次招标顺利进行，请在制作招标响应文件（以下称投标文件）之前，仔细阅读本招标文件的各项条款，并按要求制作和递交投标文件。谢谢合作！</w:t>
      </w:r>
    </w:p>
    <w:p>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bookmarkStart w:id="1" w:name="_Toc363573853"/>
      <w:r>
        <w:rPr>
          <w:rFonts w:hint="eastAsia" w:ascii="Times New Roman" w:hAnsi="Times New Roman" w:eastAsia="宋体" w:cs="宋体"/>
          <w:b/>
          <w:bCs/>
          <w:w w:val="80"/>
          <w:sz w:val="36"/>
          <w:szCs w:val="36"/>
        </w:rPr>
        <w:t>第一章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招标公告</w:t>
      </w:r>
      <w:bookmarkEnd w:id="1"/>
    </w:p>
    <w:p>
      <w:pPr>
        <w:pBdr>
          <w:top w:val="single" w:color="auto" w:sz="4" w:space="1"/>
          <w:left w:val="single" w:color="auto" w:sz="4" w:space="4"/>
          <w:bottom w:val="single" w:color="auto" w:sz="4" w:space="10"/>
          <w:right w:val="single" w:color="auto" w:sz="4" w:space="0"/>
        </w:pBdr>
        <w:spacing w:line="420" w:lineRule="exact"/>
        <w:ind w:firstLine="482" w:firstLineChars="200"/>
        <w:rPr>
          <w:rFonts w:hint="eastAsia" w:ascii="宋体" w:hAnsi="宋体" w:eastAsia="宋体" w:cs="Times New Roman"/>
          <w:b/>
          <w:bCs/>
          <w:sz w:val="24"/>
          <w:szCs w:val="24"/>
        </w:rPr>
      </w:pPr>
      <w:bookmarkStart w:id="2" w:name="_Hlk67480463"/>
      <w:bookmarkStart w:id="3" w:name="_Hlk117670883"/>
      <w:bookmarkStart w:id="4" w:name="_Hlk13344922"/>
      <w:bookmarkStart w:id="5" w:name="_Hlk529228199"/>
      <w:r>
        <w:rPr>
          <w:rFonts w:hint="eastAsia" w:ascii="宋体" w:hAnsi="宋体" w:eastAsia="宋体" w:cs="宋体"/>
          <w:b/>
          <w:bCs/>
          <w:sz w:val="24"/>
          <w:szCs w:val="24"/>
        </w:rPr>
        <w:t>项目概况</w:t>
      </w:r>
    </w:p>
    <w:p>
      <w:pPr>
        <w:pBdr>
          <w:top w:val="single" w:color="auto" w:sz="4" w:space="1"/>
          <w:left w:val="single" w:color="auto" w:sz="4" w:space="4"/>
          <w:bottom w:val="single" w:color="auto" w:sz="4" w:space="10"/>
          <w:right w:val="single" w:color="auto" w:sz="4" w:space="0"/>
        </w:pBdr>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宋体"/>
          <w:b/>
          <w:bCs/>
          <w:sz w:val="24"/>
          <w:szCs w:val="24"/>
          <w:u w:val="single"/>
          <w:lang w:eastAsia="zh-CN"/>
        </w:rPr>
        <w:t>南通市口腔医院内外网文件摆渡系统采购项目</w:t>
      </w:r>
      <w:r>
        <w:rPr>
          <w:rFonts w:hint="eastAsia" w:ascii="Times New Roman" w:hAnsi="Times New Roman" w:eastAsia="宋体" w:cs="宋体"/>
          <w:b/>
          <w:bCs/>
          <w:sz w:val="24"/>
          <w:szCs w:val="24"/>
        </w:rPr>
        <w:t>的潜在供应商应在</w:t>
      </w:r>
      <w:r>
        <w:rPr>
          <w:rFonts w:hint="eastAsia" w:ascii="Times New Roman" w:hAnsi="Times New Roman" w:eastAsia="宋体" w:cs="Times New Roman"/>
          <w:b/>
          <w:bCs/>
          <w:sz w:val="24"/>
          <w:szCs w:val="24"/>
          <w:u w:val="single"/>
        </w:rPr>
        <w:t>“南通市崇川区人民政府网(www.chongchuan.gov.cn)→我要看→公示公告栏”或“南通市口腔医院（https://www.ntskqyy.com）→</w:t>
      </w:r>
      <w:r>
        <w:rPr>
          <w:rFonts w:hint="eastAsia" w:ascii="Times New Roman" w:hAnsi="Times New Roman" w:eastAsia="宋体" w:cs="Times New Roman"/>
          <w:b/>
          <w:bCs/>
          <w:sz w:val="24"/>
          <w:szCs w:val="24"/>
          <w:u w:val="single"/>
          <w:lang w:val="en-US" w:eastAsia="zh-CN"/>
        </w:rPr>
        <w:t>新闻</w:t>
      </w:r>
      <w:r>
        <w:rPr>
          <w:rFonts w:hint="eastAsia" w:ascii="Times New Roman" w:hAnsi="Times New Roman" w:eastAsia="宋体" w:cs="Times New Roman"/>
          <w:b/>
          <w:bCs/>
          <w:sz w:val="24"/>
          <w:szCs w:val="24"/>
          <w:u w:val="single"/>
        </w:rPr>
        <w:t>动态→</w:t>
      </w:r>
      <w:r>
        <w:rPr>
          <w:rFonts w:hint="eastAsia" w:ascii="Times New Roman" w:hAnsi="Times New Roman" w:eastAsia="宋体" w:cs="Times New Roman"/>
          <w:b/>
          <w:bCs/>
          <w:sz w:val="24"/>
          <w:szCs w:val="24"/>
          <w:u w:val="single"/>
          <w:lang w:val="en-US" w:eastAsia="zh-CN"/>
        </w:rPr>
        <w:t>党务院务公开</w:t>
      </w:r>
      <w:r>
        <w:rPr>
          <w:rFonts w:hint="eastAsia" w:ascii="Times New Roman" w:hAnsi="Times New Roman" w:eastAsia="宋体" w:cs="Times New Roman"/>
          <w:b/>
          <w:bCs/>
          <w:sz w:val="24"/>
          <w:szCs w:val="24"/>
          <w:u w:val="single"/>
        </w:rPr>
        <w:t>→</w:t>
      </w:r>
      <w:r>
        <w:rPr>
          <w:rFonts w:hint="eastAsia" w:ascii="Times New Roman" w:hAnsi="Times New Roman" w:eastAsia="宋体" w:cs="Times New Roman"/>
          <w:b/>
          <w:bCs/>
          <w:sz w:val="24"/>
          <w:szCs w:val="24"/>
          <w:u w:val="single"/>
          <w:lang w:val="en-US" w:eastAsia="zh-CN"/>
        </w:rPr>
        <w:t>招标采购</w:t>
      </w:r>
      <w:r>
        <w:rPr>
          <w:rFonts w:hint="eastAsia" w:ascii="Times New Roman" w:hAnsi="Times New Roman" w:eastAsia="宋体" w:cs="Times New Roman"/>
          <w:b/>
          <w:bCs/>
          <w:sz w:val="24"/>
          <w:szCs w:val="24"/>
          <w:u w:val="single"/>
        </w:rPr>
        <w:t>”</w:t>
      </w:r>
      <w:r>
        <w:rPr>
          <w:rFonts w:hint="eastAsia" w:ascii="Times New Roman" w:hAnsi="Times New Roman" w:eastAsia="宋体" w:cs="宋体"/>
          <w:b/>
          <w:bCs/>
          <w:sz w:val="24"/>
          <w:szCs w:val="24"/>
        </w:rPr>
        <w:t>获取招标文件，并于</w:t>
      </w:r>
      <w:r>
        <w:rPr>
          <w:rFonts w:ascii="Times New Roman" w:hAnsi="Times New Roman" w:eastAsia="宋体" w:cs="Times New Roman"/>
          <w:b/>
          <w:bCs/>
          <w:sz w:val="24"/>
          <w:szCs w:val="24"/>
          <w:u w:val="single"/>
        </w:rPr>
        <w:t>202</w:t>
      </w:r>
      <w:r>
        <w:rPr>
          <w:rFonts w:hint="eastAsia" w:ascii="Times New Roman" w:hAnsi="Times New Roman" w:eastAsia="宋体" w:cs="Times New Roman"/>
          <w:b/>
          <w:bCs/>
          <w:sz w:val="24"/>
          <w:szCs w:val="24"/>
          <w:u w:val="single"/>
          <w:lang w:val="en-US" w:eastAsia="zh-CN"/>
        </w:rPr>
        <w:t xml:space="preserve"> 5</w:t>
      </w:r>
      <w:r>
        <w:rPr>
          <w:rFonts w:ascii="Times New Roman" w:hAnsi="Times New Roman" w:eastAsia="宋体" w:cs="Times New Roman"/>
          <w:b/>
          <w:bCs/>
          <w:sz w:val="24"/>
          <w:szCs w:val="24"/>
          <w:u w:val="single"/>
        </w:rPr>
        <w:t>年</w:t>
      </w:r>
      <w:r>
        <w:rPr>
          <w:rFonts w:hint="eastAsia" w:ascii="Times New Roman" w:hAnsi="Times New Roman" w:eastAsia="宋体" w:cs="Times New Roman"/>
          <w:b/>
          <w:bCs/>
          <w:sz w:val="24"/>
          <w:szCs w:val="24"/>
          <w:u w:val="single"/>
          <w:lang w:val="en-US" w:eastAsia="zh-CN"/>
        </w:rPr>
        <w:t xml:space="preserve"> 3</w:t>
      </w:r>
      <w:r>
        <w:rPr>
          <w:rFonts w:ascii="Times New Roman" w:hAnsi="Times New Roman" w:eastAsia="宋体" w:cs="Times New Roman"/>
          <w:b/>
          <w:bCs/>
          <w:sz w:val="24"/>
          <w:szCs w:val="24"/>
          <w:u w:val="single"/>
        </w:rPr>
        <w:t>月</w:t>
      </w:r>
      <w:r>
        <w:rPr>
          <w:rFonts w:hint="eastAsia" w:ascii="Times New Roman" w:hAnsi="Times New Roman" w:eastAsia="宋体" w:cs="Times New Roman"/>
          <w:b/>
          <w:bCs/>
          <w:sz w:val="24"/>
          <w:szCs w:val="24"/>
          <w:u w:val="single"/>
          <w:lang w:val="en-US" w:eastAsia="zh-CN"/>
        </w:rPr>
        <w:t xml:space="preserve"> 12</w:t>
      </w:r>
      <w:r>
        <w:rPr>
          <w:rFonts w:hint="eastAsia" w:ascii="Times New Roman" w:hAnsi="Times New Roman" w:eastAsia="宋体" w:cs="Times New Roman"/>
          <w:b/>
          <w:bCs/>
          <w:sz w:val="24"/>
          <w:szCs w:val="24"/>
          <w:u w:val="single"/>
          <w:lang w:eastAsia="zh-CN"/>
        </w:rPr>
        <w:t>日1</w:t>
      </w:r>
      <w:r>
        <w:rPr>
          <w:rFonts w:hint="eastAsia" w:ascii="Times New Roman" w:hAnsi="Times New Roman" w:eastAsia="宋体" w:cs="Times New Roman"/>
          <w:b/>
          <w:bCs/>
          <w:sz w:val="24"/>
          <w:szCs w:val="24"/>
          <w:u w:val="single"/>
          <w:lang w:val="en-US" w:eastAsia="zh-CN"/>
        </w:rPr>
        <w:t>4</w:t>
      </w:r>
      <w:r>
        <w:rPr>
          <w:rFonts w:hint="eastAsia" w:ascii="Times New Roman" w:hAnsi="Times New Roman" w:eastAsia="宋体" w:cs="Times New Roman"/>
          <w:b/>
          <w:bCs/>
          <w:sz w:val="24"/>
          <w:szCs w:val="24"/>
          <w:u w:val="single"/>
          <w:lang w:eastAsia="zh-CN"/>
        </w:rPr>
        <w:t>时</w:t>
      </w:r>
      <w:r>
        <w:rPr>
          <w:rFonts w:hint="eastAsia" w:ascii="Times New Roman" w:hAnsi="Times New Roman" w:eastAsia="宋体" w:cs="宋体"/>
          <w:b/>
          <w:bCs/>
          <w:sz w:val="24"/>
          <w:szCs w:val="24"/>
          <w:u w:val="single"/>
        </w:rPr>
        <w:t>前</w:t>
      </w:r>
      <w:r>
        <w:rPr>
          <w:rFonts w:hint="eastAsia" w:ascii="Times New Roman" w:hAnsi="Times New Roman" w:eastAsia="宋体" w:cs="宋体"/>
          <w:b/>
          <w:bCs/>
          <w:sz w:val="24"/>
          <w:szCs w:val="24"/>
        </w:rPr>
        <w:t>（北京时间，以下相同。）提交投标文件。</w:t>
      </w:r>
    </w:p>
    <w:bookmarkEnd w:id="2"/>
    <w:p>
      <w:pPr>
        <w:spacing w:before="240" w:beforeLines="100"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eastAsia="zh-CN"/>
        </w:rPr>
        <w:t>上海申邑工程咨询有限公司</w:t>
      </w:r>
      <w:r>
        <w:rPr>
          <w:rFonts w:hint="eastAsia" w:ascii="Times New Roman" w:hAnsi="Times New Roman" w:eastAsia="宋体" w:cs="宋体"/>
          <w:sz w:val="24"/>
          <w:szCs w:val="24"/>
        </w:rPr>
        <w:t>（以下称招标代理机构）受</w:t>
      </w:r>
      <w:r>
        <w:rPr>
          <w:rFonts w:hint="eastAsia" w:ascii="Times New Roman" w:hAnsi="Times New Roman" w:eastAsia="宋体" w:cs="宋体"/>
          <w:sz w:val="24"/>
          <w:szCs w:val="24"/>
          <w:lang w:eastAsia="zh-CN"/>
        </w:rPr>
        <w:t>南通市口腔医院</w:t>
      </w:r>
      <w:r>
        <w:rPr>
          <w:rFonts w:hint="eastAsia" w:ascii="Times New Roman" w:hAnsi="Times New Roman" w:eastAsia="宋体" w:cs="宋体"/>
          <w:sz w:val="24"/>
          <w:szCs w:val="24"/>
        </w:rPr>
        <w:t>（以下称</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）的委托，就</w:t>
      </w:r>
      <w:r>
        <w:rPr>
          <w:rFonts w:hint="eastAsia" w:ascii="Times New Roman" w:hAnsi="Times New Roman" w:eastAsia="宋体" w:cs="宋体"/>
          <w:sz w:val="24"/>
          <w:szCs w:val="24"/>
          <w:lang w:val="en-US" w:eastAsia="zh-CN"/>
        </w:rPr>
        <w:t>采购</w:t>
      </w:r>
      <w:r>
        <w:rPr>
          <w:rFonts w:hint="eastAsia" w:ascii="Times New Roman" w:hAnsi="Times New Roman" w:eastAsia="宋体" w:cs="宋体"/>
          <w:sz w:val="24"/>
          <w:szCs w:val="24"/>
        </w:rPr>
        <w:t>人</w:t>
      </w:r>
      <w:r>
        <w:rPr>
          <w:rFonts w:hint="eastAsia" w:ascii="Times New Roman" w:hAnsi="Times New Roman" w:eastAsia="宋体" w:cs="宋体"/>
          <w:sz w:val="24"/>
          <w:szCs w:val="24"/>
          <w:lang w:eastAsia="zh-CN"/>
        </w:rPr>
        <w:t>内外网文件摆渡系统</w:t>
      </w:r>
      <w:r>
        <w:rPr>
          <w:rFonts w:hint="eastAsia" w:ascii="Times New Roman" w:hAnsi="Times New Roman" w:eastAsia="宋体" w:cs="宋体"/>
          <w:sz w:val="24"/>
          <w:szCs w:val="24"/>
        </w:rPr>
        <w:t>项目组织公开招标，诚邀符合条件的潜在供应商参加投标。</w:t>
      </w:r>
    </w:p>
    <w:p>
      <w:pPr>
        <w:spacing w:line="420" w:lineRule="exact"/>
        <w:ind w:firstLine="424" w:firstLineChars="17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一、项目基本情况</w:t>
      </w:r>
    </w:p>
    <w:p>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项目编号：</w:t>
      </w:r>
      <w:r>
        <w:rPr>
          <w:rFonts w:hint="eastAsia" w:ascii="Times New Roman" w:hAnsi="Times New Roman" w:eastAsia="宋体" w:cs="Times New Roman"/>
          <w:sz w:val="24"/>
          <w:szCs w:val="24"/>
          <w:lang w:eastAsia="zh-CN"/>
        </w:rPr>
        <w:t>NTSKQYYCG2025003</w:t>
      </w:r>
      <w:r>
        <w:rPr>
          <w:rFonts w:hint="eastAsia" w:ascii="Times New Roman" w:hAnsi="Times New Roman" w:eastAsia="宋体" w:cs="宋体"/>
          <w:sz w:val="24"/>
          <w:szCs w:val="24"/>
        </w:rPr>
        <w:t>。</w:t>
      </w:r>
    </w:p>
    <w:p>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项目名称：</w:t>
      </w:r>
      <w:r>
        <w:rPr>
          <w:rFonts w:hint="eastAsia" w:ascii="Times New Roman" w:hAnsi="Times New Roman" w:eastAsia="宋体" w:cs="宋体"/>
          <w:sz w:val="24"/>
          <w:szCs w:val="24"/>
          <w:lang w:eastAsia="zh-CN"/>
        </w:rPr>
        <w:t>南通市口腔医院内外网文件摆渡系统采购项目</w:t>
      </w:r>
      <w:r>
        <w:rPr>
          <w:rFonts w:hint="eastAsia" w:ascii="Times New Roman" w:hAnsi="Times New Roman" w:eastAsia="宋体" w:cs="宋体"/>
          <w:sz w:val="24"/>
          <w:szCs w:val="24"/>
        </w:rPr>
        <w:t>。</w:t>
      </w:r>
    </w:p>
    <w:p>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lang w:val="en-US" w:eastAsia="zh-CN"/>
        </w:rPr>
        <w:t>采购</w:t>
      </w:r>
      <w:r>
        <w:rPr>
          <w:rFonts w:hint="eastAsia" w:ascii="Times New Roman" w:hAnsi="Times New Roman" w:eastAsia="宋体" w:cs="宋体"/>
          <w:sz w:val="24"/>
          <w:szCs w:val="24"/>
        </w:rPr>
        <w:t>方式：公开招标；</w:t>
      </w:r>
    </w:p>
    <w:p>
      <w:pPr>
        <w:spacing w:line="420" w:lineRule="exact"/>
        <w:ind w:firstLine="422" w:firstLineChars="176"/>
        <w:rPr>
          <w:rFonts w:ascii="Times New Roman" w:hAnsi="Times New Roman" w:eastAsia="宋体" w:cs="Times New Roman"/>
          <w:sz w:val="24"/>
          <w:szCs w:val="24"/>
          <w:highlight w:val="none"/>
        </w:rPr>
      </w:pPr>
      <w:r>
        <w:rPr>
          <w:rFonts w:ascii="Times New Roman" w:hAnsi="Times New Roman" w:eastAsia="宋体" w:cs="Times New Roman"/>
          <w:sz w:val="24"/>
          <w:szCs w:val="24"/>
        </w:rPr>
        <w:t>4.</w:t>
      </w:r>
      <w:r>
        <w:rPr>
          <w:rFonts w:hint="eastAsia" w:ascii="Times New Roman" w:hAnsi="Times New Roman" w:eastAsia="宋体" w:cs="宋体"/>
          <w:sz w:val="24"/>
          <w:szCs w:val="24"/>
          <w:lang w:val="en-US" w:eastAsia="zh-CN"/>
        </w:rPr>
        <w:t>预算金额</w:t>
      </w:r>
      <w:r>
        <w:rPr>
          <w:rFonts w:hint="eastAsia" w:ascii="Times New Roman" w:hAnsi="Times New Roman" w:eastAsia="宋体" w:cs="宋体"/>
          <w:sz w:val="24"/>
          <w:szCs w:val="24"/>
        </w:rPr>
        <w:t>：</w:t>
      </w:r>
      <w:bookmarkStart w:id="6" w:name="_Hlk117164165"/>
      <w:r>
        <w:rPr>
          <w:rFonts w:hint="eastAsia" w:ascii="Times New Roman" w:hAnsi="Times New Roman" w:eastAsia="宋体" w:cs="宋体"/>
          <w:sz w:val="24"/>
          <w:szCs w:val="24"/>
        </w:rPr>
        <w:t>人民</w:t>
      </w:r>
      <w:r>
        <w:rPr>
          <w:rFonts w:hint="eastAsia" w:ascii="Times New Roman" w:hAnsi="Times New Roman" w:eastAsia="宋体" w:cs="宋体"/>
          <w:sz w:val="24"/>
          <w:szCs w:val="24"/>
          <w:highlight w:val="none"/>
        </w:rPr>
        <w:t>币</w:t>
      </w:r>
      <w:r>
        <w:rPr>
          <w:rFonts w:hint="eastAsia" w:ascii="Times New Roman" w:hAnsi="Times New Roman" w:eastAsia="宋体" w:cs="Times New Roman"/>
          <w:sz w:val="24"/>
          <w:szCs w:val="24"/>
          <w:highlight w:val="none"/>
          <w:lang w:val="en-US" w:eastAsia="zh-CN"/>
        </w:rPr>
        <w:t>25</w:t>
      </w:r>
      <w:r>
        <w:rPr>
          <w:rFonts w:hint="eastAsia" w:ascii="Times New Roman" w:hAnsi="Times New Roman" w:eastAsia="宋体" w:cs="Times New Roman"/>
          <w:sz w:val="24"/>
          <w:szCs w:val="24"/>
          <w:highlight w:val="none"/>
        </w:rPr>
        <w:t>万元</w:t>
      </w:r>
      <w:r>
        <w:rPr>
          <w:rFonts w:hint="eastAsia" w:ascii="Times New Roman" w:hAnsi="Times New Roman" w:eastAsia="宋体" w:cs="宋体"/>
          <w:sz w:val="24"/>
          <w:szCs w:val="24"/>
          <w:highlight w:val="none"/>
        </w:rPr>
        <w:t>。</w:t>
      </w:r>
      <w:bookmarkEnd w:id="6"/>
    </w:p>
    <w:p>
      <w:pPr>
        <w:spacing w:line="420" w:lineRule="exact"/>
        <w:ind w:firstLine="422" w:firstLineChars="176"/>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w:t>
      </w:r>
      <w:r>
        <w:rPr>
          <w:rFonts w:hint="eastAsia" w:ascii="Times New Roman" w:hAnsi="Times New Roman" w:eastAsia="宋体" w:cs="宋体"/>
          <w:sz w:val="24"/>
          <w:szCs w:val="24"/>
          <w:highlight w:val="none"/>
        </w:rPr>
        <w:t>最</w:t>
      </w:r>
      <w:r>
        <w:rPr>
          <w:rFonts w:hint="eastAsia" w:ascii="Times New Roman" w:hAnsi="Times New Roman" w:eastAsia="宋体" w:cs="宋体"/>
          <w:sz w:val="24"/>
          <w:szCs w:val="24"/>
          <w:highlight w:val="none"/>
          <w:lang w:val="en-US" w:eastAsia="zh-CN"/>
        </w:rPr>
        <w:t>高</w:t>
      </w:r>
      <w:r>
        <w:rPr>
          <w:rFonts w:hint="eastAsia" w:ascii="Times New Roman" w:hAnsi="Times New Roman" w:eastAsia="宋体" w:cs="宋体"/>
          <w:sz w:val="24"/>
          <w:szCs w:val="24"/>
          <w:highlight w:val="none"/>
        </w:rPr>
        <w:t>限价：人民币</w:t>
      </w:r>
      <w:r>
        <w:rPr>
          <w:rFonts w:hint="eastAsia" w:ascii="Times New Roman" w:hAnsi="Times New Roman" w:eastAsia="宋体" w:cs="Times New Roman"/>
          <w:sz w:val="24"/>
          <w:szCs w:val="24"/>
          <w:highlight w:val="none"/>
          <w:lang w:val="en-US" w:eastAsia="zh-CN"/>
        </w:rPr>
        <w:t>25</w:t>
      </w:r>
      <w:r>
        <w:rPr>
          <w:rFonts w:hint="eastAsia" w:ascii="Times New Roman" w:hAnsi="Times New Roman" w:eastAsia="宋体" w:cs="Times New Roman"/>
          <w:sz w:val="24"/>
          <w:szCs w:val="24"/>
          <w:highlight w:val="none"/>
        </w:rPr>
        <w:t>万元</w:t>
      </w:r>
      <w:r>
        <w:rPr>
          <w:rFonts w:hint="eastAsia" w:ascii="Times New Roman" w:hAnsi="Times New Roman" w:eastAsia="宋体" w:cs="宋体"/>
          <w:sz w:val="24"/>
          <w:szCs w:val="24"/>
          <w:highlight w:val="none"/>
        </w:rPr>
        <w:t>。</w:t>
      </w:r>
    </w:p>
    <w:p>
      <w:pPr>
        <w:spacing w:line="420" w:lineRule="exact"/>
        <w:ind w:firstLine="422" w:firstLineChars="176"/>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w:t>
      </w:r>
      <w:r>
        <w:rPr>
          <w:rFonts w:hint="eastAsia" w:ascii="Times New Roman" w:hAnsi="Times New Roman" w:eastAsia="宋体" w:cs="宋体"/>
          <w:sz w:val="24"/>
          <w:szCs w:val="24"/>
          <w:highlight w:val="none"/>
        </w:rPr>
        <w:t>采购需求：</w:t>
      </w:r>
      <w:r>
        <w:rPr>
          <w:rFonts w:hint="eastAsia" w:ascii="Times New Roman" w:hAnsi="Times New Roman" w:eastAsia="宋体" w:cs="宋体"/>
          <w:sz w:val="24"/>
          <w:szCs w:val="24"/>
          <w:highlight w:val="none"/>
          <w:lang w:val="en-US" w:eastAsia="zh-CN"/>
        </w:rPr>
        <w:t>采购人</w:t>
      </w:r>
      <w:r>
        <w:rPr>
          <w:rFonts w:hint="eastAsia" w:ascii="Times New Roman" w:hAnsi="Times New Roman" w:eastAsia="宋体" w:cs="宋体"/>
          <w:sz w:val="24"/>
          <w:szCs w:val="24"/>
          <w:highlight w:val="none"/>
        </w:rPr>
        <w:t>拟对其</w:t>
      </w:r>
      <w:r>
        <w:rPr>
          <w:rFonts w:hint="eastAsia" w:ascii="宋体" w:hAnsi="宋体" w:eastAsia="宋体" w:cs="宋体"/>
          <w:color w:val="auto"/>
          <w:kern w:val="0"/>
          <w:sz w:val="24"/>
          <w:szCs w:val="24"/>
          <w:highlight w:val="none"/>
        </w:rPr>
        <w:t>内外网</w:t>
      </w:r>
      <w:r>
        <w:rPr>
          <w:rFonts w:ascii="宋体" w:hAnsi="宋体" w:eastAsia="宋体" w:cs="宋体"/>
          <w:color w:val="auto"/>
          <w:kern w:val="0"/>
          <w:sz w:val="24"/>
          <w:szCs w:val="24"/>
          <w:highlight w:val="none"/>
        </w:rPr>
        <w:t>文件交换系统（</w:t>
      </w:r>
      <w:r>
        <w:rPr>
          <w:rFonts w:hint="eastAsia" w:ascii="宋体" w:hAnsi="宋体" w:eastAsia="宋体" w:cs="宋体"/>
          <w:color w:val="auto"/>
          <w:kern w:val="0"/>
          <w:sz w:val="24"/>
          <w:szCs w:val="24"/>
          <w:highlight w:val="none"/>
        </w:rPr>
        <w:t>软硬件</w:t>
      </w:r>
      <w:r>
        <w:rPr>
          <w:rFonts w:ascii="宋体" w:hAnsi="宋体" w:eastAsia="宋体" w:cs="宋体"/>
          <w:color w:val="auto"/>
          <w:kern w:val="0"/>
          <w:sz w:val="24"/>
          <w:szCs w:val="24"/>
          <w:highlight w:val="none"/>
        </w:rPr>
        <w:t>系统）</w:t>
      </w:r>
      <w:r>
        <w:rPr>
          <w:rFonts w:hint="eastAsia" w:ascii="Times New Roman" w:hAnsi="Times New Roman" w:eastAsia="宋体" w:cs="宋体"/>
          <w:sz w:val="24"/>
          <w:szCs w:val="24"/>
          <w:highlight w:val="none"/>
        </w:rPr>
        <w:t>通过公开招标的形式确定</w:t>
      </w:r>
      <w:r>
        <w:rPr>
          <w:rFonts w:hint="eastAsia" w:ascii="Times New Roman" w:hAnsi="Times New Roman" w:eastAsia="宋体" w:cs="宋体"/>
          <w:sz w:val="24"/>
          <w:szCs w:val="24"/>
          <w:highlight w:val="none"/>
          <w:lang w:val="en-US" w:eastAsia="zh-CN"/>
        </w:rPr>
        <w:t>成交供应商</w:t>
      </w:r>
      <w:r>
        <w:rPr>
          <w:rFonts w:hint="eastAsia" w:ascii="Times New Roman" w:hAnsi="Times New Roman" w:eastAsia="宋体" w:cs="宋体"/>
          <w:sz w:val="24"/>
          <w:szCs w:val="24"/>
          <w:highlight w:val="none"/>
        </w:rPr>
        <w:t>，具体详见本项目招标文件第三章。</w:t>
      </w:r>
    </w:p>
    <w:p>
      <w:pPr>
        <w:spacing w:line="420" w:lineRule="exact"/>
        <w:ind w:firstLine="422" w:firstLineChars="176"/>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w:t>
      </w:r>
      <w:r>
        <w:rPr>
          <w:rFonts w:hint="eastAsia" w:ascii="Times New Roman" w:hAnsi="Times New Roman" w:eastAsia="宋体" w:cs="宋体"/>
          <w:sz w:val="24"/>
          <w:szCs w:val="24"/>
          <w:highlight w:val="none"/>
          <w:lang w:val="en-US" w:eastAsia="zh-CN"/>
        </w:rPr>
        <w:t>合同履行期限：合同签订之日起30个工作日内完成安装调试。</w:t>
      </w:r>
    </w:p>
    <w:p>
      <w:pPr>
        <w:spacing w:line="420" w:lineRule="exact"/>
        <w:ind w:firstLine="422" w:firstLineChars="176"/>
        <w:rPr>
          <w:rFonts w:ascii="Times New Roman" w:hAnsi="Times New Roman" w:eastAsia="宋体" w:cs="Times New Roman"/>
          <w:b/>
          <w:bCs/>
          <w:sz w:val="24"/>
          <w:szCs w:val="24"/>
          <w:highlight w:val="none"/>
        </w:rPr>
      </w:pPr>
      <w:r>
        <w:rPr>
          <w:rFonts w:ascii="Times New Roman" w:hAnsi="Times New Roman" w:eastAsia="宋体" w:cs="Times New Roman"/>
          <w:sz w:val="24"/>
          <w:szCs w:val="24"/>
          <w:highlight w:val="none"/>
        </w:rPr>
        <w:t>8.</w:t>
      </w:r>
      <w:r>
        <w:rPr>
          <w:rFonts w:hint="eastAsia" w:ascii="Times New Roman" w:hAnsi="Times New Roman" w:eastAsia="宋体" w:cs="宋体"/>
          <w:sz w:val="24"/>
          <w:szCs w:val="24"/>
          <w:highlight w:val="none"/>
        </w:rPr>
        <w:t>联合体：不接受多个供应商组成联合体参与本项目的招标活动。</w:t>
      </w:r>
    </w:p>
    <w:p>
      <w:pPr>
        <w:spacing w:line="420" w:lineRule="exact"/>
        <w:ind w:firstLine="424" w:firstLineChars="176"/>
        <w:outlineLvl w:val="1"/>
        <w:rPr>
          <w:rFonts w:ascii="Times New Roman" w:hAnsi="Times New Roman" w:eastAsia="宋体" w:cs="Times New Roman"/>
          <w:sz w:val="24"/>
          <w:szCs w:val="24"/>
          <w:highlight w:val="none"/>
        </w:rPr>
      </w:pPr>
      <w:r>
        <w:rPr>
          <w:rFonts w:hint="eastAsia" w:ascii="Times New Roman" w:hAnsi="Times New Roman" w:eastAsia="宋体" w:cs="宋体"/>
          <w:b/>
          <w:bCs/>
          <w:sz w:val="24"/>
          <w:szCs w:val="24"/>
          <w:highlight w:val="none"/>
        </w:rPr>
        <w:t>二、投标人资格</w:t>
      </w:r>
    </w:p>
    <w:p>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highlight w:val="none"/>
        </w:rPr>
        <w:t>1.</w:t>
      </w:r>
      <w:r>
        <w:rPr>
          <w:rFonts w:hint="eastAsia" w:ascii="Times New Roman" w:hAnsi="Times New Roman" w:eastAsia="宋体" w:cs="宋体"/>
          <w:sz w:val="24"/>
          <w:szCs w:val="24"/>
          <w:highlight w:val="none"/>
        </w:rPr>
        <w:t>具有独立承担民事责任的能力；具有良好的商业信誉和健全的财务会计制度；具有履行合同所必需的设备和专业技术能力；有依法缴纳税收和社会保障资金的</w:t>
      </w:r>
      <w:r>
        <w:rPr>
          <w:rFonts w:hint="eastAsia" w:ascii="Times New Roman" w:hAnsi="Times New Roman" w:eastAsia="宋体" w:cs="宋体"/>
          <w:sz w:val="24"/>
          <w:szCs w:val="24"/>
        </w:rPr>
        <w:t>良好记录；参加招标租赁活动前三年内，在经营活动中没有重大违法记录；</w:t>
      </w:r>
    </w:p>
    <w:p>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本项目的特定资格要求：</w:t>
      </w:r>
      <w:r>
        <w:rPr>
          <w:rFonts w:hint="eastAsia" w:ascii="Times New Roman" w:hAnsi="Times New Roman" w:eastAsia="宋体" w:cs="宋体"/>
          <w:sz w:val="24"/>
          <w:szCs w:val="24"/>
          <w:u w:val="single"/>
        </w:rPr>
        <w:t>无</w:t>
      </w:r>
      <w:r>
        <w:rPr>
          <w:rFonts w:hint="eastAsia" w:ascii="Times New Roman" w:hAnsi="Times New Roman" w:eastAsia="宋体" w:cs="宋体"/>
          <w:sz w:val="24"/>
          <w:szCs w:val="24"/>
        </w:rPr>
        <w:t>。</w:t>
      </w:r>
    </w:p>
    <w:p>
      <w:pPr>
        <w:spacing w:line="420" w:lineRule="exact"/>
        <w:ind w:firstLine="424" w:firstLineChars="17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三、招标文件的获取</w:t>
      </w:r>
    </w:p>
    <w:p>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有意愿参与本项目投标的单位，请于本项目招标公告之日起至投标文件接收截止日前，到“南通市崇川区人民政府网(www.chongchuan.gov.cn)→我要看→公示公告栏”或“南通市口腔医院（https://www.ntskqyy.com）→新闻动态→党务院务公开→招标采购”下载本项目的招标文件。</w:t>
      </w:r>
    </w:p>
    <w:p>
      <w:pPr>
        <w:snapToGrid w:val="0"/>
        <w:spacing w:line="420" w:lineRule="exact"/>
        <w:ind w:left="-3" w:leftChars="-1" w:firstLine="431"/>
        <w:outlineLvl w:val="1"/>
        <w:rPr>
          <w:rFonts w:ascii="Times New Roman" w:hAnsi="Times New Roman" w:eastAsia="宋体" w:cs="Times New Roman"/>
          <w:b/>
          <w:bCs/>
          <w:kern w:val="0"/>
          <w:sz w:val="24"/>
          <w:szCs w:val="24"/>
        </w:rPr>
      </w:pPr>
      <w:r>
        <w:rPr>
          <w:rFonts w:hint="eastAsia" w:ascii="Times New Roman" w:hAnsi="Times New Roman" w:eastAsia="宋体" w:cs="宋体"/>
          <w:b/>
          <w:bCs/>
          <w:sz w:val="24"/>
          <w:szCs w:val="24"/>
        </w:rPr>
        <w:t>四、投标文件的提交</w:t>
      </w:r>
    </w:p>
    <w:p>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7" w:name="_Hlk80645407"/>
      <w:r>
        <w:rPr>
          <w:rFonts w:hint="eastAsia" w:ascii="Times New Roman" w:hAnsi="Times New Roman" w:eastAsia="宋体" w:cs="宋体"/>
          <w:b/>
          <w:bCs/>
          <w:sz w:val="24"/>
          <w:szCs w:val="24"/>
          <w:u w:val="thick" w:color="FF0000"/>
          <w:lang w:val="en-US" w:eastAsia="zh-CN"/>
        </w:rPr>
        <w:t>接收</w:t>
      </w:r>
      <w:r>
        <w:rPr>
          <w:rFonts w:hint="eastAsia" w:ascii="Times New Roman" w:hAnsi="Times New Roman" w:eastAsia="宋体" w:cs="宋体"/>
          <w:b/>
          <w:bCs/>
          <w:sz w:val="24"/>
          <w:szCs w:val="24"/>
          <w:u w:val="thick" w:color="FF0000"/>
        </w:rPr>
        <w:t>时间：</w:t>
      </w:r>
      <w:r>
        <w:rPr>
          <w:rFonts w:ascii="Times New Roman" w:hAnsi="Times New Roman" w:eastAsia="宋体" w:cs="Times New Roman"/>
          <w:b/>
          <w:bCs/>
          <w:sz w:val="24"/>
          <w:szCs w:val="24"/>
          <w:u w:val="thick" w:color="FF0000"/>
        </w:rPr>
        <w:t>202</w:t>
      </w:r>
      <w:r>
        <w:rPr>
          <w:rFonts w:hint="eastAsia" w:ascii="Times New Roman" w:hAnsi="Times New Roman" w:eastAsia="宋体" w:cs="Times New Roman"/>
          <w:b/>
          <w:bCs/>
          <w:sz w:val="24"/>
          <w:szCs w:val="24"/>
          <w:u w:val="thick" w:color="FF0000"/>
          <w:lang w:val="en-US" w:eastAsia="zh-CN"/>
        </w:rPr>
        <w:t>5</w:t>
      </w:r>
      <w:r>
        <w:rPr>
          <w:rFonts w:ascii="Times New Roman" w:hAnsi="Times New Roman" w:eastAsia="宋体" w:cs="Times New Roman"/>
          <w:b/>
          <w:bCs/>
          <w:sz w:val="24"/>
          <w:szCs w:val="24"/>
          <w:u w:val="thick" w:color="FF0000"/>
        </w:rPr>
        <w:t>年</w:t>
      </w:r>
      <w:r>
        <w:rPr>
          <w:rFonts w:hint="eastAsia" w:ascii="Times New Roman" w:hAnsi="Times New Roman" w:eastAsia="宋体" w:cs="Times New Roman"/>
          <w:b/>
          <w:bCs/>
          <w:sz w:val="24"/>
          <w:szCs w:val="24"/>
          <w:u w:val="thick" w:color="FF0000"/>
          <w:lang w:val="en-US" w:eastAsia="zh-CN"/>
        </w:rPr>
        <w:t>3</w:t>
      </w:r>
      <w:r>
        <w:rPr>
          <w:rFonts w:ascii="Times New Roman" w:hAnsi="Times New Roman" w:eastAsia="宋体" w:cs="Times New Roman"/>
          <w:b/>
          <w:bCs/>
          <w:sz w:val="24"/>
          <w:szCs w:val="24"/>
          <w:u w:val="thick" w:color="FF0000"/>
        </w:rPr>
        <w:t>月</w:t>
      </w:r>
      <w:r>
        <w:rPr>
          <w:rFonts w:hint="eastAsia" w:ascii="Times New Roman" w:hAnsi="Times New Roman" w:eastAsia="宋体" w:cs="Times New Roman"/>
          <w:b/>
          <w:bCs/>
          <w:sz w:val="24"/>
          <w:szCs w:val="24"/>
          <w:u w:val="thick" w:color="FF0000"/>
          <w:lang w:val="en-US" w:eastAsia="zh-CN"/>
        </w:rPr>
        <w:t>12</w:t>
      </w:r>
      <w:r>
        <w:rPr>
          <w:rFonts w:hint="eastAsia" w:ascii="Times New Roman" w:hAnsi="Times New Roman" w:eastAsia="宋体" w:cs="Times New Roman"/>
          <w:b/>
          <w:bCs/>
          <w:sz w:val="24"/>
          <w:szCs w:val="24"/>
          <w:u w:val="thick" w:color="FF0000"/>
          <w:lang w:eastAsia="zh-CN"/>
        </w:rPr>
        <w:t>日</w:t>
      </w:r>
      <w:bookmarkEnd w:id="7"/>
      <w:r>
        <w:rPr>
          <w:rFonts w:hint="eastAsia" w:ascii="Times New Roman" w:hAnsi="Times New Roman" w:eastAsia="宋体" w:cs="Times New Roman"/>
          <w:b/>
          <w:bCs/>
          <w:sz w:val="24"/>
          <w:szCs w:val="24"/>
          <w:u w:val="thick" w:color="FF0000"/>
          <w:lang w:val="en-US" w:eastAsia="zh-CN"/>
        </w:rPr>
        <w:t>13时30分至</w:t>
      </w:r>
      <w:r>
        <w:rPr>
          <w:rFonts w:hint="eastAsia" w:ascii="Times New Roman" w:hAnsi="Times New Roman" w:eastAsia="宋体" w:cs="Times New Roman"/>
          <w:b/>
          <w:bCs/>
          <w:sz w:val="24"/>
          <w:szCs w:val="24"/>
          <w:u w:val="thick" w:color="FF0000"/>
          <w:lang w:eastAsia="zh-CN"/>
        </w:rPr>
        <w:t>1</w:t>
      </w:r>
      <w:r>
        <w:rPr>
          <w:rFonts w:hint="eastAsia" w:ascii="Times New Roman" w:hAnsi="Times New Roman" w:eastAsia="宋体" w:cs="Times New Roman"/>
          <w:b/>
          <w:bCs/>
          <w:sz w:val="24"/>
          <w:szCs w:val="24"/>
          <w:u w:val="thick" w:color="FF0000"/>
          <w:lang w:val="en-US" w:eastAsia="zh-CN"/>
        </w:rPr>
        <w:t>4</w:t>
      </w:r>
      <w:r>
        <w:rPr>
          <w:rFonts w:hint="eastAsia" w:ascii="Times New Roman" w:hAnsi="Times New Roman" w:eastAsia="宋体" w:cs="Times New Roman"/>
          <w:b/>
          <w:bCs/>
          <w:sz w:val="24"/>
          <w:szCs w:val="24"/>
          <w:u w:val="thick" w:color="FF0000"/>
          <w:lang w:eastAsia="zh-CN"/>
        </w:rPr>
        <w:t>时</w:t>
      </w:r>
      <w:r>
        <w:rPr>
          <w:rFonts w:hint="eastAsia" w:ascii="Times New Roman" w:hAnsi="Times New Roman" w:eastAsia="宋体" w:cs="Times New Roman"/>
          <w:b/>
          <w:bCs/>
          <w:sz w:val="24"/>
          <w:szCs w:val="24"/>
          <w:u w:val="thick" w:color="FF0000"/>
          <w:lang w:val="en-US" w:eastAsia="zh-CN"/>
        </w:rPr>
        <w:t>00分</w:t>
      </w:r>
      <w:r>
        <w:rPr>
          <w:rFonts w:hint="eastAsia" w:ascii="Times New Roman" w:hAnsi="Times New Roman" w:eastAsia="宋体" w:cs="宋体"/>
          <w:kern w:val="0"/>
          <w:sz w:val="24"/>
          <w:szCs w:val="24"/>
        </w:rPr>
        <w:t>。</w:t>
      </w:r>
    </w:p>
    <w:p>
      <w:pPr>
        <w:spacing w:line="420" w:lineRule="exact"/>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地点：</w:t>
      </w:r>
      <w:r>
        <w:rPr>
          <w:rFonts w:hint="eastAsia" w:ascii="Times New Roman" w:hAnsi="Times New Roman" w:eastAsia="宋体" w:cs="宋体"/>
          <w:sz w:val="24"/>
          <w:szCs w:val="24"/>
          <w:lang w:eastAsia="zh-CN"/>
        </w:rPr>
        <w:t>南通市崇川区桃坞路2号友谊大厦10楼</w:t>
      </w:r>
      <w:r>
        <w:rPr>
          <w:rFonts w:hint="eastAsia" w:ascii="Times New Roman" w:hAnsi="Times New Roman" w:eastAsia="宋体" w:cs="宋体"/>
          <w:sz w:val="24"/>
          <w:szCs w:val="24"/>
          <w:lang w:val="en-US" w:eastAsia="zh-CN"/>
        </w:rPr>
        <w:t>开标室</w:t>
      </w:r>
      <w:r>
        <w:rPr>
          <w:rFonts w:hint="eastAsia" w:ascii="Times New Roman" w:hAnsi="Times New Roman" w:eastAsia="宋体" w:cs="宋体"/>
          <w:sz w:val="24"/>
          <w:szCs w:val="24"/>
        </w:rPr>
        <w:t>，如有变动另行通知。</w:t>
      </w:r>
    </w:p>
    <w:p>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五、招标公告期限</w:t>
      </w:r>
    </w:p>
    <w:p>
      <w:pPr>
        <w:snapToGrid w:val="0"/>
        <w:spacing w:line="420" w:lineRule="exact"/>
        <w:ind w:left="-3" w:leftChars="-1" w:firstLine="431"/>
        <w:rPr>
          <w:rFonts w:ascii="Times New Roman" w:hAnsi="Times New Roman" w:eastAsia="宋体" w:cs="Times New Roman"/>
          <w:sz w:val="24"/>
          <w:szCs w:val="24"/>
        </w:rPr>
      </w:pPr>
      <w:r>
        <w:rPr>
          <w:rFonts w:hint="eastAsia" w:ascii="Times New Roman" w:hAnsi="Times New Roman" w:eastAsia="宋体" w:cs="宋体"/>
          <w:sz w:val="24"/>
          <w:szCs w:val="24"/>
        </w:rPr>
        <w:t>自本公告发布之日起</w:t>
      </w:r>
      <w:r>
        <w:rPr>
          <w:rFonts w:ascii="Times New Roman" w:hAnsi="Times New Roman" w:eastAsia="宋体" w:cs="Times New Roman"/>
          <w:sz w:val="24"/>
          <w:szCs w:val="24"/>
        </w:rPr>
        <w:t>5</w:t>
      </w:r>
      <w:r>
        <w:rPr>
          <w:rFonts w:hint="eastAsia" w:ascii="Times New Roman" w:hAnsi="Times New Roman" w:eastAsia="宋体" w:cs="宋体"/>
          <w:sz w:val="24"/>
          <w:szCs w:val="24"/>
        </w:rPr>
        <w:t>个工作日。</w:t>
      </w:r>
    </w:p>
    <w:p>
      <w:pPr>
        <w:snapToGrid w:val="0"/>
        <w:spacing w:line="420" w:lineRule="exact"/>
        <w:ind w:left="-3" w:leftChars="-1" w:firstLine="431"/>
        <w:outlineLvl w:val="1"/>
        <w:rPr>
          <w:rFonts w:ascii="Times New Roman" w:hAnsi="Times New Roman" w:eastAsia="宋体" w:cs="Times New Roman"/>
          <w:b/>
          <w:bCs/>
          <w:kern w:val="0"/>
          <w:sz w:val="24"/>
          <w:szCs w:val="24"/>
        </w:rPr>
      </w:pPr>
      <w:r>
        <w:rPr>
          <w:rFonts w:hint="eastAsia" w:ascii="Times New Roman" w:hAnsi="Times New Roman" w:eastAsia="宋体" w:cs="宋体"/>
          <w:b/>
          <w:bCs/>
          <w:sz w:val="24"/>
          <w:szCs w:val="24"/>
        </w:rPr>
        <w:t>六、开标日期和时间地点</w:t>
      </w:r>
    </w:p>
    <w:p>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开标时间：</w:t>
      </w:r>
      <w:r>
        <w:rPr>
          <w:rFonts w:ascii="Times New Roman" w:hAnsi="Times New Roman" w:eastAsia="宋体" w:cs="Times New Roman"/>
          <w:b/>
          <w:bCs/>
          <w:kern w:val="0"/>
          <w:sz w:val="24"/>
          <w:szCs w:val="24"/>
          <w:u w:val="thick" w:color="FF0000"/>
        </w:rPr>
        <w:t>202</w:t>
      </w:r>
      <w:r>
        <w:rPr>
          <w:rFonts w:hint="eastAsia" w:ascii="Times New Roman" w:hAnsi="Times New Roman" w:eastAsia="宋体" w:cs="Times New Roman"/>
          <w:b/>
          <w:bCs/>
          <w:kern w:val="0"/>
          <w:sz w:val="24"/>
          <w:szCs w:val="24"/>
          <w:u w:val="thick" w:color="FF0000"/>
          <w:lang w:val="en-US" w:eastAsia="zh-CN"/>
        </w:rPr>
        <w:t>5</w:t>
      </w:r>
      <w:r>
        <w:rPr>
          <w:rFonts w:ascii="Times New Roman" w:hAnsi="Times New Roman" w:eastAsia="宋体" w:cs="Times New Roman"/>
          <w:b/>
          <w:bCs/>
          <w:kern w:val="0"/>
          <w:sz w:val="24"/>
          <w:szCs w:val="24"/>
          <w:u w:val="thick" w:color="FF0000"/>
        </w:rPr>
        <w:t>年</w:t>
      </w:r>
      <w:r>
        <w:rPr>
          <w:rFonts w:hint="eastAsia" w:ascii="Times New Roman" w:hAnsi="Times New Roman" w:eastAsia="宋体" w:cs="Times New Roman"/>
          <w:b/>
          <w:bCs/>
          <w:kern w:val="0"/>
          <w:sz w:val="24"/>
          <w:szCs w:val="24"/>
          <w:u w:val="thick" w:color="FF0000"/>
          <w:lang w:val="en-US" w:eastAsia="zh-CN"/>
        </w:rPr>
        <w:t xml:space="preserve"> 3 </w:t>
      </w:r>
      <w:r>
        <w:rPr>
          <w:rFonts w:ascii="Times New Roman" w:hAnsi="Times New Roman" w:eastAsia="宋体" w:cs="Times New Roman"/>
          <w:b/>
          <w:bCs/>
          <w:kern w:val="0"/>
          <w:sz w:val="24"/>
          <w:szCs w:val="24"/>
          <w:u w:val="thick" w:color="FF0000"/>
        </w:rPr>
        <w:t>月</w:t>
      </w:r>
      <w:r>
        <w:rPr>
          <w:rFonts w:hint="eastAsia" w:ascii="Times New Roman" w:hAnsi="Times New Roman" w:eastAsia="宋体" w:cs="Times New Roman"/>
          <w:b/>
          <w:bCs/>
          <w:kern w:val="0"/>
          <w:sz w:val="24"/>
          <w:szCs w:val="24"/>
          <w:u w:val="thick" w:color="FF0000"/>
          <w:lang w:val="en-US" w:eastAsia="zh-CN"/>
        </w:rPr>
        <w:t>12</w:t>
      </w:r>
      <w:r>
        <w:rPr>
          <w:rFonts w:hint="eastAsia" w:ascii="Times New Roman" w:hAnsi="Times New Roman" w:eastAsia="宋体" w:cs="Times New Roman"/>
          <w:b/>
          <w:bCs/>
          <w:kern w:val="0"/>
          <w:sz w:val="24"/>
          <w:szCs w:val="24"/>
          <w:u w:val="thick" w:color="FF0000"/>
          <w:lang w:eastAsia="zh-CN"/>
        </w:rPr>
        <w:t>日1</w:t>
      </w:r>
      <w:r>
        <w:rPr>
          <w:rFonts w:hint="eastAsia" w:ascii="Times New Roman" w:hAnsi="Times New Roman" w:eastAsia="宋体" w:cs="Times New Roman"/>
          <w:b/>
          <w:bCs/>
          <w:kern w:val="0"/>
          <w:sz w:val="24"/>
          <w:szCs w:val="24"/>
          <w:u w:val="thick" w:color="FF0000"/>
          <w:lang w:val="en-US" w:eastAsia="zh-CN"/>
        </w:rPr>
        <w:t>4</w:t>
      </w:r>
      <w:r>
        <w:rPr>
          <w:rFonts w:hint="eastAsia" w:ascii="Times New Roman" w:hAnsi="Times New Roman" w:eastAsia="宋体" w:cs="Times New Roman"/>
          <w:b/>
          <w:bCs/>
          <w:kern w:val="0"/>
          <w:sz w:val="24"/>
          <w:szCs w:val="24"/>
          <w:u w:val="thick" w:color="FF0000"/>
          <w:lang w:eastAsia="zh-CN"/>
        </w:rPr>
        <w:t>时</w:t>
      </w:r>
      <w:r>
        <w:rPr>
          <w:rFonts w:hint="eastAsia" w:ascii="Times New Roman" w:hAnsi="Times New Roman" w:eastAsia="宋体" w:cs="宋体"/>
          <w:b/>
          <w:bCs/>
          <w:kern w:val="0"/>
          <w:sz w:val="24"/>
          <w:szCs w:val="24"/>
          <w:u w:val="thick" w:color="FF0000"/>
        </w:rPr>
        <w:t>整</w:t>
      </w:r>
      <w:r>
        <w:rPr>
          <w:rFonts w:hint="eastAsia" w:ascii="Times New Roman" w:hAnsi="Times New Roman" w:eastAsia="宋体" w:cs="宋体"/>
          <w:kern w:val="0"/>
          <w:sz w:val="24"/>
          <w:szCs w:val="24"/>
        </w:rPr>
        <w:t>；</w:t>
      </w:r>
    </w:p>
    <w:p>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开标地点：</w:t>
      </w:r>
      <w:r>
        <w:rPr>
          <w:rFonts w:hint="eastAsia" w:ascii="Times New Roman" w:hAnsi="Times New Roman" w:eastAsia="宋体" w:cs="宋体"/>
          <w:kern w:val="0"/>
          <w:sz w:val="24"/>
          <w:szCs w:val="24"/>
          <w:lang w:eastAsia="zh-CN"/>
        </w:rPr>
        <w:t>南通市崇川区桃坞路2号友谊大厦10楼</w:t>
      </w:r>
      <w:r>
        <w:rPr>
          <w:rFonts w:hint="eastAsia" w:ascii="Times New Roman" w:hAnsi="Times New Roman" w:eastAsia="宋体" w:cs="宋体"/>
          <w:kern w:val="0"/>
          <w:sz w:val="24"/>
          <w:szCs w:val="24"/>
          <w:lang w:val="en-US" w:eastAsia="zh-CN"/>
        </w:rPr>
        <w:t>开标室</w:t>
      </w:r>
      <w:r>
        <w:rPr>
          <w:rFonts w:hint="eastAsia" w:ascii="Times New Roman" w:hAnsi="Times New Roman" w:eastAsia="宋体" w:cs="宋体"/>
          <w:kern w:val="0"/>
          <w:sz w:val="24"/>
          <w:szCs w:val="24"/>
        </w:rPr>
        <w:t>，如有变动另行通知；</w:t>
      </w:r>
    </w:p>
    <w:p>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七、其他补充事宜</w:t>
      </w:r>
      <w:bookmarkStart w:id="8" w:name="_Hlk67575695"/>
    </w:p>
    <w:bookmarkEnd w:id="8"/>
    <w:p>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投标保证金：免收。</w:t>
      </w:r>
    </w:p>
    <w:p>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项目开标活动模式：现场参与模式。</w:t>
      </w:r>
    </w:p>
    <w:p>
      <w:pPr>
        <w:spacing w:line="420" w:lineRule="exact"/>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3</w:t>
      </w:r>
      <w:r>
        <w:rPr>
          <w:rFonts w:ascii="Times New Roman" w:hAnsi="Times New Roman" w:eastAsia="宋体" w:cs="Times New Roman"/>
          <w:b/>
          <w:bCs/>
          <w:kern w:val="0"/>
          <w:sz w:val="24"/>
          <w:szCs w:val="24"/>
        </w:rPr>
        <w:t>.</w:t>
      </w:r>
      <w:r>
        <w:rPr>
          <w:rFonts w:hint="eastAsia" w:ascii="Times New Roman" w:hAnsi="Times New Roman" w:eastAsia="宋体" w:cs="宋体"/>
          <w:b/>
          <w:bCs/>
          <w:kern w:val="0"/>
          <w:sz w:val="24"/>
          <w:szCs w:val="24"/>
        </w:rPr>
        <w:t>项目演示、样品、答辩等：</w:t>
      </w:r>
      <w:r>
        <w:rPr>
          <w:rFonts w:hint="eastAsia" w:ascii="Times New Roman" w:hAnsi="Times New Roman" w:eastAsia="宋体" w:cs="宋体"/>
          <w:b/>
          <w:bCs/>
          <w:kern w:val="0"/>
          <w:sz w:val="24"/>
          <w:szCs w:val="24"/>
          <w:u w:val="single" w:color="auto"/>
          <w:lang w:val="en-US" w:eastAsia="zh-CN"/>
        </w:rPr>
        <w:t>无</w:t>
      </w:r>
      <w:r>
        <w:rPr>
          <w:rFonts w:hint="eastAsia" w:ascii="Times New Roman" w:hAnsi="Times New Roman" w:eastAsia="宋体" w:cs="宋体"/>
          <w:b/>
          <w:bCs/>
          <w:kern w:val="0"/>
          <w:sz w:val="24"/>
          <w:szCs w:val="24"/>
          <w:u w:val="single" w:color="auto"/>
        </w:rPr>
        <w:t>。</w:t>
      </w:r>
    </w:p>
    <w:p>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对项目需求部分（供应商其他资格要求、项目需求、评分标准）的询问、质疑请向</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提出，由</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负责答复；对项目招标文件其它部分的询问请向</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或项目联系人提出。</w:t>
      </w:r>
    </w:p>
    <w:p>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 xml:space="preserve">. </w:t>
      </w:r>
      <w:r>
        <w:rPr>
          <w:rFonts w:hint="eastAsia" w:ascii="Times New Roman" w:hAnsi="Times New Roman" w:eastAsia="宋体" w:cs="宋体"/>
          <w:kern w:val="0"/>
          <w:sz w:val="24"/>
          <w:szCs w:val="24"/>
        </w:rPr>
        <w:t>参与本项目投标的供应商，应依照规定提交各类声明函、承诺函的（如涉有），不再同时提供原件备查或提供有关部门出具的相关证明文件。但本项目中标的供应商，应做好提交声明函、承诺函相应原件的核查准备；核查后发现虚假或违背承诺的，将依照相关法律法规规定处理。</w:t>
      </w:r>
    </w:p>
    <w:p>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八、凡对本次招租租赁活动提出询问，请按以下方式联系</w:t>
      </w:r>
    </w:p>
    <w:p>
      <w:pPr>
        <w:snapToGrid w:val="0"/>
        <w:spacing w:line="400" w:lineRule="exact"/>
        <w:ind w:left="-3" w:leftChars="-1" w:firstLine="431"/>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信息</w:t>
      </w:r>
    </w:p>
    <w:p>
      <w:pPr>
        <w:snapToGrid w:val="0"/>
        <w:spacing w:line="400" w:lineRule="exact"/>
        <w:ind w:left="-3" w:leftChars="-1" w:firstLine="431"/>
        <w:rPr>
          <w:rFonts w:ascii="Times New Roman" w:hAnsi="Times New Roman" w:eastAsia="宋体" w:cs="Times New Roman"/>
          <w:sz w:val="24"/>
          <w:szCs w:val="24"/>
        </w:rPr>
      </w:pPr>
      <w:r>
        <w:rPr>
          <w:rFonts w:hint="eastAsia" w:ascii="Times New Roman" w:hAnsi="Times New Roman" w:eastAsia="宋体" w:cs="宋体"/>
          <w:sz w:val="24"/>
          <w:szCs w:val="24"/>
        </w:rPr>
        <w:t>名称：</w:t>
      </w:r>
      <w:r>
        <w:rPr>
          <w:rFonts w:hint="eastAsia" w:ascii="Times New Roman" w:hAnsi="Times New Roman" w:eastAsia="宋体" w:cs="宋体"/>
          <w:sz w:val="24"/>
          <w:szCs w:val="24"/>
          <w:lang w:eastAsia="zh-CN"/>
        </w:rPr>
        <w:t>南通市口腔医院</w:t>
      </w:r>
      <w:r>
        <w:rPr>
          <w:rFonts w:hint="eastAsia" w:ascii="Times New Roman" w:hAnsi="Times New Roman" w:eastAsia="宋体" w:cs="宋体"/>
          <w:sz w:val="24"/>
          <w:szCs w:val="24"/>
        </w:rPr>
        <w:t>；</w:t>
      </w:r>
    </w:p>
    <w:p>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地址：南通市崇川区跃龙南路36号；</w:t>
      </w:r>
    </w:p>
    <w:p>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联系人：沈老师；</w:t>
      </w:r>
    </w:p>
    <w:p>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联系电话：0513-89898889。</w:t>
      </w:r>
    </w:p>
    <w:p>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2.招标代理机构信息：</w:t>
      </w:r>
    </w:p>
    <w:p>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名称：</w:t>
      </w:r>
      <w:r>
        <w:rPr>
          <w:rFonts w:hint="eastAsia" w:ascii="Times New Roman" w:hAnsi="Times New Roman" w:eastAsia="宋体" w:cs="宋体"/>
          <w:sz w:val="24"/>
          <w:szCs w:val="24"/>
          <w:lang w:eastAsia="zh-CN"/>
        </w:rPr>
        <w:t>上海申邑工程咨询有限公司</w:t>
      </w:r>
      <w:r>
        <w:rPr>
          <w:rFonts w:hint="eastAsia" w:ascii="Times New Roman" w:hAnsi="Times New Roman" w:eastAsia="宋体" w:cs="宋体"/>
          <w:sz w:val="24"/>
          <w:szCs w:val="24"/>
        </w:rPr>
        <w:t>；</w:t>
      </w:r>
    </w:p>
    <w:p>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地址：</w:t>
      </w:r>
      <w:r>
        <w:rPr>
          <w:rFonts w:hint="eastAsia" w:ascii="Times New Roman" w:hAnsi="Times New Roman" w:eastAsia="宋体" w:cs="宋体"/>
          <w:sz w:val="24"/>
          <w:szCs w:val="24"/>
          <w:lang w:eastAsia="zh-CN"/>
        </w:rPr>
        <w:t>南通市崇川区桃坞路2号友谊大厦10楼</w:t>
      </w:r>
      <w:r>
        <w:rPr>
          <w:rFonts w:hint="eastAsia" w:ascii="Times New Roman" w:hAnsi="Times New Roman" w:eastAsia="宋体" w:cs="宋体"/>
          <w:sz w:val="24"/>
          <w:szCs w:val="24"/>
        </w:rPr>
        <w:t>；</w:t>
      </w:r>
    </w:p>
    <w:p>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沈红英</w:t>
      </w:r>
      <w:r>
        <w:rPr>
          <w:rFonts w:hint="eastAsia" w:ascii="Times New Roman" w:hAnsi="Times New Roman" w:eastAsia="宋体" w:cs="宋体"/>
          <w:sz w:val="24"/>
          <w:szCs w:val="24"/>
        </w:rPr>
        <w:t>；</w:t>
      </w:r>
    </w:p>
    <w:p>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15152885716</w:t>
      </w:r>
      <w:r>
        <w:rPr>
          <w:rFonts w:hint="eastAsia" w:ascii="Times New Roman" w:hAnsi="Times New Roman" w:eastAsia="宋体" w:cs="宋体"/>
          <w:sz w:val="24"/>
          <w:szCs w:val="24"/>
        </w:rPr>
        <w:t>。</w:t>
      </w:r>
    </w:p>
    <w:p>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3.项目联系方式</w:t>
      </w:r>
    </w:p>
    <w:p>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沈红英</w:t>
      </w:r>
      <w:r>
        <w:rPr>
          <w:rFonts w:hint="eastAsia" w:ascii="Times New Roman" w:hAnsi="Times New Roman" w:eastAsia="宋体" w:cs="宋体"/>
          <w:sz w:val="24"/>
          <w:szCs w:val="24"/>
        </w:rPr>
        <w:t>；</w:t>
      </w:r>
    </w:p>
    <w:p>
      <w:pPr>
        <w:snapToGrid w:val="0"/>
        <w:spacing w:line="400" w:lineRule="exact"/>
        <w:ind w:left="-3" w:leftChars="-1" w:firstLine="431"/>
        <w:rPr>
          <w:rFonts w:ascii="Times New Roman" w:hAnsi="Times New Roman" w:eastAsia="宋体" w:cs="Times New Roman"/>
          <w:sz w:val="24"/>
          <w:szCs w:val="24"/>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15152885716</w:t>
      </w:r>
      <w:r>
        <w:rPr>
          <w:rFonts w:hint="eastAsia" w:ascii="Times New Roman" w:hAnsi="Times New Roman" w:eastAsia="宋体" w:cs="宋体"/>
          <w:sz w:val="24"/>
          <w:szCs w:val="24"/>
        </w:rPr>
        <w:t>。</w:t>
      </w:r>
      <w:bookmarkEnd w:id="3"/>
    </w:p>
    <w:bookmarkEnd w:id="4"/>
    <w:bookmarkEnd w:id="5"/>
    <w:p>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bookmarkStart w:id="9" w:name="_Toc363573854"/>
    </w:p>
    <w:p>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第二章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投标人须知</w:t>
      </w:r>
      <w:bookmarkEnd w:id="9"/>
    </w:p>
    <w:p>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一、说明</w:t>
      </w:r>
    </w:p>
    <w:p>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本招标文件仅适用于</w:t>
      </w:r>
      <w:r>
        <w:rPr>
          <w:rFonts w:hint="eastAsia" w:ascii="Times New Roman" w:hAnsi="Times New Roman" w:eastAsia="宋体" w:cs="宋体"/>
          <w:kern w:val="0"/>
          <w:sz w:val="24"/>
          <w:szCs w:val="24"/>
          <w:lang w:eastAsia="zh-CN"/>
        </w:rPr>
        <w:t>上海申邑工程咨询有限公司</w:t>
      </w:r>
      <w:r>
        <w:rPr>
          <w:rFonts w:hint="eastAsia" w:ascii="Times New Roman" w:hAnsi="Times New Roman" w:eastAsia="宋体" w:cs="宋体"/>
          <w:kern w:val="0"/>
          <w:sz w:val="24"/>
          <w:szCs w:val="24"/>
        </w:rPr>
        <w:t>组织的招标活动。</w:t>
      </w:r>
    </w:p>
    <w:p>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本次招标活动及因本次招标产生的合同受中国法律制约和保护。</w:t>
      </w:r>
    </w:p>
    <w:p>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本招标文件的解释权属于本项目招标代理机构。</w:t>
      </w:r>
    </w:p>
    <w:p>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供应商知道或应当知道本项目招标公告及招标文件中的所有内容：如内容或页码短缺、资格要求和技术参数出现倾向性或排他性等表述的，应在本项目招标公告期限及期限届满之日后的</w:t>
      </w:r>
      <w:r>
        <w:rPr>
          <w:rFonts w:ascii="Times New Roman" w:hAnsi="Times New Roman" w:eastAsia="宋体" w:cs="Times New Roman"/>
          <w:kern w:val="0"/>
          <w:sz w:val="24"/>
          <w:szCs w:val="24"/>
        </w:rPr>
        <w:t>7</w:t>
      </w:r>
      <w:r>
        <w:rPr>
          <w:rFonts w:hint="eastAsia" w:ascii="Times New Roman" w:hAnsi="Times New Roman" w:eastAsia="宋体" w:cs="宋体"/>
          <w:kern w:val="0"/>
          <w:sz w:val="24"/>
          <w:szCs w:val="24"/>
        </w:rPr>
        <w:t>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供应商应认真审阅本招标文件中的所有事项、格式、条款和规范要求等，如果供应商没有按照招标文件要求提交投标文件，或者投标文件没有对招标文件做出实质性响应，有可能被拒绝参与投标。</w:t>
      </w:r>
    </w:p>
    <w:p>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6.</w:t>
      </w:r>
      <w:r>
        <w:rPr>
          <w:rFonts w:hint="eastAsia" w:ascii="Times New Roman" w:hAnsi="Times New Roman" w:eastAsia="宋体" w:cs="宋体"/>
          <w:kern w:val="0"/>
          <w:sz w:val="24"/>
          <w:szCs w:val="24"/>
        </w:rPr>
        <w:t>招标文件项目需求提出的可能涉及到的工艺、材料、设备、商标、样本、技术规范、参数规格、品牌等，仅作为说明，没有限制性，供应商在投标响应中可以选用替代标准，但这些替代标准要优于项目需求技术规格中要求的标准，以满足</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的需要。</w:t>
      </w:r>
    </w:p>
    <w:p>
      <w:pPr>
        <w:snapToGrid w:val="0"/>
        <w:spacing w:line="420" w:lineRule="exact"/>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7.</w:t>
      </w:r>
      <w:r>
        <w:rPr>
          <w:rFonts w:hint="eastAsia" w:ascii="Times New Roman" w:hAnsi="Times New Roman" w:eastAsia="宋体" w:cs="宋体"/>
          <w:b/>
          <w:bCs/>
          <w:sz w:val="24"/>
          <w:szCs w:val="24"/>
        </w:rPr>
        <w:t>本招标文件内所称的</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以上</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以下</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内</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以内</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，包括本数；所称的</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不足</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少于</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，不包括本数，除非招标文件中有明确所指。</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法定代表人为同一个人的两个及两个以上法人，母公司、全资子公司及其控股公司，都不得在同一招标项目相同标段中同时参加投标，一经发现，将视同围标处理。</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供应商应认真对照资格要求，如不符合要求，无意或故意参与投标的，所产生的一切后果由供应商承担。若投标人提供虚假材料的，将作无效投标处理，并报有关监管部门将其列入失信名单，视情公布在南通市崇川区人民政府网。</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宋体"/>
          <w:sz w:val="24"/>
          <w:szCs w:val="24"/>
        </w:rPr>
        <w:t>非</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原因，中标的供应商</w:t>
      </w:r>
      <w:r>
        <w:rPr>
          <w:rFonts w:hint="eastAsia" w:ascii="Times New Roman" w:hAnsi="Times New Roman" w:eastAsia="宋体" w:cs="宋体"/>
          <w:b/>
          <w:bCs/>
          <w:sz w:val="24"/>
          <w:szCs w:val="24"/>
        </w:rPr>
        <w:t>（以下称中标人）</w:t>
      </w:r>
      <w:r>
        <w:rPr>
          <w:rFonts w:hint="eastAsia" w:ascii="Times New Roman" w:hAnsi="Times New Roman" w:eastAsia="宋体" w:cs="宋体"/>
          <w:sz w:val="24"/>
          <w:szCs w:val="24"/>
        </w:rPr>
        <w:t>放弃中标资格的，报有关监管部门将其列入失信名单，视情公布在南通市崇川区人民政府网。</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w:t>
      </w:r>
      <w:r>
        <w:rPr>
          <w:rFonts w:hint="eastAsia" w:ascii="Times New Roman" w:hAnsi="Times New Roman" w:eastAsia="宋体" w:cs="宋体"/>
          <w:b/>
          <w:bCs/>
          <w:sz w:val="24"/>
          <w:szCs w:val="24"/>
        </w:rPr>
        <w:t>单位负责人为同一人或者存在直接控股、管理关系的不同供应商，或同一供应商的不同分（子）公司（分支机构），不得同时参与同一招标项目相同标段的招标活动；</w:t>
      </w:r>
      <w:r>
        <w:rPr>
          <w:rFonts w:hint="eastAsia" w:ascii="Times New Roman" w:hAnsi="Times New Roman" w:eastAsia="宋体" w:cs="宋体"/>
          <w:sz w:val="24"/>
          <w:szCs w:val="24"/>
        </w:rPr>
        <w:t>为招标项目提供整体设计、规范编制或者项目管理、监理、检测等服务的供应商，不得再参加该招标项目的其他招标活动；如发现供应商递交的资格后审材料有弄虚作假行为，该供应商将记入不良记录，并上报有关部门，如已中标，</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有权取消其中标资格，并由该供应商承担由此带来可能的一切责任和损失。</w:t>
      </w:r>
    </w:p>
    <w:p>
      <w:pPr>
        <w:snapToGrid w:val="0"/>
        <w:spacing w:line="420" w:lineRule="exact"/>
        <w:ind w:left="-3" w:leftChars="-1" w:firstLine="431"/>
        <w:outlineLvl w:val="1"/>
        <w:rPr>
          <w:rFonts w:ascii="Times New Roman" w:hAnsi="Times New Roman" w:eastAsia="宋体" w:cs="Times New Roman"/>
          <w:b/>
          <w:bCs/>
          <w:kern w:val="0"/>
          <w:sz w:val="24"/>
          <w:szCs w:val="24"/>
        </w:rPr>
      </w:pPr>
      <w:r>
        <w:rPr>
          <w:rFonts w:hint="eastAsia" w:ascii="Times New Roman" w:hAnsi="Times New Roman" w:eastAsia="宋体" w:cs="宋体"/>
          <w:b/>
          <w:bCs/>
          <w:sz w:val="24"/>
          <w:szCs w:val="24"/>
        </w:rPr>
        <w:t>二、词语释义</w:t>
      </w:r>
    </w:p>
    <w:p>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招标代理机构：在委托人授权范围内具体组织实施招标活动的组织机构。</w:t>
      </w:r>
    </w:p>
    <w:p>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投标人：参加投标竞争的法人、其他组织。</w:t>
      </w:r>
    </w:p>
    <w:p>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响应：投标人根据招标采购单位发布的招标文件，编制投标文件并按规定投标的行为。</w:t>
      </w:r>
    </w:p>
    <w:p>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合同：租赁双方根据招标文件和中标人的投标文件及中标通知书规定的内容，而签署的以书面形式所达成的协议，包括所有的附件、附录和构成协议的所有文件。</w:t>
      </w:r>
    </w:p>
    <w:p>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甲方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lang w:eastAsia="zh-CN"/>
        </w:rPr>
        <w:t>采购人</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：合同中明确规定的拥有租赁标的物实际产权或使用权的法人或其他组织。</w:t>
      </w:r>
    </w:p>
    <w:p>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hint="eastAsia" w:ascii="Times New Roman" w:hAnsi="Times New Roman" w:eastAsia="宋体" w:cs="宋体"/>
          <w:kern w:val="0"/>
          <w:sz w:val="24"/>
          <w:szCs w:val="24"/>
        </w:rPr>
        <w:t>乙方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承租方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：合同中规定的承租招租方提供的标的物的法人或其他组织。</w:t>
      </w:r>
    </w:p>
    <w:p>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r>
        <w:rPr>
          <w:rFonts w:hint="eastAsia" w:ascii="Times New Roman" w:hAnsi="Times New Roman" w:eastAsia="宋体" w:cs="宋体"/>
          <w:kern w:val="0"/>
          <w:sz w:val="24"/>
          <w:szCs w:val="24"/>
        </w:rPr>
        <w:t>天</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日历日；工作日：指排除国家法定节假日、休息日外的其余日历日；时间：除特别说明，均指北京时间。</w:t>
      </w:r>
    </w:p>
    <w:p>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hint="eastAsia" w:ascii="Times New Roman" w:hAnsi="Times New Roman" w:eastAsia="宋体" w:cs="宋体"/>
          <w:kern w:val="0"/>
          <w:sz w:val="24"/>
          <w:szCs w:val="24"/>
        </w:rPr>
        <w:t>租赁标的物地点：合同中明确约定</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提供租赁的标的物地点。</w:t>
      </w:r>
    </w:p>
    <w:p>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r>
        <w:rPr>
          <w:rFonts w:hint="eastAsia" w:ascii="Times New Roman" w:hAnsi="Times New Roman" w:eastAsia="宋体" w:cs="宋体"/>
          <w:kern w:val="0"/>
          <w:sz w:val="24"/>
          <w:szCs w:val="24"/>
        </w:rPr>
        <w:t>合同价款：根据合同规定，甲方在正确履行合同义务提供租赁标的物给乙方后，乙方应支付甲方的价款。</w:t>
      </w:r>
    </w:p>
    <w:p>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r>
        <w:rPr>
          <w:rFonts w:hint="eastAsia" w:ascii="Times New Roman" w:hAnsi="Times New Roman" w:eastAsia="宋体" w:cs="宋体"/>
          <w:kern w:val="0"/>
          <w:sz w:val="24"/>
          <w:szCs w:val="24"/>
        </w:rPr>
        <w:t>不可抗力：不能预见、不能避免并且不能克服的客观情况。</w:t>
      </w:r>
    </w:p>
    <w:p>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r>
        <w:rPr>
          <w:rFonts w:hint="eastAsia" w:ascii="Times New Roman" w:hAnsi="Times New Roman" w:eastAsia="宋体" w:cs="宋体"/>
          <w:kern w:val="0"/>
          <w:sz w:val="24"/>
          <w:szCs w:val="24"/>
        </w:rPr>
        <w:t>实质响应：满足有关本次招租标的、数量、质量、价款或者报酬、履行期限、履行地点和方式、违约责任和解决争议方法等招标文件规定的一切要求。</w:t>
      </w:r>
    </w:p>
    <w:p>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r>
        <w:rPr>
          <w:rFonts w:hint="eastAsia" w:ascii="Times New Roman" w:hAnsi="Times New Roman" w:eastAsia="宋体" w:cs="宋体"/>
          <w:kern w:val="0"/>
          <w:sz w:val="24"/>
          <w:szCs w:val="24"/>
        </w:rPr>
        <w:t>书面形式：指书面文字、合同书、信件和传真等可以有形地表现所载内容的形式。</w:t>
      </w:r>
    </w:p>
    <w:p>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r>
        <w:rPr>
          <w:rFonts w:hint="eastAsia" w:ascii="Times New Roman" w:hAnsi="Times New Roman" w:eastAsia="宋体" w:cs="宋体"/>
          <w:kern w:val="0"/>
          <w:sz w:val="24"/>
          <w:szCs w:val="24"/>
        </w:rPr>
        <w:t>知识产权：指专利权、商标权、著作权等无形财产专有权的统称。</w:t>
      </w:r>
    </w:p>
    <w:p>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r>
        <w:rPr>
          <w:rFonts w:hint="eastAsia" w:ascii="Times New Roman" w:hAnsi="Times New Roman" w:eastAsia="宋体" w:cs="宋体"/>
          <w:kern w:val="0"/>
          <w:sz w:val="24"/>
          <w:szCs w:val="24"/>
        </w:rPr>
        <w:t>损失：指合同一方因不履行合同义务而遭致另一方及第三方的各种损失及损害的费用，还包括但不限于守约方为减轻损害或维护权利而需支付的各种调查费用，差（车）旅费用、律师费用等。</w:t>
      </w:r>
    </w:p>
    <w:p>
      <w:pPr>
        <w:snapToGrid w:val="0"/>
        <w:spacing w:line="420" w:lineRule="exact"/>
        <w:ind w:firstLine="472" w:firstLineChars="19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三、招标项目涉及到的现场勘察</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本招标文件所提供的项目相关数据仅做参考，根据自身需要，供应商可以在投标文件递交日前自行实地察看有关现场和对周围环境进行勘察，以获取编制投标文件所需的信息。勘察现场如有费用产生，由供应商自行承担。</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向供应商提供有关现场的资料和数据，是</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现有的并认为能使供应商可利用的资料。</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对供应商由此而做出的推论、理解和结论概不负责。</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潜在供应商为响应本项目而勘察项目现场，但不得因此使</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承担有关的责任和蒙受损失。供应商须承担勘察现场而带来的一切责任及风险。</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供应商应在现场勘察时，熟悉现场及周围交通道路等情况，以获得一切可能影响投标响应内容的直接资料。供应商中标后，不得以不完全了解现场情况为理由而向</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提出任何索赔的要求，对此</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不承担任何责任，且不作任何答复。</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勘察现场的联系人：详见本招标文件第一章第八条第</w:t>
      </w:r>
      <w:r>
        <w:rPr>
          <w:rFonts w:ascii="Times New Roman" w:hAnsi="Times New Roman" w:eastAsia="宋体" w:cs="Times New Roman"/>
          <w:sz w:val="24"/>
          <w:szCs w:val="24"/>
        </w:rPr>
        <w:t>1</w:t>
      </w:r>
      <w:r>
        <w:rPr>
          <w:rFonts w:hint="eastAsia" w:ascii="Times New Roman" w:hAnsi="Times New Roman" w:eastAsia="宋体" w:cs="宋体"/>
          <w:sz w:val="24"/>
          <w:szCs w:val="24"/>
        </w:rPr>
        <w:t>点中的内容。</w:t>
      </w:r>
    </w:p>
    <w:p>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四、招标文件的澄清、修改、答疑</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招标代理机构有权对发出的招标文件进行必要的澄清或修改。</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凡涉及招标文件的澄清或修改，均以招标代理机构在</w:t>
      </w:r>
      <w:r>
        <w:rPr>
          <w:rFonts w:hint="eastAsia" w:ascii="Times New Roman" w:hAnsi="Times New Roman" w:eastAsia="宋体" w:cs="宋体"/>
          <w:kern w:val="0"/>
          <w:sz w:val="24"/>
          <w:szCs w:val="24"/>
        </w:rPr>
        <w:t>“南通市崇川区人民政府网(www.chongchuan.gov.cn)→我要看→公示公告栏”或“南通市口腔医院（https://www.ntskqyy.com）→新闻动态→党务院务公开→招标采购”</w:t>
      </w:r>
      <w:r>
        <w:rPr>
          <w:rFonts w:hint="eastAsia" w:ascii="Times New Roman" w:hAnsi="Times New Roman" w:eastAsia="宋体" w:cs="宋体"/>
          <w:sz w:val="24"/>
          <w:szCs w:val="24"/>
        </w:rPr>
        <w:t>发布的信息为准。</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招标代理机构对招标文件的澄清或修改，将构成本项目招标文件的一部分，对供应商具有约束力。</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澄清或修改的内容可能影响到投标文件编制的，招标代理机构将在首次提交投标文件截止日</w:t>
      </w:r>
      <w:r>
        <w:rPr>
          <w:rFonts w:ascii="Times New Roman" w:hAnsi="Times New Roman" w:eastAsia="宋体" w:cs="Times New Roman"/>
          <w:sz w:val="24"/>
          <w:szCs w:val="24"/>
        </w:rPr>
        <w:t>15</w:t>
      </w:r>
      <w:r>
        <w:rPr>
          <w:rFonts w:hint="eastAsia" w:ascii="Times New Roman" w:hAnsi="Times New Roman" w:eastAsia="宋体" w:cs="宋体"/>
          <w:sz w:val="24"/>
          <w:szCs w:val="24"/>
        </w:rPr>
        <w:t>天前，发布补澄清或修改公告。不足</w:t>
      </w:r>
      <w:r>
        <w:rPr>
          <w:rFonts w:ascii="Times New Roman" w:hAnsi="Times New Roman" w:eastAsia="宋体" w:cs="Times New Roman"/>
          <w:sz w:val="24"/>
          <w:szCs w:val="24"/>
        </w:rPr>
        <w:t>15</w:t>
      </w:r>
      <w:r>
        <w:rPr>
          <w:rFonts w:hint="eastAsia" w:ascii="Times New Roman" w:hAnsi="Times New Roman" w:eastAsia="宋体" w:cs="宋体"/>
          <w:sz w:val="24"/>
          <w:szCs w:val="24"/>
        </w:rPr>
        <w:t>日的，应当顺延首次提交投标文件截止之日。</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除非招标代理机构以书面、公告的形式对招标文件做出澄清、修改并通知到供应商，供应商对涉及招标文件的任何推论、理解和结论所造成的结果，均由供应商自负。</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招标单位视情组织答疑会。如有产生答疑且对招标文件内容有修改，招标代理机构将按照本须知有关规定，以更正公告的方式发出并通知到供应商。</w:t>
      </w:r>
    </w:p>
    <w:p>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五、投标文件的组成及装订</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投标文件由：</w:t>
      </w:r>
      <w:bookmarkStart w:id="10" w:name="_Hlk54377349"/>
      <w:r>
        <w:rPr>
          <w:rFonts w:hint="eastAsia" w:ascii="Times New Roman" w:hAnsi="Times New Roman" w:eastAsia="宋体" w:cs="宋体"/>
          <w:b/>
          <w:bCs/>
          <w:sz w:val="24"/>
          <w:szCs w:val="24"/>
        </w:rPr>
        <w:t>资格后审材料文件、技术标文件、价格标文件</w:t>
      </w:r>
      <w:bookmarkEnd w:id="10"/>
      <w:r>
        <w:rPr>
          <w:rFonts w:hint="eastAsia" w:ascii="Times New Roman" w:hAnsi="Times New Roman" w:eastAsia="宋体" w:cs="宋体"/>
          <w:sz w:val="24"/>
          <w:szCs w:val="24"/>
        </w:rPr>
        <w:t>，共</w:t>
      </w:r>
      <w:r>
        <w:rPr>
          <w:rFonts w:ascii="Times New Roman" w:hAnsi="Times New Roman" w:eastAsia="宋体" w:cs="Times New Roman"/>
          <w:sz w:val="24"/>
          <w:szCs w:val="24"/>
        </w:rPr>
        <w:t>3</w:t>
      </w:r>
      <w:r>
        <w:rPr>
          <w:rFonts w:hint="eastAsia" w:ascii="Times New Roman" w:hAnsi="Times New Roman" w:eastAsia="宋体" w:cs="宋体"/>
          <w:sz w:val="24"/>
          <w:szCs w:val="24"/>
        </w:rPr>
        <w:t>部分组成，</w:t>
      </w:r>
      <w:r>
        <w:rPr>
          <w:rFonts w:hint="eastAsia" w:ascii="Times New Roman" w:hAnsi="Times New Roman" w:eastAsia="宋体" w:cs="宋体"/>
          <w:b/>
          <w:bCs/>
          <w:sz w:val="24"/>
          <w:szCs w:val="24"/>
          <w:u w:val="thick" w:color="FF0000"/>
        </w:rPr>
        <w:t>具体相关内容见本招标文件第</w:t>
      </w:r>
      <w:r>
        <w:rPr>
          <w:rFonts w:hint="eastAsia" w:ascii="Times New Roman" w:hAnsi="Times New Roman" w:eastAsia="宋体" w:cs="宋体"/>
          <w:b/>
          <w:bCs/>
          <w:sz w:val="24"/>
          <w:szCs w:val="24"/>
          <w:u w:val="thick" w:color="FF0000"/>
          <w:lang w:val="en-US" w:eastAsia="zh-CN"/>
        </w:rPr>
        <w:t>七</w:t>
      </w:r>
      <w:r>
        <w:rPr>
          <w:rFonts w:hint="eastAsia" w:ascii="Times New Roman" w:hAnsi="Times New Roman" w:eastAsia="宋体" w:cs="宋体"/>
          <w:b/>
          <w:bCs/>
          <w:sz w:val="24"/>
          <w:szCs w:val="24"/>
          <w:u w:val="thick" w:color="FF0000"/>
        </w:rPr>
        <w:t>章</w:t>
      </w:r>
      <w:r>
        <w:rPr>
          <w:rFonts w:hint="eastAsia" w:ascii="Times New Roman" w:hAnsi="Times New Roman" w:eastAsia="宋体" w:cs="宋体"/>
          <w:sz w:val="24"/>
          <w:szCs w:val="24"/>
        </w:rPr>
        <w:t>。</w:t>
      </w:r>
    </w:p>
    <w:p>
      <w:pPr>
        <w:spacing w:line="420" w:lineRule="exact"/>
        <w:ind w:firstLine="484" w:firstLineChars="202"/>
        <w:rPr>
          <w:rFonts w:ascii="Times New Roman" w:hAnsi="Times New Roman" w:eastAsia="宋体" w:cs="Times New Roman"/>
          <w:b/>
          <w:bCs/>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供应商按投标文件组成顺序编写响应文件，其内容均需采用</w:t>
      </w:r>
      <w:r>
        <w:rPr>
          <w:rFonts w:ascii="Times New Roman" w:hAnsi="Times New Roman" w:eastAsia="宋体" w:cs="Times New Roman"/>
          <w:sz w:val="24"/>
          <w:szCs w:val="24"/>
        </w:rPr>
        <w:t>A4</w:t>
      </w:r>
      <w:r>
        <w:rPr>
          <w:rFonts w:hint="eastAsia" w:ascii="Times New Roman" w:hAnsi="Times New Roman" w:eastAsia="宋体" w:cs="宋体"/>
          <w:sz w:val="24"/>
          <w:szCs w:val="24"/>
        </w:rPr>
        <w:t>纸（图纸等除外）打印，并牢固装订成册。</w:t>
      </w:r>
      <w:r>
        <w:rPr>
          <w:rFonts w:hint="eastAsia" w:ascii="Times New Roman" w:hAnsi="Times New Roman" w:eastAsia="宋体" w:cs="宋体"/>
          <w:b/>
          <w:bCs/>
          <w:sz w:val="24"/>
          <w:szCs w:val="24"/>
        </w:rPr>
        <w:t>注：投标文件不建议使用活页夹、拉杆夹、文件夹、塑料方便式书脊（插入式或穿孔式）装订。</w:t>
      </w:r>
    </w:p>
    <w:p>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投标文件不得行间插字、涂改、增删。修改错漏处，</w:t>
      </w:r>
      <w:r>
        <w:rPr>
          <w:rFonts w:hint="eastAsia" w:ascii="Times New Roman" w:hAnsi="Times New Roman" w:eastAsia="宋体" w:cs="宋体"/>
          <w:b/>
          <w:bCs/>
          <w:sz w:val="24"/>
          <w:szCs w:val="24"/>
          <w:u w:val="thick" w:color="FF0000"/>
        </w:rPr>
        <w:t>须经过供应商法定代表人或其委托的代理人（以下称被委托受权人）签字或盖章（须加盖公章）</w:t>
      </w:r>
      <w:r>
        <w:rPr>
          <w:rFonts w:hint="eastAsia" w:ascii="Times New Roman" w:hAnsi="Times New Roman" w:eastAsia="宋体" w:cs="宋体"/>
          <w:sz w:val="24"/>
          <w:szCs w:val="24"/>
        </w:rPr>
        <w:t>。</w:t>
      </w:r>
    </w:p>
    <w:p>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六、投标文件的份数、签署和退还</w:t>
      </w:r>
    </w:p>
    <w:p>
      <w:pPr>
        <w:snapToGrid w:val="0"/>
        <w:spacing w:line="420" w:lineRule="exact"/>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1.</w:t>
      </w:r>
      <w:bookmarkStart w:id="11" w:name="_Hlk54374255"/>
      <w:r>
        <w:rPr>
          <w:rFonts w:hint="eastAsia" w:ascii="Times New Roman" w:hAnsi="Times New Roman" w:eastAsia="宋体" w:cs="宋体"/>
          <w:sz w:val="24"/>
          <w:szCs w:val="24"/>
        </w:rPr>
        <w:t>投标文件</w:t>
      </w:r>
      <w:bookmarkEnd w:id="11"/>
      <w:r>
        <w:rPr>
          <w:rFonts w:hint="eastAsia" w:ascii="Times New Roman" w:hAnsi="Times New Roman" w:eastAsia="宋体" w:cs="宋体"/>
          <w:sz w:val="24"/>
          <w:szCs w:val="24"/>
        </w:rPr>
        <w:t>的</w:t>
      </w:r>
      <w:bookmarkStart w:id="12" w:name="_Hlk104270047"/>
      <w:r>
        <w:rPr>
          <w:rFonts w:hint="eastAsia" w:ascii="Times New Roman" w:hAnsi="Times New Roman" w:eastAsia="宋体" w:cs="宋体"/>
          <w:b/>
          <w:bCs/>
          <w:sz w:val="24"/>
          <w:szCs w:val="24"/>
        </w:rPr>
        <w:t>“资格后审材料文件”、“技术标文件”、“价格标文件”</w:t>
      </w:r>
      <w:bookmarkEnd w:id="12"/>
      <w:r>
        <w:rPr>
          <w:rFonts w:hint="eastAsia" w:ascii="Times New Roman" w:hAnsi="Times New Roman" w:eastAsia="宋体" w:cs="宋体"/>
          <w:sz w:val="24"/>
          <w:szCs w:val="24"/>
        </w:rPr>
        <w:t>均为</w:t>
      </w:r>
      <w:r>
        <w:rPr>
          <w:rFonts w:hint="eastAsia" w:ascii="Times New Roman" w:hAnsi="Times New Roman" w:eastAsia="宋体" w:cs="宋体"/>
          <w:b/>
          <w:bCs/>
          <w:sz w:val="24"/>
          <w:szCs w:val="24"/>
          <w:u w:val="thick" w:color="FF0000"/>
        </w:rPr>
        <w:t>壹份</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正本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和肆份</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副本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rPr>
        <w:t>。</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在每一份投标文件上要明确标注项目名称、项目编号、投标文件各自对应的名称、供应商全称、</w:t>
      </w:r>
      <w:r>
        <w:rPr>
          <w:rFonts w:ascii="Times New Roman" w:hAnsi="Times New Roman" w:eastAsia="宋体" w:cs="Times New Roman"/>
          <w:sz w:val="24"/>
          <w:szCs w:val="24"/>
        </w:rPr>
        <w:t>“</w:t>
      </w:r>
      <w:r>
        <w:rPr>
          <w:rFonts w:hint="eastAsia" w:ascii="Times New Roman" w:hAnsi="Times New Roman" w:eastAsia="宋体" w:cs="宋体"/>
          <w:sz w:val="24"/>
          <w:szCs w:val="24"/>
        </w:rPr>
        <w:t>正本</w:t>
      </w:r>
      <w:r>
        <w:rPr>
          <w:rFonts w:ascii="Times New Roman" w:hAnsi="Times New Roman" w:eastAsia="宋体" w:cs="Times New Roman"/>
          <w:sz w:val="24"/>
          <w:szCs w:val="24"/>
        </w:rPr>
        <w:t>”</w:t>
      </w:r>
      <w:r>
        <w:rPr>
          <w:rFonts w:hint="eastAsia" w:ascii="Times New Roman" w:hAnsi="Times New Roman" w:eastAsia="宋体" w:cs="宋体"/>
          <w:sz w:val="24"/>
          <w:szCs w:val="24"/>
        </w:rPr>
        <w:t>、</w:t>
      </w:r>
      <w:r>
        <w:rPr>
          <w:rFonts w:ascii="Times New Roman" w:hAnsi="Times New Roman" w:eastAsia="宋体" w:cs="Times New Roman"/>
          <w:sz w:val="24"/>
          <w:szCs w:val="24"/>
        </w:rPr>
        <w:t>“</w:t>
      </w:r>
      <w:r>
        <w:rPr>
          <w:rFonts w:hint="eastAsia" w:ascii="Times New Roman" w:hAnsi="Times New Roman" w:eastAsia="宋体" w:cs="宋体"/>
          <w:sz w:val="24"/>
          <w:szCs w:val="24"/>
        </w:rPr>
        <w:t>副本</w:t>
      </w:r>
      <w:r>
        <w:rPr>
          <w:rFonts w:ascii="Times New Roman" w:hAnsi="Times New Roman" w:eastAsia="宋体" w:cs="Times New Roman"/>
          <w:sz w:val="24"/>
          <w:szCs w:val="24"/>
        </w:rPr>
        <w:t>”</w:t>
      </w:r>
      <w:r>
        <w:rPr>
          <w:rFonts w:hint="eastAsia" w:ascii="Times New Roman" w:hAnsi="Times New Roman" w:eastAsia="宋体" w:cs="宋体"/>
          <w:sz w:val="24"/>
          <w:szCs w:val="24"/>
        </w:rPr>
        <w:t>字样，</w:t>
      </w:r>
      <w:r>
        <w:rPr>
          <w:rFonts w:ascii="Times New Roman" w:hAnsi="Times New Roman" w:eastAsia="宋体" w:cs="Times New Roman"/>
          <w:sz w:val="24"/>
          <w:szCs w:val="24"/>
        </w:rPr>
        <w:t>“</w:t>
      </w:r>
      <w:r>
        <w:rPr>
          <w:rFonts w:hint="eastAsia" w:ascii="Times New Roman" w:hAnsi="Times New Roman" w:eastAsia="宋体" w:cs="宋体"/>
          <w:sz w:val="24"/>
          <w:szCs w:val="24"/>
        </w:rPr>
        <w:t>正本</w:t>
      </w:r>
      <w:r>
        <w:rPr>
          <w:rFonts w:ascii="Times New Roman" w:hAnsi="Times New Roman" w:eastAsia="宋体" w:cs="Times New Roman"/>
          <w:sz w:val="24"/>
          <w:szCs w:val="24"/>
        </w:rPr>
        <w:t>”</w:t>
      </w:r>
      <w:r>
        <w:rPr>
          <w:rFonts w:hint="eastAsia" w:ascii="Times New Roman" w:hAnsi="Times New Roman" w:eastAsia="宋体" w:cs="宋体"/>
          <w:sz w:val="24"/>
          <w:szCs w:val="24"/>
        </w:rPr>
        <w:t>和</w:t>
      </w:r>
      <w:r>
        <w:rPr>
          <w:rFonts w:ascii="Times New Roman" w:hAnsi="Times New Roman" w:eastAsia="宋体" w:cs="Times New Roman"/>
          <w:sz w:val="24"/>
          <w:szCs w:val="24"/>
        </w:rPr>
        <w:t>“</w:t>
      </w:r>
      <w:r>
        <w:rPr>
          <w:rFonts w:hint="eastAsia" w:ascii="Times New Roman" w:hAnsi="Times New Roman" w:eastAsia="宋体" w:cs="宋体"/>
          <w:sz w:val="24"/>
          <w:szCs w:val="24"/>
        </w:rPr>
        <w:t>副本</w:t>
      </w:r>
      <w:r>
        <w:rPr>
          <w:rFonts w:ascii="Times New Roman" w:hAnsi="Times New Roman" w:eastAsia="宋体" w:cs="Times New Roman"/>
          <w:sz w:val="24"/>
          <w:szCs w:val="24"/>
        </w:rPr>
        <w:t>”</w:t>
      </w:r>
      <w:r>
        <w:rPr>
          <w:rFonts w:hint="eastAsia" w:ascii="Times New Roman" w:hAnsi="Times New Roman" w:eastAsia="宋体" w:cs="宋体"/>
          <w:sz w:val="24"/>
          <w:szCs w:val="24"/>
        </w:rPr>
        <w:t>若有差异，概以</w:t>
      </w:r>
      <w:r>
        <w:rPr>
          <w:rFonts w:ascii="Times New Roman" w:hAnsi="Times New Roman" w:eastAsia="宋体" w:cs="Times New Roman"/>
          <w:sz w:val="24"/>
          <w:szCs w:val="24"/>
        </w:rPr>
        <w:t>“</w:t>
      </w:r>
      <w:r>
        <w:rPr>
          <w:rFonts w:hint="eastAsia" w:ascii="Times New Roman" w:hAnsi="Times New Roman" w:eastAsia="宋体" w:cs="宋体"/>
          <w:sz w:val="24"/>
          <w:szCs w:val="24"/>
        </w:rPr>
        <w:t>正本</w:t>
      </w:r>
      <w:r>
        <w:rPr>
          <w:rFonts w:ascii="Times New Roman" w:hAnsi="Times New Roman" w:eastAsia="宋体" w:cs="Times New Roman"/>
          <w:sz w:val="24"/>
          <w:szCs w:val="24"/>
        </w:rPr>
        <w:t>”</w:t>
      </w:r>
      <w:r>
        <w:rPr>
          <w:rFonts w:hint="eastAsia" w:ascii="Times New Roman" w:hAnsi="Times New Roman" w:eastAsia="宋体" w:cs="宋体"/>
          <w:sz w:val="24"/>
          <w:szCs w:val="24"/>
        </w:rPr>
        <w:t>为准。</w:t>
      </w:r>
    </w:p>
    <w:p>
      <w:pPr>
        <w:snapToGrid w:val="0"/>
        <w:spacing w:line="420" w:lineRule="exact"/>
        <w:ind w:firstLine="480" w:firstLineChars="200"/>
        <w:rPr>
          <w:rFonts w:ascii="Times New Roman" w:hAnsi="Times New Roman" w:eastAsia="宋体" w:cs="Times New Roman"/>
          <w:b/>
          <w:bCs/>
          <w:sz w:val="24"/>
          <w:szCs w:val="24"/>
          <w:u w:val="thick" w:color="FF0000"/>
        </w:rPr>
      </w:pPr>
      <w:r>
        <w:rPr>
          <w:rFonts w:ascii="Times New Roman" w:hAnsi="Times New Roman" w:eastAsia="宋体" w:cs="Times New Roman"/>
          <w:sz w:val="24"/>
          <w:szCs w:val="24"/>
        </w:rPr>
        <w:t>3.</w:t>
      </w:r>
      <w:r>
        <w:rPr>
          <w:rFonts w:hint="eastAsia" w:ascii="Times New Roman" w:hAnsi="Times New Roman" w:eastAsia="宋体" w:cs="宋体"/>
          <w:b/>
          <w:bCs/>
          <w:sz w:val="24"/>
          <w:szCs w:val="24"/>
          <w:u w:val="thick" w:color="FF0000"/>
        </w:rPr>
        <w:t>投标文件中的所有</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正本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，须为打印的，其正文内容均由参与本项目的法人、其他组织的法定代表人或被委托受权人签字（或盖章）（须加盖公章）。投标文件中的所有</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副本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可为</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正本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的复印件</w:t>
      </w:r>
      <w:r>
        <w:rPr>
          <w:rFonts w:hint="eastAsia" w:ascii="Times New Roman" w:hAnsi="Times New Roman" w:eastAsia="宋体" w:cs="宋体"/>
          <w:b/>
          <w:bCs/>
          <w:sz w:val="24"/>
          <w:szCs w:val="24"/>
        </w:rPr>
        <w:t>。</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开标程序顺利进行后，所有的投标文件都将作为档案保存，不论中标与否，招标代理机构均不退回（未拆封的除外）。</w:t>
      </w:r>
    </w:p>
    <w:p>
      <w:pPr>
        <w:snapToGrid w:val="0"/>
        <w:spacing w:line="420" w:lineRule="exact"/>
        <w:ind w:firstLine="472" w:firstLineChars="19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七、投标文件的密封及标记</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供应商须将本项目投标文件</w:t>
      </w:r>
      <w:r>
        <w:rPr>
          <w:rFonts w:hint="eastAsia" w:ascii="Times New Roman" w:hAnsi="Times New Roman" w:eastAsia="宋体" w:cs="宋体"/>
          <w:b/>
          <w:bCs/>
          <w:sz w:val="24"/>
          <w:szCs w:val="24"/>
        </w:rPr>
        <w:t>“资格后审材料文件”、“技术标文件”、“价格标文件”分</w:t>
      </w:r>
      <w:r>
        <w:rPr>
          <w:rFonts w:ascii="Times New Roman" w:hAnsi="Times New Roman" w:eastAsia="宋体" w:cs="Times New Roman"/>
          <w:b/>
          <w:bCs/>
          <w:sz w:val="24"/>
          <w:szCs w:val="24"/>
        </w:rPr>
        <w:t>3</w:t>
      </w:r>
      <w:r>
        <w:rPr>
          <w:rFonts w:hint="eastAsia" w:ascii="Times New Roman" w:hAnsi="Times New Roman" w:eastAsia="宋体" w:cs="宋体"/>
          <w:b/>
          <w:bCs/>
          <w:sz w:val="24"/>
          <w:szCs w:val="24"/>
        </w:rPr>
        <w:t>个密封件进行独立包装</w:t>
      </w:r>
      <w:r>
        <w:rPr>
          <w:rFonts w:hint="eastAsia" w:ascii="Times New Roman" w:hAnsi="Times New Roman" w:eastAsia="宋体" w:cs="宋体"/>
          <w:sz w:val="24"/>
          <w:szCs w:val="24"/>
        </w:rPr>
        <w:t>。</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密封后，应在每一密封件上明确标注招标项目名称、项目编号、投标文件各自对应的名称、供应商全称及日期，同时加盖供应商公章。</w:t>
      </w:r>
    </w:p>
    <w:p>
      <w:pPr>
        <w:snapToGrid w:val="0"/>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宋体"/>
          <w:b/>
          <w:bCs/>
          <w:sz w:val="24"/>
          <w:szCs w:val="24"/>
        </w:rPr>
        <w:t>【特别提醒】投标文件“资格后审材料文件”、“技术标文件”的密封件及其内文件的</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正本</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或</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副本</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，均不得含有任何“价格标文件”中的报价表（报价单）的内容，否则作无效投标处理。</w:t>
      </w:r>
    </w:p>
    <w:p>
      <w:pPr>
        <w:snapToGrid w:val="0"/>
        <w:spacing w:line="420" w:lineRule="exact"/>
        <w:ind w:firstLine="496" w:firstLineChars="206"/>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八、投标文件的有效期</w:t>
      </w:r>
    </w:p>
    <w:p>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从投标文件接收截止之日算起，</w:t>
      </w:r>
      <w:r>
        <w:rPr>
          <w:rFonts w:ascii="Times New Roman" w:hAnsi="Times New Roman" w:eastAsia="宋体" w:cs="Times New Roman"/>
          <w:sz w:val="24"/>
          <w:szCs w:val="24"/>
        </w:rPr>
        <w:t>45</w:t>
      </w:r>
      <w:r>
        <w:rPr>
          <w:rFonts w:hint="eastAsia" w:ascii="Times New Roman" w:hAnsi="Times New Roman" w:eastAsia="宋体" w:cs="宋体"/>
          <w:sz w:val="24"/>
          <w:szCs w:val="24"/>
        </w:rPr>
        <w:t>个日历天内投标书应保持有效。有效期短于这个规定期限的投标，将被拒绝。</w:t>
      </w:r>
    </w:p>
    <w:p>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在特殊情况下，招标代理机构可与投标人协商延长投标文件的有效期。这种要求和答复都应以书面、传真、或电报的形式进行。同意延长有效期的投标人不能修改投标文件。拒绝接受延期要求的投标人的投标将被拒绝。</w:t>
      </w:r>
    </w:p>
    <w:p>
      <w:pPr>
        <w:snapToGrid w:val="0"/>
        <w:spacing w:line="420" w:lineRule="exact"/>
        <w:ind w:firstLine="496" w:firstLineChars="20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九、投标费用</w:t>
      </w:r>
    </w:p>
    <w:p>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无论招标过程和结果如何，投标人自行承担与本次项目招标有关的全部费用。</w:t>
      </w:r>
    </w:p>
    <w:p>
      <w:pPr>
        <w:snapToGrid w:val="0"/>
        <w:spacing w:line="420" w:lineRule="exact"/>
        <w:ind w:firstLine="496" w:firstLineChars="20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十、投标报价</w:t>
      </w:r>
    </w:p>
    <w:p>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本项目不接受任何有选择的报价。</w:t>
      </w:r>
    </w:p>
    <w:p>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投标报价均以人民币为报价的货币单位。</w:t>
      </w:r>
    </w:p>
    <w:p>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报价表必须加盖投标人公章且必须经法定代表人或被委托受权人签署。</w:t>
      </w:r>
    </w:p>
    <w:p>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报价出现前后不一致的，按照下列规定修正：</w:t>
      </w:r>
    </w:p>
    <w:p>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）投标文件中报价表（开标一览表）内容与投标文件技术响应中内容明细不一致的，以报价表（开标一览表）为准；</w:t>
      </w:r>
    </w:p>
    <w:p>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）投标文件中涉及大写金额和小写金额不一致的，以大写金额为准；</w:t>
      </w:r>
    </w:p>
    <w:p>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）单价金额小数点或者百分比有明显错位的，以报价表（开标一览表）的总价为准，并修改单价；</w:t>
      </w:r>
    </w:p>
    <w:p>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）总价金额与按单价汇总金额不一致的，以单价金额计算结果为准。</w:t>
      </w:r>
    </w:p>
    <w:p>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同时出现两种以上不一致的，按照前款规定的顺序修正。修正后的报价应当由投标人的法定代表人或其授权的代表签字确认后产生约束力，投标人不确认的，其投标无效。</w:t>
      </w:r>
    </w:p>
    <w:p>
      <w:pPr>
        <w:snapToGrid w:val="0"/>
        <w:spacing w:line="420" w:lineRule="exact"/>
        <w:ind w:firstLine="494" w:firstLineChars="206"/>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5.</w:t>
      </w:r>
      <w:r>
        <w:rPr>
          <w:rFonts w:hint="eastAsia" w:ascii="Times New Roman" w:hAnsi="Times New Roman" w:eastAsia="宋体" w:cs="Times New Roman"/>
          <w:sz w:val="24"/>
          <w:szCs w:val="24"/>
          <w:lang w:val="en-US" w:eastAsia="zh-CN"/>
        </w:rPr>
        <w:t>投标报价</w:t>
      </w:r>
      <w:r>
        <w:rPr>
          <w:rFonts w:hint="eastAsia" w:ascii="Times New Roman" w:hAnsi="Times New Roman" w:eastAsia="宋体" w:cs="Times New Roman"/>
          <w:sz w:val="24"/>
          <w:szCs w:val="24"/>
        </w:rPr>
        <w:t>应包括响应本项目采购要求的全部费用，包括但不限于人员费用（工资、福利、培训、社会保险等）、</w:t>
      </w:r>
      <w:r>
        <w:rPr>
          <w:rFonts w:hint="eastAsia" w:ascii="Times New Roman" w:hAnsi="Times New Roman" w:eastAsia="宋体" w:cs="Times New Roman"/>
          <w:sz w:val="24"/>
          <w:szCs w:val="24"/>
          <w:lang w:val="en-US" w:eastAsia="zh-CN"/>
        </w:rPr>
        <w:t>软硬件费用、</w:t>
      </w:r>
      <w:r>
        <w:rPr>
          <w:rFonts w:hint="eastAsia" w:ascii="Times New Roman" w:hAnsi="Times New Roman" w:eastAsia="宋体" w:cs="Times New Roman"/>
          <w:sz w:val="24"/>
          <w:szCs w:val="24"/>
        </w:rPr>
        <w:t>专用设备及其备品、备件、易耗品耗材、通讯和专用工具费用、税费、运输、保险、检测验收、技术评审、售后服务及管理费用、利润、税金、政策性文件规定及合同包含的所有风险、责任等各项应有费用</w:t>
      </w:r>
      <w:r>
        <w:rPr>
          <w:rFonts w:hint="eastAsia" w:ascii="Times New Roman" w:hAnsi="Times New Roman" w:eastAsia="宋体" w:cs="Times New Roman"/>
          <w:sz w:val="24"/>
          <w:szCs w:val="24"/>
          <w:lang w:eastAsia="zh-CN"/>
        </w:rPr>
        <w:t>。</w:t>
      </w:r>
    </w:p>
    <w:p>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本次公开招标项目仅为一次商务报价，一旦中标即为中标价。除非因特殊原因并经买卖双方协商同意，中标人不得再要求追加任何费用。同时，除非合同条款中另有规定，否则，中标人的中标价在合同实施期间不得因市场变化因素而变动。</w:t>
      </w:r>
    </w:p>
    <w:p>
      <w:pPr>
        <w:snapToGrid w:val="0"/>
        <w:spacing w:line="420" w:lineRule="exact"/>
        <w:ind w:firstLine="482" w:firstLineChars="200"/>
        <w:outlineLvl w:val="1"/>
        <w:rPr>
          <w:rFonts w:ascii="Times New Roman" w:hAnsi="Times New Roman" w:eastAsia="宋体" w:cs="Times New Roman"/>
          <w:b/>
          <w:bCs/>
          <w:sz w:val="24"/>
          <w:szCs w:val="24"/>
        </w:rPr>
      </w:pPr>
      <w:bookmarkStart w:id="13" w:name="_Toc363573855"/>
      <w:r>
        <w:rPr>
          <w:rFonts w:hint="eastAsia" w:ascii="Times New Roman" w:hAnsi="Times New Roman" w:eastAsia="宋体" w:cs="宋体"/>
          <w:b/>
          <w:bCs/>
          <w:sz w:val="24"/>
          <w:szCs w:val="24"/>
        </w:rPr>
        <w:t>十一、招标服务费</w:t>
      </w:r>
    </w:p>
    <w:p>
      <w:pPr>
        <w:spacing w:line="420" w:lineRule="exact"/>
        <w:ind w:firstLine="494"/>
        <w:rPr>
          <w:rFonts w:ascii="Times New Roman" w:hAnsi="Times New Roman" w:eastAsia="宋体" w:cs="宋体"/>
          <w:kern w:val="0"/>
          <w:sz w:val="24"/>
          <w:szCs w:val="24"/>
        </w:rPr>
      </w:pPr>
      <w:r>
        <w:rPr>
          <w:rFonts w:hint="eastAsia" w:ascii="Times New Roman" w:hAnsi="Times New Roman" w:eastAsia="宋体" w:cs="宋体"/>
          <w:kern w:val="0"/>
          <w:sz w:val="24"/>
          <w:szCs w:val="24"/>
        </w:rPr>
        <w:t>1</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无论招标过程和结果如何，供应商自行承担与本项目招标有关的全部费用。</w:t>
      </w:r>
    </w:p>
    <w:p>
      <w:pPr>
        <w:spacing w:line="420" w:lineRule="exact"/>
        <w:ind w:firstLine="494"/>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rPr>
        <w:t>.本项目中标代理服务费</w:t>
      </w:r>
      <w:r>
        <w:rPr>
          <w:rFonts w:hint="eastAsia" w:ascii="Times New Roman" w:hAnsi="Times New Roman" w:eastAsia="宋体" w:cs="Times New Roman"/>
          <w:kern w:val="0"/>
          <w:sz w:val="24"/>
          <w:szCs w:val="24"/>
          <w:lang w:val="en-US" w:eastAsia="zh-CN"/>
        </w:rPr>
        <w:t>和评审费</w:t>
      </w:r>
      <w:r>
        <w:rPr>
          <w:rFonts w:hint="eastAsia" w:ascii="Times New Roman" w:hAnsi="Times New Roman" w:eastAsia="宋体" w:cs="Times New Roman"/>
          <w:kern w:val="0"/>
          <w:sz w:val="24"/>
          <w:szCs w:val="24"/>
        </w:rPr>
        <w:t>由中标供应商承担</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评审费按实际发生结算，代理服务费</w:t>
      </w:r>
      <w:r>
        <w:rPr>
          <w:rFonts w:hint="eastAsia" w:ascii="Times New Roman" w:hAnsi="Times New Roman" w:eastAsia="宋体" w:cs="宋体"/>
          <w:kern w:val="0"/>
          <w:sz w:val="24"/>
          <w:szCs w:val="24"/>
        </w:rPr>
        <w:t>收取标准以成交价为基准乘以中标代理收费费率，经计算后一次性收取。</w:t>
      </w:r>
    </w:p>
    <w:p>
      <w:pPr>
        <w:spacing w:line="420" w:lineRule="exact"/>
        <w:ind w:firstLine="494"/>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招标代理收费费率标准：</w:t>
      </w:r>
    </w:p>
    <w:tbl>
      <w:tblPr>
        <w:tblStyle w:val="7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tblHeader/>
        </w:trPr>
        <w:tc>
          <w:tcPr>
            <w:tcW w:w="1838" w:type="dxa"/>
            <w:vAlign w:val="center"/>
          </w:tcPr>
          <w:p>
            <w:pPr>
              <w:spacing w:line="440" w:lineRule="exact"/>
              <w:ind w:firstLine="34"/>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中标</w:t>
            </w:r>
            <w:r>
              <w:rPr>
                <w:rFonts w:ascii="Times New Roman" w:hAnsi="Times New Roman" w:eastAsia="宋体" w:cs="Times New Roman"/>
                <w:b/>
                <w:bCs/>
                <w:kern w:val="0"/>
                <w:sz w:val="24"/>
                <w:szCs w:val="24"/>
              </w:rPr>
              <w:t>金额</w:t>
            </w:r>
          </w:p>
        </w:tc>
        <w:tc>
          <w:tcPr>
            <w:tcW w:w="7796" w:type="dxa"/>
            <w:vAlign w:val="center"/>
          </w:tcPr>
          <w:p>
            <w:pPr>
              <w:spacing w:line="440" w:lineRule="exact"/>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招标代理收费费率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7" w:hRule="atLeast"/>
        </w:trPr>
        <w:tc>
          <w:tcPr>
            <w:tcW w:w="1838" w:type="dxa"/>
            <w:vAlign w:val="center"/>
          </w:tcPr>
          <w:p>
            <w:pPr>
              <w:spacing w:line="440" w:lineRule="exact"/>
              <w:ind w:firstLine="34"/>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100</w:t>
            </w:r>
            <w:r>
              <w:rPr>
                <w:rFonts w:ascii="Times New Roman" w:hAnsi="Times New Roman" w:eastAsia="宋体" w:cs="Times New Roman"/>
                <w:kern w:val="0"/>
                <w:sz w:val="24"/>
                <w:szCs w:val="24"/>
              </w:rPr>
              <w:t>万</w:t>
            </w:r>
            <w:r>
              <w:rPr>
                <w:rFonts w:hint="eastAsia" w:ascii="Times New Roman" w:hAnsi="Times New Roman" w:eastAsia="宋体" w:cs="Times New Roman"/>
                <w:kern w:val="0"/>
                <w:sz w:val="24"/>
                <w:szCs w:val="24"/>
              </w:rPr>
              <w:t>元</w:t>
            </w:r>
            <w:r>
              <w:rPr>
                <w:rFonts w:ascii="Times New Roman" w:hAnsi="Times New Roman" w:eastAsia="宋体" w:cs="Times New Roman"/>
                <w:kern w:val="0"/>
                <w:sz w:val="24"/>
                <w:szCs w:val="24"/>
              </w:rPr>
              <w:t>以下</w:t>
            </w:r>
          </w:p>
        </w:tc>
        <w:tc>
          <w:tcPr>
            <w:tcW w:w="7796" w:type="dxa"/>
            <w:vAlign w:val="center"/>
          </w:tcPr>
          <w:p>
            <w:pPr>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7" w:hRule="atLeast"/>
        </w:trPr>
        <w:tc>
          <w:tcPr>
            <w:tcW w:w="1838" w:type="dxa"/>
            <w:vAlign w:val="center"/>
          </w:tcPr>
          <w:p>
            <w:pPr>
              <w:spacing w:line="440" w:lineRule="exact"/>
              <w:ind w:firstLine="34"/>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c>
          <w:tcPr>
            <w:tcW w:w="7796" w:type="dxa"/>
            <w:vAlign w:val="center"/>
          </w:tcPr>
          <w:p>
            <w:pPr>
              <w:spacing w:line="440" w:lineRule="exact"/>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收费费率标准，是参考原国家计价格〔2002〕1980号《招标代理服务收费管理暂行办法》规定，按货物（知识产权产品）类标准的费率执行。</w:t>
            </w:r>
          </w:p>
          <w:p>
            <w:pPr>
              <w:spacing w:line="44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招标代理费用不足1500元的，按1500元收费。</w:t>
            </w:r>
          </w:p>
        </w:tc>
      </w:tr>
    </w:tbl>
    <w:p>
      <w:pPr>
        <w:spacing w:line="420" w:lineRule="exact"/>
        <w:ind w:firstLine="494"/>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.代理费、评委费在开标</w:t>
      </w:r>
      <w:r>
        <w:rPr>
          <w:rFonts w:hint="eastAsia" w:ascii="Times New Roman" w:hAnsi="Times New Roman" w:eastAsia="宋体" w:cs="Times New Roman"/>
          <w:kern w:val="0"/>
          <w:sz w:val="24"/>
          <w:szCs w:val="24"/>
          <w:lang w:val="en-US" w:eastAsia="zh-CN"/>
        </w:rPr>
        <w:t>结束后</w:t>
      </w:r>
      <w:r>
        <w:rPr>
          <w:rFonts w:hint="eastAsia" w:ascii="Times New Roman" w:hAnsi="Times New Roman" w:eastAsia="宋体" w:cs="Times New Roman"/>
          <w:kern w:val="0"/>
          <w:sz w:val="24"/>
          <w:szCs w:val="24"/>
        </w:rPr>
        <w:t>支付给代理机构。</w:t>
      </w:r>
    </w:p>
    <w:p>
      <w:pPr>
        <w:spacing w:line="420" w:lineRule="exact"/>
        <w:ind w:firstLine="494"/>
        <w:rPr>
          <w:rFonts w:ascii="Times New Roman" w:hAnsi="Times New Roman" w:eastAsia="宋体" w:cs="Times New Roman"/>
          <w:kern w:val="0"/>
          <w:sz w:val="24"/>
          <w:szCs w:val="24"/>
        </w:rPr>
      </w:pPr>
      <w:r>
        <w:rPr>
          <w:rFonts w:ascii="Times New Roman" w:hAnsi="Times New Roman" w:eastAsia="宋体" w:cs="Times New Roman"/>
          <w:kern w:val="0"/>
          <w:sz w:val="24"/>
          <w:szCs w:val="24"/>
        </w:rPr>
        <w:t>5.供应商自行考虑包含在报价内的该项费用及风险并将其综合在单价内，不得单列。</w:t>
      </w:r>
    </w:p>
    <w:p>
      <w:pPr>
        <w:spacing w:line="420" w:lineRule="exact"/>
        <w:ind w:firstLine="494"/>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hint="eastAsia" w:ascii="Times New Roman" w:hAnsi="Times New Roman" w:eastAsia="宋体" w:cs="Times New Roman"/>
          <w:kern w:val="0"/>
          <w:sz w:val="24"/>
          <w:szCs w:val="24"/>
        </w:rPr>
        <w:t>采购</w:t>
      </w:r>
      <w:r>
        <w:rPr>
          <w:rFonts w:ascii="Times New Roman" w:hAnsi="Times New Roman" w:eastAsia="宋体" w:cs="Times New Roman"/>
          <w:kern w:val="0"/>
          <w:sz w:val="24"/>
          <w:szCs w:val="24"/>
        </w:rPr>
        <w:t>代理服务费应在《成交通知书》发出送达后3日内一次性付清。</w:t>
      </w:r>
    </w:p>
    <w:p>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十二、未尽事宜</w:t>
      </w:r>
    </w:p>
    <w:p>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参考有关法律法规的规定执行。</w:t>
      </w:r>
    </w:p>
    <w:p>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numPr>
          <w:ilvl w:val="0"/>
          <w:numId w:val="6"/>
        </w:num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项目需求</w:t>
      </w:r>
      <w:bookmarkEnd w:id="13"/>
    </w:p>
    <w:p>
      <w:pPr>
        <w:pStyle w:val="37"/>
        <w:numPr>
          <w:ilvl w:val="0"/>
          <w:numId w:val="0"/>
        </w:numPr>
      </w:pPr>
    </w:p>
    <w:p>
      <w:pPr>
        <w:snapToGrid w:val="0"/>
        <w:spacing w:line="360" w:lineRule="auto"/>
        <w:ind w:firstLine="482" w:firstLineChars="200"/>
        <w:jc w:val="left"/>
        <w:rPr>
          <w:rFonts w:hint="eastAsia" w:ascii="宋体" w:hAnsi="宋体" w:eastAsia="宋体" w:cs="宋体"/>
          <w:sz w:val="24"/>
          <w:szCs w:val="24"/>
        </w:rPr>
      </w:pPr>
      <w:bookmarkStart w:id="14" w:name="_Toc99539216"/>
      <w:r>
        <w:rPr>
          <w:rFonts w:hint="eastAsia" w:ascii="宋体" w:hAnsi="宋体" w:eastAsia="宋体" w:cs="宋体"/>
          <w:b/>
          <w:sz w:val="24"/>
          <w:szCs w:val="24"/>
        </w:rPr>
        <w:t>请供应商在制作响应文件时仔细研究项目需求说明。</w:t>
      </w:r>
      <w:r>
        <w:rPr>
          <w:rFonts w:hint="eastAsia" w:ascii="宋体" w:hAnsi="宋体" w:eastAsia="宋体" w:cs="宋体"/>
          <w:sz w:val="24"/>
          <w:szCs w:val="24"/>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技术商务部分正负偏离表》上明示，如不明示的视同完全响应。</w:t>
      </w:r>
    </w:p>
    <w:bookmarkEnd w:id="14"/>
    <w:p>
      <w:pPr>
        <w:pStyle w:val="6"/>
        <w:numPr>
          <w:ilvl w:val="0"/>
          <w:numId w:val="0"/>
        </w:num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设备清单</w:t>
      </w:r>
    </w:p>
    <w:p>
      <w:pPr>
        <w:numPr>
          <w:ilvl w:val="0"/>
          <w:numId w:val="0"/>
        </w:numPr>
        <w:spacing w:line="240" w:lineRule="auto"/>
        <w:rPr>
          <w:rFonts w:hint="eastAsia" w:ascii="宋体" w:hAnsi="宋体" w:eastAsia="宋体" w:cs="宋体"/>
          <w:sz w:val="24"/>
          <w:szCs w:val="24"/>
        </w:rPr>
      </w:pPr>
    </w:p>
    <w:tbl>
      <w:tblPr>
        <w:tblStyle w:val="70"/>
        <w:tblW w:w="9504" w:type="dxa"/>
        <w:jc w:val="center"/>
        <w:tblInd w:w="0" w:type="dxa"/>
        <w:tblLayout w:type="fixed"/>
        <w:tblCellMar>
          <w:top w:w="0" w:type="dxa"/>
          <w:left w:w="108" w:type="dxa"/>
          <w:bottom w:w="0" w:type="dxa"/>
          <w:right w:w="108" w:type="dxa"/>
        </w:tblCellMar>
      </w:tblPr>
      <w:tblGrid>
        <w:gridCol w:w="1441"/>
        <w:gridCol w:w="4063"/>
        <w:gridCol w:w="2397"/>
        <w:gridCol w:w="1603"/>
      </w:tblGrid>
      <w:tr>
        <w:tblPrEx>
          <w:tblLayout w:type="fixed"/>
          <w:tblCellMar>
            <w:top w:w="0" w:type="dxa"/>
            <w:left w:w="108" w:type="dxa"/>
            <w:bottom w:w="0" w:type="dxa"/>
            <w:right w:w="108" w:type="dxa"/>
          </w:tblCellMar>
        </w:tblPrEx>
        <w:trPr>
          <w:trHeight w:val="526"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406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设备名称</w:t>
            </w:r>
          </w:p>
        </w:tc>
        <w:tc>
          <w:tcPr>
            <w:tcW w:w="239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技术指标</w:t>
            </w:r>
          </w:p>
        </w:tc>
        <w:tc>
          <w:tcPr>
            <w:tcW w:w="160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r>
      <w:tr>
        <w:tblPrEx>
          <w:tblLayout w:type="fixed"/>
          <w:tblCellMar>
            <w:top w:w="0" w:type="dxa"/>
            <w:left w:w="108" w:type="dxa"/>
            <w:bottom w:w="0" w:type="dxa"/>
            <w:right w:w="108" w:type="dxa"/>
          </w:tblCellMar>
        </w:tblPrEx>
        <w:trPr>
          <w:trHeight w:val="972"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p>
        </w:tc>
        <w:tc>
          <w:tcPr>
            <w:tcW w:w="406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内外网文件交换系统（软硬件系统）</w:t>
            </w:r>
          </w:p>
        </w:tc>
        <w:tc>
          <w:tcPr>
            <w:tcW w:w="239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详见技术规格参数</w:t>
            </w:r>
          </w:p>
        </w:tc>
        <w:tc>
          <w:tcPr>
            <w:tcW w:w="160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1套</w:t>
            </w:r>
          </w:p>
        </w:tc>
      </w:tr>
    </w:tbl>
    <w:p>
      <w:pPr>
        <w:pStyle w:val="312"/>
        <w:spacing w:line="240" w:lineRule="auto"/>
        <w:rPr>
          <w:rFonts w:hint="eastAsia" w:ascii="宋体" w:hAnsi="宋体" w:eastAsia="宋体" w:cs="宋体"/>
          <w:sz w:val="24"/>
          <w:szCs w:val="24"/>
          <w:lang w:eastAsia="zh-Hans"/>
        </w:rPr>
      </w:pPr>
    </w:p>
    <w:p>
      <w:pPr>
        <w:pStyle w:val="6"/>
        <w:numPr>
          <w:ilvl w:val="0"/>
          <w:numId w:val="0"/>
        </w:numPr>
        <w:spacing w:line="240" w:lineRule="auto"/>
        <w:jc w:val="both"/>
        <w:rPr>
          <w:rFonts w:hint="eastAsia" w:ascii="宋体" w:hAnsi="宋体" w:eastAsia="宋体" w:cs="宋体"/>
          <w:sz w:val="24"/>
          <w:szCs w:val="24"/>
          <w:lang w:eastAsia="zh-Hans"/>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技术规格参数</w:t>
      </w:r>
    </w:p>
    <w:tbl>
      <w:tblPr>
        <w:tblStyle w:val="70"/>
        <w:tblW w:w="9862"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8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24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功能</w:t>
            </w:r>
            <w:r>
              <w:rPr>
                <w:rFonts w:hint="eastAsia" w:ascii="宋体" w:hAnsi="宋体" w:eastAsia="宋体" w:cs="宋体"/>
                <w:b/>
                <w:bCs/>
                <w:color w:val="auto"/>
                <w:sz w:val="24"/>
                <w:szCs w:val="24"/>
                <w:lang w:val="en-US" w:eastAsia="zh-CN"/>
              </w:rPr>
              <w:t>项</w:t>
            </w:r>
          </w:p>
        </w:tc>
        <w:tc>
          <w:tcPr>
            <w:tcW w:w="8375" w:type="dxa"/>
            <w:vAlign w:val="center"/>
          </w:tcPr>
          <w:p>
            <w:pPr>
              <w:bidi w:val="0"/>
              <w:spacing w:line="24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详细功能参数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240" w:lineRule="auto"/>
              <w:rPr>
                <w:rFonts w:hint="eastAsia" w:ascii="宋体" w:hAnsi="宋体" w:eastAsia="宋体" w:cs="宋体"/>
                <w:color w:val="auto"/>
                <w:sz w:val="24"/>
                <w:szCs w:val="24"/>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rPr>
              <w:t>系统构架</w:t>
            </w:r>
          </w:p>
        </w:tc>
        <w:tc>
          <w:tcPr>
            <w:tcW w:w="8375" w:type="dxa"/>
            <w:vAlign w:val="top"/>
          </w:tcPr>
          <w:p>
            <w:pPr>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系统为B/S架构，为了保证满足等级保护的相关要求，系统需为内、外网各一台设备，内、外网设备之间可以过网闸进行文件交换。（提供截图证明）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硬件配置</w:t>
            </w:r>
          </w:p>
        </w:tc>
        <w:tc>
          <w:tcPr>
            <w:tcW w:w="8375" w:type="dxa"/>
            <w:vAlign w:val="center"/>
          </w:tcPr>
          <w:p>
            <w:pPr>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两台</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U</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，单台配置</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rPr>
              <w:t>： CPU：</w:t>
            </w:r>
            <w:r>
              <w:rPr>
                <w:rFonts w:hint="eastAsia" w:ascii="宋体" w:hAnsi="宋体" w:eastAsia="宋体" w:cs="宋体"/>
                <w:color w:val="auto"/>
                <w:sz w:val="24"/>
                <w:szCs w:val="24"/>
                <w:lang w:val="en-US" w:eastAsia="zh-CN"/>
              </w:rPr>
              <w:t>海光/8核</w:t>
            </w:r>
            <w:r>
              <w:rPr>
                <w:rFonts w:hint="eastAsia" w:ascii="宋体" w:hAnsi="宋体" w:eastAsia="宋体" w:cs="宋体"/>
                <w:color w:val="auto"/>
                <w:sz w:val="24"/>
                <w:szCs w:val="24"/>
              </w:rPr>
              <w:t>，内存：</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G</w:t>
            </w:r>
            <w:r>
              <w:rPr>
                <w:rFonts w:hint="eastAsia" w:ascii="宋体" w:hAnsi="宋体" w:eastAsia="宋体" w:cs="宋体"/>
                <w:color w:val="auto"/>
                <w:sz w:val="24"/>
                <w:szCs w:val="24"/>
              </w:rPr>
              <w:t>，硬盘：</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TB</w:t>
            </w:r>
            <w:r>
              <w:rPr>
                <w:rFonts w:hint="eastAsia" w:ascii="宋体" w:hAnsi="宋体" w:eastAsia="宋体" w:cs="宋体"/>
                <w:color w:val="auto"/>
                <w:sz w:val="24"/>
                <w:szCs w:val="24"/>
              </w:rPr>
              <w:t>硬盘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统信操作系统，</w:t>
            </w:r>
            <w:r>
              <w:rPr>
                <w:rFonts w:hint="eastAsia" w:ascii="宋体" w:hAnsi="宋体" w:eastAsia="宋体" w:cs="宋体"/>
                <w:color w:val="auto"/>
                <w:sz w:val="24"/>
                <w:szCs w:val="24"/>
              </w:rPr>
              <w:t>自带软件防火墙。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用户数</w:t>
            </w:r>
          </w:p>
        </w:tc>
        <w:tc>
          <w:tcPr>
            <w:tcW w:w="8375"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不限制用户数，不限制并发数。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传输方向</w:t>
            </w:r>
          </w:p>
        </w:tc>
        <w:tc>
          <w:tcPr>
            <w:tcW w:w="8375"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系统必须支持内、外网文件双向传输。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文件传输类型</w:t>
            </w:r>
          </w:p>
        </w:tc>
        <w:tc>
          <w:tcPr>
            <w:tcW w:w="8375"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系统支持用户将文件进行内、外网互传，也支持将文件发送给系统内部的其他用户。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同步方式</w:t>
            </w:r>
          </w:p>
        </w:tc>
        <w:tc>
          <w:tcPr>
            <w:tcW w:w="8375"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系统支持自动同步与手动同步。自动同步：用户上传文件后，后自动同步到对向。手动同步:用户上传文件后，选择文件手动同步到对向。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文件杀毒</w:t>
            </w:r>
          </w:p>
        </w:tc>
        <w:tc>
          <w:tcPr>
            <w:tcW w:w="8375" w:type="dxa"/>
            <w:vAlign w:val="top"/>
          </w:tcPr>
          <w:p>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系统内置杀毒引擎，并支持第三方杀毒引擎；在文件从医院外网传输到医院内网时，产品能对文件进行病毒和木马检测，识别可能导致系统风险的恶意文件。一旦发现可疑文件，可自动阻止文件交换</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加密存储</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为了保证系统中存储文件的安全性，系统采用落地加密技术，当文件上传到设备上时，设备</w:t>
            </w:r>
            <w:r>
              <w:rPr>
                <w:rFonts w:hint="eastAsia" w:ascii="宋体" w:hAnsi="宋体" w:eastAsia="宋体" w:cs="宋体"/>
                <w:color w:val="auto"/>
                <w:sz w:val="24"/>
                <w:szCs w:val="24"/>
                <w:lang w:val="en-US" w:eastAsia="zh-CN"/>
              </w:rPr>
              <w:t>需</w:t>
            </w:r>
            <w:r>
              <w:rPr>
                <w:rFonts w:hint="eastAsia" w:ascii="宋体" w:hAnsi="宋体" w:eastAsia="宋体" w:cs="宋体"/>
                <w:color w:val="auto"/>
                <w:sz w:val="24"/>
                <w:szCs w:val="24"/>
              </w:rPr>
              <w:t>以加密的方式保存在硬盘上。（提供截图证明）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登录IP保护</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管理员可以设置每个部门用户登录的IP地址范围，防止用户账号在非可控区域登录，给单位内部数据安全带来隐患。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文件类型保护</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文件上传到系统时，系统会对文件后缀名进行进行分析，可以准确判断文件类型是否被伪造，如果当前文件类型与真实类型不符，文件即刻被删除，禁止传输。（提供截图证明）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jc w:val="center"/>
              <w:rPr>
                <w:rFonts w:hint="eastAsia" w:ascii="宋体" w:hAnsi="宋体" w:eastAsia="宋体" w:cs="宋体"/>
                <w:b w:val="0"/>
                <w:bCs w:val="0"/>
                <w:i w:val="0"/>
                <w:iCs w:val="0"/>
                <w:kern w:val="2"/>
                <w:sz w:val="24"/>
                <w:szCs w:val="24"/>
                <w:u w:val="none"/>
                <w:lang w:val="en-US" w:eastAsia="zh-CN" w:bidi="ar-SA"/>
              </w:rPr>
            </w:pPr>
            <w:r>
              <w:rPr>
                <w:rFonts w:hint="eastAsia" w:ascii="宋体" w:hAnsi="宋体" w:eastAsia="宋体" w:cs="宋体"/>
                <w:color w:val="auto"/>
                <w:sz w:val="24"/>
                <w:szCs w:val="24"/>
              </w:rPr>
              <w:t>★</w:t>
            </w:r>
            <w:r>
              <w:rPr>
                <w:rFonts w:hint="eastAsia" w:ascii="宋体" w:hAnsi="宋体" w:eastAsia="宋体" w:cs="宋体"/>
                <w:b w:val="0"/>
                <w:bCs w:val="0"/>
                <w:i w:val="0"/>
                <w:iCs w:val="0"/>
                <w:color w:val="auto"/>
                <w:sz w:val="24"/>
                <w:szCs w:val="24"/>
                <w:highlight w:val="none"/>
                <w:u w:val="none"/>
                <w:lang w:val="en-US" w:eastAsia="zh-CN"/>
              </w:rPr>
              <w:t>文件防扩散</w:t>
            </w:r>
          </w:p>
        </w:tc>
        <w:tc>
          <w:tcPr>
            <w:tcW w:w="8375" w:type="dxa"/>
            <w:vAlign w:val="top"/>
          </w:tcPr>
          <w:p>
            <w:pPr>
              <w:bidi w:val="0"/>
              <w:spacing w:line="360" w:lineRule="auto"/>
              <w:rPr>
                <w:rFonts w:hint="eastAsia" w:ascii="宋体" w:hAnsi="宋体" w:eastAsia="宋体" w:cs="宋体"/>
                <w:b w:val="0"/>
                <w:bCs w:val="0"/>
                <w:i w:val="0"/>
                <w:iCs w:val="0"/>
                <w:kern w:val="2"/>
                <w:sz w:val="24"/>
                <w:szCs w:val="24"/>
                <w:u w:val="none"/>
                <w:lang w:val="en-US" w:eastAsia="zh-CN" w:bidi="ar-SA"/>
              </w:rPr>
            </w:pPr>
            <w:r>
              <w:rPr>
                <w:rFonts w:hint="eastAsia" w:ascii="宋体" w:hAnsi="宋体" w:eastAsia="宋体" w:cs="宋体"/>
                <w:b w:val="0"/>
                <w:bCs w:val="0"/>
                <w:i w:val="0"/>
                <w:iCs w:val="0"/>
                <w:color w:val="auto"/>
                <w:sz w:val="24"/>
                <w:szCs w:val="24"/>
                <w:highlight w:val="none"/>
                <w:u w:val="none"/>
                <w:lang w:val="en-US" w:eastAsia="zh-CN"/>
              </w:rPr>
              <w:t>用户可以开启指定账号的文件防扩散功能，该账号下载下来的文件会自动以密文的形式保存在终端计算机上，终端计算机需要安装Windows客户端才能打开文件，用户对于文件修改后，仍然以密文方式保存，内部安装客户端的电脑上的加密文件可以互相打开，文件拷贝到没有安装客户都安的电脑上不能打开。</w:t>
            </w:r>
            <w:r>
              <w:rPr>
                <w:rFonts w:hint="eastAsia" w:ascii="宋体" w:hAnsi="宋体" w:eastAsia="宋体" w:cs="宋体"/>
                <w:b w:val="0"/>
                <w:bCs w:val="0"/>
                <w:i w:val="0"/>
                <w:iCs w:val="0"/>
                <w:color w:val="auto"/>
                <w:sz w:val="24"/>
                <w:szCs w:val="24"/>
                <w:highlight w:val="none"/>
                <w:u w:val="none"/>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jc w:val="center"/>
              <w:rPr>
                <w:rFonts w:hint="eastAsia" w:ascii="宋体" w:hAnsi="宋体" w:eastAsia="宋体" w:cs="宋体"/>
                <w:b w:val="0"/>
                <w:bCs w:val="0"/>
                <w:i w:val="0"/>
                <w:iCs w:val="0"/>
                <w:kern w:val="2"/>
                <w:sz w:val="24"/>
                <w:szCs w:val="24"/>
                <w:u w:val="none"/>
                <w:lang w:val="en-US" w:eastAsia="zh-CN" w:bidi="ar-SA"/>
              </w:rPr>
            </w:pPr>
            <w:r>
              <w:rPr>
                <w:rFonts w:hint="eastAsia" w:ascii="宋体" w:hAnsi="宋体" w:eastAsia="宋体" w:cs="宋体"/>
                <w:color w:val="auto"/>
                <w:sz w:val="24"/>
                <w:szCs w:val="24"/>
              </w:rPr>
              <w:t>★</w:t>
            </w:r>
            <w:r>
              <w:rPr>
                <w:rFonts w:hint="eastAsia" w:ascii="宋体" w:hAnsi="宋体" w:eastAsia="宋体" w:cs="宋体"/>
                <w:b w:val="0"/>
                <w:bCs w:val="0"/>
                <w:i w:val="0"/>
                <w:iCs w:val="0"/>
                <w:color w:val="auto"/>
                <w:sz w:val="24"/>
                <w:szCs w:val="24"/>
                <w:highlight w:val="none"/>
                <w:u w:val="none"/>
                <w:lang w:val="en-US" w:eastAsia="zh-CN"/>
              </w:rPr>
              <w:t>外传文件控制</w:t>
            </w:r>
          </w:p>
        </w:tc>
        <w:tc>
          <w:tcPr>
            <w:tcW w:w="8375" w:type="dxa"/>
            <w:vAlign w:val="top"/>
          </w:tcPr>
          <w:p>
            <w:pPr>
              <w:bidi w:val="0"/>
              <w:spacing w:line="360" w:lineRule="auto"/>
              <w:rPr>
                <w:rFonts w:hint="eastAsia" w:ascii="宋体" w:hAnsi="宋体" w:eastAsia="宋体" w:cs="宋体"/>
                <w:b w:val="0"/>
                <w:bCs w:val="0"/>
                <w:i w:val="0"/>
                <w:iCs w:val="0"/>
                <w:kern w:val="2"/>
                <w:sz w:val="24"/>
                <w:szCs w:val="24"/>
                <w:u w:val="none"/>
                <w:lang w:val="en-US" w:eastAsia="zh-CN" w:bidi="ar-SA"/>
              </w:rPr>
            </w:pPr>
            <w:r>
              <w:rPr>
                <w:rFonts w:hint="eastAsia" w:ascii="宋体" w:hAnsi="宋体" w:eastAsia="宋体" w:cs="宋体"/>
                <w:b w:val="0"/>
                <w:bCs w:val="0"/>
                <w:i w:val="0"/>
                <w:iCs w:val="0"/>
                <w:kern w:val="0"/>
                <w:sz w:val="24"/>
                <w:szCs w:val="24"/>
                <w:highlight w:val="none"/>
                <w:u w:val="none"/>
                <w:lang w:val="en-US" w:eastAsia="zh-CN"/>
              </w:rPr>
              <w:t>用户可以选择文件安全外发，</w:t>
            </w:r>
            <w:r>
              <w:rPr>
                <w:rFonts w:hint="eastAsia" w:ascii="宋体" w:hAnsi="宋体" w:eastAsia="宋体" w:cs="宋体"/>
                <w:b w:val="0"/>
                <w:bCs w:val="0"/>
                <w:i w:val="0"/>
                <w:iCs w:val="0"/>
                <w:kern w:val="0"/>
                <w:sz w:val="24"/>
                <w:szCs w:val="24"/>
                <w:highlight w:val="none"/>
                <w:u w:val="none"/>
                <w:lang w:eastAsia="zh-CN"/>
              </w:rPr>
              <w:t>这种外发文件是以EXE压缩包的形式外发，可以控制文件外发出去后的打开次数和打开时间，可以控制截屏，打印，内容剪切等操作，支持联网认证，</w:t>
            </w:r>
            <w:r>
              <w:rPr>
                <w:rFonts w:hint="eastAsia" w:ascii="宋体" w:hAnsi="宋体" w:eastAsia="宋体" w:cs="宋体"/>
                <w:b w:val="0"/>
                <w:bCs w:val="0"/>
                <w:i w:val="0"/>
                <w:iCs w:val="0"/>
                <w:kern w:val="0"/>
                <w:sz w:val="24"/>
                <w:szCs w:val="24"/>
                <w:highlight w:val="none"/>
                <w:u w:val="none"/>
                <w:lang w:val="en-US" w:eastAsia="zh-CN"/>
              </w:rPr>
              <w:t>实现外发出去的文件只能在指定电脑上打开。</w:t>
            </w:r>
            <w:r>
              <w:rPr>
                <w:rFonts w:hint="eastAsia" w:ascii="宋体" w:hAnsi="宋体" w:eastAsia="宋体" w:cs="宋体"/>
                <w:b w:val="0"/>
                <w:bCs w:val="0"/>
                <w:i w:val="0"/>
                <w:iCs w:val="0"/>
                <w:color w:val="auto"/>
                <w:sz w:val="24"/>
                <w:szCs w:val="24"/>
                <w:highlight w:val="none"/>
                <w:u w:val="none"/>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★移动端支持</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文件外网端支持APP客户端，用户可以用手机通过公网IP连接外网设备，选择文件，审批后传输内网；支持用户将微信中的文件通过APP申请，审批后传入内网；</w:t>
            </w:r>
            <w:r>
              <w:rPr>
                <w:rFonts w:hint="eastAsia" w:ascii="宋体" w:hAnsi="宋体" w:eastAsia="宋体" w:cs="宋体"/>
                <w:color w:val="auto"/>
                <w:sz w:val="24"/>
                <w:szCs w:val="24"/>
                <w:lang w:val="en-US" w:eastAsia="zh-CN"/>
              </w:rPr>
              <w:t>支持安卓、IOS系统APP。</w:t>
            </w:r>
            <w:r>
              <w:rPr>
                <w:rFonts w:hint="eastAsia" w:ascii="宋体" w:hAnsi="宋体" w:eastAsia="宋体" w:cs="宋体"/>
                <w:color w:val="auto"/>
                <w:sz w:val="24"/>
                <w:szCs w:val="24"/>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白名单</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管理员可以设置用户上传文件类型的白名单，用户只能上传指定类型的文件。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账号角色</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系统具备管理员、审批员、普通用户三种角色。管理员可以对于系统进行管理，普通用户可以对于文件传输进行申请，审批员可以对于申请进行审批。（提供截图证明）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个人空间</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可以存储个人的文档，用户可以对于文档进行备注说明。系统可以显示这个文档被下载的次数。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公共空间</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管理员可以建立多个目录，给不同的部门设置不同的权限，包括查阅、管理、上传、下载等权限，也可以设置指定的用户的例外权限。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收藏</w:t>
            </w:r>
          </w:p>
        </w:tc>
        <w:tc>
          <w:tcPr>
            <w:tcW w:w="8375"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用户对于自己常用的文件可以进行收藏操作。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rPr>
              <w:t>在线编辑</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用户可以在线编辑系统中存储的文档，包括WORD、EXCEL、PPT等文件，支持多人协同编辑。（提供截图证明）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版本管理</w:t>
            </w:r>
          </w:p>
        </w:tc>
        <w:tc>
          <w:tcPr>
            <w:tcW w:w="8375" w:type="dxa"/>
            <w:vAlign w:val="top"/>
          </w:tcPr>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所有文件在线修改都会进行版本备份，用户可以选择历史版本进行版本恢复。</w:t>
            </w:r>
            <w:r>
              <w:rPr>
                <w:rFonts w:hint="eastAsia" w:ascii="宋体" w:hAnsi="宋体" w:eastAsia="宋体" w:cs="宋体"/>
                <w:color w:val="auto"/>
                <w:sz w:val="24"/>
                <w:szCs w:val="24"/>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子管理员</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系统具备子管理员权限，子管理员可以对于下属分之机构进行管理，包括下属分支机构的组织构架、用户权限等，也可以查询下属分之机构的文件传输记录。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top"/>
          </w:tcPr>
          <w:p>
            <w:pPr>
              <w:spacing w:line="360" w:lineRule="auto"/>
              <w:rPr>
                <w:rFonts w:hint="eastAsia" w:ascii="宋体" w:hAnsi="宋体" w:eastAsia="宋体" w:cs="宋体"/>
                <w:color w:val="auto"/>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互联网安全接入</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系统自带虚拟隧道安全访问功能，用户在互联网直接访问系统时，系统的端口为隐藏的，用户无法访问系统。用户需要专用的身份验证客户端进行身份验证，验证成功后系统才会对这个终端开放访问端口，用户才可以访问系统登录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sz w:val="24"/>
                <w:szCs w:val="24"/>
              </w:rPr>
              <w:t>★</w:t>
            </w:r>
            <w:r>
              <w:rPr>
                <w:rFonts w:hint="eastAsia" w:ascii="宋体" w:hAnsi="宋体" w:eastAsia="宋体" w:cs="宋体"/>
                <w:color w:val="auto"/>
                <w:sz w:val="24"/>
                <w:szCs w:val="24"/>
                <w:lang w:val="en-US" w:eastAsia="zh-CN"/>
              </w:rPr>
              <w:t>账号</w:t>
            </w:r>
            <w:r>
              <w:rPr>
                <w:rFonts w:hint="eastAsia" w:ascii="宋体" w:hAnsi="宋体" w:eastAsia="宋体" w:cs="宋体"/>
                <w:color w:val="auto"/>
                <w:sz w:val="24"/>
                <w:szCs w:val="24"/>
              </w:rPr>
              <w:t>安全</w:t>
            </w:r>
          </w:p>
        </w:tc>
        <w:tc>
          <w:tcPr>
            <w:tcW w:w="8375" w:type="dxa"/>
            <w:vAlign w:val="top"/>
          </w:tcPr>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账号安全可以对用户进行</w:t>
            </w:r>
            <w:r>
              <w:rPr>
                <w:rFonts w:hint="eastAsia" w:ascii="宋体" w:hAnsi="宋体" w:eastAsia="宋体" w:cs="宋体"/>
                <w:sz w:val="24"/>
                <w:szCs w:val="24"/>
              </w:rPr>
              <w:t>密码复杂度</w:t>
            </w:r>
            <w:r>
              <w:rPr>
                <w:rFonts w:hint="eastAsia" w:ascii="宋体" w:hAnsi="宋体" w:eastAsia="宋体" w:cs="宋体"/>
                <w:sz w:val="24"/>
                <w:szCs w:val="24"/>
                <w:lang w:val="en-US" w:eastAsia="zh-CN"/>
              </w:rPr>
              <w:t>和登录验证项进行</w:t>
            </w:r>
            <w:r>
              <w:rPr>
                <w:rFonts w:hint="eastAsia" w:ascii="宋体" w:hAnsi="宋体" w:eastAsia="宋体" w:cs="宋体"/>
                <w:sz w:val="24"/>
                <w:szCs w:val="24"/>
              </w:rPr>
              <w:t>设置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可以设置密码密码需要包含数字、字母、特殊符号、大小写、以及密码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登录验证项</w:t>
            </w:r>
            <w:r>
              <w:rPr>
                <w:rFonts w:hint="eastAsia" w:ascii="宋体" w:hAnsi="宋体" w:eastAsia="宋体" w:cs="宋体"/>
                <w:sz w:val="24"/>
                <w:szCs w:val="24"/>
              </w:rPr>
              <w:t>设置</w:t>
            </w:r>
            <w:r>
              <w:rPr>
                <w:rFonts w:hint="eastAsia" w:ascii="宋体" w:hAnsi="宋体" w:eastAsia="宋体" w:cs="宋体"/>
                <w:sz w:val="24"/>
                <w:szCs w:val="24"/>
                <w:lang w:val="en-US" w:eastAsia="zh-CN"/>
              </w:rPr>
              <w:t>可以设置是否绑定手机号、第一次登录校验姓名、手机号，以及设置是否禁止一共账号多人登录、页面超时自动退出、登录失败次数设置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并可以设置在登录页是否展示APP下载二维码。</w:t>
            </w:r>
          </w:p>
          <w:p>
            <w:pPr>
              <w:bidi w:val="0"/>
              <w:spacing w:line="360" w:lineRule="auto"/>
              <w:rPr>
                <w:rFonts w:hint="eastAsia" w:ascii="宋体" w:hAnsi="宋体" w:eastAsia="宋体" w:cs="宋体"/>
                <w:sz w:val="24"/>
                <w:szCs w:val="24"/>
              </w:rPr>
            </w:pPr>
            <w:r>
              <w:rPr>
                <w:rFonts w:hint="eastAsia" w:ascii="宋体" w:hAnsi="宋体" w:eastAsia="宋体" w:cs="宋体"/>
                <w:color w:val="auto"/>
                <w:sz w:val="24"/>
                <w:szCs w:val="24"/>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审批管理</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管理员可以设置申请外传文件的审批流程，文件外发申 请后，管理员审批后，文件就进行内外网文件交换。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lang w:val="en-US"/>
              </w:rPr>
            </w:pPr>
            <w:r>
              <w:rPr>
                <w:rFonts w:hint="eastAsia" w:ascii="宋体" w:hAnsi="宋体" w:eastAsia="宋体" w:cs="宋体"/>
                <w:sz w:val="24"/>
                <w:szCs w:val="24"/>
                <w:lang w:val="en-US" w:eastAsia="zh-CN"/>
              </w:rPr>
              <w:t>▲水印管理</w:t>
            </w:r>
          </w:p>
        </w:tc>
        <w:tc>
          <w:tcPr>
            <w:tcW w:w="8375" w:type="dxa"/>
            <w:vAlign w:val="top"/>
          </w:tcPr>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管理员可以设置水印展示的内容，包括IP地址、用户名、时间，文件从内网传输到外网时，文件会自动加上水印。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审计功能</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产品支持对个人的文件交换行为进行审计，审计信息包括，上传时间、文件名称、用户名称，操作类型（上传文件、下载文件、删除文件、新建目录、共享文件、移动文件）、终端IP、终端位置（外网、内网）、终端名称等信息；且支持内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自动审批</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当用户申请外发时，系统会进行自动审批，所有申请操作都会形成审计记录保存。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sz w:val="24"/>
                <w:szCs w:val="24"/>
              </w:rPr>
              <w:t>★</w:t>
            </w:r>
            <w:r>
              <w:rPr>
                <w:rFonts w:hint="eastAsia" w:ascii="宋体" w:hAnsi="宋体" w:eastAsia="宋体" w:cs="宋体"/>
                <w:color w:val="auto"/>
                <w:sz w:val="24"/>
                <w:szCs w:val="24"/>
              </w:rPr>
              <w:t>日志管理</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传输日志：可查看用户传输的文件，可以进行下载和查询。</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上传日志：显示用户上传的所有文件，支持所有字段模糊查询</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下载日志：显示用户下传的所有文件，支持所有字段模糊查询</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邮件日志：可以查看到通过跨网邮件发送的文件、主题、接收人、发送人和状态。</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审批日志：审批日志中可以查看需要审批的文件的信息，审核状态也可以下载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可以查看该文件目前的审批状态。</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系统日志：可以查看哪个用户操作了那些功能，以及该用户登录的ip，和操作此功能的时间</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删除审计：在回收站中将文件删除，可以在删除审计中将文件恢复到原目录，删除审计中文件删除后，文件将无法恢复。</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统计管理</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用户统计：可以以列表，柱状图等形式展示用户上传文件数量信息。可导出列表。</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上传文件统计：可以以列表，柱状图等形式展示部门上传文件数量信息。可导出列表。</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审批信息统计：可以以列表，柱状图等形式展示所有用户和部门上传文件的审批信息，可导出列表。</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文件类型统计：可以以列表，柱状图等形式展示所有上传文件类型信息。可导出列表。</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每日上传统计：可以以列表，柱状图，饼状图三种形式展示近10天所有上传文件数量信息。可导出列表。</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通知通告</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sz w:val="24"/>
                <w:szCs w:val="24"/>
                <w:lang w:val="en-US" w:eastAsia="zh-CN"/>
              </w:rPr>
              <w:t>管理员可自定义通知通告信息，通知通告信息会在个人空间上方展示。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用户权限</w:t>
            </w:r>
          </w:p>
        </w:tc>
        <w:tc>
          <w:tcPr>
            <w:tcW w:w="8375" w:type="dxa"/>
            <w:vAlign w:val="top"/>
          </w:tcPr>
          <w:p>
            <w:pPr>
              <w:numPr>
                <w:ilvl w:val="0"/>
                <w:numId w:val="0"/>
              </w:numPr>
              <w:bidi w:val="0"/>
              <w:spacing w:line="360" w:lineRule="auto"/>
              <w:rPr>
                <w:rFonts w:hint="eastAsia" w:ascii="宋体" w:hAnsi="宋体" w:eastAsia="宋体" w:cs="宋体"/>
                <w:color w:val="auto"/>
                <w:sz w:val="24"/>
                <w:szCs w:val="24"/>
                <w:lang w:val="en-US"/>
              </w:rPr>
            </w:pPr>
            <w:r>
              <w:rPr>
                <w:rFonts w:hint="eastAsia" w:ascii="宋体" w:hAnsi="宋体" w:eastAsia="宋体" w:cs="宋体"/>
                <w:sz w:val="24"/>
                <w:szCs w:val="24"/>
                <w:lang w:val="en-US" w:eastAsia="zh-CN"/>
              </w:rPr>
              <w:t>权限设置可以针对用户进行公告空间使用权限的配置，包括：查看、预览、在线编辑、下载、上传、删除权限。也可以针对用户设置是否展示功能空间、是否展示回收站。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外链分享</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管理员设置某个部门具有分享外链权限，具有分享权限的内部人员文件所有者需通过生成Web链接的方式将文件或文件夹分享给外部人员，并设置链接的有效期，外部人员可以访问链接和密码验证来获取文件；可配置邮件平台通知被分享外链的人员去下载；（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rPr>
              <w:t>回收站机制</w:t>
            </w:r>
          </w:p>
        </w:tc>
        <w:tc>
          <w:tcPr>
            <w:tcW w:w="8375" w:type="dxa"/>
            <w:vAlign w:val="top"/>
          </w:tcPr>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用户删除的文件会进入回收站中，回收站的文件删除掉后，用户的个人空间会释放掉，文件信息会进入删除审计中，删除审计中的文件默认保存六个月，管理员可以对于保存时间进行设置，可以将删除审计中的文件下载，支持在线预览。</w:t>
            </w:r>
            <w:r>
              <w:rPr>
                <w:rFonts w:hint="eastAsia" w:ascii="宋体" w:hAnsi="宋体" w:eastAsia="宋体" w:cs="宋体"/>
                <w:color w:val="auto"/>
                <w:sz w:val="24"/>
                <w:szCs w:val="24"/>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统计报表</w:t>
            </w:r>
          </w:p>
        </w:tc>
        <w:tc>
          <w:tcPr>
            <w:tcW w:w="8375" w:type="dxa"/>
            <w:vAlign w:val="top"/>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系统可以生成相关的统计报表，包括文件传输报表、管理员审批报表、传输文件信息报表等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快捷登录</w:t>
            </w:r>
          </w:p>
        </w:tc>
        <w:tc>
          <w:tcPr>
            <w:tcW w:w="8375"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用户可以将账号与微信绑定，实现通过微信扫码登录系统。（提供截图证明）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数据防泄漏</w:t>
            </w:r>
          </w:p>
        </w:tc>
        <w:tc>
          <w:tcPr>
            <w:tcW w:w="8375"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系统具备数据防泄漏功能，内置对于身份证号、银行卡号等多种检测规则，用户传输文件时，系统会对于文件进行检测，含有敏感信息的文件将不能外传。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7" w:type="dxa"/>
            <w:vAlign w:val="center"/>
          </w:tcPr>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资质要求</w:t>
            </w:r>
          </w:p>
        </w:tc>
        <w:tc>
          <w:tcPr>
            <w:tcW w:w="8375" w:type="dxa"/>
            <w:vAlign w:val="center"/>
          </w:tcPr>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软件著作权、软件产品登记证书、公安部颁发的网络安全产品认证证书、CCC证书（提供相关证明）</w:t>
            </w:r>
          </w:p>
        </w:tc>
      </w:tr>
    </w:tbl>
    <w:p>
      <w:pP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说明：</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为重要参数，不满足作无效投标处理。</w:t>
      </w:r>
    </w:p>
    <w:p>
      <w:pPr>
        <w:rPr>
          <w:rFonts w:hint="eastAsia" w:ascii="宋体" w:hAnsi="宋体" w:eastAsia="宋体" w:cs="宋体"/>
          <w:sz w:val="24"/>
          <w:szCs w:val="24"/>
        </w:rPr>
      </w:pPr>
    </w:p>
    <w:p>
      <w:pPr>
        <w:pStyle w:val="6"/>
        <w:numPr>
          <w:ilvl w:val="0"/>
          <w:numId w:val="0"/>
        </w:numPr>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三、商务条款</w:t>
      </w:r>
    </w:p>
    <w:tbl>
      <w:tblPr>
        <w:tblStyle w:val="70"/>
        <w:tblW w:w="9900" w:type="dxa"/>
        <w:tblInd w:w="17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0"/>
        <w:gridCol w:w="1862"/>
        <w:gridCol w:w="7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19" w:hRule="atLeast"/>
        </w:trPr>
        <w:tc>
          <w:tcPr>
            <w:tcW w:w="800" w:type="dxa"/>
            <w:vAlign w:val="center"/>
          </w:tcPr>
          <w:p>
            <w:pPr>
              <w:pStyle w:val="313"/>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62" w:type="dxa"/>
            <w:vAlign w:val="center"/>
          </w:tcPr>
          <w:p>
            <w:pPr>
              <w:pStyle w:val="313"/>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商务要求名称</w:t>
            </w:r>
          </w:p>
        </w:tc>
        <w:tc>
          <w:tcPr>
            <w:tcW w:w="7238" w:type="dxa"/>
            <w:vAlign w:val="center"/>
          </w:tcPr>
          <w:p>
            <w:pPr>
              <w:pStyle w:val="313"/>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商务要求内容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0" w:type="dxa"/>
            <w:vAlign w:val="center"/>
          </w:tcPr>
          <w:p>
            <w:pPr>
              <w:pStyle w:val="313"/>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62" w:type="dxa"/>
            <w:vAlign w:val="center"/>
          </w:tcPr>
          <w:p>
            <w:pPr>
              <w:pStyle w:val="313"/>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巡检要求</w:t>
            </w:r>
          </w:p>
        </w:tc>
        <w:tc>
          <w:tcPr>
            <w:tcW w:w="7238" w:type="dxa"/>
          </w:tcPr>
          <w:p>
            <w:pPr>
              <w:pStyle w:val="313"/>
              <w:spacing w:line="24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投标人每年对于所供应的产品巡检不少于4次，每次</w:t>
            </w:r>
            <w:r>
              <w:rPr>
                <w:rFonts w:hint="eastAsia" w:ascii="宋体" w:hAnsi="宋体" w:eastAsia="宋体" w:cs="宋体"/>
                <w:i w:val="0"/>
                <w:iCs w:val="0"/>
                <w:caps w:val="0"/>
                <w:color w:val="333333"/>
                <w:spacing w:val="0"/>
                <w:sz w:val="24"/>
                <w:szCs w:val="24"/>
                <w:shd w:val="clear" w:fill="FFFFFF"/>
              </w:rPr>
              <w:t>详细记录检查过程中发现的问题及其解决方案，确保每个问题都有详细的记录</w:t>
            </w:r>
            <w:r>
              <w:rPr>
                <w:rFonts w:hint="eastAsia" w:ascii="宋体" w:hAnsi="宋体" w:eastAsia="宋体" w:cs="宋体"/>
                <w:i w:val="0"/>
                <w:iCs w:val="0"/>
                <w:caps w:val="0"/>
                <w:color w:val="333333"/>
                <w:spacing w:val="0"/>
                <w:sz w:val="24"/>
                <w:szCs w:val="24"/>
                <w:shd w:val="clear" w:fill="FFFFFF"/>
                <w:lang w:val="en-US" w:eastAsia="zh-CN"/>
              </w:rPr>
              <w:t>并</w:t>
            </w:r>
            <w:r>
              <w:rPr>
                <w:rFonts w:hint="eastAsia" w:ascii="宋体" w:hAnsi="宋体" w:eastAsia="宋体" w:cs="宋体"/>
                <w:color w:val="000000"/>
                <w:sz w:val="24"/>
                <w:szCs w:val="24"/>
                <w:lang w:val="en-US" w:eastAsia="zh-CN"/>
              </w:rPr>
              <w:t>供应商提供巡检报告。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0" w:type="dxa"/>
            <w:vAlign w:val="center"/>
          </w:tcPr>
          <w:p>
            <w:pPr>
              <w:pStyle w:val="31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62" w:type="dxa"/>
            <w:vAlign w:val="center"/>
          </w:tcPr>
          <w:p>
            <w:pPr>
              <w:pStyle w:val="31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售后服务响应时间</w:t>
            </w:r>
          </w:p>
        </w:tc>
        <w:tc>
          <w:tcPr>
            <w:tcW w:w="7238" w:type="dxa"/>
          </w:tcPr>
          <w:p>
            <w:pPr>
              <w:pStyle w:val="313"/>
              <w:jc w:val="left"/>
              <w:rPr>
                <w:rFonts w:hint="eastAsia" w:ascii="宋体" w:hAnsi="宋体" w:eastAsia="宋体" w:cs="宋体"/>
                <w:sz w:val="24"/>
                <w:szCs w:val="24"/>
              </w:rPr>
            </w:pPr>
            <w:r>
              <w:rPr>
                <w:rFonts w:hint="eastAsia" w:ascii="宋体" w:hAnsi="宋体" w:eastAsia="宋体" w:cs="宋体"/>
                <w:sz w:val="24"/>
                <w:szCs w:val="24"/>
              </w:rPr>
              <w:t>对于</w:t>
            </w:r>
            <w:r>
              <w:rPr>
                <w:rFonts w:hint="eastAsia" w:ascii="宋体" w:hAnsi="宋体" w:eastAsia="宋体" w:cs="宋体"/>
                <w:sz w:val="24"/>
                <w:szCs w:val="24"/>
                <w:lang w:val="en-US" w:eastAsia="zh-CN"/>
              </w:rPr>
              <w:t>招标人</w:t>
            </w:r>
            <w:r>
              <w:rPr>
                <w:rFonts w:hint="eastAsia" w:ascii="宋体" w:hAnsi="宋体" w:eastAsia="宋体" w:cs="宋体"/>
                <w:sz w:val="24"/>
                <w:szCs w:val="24"/>
              </w:rPr>
              <w:t>的咨询和投诉，应在 1 小时内给予初步回复。对于一般问题，应在 24 小时内解决并反馈给客户。对于复杂问题，</w:t>
            </w:r>
            <w:r>
              <w:rPr>
                <w:rFonts w:hint="eastAsia" w:ascii="宋体" w:hAnsi="宋体" w:eastAsia="宋体" w:cs="宋体"/>
                <w:sz w:val="24"/>
                <w:szCs w:val="24"/>
                <w:lang w:val="en-US" w:eastAsia="zh-CN"/>
              </w:rPr>
              <w:t>派驻工程师现场解决问题，</w:t>
            </w:r>
            <w:r>
              <w:rPr>
                <w:rFonts w:hint="eastAsia" w:ascii="宋体" w:hAnsi="宋体" w:eastAsia="宋体" w:cs="宋体"/>
                <w:sz w:val="24"/>
                <w:szCs w:val="24"/>
              </w:rPr>
              <w:t>应在 48 小时内提供解决方案，并持续跟进直至问题完全解决。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00" w:type="dxa"/>
            <w:vAlign w:val="center"/>
          </w:tcPr>
          <w:p>
            <w:pPr>
              <w:pStyle w:val="31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62" w:type="dxa"/>
            <w:vAlign w:val="center"/>
          </w:tcPr>
          <w:p>
            <w:pPr>
              <w:pStyle w:val="31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培训要求</w:t>
            </w:r>
          </w:p>
        </w:tc>
        <w:tc>
          <w:tcPr>
            <w:tcW w:w="7238" w:type="dxa"/>
          </w:tcPr>
          <w:p>
            <w:pPr>
              <w:pStyle w:val="313"/>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rPr>
              <w:t>投标人</w:t>
            </w:r>
            <w:r>
              <w:rPr>
                <w:rFonts w:hint="eastAsia" w:ascii="宋体" w:hAnsi="宋体" w:eastAsia="宋体" w:cs="宋体"/>
                <w:sz w:val="24"/>
                <w:szCs w:val="24"/>
              </w:rPr>
              <w:t>在项目实施开始前应提出全面、详细的培训计划，包括但不限于培训课程、培训时间、地点、授课老师等。须针对医院管理人员、业务系统操作人员及系统管理人员等培训对象，制定有针对性的课程内容。乙方须为所有被培训人员提供培训用文字资料和讲义等相关用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922" w:hRule="atLeast"/>
        </w:trPr>
        <w:tc>
          <w:tcPr>
            <w:tcW w:w="800" w:type="dxa"/>
            <w:vAlign w:val="center"/>
          </w:tcPr>
          <w:p>
            <w:pPr>
              <w:pStyle w:val="313"/>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862" w:type="dxa"/>
            <w:vAlign w:val="center"/>
          </w:tcPr>
          <w:p>
            <w:pPr>
              <w:pStyle w:val="31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质保要求</w:t>
            </w:r>
          </w:p>
        </w:tc>
        <w:tc>
          <w:tcPr>
            <w:tcW w:w="7238" w:type="dxa"/>
          </w:tcPr>
          <w:p>
            <w:pPr>
              <w:pStyle w:val="313"/>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须自本项目验收合格之日起，在三年质保期内免费提供相关服务、产品设备质保服务以及承担由此而产生的一切费用。</w:t>
            </w:r>
          </w:p>
        </w:tc>
      </w:tr>
    </w:tbl>
    <w:p>
      <w:pPr>
        <w:pStyle w:val="6"/>
        <w:numPr>
          <w:ilvl w:val="0"/>
          <w:numId w:val="0"/>
        </w:numPr>
        <w:spacing w:line="360" w:lineRule="auto"/>
        <w:jc w:val="both"/>
        <w:rPr>
          <w:rFonts w:hint="eastAsia" w:ascii="Times New Roman" w:hAnsi="Times New Roman" w:eastAsia="宋体" w:cs="宋体"/>
          <w:b/>
          <w:bCs/>
          <w:sz w:val="24"/>
          <w:szCs w:val="24"/>
          <w:lang w:eastAsia="zh-CN"/>
        </w:rPr>
      </w:pPr>
    </w:p>
    <w:p>
      <w:pPr>
        <w:pStyle w:val="6"/>
        <w:numPr>
          <w:ilvl w:val="0"/>
          <w:numId w:val="7"/>
        </w:numPr>
        <w:spacing w:line="360" w:lineRule="auto"/>
        <w:ind w:firstLine="482" w:firstLineChars="200"/>
        <w:jc w:val="both"/>
        <w:rPr>
          <w:rFonts w:hint="eastAsia" w:ascii="Times New Roman" w:hAnsi="Times New Roman" w:eastAsia="宋体" w:cs="宋体"/>
          <w:b/>
          <w:bCs/>
          <w:sz w:val="24"/>
          <w:szCs w:val="24"/>
          <w:highlight w:val="none"/>
          <w:lang w:eastAsia="zh-CN"/>
        </w:rPr>
      </w:pPr>
      <w:r>
        <w:rPr>
          <w:rFonts w:hint="eastAsia" w:ascii="宋体" w:hAnsi="宋体" w:eastAsia="宋体" w:cs="宋体"/>
          <w:color w:val="auto"/>
          <w:sz w:val="24"/>
          <w:szCs w:val="24"/>
          <w:highlight w:val="none"/>
          <w:lang w:val="en-US" w:eastAsia="zh-CN"/>
        </w:rPr>
        <w:t>合同履行期限</w:t>
      </w:r>
    </w:p>
    <w:p>
      <w:pPr>
        <w:pStyle w:val="6"/>
        <w:numPr>
          <w:ilvl w:val="0"/>
          <w:numId w:val="0"/>
        </w:numPr>
        <w:spacing w:line="360" w:lineRule="auto"/>
        <w:ind w:firstLine="480" w:firstLineChars="200"/>
        <w:jc w:val="both"/>
        <w:rPr>
          <w:rFonts w:hint="eastAsia" w:ascii="Times New Roman" w:hAnsi="Times New Roman" w:eastAsia="宋体" w:cs="宋体"/>
          <w:b w:val="0"/>
          <w:bCs w:val="0"/>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Times New Roman" w:hAnsi="Times New Roman" w:eastAsia="宋体" w:cs="宋体"/>
          <w:b w:val="0"/>
          <w:bCs w:val="0"/>
          <w:sz w:val="24"/>
          <w:szCs w:val="24"/>
          <w:highlight w:val="none"/>
          <w:lang w:val="en-US" w:eastAsia="zh-CN"/>
        </w:rPr>
        <w:t>合同签订之日起</w:t>
      </w:r>
      <w:r>
        <w:rPr>
          <w:rFonts w:hint="eastAsia" w:eastAsia="宋体" w:cs="宋体"/>
          <w:b w:val="0"/>
          <w:bCs w:val="0"/>
          <w:sz w:val="24"/>
          <w:szCs w:val="24"/>
          <w:highlight w:val="none"/>
          <w:lang w:val="en-US" w:eastAsia="zh-CN"/>
        </w:rPr>
        <w:t>30个工作日</w:t>
      </w:r>
      <w:r>
        <w:rPr>
          <w:rFonts w:hint="eastAsia" w:ascii="Times New Roman" w:hAnsi="Times New Roman" w:eastAsia="宋体" w:cs="宋体"/>
          <w:b w:val="0"/>
          <w:bCs w:val="0"/>
          <w:sz w:val="24"/>
          <w:szCs w:val="24"/>
          <w:highlight w:val="none"/>
          <w:lang w:val="en-US" w:eastAsia="zh-CN"/>
        </w:rPr>
        <w:t>内完成安装调试</w:t>
      </w:r>
      <w:r>
        <w:rPr>
          <w:rFonts w:hint="eastAsia" w:ascii="Times New Roman" w:hAnsi="Times New Roman" w:eastAsia="宋体" w:cs="宋体"/>
          <w:b w:val="0"/>
          <w:bCs w:val="0"/>
          <w:sz w:val="24"/>
          <w:szCs w:val="24"/>
          <w:highlight w:val="none"/>
          <w:lang w:eastAsia="zh-CN"/>
        </w:rPr>
        <w:t>。</w:t>
      </w:r>
    </w:p>
    <w:p>
      <w:pPr>
        <w:spacing w:line="360" w:lineRule="auto"/>
        <w:ind w:firstLine="482" w:firstLineChars="200"/>
        <w:outlineLvl w:val="1"/>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lang w:val="en-US" w:eastAsia="zh-CN"/>
        </w:rPr>
        <w:t>五、</w:t>
      </w:r>
      <w:r>
        <w:rPr>
          <w:rFonts w:hint="eastAsia" w:ascii="Times New Roman" w:hAnsi="Times New Roman" w:eastAsia="宋体" w:cs="宋体"/>
          <w:b/>
          <w:bCs/>
          <w:sz w:val="24"/>
          <w:szCs w:val="24"/>
          <w:highlight w:val="none"/>
        </w:rPr>
        <w:t>项目款支付：</w:t>
      </w:r>
    </w:p>
    <w:p>
      <w:pPr>
        <w:numPr>
          <w:ilvl w:val="0"/>
          <w:numId w:val="0"/>
        </w:numPr>
        <w:spacing w:line="360" w:lineRule="auto"/>
        <w:ind w:firstLine="482" w:firstLineChars="200"/>
        <w:rPr>
          <w:rFonts w:hint="eastAsia" w:ascii="宋体" w:hAnsi="宋体" w:eastAsia="宋体" w:cs="宋体"/>
          <w:color w:val="auto"/>
          <w:sz w:val="24"/>
          <w:szCs w:val="24"/>
          <w:highlight w:val="none"/>
        </w:rPr>
      </w:pPr>
      <w:r>
        <w:rPr>
          <w:rFonts w:hint="eastAsia" w:ascii="Times New Roman" w:hAnsi="Times New Roman" w:eastAsia="宋体" w:cs="宋体"/>
          <w:b/>
          <w:bCs/>
          <w:sz w:val="24"/>
          <w:szCs w:val="24"/>
          <w:highlight w:val="none"/>
        </w:rPr>
        <w:t>1</w:t>
      </w:r>
      <w:bookmarkStart w:id="15" w:name="_Hlk84812113"/>
      <w:bookmarkStart w:id="16" w:name="_Hlk119363931"/>
      <w:r>
        <w:rPr>
          <w:rFonts w:hint="eastAsia" w:ascii="Times New Roman" w:hAnsi="Times New Roman" w:eastAsia="宋体" w:cs="宋体"/>
          <w:b/>
          <w:bCs/>
          <w:sz w:val="24"/>
          <w:szCs w:val="24"/>
          <w:highlight w:val="none"/>
          <w:lang w:eastAsia="zh-CN"/>
        </w:rPr>
        <w:t>、</w:t>
      </w:r>
      <w:r>
        <w:rPr>
          <w:rFonts w:hint="eastAsia" w:ascii="宋体" w:hAnsi="宋体" w:eastAsia="宋体" w:cs="宋体"/>
          <w:color w:val="auto"/>
          <w:sz w:val="24"/>
          <w:szCs w:val="24"/>
          <w:highlight w:val="none"/>
        </w:rPr>
        <w:t>合同签订生效</w:t>
      </w:r>
      <w:bookmarkStart w:id="17" w:name="_Hlk164045350"/>
      <w:r>
        <w:rPr>
          <w:rFonts w:hint="eastAsia" w:ascii="宋体" w:hAnsi="宋体" w:eastAsia="宋体" w:cs="宋体"/>
          <w:color w:val="auto"/>
          <w:sz w:val="24"/>
          <w:szCs w:val="24"/>
          <w:highlight w:val="none"/>
          <w:lang w:val="en-US" w:eastAsia="zh-CN"/>
        </w:rPr>
        <w:t>至合同履约到期完成验收后</w:t>
      </w:r>
      <w:r>
        <w:rPr>
          <w:rFonts w:hint="eastAsia" w:ascii="宋体" w:hAnsi="宋体" w:eastAsia="宋体" w:cs="宋体"/>
          <w:color w:val="auto"/>
          <w:sz w:val="24"/>
          <w:szCs w:val="24"/>
          <w:highlight w:val="none"/>
        </w:rPr>
        <w:t>，采购人收到</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合格发票后的15日内，支付合同价款的</w:t>
      </w:r>
      <w:r>
        <w:rPr>
          <w:rFonts w:hint="eastAsia" w:ascii="宋体" w:hAnsi="宋体" w:eastAsia="宋体" w:cs="宋体"/>
          <w:color w:val="auto"/>
          <w:sz w:val="24"/>
          <w:szCs w:val="24"/>
          <w:highlight w:val="none"/>
          <w:lang w:val="en-US" w:eastAsia="zh-CN"/>
        </w:rPr>
        <w:t>95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验收之日起一年后，支付剩余</w:t>
      </w:r>
      <w:r>
        <w:rPr>
          <w:rFonts w:hint="eastAsia" w:ascii="宋体" w:hAnsi="宋体" w:eastAsia="宋体" w:cs="宋体"/>
          <w:color w:val="auto"/>
          <w:sz w:val="24"/>
          <w:szCs w:val="24"/>
          <w:highlight w:val="none"/>
        </w:rPr>
        <w:t>合同价款</w:t>
      </w:r>
      <w:r>
        <w:rPr>
          <w:rFonts w:hint="eastAsia" w:ascii="宋体" w:hAnsi="宋体" w:eastAsia="宋体" w:cs="宋体"/>
          <w:color w:val="auto"/>
          <w:sz w:val="24"/>
          <w:szCs w:val="24"/>
          <w:highlight w:val="none"/>
          <w:lang w:val="en-US" w:eastAsia="zh-CN"/>
        </w:rPr>
        <w:t>的5%，合同价款支付完毕</w:t>
      </w:r>
      <w:r>
        <w:rPr>
          <w:rFonts w:hint="eastAsia" w:ascii="宋体" w:hAnsi="宋体" w:eastAsia="宋体" w:cs="宋体"/>
          <w:color w:val="auto"/>
          <w:sz w:val="24"/>
          <w:szCs w:val="24"/>
          <w:highlight w:val="none"/>
          <w:lang w:eastAsia="zh-CN"/>
        </w:rPr>
        <w:t>。</w:t>
      </w:r>
      <w:bookmarkEnd w:id="15"/>
      <w:bookmarkEnd w:id="16"/>
      <w:bookmarkEnd w:id="17"/>
    </w:p>
    <w:p>
      <w:pPr>
        <w:numPr>
          <w:ilvl w:val="0"/>
          <w:numId w:val="0"/>
        </w:numPr>
        <w:spacing w:line="360" w:lineRule="auto"/>
        <w:ind w:firstLine="480" w:firstLineChars="200"/>
        <w:rPr>
          <w:rFonts w:hint="eastAsia" w:ascii="宋体" w:hAnsi="宋体" w:eastAsia="宋体" w:cs="宋体"/>
          <w:color w:val="auto"/>
          <w:sz w:val="24"/>
          <w:szCs w:val="24"/>
          <w:highlight w:val="none"/>
        </w:rPr>
        <w:sectPr>
          <w:pgSz w:w="11906" w:h="16838"/>
          <w:pgMar w:top="851" w:right="851" w:bottom="851" w:left="1134" w:header="454" w:footer="454" w:gutter="0"/>
          <w:cols w:space="720" w:num="1"/>
          <w:titlePg/>
          <w:docGrid w:linePitch="380" w:charSpace="-5735"/>
        </w:sectPr>
      </w:pPr>
      <w:bookmarkStart w:id="18" w:name="_Toc13543213"/>
    </w:p>
    <w:p>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第四章</w:t>
      </w:r>
      <w:r>
        <w:rPr>
          <w:rFonts w:ascii="Times New Roman" w:hAnsi="Times New Roman" w:eastAsia="宋体" w:cs="宋体"/>
          <w:b/>
          <w:bCs/>
          <w:w w:val="80"/>
          <w:sz w:val="36"/>
          <w:szCs w:val="36"/>
        </w:rPr>
        <w:t xml:space="preserve">  </w:t>
      </w:r>
      <w:bookmarkStart w:id="19" w:name="_Toc182848996"/>
      <w:r>
        <w:rPr>
          <w:rFonts w:hint="eastAsia" w:ascii="Times New Roman" w:hAnsi="Times New Roman" w:eastAsia="宋体" w:cs="宋体"/>
          <w:b/>
          <w:bCs/>
          <w:w w:val="80"/>
          <w:sz w:val="36"/>
          <w:szCs w:val="36"/>
        </w:rPr>
        <w:t>评标程序和方法</w:t>
      </w:r>
    </w:p>
    <w:bookmarkEnd w:id="19"/>
    <w:p>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采购人</w:t>
      </w:r>
      <w:r>
        <w:rPr>
          <w:rFonts w:hint="eastAsia" w:ascii="Times New Roman" w:hAnsi="Times New Roman" w:eastAsia="宋体" w:cs="宋体"/>
          <w:b/>
          <w:bCs/>
          <w:sz w:val="24"/>
          <w:szCs w:val="24"/>
        </w:rPr>
        <w:t>委托招标代理机构组织招标</w:t>
      </w:r>
    </w:p>
    <w:p>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依法成立评标委员会，评标委员会由</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代表和评审专家组成，成员人数为</w:t>
      </w:r>
      <w:r>
        <w:rPr>
          <w:rFonts w:hint="eastAsia" w:ascii="Times New Roman" w:hAnsi="Times New Roman" w:eastAsia="宋体" w:cs="Times New Roman"/>
          <w:b/>
          <w:bCs/>
          <w:sz w:val="24"/>
          <w:szCs w:val="24"/>
          <w:lang w:val="en-US" w:eastAsia="zh-CN"/>
        </w:rPr>
        <w:t>5</w:t>
      </w:r>
      <w:r>
        <w:rPr>
          <w:rFonts w:hint="eastAsia" w:ascii="Times New Roman" w:hAnsi="Times New Roman" w:eastAsia="宋体" w:cs="宋体"/>
          <w:sz w:val="24"/>
          <w:szCs w:val="24"/>
        </w:rPr>
        <w:t>人以上单数。</w:t>
      </w:r>
    </w:p>
    <w:p>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投标人的法定代表人或被委托受权人须持身份证准时参加投标会。</w:t>
      </w:r>
    </w:p>
    <w:p>
      <w:pPr>
        <w:spacing w:line="420" w:lineRule="exact"/>
        <w:ind w:firstLine="487" w:firstLineChars="202"/>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二、开标</w:t>
      </w:r>
    </w:p>
    <w:p>
      <w:pPr>
        <w:adjustRightInd w:val="0"/>
        <w:snapToGrid w:val="0"/>
        <w:spacing w:line="420" w:lineRule="exact"/>
        <w:ind w:firstLine="484" w:firstLineChars="202"/>
        <w:rPr>
          <w:rFonts w:ascii="Times New Roman" w:hAnsi="Times New Roman" w:eastAsia="宋体" w:cs="Times New Roman"/>
          <w:sz w:val="24"/>
          <w:szCs w:val="24"/>
        </w:rPr>
      </w:pPr>
      <w:bookmarkStart w:id="20" w:name="_Hlk45420790"/>
      <w:r>
        <w:rPr>
          <w:rFonts w:ascii="Times New Roman" w:hAnsi="Times New Roman" w:eastAsia="宋体" w:cs="Times New Roman"/>
          <w:sz w:val="24"/>
          <w:szCs w:val="24"/>
        </w:rPr>
        <w:t>1.</w:t>
      </w:r>
      <w:r>
        <w:rPr>
          <w:rFonts w:hint="eastAsia" w:ascii="Times New Roman" w:hAnsi="Times New Roman" w:eastAsia="宋体" w:cs="宋体"/>
          <w:sz w:val="24"/>
          <w:szCs w:val="24"/>
        </w:rPr>
        <w:t>投标人不足</w:t>
      </w:r>
      <w:r>
        <w:rPr>
          <w:rFonts w:ascii="Times New Roman" w:hAnsi="Times New Roman" w:eastAsia="宋体" w:cs="Times New Roman"/>
          <w:sz w:val="24"/>
          <w:szCs w:val="24"/>
        </w:rPr>
        <w:t>3</w:t>
      </w:r>
      <w:r>
        <w:rPr>
          <w:rFonts w:hint="eastAsia" w:ascii="Times New Roman" w:hAnsi="Times New Roman" w:eastAsia="宋体" w:cs="宋体"/>
          <w:sz w:val="24"/>
          <w:szCs w:val="24"/>
        </w:rPr>
        <w:t>家的，不得开标。</w:t>
      </w:r>
      <w:bookmarkEnd w:id="20"/>
    </w:p>
    <w:p>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开标时间：</w:t>
      </w:r>
      <w:r>
        <w:rPr>
          <w:rFonts w:ascii="Times New Roman" w:hAnsi="Times New Roman" w:eastAsia="宋体" w:cs="Times New Roman"/>
          <w:b/>
          <w:bCs/>
          <w:sz w:val="24"/>
          <w:szCs w:val="24"/>
          <w:u w:val="thick" w:color="FF0000"/>
        </w:rPr>
        <w:t>202</w:t>
      </w:r>
      <w:r>
        <w:rPr>
          <w:rFonts w:hint="eastAsia" w:ascii="Times New Roman" w:hAnsi="Times New Roman" w:eastAsia="宋体" w:cs="Times New Roman"/>
          <w:b/>
          <w:bCs/>
          <w:sz w:val="24"/>
          <w:szCs w:val="24"/>
          <w:u w:val="thick" w:color="FF0000"/>
          <w:lang w:val="en-US" w:eastAsia="zh-CN"/>
        </w:rPr>
        <w:t>5</w:t>
      </w:r>
      <w:r>
        <w:rPr>
          <w:rFonts w:ascii="Times New Roman" w:hAnsi="Times New Roman" w:eastAsia="宋体" w:cs="Times New Roman"/>
          <w:b/>
          <w:bCs/>
          <w:sz w:val="24"/>
          <w:szCs w:val="24"/>
          <w:u w:val="thick" w:color="FF0000"/>
        </w:rPr>
        <w:t>年</w:t>
      </w:r>
      <w:r>
        <w:rPr>
          <w:rFonts w:hint="eastAsia" w:ascii="Times New Roman" w:hAnsi="Times New Roman" w:eastAsia="宋体" w:cs="Times New Roman"/>
          <w:b/>
          <w:bCs/>
          <w:sz w:val="24"/>
          <w:szCs w:val="24"/>
          <w:u w:val="thick" w:color="FF0000"/>
          <w:lang w:val="en-US" w:eastAsia="zh-CN"/>
        </w:rPr>
        <w:t xml:space="preserve"> 3</w:t>
      </w:r>
      <w:r>
        <w:rPr>
          <w:rFonts w:ascii="Times New Roman" w:hAnsi="Times New Roman" w:eastAsia="宋体" w:cs="Times New Roman"/>
          <w:b/>
          <w:bCs/>
          <w:sz w:val="24"/>
          <w:szCs w:val="24"/>
          <w:u w:val="thick" w:color="FF0000"/>
        </w:rPr>
        <w:t>月</w:t>
      </w:r>
      <w:r>
        <w:rPr>
          <w:rFonts w:hint="eastAsia" w:ascii="Times New Roman" w:hAnsi="Times New Roman" w:eastAsia="宋体" w:cs="Times New Roman"/>
          <w:b/>
          <w:bCs/>
          <w:sz w:val="24"/>
          <w:szCs w:val="24"/>
          <w:u w:val="thick" w:color="FF0000"/>
          <w:lang w:val="en-US" w:eastAsia="zh-CN"/>
        </w:rPr>
        <w:t>12</w:t>
      </w:r>
      <w:r>
        <w:rPr>
          <w:rFonts w:hint="eastAsia" w:ascii="Times New Roman" w:hAnsi="Times New Roman" w:eastAsia="宋体" w:cs="Times New Roman"/>
          <w:b/>
          <w:bCs/>
          <w:sz w:val="24"/>
          <w:szCs w:val="24"/>
          <w:u w:val="thick" w:color="FF0000"/>
          <w:lang w:eastAsia="zh-CN"/>
        </w:rPr>
        <w:t>日1</w:t>
      </w:r>
      <w:r>
        <w:rPr>
          <w:rFonts w:hint="eastAsia" w:ascii="Times New Roman" w:hAnsi="Times New Roman" w:eastAsia="宋体" w:cs="Times New Roman"/>
          <w:b/>
          <w:bCs/>
          <w:sz w:val="24"/>
          <w:szCs w:val="24"/>
          <w:u w:val="thick" w:color="FF0000"/>
          <w:lang w:val="en-US" w:eastAsia="zh-CN"/>
        </w:rPr>
        <w:t>4</w:t>
      </w:r>
      <w:r>
        <w:rPr>
          <w:rFonts w:hint="eastAsia" w:ascii="Times New Roman" w:hAnsi="Times New Roman" w:eastAsia="宋体" w:cs="Times New Roman"/>
          <w:b/>
          <w:bCs/>
          <w:sz w:val="24"/>
          <w:szCs w:val="24"/>
          <w:u w:val="thick" w:color="FF0000"/>
          <w:lang w:eastAsia="zh-CN"/>
        </w:rPr>
        <w:t>时</w:t>
      </w:r>
      <w:r>
        <w:rPr>
          <w:rFonts w:hint="eastAsia" w:ascii="Times New Roman" w:hAnsi="Times New Roman" w:eastAsia="宋体" w:cs="宋体"/>
          <w:b/>
          <w:bCs/>
          <w:sz w:val="24"/>
          <w:szCs w:val="24"/>
          <w:u w:val="thick" w:color="FF0000"/>
        </w:rPr>
        <w:t>整</w:t>
      </w:r>
      <w:r>
        <w:rPr>
          <w:rFonts w:hint="eastAsia" w:ascii="Times New Roman" w:hAnsi="Times New Roman" w:eastAsia="宋体" w:cs="宋体"/>
          <w:b/>
          <w:bCs/>
          <w:sz w:val="24"/>
          <w:szCs w:val="24"/>
        </w:rPr>
        <w:t>；</w:t>
      </w:r>
      <w:r>
        <w:rPr>
          <w:rFonts w:hint="eastAsia" w:ascii="Times New Roman" w:hAnsi="Times New Roman" w:eastAsia="宋体" w:cs="宋体"/>
          <w:sz w:val="24"/>
          <w:szCs w:val="24"/>
        </w:rPr>
        <w:t>开标地点：</w:t>
      </w:r>
      <w:r>
        <w:rPr>
          <w:rFonts w:hint="eastAsia" w:ascii="Times New Roman" w:hAnsi="Times New Roman" w:eastAsia="宋体" w:cs="宋体"/>
          <w:sz w:val="24"/>
          <w:szCs w:val="24"/>
          <w:lang w:eastAsia="zh-CN"/>
        </w:rPr>
        <w:t>南通市崇川区桃坞路2号友谊大厦10楼</w:t>
      </w:r>
      <w:r>
        <w:rPr>
          <w:rFonts w:hint="eastAsia" w:ascii="Times New Roman" w:hAnsi="Times New Roman" w:eastAsia="宋体" w:cs="宋体"/>
          <w:sz w:val="24"/>
          <w:szCs w:val="24"/>
        </w:rPr>
        <w:t>。</w:t>
      </w:r>
    </w:p>
    <w:p>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招标代理机构主持开标并记录，及时处理投标人代表提出的询问或回避申请。</w:t>
      </w:r>
    </w:p>
    <w:p>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开标后投标人不得撤回投标。</w:t>
      </w:r>
    </w:p>
    <w:p>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开标后，</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委托评标委员会根据招标文件载明的资格审查要求，对投标人的资格进行审查（含信用信息审查），合格的投标人进入评标，参与项目的技术标、价格标评审综合环节。</w:t>
      </w:r>
    </w:p>
    <w:p>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资格审查时间：</w:t>
      </w:r>
      <w:r>
        <w:rPr>
          <w:rFonts w:hint="eastAsia" w:ascii="Times New Roman" w:hAnsi="Times New Roman" w:eastAsia="宋体" w:cs="宋体"/>
          <w:b/>
          <w:bCs/>
          <w:sz w:val="24"/>
          <w:szCs w:val="24"/>
          <w:u w:val="thick" w:color="FF0000"/>
        </w:rPr>
        <w:t>开标后当即开始</w:t>
      </w:r>
      <w:r>
        <w:rPr>
          <w:rFonts w:hint="eastAsia" w:ascii="Times New Roman" w:hAnsi="Times New Roman" w:eastAsia="宋体" w:cs="宋体"/>
          <w:sz w:val="24"/>
          <w:szCs w:val="24"/>
        </w:rPr>
        <w:t>；资格审查地点：</w:t>
      </w:r>
      <w:r>
        <w:rPr>
          <w:rFonts w:hint="eastAsia" w:ascii="Times New Roman" w:hAnsi="Times New Roman" w:eastAsia="宋体" w:cs="宋体"/>
          <w:sz w:val="24"/>
          <w:szCs w:val="24"/>
          <w:lang w:eastAsia="zh-CN"/>
        </w:rPr>
        <w:t>南通市崇川区桃坞路2号友谊大厦10楼</w:t>
      </w:r>
      <w:r>
        <w:rPr>
          <w:rFonts w:hint="eastAsia" w:ascii="Times New Roman" w:hAnsi="Times New Roman" w:eastAsia="宋体" w:cs="宋体"/>
          <w:sz w:val="24"/>
          <w:szCs w:val="24"/>
        </w:rPr>
        <w:t>评标室。</w:t>
      </w:r>
    </w:p>
    <w:p>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资格审查中包含对投标人的信用记录进行审查，具体如下：</w:t>
      </w:r>
    </w:p>
    <w:p>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）投标人存在不良信用记录的，其投标将被认定为投标无效。</w:t>
      </w:r>
    </w:p>
    <w:p>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）招标代理机构统一登录</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“信用中国（</w:t>
      </w:r>
      <w:r>
        <w:rPr>
          <w:rFonts w:ascii="Times New Roman" w:hAnsi="Times New Roman" w:eastAsia="宋体" w:cs="Times New Roman"/>
          <w:sz w:val="24"/>
          <w:szCs w:val="24"/>
        </w:rPr>
        <w:t>www.creditchina.gov.cn</w:t>
      </w:r>
      <w:r>
        <w:rPr>
          <w:rFonts w:hint="eastAsia" w:ascii="Times New Roman" w:hAnsi="Times New Roman" w:eastAsia="宋体" w:cs="宋体"/>
          <w:sz w:val="24"/>
          <w:szCs w:val="24"/>
        </w:rPr>
        <w:t>）”网站，查询供应商的信用记录。</w:t>
      </w:r>
    </w:p>
    <w:p>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）不良信用记录指投标人在“信用中国（</w:t>
      </w:r>
      <w:r>
        <w:rPr>
          <w:rFonts w:ascii="Times New Roman" w:hAnsi="Times New Roman" w:eastAsia="宋体" w:cs="Times New Roman"/>
          <w:sz w:val="24"/>
          <w:szCs w:val="24"/>
        </w:rPr>
        <w:t>www.creditchina.gov.cn</w:t>
      </w:r>
      <w:r>
        <w:rPr>
          <w:rFonts w:hint="eastAsia" w:ascii="Times New Roman" w:hAnsi="Times New Roman" w:eastAsia="宋体" w:cs="宋体"/>
          <w:sz w:val="24"/>
          <w:szCs w:val="24"/>
        </w:rPr>
        <w:t>）”被列入：政府采购严重违法失信名单、失信被执行人、重大税收违法案件当事人名单，以及存在供应商因违法经营受到刑事处罚或者责令停产停业、吊销许可证或者执照、较大数额罚款等行政处罚记录。</w:t>
      </w:r>
    </w:p>
    <w:p>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或招标代理机构将在投标截止后</w:t>
      </w:r>
      <w:r>
        <w:rPr>
          <w:rFonts w:ascii="Times New Roman" w:hAnsi="Times New Roman" w:eastAsia="宋体" w:cs="Times New Roman"/>
          <w:sz w:val="24"/>
          <w:szCs w:val="24"/>
        </w:rPr>
        <w:t>1</w:t>
      </w:r>
      <w:r>
        <w:rPr>
          <w:rFonts w:hint="eastAsia" w:ascii="Times New Roman" w:hAnsi="Times New Roman" w:eastAsia="宋体" w:cs="宋体"/>
          <w:sz w:val="24"/>
          <w:szCs w:val="24"/>
        </w:rPr>
        <w:t>小时的时期内查询投标人的信用记录。</w:t>
      </w:r>
    </w:p>
    <w:p>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）查询及记录方式：</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或招标代理机构经办人将查询涉及的如网页、相关记录文件等打印、签字并存档备查。投标人不良信用记录以</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或招标代理机构查证查询核实的结果为准。</w:t>
      </w:r>
    </w:p>
    <w:p>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）在本招标文件规定的投标截止时间之后，涉有的查询网站信息或记录文件发生的任何变更均不再作为评标依据；投标人自行提供的与网站信息不一致的或其他证明材料亦不作为资格核对的依据。</w:t>
      </w:r>
    </w:p>
    <w:p>
      <w:pPr>
        <w:spacing w:line="420" w:lineRule="exact"/>
        <w:ind w:firstLine="487" w:firstLineChars="202"/>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三、评标</w:t>
      </w:r>
    </w:p>
    <w:p>
      <w:pPr>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（一）评标事项</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21" w:name="_Hlk45420967"/>
      <w:r>
        <w:rPr>
          <w:rFonts w:hint="eastAsia" w:ascii="Times New Roman" w:hAnsi="Times New Roman" w:eastAsia="宋体" w:cs="宋体"/>
          <w:sz w:val="24"/>
          <w:szCs w:val="24"/>
        </w:rPr>
        <w:t>符合资格要求的投标人不足</w:t>
      </w:r>
      <w:r>
        <w:rPr>
          <w:rFonts w:ascii="Times New Roman" w:hAnsi="Times New Roman" w:eastAsia="宋体" w:cs="Times New Roman"/>
          <w:sz w:val="24"/>
          <w:szCs w:val="24"/>
        </w:rPr>
        <w:t>3</w:t>
      </w:r>
      <w:r>
        <w:rPr>
          <w:rFonts w:hint="eastAsia" w:ascii="Times New Roman" w:hAnsi="Times New Roman" w:eastAsia="宋体" w:cs="宋体"/>
          <w:sz w:val="24"/>
          <w:szCs w:val="24"/>
        </w:rPr>
        <w:t>家的，不得评标</w:t>
      </w:r>
      <w:bookmarkEnd w:id="21"/>
      <w:r>
        <w:rPr>
          <w:rFonts w:hint="eastAsia" w:ascii="Times New Roman" w:hAnsi="Times New Roman" w:eastAsia="宋体" w:cs="宋体"/>
          <w:sz w:val="24"/>
          <w:szCs w:val="24"/>
        </w:rPr>
        <w:t>。</w:t>
      </w:r>
    </w:p>
    <w:p>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评标时间：</w:t>
      </w:r>
      <w:r>
        <w:rPr>
          <w:rFonts w:hint="eastAsia" w:ascii="Times New Roman" w:hAnsi="Times New Roman" w:eastAsia="宋体" w:cs="宋体"/>
          <w:b/>
          <w:bCs/>
          <w:sz w:val="24"/>
          <w:szCs w:val="24"/>
          <w:u w:val="thick" w:color="FF0000"/>
        </w:rPr>
        <w:t>资审后当即开始</w:t>
      </w:r>
      <w:r>
        <w:rPr>
          <w:rFonts w:hint="eastAsia" w:ascii="Times New Roman" w:hAnsi="Times New Roman" w:eastAsia="宋体" w:cs="宋体"/>
          <w:sz w:val="24"/>
          <w:szCs w:val="24"/>
        </w:rPr>
        <w:t>；评标地点：</w:t>
      </w:r>
      <w:r>
        <w:rPr>
          <w:rFonts w:hint="eastAsia" w:ascii="Times New Roman" w:hAnsi="Times New Roman" w:eastAsia="宋体" w:cs="宋体"/>
          <w:sz w:val="24"/>
          <w:szCs w:val="24"/>
          <w:lang w:eastAsia="zh-CN"/>
        </w:rPr>
        <w:t>南通市崇川区桃坞路2号友谊大厦10楼</w:t>
      </w:r>
      <w:r>
        <w:rPr>
          <w:rFonts w:hint="eastAsia" w:ascii="Times New Roman" w:hAnsi="Times New Roman" w:eastAsia="宋体" w:cs="宋体"/>
          <w:sz w:val="24"/>
          <w:szCs w:val="24"/>
        </w:rPr>
        <w:t>评标室，如有变动另行通知。</w:t>
      </w:r>
    </w:p>
    <w:p>
      <w:pPr>
        <w:adjustRightInd w:val="0"/>
        <w:snapToGrid w:val="0"/>
        <w:spacing w:line="420" w:lineRule="exact"/>
        <w:ind w:firstLine="484" w:firstLineChars="202"/>
        <w:rPr>
          <w:rFonts w:ascii="Times New Roman" w:hAnsi="Times New Roman" w:eastAsia="宋体" w:cs="Times New Roman"/>
          <w:sz w:val="24"/>
          <w:szCs w:val="24"/>
        </w:rPr>
      </w:pPr>
      <w:bookmarkStart w:id="22" w:name="_Hlk45421153"/>
      <w:r>
        <w:rPr>
          <w:rFonts w:ascii="Times New Roman" w:hAnsi="Times New Roman" w:eastAsia="宋体" w:cs="Times New Roman"/>
          <w:sz w:val="24"/>
          <w:szCs w:val="24"/>
        </w:rPr>
        <w:t>3.</w:t>
      </w:r>
      <w:r>
        <w:rPr>
          <w:rFonts w:hint="eastAsia" w:ascii="Times New Roman" w:hAnsi="Times New Roman" w:eastAsia="宋体" w:cs="宋体"/>
          <w:sz w:val="24"/>
          <w:szCs w:val="24"/>
        </w:rPr>
        <w:t>招标代理机构负责组织评标工作，并履行下列职责：</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）核对评审专家身份和</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代表授权函，对评审专家在采购活动中的职责履行情况予以记录，并及时将有关违法违规行为向有关监管部门报告。</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）宣布评标纪律。</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）公布投标人名单，告知评审专家应当回避的情形。</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）组织评标委员会推选评标组长，</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代表不得担任组长。</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）在评标期间采取必要的通讯管理措施，保证评标活动不受外界干扰；除</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代表、评标现场组织人员外，</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的其他工作人员以及与评标工作无关的人员不得进入评标现场。</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）根据评标委员会的要求介绍采购相关政策法规、招标文件。</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7</w:t>
      </w:r>
      <w:r>
        <w:rPr>
          <w:rFonts w:hint="eastAsia" w:ascii="Times New Roman" w:hAnsi="Times New Roman" w:eastAsia="宋体" w:cs="宋体"/>
          <w:sz w:val="24"/>
          <w:szCs w:val="24"/>
        </w:rPr>
        <w:t>）维护评标秩序，监督评标委员会依照招标文件规定的评标程序、方法和标准进行独立评审，及时制止和纠正</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代表、评审专家的倾向性言论或者违法违规行为；</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可以在评标前说明项目背景和采购需求，说明内容不得含有歧视性、倾向性意见，不得超出招标文件所述范围。说明应当提交书面材料，并随招标文件一并存档。</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8</w:t>
      </w:r>
      <w:r>
        <w:rPr>
          <w:rFonts w:hint="eastAsia" w:ascii="Times New Roman" w:hAnsi="Times New Roman" w:eastAsia="宋体" w:cs="宋体"/>
          <w:sz w:val="24"/>
          <w:szCs w:val="24"/>
        </w:rPr>
        <w:t>）核对评标结果，有下列规定情形的，要求评标委员会复核或者书面说明理由，评标委员会拒绝的，则予以书面记录并向本级财政部门报告：</w:t>
      </w:r>
    </w:p>
    <w:p>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分值汇总计算错误的；</w:t>
      </w:r>
    </w:p>
    <w:p>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分项评分超出评分标准范围的；</w:t>
      </w:r>
    </w:p>
    <w:p>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③</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评标委员会成员对客观评审因素评分不一致的；</w:t>
      </w:r>
    </w:p>
    <w:p>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④</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经评标委员会认定评分畸高、畸低的。</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9</w:t>
      </w:r>
      <w:r>
        <w:rPr>
          <w:rFonts w:hint="eastAsia" w:ascii="Times New Roman" w:hAnsi="Times New Roman" w:eastAsia="宋体" w:cs="宋体"/>
          <w:sz w:val="24"/>
          <w:szCs w:val="24"/>
        </w:rPr>
        <w:t>）处理与评标有关的其他事项。</w:t>
      </w:r>
    </w:p>
    <w:bookmarkEnd w:id="22"/>
    <w:p>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评标委员会负责具体评标事务：</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）评标委员会发现招标文件存在歧义、重大缺陷导致评标工作无法进行，或者招标文件内容违反国家有关强制性规定的，应当停止评标工作，与</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或者招标代理机构沟通并作书面记录。</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或者招标代理机构确认后，应当修改招标文件，重新组织招标活动。</w:t>
      </w:r>
    </w:p>
    <w:p>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评标委员会成员独立履行以下职责与义务：</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）遵纪守法，客观、公正、廉洁地履行职责；</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）审查合格投标人的投标文件是否实质性响应招标文件要求，并做出评价；</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）按照招标文件规定的评标办法和评标标准进行评标，对评审意见承担个人责任；</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）可以要求投标人对投标文件有关事项做出解释或澄清；</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）对评标过程和结果，以及投标人的商业秘密保密；</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）配合相关部门的投诉处理工作；</w:t>
      </w:r>
    </w:p>
    <w:p>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7</w:t>
      </w:r>
      <w:r>
        <w:rPr>
          <w:rFonts w:hint="eastAsia" w:ascii="Times New Roman" w:hAnsi="Times New Roman" w:eastAsia="宋体" w:cs="宋体"/>
          <w:sz w:val="24"/>
          <w:szCs w:val="24"/>
        </w:rPr>
        <w:t>）配合</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或招标代理机构答复投标人提出的质疑。</w:t>
      </w:r>
    </w:p>
    <w:p>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除</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代表、评标现场组织人员外，</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的其他工作人员以及与评标工作无关的人员不得进入评标现场；有关人员对评标情况以及在评标过程中获悉的国家秘密、商业秘密负有保密责任。</w:t>
      </w:r>
    </w:p>
    <w:p>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开标后直到公告项目中标结果发出中标通知书并授予中标人合同为止，凡属于评审、澄清、评价和比较投标的所有资料及有关授予合同等的相关信息，都不应向投标人或与评标无关的其他人泄露。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评审期间，合格投标人的投标文件仍有可能被评标委员会根据规定判为无效投标。</w:t>
      </w:r>
    </w:p>
    <w:p>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在投标文件的评审、澄清、评价和比较的过程中，投标人对</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和评标委员会成员有施加影响的任何行为，都将取消其投标资格。在授予合同的过程中，投标人对</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和评标委员会成员有施加影响的任何行为，都将取消其中标资格。</w:t>
      </w:r>
    </w:p>
    <w:p>
      <w:pPr>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（二）评标方法和程序</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评标委员会成员对合格投标人的投标文件进行符合性审查，检查合格投标人的技术标文件是否符合《符合性检查表》所列条件，对于不符合条件的将视作无效投标。</w:t>
      </w:r>
    </w:p>
    <w:p>
      <w:pPr>
        <w:adjustRightInd w:val="0"/>
        <w:snapToGrid w:val="0"/>
        <w:spacing w:line="420" w:lineRule="exact"/>
        <w:ind w:firstLine="484" w:firstLineChars="202"/>
        <w:rPr>
          <w:rFonts w:hint="eastAsia" w:ascii="微软雅黑" w:hAnsi="微软雅黑" w:eastAsia="微软雅黑" w:cs="Times New Roman"/>
          <w:sz w:val="21"/>
          <w:szCs w:val="21"/>
        </w:rPr>
      </w:pPr>
      <w:r>
        <w:rPr>
          <w:rFonts w:hint="eastAsia" w:ascii="Times New Roman" w:hAnsi="Times New Roman" w:eastAsia="宋体" w:cs="宋体"/>
          <w:sz w:val="24"/>
          <w:szCs w:val="24"/>
        </w:rPr>
        <w:t>符合性检查表：</w:t>
      </w:r>
    </w:p>
    <w:tbl>
      <w:tblPr>
        <w:tblStyle w:val="70"/>
        <w:tblW w:w="978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51" w:type="dxa"/>
            <w:vAlign w:val="center"/>
          </w:tcPr>
          <w:p>
            <w:pPr>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序号</w:t>
            </w:r>
          </w:p>
        </w:tc>
        <w:tc>
          <w:tcPr>
            <w:tcW w:w="8930" w:type="dxa"/>
          </w:tcPr>
          <w:p>
            <w:pPr>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完全符合下列所有条款的，投标文件方有效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1" w:type="dxa"/>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8930" w:type="dxa"/>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具备有效的投标函。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51" w:type="dxa"/>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8930" w:type="dxa"/>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投标文件由法定代表人或被委托受权人签字或盖章；投标文件加盖了法人、其他组织的公章。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851" w:type="dxa"/>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8930" w:type="dxa"/>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投标文件满足</w:t>
            </w:r>
            <w:r>
              <w:rPr>
                <w:rFonts w:ascii="Times New Roman" w:hAnsi="Times New Roman" w:eastAsia="宋体" w:cs="Times New Roman"/>
                <w:sz w:val="24"/>
                <w:szCs w:val="24"/>
              </w:rPr>
              <w:t>45</w:t>
            </w:r>
            <w:r>
              <w:rPr>
                <w:rFonts w:hint="eastAsia" w:ascii="Times New Roman" w:hAnsi="Times New Roman" w:eastAsia="宋体" w:cs="宋体"/>
                <w:sz w:val="24"/>
                <w:szCs w:val="24"/>
              </w:rPr>
              <w:t>个“日历天”的有效期。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51" w:type="dxa"/>
            <w:vAlign w:val="center"/>
          </w:tcPr>
          <w:p>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8930" w:type="dxa"/>
            <w:vAlign w:val="center"/>
          </w:tcPr>
          <w:p>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提供了技术响应文件，针对本项目的合同价款与</w:t>
            </w:r>
            <w:r>
              <w:rPr>
                <w:rFonts w:hint="eastAsia" w:ascii="Times New Roman" w:hAnsi="Times New Roman" w:eastAsia="宋体" w:cs="宋体"/>
                <w:sz w:val="24"/>
                <w:szCs w:val="24"/>
                <w:lang w:val="en-US" w:eastAsia="zh-CN"/>
              </w:rPr>
              <w:t>付款</w:t>
            </w:r>
            <w:r>
              <w:rPr>
                <w:rFonts w:hint="eastAsia" w:ascii="Times New Roman" w:hAnsi="Times New Roman" w:eastAsia="宋体" w:cs="宋体"/>
                <w:sz w:val="24"/>
                <w:szCs w:val="24"/>
              </w:rPr>
              <w:t>方式的要求，均实质性响应。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51" w:type="dxa"/>
            <w:vAlign w:val="center"/>
          </w:tcPr>
          <w:p>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备注</w:t>
            </w:r>
          </w:p>
        </w:tc>
        <w:tc>
          <w:tcPr>
            <w:tcW w:w="8930" w:type="dxa"/>
            <w:vAlign w:val="center"/>
          </w:tcPr>
          <w:p>
            <w:pPr>
              <w:spacing w:line="420" w:lineRule="exact"/>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）评标委员会分别对每一份投标文件依据上表所列条款进行检查。</w:t>
            </w:r>
          </w:p>
          <w:p>
            <w:pPr>
              <w:spacing w:line="420" w:lineRule="exact"/>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）投标文件不满足上述任意一条，将导致投标无效。</w:t>
            </w:r>
          </w:p>
        </w:tc>
      </w:tr>
    </w:tbl>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按照招标文件中规定的评标方法和标准，对符合性审查合格的投标文件进行商务和技术评估，综合比较与评价。</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本项目采用</w:t>
      </w:r>
      <w:r>
        <w:rPr>
          <w:rFonts w:ascii="Times New Roman" w:hAnsi="Times New Roman" w:eastAsia="宋体" w:cs="Times New Roman"/>
          <w:sz w:val="24"/>
          <w:szCs w:val="24"/>
          <w:u w:val="single"/>
        </w:rPr>
        <w:t xml:space="preserve">  </w:t>
      </w:r>
      <w:r>
        <w:rPr>
          <w:rFonts w:hint="eastAsia" w:ascii="Times New Roman" w:hAnsi="Times New Roman" w:eastAsia="宋体" w:cs="宋体"/>
          <w:b/>
          <w:bCs/>
          <w:sz w:val="24"/>
          <w:szCs w:val="24"/>
          <w:u w:val="single"/>
        </w:rPr>
        <w:t>综合评分法</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，即指投标文件满足本项目招标文件全部实质性要求，且按照评审因素的量化指标，经评审后综合得分最高的投标人确定为中标人的评标方法。</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评标委员会严格按照招标文件规定的要求、条件、评分标准，对投标人所提供的完整计划标的物的科学性、可行性、产品质量、服务质量的保证及承诺等实质性响应内容进行比较评价。</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对投标文件的评审判定，只依据投标文件内容本身，不依靠开标后任何外来证明文件。</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b/>
          <w:bCs/>
          <w:sz w:val="24"/>
          <w:szCs w:val="24"/>
        </w:rPr>
        <w:t>本次项目技术标和价格标评审总分值为</w:t>
      </w:r>
      <w:r>
        <w:rPr>
          <w:rFonts w:ascii="Times New Roman" w:hAnsi="Times New Roman" w:eastAsia="宋体" w:cs="Times New Roman"/>
          <w:b/>
          <w:bCs/>
          <w:sz w:val="24"/>
          <w:szCs w:val="24"/>
        </w:rPr>
        <w:t>100</w:t>
      </w:r>
      <w:r>
        <w:rPr>
          <w:rFonts w:hint="eastAsia" w:ascii="Times New Roman" w:hAnsi="Times New Roman" w:eastAsia="宋体" w:cs="宋体"/>
          <w:b/>
          <w:bCs/>
          <w:sz w:val="24"/>
          <w:szCs w:val="24"/>
        </w:rPr>
        <w:t>分。</w:t>
      </w:r>
      <w:r>
        <w:rPr>
          <w:rFonts w:hint="eastAsia" w:ascii="Times New Roman" w:hAnsi="Times New Roman" w:eastAsia="宋体" w:cs="宋体"/>
          <w:sz w:val="24"/>
          <w:szCs w:val="24"/>
        </w:rPr>
        <w:t>评审因素比重如下：</w:t>
      </w:r>
    </w:p>
    <w:p>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）“技术标分值”占总分值的比重为</w:t>
      </w:r>
      <w:r>
        <w:rPr>
          <w:rFonts w:ascii="Times New Roman" w:hAnsi="Times New Roman" w:eastAsia="宋体" w:cs="Times New Roman"/>
          <w:b/>
          <w:bCs/>
          <w:sz w:val="24"/>
          <w:szCs w:val="24"/>
          <w:u w:val="single"/>
        </w:rPr>
        <w:t xml:space="preserve">  70%</w:t>
      </w:r>
      <w:r>
        <w:rPr>
          <w:rFonts w:hint="eastAsia" w:ascii="Times New Roman" w:hAnsi="Times New Roman" w:eastAsia="宋体" w:cs="宋体"/>
          <w:b/>
          <w:bCs/>
          <w:sz w:val="24"/>
          <w:szCs w:val="24"/>
          <w:u w:val="single"/>
        </w:rPr>
        <w:t>（权重）</w:t>
      </w:r>
      <w:r>
        <w:rPr>
          <w:rFonts w:ascii="Times New Roman" w:hAnsi="Times New Roman" w:eastAsia="宋体" w:cs="Times New Roman"/>
          <w:b/>
          <w:bCs/>
          <w:sz w:val="24"/>
          <w:szCs w:val="24"/>
          <w:u w:val="single"/>
        </w:rPr>
        <w:t xml:space="preserve">  </w:t>
      </w:r>
      <w:r>
        <w:rPr>
          <w:rFonts w:hint="eastAsia" w:ascii="Times New Roman" w:hAnsi="Times New Roman" w:eastAsia="宋体" w:cs="宋体"/>
          <w:sz w:val="24"/>
          <w:szCs w:val="24"/>
        </w:rPr>
        <w:t>（取小数点后二位）；</w:t>
      </w:r>
    </w:p>
    <w:p>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）“价格标分值”占总分值的比重为</w:t>
      </w:r>
      <w:r>
        <w:rPr>
          <w:rFonts w:ascii="Times New Roman" w:hAnsi="Times New Roman" w:eastAsia="宋体" w:cs="Times New Roman"/>
          <w:b/>
          <w:bCs/>
          <w:sz w:val="24"/>
          <w:szCs w:val="24"/>
          <w:u w:val="single"/>
        </w:rPr>
        <w:t xml:space="preserve">  30%</w:t>
      </w:r>
      <w:r>
        <w:rPr>
          <w:rFonts w:hint="eastAsia" w:ascii="Times New Roman" w:hAnsi="Times New Roman" w:eastAsia="宋体" w:cs="宋体"/>
          <w:b/>
          <w:bCs/>
          <w:sz w:val="24"/>
          <w:szCs w:val="24"/>
          <w:u w:val="single"/>
        </w:rPr>
        <w:t>（权重）</w:t>
      </w:r>
      <w:r>
        <w:rPr>
          <w:rFonts w:ascii="Times New Roman" w:hAnsi="Times New Roman" w:eastAsia="宋体" w:cs="Times New Roman"/>
          <w:b/>
          <w:bCs/>
          <w:sz w:val="24"/>
          <w:szCs w:val="24"/>
          <w:u w:val="single"/>
        </w:rPr>
        <w:t xml:space="preserve">  </w:t>
      </w:r>
      <w:r>
        <w:rPr>
          <w:rFonts w:hint="eastAsia" w:ascii="Times New Roman" w:hAnsi="Times New Roman" w:eastAsia="宋体" w:cs="宋体"/>
          <w:sz w:val="24"/>
          <w:szCs w:val="24"/>
        </w:rPr>
        <w:t>（取小数点后二位）。</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评标委员会评委独立对每个进入打分程序的有效投标人的投标文件技术标和价格标以打分的形式进行评审和评价（计算结果均四舍五入保留两位小数）。</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技术分按各评委评分累计后的算术平均值计算，分值小数点后保留两位。</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投标人的价格标评审得分直接计算取得，并与其技术标得分相加为该投标人的综合得分（保留小数点后</w:t>
      </w:r>
      <w:r>
        <w:rPr>
          <w:rFonts w:ascii="Times New Roman" w:hAnsi="Times New Roman" w:eastAsia="宋体" w:cs="Times New Roman"/>
          <w:sz w:val="24"/>
          <w:szCs w:val="24"/>
        </w:rPr>
        <w:t>2</w:t>
      </w:r>
      <w:r>
        <w:rPr>
          <w:rFonts w:hint="eastAsia" w:ascii="Times New Roman" w:hAnsi="Times New Roman" w:eastAsia="宋体" w:cs="宋体"/>
          <w:sz w:val="24"/>
          <w:szCs w:val="24"/>
        </w:rPr>
        <w:t>位）。</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宋体"/>
          <w:sz w:val="24"/>
          <w:szCs w:val="24"/>
        </w:rPr>
        <w:t>本项目采用综合评分法，评标结果按评审后综合得分由高到低顺序排列；综合得分相同的并列；综合得分并列第一的，则采取现场抽签的方式确定（抽签顺序为并列的供应商在递交项目投标文件的签到顺序号）。</w:t>
      </w:r>
    </w:p>
    <w:p>
      <w:pPr>
        <w:snapToGrid w:val="0"/>
        <w:spacing w:line="420" w:lineRule="exact"/>
        <w:ind w:firstLine="487" w:firstLineChars="202"/>
        <w:rPr>
          <w:rFonts w:ascii="Times New Roman" w:hAnsi="Times New Roman" w:eastAsia="宋体" w:cs="Times New Roman"/>
          <w:b/>
          <w:bCs/>
          <w:sz w:val="24"/>
          <w:szCs w:val="24"/>
        </w:rPr>
      </w:pPr>
      <w:r>
        <w:rPr>
          <w:rFonts w:ascii="Times New Roman" w:hAnsi="Times New Roman" w:eastAsia="宋体" w:cs="Times New Roman"/>
          <w:b/>
          <w:bCs/>
          <w:sz w:val="24"/>
          <w:szCs w:val="24"/>
        </w:rPr>
        <w:t>11.</w:t>
      </w:r>
      <w:r>
        <w:rPr>
          <w:rFonts w:hint="eastAsia" w:ascii="Times New Roman" w:hAnsi="Times New Roman" w:eastAsia="宋体" w:cs="宋体"/>
          <w:b/>
          <w:bCs/>
          <w:sz w:val="24"/>
          <w:szCs w:val="24"/>
          <w:u w:val="thick" w:color="FF0000"/>
          <w:lang w:eastAsia="zh-CN"/>
        </w:rPr>
        <w:t>采购人</w:t>
      </w:r>
      <w:r>
        <w:rPr>
          <w:rFonts w:hint="eastAsia" w:ascii="Times New Roman" w:hAnsi="Times New Roman" w:eastAsia="宋体" w:cs="宋体"/>
          <w:b/>
          <w:bCs/>
          <w:sz w:val="24"/>
          <w:szCs w:val="24"/>
          <w:u w:val="thick" w:color="FF0000"/>
        </w:rPr>
        <w:t>以招标文件本条款，授权评标委员会，就评标结果按投标文件满足招标文件全部实质性要求，且按照评审因素的量化指标评审后的综合得分由高到低排序，推荐第</w:t>
      </w:r>
      <w:r>
        <w:rPr>
          <w:rFonts w:ascii="Times New Roman" w:hAnsi="Times New Roman" w:eastAsia="宋体" w:cs="Times New Roman"/>
          <w:b/>
          <w:bCs/>
          <w:sz w:val="24"/>
          <w:szCs w:val="24"/>
          <w:u w:val="thick" w:color="FF0000"/>
        </w:rPr>
        <w:t>1</w:t>
      </w:r>
      <w:r>
        <w:rPr>
          <w:rFonts w:hint="eastAsia" w:ascii="Times New Roman" w:hAnsi="Times New Roman" w:eastAsia="宋体" w:cs="宋体"/>
          <w:b/>
          <w:bCs/>
          <w:sz w:val="24"/>
          <w:szCs w:val="24"/>
          <w:u w:val="thick" w:color="FF0000"/>
        </w:rPr>
        <w:t>至</w:t>
      </w:r>
      <w:r>
        <w:rPr>
          <w:rFonts w:ascii="Times New Roman" w:hAnsi="Times New Roman" w:eastAsia="宋体" w:cs="Times New Roman"/>
          <w:b/>
          <w:bCs/>
          <w:sz w:val="24"/>
          <w:szCs w:val="24"/>
          <w:u w:val="thick" w:color="FF0000"/>
        </w:rPr>
        <w:t>3</w:t>
      </w:r>
      <w:r>
        <w:rPr>
          <w:rFonts w:hint="eastAsia" w:ascii="Times New Roman" w:hAnsi="Times New Roman" w:eastAsia="宋体" w:cs="宋体"/>
          <w:b/>
          <w:bCs/>
          <w:sz w:val="24"/>
          <w:szCs w:val="24"/>
          <w:u w:val="thick" w:color="FF0000"/>
        </w:rPr>
        <w:t>名的投标人为本项目中标候选人，并确定第</w:t>
      </w:r>
      <w:r>
        <w:rPr>
          <w:rFonts w:ascii="Times New Roman" w:hAnsi="Times New Roman" w:eastAsia="宋体" w:cs="Times New Roman"/>
          <w:b/>
          <w:bCs/>
          <w:sz w:val="24"/>
          <w:szCs w:val="24"/>
          <w:u w:val="thick" w:color="FF0000"/>
        </w:rPr>
        <w:t>1</w:t>
      </w:r>
      <w:r>
        <w:rPr>
          <w:rFonts w:hint="eastAsia" w:ascii="Times New Roman" w:hAnsi="Times New Roman" w:eastAsia="宋体" w:cs="宋体"/>
          <w:b/>
          <w:bCs/>
          <w:sz w:val="24"/>
          <w:szCs w:val="24"/>
          <w:u w:val="thick" w:color="FF0000"/>
        </w:rPr>
        <w:t>中标候选人为本项目需求承租的中标人，出具《评标报告》，评标结果通知到所有投标人。</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12.</w:t>
      </w:r>
      <w:r>
        <w:rPr>
          <w:rFonts w:hint="eastAsia" w:ascii="Times New Roman" w:hAnsi="Times New Roman" w:eastAsia="宋体" w:cs="宋体"/>
          <w:sz w:val="24"/>
          <w:szCs w:val="24"/>
        </w:rPr>
        <w:t>当中标人放弃中标的，或者被查实存在影响中标结果的违法行为等的情形，不符合中标条件的，</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可以按照评标委员会提出的中标候选人名单排序依次确定其他中标候选人为中标人，也可以重新招标。</w:t>
      </w:r>
    </w:p>
    <w:p>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13.推荐中标人的特殊情况处理：采用综合评分法综合得分相同 ，按照报价由</w:t>
      </w:r>
      <w:r>
        <w:rPr>
          <w:rFonts w:hint="eastAsia" w:ascii="Times New Roman" w:hAnsi="Times New Roman" w:eastAsia="宋体" w:cs="Times New Roman"/>
          <w:sz w:val="24"/>
          <w:szCs w:val="24"/>
          <w:lang w:val="en-US" w:eastAsia="zh-CN"/>
        </w:rPr>
        <w:t>低</w:t>
      </w:r>
      <w:r>
        <w:rPr>
          <w:rFonts w:hint="eastAsia" w:ascii="Times New Roman" w:hAnsi="Times New Roman" w:eastAsia="宋体" w:cs="Times New Roman"/>
          <w:sz w:val="24"/>
          <w:szCs w:val="24"/>
        </w:rPr>
        <w:t>到</w:t>
      </w:r>
      <w:r>
        <w:rPr>
          <w:rFonts w:hint="eastAsia" w:ascii="Times New Roman" w:hAnsi="Times New Roman" w:eastAsia="宋体" w:cs="Times New Roman"/>
          <w:sz w:val="24"/>
          <w:szCs w:val="24"/>
          <w:lang w:val="en-US" w:eastAsia="zh-CN"/>
        </w:rPr>
        <w:t>高</w:t>
      </w:r>
      <w:r>
        <w:rPr>
          <w:rFonts w:hint="eastAsia" w:ascii="Times New Roman" w:hAnsi="Times New Roman" w:eastAsia="宋体" w:cs="Times New Roman"/>
          <w:sz w:val="24"/>
          <w:szCs w:val="24"/>
        </w:rPr>
        <w:t>的顺序排列；综合得分且报价相同的并列；综合得分排序并列第一的，则采取现场抽签的方式确定（供应商的抽签顺序分别为各供应商递交</w:t>
      </w:r>
      <w:r>
        <w:rPr>
          <w:rFonts w:hint="eastAsia" w:ascii="Times New Roman" w:hAnsi="Times New Roman" w:eastAsia="宋体" w:cs="Times New Roman"/>
          <w:sz w:val="24"/>
          <w:szCs w:val="24"/>
          <w:lang w:val="en-US" w:eastAsia="zh-CN"/>
        </w:rPr>
        <w:t>投标</w:t>
      </w:r>
      <w:r>
        <w:rPr>
          <w:rFonts w:hint="eastAsia" w:ascii="Times New Roman" w:hAnsi="Times New Roman" w:eastAsia="宋体" w:cs="Times New Roman"/>
          <w:sz w:val="24"/>
          <w:szCs w:val="24"/>
        </w:rPr>
        <w:t>响应文件签到顺序号）。</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4</w:t>
      </w:r>
      <w:r>
        <w:rPr>
          <w:rFonts w:ascii="Times New Roman" w:hAnsi="Times New Roman" w:eastAsia="宋体" w:cs="Times New Roman"/>
          <w:sz w:val="24"/>
          <w:szCs w:val="24"/>
        </w:rPr>
        <w:t>.</w:t>
      </w:r>
      <w:r>
        <w:rPr>
          <w:rFonts w:hint="eastAsia" w:ascii="Times New Roman" w:hAnsi="Times New Roman" w:eastAsia="宋体" w:cs="宋体"/>
          <w:sz w:val="24"/>
          <w:szCs w:val="24"/>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pPr>
        <w:snapToGrid w:val="0"/>
        <w:spacing w:line="420" w:lineRule="exact"/>
        <w:ind w:firstLine="487" w:firstLineChars="202"/>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四、评标标准</w:t>
      </w:r>
    </w:p>
    <w:p>
      <w:pPr>
        <w:adjustRightInd w:val="0"/>
        <w:snapToGrid w:val="0"/>
        <w:spacing w:line="420" w:lineRule="exact"/>
        <w:ind w:firstLine="482" w:firstLineChars="200"/>
        <w:outlineLvl w:val="2"/>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（一）技术标评审：（</w:t>
      </w:r>
      <w:r>
        <w:rPr>
          <w:rFonts w:ascii="Times New Roman" w:hAnsi="Times New Roman" w:eastAsia="宋体" w:cs="Times New Roman"/>
          <w:b/>
          <w:bCs/>
          <w:sz w:val="24"/>
          <w:szCs w:val="24"/>
        </w:rPr>
        <w:t>70</w:t>
      </w:r>
      <w:r>
        <w:rPr>
          <w:rFonts w:hint="eastAsia" w:ascii="Times New Roman" w:hAnsi="Times New Roman" w:eastAsia="宋体" w:cs="宋体"/>
          <w:b/>
          <w:bCs/>
          <w:sz w:val="24"/>
          <w:szCs w:val="24"/>
        </w:rPr>
        <w:t>分）</w:t>
      </w:r>
    </w:p>
    <w:p>
      <w:pPr>
        <w:pStyle w:val="37"/>
        <w:rPr>
          <w:rFonts w:hint="eastAsia" w:ascii="Times New Roman" w:hAnsi="Times New Roman" w:eastAsia="宋体" w:cs="宋体"/>
          <w:b/>
          <w:bCs/>
          <w:sz w:val="24"/>
          <w:szCs w:val="24"/>
        </w:rPr>
      </w:pPr>
    </w:p>
    <w:tbl>
      <w:tblPr>
        <w:tblStyle w:val="70"/>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606" w:type="dxa"/>
            <w:vAlign w:val="center"/>
          </w:tcPr>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一、技术参数（30分）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jc w:val="center"/>
        </w:trPr>
        <w:tc>
          <w:tcPr>
            <w:tcW w:w="9606" w:type="dxa"/>
            <w:vAlign w:val="center"/>
          </w:tcPr>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1、供应商所投产品技术参数完全满足招标文件第三章项目需求中“二、技术规格参数”中所有技术参数要求的得30分。</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2、供应商所投产品技术参数要求中标有“★”功能项必须满足，未完全满足作无效响应文件处理。</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3、供应商所投产品技术参数要求中标有“▲”功能项存在负偏离的，一项扣3分；技术要求中其他功能项存在负偏离的，扣1分；扣完为止。本项目最高30分，最低0分。</w:t>
            </w:r>
          </w:p>
          <w:p>
            <w:pPr>
              <w:pStyle w:val="37"/>
              <w:ind w:left="0" w:leftChars="0" w:firstLine="0" w:firstLineChars="0"/>
              <w:rPr>
                <w:rFonts w:hint="default"/>
                <w:lang w:val="en-US" w:eastAsia="zh-CN"/>
              </w:rPr>
            </w:pPr>
            <w:r>
              <w:rPr>
                <w:rFonts w:hint="eastAsia" w:ascii="宋体" w:hAnsi="宋体" w:eastAsia="宋体" w:cs="宋体"/>
                <w:kern w:val="2"/>
                <w:sz w:val="24"/>
                <w:szCs w:val="24"/>
                <w:lang w:val="en-US" w:eastAsia="zh-CN" w:bidi="ar-SA"/>
              </w:rPr>
              <w:t>注：技术参数响应要求提供截图证明的，供应商应当按采购文件要求提供相关截图证明材料，证明材料需要与描述的技术、功能、参数相吻合。采购文件要求提供而不提供截图证明的视为负偏离。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606" w:type="dxa"/>
            <w:vAlign w:val="center"/>
          </w:tcPr>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二、企业能力（10分）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1" w:hRule="atLeast"/>
          <w:jc w:val="center"/>
        </w:trPr>
        <w:tc>
          <w:tcPr>
            <w:tcW w:w="9606" w:type="dxa"/>
            <w:vAlign w:val="center"/>
          </w:tcPr>
          <w:p>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1、所投产品制造商自 2023年 1 月 1 日以来承接医院使用客户的得1分，无使用客户得不得分，同一业绩不可重复得分，要求合同甲方为医院用户，乙方为产品制造商，本项最多得4分</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（提供合同复印件、中标公示网页截图或中标通知书复印件）。</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2、所投产品获得省级（包含直辖市）信创主管部门发布的信创适配报告得2分。</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3、所投产品具备公安网络安全产品认证证书得1分、CCC证书得1分。</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4、投标人同时具备ISO9001、ISO27001证书得2分。</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备注：上述1-4项中涉及之合同、证书、报告等，中标供应商签署合同前提供原件给用户查验。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606" w:type="dxa"/>
            <w:shd w:val="clear" w:color="auto" w:fill="auto"/>
            <w:vAlign w:val="center"/>
          </w:tcPr>
          <w:p>
            <w:pPr>
              <w:numPr>
                <w:ilvl w:val="0"/>
                <w:numId w:val="0"/>
              </w:numPr>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三、实施方案（15分）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9606" w:type="dxa"/>
            <w:shd w:val="clear" w:color="auto" w:fill="auto"/>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评标委员会针对每点包含的要点齐全无缺漏项、内容与要点相符、内容完善、严谨、程序规范且能够适用于本项目进行评分，每点</w:t>
            </w:r>
            <w:r>
              <w:rPr>
                <w:rFonts w:hint="eastAsia" w:ascii="宋体" w:hAnsi="宋体" w:eastAsia="宋体" w:cs="宋体"/>
                <w:sz w:val="24"/>
                <w:szCs w:val="24"/>
                <w:lang w:val="en-US" w:eastAsia="zh-CN"/>
              </w:rPr>
              <w:t>最高</w:t>
            </w:r>
            <w:r>
              <w:rPr>
                <w:rFonts w:hint="eastAsia" w:ascii="宋体" w:hAnsi="宋体" w:eastAsia="宋体" w:cs="宋体"/>
                <w:sz w:val="24"/>
                <w:szCs w:val="24"/>
              </w:rPr>
              <w:t>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val="en-US" w:eastAsia="zh-CN"/>
              </w:rPr>
              <w:t>本项</w:t>
            </w:r>
            <w:r>
              <w:rPr>
                <w:rFonts w:hint="eastAsia" w:ascii="宋体" w:hAnsi="宋体" w:eastAsia="宋体" w:cs="宋体"/>
                <w:sz w:val="24"/>
                <w:szCs w:val="24"/>
              </w:rPr>
              <w:t>最高得1</w:t>
            </w:r>
            <w:r>
              <w:rPr>
                <w:rFonts w:hint="eastAsia" w:ascii="宋体" w:hAnsi="宋体" w:eastAsia="宋体" w:cs="宋体"/>
                <w:sz w:val="24"/>
                <w:szCs w:val="24"/>
                <w:lang w:val="en-US" w:eastAsia="zh-CN"/>
              </w:rPr>
              <w:t>5</w:t>
            </w:r>
            <w:r>
              <w:rPr>
                <w:rFonts w:hint="eastAsia" w:ascii="宋体" w:hAnsi="宋体" w:eastAsia="宋体" w:cs="宋体"/>
                <w:sz w:val="24"/>
                <w:szCs w:val="24"/>
              </w:rPr>
              <w:t>分。内容与本项目实施方案无关或未提供的不得分。</w:t>
            </w:r>
          </w:p>
          <w:p>
            <w:pPr>
              <w:numPr>
                <w:ilvl w:val="0"/>
                <w:numId w:val="0"/>
              </w:num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①</w:t>
            </w:r>
            <w:r>
              <w:rPr>
                <w:rFonts w:hint="eastAsia" w:ascii="宋体" w:hAnsi="宋体" w:eastAsia="宋体" w:cs="宋体"/>
                <w:kern w:val="0"/>
                <w:sz w:val="24"/>
                <w:szCs w:val="24"/>
              </w:rPr>
              <w:t>投标人对项目建设需求现状的理解程度</w:t>
            </w:r>
            <w:r>
              <w:rPr>
                <w:rFonts w:hint="eastAsia" w:ascii="宋体" w:hAnsi="宋体" w:eastAsia="宋体" w:cs="宋体"/>
                <w:sz w:val="24"/>
                <w:szCs w:val="24"/>
              </w:rPr>
              <w:t>；②所提供技术方案项目组织实施方案的</w:t>
            </w:r>
            <w:r>
              <w:rPr>
                <w:rFonts w:hint="eastAsia" w:ascii="宋体" w:hAnsi="宋体" w:eastAsia="宋体" w:cs="宋体"/>
                <w:sz w:val="24"/>
                <w:szCs w:val="24"/>
                <w:lang w:val="en-US" w:eastAsia="zh-CN"/>
              </w:rPr>
              <w:t>需具备</w:t>
            </w:r>
            <w:r>
              <w:rPr>
                <w:rFonts w:hint="eastAsia" w:ascii="宋体" w:hAnsi="宋体" w:eastAsia="宋体" w:cs="宋体"/>
                <w:sz w:val="24"/>
                <w:szCs w:val="24"/>
              </w:rPr>
              <w:t>科学性、合理性、规范性和可操作性</w:t>
            </w:r>
            <w:r>
              <w:rPr>
                <w:rFonts w:hint="eastAsia" w:ascii="宋体" w:hAnsi="宋体" w:eastAsia="宋体" w:cs="宋体"/>
                <w:sz w:val="24"/>
                <w:szCs w:val="24"/>
                <w:lang w:eastAsia="zh-CN"/>
              </w:rPr>
              <w:t>；</w:t>
            </w:r>
            <w:r>
              <w:rPr>
                <w:rFonts w:hint="eastAsia" w:ascii="宋体" w:hAnsi="宋体" w:eastAsia="宋体" w:cs="宋体"/>
                <w:sz w:val="24"/>
                <w:szCs w:val="24"/>
              </w:rPr>
              <w:t>③项目管理方案，测试、验收、培训、应急等方案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606" w:type="dxa"/>
            <w:vAlign w:val="center"/>
          </w:tcPr>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五、售后方案（15分）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606" w:type="dxa"/>
            <w:vAlign w:val="center"/>
          </w:tcPr>
          <w:p>
            <w:pPr>
              <w:pStyle w:val="3"/>
              <w:spacing w:after="0" w:line="360" w:lineRule="auto"/>
              <w:ind w:right="-57"/>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投标人</w:t>
            </w:r>
            <w:r>
              <w:rPr>
                <w:rFonts w:hint="eastAsia" w:ascii="宋体" w:hAnsi="宋体" w:cs="宋体"/>
                <w:sz w:val="24"/>
                <w:szCs w:val="24"/>
                <w:lang w:val="en-US" w:eastAsia="zh-CN"/>
              </w:rPr>
              <w:t>提供</w:t>
            </w:r>
            <w:r>
              <w:rPr>
                <w:rFonts w:hint="eastAsia" w:ascii="宋体" w:hAnsi="宋体" w:eastAsia="宋体" w:cs="宋体"/>
                <w:sz w:val="24"/>
                <w:szCs w:val="24"/>
                <w:lang w:val="en-US" w:eastAsia="zh-CN"/>
              </w:rPr>
              <w:t>售后服务、维护保养及应急维修</w:t>
            </w:r>
            <w:r>
              <w:rPr>
                <w:rFonts w:hint="eastAsia" w:ascii="宋体" w:hAnsi="宋体" w:cs="宋体"/>
                <w:sz w:val="24"/>
                <w:szCs w:val="24"/>
                <w:lang w:val="en-US" w:eastAsia="zh-CN"/>
              </w:rPr>
              <w:t>方案，</w:t>
            </w:r>
            <w:r>
              <w:rPr>
                <w:rFonts w:hint="eastAsia" w:ascii="宋体" w:hAnsi="宋体" w:eastAsia="宋体" w:cs="宋体"/>
                <w:sz w:val="24"/>
                <w:szCs w:val="24"/>
              </w:rPr>
              <w:t>评标委员会针对每点包含的要点齐全无缺漏项、内容与要点相符、内容完善、严谨、程序规范且能够适用于本项目进行评分，每点</w:t>
            </w:r>
            <w:r>
              <w:rPr>
                <w:rFonts w:hint="eastAsia" w:ascii="宋体" w:hAnsi="宋体" w:eastAsia="宋体" w:cs="宋体"/>
                <w:sz w:val="24"/>
                <w:szCs w:val="24"/>
                <w:lang w:val="en-US" w:eastAsia="zh-CN"/>
              </w:rPr>
              <w:t>最高</w:t>
            </w:r>
            <w:r>
              <w:rPr>
                <w:rFonts w:hint="eastAsia" w:ascii="宋体" w:hAnsi="宋体" w:eastAsia="宋体" w:cs="宋体"/>
                <w:sz w:val="24"/>
                <w:szCs w:val="24"/>
              </w:rPr>
              <w:t>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val="en-US" w:eastAsia="zh-CN"/>
              </w:rPr>
              <w:t>本项</w:t>
            </w:r>
            <w:r>
              <w:rPr>
                <w:rFonts w:hint="eastAsia" w:ascii="宋体" w:hAnsi="宋体" w:eastAsia="宋体" w:cs="宋体"/>
                <w:sz w:val="24"/>
                <w:szCs w:val="24"/>
              </w:rPr>
              <w:t>最高得1</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p>
            <w:pPr>
              <w:pStyle w:val="3"/>
              <w:spacing w:after="0" w:line="360" w:lineRule="auto"/>
              <w:ind w:right="-57"/>
              <w:rPr>
                <w:rFonts w:hint="eastAsia" w:ascii="宋体" w:hAnsi="宋体" w:eastAsia="宋体" w:cs="宋体"/>
                <w:sz w:val="24"/>
                <w:szCs w:val="24"/>
                <w:lang w:val="en-US" w:eastAsia="zh-CN"/>
              </w:rPr>
            </w:pPr>
            <w:r>
              <w:rPr>
                <w:rFonts w:hint="eastAsia" w:ascii="宋体" w:hAnsi="宋体" w:eastAsia="宋体" w:cs="宋体"/>
                <w:sz w:val="24"/>
                <w:szCs w:val="24"/>
              </w:rPr>
              <w:t>①</w:t>
            </w:r>
            <w:r>
              <w:rPr>
                <w:rFonts w:hint="eastAsia" w:ascii="宋体" w:hAnsi="宋体" w:eastAsia="宋体" w:cs="宋体"/>
                <w:sz w:val="24"/>
                <w:szCs w:val="24"/>
                <w:lang w:val="en-US" w:eastAsia="zh-CN"/>
              </w:rPr>
              <w:t>售后服务方案合理、可行</w:t>
            </w:r>
            <w:r>
              <w:rPr>
                <w:rFonts w:hint="eastAsia" w:ascii="宋体" w:hAnsi="宋体" w:eastAsia="宋体" w:cs="宋体"/>
                <w:sz w:val="24"/>
                <w:szCs w:val="24"/>
              </w:rPr>
              <w:t>；②</w:t>
            </w:r>
            <w:r>
              <w:rPr>
                <w:rFonts w:hint="eastAsia" w:ascii="宋体" w:hAnsi="宋体" w:eastAsia="宋体" w:cs="宋体"/>
                <w:sz w:val="24"/>
                <w:szCs w:val="24"/>
                <w:lang w:val="en-US" w:eastAsia="zh-CN"/>
              </w:rPr>
              <w:t>现场开发人员和维护工作人员组成合理</w:t>
            </w:r>
            <w:r>
              <w:rPr>
                <w:rFonts w:hint="eastAsia" w:ascii="宋体" w:hAnsi="宋体" w:eastAsia="宋体" w:cs="宋体"/>
                <w:sz w:val="24"/>
                <w:szCs w:val="24"/>
                <w:lang w:eastAsia="zh-CN"/>
              </w:rPr>
              <w:t>；</w:t>
            </w:r>
            <w:r>
              <w:rPr>
                <w:rFonts w:hint="eastAsia" w:ascii="宋体" w:hAnsi="宋体" w:eastAsia="宋体" w:cs="宋体"/>
                <w:sz w:val="24"/>
                <w:szCs w:val="24"/>
              </w:rPr>
              <w:t>③</w:t>
            </w:r>
            <w:r>
              <w:rPr>
                <w:rFonts w:hint="eastAsia" w:ascii="宋体" w:hAnsi="宋体" w:eastAsia="宋体" w:cs="宋体"/>
                <w:sz w:val="24"/>
                <w:szCs w:val="24"/>
                <w:lang w:val="en-US" w:eastAsia="zh-CN"/>
              </w:rPr>
              <w:t>培训计划完整、详细，配备详细的培训课程表。</w:t>
            </w:r>
          </w:p>
        </w:tc>
      </w:tr>
    </w:tbl>
    <w:p>
      <w:pPr>
        <w:pStyle w:val="38"/>
      </w:pPr>
    </w:p>
    <w:p>
      <w:pPr>
        <w:adjustRightInd w:val="0"/>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（二）价格标评分：（</w:t>
      </w:r>
      <w:r>
        <w:rPr>
          <w:rFonts w:ascii="Times New Roman" w:hAnsi="Times New Roman" w:eastAsia="宋体" w:cs="Times New Roman"/>
          <w:b/>
          <w:bCs/>
          <w:sz w:val="24"/>
          <w:szCs w:val="24"/>
        </w:rPr>
        <w:t>30</w:t>
      </w:r>
      <w:r>
        <w:rPr>
          <w:rFonts w:hint="eastAsia" w:ascii="Times New Roman" w:hAnsi="Times New Roman" w:eastAsia="宋体" w:cs="宋体"/>
          <w:b/>
          <w:bCs/>
          <w:sz w:val="24"/>
          <w:szCs w:val="24"/>
        </w:rPr>
        <w:t>分）</w:t>
      </w:r>
    </w:p>
    <w:p>
      <w:pPr>
        <w:snapToGrid w:val="0"/>
        <w:spacing w:line="420" w:lineRule="exact"/>
        <w:ind w:firstLine="487" w:firstLineChars="202"/>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宋体"/>
          <w:b/>
          <w:bCs/>
          <w:sz w:val="24"/>
          <w:szCs w:val="24"/>
        </w:rPr>
        <w:t>本项目最</w:t>
      </w:r>
      <w:r>
        <w:rPr>
          <w:rFonts w:hint="eastAsia" w:ascii="Times New Roman" w:hAnsi="Times New Roman" w:eastAsia="宋体" w:cs="宋体"/>
          <w:b/>
          <w:bCs/>
          <w:sz w:val="24"/>
          <w:szCs w:val="24"/>
          <w:lang w:val="en-US" w:eastAsia="zh-CN"/>
        </w:rPr>
        <w:t>高</w:t>
      </w:r>
      <w:r>
        <w:rPr>
          <w:rFonts w:hint="eastAsia" w:ascii="Times New Roman" w:hAnsi="Times New Roman" w:eastAsia="宋体" w:cs="宋体"/>
          <w:b/>
          <w:bCs/>
          <w:sz w:val="24"/>
          <w:szCs w:val="24"/>
        </w:rPr>
        <w:t>限价为人民币</w:t>
      </w:r>
      <w:r>
        <w:rPr>
          <w:rFonts w:hint="eastAsia" w:ascii="Times New Roman" w:hAnsi="Times New Roman" w:eastAsia="宋体" w:cs="宋体"/>
          <w:b/>
          <w:bCs/>
          <w:sz w:val="24"/>
          <w:szCs w:val="24"/>
          <w:lang w:val="en-US" w:eastAsia="zh-CN"/>
        </w:rPr>
        <w:t>25</w:t>
      </w:r>
      <w:r>
        <w:rPr>
          <w:rFonts w:hint="eastAsia" w:ascii="Times New Roman" w:hAnsi="Times New Roman" w:eastAsia="宋体" w:cs="宋体"/>
          <w:b/>
          <w:bCs/>
          <w:sz w:val="24"/>
          <w:szCs w:val="24"/>
        </w:rPr>
        <w:t>万元，</w:t>
      </w:r>
      <w:r>
        <w:rPr>
          <w:rFonts w:hint="eastAsia" w:ascii="Times New Roman" w:hAnsi="Times New Roman" w:eastAsia="宋体" w:cs="宋体"/>
          <w:b/>
          <w:bCs/>
          <w:sz w:val="24"/>
          <w:szCs w:val="24"/>
          <w:lang w:val="en-US" w:eastAsia="zh-CN"/>
        </w:rPr>
        <w:t>高</w:t>
      </w:r>
      <w:r>
        <w:rPr>
          <w:rFonts w:hint="eastAsia" w:ascii="Times New Roman" w:hAnsi="Times New Roman" w:eastAsia="宋体" w:cs="宋体"/>
          <w:b/>
          <w:bCs/>
          <w:sz w:val="24"/>
          <w:szCs w:val="24"/>
        </w:rPr>
        <w:t>于该限价的作无效投标处理。</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价格分采用</w:t>
      </w:r>
      <w:r>
        <w:rPr>
          <w:rFonts w:hint="eastAsia" w:ascii="Times New Roman" w:hAnsi="Times New Roman" w:eastAsia="宋体" w:cs="宋体"/>
          <w:sz w:val="24"/>
          <w:szCs w:val="24"/>
          <w:lang w:val="en-US" w:eastAsia="zh-CN"/>
        </w:rPr>
        <w:t>低</w:t>
      </w:r>
      <w:r>
        <w:rPr>
          <w:rFonts w:hint="eastAsia" w:ascii="Times New Roman" w:hAnsi="Times New Roman" w:eastAsia="宋体" w:cs="宋体"/>
          <w:sz w:val="24"/>
          <w:szCs w:val="24"/>
        </w:rPr>
        <w:t>价优先法计算，即满足招标文件要求且投标价格最</w:t>
      </w:r>
      <w:r>
        <w:rPr>
          <w:rFonts w:hint="eastAsia" w:ascii="Times New Roman" w:hAnsi="Times New Roman" w:eastAsia="宋体" w:cs="宋体"/>
          <w:sz w:val="24"/>
          <w:szCs w:val="24"/>
          <w:lang w:val="en-US" w:eastAsia="zh-CN"/>
        </w:rPr>
        <w:t>低</w:t>
      </w:r>
      <w:r>
        <w:rPr>
          <w:rFonts w:hint="eastAsia" w:ascii="Times New Roman" w:hAnsi="Times New Roman" w:eastAsia="宋体" w:cs="宋体"/>
          <w:sz w:val="24"/>
          <w:szCs w:val="24"/>
        </w:rPr>
        <w:t>的投标报价为评标基准价，其价格分为满分。其他投标人的价格分别按照下列公式计算：</w:t>
      </w:r>
    </w:p>
    <w:p>
      <w:pPr>
        <w:snapToGrid w:val="0"/>
        <w:spacing w:line="420" w:lineRule="exact"/>
        <w:ind w:firstLine="570"/>
        <w:rPr>
          <w:rFonts w:ascii="Times New Roman" w:hAnsi="Times New Roman" w:eastAsia="宋体" w:cs="Times New Roman"/>
          <w:b/>
          <w:bCs/>
          <w:sz w:val="24"/>
          <w:szCs w:val="24"/>
        </w:rPr>
      </w:pPr>
      <w:r>
        <w:rPr>
          <w:rFonts w:ascii="Times New Roman" w:hAnsi="Times New Roman" w:eastAsia="宋体" w:cs="Times New Roman"/>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宋体"/>
          <w:b/>
          <w:bCs/>
          <w:sz w:val="24"/>
          <w:szCs w:val="24"/>
        </w:rPr>
        <w:t>报价得分</w:t>
      </w:r>
      <w:r>
        <w:rPr>
          <w:rFonts w:ascii="Times New Roman" w:hAnsi="Times New Roman" w:eastAsia="宋体" w:cs="Times New Roman"/>
          <w:b/>
          <w:bCs/>
          <w:sz w:val="24"/>
          <w:szCs w:val="24"/>
        </w:rPr>
        <w:t xml:space="preserve"> =</w:t>
      </w:r>
      <w:r>
        <w:rPr>
          <w:rFonts w:hint="eastAsia" w:ascii="Times New Roman" w:hAnsi="Times New Roman" w:eastAsia="宋体" w:cs="宋体"/>
          <w:b/>
          <w:bCs/>
          <w:sz w:val="24"/>
          <w:szCs w:val="24"/>
        </w:rPr>
        <w:t>（评标基准价</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投标报价）</w:t>
      </w:r>
      <w:r>
        <w:rPr>
          <w:rFonts w:ascii="Times New Roman" w:hAnsi="Times New Roman" w:eastAsia="宋体" w:cs="Times New Roman"/>
          <w:b/>
          <w:bCs/>
          <w:sz w:val="24"/>
          <w:szCs w:val="24"/>
        </w:rPr>
        <w:t>×30%×100</w:t>
      </w:r>
    </w:p>
    <w:p>
      <w:pPr>
        <w:adjustRightInd w:val="0"/>
        <w:snapToGrid w:val="0"/>
        <w:spacing w:line="420" w:lineRule="exact"/>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宋体"/>
          <w:b/>
          <w:bCs/>
          <w:color w:val="000000"/>
          <w:sz w:val="24"/>
          <w:szCs w:val="24"/>
        </w:rPr>
        <w:t>（三）评标时评委对评标细则若有争议，由评标小组评委集体讨论确定，并对未尽情况有最终解释权。</w:t>
      </w:r>
    </w:p>
    <w:p>
      <w:pPr>
        <w:adjustRightInd w:val="0"/>
        <w:snapToGrid w:val="0"/>
        <w:spacing w:line="420" w:lineRule="exact"/>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宋体"/>
          <w:b/>
          <w:bCs/>
          <w:color w:val="000000"/>
          <w:sz w:val="24"/>
          <w:szCs w:val="24"/>
        </w:rPr>
        <w:t>（四）对落标的投标人不做落标原因的解释。</w:t>
      </w:r>
    </w:p>
    <w:p>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五、出现下列情形之一的，作无效投标处理</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投标文件未按招标文件要求签署、盖章的；</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不具备招标文件中规定的资格要求的；</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报价超过招标文件中规定的预算金额或者最高限价的；</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投标文件含有</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不能接受的附加条件的；</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法律、法规和招标文件规定的其他无效情形。</w:t>
      </w:r>
    </w:p>
    <w:p>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六、有下列情形之一的，视为投标人恶意串通投标，其投标无效</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直接或者间接从</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或者招标代理机构处获得其他供应商的相关情况并修改其投标文件；</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按照</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或者招标代理机构的授意撤换、修改投标文件；</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与其他的供应商协商报价、技术方案等投标文件的实质性内容；</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属于同一集团、协会、商会等组织成员的供应商，按照该组织要求协同参加采购活动；</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供应商之间事先约定由某一特定供应商成交；</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供应商之间商定部分供应商放弃参加采购活动或者放弃中标；</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供应商与</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或者招标代理机构之间、供应商相互之间，为谋求特定供应商中标或者排斥其他供应商的其他串通行为；</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不同投标人的投标文件由同一单位或者个人编制；</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不同投标人委托同一单位或者个人办理投标事宜；</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宋体"/>
          <w:sz w:val="24"/>
          <w:szCs w:val="24"/>
        </w:rPr>
        <w:t>不同投标人的投标文件载明的项目管理成员或者联系人员为同一人；</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11.</w:t>
      </w:r>
      <w:r>
        <w:rPr>
          <w:rFonts w:hint="eastAsia" w:ascii="Times New Roman" w:hAnsi="Times New Roman" w:eastAsia="宋体" w:cs="宋体"/>
          <w:sz w:val="24"/>
          <w:szCs w:val="24"/>
        </w:rPr>
        <w:t>不同投标人的投标文件异常一致或者投标报价呈规律性差异；</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12.</w:t>
      </w:r>
      <w:r>
        <w:rPr>
          <w:rFonts w:hint="eastAsia" w:ascii="Times New Roman" w:hAnsi="Times New Roman" w:eastAsia="宋体" w:cs="宋体"/>
          <w:sz w:val="24"/>
          <w:szCs w:val="24"/>
        </w:rPr>
        <w:t>不同投标人的投标文件相互混装。</w:t>
      </w:r>
    </w:p>
    <w:p>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七、出现下列情形之一的，作废标处理</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符合资格条件的供应商或者对招标文件作实质响应的供应商不足三家的；</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出现影响采购公正的违法违规行为的；</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所有投标人报价低于租赁预算价的；</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评标委员会依据法律法规可以认定为废标的其他情况。</w:t>
      </w:r>
    </w:p>
    <w:p>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八、因重大变故，采购任务被取消的，</w:t>
      </w:r>
      <w:r>
        <w:rPr>
          <w:rFonts w:hint="eastAsia" w:ascii="Times New Roman" w:hAnsi="Times New Roman" w:eastAsia="宋体" w:cs="宋体"/>
          <w:b/>
          <w:bCs/>
          <w:sz w:val="24"/>
          <w:szCs w:val="24"/>
          <w:lang w:eastAsia="zh-CN"/>
        </w:rPr>
        <w:t>采购人</w:t>
      </w:r>
      <w:r>
        <w:rPr>
          <w:rFonts w:hint="eastAsia" w:ascii="Times New Roman" w:hAnsi="Times New Roman" w:eastAsia="宋体" w:cs="宋体"/>
          <w:b/>
          <w:bCs/>
          <w:sz w:val="24"/>
          <w:szCs w:val="24"/>
        </w:rPr>
        <w:t>或者招标代理机构应当终止采购活动，通知所有参加采购活动的供应商，</w:t>
      </w:r>
      <w:r>
        <w:rPr>
          <w:rFonts w:hint="eastAsia" w:ascii="Times New Roman" w:hAnsi="Times New Roman" w:eastAsia="宋体" w:cs="宋体"/>
          <w:b/>
          <w:bCs/>
          <w:sz w:val="24"/>
          <w:szCs w:val="24"/>
          <w:lang w:eastAsia="zh-CN"/>
        </w:rPr>
        <w:t>采购人</w:t>
      </w:r>
      <w:r>
        <w:rPr>
          <w:rFonts w:hint="eastAsia" w:ascii="Times New Roman" w:hAnsi="Times New Roman" w:eastAsia="宋体" w:cs="宋体"/>
          <w:b/>
          <w:bCs/>
          <w:sz w:val="24"/>
          <w:szCs w:val="24"/>
        </w:rPr>
        <w:t>将项目实施情况和采购任务取消原因报送主管预算部门。</w:t>
      </w:r>
    </w:p>
    <w:p>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九、中标通知</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开标结束后，招标采购单位自中标人确定之日起</w:t>
      </w:r>
      <w:r>
        <w:rPr>
          <w:rFonts w:ascii="Times New Roman" w:hAnsi="Times New Roman" w:eastAsia="宋体" w:cs="Times New Roman"/>
          <w:sz w:val="24"/>
          <w:szCs w:val="24"/>
        </w:rPr>
        <w:t>2</w:t>
      </w:r>
      <w:r>
        <w:rPr>
          <w:rFonts w:hint="eastAsia" w:ascii="Times New Roman" w:hAnsi="Times New Roman" w:eastAsia="宋体" w:cs="宋体"/>
          <w:sz w:val="24"/>
          <w:szCs w:val="24"/>
        </w:rPr>
        <w:t>个工作日内在指定媒体上公告中标结果。</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中标公告期限为</w:t>
      </w:r>
      <w:r>
        <w:rPr>
          <w:rFonts w:ascii="Times New Roman" w:hAnsi="Times New Roman" w:eastAsia="宋体" w:cs="Times New Roman"/>
          <w:sz w:val="24"/>
          <w:szCs w:val="24"/>
        </w:rPr>
        <w:t>1</w:t>
      </w:r>
      <w:r>
        <w:rPr>
          <w:rFonts w:hint="eastAsia" w:ascii="Times New Roman" w:hAnsi="Times New Roman" w:eastAsia="宋体" w:cs="宋体"/>
          <w:sz w:val="24"/>
          <w:szCs w:val="24"/>
        </w:rPr>
        <w:t>个工作日。</w:t>
      </w:r>
    </w:p>
    <w:p>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中标通知书发放条件和途径：中标公告的当日起，供应商可至代理机构领取中标通知书。领取地址：</w:t>
      </w:r>
      <w:r>
        <w:rPr>
          <w:rFonts w:hint="eastAsia" w:ascii="Times New Roman" w:hAnsi="Times New Roman" w:eastAsia="宋体" w:cs="宋体"/>
          <w:sz w:val="24"/>
          <w:szCs w:val="24"/>
          <w:lang w:eastAsia="zh-CN"/>
        </w:rPr>
        <w:t>南通市崇川区桃坞路2号友谊大厦10楼</w:t>
      </w:r>
      <w:r>
        <w:rPr>
          <w:rFonts w:hint="eastAsia" w:ascii="Times New Roman" w:hAnsi="Times New Roman" w:eastAsia="宋体" w:cs="宋体"/>
          <w:sz w:val="24"/>
          <w:szCs w:val="24"/>
        </w:rPr>
        <w:t>，电话：</w:t>
      </w:r>
      <w:r>
        <w:rPr>
          <w:rFonts w:hint="eastAsia" w:ascii="Times New Roman" w:hAnsi="Times New Roman" w:eastAsia="宋体" w:cs="Times New Roman"/>
          <w:sz w:val="24"/>
          <w:szCs w:val="24"/>
          <w:lang w:eastAsia="zh-CN"/>
        </w:rPr>
        <w:t>15152885716</w:t>
      </w:r>
      <w:r>
        <w:rPr>
          <w:rFonts w:hint="eastAsia" w:ascii="Times New Roman" w:hAnsi="Times New Roman" w:eastAsia="宋体" w:cs="宋体"/>
          <w:sz w:val="24"/>
          <w:szCs w:val="24"/>
        </w:rPr>
        <w:t>。</w:t>
      </w:r>
    </w:p>
    <w:p>
      <w:pPr>
        <w:snapToGrid w:val="0"/>
        <w:spacing w:line="420" w:lineRule="exact"/>
        <w:ind w:firstLine="484" w:firstLineChars="202"/>
        <w:rPr>
          <w:rFonts w:ascii="Times New Roman" w:hAnsi="Times New Roman" w:eastAsia="宋体" w:cs="Times New Roman"/>
          <w:kern w:val="0"/>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《中标通知书》一经发出，即具有法律效力。</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、中标人依法承担法律责任。</w:t>
      </w:r>
    </w:p>
    <w:p>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p>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w:t>
      </w:r>
      <w:r>
        <w:rPr>
          <w:rFonts w:hint="eastAsia" w:ascii="Times New Roman" w:hAnsi="Times New Roman" w:eastAsia="宋体" w:cs="宋体"/>
          <w:b/>
          <w:bCs/>
          <w:w w:val="80"/>
          <w:sz w:val="36"/>
          <w:szCs w:val="36"/>
          <w:lang w:val="en-US" w:eastAsia="zh-CN"/>
        </w:rPr>
        <w:t>五</w:t>
      </w:r>
      <w:r>
        <w:rPr>
          <w:rFonts w:hint="eastAsia" w:ascii="Times New Roman" w:hAnsi="Times New Roman" w:eastAsia="宋体" w:cs="宋体"/>
          <w:b/>
          <w:bCs/>
          <w:w w:val="80"/>
          <w:sz w:val="36"/>
          <w:szCs w:val="36"/>
        </w:rPr>
        <w:t>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合同授予</w:t>
      </w:r>
    </w:p>
    <w:p>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一、中标人在接到代理机构发出送达的《中标通知书》后</w:t>
      </w:r>
      <w:r>
        <w:rPr>
          <w:rFonts w:hint="eastAsia" w:ascii="Times New Roman" w:hAnsi="Times New Roman" w:eastAsia="宋体" w:cs="Times New Roman"/>
          <w:kern w:val="0"/>
          <w:sz w:val="24"/>
          <w:szCs w:val="24"/>
        </w:rPr>
        <w:t>15</w:t>
      </w:r>
      <w:r>
        <w:rPr>
          <w:rFonts w:hint="eastAsia" w:ascii="Times New Roman" w:hAnsi="Times New Roman" w:eastAsia="宋体" w:cs="宋体"/>
          <w:kern w:val="0"/>
          <w:sz w:val="24"/>
          <w:szCs w:val="24"/>
        </w:rPr>
        <w:t>日历天内与</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签订合同</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一式陆份，</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、中标人各执叁份</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，所签合同不得对招标文件作实质性修改，由此给</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造成损失的，中标人还应承担赔偿责任。</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不得向中标人提出不合理的要求作为签订合同的条件，不得与中标人私下订立背离招标文件实质性内容的协议。</w:t>
      </w:r>
    </w:p>
    <w:p>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二、招标文件、中标人的投标文件及招标评审过程中有关书面澄清、承诺等均应作为合同附件，具有同等的法律效力。</w:t>
      </w:r>
    </w:p>
    <w:p>
      <w:pPr>
        <w:spacing w:line="420" w:lineRule="exact"/>
        <w:ind w:firstLine="484" w:firstLineChars="202"/>
        <w:rPr>
          <w:rFonts w:ascii="Times New Roman" w:hAnsi="Times New Roman" w:eastAsia="宋体" w:cs="宋体"/>
          <w:kern w:val="0"/>
          <w:sz w:val="24"/>
          <w:szCs w:val="24"/>
        </w:rPr>
      </w:pPr>
      <w:r>
        <w:rPr>
          <w:rFonts w:hint="eastAsia" w:ascii="Times New Roman" w:hAnsi="Times New Roman" w:eastAsia="宋体" w:cs="宋体"/>
          <w:kern w:val="0"/>
          <w:sz w:val="24"/>
          <w:szCs w:val="24"/>
        </w:rPr>
        <w:t>三、中标人不得采用转包、分包的形式履行合同，否则，</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有权终止合同，造成</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损失的，中标人应承担相应赔偿责任。</w:t>
      </w:r>
    </w:p>
    <w:p>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四、</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和中标人应相互配合，按</w:t>
      </w:r>
      <w:r>
        <w:rPr>
          <w:rFonts w:hint="eastAsia" w:ascii="Times New Roman" w:hAnsi="Times New Roman" w:eastAsia="宋体" w:cs="宋体"/>
          <w:kern w:val="0"/>
          <w:sz w:val="24"/>
          <w:szCs w:val="24"/>
          <w:lang w:val="en-US" w:eastAsia="zh-CN"/>
        </w:rPr>
        <w:t>采购</w:t>
      </w:r>
      <w:r>
        <w:rPr>
          <w:rFonts w:hint="eastAsia" w:ascii="Times New Roman" w:hAnsi="Times New Roman" w:eastAsia="宋体" w:cs="宋体"/>
          <w:kern w:val="0"/>
          <w:sz w:val="24"/>
          <w:szCs w:val="24"/>
        </w:rPr>
        <w:t>合同约定积极组织本项目的实施，确保</w:t>
      </w:r>
      <w:r>
        <w:rPr>
          <w:rFonts w:hint="eastAsia" w:ascii="Times New Roman" w:hAnsi="Times New Roman" w:eastAsia="宋体" w:cs="宋体"/>
          <w:kern w:val="0"/>
          <w:sz w:val="24"/>
          <w:szCs w:val="24"/>
          <w:lang w:val="en-US" w:eastAsia="zh-CN"/>
        </w:rPr>
        <w:t>系统</w:t>
      </w:r>
      <w:r>
        <w:rPr>
          <w:rFonts w:hint="eastAsia" w:ascii="Times New Roman" w:hAnsi="Times New Roman" w:eastAsia="宋体" w:cs="宋体"/>
          <w:kern w:val="0"/>
          <w:sz w:val="24"/>
          <w:szCs w:val="24"/>
        </w:rPr>
        <w:t>服务按时按期的合同约定，履约并完成。</w:t>
      </w:r>
    </w:p>
    <w:p>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五、</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、中标人不按采购合同规定履约，出现违约情形，应当及时纠正或补偿，造成损失的，按合同约定追究违约责任；履约中发现有商业贿赂等违法情形的，应由</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移交工商、质监、公安等行政执法部门依法查处。</w:t>
      </w:r>
    </w:p>
    <w:p>
      <w:pPr>
        <w:spacing w:line="420" w:lineRule="exact"/>
        <w:ind w:firstLine="484" w:firstLineChars="202"/>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六、</w:t>
      </w:r>
      <w:bookmarkStart w:id="23" w:name="_Hlk534283326"/>
      <w:r>
        <w:rPr>
          <w:rFonts w:hint="eastAsia" w:ascii="Times New Roman" w:hAnsi="Times New Roman" w:eastAsia="宋体" w:cs="宋体"/>
          <w:kern w:val="0"/>
          <w:sz w:val="24"/>
          <w:szCs w:val="24"/>
        </w:rPr>
        <w:t>不响应付款方式的，视同无效投标处理。实际付款方式以最终签订采购合同为准。</w:t>
      </w:r>
      <w:bookmarkEnd w:id="23"/>
    </w:p>
    <w:p>
      <w:pPr>
        <w:pStyle w:val="37"/>
        <w:ind w:left="0" w:leftChars="0" w:firstLine="480" w:firstLineChars="200"/>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七、合同主要条款</w:t>
      </w: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合同主要条款</w:t>
      </w:r>
    </w:p>
    <w:p>
      <w:pPr>
        <w:tabs>
          <w:tab w:val="left" w:pos="1050"/>
          <w:tab w:val="right" w:leader="dot" w:pos="9402"/>
        </w:tabs>
        <w:spacing w:before="312" w:beforeLines="100" w:line="520" w:lineRule="exact"/>
        <w:jc w:val="center"/>
        <w:rPr>
          <w:rFonts w:eastAsia="宋体" w:cs="宋体"/>
          <w:b/>
          <w:bCs/>
          <w:w w:val="80"/>
          <w:sz w:val="36"/>
          <w:szCs w:val="36"/>
          <w:highlight w:val="none"/>
        </w:rPr>
      </w:pPr>
      <w:r>
        <w:rPr>
          <w:rFonts w:hint="eastAsia" w:eastAsia="宋体" w:cs="宋体"/>
          <w:b/>
          <w:bCs/>
          <w:w w:val="80"/>
          <w:sz w:val="36"/>
          <w:szCs w:val="36"/>
          <w:highlight w:val="none"/>
        </w:rPr>
        <w:t>南通市口腔医院内外网文件摆渡系统采购项目</w:t>
      </w:r>
    </w:p>
    <w:p>
      <w:pPr>
        <w:tabs>
          <w:tab w:val="left" w:pos="1050"/>
          <w:tab w:val="right" w:leader="dot" w:pos="9402"/>
        </w:tabs>
        <w:spacing w:before="312" w:beforeLines="100" w:line="520" w:lineRule="exact"/>
        <w:jc w:val="center"/>
        <w:rPr>
          <w:rFonts w:eastAsia="宋体"/>
          <w:b/>
          <w:bCs/>
          <w:w w:val="80"/>
          <w:sz w:val="44"/>
          <w:szCs w:val="44"/>
          <w:highlight w:val="none"/>
        </w:rPr>
      </w:pPr>
      <w:r>
        <w:rPr>
          <w:rFonts w:hint="eastAsia" w:eastAsia="宋体" w:cs="宋体"/>
          <w:b/>
          <w:bCs/>
          <w:w w:val="80"/>
          <w:sz w:val="36"/>
          <w:szCs w:val="36"/>
          <w:highlight w:val="none"/>
        </w:rPr>
        <w:t>合同书</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pacing w:val="46"/>
          <w:sz w:val="24"/>
          <w:szCs w:val="24"/>
          <w:highlight w:val="none"/>
        </w:rPr>
        <w:t>采购单</w:t>
      </w:r>
      <w:r>
        <w:rPr>
          <w:rFonts w:hint="eastAsia" w:ascii="宋体" w:hAnsi="宋体" w:eastAsia="宋体" w:cs="宋体"/>
          <w:spacing w:val="2"/>
          <w:sz w:val="24"/>
          <w:szCs w:val="24"/>
          <w:highlight w:val="none"/>
        </w:rPr>
        <w:t>位</w:t>
      </w:r>
      <w:r>
        <w:rPr>
          <w:rFonts w:hint="eastAsia" w:ascii="宋体" w:hAnsi="宋体" w:eastAsia="宋体" w:cs="宋体"/>
          <w:sz w:val="24"/>
          <w:szCs w:val="24"/>
          <w:highlight w:val="none"/>
        </w:rPr>
        <w:t>（以下称甲方）：</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服务供应商（以下称乙方）：</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签订时间：年 月 日</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签订地点：</w:t>
      </w:r>
    </w:p>
    <w:p>
      <w:pPr>
        <w:spacing w:line="360" w:lineRule="auto"/>
        <w:ind w:firstLine="480" w:firstLineChars="200"/>
        <w:rPr>
          <w:rFonts w:hint="eastAsia" w:ascii="宋体" w:hAnsi="宋体" w:eastAsia="宋体" w:cs="宋体"/>
          <w:sz w:val="24"/>
          <w:szCs w:val="24"/>
          <w:highlight w:val="none"/>
        </w:rPr>
      </w:pPr>
      <w:bookmarkStart w:id="24" w:name="_Hlk68920547"/>
      <w:r>
        <w:rPr>
          <w:rFonts w:hint="eastAsia" w:ascii="宋体" w:hAnsi="宋体" w:eastAsia="宋体" w:cs="宋体"/>
          <w:sz w:val="24"/>
          <w:szCs w:val="24"/>
          <w:highlight w:val="none"/>
        </w:rPr>
        <w:t>根据《中华人民共和国民法典》</w:t>
      </w:r>
      <w:bookmarkEnd w:id="24"/>
      <w:r>
        <w:rPr>
          <w:rFonts w:hint="eastAsia" w:ascii="宋体" w:hAnsi="宋体" w:eastAsia="宋体" w:cs="宋体"/>
          <w:sz w:val="24"/>
          <w:szCs w:val="24"/>
          <w:highlight w:val="none"/>
        </w:rPr>
        <w:t>及</w:t>
      </w:r>
      <w:r>
        <w:rPr>
          <w:rFonts w:hint="eastAsia" w:ascii="宋体" w:hAnsi="宋体" w:eastAsia="宋体" w:cs="宋体"/>
          <w:sz w:val="24"/>
          <w:szCs w:val="24"/>
          <w:highlight w:val="none"/>
          <w:u w:val="single"/>
        </w:rPr>
        <w:t xml:space="preserve">  南通市口腔医院内外网文件摆渡系统采购项目[采购编号：NTSKQYYCG2025003]  </w:t>
      </w:r>
      <w:r>
        <w:rPr>
          <w:rFonts w:hint="eastAsia" w:ascii="宋体" w:hAnsi="宋体" w:eastAsia="宋体" w:cs="宋体"/>
          <w:sz w:val="24"/>
          <w:szCs w:val="24"/>
          <w:highlight w:val="none"/>
        </w:rPr>
        <w:t>的采购结果、采购文件及</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响应文件，经双方协商一致，签订本合同。</w:t>
      </w:r>
    </w:p>
    <w:p>
      <w:pPr>
        <w:spacing w:line="360" w:lineRule="auto"/>
        <w:ind w:firstLine="487" w:firstLineChars="202"/>
        <w:outlineLvl w:val="1"/>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 xml:space="preserve">第一部分 </w:t>
      </w:r>
      <w:r>
        <w:rPr>
          <w:rFonts w:hint="eastAsia" w:ascii="宋体" w:hAnsi="宋体" w:eastAsia="宋体" w:cs="宋体"/>
          <w:b/>
          <w:bCs/>
          <w:sz w:val="24"/>
          <w:szCs w:val="24"/>
          <w:highlight w:val="none"/>
        </w:rPr>
        <w:t>合同一般条款</w:t>
      </w:r>
    </w:p>
    <w:p>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第一条 合同文件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1.合同文件适用法律</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1.1适用于合同文件的法律是中华人民共和国现行法律、法规及甲方所在地的地方性法规。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2.合同文件组成和解释顺序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  合同文件的组成和解释顺序如下：</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 合同的特殊性条款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 合同的一般性条款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 洽商、变更等明确双方权利义务的纪要、协议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2.1.4 成交通知书、采购文件和供应商响应文件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2.1.5 标准、规范和其它有关技术资料、技术要求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 合同的特殊性条款的效力优于合同的一般性条款的效力</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3.合同文件使用文字</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3.1合同文件使用中文书写、解释和说明</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3.2合同文件使用特殊性条款约定的国家标准和规范；国家没有相应标准、规范时，可使用特殊性条款约定的行业或甲方所在地地方的标准、规范。</w:t>
      </w:r>
    </w:p>
    <w:p>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第二条 标的物的一般条款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4.完整物权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4.1对于提供的标的物或服务，乙方应当拥有完整物权，并且乙方负有保证第三人不得向甲方主张任何权利（包括知识产权）的义务。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5.质量保证</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5.1由乙方按采购文件要求制定服务方案，并提供服务质量、标准、合同执行期间按此服务标准执行。</w:t>
      </w:r>
    </w:p>
    <w:p>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第三条 对服务质量提出异议的时间和办法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6.提出异议的时间和办法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6.1乙方在服务期间，若甲方认为乙方的服务质量未达到合同规定的。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6.2如甲方在验收期满后既不出具验收合格证明又未提出书面异议的视为乙方所交标的物或服务符合合同规定。</w:t>
      </w:r>
    </w:p>
    <w:p>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第四条 合同价款和支付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7.合同价款和支付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7.1本合同的结算货币为人民币，单位元。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 乙方应按照双方签订的合同规定服务并在合同特殊条款规定的期限内持下列单据结算合同款项。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7.2.1合格的发票；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7.2.2 甲方盖章后的验收合格证明。</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7.3 甲方应按合同特殊条款规定的期限和方式付款。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7.4 根据现行税法对甲方征收的与本合同有关的一切税费均由甲方承担；根据现行税法对乙方征收的与本合同有关的一切税费均由乙方承担。</w:t>
      </w:r>
    </w:p>
    <w:p>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第五条 违约责任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8.违约责任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8.1合同一方不履行合同义务或者履行合同义务不符合约定的，应当承担继续履行、采取补救措施或者赔偿损失等违约责任。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9.甲方违约责任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9.1在合同生效后，甲方要求取消货物或服务的，应向乙方偿付合同价款的5%，作为违约金，违约金不足以补偿损失的，乙方有权要求甲方补足。</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9.2甲方逾期付款的应按照逾期付款金额，以“全国银行间同业拆借中心公布的贷款市场报价利率”（LPR）标准，计算应付款项至付清日止的逾期付款违约金。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10.乙方违约责任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 乙方不能按时提供服务的，甲方有权解除合同，且乙方须向甲方偿付合同价款5%的违约金，违约金不足以补偿损失的甲方有权要求乙方补足。</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11.不可抗力</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 因不可抗力不能履行合同的，根据不可抗力的影响，部分或者全部免除责任。但合同一方迟延履行后发生不可抗力的，不能免除责任。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 合同一方因不可抗力不能履行合同的，应当及时通知对方，以减轻可能给对方造成的损失，并应当在合理期限内提供证明。</w:t>
      </w:r>
    </w:p>
    <w:p>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第六条 合同的终止与解除和转让</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12.合同的终止与解除</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12.1本合同自双方权利义务履行完毕而终止。</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12.2甲方和乙方协商一致，可以解除合同。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12.3有下列情形之一，合同一方可以解除合同：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12.3.1因不可抗力致使不能实现合同目的，任何一方均有权解除合同；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12.3.2因合同一方违约导致合同不能履行，另一方有权解除合同；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12.3.3有权解除合同的一方，应当在违约事实或不可抗力发生之后六十天内书面通知对方以主张解除合同，合同在书面通知到达对方时解除；</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12.3.4文件中提到的其他情形。</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13.合同的转让</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13.1合同的部分和全部都不得转让。</w:t>
      </w:r>
    </w:p>
    <w:p>
      <w:pPr>
        <w:spacing w:line="360" w:lineRule="auto"/>
        <w:ind w:firstLine="487" w:firstLineChars="202"/>
        <w:outlineLvl w:val="1"/>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第二部分 合同特殊条款</w:t>
      </w:r>
    </w:p>
    <w:p>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1.合同标的服务需求清单一览表：</w:t>
      </w:r>
    </w:p>
    <w:p>
      <w:pPr>
        <w:rPr>
          <w:rFonts w:hint="eastAsia"/>
          <w:highlight w:val="none"/>
        </w:rPr>
      </w:pPr>
    </w:p>
    <w:tbl>
      <w:tblPr>
        <w:tblStyle w:val="70"/>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26"/>
        <w:gridCol w:w="567"/>
        <w:gridCol w:w="709"/>
        <w:gridCol w:w="314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blHeader/>
        </w:trPr>
        <w:tc>
          <w:tcPr>
            <w:tcW w:w="738" w:type="dxa"/>
            <w:vAlign w:val="center"/>
          </w:tcPr>
          <w:p>
            <w:pPr>
              <w:widowControl/>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126" w:type="dxa"/>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标的服务名称</w:t>
            </w:r>
          </w:p>
        </w:tc>
        <w:tc>
          <w:tcPr>
            <w:tcW w:w="567" w:type="dxa"/>
            <w:vAlign w:val="center"/>
          </w:tcPr>
          <w:p>
            <w:pPr>
              <w:widowControl/>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p>
        </w:tc>
        <w:tc>
          <w:tcPr>
            <w:tcW w:w="709" w:type="dxa"/>
            <w:vAlign w:val="center"/>
          </w:tcPr>
          <w:p>
            <w:pPr>
              <w:widowControl/>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3148" w:type="dxa"/>
            <w:vAlign w:val="center"/>
          </w:tcPr>
          <w:p>
            <w:pPr>
              <w:widowControl/>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单价（元/年）</w:t>
            </w:r>
          </w:p>
        </w:tc>
        <w:tc>
          <w:tcPr>
            <w:tcW w:w="2238" w:type="dxa"/>
            <w:vAlign w:val="center"/>
          </w:tcPr>
          <w:p>
            <w:pPr>
              <w:widowControl/>
              <w:spacing w:line="360" w:lineRule="auto"/>
              <w:jc w:val="center"/>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总价（元/年）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38" w:type="dxa"/>
            <w:vAlign w:val="center"/>
          </w:tcPr>
          <w:p>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26" w:type="dxa"/>
            <w:vAlign w:val="center"/>
          </w:tcPr>
          <w:p>
            <w:pPr>
              <w:spacing w:line="326" w:lineRule="exact"/>
              <w:jc w:val="center"/>
              <w:rPr>
                <w:rFonts w:hint="eastAsia" w:ascii="宋体" w:hAnsi="宋体" w:eastAsia="宋体" w:cs="宋体"/>
                <w:sz w:val="24"/>
                <w:szCs w:val="24"/>
                <w:highlight w:val="none"/>
                <w:shd w:val="clear" w:color="auto" w:fill="FFFFFF"/>
              </w:rPr>
            </w:pPr>
            <w:r>
              <w:rPr>
                <w:rFonts w:hint="eastAsia" w:ascii="宋体" w:hAnsi="宋体" w:eastAsia="宋体" w:cs="宋体"/>
                <w:color w:val="auto"/>
                <w:kern w:val="0"/>
                <w:sz w:val="24"/>
                <w:szCs w:val="24"/>
              </w:rPr>
              <w:t>内外网</w:t>
            </w:r>
            <w:r>
              <w:rPr>
                <w:rFonts w:ascii="宋体" w:hAnsi="宋体" w:eastAsia="宋体" w:cs="宋体"/>
                <w:color w:val="auto"/>
                <w:kern w:val="0"/>
                <w:sz w:val="24"/>
                <w:szCs w:val="24"/>
              </w:rPr>
              <w:t>文件交换系统（</w:t>
            </w:r>
            <w:r>
              <w:rPr>
                <w:rFonts w:hint="eastAsia" w:ascii="宋体" w:hAnsi="宋体" w:eastAsia="宋体" w:cs="宋体"/>
                <w:color w:val="auto"/>
                <w:kern w:val="0"/>
                <w:sz w:val="24"/>
                <w:szCs w:val="24"/>
              </w:rPr>
              <w:t>软硬件</w:t>
            </w:r>
            <w:r>
              <w:rPr>
                <w:rFonts w:ascii="宋体" w:hAnsi="宋体" w:eastAsia="宋体" w:cs="宋体"/>
                <w:color w:val="auto"/>
                <w:kern w:val="0"/>
                <w:sz w:val="24"/>
                <w:szCs w:val="24"/>
              </w:rPr>
              <w:t>系统）</w:t>
            </w:r>
          </w:p>
        </w:tc>
        <w:tc>
          <w:tcPr>
            <w:tcW w:w="567" w:type="dxa"/>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bidi="zh-TW"/>
              </w:rPr>
              <w:t>套</w:t>
            </w:r>
          </w:p>
        </w:tc>
        <w:tc>
          <w:tcPr>
            <w:tcW w:w="709" w:type="dxa"/>
            <w:vAlign w:val="center"/>
          </w:tcPr>
          <w:p>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148" w:type="dxa"/>
            <w:vAlign w:val="center"/>
          </w:tcPr>
          <w:p>
            <w:pPr>
              <w:widowControl/>
              <w:spacing w:line="360" w:lineRule="auto"/>
              <w:jc w:val="center"/>
              <w:rPr>
                <w:rFonts w:hint="eastAsia" w:ascii="宋体" w:hAnsi="宋体" w:eastAsia="宋体" w:cs="宋体"/>
                <w:sz w:val="24"/>
                <w:szCs w:val="24"/>
                <w:highlight w:val="none"/>
              </w:rPr>
            </w:pPr>
          </w:p>
        </w:tc>
        <w:tc>
          <w:tcPr>
            <w:tcW w:w="2238" w:type="dxa"/>
            <w:vAlign w:val="center"/>
          </w:tcPr>
          <w:p>
            <w:pPr>
              <w:widowControl/>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38" w:type="dxa"/>
            <w:vAlign w:val="center"/>
          </w:tcPr>
          <w:p>
            <w:pPr>
              <w:widowControl/>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总计</w:t>
            </w:r>
          </w:p>
        </w:tc>
        <w:tc>
          <w:tcPr>
            <w:tcW w:w="6550" w:type="dxa"/>
            <w:gridSpan w:val="4"/>
            <w:vAlign w:val="center"/>
          </w:tcPr>
          <w:p>
            <w:pPr>
              <w:widowControl/>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人民币大写：</w:t>
            </w:r>
          </w:p>
        </w:tc>
        <w:tc>
          <w:tcPr>
            <w:tcW w:w="2238" w:type="dxa"/>
            <w:vAlign w:val="center"/>
          </w:tcPr>
          <w:p>
            <w:pPr>
              <w:widowControl/>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p>
        </w:tc>
      </w:tr>
    </w:tbl>
    <w:p>
      <w:pPr>
        <w:spacing w:line="360" w:lineRule="auto"/>
        <w:ind w:firstLine="482" w:firstLineChars="200"/>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rPr>
        <w:t>2.价格与支付</w:t>
      </w:r>
    </w:p>
    <w:p>
      <w:pPr>
        <w:spacing w:line="360" w:lineRule="auto"/>
        <w:ind w:firstLine="480" w:firstLineChars="200"/>
        <w:rPr>
          <w:rFonts w:hint="eastAsia" w:ascii="宋体" w:hAnsi="宋体" w:eastAsia="宋体" w:cs="宋体"/>
          <w:sz w:val="24"/>
          <w:szCs w:val="24"/>
          <w:highlight w:val="none"/>
        </w:rPr>
      </w:pPr>
      <w:bookmarkStart w:id="25" w:name="_Hlk120581003"/>
      <w:r>
        <w:rPr>
          <w:rFonts w:hint="eastAsia" w:ascii="宋体" w:hAnsi="宋体" w:eastAsia="宋体" w:cs="宋体"/>
          <w:sz w:val="24"/>
          <w:szCs w:val="24"/>
          <w:highlight w:val="none"/>
        </w:rPr>
        <w:t>2.1</w:t>
      </w:r>
      <w:bookmarkStart w:id="26" w:name="_Hlk68921140"/>
      <w:r>
        <w:rPr>
          <w:rFonts w:hint="eastAsia" w:ascii="宋体" w:hAnsi="宋体" w:eastAsia="宋体" w:cs="宋体"/>
          <w:sz w:val="24"/>
          <w:szCs w:val="24"/>
          <w:highlight w:val="none"/>
        </w:rPr>
        <w:t>合同标的合同价款为人民币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元）。（合同价款按本合同标的计划采购活动乙方的成交价格执行。）</w:t>
      </w:r>
    </w:p>
    <w:bookmarkEnd w:id="25"/>
    <w:bookmarkEnd w:id="26"/>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2.2合同价款是包括完成本合同标的服务工作所需的一切费用，包含但不限于：</w:t>
      </w:r>
      <w:r>
        <w:rPr>
          <w:rFonts w:hint="eastAsia" w:ascii="Times New Roman" w:hAnsi="Times New Roman" w:eastAsia="宋体" w:cs="Times New Roman"/>
          <w:sz w:val="24"/>
          <w:szCs w:val="24"/>
        </w:rPr>
        <w:t>人员费用（工资、福利、培训、社会保险等）、</w:t>
      </w:r>
      <w:r>
        <w:rPr>
          <w:rFonts w:hint="eastAsia" w:ascii="Times New Roman" w:hAnsi="Times New Roman" w:eastAsia="宋体" w:cs="Times New Roman"/>
          <w:sz w:val="24"/>
          <w:szCs w:val="24"/>
          <w:lang w:val="en-US" w:eastAsia="zh-CN"/>
        </w:rPr>
        <w:t>软硬件费用、</w:t>
      </w:r>
      <w:r>
        <w:rPr>
          <w:rFonts w:hint="eastAsia" w:ascii="Times New Roman" w:hAnsi="Times New Roman" w:eastAsia="宋体" w:cs="Times New Roman"/>
          <w:sz w:val="24"/>
          <w:szCs w:val="24"/>
        </w:rPr>
        <w:t>专用设备及其备品、备件、易耗品耗材、通讯和专用工具费用、税费、运输、保险、检测验收、技术评审、售后服务及管理费用、利润、税金、政策性文件规定及合同包含的所有风险、责任等各项应有费用</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2.2.4【特别说明】不包含以下所列内容涉及的费用：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2.2.4.1因甲方操作违规而产生的超出服务协议范围的费用（例如：如人为、有意破坏等）；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2.2.4.2</w:t>
      </w:r>
      <w:r>
        <w:rPr>
          <w:rFonts w:hint="eastAsia" w:ascii="宋体" w:hAnsi="宋体" w:eastAsia="宋体" w:cs="宋体"/>
          <w:sz w:val="24"/>
          <w:szCs w:val="24"/>
          <w:highlight w:val="none"/>
          <w:lang w:val="en-US" w:eastAsia="zh-CN"/>
        </w:rPr>
        <w:t>交换系统</w:t>
      </w:r>
      <w:r>
        <w:rPr>
          <w:rFonts w:hint="eastAsia" w:ascii="宋体" w:hAnsi="宋体" w:eastAsia="宋体" w:cs="宋体"/>
          <w:sz w:val="24"/>
          <w:szCs w:val="24"/>
          <w:highlight w:val="none"/>
        </w:rPr>
        <w:t>条款以外所涉及到的其他费用（例如：设备安全隐患整改，自然灾害或者现场其他条件造成的损坏）。</w:t>
      </w:r>
    </w:p>
    <w:p>
      <w:pPr>
        <w:spacing w:line="360" w:lineRule="auto"/>
        <w:ind w:firstLine="480" w:firstLineChars="20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2.3付款方法：</w:t>
      </w:r>
    </w:p>
    <w:p>
      <w:pPr>
        <w:spacing w:line="360" w:lineRule="auto"/>
        <w:ind w:firstLine="480" w:firstLineChars="200"/>
        <w:rPr>
          <w:rFonts w:hint="eastAsia" w:ascii="宋体" w:hAnsi="宋体" w:eastAsia="宋体" w:cs="宋体"/>
          <w:color w:val="auto"/>
          <w:sz w:val="24"/>
          <w:szCs w:val="24"/>
          <w:highlight w:val="none"/>
          <w:shd w:val="clear"/>
        </w:rPr>
      </w:pPr>
      <w:r>
        <w:rPr>
          <w:rFonts w:hint="eastAsia" w:ascii="宋体" w:hAnsi="宋体" w:eastAsia="宋体" w:cs="宋体"/>
          <w:sz w:val="24"/>
          <w:szCs w:val="24"/>
          <w:highlight w:val="none"/>
          <w:lang w:val="en-US" w:eastAsia="zh-CN"/>
        </w:rPr>
        <w:t>2.3.1.</w:t>
      </w:r>
      <w:r>
        <w:rPr>
          <w:rFonts w:hint="eastAsia" w:ascii="宋体" w:hAnsi="宋体" w:eastAsia="宋体" w:cs="宋体"/>
          <w:color w:val="auto"/>
          <w:sz w:val="24"/>
          <w:szCs w:val="24"/>
          <w:highlight w:val="none"/>
          <w:shd w:val="clear"/>
        </w:rPr>
        <w:t>合同签订生效</w:t>
      </w:r>
      <w:r>
        <w:rPr>
          <w:rFonts w:hint="eastAsia" w:ascii="宋体" w:hAnsi="宋体" w:eastAsia="宋体" w:cs="宋体"/>
          <w:color w:val="auto"/>
          <w:sz w:val="24"/>
          <w:szCs w:val="24"/>
          <w:highlight w:val="none"/>
          <w:shd w:val="clear"/>
          <w:lang w:val="en-US" w:eastAsia="zh-CN"/>
        </w:rPr>
        <w:t>至合同履约到期完成验收后</w:t>
      </w:r>
      <w:r>
        <w:rPr>
          <w:rFonts w:hint="eastAsia" w:ascii="宋体" w:hAnsi="宋体" w:eastAsia="宋体" w:cs="宋体"/>
          <w:color w:val="auto"/>
          <w:sz w:val="24"/>
          <w:szCs w:val="24"/>
          <w:highlight w:val="none"/>
          <w:shd w:val="clear"/>
        </w:rPr>
        <w:t>，</w:t>
      </w:r>
      <w:r>
        <w:rPr>
          <w:rFonts w:hint="eastAsia" w:ascii="宋体" w:hAnsi="宋体" w:eastAsia="宋体" w:cs="宋体"/>
          <w:color w:val="auto"/>
          <w:sz w:val="24"/>
          <w:szCs w:val="24"/>
          <w:highlight w:val="none"/>
          <w:shd w:val="clear"/>
          <w:lang w:val="en-US" w:eastAsia="zh-CN"/>
        </w:rPr>
        <w:t>甲方</w:t>
      </w:r>
      <w:r>
        <w:rPr>
          <w:rFonts w:hint="eastAsia" w:ascii="宋体" w:hAnsi="宋体" w:eastAsia="宋体" w:cs="宋体"/>
          <w:color w:val="auto"/>
          <w:sz w:val="24"/>
          <w:szCs w:val="24"/>
          <w:highlight w:val="none"/>
          <w:shd w:val="clear"/>
        </w:rPr>
        <w:t>收到</w:t>
      </w:r>
      <w:r>
        <w:rPr>
          <w:rFonts w:hint="eastAsia" w:ascii="宋体" w:hAnsi="宋体" w:eastAsia="宋体" w:cs="宋体"/>
          <w:color w:val="auto"/>
          <w:sz w:val="24"/>
          <w:szCs w:val="24"/>
          <w:highlight w:val="none"/>
          <w:shd w:val="clear"/>
          <w:lang w:val="en-US" w:eastAsia="zh-CN"/>
        </w:rPr>
        <w:t>乙方</w:t>
      </w:r>
      <w:r>
        <w:rPr>
          <w:rFonts w:hint="eastAsia" w:ascii="宋体" w:hAnsi="宋体" w:eastAsia="宋体" w:cs="宋体"/>
          <w:color w:val="auto"/>
          <w:sz w:val="24"/>
          <w:szCs w:val="24"/>
          <w:highlight w:val="none"/>
          <w:shd w:val="clear"/>
        </w:rPr>
        <w:t>合格发票后的15日内，支付合同价款的</w:t>
      </w:r>
      <w:r>
        <w:rPr>
          <w:rFonts w:hint="eastAsia" w:ascii="宋体" w:hAnsi="宋体" w:eastAsia="宋体" w:cs="宋体"/>
          <w:color w:val="auto"/>
          <w:sz w:val="24"/>
          <w:szCs w:val="24"/>
          <w:highlight w:val="none"/>
          <w:shd w:val="clear"/>
          <w:lang w:val="en-US" w:eastAsia="zh-CN"/>
        </w:rPr>
        <w:t>95</w:t>
      </w:r>
      <w:r>
        <w:rPr>
          <w:rFonts w:hint="eastAsia" w:ascii="宋体" w:hAnsi="宋体" w:eastAsia="宋体" w:cs="宋体"/>
          <w:color w:val="auto"/>
          <w:sz w:val="24"/>
          <w:szCs w:val="24"/>
          <w:highlight w:val="none"/>
          <w:shd w:val="clear"/>
        </w:rPr>
        <w:t>%</w:t>
      </w:r>
      <w:r>
        <w:rPr>
          <w:rFonts w:hint="eastAsia" w:ascii="宋体" w:hAnsi="宋体" w:eastAsia="宋体" w:cs="宋体"/>
          <w:color w:val="auto"/>
          <w:sz w:val="24"/>
          <w:szCs w:val="24"/>
          <w:highlight w:val="none"/>
          <w:shd w:val="clear"/>
          <w:lang w:eastAsia="zh-CN"/>
        </w:rPr>
        <w:t>；</w:t>
      </w:r>
      <w:r>
        <w:rPr>
          <w:rFonts w:hint="eastAsia" w:ascii="宋体" w:hAnsi="宋体" w:eastAsia="宋体" w:cs="宋体"/>
          <w:color w:val="auto"/>
          <w:sz w:val="24"/>
          <w:szCs w:val="24"/>
          <w:highlight w:val="none"/>
          <w:shd w:val="clear"/>
          <w:lang w:val="en-US" w:eastAsia="zh-CN"/>
        </w:rPr>
        <w:t>验收之日起一年后，支付剩余</w:t>
      </w:r>
      <w:r>
        <w:rPr>
          <w:rFonts w:hint="eastAsia" w:ascii="宋体" w:hAnsi="宋体" w:eastAsia="宋体" w:cs="宋体"/>
          <w:color w:val="auto"/>
          <w:sz w:val="24"/>
          <w:szCs w:val="24"/>
          <w:highlight w:val="none"/>
          <w:shd w:val="clear"/>
        </w:rPr>
        <w:t>合同价款</w:t>
      </w:r>
      <w:r>
        <w:rPr>
          <w:rFonts w:hint="eastAsia" w:ascii="宋体" w:hAnsi="宋体" w:eastAsia="宋体" w:cs="宋体"/>
          <w:color w:val="auto"/>
          <w:sz w:val="24"/>
          <w:szCs w:val="24"/>
          <w:highlight w:val="none"/>
          <w:shd w:val="clear"/>
          <w:lang w:val="en-US" w:eastAsia="zh-CN"/>
        </w:rPr>
        <w:t>的5%，合同价款支付完毕</w:t>
      </w:r>
      <w:r>
        <w:rPr>
          <w:rFonts w:hint="eastAsia" w:ascii="宋体" w:hAnsi="宋体" w:eastAsia="宋体" w:cs="宋体"/>
          <w:color w:val="auto"/>
          <w:sz w:val="24"/>
          <w:szCs w:val="24"/>
          <w:highlight w:val="none"/>
          <w:shd w:val="clear"/>
          <w:lang w:eastAsia="zh-CN"/>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付款方式：银行转帐。</w:t>
      </w:r>
    </w:p>
    <w:p>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.合同履行期限</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合同签订之日起30个工作日内完成安装调试</w:t>
      </w:r>
      <w:r>
        <w:rPr>
          <w:rFonts w:hint="eastAsia" w:ascii="宋体" w:hAnsi="宋体" w:eastAsia="宋体" w:cs="宋体"/>
          <w:sz w:val="24"/>
          <w:szCs w:val="24"/>
          <w:highlight w:val="none"/>
        </w:rPr>
        <w:t>。</w:t>
      </w:r>
    </w:p>
    <w:p>
      <w:pPr>
        <w:spacing w:line="360" w:lineRule="auto"/>
        <w:ind w:firstLine="482" w:firstLineChars="200"/>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.违约责任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.1按合同一般条款。</w:t>
      </w:r>
    </w:p>
    <w:p>
      <w:pPr>
        <w:spacing w:line="360" w:lineRule="auto"/>
        <w:ind w:firstLine="482" w:firstLineChars="200"/>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.合同生效及其它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.1本合同项目实施免收履约保证金。</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.2由于乙方的原因，在签订合同后出现不按合同履行或不适当履行的情况，按合同违约处理；同时甲方亦有权终止合同，乙方还须依法承担相应的责任。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bookmarkStart w:id="27" w:name="_Hlk69858441"/>
      <w:r>
        <w:rPr>
          <w:rFonts w:hint="eastAsia" w:ascii="宋体" w:hAnsi="宋体" w:eastAsia="宋体" w:cs="宋体"/>
          <w:sz w:val="24"/>
          <w:szCs w:val="24"/>
          <w:highlight w:val="none"/>
        </w:rPr>
        <w:t>3本合同在双方签字盖章后生效。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.4合同在执行过程中出现的未尽事宜，双方在不违背本合同和本合同计划采购文件的原则下协商解决，协商结果以书面形式盖章记录在案，作为本合同的附件，与本合同具有同等效力。</w:t>
      </w:r>
    </w:p>
    <w:bookmarkEnd w:id="27"/>
    <w:p>
      <w:pPr>
        <w:spacing w:line="360" w:lineRule="auto"/>
        <w:ind w:firstLine="482" w:firstLineChars="200"/>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.合同争议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pPr>
        <w:spacing w:line="360" w:lineRule="auto"/>
        <w:ind w:firstLine="482" w:firstLineChars="200"/>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.合同附件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.1合同附件1：本合同项目计划采购文件《</w:t>
      </w:r>
      <w:r>
        <w:rPr>
          <w:rFonts w:hint="eastAsia" w:ascii="宋体" w:hAnsi="宋体" w:eastAsia="宋体" w:cs="宋体"/>
          <w:sz w:val="24"/>
          <w:szCs w:val="24"/>
          <w:highlight w:val="none"/>
          <w:u w:val="single"/>
        </w:rPr>
        <w:t>南通市口腔医院内外网文件摆渡系统采购项目</w:t>
      </w:r>
      <w:r>
        <w:rPr>
          <w:rFonts w:hint="eastAsia" w:ascii="宋体" w:hAnsi="宋体" w:eastAsia="宋体" w:cs="宋体"/>
          <w:sz w:val="24"/>
          <w:szCs w:val="24"/>
          <w:highlight w:val="none"/>
        </w:rPr>
        <w:t>》[采购编号：</w:t>
      </w:r>
      <w:r>
        <w:rPr>
          <w:rFonts w:hint="eastAsia" w:ascii="宋体" w:hAnsi="宋体" w:eastAsia="宋体" w:cs="宋体"/>
          <w:sz w:val="24"/>
          <w:szCs w:val="24"/>
          <w:highlight w:val="none"/>
          <w:u w:val="single"/>
        </w:rPr>
        <w:t>：NTSKQYYCG2025003</w:t>
      </w:r>
      <w:r>
        <w:rPr>
          <w:rFonts w:hint="eastAsia" w:ascii="宋体" w:hAnsi="宋体" w:eastAsia="宋体" w:cs="宋体"/>
          <w:sz w:val="24"/>
          <w:szCs w:val="24"/>
          <w:highlight w:val="none"/>
        </w:rPr>
        <w:t>]。</w:t>
      </w:r>
    </w:p>
    <w:p>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.附则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.1本合同一式陆份，甲、乙双方各执叁份，每份合同均具同等的法律效力。</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.2本合同未尽事宜按《中华人民共和国民法典》及其相关法律法规之规定解释。</w:t>
      </w:r>
    </w:p>
    <w:p>
      <w:pPr>
        <w:spacing w:line="360" w:lineRule="auto"/>
        <w:ind w:firstLine="480" w:firstLineChars="200"/>
        <w:rPr>
          <w:rFonts w:hint="eastAsia" w:ascii="宋体" w:hAnsi="宋体" w:eastAsia="宋体" w:cs="宋体"/>
          <w:sz w:val="24"/>
          <w:szCs w:val="24"/>
          <w:highlight w:val="none"/>
        </w:rPr>
      </w:pPr>
    </w:p>
    <w:tbl>
      <w:tblPr>
        <w:tblStyle w:val="7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4819" w:type="dxa"/>
            <w:vAlign w:val="center"/>
          </w:tcPr>
          <w:p>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甲方</w:t>
            </w:r>
          </w:p>
        </w:tc>
        <w:tc>
          <w:tcPr>
            <w:tcW w:w="4820" w:type="dxa"/>
            <w:vAlign w:val="center"/>
          </w:tcPr>
          <w:p>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819" w:type="dxa"/>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单位名称：南通市口腔医院</w:t>
            </w:r>
          </w:p>
        </w:tc>
        <w:tc>
          <w:tcPr>
            <w:tcW w:w="4820" w:type="dxa"/>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819" w:type="dxa"/>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c>
          <w:tcPr>
            <w:tcW w:w="4820" w:type="dxa"/>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819" w:type="dxa"/>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4820" w:type="dxa"/>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819" w:type="dxa"/>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tc>
        <w:tc>
          <w:tcPr>
            <w:tcW w:w="4820" w:type="dxa"/>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819" w:type="dxa"/>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开户行：</w:t>
            </w:r>
          </w:p>
        </w:tc>
        <w:tc>
          <w:tcPr>
            <w:tcW w:w="4820" w:type="dxa"/>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819" w:type="dxa"/>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c>
          <w:tcPr>
            <w:tcW w:w="4820" w:type="dxa"/>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819" w:type="dxa"/>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c>
          <w:tcPr>
            <w:tcW w:w="4820" w:type="dxa"/>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r>
    </w:tbl>
    <w:p>
      <w:pPr>
        <w:spacing w:line="420" w:lineRule="exact"/>
        <w:ind w:firstLine="484" w:firstLineChars="202"/>
        <w:rPr>
          <w:rFonts w:ascii="Times New Roman" w:hAnsi="Times New Roman" w:eastAsia="宋体" w:cs="宋体"/>
          <w:kern w:val="0"/>
          <w:sz w:val="24"/>
          <w:szCs w:val="24"/>
        </w:rPr>
      </w:pPr>
    </w:p>
    <w:p>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bookmarkEnd w:id="18"/>
    <w:p>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bookmarkStart w:id="28" w:name="_Toc363573859"/>
      <w:r>
        <w:rPr>
          <w:rFonts w:hint="eastAsia" w:ascii="Times New Roman" w:hAnsi="Times New Roman" w:eastAsia="宋体" w:cs="宋体"/>
          <w:b/>
          <w:bCs/>
          <w:w w:val="80"/>
          <w:sz w:val="36"/>
          <w:szCs w:val="36"/>
        </w:rPr>
        <w:t>第</w:t>
      </w:r>
      <w:r>
        <w:rPr>
          <w:rFonts w:hint="eastAsia" w:ascii="Times New Roman" w:hAnsi="Times New Roman" w:eastAsia="宋体" w:cs="宋体"/>
          <w:b/>
          <w:bCs/>
          <w:w w:val="80"/>
          <w:sz w:val="36"/>
          <w:szCs w:val="36"/>
          <w:lang w:val="en-US" w:eastAsia="zh-CN"/>
        </w:rPr>
        <w:t>六</w:t>
      </w:r>
      <w:r>
        <w:rPr>
          <w:rFonts w:hint="eastAsia" w:ascii="Times New Roman" w:hAnsi="Times New Roman" w:eastAsia="宋体" w:cs="宋体"/>
          <w:b/>
          <w:bCs/>
          <w:w w:val="80"/>
          <w:sz w:val="36"/>
          <w:szCs w:val="36"/>
        </w:rPr>
        <w:t>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质疑与投诉</w:t>
      </w:r>
      <w:bookmarkEnd w:id="28"/>
    </w:p>
    <w:p>
      <w:pPr>
        <w:snapToGrid w:val="0"/>
        <w:spacing w:line="420" w:lineRule="exact"/>
        <w:ind w:firstLine="482" w:firstLineChars="200"/>
        <w:outlineLvl w:val="1"/>
        <w:rPr>
          <w:rFonts w:ascii="Times New Roman" w:hAnsi="Times New Roman" w:eastAsia="宋体" w:cs="Times New Roman"/>
          <w:b/>
          <w:bCs/>
          <w:sz w:val="24"/>
          <w:szCs w:val="24"/>
        </w:rPr>
      </w:pPr>
      <w:bookmarkStart w:id="29" w:name="_Toc363573860"/>
      <w:r>
        <w:rPr>
          <w:rFonts w:hint="eastAsia" w:ascii="Times New Roman" w:hAnsi="Times New Roman" w:eastAsia="宋体" w:cs="宋体"/>
          <w:b/>
          <w:bCs/>
          <w:sz w:val="24"/>
          <w:szCs w:val="24"/>
        </w:rPr>
        <w:t>一、质疑的提出</w:t>
      </w:r>
    </w:p>
    <w:p>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、质疑必须是直接参加本次招投标活动的当事人。</w:t>
      </w:r>
    </w:p>
    <w:p>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、取得招标文件的供应商应根据招标文件第二章</w:t>
      </w:r>
      <w:r>
        <w:rPr>
          <w:rFonts w:ascii="Times New Roman" w:hAnsi="Times New Roman" w:eastAsia="宋体" w:cs="Times New Roman"/>
          <w:kern w:val="0"/>
          <w:sz w:val="24"/>
          <w:szCs w:val="24"/>
        </w:rPr>
        <w:t xml:space="preserve"> “</w:t>
      </w:r>
      <w:r>
        <w:rPr>
          <w:rFonts w:hint="eastAsia" w:ascii="Times New Roman" w:hAnsi="Times New Roman" w:eastAsia="宋体" w:cs="宋体"/>
          <w:kern w:val="0"/>
          <w:sz w:val="24"/>
          <w:szCs w:val="24"/>
        </w:rPr>
        <w:t>投标人须知</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中</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第一条第</w:t>
      </w: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的约定提出质疑。</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投标文件接收截止后未进行投标登记的供应商，不能就投标文件接收截止后的招标过程、中标结果提出质疑。</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在招标过程中，凡主持人或评标委员会明确提出须由投标人确认的事项，投标人当场无异议的，事后不得提出质疑、投诉。</w:t>
      </w:r>
    </w:p>
    <w:p>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、提出质疑时，必须坚持</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谁主张，谁举证</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实事求是</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的原则，不能臆测。</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属于须由法定部门调查、侦查或先行作出相关认定的事项，质疑人应当依法申请具有法定职权的部门查清、认定，并将相关结果提供给</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、招标代理机构。</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、招标代理机构不具有法定调查、认定的权限。</w:t>
      </w:r>
    </w:p>
    <w:p>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、对本次招投标有质疑的，须实名制以书面形式提出，不得进行匿名、虚假、恶意质疑。</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质疑人应在质疑有效期内以书面形式提出《质疑函》。</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《质疑函》内容应包括质疑事项、主要内容、事实依据、适应法规条款、佐证材料等。</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质疑人应保证其提出的质疑内容及相关佐证材料的真实性及来源的合法性，并承担相应的法律责任。</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对不能提供相关佐证材料的、涉及商业秘密的、非书面形式的、非送达的、匿名的《质疑函》将不予受理，视作无效质疑。</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相关佐证材料要具备客观性、关联性、合法性，无法查实的（如宣传册、媒体报道、猜测、推理等）不能作为佐证材料。</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、招标代理机构不负责搜集相关佐证材料等工作。</w:t>
      </w:r>
    </w:p>
    <w:p>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二、《质疑函》的受理和回复</w:t>
      </w:r>
    </w:p>
    <w:p>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、《质疑函》须由质疑人的法定代表人或参加本次招标授权人送达采购单位和</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w:t>
      </w:r>
    </w:p>
    <w:p>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、对符合提出质疑要求的，</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签收并出具《质疑受理通知书》并在</w:t>
      </w:r>
      <w:r>
        <w:rPr>
          <w:rFonts w:ascii="Times New Roman" w:hAnsi="Times New Roman" w:eastAsia="宋体" w:cs="Times New Roman"/>
          <w:kern w:val="0"/>
          <w:sz w:val="24"/>
          <w:szCs w:val="24"/>
        </w:rPr>
        <w:t>7</w:t>
      </w:r>
      <w:r>
        <w:rPr>
          <w:rFonts w:hint="eastAsia" w:ascii="Times New Roman" w:hAnsi="Times New Roman" w:eastAsia="宋体" w:cs="宋体"/>
          <w:kern w:val="0"/>
          <w:sz w:val="24"/>
          <w:szCs w:val="24"/>
        </w:rPr>
        <w:t>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、对不符合提出质疑要求的《质疑函》，出具《质疑退回通知书》并提出相关补充材料要求，质疑人未在规定时间内提供补充佐证材料的，视同放弃质疑。</w:t>
      </w:r>
    </w:p>
    <w:p>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负责将质疑人提交的质疑相关材料提供给相关专家或评标委员会审核，并将审核意见回复质疑人。</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必要时，可向被质疑供应商（以下称被质疑人）转发《质疑函》及相关佐证材料。</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被质疑人应当在要求的时间日期内，以书面形式做出说明回复，并提交相关证据。</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被质疑人在规定时间内，无正当理由未提交相关证据的，视同放弃说明权利，认可被质疑事项。</w:t>
      </w:r>
    </w:p>
    <w:p>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、因质疑情况复杂，组织论证或审查时间较长的，</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以书面形式通知质疑人，可适当延长质疑回复处理时间。</w:t>
      </w:r>
    </w:p>
    <w:p>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三、质疑处理</w:t>
      </w:r>
    </w:p>
    <w:p>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、质疑成立的处理。</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终止采购，并建议有关部门给相关当事人予以处理。</w:t>
      </w:r>
    </w:p>
    <w:p>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、质疑不成立的处理：</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）质疑人书面《申请撤回质疑函》。</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）质疑人在规定的时间内不配合进行质疑调查处理的，按自动撤回《质疑函》处理。</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）质疑人不按《质疑函》格式就提出质疑的，视情建议相关监管部门将其列入不良供应商名单。</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）质疑人不能提供相关佐证材料的，</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已指出，质疑人仍然坚持提出质疑的，质疑人虽提供了相关佐证材料，但不能证明其质疑成立的，</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请质疑人补充相关佐证材料，仍不能证明其质疑成立的，</w:t>
      </w:r>
      <w:bookmarkStart w:id="30" w:name="_Hlk524930071"/>
      <w:r>
        <w:rPr>
          <w:rFonts w:hint="eastAsia" w:ascii="Times New Roman" w:hAnsi="Times New Roman" w:eastAsia="宋体" w:cs="宋体"/>
          <w:kern w:val="0"/>
          <w:sz w:val="24"/>
          <w:szCs w:val="24"/>
        </w:rPr>
        <w:t>建议相关监管部门将其</w:t>
      </w:r>
      <w:bookmarkEnd w:id="30"/>
      <w:r>
        <w:rPr>
          <w:rFonts w:hint="eastAsia" w:ascii="Times New Roman" w:hAnsi="Times New Roman" w:eastAsia="宋体" w:cs="宋体"/>
          <w:kern w:val="0"/>
          <w:sz w:val="24"/>
          <w:szCs w:val="24"/>
        </w:rPr>
        <w:t>列入不良供应商名单。</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）对明显有违背事实的、经相关专家或评委认定无依据的、经其他投标人举证无依据的质疑，建议相关监管部门将其列入不良供应商名单，同时给予质疑人</w:t>
      </w: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年内禁入</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单位的采购活动的处理。</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6</w:t>
      </w:r>
      <w:r>
        <w:rPr>
          <w:rFonts w:hint="eastAsia" w:ascii="Times New Roman" w:hAnsi="Times New Roman" w:eastAsia="宋体" w:cs="宋体"/>
          <w:kern w:val="0"/>
          <w:sz w:val="24"/>
          <w:szCs w:val="24"/>
        </w:rPr>
        <w:t>）质疑人承担使用虚假材料或恶意方式质疑的法律责任。</w:t>
      </w:r>
    </w:p>
    <w:p>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四、投诉的提出</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质疑人对</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的答复不满意或者</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未在规定的时间内做出答复的，可以在答复期满后</w:t>
      </w:r>
      <w:r>
        <w:rPr>
          <w:rFonts w:ascii="Times New Roman" w:hAnsi="Times New Roman" w:eastAsia="宋体" w:cs="Times New Roman"/>
          <w:kern w:val="0"/>
          <w:sz w:val="24"/>
          <w:szCs w:val="24"/>
        </w:rPr>
        <w:t>15</w:t>
      </w:r>
      <w:r>
        <w:rPr>
          <w:rFonts w:hint="eastAsia" w:ascii="Times New Roman" w:hAnsi="Times New Roman" w:eastAsia="宋体" w:cs="宋体"/>
          <w:kern w:val="0"/>
          <w:sz w:val="24"/>
          <w:szCs w:val="24"/>
        </w:rPr>
        <w:t>个工作日内向</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的上级主管部门投诉。</w:t>
      </w:r>
    </w:p>
    <w:p>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供应商进行投诉，并最终投诉不成立的，建议相关监管部门将其列入不良供应商名单，同时给予质疑人</w:t>
      </w: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年内禁入</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单位的采购活动的处理。</w:t>
      </w:r>
    </w:p>
    <w:p>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p>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w:t>
      </w:r>
      <w:r>
        <w:rPr>
          <w:rFonts w:hint="eastAsia" w:ascii="Times New Roman" w:hAnsi="Times New Roman" w:eastAsia="宋体" w:cs="宋体"/>
          <w:b/>
          <w:bCs/>
          <w:w w:val="80"/>
          <w:sz w:val="36"/>
          <w:szCs w:val="36"/>
          <w:lang w:val="en-US" w:eastAsia="zh-CN"/>
        </w:rPr>
        <w:t>七</w:t>
      </w:r>
      <w:r>
        <w:rPr>
          <w:rFonts w:hint="eastAsia" w:ascii="Times New Roman" w:hAnsi="Times New Roman" w:eastAsia="宋体" w:cs="宋体"/>
          <w:b/>
          <w:bCs/>
          <w:w w:val="80"/>
          <w:sz w:val="36"/>
          <w:szCs w:val="36"/>
        </w:rPr>
        <w:t>章</w:t>
      </w:r>
      <w:r>
        <w:rPr>
          <w:rFonts w:ascii="Times New Roman" w:hAnsi="Times New Roman" w:eastAsia="宋体" w:cs="宋体"/>
          <w:b/>
          <w:bCs/>
          <w:w w:val="80"/>
          <w:sz w:val="36"/>
          <w:szCs w:val="36"/>
        </w:rPr>
        <w:t xml:space="preserve">  </w:t>
      </w:r>
      <w:bookmarkEnd w:id="29"/>
      <w:r>
        <w:rPr>
          <w:rFonts w:hint="eastAsia" w:ascii="Times New Roman" w:hAnsi="Times New Roman" w:eastAsia="宋体" w:cs="宋体"/>
          <w:b/>
          <w:bCs/>
          <w:w w:val="80"/>
          <w:sz w:val="36"/>
          <w:szCs w:val="36"/>
        </w:rPr>
        <w:t>投标文件的组成及格式</w:t>
      </w:r>
    </w:p>
    <w:p>
      <w:pPr>
        <w:adjustRightInd w:val="0"/>
        <w:snapToGrid w:val="0"/>
        <w:spacing w:line="420" w:lineRule="exact"/>
        <w:ind w:firstLine="487" w:firstLineChars="202"/>
        <w:jc w:val="left"/>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一、投标文件的组成</w:t>
      </w:r>
    </w:p>
    <w:p>
      <w:pPr>
        <w:adjustRightInd w:val="0"/>
        <w:snapToGrid w:val="0"/>
        <w:spacing w:line="420" w:lineRule="exact"/>
        <w:ind w:firstLine="484" w:firstLineChars="202"/>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资格后审材料文件（一个密封包，含一正四副文件）</w:t>
      </w:r>
    </w:p>
    <w:p>
      <w:pPr>
        <w:adjustRightInd w:val="0"/>
        <w:snapToGrid w:val="0"/>
        <w:spacing w:line="420" w:lineRule="exact"/>
        <w:ind w:firstLine="484" w:firstLineChars="202"/>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技术标文件（一个密封包，含一正四副文件）</w:t>
      </w:r>
    </w:p>
    <w:p>
      <w:pPr>
        <w:adjustRightInd w:val="0"/>
        <w:snapToGrid w:val="0"/>
        <w:spacing w:line="420" w:lineRule="exact"/>
        <w:ind w:firstLine="484" w:firstLineChars="202"/>
        <w:jc w:val="left"/>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价格标文件（一个密封报，含一正四副文件）</w:t>
      </w:r>
    </w:p>
    <w:p>
      <w:pPr>
        <w:snapToGrid w:val="0"/>
        <w:spacing w:line="420" w:lineRule="exact"/>
        <w:ind w:firstLine="472" w:firstLineChars="19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二、投标文件的内容</w:t>
      </w:r>
    </w:p>
    <w:p>
      <w:pPr>
        <w:snapToGrid w:val="0"/>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（一）资格后审材料文件</w:t>
      </w:r>
      <w:r>
        <w:rPr>
          <w:rFonts w:hint="eastAsia" w:ascii="Times New Roman" w:hAnsi="Times New Roman" w:eastAsia="宋体" w:cs="宋体"/>
          <w:sz w:val="24"/>
          <w:szCs w:val="24"/>
        </w:rPr>
        <w:t>（格式参见第</w:t>
      </w:r>
      <w:r>
        <w:rPr>
          <w:rFonts w:hint="eastAsia" w:ascii="Times New Roman" w:hAnsi="Times New Roman" w:eastAsia="宋体" w:cs="宋体"/>
          <w:sz w:val="24"/>
          <w:szCs w:val="24"/>
          <w:lang w:val="en-US" w:eastAsia="zh-CN"/>
        </w:rPr>
        <w:t>七</w:t>
      </w:r>
      <w:r>
        <w:rPr>
          <w:rFonts w:hint="eastAsia" w:ascii="Times New Roman" w:hAnsi="Times New Roman" w:eastAsia="宋体" w:cs="宋体"/>
          <w:sz w:val="24"/>
          <w:szCs w:val="24"/>
        </w:rPr>
        <w:t>章）（一个密封包，含一正四副文件）</w:t>
      </w:r>
      <w:r>
        <w:rPr>
          <w:rFonts w:hint="eastAsia" w:ascii="Times New Roman" w:hAnsi="Times New Roman" w:eastAsia="宋体" w:cs="宋体"/>
          <w:b/>
          <w:bCs/>
          <w:sz w:val="24"/>
          <w:szCs w:val="24"/>
        </w:rPr>
        <w:t>：</w:t>
      </w:r>
    </w:p>
    <w:p>
      <w:pPr>
        <w:snapToGrid w:val="0"/>
        <w:spacing w:line="420" w:lineRule="exact"/>
        <w:ind w:firstLine="494" w:firstLineChars="205"/>
        <w:rPr>
          <w:rFonts w:ascii="Times New Roman" w:hAnsi="Times New Roman" w:eastAsia="宋体" w:cs="Times New Roman"/>
          <w:b/>
          <w:bCs/>
          <w:sz w:val="24"/>
          <w:szCs w:val="24"/>
        </w:rPr>
      </w:pPr>
      <w:r>
        <w:rPr>
          <w:rFonts w:hint="eastAsia" w:ascii="Times New Roman" w:hAnsi="Times New Roman" w:eastAsia="宋体" w:cs="宋体"/>
          <w:b/>
          <w:bCs/>
          <w:sz w:val="24"/>
          <w:szCs w:val="24"/>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人递交的资格后审材料有弄虚作假行为，该投标人将记入不良记录，并上报有关部门，如已中标，</w:t>
      </w:r>
      <w:r>
        <w:rPr>
          <w:rFonts w:hint="eastAsia" w:ascii="Times New Roman" w:hAnsi="Times New Roman" w:eastAsia="宋体" w:cs="宋体"/>
          <w:b/>
          <w:bCs/>
          <w:sz w:val="24"/>
          <w:szCs w:val="24"/>
          <w:lang w:eastAsia="zh-CN"/>
        </w:rPr>
        <w:t>采购人</w:t>
      </w:r>
      <w:r>
        <w:rPr>
          <w:rFonts w:hint="eastAsia" w:ascii="Times New Roman" w:hAnsi="Times New Roman" w:eastAsia="宋体" w:cs="宋体"/>
          <w:b/>
          <w:bCs/>
          <w:sz w:val="24"/>
          <w:szCs w:val="24"/>
        </w:rPr>
        <w:t>有权取消其中标资格，并由该投标人承担由此带来可能的一切责任和损失。</w:t>
      </w:r>
    </w:p>
    <w:p>
      <w:pPr>
        <w:spacing w:line="420" w:lineRule="exact"/>
        <w:ind w:firstLine="484" w:firstLineChars="202"/>
        <w:rPr>
          <w:rFonts w:hint="eastAsia" w:ascii="Times New Roman" w:hAnsi="Times New Roman" w:eastAsia="宋体" w:cs="Times New Roman"/>
          <w:sz w:val="24"/>
          <w:szCs w:val="24"/>
          <w:lang w:val="en-US" w:eastAsia="zh-CN"/>
        </w:rPr>
      </w:pPr>
      <w:bookmarkStart w:id="31" w:name="_Hlk114752795"/>
      <w:r>
        <w:rPr>
          <w:rFonts w:hint="eastAsia" w:ascii="Times New Roman" w:hAnsi="Times New Roman" w:eastAsia="宋体" w:cs="Times New Roman"/>
          <w:sz w:val="24"/>
          <w:szCs w:val="24"/>
          <w:lang w:val="en-US" w:eastAsia="zh-CN"/>
        </w:rPr>
        <w:t>1.投标人符合《政府采购法》第二十二条规定条件的承诺函</w:t>
      </w:r>
      <w:r>
        <w:rPr>
          <w:rFonts w:hint="eastAsia" w:ascii="Times New Roman" w:hAnsi="Times New Roman" w:eastAsia="宋体" w:cs="Times New Roman"/>
          <w:sz w:val="24"/>
          <w:szCs w:val="24"/>
        </w:rPr>
        <w:t>（须加盖公章）</w:t>
      </w:r>
      <w:r>
        <w:rPr>
          <w:rFonts w:hint="eastAsia" w:ascii="Times New Roman" w:hAnsi="Times New Roman" w:eastAsia="宋体" w:cs="Times New Roman"/>
          <w:sz w:val="24"/>
          <w:szCs w:val="24"/>
          <w:lang w:eastAsia="zh-CN"/>
        </w:rPr>
        <w:t>。</w:t>
      </w:r>
    </w:p>
    <w:p>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供应商须提供《资格文件的声明函》（须加盖公章）。</w:t>
      </w:r>
      <w:bookmarkEnd w:id="31"/>
    </w:p>
    <w:p>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提供供应商的《营业执照》（副本）</w:t>
      </w:r>
      <w:bookmarkStart w:id="32" w:name="_Hlk180437948"/>
      <w:r>
        <w:rPr>
          <w:rFonts w:hint="eastAsia" w:ascii="Times New Roman" w:hAnsi="Times New Roman" w:eastAsia="宋体" w:cs="Times New Roman"/>
          <w:sz w:val="24"/>
          <w:szCs w:val="24"/>
        </w:rPr>
        <w:t>原件的复印件（须加盖公章）</w:t>
      </w:r>
      <w:bookmarkEnd w:id="32"/>
      <w:r>
        <w:rPr>
          <w:rFonts w:hint="eastAsia" w:ascii="Times New Roman" w:hAnsi="Times New Roman" w:eastAsia="宋体" w:cs="Times New Roman"/>
          <w:sz w:val="24"/>
          <w:szCs w:val="24"/>
        </w:rPr>
        <w:t>。</w:t>
      </w:r>
    </w:p>
    <w:p>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w:t>
      </w:r>
      <w:r>
        <w:rPr>
          <w:rFonts w:hint="eastAsia" w:ascii="Times New Roman" w:hAnsi="Times New Roman" w:eastAsia="宋体" w:cs="Times New Roman"/>
          <w:sz w:val="24"/>
          <w:szCs w:val="24"/>
        </w:rPr>
        <w:t>提供供应商的法定代表人身份证明</w:t>
      </w:r>
      <w:bookmarkStart w:id="33" w:name="_Hlk180437866"/>
      <w:r>
        <w:rPr>
          <w:rFonts w:hint="eastAsia" w:ascii="Times New Roman" w:hAnsi="Times New Roman" w:eastAsia="宋体" w:cs="Times New Roman"/>
          <w:sz w:val="24"/>
          <w:szCs w:val="24"/>
        </w:rPr>
        <w:t>（须加盖公章）</w:t>
      </w:r>
      <w:bookmarkEnd w:id="33"/>
      <w:r>
        <w:rPr>
          <w:rFonts w:hint="eastAsia" w:ascii="Times New Roman" w:hAnsi="Times New Roman" w:eastAsia="宋体" w:cs="Times New Roman"/>
          <w:sz w:val="24"/>
          <w:szCs w:val="24"/>
        </w:rPr>
        <w:t>。</w:t>
      </w:r>
    </w:p>
    <w:p>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非法定代表人而是被委托受权人参加采购活动的，必须提供法定代表人签名或盖章的授权委托书（须加盖公章）。</w:t>
      </w:r>
    </w:p>
    <w:p>
      <w:pPr>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（二）技术标文件（格式参见第</w:t>
      </w:r>
      <w:r>
        <w:rPr>
          <w:rFonts w:hint="eastAsia" w:ascii="Times New Roman" w:hAnsi="Times New Roman" w:eastAsia="宋体" w:cs="宋体"/>
          <w:b/>
          <w:bCs/>
          <w:sz w:val="24"/>
          <w:szCs w:val="24"/>
          <w:lang w:val="en-US" w:eastAsia="zh-CN"/>
        </w:rPr>
        <w:t>七</w:t>
      </w:r>
      <w:r>
        <w:rPr>
          <w:rFonts w:hint="eastAsia" w:ascii="Times New Roman" w:hAnsi="Times New Roman" w:eastAsia="宋体" w:cs="宋体"/>
          <w:b/>
          <w:bCs/>
          <w:sz w:val="24"/>
          <w:szCs w:val="24"/>
        </w:rPr>
        <w:t>章）</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pPr>
        <w:spacing w:line="420" w:lineRule="exact"/>
        <w:ind w:firstLine="487" w:firstLineChars="202"/>
        <w:rPr>
          <w:rFonts w:ascii="Times New Roman" w:hAnsi="Times New Roman" w:eastAsia="宋体" w:cs="Times New Roman"/>
          <w:b/>
          <w:bCs/>
          <w:sz w:val="24"/>
          <w:szCs w:val="24"/>
        </w:rPr>
      </w:pPr>
      <w:r>
        <w:rPr>
          <w:rFonts w:hint="eastAsia" w:ascii="Times New Roman" w:hAnsi="Times New Roman" w:eastAsia="宋体" w:cs="宋体"/>
          <w:b/>
          <w:bCs/>
          <w:sz w:val="24"/>
          <w:szCs w:val="24"/>
        </w:rPr>
        <w:t>【特别提醒】供应商应根据本招标文件第三章</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项目需求</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提供的主要技术规范，服务要求标准等，仔细阅读并在理解的基础上结合现场踏勘的资料与第四章</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评审程序和方法</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内的评审细则，编写编制技术标文件。以下技术标文件的内容，不得有缺项或漏项。否则将有可能被视为未实质性响应招标文件要求而作无效投标处理，亦可能直接影响技术评审的得分。</w:t>
      </w:r>
    </w:p>
    <w:p>
      <w:pPr>
        <w:spacing w:line="420" w:lineRule="exact"/>
        <w:ind w:firstLine="487" w:firstLineChars="202"/>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宋体"/>
          <w:b/>
          <w:bCs/>
          <w:sz w:val="24"/>
          <w:szCs w:val="24"/>
        </w:rPr>
        <w:t>投标响应函；</w:t>
      </w:r>
    </w:p>
    <w:p>
      <w:pPr>
        <w:spacing w:line="420" w:lineRule="exact"/>
        <w:ind w:firstLine="487" w:firstLineChars="202"/>
        <w:outlineLvl w:val="3"/>
        <w:rPr>
          <w:rFonts w:ascii="Times New Roman" w:hAnsi="Times New Roman" w:eastAsia="宋体" w:cs="Times New Roman"/>
          <w:sz w:val="24"/>
          <w:szCs w:val="24"/>
        </w:rPr>
      </w:pPr>
      <w:bookmarkStart w:id="34" w:name="_Hlk73448807"/>
      <w:r>
        <w:rPr>
          <w:rFonts w:ascii="Times New Roman" w:hAnsi="Times New Roman" w:eastAsia="宋体" w:cs="Times New Roman"/>
          <w:b/>
          <w:bCs/>
          <w:sz w:val="24"/>
          <w:szCs w:val="24"/>
        </w:rPr>
        <w:t>2.</w:t>
      </w:r>
      <w:r>
        <w:rPr>
          <w:rFonts w:hint="eastAsia" w:ascii="Times New Roman" w:hAnsi="Times New Roman" w:eastAsia="宋体" w:cs="宋体"/>
          <w:b/>
          <w:bCs/>
          <w:sz w:val="24"/>
          <w:szCs w:val="24"/>
        </w:rPr>
        <w:t>技术响应说明</w:t>
      </w:r>
    </w:p>
    <w:p>
      <w:pPr>
        <w:adjustRightInd w:val="0"/>
        <w:snapToGrid w:val="0"/>
        <w:spacing w:line="420" w:lineRule="exact"/>
        <w:ind w:firstLine="484" w:firstLineChars="202"/>
        <w:jc w:val="left"/>
        <w:rPr>
          <w:rFonts w:hint="eastAsia" w:ascii="Times New Roman" w:hAnsi="Times New Roman" w:eastAsia="宋体" w:cs="Times New Roman"/>
          <w:sz w:val="24"/>
          <w:szCs w:val="24"/>
          <w:lang w:eastAsia="zh-CN"/>
        </w:rPr>
      </w:pPr>
      <w:bookmarkStart w:id="35" w:name="_Hlk107418792"/>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）提供《产品技术参数响应正负偏离表》</w:t>
      </w:r>
      <w:r>
        <w:rPr>
          <w:rFonts w:hint="eastAsia" w:ascii="Times New Roman" w:hAnsi="Times New Roman" w:eastAsia="宋体" w:cs="宋体"/>
          <w:b/>
          <w:bCs/>
          <w:sz w:val="24"/>
          <w:szCs w:val="24"/>
          <w:u w:val="thick" w:color="FF0000"/>
        </w:rPr>
        <w:t>（格式，不得变动，必须提供）</w:t>
      </w:r>
      <w:r>
        <w:rPr>
          <w:rFonts w:hint="eastAsia" w:ascii="Times New Roman" w:hAnsi="Times New Roman" w:eastAsia="宋体" w:cs="宋体"/>
          <w:b/>
          <w:bCs/>
          <w:sz w:val="24"/>
          <w:szCs w:val="24"/>
          <w:u w:val="thick" w:color="FF0000"/>
          <w:lang w:eastAsia="zh-CN"/>
        </w:rPr>
        <w:t>；</w:t>
      </w:r>
    </w:p>
    <w:bookmarkEnd w:id="35"/>
    <w:p>
      <w:pPr>
        <w:adjustRightInd w:val="0"/>
        <w:snapToGrid w:val="0"/>
        <w:spacing w:line="420" w:lineRule="exact"/>
        <w:ind w:firstLine="484" w:firstLineChars="202"/>
        <w:jc w:val="left"/>
        <w:rPr>
          <w:rFonts w:hint="eastAsia" w:ascii="Times New Roman" w:hAnsi="Times New Roman" w:eastAsia="宋体" w:cs="宋体"/>
          <w:sz w:val="24"/>
          <w:szCs w:val="24"/>
          <w:lang w:eastAsia="zh-CN"/>
        </w:rPr>
      </w:pPr>
      <w:bookmarkStart w:id="36" w:name="_Hlk117208592"/>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提供《</w:t>
      </w:r>
      <w:r>
        <w:rPr>
          <w:rFonts w:hint="eastAsia" w:ascii="Times New Roman" w:hAnsi="Times New Roman" w:eastAsia="宋体" w:cs="宋体"/>
          <w:sz w:val="24"/>
          <w:szCs w:val="24"/>
          <w:lang w:eastAsia="zh-CN"/>
        </w:rPr>
        <w:t>商务条款偏离表</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w:t>
      </w:r>
    </w:p>
    <w:p>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）提供招标文件第四章第四条“</w:t>
      </w:r>
      <w:r>
        <w:rPr>
          <w:rFonts w:hint="eastAsia" w:ascii="Times New Roman" w:hAnsi="Times New Roman" w:eastAsia="宋体" w:cs="宋体"/>
          <w:sz w:val="24"/>
          <w:szCs w:val="24"/>
          <w:lang w:val="en-US" w:eastAsia="zh-CN"/>
        </w:rPr>
        <w:t>技术标</w:t>
      </w:r>
      <w:r>
        <w:rPr>
          <w:rFonts w:hint="eastAsia" w:ascii="Times New Roman" w:hAnsi="Times New Roman" w:eastAsia="宋体" w:cs="宋体"/>
          <w:sz w:val="24"/>
          <w:szCs w:val="24"/>
        </w:rPr>
        <w:t>评审评分因素”中涉及评分标准而需提供的所有材料；</w:t>
      </w:r>
    </w:p>
    <w:p>
      <w:pPr>
        <w:adjustRightInd w:val="0"/>
        <w:snapToGrid w:val="0"/>
        <w:spacing w:line="420" w:lineRule="exact"/>
        <w:ind w:firstLine="484" w:firstLineChars="202"/>
        <w:jc w:val="left"/>
        <w:rPr>
          <w:rFonts w:ascii="Times New Roman" w:hAnsi="Times New Roman" w:eastAsia="宋体" w:cs="宋体"/>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）招标文件中未涉及的事项，供应商认为需要提交的其他材料。</w:t>
      </w:r>
    </w:p>
    <w:bookmarkEnd w:id="34"/>
    <w:bookmarkEnd w:id="36"/>
    <w:p>
      <w:pPr>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（三）价格标文件（格式参见第</w:t>
      </w:r>
      <w:r>
        <w:rPr>
          <w:rFonts w:hint="eastAsia" w:ascii="Times New Roman" w:hAnsi="Times New Roman" w:eastAsia="宋体" w:cs="宋体"/>
          <w:b/>
          <w:bCs/>
          <w:sz w:val="24"/>
          <w:szCs w:val="24"/>
          <w:lang w:val="en-US" w:eastAsia="zh-CN"/>
        </w:rPr>
        <w:t>七</w:t>
      </w:r>
      <w:r>
        <w:rPr>
          <w:rFonts w:hint="eastAsia" w:ascii="Times New Roman" w:hAnsi="Times New Roman" w:eastAsia="宋体" w:cs="宋体"/>
          <w:b/>
          <w:bCs/>
          <w:sz w:val="24"/>
          <w:szCs w:val="24"/>
        </w:rPr>
        <w:t>章）</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pPr>
        <w:spacing w:line="440" w:lineRule="exact"/>
        <w:ind w:firstLine="484" w:firstLineChars="202"/>
        <w:rPr>
          <w:rFonts w:ascii="Times New Roman" w:hAnsi="Times New Roman" w:eastAsia="宋体" w:cs="Times New Roman"/>
          <w:sz w:val="24"/>
          <w:szCs w:val="24"/>
        </w:rPr>
      </w:pPr>
      <w:bookmarkStart w:id="37" w:name="_Hlk528026460"/>
      <w:r>
        <w:rPr>
          <w:rFonts w:hint="eastAsia" w:ascii="Times New Roman" w:hAnsi="Times New Roman" w:eastAsia="宋体" w:cs="宋体"/>
          <w:sz w:val="24"/>
          <w:szCs w:val="24"/>
        </w:rPr>
        <w:t>【特别提醒】价格标文件中的报价，包括本招标文件规定涵盖的所有招标范围及相应说明的全部内容及费用。</w:t>
      </w:r>
    </w:p>
    <w:bookmarkEnd w:id="37"/>
    <w:p>
      <w:pPr>
        <w:numPr>
          <w:ilvl w:val="0"/>
          <w:numId w:val="8"/>
        </w:numPr>
        <w:adjustRightInd w:val="0"/>
        <w:snapToGrid w:val="0"/>
        <w:spacing w:line="420" w:lineRule="exact"/>
        <w:ind w:firstLine="484" w:firstLineChars="202"/>
        <w:jc w:val="left"/>
        <w:rPr>
          <w:rFonts w:hint="eastAsia" w:ascii="Times New Roman" w:hAnsi="Times New Roman" w:eastAsia="宋体" w:cs="宋体"/>
          <w:sz w:val="24"/>
          <w:szCs w:val="24"/>
        </w:rPr>
      </w:pPr>
      <w:r>
        <w:rPr>
          <w:rFonts w:hint="eastAsia" w:ascii="Times New Roman" w:hAnsi="Times New Roman" w:eastAsia="宋体" w:cs="宋体"/>
          <w:sz w:val="24"/>
          <w:szCs w:val="24"/>
        </w:rPr>
        <w:t>投标报价</w:t>
      </w:r>
      <w:r>
        <w:rPr>
          <w:rFonts w:hint="eastAsia" w:ascii="Times New Roman" w:hAnsi="Times New Roman" w:eastAsia="宋体" w:cs="宋体"/>
          <w:sz w:val="24"/>
          <w:szCs w:val="24"/>
          <w:lang w:val="en-US" w:eastAsia="zh-CN"/>
        </w:rPr>
        <w:t>总</w:t>
      </w:r>
      <w:r>
        <w:rPr>
          <w:rFonts w:hint="eastAsia" w:ascii="Times New Roman" w:hAnsi="Times New Roman" w:eastAsia="宋体" w:cs="宋体"/>
          <w:sz w:val="24"/>
          <w:szCs w:val="24"/>
        </w:rPr>
        <w:t>表</w:t>
      </w:r>
    </w:p>
    <w:p>
      <w:pPr>
        <w:numPr>
          <w:ilvl w:val="0"/>
          <w:numId w:val="8"/>
        </w:numPr>
        <w:adjustRightInd w:val="0"/>
        <w:snapToGrid w:val="0"/>
        <w:spacing w:line="420" w:lineRule="exact"/>
        <w:ind w:firstLine="484" w:firstLineChars="202"/>
        <w:jc w:val="left"/>
        <w:rPr>
          <w:rFonts w:hint="eastAsia" w:ascii="Times New Roman" w:hAnsi="Times New Roman" w:eastAsia="宋体" w:cs="宋体"/>
          <w:sz w:val="24"/>
          <w:szCs w:val="24"/>
        </w:rPr>
      </w:pPr>
      <w:r>
        <w:rPr>
          <w:rFonts w:hint="eastAsia" w:ascii="Times New Roman" w:hAnsi="Times New Roman" w:eastAsia="宋体" w:cs="宋体"/>
          <w:sz w:val="24"/>
          <w:szCs w:val="24"/>
        </w:rPr>
        <w:t>投标报价</w:t>
      </w:r>
      <w:r>
        <w:rPr>
          <w:rFonts w:hint="eastAsia" w:ascii="Times New Roman" w:hAnsi="Times New Roman" w:eastAsia="宋体" w:cs="宋体"/>
          <w:sz w:val="24"/>
          <w:szCs w:val="24"/>
          <w:lang w:val="en-US" w:eastAsia="zh-CN"/>
        </w:rPr>
        <w:t>明细</w:t>
      </w:r>
      <w:r>
        <w:rPr>
          <w:rFonts w:hint="eastAsia" w:ascii="Times New Roman" w:hAnsi="Times New Roman" w:eastAsia="宋体" w:cs="宋体"/>
          <w:sz w:val="24"/>
          <w:szCs w:val="24"/>
        </w:rPr>
        <w:t>表。</w:t>
      </w:r>
    </w:p>
    <w:p>
      <w:pPr>
        <w:adjustRightInd w:val="0"/>
        <w:snapToGrid w:val="0"/>
        <w:spacing w:line="420" w:lineRule="exact"/>
        <w:ind w:firstLine="487" w:firstLineChars="202"/>
        <w:jc w:val="left"/>
        <w:outlineLvl w:val="1"/>
        <w:rPr>
          <w:rFonts w:hint="eastAsia" w:ascii="Times New Roman" w:hAnsi="Times New Roman" w:eastAsia="宋体" w:cs="宋体"/>
          <w:b/>
          <w:bCs/>
          <w:sz w:val="24"/>
          <w:szCs w:val="24"/>
        </w:rPr>
      </w:pPr>
    </w:p>
    <w:p>
      <w:pPr>
        <w:adjustRightInd w:val="0"/>
        <w:snapToGrid w:val="0"/>
        <w:spacing w:line="420" w:lineRule="exact"/>
        <w:ind w:firstLine="487" w:firstLineChars="202"/>
        <w:jc w:val="left"/>
        <w:outlineLvl w:val="1"/>
        <w:rPr>
          <w:rFonts w:hint="eastAsia" w:ascii="Times New Roman" w:hAnsi="Times New Roman" w:eastAsia="宋体" w:cs="宋体"/>
          <w:b/>
          <w:bCs/>
          <w:sz w:val="24"/>
          <w:szCs w:val="24"/>
        </w:rPr>
      </w:pPr>
    </w:p>
    <w:p>
      <w:pPr>
        <w:adjustRightInd w:val="0"/>
        <w:snapToGrid w:val="0"/>
        <w:spacing w:line="420" w:lineRule="exact"/>
        <w:ind w:firstLine="487" w:firstLineChars="202"/>
        <w:jc w:val="left"/>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三、投标响应文件封面范例</w:t>
      </w:r>
    </w:p>
    <w:tbl>
      <w:tblPr>
        <w:tblStyle w:val="70"/>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tcPr>
          <w:p>
            <w:pPr>
              <w:spacing w:before="240" w:beforeLines="100" w:line="420" w:lineRule="exact"/>
              <w:jc w:val="center"/>
              <w:rPr>
                <w:rFonts w:ascii="Times New Roman" w:hAnsi="Times New Roman" w:eastAsia="宋体" w:cs="Times New Roman"/>
                <w:sz w:val="24"/>
                <w:szCs w:val="24"/>
              </w:rPr>
            </w:pPr>
          </w:p>
          <w:p>
            <w:pPr>
              <w:spacing w:before="240" w:beforeLines="100" w:line="420" w:lineRule="exact"/>
              <w:jc w:val="center"/>
              <w:rPr>
                <w:rFonts w:ascii="Times New Roman" w:hAnsi="Times New Roman" w:eastAsia="宋体" w:cs="Times New Roman"/>
                <w:sz w:val="36"/>
                <w:szCs w:val="36"/>
              </w:rPr>
            </w:pPr>
            <w:r>
              <w:rPr>
                <w:rFonts w:hint="eastAsia" w:ascii="Times New Roman" w:hAnsi="Times New Roman" w:eastAsia="宋体" w:cs="宋体"/>
                <w:sz w:val="36"/>
                <w:szCs w:val="36"/>
                <w:lang w:eastAsia="zh-CN"/>
              </w:rPr>
              <w:t xml:space="preserve"> 南通市口腔医院内外网文件摆渡系统采购项目</w:t>
            </w:r>
          </w:p>
          <w:p>
            <w:pPr>
              <w:spacing w:before="240" w:beforeLines="100" w:line="420" w:lineRule="exact"/>
              <w:jc w:val="center"/>
              <w:rPr>
                <w:rFonts w:ascii="Times New Roman" w:hAnsi="Times New Roman" w:eastAsia="宋体" w:cs="Times New Roman"/>
                <w:sz w:val="36"/>
                <w:szCs w:val="36"/>
              </w:rPr>
            </w:pPr>
          </w:p>
          <w:p>
            <w:pPr>
              <w:spacing w:before="240" w:beforeLines="100" w:line="420" w:lineRule="exact"/>
              <w:jc w:val="center"/>
              <w:rPr>
                <w:rFonts w:ascii="Times New Roman" w:hAnsi="Times New Roman" w:eastAsia="宋体" w:cs="Times New Roman"/>
                <w:sz w:val="44"/>
                <w:szCs w:val="44"/>
              </w:rPr>
            </w:pPr>
            <w:r>
              <w:rPr>
                <w:rFonts w:hint="eastAsia" w:ascii="Times New Roman" w:hAnsi="Times New Roman" w:eastAsia="宋体" w:cs="宋体"/>
                <w:sz w:val="44"/>
                <w:szCs w:val="44"/>
              </w:rPr>
              <w:t>投标文件</w:t>
            </w:r>
          </w:p>
          <w:p>
            <w:pPr>
              <w:spacing w:line="420" w:lineRule="exact"/>
              <w:jc w:val="center"/>
              <w:rPr>
                <w:rFonts w:ascii="Times New Roman" w:hAnsi="Times New Roman" w:eastAsia="宋体" w:cs="Times New Roman"/>
                <w:sz w:val="24"/>
                <w:szCs w:val="24"/>
              </w:rPr>
            </w:pPr>
          </w:p>
          <w:p>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投标文件，相应填写：资格后审材料文件</w:t>
            </w:r>
          </w:p>
          <w:p>
            <w:pPr>
              <w:spacing w:line="420" w:lineRule="exact"/>
              <w:ind w:firstLine="5040" w:firstLineChars="2100"/>
              <w:jc w:val="left"/>
              <w:rPr>
                <w:rFonts w:ascii="Times New Roman" w:hAnsi="Times New Roman" w:eastAsia="宋体" w:cs="Times New Roman"/>
                <w:sz w:val="24"/>
                <w:szCs w:val="24"/>
              </w:rPr>
            </w:pPr>
            <w:r>
              <w:rPr>
                <w:rFonts w:hint="eastAsia" w:ascii="Times New Roman" w:hAnsi="Times New Roman" w:eastAsia="宋体" w:cs="宋体"/>
                <w:sz w:val="24"/>
                <w:szCs w:val="24"/>
              </w:rPr>
              <w:t>技术标文件</w:t>
            </w:r>
          </w:p>
          <w:p>
            <w:pPr>
              <w:spacing w:line="420" w:lineRule="exact"/>
              <w:ind w:firstLine="5040" w:firstLineChars="2100"/>
              <w:jc w:val="left"/>
              <w:rPr>
                <w:rFonts w:ascii="Times New Roman" w:hAnsi="Times New Roman" w:eastAsia="宋体" w:cs="Times New Roman"/>
                <w:sz w:val="24"/>
                <w:szCs w:val="24"/>
              </w:rPr>
            </w:pPr>
            <w:r>
              <w:rPr>
                <w:rFonts w:hint="eastAsia" w:ascii="Times New Roman" w:hAnsi="Times New Roman" w:eastAsia="宋体" w:cs="宋体"/>
                <w:sz w:val="24"/>
                <w:szCs w:val="24"/>
              </w:rPr>
              <w:t>价格标文件</w:t>
            </w:r>
          </w:p>
          <w:p>
            <w:pPr>
              <w:spacing w:line="420" w:lineRule="exact"/>
              <w:jc w:val="center"/>
              <w:rPr>
                <w:rFonts w:ascii="Times New Roman" w:hAnsi="Times New Roman" w:eastAsia="宋体" w:cs="Times New Roman"/>
                <w:sz w:val="24"/>
                <w:szCs w:val="24"/>
              </w:rPr>
            </w:pPr>
          </w:p>
          <w:p>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（资格后审）</w:t>
            </w:r>
          </w:p>
          <w:p>
            <w:pPr>
              <w:snapToGrid w:val="0"/>
              <w:spacing w:line="420" w:lineRule="exact"/>
              <w:jc w:val="center"/>
              <w:rPr>
                <w:rFonts w:hint="eastAsia" w:ascii="Times New Roman" w:hAnsi="Times New Roman" w:eastAsia="宋体" w:cs="Times New Roman"/>
                <w:sz w:val="24"/>
                <w:szCs w:val="24"/>
                <w:lang w:eastAsia="zh-CN"/>
              </w:rPr>
            </w:pPr>
            <w:r>
              <w:rPr>
                <w:rFonts w:hint="eastAsia" w:ascii="Times New Roman" w:hAnsi="Times New Roman" w:eastAsia="宋体" w:cs="宋体"/>
                <w:sz w:val="24"/>
                <w:szCs w:val="24"/>
              </w:rPr>
              <w:t>项目编号：</w:t>
            </w:r>
            <w:r>
              <w:rPr>
                <w:rFonts w:hint="eastAsia" w:ascii="Times New Roman" w:hAnsi="Times New Roman" w:eastAsia="宋体" w:cs="宋体"/>
                <w:sz w:val="24"/>
                <w:szCs w:val="24"/>
                <w:lang w:eastAsia="zh-CN"/>
              </w:rPr>
              <w:t>NTSKQYYCG2025003</w:t>
            </w:r>
          </w:p>
          <w:p>
            <w:pPr>
              <w:snapToGrid w:val="0"/>
              <w:spacing w:line="420" w:lineRule="exact"/>
              <w:jc w:val="center"/>
              <w:rPr>
                <w:rFonts w:ascii="Times New Roman" w:hAnsi="Times New Roman" w:eastAsia="宋体" w:cs="Times New Roman"/>
                <w:b/>
                <w:bCs/>
                <w:spacing w:val="20"/>
                <w:sz w:val="24"/>
                <w:szCs w:val="24"/>
              </w:rPr>
            </w:pPr>
          </w:p>
          <w:p>
            <w:pPr>
              <w:snapToGrid w:val="0"/>
              <w:spacing w:line="420" w:lineRule="exact"/>
              <w:jc w:val="center"/>
              <w:rPr>
                <w:rFonts w:ascii="Times New Roman" w:hAnsi="Times New Roman" w:eastAsia="宋体" w:cs="Times New Roman"/>
                <w:b/>
                <w:bCs/>
                <w:spacing w:val="20"/>
                <w:sz w:val="24"/>
                <w:szCs w:val="24"/>
              </w:rPr>
            </w:pPr>
          </w:p>
          <w:p>
            <w:pPr>
              <w:snapToGrid w:val="0"/>
              <w:spacing w:line="420" w:lineRule="exact"/>
              <w:jc w:val="center"/>
              <w:rPr>
                <w:rFonts w:ascii="Times New Roman" w:hAnsi="Times New Roman" w:eastAsia="宋体" w:cs="Times New Roman"/>
                <w:b/>
                <w:bCs/>
                <w:spacing w:val="20"/>
                <w:sz w:val="24"/>
                <w:szCs w:val="24"/>
              </w:rPr>
            </w:pPr>
          </w:p>
          <w:p>
            <w:pPr>
              <w:snapToGrid w:val="0"/>
              <w:spacing w:line="420" w:lineRule="exact"/>
              <w:jc w:val="center"/>
              <w:rPr>
                <w:rFonts w:ascii="Times New Roman" w:hAnsi="Times New Roman" w:eastAsia="宋体" w:cs="Times New Roman"/>
                <w:b/>
                <w:bCs/>
                <w:spacing w:val="20"/>
                <w:sz w:val="24"/>
                <w:szCs w:val="24"/>
              </w:rPr>
            </w:pPr>
          </w:p>
          <w:p>
            <w:pPr>
              <w:adjustRightInd w:val="0"/>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投标人：供应商单位全称</w:t>
            </w:r>
          </w:p>
          <w:p>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二〇二</w:t>
            </w:r>
            <w:r>
              <w:rPr>
                <w:rFonts w:hint="eastAsia" w:ascii="Times New Roman" w:hAnsi="Times New Roman" w:eastAsia="宋体" w:cs="宋体"/>
                <w:sz w:val="24"/>
                <w:szCs w:val="24"/>
                <w:lang w:val="en-US" w:eastAsia="zh-CN"/>
              </w:rPr>
              <w:t>五</w:t>
            </w: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pPr>
              <w:snapToGrid w:val="0"/>
              <w:spacing w:line="420" w:lineRule="exact"/>
              <w:jc w:val="center"/>
              <w:rPr>
                <w:rFonts w:ascii="Times New Roman" w:hAnsi="Times New Roman" w:eastAsia="宋体" w:cs="Times New Roman"/>
                <w:sz w:val="24"/>
                <w:szCs w:val="24"/>
              </w:rPr>
            </w:pPr>
          </w:p>
        </w:tc>
      </w:tr>
    </w:tbl>
    <w:p>
      <w:pPr>
        <w:adjustRightInd w:val="0"/>
        <w:snapToGrid w:val="0"/>
        <w:spacing w:line="420" w:lineRule="exact"/>
        <w:ind w:firstLine="487" w:firstLineChars="202"/>
        <w:jc w:val="left"/>
        <w:outlineLvl w:val="1"/>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pPr>
        <w:adjustRightInd w:val="0"/>
        <w:snapToGrid w:val="0"/>
        <w:spacing w:line="420" w:lineRule="exact"/>
        <w:ind w:firstLine="487" w:firstLineChars="202"/>
        <w:jc w:val="left"/>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四、投标响应文件</w:t>
      </w:r>
    </w:p>
    <w:p>
      <w:pPr>
        <w:adjustRightInd w:val="0"/>
        <w:snapToGrid w:val="0"/>
        <w:spacing w:line="420" w:lineRule="exact"/>
        <w:ind w:firstLine="566" w:firstLineChars="235"/>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（一）资格后审材料文件（</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1</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资格后审材料相关格式文件</w:t>
      </w:r>
    </w:p>
    <w:p>
      <w:pPr>
        <w:jc w:val="center"/>
        <w:rPr>
          <w:rFonts w:ascii="Times New Roman"/>
          <w:b/>
          <w:color w:val="000000"/>
          <w:sz w:val="30"/>
          <w:szCs w:val="30"/>
        </w:rPr>
      </w:pPr>
    </w:p>
    <w:p>
      <w:pPr>
        <w:adjustRightInd w:val="0"/>
        <w:snapToGrid w:val="0"/>
        <w:spacing w:line="420" w:lineRule="exact"/>
        <w:ind w:firstLine="723" w:firstLineChars="300"/>
        <w:jc w:val="left"/>
        <w:outlineLvl w:val="4"/>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符合《政府采购法》第二十二条规定条件的声明函</w:t>
      </w:r>
    </w:p>
    <w:p>
      <w:pPr>
        <w:snapToGrid w:val="0"/>
        <w:spacing w:before="240" w:beforeLines="100" w:after="240" w:afterLines="100"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投标人符合《政府采购法》第二十二条规定条件的声明函</w:t>
      </w:r>
    </w:p>
    <w:p>
      <w:pPr>
        <w:spacing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p>
      <w:pPr>
        <w:spacing w:line="520" w:lineRule="exact"/>
        <w:ind w:firstLine="480" w:firstLineChars="200"/>
        <w:rPr>
          <w:rFonts w:hint="eastAsia" w:ascii="宋体" w:hAnsi="宋体" w:eastAsia="宋体" w:cs="宋体"/>
          <w:b/>
          <w:bCs/>
          <w:color w:val="000000"/>
          <w:sz w:val="24"/>
          <w:szCs w:val="24"/>
        </w:rPr>
      </w:pPr>
      <w:r>
        <w:rPr>
          <w:rFonts w:hint="eastAsia" w:ascii="宋体" w:hAnsi="宋体" w:eastAsia="宋体" w:cs="宋体"/>
          <w:bCs/>
          <w:color w:val="000000"/>
          <w:sz w:val="24"/>
          <w:szCs w:val="24"/>
        </w:rPr>
        <w:t>我单位参加</w:t>
      </w:r>
      <w:r>
        <w:rPr>
          <w:rFonts w:hint="eastAsia" w:ascii="宋体" w:hAnsi="宋体" w:eastAsia="宋体" w:cs="宋体"/>
          <w:bCs/>
          <w:color w:val="000000"/>
          <w:sz w:val="24"/>
          <w:szCs w:val="24"/>
          <w:u w:val="single"/>
        </w:rPr>
        <w:t>________________ _</w:t>
      </w:r>
      <w:r>
        <w:rPr>
          <w:rFonts w:hint="eastAsia" w:ascii="宋体" w:hAnsi="宋体" w:eastAsia="宋体" w:cs="宋体"/>
          <w:bCs/>
          <w:color w:val="000000"/>
          <w:sz w:val="24"/>
          <w:szCs w:val="24"/>
        </w:rPr>
        <w:t>（项目名称），</w:t>
      </w:r>
      <w:r>
        <w:rPr>
          <w:rFonts w:hint="eastAsia" w:ascii="宋体" w:hAnsi="宋体" w:eastAsia="宋体" w:cs="宋体"/>
          <w:bCs/>
          <w:color w:val="000000"/>
          <w:sz w:val="24"/>
          <w:szCs w:val="24"/>
          <w:u w:val="single"/>
        </w:rPr>
        <w:t>_______ __________</w:t>
      </w:r>
      <w:r>
        <w:rPr>
          <w:rFonts w:hint="eastAsia" w:ascii="宋体" w:hAnsi="宋体" w:eastAsia="宋体" w:cs="宋体"/>
          <w:bCs/>
          <w:color w:val="000000"/>
          <w:sz w:val="24"/>
          <w:szCs w:val="24"/>
        </w:rPr>
        <w:t>（项目编号）投标活动。针对《中华人民共和国政府采购法》第二十二条规定做出如下声明：</w:t>
      </w:r>
    </w:p>
    <w:p>
      <w:pPr>
        <w:spacing w:line="520" w:lineRule="exact"/>
        <w:ind w:firstLine="482"/>
        <w:rPr>
          <w:rFonts w:hint="eastAsia" w:ascii="宋体" w:hAnsi="宋体" w:eastAsia="宋体" w:cs="宋体"/>
          <w:color w:val="000000"/>
          <w:sz w:val="24"/>
          <w:szCs w:val="24"/>
        </w:rPr>
      </w:pPr>
      <w:r>
        <w:rPr>
          <w:rFonts w:hint="eastAsia" w:ascii="宋体" w:hAnsi="宋体" w:eastAsia="宋体" w:cs="宋体"/>
          <w:bCs/>
          <w:color w:val="000000"/>
          <w:sz w:val="24"/>
          <w:szCs w:val="24"/>
        </w:rPr>
        <w:t>1.我单位具有独立承担民事责任的能力；</w:t>
      </w:r>
    </w:p>
    <w:p>
      <w:pPr>
        <w:spacing w:line="520" w:lineRule="exact"/>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2.我单位具有良好的商业信誉和健全的财务会计制度；</w:t>
      </w:r>
    </w:p>
    <w:p>
      <w:pPr>
        <w:spacing w:line="520" w:lineRule="exact"/>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3.我单位具有履行合同所必需的设备和专业技术能力；</w:t>
      </w:r>
    </w:p>
    <w:p>
      <w:pPr>
        <w:spacing w:line="520" w:lineRule="exact"/>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4.我单位有依法缴纳税收和社会保障资金的良好记录；</w:t>
      </w:r>
    </w:p>
    <w:p>
      <w:pPr>
        <w:spacing w:line="520" w:lineRule="exact"/>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6.我单位满足法律、行政法规规定的其他条件。</w:t>
      </w:r>
    </w:p>
    <w:p>
      <w:pPr>
        <w:spacing w:line="500" w:lineRule="exact"/>
        <w:ind w:firstLine="482"/>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p>
      <w:pPr>
        <w:spacing w:line="500" w:lineRule="exact"/>
        <w:rPr>
          <w:rFonts w:hint="eastAsia" w:ascii="宋体" w:hAnsi="宋体" w:eastAsia="宋体" w:cs="宋体"/>
          <w:bCs/>
          <w:color w:val="000000"/>
          <w:sz w:val="24"/>
          <w:szCs w:val="24"/>
        </w:rPr>
      </w:pPr>
    </w:p>
    <w:p>
      <w:pPr>
        <w:spacing w:line="500" w:lineRule="exact"/>
        <w:rPr>
          <w:rFonts w:hint="eastAsia" w:ascii="宋体" w:hAnsi="宋体" w:eastAsia="宋体" w:cs="宋体"/>
          <w:bCs/>
          <w:color w:val="000000"/>
          <w:sz w:val="24"/>
          <w:szCs w:val="24"/>
        </w:rPr>
      </w:pPr>
    </w:p>
    <w:p>
      <w:pPr>
        <w:spacing w:line="500" w:lineRule="exact"/>
        <w:rPr>
          <w:rFonts w:hint="eastAsia" w:ascii="宋体" w:hAnsi="宋体" w:eastAsia="宋体" w:cs="宋体"/>
          <w:bCs/>
          <w:color w:val="000000"/>
          <w:sz w:val="24"/>
          <w:szCs w:val="24"/>
        </w:rPr>
      </w:pPr>
    </w:p>
    <w:p>
      <w:pPr>
        <w:spacing w:line="4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承诺人名称（公章）：</w:t>
      </w:r>
    </w:p>
    <w:p>
      <w:pPr>
        <w:spacing w:line="460" w:lineRule="exact"/>
        <w:jc w:val="righ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p>
      <w:pPr>
        <w:spacing w:line="460" w:lineRule="exact"/>
        <w:jc w:val="righ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日期：</w:t>
      </w:r>
      <w:r>
        <w:rPr>
          <w:rFonts w:hint="eastAsia" w:ascii="宋体" w:hAnsi="宋体" w:eastAsia="宋体" w:cs="宋体"/>
          <w:bCs/>
          <w:color w:val="000000"/>
          <w:sz w:val="24"/>
          <w:szCs w:val="24"/>
          <w:u w:val="single"/>
        </w:rPr>
        <w:t>______</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w:t>
      </w:r>
    </w:p>
    <w:p>
      <w:pPr>
        <w:adjustRightInd w:val="0"/>
        <w:snapToGrid w:val="0"/>
        <w:spacing w:line="420" w:lineRule="exact"/>
        <w:ind w:firstLine="566" w:firstLineChars="235"/>
        <w:jc w:val="left"/>
        <w:outlineLvl w:val="4"/>
        <w:rPr>
          <w:rFonts w:hint="eastAsia" w:ascii="Times New Roman" w:hAnsi="Times New Roman" w:eastAsia="宋体" w:cs="Times New Roman"/>
          <w:b/>
          <w:bCs/>
          <w:sz w:val="24"/>
          <w:szCs w:val="24"/>
        </w:rPr>
      </w:pPr>
    </w:p>
    <w:p>
      <w:pPr>
        <w:adjustRightInd w:val="0"/>
        <w:snapToGrid w:val="0"/>
        <w:spacing w:line="420" w:lineRule="exact"/>
        <w:ind w:firstLine="566" w:firstLineChars="235"/>
        <w:jc w:val="left"/>
        <w:outlineLvl w:val="4"/>
        <w:rPr>
          <w:rFonts w:hint="eastAsia" w:ascii="Times New Roman" w:hAnsi="Times New Roman" w:eastAsia="宋体" w:cs="Times New Roman"/>
          <w:b/>
          <w:bCs/>
          <w:sz w:val="24"/>
          <w:szCs w:val="24"/>
        </w:rPr>
      </w:pPr>
    </w:p>
    <w:p>
      <w:pPr>
        <w:adjustRightInd w:val="0"/>
        <w:snapToGrid w:val="0"/>
        <w:spacing w:line="420" w:lineRule="exact"/>
        <w:jc w:val="left"/>
        <w:outlineLvl w:val="4"/>
        <w:rPr>
          <w:rFonts w:hint="eastAsia" w:ascii="Times New Roman" w:hAnsi="Times New Roman" w:eastAsia="宋体" w:cs="Times New Roman"/>
          <w:b/>
          <w:bCs/>
          <w:sz w:val="24"/>
          <w:szCs w:val="24"/>
        </w:rPr>
      </w:pPr>
    </w:p>
    <w:p>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b/>
          <w:bCs/>
          <w:sz w:val="24"/>
          <w:szCs w:val="24"/>
        </w:rPr>
        <w:t>）</w:t>
      </w:r>
      <w:bookmarkStart w:id="38" w:name="_Hlk183378939"/>
      <w:r>
        <w:rPr>
          <w:rFonts w:hint="eastAsia" w:ascii="Times New Roman" w:hAnsi="Times New Roman" w:eastAsia="宋体" w:cs="Times New Roman"/>
          <w:b/>
          <w:bCs/>
          <w:sz w:val="24"/>
          <w:szCs w:val="24"/>
        </w:rPr>
        <w:t>资格文件的声明函</w:t>
      </w:r>
      <w:bookmarkEnd w:id="38"/>
    </w:p>
    <w:p>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资格文件的声明函</w:t>
      </w:r>
    </w:p>
    <w:p>
      <w:pPr>
        <w:snapToGrid w:val="0"/>
        <w:spacing w:before="240" w:beforeLines="100" w:after="240" w:afterLines="100" w:line="420" w:lineRule="exact"/>
        <w:rPr>
          <w:rFonts w:ascii="Times New Roman" w:hAnsi="Times New Roman" w:eastAsia="宋体" w:cs="Times New Roman"/>
          <w:sz w:val="24"/>
          <w:szCs w:val="24"/>
        </w:rPr>
      </w:pPr>
      <w:r>
        <w:rPr>
          <w:rFonts w:hint="eastAsia" w:ascii="Times New Roman" w:hAnsi="Times New Roman" w:eastAsia="宋体" w:cs="宋体"/>
          <w:sz w:val="24"/>
          <w:szCs w:val="24"/>
          <w:lang w:eastAsia="zh-CN"/>
        </w:rPr>
        <w:t>南通市口腔医院</w:t>
      </w:r>
      <w:r>
        <w:rPr>
          <w:rFonts w:hint="eastAsia" w:ascii="Times New Roman" w:hAnsi="Times New Roman" w:eastAsia="宋体" w:cs="宋体"/>
          <w:sz w:val="24"/>
          <w:szCs w:val="24"/>
        </w:rPr>
        <w:t>：</w:t>
      </w:r>
    </w:p>
    <w:p>
      <w:pPr>
        <w:overflowPunct w:val="0"/>
        <w:adjustRightInd w:val="0"/>
        <w:spacing w:line="420" w:lineRule="exact"/>
        <w:ind w:firstLine="660"/>
        <w:jc w:val="left"/>
        <w:textAlignment w:val="baseline"/>
        <w:rPr>
          <w:rFonts w:ascii="Times New Roman" w:hAnsi="Times New Roman" w:eastAsia="宋体" w:cs="Times New Roman"/>
          <w:sz w:val="24"/>
          <w:szCs w:val="24"/>
        </w:rPr>
      </w:pPr>
      <w:r>
        <w:rPr>
          <w:rFonts w:hint="eastAsia" w:ascii="Times New Roman" w:hAnsi="Times New Roman" w:eastAsia="宋体" w:cs="宋体"/>
          <w:sz w:val="24"/>
          <w:szCs w:val="24"/>
        </w:rPr>
        <w:t>我</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（法人、其他组织名称）</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愿就由贵单位委托招标代理机构组织实施的</w:t>
      </w:r>
      <w:bookmarkStart w:id="39" w:name="_Hlk117207392"/>
      <w:bookmarkStart w:id="40" w:name="_Hlk116778175"/>
      <w:r>
        <w:rPr>
          <w:rFonts w:hint="eastAsia" w:ascii="Times New Roman" w:hAnsi="Times New Roman" w:eastAsia="宋体" w:cs="宋体"/>
          <w:sz w:val="24"/>
          <w:szCs w:val="24"/>
        </w:rPr>
        <w:t>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eastAsia="zh-CN"/>
        </w:rPr>
        <w:t>NTSKQYYCG2025003</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lang w:eastAsia="zh-CN"/>
        </w:rPr>
        <w:t>南通市口腔医院内外网文件摆渡系统采购项目</w:t>
      </w:r>
      <w:r>
        <w:rPr>
          <w:rFonts w:ascii="Times New Roman" w:hAnsi="Times New Roman" w:eastAsia="宋体" w:cs="Times New Roman"/>
          <w:sz w:val="24"/>
          <w:szCs w:val="24"/>
          <w:u w:val="single"/>
        </w:rPr>
        <w:t xml:space="preserve">  </w:t>
      </w:r>
      <w:bookmarkEnd w:id="39"/>
      <w:r>
        <w:rPr>
          <w:rFonts w:hint="eastAsia" w:ascii="Times New Roman" w:hAnsi="Times New Roman" w:eastAsia="宋体" w:cs="宋体"/>
          <w:sz w:val="24"/>
          <w:szCs w:val="24"/>
        </w:rPr>
        <w:t>的公开招标招租活动</w:t>
      </w:r>
      <w:bookmarkEnd w:id="40"/>
      <w:r>
        <w:rPr>
          <w:rFonts w:hint="eastAsia" w:ascii="Times New Roman" w:hAnsi="Times New Roman" w:eastAsia="宋体" w:cs="宋体"/>
          <w:sz w:val="24"/>
          <w:szCs w:val="24"/>
        </w:rPr>
        <w:t>进行投标响应，所提交的投标文件中所有关于资格的文件、证明和陈述均是真实的、准确的。若与真实情况不符，</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（法人、其他组织名称）</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愿意承担由此而产生的一切后果。</w:t>
      </w:r>
    </w:p>
    <w:p>
      <w:pPr>
        <w:overflowPunct w:val="0"/>
        <w:adjustRightInd w:val="0"/>
        <w:spacing w:line="420" w:lineRule="exact"/>
        <w:ind w:firstLine="660"/>
        <w:jc w:val="left"/>
        <w:textAlignment w:val="baseline"/>
        <w:rPr>
          <w:rFonts w:ascii="Times New Roman" w:hAnsi="Times New Roman" w:eastAsia="宋体" w:cs="Times New Roman"/>
          <w:sz w:val="24"/>
          <w:szCs w:val="24"/>
        </w:rPr>
      </w:pPr>
    </w:p>
    <w:p>
      <w:pPr>
        <w:overflowPunct w:val="0"/>
        <w:adjustRightInd w:val="0"/>
        <w:spacing w:line="420" w:lineRule="exact"/>
        <w:ind w:firstLine="660"/>
        <w:jc w:val="left"/>
        <w:textAlignment w:val="baseline"/>
        <w:rPr>
          <w:rFonts w:ascii="Times New Roman" w:hAnsi="Times New Roman" w:eastAsia="宋体" w:cs="Times New Roman"/>
          <w:sz w:val="24"/>
          <w:szCs w:val="24"/>
        </w:rPr>
      </w:pPr>
    </w:p>
    <w:p>
      <w:pPr>
        <w:spacing w:line="420" w:lineRule="exact"/>
        <w:jc w:val="right"/>
        <w:rPr>
          <w:rFonts w:ascii="Times New Roman" w:hAnsi="Times New Roman" w:eastAsia="宋体" w:cs="Times New Roman"/>
          <w:sz w:val="24"/>
          <w:szCs w:val="24"/>
        </w:rPr>
      </w:pPr>
      <w:r>
        <w:rPr>
          <w:rFonts w:hint="eastAsia" w:ascii="Times New Roman" w:hAnsi="Times New Roman" w:eastAsia="宋体" w:cs="宋体"/>
          <w:sz w:val="24"/>
          <w:szCs w:val="24"/>
        </w:rPr>
        <w:t>声明人：（法人、其他组织须加盖公章）</w:t>
      </w:r>
    </w:p>
    <w:p>
      <w:pPr>
        <w:spacing w:line="420" w:lineRule="exact"/>
        <w:jc w:val="right"/>
        <w:rPr>
          <w:rFonts w:ascii="Times New Roman" w:hAnsi="Times New Roman" w:eastAsia="宋体" w:cs="Times New Roman"/>
          <w:sz w:val="24"/>
          <w:szCs w:val="24"/>
        </w:rPr>
      </w:pPr>
    </w:p>
    <w:p>
      <w:pPr>
        <w:spacing w:line="420" w:lineRule="exact"/>
        <w:ind w:firstLine="424" w:firstLineChars="177"/>
        <w:jc w:val="right"/>
        <w:rPr>
          <w:rFonts w:ascii="Times New Roman" w:hAnsi="Times New Roman" w:eastAsia="宋体" w:cs="Times New Roman"/>
          <w:sz w:val="24"/>
          <w:szCs w:val="24"/>
        </w:rPr>
      </w:pP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pPr>
        <w:snapToGrid w:val="0"/>
        <w:spacing w:before="240" w:beforeLines="100" w:line="420" w:lineRule="exact"/>
        <w:jc w:val="center"/>
        <w:outlineLvl w:val="4"/>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sz w:val="24"/>
          <w:szCs w:val="24"/>
        </w:rPr>
        <w:t>）</w:t>
      </w:r>
      <w:bookmarkStart w:id="41" w:name="_Hlk183379011"/>
      <w:r>
        <w:rPr>
          <w:rFonts w:hint="eastAsia" w:ascii="Times New Roman" w:hAnsi="Times New Roman" w:eastAsia="宋体" w:cs="Times New Roman"/>
          <w:b/>
          <w:bCs/>
          <w:sz w:val="24"/>
          <w:szCs w:val="24"/>
        </w:rPr>
        <w:t>法定代表人身份证明</w:t>
      </w:r>
      <w:bookmarkEnd w:id="41"/>
    </w:p>
    <w:p>
      <w:pPr>
        <w:snapToGrid w:val="0"/>
        <w:spacing w:before="240" w:beforeLines="100" w:after="240" w:afterLines="100" w:line="420" w:lineRule="exact"/>
        <w:jc w:val="center"/>
        <w:rPr>
          <w:rFonts w:ascii="Times New Roman" w:hAnsi="Times New Roman" w:eastAsia="宋体" w:cs="宋体"/>
          <w:b/>
          <w:bCs/>
          <w:sz w:val="28"/>
          <w:szCs w:val="28"/>
        </w:rPr>
      </w:pPr>
      <w:bookmarkStart w:id="42" w:name="_Hlk49178957"/>
      <w:r>
        <w:rPr>
          <w:rFonts w:hint="eastAsia" w:ascii="Times New Roman" w:hAnsi="Times New Roman" w:eastAsia="宋体" w:cs="宋体"/>
          <w:b/>
          <w:bCs/>
          <w:sz w:val="28"/>
          <w:szCs w:val="28"/>
        </w:rPr>
        <w:t>法定代表人身份证明</w:t>
      </w:r>
    </w:p>
    <w:p>
      <w:pPr>
        <w:snapToGrid w:val="0"/>
        <w:spacing w:before="240" w:beforeLines="100" w:after="240" w:afterLines="100" w:line="420" w:lineRule="exact"/>
        <w:rPr>
          <w:rFonts w:ascii="Times New Roman" w:hAnsi="Times New Roman" w:eastAsia="宋体" w:cs="Times New Roman"/>
          <w:sz w:val="24"/>
          <w:szCs w:val="24"/>
        </w:rPr>
      </w:pPr>
      <w:r>
        <w:rPr>
          <w:rFonts w:hint="eastAsia" w:ascii="Times New Roman" w:hAnsi="Times New Roman" w:eastAsia="宋体" w:cs="宋体"/>
          <w:sz w:val="24"/>
          <w:szCs w:val="24"/>
          <w:lang w:eastAsia="zh-CN"/>
        </w:rPr>
        <w:t>南通市口腔医院</w:t>
      </w:r>
      <w:r>
        <w:rPr>
          <w:rFonts w:hint="eastAsia" w:ascii="Times New Roman" w:hAnsi="Times New Roman" w:eastAsia="宋体" w:cs="宋体"/>
          <w:sz w:val="24"/>
          <w:szCs w:val="24"/>
        </w:rPr>
        <w:t>：</w:t>
      </w:r>
      <w:bookmarkEnd w:id="42"/>
    </w:p>
    <w:p>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（先生／女士）现任我单位</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职务，为法定代表人，特此证明。</w:t>
      </w:r>
    </w:p>
    <w:p>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身份证号码：</w:t>
      </w:r>
    </w:p>
    <w:p>
      <w:pPr>
        <w:snapToGrid w:val="0"/>
        <w:spacing w:line="420" w:lineRule="exact"/>
        <w:ind w:firstLine="480" w:firstLineChars="200"/>
        <w:rPr>
          <w:rFonts w:ascii="Times New Roman" w:hAnsi="Times New Roman" w:eastAsia="宋体" w:cs="Times New Roman"/>
          <w:sz w:val="24"/>
          <w:szCs w:val="24"/>
          <w:u w:val="single"/>
        </w:rPr>
      </w:pPr>
      <w:r>
        <w:rPr>
          <w:rFonts w:hint="eastAsia" w:ascii="Times New Roman" w:hAnsi="Times New Roman" w:eastAsia="宋体" w:cs="宋体"/>
          <w:sz w:val="24"/>
          <w:szCs w:val="24"/>
        </w:rPr>
        <w:t>联系电话：</w:t>
      </w:r>
    </w:p>
    <w:p>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投标人（加盖公章）</w:t>
      </w:r>
    </w:p>
    <w:p>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pPr>
        <w:snapToGrid w:val="0"/>
        <w:spacing w:line="420" w:lineRule="exact"/>
        <w:ind w:firstLine="484" w:firstLineChars="202"/>
        <w:jc w:val="left"/>
        <w:rPr>
          <w:rFonts w:ascii="Times New Roman" w:hAnsi="Times New Roman" w:eastAsia="宋体" w:cs="Times New Roman"/>
          <w:sz w:val="24"/>
          <w:szCs w:val="24"/>
        </w:rPr>
      </w:pPr>
    </w:p>
    <w:p>
      <w:pPr>
        <w:snapToGrid w:val="0"/>
        <w:spacing w:line="420" w:lineRule="exact"/>
        <w:ind w:firstLine="484" w:firstLineChars="202"/>
        <w:jc w:val="left"/>
        <w:rPr>
          <w:rFonts w:ascii="Times New Roman" w:hAnsi="Times New Roman" w:eastAsia="宋体" w:cs="Times New Roman"/>
          <w:sz w:val="24"/>
          <w:szCs w:val="24"/>
        </w:rPr>
      </w:pPr>
    </w:p>
    <w:p>
      <w:pPr>
        <w:snapToGrid w:val="0"/>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法定代表人身份证复印件</w:t>
      </w:r>
    </w:p>
    <w:p>
      <w:pPr>
        <w:snapToGrid w:val="0"/>
        <w:spacing w:line="420" w:lineRule="exact"/>
        <w:jc w:val="center"/>
        <w:rPr>
          <w:rFonts w:ascii="Times New Roman" w:hAnsi="Times New Roman" w:eastAsia="宋体" w:cs="Times New Roman"/>
          <w:b/>
          <w:bCs/>
          <w:sz w:val="24"/>
          <w:szCs w:val="24"/>
        </w:rPr>
      </w:pPr>
    </w:p>
    <w:p>
      <w:pPr>
        <w:snapToGrid w:val="0"/>
        <w:spacing w:line="420" w:lineRule="exact"/>
        <w:jc w:val="center"/>
        <w:rPr>
          <w:rFonts w:ascii="Times New Roman" w:hAnsi="Times New Roman" w:eastAsia="宋体" w:cs="Times New Roman"/>
          <w:b/>
          <w:bCs/>
          <w:sz w:val="24"/>
          <w:szCs w:val="24"/>
        </w:rPr>
      </w:pPr>
    </w:p>
    <w:p>
      <w:pPr>
        <w:snapToGrid w:val="0"/>
        <w:spacing w:line="420" w:lineRule="exact"/>
        <w:jc w:val="center"/>
        <w:rPr>
          <w:rFonts w:ascii="Times New Roman" w:hAnsi="Times New Roman" w:eastAsia="宋体" w:cs="Times New Roman"/>
          <w:b/>
          <w:bCs/>
          <w:sz w:val="24"/>
          <w:szCs w:val="24"/>
        </w:rPr>
      </w:pPr>
    </w:p>
    <w:p>
      <w:pPr>
        <w:snapToGrid w:val="0"/>
        <w:spacing w:line="420" w:lineRule="exact"/>
        <w:jc w:val="center"/>
        <w:rPr>
          <w:rFonts w:ascii="Times New Roman" w:hAnsi="Times New Roman" w:eastAsia="宋体" w:cs="Times New Roman"/>
          <w:b/>
          <w:bCs/>
          <w:sz w:val="24"/>
          <w:szCs w:val="24"/>
        </w:rPr>
      </w:pPr>
    </w:p>
    <w:p>
      <w:pPr>
        <w:snapToGrid w:val="0"/>
        <w:spacing w:line="420" w:lineRule="exact"/>
        <w:jc w:val="center"/>
        <w:rPr>
          <w:rFonts w:ascii="Times New Roman" w:hAnsi="Times New Roman" w:eastAsia="宋体" w:cs="Times New Roman"/>
          <w:b/>
          <w:bCs/>
          <w:sz w:val="24"/>
          <w:szCs w:val="24"/>
        </w:rPr>
      </w:pPr>
    </w:p>
    <w:p>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（放置此处）</w:t>
      </w:r>
    </w:p>
    <w:p>
      <w:pPr>
        <w:snapToGrid w:val="0"/>
        <w:spacing w:line="420" w:lineRule="exact"/>
        <w:jc w:val="center"/>
        <w:rPr>
          <w:rFonts w:ascii="Times New Roman" w:hAnsi="Times New Roman" w:eastAsia="宋体" w:cs="Times New Roman"/>
          <w:sz w:val="24"/>
          <w:szCs w:val="24"/>
        </w:rPr>
      </w:pPr>
    </w:p>
    <w:p>
      <w:pPr>
        <w:snapToGrid w:val="0"/>
        <w:spacing w:line="420" w:lineRule="exact"/>
        <w:jc w:val="center"/>
        <w:rPr>
          <w:rFonts w:ascii="Times New Roman" w:hAnsi="Times New Roman" w:eastAsia="宋体" w:cs="Times New Roman"/>
          <w:sz w:val="24"/>
          <w:szCs w:val="24"/>
        </w:rPr>
      </w:pPr>
    </w:p>
    <w:p>
      <w:pPr>
        <w:snapToGrid w:val="0"/>
        <w:spacing w:line="420" w:lineRule="exact"/>
        <w:jc w:val="center"/>
        <w:rPr>
          <w:rFonts w:ascii="Times New Roman" w:hAnsi="Times New Roman" w:eastAsia="宋体" w:cs="Times New Roman"/>
          <w:sz w:val="24"/>
          <w:szCs w:val="24"/>
        </w:rPr>
      </w:pPr>
    </w:p>
    <w:p>
      <w:pPr>
        <w:snapToGrid w:val="0"/>
        <w:spacing w:line="420" w:lineRule="exact"/>
        <w:jc w:val="center"/>
        <w:rPr>
          <w:rFonts w:ascii="Times New Roman" w:hAnsi="Times New Roman" w:eastAsia="宋体" w:cs="Times New Roman"/>
          <w:sz w:val="24"/>
          <w:szCs w:val="24"/>
        </w:rPr>
      </w:pPr>
    </w:p>
    <w:p>
      <w:pPr>
        <w:snapToGrid w:val="0"/>
        <w:spacing w:line="420" w:lineRule="exact"/>
        <w:jc w:val="center"/>
        <w:rPr>
          <w:rFonts w:ascii="Times New Roman" w:hAnsi="Times New Roman" w:eastAsia="宋体" w:cs="Times New Roman"/>
          <w:sz w:val="24"/>
          <w:szCs w:val="24"/>
        </w:rPr>
      </w:pPr>
    </w:p>
    <w:p>
      <w:pPr>
        <w:snapToGrid w:val="0"/>
        <w:spacing w:line="420" w:lineRule="exact"/>
        <w:jc w:val="left"/>
        <w:rPr>
          <w:rFonts w:ascii="Times New Roman" w:hAnsi="Times New Roman" w:eastAsia="宋体" w:cs="Times New Roman"/>
          <w:b/>
          <w:bCs/>
          <w:sz w:val="24"/>
          <w:szCs w:val="24"/>
        </w:rPr>
      </w:pPr>
      <w:r>
        <w:rPr>
          <w:rFonts w:hint="eastAsia" w:ascii="Times New Roman" w:hAnsi="Times New Roman" w:eastAsia="宋体" w:cs="宋体"/>
          <w:b/>
          <w:bCs/>
          <w:sz w:val="24"/>
          <w:szCs w:val="24"/>
        </w:rPr>
        <w:t>注：</w:t>
      </w:r>
    </w:p>
    <w:p>
      <w:pPr>
        <w:snapToGrid w:val="0"/>
        <w:spacing w:line="420" w:lineRule="exact"/>
        <w:jc w:val="left"/>
        <w:rPr>
          <w:rFonts w:ascii="Times New Roman" w:hAnsi="Times New Roman" w:eastAsia="宋体" w:cs="Times New Roman"/>
          <w:sz w:val="24"/>
          <w:szCs w:val="24"/>
        </w:rPr>
      </w:pPr>
      <w:r>
        <w:rPr>
          <w:rFonts w:hint="eastAsia" w:ascii="Times New Roman" w:hAnsi="Times New Roman" w:eastAsia="宋体" w:cs="宋体"/>
          <w:b/>
          <w:bCs/>
          <w:sz w:val="24"/>
          <w:szCs w:val="24"/>
        </w:rPr>
        <w:t>提供法定代表人的身份证复印件（正、反面）。</w:t>
      </w:r>
    </w:p>
    <w:p>
      <w:pPr>
        <w:snapToGrid w:val="0"/>
        <w:spacing w:line="420" w:lineRule="exact"/>
        <w:jc w:val="center"/>
        <w:outlineLvl w:val="4"/>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Times New Roman" w:hAnsi="Times New Roman" w:eastAsia="宋体" w:cs="Times New Roman"/>
          <w:b/>
          <w:bCs/>
          <w:sz w:val="24"/>
          <w:szCs w:val="24"/>
        </w:rPr>
        <w:t>）</w:t>
      </w:r>
      <w:bookmarkStart w:id="43" w:name="_Hlk183379484"/>
      <w:r>
        <w:rPr>
          <w:rFonts w:hint="eastAsia" w:ascii="Times New Roman" w:hAnsi="Times New Roman" w:eastAsia="宋体" w:cs="Times New Roman"/>
          <w:b/>
          <w:bCs/>
          <w:sz w:val="24"/>
          <w:szCs w:val="24"/>
        </w:rPr>
        <w:t>法定代表人授权委托书</w:t>
      </w:r>
      <w:bookmarkEnd w:id="43"/>
    </w:p>
    <w:p>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法定代表人授权委托书</w:t>
      </w:r>
    </w:p>
    <w:p>
      <w:pPr>
        <w:snapToGrid w:val="0"/>
        <w:spacing w:before="240" w:beforeLines="100" w:after="240" w:afterLines="100" w:line="420" w:lineRule="exact"/>
        <w:rPr>
          <w:rFonts w:ascii="Times New Roman" w:hAnsi="Times New Roman" w:eastAsia="宋体" w:cs="Times New Roman"/>
          <w:sz w:val="24"/>
          <w:szCs w:val="24"/>
        </w:rPr>
      </w:pPr>
      <w:r>
        <w:rPr>
          <w:rFonts w:hint="eastAsia" w:ascii="Times New Roman" w:hAnsi="Times New Roman" w:eastAsia="宋体" w:cs="宋体"/>
          <w:sz w:val="24"/>
          <w:szCs w:val="24"/>
          <w:lang w:eastAsia="zh-CN"/>
        </w:rPr>
        <w:t>南通市口腔医院</w:t>
      </w:r>
      <w:r>
        <w:rPr>
          <w:rFonts w:hint="eastAsia" w:ascii="Times New Roman" w:hAnsi="Times New Roman" w:eastAsia="宋体" w:cs="宋体"/>
          <w:sz w:val="24"/>
          <w:szCs w:val="24"/>
        </w:rPr>
        <w:t>：</w:t>
      </w:r>
    </w:p>
    <w:p>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本授权委托书声明：我</w:t>
      </w:r>
      <w:r>
        <w:rPr>
          <w:rFonts w:hint="eastAsia" w:ascii="Times New Roman" w:hAnsi="Times New Roman" w:eastAsia="宋体" w:cs="宋体"/>
          <w:sz w:val="24"/>
          <w:szCs w:val="24"/>
          <w:u w:val="single"/>
        </w:rPr>
        <w:t>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（姓名）系</w:t>
      </w:r>
      <w:r>
        <w:rPr>
          <w:rFonts w:hint="eastAsia" w:ascii="Times New Roman" w:hAnsi="Times New Roman" w:eastAsia="宋体" w:cs="宋体"/>
          <w:sz w:val="24"/>
          <w:szCs w:val="24"/>
          <w:u w:val="single"/>
        </w:rPr>
        <w:t>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（投标人名称）的法定代表人，现授权委托</w:t>
      </w:r>
      <w:r>
        <w:rPr>
          <w:rFonts w:hint="eastAsia" w:ascii="Times New Roman" w:hAnsi="Times New Roman" w:eastAsia="宋体" w:cs="宋体"/>
          <w:sz w:val="24"/>
          <w:szCs w:val="24"/>
          <w:u w:val="single"/>
        </w:rPr>
        <w:t>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（姓名）为我公司为被委托受权人，以本公司的名义参加项目编号：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eastAsia="zh-CN"/>
        </w:rPr>
        <w:t>NTSKQYYCG2025003</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lang w:eastAsia="zh-CN"/>
        </w:rPr>
        <w:t>南通市口腔医院内外网文件摆渡系统采购项目</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的招标响应活动。被委托受权人在开标、评标、合同谈判过程中所签署的一切文件和处理与之有关的一切事务，我均予以承认。</w:t>
      </w:r>
    </w:p>
    <w:p>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被委托受权人无转委权。特此委托。</w:t>
      </w:r>
    </w:p>
    <w:p>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法定代表人签字或盖章：</w:t>
      </w:r>
    </w:p>
    <w:p>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被委托受权人身份证号：</w:t>
      </w:r>
    </w:p>
    <w:p>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被委托受权人联系电话：</w:t>
      </w:r>
    </w:p>
    <w:p>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被委托受权人签字：</w:t>
      </w:r>
    </w:p>
    <w:p>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投标人（加盖公章）</w:t>
      </w:r>
    </w:p>
    <w:p>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pPr>
        <w:snapToGrid w:val="0"/>
        <w:spacing w:line="420" w:lineRule="exact"/>
        <w:ind w:firstLine="484" w:firstLineChars="202"/>
        <w:jc w:val="left"/>
        <w:rPr>
          <w:rFonts w:ascii="Times New Roman" w:hAnsi="Times New Roman" w:eastAsia="宋体" w:cs="Times New Roman"/>
          <w:sz w:val="24"/>
          <w:szCs w:val="24"/>
        </w:rPr>
      </w:pPr>
    </w:p>
    <w:p>
      <w:pPr>
        <w:snapToGrid w:val="0"/>
        <w:spacing w:line="420" w:lineRule="exact"/>
        <w:ind w:firstLine="484" w:firstLineChars="202"/>
        <w:jc w:val="left"/>
        <w:rPr>
          <w:rFonts w:ascii="Times New Roman" w:hAnsi="Times New Roman" w:eastAsia="宋体" w:cs="Times New Roman"/>
          <w:sz w:val="24"/>
          <w:szCs w:val="24"/>
        </w:rPr>
      </w:pPr>
    </w:p>
    <w:p>
      <w:pPr>
        <w:snapToGrid w:val="0"/>
        <w:spacing w:line="420" w:lineRule="exact"/>
        <w:ind w:firstLine="484" w:firstLineChars="202"/>
        <w:jc w:val="left"/>
        <w:rPr>
          <w:rFonts w:ascii="Times New Roman" w:hAnsi="Times New Roman" w:eastAsia="宋体" w:cs="Times New Roman"/>
          <w:sz w:val="24"/>
          <w:szCs w:val="24"/>
        </w:rPr>
      </w:pPr>
    </w:p>
    <w:p>
      <w:pPr>
        <w:snapToGrid w:val="0"/>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被委托受权人身份证复印件</w:t>
      </w:r>
    </w:p>
    <w:p>
      <w:pPr>
        <w:snapToGrid w:val="0"/>
        <w:spacing w:line="420" w:lineRule="exact"/>
        <w:jc w:val="center"/>
        <w:rPr>
          <w:rFonts w:ascii="Times New Roman" w:hAnsi="Times New Roman" w:eastAsia="宋体" w:cs="Times New Roman"/>
          <w:b/>
          <w:bCs/>
          <w:sz w:val="24"/>
          <w:szCs w:val="24"/>
        </w:rPr>
      </w:pPr>
    </w:p>
    <w:p>
      <w:pPr>
        <w:snapToGrid w:val="0"/>
        <w:spacing w:line="420" w:lineRule="exact"/>
        <w:jc w:val="center"/>
        <w:rPr>
          <w:rFonts w:ascii="Times New Roman" w:hAnsi="Times New Roman" w:eastAsia="宋体" w:cs="Times New Roman"/>
          <w:b/>
          <w:bCs/>
          <w:sz w:val="24"/>
          <w:szCs w:val="24"/>
        </w:rPr>
      </w:pPr>
    </w:p>
    <w:p>
      <w:pPr>
        <w:snapToGrid w:val="0"/>
        <w:spacing w:line="420" w:lineRule="exact"/>
        <w:jc w:val="center"/>
        <w:rPr>
          <w:rFonts w:ascii="Times New Roman" w:hAnsi="Times New Roman" w:eastAsia="宋体" w:cs="Times New Roman"/>
          <w:b/>
          <w:bCs/>
          <w:sz w:val="24"/>
          <w:szCs w:val="24"/>
        </w:rPr>
      </w:pPr>
    </w:p>
    <w:p>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（放置此处）</w:t>
      </w:r>
    </w:p>
    <w:p>
      <w:pPr>
        <w:snapToGrid w:val="0"/>
        <w:spacing w:line="420" w:lineRule="exact"/>
        <w:jc w:val="center"/>
        <w:rPr>
          <w:rFonts w:ascii="Times New Roman" w:hAnsi="Times New Roman" w:eastAsia="宋体" w:cs="Times New Roman"/>
          <w:sz w:val="24"/>
          <w:szCs w:val="24"/>
        </w:rPr>
      </w:pPr>
    </w:p>
    <w:p>
      <w:pPr>
        <w:snapToGrid w:val="0"/>
        <w:spacing w:line="420" w:lineRule="exact"/>
        <w:jc w:val="center"/>
        <w:rPr>
          <w:rFonts w:ascii="Times New Roman" w:hAnsi="Times New Roman" w:eastAsia="宋体" w:cs="Times New Roman"/>
          <w:sz w:val="24"/>
          <w:szCs w:val="24"/>
        </w:rPr>
      </w:pPr>
    </w:p>
    <w:p>
      <w:pPr>
        <w:snapToGrid w:val="0"/>
        <w:spacing w:line="420" w:lineRule="exact"/>
        <w:jc w:val="center"/>
        <w:rPr>
          <w:rFonts w:ascii="Times New Roman" w:hAnsi="Times New Roman" w:eastAsia="宋体" w:cs="Times New Roman"/>
          <w:sz w:val="24"/>
          <w:szCs w:val="24"/>
        </w:rPr>
      </w:pPr>
    </w:p>
    <w:p>
      <w:pPr>
        <w:snapToGrid w:val="0"/>
        <w:spacing w:line="420" w:lineRule="exact"/>
        <w:jc w:val="center"/>
        <w:rPr>
          <w:rFonts w:ascii="Times New Roman" w:hAnsi="Times New Roman" w:eastAsia="宋体" w:cs="Times New Roman"/>
          <w:sz w:val="24"/>
          <w:szCs w:val="24"/>
        </w:rPr>
      </w:pPr>
    </w:p>
    <w:p>
      <w:pPr>
        <w:snapToGrid w:val="0"/>
        <w:spacing w:line="420" w:lineRule="exact"/>
        <w:jc w:val="center"/>
        <w:rPr>
          <w:rFonts w:ascii="Times New Roman" w:hAnsi="Times New Roman" w:eastAsia="宋体" w:cs="Times New Roman"/>
          <w:sz w:val="24"/>
          <w:szCs w:val="24"/>
        </w:rPr>
      </w:pPr>
    </w:p>
    <w:p>
      <w:pPr>
        <w:snapToGrid w:val="0"/>
        <w:spacing w:line="420" w:lineRule="exact"/>
        <w:jc w:val="left"/>
        <w:rPr>
          <w:rFonts w:ascii="Times New Roman" w:hAnsi="Times New Roman" w:eastAsia="宋体" w:cs="Times New Roman"/>
          <w:sz w:val="24"/>
          <w:szCs w:val="24"/>
        </w:rPr>
      </w:pPr>
      <w:r>
        <w:rPr>
          <w:rFonts w:hint="eastAsia" w:ascii="Times New Roman" w:hAnsi="Times New Roman" w:eastAsia="宋体" w:cs="宋体"/>
          <w:b/>
          <w:bCs/>
          <w:sz w:val="24"/>
          <w:szCs w:val="24"/>
        </w:rPr>
        <w:t>注：提供被委托受权人的身份证（正、反面）。</w:t>
      </w:r>
    </w:p>
    <w:p>
      <w:pPr>
        <w:snapToGrid w:val="0"/>
        <w:spacing w:line="420" w:lineRule="exact"/>
        <w:jc w:val="center"/>
        <w:outlineLvl w:val="4"/>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pPr>
        <w:adjustRightInd w:val="0"/>
        <w:snapToGrid w:val="0"/>
        <w:spacing w:line="420" w:lineRule="exact"/>
        <w:ind w:firstLine="566" w:firstLineChars="235"/>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（二）技术标文件（</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1.</w:t>
      </w:r>
      <w:bookmarkStart w:id="44" w:name="_Hlk183379580"/>
      <w:r>
        <w:rPr>
          <w:rFonts w:hint="eastAsia" w:ascii="Times New Roman" w:hAnsi="Times New Roman" w:eastAsia="宋体" w:cs="Times New Roman"/>
          <w:b/>
          <w:bCs/>
          <w:sz w:val="24"/>
          <w:szCs w:val="24"/>
        </w:rPr>
        <w:t>投标响应函</w:t>
      </w:r>
      <w:bookmarkEnd w:id="44"/>
      <w:r>
        <w:rPr>
          <w:rFonts w:hint="eastAsia" w:ascii="Times New Roman" w:hAnsi="Times New Roman" w:eastAsia="宋体" w:cs="Times New Roman"/>
          <w:b/>
          <w:bCs/>
          <w:sz w:val="24"/>
          <w:szCs w:val="24"/>
        </w:rPr>
        <w:t>（格式，必须提供）</w:t>
      </w:r>
    </w:p>
    <w:p>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投标响应函</w:t>
      </w:r>
    </w:p>
    <w:p>
      <w:pPr>
        <w:snapToGrid w:val="0"/>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lang w:eastAsia="zh-CN"/>
        </w:rPr>
        <w:t>南通市口腔医院</w:t>
      </w:r>
      <w:r>
        <w:rPr>
          <w:rFonts w:hint="eastAsia" w:ascii="Times New Roman" w:hAnsi="Times New Roman" w:eastAsia="宋体" w:cs="宋体"/>
          <w:sz w:val="24"/>
          <w:szCs w:val="24"/>
        </w:rPr>
        <w:t>：</w:t>
      </w:r>
    </w:p>
    <w:p>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依据贵单位委托招标代理机构实施的项目编号：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eastAsia="zh-CN"/>
        </w:rPr>
        <w:t>NTSKQYYCG2025003</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lang w:eastAsia="zh-CN"/>
        </w:rPr>
        <w:t>南通市口腔医院内外网文件摆渡系统采购项目</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招标的邀请，我方授权</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（姓名）</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（职务）为全权代表参加该项目的投标工作，全权处理本次投标的有关事宜。同时，我公司声明如下：</w:t>
      </w:r>
    </w:p>
    <w:p>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）愿意按照招标文件的一切要求，提供标的项目的所有服务。</w:t>
      </w:r>
    </w:p>
    <w:p>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）我方已经详细审查了全部招标文件，我方已完全清晰理解招标文件的要求，不存在任何含糊不清和误解之处，同意放弃对这些文件所提出的异议和质疑的权利。</w:t>
      </w:r>
    </w:p>
    <w:p>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lang w:val="en-US" w:eastAsia="zh-CN"/>
        </w:rPr>
        <w:t>3</w:t>
      </w:r>
      <w:r>
        <w:rPr>
          <w:rFonts w:hint="eastAsia" w:ascii="Times New Roman" w:hAnsi="Times New Roman" w:eastAsia="宋体" w:cs="宋体"/>
          <w:sz w:val="24"/>
          <w:szCs w:val="24"/>
        </w:rPr>
        <w:t>）同意向贵方提供贵方可能另外要求的与采购有关的任何证据或资料，并保证我方已提供和将要提供的文件是真实的、准确的。</w:t>
      </w:r>
    </w:p>
    <w:p>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宋体"/>
          <w:sz w:val="24"/>
          <w:szCs w:val="24"/>
        </w:rPr>
        <w:t>）我方完全同意从规定的响应文件接收截止时间起遵循本</w:t>
      </w:r>
      <w:r>
        <w:rPr>
          <w:rFonts w:hint="eastAsia" w:ascii="Times New Roman" w:hAnsi="Times New Roman" w:eastAsia="宋体" w:cs="宋体"/>
          <w:sz w:val="24"/>
          <w:szCs w:val="24"/>
          <w:lang w:val="en-US" w:eastAsia="zh-CN"/>
        </w:rPr>
        <w:t>投标</w:t>
      </w:r>
      <w:r>
        <w:rPr>
          <w:rFonts w:hint="eastAsia" w:ascii="Times New Roman" w:hAnsi="Times New Roman" w:eastAsia="宋体" w:cs="宋体"/>
          <w:sz w:val="24"/>
          <w:szCs w:val="24"/>
        </w:rPr>
        <w:t>响应文件，并在规定的</w:t>
      </w:r>
      <w:r>
        <w:rPr>
          <w:rFonts w:hint="eastAsia" w:ascii="Times New Roman" w:hAnsi="Times New Roman" w:eastAsia="宋体" w:cs="宋体"/>
          <w:sz w:val="24"/>
          <w:szCs w:val="24"/>
          <w:lang w:val="en-US" w:eastAsia="zh-CN"/>
        </w:rPr>
        <w:t>投标</w:t>
      </w:r>
      <w:r>
        <w:rPr>
          <w:rFonts w:hint="eastAsia" w:ascii="Times New Roman" w:hAnsi="Times New Roman" w:eastAsia="宋体" w:cs="宋体"/>
          <w:sz w:val="24"/>
          <w:szCs w:val="24"/>
        </w:rPr>
        <w:t>有效期</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项目开标评审后的</w:t>
      </w:r>
      <w:r>
        <w:rPr>
          <w:rFonts w:ascii="Times New Roman" w:hAnsi="Times New Roman" w:eastAsia="宋体" w:cs="Times New Roman"/>
          <w:sz w:val="24"/>
          <w:szCs w:val="24"/>
        </w:rPr>
        <w:t>45</w:t>
      </w:r>
      <w:r>
        <w:rPr>
          <w:rFonts w:hint="eastAsia" w:ascii="Times New Roman" w:hAnsi="Times New Roman" w:eastAsia="宋体" w:cs="宋体"/>
          <w:sz w:val="24"/>
          <w:szCs w:val="24"/>
        </w:rPr>
        <w:t>个日历</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期满之前均具有约束力。</w:t>
      </w:r>
    </w:p>
    <w:p>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lang w:val="en-US" w:eastAsia="zh-CN"/>
        </w:rPr>
        <w:t>5</w:t>
      </w:r>
      <w:r>
        <w:rPr>
          <w:rFonts w:hint="eastAsia" w:ascii="Times New Roman" w:hAnsi="Times New Roman" w:eastAsia="宋体" w:cs="宋体"/>
          <w:sz w:val="24"/>
          <w:szCs w:val="24"/>
        </w:rPr>
        <w:t>）我方尊重评审小组所作的评定结果，认为你方有权决定中标人，还认为你方有权接受或拒绝所有的投标人。</w:t>
      </w:r>
    </w:p>
    <w:p>
      <w:pPr>
        <w:spacing w:line="420" w:lineRule="exact"/>
        <w:ind w:firstLine="484" w:firstLineChars="202"/>
        <w:jc w:val="left"/>
        <w:rPr>
          <w:rFonts w:ascii="Times New Roman" w:hAnsi="Times New Roman" w:eastAsia="宋体" w:cs="宋体"/>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lang w:val="en-US" w:eastAsia="zh-CN"/>
        </w:rPr>
        <w:t>6</w:t>
      </w:r>
      <w:r>
        <w:rPr>
          <w:rFonts w:hint="eastAsia" w:ascii="Times New Roman" w:hAnsi="Times New Roman" w:eastAsia="宋体" w:cs="宋体"/>
          <w:sz w:val="24"/>
          <w:szCs w:val="24"/>
        </w:rPr>
        <w:t>）我方同意被确定为中标人后，若不履行本项目招标文件的各项内容要求条款及我方投标文件中的各项承诺及义务内容，即被视为违约，我方中标资格将被取消并承担由此而带来的任何后果。</w:t>
      </w:r>
    </w:p>
    <w:p>
      <w:pPr>
        <w:snapToGrid w:val="0"/>
        <w:spacing w:line="420" w:lineRule="exact"/>
        <w:ind w:firstLine="2400" w:firstLineChars="1000"/>
        <w:jc w:val="right"/>
        <w:rPr>
          <w:rFonts w:ascii="Times New Roman" w:hAnsi="Times New Roman" w:eastAsia="宋体" w:cs="Times New Roman"/>
          <w:sz w:val="24"/>
          <w:szCs w:val="24"/>
        </w:rPr>
      </w:pPr>
      <w:r>
        <w:rPr>
          <w:rFonts w:hint="eastAsia" w:ascii="Times New Roman" w:hAnsi="Times New Roman" w:eastAsia="宋体" w:cs="宋体"/>
          <w:sz w:val="24"/>
          <w:szCs w:val="24"/>
        </w:rPr>
        <w:t>投标人：</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（加盖公章）</w:t>
      </w:r>
    </w:p>
    <w:p>
      <w:pPr>
        <w:snapToGrid w:val="0"/>
        <w:spacing w:line="420" w:lineRule="exact"/>
        <w:ind w:firstLine="2400" w:firstLineChars="1000"/>
        <w:jc w:val="right"/>
        <w:rPr>
          <w:rFonts w:ascii="Times New Roman" w:hAnsi="Times New Roman" w:eastAsia="宋体" w:cs="Times New Roman"/>
          <w:sz w:val="24"/>
          <w:szCs w:val="24"/>
        </w:rPr>
      </w:pPr>
      <w:r>
        <w:rPr>
          <w:rFonts w:hint="eastAsia" w:ascii="Times New Roman" w:hAnsi="Times New Roman" w:eastAsia="宋体" w:cs="宋体"/>
          <w:sz w:val="24"/>
          <w:szCs w:val="24"/>
        </w:rPr>
        <w:t>法定代表人或被委托受权人：</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（签字）</w:t>
      </w:r>
    </w:p>
    <w:p>
      <w:pPr>
        <w:snapToGrid w:val="0"/>
        <w:spacing w:line="420" w:lineRule="exact"/>
        <w:jc w:val="right"/>
        <w:rPr>
          <w:rFonts w:ascii="Times New Roman" w:hAnsi="Times New Roman" w:eastAsia="宋体" w:cs="Times New Roman"/>
          <w:sz w:val="24"/>
          <w:szCs w:val="24"/>
        </w:rPr>
      </w:pPr>
      <w:r>
        <w:rPr>
          <w:rFonts w:hint="eastAsia" w:ascii="Times New Roman" w:hAnsi="Times New Roman" w:eastAsia="宋体" w:cs="宋体"/>
          <w:sz w:val="24"/>
          <w:szCs w:val="24"/>
        </w:rPr>
        <w:t>二〇二</w:t>
      </w:r>
      <w:r>
        <w:rPr>
          <w:rFonts w:hint="eastAsia" w:ascii="Times New Roman" w:hAnsi="Times New Roman" w:eastAsia="宋体" w:cs="宋体"/>
          <w:sz w:val="24"/>
          <w:szCs w:val="24"/>
          <w:lang w:val="en-US" w:eastAsia="zh-CN"/>
        </w:rPr>
        <w:t>五</w:t>
      </w: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rPr>
        <w:t>技术响应说明</w:t>
      </w:r>
    </w:p>
    <w:p>
      <w:pPr>
        <w:tabs>
          <w:tab w:val="left" w:pos="720"/>
        </w:tabs>
        <w:spacing w:before="156" w:beforeLines="50" w:after="156" w:afterLines="50" w:line="420" w:lineRule="exact"/>
        <w:ind w:firstLine="487" w:firstLineChars="202"/>
        <w:jc w:val="center"/>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bookmarkStart w:id="45" w:name="_Hlk170338561"/>
      <w:r>
        <w:rPr>
          <w:rFonts w:hint="eastAsia" w:ascii="宋体" w:hAnsi="宋体" w:eastAsia="宋体" w:cs="宋体"/>
          <w:b/>
          <w:bCs/>
          <w:sz w:val="24"/>
          <w:szCs w:val="24"/>
        </w:rPr>
        <w:t>产品技术参数响应正负偏离表</w:t>
      </w:r>
      <w:bookmarkEnd w:id="45"/>
      <w:r>
        <w:rPr>
          <w:rFonts w:hint="eastAsia" w:ascii="宋体" w:hAnsi="宋体" w:eastAsia="宋体" w:cs="宋体"/>
          <w:b/>
          <w:bCs/>
          <w:sz w:val="24"/>
          <w:szCs w:val="24"/>
        </w:rPr>
        <w:t>》</w:t>
      </w:r>
    </w:p>
    <w:tbl>
      <w:tblPr>
        <w:tblStyle w:val="70"/>
        <w:tblW w:w="95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599"/>
        <w:gridCol w:w="1767"/>
        <w:gridCol w:w="2019"/>
        <w:gridCol w:w="1363"/>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技术参数名称</w:t>
            </w:r>
          </w:p>
        </w:tc>
        <w:tc>
          <w:tcPr>
            <w:tcW w:w="159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品牌、型号</w:t>
            </w:r>
          </w:p>
        </w:tc>
        <w:tc>
          <w:tcPr>
            <w:tcW w:w="17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采购文件产品技术参数要求</w:t>
            </w:r>
          </w:p>
        </w:tc>
        <w:tc>
          <w:tcPr>
            <w:tcW w:w="20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竞争的标的物产品技术响应参数</w:t>
            </w:r>
          </w:p>
        </w:tc>
        <w:tc>
          <w:tcPr>
            <w:tcW w:w="136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应答响应</w:t>
            </w:r>
          </w:p>
        </w:tc>
        <w:tc>
          <w:tcPr>
            <w:tcW w:w="80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2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2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2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2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p>
        </w:tc>
      </w:tr>
    </w:tbl>
    <w:p>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供应商：（须加盖公章）</w:t>
      </w:r>
    </w:p>
    <w:p>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法定代表人或被委托受权人（签字或盖章）：</w:t>
      </w:r>
    </w:p>
    <w:p>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  月  日</w:t>
      </w:r>
    </w:p>
    <w:p>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注：</w:t>
      </w:r>
    </w:p>
    <w:p>
      <w:pPr>
        <w:spacing w:line="420" w:lineRule="exact"/>
        <w:ind w:firstLine="487" w:firstLineChars="202"/>
        <w:rPr>
          <w:rFonts w:hint="eastAsia" w:ascii="宋体" w:hAnsi="宋体" w:eastAsia="宋体" w:cs="宋体"/>
          <w:b/>
          <w:bCs/>
          <w:sz w:val="24"/>
          <w:szCs w:val="24"/>
        </w:rPr>
      </w:pPr>
      <w:r>
        <w:rPr>
          <w:rFonts w:hint="eastAsia" w:ascii="宋体" w:hAnsi="宋体" w:eastAsia="宋体" w:cs="宋体"/>
          <w:b/>
          <w:bCs/>
          <w:sz w:val="24"/>
          <w:szCs w:val="24"/>
        </w:rPr>
        <w:t>①响应供应商应对照采购文件第三章项目需求中“二、技术规格参数”</w:t>
      </w:r>
      <w:r>
        <w:rPr>
          <w:rFonts w:hint="eastAsia" w:ascii="宋体" w:hAnsi="宋体" w:eastAsia="宋体" w:cs="宋体"/>
          <w:b/>
          <w:bCs/>
          <w:sz w:val="24"/>
          <w:szCs w:val="24"/>
          <w:lang w:val="en-US" w:eastAsia="zh-CN"/>
        </w:rPr>
        <w:t>要求</w:t>
      </w:r>
      <w:r>
        <w:rPr>
          <w:rFonts w:hint="eastAsia" w:ascii="宋体" w:hAnsi="宋体" w:eastAsia="宋体" w:cs="宋体"/>
          <w:b/>
          <w:bCs/>
          <w:sz w:val="24"/>
          <w:szCs w:val="24"/>
        </w:rPr>
        <w:t>，在逐一填写。“应答响应”栏内选择</w:t>
      </w:r>
      <w:r>
        <w:rPr>
          <w:rFonts w:hint="eastAsia" w:ascii="宋体" w:hAnsi="宋体" w:eastAsia="宋体" w:cs="宋体"/>
          <w:b/>
          <w:bCs/>
          <w:sz w:val="24"/>
          <w:szCs w:val="24"/>
          <w:u w:val="single"/>
        </w:rPr>
        <w:t xml:space="preserve">  “负偏离、完全满足、正偏离”  </w:t>
      </w:r>
      <w:r>
        <w:rPr>
          <w:rFonts w:hint="eastAsia" w:ascii="宋体" w:hAnsi="宋体" w:eastAsia="宋体" w:cs="宋体"/>
          <w:b/>
          <w:bCs/>
          <w:sz w:val="24"/>
          <w:szCs w:val="24"/>
        </w:rPr>
        <w:t>这3种结论进行填具。</w:t>
      </w:r>
    </w:p>
    <w:p>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②响应供应商不能简单照搬照抄采购单位项目需求说明中的技术要求，必须作实事求是的响应。如照搬照抄项目需求说明中的技术要求的，成交后供应商在同采购单位签订合同和履约环节中不得提出异议，一切后果和损失由成交供应商承担。如响应供应商提供的货物和技术参数中的技术要求不同的，必须在《产品技术参数响应正负偏离表》上明示。</w:t>
      </w:r>
    </w:p>
    <w:p>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③该表不作为响应供应商对所投标的物关于技术要求等详细描述和说明的替代。</w:t>
      </w:r>
    </w:p>
    <w:p>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④响应供应商如果虚假响应，将承担一切可能的风险。</w:t>
      </w:r>
    </w:p>
    <w:p>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⑤所投标的物产品品牌型号，必须确定、唯一。</w:t>
      </w:r>
    </w:p>
    <w:p>
      <w:pPr>
        <w:spacing w:line="420" w:lineRule="exact"/>
        <w:ind w:firstLine="484" w:firstLineChars="202"/>
        <w:rPr>
          <w:rFonts w:hint="default" w:ascii="宋体" w:hAnsi="宋体" w:eastAsia="宋体" w:cs="宋体"/>
          <w:sz w:val="24"/>
          <w:szCs w:val="24"/>
          <w:lang w:val="en-US" w:eastAsia="zh-CN"/>
        </w:rPr>
      </w:pPr>
      <w:r>
        <w:rPr>
          <w:rFonts w:hint="eastAsia" w:ascii="宋体" w:hAnsi="宋体" w:eastAsia="宋体" w:cs="宋体"/>
          <w:sz w:val="24"/>
          <w:szCs w:val="24"/>
        </w:rPr>
        <w:t>⑥</w:t>
      </w:r>
      <w:r>
        <w:rPr>
          <w:rFonts w:hint="eastAsia" w:ascii="宋体" w:hAnsi="宋体" w:eastAsia="宋体" w:cs="宋体"/>
          <w:b/>
          <w:bCs/>
          <w:sz w:val="24"/>
          <w:szCs w:val="24"/>
          <w:lang w:val="en-US" w:eastAsia="zh-CN"/>
        </w:rPr>
        <w:t>采购文件中要求提供截图证明的，表</w:t>
      </w:r>
      <w:r>
        <w:rPr>
          <w:rFonts w:hint="eastAsia" w:ascii="宋体" w:hAnsi="宋体" w:eastAsia="宋体" w:cs="宋体"/>
          <w:b/>
          <w:bCs/>
          <w:sz w:val="24"/>
          <w:szCs w:val="24"/>
        </w:rPr>
        <w:t>后应当</w:t>
      </w:r>
      <w:r>
        <w:rPr>
          <w:rFonts w:hint="eastAsia" w:ascii="宋体" w:hAnsi="宋体" w:eastAsia="宋体" w:cs="宋体"/>
          <w:b/>
          <w:bCs/>
          <w:sz w:val="24"/>
          <w:szCs w:val="24"/>
          <w:lang w:val="en-US" w:eastAsia="zh-CN"/>
        </w:rPr>
        <w:t>按采购文件要求提供</w:t>
      </w:r>
      <w:r>
        <w:rPr>
          <w:rFonts w:hint="eastAsia" w:ascii="宋体" w:hAnsi="宋体" w:eastAsia="宋体" w:cs="宋体"/>
          <w:b/>
          <w:bCs/>
          <w:sz w:val="24"/>
          <w:szCs w:val="24"/>
        </w:rPr>
        <w:t>相关证明材料或者截图，证明材料需要与描述的技术、功能、参数相吻合。</w:t>
      </w:r>
      <w:r>
        <w:rPr>
          <w:rFonts w:hint="eastAsia" w:ascii="宋体" w:hAnsi="宋体" w:eastAsia="宋体" w:cs="宋体"/>
          <w:b/>
          <w:bCs/>
          <w:sz w:val="24"/>
          <w:szCs w:val="24"/>
          <w:lang w:val="en-US" w:eastAsia="zh-CN"/>
        </w:rPr>
        <w:t>采购文件要求提供而不提供截图证明的视为负偏离。</w:t>
      </w:r>
    </w:p>
    <w:p>
      <w:pPr>
        <w:adjustRightInd w:val="0"/>
        <w:snapToGrid w:val="0"/>
        <w:spacing w:line="420" w:lineRule="exact"/>
        <w:ind w:firstLine="484" w:firstLineChars="202"/>
        <w:jc w:val="left"/>
        <w:rPr>
          <w:rFonts w:ascii="Times New Roman" w:hAnsi="Times New Roman" w:eastAsia="宋体" w:cs="Times New Roman"/>
          <w:sz w:val="24"/>
          <w:szCs w:val="24"/>
        </w:rPr>
      </w:pPr>
    </w:p>
    <w:p>
      <w:pPr>
        <w:adjustRightInd w:val="0"/>
        <w:snapToGrid w:val="0"/>
        <w:spacing w:line="420" w:lineRule="exact"/>
        <w:ind w:firstLine="484" w:firstLineChars="202"/>
        <w:jc w:val="left"/>
        <w:rPr>
          <w:rFonts w:hint="eastAsia" w:ascii="Times New Roman" w:hAnsi="Times New Roman" w:eastAsia="宋体" w:cs="宋体"/>
          <w:sz w:val="24"/>
          <w:szCs w:val="24"/>
        </w:rPr>
      </w:pPr>
    </w:p>
    <w:p>
      <w:pPr>
        <w:adjustRightInd w:val="0"/>
        <w:snapToGrid w:val="0"/>
        <w:spacing w:line="420" w:lineRule="exact"/>
        <w:ind w:firstLine="484" w:firstLineChars="202"/>
        <w:jc w:val="left"/>
        <w:rPr>
          <w:rFonts w:hint="eastAsia" w:ascii="Times New Roman" w:hAnsi="Times New Roman" w:eastAsia="宋体" w:cs="宋体"/>
          <w:sz w:val="24"/>
          <w:szCs w:val="24"/>
        </w:rPr>
      </w:pPr>
    </w:p>
    <w:p>
      <w:pPr>
        <w:spacing w:line="500" w:lineRule="exact"/>
        <w:rPr>
          <w:rFonts w:hint="eastAsia" w:ascii="宋体" w:hAnsi="宋体" w:eastAsia="宋体" w:cs="宋体"/>
          <w:b w:val="0"/>
          <w:position w:val="0"/>
          <w:sz w:val="24"/>
          <w:szCs w:val="24"/>
          <w:lang w:eastAsia="zh-CN"/>
        </w:rPr>
      </w:pPr>
    </w:p>
    <w:p>
      <w:pPr>
        <w:spacing w:line="500" w:lineRule="exact"/>
        <w:rPr>
          <w:rFonts w:hint="eastAsia" w:ascii="宋体" w:hAnsi="宋体" w:eastAsia="宋体" w:cs="宋体"/>
          <w:b w:val="0"/>
          <w:position w:val="0"/>
          <w:sz w:val="24"/>
          <w:szCs w:val="24"/>
          <w:lang w:eastAsia="zh-CN"/>
        </w:rPr>
      </w:pPr>
    </w:p>
    <w:p>
      <w:pPr>
        <w:spacing w:line="500" w:lineRule="exact"/>
        <w:rPr>
          <w:rFonts w:hint="eastAsia" w:ascii="宋体" w:hAnsi="宋体" w:eastAsia="宋体" w:cs="宋体"/>
          <w:b w:val="0"/>
          <w:position w:val="0"/>
          <w:sz w:val="24"/>
          <w:szCs w:val="24"/>
          <w:lang w:eastAsia="zh-CN"/>
        </w:rPr>
      </w:pPr>
    </w:p>
    <w:p>
      <w:pPr>
        <w:spacing w:line="500" w:lineRule="exact"/>
        <w:rPr>
          <w:rFonts w:hint="eastAsia" w:ascii="宋体" w:hAnsi="宋体" w:eastAsia="宋体" w:cs="宋体"/>
          <w:b w:val="0"/>
          <w:position w:val="0"/>
          <w:sz w:val="24"/>
          <w:szCs w:val="24"/>
          <w:lang w:eastAsia="zh-CN"/>
        </w:rPr>
      </w:pPr>
    </w:p>
    <w:p>
      <w:pPr>
        <w:spacing w:line="500" w:lineRule="exact"/>
        <w:rPr>
          <w:rFonts w:hint="eastAsia" w:ascii="宋体" w:hAnsi="宋体" w:eastAsia="宋体" w:cs="宋体"/>
          <w:b w:val="0"/>
          <w:position w:val="0"/>
          <w:sz w:val="24"/>
          <w:szCs w:val="24"/>
          <w:lang w:eastAsia="zh-CN"/>
        </w:rPr>
      </w:pPr>
    </w:p>
    <w:p>
      <w:pPr>
        <w:spacing w:line="500" w:lineRule="exact"/>
        <w:rPr>
          <w:rFonts w:hint="eastAsia" w:ascii="宋体" w:hAnsi="宋体" w:eastAsia="宋体" w:cs="宋体"/>
          <w:b w:val="0"/>
          <w:position w:val="0"/>
          <w:sz w:val="24"/>
          <w:szCs w:val="24"/>
          <w:lang w:eastAsia="zh-CN"/>
        </w:rPr>
      </w:pPr>
    </w:p>
    <w:p>
      <w:pPr>
        <w:spacing w:line="500" w:lineRule="exact"/>
        <w:jc w:val="center"/>
        <w:rPr>
          <w:rFonts w:hint="eastAsia" w:ascii="宋体" w:hAnsi="宋体" w:eastAsia="宋体" w:cs="宋体"/>
          <w:b/>
          <w:bCs/>
          <w:position w:val="0"/>
          <w:sz w:val="24"/>
          <w:szCs w:val="24"/>
        </w:rPr>
      </w:pPr>
      <w:r>
        <w:rPr>
          <w:rFonts w:hint="eastAsia" w:ascii="宋体" w:hAnsi="宋体" w:eastAsia="宋体" w:cs="宋体"/>
          <w:b/>
          <w:bCs/>
          <w:position w:val="0"/>
          <w:sz w:val="24"/>
          <w:szCs w:val="24"/>
          <w:lang w:eastAsia="zh-CN"/>
        </w:rPr>
        <w:t>（</w:t>
      </w:r>
      <w:r>
        <w:rPr>
          <w:rFonts w:hint="eastAsia" w:ascii="宋体" w:hAnsi="宋体" w:eastAsia="宋体" w:cs="宋体"/>
          <w:b/>
          <w:bCs/>
          <w:position w:val="0"/>
          <w:sz w:val="24"/>
          <w:szCs w:val="24"/>
          <w:lang w:val="en-US" w:eastAsia="zh-CN"/>
        </w:rPr>
        <w:t>2</w:t>
      </w:r>
      <w:r>
        <w:rPr>
          <w:rFonts w:hint="eastAsia" w:ascii="宋体" w:hAnsi="宋体" w:eastAsia="宋体" w:cs="宋体"/>
          <w:b/>
          <w:bCs/>
          <w:position w:val="0"/>
          <w:sz w:val="24"/>
          <w:szCs w:val="24"/>
          <w:lang w:eastAsia="zh-CN"/>
        </w:rPr>
        <w:t>）</w:t>
      </w:r>
      <w:r>
        <w:rPr>
          <w:rFonts w:hint="eastAsia" w:ascii="宋体" w:hAnsi="宋体" w:eastAsia="宋体" w:cs="宋体"/>
          <w:b/>
          <w:bCs/>
          <w:position w:val="0"/>
          <w:sz w:val="24"/>
          <w:szCs w:val="24"/>
        </w:rPr>
        <w:t>商务条款偏离表</w:t>
      </w:r>
    </w:p>
    <w:p>
      <w:pPr>
        <w:ind w:left="420"/>
        <w:rPr>
          <w:rFonts w:hint="eastAsia" w:ascii="宋体" w:hAnsi="宋体" w:eastAsia="宋体" w:cs="宋体"/>
          <w:b w:val="0"/>
          <w:position w:val="0"/>
          <w:sz w:val="24"/>
          <w:szCs w:val="24"/>
        </w:rPr>
      </w:pPr>
    </w:p>
    <w:p>
      <w:pPr>
        <w:ind w:left="420"/>
        <w:rPr>
          <w:rFonts w:hint="eastAsia" w:ascii="宋体" w:hAnsi="宋体" w:eastAsia="宋体" w:cs="宋体"/>
          <w:b w:val="0"/>
          <w:position w:val="0"/>
          <w:sz w:val="24"/>
          <w:szCs w:val="24"/>
        </w:rPr>
      </w:pPr>
    </w:p>
    <w:tbl>
      <w:tblPr>
        <w:tblStyle w:val="70"/>
        <w:tblW w:w="8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39"/>
        <w:gridCol w:w="2439"/>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813" w:type="dxa"/>
            <w:vAlign w:val="center"/>
          </w:tcPr>
          <w:p>
            <w:pPr>
              <w:spacing w:line="420" w:lineRule="exact"/>
              <w:jc w:val="center"/>
              <w:rPr>
                <w:rFonts w:hint="eastAsia" w:ascii="宋体" w:hAnsi="宋体" w:eastAsia="宋体" w:cs="宋体"/>
                <w:b w:val="0"/>
                <w:position w:val="0"/>
                <w:sz w:val="24"/>
                <w:szCs w:val="24"/>
              </w:rPr>
            </w:pPr>
            <w:r>
              <w:rPr>
                <w:rFonts w:hint="eastAsia" w:ascii="宋体" w:hAnsi="宋体" w:eastAsia="宋体" w:cs="宋体"/>
                <w:b w:val="0"/>
                <w:position w:val="0"/>
                <w:sz w:val="24"/>
                <w:szCs w:val="24"/>
              </w:rPr>
              <w:t>序号</w:t>
            </w:r>
          </w:p>
        </w:tc>
        <w:tc>
          <w:tcPr>
            <w:tcW w:w="2439" w:type="dxa"/>
            <w:vAlign w:val="center"/>
          </w:tcPr>
          <w:p>
            <w:pPr>
              <w:spacing w:line="420" w:lineRule="exact"/>
              <w:jc w:val="center"/>
              <w:rPr>
                <w:rFonts w:hint="eastAsia" w:ascii="宋体" w:hAnsi="宋体" w:eastAsia="宋体" w:cs="宋体"/>
                <w:b w:val="0"/>
                <w:position w:val="0"/>
                <w:sz w:val="24"/>
                <w:szCs w:val="24"/>
              </w:rPr>
            </w:pPr>
            <w:r>
              <w:rPr>
                <w:rFonts w:hint="eastAsia" w:ascii="宋体" w:hAnsi="宋体" w:eastAsia="宋体" w:cs="宋体"/>
                <w:b w:val="0"/>
                <w:position w:val="0"/>
                <w:sz w:val="24"/>
                <w:szCs w:val="24"/>
              </w:rPr>
              <w:t>招标文件的</w:t>
            </w:r>
          </w:p>
          <w:p>
            <w:pPr>
              <w:spacing w:line="420" w:lineRule="exact"/>
              <w:jc w:val="center"/>
              <w:rPr>
                <w:rFonts w:hint="eastAsia" w:ascii="宋体" w:hAnsi="宋体" w:eastAsia="宋体" w:cs="宋体"/>
                <w:b w:val="0"/>
                <w:position w:val="0"/>
                <w:sz w:val="24"/>
                <w:szCs w:val="24"/>
              </w:rPr>
            </w:pPr>
            <w:r>
              <w:rPr>
                <w:rFonts w:hint="eastAsia" w:ascii="宋体" w:hAnsi="宋体" w:eastAsia="宋体" w:cs="宋体"/>
                <w:b w:val="0"/>
                <w:position w:val="0"/>
                <w:sz w:val="24"/>
                <w:szCs w:val="24"/>
              </w:rPr>
              <w:t>商务条款</w:t>
            </w:r>
          </w:p>
        </w:tc>
        <w:tc>
          <w:tcPr>
            <w:tcW w:w="2439" w:type="dxa"/>
            <w:vAlign w:val="center"/>
          </w:tcPr>
          <w:p>
            <w:pPr>
              <w:spacing w:line="420" w:lineRule="exact"/>
              <w:jc w:val="center"/>
              <w:rPr>
                <w:rFonts w:hint="eastAsia" w:ascii="宋体" w:hAnsi="宋体" w:eastAsia="宋体" w:cs="宋体"/>
                <w:b w:val="0"/>
                <w:position w:val="0"/>
                <w:sz w:val="24"/>
                <w:szCs w:val="24"/>
              </w:rPr>
            </w:pPr>
            <w:r>
              <w:rPr>
                <w:rFonts w:hint="eastAsia" w:ascii="宋体" w:hAnsi="宋体" w:eastAsia="宋体" w:cs="宋体"/>
                <w:b w:val="0"/>
                <w:position w:val="0"/>
                <w:sz w:val="24"/>
                <w:szCs w:val="24"/>
              </w:rPr>
              <w:t>投标文件的</w:t>
            </w:r>
          </w:p>
          <w:p>
            <w:pPr>
              <w:spacing w:line="420" w:lineRule="exact"/>
              <w:jc w:val="center"/>
              <w:rPr>
                <w:rFonts w:hint="eastAsia" w:ascii="宋体" w:hAnsi="宋体" w:eastAsia="宋体" w:cs="宋体"/>
                <w:b w:val="0"/>
                <w:position w:val="0"/>
                <w:sz w:val="24"/>
                <w:szCs w:val="24"/>
              </w:rPr>
            </w:pPr>
            <w:r>
              <w:rPr>
                <w:rFonts w:hint="eastAsia" w:ascii="宋体" w:hAnsi="宋体" w:eastAsia="宋体" w:cs="宋体"/>
                <w:b w:val="0"/>
                <w:position w:val="0"/>
                <w:sz w:val="24"/>
                <w:szCs w:val="24"/>
              </w:rPr>
              <w:t>商务条款</w:t>
            </w:r>
          </w:p>
        </w:tc>
        <w:tc>
          <w:tcPr>
            <w:tcW w:w="1423" w:type="dxa"/>
            <w:vAlign w:val="center"/>
          </w:tcPr>
          <w:p>
            <w:pPr>
              <w:spacing w:line="420" w:lineRule="exact"/>
              <w:jc w:val="center"/>
              <w:rPr>
                <w:rFonts w:hint="eastAsia" w:ascii="宋体" w:hAnsi="宋体" w:eastAsia="宋体" w:cs="宋体"/>
                <w:b w:val="0"/>
                <w:position w:val="0"/>
                <w:sz w:val="24"/>
                <w:szCs w:val="24"/>
              </w:rPr>
            </w:pPr>
            <w:r>
              <w:rPr>
                <w:rFonts w:hint="eastAsia" w:ascii="宋体" w:hAnsi="宋体" w:eastAsia="宋体" w:cs="宋体"/>
                <w:b w:val="0"/>
                <w:position w:val="0"/>
                <w:sz w:val="24"/>
                <w:szCs w:val="24"/>
              </w:rPr>
              <w:t>响应/偏离</w:t>
            </w:r>
          </w:p>
        </w:tc>
        <w:tc>
          <w:tcPr>
            <w:tcW w:w="1423" w:type="dxa"/>
            <w:vAlign w:val="center"/>
          </w:tcPr>
          <w:p>
            <w:pPr>
              <w:spacing w:line="420" w:lineRule="exact"/>
              <w:jc w:val="center"/>
              <w:rPr>
                <w:rFonts w:hint="eastAsia" w:ascii="宋体" w:hAnsi="宋体" w:eastAsia="宋体" w:cs="宋体"/>
                <w:b w:val="0"/>
                <w:position w:val="0"/>
                <w:sz w:val="24"/>
                <w:szCs w:val="24"/>
              </w:rPr>
            </w:pPr>
            <w:r>
              <w:rPr>
                <w:rFonts w:hint="eastAsia" w:ascii="宋体" w:hAnsi="宋体" w:eastAsia="宋体" w:cs="宋体"/>
                <w:b w:val="0"/>
                <w:positio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813" w:type="dxa"/>
          </w:tcPr>
          <w:p>
            <w:pPr>
              <w:spacing w:line="800" w:lineRule="exact"/>
              <w:rPr>
                <w:rFonts w:hint="default" w:ascii="宋体" w:hAnsi="宋体" w:eastAsia="宋体" w:cs="宋体"/>
                <w:b w:val="0"/>
                <w:position w:val="0"/>
                <w:sz w:val="24"/>
                <w:szCs w:val="24"/>
                <w:lang w:val="en-US" w:eastAsia="zh-CN"/>
              </w:rPr>
            </w:pPr>
            <w:r>
              <w:rPr>
                <w:rFonts w:hint="eastAsia" w:ascii="宋体" w:hAnsi="宋体" w:eastAsia="宋体" w:cs="宋体"/>
                <w:b w:val="0"/>
                <w:position w:val="0"/>
                <w:sz w:val="24"/>
                <w:szCs w:val="24"/>
                <w:lang w:val="en-US" w:eastAsia="zh-CN"/>
              </w:rPr>
              <w:t>1</w:t>
            </w:r>
          </w:p>
        </w:tc>
        <w:tc>
          <w:tcPr>
            <w:tcW w:w="2439" w:type="dxa"/>
          </w:tcPr>
          <w:p>
            <w:pPr>
              <w:spacing w:line="800" w:lineRule="exact"/>
              <w:rPr>
                <w:rFonts w:hint="default" w:ascii="宋体" w:hAnsi="宋体" w:eastAsia="宋体" w:cs="宋体"/>
                <w:b w:val="0"/>
                <w:position w:val="0"/>
                <w:sz w:val="24"/>
                <w:szCs w:val="24"/>
                <w:lang w:val="en-US" w:eastAsia="zh-CN"/>
              </w:rPr>
            </w:pPr>
            <w:r>
              <w:rPr>
                <w:rFonts w:hint="eastAsia" w:ascii="宋体" w:hAnsi="宋体" w:eastAsia="宋体" w:cs="宋体"/>
                <w:b w:val="0"/>
                <w:position w:val="0"/>
                <w:sz w:val="24"/>
                <w:szCs w:val="24"/>
                <w:lang w:val="en-US" w:eastAsia="zh-CN"/>
              </w:rPr>
              <w:t>交货期</w:t>
            </w:r>
          </w:p>
        </w:tc>
        <w:tc>
          <w:tcPr>
            <w:tcW w:w="2439"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813" w:type="dxa"/>
          </w:tcPr>
          <w:p>
            <w:pPr>
              <w:spacing w:line="800" w:lineRule="exact"/>
              <w:rPr>
                <w:rFonts w:hint="default" w:ascii="宋体" w:hAnsi="宋体" w:eastAsia="宋体" w:cs="宋体"/>
                <w:b w:val="0"/>
                <w:position w:val="0"/>
                <w:sz w:val="24"/>
                <w:szCs w:val="24"/>
                <w:lang w:val="en-US" w:eastAsia="zh-CN"/>
              </w:rPr>
            </w:pPr>
            <w:r>
              <w:rPr>
                <w:rFonts w:hint="eastAsia" w:ascii="宋体" w:hAnsi="宋体" w:eastAsia="宋体" w:cs="宋体"/>
                <w:b w:val="0"/>
                <w:position w:val="0"/>
                <w:sz w:val="24"/>
                <w:szCs w:val="24"/>
                <w:lang w:val="en-US" w:eastAsia="zh-CN"/>
              </w:rPr>
              <w:t>2</w:t>
            </w:r>
          </w:p>
        </w:tc>
        <w:tc>
          <w:tcPr>
            <w:tcW w:w="2439" w:type="dxa"/>
          </w:tcPr>
          <w:p>
            <w:pPr>
              <w:spacing w:line="800" w:lineRule="exact"/>
              <w:rPr>
                <w:rFonts w:hint="default" w:ascii="宋体" w:hAnsi="宋体" w:eastAsia="宋体" w:cs="宋体"/>
                <w:b w:val="0"/>
                <w:position w:val="0"/>
                <w:sz w:val="24"/>
                <w:szCs w:val="24"/>
                <w:lang w:val="en-US" w:eastAsia="zh-CN"/>
              </w:rPr>
            </w:pPr>
            <w:r>
              <w:rPr>
                <w:rFonts w:hint="eastAsia" w:ascii="宋体" w:hAnsi="宋体" w:eastAsia="宋体" w:cs="宋体"/>
                <w:b w:val="0"/>
                <w:position w:val="0"/>
                <w:sz w:val="24"/>
                <w:szCs w:val="24"/>
                <w:lang w:val="en-US" w:eastAsia="zh-CN"/>
              </w:rPr>
              <w:t>付款方式</w:t>
            </w:r>
          </w:p>
        </w:tc>
        <w:tc>
          <w:tcPr>
            <w:tcW w:w="2439"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813" w:type="dxa"/>
          </w:tcPr>
          <w:p>
            <w:pPr>
              <w:spacing w:line="800" w:lineRule="exact"/>
              <w:rPr>
                <w:rFonts w:hint="default" w:ascii="宋体" w:hAnsi="宋体" w:eastAsia="宋体" w:cs="宋体"/>
                <w:b w:val="0"/>
                <w:position w:val="0"/>
                <w:sz w:val="24"/>
                <w:szCs w:val="24"/>
                <w:lang w:val="en-US" w:eastAsia="zh-CN"/>
              </w:rPr>
            </w:pPr>
            <w:r>
              <w:rPr>
                <w:rFonts w:hint="eastAsia" w:ascii="宋体" w:hAnsi="宋体" w:eastAsia="宋体" w:cs="宋体"/>
                <w:b w:val="0"/>
                <w:position w:val="0"/>
                <w:sz w:val="24"/>
                <w:szCs w:val="24"/>
                <w:lang w:val="en-US" w:eastAsia="zh-CN"/>
              </w:rPr>
              <w:t>3</w:t>
            </w:r>
          </w:p>
        </w:tc>
        <w:tc>
          <w:tcPr>
            <w:tcW w:w="2439" w:type="dxa"/>
          </w:tcPr>
          <w:p>
            <w:pPr>
              <w:spacing w:line="800" w:lineRule="exact"/>
              <w:rPr>
                <w:rFonts w:hint="default" w:ascii="宋体" w:hAnsi="宋体" w:eastAsia="宋体" w:cs="宋体"/>
                <w:b w:val="0"/>
                <w:position w:val="0"/>
                <w:sz w:val="24"/>
                <w:szCs w:val="24"/>
                <w:lang w:val="en-US" w:eastAsia="zh-CN"/>
              </w:rPr>
            </w:pPr>
            <w:r>
              <w:rPr>
                <w:rFonts w:hint="eastAsia" w:ascii="宋体" w:hAnsi="宋体" w:eastAsia="宋体" w:cs="宋体"/>
                <w:b w:val="0"/>
                <w:position w:val="0"/>
                <w:sz w:val="24"/>
                <w:szCs w:val="24"/>
                <w:lang w:val="en-US" w:eastAsia="zh-CN"/>
              </w:rPr>
              <w:t>^......</w:t>
            </w:r>
          </w:p>
        </w:tc>
        <w:tc>
          <w:tcPr>
            <w:tcW w:w="2439"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813" w:type="dxa"/>
          </w:tcPr>
          <w:p>
            <w:pPr>
              <w:spacing w:line="800" w:lineRule="exact"/>
              <w:rPr>
                <w:rFonts w:hint="eastAsia" w:ascii="宋体" w:hAnsi="宋体" w:eastAsia="宋体" w:cs="宋体"/>
                <w:b w:val="0"/>
                <w:position w:val="0"/>
                <w:sz w:val="24"/>
                <w:szCs w:val="24"/>
              </w:rPr>
            </w:pPr>
          </w:p>
        </w:tc>
        <w:tc>
          <w:tcPr>
            <w:tcW w:w="2439" w:type="dxa"/>
          </w:tcPr>
          <w:p>
            <w:pPr>
              <w:spacing w:line="800" w:lineRule="exact"/>
              <w:rPr>
                <w:rFonts w:hint="eastAsia" w:ascii="宋体" w:hAnsi="宋体" w:eastAsia="宋体" w:cs="宋体"/>
                <w:b w:val="0"/>
                <w:position w:val="0"/>
                <w:sz w:val="24"/>
                <w:szCs w:val="24"/>
              </w:rPr>
            </w:pPr>
            <w:bookmarkStart w:id="46" w:name="_GoBack"/>
            <w:bookmarkEnd w:id="46"/>
          </w:p>
        </w:tc>
        <w:tc>
          <w:tcPr>
            <w:tcW w:w="2439"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813" w:type="dxa"/>
          </w:tcPr>
          <w:p>
            <w:pPr>
              <w:spacing w:line="800" w:lineRule="exact"/>
              <w:rPr>
                <w:rFonts w:hint="eastAsia" w:ascii="宋体" w:hAnsi="宋体" w:eastAsia="宋体" w:cs="宋体"/>
                <w:b w:val="0"/>
                <w:position w:val="0"/>
                <w:sz w:val="24"/>
                <w:szCs w:val="24"/>
              </w:rPr>
            </w:pPr>
          </w:p>
        </w:tc>
        <w:tc>
          <w:tcPr>
            <w:tcW w:w="2439" w:type="dxa"/>
          </w:tcPr>
          <w:p>
            <w:pPr>
              <w:spacing w:line="800" w:lineRule="exact"/>
              <w:rPr>
                <w:rFonts w:hint="eastAsia" w:ascii="宋体" w:hAnsi="宋体" w:eastAsia="宋体" w:cs="宋体"/>
                <w:b w:val="0"/>
                <w:position w:val="0"/>
                <w:sz w:val="24"/>
                <w:szCs w:val="24"/>
              </w:rPr>
            </w:pPr>
          </w:p>
        </w:tc>
        <w:tc>
          <w:tcPr>
            <w:tcW w:w="2439"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813" w:type="dxa"/>
          </w:tcPr>
          <w:p>
            <w:pPr>
              <w:spacing w:line="800" w:lineRule="exact"/>
              <w:rPr>
                <w:rFonts w:hint="eastAsia" w:ascii="宋体" w:hAnsi="宋体" w:eastAsia="宋体" w:cs="宋体"/>
                <w:b w:val="0"/>
                <w:position w:val="0"/>
                <w:sz w:val="24"/>
                <w:szCs w:val="24"/>
              </w:rPr>
            </w:pPr>
          </w:p>
        </w:tc>
        <w:tc>
          <w:tcPr>
            <w:tcW w:w="2439" w:type="dxa"/>
          </w:tcPr>
          <w:p>
            <w:pPr>
              <w:spacing w:line="800" w:lineRule="exact"/>
              <w:rPr>
                <w:rFonts w:hint="eastAsia" w:ascii="宋体" w:hAnsi="宋体" w:eastAsia="宋体" w:cs="宋体"/>
                <w:b w:val="0"/>
                <w:position w:val="0"/>
                <w:sz w:val="24"/>
                <w:szCs w:val="24"/>
              </w:rPr>
            </w:pPr>
          </w:p>
        </w:tc>
        <w:tc>
          <w:tcPr>
            <w:tcW w:w="2439"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813" w:type="dxa"/>
          </w:tcPr>
          <w:p>
            <w:pPr>
              <w:spacing w:line="800" w:lineRule="exact"/>
              <w:rPr>
                <w:rFonts w:hint="eastAsia" w:ascii="宋体" w:hAnsi="宋体" w:eastAsia="宋体" w:cs="宋体"/>
                <w:b w:val="0"/>
                <w:position w:val="0"/>
                <w:sz w:val="24"/>
                <w:szCs w:val="24"/>
              </w:rPr>
            </w:pPr>
          </w:p>
        </w:tc>
        <w:tc>
          <w:tcPr>
            <w:tcW w:w="2439" w:type="dxa"/>
          </w:tcPr>
          <w:p>
            <w:pPr>
              <w:spacing w:line="800" w:lineRule="exact"/>
              <w:rPr>
                <w:rFonts w:hint="eastAsia" w:ascii="宋体" w:hAnsi="宋体" w:eastAsia="宋体" w:cs="宋体"/>
                <w:b w:val="0"/>
                <w:position w:val="0"/>
                <w:sz w:val="24"/>
                <w:szCs w:val="24"/>
              </w:rPr>
            </w:pPr>
          </w:p>
        </w:tc>
        <w:tc>
          <w:tcPr>
            <w:tcW w:w="2439"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813" w:type="dxa"/>
          </w:tcPr>
          <w:p>
            <w:pPr>
              <w:spacing w:line="800" w:lineRule="exact"/>
              <w:rPr>
                <w:rFonts w:hint="eastAsia" w:ascii="宋体" w:hAnsi="宋体" w:eastAsia="宋体" w:cs="宋体"/>
                <w:b w:val="0"/>
                <w:position w:val="0"/>
                <w:sz w:val="24"/>
                <w:szCs w:val="24"/>
              </w:rPr>
            </w:pPr>
          </w:p>
        </w:tc>
        <w:tc>
          <w:tcPr>
            <w:tcW w:w="2439" w:type="dxa"/>
          </w:tcPr>
          <w:p>
            <w:pPr>
              <w:spacing w:line="800" w:lineRule="exact"/>
              <w:rPr>
                <w:rFonts w:hint="eastAsia" w:ascii="宋体" w:hAnsi="宋体" w:eastAsia="宋体" w:cs="宋体"/>
                <w:b w:val="0"/>
                <w:position w:val="0"/>
                <w:sz w:val="24"/>
                <w:szCs w:val="24"/>
              </w:rPr>
            </w:pPr>
          </w:p>
        </w:tc>
        <w:tc>
          <w:tcPr>
            <w:tcW w:w="2439"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813" w:type="dxa"/>
          </w:tcPr>
          <w:p>
            <w:pPr>
              <w:spacing w:line="800" w:lineRule="exact"/>
              <w:rPr>
                <w:rFonts w:hint="eastAsia" w:ascii="宋体" w:hAnsi="宋体" w:eastAsia="宋体" w:cs="宋体"/>
                <w:b w:val="0"/>
                <w:position w:val="0"/>
                <w:sz w:val="24"/>
                <w:szCs w:val="24"/>
              </w:rPr>
            </w:pPr>
          </w:p>
        </w:tc>
        <w:tc>
          <w:tcPr>
            <w:tcW w:w="2439" w:type="dxa"/>
          </w:tcPr>
          <w:p>
            <w:pPr>
              <w:spacing w:line="800" w:lineRule="exact"/>
              <w:rPr>
                <w:rFonts w:hint="eastAsia" w:ascii="宋体" w:hAnsi="宋体" w:eastAsia="宋体" w:cs="宋体"/>
                <w:b w:val="0"/>
                <w:position w:val="0"/>
                <w:sz w:val="24"/>
                <w:szCs w:val="24"/>
              </w:rPr>
            </w:pPr>
          </w:p>
        </w:tc>
        <w:tc>
          <w:tcPr>
            <w:tcW w:w="2439"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813" w:type="dxa"/>
          </w:tcPr>
          <w:p>
            <w:pPr>
              <w:spacing w:line="800" w:lineRule="exact"/>
              <w:rPr>
                <w:rFonts w:hint="eastAsia" w:ascii="宋体" w:hAnsi="宋体" w:eastAsia="宋体" w:cs="宋体"/>
                <w:b w:val="0"/>
                <w:position w:val="0"/>
                <w:sz w:val="24"/>
                <w:szCs w:val="24"/>
              </w:rPr>
            </w:pPr>
          </w:p>
        </w:tc>
        <w:tc>
          <w:tcPr>
            <w:tcW w:w="2439" w:type="dxa"/>
          </w:tcPr>
          <w:p>
            <w:pPr>
              <w:spacing w:line="800" w:lineRule="exact"/>
              <w:rPr>
                <w:rFonts w:hint="eastAsia" w:ascii="宋体" w:hAnsi="宋体" w:eastAsia="宋体" w:cs="宋体"/>
                <w:b w:val="0"/>
                <w:position w:val="0"/>
                <w:sz w:val="24"/>
                <w:szCs w:val="24"/>
              </w:rPr>
            </w:pPr>
          </w:p>
        </w:tc>
        <w:tc>
          <w:tcPr>
            <w:tcW w:w="2439"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c>
          <w:tcPr>
            <w:tcW w:w="1423" w:type="dxa"/>
          </w:tcPr>
          <w:p>
            <w:pPr>
              <w:spacing w:line="800" w:lineRule="exact"/>
              <w:rPr>
                <w:rFonts w:hint="eastAsia" w:ascii="宋体" w:hAnsi="宋体" w:eastAsia="宋体" w:cs="宋体"/>
                <w:b w:val="0"/>
                <w:position w:val="0"/>
                <w:sz w:val="24"/>
                <w:szCs w:val="24"/>
              </w:rPr>
            </w:pPr>
          </w:p>
        </w:tc>
      </w:tr>
    </w:tbl>
    <w:p>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供应商：（须加盖公章）</w:t>
      </w:r>
    </w:p>
    <w:p>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法定代表人或被委托受权人（签字或盖章）：</w:t>
      </w:r>
    </w:p>
    <w:p>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  月  日</w:t>
      </w:r>
    </w:p>
    <w:p>
      <w:pPr>
        <w:spacing w:line="500" w:lineRule="exact"/>
        <w:ind w:left="241"/>
        <w:rPr>
          <w:rFonts w:hint="eastAsia" w:ascii="宋体" w:hAnsi="宋体" w:eastAsia="宋体" w:cs="宋体"/>
          <w:b w:val="0"/>
          <w:position w:val="0"/>
          <w:sz w:val="24"/>
          <w:szCs w:val="24"/>
        </w:rPr>
      </w:pPr>
      <w:r>
        <w:rPr>
          <w:rFonts w:hint="eastAsia" w:ascii="宋体" w:hAnsi="宋体" w:eastAsia="宋体" w:cs="宋体"/>
          <w:b w:val="0"/>
          <w:position w:val="0"/>
          <w:sz w:val="24"/>
          <w:szCs w:val="24"/>
        </w:rPr>
        <w:t>注：1、</w:t>
      </w:r>
      <w:r>
        <w:rPr>
          <w:rFonts w:hint="eastAsia" w:ascii="宋体" w:hAnsi="宋体" w:eastAsia="宋体" w:cs="宋体"/>
          <w:b w:val="0"/>
          <w:bCs/>
          <w:position w:val="0"/>
          <w:sz w:val="24"/>
          <w:szCs w:val="24"/>
        </w:rPr>
        <w:t>投标人须对照招标文件第</w:t>
      </w:r>
      <w:r>
        <w:rPr>
          <w:rFonts w:hint="eastAsia" w:ascii="宋体" w:hAnsi="宋体" w:eastAsia="宋体" w:cs="宋体"/>
          <w:b w:val="0"/>
          <w:bCs/>
          <w:position w:val="0"/>
          <w:sz w:val="24"/>
          <w:szCs w:val="24"/>
          <w:lang w:val="en-US" w:eastAsia="zh-CN"/>
        </w:rPr>
        <w:t>三</w:t>
      </w:r>
      <w:r>
        <w:rPr>
          <w:rFonts w:hint="eastAsia" w:ascii="宋体" w:hAnsi="宋体" w:eastAsia="宋体" w:cs="宋体"/>
          <w:b w:val="0"/>
          <w:bCs/>
          <w:position w:val="0"/>
          <w:sz w:val="24"/>
          <w:szCs w:val="24"/>
        </w:rPr>
        <w:t>章项目需求</w:t>
      </w:r>
      <w:r>
        <w:rPr>
          <w:rFonts w:hint="eastAsia" w:ascii="宋体" w:hAnsi="宋体" w:eastAsia="宋体" w:cs="宋体"/>
          <w:b w:val="0"/>
          <w:bCs/>
          <w:position w:val="0"/>
          <w:sz w:val="24"/>
          <w:szCs w:val="24"/>
          <w:lang w:val="en-US" w:eastAsia="zh-CN"/>
        </w:rPr>
        <w:t>第三条</w:t>
      </w:r>
      <w:r>
        <w:rPr>
          <w:rFonts w:hint="eastAsia" w:ascii="宋体" w:hAnsi="宋体" w:eastAsia="宋体" w:cs="宋体"/>
          <w:b w:val="0"/>
          <w:bCs/>
          <w:position w:val="0"/>
          <w:sz w:val="24"/>
          <w:szCs w:val="24"/>
        </w:rPr>
        <w:t>中所列商务需求</w:t>
      </w:r>
      <w:r>
        <w:rPr>
          <w:rFonts w:hint="eastAsia" w:ascii="宋体" w:hAnsi="宋体" w:eastAsia="宋体" w:cs="宋体"/>
          <w:b w:val="0"/>
          <w:position w:val="0"/>
          <w:sz w:val="24"/>
          <w:szCs w:val="24"/>
        </w:rPr>
        <w:t>逐条作出响应，而不应以“全部符合”等字样来响应。</w:t>
      </w:r>
    </w:p>
    <w:p>
      <w:pPr>
        <w:spacing w:line="500" w:lineRule="exact"/>
        <w:ind w:left="241"/>
        <w:rPr>
          <w:rFonts w:hint="eastAsia" w:ascii="宋体" w:hAnsi="宋体" w:eastAsia="宋体" w:cs="宋体"/>
          <w:b w:val="0"/>
          <w:position w:val="0"/>
          <w:sz w:val="24"/>
          <w:szCs w:val="24"/>
        </w:rPr>
      </w:pPr>
      <w:r>
        <w:rPr>
          <w:rFonts w:hint="eastAsia" w:ascii="宋体" w:hAnsi="宋体" w:eastAsia="宋体" w:cs="宋体"/>
          <w:b w:val="0"/>
          <w:position w:val="0"/>
          <w:sz w:val="24"/>
          <w:szCs w:val="24"/>
        </w:rPr>
        <w:t>2、其他商务偏离也须在上表中逐条列明。</w:t>
      </w:r>
    </w:p>
    <w:p>
      <w:pPr>
        <w:spacing w:line="500" w:lineRule="exact"/>
        <w:ind w:left="241"/>
        <w:rPr>
          <w:rFonts w:hint="eastAsia" w:ascii="宋体" w:hAnsi="宋体" w:eastAsia="宋体" w:cs="宋体"/>
          <w:b w:val="0"/>
          <w:position w:val="0"/>
          <w:sz w:val="24"/>
          <w:szCs w:val="24"/>
        </w:rPr>
      </w:pPr>
      <w:r>
        <w:rPr>
          <w:rFonts w:hint="eastAsia" w:ascii="宋体" w:hAnsi="宋体" w:eastAsia="宋体" w:cs="宋体"/>
          <w:b w:val="0"/>
          <w:position w:val="0"/>
          <w:sz w:val="24"/>
          <w:szCs w:val="24"/>
        </w:rPr>
        <w:t>3、如投标文件不符合上述要求，投标人将承担其投标被拒绝的风险。</w:t>
      </w:r>
    </w:p>
    <w:p>
      <w:pPr>
        <w:adjustRightInd w:val="0"/>
        <w:snapToGrid w:val="0"/>
        <w:spacing w:line="420" w:lineRule="exact"/>
        <w:ind w:firstLine="484" w:firstLineChars="202"/>
        <w:jc w:val="left"/>
        <w:rPr>
          <w:rFonts w:hint="eastAsia" w:ascii="Times New Roman" w:hAnsi="Times New Roman" w:eastAsia="宋体" w:cs="宋体"/>
          <w:sz w:val="24"/>
          <w:szCs w:val="24"/>
        </w:rPr>
      </w:pPr>
    </w:p>
    <w:p>
      <w:pPr>
        <w:adjustRightInd w:val="0"/>
        <w:snapToGrid w:val="0"/>
        <w:spacing w:line="420" w:lineRule="exact"/>
        <w:ind w:firstLine="484" w:firstLineChars="202"/>
        <w:jc w:val="left"/>
        <w:rPr>
          <w:rFonts w:hint="eastAsia" w:ascii="Times New Roman" w:hAnsi="Times New Roman" w:eastAsia="宋体" w:cs="宋体"/>
          <w:sz w:val="24"/>
          <w:szCs w:val="24"/>
        </w:rPr>
      </w:pPr>
    </w:p>
    <w:p>
      <w:pPr>
        <w:adjustRightInd w:val="0"/>
        <w:snapToGrid w:val="0"/>
        <w:spacing w:line="420" w:lineRule="exact"/>
        <w:ind w:firstLine="484" w:firstLineChars="202"/>
        <w:jc w:val="left"/>
        <w:rPr>
          <w:rFonts w:hint="eastAsia" w:ascii="Times New Roman" w:hAnsi="Times New Roman" w:eastAsia="宋体" w:cs="宋体"/>
          <w:sz w:val="24"/>
          <w:szCs w:val="24"/>
        </w:rPr>
      </w:pPr>
    </w:p>
    <w:p>
      <w:pPr>
        <w:adjustRightInd w:val="0"/>
        <w:snapToGrid w:val="0"/>
        <w:spacing w:line="420" w:lineRule="exact"/>
        <w:ind w:firstLine="484" w:firstLineChars="202"/>
        <w:jc w:val="left"/>
        <w:rPr>
          <w:rFonts w:hint="eastAsia" w:ascii="Times New Roman" w:hAnsi="Times New Roman" w:eastAsia="宋体" w:cs="宋体"/>
          <w:sz w:val="24"/>
          <w:szCs w:val="24"/>
        </w:rPr>
      </w:pPr>
    </w:p>
    <w:p>
      <w:pPr>
        <w:adjustRightInd w:val="0"/>
        <w:snapToGrid w:val="0"/>
        <w:spacing w:line="420" w:lineRule="exact"/>
        <w:ind w:firstLine="484" w:firstLineChars="202"/>
        <w:jc w:val="left"/>
        <w:rPr>
          <w:rFonts w:hint="eastAsia" w:ascii="Times New Roman" w:hAnsi="Times New Roman" w:eastAsia="宋体" w:cs="宋体"/>
          <w:sz w:val="24"/>
          <w:szCs w:val="24"/>
        </w:rPr>
      </w:pPr>
    </w:p>
    <w:p>
      <w:pPr>
        <w:adjustRightInd w:val="0"/>
        <w:snapToGrid w:val="0"/>
        <w:spacing w:line="420" w:lineRule="exact"/>
        <w:ind w:firstLine="484" w:firstLineChars="202"/>
        <w:jc w:val="left"/>
        <w:rPr>
          <w:rFonts w:hint="eastAsia" w:ascii="Times New Roman" w:hAnsi="Times New Roman" w:eastAsia="宋体" w:cs="宋体"/>
          <w:sz w:val="24"/>
          <w:szCs w:val="24"/>
        </w:rPr>
      </w:pPr>
    </w:p>
    <w:p>
      <w:pPr>
        <w:adjustRightInd w:val="0"/>
        <w:snapToGrid w:val="0"/>
        <w:spacing w:line="420" w:lineRule="exact"/>
        <w:ind w:firstLine="484" w:firstLineChars="202"/>
        <w:jc w:val="left"/>
        <w:rPr>
          <w:rFonts w:hint="eastAsia" w:ascii="Times New Roman" w:hAnsi="Times New Roman" w:eastAsia="宋体" w:cs="宋体"/>
          <w:sz w:val="24"/>
          <w:szCs w:val="24"/>
        </w:rPr>
      </w:pPr>
    </w:p>
    <w:p>
      <w:pPr>
        <w:adjustRightInd w:val="0"/>
        <w:snapToGrid w:val="0"/>
        <w:spacing w:line="420" w:lineRule="exact"/>
        <w:ind w:firstLine="484" w:firstLineChars="202"/>
        <w:jc w:val="left"/>
        <w:rPr>
          <w:rFonts w:hint="eastAsia" w:ascii="Times New Roman" w:hAnsi="Times New Roman" w:eastAsia="宋体" w:cs="宋体"/>
          <w:sz w:val="24"/>
          <w:szCs w:val="24"/>
        </w:rPr>
      </w:pPr>
    </w:p>
    <w:p>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lang w:val="en-US" w:eastAsia="zh-CN"/>
        </w:rPr>
        <w:t>3</w:t>
      </w:r>
      <w:r>
        <w:rPr>
          <w:rFonts w:hint="eastAsia" w:ascii="Times New Roman" w:hAnsi="Times New Roman" w:eastAsia="宋体" w:cs="宋体"/>
          <w:sz w:val="24"/>
          <w:szCs w:val="24"/>
        </w:rPr>
        <w:t>）提供招标文件第四章第四条“</w:t>
      </w:r>
      <w:r>
        <w:rPr>
          <w:rFonts w:hint="eastAsia" w:ascii="Times New Roman" w:hAnsi="Times New Roman" w:eastAsia="宋体" w:cs="宋体"/>
          <w:sz w:val="24"/>
          <w:szCs w:val="24"/>
          <w:lang w:val="en-US" w:eastAsia="zh-CN"/>
        </w:rPr>
        <w:t>技术标</w:t>
      </w:r>
      <w:r>
        <w:rPr>
          <w:rFonts w:hint="eastAsia" w:ascii="Times New Roman" w:hAnsi="Times New Roman" w:eastAsia="宋体" w:cs="宋体"/>
          <w:sz w:val="24"/>
          <w:szCs w:val="24"/>
        </w:rPr>
        <w:t>评审评分因素”中涉及评分标准而需提供的所有材料；</w:t>
      </w:r>
    </w:p>
    <w:p>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（格式自拟）</w:t>
      </w:r>
    </w:p>
    <w:p>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p>
    <w:p>
      <w:pPr>
        <w:adjustRightInd w:val="0"/>
        <w:snapToGrid w:val="0"/>
        <w:spacing w:line="420" w:lineRule="exact"/>
        <w:ind w:firstLine="484" w:firstLineChars="202"/>
        <w:jc w:val="left"/>
        <w:rPr>
          <w:rFonts w:ascii="Times New Roman" w:hAnsi="Times New Roman" w:eastAsia="宋体" w:cs="Times New Roman"/>
          <w:sz w:val="24"/>
          <w:szCs w:val="24"/>
        </w:rPr>
      </w:pPr>
    </w:p>
    <w:p>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宋体"/>
          <w:sz w:val="24"/>
          <w:szCs w:val="24"/>
        </w:rPr>
        <w:t>）招标文件中未涉及的事项，供应商认为需要提交的其他材料。</w:t>
      </w:r>
    </w:p>
    <w:p>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（格式自拟）</w:t>
      </w:r>
    </w:p>
    <w:p>
      <w:pPr>
        <w:spacing w:line="420" w:lineRule="exact"/>
        <w:ind w:firstLine="484" w:firstLineChars="202"/>
        <w:rPr>
          <w:rFonts w:hint="eastAsia" w:ascii="Times New Roman" w:hAnsi="Times New Roman" w:eastAsia="宋体" w:cs="宋体"/>
          <w:sz w:val="24"/>
          <w:szCs w:val="24"/>
        </w:rPr>
      </w:pPr>
      <w:r>
        <w:rPr>
          <w:rFonts w:hint="eastAsia" w:ascii="Times New Roman" w:hAnsi="Times New Roman" w:eastAsia="宋体" w:cs="宋体"/>
          <w:sz w:val="24"/>
          <w:szCs w:val="24"/>
        </w:rPr>
        <w:t>……</w:t>
      </w:r>
    </w:p>
    <w:p>
      <w:pPr>
        <w:pStyle w:val="37"/>
        <w:rPr>
          <w:rFonts w:hint="eastAsia" w:ascii="Times New Roman" w:hAnsi="Times New Roman" w:eastAsia="宋体" w:cs="宋体"/>
          <w:sz w:val="24"/>
          <w:szCs w:val="24"/>
        </w:rPr>
      </w:pPr>
    </w:p>
    <w:p>
      <w:pPr>
        <w:pStyle w:val="38"/>
        <w:rPr>
          <w:rFonts w:hint="eastAsia" w:ascii="Times New Roman" w:hAnsi="Times New Roman" w:eastAsia="宋体" w:cs="宋体"/>
          <w:sz w:val="24"/>
          <w:szCs w:val="24"/>
        </w:rPr>
      </w:pPr>
    </w:p>
    <w:p>
      <w:pPr>
        <w:pStyle w:val="38"/>
        <w:rPr>
          <w:rFonts w:hint="eastAsia" w:ascii="Times New Roman" w:hAnsi="Times New Roman" w:eastAsia="宋体" w:cs="宋体"/>
          <w:sz w:val="24"/>
          <w:szCs w:val="24"/>
        </w:rPr>
        <w:sectPr>
          <w:pgSz w:w="11906" w:h="16838"/>
          <w:pgMar w:top="851" w:right="851" w:bottom="851" w:left="1134" w:header="454" w:footer="454" w:gutter="0"/>
          <w:cols w:space="720" w:num="1"/>
          <w:titlePg/>
          <w:docGrid w:linePitch="380" w:charSpace="-5735"/>
        </w:sectPr>
      </w:pPr>
    </w:p>
    <w:p>
      <w:pPr>
        <w:spacing w:line="420" w:lineRule="exact"/>
        <w:rPr>
          <w:rFonts w:ascii="Times New Roman" w:hAnsi="Times New Roman" w:eastAsia="宋体" w:cs="宋体"/>
          <w:sz w:val="24"/>
          <w:szCs w:val="24"/>
        </w:rPr>
      </w:pPr>
    </w:p>
    <w:p>
      <w:pPr>
        <w:snapToGrid w:val="0"/>
        <w:spacing w:line="420" w:lineRule="exact"/>
        <w:ind w:firstLine="424" w:firstLineChars="176"/>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（三）价格标文件</w:t>
      </w:r>
      <w:r>
        <w:rPr>
          <w:rFonts w:hint="eastAsia" w:ascii="Times New Roman" w:hAnsi="Times New Roman" w:eastAsia="宋体" w:cs="宋体"/>
          <w:sz w:val="24"/>
          <w:szCs w:val="24"/>
        </w:rPr>
        <w:t>（一个密封包，含一正四副文件）</w:t>
      </w:r>
    </w:p>
    <w:p>
      <w:pPr>
        <w:snapToGrid w:val="0"/>
        <w:spacing w:before="360" w:beforeLines="150" w:after="120" w:afterLines="50" w:line="420" w:lineRule="exact"/>
        <w:jc w:val="center"/>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宋体"/>
          <w:b/>
          <w:bCs/>
          <w:sz w:val="24"/>
          <w:szCs w:val="24"/>
        </w:rPr>
        <w:t>投标报价</w:t>
      </w:r>
      <w:r>
        <w:rPr>
          <w:rFonts w:hint="eastAsia" w:ascii="Times New Roman" w:hAnsi="Times New Roman" w:eastAsia="宋体" w:cs="宋体"/>
          <w:b/>
          <w:bCs/>
          <w:sz w:val="24"/>
          <w:szCs w:val="24"/>
          <w:lang w:val="en-US" w:eastAsia="zh-CN"/>
        </w:rPr>
        <w:t>总</w:t>
      </w:r>
      <w:r>
        <w:rPr>
          <w:rFonts w:hint="eastAsia" w:ascii="Times New Roman" w:hAnsi="Times New Roman" w:eastAsia="宋体" w:cs="宋体"/>
          <w:b/>
          <w:bCs/>
          <w:sz w:val="24"/>
          <w:szCs w:val="24"/>
        </w:rPr>
        <w:t>表</w:t>
      </w:r>
    </w:p>
    <w:p>
      <w:pPr>
        <w:snapToGrid w:val="0"/>
        <w:spacing w:line="420" w:lineRule="exact"/>
        <w:ind w:left="1133" w:hanging="1132" w:hangingChars="472"/>
        <w:rPr>
          <w:rFonts w:hint="eastAsia" w:ascii="Times New Roman" w:hAnsi="Times New Roman" w:eastAsia="宋体" w:cs="Times New Roman"/>
          <w:sz w:val="24"/>
          <w:szCs w:val="24"/>
          <w:lang w:eastAsia="zh-CN"/>
        </w:rPr>
      </w:pPr>
      <w:r>
        <w:rPr>
          <w:rFonts w:hint="eastAsia" w:ascii="Times New Roman" w:hAnsi="Times New Roman" w:eastAsia="宋体" w:cs="宋体"/>
          <w:sz w:val="24"/>
          <w:szCs w:val="24"/>
        </w:rPr>
        <w:t>项目名称：</w:t>
      </w:r>
      <w:r>
        <w:rPr>
          <w:rFonts w:hint="eastAsia" w:ascii="Times New Roman" w:hAnsi="Times New Roman" w:eastAsia="宋体" w:cs="宋体"/>
          <w:sz w:val="24"/>
          <w:szCs w:val="24"/>
          <w:lang w:eastAsia="zh-CN"/>
        </w:rPr>
        <w:t>南通市口腔医院内外网文件摆渡系统采购项目</w:t>
      </w:r>
    </w:p>
    <w:p>
      <w:pPr>
        <w:snapToGrid w:val="0"/>
        <w:spacing w:line="420" w:lineRule="exact"/>
        <w:ind w:left="1133" w:hanging="1132" w:hangingChars="472"/>
        <w:rPr>
          <w:rFonts w:hint="eastAsia" w:ascii="Times New Roman" w:hAnsi="Times New Roman" w:eastAsia="宋体" w:cs="Times New Roman"/>
          <w:sz w:val="24"/>
          <w:szCs w:val="24"/>
          <w:lang w:eastAsia="zh-CN"/>
        </w:rPr>
      </w:pPr>
      <w:r>
        <w:rPr>
          <w:rFonts w:hint="eastAsia" w:ascii="Times New Roman" w:hAnsi="Times New Roman" w:eastAsia="宋体" w:cs="宋体"/>
          <w:sz w:val="24"/>
          <w:szCs w:val="24"/>
        </w:rPr>
        <w:t>项目编号：</w:t>
      </w:r>
      <w:r>
        <w:rPr>
          <w:rFonts w:hint="eastAsia" w:ascii="Times New Roman" w:hAnsi="Times New Roman" w:eastAsia="宋体" w:cs="Times New Roman"/>
          <w:sz w:val="24"/>
          <w:szCs w:val="24"/>
          <w:lang w:eastAsia="zh-CN"/>
        </w:rPr>
        <w:t>NTSKQYYCG2025003</w:t>
      </w:r>
    </w:p>
    <w:tbl>
      <w:tblPr>
        <w:tblStyle w:val="70"/>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694" w:type="dxa"/>
            <w:tcBorders>
              <w:top w:val="single" w:color="auto" w:sz="18" w:space="0"/>
              <w:left w:val="single" w:color="auto" w:sz="18" w:space="0"/>
            </w:tcBorders>
            <w:vAlign w:val="center"/>
          </w:tcPr>
          <w:p>
            <w:pPr>
              <w:snapToGrid w:val="0"/>
              <w:spacing w:line="420" w:lineRule="exact"/>
              <w:ind w:left="1137" w:hanging="1137" w:hangingChars="472"/>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项目名称</w:t>
            </w:r>
          </w:p>
        </w:tc>
        <w:tc>
          <w:tcPr>
            <w:tcW w:w="6945" w:type="dxa"/>
            <w:tcBorders>
              <w:top w:val="single" w:color="auto" w:sz="18" w:space="0"/>
              <w:right w:val="single" w:color="auto" w:sz="18" w:space="0"/>
            </w:tcBorders>
            <w:vAlign w:val="center"/>
          </w:tcPr>
          <w:p>
            <w:pPr>
              <w:snapToGrid w:val="0"/>
              <w:spacing w:line="420" w:lineRule="exact"/>
              <w:ind w:left="1137" w:hanging="1137" w:hangingChars="472"/>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trPr>
        <w:tc>
          <w:tcPr>
            <w:tcW w:w="2694" w:type="dxa"/>
            <w:tcBorders>
              <w:left w:val="single" w:color="auto" w:sz="18" w:space="0"/>
            </w:tcBorders>
            <w:vAlign w:val="center"/>
          </w:tcPr>
          <w:p>
            <w:pPr>
              <w:snapToGrid w:val="0"/>
              <w:spacing w:line="420" w:lineRule="exact"/>
              <w:ind w:left="2"/>
              <w:rPr>
                <w:rFonts w:hint="eastAsia"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南通市口腔医院内外网文件摆渡系统采购项目</w:t>
            </w:r>
          </w:p>
        </w:tc>
        <w:tc>
          <w:tcPr>
            <w:tcW w:w="6945" w:type="dxa"/>
            <w:tcBorders>
              <w:right w:val="single" w:color="auto" w:sz="18" w:space="0"/>
            </w:tcBorders>
            <w:vAlign w:val="center"/>
          </w:tcPr>
          <w:p>
            <w:pPr>
              <w:snapToGrid w:val="0"/>
              <w:spacing w:line="420" w:lineRule="exact"/>
              <w:ind w:left="1133" w:hanging="1132" w:hangingChars="472"/>
              <w:rPr>
                <w:rFonts w:ascii="Times New Roman" w:hAnsi="Times New Roman" w:eastAsia="宋体" w:cs="Times New Roman"/>
                <w:sz w:val="24"/>
                <w:szCs w:val="24"/>
                <w:u w:val="single"/>
              </w:rPr>
            </w:pPr>
            <w:r>
              <w:rPr>
                <w:rFonts w:hint="eastAsia" w:ascii="Times New Roman" w:hAnsi="Times New Roman" w:eastAsia="宋体" w:cs="宋体"/>
                <w:sz w:val="24"/>
                <w:szCs w:val="24"/>
              </w:rPr>
              <w:t>人民币大写：</w:t>
            </w:r>
            <w:r>
              <w:rPr>
                <w:rFonts w:ascii="Times New Roman" w:hAnsi="Times New Roman" w:eastAsia="宋体" w:cs="Times New Roman"/>
                <w:sz w:val="24"/>
                <w:szCs w:val="24"/>
                <w:u w:val="single"/>
              </w:rPr>
              <w:t xml:space="preserve">                              </w:t>
            </w:r>
          </w:p>
          <w:p>
            <w:pPr>
              <w:snapToGrid w:val="0"/>
              <w:spacing w:line="420" w:lineRule="exact"/>
              <w:ind w:left="1133" w:hanging="1132" w:hangingChars="472"/>
              <w:rPr>
                <w:rFonts w:ascii="Times New Roman" w:hAnsi="Times New Roman" w:eastAsia="宋体" w:cs="Times New Roman"/>
                <w:sz w:val="24"/>
                <w:szCs w:val="24"/>
              </w:rPr>
            </w:pPr>
          </w:p>
          <w:p>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人民币小写</w:t>
            </w:r>
            <w:r>
              <w:rPr>
                <w:rFonts w:ascii="Times New Roman" w:hAnsi="Times New Roman" w:eastAsia="宋体" w:cs="Times New Roman"/>
                <w:sz w:val="24"/>
                <w:szCs w:val="24"/>
              </w:rPr>
              <w:t>¥</w:t>
            </w:r>
            <w:r>
              <w:rPr>
                <w:rFonts w:hint="eastAsia" w:ascii="Times New Roman" w:hAnsi="Times New Roman" w:eastAsia="宋体" w:cs="宋体"/>
                <w:sz w:val="24"/>
                <w:szCs w:val="24"/>
              </w:rPr>
              <w:t>：</w:t>
            </w:r>
            <w:r>
              <w:rPr>
                <w:rFonts w:ascii="Times New Roman" w:hAnsi="Times New Roman" w:eastAsia="宋体"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2694" w:type="dxa"/>
            <w:tcBorders>
              <w:left w:val="single" w:color="auto" w:sz="18" w:space="0"/>
              <w:bottom w:val="single" w:color="auto" w:sz="18" w:space="0"/>
            </w:tcBorders>
            <w:vAlign w:val="center"/>
          </w:tcPr>
          <w:p>
            <w:pPr>
              <w:snapToGrid w:val="0"/>
              <w:spacing w:line="420" w:lineRule="exact"/>
              <w:ind w:left="2"/>
              <w:jc w:val="center"/>
              <w:rPr>
                <w:rFonts w:ascii="Times New Roman" w:hAnsi="Times New Roman" w:eastAsia="宋体" w:cs="Times New Roman"/>
                <w:sz w:val="24"/>
                <w:szCs w:val="24"/>
              </w:rPr>
            </w:pPr>
            <w:r>
              <w:rPr>
                <w:rFonts w:hint="eastAsia" w:ascii="Times New Roman" w:hAnsi="Times New Roman" w:eastAsia="宋体" w:cs="宋体"/>
                <w:sz w:val="24"/>
                <w:szCs w:val="24"/>
              </w:rPr>
              <w:t>商务付款条件</w:t>
            </w:r>
          </w:p>
        </w:tc>
        <w:tc>
          <w:tcPr>
            <w:tcW w:w="6945" w:type="dxa"/>
            <w:tcBorders>
              <w:bottom w:val="single" w:color="auto" w:sz="18" w:space="0"/>
              <w:right w:val="single" w:color="auto" w:sz="18" w:space="0"/>
            </w:tcBorders>
            <w:vAlign w:val="center"/>
          </w:tcPr>
          <w:p>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完全接受并响应本项目招标文件的要求。</w:t>
            </w:r>
          </w:p>
        </w:tc>
      </w:tr>
    </w:tbl>
    <w:p>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投标人：（加盖公章）</w:t>
      </w:r>
      <w:r>
        <w:rPr>
          <w:rFonts w:ascii="Times New Roman" w:hAnsi="Times New Roman" w:eastAsia="宋体" w:cs="Times New Roman"/>
          <w:sz w:val="24"/>
          <w:szCs w:val="24"/>
        </w:rPr>
        <w:t xml:space="preserve">             </w:t>
      </w:r>
    </w:p>
    <w:p>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法定代表人或被委托受权人（签字）：</w:t>
      </w:r>
    </w:p>
    <w:p>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日期：</w:t>
      </w:r>
    </w:p>
    <w:p>
      <w:pPr>
        <w:snapToGrid w:val="0"/>
        <w:spacing w:line="420" w:lineRule="exact"/>
        <w:ind w:left="1133" w:hanging="1132" w:hangingChars="472"/>
        <w:rPr>
          <w:rFonts w:ascii="Times New Roman" w:hAnsi="Times New Roman" w:eastAsia="宋体" w:cs="Times New Roman"/>
          <w:sz w:val="24"/>
          <w:szCs w:val="24"/>
        </w:rPr>
      </w:pPr>
    </w:p>
    <w:p>
      <w:pPr>
        <w:snapToGrid w:val="0"/>
        <w:spacing w:line="420" w:lineRule="exact"/>
        <w:ind w:firstLine="566" w:firstLineChars="236"/>
        <w:rPr>
          <w:rFonts w:ascii="Times New Roman" w:hAnsi="Times New Roman" w:eastAsia="宋体" w:cs="Times New Roman"/>
          <w:sz w:val="24"/>
          <w:szCs w:val="24"/>
        </w:rPr>
      </w:pPr>
      <w:r>
        <w:rPr>
          <w:rFonts w:hint="eastAsia" w:ascii="Times New Roman" w:hAnsi="Times New Roman" w:eastAsia="宋体" w:cs="宋体"/>
          <w:sz w:val="24"/>
          <w:szCs w:val="24"/>
        </w:rPr>
        <w:t>注：</w:t>
      </w:r>
    </w:p>
    <w:p>
      <w:pPr>
        <w:snapToGrid w:val="0"/>
        <w:spacing w:line="420" w:lineRule="exact"/>
        <w:ind w:firstLine="566" w:firstLineChars="23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）本表为格式表，不得自行改动，必须提供，否则视为未实质性响应招标文。</w:t>
      </w:r>
    </w:p>
    <w:p>
      <w:pPr>
        <w:snapToGrid w:val="0"/>
        <w:spacing w:line="420" w:lineRule="exact"/>
        <w:ind w:firstLine="566" w:firstLineChars="23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）投标报价按招标文件第二章第十条规定的条款执行。</w:t>
      </w:r>
    </w:p>
    <w:p>
      <w:pPr>
        <w:spacing w:line="420" w:lineRule="exact"/>
        <w:ind w:firstLine="484" w:firstLineChars="202"/>
        <w:rPr>
          <w:rFonts w:ascii="Times New Roman" w:hAnsi="Times New Roman" w:eastAsia="宋体" w:cs="Times New Roman"/>
          <w:sz w:val="24"/>
          <w:szCs w:val="24"/>
        </w:rPr>
      </w:pPr>
    </w:p>
    <w:p>
      <w:pPr>
        <w:overflowPunct w:val="0"/>
        <w:spacing w:line="420" w:lineRule="exact"/>
        <w:jc w:val="center"/>
        <w:textAlignment w:val="baseline"/>
        <w:rPr>
          <w:rFonts w:ascii="Times New Roman" w:hAnsi="Times New Roman" w:eastAsia="宋体" w:cs="Times New Roman"/>
          <w:b/>
          <w:bCs/>
          <w:sz w:val="24"/>
          <w:szCs w:val="24"/>
        </w:rPr>
      </w:pPr>
    </w:p>
    <w:p>
      <w:pPr>
        <w:overflowPunct w:val="0"/>
        <w:spacing w:line="420" w:lineRule="exact"/>
        <w:jc w:val="center"/>
        <w:textAlignment w:val="baseline"/>
        <w:rPr>
          <w:rFonts w:ascii="Times New Roman" w:hAnsi="Times New Roman" w:eastAsia="宋体" w:cs="Times New Roman"/>
          <w:b/>
          <w:bCs/>
          <w:sz w:val="24"/>
          <w:szCs w:val="24"/>
        </w:rPr>
      </w:pPr>
    </w:p>
    <w:p>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pPr>
        <w:numPr>
          <w:ilvl w:val="0"/>
          <w:numId w:val="0"/>
        </w:numPr>
        <w:snapToGrid w:val="0"/>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2、投标</w:t>
      </w:r>
      <w:r>
        <w:rPr>
          <w:rFonts w:hint="eastAsia" w:ascii="宋体" w:hAnsi="宋体" w:eastAsia="宋体" w:cs="宋体"/>
          <w:b/>
          <w:sz w:val="28"/>
          <w:szCs w:val="28"/>
          <w:highlight w:val="none"/>
        </w:rPr>
        <w:t>报价明细表（供应商自拟）</w:t>
      </w:r>
    </w:p>
    <w:p>
      <w:pPr>
        <w:snapToGrid w:val="0"/>
        <w:spacing w:line="500" w:lineRule="exact"/>
        <w:ind w:firstLine="590" w:firstLineChars="245"/>
        <w:jc w:val="center"/>
        <w:rPr>
          <w:rFonts w:ascii="宋体" w:hAnsi="宋体" w:cs="宋体"/>
          <w:b/>
          <w:sz w:val="24"/>
          <w:szCs w:val="21"/>
          <w:highlight w:val="none"/>
        </w:rPr>
      </w:pPr>
    </w:p>
    <w:p>
      <w:pPr>
        <w:snapToGrid w:val="0"/>
        <w:spacing w:line="500" w:lineRule="exact"/>
        <w:rPr>
          <w:rFonts w:ascii="宋体" w:hAnsi="宋体" w:cs="宋体"/>
          <w:sz w:val="24"/>
          <w:szCs w:val="21"/>
          <w:highlight w:val="none"/>
        </w:rPr>
      </w:pPr>
    </w:p>
    <w:p>
      <w:pPr>
        <w:kinsoku w:val="0"/>
        <w:topLinePunct/>
        <w:snapToGrid w:val="0"/>
        <w:spacing w:line="520" w:lineRule="exact"/>
        <w:rPr>
          <w:rFonts w:ascii="宋体" w:hAnsi="宋体" w:cs="宋体"/>
          <w:sz w:val="24"/>
          <w:highlight w:val="none"/>
          <w:u w:val="singl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p>
    <w:p>
      <w:pPr>
        <w:kinsoku w:val="0"/>
        <w:topLinePunct/>
        <w:snapToGrid w:val="0"/>
        <w:spacing w:line="520" w:lineRule="exact"/>
        <w:rPr>
          <w:rFonts w:ascii="宋体" w:hAnsi="宋体" w:cs="宋体"/>
          <w:sz w:val="24"/>
          <w:highlight w:val="none"/>
        </w:rPr>
      </w:pPr>
    </w:p>
    <w:p>
      <w:pPr>
        <w:kinsoku w:val="0"/>
        <w:topLinePunct/>
        <w:snapToGrid w:val="0"/>
        <w:spacing w:line="520" w:lineRule="exact"/>
        <w:rPr>
          <w:rFonts w:ascii="宋体" w:hAnsi="宋体" w:cs="宋体"/>
          <w:sz w:val="24"/>
          <w:highlight w:val="none"/>
        </w:rPr>
      </w:pPr>
    </w:p>
    <w:p>
      <w:pPr>
        <w:kinsoku w:val="0"/>
        <w:topLinePunct/>
        <w:snapToGrid w:val="0"/>
        <w:spacing w:line="520" w:lineRule="exact"/>
        <w:rPr>
          <w:rFonts w:ascii="宋体" w:hAnsi="宋体" w:cs="宋体"/>
          <w:sz w:val="24"/>
          <w:highlight w:val="none"/>
        </w:rPr>
      </w:pPr>
    </w:p>
    <w:p>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 xml:space="preserve">：（须盖公章）             </w:t>
      </w:r>
    </w:p>
    <w:p>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法定代表人或被委托受权人（签字或盖章）：</w:t>
      </w:r>
    </w:p>
    <w:p>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  月  日</w:t>
      </w:r>
    </w:p>
    <w:p>
      <w:pPr>
        <w:pStyle w:val="314"/>
        <w:rPr>
          <w:rFonts w:hint="eastAsia" w:ascii="宋体" w:hAnsi="宋体" w:cs="宋体"/>
          <w:sz w:val="24"/>
          <w:szCs w:val="24"/>
          <w:highlight w:val="none"/>
          <w:lang w:eastAsia="zh-CN"/>
        </w:rPr>
      </w:pPr>
    </w:p>
    <w:p>
      <w:pPr>
        <w:snapToGrid w:val="0"/>
        <w:ind w:firstLine="590" w:firstLineChars="196"/>
        <w:jc w:val="center"/>
        <w:rPr>
          <w:rFonts w:hint="eastAsia" w:ascii="宋体" w:hAnsi="宋体" w:eastAsia="宋体"/>
          <w:b/>
          <w:sz w:val="30"/>
          <w:szCs w:val="24"/>
          <w:highlight w:val="none"/>
        </w:rPr>
      </w:pPr>
    </w:p>
    <w:p>
      <w:pPr>
        <w:overflowPunct w:val="0"/>
        <w:spacing w:line="420" w:lineRule="exact"/>
        <w:jc w:val="center"/>
        <w:textAlignment w:val="baseline"/>
        <w:rPr>
          <w:rFonts w:ascii="Times New Roman" w:hAnsi="Times New Roman" w:eastAsia="宋体" w:cs="Times New Roman"/>
          <w:b/>
          <w:bCs/>
          <w:sz w:val="24"/>
          <w:szCs w:val="24"/>
        </w:rPr>
      </w:pPr>
    </w:p>
    <w:p>
      <w:pPr>
        <w:overflowPunct w:val="0"/>
        <w:spacing w:line="420" w:lineRule="exact"/>
        <w:jc w:val="center"/>
        <w:textAlignment w:val="baseline"/>
        <w:rPr>
          <w:rFonts w:ascii="Times New Roman" w:hAnsi="Times New Roman" w:eastAsia="宋体" w:cs="Times New Roman"/>
          <w:b/>
          <w:bCs/>
          <w:sz w:val="24"/>
          <w:szCs w:val="24"/>
        </w:rPr>
      </w:pPr>
    </w:p>
    <w:p>
      <w:pPr>
        <w:overflowPunct w:val="0"/>
        <w:spacing w:line="420" w:lineRule="exact"/>
        <w:jc w:val="center"/>
        <w:textAlignment w:val="baseline"/>
        <w:rPr>
          <w:rFonts w:ascii="Times New Roman" w:hAnsi="Times New Roman" w:eastAsia="宋体" w:cs="Times New Roman"/>
          <w:b/>
          <w:bCs/>
          <w:sz w:val="24"/>
          <w:szCs w:val="24"/>
        </w:rPr>
      </w:pPr>
    </w:p>
    <w:p>
      <w:pPr>
        <w:overflowPunct w:val="0"/>
        <w:spacing w:line="420" w:lineRule="exact"/>
        <w:jc w:val="center"/>
        <w:textAlignment w:val="baseline"/>
        <w:rPr>
          <w:rFonts w:ascii="Times New Roman" w:hAnsi="Times New Roman" w:eastAsia="宋体" w:cs="Times New Roman"/>
          <w:b/>
          <w:bCs/>
          <w:sz w:val="24"/>
          <w:szCs w:val="24"/>
        </w:rPr>
      </w:pPr>
    </w:p>
    <w:p>
      <w:pPr>
        <w:overflowPunct w:val="0"/>
        <w:spacing w:line="420" w:lineRule="exact"/>
        <w:jc w:val="center"/>
        <w:textAlignment w:val="baseline"/>
        <w:rPr>
          <w:rFonts w:ascii="Times New Roman" w:hAnsi="Times New Roman" w:eastAsia="宋体" w:cs="Times New Roman"/>
          <w:b/>
          <w:bCs/>
          <w:sz w:val="24"/>
          <w:szCs w:val="24"/>
        </w:rPr>
      </w:pPr>
    </w:p>
    <w:p>
      <w:pPr>
        <w:overflowPunct w:val="0"/>
        <w:spacing w:line="420" w:lineRule="exact"/>
        <w:jc w:val="center"/>
        <w:textAlignment w:val="baseline"/>
        <w:rPr>
          <w:rFonts w:ascii="Times New Roman" w:hAnsi="Times New Roman" w:eastAsia="宋体" w:cs="Times New Roman"/>
          <w:b/>
          <w:bCs/>
          <w:sz w:val="24"/>
          <w:szCs w:val="24"/>
        </w:rPr>
      </w:pPr>
    </w:p>
    <w:p>
      <w:pPr>
        <w:overflowPunct w:val="0"/>
        <w:spacing w:line="420" w:lineRule="exact"/>
        <w:jc w:val="center"/>
        <w:textAlignment w:val="baseline"/>
        <w:rPr>
          <w:rFonts w:ascii="Times New Roman" w:hAnsi="Times New Roman" w:eastAsia="宋体" w:cs="Times New Roman"/>
          <w:b/>
          <w:bCs/>
          <w:sz w:val="24"/>
          <w:szCs w:val="24"/>
        </w:rPr>
      </w:pPr>
    </w:p>
    <w:p>
      <w:pPr>
        <w:overflowPunct w:val="0"/>
        <w:spacing w:line="420" w:lineRule="exact"/>
        <w:jc w:val="center"/>
        <w:textAlignment w:val="baseline"/>
        <w:rPr>
          <w:rFonts w:ascii="Times New Roman" w:hAnsi="Times New Roman" w:eastAsia="宋体" w:cs="Times New Roman"/>
          <w:b/>
          <w:bCs/>
          <w:sz w:val="24"/>
          <w:szCs w:val="24"/>
        </w:rPr>
      </w:pPr>
    </w:p>
    <w:p>
      <w:pPr>
        <w:overflowPunct w:val="0"/>
        <w:spacing w:line="420" w:lineRule="exact"/>
        <w:jc w:val="center"/>
        <w:textAlignment w:val="baseline"/>
        <w:rPr>
          <w:rFonts w:ascii="Times New Roman" w:hAnsi="Times New Roman" w:eastAsia="宋体" w:cs="Times New Roman"/>
          <w:b/>
          <w:bCs/>
          <w:sz w:val="24"/>
          <w:szCs w:val="24"/>
        </w:rPr>
      </w:pPr>
    </w:p>
    <w:p>
      <w:pPr>
        <w:overflowPunct w:val="0"/>
        <w:spacing w:line="420" w:lineRule="exact"/>
        <w:jc w:val="center"/>
        <w:textAlignment w:val="baseline"/>
        <w:rPr>
          <w:rFonts w:ascii="Times New Roman" w:hAnsi="Times New Roman" w:eastAsia="宋体" w:cs="Times New Roman"/>
          <w:b/>
          <w:bCs/>
          <w:sz w:val="24"/>
          <w:szCs w:val="24"/>
        </w:rPr>
      </w:pPr>
    </w:p>
    <w:p>
      <w:pPr>
        <w:overflowPunct w:val="0"/>
        <w:spacing w:line="420" w:lineRule="exact"/>
        <w:jc w:val="center"/>
        <w:textAlignment w:val="baseline"/>
        <w:rPr>
          <w:rFonts w:ascii="Times New Roman" w:hAnsi="Times New Roman" w:eastAsia="宋体" w:cs="Times New Roman"/>
          <w:b/>
          <w:bCs/>
          <w:sz w:val="24"/>
          <w:szCs w:val="24"/>
        </w:rPr>
      </w:pPr>
    </w:p>
    <w:p>
      <w:pPr>
        <w:overflowPunct w:val="0"/>
        <w:spacing w:line="420" w:lineRule="exact"/>
        <w:jc w:val="center"/>
        <w:textAlignment w:val="baseline"/>
        <w:rPr>
          <w:rFonts w:ascii="Times New Roman" w:hAnsi="Times New Roman" w:eastAsia="宋体" w:cs="Times New Roman"/>
          <w:b/>
          <w:bCs/>
          <w:sz w:val="24"/>
          <w:szCs w:val="24"/>
        </w:rPr>
      </w:pP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全文结束</w:t>
      </w:r>
      <w:r>
        <w:rPr>
          <w:rFonts w:ascii="Times New Roman" w:hAnsi="Times New Roman" w:eastAsia="宋体" w:cs="Times New Roman"/>
          <w:b/>
          <w:bCs/>
          <w:sz w:val="24"/>
          <w:szCs w:val="24"/>
        </w:rPr>
        <w:t>……</w:t>
      </w:r>
    </w:p>
    <w:p>
      <w:pPr>
        <w:overflowPunct w:val="0"/>
        <w:spacing w:line="420" w:lineRule="exact"/>
        <w:jc w:val="center"/>
        <w:textAlignment w:val="baseline"/>
        <w:rPr>
          <w:rFonts w:ascii="Times New Roman" w:hAnsi="Times New Roman" w:eastAsia="宋体" w:cs="Times New Roman"/>
          <w:b/>
          <w:bCs/>
          <w:sz w:val="24"/>
          <w:szCs w:val="24"/>
        </w:rPr>
      </w:pPr>
    </w:p>
    <w:p>
      <w:pPr>
        <w:overflowPunct w:val="0"/>
        <w:spacing w:line="420" w:lineRule="exact"/>
        <w:jc w:val="center"/>
        <w:textAlignment w:val="baseline"/>
        <w:rPr>
          <w:rFonts w:ascii="Times New Roman" w:hAnsi="Times New Roman" w:eastAsia="宋体" w:cs="Times New Roman"/>
          <w:b/>
          <w:bCs/>
          <w:sz w:val="24"/>
          <w:szCs w:val="24"/>
        </w:rPr>
      </w:pPr>
    </w:p>
    <w:sectPr>
      <w:pgSz w:w="11906" w:h="16838"/>
      <w:pgMar w:top="851" w:right="851" w:bottom="851" w:left="1134" w:header="454" w:footer="454" w:gutter="0"/>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创艺简仿宋">
    <w:altName w:val="黑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enlo">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Univers">
    <w:panose1 w:val="020B060302020203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4"/>
      <w:jc w:val="center"/>
      <w:rPr>
        <w:rFonts w:eastAsia="宋体"/>
      </w:rPr>
    </w:pPr>
    <w:r>
      <w:rPr>
        <w:rFonts w:hint="eastAsia" w:eastAsia="宋体" w:cs="宋体"/>
      </w:rPr>
      <w:t>采购代理机构：</w:t>
    </w:r>
    <w:r>
      <w:rPr>
        <w:rFonts w:hint="eastAsia" w:eastAsia="宋体" w:cs="宋体"/>
        <w:lang w:eastAsia="zh-CN"/>
      </w:rPr>
      <w:t>上海申邑工程咨询有限公司</w:t>
    </w:r>
    <w:r>
      <w:rPr>
        <w:rFonts w:hint="eastAsia" w:eastAsia="宋体" w:cs="宋体"/>
      </w:rPr>
      <w:t>【</w:t>
    </w:r>
    <w:r>
      <w:rPr>
        <w:rFonts w:hint="eastAsia" w:eastAsia="宋体" w:cs="宋体"/>
        <w:kern w:val="0"/>
      </w:rPr>
      <w:t>第</w:t>
    </w:r>
    <w:r>
      <w:rPr>
        <w:rFonts w:eastAsia="宋体"/>
        <w:kern w:val="0"/>
      </w:rPr>
      <w:t xml:space="preserve"> </w:t>
    </w:r>
    <w:r>
      <w:rPr>
        <w:rFonts w:eastAsia="宋体"/>
        <w:kern w:val="0"/>
      </w:rPr>
      <w:fldChar w:fldCharType="begin"/>
    </w:r>
    <w:r>
      <w:rPr>
        <w:rFonts w:eastAsia="宋体"/>
        <w:kern w:val="0"/>
      </w:rPr>
      <w:instrText xml:space="preserve"> PAGE </w:instrText>
    </w:r>
    <w:r>
      <w:rPr>
        <w:rFonts w:eastAsia="宋体"/>
        <w:kern w:val="0"/>
      </w:rPr>
      <w:fldChar w:fldCharType="separate"/>
    </w:r>
    <w:r>
      <w:rPr>
        <w:rFonts w:eastAsia="宋体"/>
        <w:kern w:val="0"/>
      </w:rPr>
      <w:t>50</w:t>
    </w:r>
    <w:r>
      <w:rPr>
        <w:rFonts w:eastAsia="宋体"/>
        <w:kern w:val="0"/>
      </w:rPr>
      <w:fldChar w:fldCharType="end"/>
    </w:r>
    <w:r>
      <w:rPr>
        <w:rFonts w:eastAsia="宋体"/>
        <w:kern w:val="0"/>
      </w:rPr>
      <w:t xml:space="preserve"> </w:t>
    </w:r>
    <w:r>
      <w:rPr>
        <w:rFonts w:hint="eastAsia" w:eastAsia="宋体" w:cs="宋体"/>
        <w:kern w:val="0"/>
      </w:rPr>
      <w:t>页</w:t>
    </w:r>
    <w:r>
      <w:rPr>
        <w:rFonts w:eastAsia="宋体"/>
        <w:kern w:val="0"/>
      </w:rPr>
      <w:t xml:space="preserve"> </w:t>
    </w:r>
    <w:r>
      <w:rPr>
        <w:rFonts w:hint="eastAsia" w:eastAsia="宋体" w:cs="宋体"/>
        <w:kern w:val="0"/>
      </w:rPr>
      <w:t>共</w:t>
    </w:r>
    <w:r>
      <w:rPr>
        <w:rFonts w:eastAsia="宋体"/>
        <w:kern w:val="0"/>
      </w:rPr>
      <w:t xml:space="preserve"> 49 </w:t>
    </w:r>
    <w:r>
      <w:rPr>
        <w:rFonts w:hint="eastAsia" w:eastAsia="宋体" w:cs="宋体"/>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180"/>
      <w:jc w:val="center"/>
      <w:rPr>
        <w:rFonts w:eastAsia="宋体"/>
      </w:rPr>
    </w:pPr>
    <w:r>
      <w:rPr>
        <w:rFonts w:hint="eastAsia" w:eastAsia="宋体" w:cs="宋体"/>
      </w:rPr>
      <w:t>采购代理机构：</w:t>
    </w:r>
    <w:r>
      <w:rPr>
        <w:rFonts w:hint="eastAsia" w:eastAsia="宋体" w:cs="宋体"/>
        <w:lang w:eastAsia="zh-CN"/>
      </w:rPr>
      <w:t>上海申邑工程咨询有限公司</w:t>
    </w:r>
    <w:r>
      <w:rPr>
        <w:rFonts w:hint="eastAsia" w:eastAsia="宋体" w:cs="宋体"/>
      </w:rPr>
      <w:t>【</w:t>
    </w:r>
    <w:r>
      <w:rPr>
        <w:rFonts w:hint="eastAsia" w:eastAsia="宋体" w:cs="宋体"/>
        <w:kern w:val="0"/>
      </w:rPr>
      <w:t>第</w:t>
    </w:r>
    <w:r>
      <w:rPr>
        <w:rFonts w:eastAsia="宋体"/>
        <w:kern w:val="0"/>
      </w:rPr>
      <w:t xml:space="preserve"> </w:t>
    </w:r>
    <w:r>
      <w:rPr>
        <w:rFonts w:eastAsia="宋体"/>
        <w:kern w:val="0"/>
      </w:rPr>
      <w:fldChar w:fldCharType="begin"/>
    </w:r>
    <w:r>
      <w:rPr>
        <w:rFonts w:eastAsia="宋体"/>
        <w:kern w:val="0"/>
      </w:rPr>
      <w:instrText xml:space="preserve"> PAGE </w:instrText>
    </w:r>
    <w:r>
      <w:rPr>
        <w:rFonts w:eastAsia="宋体"/>
        <w:kern w:val="0"/>
      </w:rPr>
      <w:fldChar w:fldCharType="separate"/>
    </w:r>
    <w:r>
      <w:rPr>
        <w:rFonts w:eastAsia="宋体"/>
        <w:kern w:val="0"/>
      </w:rPr>
      <w:t>1</w:t>
    </w:r>
    <w:r>
      <w:rPr>
        <w:rFonts w:eastAsia="宋体"/>
        <w:kern w:val="0"/>
      </w:rPr>
      <w:fldChar w:fldCharType="end"/>
    </w:r>
    <w:r>
      <w:rPr>
        <w:rFonts w:eastAsia="宋体"/>
        <w:kern w:val="0"/>
      </w:rPr>
      <w:t xml:space="preserve"> </w:t>
    </w:r>
    <w:r>
      <w:rPr>
        <w:rFonts w:hint="eastAsia" w:eastAsia="宋体" w:cs="宋体"/>
        <w:kern w:val="0"/>
      </w:rPr>
      <w:t>页</w:t>
    </w:r>
    <w:r>
      <w:rPr>
        <w:rFonts w:eastAsia="宋体"/>
        <w:kern w:val="0"/>
      </w:rPr>
      <w:t xml:space="preserve"> </w:t>
    </w:r>
    <w:r>
      <w:rPr>
        <w:rFonts w:hint="eastAsia" w:eastAsia="宋体" w:cs="宋体"/>
        <w:kern w:val="0"/>
      </w:rPr>
      <w:t>共</w:t>
    </w:r>
    <w:r>
      <w:rPr>
        <w:rFonts w:eastAsia="宋体"/>
        <w:kern w:val="0"/>
      </w:rPr>
      <w:t xml:space="preserve"> 4</w:t>
    </w:r>
    <w:r>
      <w:rPr>
        <w:rFonts w:hint="eastAsia" w:eastAsia="宋体"/>
        <w:kern w:val="0"/>
      </w:rPr>
      <w:t>7</w:t>
    </w:r>
    <w:r>
      <w:rPr>
        <w:rFonts w:eastAsia="宋体"/>
        <w:kern w:val="0"/>
      </w:rPr>
      <w:t xml:space="preserve"> </w:t>
    </w:r>
    <w:r>
      <w:rPr>
        <w:rFonts w:hint="eastAsia" w:eastAsia="宋体" w:cs="宋体"/>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napToGrid w:val="0"/>
      <w:rPr>
        <w:rFonts w:ascii="Times New Roman" w:hAnsi="Times New Roman" w:eastAsia="宋体"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68FE5C"/>
    <w:multiLevelType w:val="singleLevel"/>
    <w:tmpl w:val="B768FE5C"/>
    <w:lvl w:ilvl="0" w:tentative="0">
      <w:start w:val="3"/>
      <w:numFmt w:val="chineseCounting"/>
      <w:suff w:val="space"/>
      <w:lvlText w:val="第%1章"/>
      <w:lvlJc w:val="left"/>
      <w:rPr>
        <w:rFonts w:hint="eastAsia"/>
      </w:rPr>
    </w:lvl>
  </w:abstractNum>
  <w:abstractNum w:abstractNumId="1">
    <w:nsid w:val="BBE0A5B5"/>
    <w:multiLevelType w:val="singleLevel"/>
    <w:tmpl w:val="BBE0A5B5"/>
    <w:lvl w:ilvl="0" w:tentative="0">
      <w:start w:val="1"/>
      <w:numFmt w:val="decimal"/>
      <w:lvlText w:val="%1."/>
      <w:lvlJc w:val="left"/>
      <w:pPr>
        <w:tabs>
          <w:tab w:val="left" w:pos="312"/>
        </w:tabs>
      </w:pPr>
    </w:lvl>
  </w:abstractNum>
  <w:abstractNum w:abstractNumId="2">
    <w:nsid w:val="C2324021"/>
    <w:multiLevelType w:val="singleLevel"/>
    <w:tmpl w:val="C2324021"/>
    <w:lvl w:ilvl="0" w:tentative="0">
      <w:start w:val="4"/>
      <w:numFmt w:val="chineseCounting"/>
      <w:suff w:val="nothing"/>
      <w:lvlText w:val="%1、"/>
      <w:lvlJc w:val="left"/>
      <w:rPr>
        <w:rFonts w:hint="eastAsia"/>
      </w:rPr>
    </w:lvl>
  </w:abstractNum>
  <w:abstractNum w:abstractNumId="3">
    <w:nsid w:val="0000000A"/>
    <w:multiLevelType w:val="multilevel"/>
    <w:tmpl w:val="0000000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2"/>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abstractNum w:abstractNumId="4">
    <w:nsid w:val="0000000C"/>
    <w:multiLevelType w:val="multilevel"/>
    <w:tmpl w:val="0000000C"/>
    <w:lvl w:ilvl="0" w:tentative="0">
      <w:start w:val="1"/>
      <w:numFmt w:val="bullet"/>
      <w:pStyle w:val="20"/>
      <w:lvlText w:val=""/>
      <w:lvlJc w:val="left"/>
      <w:pPr>
        <w:ind w:left="704"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5">
    <w:nsid w:val="0000000D"/>
    <w:multiLevelType w:val="multilevel"/>
    <w:tmpl w:val="0000000D"/>
    <w:lvl w:ilvl="0" w:tentative="0">
      <w:start w:val="1"/>
      <w:numFmt w:val="decimal"/>
      <w:suff w:val="nothing"/>
      <w:lvlText w:val="%1、"/>
      <w:lvlJc w:val="left"/>
      <w:pPr>
        <w:ind w:left="8" w:firstLine="560"/>
      </w:pPr>
      <w:rPr>
        <w:rFonts w:hint="default"/>
      </w:rPr>
    </w:lvl>
    <w:lvl w:ilvl="1" w:tentative="0">
      <w:start w:val="1"/>
      <w:numFmt w:val="lowerLetter"/>
      <w:pStyle w:val="301"/>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0E"/>
    <w:multiLevelType w:val="multilevel"/>
    <w:tmpl w:val="0000000E"/>
    <w:lvl w:ilvl="0" w:tentative="0">
      <w:start w:val="1"/>
      <w:numFmt w:val="decimal"/>
      <w:pStyle w:val="176"/>
      <w:lvlText w:val="%1)"/>
      <w:lvlJc w:val="left"/>
      <w:pPr>
        <w:ind w:left="980" w:hanging="420"/>
      </w:pPr>
    </w:lvl>
    <w:lvl w:ilvl="1" w:tentative="0">
      <w:start w:val="1"/>
      <w:numFmt w:val="lowerLetter"/>
      <w:lvlRestart w:val="0"/>
      <w:lvlText w:val="%2)"/>
      <w:lvlJc w:val="left"/>
      <w:pPr>
        <w:ind w:left="1400" w:hanging="420"/>
      </w:pPr>
    </w:lvl>
    <w:lvl w:ilvl="2" w:tentative="0">
      <w:start w:val="1"/>
      <w:numFmt w:val="lowerRoman"/>
      <w:lvlRestart w:val="0"/>
      <w:lvlText w:val="%3."/>
      <w:lvlJc w:val="right"/>
      <w:pPr>
        <w:ind w:left="1820" w:hanging="420"/>
      </w:pPr>
    </w:lvl>
    <w:lvl w:ilvl="3" w:tentative="0">
      <w:start w:val="1"/>
      <w:numFmt w:val="decimal"/>
      <w:lvlRestart w:val="0"/>
      <w:lvlText w:val="%4."/>
      <w:lvlJc w:val="left"/>
      <w:pPr>
        <w:ind w:left="2240" w:hanging="420"/>
      </w:pPr>
    </w:lvl>
    <w:lvl w:ilvl="4" w:tentative="0">
      <w:start w:val="1"/>
      <w:numFmt w:val="lowerLetter"/>
      <w:lvlRestart w:val="0"/>
      <w:lvlText w:val="%5)"/>
      <w:lvlJc w:val="left"/>
      <w:pPr>
        <w:ind w:left="2660" w:hanging="420"/>
      </w:pPr>
    </w:lvl>
    <w:lvl w:ilvl="5" w:tentative="0">
      <w:start w:val="1"/>
      <w:numFmt w:val="lowerRoman"/>
      <w:lvlRestart w:val="0"/>
      <w:lvlText w:val="%6."/>
      <w:lvlJc w:val="right"/>
      <w:pPr>
        <w:ind w:left="3080" w:hanging="420"/>
      </w:pPr>
    </w:lvl>
    <w:lvl w:ilvl="6" w:tentative="0">
      <w:start w:val="1"/>
      <w:numFmt w:val="decimal"/>
      <w:lvlRestart w:val="0"/>
      <w:lvlText w:val="%7."/>
      <w:lvlJc w:val="left"/>
      <w:pPr>
        <w:ind w:left="3500" w:hanging="420"/>
      </w:pPr>
    </w:lvl>
    <w:lvl w:ilvl="7" w:tentative="0">
      <w:start w:val="1"/>
      <w:numFmt w:val="lowerLetter"/>
      <w:lvlRestart w:val="0"/>
      <w:lvlText w:val="%8)"/>
      <w:lvlJc w:val="left"/>
      <w:pPr>
        <w:ind w:left="3920" w:hanging="420"/>
      </w:pPr>
    </w:lvl>
    <w:lvl w:ilvl="8" w:tentative="0">
      <w:start w:val="1"/>
      <w:numFmt w:val="lowerRoman"/>
      <w:lvlRestart w:val="0"/>
      <w:lvlText w:val="%9."/>
      <w:lvlJc w:val="right"/>
      <w:pPr>
        <w:ind w:left="4340" w:hanging="420"/>
      </w:pPr>
    </w:lvl>
  </w:abstractNum>
  <w:abstractNum w:abstractNumId="7">
    <w:nsid w:val="0000000F"/>
    <w:multiLevelType w:val="multilevel"/>
    <w:tmpl w:val="0000000F"/>
    <w:lvl w:ilvl="0" w:tentative="0">
      <w:start w:val="1"/>
      <w:numFmt w:val="decimal"/>
      <w:pStyle w:val="10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7"/>
  </w:num>
  <w:num w:numId="4">
    <w:abstractNumId w:val="6"/>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5"/>
  <w:doNotHyphenateCaps/>
  <w:noPunctuationKerning w:val="1"/>
  <w:characterSpacingControl w:val="doNotCompress"/>
  <w:noLineBreaksAfter w:lang="zh-CN" w:val="$([{£¥·‘“〈《「『【〔〖〝﹙﹛﹝＄（．［｛￡￥"/>
  <w:noLineBreaksBefore w:lang="zh-CN" w:val="!%),.:;&gt;?]}¢¨°·ˇˉ―‖’”…‰′″›℃∶、。〃〉》」』】〕〗〞︶︺︾﹀﹄﹚﹜﹞！＂％＇），．：；？］｀｜｝～￠"/>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5MDNkZDY4OGI3YzQ4YmQwYTY2NzMxNjFiZWVjZDIifQ=="/>
  </w:docVars>
  <w:rsids>
    <w:rsidRoot w:val="00172A27"/>
    <w:rsid w:val="00000284"/>
    <w:rsid w:val="000023C2"/>
    <w:rsid w:val="0001286A"/>
    <w:rsid w:val="000155EE"/>
    <w:rsid w:val="000165F2"/>
    <w:rsid w:val="0002004C"/>
    <w:rsid w:val="0002194C"/>
    <w:rsid w:val="000223F7"/>
    <w:rsid w:val="0002643A"/>
    <w:rsid w:val="00032154"/>
    <w:rsid w:val="00034DD5"/>
    <w:rsid w:val="000374D2"/>
    <w:rsid w:val="00037E2D"/>
    <w:rsid w:val="00040B44"/>
    <w:rsid w:val="00040B56"/>
    <w:rsid w:val="0004377F"/>
    <w:rsid w:val="0005042C"/>
    <w:rsid w:val="00050C53"/>
    <w:rsid w:val="00052714"/>
    <w:rsid w:val="00052F18"/>
    <w:rsid w:val="00057B9A"/>
    <w:rsid w:val="00057CDD"/>
    <w:rsid w:val="000646A3"/>
    <w:rsid w:val="00071298"/>
    <w:rsid w:val="0007268B"/>
    <w:rsid w:val="00072AF9"/>
    <w:rsid w:val="00073753"/>
    <w:rsid w:val="00077563"/>
    <w:rsid w:val="00080E8F"/>
    <w:rsid w:val="00083E70"/>
    <w:rsid w:val="00083EF3"/>
    <w:rsid w:val="00086DE1"/>
    <w:rsid w:val="000911EE"/>
    <w:rsid w:val="0009184C"/>
    <w:rsid w:val="00091A4C"/>
    <w:rsid w:val="00092319"/>
    <w:rsid w:val="000A0C33"/>
    <w:rsid w:val="000B57A8"/>
    <w:rsid w:val="000B606F"/>
    <w:rsid w:val="000C44D4"/>
    <w:rsid w:val="000C5945"/>
    <w:rsid w:val="000D3425"/>
    <w:rsid w:val="000D422E"/>
    <w:rsid w:val="000D6F04"/>
    <w:rsid w:val="000D7CC6"/>
    <w:rsid w:val="000E0355"/>
    <w:rsid w:val="000E15B8"/>
    <w:rsid w:val="000E1A16"/>
    <w:rsid w:val="000E7035"/>
    <w:rsid w:val="000E784B"/>
    <w:rsid w:val="000F0305"/>
    <w:rsid w:val="000F09A1"/>
    <w:rsid w:val="000F181A"/>
    <w:rsid w:val="000F2A02"/>
    <w:rsid w:val="000F387B"/>
    <w:rsid w:val="000F5026"/>
    <w:rsid w:val="000F60F3"/>
    <w:rsid w:val="000F6262"/>
    <w:rsid w:val="001027D5"/>
    <w:rsid w:val="0010360A"/>
    <w:rsid w:val="001058D4"/>
    <w:rsid w:val="00111BDD"/>
    <w:rsid w:val="00112080"/>
    <w:rsid w:val="00112614"/>
    <w:rsid w:val="00123EFA"/>
    <w:rsid w:val="00127C7A"/>
    <w:rsid w:val="0013191E"/>
    <w:rsid w:val="0013209C"/>
    <w:rsid w:val="00132F1B"/>
    <w:rsid w:val="001431C1"/>
    <w:rsid w:val="00144017"/>
    <w:rsid w:val="00144612"/>
    <w:rsid w:val="001525E8"/>
    <w:rsid w:val="00156E70"/>
    <w:rsid w:val="001652D1"/>
    <w:rsid w:val="00172A27"/>
    <w:rsid w:val="00172ECE"/>
    <w:rsid w:val="0018334C"/>
    <w:rsid w:val="0018400F"/>
    <w:rsid w:val="00186674"/>
    <w:rsid w:val="001914CF"/>
    <w:rsid w:val="00193A84"/>
    <w:rsid w:val="001A241E"/>
    <w:rsid w:val="001A48A9"/>
    <w:rsid w:val="001A4E52"/>
    <w:rsid w:val="001A69B6"/>
    <w:rsid w:val="001B1097"/>
    <w:rsid w:val="001B1992"/>
    <w:rsid w:val="001B4620"/>
    <w:rsid w:val="001B776F"/>
    <w:rsid w:val="001C1FD9"/>
    <w:rsid w:val="001C3575"/>
    <w:rsid w:val="001D0ED8"/>
    <w:rsid w:val="001D24A8"/>
    <w:rsid w:val="001D38BC"/>
    <w:rsid w:val="001D3D4E"/>
    <w:rsid w:val="001E14D4"/>
    <w:rsid w:val="001E1E73"/>
    <w:rsid w:val="001E6DE0"/>
    <w:rsid w:val="001E7111"/>
    <w:rsid w:val="001F0074"/>
    <w:rsid w:val="001F1691"/>
    <w:rsid w:val="00200473"/>
    <w:rsid w:val="00203C97"/>
    <w:rsid w:val="00205EB7"/>
    <w:rsid w:val="00210D3F"/>
    <w:rsid w:val="002118E4"/>
    <w:rsid w:val="00213B68"/>
    <w:rsid w:val="0021673A"/>
    <w:rsid w:val="00221244"/>
    <w:rsid w:val="00226770"/>
    <w:rsid w:val="00227BEF"/>
    <w:rsid w:val="00227C28"/>
    <w:rsid w:val="002312C3"/>
    <w:rsid w:val="00232385"/>
    <w:rsid w:val="00234483"/>
    <w:rsid w:val="00240F47"/>
    <w:rsid w:val="002466F2"/>
    <w:rsid w:val="002508AF"/>
    <w:rsid w:val="002525FD"/>
    <w:rsid w:val="00252CB3"/>
    <w:rsid w:val="00252CDD"/>
    <w:rsid w:val="0025782C"/>
    <w:rsid w:val="00257D13"/>
    <w:rsid w:val="00257E71"/>
    <w:rsid w:val="0026008D"/>
    <w:rsid w:val="0026021A"/>
    <w:rsid w:val="00264529"/>
    <w:rsid w:val="0026630D"/>
    <w:rsid w:val="00266B43"/>
    <w:rsid w:val="002675A1"/>
    <w:rsid w:val="00273F79"/>
    <w:rsid w:val="00274675"/>
    <w:rsid w:val="0028027B"/>
    <w:rsid w:val="0028301F"/>
    <w:rsid w:val="00284F8E"/>
    <w:rsid w:val="00290056"/>
    <w:rsid w:val="00290B56"/>
    <w:rsid w:val="00291AE2"/>
    <w:rsid w:val="00291EAC"/>
    <w:rsid w:val="00292D3A"/>
    <w:rsid w:val="00296260"/>
    <w:rsid w:val="002A12C8"/>
    <w:rsid w:val="002A1FD2"/>
    <w:rsid w:val="002A4750"/>
    <w:rsid w:val="002A6089"/>
    <w:rsid w:val="002A7AF3"/>
    <w:rsid w:val="002B2BA5"/>
    <w:rsid w:val="002B2EF8"/>
    <w:rsid w:val="002B64AA"/>
    <w:rsid w:val="002B77B8"/>
    <w:rsid w:val="002D003A"/>
    <w:rsid w:val="002D04B7"/>
    <w:rsid w:val="002D4115"/>
    <w:rsid w:val="002D419A"/>
    <w:rsid w:val="002D7E7F"/>
    <w:rsid w:val="002E1610"/>
    <w:rsid w:val="002E1C32"/>
    <w:rsid w:val="002E3E90"/>
    <w:rsid w:val="002E440F"/>
    <w:rsid w:val="002F181A"/>
    <w:rsid w:val="002F392B"/>
    <w:rsid w:val="002F3A4F"/>
    <w:rsid w:val="002F48DF"/>
    <w:rsid w:val="002F4A91"/>
    <w:rsid w:val="002F57FE"/>
    <w:rsid w:val="002F5F35"/>
    <w:rsid w:val="002F7463"/>
    <w:rsid w:val="003006B4"/>
    <w:rsid w:val="003010BE"/>
    <w:rsid w:val="00301FA9"/>
    <w:rsid w:val="00314F92"/>
    <w:rsid w:val="00315AFC"/>
    <w:rsid w:val="0032092C"/>
    <w:rsid w:val="00324B6E"/>
    <w:rsid w:val="00325848"/>
    <w:rsid w:val="00327032"/>
    <w:rsid w:val="00327DFE"/>
    <w:rsid w:val="00336C5F"/>
    <w:rsid w:val="0033769F"/>
    <w:rsid w:val="00337DC3"/>
    <w:rsid w:val="003407C9"/>
    <w:rsid w:val="0034142B"/>
    <w:rsid w:val="0034160E"/>
    <w:rsid w:val="0034439F"/>
    <w:rsid w:val="0034757C"/>
    <w:rsid w:val="00347699"/>
    <w:rsid w:val="00352A1A"/>
    <w:rsid w:val="00352B9C"/>
    <w:rsid w:val="00353AC5"/>
    <w:rsid w:val="00353D59"/>
    <w:rsid w:val="003602B8"/>
    <w:rsid w:val="00361FCA"/>
    <w:rsid w:val="0036491A"/>
    <w:rsid w:val="00365A6D"/>
    <w:rsid w:val="00365A71"/>
    <w:rsid w:val="00370FBD"/>
    <w:rsid w:val="00373500"/>
    <w:rsid w:val="00374CBD"/>
    <w:rsid w:val="0037572C"/>
    <w:rsid w:val="00380D2E"/>
    <w:rsid w:val="003841E8"/>
    <w:rsid w:val="0038647E"/>
    <w:rsid w:val="00386D2E"/>
    <w:rsid w:val="00387636"/>
    <w:rsid w:val="00395600"/>
    <w:rsid w:val="00397B77"/>
    <w:rsid w:val="003A0BDF"/>
    <w:rsid w:val="003A0E40"/>
    <w:rsid w:val="003A1CCF"/>
    <w:rsid w:val="003A34AC"/>
    <w:rsid w:val="003A3B0E"/>
    <w:rsid w:val="003A601C"/>
    <w:rsid w:val="003A69BD"/>
    <w:rsid w:val="003B22DD"/>
    <w:rsid w:val="003B7355"/>
    <w:rsid w:val="003C040F"/>
    <w:rsid w:val="003C0D1A"/>
    <w:rsid w:val="003C3F29"/>
    <w:rsid w:val="003C781A"/>
    <w:rsid w:val="003D0345"/>
    <w:rsid w:val="003D1FA1"/>
    <w:rsid w:val="003E01F5"/>
    <w:rsid w:val="003E0AA8"/>
    <w:rsid w:val="003E11AE"/>
    <w:rsid w:val="003E1653"/>
    <w:rsid w:val="003E2522"/>
    <w:rsid w:val="003E2638"/>
    <w:rsid w:val="003E2C2C"/>
    <w:rsid w:val="003E4F5B"/>
    <w:rsid w:val="003E6865"/>
    <w:rsid w:val="003F145E"/>
    <w:rsid w:val="003F1939"/>
    <w:rsid w:val="003F1BB6"/>
    <w:rsid w:val="003F2199"/>
    <w:rsid w:val="003F2368"/>
    <w:rsid w:val="003F276A"/>
    <w:rsid w:val="003F4AEC"/>
    <w:rsid w:val="003F6400"/>
    <w:rsid w:val="003F6FAC"/>
    <w:rsid w:val="00401527"/>
    <w:rsid w:val="00401B4F"/>
    <w:rsid w:val="004042FA"/>
    <w:rsid w:val="004051EC"/>
    <w:rsid w:val="00406A24"/>
    <w:rsid w:val="004115D4"/>
    <w:rsid w:val="00413C1E"/>
    <w:rsid w:val="004174D8"/>
    <w:rsid w:val="00417FB8"/>
    <w:rsid w:val="0042111E"/>
    <w:rsid w:val="004221DB"/>
    <w:rsid w:val="00430937"/>
    <w:rsid w:val="00433083"/>
    <w:rsid w:val="0043580F"/>
    <w:rsid w:val="00446350"/>
    <w:rsid w:val="00446B0C"/>
    <w:rsid w:val="0044779B"/>
    <w:rsid w:val="00451E84"/>
    <w:rsid w:val="00452260"/>
    <w:rsid w:val="004550AB"/>
    <w:rsid w:val="0046021F"/>
    <w:rsid w:val="0046048F"/>
    <w:rsid w:val="00462D0E"/>
    <w:rsid w:val="004643BB"/>
    <w:rsid w:val="004657FF"/>
    <w:rsid w:val="00465C3A"/>
    <w:rsid w:val="00472B61"/>
    <w:rsid w:val="00472B6E"/>
    <w:rsid w:val="00473C0F"/>
    <w:rsid w:val="004749B5"/>
    <w:rsid w:val="00476F31"/>
    <w:rsid w:val="004817F0"/>
    <w:rsid w:val="00484CB4"/>
    <w:rsid w:val="0048507E"/>
    <w:rsid w:val="0048508F"/>
    <w:rsid w:val="00487C24"/>
    <w:rsid w:val="00494B6F"/>
    <w:rsid w:val="00494BCA"/>
    <w:rsid w:val="004A18E6"/>
    <w:rsid w:val="004A2674"/>
    <w:rsid w:val="004A3524"/>
    <w:rsid w:val="004A3651"/>
    <w:rsid w:val="004A3F5B"/>
    <w:rsid w:val="004A6877"/>
    <w:rsid w:val="004B01E8"/>
    <w:rsid w:val="004B07AE"/>
    <w:rsid w:val="004B1F3C"/>
    <w:rsid w:val="004B6062"/>
    <w:rsid w:val="004B73B9"/>
    <w:rsid w:val="004C00EE"/>
    <w:rsid w:val="004C0C10"/>
    <w:rsid w:val="004C3526"/>
    <w:rsid w:val="004C389F"/>
    <w:rsid w:val="004C4B35"/>
    <w:rsid w:val="004C753D"/>
    <w:rsid w:val="004D2BB0"/>
    <w:rsid w:val="004D38BC"/>
    <w:rsid w:val="004D520F"/>
    <w:rsid w:val="004D5AA7"/>
    <w:rsid w:val="004D5C11"/>
    <w:rsid w:val="004E0791"/>
    <w:rsid w:val="004E294B"/>
    <w:rsid w:val="004E4B61"/>
    <w:rsid w:val="004E6A7E"/>
    <w:rsid w:val="004E764F"/>
    <w:rsid w:val="004E7A3A"/>
    <w:rsid w:val="004F0AEA"/>
    <w:rsid w:val="004F0C65"/>
    <w:rsid w:val="004F2403"/>
    <w:rsid w:val="004F3FDF"/>
    <w:rsid w:val="004F4DE1"/>
    <w:rsid w:val="004F7C54"/>
    <w:rsid w:val="00502169"/>
    <w:rsid w:val="00503AC1"/>
    <w:rsid w:val="005125C0"/>
    <w:rsid w:val="005139FD"/>
    <w:rsid w:val="0051539A"/>
    <w:rsid w:val="00515784"/>
    <w:rsid w:val="00515CE9"/>
    <w:rsid w:val="005167CC"/>
    <w:rsid w:val="00517C56"/>
    <w:rsid w:val="00523C08"/>
    <w:rsid w:val="005326FB"/>
    <w:rsid w:val="00541C0A"/>
    <w:rsid w:val="005440AB"/>
    <w:rsid w:val="00546EF0"/>
    <w:rsid w:val="00547D67"/>
    <w:rsid w:val="00550E36"/>
    <w:rsid w:val="005514FC"/>
    <w:rsid w:val="00551B8F"/>
    <w:rsid w:val="00553997"/>
    <w:rsid w:val="005562E4"/>
    <w:rsid w:val="00560763"/>
    <w:rsid w:val="00563723"/>
    <w:rsid w:val="0056408C"/>
    <w:rsid w:val="00564383"/>
    <w:rsid w:val="00565504"/>
    <w:rsid w:val="005659DF"/>
    <w:rsid w:val="00570368"/>
    <w:rsid w:val="00575064"/>
    <w:rsid w:val="00575BCB"/>
    <w:rsid w:val="005761D1"/>
    <w:rsid w:val="00577D6B"/>
    <w:rsid w:val="005811FC"/>
    <w:rsid w:val="00581A92"/>
    <w:rsid w:val="0058442C"/>
    <w:rsid w:val="0059710C"/>
    <w:rsid w:val="00597503"/>
    <w:rsid w:val="005A04EF"/>
    <w:rsid w:val="005A0DFC"/>
    <w:rsid w:val="005A7DDD"/>
    <w:rsid w:val="005B23AC"/>
    <w:rsid w:val="005B3755"/>
    <w:rsid w:val="005B4250"/>
    <w:rsid w:val="005C0D44"/>
    <w:rsid w:val="005C4811"/>
    <w:rsid w:val="005D091A"/>
    <w:rsid w:val="005D28D3"/>
    <w:rsid w:val="005D3603"/>
    <w:rsid w:val="005D4ADC"/>
    <w:rsid w:val="005E318D"/>
    <w:rsid w:val="005E4468"/>
    <w:rsid w:val="005E6EAD"/>
    <w:rsid w:val="005F63BF"/>
    <w:rsid w:val="00600F9E"/>
    <w:rsid w:val="0060103D"/>
    <w:rsid w:val="00601336"/>
    <w:rsid w:val="00602680"/>
    <w:rsid w:val="00606836"/>
    <w:rsid w:val="00606E7E"/>
    <w:rsid w:val="0061050D"/>
    <w:rsid w:val="00615FC2"/>
    <w:rsid w:val="00620B2E"/>
    <w:rsid w:val="00621983"/>
    <w:rsid w:val="00624D5B"/>
    <w:rsid w:val="00627CFD"/>
    <w:rsid w:val="00631BE9"/>
    <w:rsid w:val="00634FCA"/>
    <w:rsid w:val="00635F29"/>
    <w:rsid w:val="00635FA2"/>
    <w:rsid w:val="006362F2"/>
    <w:rsid w:val="00637FD0"/>
    <w:rsid w:val="006403B0"/>
    <w:rsid w:val="0064067E"/>
    <w:rsid w:val="0064333C"/>
    <w:rsid w:val="00643796"/>
    <w:rsid w:val="0064398C"/>
    <w:rsid w:val="00650260"/>
    <w:rsid w:val="00652D24"/>
    <w:rsid w:val="006563A8"/>
    <w:rsid w:val="00665735"/>
    <w:rsid w:val="00667972"/>
    <w:rsid w:val="00675D3E"/>
    <w:rsid w:val="00677FDE"/>
    <w:rsid w:val="00680444"/>
    <w:rsid w:val="00681636"/>
    <w:rsid w:val="0068485C"/>
    <w:rsid w:val="006849D0"/>
    <w:rsid w:val="00686377"/>
    <w:rsid w:val="00693462"/>
    <w:rsid w:val="00693DFF"/>
    <w:rsid w:val="00694606"/>
    <w:rsid w:val="00694A7B"/>
    <w:rsid w:val="00695231"/>
    <w:rsid w:val="00695362"/>
    <w:rsid w:val="00695678"/>
    <w:rsid w:val="0069612A"/>
    <w:rsid w:val="00697095"/>
    <w:rsid w:val="006A4C9E"/>
    <w:rsid w:val="006A4F73"/>
    <w:rsid w:val="006A55A6"/>
    <w:rsid w:val="006A5809"/>
    <w:rsid w:val="006B2FC1"/>
    <w:rsid w:val="006B6114"/>
    <w:rsid w:val="006C0431"/>
    <w:rsid w:val="006C0EF8"/>
    <w:rsid w:val="006C2B61"/>
    <w:rsid w:val="006C450E"/>
    <w:rsid w:val="006C691D"/>
    <w:rsid w:val="006C6B70"/>
    <w:rsid w:val="006D0490"/>
    <w:rsid w:val="006D2F2C"/>
    <w:rsid w:val="006D4808"/>
    <w:rsid w:val="006D7419"/>
    <w:rsid w:val="006E039E"/>
    <w:rsid w:val="006E6948"/>
    <w:rsid w:val="006E7C9A"/>
    <w:rsid w:val="006F14CE"/>
    <w:rsid w:val="006F1EA3"/>
    <w:rsid w:val="006F2B51"/>
    <w:rsid w:val="006F53A3"/>
    <w:rsid w:val="007011BA"/>
    <w:rsid w:val="0070161A"/>
    <w:rsid w:val="007025F7"/>
    <w:rsid w:val="00703B41"/>
    <w:rsid w:val="00704118"/>
    <w:rsid w:val="007051F7"/>
    <w:rsid w:val="007052AB"/>
    <w:rsid w:val="007054B8"/>
    <w:rsid w:val="00706409"/>
    <w:rsid w:val="00706A4D"/>
    <w:rsid w:val="007101C2"/>
    <w:rsid w:val="0071020F"/>
    <w:rsid w:val="00712C9C"/>
    <w:rsid w:val="00712E34"/>
    <w:rsid w:val="00713876"/>
    <w:rsid w:val="00714FC0"/>
    <w:rsid w:val="007236D3"/>
    <w:rsid w:val="00731E5D"/>
    <w:rsid w:val="00734FB2"/>
    <w:rsid w:val="00737113"/>
    <w:rsid w:val="00740941"/>
    <w:rsid w:val="007430D0"/>
    <w:rsid w:val="0074497B"/>
    <w:rsid w:val="00745378"/>
    <w:rsid w:val="00745E40"/>
    <w:rsid w:val="00747A74"/>
    <w:rsid w:val="00747CB8"/>
    <w:rsid w:val="007510D1"/>
    <w:rsid w:val="00751E13"/>
    <w:rsid w:val="00754B2E"/>
    <w:rsid w:val="0075534E"/>
    <w:rsid w:val="007614B4"/>
    <w:rsid w:val="00762E03"/>
    <w:rsid w:val="00764FAE"/>
    <w:rsid w:val="00767DA7"/>
    <w:rsid w:val="00771677"/>
    <w:rsid w:val="00774057"/>
    <w:rsid w:val="00774321"/>
    <w:rsid w:val="007747B1"/>
    <w:rsid w:val="0077609C"/>
    <w:rsid w:val="0079094C"/>
    <w:rsid w:val="00791004"/>
    <w:rsid w:val="00791E14"/>
    <w:rsid w:val="007925DB"/>
    <w:rsid w:val="00792B9A"/>
    <w:rsid w:val="00793A40"/>
    <w:rsid w:val="00794394"/>
    <w:rsid w:val="00794CC6"/>
    <w:rsid w:val="0079516F"/>
    <w:rsid w:val="00796DAC"/>
    <w:rsid w:val="007974F6"/>
    <w:rsid w:val="007A0DEA"/>
    <w:rsid w:val="007A2D02"/>
    <w:rsid w:val="007B064C"/>
    <w:rsid w:val="007B113A"/>
    <w:rsid w:val="007B1C16"/>
    <w:rsid w:val="007B27CA"/>
    <w:rsid w:val="007B5F5E"/>
    <w:rsid w:val="007B6806"/>
    <w:rsid w:val="007B7C64"/>
    <w:rsid w:val="007C17DC"/>
    <w:rsid w:val="007C5015"/>
    <w:rsid w:val="007C502C"/>
    <w:rsid w:val="007C7262"/>
    <w:rsid w:val="007C7425"/>
    <w:rsid w:val="007D1DD2"/>
    <w:rsid w:val="007D2FC3"/>
    <w:rsid w:val="007E5DB5"/>
    <w:rsid w:val="007F1719"/>
    <w:rsid w:val="007F245F"/>
    <w:rsid w:val="007F3FEE"/>
    <w:rsid w:val="007F66E5"/>
    <w:rsid w:val="007F69DC"/>
    <w:rsid w:val="00805A91"/>
    <w:rsid w:val="008112B4"/>
    <w:rsid w:val="00816D93"/>
    <w:rsid w:val="00817D83"/>
    <w:rsid w:val="00820081"/>
    <w:rsid w:val="008227E8"/>
    <w:rsid w:val="008232AE"/>
    <w:rsid w:val="0082554C"/>
    <w:rsid w:val="00825B46"/>
    <w:rsid w:val="008306E2"/>
    <w:rsid w:val="0083532D"/>
    <w:rsid w:val="00837148"/>
    <w:rsid w:val="008401AD"/>
    <w:rsid w:val="008416A7"/>
    <w:rsid w:val="0084230E"/>
    <w:rsid w:val="0084414D"/>
    <w:rsid w:val="008448F7"/>
    <w:rsid w:val="00845C08"/>
    <w:rsid w:val="00846989"/>
    <w:rsid w:val="00847F42"/>
    <w:rsid w:val="00850E9C"/>
    <w:rsid w:val="0085498C"/>
    <w:rsid w:val="0085783B"/>
    <w:rsid w:val="00860580"/>
    <w:rsid w:val="00860759"/>
    <w:rsid w:val="008607D0"/>
    <w:rsid w:val="00861323"/>
    <w:rsid w:val="00863FB1"/>
    <w:rsid w:val="00867C97"/>
    <w:rsid w:val="00870F3C"/>
    <w:rsid w:val="00873B5F"/>
    <w:rsid w:val="00877A8A"/>
    <w:rsid w:val="00877CC6"/>
    <w:rsid w:val="008812AA"/>
    <w:rsid w:val="00881BC7"/>
    <w:rsid w:val="00882AEC"/>
    <w:rsid w:val="00882F64"/>
    <w:rsid w:val="00885C76"/>
    <w:rsid w:val="00886D08"/>
    <w:rsid w:val="008942E9"/>
    <w:rsid w:val="00896FD1"/>
    <w:rsid w:val="008A0C83"/>
    <w:rsid w:val="008A1D0F"/>
    <w:rsid w:val="008A3142"/>
    <w:rsid w:val="008A371A"/>
    <w:rsid w:val="008A4F4C"/>
    <w:rsid w:val="008A7C0A"/>
    <w:rsid w:val="008B1FF6"/>
    <w:rsid w:val="008C3029"/>
    <w:rsid w:val="008C6ED7"/>
    <w:rsid w:val="008D624A"/>
    <w:rsid w:val="008D6D84"/>
    <w:rsid w:val="008D7EE2"/>
    <w:rsid w:val="008D7F27"/>
    <w:rsid w:val="008E0357"/>
    <w:rsid w:val="008E0A6F"/>
    <w:rsid w:val="008E11CD"/>
    <w:rsid w:val="008E16C5"/>
    <w:rsid w:val="008E2302"/>
    <w:rsid w:val="008E4556"/>
    <w:rsid w:val="008E4705"/>
    <w:rsid w:val="008F2A9A"/>
    <w:rsid w:val="008F6E19"/>
    <w:rsid w:val="009071BA"/>
    <w:rsid w:val="0091071D"/>
    <w:rsid w:val="00911312"/>
    <w:rsid w:val="00911859"/>
    <w:rsid w:val="00911C56"/>
    <w:rsid w:val="0091799A"/>
    <w:rsid w:val="00927076"/>
    <w:rsid w:val="00927C18"/>
    <w:rsid w:val="00927F31"/>
    <w:rsid w:val="00930041"/>
    <w:rsid w:val="0093070E"/>
    <w:rsid w:val="009310CB"/>
    <w:rsid w:val="009311A2"/>
    <w:rsid w:val="00931BC5"/>
    <w:rsid w:val="00932A34"/>
    <w:rsid w:val="00933363"/>
    <w:rsid w:val="00934904"/>
    <w:rsid w:val="00935157"/>
    <w:rsid w:val="0094238C"/>
    <w:rsid w:val="00944271"/>
    <w:rsid w:val="00945E71"/>
    <w:rsid w:val="00950611"/>
    <w:rsid w:val="0095102F"/>
    <w:rsid w:val="00951545"/>
    <w:rsid w:val="009522BF"/>
    <w:rsid w:val="009531D7"/>
    <w:rsid w:val="009579C6"/>
    <w:rsid w:val="00960D5D"/>
    <w:rsid w:val="00962EF8"/>
    <w:rsid w:val="00963B01"/>
    <w:rsid w:val="00965DB8"/>
    <w:rsid w:val="00966313"/>
    <w:rsid w:val="00966AE8"/>
    <w:rsid w:val="00973A19"/>
    <w:rsid w:val="0097502E"/>
    <w:rsid w:val="009750DD"/>
    <w:rsid w:val="009770C1"/>
    <w:rsid w:val="00977EB4"/>
    <w:rsid w:val="00981B76"/>
    <w:rsid w:val="0098318A"/>
    <w:rsid w:val="009857B2"/>
    <w:rsid w:val="0099257B"/>
    <w:rsid w:val="0099405D"/>
    <w:rsid w:val="00996E87"/>
    <w:rsid w:val="00997FEA"/>
    <w:rsid w:val="009A184C"/>
    <w:rsid w:val="009A2D7F"/>
    <w:rsid w:val="009A35B4"/>
    <w:rsid w:val="009A4E0B"/>
    <w:rsid w:val="009A7DB1"/>
    <w:rsid w:val="009B05D0"/>
    <w:rsid w:val="009B073A"/>
    <w:rsid w:val="009B2A1A"/>
    <w:rsid w:val="009B3501"/>
    <w:rsid w:val="009B6BC6"/>
    <w:rsid w:val="009C33CE"/>
    <w:rsid w:val="009C34ED"/>
    <w:rsid w:val="009C443C"/>
    <w:rsid w:val="009C52D8"/>
    <w:rsid w:val="009C5BCE"/>
    <w:rsid w:val="009C6089"/>
    <w:rsid w:val="009C6D05"/>
    <w:rsid w:val="009C7BE8"/>
    <w:rsid w:val="009C7F90"/>
    <w:rsid w:val="009D02E3"/>
    <w:rsid w:val="009D2205"/>
    <w:rsid w:val="009D2DBD"/>
    <w:rsid w:val="009D4D01"/>
    <w:rsid w:val="009E1883"/>
    <w:rsid w:val="009E319C"/>
    <w:rsid w:val="009E4019"/>
    <w:rsid w:val="009E6C46"/>
    <w:rsid w:val="009F177D"/>
    <w:rsid w:val="009F4845"/>
    <w:rsid w:val="009F4E3A"/>
    <w:rsid w:val="009F5C0D"/>
    <w:rsid w:val="009F5E6A"/>
    <w:rsid w:val="009F7543"/>
    <w:rsid w:val="00A0285C"/>
    <w:rsid w:val="00A05081"/>
    <w:rsid w:val="00A0675F"/>
    <w:rsid w:val="00A07F4B"/>
    <w:rsid w:val="00A1238E"/>
    <w:rsid w:val="00A125F4"/>
    <w:rsid w:val="00A13CD3"/>
    <w:rsid w:val="00A14414"/>
    <w:rsid w:val="00A15346"/>
    <w:rsid w:val="00A17C50"/>
    <w:rsid w:val="00A23293"/>
    <w:rsid w:val="00A401BC"/>
    <w:rsid w:val="00A41B80"/>
    <w:rsid w:val="00A42D60"/>
    <w:rsid w:val="00A4301D"/>
    <w:rsid w:val="00A441B5"/>
    <w:rsid w:val="00A452C3"/>
    <w:rsid w:val="00A525DD"/>
    <w:rsid w:val="00A545CC"/>
    <w:rsid w:val="00A60BF5"/>
    <w:rsid w:val="00A60E82"/>
    <w:rsid w:val="00A64AC4"/>
    <w:rsid w:val="00A66F9B"/>
    <w:rsid w:val="00A67542"/>
    <w:rsid w:val="00A67F9C"/>
    <w:rsid w:val="00A725D7"/>
    <w:rsid w:val="00A74A99"/>
    <w:rsid w:val="00A76738"/>
    <w:rsid w:val="00A84FED"/>
    <w:rsid w:val="00A94B42"/>
    <w:rsid w:val="00AA29D3"/>
    <w:rsid w:val="00AB1AE4"/>
    <w:rsid w:val="00AB3237"/>
    <w:rsid w:val="00AB56A3"/>
    <w:rsid w:val="00AC0D5A"/>
    <w:rsid w:val="00AD014D"/>
    <w:rsid w:val="00AD1652"/>
    <w:rsid w:val="00AD1E76"/>
    <w:rsid w:val="00AD2464"/>
    <w:rsid w:val="00AD43B6"/>
    <w:rsid w:val="00AD72A9"/>
    <w:rsid w:val="00AE09A7"/>
    <w:rsid w:val="00AE33D8"/>
    <w:rsid w:val="00AE344F"/>
    <w:rsid w:val="00AE441F"/>
    <w:rsid w:val="00AE54FF"/>
    <w:rsid w:val="00AE6415"/>
    <w:rsid w:val="00AF07B4"/>
    <w:rsid w:val="00AF0C3F"/>
    <w:rsid w:val="00AF273F"/>
    <w:rsid w:val="00AF5729"/>
    <w:rsid w:val="00AF7210"/>
    <w:rsid w:val="00B02A75"/>
    <w:rsid w:val="00B037CD"/>
    <w:rsid w:val="00B04D96"/>
    <w:rsid w:val="00B06FC6"/>
    <w:rsid w:val="00B11C08"/>
    <w:rsid w:val="00B13D5B"/>
    <w:rsid w:val="00B205E6"/>
    <w:rsid w:val="00B23AED"/>
    <w:rsid w:val="00B24442"/>
    <w:rsid w:val="00B246A8"/>
    <w:rsid w:val="00B250BF"/>
    <w:rsid w:val="00B259AB"/>
    <w:rsid w:val="00B25C9F"/>
    <w:rsid w:val="00B25F25"/>
    <w:rsid w:val="00B27FF3"/>
    <w:rsid w:val="00B3017A"/>
    <w:rsid w:val="00B40A2F"/>
    <w:rsid w:val="00B445FE"/>
    <w:rsid w:val="00B4623B"/>
    <w:rsid w:val="00B463D0"/>
    <w:rsid w:val="00B4714E"/>
    <w:rsid w:val="00B51AD3"/>
    <w:rsid w:val="00B524BF"/>
    <w:rsid w:val="00B52A54"/>
    <w:rsid w:val="00B572B7"/>
    <w:rsid w:val="00B63F05"/>
    <w:rsid w:val="00B6414E"/>
    <w:rsid w:val="00B65FF7"/>
    <w:rsid w:val="00B67CDC"/>
    <w:rsid w:val="00B70099"/>
    <w:rsid w:val="00B7478F"/>
    <w:rsid w:val="00B76AD8"/>
    <w:rsid w:val="00B82BC3"/>
    <w:rsid w:val="00B84A77"/>
    <w:rsid w:val="00B868E3"/>
    <w:rsid w:val="00B86C33"/>
    <w:rsid w:val="00B870B6"/>
    <w:rsid w:val="00B90DF1"/>
    <w:rsid w:val="00B93F02"/>
    <w:rsid w:val="00B96097"/>
    <w:rsid w:val="00B97410"/>
    <w:rsid w:val="00BA4932"/>
    <w:rsid w:val="00BA4DA9"/>
    <w:rsid w:val="00BA6FCA"/>
    <w:rsid w:val="00BA7939"/>
    <w:rsid w:val="00BB0346"/>
    <w:rsid w:val="00BB56C9"/>
    <w:rsid w:val="00BB766A"/>
    <w:rsid w:val="00BB7DBA"/>
    <w:rsid w:val="00BC2417"/>
    <w:rsid w:val="00BC2FAA"/>
    <w:rsid w:val="00BC31E2"/>
    <w:rsid w:val="00BD2602"/>
    <w:rsid w:val="00BD69B7"/>
    <w:rsid w:val="00BE1E7B"/>
    <w:rsid w:val="00BE27FD"/>
    <w:rsid w:val="00BE5DF9"/>
    <w:rsid w:val="00BE5FE3"/>
    <w:rsid w:val="00BE6885"/>
    <w:rsid w:val="00BE6EE0"/>
    <w:rsid w:val="00BF098C"/>
    <w:rsid w:val="00BF0EDA"/>
    <w:rsid w:val="00BF2E32"/>
    <w:rsid w:val="00BF4C3F"/>
    <w:rsid w:val="00BF5CFF"/>
    <w:rsid w:val="00C06C17"/>
    <w:rsid w:val="00C124B5"/>
    <w:rsid w:val="00C12A68"/>
    <w:rsid w:val="00C16C5B"/>
    <w:rsid w:val="00C21988"/>
    <w:rsid w:val="00C237A4"/>
    <w:rsid w:val="00C3292E"/>
    <w:rsid w:val="00C35BE7"/>
    <w:rsid w:val="00C370F6"/>
    <w:rsid w:val="00C4028C"/>
    <w:rsid w:val="00C435BA"/>
    <w:rsid w:val="00C4767F"/>
    <w:rsid w:val="00C47AC5"/>
    <w:rsid w:val="00C54C57"/>
    <w:rsid w:val="00C609EB"/>
    <w:rsid w:val="00C640F5"/>
    <w:rsid w:val="00C71165"/>
    <w:rsid w:val="00C84180"/>
    <w:rsid w:val="00C900FB"/>
    <w:rsid w:val="00CA075E"/>
    <w:rsid w:val="00CA0970"/>
    <w:rsid w:val="00CA5022"/>
    <w:rsid w:val="00CB0113"/>
    <w:rsid w:val="00CB1B9D"/>
    <w:rsid w:val="00CB285E"/>
    <w:rsid w:val="00CB3D42"/>
    <w:rsid w:val="00CB5641"/>
    <w:rsid w:val="00CB610C"/>
    <w:rsid w:val="00CC11D3"/>
    <w:rsid w:val="00CC66E4"/>
    <w:rsid w:val="00CD048F"/>
    <w:rsid w:val="00CD0575"/>
    <w:rsid w:val="00CD15DF"/>
    <w:rsid w:val="00CD27C5"/>
    <w:rsid w:val="00CD30B0"/>
    <w:rsid w:val="00CD323F"/>
    <w:rsid w:val="00CD3720"/>
    <w:rsid w:val="00CD5C4D"/>
    <w:rsid w:val="00CD5F11"/>
    <w:rsid w:val="00CE04BB"/>
    <w:rsid w:val="00CE07D1"/>
    <w:rsid w:val="00CE088A"/>
    <w:rsid w:val="00CE0C66"/>
    <w:rsid w:val="00CE263A"/>
    <w:rsid w:val="00CE5693"/>
    <w:rsid w:val="00CF124A"/>
    <w:rsid w:val="00CF1275"/>
    <w:rsid w:val="00CF141E"/>
    <w:rsid w:val="00CF3004"/>
    <w:rsid w:val="00CF6305"/>
    <w:rsid w:val="00CF708B"/>
    <w:rsid w:val="00CF7447"/>
    <w:rsid w:val="00CF758C"/>
    <w:rsid w:val="00D04F52"/>
    <w:rsid w:val="00D05E24"/>
    <w:rsid w:val="00D066FB"/>
    <w:rsid w:val="00D06FB3"/>
    <w:rsid w:val="00D119C3"/>
    <w:rsid w:val="00D129A3"/>
    <w:rsid w:val="00D13A02"/>
    <w:rsid w:val="00D14464"/>
    <w:rsid w:val="00D162D3"/>
    <w:rsid w:val="00D17FB0"/>
    <w:rsid w:val="00D2005A"/>
    <w:rsid w:val="00D204F7"/>
    <w:rsid w:val="00D23AEA"/>
    <w:rsid w:val="00D27930"/>
    <w:rsid w:val="00D32269"/>
    <w:rsid w:val="00D33378"/>
    <w:rsid w:val="00D36854"/>
    <w:rsid w:val="00D37763"/>
    <w:rsid w:val="00D406F8"/>
    <w:rsid w:val="00D41821"/>
    <w:rsid w:val="00D44BF3"/>
    <w:rsid w:val="00D460FC"/>
    <w:rsid w:val="00D46C2B"/>
    <w:rsid w:val="00D47BBF"/>
    <w:rsid w:val="00D47EB9"/>
    <w:rsid w:val="00D50998"/>
    <w:rsid w:val="00D50A8C"/>
    <w:rsid w:val="00D50D9B"/>
    <w:rsid w:val="00D51326"/>
    <w:rsid w:val="00D545F7"/>
    <w:rsid w:val="00D56C1F"/>
    <w:rsid w:val="00D56ED9"/>
    <w:rsid w:val="00D60DF2"/>
    <w:rsid w:val="00D61073"/>
    <w:rsid w:val="00D61B95"/>
    <w:rsid w:val="00D64B4E"/>
    <w:rsid w:val="00D64F44"/>
    <w:rsid w:val="00D67448"/>
    <w:rsid w:val="00D71C9C"/>
    <w:rsid w:val="00D72B2A"/>
    <w:rsid w:val="00D73EB0"/>
    <w:rsid w:val="00D767FA"/>
    <w:rsid w:val="00D80087"/>
    <w:rsid w:val="00D82EF9"/>
    <w:rsid w:val="00D832D2"/>
    <w:rsid w:val="00D8493A"/>
    <w:rsid w:val="00D860E4"/>
    <w:rsid w:val="00D867D2"/>
    <w:rsid w:val="00D9318C"/>
    <w:rsid w:val="00D9466D"/>
    <w:rsid w:val="00D94D5D"/>
    <w:rsid w:val="00D96CA4"/>
    <w:rsid w:val="00D97F29"/>
    <w:rsid w:val="00DA0F81"/>
    <w:rsid w:val="00DA3017"/>
    <w:rsid w:val="00DA63B1"/>
    <w:rsid w:val="00DA77C0"/>
    <w:rsid w:val="00DB0028"/>
    <w:rsid w:val="00DB15CF"/>
    <w:rsid w:val="00DC2177"/>
    <w:rsid w:val="00DC3F17"/>
    <w:rsid w:val="00DC5919"/>
    <w:rsid w:val="00DD12CC"/>
    <w:rsid w:val="00DD22CA"/>
    <w:rsid w:val="00DD3683"/>
    <w:rsid w:val="00DD7746"/>
    <w:rsid w:val="00DD7DE0"/>
    <w:rsid w:val="00DE241A"/>
    <w:rsid w:val="00DE7178"/>
    <w:rsid w:val="00DF26F8"/>
    <w:rsid w:val="00DF2D23"/>
    <w:rsid w:val="00DF5243"/>
    <w:rsid w:val="00E001E8"/>
    <w:rsid w:val="00E00B8A"/>
    <w:rsid w:val="00E049D0"/>
    <w:rsid w:val="00E04F92"/>
    <w:rsid w:val="00E11CCD"/>
    <w:rsid w:val="00E21F03"/>
    <w:rsid w:val="00E222F3"/>
    <w:rsid w:val="00E2282A"/>
    <w:rsid w:val="00E23028"/>
    <w:rsid w:val="00E231BE"/>
    <w:rsid w:val="00E248B7"/>
    <w:rsid w:val="00E25ADD"/>
    <w:rsid w:val="00E25F4A"/>
    <w:rsid w:val="00E354E1"/>
    <w:rsid w:val="00E358FB"/>
    <w:rsid w:val="00E3700F"/>
    <w:rsid w:val="00E42884"/>
    <w:rsid w:val="00E43CE8"/>
    <w:rsid w:val="00E462D9"/>
    <w:rsid w:val="00E47A84"/>
    <w:rsid w:val="00E511BE"/>
    <w:rsid w:val="00E553A8"/>
    <w:rsid w:val="00E5607A"/>
    <w:rsid w:val="00E571BF"/>
    <w:rsid w:val="00E60089"/>
    <w:rsid w:val="00E62831"/>
    <w:rsid w:val="00E62EC0"/>
    <w:rsid w:val="00E631EF"/>
    <w:rsid w:val="00E65BAC"/>
    <w:rsid w:val="00E749C1"/>
    <w:rsid w:val="00E7771E"/>
    <w:rsid w:val="00E80B7C"/>
    <w:rsid w:val="00E91043"/>
    <w:rsid w:val="00E928FB"/>
    <w:rsid w:val="00E92B54"/>
    <w:rsid w:val="00E9320E"/>
    <w:rsid w:val="00E95003"/>
    <w:rsid w:val="00EA1392"/>
    <w:rsid w:val="00EA1D1C"/>
    <w:rsid w:val="00EA2583"/>
    <w:rsid w:val="00EA39F7"/>
    <w:rsid w:val="00EA63AD"/>
    <w:rsid w:val="00EB0C9D"/>
    <w:rsid w:val="00EB0E9B"/>
    <w:rsid w:val="00EB6AFD"/>
    <w:rsid w:val="00EB7D09"/>
    <w:rsid w:val="00EC1341"/>
    <w:rsid w:val="00EC6B45"/>
    <w:rsid w:val="00ED7C39"/>
    <w:rsid w:val="00EE13A2"/>
    <w:rsid w:val="00EE33D2"/>
    <w:rsid w:val="00EE4F69"/>
    <w:rsid w:val="00EF04C3"/>
    <w:rsid w:val="00EF28A2"/>
    <w:rsid w:val="00EF385C"/>
    <w:rsid w:val="00EF514B"/>
    <w:rsid w:val="00EF540A"/>
    <w:rsid w:val="00EF6C10"/>
    <w:rsid w:val="00F009FD"/>
    <w:rsid w:val="00F019A0"/>
    <w:rsid w:val="00F0289A"/>
    <w:rsid w:val="00F05945"/>
    <w:rsid w:val="00F11FB9"/>
    <w:rsid w:val="00F1276B"/>
    <w:rsid w:val="00F12CD4"/>
    <w:rsid w:val="00F13001"/>
    <w:rsid w:val="00F14B92"/>
    <w:rsid w:val="00F20285"/>
    <w:rsid w:val="00F22B4A"/>
    <w:rsid w:val="00F251C3"/>
    <w:rsid w:val="00F261D5"/>
    <w:rsid w:val="00F26EDA"/>
    <w:rsid w:val="00F271F7"/>
    <w:rsid w:val="00F3083E"/>
    <w:rsid w:val="00F323F0"/>
    <w:rsid w:val="00F32D17"/>
    <w:rsid w:val="00F37761"/>
    <w:rsid w:val="00F37E12"/>
    <w:rsid w:val="00F40DCA"/>
    <w:rsid w:val="00F50F5B"/>
    <w:rsid w:val="00F56C4E"/>
    <w:rsid w:val="00F57350"/>
    <w:rsid w:val="00F638D3"/>
    <w:rsid w:val="00F650A9"/>
    <w:rsid w:val="00F669E1"/>
    <w:rsid w:val="00F7075F"/>
    <w:rsid w:val="00F70F7D"/>
    <w:rsid w:val="00F717A6"/>
    <w:rsid w:val="00F72EFF"/>
    <w:rsid w:val="00F75922"/>
    <w:rsid w:val="00F763C8"/>
    <w:rsid w:val="00F83DF3"/>
    <w:rsid w:val="00F84CFC"/>
    <w:rsid w:val="00FA1808"/>
    <w:rsid w:val="00FA1E10"/>
    <w:rsid w:val="00FA5ABD"/>
    <w:rsid w:val="00FB3140"/>
    <w:rsid w:val="00FC2D0E"/>
    <w:rsid w:val="00FC34CC"/>
    <w:rsid w:val="00FC3E11"/>
    <w:rsid w:val="00FC4505"/>
    <w:rsid w:val="00FC5897"/>
    <w:rsid w:val="00FD4694"/>
    <w:rsid w:val="00FD7BF4"/>
    <w:rsid w:val="00FE0EB3"/>
    <w:rsid w:val="00FE2F66"/>
    <w:rsid w:val="00FF0F2F"/>
    <w:rsid w:val="00FF391A"/>
    <w:rsid w:val="00FF6BCE"/>
    <w:rsid w:val="021B0754"/>
    <w:rsid w:val="03F54B7D"/>
    <w:rsid w:val="057D6253"/>
    <w:rsid w:val="05D876B2"/>
    <w:rsid w:val="089D69AF"/>
    <w:rsid w:val="0AAB2103"/>
    <w:rsid w:val="0BEE3B14"/>
    <w:rsid w:val="0BFB2994"/>
    <w:rsid w:val="0D1F37D1"/>
    <w:rsid w:val="0DF878E7"/>
    <w:rsid w:val="0E0215CC"/>
    <w:rsid w:val="0F654B0B"/>
    <w:rsid w:val="0FCA3D02"/>
    <w:rsid w:val="10824AFB"/>
    <w:rsid w:val="12057B58"/>
    <w:rsid w:val="125D2A25"/>
    <w:rsid w:val="15CC2D06"/>
    <w:rsid w:val="15E73501"/>
    <w:rsid w:val="16E82DD1"/>
    <w:rsid w:val="194215F3"/>
    <w:rsid w:val="196E1AC7"/>
    <w:rsid w:val="1B461C2A"/>
    <w:rsid w:val="1BBC78A6"/>
    <w:rsid w:val="1CFB72BF"/>
    <w:rsid w:val="1E2E4982"/>
    <w:rsid w:val="1E3A1163"/>
    <w:rsid w:val="1EC93D1A"/>
    <w:rsid w:val="20711D5F"/>
    <w:rsid w:val="239B3247"/>
    <w:rsid w:val="28A4554F"/>
    <w:rsid w:val="29320F65"/>
    <w:rsid w:val="2A7F6D1B"/>
    <w:rsid w:val="2A8D79DE"/>
    <w:rsid w:val="2B246AF2"/>
    <w:rsid w:val="2CE95E0F"/>
    <w:rsid w:val="2FC73F53"/>
    <w:rsid w:val="30927256"/>
    <w:rsid w:val="312C0D72"/>
    <w:rsid w:val="328D2B93"/>
    <w:rsid w:val="34556A82"/>
    <w:rsid w:val="34633133"/>
    <w:rsid w:val="369E0599"/>
    <w:rsid w:val="37D45338"/>
    <w:rsid w:val="38FA1379"/>
    <w:rsid w:val="39CD7DA6"/>
    <w:rsid w:val="3A33127A"/>
    <w:rsid w:val="3A51301F"/>
    <w:rsid w:val="3A9516B2"/>
    <w:rsid w:val="3BFF7216"/>
    <w:rsid w:val="3E8B59AD"/>
    <w:rsid w:val="40714476"/>
    <w:rsid w:val="420C0874"/>
    <w:rsid w:val="42AB228D"/>
    <w:rsid w:val="43B64AEA"/>
    <w:rsid w:val="44FF4520"/>
    <w:rsid w:val="46035D9E"/>
    <w:rsid w:val="48F56DC9"/>
    <w:rsid w:val="49D52762"/>
    <w:rsid w:val="4CD47DD8"/>
    <w:rsid w:val="4DC82980"/>
    <w:rsid w:val="4E45660E"/>
    <w:rsid w:val="51552FD4"/>
    <w:rsid w:val="52731382"/>
    <w:rsid w:val="546F3789"/>
    <w:rsid w:val="55552864"/>
    <w:rsid w:val="55C979A2"/>
    <w:rsid w:val="565D586B"/>
    <w:rsid w:val="5E104151"/>
    <w:rsid w:val="5F9323CD"/>
    <w:rsid w:val="60DC2415"/>
    <w:rsid w:val="63EA01C8"/>
    <w:rsid w:val="64464EB8"/>
    <w:rsid w:val="64D728A6"/>
    <w:rsid w:val="652611EA"/>
    <w:rsid w:val="669D7F75"/>
    <w:rsid w:val="67C206D6"/>
    <w:rsid w:val="6C2C45DC"/>
    <w:rsid w:val="6F142239"/>
    <w:rsid w:val="6FFF1E61"/>
    <w:rsid w:val="71A93407"/>
    <w:rsid w:val="736D7E05"/>
    <w:rsid w:val="75ED26A1"/>
    <w:rsid w:val="7656135E"/>
    <w:rsid w:val="78717F4D"/>
    <w:rsid w:val="787B0FE8"/>
    <w:rsid w:val="7AD803A2"/>
    <w:rsid w:val="7B0C0385"/>
    <w:rsid w:val="7D4B0FEB"/>
    <w:rsid w:val="7D6C4215"/>
    <w:rsid w:val="7D907BE2"/>
    <w:rsid w:val="7E0C5E35"/>
    <w:rsid w:val="7E8144A2"/>
    <w:rsid w:val="7EAA558B"/>
    <w:rsid w:val="7EB82B5C"/>
    <w:rsid w:val="7F316F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nhideWhenUsed="0" w:uiPriority="99" w:name="toa heading"/>
    <w:lsdException w:unhideWhenUsed="0" w:uiPriority="99" w:semiHidden="0" w:name="List"/>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楷体_GB2312" w:cs="Calibri"/>
      <w:kern w:val="2"/>
      <w:sz w:val="26"/>
      <w:szCs w:val="26"/>
      <w:lang w:val="en-US" w:eastAsia="zh-CN" w:bidi="ar-SA"/>
    </w:rPr>
  </w:style>
  <w:style w:type="paragraph" w:styleId="6">
    <w:name w:val="heading 1"/>
    <w:basedOn w:val="1"/>
    <w:next w:val="1"/>
    <w:link w:val="72"/>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7">
    <w:name w:val="heading 2"/>
    <w:basedOn w:val="1"/>
    <w:next w:val="1"/>
    <w:link w:val="73"/>
    <w:qFormat/>
    <w:uiPriority w:val="99"/>
    <w:pPr>
      <w:keepNext/>
      <w:keepLines/>
      <w:overflowPunct w:val="0"/>
      <w:adjustRightInd w:val="0"/>
      <w:jc w:val="left"/>
      <w:textAlignment w:val="baseline"/>
      <w:outlineLvl w:val="1"/>
    </w:pPr>
    <w:rPr>
      <w:rFonts w:ascii="宋体" w:hAnsi="宋体" w:cs="宋体"/>
      <w:b/>
      <w:bCs/>
    </w:rPr>
  </w:style>
  <w:style w:type="paragraph" w:styleId="8">
    <w:name w:val="heading 3"/>
    <w:basedOn w:val="1"/>
    <w:next w:val="1"/>
    <w:link w:val="74"/>
    <w:qFormat/>
    <w:uiPriority w:val="99"/>
    <w:pPr>
      <w:keepNext/>
      <w:keepLines/>
      <w:adjustRightInd w:val="0"/>
      <w:jc w:val="left"/>
      <w:textAlignment w:val="baseline"/>
      <w:outlineLvl w:val="2"/>
    </w:pPr>
    <w:rPr>
      <w:rFonts w:ascii="Times New Roman" w:hAnsi="Times New Roman" w:cs="Times New Roman"/>
      <w:b/>
      <w:bCs/>
    </w:rPr>
  </w:style>
  <w:style w:type="paragraph" w:styleId="9">
    <w:name w:val="heading 4"/>
    <w:basedOn w:val="1"/>
    <w:next w:val="1"/>
    <w:link w:val="75"/>
    <w:qFormat/>
    <w:uiPriority w:val="99"/>
    <w:pPr>
      <w:keepNext/>
      <w:keepLines/>
      <w:spacing w:before="280" w:after="290" w:line="376" w:lineRule="auto"/>
      <w:outlineLvl w:val="3"/>
    </w:pPr>
    <w:rPr>
      <w:rFonts w:ascii="Arial" w:hAnsi="Arial" w:eastAsia="黑体" w:cs="Arial"/>
      <w:b/>
      <w:bCs/>
      <w:sz w:val="28"/>
      <w:szCs w:val="28"/>
    </w:rPr>
  </w:style>
  <w:style w:type="paragraph" w:styleId="10">
    <w:name w:val="heading 5"/>
    <w:basedOn w:val="1"/>
    <w:next w:val="11"/>
    <w:link w:val="76"/>
    <w:qFormat/>
    <w:uiPriority w:val="99"/>
    <w:pPr>
      <w:keepNext/>
      <w:keepLines/>
      <w:numPr>
        <w:ilvl w:val="4"/>
        <w:numId w:val="1"/>
      </w:numPr>
      <w:spacing w:before="280" w:after="290" w:line="376" w:lineRule="auto"/>
      <w:outlineLvl w:val="4"/>
    </w:pPr>
    <w:rPr>
      <w:rFonts w:ascii="宋体" w:hAnsi="Times New Roman" w:eastAsia="宋体" w:cs="宋体"/>
      <w:b/>
      <w:bCs/>
      <w:spacing w:val="-2"/>
      <w:position w:val="-6"/>
      <w:sz w:val="28"/>
      <w:szCs w:val="28"/>
    </w:rPr>
  </w:style>
  <w:style w:type="paragraph" w:styleId="12">
    <w:name w:val="heading 6"/>
    <w:basedOn w:val="1"/>
    <w:next w:val="11"/>
    <w:link w:val="77"/>
    <w:qFormat/>
    <w:uiPriority w:val="99"/>
    <w:pPr>
      <w:keepNext/>
      <w:keepLines/>
      <w:numPr>
        <w:ilvl w:val="5"/>
        <w:numId w:val="1"/>
      </w:numPr>
      <w:spacing w:before="240" w:after="64" w:line="320" w:lineRule="auto"/>
      <w:outlineLvl w:val="5"/>
    </w:pPr>
    <w:rPr>
      <w:rFonts w:ascii="Arial" w:hAnsi="Arial" w:eastAsia="黑体" w:cs="Arial"/>
      <w:b/>
      <w:bCs/>
      <w:spacing w:val="-2"/>
      <w:position w:val="-6"/>
      <w:sz w:val="24"/>
      <w:szCs w:val="24"/>
    </w:rPr>
  </w:style>
  <w:style w:type="paragraph" w:styleId="13">
    <w:name w:val="heading 7"/>
    <w:basedOn w:val="1"/>
    <w:next w:val="11"/>
    <w:link w:val="78"/>
    <w:qFormat/>
    <w:uiPriority w:val="99"/>
    <w:pPr>
      <w:keepNext/>
      <w:keepLines/>
      <w:numPr>
        <w:ilvl w:val="6"/>
        <w:numId w:val="1"/>
      </w:numPr>
      <w:spacing w:before="240" w:after="64" w:line="320" w:lineRule="auto"/>
      <w:outlineLvl w:val="6"/>
    </w:pPr>
    <w:rPr>
      <w:rFonts w:ascii="宋体" w:hAnsi="Times New Roman" w:eastAsia="宋体" w:cs="宋体"/>
      <w:b/>
      <w:bCs/>
      <w:spacing w:val="-2"/>
      <w:position w:val="-6"/>
      <w:sz w:val="24"/>
      <w:szCs w:val="24"/>
    </w:rPr>
  </w:style>
  <w:style w:type="paragraph" w:styleId="14">
    <w:name w:val="heading 8"/>
    <w:basedOn w:val="1"/>
    <w:next w:val="11"/>
    <w:link w:val="79"/>
    <w:qFormat/>
    <w:uiPriority w:val="99"/>
    <w:pPr>
      <w:keepNext/>
      <w:keepLines/>
      <w:numPr>
        <w:ilvl w:val="7"/>
        <w:numId w:val="1"/>
      </w:numPr>
      <w:spacing w:before="240" w:after="64" w:line="320" w:lineRule="auto"/>
      <w:outlineLvl w:val="7"/>
    </w:pPr>
    <w:rPr>
      <w:rFonts w:ascii="Arial" w:hAnsi="Arial" w:eastAsia="黑体" w:cs="Arial"/>
      <w:spacing w:val="-2"/>
      <w:position w:val="-6"/>
      <w:sz w:val="24"/>
      <w:szCs w:val="24"/>
    </w:rPr>
  </w:style>
  <w:style w:type="paragraph" w:styleId="15">
    <w:name w:val="heading 9"/>
    <w:basedOn w:val="1"/>
    <w:next w:val="11"/>
    <w:link w:val="80"/>
    <w:qFormat/>
    <w:uiPriority w:val="99"/>
    <w:pPr>
      <w:keepNext/>
      <w:keepLines/>
      <w:numPr>
        <w:ilvl w:val="8"/>
        <w:numId w:val="1"/>
      </w:numPr>
      <w:spacing w:before="240" w:after="64" w:line="320" w:lineRule="auto"/>
      <w:outlineLvl w:val="8"/>
    </w:pPr>
    <w:rPr>
      <w:rFonts w:ascii="Arial" w:hAnsi="Arial" w:eastAsia="黑体" w:cs="Arial"/>
      <w:spacing w:val="-2"/>
      <w:position w:val="-6"/>
      <w:sz w:val="28"/>
      <w:szCs w:val="28"/>
    </w:rPr>
  </w:style>
  <w:style w:type="character" w:default="1" w:styleId="56">
    <w:name w:val="Default Paragraph Font"/>
    <w:semiHidden/>
    <w:unhideWhenUsed/>
    <w:qFormat/>
    <w:uiPriority w:val="1"/>
  </w:style>
  <w:style w:type="table" w:default="1" w:styleId="7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locked/>
    <w:uiPriority w:val="0"/>
    <w:pPr>
      <w:ind w:firstLine="420" w:firstLineChars="100"/>
    </w:pPr>
    <w:rPr>
      <w:rFonts w:ascii="Times New Roman" w:hAnsi="Times New Roman" w:eastAsia="宋体" w:cs="Times New Roman"/>
    </w:rPr>
  </w:style>
  <w:style w:type="paragraph" w:styleId="3">
    <w:name w:val="Body Text"/>
    <w:basedOn w:val="1"/>
    <w:next w:val="4"/>
    <w:link w:val="83"/>
    <w:qFormat/>
    <w:uiPriority w:val="99"/>
    <w:pPr>
      <w:spacing w:line="400" w:lineRule="exact"/>
    </w:pPr>
    <w:rPr>
      <w:rFonts w:ascii="楷体_GB2312" w:hAnsi="Times New Roman" w:eastAsia="宋体" w:cs="楷体_GB2312"/>
      <w:sz w:val="28"/>
      <w:szCs w:val="28"/>
    </w:r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1">
    <w:name w:val="Normal Indent"/>
    <w:basedOn w:val="1"/>
    <w:link w:val="96"/>
    <w:qFormat/>
    <w:uiPriority w:val="99"/>
    <w:pPr>
      <w:adjustRightInd w:val="0"/>
      <w:ind w:firstLine="420"/>
      <w:jc w:val="left"/>
      <w:textAlignment w:val="baseline"/>
    </w:pPr>
    <w:rPr>
      <w:rFonts w:ascii="Times New Roman" w:hAnsi="Times New Roman" w:cs="Times New Roman"/>
      <w:sz w:val="24"/>
      <w:szCs w:val="24"/>
    </w:rPr>
  </w:style>
  <w:style w:type="paragraph" w:styleId="16">
    <w:name w:val="annotation subject"/>
    <w:basedOn w:val="17"/>
    <w:next w:val="17"/>
    <w:link w:val="95"/>
    <w:semiHidden/>
    <w:qFormat/>
    <w:uiPriority w:val="99"/>
    <w:rPr>
      <w:rFonts w:ascii="Calibri" w:hAnsi="Calibri" w:eastAsia="宋体" w:cs="Calibri"/>
      <w:b/>
      <w:bCs/>
    </w:rPr>
  </w:style>
  <w:style w:type="paragraph" w:styleId="17">
    <w:name w:val="annotation text"/>
    <w:basedOn w:val="1"/>
    <w:link w:val="82"/>
    <w:semiHidden/>
    <w:uiPriority w:val="99"/>
    <w:pPr>
      <w:jc w:val="left"/>
    </w:pPr>
    <w:rPr>
      <w:rFonts w:ascii="Times New Roman" w:hAnsi="Times New Roman" w:cs="Times New Roman"/>
    </w:rPr>
  </w:style>
  <w:style w:type="paragraph" w:styleId="18">
    <w:name w:val="toc 7"/>
    <w:basedOn w:val="1"/>
    <w:next w:val="1"/>
    <w:semiHidden/>
    <w:qFormat/>
    <w:uiPriority w:val="99"/>
    <w:pPr>
      <w:ind w:left="2520"/>
    </w:pPr>
    <w:rPr>
      <w:rFonts w:ascii="Times New Roman" w:hAnsi="Times New Roman" w:eastAsia="宋体" w:cs="Times New Roman"/>
    </w:rPr>
  </w:style>
  <w:style w:type="paragraph" w:styleId="19">
    <w:name w:val="index 8"/>
    <w:basedOn w:val="1"/>
    <w:next w:val="1"/>
    <w:semiHidden/>
    <w:qFormat/>
    <w:uiPriority w:val="99"/>
    <w:pPr>
      <w:ind w:left="2940"/>
    </w:pPr>
    <w:rPr>
      <w:rFonts w:ascii="Times New Roman" w:hAnsi="Times New Roman" w:eastAsia="宋体" w:cs="Times New Roman"/>
    </w:rPr>
  </w:style>
  <w:style w:type="paragraph" w:styleId="20">
    <w:name w:val="List Number"/>
    <w:basedOn w:val="1"/>
    <w:qFormat/>
    <w:uiPriority w:val="99"/>
    <w:pPr>
      <w:numPr>
        <w:ilvl w:val="0"/>
        <w:numId w:val="2"/>
      </w:numPr>
      <w:tabs>
        <w:tab w:val="left" w:pos="0"/>
      </w:tabs>
    </w:pPr>
    <w:rPr>
      <w:rFonts w:eastAsia="宋体"/>
      <w:sz w:val="21"/>
      <w:szCs w:val="21"/>
    </w:rPr>
  </w:style>
  <w:style w:type="paragraph" w:styleId="21">
    <w:name w:val="index 5"/>
    <w:basedOn w:val="1"/>
    <w:next w:val="1"/>
    <w:semiHidden/>
    <w:qFormat/>
    <w:uiPriority w:val="99"/>
    <w:pPr>
      <w:ind w:left="1680"/>
    </w:pPr>
    <w:rPr>
      <w:rFonts w:ascii="Times New Roman" w:hAnsi="Times New Roman" w:eastAsia="宋体" w:cs="Times New Roman"/>
    </w:rPr>
  </w:style>
  <w:style w:type="paragraph" w:styleId="22">
    <w:name w:val="Document Map"/>
    <w:basedOn w:val="1"/>
    <w:link w:val="81"/>
    <w:semiHidden/>
    <w:qFormat/>
    <w:uiPriority w:val="99"/>
    <w:pPr>
      <w:shd w:val="clear" w:color="auto" w:fill="000080"/>
    </w:pPr>
    <w:rPr>
      <w:rFonts w:eastAsia="宋体"/>
      <w:shd w:val="clear" w:color="auto" w:fill="000080"/>
    </w:rPr>
  </w:style>
  <w:style w:type="paragraph" w:styleId="23">
    <w:name w:val="toa heading"/>
    <w:basedOn w:val="1"/>
    <w:next w:val="1"/>
    <w:semiHidden/>
    <w:uiPriority w:val="99"/>
    <w:pPr>
      <w:adjustRightInd w:val="0"/>
      <w:spacing w:before="200" w:line="360" w:lineRule="atLeast"/>
      <w:jc w:val="center"/>
      <w:textAlignment w:val="baseline"/>
    </w:pPr>
    <w:rPr>
      <w:rFonts w:ascii="Arial" w:hAnsi="Arial" w:eastAsia="黑体" w:cs="Arial"/>
      <w:kern w:val="0"/>
      <w:sz w:val="44"/>
      <w:szCs w:val="44"/>
    </w:rPr>
  </w:style>
  <w:style w:type="paragraph" w:styleId="24">
    <w:name w:val="index 6"/>
    <w:basedOn w:val="1"/>
    <w:next w:val="1"/>
    <w:semiHidden/>
    <w:qFormat/>
    <w:uiPriority w:val="99"/>
    <w:pPr>
      <w:ind w:left="2100"/>
    </w:pPr>
    <w:rPr>
      <w:rFonts w:ascii="Times New Roman" w:hAnsi="Times New Roman" w:eastAsia="宋体" w:cs="Times New Roman"/>
    </w:rPr>
  </w:style>
  <w:style w:type="paragraph" w:styleId="25">
    <w:name w:val="Body Text Indent"/>
    <w:basedOn w:val="1"/>
    <w:next w:val="26"/>
    <w:link w:val="84"/>
    <w:qFormat/>
    <w:uiPriority w:val="99"/>
    <w:pPr>
      <w:spacing w:line="520" w:lineRule="exact"/>
      <w:ind w:left="570"/>
    </w:pPr>
    <w:rPr>
      <w:rFonts w:ascii="方正仿宋简体" w:hAnsi="创艺简仿宋" w:eastAsia="方正仿宋简体" w:cs="方正仿宋简体"/>
      <w:sz w:val="24"/>
      <w:szCs w:val="24"/>
    </w:rPr>
  </w:style>
  <w:style w:type="paragraph" w:styleId="26">
    <w:name w:val="envelope return"/>
    <w:basedOn w:val="1"/>
    <w:unhideWhenUsed/>
    <w:qFormat/>
    <w:locked/>
    <w:uiPriority w:val="99"/>
    <w:pPr>
      <w:snapToGrid w:val="0"/>
    </w:pPr>
    <w:rPr>
      <w:rFonts w:ascii="Arial" w:hAnsi="Arial"/>
    </w:rPr>
  </w:style>
  <w:style w:type="paragraph" w:styleId="27">
    <w:name w:val="index 4"/>
    <w:basedOn w:val="1"/>
    <w:next w:val="1"/>
    <w:semiHidden/>
    <w:qFormat/>
    <w:uiPriority w:val="99"/>
    <w:pPr>
      <w:ind w:left="1260"/>
    </w:pPr>
    <w:rPr>
      <w:rFonts w:ascii="Times New Roman" w:hAnsi="Times New Roman" w:eastAsia="宋体" w:cs="Times New Roman"/>
    </w:rPr>
  </w:style>
  <w:style w:type="paragraph" w:styleId="28">
    <w:name w:val="toc 5"/>
    <w:basedOn w:val="1"/>
    <w:next w:val="1"/>
    <w:semiHidden/>
    <w:qFormat/>
    <w:uiPriority w:val="99"/>
    <w:pPr>
      <w:ind w:left="1680"/>
    </w:pPr>
    <w:rPr>
      <w:rFonts w:ascii="Times New Roman" w:hAnsi="Times New Roman" w:eastAsia="宋体" w:cs="Times New Roman"/>
    </w:rPr>
  </w:style>
  <w:style w:type="paragraph" w:styleId="29">
    <w:name w:val="toc 3"/>
    <w:basedOn w:val="1"/>
    <w:next w:val="1"/>
    <w:semiHidden/>
    <w:qFormat/>
    <w:uiPriority w:val="99"/>
    <w:pPr>
      <w:ind w:left="840"/>
    </w:pPr>
    <w:rPr>
      <w:rFonts w:ascii="Times New Roman" w:hAnsi="Times New Roman" w:eastAsia="宋体" w:cs="Times New Roman"/>
    </w:rPr>
  </w:style>
  <w:style w:type="paragraph" w:styleId="30">
    <w:name w:val="Plain Text"/>
    <w:basedOn w:val="1"/>
    <w:link w:val="85"/>
    <w:qFormat/>
    <w:uiPriority w:val="99"/>
    <w:rPr>
      <w:rFonts w:ascii="宋体" w:hAnsi="Courier New" w:cs="宋体"/>
    </w:rPr>
  </w:style>
  <w:style w:type="paragraph" w:styleId="31">
    <w:name w:val="toc 8"/>
    <w:basedOn w:val="1"/>
    <w:next w:val="1"/>
    <w:semiHidden/>
    <w:qFormat/>
    <w:uiPriority w:val="99"/>
    <w:pPr>
      <w:ind w:left="2940"/>
    </w:pPr>
    <w:rPr>
      <w:rFonts w:ascii="Times New Roman" w:hAnsi="Times New Roman" w:eastAsia="宋体" w:cs="Times New Roman"/>
    </w:rPr>
  </w:style>
  <w:style w:type="paragraph" w:styleId="32">
    <w:name w:val="index 3"/>
    <w:basedOn w:val="1"/>
    <w:next w:val="1"/>
    <w:semiHidden/>
    <w:qFormat/>
    <w:uiPriority w:val="99"/>
    <w:pPr>
      <w:ind w:left="840"/>
    </w:pPr>
    <w:rPr>
      <w:rFonts w:ascii="Times New Roman" w:hAnsi="Times New Roman" w:eastAsia="宋体" w:cs="Times New Roman"/>
    </w:rPr>
  </w:style>
  <w:style w:type="paragraph" w:styleId="33">
    <w:name w:val="Date"/>
    <w:basedOn w:val="1"/>
    <w:next w:val="1"/>
    <w:link w:val="86"/>
    <w:qFormat/>
    <w:uiPriority w:val="99"/>
    <w:rPr>
      <w:rFonts w:ascii="宋体" w:hAnsi="宋体" w:eastAsia="宋体" w:cs="宋体"/>
      <w:sz w:val="24"/>
      <w:szCs w:val="24"/>
    </w:rPr>
  </w:style>
  <w:style w:type="paragraph" w:styleId="34">
    <w:name w:val="Body Text Indent 2"/>
    <w:basedOn w:val="1"/>
    <w:link w:val="87"/>
    <w:qFormat/>
    <w:uiPriority w:val="99"/>
    <w:pPr>
      <w:tabs>
        <w:tab w:val="left" w:pos="0"/>
      </w:tabs>
      <w:spacing w:line="360" w:lineRule="auto"/>
      <w:ind w:firstLine="502" w:firstLineChars="209"/>
    </w:pPr>
    <w:rPr>
      <w:rFonts w:ascii="宋体" w:eastAsia="宋体" w:cs="宋体"/>
      <w:b/>
      <w:bCs/>
      <w:sz w:val="24"/>
      <w:szCs w:val="24"/>
    </w:rPr>
  </w:style>
  <w:style w:type="paragraph" w:styleId="35">
    <w:name w:val="Balloon Text"/>
    <w:basedOn w:val="1"/>
    <w:link w:val="88"/>
    <w:semiHidden/>
    <w:qFormat/>
    <w:uiPriority w:val="99"/>
    <w:rPr>
      <w:rFonts w:ascii="Times New Roman" w:hAnsi="Times New Roman" w:eastAsia="宋体" w:cs="Times New Roman"/>
      <w:sz w:val="18"/>
      <w:szCs w:val="18"/>
    </w:rPr>
  </w:style>
  <w:style w:type="paragraph" w:styleId="36">
    <w:name w:val="footer"/>
    <w:basedOn w:val="1"/>
    <w:link w:val="89"/>
    <w:qFormat/>
    <w:uiPriority w:val="99"/>
    <w:pPr>
      <w:tabs>
        <w:tab w:val="center" w:pos="4153"/>
        <w:tab w:val="right" w:pos="8306"/>
      </w:tabs>
      <w:snapToGrid w:val="0"/>
      <w:jc w:val="left"/>
    </w:pPr>
    <w:rPr>
      <w:rFonts w:ascii="Times New Roman" w:hAnsi="Times New Roman" w:cs="Times New Roman"/>
      <w:sz w:val="18"/>
      <w:szCs w:val="18"/>
    </w:rPr>
  </w:style>
  <w:style w:type="paragraph" w:styleId="37">
    <w:name w:val="Body Text First Indent 2"/>
    <w:basedOn w:val="25"/>
    <w:next w:val="38"/>
    <w:unhideWhenUsed/>
    <w:qFormat/>
    <w:locked/>
    <w:uiPriority w:val="99"/>
    <w:pPr>
      <w:ind w:firstLine="200" w:firstLineChars="200"/>
    </w:pPr>
  </w:style>
  <w:style w:type="paragraph" w:styleId="38">
    <w:name w:val="Body Text Indent 3"/>
    <w:basedOn w:val="1"/>
    <w:link w:val="92"/>
    <w:qFormat/>
    <w:uiPriority w:val="99"/>
    <w:pPr>
      <w:spacing w:line="360" w:lineRule="auto"/>
      <w:ind w:firstLine="617" w:firstLineChars="257"/>
    </w:pPr>
    <w:rPr>
      <w:rFonts w:ascii="Times New Roman" w:hAnsi="Times New Roman" w:eastAsia="宋体" w:cs="Times New Roman"/>
      <w:sz w:val="24"/>
      <w:szCs w:val="24"/>
    </w:rPr>
  </w:style>
  <w:style w:type="paragraph" w:styleId="39">
    <w:name w:val="header"/>
    <w:basedOn w:val="1"/>
    <w:link w:val="90"/>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0">
    <w:name w:val="toc 1"/>
    <w:basedOn w:val="1"/>
    <w:next w:val="1"/>
    <w:semiHidden/>
    <w:qFormat/>
    <w:uiPriority w:val="99"/>
    <w:pPr>
      <w:adjustRightInd w:val="0"/>
      <w:jc w:val="left"/>
      <w:textAlignment w:val="baseline"/>
    </w:pPr>
    <w:rPr>
      <w:rFonts w:ascii="Times New Roman" w:hAnsi="Times New Roman" w:eastAsia="宋体" w:cs="Times New Roman"/>
      <w:sz w:val="24"/>
      <w:szCs w:val="24"/>
    </w:rPr>
  </w:style>
  <w:style w:type="paragraph" w:styleId="41">
    <w:name w:val="toc 4"/>
    <w:basedOn w:val="1"/>
    <w:next w:val="1"/>
    <w:semiHidden/>
    <w:qFormat/>
    <w:uiPriority w:val="99"/>
    <w:pPr>
      <w:ind w:left="1260"/>
    </w:pPr>
    <w:rPr>
      <w:rFonts w:ascii="Times New Roman" w:hAnsi="Times New Roman" w:eastAsia="宋体" w:cs="Times New Roman"/>
    </w:rPr>
  </w:style>
  <w:style w:type="paragraph" w:styleId="42">
    <w:name w:val="index heading"/>
    <w:basedOn w:val="1"/>
    <w:next w:val="43"/>
    <w:semiHidden/>
    <w:qFormat/>
    <w:uiPriority w:val="99"/>
    <w:rPr>
      <w:rFonts w:ascii="Times New Roman" w:hAnsi="Times New Roman" w:eastAsia="宋体" w:cs="Times New Roman"/>
    </w:rPr>
  </w:style>
  <w:style w:type="paragraph" w:styleId="43">
    <w:name w:val="index 1"/>
    <w:basedOn w:val="1"/>
    <w:next w:val="1"/>
    <w:semiHidden/>
    <w:qFormat/>
    <w:uiPriority w:val="99"/>
    <w:rPr>
      <w:rFonts w:ascii="Times New Roman" w:hAnsi="Times New Roman" w:eastAsia="宋体" w:cs="Times New Roman"/>
    </w:rPr>
  </w:style>
  <w:style w:type="paragraph" w:styleId="44">
    <w:name w:val="List"/>
    <w:basedOn w:val="1"/>
    <w:uiPriority w:val="99"/>
    <w:pPr>
      <w:spacing w:before="120" w:after="120"/>
      <w:ind w:left="420" w:hanging="420"/>
    </w:pPr>
    <w:rPr>
      <w:rFonts w:eastAsia="宋体"/>
      <w:sz w:val="24"/>
      <w:szCs w:val="24"/>
    </w:rPr>
  </w:style>
  <w:style w:type="paragraph" w:styleId="45">
    <w:name w:val="footnote text"/>
    <w:basedOn w:val="1"/>
    <w:link w:val="91"/>
    <w:semiHidden/>
    <w:qFormat/>
    <w:uiPriority w:val="99"/>
    <w:pPr>
      <w:snapToGrid w:val="0"/>
      <w:jc w:val="left"/>
    </w:pPr>
    <w:rPr>
      <w:rFonts w:ascii="Times New Roman" w:hAnsi="Times New Roman" w:eastAsia="宋体" w:cs="Times New Roman"/>
      <w:sz w:val="18"/>
      <w:szCs w:val="18"/>
    </w:rPr>
  </w:style>
  <w:style w:type="paragraph" w:styleId="46">
    <w:name w:val="toc 6"/>
    <w:basedOn w:val="1"/>
    <w:next w:val="1"/>
    <w:semiHidden/>
    <w:qFormat/>
    <w:uiPriority w:val="99"/>
    <w:pPr>
      <w:ind w:left="2100"/>
    </w:pPr>
    <w:rPr>
      <w:rFonts w:ascii="Times New Roman" w:hAnsi="Times New Roman" w:eastAsia="宋体" w:cs="Times New Roman"/>
    </w:rPr>
  </w:style>
  <w:style w:type="paragraph" w:styleId="47">
    <w:name w:val="index 7"/>
    <w:basedOn w:val="1"/>
    <w:next w:val="1"/>
    <w:semiHidden/>
    <w:qFormat/>
    <w:uiPriority w:val="99"/>
    <w:pPr>
      <w:ind w:left="2520"/>
    </w:pPr>
    <w:rPr>
      <w:rFonts w:ascii="Times New Roman" w:hAnsi="Times New Roman" w:eastAsia="宋体" w:cs="Times New Roman"/>
    </w:rPr>
  </w:style>
  <w:style w:type="paragraph" w:styleId="48">
    <w:name w:val="index 9"/>
    <w:basedOn w:val="1"/>
    <w:next w:val="1"/>
    <w:semiHidden/>
    <w:qFormat/>
    <w:uiPriority w:val="99"/>
    <w:pPr>
      <w:ind w:left="3360"/>
    </w:pPr>
    <w:rPr>
      <w:rFonts w:ascii="Times New Roman" w:hAnsi="Times New Roman" w:eastAsia="宋体" w:cs="Times New Roman"/>
    </w:rPr>
  </w:style>
  <w:style w:type="paragraph" w:styleId="49">
    <w:name w:val="table of figures"/>
    <w:basedOn w:val="1"/>
    <w:next w:val="1"/>
    <w:semiHidden/>
    <w:uiPriority w:val="99"/>
    <w:pPr>
      <w:adjustRightInd w:val="0"/>
      <w:ind w:left="420" w:hanging="420"/>
      <w:jc w:val="left"/>
      <w:textAlignment w:val="baseline"/>
    </w:pPr>
    <w:rPr>
      <w:rFonts w:ascii="Times New Roman" w:hAnsi="Times New Roman" w:eastAsia="宋体" w:cs="Times New Roman"/>
      <w:smallCaps/>
      <w:sz w:val="24"/>
      <w:szCs w:val="24"/>
    </w:rPr>
  </w:style>
  <w:style w:type="paragraph" w:styleId="50">
    <w:name w:val="toc 2"/>
    <w:basedOn w:val="1"/>
    <w:next w:val="1"/>
    <w:semiHidden/>
    <w:uiPriority w:val="99"/>
    <w:pPr>
      <w:ind w:left="420"/>
    </w:pPr>
    <w:rPr>
      <w:rFonts w:ascii="Times New Roman" w:hAnsi="Times New Roman" w:eastAsia="宋体" w:cs="Times New Roman"/>
    </w:rPr>
  </w:style>
  <w:style w:type="paragraph" w:styleId="51">
    <w:name w:val="toc 9"/>
    <w:basedOn w:val="1"/>
    <w:next w:val="1"/>
    <w:semiHidden/>
    <w:qFormat/>
    <w:uiPriority w:val="99"/>
    <w:pPr>
      <w:ind w:left="3360"/>
    </w:pPr>
    <w:rPr>
      <w:rFonts w:ascii="Times New Roman" w:hAnsi="Times New Roman" w:eastAsia="宋体" w:cs="Times New Roman"/>
    </w:rPr>
  </w:style>
  <w:style w:type="paragraph" w:styleId="52">
    <w:name w:val="HTML Preformatted"/>
    <w:basedOn w:val="1"/>
    <w:link w:val="93"/>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53">
    <w:name w:val="Normal (Web)"/>
    <w:basedOn w:val="1"/>
    <w:link w:val="97"/>
    <w:qFormat/>
    <w:uiPriority w:val="99"/>
    <w:pPr>
      <w:widowControl/>
      <w:spacing w:before="100" w:beforeAutospacing="1" w:after="100" w:afterAutospacing="1"/>
      <w:jc w:val="left"/>
    </w:pPr>
    <w:rPr>
      <w:rFonts w:eastAsia="宋体"/>
      <w:kern w:val="0"/>
      <w:sz w:val="24"/>
      <w:szCs w:val="24"/>
    </w:rPr>
  </w:style>
  <w:style w:type="paragraph" w:styleId="54">
    <w:name w:val="index 2"/>
    <w:basedOn w:val="1"/>
    <w:next w:val="1"/>
    <w:semiHidden/>
    <w:qFormat/>
    <w:uiPriority w:val="99"/>
    <w:pPr>
      <w:ind w:left="420"/>
    </w:pPr>
    <w:rPr>
      <w:rFonts w:ascii="Times New Roman" w:hAnsi="Times New Roman" w:eastAsia="宋体" w:cs="Times New Roman"/>
    </w:rPr>
  </w:style>
  <w:style w:type="paragraph" w:styleId="55">
    <w:name w:val="Title"/>
    <w:basedOn w:val="1"/>
    <w:next w:val="1"/>
    <w:link w:val="94"/>
    <w:qFormat/>
    <w:uiPriority w:val="99"/>
    <w:pPr>
      <w:spacing w:before="240" w:after="60"/>
      <w:jc w:val="center"/>
      <w:outlineLvl w:val="0"/>
    </w:pPr>
    <w:rPr>
      <w:rFonts w:ascii="Cambria" w:hAnsi="Cambria" w:eastAsia="宋体" w:cs="Cambria"/>
      <w:b/>
      <w:bCs/>
      <w:sz w:val="32"/>
      <w:szCs w:val="32"/>
    </w:rPr>
  </w:style>
  <w:style w:type="character" w:styleId="57">
    <w:name w:val="Strong"/>
    <w:basedOn w:val="56"/>
    <w:qFormat/>
    <w:uiPriority w:val="99"/>
    <w:rPr>
      <w:rFonts w:ascii="Times New Roman" w:hAnsi="Times New Roman" w:eastAsia="宋体" w:cs="Times New Roman"/>
      <w:b/>
      <w:bCs/>
    </w:rPr>
  </w:style>
  <w:style w:type="character" w:styleId="58">
    <w:name w:val="page number"/>
    <w:basedOn w:val="56"/>
    <w:uiPriority w:val="99"/>
    <w:rPr>
      <w:rFonts w:ascii="Times New Roman" w:hAnsi="Times New Roman" w:eastAsia="宋体" w:cs="Times New Roman"/>
    </w:rPr>
  </w:style>
  <w:style w:type="character" w:styleId="59">
    <w:name w:val="FollowedHyperlink"/>
    <w:basedOn w:val="56"/>
    <w:qFormat/>
    <w:uiPriority w:val="99"/>
    <w:rPr>
      <w:rFonts w:ascii="Times New Roman" w:hAnsi="Times New Roman" w:eastAsia="宋体" w:cs="Times New Roman"/>
      <w:color w:val="auto"/>
      <w:u w:val="single"/>
    </w:rPr>
  </w:style>
  <w:style w:type="character" w:styleId="60">
    <w:name w:val="Emphasis"/>
    <w:basedOn w:val="56"/>
    <w:qFormat/>
    <w:uiPriority w:val="99"/>
    <w:rPr>
      <w:rFonts w:ascii="Times New Roman" w:hAnsi="Times New Roman" w:eastAsia="宋体" w:cs="Times New Roman"/>
      <w:i/>
      <w:iCs/>
    </w:rPr>
  </w:style>
  <w:style w:type="character" w:styleId="61">
    <w:name w:val="line number"/>
    <w:basedOn w:val="56"/>
    <w:qFormat/>
    <w:uiPriority w:val="99"/>
    <w:rPr>
      <w:rFonts w:ascii="Times New Roman" w:hAnsi="Times New Roman" w:eastAsia="宋体" w:cs="Times New Roman"/>
    </w:rPr>
  </w:style>
  <w:style w:type="character" w:styleId="62">
    <w:name w:val="HTML Definition"/>
    <w:basedOn w:val="56"/>
    <w:qFormat/>
    <w:uiPriority w:val="99"/>
    <w:rPr>
      <w:rFonts w:ascii="Times New Roman" w:hAnsi="Times New Roman" w:eastAsia="宋体" w:cs="Times New Roman"/>
      <w:i/>
      <w:iCs/>
    </w:rPr>
  </w:style>
  <w:style w:type="character" w:styleId="63">
    <w:name w:val="Hyperlink"/>
    <w:basedOn w:val="56"/>
    <w:qFormat/>
    <w:uiPriority w:val="99"/>
    <w:rPr>
      <w:rFonts w:ascii="Times New Roman" w:hAnsi="Times New Roman" w:eastAsia="宋体" w:cs="Times New Roman"/>
      <w:color w:val="0000FF"/>
      <w:u w:val="single"/>
    </w:rPr>
  </w:style>
  <w:style w:type="character" w:styleId="64">
    <w:name w:val="HTML Code"/>
    <w:basedOn w:val="56"/>
    <w:qFormat/>
    <w:uiPriority w:val="99"/>
    <w:rPr>
      <w:rFonts w:ascii="Menlo" w:hAnsi="Menlo" w:eastAsia="Times New Roman" w:cs="Menlo"/>
      <w:color w:val="auto"/>
      <w:sz w:val="21"/>
      <w:szCs w:val="21"/>
      <w:shd w:val="clear" w:color="auto" w:fill="auto"/>
    </w:rPr>
  </w:style>
  <w:style w:type="character" w:styleId="65">
    <w:name w:val="annotation reference"/>
    <w:basedOn w:val="56"/>
    <w:semiHidden/>
    <w:qFormat/>
    <w:uiPriority w:val="99"/>
    <w:rPr>
      <w:rFonts w:ascii="Times New Roman" w:hAnsi="Times New Roman" w:eastAsia="宋体" w:cs="Times New Roman"/>
      <w:sz w:val="21"/>
      <w:szCs w:val="21"/>
    </w:rPr>
  </w:style>
  <w:style w:type="character" w:styleId="66">
    <w:name w:val="HTML Cite"/>
    <w:basedOn w:val="56"/>
    <w:qFormat/>
    <w:uiPriority w:val="99"/>
    <w:rPr>
      <w:rFonts w:ascii="Times New Roman" w:hAnsi="Times New Roman" w:eastAsia="宋体" w:cs="Times New Roman"/>
    </w:rPr>
  </w:style>
  <w:style w:type="character" w:styleId="67">
    <w:name w:val="footnote reference"/>
    <w:basedOn w:val="56"/>
    <w:semiHidden/>
    <w:qFormat/>
    <w:uiPriority w:val="99"/>
    <w:rPr>
      <w:rFonts w:ascii="Times New Roman" w:hAnsi="Times New Roman" w:eastAsia="宋体" w:cs="Times New Roman"/>
      <w:vertAlign w:val="superscript"/>
    </w:rPr>
  </w:style>
  <w:style w:type="character" w:styleId="68">
    <w:name w:val="HTML Keyboard"/>
    <w:basedOn w:val="56"/>
    <w:qFormat/>
    <w:uiPriority w:val="99"/>
    <w:rPr>
      <w:rFonts w:ascii="Menlo" w:hAnsi="Menlo" w:eastAsia="Times New Roman" w:cs="Menlo"/>
      <w:sz w:val="21"/>
      <w:szCs w:val="21"/>
    </w:rPr>
  </w:style>
  <w:style w:type="character" w:styleId="69">
    <w:name w:val="HTML Sample"/>
    <w:basedOn w:val="56"/>
    <w:qFormat/>
    <w:uiPriority w:val="99"/>
    <w:rPr>
      <w:rFonts w:ascii="Menlo" w:hAnsi="Menlo" w:eastAsia="Times New Roman" w:cs="Menlo"/>
      <w:sz w:val="21"/>
      <w:szCs w:val="21"/>
    </w:rPr>
  </w:style>
  <w:style w:type="table" w:styleId="71">
    <w:name w:val="Table Grid"/>
    <w:basedOn w:val="7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2">
    <w:name w:val="标题 1 字符"/>
    <w:basedOn w:val="56"/>
    <w:link w:val="6"/>
    <w:qFormat/>
    <w:locked/>
    <w:uiPriority w:val="99"/>
    <w:rPr>
      <w:rFonts w:ascii="Times New Roman" w:hAnsi="Times New Roman" w:eastAsia="楷体_GB2312" w:cs="Times New Roman"/>
      <w:b/>
      <w:bCs/>
      <w:kern w:val="44"/>
      <w:sz w:val="44"/>
      <w:szCs w:val="44"/>
    </w:rPr>
  </w:style>
  <w:style w:type="character" w:customStyle="1" w:styleId="73">
    <w:name w:val="标题 2 字符"/>
    <w:basedOn w:val="56"/>
    <w:link w:val="7"/>
    <w:qFormat/>
    <w:locked/>
    <w:uiPriority w:val="99"/>
    <w:rPr>
      <w:rFonts w:ascii="宋体" w:hAnsi="宋体" w:eastAsia="楷体_GB2312" w:cs="宋体"/>
      <w:b/>
      <w:bCs/>
      <w:kern w:val="2"/>
      <w:sz w:val="26"/>
      <w:szCs w:val="26"/>
      <w:lang w:val="en-US" w:eastAsia="zh-CN"/>
    </w:rPr>
  </w:style>
  <w:style w:type="character" w:customStyle="1" w:styleId="74">
    <w:name w:val="标题 3 字符"/>
    <w:basedOn w:val="56"/>
    <w:link w:val="8"/>
    <w:qFormat/>
    <w:locked/>
    <w:uiPriority w:val="99"/>
    <w:rPr>
      <w:rFonts w:ascii="Times New Roman" w:hAnsi="Times New Roman" w:eastAsia="楷体_GB2312" w:cs="Times New Roman"/>
      <w:b/>
      <w:bCs/>
      <w:kern w:val="2"/>
      <w:sz w:val="26"/>
      <w:szCs w:val="26"/>
    </w:rPr>
  </w:style>
  <w:style w:type="character" w:customStyle="1" w:styleId="75">
    <w:name w:val="标题 4 字符"/>
    <w:basedOn w:val="56"/>
    <w:link w:val="9"/>
    <w:qFormat/>
    <w:locked/>
    <w:uiPriority w:val="99"/>
    <w:rPr>
      <w:rFonts w:ascii="Arial" w:hAnsi="Arial" w:eastAsia="黑体" w:cs="Arial"/>
      <w:b/>
      <w:bCs/>
      <w:kern w:val="2"/>
      <w:sz w:val="28"/>
      <w:szCs w:val="28"/>
    </w:rPr>
  </w:style>
  <w:style w:type="character" w:customStyle="1" w:styleId="76">
    <w:name w:val="标题 5 字符"/>
    <w:basedOn w:val="56"/>
    <w:link w:val="10"/>
    <w:qFormat/>
    <w:uiPriority w:val="99"/>
    <w:rPr>
      <w:rFonts w:ascii="宋体" w:hAnsi="Times New Roman" w:cs="宋体"/>
      <w:b/>
      <w:bCs/>
      <w:spacing w:val="-2"/>
      <w:position w:val="-6"/>
      <w:sz w:val="28"/>
      <w:szCs w:val="28"/>
    </w:rPr>
  </w:style>
  <w:style w:type="character" w:customStyle="1" w:styleId="77">
    <w:name w:val="标题 6 字符"/>
    <w:basedOn w:val="56"/>
    <w:link w:val="12"/>
    <w:qFormat/>
    <w:uiPriority w:val="99"/>
    <w:rPr>
      <w:rFonts w:ascii="Arial" w:hAnsi="Arial" w:eastAsia="黑体" w:cs="Arial"/>
      <w:b/>
      <w:bCs/>
      <w:spacing w:val="-2"/>
      <w:position w:val="-6"/>
      <w:sz w:val="24"/>
      <w:szCs w:val="24"/>
    </w:rPr>
  </w:style>
  <w:style w:type="character" w:customStyle="1" w:styleId="78">
    <w:name w:val="标题 7 字符"/>
    <w:basedOn w:val="56"/>
    <w:link w:val="13"/>
    <w:qFormat/>
    <w:uiPriority w:val="99"/>
    <w:rPr>
      <w:rFonts w:ascii="宋体" w:hAnsi="Times New Roman" w:cs="宋体"/>
      <w:b/>
      <w:bCs/>
      <w:spacing w:val="-2"/>
      <w:position w:val="-6"/>
      <w:sz w:val="24"/>
      <w:szCs w:val="24"/>
    </w:rPr>
  </w:style>
  <w:style w:type="character" w:customStyle="1" w:styleId="79">
    <w:name w:val="标题 8 字符"/>
    <w:basedOn w:val="56"/>
    <w:link w:val="14"/>
    <w:qFormat/>
    <w:uiPriority w:val="99"/>
    <w:rPr>
      <w:rFonts w:ascii="Arial" w:hAnsi="Arial" w:eastAsia="黑体" w:cs="Arial"/>
      <w:spacing w:val="-2"/>
      <w:position w:val="-6"/>
      <w:sz w:val="24"/>
      <w:szCs w:val="24"/>
    </w:rPr>
  </w:style>
  <w:style w:type="character" w:customStyle="1" w:styleId="80">
    <w:name w:val="标题 9 字符"/>
    <w:basedOn w:val="56"/>
    <w:link w:val="15"/>
    <w:qFormat/>
    <w:uiPriority w:val="99"/>
    <w:rPr>
      <w:rFonts w:ascii="Arial" w:hAnsi="Arial" w:eastAsia="黑体" w:cs="Arial"/>
      <w:spacing w:val="-2"/>
      <w:position w:val="-6"/>
      <w:sz w:val="28"/>
      <w:szCs w:val="28"/>
    </w:rPr>
  </w:style>
  <w:style w:type="character" w:customStyle="1" w:styleId="81">
    <w:name w:val="文档结构图 字符"/>
    <w:basedOn w:val="56"/>
    <w:link w:val="22"/>
    <w:qFormat/>
    <w:locked/>
    <w:uiPriority w:val="99"/>
    <w:rPr>
      <w:kern w:val="2"/>
      <w:sz w:val="26"/>
      <w:szCs w:val="26"/>
      <w:shd w:val="clear" w:color="auto" w:fill="000080"/>
    </w:rPr>
  </w:style>
  <w:style w:type="character" w:customStyle="1" w:styleId="82">
    <w:name w:val="批注文字 字符"/>
    <w:basedOn w:val="56"/>
    <w:link w:val="17"/>
    <w:qFormat/>
    <w:locked/>
    <w:uiPriority w:val="99"/>
    <w:rPr>
      <w:rFonts w:ascii="Times New Roman" w:hAnsi="Times New Roman" w:eastAsia="楷体_GB2312" w:cs="Times New Roman"/>
      <w:kern w:val="2"/>
      <w:sz w:val="26"/>
      <w:szCs w:val="26"/>
    </w:rPr>
  </w:style>
  <w:style w:type="character" w:customStyle="1" w:styleId="83">
    <w:name w:val="正文文本 字符"/>
    <w:basedOn w:val="56"/>
    <w:link w:val="3"/>
    <w:semiHidden/>
    <w:qFormat/>
    <w:uiPriority w:val="99"/>
    <w:rPr>
      <w:rFonts w:eastAsia="楷体_GB2312" w:cs="Calibri"/>
      <w:sz w:val="26"/>
      <w:szCs w:val="26"/>
    </w:rPr>
  </w:style>
  <w:style w:type="character" w:customStyle="1" w:styleId="84">
    <w:name w:val="正文文本缩进 字符"/>
    <w:basedOn w:val="56"/>
    <w:link w:val="25"/>
    <w:qFormat/>
    <w:locked/>
    <w:uiPriority w:val="99"/>
    <w:rPr>
      <w:rFonts w:ascii="方正仿宋简体" w:hAnsi="创艺简仿宋" w:eastAsia="方正仿宋简体" w:cs="方正仿宋简体"/>
      <w:kern w:val="2"/>
      <w:sz w:val="24"/>
      <w:szCs w:val="24"/>
      <w:lang w:val="en-US" w:eastAsia="zh-CN"/>
    </w:rPr>
  </w:style>
  <w:style w:type="character" w:customStyle="1" w:styleId="85">
    <w:name w:val="纯文本 字符"/>
    <w:basedOn w:val="56"/>
    <w:link w:val="30"/>
    <w:qFormat/>
    <w:locked/>
    <w:uiPriority w:val="99"/>
    <w:rPr>
      <w:rFonts w:ascii="宋体" w:hAnsi="Courier New" w:eastAsia="楷体_GB2312" w:cs="宋体"/>
      <w:kern w:val="2"/>
      <w:sz w:val="26"/>
      <w:szCs w:val="26"/>
      <w:lang w:val="en-US" w:eastAsia="zh-CN"/>
    </w:rPr>
  </w:style>
  <w:style w:type="character" w:customStyle="1" w:styleId="86">
    <w:name w:val="日期 字符"/>
    <w:basedOn w:val="56"/>
    <w:link w:val="33"/>
    <w:semiHidden/>
    <w:qFormat/>
    <w:uiPriority w:val="99"/>
    <w:rPr>
      <w:rFonts w:eastAsia="楷体_GB2312" w:cs="Calibri"/>
      <w:sz w:val="26"/>
      <w:szCs w:val="26"/>
    </w:rPr>
  </w:style>
  <w:style w:type="character" w:customStyle="1" w:styleId="87">
    <w:name w:val="正文文本缩进 2 字符"/>
    <w:basedOn w:val="56"/>
    <w:link w:val="34"/>
    <w:qFormat/>
    <w:locked/>
    <w:uiPriority w:val="99"/>
    <w:rPr>
      <w:rFonts w:ascii="宋体" w:cs="宋体"/>
      <w:b/>
      <w:bCs/>
      <w:kern w:val="2"/>
      <w:sz w:val="24"/>
      <w:szCs w:val="24"/>
    </w:rPr>
  </w:style>
  <w:style w:type="character" w:customStyle="1" w:styleId="88">
    <w:name w:val="批注框文本 字符"/>
    <w:basedOn w:val="56"/>
    <w:link w:val="35"/>
    <w:semiHidden/>
    <w:qFormat/>
    <w:uiPriority w:val="99"/>
    <w:rPr>
      <w:rFonts w:eastAsia="楷体_GB2312" w:cs="Calibri"/>
      <w:sz w:val="0"/>
      <w:szCs w:val="0"/>
    </w:rPr>
  </w:style>
  <w:style w:type="character" w:customStyle="1" w:styleId="89">
    <w:name w:val="页脚 字符"/>
    <w:basedOn w:val="56"/>
    <w:link w:val="36"/>
    <w:qFormat/>
    <w:locked/>
    <w:uiPriority w:val="99"/>
    <w:rPr>
      <w:rFonts w:ascii="Times New Roman" w:hAnsi="Times New Roman" w:eastAsia="楷体_GB2312" w:cs="Times New Roman"/>
      <w:kern w:val="2"/>
      <w:sz w:val="18"/>
      <w:szCs w:val="18"/>
    </w:rPr>
  </w:style>
  <w:style w:type="character" w:customStyle="1" w:styleId="90">
    <w:name w:val="页眉 字符"/>
    <w:basedOn w:val="56"/>
    <w:link w:val="39"/>
    <w:qFormat/>
    <w:locked/>
    <w:uiPriority w:val="99"/>
    <w:rPr>
      <w:rFonts w:ascii="Times New Roman" w:hAnsi="Times New Roman" w:eastAsia="楷体_GB2312" w:cs="Times New Roman"/>
      <w:kern w:val="2"/>
      <w:sz w:val="18"/>
      <w:szCs w:val="18"/>
    </w:rPr>
  </w:style>
  <w:style w:type="character" w:customStyle="1" w:styleId="91">
    <w:name w:val="脚注文本 字符"/>
    <w:basedOn w:val="56"/>
    <w:link w:val="45"/>
    <w:semiHidden/>
    <w:qFormat/>
    <w:uiPriority w:val="99"/>
    <w:rPr>
      <w:rFonts w:eastAsia="楷体_GB2312" w:cs="Calibri"/>
      <w:sz w:val="18"/>
      <w:szCs w:val="18"/>
    </w:rPr>
  </w:style>
  <w:style w:type="character" w:customStyle="1" w:styleId="92">
    <w:name w:val="正文文本缩进 3 字符"/>
    <w:basedOn w:val="56"/>
    <w:link w:val="38"/>
    <w:semiHidden/>
    <w:qFormat/>
    <w:uiPriority w:val="99"/>
    <w:rPr>
      <w:rFonts w:eastAsia="楷体_GB2312" w:cs="Calibri"/>
      <w:sz w:val="16"/>
      <w:szCs w:val="16"/>
    </w:rPr>
  </w:style>
  <w:style w:type="character" w:customStyle="1" w:styleId="93">
    <w:name w:val="HTML 预设格式 字符"/>
    <w:basedOn w:val="56"/>
    <w:link w:val="52"/>
    <w:semiHidden/>
    <w:qFormat/>
    <w:uiPriority w:val="99"/>
    <w:rPr>
      <w:rFonts w:ascii="Courier New" w:hAnsi="Courier New" w:eastAsia="楷体_GB2312" w:cs="Courier New"/>
      <w:sz w:val="20"/>
      <w:szCs w:val="20"/>
    </w:rPr>
  </w:style>
  <w:style w:type="character" w:customStyle="1" w:styleId="94">
    <w:name w:val="标题 字符"/>
    <w:basedOn w:val="56"/>
    <w:link w:val="55"/>
    <w:qFormat/>
    <w:locked/>
    <w:uiPriority w:val="99"/>
    <w:rPr>
      <w:rFonts w:ascii="Cambria" w:hAnsi="Cambria" w:eastAsia="宋体" w:cs="Cambria"/>
      <w:b/>
      <w:bCs/>
      <w:kern w:val="2"/>
      <w:sz w:val="32"/>
      <w:szCs w:val="32"/>
    </w:rPr>
  </w:style>
  <w:style w:type="character" w:customStyle="1" w:styleId="95">
    <w:name w:val="批注主题 字符"/>
    <w:basedOn w:val="82"/>
    <w:link w:val="16"/>
    <w:qFormat/>
    <w:locked/>
    <w:uiPriority w:val="99"/>
    <w:rPr>
      <w:rFonts w:ascii="Times New Roman" w:hAnsi="Times New Roman" w:eastAsia="楷体_GB2312" w:cs="Times New Roman"/>
      <w:b/>
      <w:bCs/>
      <w:kern w:val="2"/>
      <w:sz w:val="26"/>
      <w:szCs w:val="26"/>
    </w:rPr>
  </w:style>
  <w:style w:type="character" w:customStyle="1" w:styleId="96">
    <w:name w:val="正文缩进 字符"/>
    <w:link w:val="11"/>
    <w:qFormat/>
    <w:locked/>
    <w:uiPriority w:val="99"/>
    <w:rPr>
      <w:rFonts w:ascii="Times New Roman" w:hAnsi="Times New Roman" w:eastAsia="楷体_GB2312" w:cs="Times New Roman"/>
      <w:kern w:val="2"/>
      <w:sz w:val="24"/>
      <w:szCs w:val="24"/>
      <w:lang w:val="en-US" w:eastAsia="zh-CN"/>
    </w:rPr>
  </w:style>
  <w:style w:type="character" w:customStyle="1" w:styleId="97">
    <w:name w:val="普通(网站) 字符"/>
    <w:link w:val="53"/>
    <w:qFormat/>
    <w:locked/>
    <w:uiPriority w:val="99"/>
    <w:rPr>
      <w:sz w:val="24"/>
      <w:szCs w:val="24"/>
    </w:rPr>
  </w:style>
  <w:style w:type="character" w:customStyle="1" w:styleId="98">
    <w:name w:val="bigfont"/>
    <w:qFormat/>
    <w:uiPriority w:val="99"/>
  </w:style>
  <w:style w:type="character" w:customStyle="1" w:styleId="99">
    <w:name w:val="Table Text Char Char"/>
    <w:link w:val="100"/>
    <w:qFormat/>
    <w:locked/>
    <w:uiPriority w:val="99"/>
    <w:rPr>
      <w:rFonts w:ascii="Arial" w:hAnsi="Arial" w:cs="Arial"/>
      <w:sz w:val="18"/>
      <w:szCs w:val="18"/>
      <w:lang w:val="en-US" w:eastAsia="zh-CN"/>
    </w:rPr>
  </w:style>
  <w:style w:type="paragraph" w:customStyle="1" w:styleId="100">
    <w:name w:val="Table Text"/>
    <w:link w:val="99"/>
    <w:qFormat/>
    <w:uiPriority w:val="99"/>
    <w:pPr>
      <w:snapToGrid w:val="0"/>
      <w:spacing w:before="80" w:after="80"/>
    </w:pPr>
    <w:rPr>
      <w:rFonts w:ascii="Arial" w:hAnsi="Arial" w:eastAsia="宋体" w:cs="Arial"/>
      <w:sz w:val="18"/>
      <w:szCs w:val="18"/>
      <w:lang w:val="en-US" w:eastAsia="zh-CN" w:bidi="ar-SA"/>
    </w:rPr>
  </w:style>
  <w:style w:type="character" w:customStyle="1" w:styleId="101">
    <w:name w:val="other"/>
    <w:qFormat/>
    <w:uiPriority w:val="99"/>
    <w:rPr>
      <w:rFonts w:ascii="Times New Roman" w:hAnsi="Times New Roman" w:eastAsia="宋体" w:cs="Times New Roman"/>
    </w:rPr>
  </w:style>
  <w:style w:type="character" w:customStyle="1" w:styleId="102">
    <w:name w:val="grid2"/>
    <w:qFormat/>
    <w:uiPriority w:val="99"/>
    <w:rPr>
      <w:rFonts w:ascii="Times New Roman" w:hAnsi="Times New Roman" w:eastAsia="宋体" w:cs="Times New Roman"/>
    </w:rPr>
  </w:style>
  <w:style w:type="character" w:customStyle="1" w:styleId="103">
    <w:name w:val="标书正文格式 Char Char"/>
    <w:link w:val="104"/>
    <w:qFormat/>
    <w:locked/>
    <w:uiPriority w:val="99"/>
    <w:rPr>
      <w:rFonts w:eastAsia="楷体_GB2312"/>
      <w:kern w:val="2"/>
      <w:sz w:val="24"/>
      <w:szCs w:val="24"/>
      <w:lang w:val="en-US" w:eastAsia="zh-CN"/>
    </w:rPr>
  </w:style>
  <w:style w:type="paragraph" w:customStyle="1" w:styleId="104">
    <w:name w:val="标书正文格式"/>
    <w:link w:val="103"/>
    <w:qFormat/>
    <w:uiPriority w:val="99"/>
    <w:pPr>
      <w:spacing w:line="360" w:lineRule="auto"/>
      <w:ind w:firstLine="200" w:firstLineChars="200"/>
    </w:pPr>
    <w:rPr>
      <w:rFonts w:ascii="Calibri" w:hAnsi="Calibri" w:eastAsia="楷体_GB2312" w:cs="Calibri"/>
      <w:kern w:val="2"/>
      <w:sz w:val="24"/>
      <w:szCs w:val="24"/>
      <w:lang w:val="en-US" w:eastAsia="zh-CN" w:bidi="ar-SA"/>
    </w:rPr>
  </w:style>
  <w:style w:type="character" w:customStyle="1" w:styleId="105">
    <w:name w:val="bds_nopic2"/>
    <w:qFormat/>
    <w:uiPriority w:val="99"/>
    <w:rPr>
      <w:rFonts w:ascii="Times New Roman" w:hAnsi="Times New Roman" w:eastAsia="宋体" w:cs="Times New Roman"/>
    </w:rPr>
  </w:style>
  <w:style w:type="character" w:customStyle="1" w:styleId="106">
    <w:name w:val="Body Char Char"/>
    <w:link w:val="107"/>
    <w:qFormat/>
    <w:locked/>
    <w:uiPriority w:val="99"/>
    <w:rPr>
      <w:sz w:val="21"/>
      <w:szCs w:val="21"/>
      <w:lang w:eastAsia="en-US"/>
    </w:rPr>
  </w:style>
  <w:style w:type="paragraph" w:customStyle="1" w:styleId="107">
    <w:name w:val="Body"/>
    <w:basedOn w:val="1"/>
    <w:link w:val="106"/>
    <w:qFormat/>
    <w:uiPriority w:val="99"/>
    <w:pPr>
      <w:widowControl/>
      <w:tabs>
        <w:tab w:val="left" w:pos="9356"/>
      </w:tabs>
      <w:spacing w:before="80" w:after="80" w:line="360" w:lineRule="auto"/>
      <w:ind w:firstLine="480" w:firstLineChars="200"/>
    </w:pPr>
    <w:rPr>
      <w:rFonts w:eastAsia="宋体"/>
      <w:kern w:val="0"/>
      <w:sz w:val="21"/>
      <w:szCs w:val="21"/>
      <w:lang w:eastAsia="en-US"/>
    </w:rPr>
  </w:style>
  <w:style w:type="character" w:customStyle="1" w:styleId="108">
    <w:name w:val="正文要点 Char Char"/>
    <w:link w:val="109"/>
    <w:qFormat/>
    <w:locked/>
    <w:uiPriority w:val="99"/>
    <w:rPr>
      <w:rFonts w:eastAsia="楷体_GB2312" w:cs="Calibri"/>
      <w:szCs w:val="21"/>
    </w:rPr>
  </w:style>
  <w:style w:type="paragraph" w:customStyle="1" w:styleId="109">
    <w:name w:val="正文要点"/>
    <w:basedOn w:val="1"/>
    <w:next w:val="1"/>
    <w:link w:val="108"/>
    <w:qFormat/>
    <w:uiPriority w:val="99"/>
    <w:pPr>
      <w:numPr>
        <w:ilvl w:val="0"/>
        <w:numId w:val="3"/>
      </w:numPr>
      <w:tabs>
        <w:tab w:val="left" w:pos="420"/>
      </w:tabs>
      <w:spacing w:line="360" w:lineRule="auto"/>
    </w:pPr>
    <w:rPr>
      <w:sz w:val="21"/>
      <w:szCs w:val="21"/>
    </w:rPr>
  </w:style>
  <w:style w:type="character" w:customStyle="1" w:styleId="110">
    <w:name w:val="apple-converted-space"/>
    <w:qFormat/>
    <w:uiPriority w:val="99"/>
  </w:style>
  <w:style w:type="character" w:customStyle="1" w:styleId="111">
    <w:name w:val="active8"/>
    <w:qFormat/>
    <w:uiPriority w:val="99"/>
    <w:rPr>
      <w:rFonts w:ascii="Times New Roman" w:hAnsi="Times New Roman" w:eastAsia="宋体" w:cs="Times New Roman"/>
      <w:color w:val="00FF00"/>
      <w:shd w:val="clear" w:color="auto" w:fill="000000"/>
    </w:rPr>
  </w:style>
  <w:style w:type="character" w:customStyle="1" w:styleId="112">
    <w:name w:val="dg2"/>
    <w:qFormat/>
    <w:uiPriority w:val="99"/>
  </w:style>
  <w:style w:type="character" w:customStyle="1" w:styleId="113">
    <w:name w:val="grid"/>
    <w:qFormat/>
    <w:uiPriority w:val="99"/>
    <w:rPr>
      <w:rFonts w:ascii="Times New Roman" w:hAnsi="Times New Roman" w:eastAsia="宋体" w:cs="Times New Roman"/>
    </w:rPr>
  </w:style>
  <w:style w:type="character" w:customStyle="1" w:styleId="114">
    <w:name w:val="bds_more4"/>
    <w:qFormat/>
    <w:uiPriority w:val="99"/>
    <w:rPr>
      <w:rFonts w:ascii="宋体" w:hAnsi="宋体" w:eastAsia="宋体" w:cs="宋体"/>
    </w:rPr>
  </w:style>
  <w:style w:type="character" w:customStyle="1" w:styleId="115">
    <w:name w:val="bds_nopic1"/>
    <w:qFormat/>
    <w:uiPriority w:val="99"/>
    <w:rPr>
      <w:rFonts w:ascii="Times New Roman" w:hAnsi="Times New Roman" w:eastAsia="宋体" w:cs="Times New Roman"/>
    </w:rPr>
  </w:style>
  <w:style w:type="character" w:customStyle="1" w:styleId="116">
    <w:name w:val="hilite6"/>
    <w:qFormat/>
    <w:uiPriority w:val="99"/>
    <w:rPr>
      <w:rFonts w:ascii="Times New Roman" w:hAnsi="Times New Roman" w:eastAsia="宋体" w:cs="Times New Roman"/>
      <w:color w:val="FFFFFF"/>
      <w:shd w:val="clear" w:color="auto" w:fill="auto"/>
    </w:rPr>
  </w:style>
  <w:style w:type="character" w:customStyle="1" w:styleId="117">
    <w:name w:val="active"/>
    <w:qFormat/>
    <w:uiPriority w:val="99"/>
    <w:rPr>
      <w:rFonts w:ascii="Times New Roman" w:hAnsi="Times New Roman" w:eastAsia="宋体" w:cs="Times New Roman"/>
      <w:color w:val="00FF00"/>
      <w:shd w:val="clear" w:color="auto" w:fill="000000"/>
    </w:rPr>
  </w:style>
  <w:style w:type="character" w:customStyle="1" w:styleId="118">
    <w:name w:val="bds_nopic"/>
    <w:qFormat/>
    <w:uiPriority w:val="99"/>
    <w:rPr>
      <w:rFonts w:ascii="Times New Roman" w:hAnsi="Times New Roman" w:eastAsia="宋体" w:cs="Times New Roman"/>
    </w:rPr>
  </w:style>
  <w:style w:type="character" w:customStyle="1" w:styleId="119">
    <w:name w:val="state"/>
    <w:qFormat/>
    <w:uiPriority w:val="99"/>
    <w:rPr>
      <w:rFonts w:ascii="Times New Roman" w:hAnsi="Times New Roman" w:eastAsia="宋体" w:cs="Times New Roman"/>
      <w:b/>
      <w:bCs/>
      <w:color w:val="FFFFFF"/>
      <w:sz w:val="19"/>
      <w:szCs w:val="19"/>
    </w:rPr>
  </w:style>
  <w:style w:type="character" w:customStyle="1" w:styleId="120">
    <w:name w:val="样式 宋体 小四"/>
    <w:qFormat/>
    <w:uiPriority w:val="99"/>
    <w:rPr>
      <w:rFonts w:ascii="宋体" w:eastAsia="宋体" w:cs="宋体"/>
      <w:sz w:val="24"/>
      <w:szCs w:val="24"/>
    </w:rPr>
  </w:style>
  <w:style w:type="character" w:customStyle="1" w:styleId="121">
    <w:name w:val="bds_more7"/>
    <w:qFormat/>
    <w:uiPriority w:val="99"/>
    <w:rPr>
      <w:rFonts w:ascii="Times New Roman" w:hAnsi="Times New Roman" w:eastAsia="宋体" w:cs="Times New Roman"/>
    </w:rPr>
  </w:style>
  <w:style w:type="character" w:customStyle="1" w:styleId="122">
    <w:name w:val="noused"/>
    <w:qFormat/>
    <w:uiPriority w:val="99"/>
    <w:rPr>
      <w:rFonts w:ascii="Times New Roman" w:hAnsi="Times New Roman" w:eastAsia="宋体" w:cs="Times New Roman"/>
      <w:b/>
      <w:bCs/>
      <w:color w:val="FFFFFF"/>
      <w:sz w:val="21"/>
      <w:szCs w:val="21"/>
    </w:rPr>
  </w:style>
  <w:style w:type="character" w:customStyle="1" w:styleId="123">
    <w:name w:val="bds_more5"/>
    <w:qFormat/>
    <w:uiPriority w:val="99"/>
    <w:rPr>
      <w:rFonts w:ascii="Times New Roman" w:hAnsi="Times New Roman" w:eastAsia="宋体" w:cs="Times New Roman"/>
    </w:rPr>
  </w:style>
  <w:style w:type="character" w:customStyle="1" w:styleId="124">
    <w:name w:val="hover61"/>
    <w:qFormat/>
    <w:uiPriority w:val="99"/>
    <w:rPr>
      <w:rFonts w:ascii="Times New Roman" w:hAnsi="Times New Roman" w:eastAsia="宋体" w:cs="Times New Roman"/>
      <w:shd w:val="clear" w:color="auto" w:fill="FF0000"/>
    </w:rPr>
  </w:style>
  <w:style w:type="character" w:customStyle="1" w:styleId="125">
    <w:name w:val="bds_more8"/>
    <w:qFormat/>
    <w:uiPriority w:val="99"/>
    <w:rPr>
      <w:rFonts w:ascii="宋体" w:hAnsi="宋体" w:eastAsia="宋体" w:cs="宋体"/>
    </w:rPr>
  </w:style>
  <w:style w:type="character" w:customStyle="1" w:styleId="126">
    <w:name w:val="bds_more6"/>
    <w:qFormat/>
    <w:uiPriority w:val="99"/>
    <w:rPr>
      <w:rFonts w:ascii="Times New Roman" w:hAnsi="Times New Roman" w:eastAsia="宋体" w:cs="Times New Roman"/>
    </w:rPr>
  </w:style>
  <w:style w:type="character" w:customStyle="1" w:styleId="127">
    <w:name w:val="Char Char2"/>
    <w:qFormat/>
    <w:uiPriority w:val="99"/>
    <w:rPr>
      <w:rFonts w:ascii="宋体" w:hAnsi="宋体" w:eastAsia="楷体_GB2312" w:cs="宋体"/>
      <w:b/>
      <w:bCs/>
      <w:kern w:val="2"/>
      <w:sz w:val="26"/>
      <w:szCs w:val="26"/>
      <w:lang w:val="en-US" w:eastAsia="zh-CN"/>
    </w:rPr>
  </w:style>
  <w:style w:type="character" w:customStyle="1" w:styleId="128">
    <w:name w:val="hilite"/>
    <w:qFormat/>
    <w:uiPriority w:val="99"/>
    <w:rPr>
      <w:rFonts w:ascii="Times New Roman" w:hAnsi="Times New Roman" w:eastAsia="宋体" w:cs="Times New Roman"/>
      <w:color w:val="FFFFFF"/>
      <w:shd w:val="clear" w:color="auto" w:fill="auto"/>
    </w:rPr>
  </w:style>
  <w:style w:type="paragraph" w:customStyle="1" w:styleId="129">
    <w:name w:val="font1"/>
    <w:basedOn w:val="1"/>
    <w:qFormat/>
    <w:uiPriority w:val="99"/>
    <w:pPr>
      <w:widowControl/>
      <w:spacing w:before="100" w:beforeAutospacing="1" w:after="100" w:afterAutospacing="1"/>
      <w:jc w:val="left"/>
    </w:pPr>
    <w:rPr>
      <w:rFonts w:ascii="宋体" w:hAnsi="宋体" w:eastAsia="宋体" w:cs="宋体"/>
      <w:outline/>
      <w:color w:val="000000"/>
      <w:kern w:val="0"/>
      <w:sz w:val="24"/>
      <w:szCs w:val="24"/>
      <w14:textOutline w14:w="9525" w14:cap="flat" w14:cmpd="sng" w14:algn="ctr">
        <w14:solidFill>
          <w14:srgbClr w14:val="000000"/>
        </w14:solidFill>
        <w14:prstDash w14:val="solid"/>
        <w14:round/>
      </w14:textOutline>
      <w14:textFill>
        <w14:noFill/>
      </w14:textFill>
    </w:rPr>
  </w:style>
  <w:style w:type="paragraph" w:customStyle="1" w:styleId="130">
    <w:name w:val="xl9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131">
    <w:name w:val="项符&gt;"/>
    <w:basedOn w:val="1"/>
    <w:qFormat/>
    <w:uiPriority w:val="99"/>
    <w:pPr>
      <w:spacing w:line="360" w:lineRule="auto"/>
    </w:pPr>
    <w:rPr>
      <w:rFonts w:ascii="宋体" w:hAnsi="宋体" w:eastAsia="宋体" w:cs="宋体"/>
      <w:sz w:val="24"/>
      <w:szCs w:val="24"/>
    </w:rPr>
  </w:style>
  <w:style w:type="paragraph" w:customStyle="1" w:styleId="132">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33">
    <w:name w:val="xl10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34">
    <w:name w:val="样式 正文首行缩进2字 + 仿宋_GB2312 段前: 自动 段后: 自动"/>
    <w:basedOn w:val="1"/>
    <w:qFormat/>
    <w:uiPriority w:val="99"/>
    <w:pPr>
      <w:spacing w:before="100" w:beforeAutospacing="1" w:after="100" w:afterAutospacing="1"/>
      <w:ind w:firstLine="200" w:firstLineChars="200"/>
    </w:pPr>
    <w:rPr>
      <w:rFonts w:ascii="仿宋_GB2312" w:eastAsia="仿宋_GB2312" w:cs="仿宋_GB2312"/>
      <w:kern w:val="0"/>
      <w:sz w:val="28"/>
      <w:szCs w:val="28"/>
    </w:rPr>
  </w:style>
  <w:style w:type="paragraph" w:customStyle="1" w:styleId="135">
    <w:name w:val="xl80"/>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eastAsia="宋体"/>
      <w:kern w:val="0"/>
      <w:sz w:val="24"/>
      <w:szCs w:val="24"/>
    </w:rPr>
  </w:style>
  <w:style w:type="paragraph" w:customStyle="1" w:styleId="136">
    <w:name w:val="xl6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37">
    <w:name w:val="xl88"/>
    <w:basedOn w:val="1"/>
    <w:qFormat/>
    <w:uiPriority w:val="99"/>
    <w:pPr>
      <w:widowControl/>
      <w:spacing w:before="100" w:beforeAutospacing="1" w:after="100" w:afterAutospacing="1"/>
      <w:jc w:val="left"/>
    </w:pPr>
    <w:rPr>
      <w:rFonts w:eastAsia="宋体"/>
      <w:kern w:val="0"/>
      <w:sz w:val="24"/>
      <w:szCs w:val="24"/>
    </w:rPr>
  </w:style>
  <w:style w:type="paragraph" w:customStyle="1" w:styleId="138">
    <w:name w:val="xl84"/>
    <w:basedOn w:val="1"/>
    <w:qFormat/>
    <w:uiPriority w:val="99"/>
    <w:pPr>
      <w:widowControl/>
      <w:pBdr>
        <w:top w:val="single" w:color="auto" w:sz="4" w:space="0"/>
        <w:right w:val="single" w:color="auto" w:sz="4" w:space="0"/>
      </w:pBdr>
      <w:spacing w:before="100" w:beforeAutospacing="1" w:after="100" w:afterAutospacing="1"/>
      <w:jc w:val="center"/>
    </w:pPr>
    <w:rPr>
      <w:rFonts w:eastAsia="宋体"/>
      <w:kern w:val="0"/>
      <w:sz w:val="24"/>
      <w:szCs w:val="24"/>
    </w:rPr>
  </w:style>
  <w:style w:type="paragraph" w:styleId="139">
    <w:name w:val="List Paragraph"/>
    <w:basedOn w:val="1"/>
    <w:qFormat/>
    <w:uiPriority w:val="99"/>
    <w:pPr>
      <w:ind w:firstLine="420" w:firstLineChars="200"/>
    </w:pPr>
    <w:rPr>
      <w:rFonts w:ascii="Times New Roman" w:hAnsi="Times New Roman" w:eastAsia="宋体" w:cs="Times New Roman"/>
      <w:sz w:val="21"/>
      <w:szCs w:val="21"/>
    </w:rPr>
  </w:style>
  <w:style w:type="paragraph" w:customStyle="1" w:styleId="140">
    <w:name w:val="xl111"/>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141">
    <w:name w:val="文档正文"/>
    <w:basedOn w:val="1"/>
    <w:qFormat/>
    <w:uiPriority w:val="99"/>
    <w:pPr>
      <w:adjustRightInd w:val="0"/>
      <w:spacing w:line="440" w:lineRule="atLeast"/>
      <w:ind w:firstLine="567"/>
      <w:textAlignment w:val="baseline"/>
    </w:pPr>
    <w:rPr>
      <w:rFonts w:ascii="宋体" w:eastAsia="宋体" w:cs="宋体"/>
      <w:spacing w:val="4"/>
      <w:kern w:val="0"/>
      <w:sz w:val="24"/>
      <w:szCs w:val="24"/>
    </w:rPr>
  </w:style>
  <w:style w:type="paragraph" w:customStyle="1" w:styleId="142">
    <w:name w:val="xl57"/>
    <w:basedOn w:val="1"/>
    <w:qFormat/>
    <w:uiPriority w:val="99"/>
    <w:pPr>
      <w:widowControl/>
      <w:pBdr>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3">
    <w:name w:val="xl136"/>
    <w:basedOn w:val="1"/>
    <w:qFormat/>
    <w:uiPriority w:val="99"/>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45">
    <w:name w:val="xl13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Char Char3"/>
    <w:basedOn w:val="1"/>
    <w:qFormat/>
    <w:uiPriority w:val="99"/>
    <w:pPr>
      <w:spacing w:beforeLines="50" w:afterLines="50"/>
      <w:jc w:val="left"/>
    </w:pPr>
    <w:rPr>
      <w:rFonts w:eastAsia="宋体"/>
      <w:sz w:val="30"/>
      <w:szCs w:val="30"/>
    </w:rPr>
  </w:style>
  <w:style w:type="paragraph" w:customStyle="1" w:styleId="147">
    <w:name w:val="xl117"/>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148">
    <w:name w:val="xl156"/>
    <w:basedOn w:val="1"/>
    <w:qFormat/>
    <w:uiPriority w:val="99"/>
    <w:pPr>
      <w:widowControl/>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49">
    <w:name w:val="rm"/>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0">
    <w:name w:val="xl79"/>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eastAsia="宋体"/>
      <w:b/>
      <w:bCs/>
      <w:kern w:val="0"/>
      <w:sz w:val="24"/>
      <w:szCs w:val="24"/>
    </w:rPr>
  </w:style>
  <w:style w:type="paragraph" w:customStyle="1" w:styleId="151">
    <w:name w:val="Char Char Char Char Char Char Char1 Char"/>
    <w:basedOn w:val="1"/>
    <w:qFormat/>
    <w:uiPriority w:val="99"/>
    <w:rPr>
      <w:rFonts w:ascii="Tahoma" w:hAnsi="Tahoma" w:eastAsia="宋体" w:cs="Tahoma"/>
      <w:sz w:val="24"/>
      <w:szCs w:val="24"/>
    </w:rPr>
  </w:style>
  <w:style w:type="paragraph" w:customStyle="1" w:styleId="152">
    <w:name w:val="xl53"/>
    <w:basedOn w:val="1"/>
    <w:qFormat/>
    <w:uiPriority w:val="99"/>
    <w:pPr>
      <w:widowControl/>
      <w:spacing w:before="100" w:beforeAutospacing="1" w:after="100" w:afterAutospacing="1"/>
      <w:jc w:val="left"/>
      <w:textAlignment w:val="center"/>
    </w:pPr>
    <w:rPr>
      <w:rFonts w:ascii="Univers" w:hAnsi="Univers" w:eastAsia="宋体" w:cs="Univers"/>
      <w:b/>
      <w:bCs/>
      <w:kern w:val="0"/>
      <w:sz w:val="24"/>
      <w:szCs w:val="24"/>
    </w:rPr>
  </w:style>
  <w:style w:type="paragraph" w:customStyle="1" w:styleId="153">
    <w:name w:val="6"/>
    <w:basedOn w:val="1"/>
    <w:next w:val="3"/>
    <w:qFormat/>
    <w:uiPriority w:val="99"/>
    <w:pPr>
      <w:spacing w:after="120"/>
    </w:pPr>
    <w:rPr>
      <w:rFonts w:eastAsia="宋体"/>
      <w:sz w:val="21"/>
      <w:szCs w:val="21"/>
    </w:rPr>
  </w:style>
  <w:style w:type="paragraph" w:customStyle="1" w:styleId="154">
    <w:name w:val="xl8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55">
    <w:name w:val="xl74"/>
    <w:basedOn w:val="1"/>
    <w:qFormat/>
    <w:uiPriority w:val="99"/>
    <w:pPr>
      <w:widowControl/>
      <w:pBdr>
        <w:top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156">
    <w:name w:val="xl86"/>
    <w:basedOn w:val="1"/>
    <w:qFormat/>
    <w:uiPriority w:val="99"/>
    <w:pPr>
      <w:widowControl/>
      <w:pBdr>
        <w:top w:val="single" w:color="auto" w:sz="4" w:space="0"/>
        <w:left w:val="single" w:color="auto" w:sz="4" w:space="0"/>
      </w:pBdr>
      <w:spacing w:before="100" w:beforeAutospacing="1" w:after="100" w:afterAutospacing="1"/>
      <w:jc w:val="center"/>
    </w:pPr>
    <w:rPr>
      <w:rFonts w:eastAsia="宋体"/>
      <w:kern w:val="0"/>
      <w:sz w:val="24"/>
      <w:szCs w:val="24"/>
    </w:rPr>
  </w:style>
  <w:style w:type="paragraph" w:customStyle="1" w:styleId="157">
    <w:name w:val="Char"/>
    <w:basedOn w:val="1"/>
    <w:qFormat/>
    <w:uiPriority w:val="99"/>
    <w:rPr>
      <w:rFonts w:ascii="Tahoma" w:hAnsi="Tahoma" w:eastAsia="宋体" w:cs="Tahoma"/>
      <w:sz w:val="24"/>
      <w:szCs w:val="24"/>
    </w:rPr>
  </w:style>
  <w:style w:type="paragraph" w:customStyle="1" w:styleId="158">
    <w:name w:val="Plain Text1"/>
    <w:basedOn w:val="1"/>
    <w:qFormat/>
    <w:uiPriority w:val="99"/>
    <w:pPr>
      <w:adjustRightInd w:val="0"/>
      <w:textAlignment w:val="baseline"/>
    </w:pPr>
    <w:rPr>
      <w:rFonts w:ascii="宋体" w:hAnsi="Courier New" w:eastAsia="宋体" w:cs="宋体"/>
    </w:rPr>
  </w:style>
  <w:style w:type="paragraph" w:customStyle="1" w:styleId="159">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160">
    <w:name w:val="xl82"/>
    <w:basedOn w:val="1"/>
    <w:qFormat/>
    <w:uiPriority w:val="99"/>
    <w:pPr>
      <w:widowControl/>
      <w:spacing w:before="100" w:beforeAutospacing="1" w:after="100" w:afterAutospacing="1"/>
      <w:jc w:val="left"/>
    </w:pPr>
    <w:rPr>
      <w:rFonts w:eastAsia="宋体"/>
      <w:b/>
      <w:bCs/>
      <w:kern w:val="0"/>
      <w:sz w:val="24"/>
      <w:szCs w:val="24"/>
    </w:rPr>
  </w:style>
  <w:style w:type="paragraph" w:customStyle="1" w:styleId="161">
    <w:name w:val="xl14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2">
    <w:name w:val="xl54"/>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163">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FF0000"/>
      <w:kern w:val="0"/>
      <w:sz w:val="24"/>
      <w:szCs w:val="24"/>
    </w:rPr>
  </w:style>
  <w:style w:type="paragraph" w:customStyle="1" w:styleId="164">
    <w:name w:val="xl78"/>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165">
    <w:name w:val="Char Char Char Char Char Char1 Char"/>
    <w:basedOn w:val="1"/>
    <w:qFormat/>
    <w:uiPriority w:val="99"/>
    <w:pPr>
      <w:widowControl/>
      <w:spacing w:after="160" w:line="240" w:lineRule="exact"/>
      <w:jc w:val="left"/>
    </w:pPr>
    <w:rPr>
      <w:rFonts w:eastAsia="宋体"/>
      <w:sz w:val="21"/>
      <w:szCs w:val="21"/>
    </w:rPr>
  </w:style>
  <w:style w:type="paragraph" w:customStyle="1" w:styleId="166">
    <w:name w:val="xl81"/>
    <w:basedOn w:val="1"/>
    <w:qFormat/>
    <w:uiPriority w:val="99"/>
    <w:pPr>
      <w:widowControl/>
      <w:spacing w:before="100" w:beforeAutospacing="1" w:after="100" w:afterAutospacing="1"/>
      <w:jc w:val="center"/>
    </w:pPr>
    <w:rPr>
      <w:rFonts w:eastAsia="宋体"/>
      <w:b/>
      <w:bCs/>
      <w:kern w:val="0"/>
      <w:sz w:val="24"/>
      <w:szCs w:val="24"/>
    </w:rPr>
  </w:style>
  <w:style w:type="paragraph" w:customStyle="1" w:styleId="167">
    <w:name w:val="xl14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0"/>
      <w:szCs w:val="20"/>
    </w:rPr>
  </w:style>
  <w:style w:type="paragraph" w:customStyle="1" w:styleId="168">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69">
    <w:name w:val="xl7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170">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71">
    <w:name w:val="xl11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72">
    <w:name w:val="Char Char Char"/>
    <w:basedOn w:val="1"/>
    <w:qFormat/>
    <w:uiPriority w:val="99"/>
    <w:pPr>
      <w:adjustRightInd w:val="0"/>
      <w:spacing w:line="360" w:lineRule="auto"/>
    </w:pPr>
    <w:rPr>
      <w:rFonts w:eastAsia="宋体"/>
      <w:sz w:val="21"/>
      <w:szCs w:val="21"/>
    </w:rPr>
  </w:style>
  <w:style w:type="paragraph" w:customStyle="1" w:styleId="173">
    <w:name w:val="正文首行缩进4"/>
    <w:basedOn w:val="1"/>
    <w:qFormat/>
    <w:uiPriority w:val="99"/>
    <w:pPr>
      <w:spacing w:beforeLines="50" w:afterLines="50" w:line="360" w:lineRule="auto"/>
      <w:ind w:firstLine="480" w:firstLineChars="200"/>
    </w:pPr>
    <w:rPr>
      <w:rFonts w:ascii="Arial" w:hAnsi="Arial" w:eastAsia="宋体" w:cs="Arial"/>
      <w:sz w:val="24"/>
      <w:szCs w:val="24"/>
    </w:rPr>
  </w:style>
  <w:style w:type="paragraph" w:customStyle="1" w:styleId="174">
    <w:name w:val="xl5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2"/>
      <w:szCs w:val="22"/>
    </w:rPr>
  </w:style>
  <w:style w:type="paragraph" w:customStyle="1" w:styleId="175">
    <w:name w:val="样式 宋体 四号 行距: 固定值 25 磅1"/>
    <w:basedOn w:val="1"/>
    <w:qFormat/>
    <w:uiPriority w:val="99"/>
    <w:pPr>
      <w:tabs>
        <w:tab w:val="left" w:pos="420"/>
      </w:tabs>
      <w:spacing w:line="500" w:lineRule="exact"/>
      <w:ind w:left="420" w:hanging="420"/>
    </w:pPr>
    <w:rPr>
      <w:rFonts w:ascii="宋体" w:hAnsi="宋体" w:eastAsia="宋体" w:cs="宋体"/>
      <w:sz w:val="28"/>
      <w:szCs w:val="28"/>
    </w:rPr>
  </w:style>
  <w:style w:type="paragraph" w:customStyle="1" w:styleId="176">
    <w:name w:val="flName"/>
    <w:basedOn w:val="1"/>
    <w:qFormat/>
    <w:uiPriority w:val="99"/>
    <w:pPr>
      <w:numPr>
        <w:ilvl w:val="0"/>
        <w:numId w:val="4"/>
      </w:numPr>
      <w:tabs>
        <w:tab w:val="left" w:pos="5400"/>
      </w:tabs>
      <w:adjustRightInd w:val="0"/>
      <w:spacing w:before="320" w:after="160" w:line="360" w:lineRule="atLeast"/>
      <w:ind w:left="0" w:firstLine="0"/>
      <w:jc w:val="center"/>
      <w:textAlignment w:val="baseline"/>
    </w:pPr>
    <w:rPr>
      <w:rFonts w:ascii="Arial" w:eastAsia="黑体" w:cs="Arial"/>
      <w:kern w:val="0"/>
      <w:sz w:val="32"/>
      <w:szCs w:val="32"/>
    </w:rPr>
  </w:style>
  <w:style w:type="paragraph" w:customStyle="1" w:styleId="177">
    <w:name w:val="xl1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50"/>
    <w:basedOn w:val="1"/>
    <w:qFormat/>
    <w:uiPriority w:val="99"/>
    <w:pPr>
      <w:widowControl/>
      <w:spacing w:before="100" w:beforeAutospacing="1" w:after="100" w:afterAutospacing="1"/>
      <w:jc w:val="right"/>
      <w:textAlignment w:val="center"/>
    </w:pPr>
    <w:rPr>
      <w:rFonts w:ascii="Univers" w:hAnsi="Univers" w:eastAsia="宋体" w:cs="Univers"/>
      <w:b/>
      <w:bCs/>
      <w:color w:val="000000"/>
      <w:kern w:val="0"/>
      <w:sz w:val="24"/>
      <w:szCs w:val="24"/>
    </w:rPr>
  </w:style>
  <w:style w:type="paragraph" w:customStyle="1" w:styleId="179">
    <w:name w:val="xl137"/>
    <w:basedOn w:val="1"/>
    <w:qFormat/>
    <w:uiPriority w:val="99"/>
    <w:pPr>
      <w:widowControl/>
      <w:pBdr>
        <w:top w:val="single" w:color="auto" w:sz="4" w:space="0"/>
        <w:left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0">
    <w:name w:val="xl52"/>
    <w:basedOn w:val="1"/>
    <w:qFormat/>
    <w:uiPriority w:val="99"/>
    <w:pPr>
      <w:widowControl/>
      <w:spacing w:before="100" w:beforeAutospacing="1" w:after="100" w:afterAutospacing="1"/>
      <w:jc w:val="right"/>
      <w:textAlignment w:val="center"/>
    </w:pPr>
    <w:rPr>
      <w:rFonts w:ascii="Univers" w:hAnsi="Univers" w:eastAsia="宋体" w:cs="Univers"/>
      <w:b/>
      <w:bCs/>
      <w:color w:val="000000"/>
      <w:kern w:val="0"/>
      <w:sz w:val="24"/>
      <w:szCs w:val="24"/>
    </w:rPr>
  </w:style>
  <w:style w:type="paragraph" w:customStyle="1" w:styleId="181">
    <w:name w:val="h"/>
    <w:basedOn w:val="1"/>
    <w:qFormat/>
    <w:uiPriority w:val="99"/>
    <w:pPr>
      <w:widowControl/>
      <w:spacing w:before="100" w:beforeAutospacing="1" w:after="100" w:afterAutospacing="1" w:line="280" w:lineRule="atLeast"/>
      <w:jc w:val="left"/>
    </w:pPr>
    <w:rPr>
      <w:rFonts w:ascii="宋体" w:hAnsi="宋体" w:eastAsia="宋体" w:cs="宋体"/>
      <w:color w:val="003366"/>
      <w:kern w:val="0"/>
      <w:sz w:val="18"/>
      <w:szCs w:val="18"/>
    </w:rPr>
  </w:style>
  <w:style w:type="paragraph" w:customStyle="1" w:styleId="182">
    <w:name w:val="xl12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183">
    <w:name w:val="xl59"/>
    <w:basedOn w:val="1"/>
    <w:qFormat/>
    <w:uiPriority w:val="99"/>
    <w:pPr>
      <w:widowControl/>
      <w:pBdr>
        <w:lef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84">
    <w:name w:val="xl13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5">
    <w:name w:val="xl145"/>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6">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paragraph" w:customStyle="1" w:styleId="187">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8">
    <w:name w:val="Char Char Char Char Char Char Char Char Char Char Char Char Char"/>
    <w:basedOn w:val="22"/>
    <w:qFormat/>
    <w:uiPriority w:val="99"/>
    <w:rPr>
      <w:rFonts w:ascii="Tahoma" w:hAnsi="Tahoma" w:cs="Tahoma"/>
      <w:sz w:val="24"/>
      <w:szCs w:val="24"/>
    </w:rPr>
  </w:style>
  <w:style w:type="paragraph" w:customStyle="1" w:styleId="189">
    <w:name w:val="xl51"/>
    <w:basedOn w:val="1"/>
    <w:qFormat/>
    <w:uiPriority w:val="99"/>
    <w:pPr>
      <w:widowControl/>
      <w:spacing w:before="100" w:beforeAutospacing="1" w:after="100" w:afterAutospacing="1"/>
      <w:jc w:val="right"/>
      <w:textAlignment w:val="center"/>
    </w:pPr>
    <w:rPr>
      <w:rFonts w:ascii="Univers" w:hAnsi="Univers" w:eastAsia="宋体" w:cs="Univers"/>
      <w:b/>
      <w:bCs/>
      <w:kern w:val="0"/>
      <w:sz w:val="24"/>
      <w:szCs w:val="24"/>
    </w:rPr>
  </w:style>
  <w:style w:type="paragraph" w:customStyle="1" w:styleId="190">
    <w:name w:val="xl1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91">
    <w:name w:val="表项"/>
    <w:next w:val="1"/>
    <w:qFormat/>
    <w:uiPriority w:val="99"/>
    <w:pPr>
      <w:keepNext/>
      <w:spacing w:line="300" w:lineRule="auto"/>
      <w:jc w:val="center"/>
      <w:textAlignment w:val="baseline"/>
    </w:pPr>
    <w:rPr>
      <w:rFonts w:ascii="Arial" w:hAnsi="Arial" w:eastAsia="黑体" w:cs="Arial"/>
      <w:sz w:val="21"/>
      <w:szCs w:val="21"/>
      <w:lang w:val="en-US" w:eastAsia="zh-CN" w:bidi="ar-SA"/>
    </w:rPr>
  </w:style>
  <w:style w:type="paragraph" w:customStyle="1" w:styleId="192">
    <w:name w:val="Bullet"/>
    <w:basedOn w:val="1"/>
    <w:qFormat/>
    <w:uiPriority w:val="99"/>
    <w:pPr>
      <w:widowControl/>
      <w:adjustRightInd w:val="0"/>
      <w:spacing w:before="60" w:after="60" w:line="360" w:lineRule="auto"/>
      <w:ind w:left="1225" w:firstLine="420" w:firstLineChars="200"/>
    </w:pPr>
    <w:rPr>
      <w:rFonts w:eastAsia="宋体"/>
      <w:b/>
      <w:bCs/>
      <w:kern w:val="0"/>
      <w:sz w:val="21"/>
      <w:szCs w:val="21"/>
    </w:rPr>
  </w:style>
  <w:style w:type="paragraph" w:customStyle="1" w:styleId="193">
    <w:name w:val="font11"/>
    <w:basedOn w:val="1"/>
    <w:qFormat/>
    <w:uiPriority w:val="99"/>
    <w:pPr>
      <w:widowControl/>
      <w:spacing w:before="100" w:beforeAutospacing="1" w:after="100" w:afterAutospacing="1"/>
      <w:jc w:val="left"/>
    </w:pPr>
    <w:rPr>
      <w:rFonts w:ascii="宋体" w:hAnsi="宋体" w:eastAsia="宋体" w:cs="宋体"/>
      <w:b/>
      <w:bCs/>
      <w:i/>
      <w:iCs/>
      <w:kern w:val="0"/>
      <w:sz w:val="20"/>
      <w:szCs w:val="20"/>
    </w:rPr>
  </w:style>
  <w:style w:type="paragraph" w:customStyle="1" w:styleId="194">
    <w:name w:val="xl64"/>
    <w:basedOn w:val="1"/>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95">
    <w:name w:val="xl129"/>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68"/>
    <w:basedOn w:val="1"/>
    <w:uiPriority w:val="99"/>
    <w:pPr>
      <w:widowControl/>
      <w:pBdr>
        <w:top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97">
    <w:name w:val="xl155"/>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98">
    <w:name w:val="xl150"/>
    <w:basedOn w:val="1"/>
    <w:qFormat/>
    <w:uiPriority w:val="99"/>
    <w:pPr>
      <w:widowControl/>
      <w:pBdr>
        <w:left w:val="single" w:color="auto" w:sz="4" w:space="0"/>
        <w:bottom w:val="single" w:color="auto" w:sz="4" w:space="0"/>
        <w:right w:val="double" w:color="auto" w:sz="6" w:space="0"/>
      </w:pBdr>
      <w:spacing w:before="100" w:beforeAutospacing="1" w:after="100" w:afterAutospacing="1"/>
      <w:jc w:val="left"/>
    </w:pPr>
    <w:rPr>
      <w:rFonts w:ascii="宋体" w:hAnsi="宋体" w:eastAsia="宋体" w:cs="宋体"/>
      <w:kern w:val="0"/>
      <w:sz w:val="20"/>
      <w:szCs w:val="20"/>
    </w:rPr>
  </w:style>
  <w:style w:type="paragraph" w:customStyle="1" w:styleId="199">
    <w:name w:val="列出段落1"/>
    <w:basedOn w:val="1"/>
    <w:qFormat/>
    <w:uiPriority w:val="99"/>
    <w:pPr>
      <w:ind w:firstLine="200" w:firstLineChars="200"/>
    </w:pPr>
    <w:rPr>
      <w:rFonts w:eastAsia="宋体"/>
      <w:sz w:val="21"/>
      <w:szCs w:val="21"/>
    </w:rPr>
  </w:style>
  <w:style w:type="paragraph" w:customStyle="1" w:styleId="200">
    <w:name w:val="xl11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201">
    <w:name w:val="xl143"/>
    <w:basedOn w:val="1"/>
    <w:qFormat/>
    <w:uiPriority w:val="99"/>
    <w:pPr>
      <w:widowControl/>
      <w:pBdr>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2">
    <w:name w:val="xl12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3">
    <w:name w:val="xl151"/>
    <w:basedOn w:val="1"/>
    <w:uiPriority w:val="99"/>
    <w:pPr>
      <w:widowControl/>
      <w:pBdr>
        <w:bottom w:val="double" w:color="auto" w:sz="6"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04">
    <w:name w:val="xl96"/>
    <w:basedOn w:val="1"/>
    <w:qFormat/>
    <w:uiPriority w:val="99"/>
    <w:pPr>
      <w:widowControl/>
      <w:spacing w:before="100" w:beforeAutospacing="1" w:after="100" w:afterAutospacing="1"/>
      <w:jc w:val="center"/>
    </w:pPr>
    <w:rPr>
      <w:rFonts w:eastAsia="宋体"/>
      <w:kern w:val="0"/>
      <w:sz w:val="24"/>
      <w:szCs w:val="24"/>
    </w:rPr>
  </w:style>
  <w:style w:type="paragraph" w:customStyle="1" w:styleId="205">
    <w:name w:val="方案正文"/>
    <w:basedOn w:val="1"/>
    <w:qFormat/>
    <w:uiPriority w:val="99"/>
    <w:pPr>
      <w:spacing w:line="360" w:lineRule="auto"/>
    </w:pPr>
    <w:rPr>
      <w:rFonts w:eastAsia="宋体"/>
      <w:sz w:val="24"/>
      <w:szCs w:val="24"/>
    </w:rPr>
  </w:style>
  <w:style w:type="paragraph" w:customStyle="1" w:styleId="206">
    <w:name w:val="xl12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07">
    <w:name w:val="xl10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i/>
      <w:iCs/>
      <w:kern w:val="0"/>
      <w:sz w:val="24"/>
      <w:szCs w:val="24"/>
    </w:rPr>
  </w:style>
  <w:style w:type="paragraph" w:customStyle="1" w:styleId="208">
    <w:name w:val="图"/>
    <w:basedOn w:val="1"/>
    <w:qFormat/>
    <w:uiPriority w:val="99"/>
    <w:pPr>
      <w:keepNext/>
      <w:adjustRightInd w:val="0"/>
      <w:spacing w:before="60" w:after="60" w:line="300" w:lineRule="auto"/>
      <w:jc w:val="center"/>
      <w:textAlignment w:val="center"/>
    </w:pPr>
    <w:rPr>
      <w:rFonts w:ascii="Times New Roman" w:hAnsi="Times New Roman" w:eastAsia="宋体" w:cs="Times New Roman"/>
      <w:spacing w:val="20"/>
      <w:kern w:val="0"/>
      <w:sz w:val="24"/>
      <w:szCs w:val="24"/>
    </w:rPr>
  </w:style>
  <w:style w:type="paragraph" w:customStyle="1" w:styleId="209">
    <w:name w:val="样式2"/>
    <w:basedOn w:val="1"/>
    <w:qFormat/>
    <w:uiPriority w:val="99"/>
    <w:pPr>
      <w:widowControl/>
      <w:tabs>
        <w:tab w:val="left" w:pos="1200"/>
      </w:tabs>
      <w:autoSpaceDE w:val="0"/>
      <w:autoSpaceDN w:val="0"/>
      <w:spacing w:before="40" w:after="40" w:line="360" w:lineRule="auto"/>
      <w:ind w:left="1200" w:hanging="420"/>
    </w:pPr>
    <w:rPr>
      <w:rFonts w:ascii="宋体" w:eastAsia="宋体" w:cs="宋体"/>
      <w:sz w:val="21"/>
      <w:szCs w:val="21"/>
    </w:rPr>
  </w:style>
  <w:style w:type="paragraph" w:customStyle="1" w:styleId="210">
    <w:name w:val="xl124"/>
    <w:basedOn w:val="1"/>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11">
    <w:name w:val="xl90"/>
    <w:basedOn w:val="1"/>
    <w:qFormat/>
    <w:uiPriority w:val="99"/>
    <w:pPr>
      <w:widowControl/>
      <w:pBdr>
        <w:left w:val="single" w:color="auto" w:sz="4" w:space="0"/>
      </w:pBdr>
      <w:spacing w:before="100" w:beforeAutospacing="1" w:after="100" w:afterAutospacing="1"/>
      <w:jc w:val="center"/>
      <w:textAlignment w:val="center"/>
    </w:pPr>
    <w:rPr>
      <w:rFonts w:ascii="宋体" w:hAnsi="宋体" w:eastAsia="宋体" w:cs="宋体"/>
      <w:kern w:val="0"/>
      <w:sz w:val="22"/>
      <w:szCs w:val="22"/>
    </w:rPr>
  </w:style>
  <w:style w:type="paragraph" w:customStyle="1" w:styleId="212">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4"/>
      <w:szCs w:val="24"/>
    </w:rPr>
  </w:style>
  <w:style w:type="paragraph" w:customStyle="1" w:styleId="213">
    <w:name w:val="xl127"/>
    <w:basedOn w:val="1"/>
    <w:qFormat/>
    <w:uiPriority w:val="99"/>
    <w:pPr>
      <w:widowControl/>
      <w:pBdr>
        <w:top w:val="single" w:color="auto" w:sz="4" w:space="0"/>
        <w:bottom w:val="double" w:color="auto" w:sz="6" w:space="0"/>
      </w:pBdr>
      <w:spacing w:before="100" w:beforeAutospacing="1" w:after="100" w:afterAutospacing="1"/>
      <w:jc w:val="center"/>
    </w:pPr>
    <w:rPr>
      <w:rFonts w:ascii="宋体" w:hAnsi="宋体" w:eastAsia="宋体" w:cs="宋体"/>
      <w:kern w:val="0"/>
      <w:sz w:val="20"/>
      <w:szCs w:val="20"/>
    </w:rPr>
  </w:style>
  <w:style w:type="paragraph" w:customStyle="1" w:styleId="214">
    <w:name w:val="默认段落字体 Para Char Char Char Char Char Char Char"/>
    <w:basedOn w:val="1"/>
    <w:qFormat/>
    <w:uiPriority w:val="99"/>
    <w:rPr>
      <w:rFonts w:eastAsia="宋体"/>
      <w:sz w:val="21"/>
      <w:szCs w:val="21"/>
    </w:rPr>
  </w:style>
  <w:style w:type="paragraph" w:customStyle="1" w:styleId="215">
    <w:name w:val="正文符号1"/>
    <w:basedOn w:val="1"/>
    <w:qFormat/>
    <w:uiPriority w:val="99"/>
    <w:pPr>
      <w:tabs>
        <w:tab w:val="left" w:pos="425"/>
        <w:tab w:val="left" w:pos="1080"/>
      </w:tabs>
      <w:spacing w:before="100" w:beforeAutospacing="1" w:after="100" w:afterAutospacing="1"/>
      <w:ind w:left="425" w:hanging="425"/>
    </w:pPr>
    <w:rPr>
      <w:kern w:val="0"/>
      <w:sz w:val="28"/>
      <w:szCs w:val="28"/>
    </w:rPr>
  </w:style>
  <w:style w:type="paragraph" w:customStyle="1" w:styleId="216">
    <w:name w:val="xl70"/>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17">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i/>
      <w:iCs/>
      <w:kern w:val="0"/>
      <w:sz w:val="24"/>
      <w:szCs w:val="24"/>
    </w:rPr>
  </w:style>
  <w:style w:type="paragraph" w:customStyle="1" w:styleId="218">
    <w:name w:val="xl157"/>
    <w:basedOn w:val="1"/>
    <w:qFormat/>
    <w:uiPriority w:val="99"/>
    <w:pPr>
      <w:widowControl/>
      <w:pBdr>
        <w:left w:val="single" w:color="auto" w:sz="4" w:space="0"/>
        <w:right w:val="single" w:color="auto" w:sz="4" w:space="0"/>
      </w:pBdr>
      <w:spacing w:before="100" w:beforeAutospacing="1" w:after="100" w:afterAutospacing="1"/>
      <w:jc w:val="center"/>
    </w:pPr>
    <w:rPr>
      <w:rFonts w:eastAsia="宋体"/>
      <w:b/>
      <w:bCs/>
      <w:color w:val="FF0000"/>
      <w:kern w:val="0"/>
      <w:sz w:val="20"/>
      <w:szCs w:val="20"/>
    </w:rPr>
  </w:style>
  <w:style w:type="paragraph" w:customStyle="1" w:styleId="219">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20">
    <w:name w:val="xl10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21">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222">
    <w:name w:val="表格正文"/>
    <w:basedOn w:val="1"/>
    <w:uiPriority w:val="99"/>
    <w:pPr>
      <w:spacing w:before="100" w:beforeAutospacing="1" w:after="100" w:afterAutospacing="1" w:line="240" w:lineRule="atLeast"/>
    </w:pPr>
    <w:rPr>
      <w:sz w:val="24"/>
      <w:szCs w:val="24"/>
    </w:rPr>
  </w:style>
  <w:style w:type="paragraph" w:customStyle="1" w:styleId="223">
    <w:name w:val="纯文本1"/>
    <w:basedOn w:val="1"/>
    <w:uiPriority w:val="99"/>
    <w:pPr>
      <w:adjustRightInd w:val="0"/>
      <w:textAlignment w:val="baseline"/>
    </w:pPr>
    <w:rPr>
      <w:rFonts w:ascii="宋体" w:hAnsi="Courier New" w:eastAsia="宋体" w:cs="宋体"/>
      <w:sz w:val="28"/>
      <w:szCs w:val="28"/>
    </w:rPr>
  </w:style>
  <w:style w:type="paragraph" w:customStyle="1" w:styleId="224">
    <w:name w:val="xl13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xl76"/>
    <w:basedOn w:val="1"/>
    <w:qFormat/>
    <w:uiPriority w:val="99"/>
    <w:pPr>
      <w:widowControl/>
      <w:pBdr>
        <w:top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26">
    <w:name w:val="Char Char Char Char Char Char"/>
    <w:basedOn w:val="1"/>
    <w:qFormat/>
    <w:uiPriority w:val="99"/>
    <w:rPr>
      <w:rFonts w:ascii="Tahoma" w:hAnsi="Tahoma" w:eastAsia="宋体" w:cs="Tahoma"/>
      <w:sz w:val="24"/>
      <w:szCs w:val="24"/>
    </w:rPr>
  </w:style>
  <w:style w:type="paragraph" w:customStyle="1" w:styleId="227">
    <w:name w:val="xl118"/>
    <w:basedOn w:val="1"/>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228">
    <w:name w:val="p16"/>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9">
    <w:name w:val="xl135"/>
    <w:basedOn w:val="1"/>
    <w:qFormat/>
    <w:uiPriority w:val="99"/>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0">
    <w:name w:val="content"/>
    <w:basedOn w:val="1"/>
    <w:uiPriority w:val="99"/>
    <w:pPr>
      <w:widowControl/>
      <w:spacing w:before="180" w:after="180" w:line="225" w:lineRule="atLeast"/>
      <w:ind w:left="180" w:right="180"/>
      <w:jc w:val="left"/>
    </w:pPr>
    <w:rPr>
      <w:rFonts w:ascii="Arial" w:hAnsi="Arial" w:eastAsia="宋体" w:cs="Arial"/>
      <w:color w:val="153B63"/>
      <w:kern w:val="0"/>
      <w:sz w:val="18"/>
      <w:szCs w:val="18"/>
    </w:rPr>
  </w:style>
  <w:style w:type="paragraph" w:customStyle="1" w:styleId="231">
    <w:name w:val="flType"/>
    <w:basedOn w:val="176"/>
    <w:qFormat/>
    <w:uiPriority w:val="99"/>
    <w:pPr>
      <w:spacing w:before="560" w:after="120"/>
    </w:pPr>
    <w:rPr>
      <w:sz w:val="28"/>
      <w:szCs w:val="28"/>
    </w:rPr>
  </w:style>
  <w:style w:type="paragraph" w:customStyle="1" w:styleId="232">
    <w:name w:val="规范正文"/>
    <w:basedOn w:val="1"/>
    <w:uiPriority w:val="99"/>
    <w:pPr>
      <w:spacing w:beforeLines="50" w:afterLines="50" w:line="360" w:lineRule="auto"/>
      <w:ind w:left="425" w:firstLine="480" w:firstLineChars="200"/>
    </w:pPr>
    <w:rPr>
      <w:rFonts w:ascii="宋体" w:hAnsi="宋体" w:eastAsia="宋体" w:cs="宋体"/>
      <w:sz w:val="24"/>
      <w:szCs w:val="24"/>
    </w:rPr>
  </w:style>
  <w:style w:type="paragraph" w:customStyle="1" w:styleId="233">
    <w:name w:val="xl99"/>
    <w:basedOn w:val="1"/>
    <w:qFormat/>
    <w:uiPriority w:val="99"/>
    <w:pPr>
      <w:widowControl/>
      <w:pBdr>
        <w:bottom w:val="single" w:color="auto" w:sz="4" w:space="0"/>
      </w:pBdr>
      <w:spacing w:before="100" w:beforeAutospacing="1" w:after="100" w:afterAutospacing="1"/>
      <w:jc w:val="center"/>
    </w:pPr>
    <w:rPr>
      <w:rFonts w:eastAsia="宋体"/>
      <w:kern w:val="0"/>
      <w:sz w:val="24"/>
      <w:szCs w:val="24"/>
    </w:rPr>
  </w:style>
  <w:style w:type="paragraph" w:customStyle="1" w:styleId="234">
    <w:name w:val="xl107"/>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235">
    <w:name w:val="xl162"/>
    <w:basedOn w:val="1"/>
    <w:qFormat/>
    <w:uiPriority w:val="99"/>
    <w:pPr>
      <w:widowControl/>
      <w:pBdr>
        <w:top w:val="single" w:color="auto" w:sz="4" w:space="0"/>
        <w:bottom w:val="double" w:color="auto" w:sz="6" w:space="0"/>
      </w:pBdr>
      <w:spacing w:before="100" w:beforeAutospacing="1" w:after="100" w:afterAutospacing="1"/>
      <w:jc w:val="center"/>
    </w:pPr>
    <w:rPr>
      <w:rFonts w:ascii="宋体" w:hAnsi="宋体" w:eastAsia="宋体" w:cs="宋体"/>
      <w:kern w:val="0"/>
      <w:sz w:val="20"/>
      <w:szCs w:val="20"/>
    </w:rPr>
  </w:style>
  <w:style w:type="paragraph" w:customStyle="1" w:styleId="236">
    <w:name w:val="font8"/>
    <w:basedOn w:val="1"/>
    <w:qFormat/>
    <w:uiPriority w:val="99"/>
    <w:pPr>
      <w:widowControl/>
      <w:spacing w:before="100" w:beforeAutospacing="1" w:after="100" w:afterAutospacing="1"/>
      <w:jc w:val="left"/>
    </w:pPr>
    <w:rPr>
      <w:rFonts w:eastAsia="宋体"/>
      <w:kern w:val="0"/>
      <w:sz w:val="22"/>
      <w:szCs w:val="22"/>
    </w:rPr>
  </w:style>
  <w:style w:type="paragraph" w:customStyle="1" w:styleId="237">
    <w:name w:val="xl163"/>
    <w:basedOn w:val="1"/>
    <w:uiPriority w:val="99"/>
    <w:pPr>
      <w:widowControl/>
      <w:pBdr>
        <w:top w:val="single" w:color="auto" w:sz="4" w:space="0"/>
        <w:bottom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8">
    <w:name w:val="正文首行缩进[858D7CFB-ED40-4347-BF05-701D383B685F][858D7CFB-ED40-4347-BF05-701D383B685F]"/>
    <w:basedOn w:val="1"/>
    <w:uiPriority w:val="99"/>
    <w:pPr>
      <w:ind w:firstLine="420"/>
    </w:pPr>
    <w:rPr>
      <w:rFonts w:ascii="Times New Roman" w:hAnsi="Times New Roman" w:eastAsia="宋体" w:cs="Times New Roman"/>
      <w:sz w:val="21"/>
      <w:szCs w:val="21"/>
    </w:rPr>
  </w:style>
  <w:style w:type="paragraph" w:customStyle="1" w:styleId="239">
    <w:name w:val="xl114"/>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0">
    <w:name w:val="p15"/>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1">
    <w:name w:val="Char3 Char Char Char"/>
    <w:basedOn w:val="1"/>
    <w:qFormat/>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242">
    <w:name w:val="xl89"/>
    <w:basedOn w:val="1"/>
    <w:qFormat/>
    <w:uiPriority w:val="99"/>
    <w:pPr>
      <w:widowControl/>
      <w:spacing w:before="100" w:beforeAutospacing="1" w:after="100" w:afterAutospacing="1"/>
      <w:jc w:val="left"/>
    </w:pPr>
    <w:rPr>
      <w:rFonts w:eastAsia="宋体"/>
      <w:b/>
      <w:bCs/>
      <w:kern w:val="0"/>
      <w:sz w:val="24"/>
      <w:szCs w:val="24"/>
    </w:rPr>
  </w:style>
  <w:style w:type="paragraph" w:customStyle="1" w:styleId="243">
    <w:name w:val="xl5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244">
    <w:name w:val="xl6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eastAsia="宋体"/>
      <w:kern w:val="0"/>
      <w:sz w:val="24"/>
      <w:szCs w:val="24"/>
    </w:rPr>
  </w:style>
  <w:style w:type="paragraph" w:customStyle="1" w:styleId="245">
    <w:name w:val="xl11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246">
    <w:name w:val="普通 (Web)"/>
    <w:basedOn w:val="1"/>
    <w:uiPriority w:val="99"/>
    <w:pPr>
      <w:widowControl/>
      <w:spacing w:afterLines="50" w:line="384" w:lineRule="auto"/>
      <w:ind w:left="359" w:leftChars="171" w:right="34" w:firstLine="540" w:firstLineChars="225"/>
      <w:jc w:val="left"/>
    </w:pPr>
    <w:rPr>
      <w:rFonts w:ascii="Arial" w:hAnsi="Arial" w:eastAsia="宋体" w:cs="Arial"/>
      <w:kern w:val="0"/>
      <w:sz w:val="24"/>
      <w:szCs w:val="24"/>
    </w:rPr>
  </w:style>
  <w:style w:type="paragraph" w:customStyle="1" w:styleId="247">
    <w:name w:val="xl13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249">
    <w:name w:val="List Paragraph1"/>
    <w:basedOn w:val="1"/>
    <w:qFormat/>
    <w:uiPriority w:val="99"/>
    <w:pPr>
      <w:ind w:firstLine="420" w:firstLineChars="200"/>
    </w:pPr>
    <w:rPr>
      <w:rFonts w:eastAsia="宋体"/>
      <w:sz w:val="21"/>
      <w:szCs w:val="21"/>
    </w:rPr>
  </w:style>
  <w:style w:type="paragraph" w:customStyle="1" w:styleId="250">
    <w:name w:val="xl152"/>
    <w:basedOn w:val="1"/>
    <w:qFormat/>
    <w:uiPriority w:val="99"/>
    <w:pPr>
      <w:widowControl/>
      <w:pBdr>
        <w:left w:val="single" w:color="auto" w:sz="4" w:space="0"/>
        <w:bottom w:val="double" w:color="auto" w:sz="6"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51">
    <w:name w:val="font6"/>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252">
    <w:name w:val="xl47"/>
    <w:basedOn w:val="1"/>
    <w:uiPriority w:val="99"/>
    <w:pPr>
      <w:widowControl/>
      <w:spacing w:before="100" w:beforeAutospacing="1" w:after="100" w:afterAutospacing="1"/>
      <w:jc w:val="center"/>
    </w:pPr>
    <w:rPr>
      <w:rFonts w:ascii="Univers" w:hAnsi="Univers" w:eastAsia="宋体" w:cs="Univers"/>
      <w:b/>
      <w:bCs/>
      <w:kern w:val="0"/>
      <w:sz w:val="24"/>
      <w:szCs w:val="24"/>
    </w:rPr>
  </w:style>
  <w:style w:type="paragraph" w:customStyle="1" w:styleId="253">
    <w:name w:val="xl160"/>
    <w:basedOn w:val="1"/>
    <w:uiPriority w:val="99"/>
    <w:pPr>
      <w:widowControl/>
      <w:pBdr>
        <w:top w:val="single" w:color="auto" w:sz="4" w:space="0"/>
        <w:bottom w:val="double" w:color="auto" w:sz="6" w:space="0"/>
      </w:pBdr>
      <w:spacing w:before="100" w:beforeAutospacing="1" w:after="100" w:afterAutospacing="1"/>
      <w:jc w:val="left"/>
    </w:pPr>
    <w:rPr>
      <w:rFonts w:ascii="宋体" w:hAnsi="宋体" w:eastAsia="宋体" w:cs="宋体"/>
      <w:color w:val="FF0000"/>
      <w:kern w:val="0"/>
      <w:sz w:val="20"/>
      <w:szCs w:val="20"/>
    </w:rPr>
  </w:style>
  <w:style w:type="paragraph" w:customStyle="1" w:styleId="254">
    <w:name w:val="xl140"/>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0"/>
      <w:szCs w:val="20"/>
    </w:rPr>
  </w:style>
  <w:style w:type="paragraph" w:customStyle="1" w:styleId="255">
    <w:name w:val="段"/>
    <w:uiPriority w:val="99"/>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256">
    <w:name w:val="xl138"/>
    <w:basedOn w:val="1"/>
    <w:uiPriority w:val="99"/>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xl123"/>
    <w:basedOn w:val="1"/>
    <w:uiPriority w:val="99"/>
    <w:pPr>
      <w:widowControl/>
      <w:spacing w:before="100" w:beforeAutospacing="1" w:after="100" w:afterAutospacing="1"/>
      <w:jc w:val="center"/>
    </w:pPr>
    <w:rPr>
      <w:rFonts w:ascii="楷体_GB2312" w:hAnsi="宋体" w:cs="楷体_GB2312"/>
      <w:b/>
      <w:bCs/>
      <w:kern w:val="0"/>
      <w:sz w:val="32"/>
      <w:szCs w:val="32"/>
    </w:rPr>
  </w:style>
  <w:style w:type="paragraph" w:customStyle="1" w:styleId="258">
    <w:name w:val="xl97"/>
    <w:basedOn w:val="1"/>
    <w:uiPriority w:val="99"/>
    <w:pPr>
      <w:widowControl/>
      <w:pBdr>
        <w:right w:val="single" w:color="auto" w:sz="4" w:space="0"/>
      </w:pBdr>
      <w:spacing w:before="100" w:beforeAutospacing="1" w:after="100" w:afterAutospacing="1"/>
      <w:jc w:val="center"/>
    </w:pPr>
    <w:rPr>
      <w:rFonts w:eastAsia="宋体"/>
      <w:kern w:val="0"/>
      <w:sz w:val="24"/>
      <w:szCs w:val="24"/>
    </w:rPr>
  </w:style>
  <w:style w:type="paragraph" w:customStyle="1" w:styleId="259">
    <w:name w:val="xl126"/>
    <w:basedOn w:val="1"/>
    <w:uiPriority w:val="99"/>
    <w:pPr>
      <w:widowControl/>
      <w:pBdr>
        <w:top w:val="single" w:color="auto" w:sz="4" w:space="0"/>
        <w:left w:val="single" w:color="auto" w:sz="4" w:space="0"/>
        <w:bottom w:val="double" w:color="auto" w:sz="6" w:space="0"/>
      </w:pBdr>
      <w:spacing w:before="100" w:beforeAutospacing="1" w:after="100" w:afterAutospacing="1"/>
      <w:jc w:val="center"/>
    </w:pPr>
    <w:rPr>
      <w:rFonts w:ascii="宋体" w:hAnsi="宋体" w:eastAsia="宋体" w:cs="宋体"/>
      <w:kern w:val="0"/>
      <w:sz w:val="20"/>
      <w:szCs w:val="20"/>
    </w:rPr>
  </w:style>
  <w:style w:type="paragraph" w:customStyle="1" w:styleId="260">
    <w:name w:val="xl92"/>
    <w:basedOn w:val="1"/>
    <w:uiPriority w:val="99"/>
    <w:pPr>
      <w:widowControl/>
      <w:pBdr>
        <w:lef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261">
    <w:name w:val="xl98"/>
    <w:basedOn w:val="1"/>
    <w:uiPriority w:val="99"/>
    <w:pPr>
      <w:widowControl/>
      <w:pBdr>
        <w:top w:val="single" w:color="auto" w:sz="4" w:space="0"/>
      </w:pBdr>
      <w:spacing w:before="100" w:beforeAutospacing="1" w:after="100" w:afterAutospacing="1"/>
      <w:jc w:val="center"/>
    </w:pPr>
    <w:rPr>
      <w:rFonts w:eastAsia="宋体"/>
      <w:kern w:val="0"/>
      <w:sz w:val="24"/>
      <w:szCs w:val="24"/>
    </w:rPr>
  </w:style>
  <w:style w:type="paragraph" w:customStyle="1" w:styleId="262">
    <w:name w:val="font9"/>
    <w:basedOn w:val="1"/>
    <w:uiPriority w:val="99"/>
    <w:pPr>
      <w:widowControl/>
      <w:spacing w:before="100" w:beforeAutospacing="1" w:after="100" w:afterAutospacing="1"/>
      <w:jc w:val="left"/>
    </w:pPr>
    <w:rPr>
      <w:rFonts w:eastAsia="宋体"/>
      <w:b/>
      <w:bCs/>
      <w:kern w:val="0"/>
      <w:sz w:val="20"/>
      <w:szCs w:val="20"/>
    </w:rPr>
  </w:style>
  <w:style w:type="paragraph" w:customStyle="1" w:styleId="263">
    <w:name w:val="Char Char1 Char Char Char Char"/>
    <w:basedOn w:val="22"/>
    <w:uiPriority w:val="99"/>
    <w:pPr>
      <w:adjustRightInd w:val="0"/>
      <w:snapToGrid w:val="0"/>
      <w:spacing w:line="360" w:lineRule="auto"/>
    </w:pPr>
    <w:rPr>
      <w:rFonts w:ascii="Tahoma" w:hAnsi="Tahoma" w:cs="Tahoma"/>
      <w:sz w:val="24"/>
      <w:szCs w:val="24"/>
    </w:rPr>
  </w:style>
  <w:style w:type="paragraph" w:customStyle="1" w:styleId="264">
    <w:name w:val="xl153"/>
    <w:basedOn w:val="1"/>
    <w:uiPriority w:val="99"/>
    <w:pPr>
      <w:widowControl/>
      <w:pBdr>
        <w:left w:val="single" w:color="auto" w:sz="4" w:space="0"/>
        <w:bottom w:val="double" w:color="auto" w:sz="6"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65">
    <w:name w:val="样式3"/>
    <w:basedOn w:val="6"/>
    <w:uiPriority w:val="99"/>
    <w:pPr>
      <w:keepLines w:val="0"/>
      <w:autoSpaceDE w:val="0"/>
      <w:autoSpaceDN w:val="0"/>
      <w:adjustRightInd w:val="0"/>
      <w:spacing w:before="0" w:after="0" w:line="360" w:lineRule="auto"/>
      <w:jc w:val="center"/>
      <w:textAlignment w:val="baseline"/>
    </w:pPr>
    <w:rPr>
      <w:rFonts w:eastAsia="宋体"/>
      <w:kern w:val="0"/>
      <w:sz w:val="24"/>
      <w:szCs w:val="24"/>
    </w:rPr>
  </w:style>
  <w:style w:type="paragraph" w:customStyle="1" w:styleId="266">
    <w:name w:val="xl60"/>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67">
    <w:name w:val="xl93"/>
    <w:basedOn w:val="1"/>
    <w:uiPriority w:val="99"/>
    <w:pPr>
      <w:widowControl/>
      <w:pBdr>
        <w:left w:val="single" w:color="auto" w:sz="4" w:space="0"/>
      </w:pBdr>
      <w:spacing w:before="100" w:beforeAutospacing="1" w:after="100" w:afterAutospacing="1"/>
      <w:jc w:val="center"/>
      <w:textAlignment w:val="top"/>
    </w:pPr>
    <w:rPr>
      <w:rFonts w:ascii="宋体" w:hAnsi="宋体" w:eastAsia="宋体" w:cs="宋体"/>
      <w:b/>
      <w:bCs/>
      <w:kern w:val="0"/>
      <w:sz w:val="22"/>
      <w:szCs w:val="22"/>
    </w:rPr>
  </w:style>
  <w:style w:type="paragraph" w:customStyle="1" w:styleId="268">
    <w:name w:val="xl48"/>
    <w:basedOn w:val="1"/>
    <w:uiPriority w:val="99"/>
    <w:pPr>
      <w:widowControl/>
      <w:spacing w:before="100" w:beforeAutospacing="1" w:after="100" w:afterAutospacing="1"/>
      <w:jc w:val="left"/>
      <w:textAlignment w:val="center"/>
    </w:pPr>
    <w:rPr>
      <w:rFonts w:ascii="Univers" w:hAnsi="Univers" w:eastAsia="宋体" w:cs="Univers"/>
      <w:b/>
      <w:bCs/>
      <w:kern w:val="0"/>
      <w:sz w:val="24"/>
      <w:szCs w:val="24"/>
    </w:rPr>
  </w:style>
  <w:style w:type="paragraph" w:customStyle="1" w:styleId="269">
    <w:name w:val="表格标题"/>
    <w:basedOn w:val="222"/>
    <w:uiPriority w:val="99"/>
    <w:pPr>
      <w:jc w:val="center"/>
    </w:pPr>
    <w:rPr>
      <w:b/>
      <w:bCs/>
    </w:rPr>
  </w:style>
  <w:style w:type="paragraph" w:customStyle="1" w:styleId="270">
    <w:name w:val="font10"/>
    <w:basedOn w:val="1"/>
    <w:uiPriority w:val="99"/>
    <w:pPr>
      <w:widowControl/>
      <w:spacing w:before="100" w:beforeAutospacing="1" w:after="100" w:afterAutospacing="1"/>
      <w:jc w:val="left"/>
    </w:pPr>
    <w:rPr>
      <w:rFonts w:ascii="宋体" w:hAnsi="宋体" w:eastAsia="宋体" w:cs="宋体"/>
      <w:b/>
      <w:bCs/>
      <w:kern w:val="0"/>
      <w:sz w:val="22"/>
      <w:szCs w:val="22"/>
    </w:rPr>
  </w:style>
  <w:style w:type="paragraph" w:customStyle="1" w:styleId="271">
    <w:name w:val="xl144"/>
    <w:basedOn w:val="1"/>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2">
    <w:name w:val="xl133"/>
    <w:basedOn w:val="1"/>
    <w:uiPriority w:val="99"/>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3">
    <w:name w:val="Char2"/>
    <w:basedOn w:val="1"/>
    <w:qFormat/>
    <w:uiPriority w:val="99"/>
    <w:rPr>
      <w:rFonts w:ascii="仿宋_GB2312" w:eastAsia="仿宋_GB2312" w:cs="仿宋_GB2312"/>
      <w:b/>
      <w:bCs/>
      <w:sz w:val="32"/>
      <w:szCs w:val="32"/>
    </w:rPr>
  </w:style>
  <w:style w:type="paragraph" w:customStyle="1" w:styleId="274">
    <w:name w:val="xl15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275">
    <w:name w:val="xl6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76">
    <w:name w:val="xl119"/>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77">
    <w:name w:val="xl10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78">
    <w:name w:val="xl73"/>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79">
    <w:name w:val="Char Char Char Char Char Char Char"/>
    <w:basedOn w:val="1"/>
    <w:uiPriority w:val="99"/>
    <w:rPr>
      <w:rFonts w:eastAsia="宋体"/>
      <w:sz w:val="21"/>
      <w:szCs w:val="21"/>
    </w:rPr>
  </w:style>
  <w:style w:type="paragraph" w:customStyle="1" w:styleId="280">
    <w:name w:val="xl91"/>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2"/>
      <w:szCs w:val="22"/>
    </w:rPr>
  </w:style>
  <w:style w:type="paragraph" w:customStyle="1" w:styleId="281">
    <w:name w:val="xl154"/>
    <w:basedOn w:val="1"/>
    <w:uiPriority w:val="99"/>
    <w:pPr>
      <w:widowControl/>
      <w:pBdr>
        <w:left w:val="single" w:color="auto" w:sz="4" w:space="0"/>
        <w:bottom w:val="double" w:color="auto" w:sz="6" w:space="0"/>
      </w:pBdr>
      <w:spacing w:before="100" w:beforeAutospacing="1" w:after="100" w:afterAutospacing="1"/>
      <w:jc w:val="left"/>
    </w:pPr>
    <w:rPr>
      <w:rFonts w:ascii="宋体" w:hAnsi="宋体" w:eastAsia="宋体" w:cs="宋体"/>
      <w:kern w:val="0"/>
      <w:sz w:val="20"/>
      <w:szCs w:val="20"/>
    </w:rPr>
  </w:style>
  <w:style w:type="paragraph" w:customStyle="1" w:styleId="282">
    <w:name w:val="xl5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2"/>
      <w:szCs w:val="22"/>
    </w:rPr>
  </w:style>
  <w:style w:type="paragraph" w:customStyle="1" w:styleId="283">
    <w:name w:val="xl12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284">
    <w:name w:val="xl49"/>
    <w:basedOn w:val="1"/>
    <w:uiPriority w:val="99"/>
    <w:pPr>
      <w:widowControl/>
      <w:spacing w:before="100" w:beforeAutospacing="1" w:after="100" w:afterAutospacing="1"/>
      <w:jc w:val="center"/>
      <w:textAlignment w:val="center"/>
    </w:pPr>
    <w:rPr>
      <w:rFonts w:ascii="Univers" w:hAnsi="Univers" w:eastAsia="宋体" w:cs="Univers"/>
      <w:b/>
      <w:bCs/>
      <w:kern w:val="0"/>
      <w:sz w:val="24"/>
      <w:szCs w:val="24"/>
    </w:rPr>
  </w:style>
  <w:style w:type="paragraph" w:customStyle="1" w:styleId="285">
    <w:name w:val="xl141"/>
    <w:basedOn w:val="1"/>
    <w:uiPriority w:val="99"/>
    <w:pPr>
      <w:widowControl/>
      <w:pBdr>
        <w:top w:val="single" w:color="auto" w:sz="4" w:space="0"/>
        <w:bottom w:val="single" w:color="auto" w:sz="4" w:space="0"/>
      </w:pBdr>
      <w:spacing w:before="100" w:beforeAutospacing="1" w:after="100" w:afterAutospacing="1"/>
      <w:jc w:val="center"/>
    </w:pPr>
    <w:rPr>
      <w:rFonts w:eastAsia="宋体"/>
      <w:b/>
      <w:bCs/>
      <w:kern w:val="0"/>
      <w:sz w:val="20"/>
      <w:szCs w:val="20"/>
    </w:rPr>
  </w:style>
  <w:style w:type="paragraph" w:customStyle="1" w:styleId="286">
    <w:name w:val="xl115"/>
    <w:basedOn w:val="1"/>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7">
    <w:name w:val="_Style 57"/>
    <w:next w:val="1"/>
    <w:uiPriority w:val="99"/>
    <w:pPr>
      <w:widowControl w:val="0"/>
      <w:jc w:val="both"/>
    </w:pPr>
    <w:rPr>
      <w:rFonts w:ascii="Calibri" w:hAnsi="Calibri" w:eastAsia="楷体_GB2312" w:cs="Calibri"/>
      <w:kern w:val="2"/>
      <w:sz w:val="26"/>
      <w:szCs w:val="26"/>
      <w:lang w:val="en-US" w:eastAsia="zh-CN" w:bidi="ar-SA"/>
    </w:rPr>
  </w:style>
  <w:style w:type="paragraph" w:customStyle="1" w:styleId="288">
    <w:name w:val="正文1"/>
    <w:next w:val="1"/>
    <w:qFormat/>
    <w:uiPriority w:val="99"/>
    <w:pPr>
      <w:spacing w:line="360" w:lineRule="auto"/>
      <w:ind w:firstLine="480" w:firstLineChars="200"/>
    </w:pPr>
    <w:rPr>
      <w:rFonts w:ascii="宋体" w:hAnsi="宋体" w:eastAsia="宋体" w:cs="宋体"/>
      <w:sz w:val="24"/>
      <w:szCs w:val="24"/>
      <w:lang w:val="en-US" w:eastAsia="zh-CN" w:bidi="ar-SA"/>
    </w:rPr>
  </w:style>
  <w:style w:type="paragraph" w:customStyle="1" w:styleId="289">
    <w:name w:val="xl83"/>
    <w:basedOn w:val="1"/>
    <w:uiPriority w:val="99"/>
    <w:pPr>
      <w:widowControl/>
      <w:spacing w:before="100" w:beforeAutospacing="1" w:after="100" w:afterAutospacing="1"/>
      <w:jc w:val="left"/>
    </w:pPr>
    <w:rPr>
      <w:rFonts w:eastAsia="宋体"/>
      <w:kern w:val="0"/>
      <w:sz w:val="24"/>
      <w:szCs w:val="24"/>
    </w:rPr>
  </w:style>
  <w:style w:type="paragraph" w:customStyle="1" w:styleId="290">
    <w:name w:val="xl161"/>
    <w:basedOn w:val="1"/>
    <w:uiPriority w:val="99"/>
    <w:pPr>
      <w:widowControl/>
      <w:spacing w:before="100" w:beforeAutospacing="1" w:after="100" w:afterAutospacing="1"/>
      <w:jc w:val="center"/>
    </w:pPr>
    <w:rPr>
      <w:rFonts w:ascii="宋体" w:hAnsi="宋体" w:eastAsia="宋体" w:cs="宋体"/>
      <w:color w:val="FF0000"/>
      <w:kern w:val="0"/>
      <w:sz w:val="20"/>
      <w:szCs w:val="20"/>
    </w:rPr>
  </w:style>
  <w:style w:type="paragraph" w:customStyle="1" w:styleId="291">
    <w:name w:val="xl46"/>
    <w:basedOn w:val="1"/>
    <w:qFormat/>
    <w:uiPriority w:val="99"/>
    <w:pPr>
      <w:widowControl/>
      <w:spacing w:before="100" w:beforeAutospacing="1" w:after="100" w:afterAutospacing="1"/>
      <w:jc w:val="left"/>
      <w:textAlignment w:val="center"/>
    </w:pPr>
    <w:rPr>
      <w:rFonts w:ascii="Univers" w:hAnsi="Univers" w:eastAsia="宋体" w:cs="Univers"/>
      <w:kern w:val="0"/>
      <w:sz w:val="24"/>
      <w:szCs w:val="24"/>
    </w:rPr>
  </w:style>
  <w:style w:type="paragraph" w:customStyle="1" w:styleId="292">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93">
    <w:name w:val="xl6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94">
    <w:name w:val="xl134"/>
    <w:basedOn w:val="1"/>
    <w:qFormat/>
    <w:uiPriority w:val="99"/>
    <w:pPr>
      <w:widowControl/>
      <w:pBdr>
        <w:left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5">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96">
    <w:name w:val="xl12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97">
    <w:name w:val="xl146"/>
    <w:basedOn w:val="1"/>
    <w:qFormat/>
    <w:uiPriority w:val="99"/>
    <w:pPr>
      <w:widowControl/>
      <w:pBdr>
        <w:lef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98">
    <w:name w:val="xl148"/>
    <w:basedOn w:val="1"/>
    <w:qFormat/>
    <w:uiPriority w:val="99"/>
    <w:pPr>
      <w:widowControl/>
      <w:pBdr>
        <w:left w:val="double" w:color="auto" w:sz="6"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99">
    <w:name w:val="默认段落字体 Para Char Char Char"/>
    <w:basedOn w:val="1"/>
    <w:qFormat/>
    <w:uiPriority w:val="99"/>
    <w:pPr>
      <w:spacing w:line="360" w:lineRule="auto"/>
      <w:ind w:firstLine="200" w:firstLineChars="200"/>
    </w:pPr>
    <w:rPr>
      <w:rFonts w:eastAsia="宋体"/>
      <w:sz w:val="24"/>
      <w:szCs w:val="24"/>
    </w:rPr>
  </w:style>
  <w:style w:type="paragraph" w:customStyle="1" w:styleId="300">
    <w:name w:val="font7"/>
    <w:basedOn w:val="1"/>
    <w:qFormat/>
    <w:uiPriority w:val="99"/>
    <w:pPr>
      <w:widowControl/>
      <w:spacing w:before="100" w:beforeAutospacing="1" w:after="100" w:afterAutospacing="1"/>
      <w:jc w:val="left"/>
    </w:pPr>
    <w:rPr>
      <w:rFonts w:ascii="宋体" w:hAnsi="宋体" w:eastAsia="宋体" w:cs="宋体"/>
      <w:kern w:val="0"/>
      <w:sz w:val="22"/>
      <w:szCs w:val="22"/>
    </w:rPr>
  </w:style>
  <w:style w:type="paragraph" w:customStyle="1" w:styleId="301">
    <w:name w:val="样式 标题 2 + 图案: 清除 (自定义颜色(RGB(202189233)))"/>
    <w:basedOn w:val="7"/>
    <w:qFormat/>
    <w:uiPriority w:val="99"/>
    <w:pPr>
      <w:numPr>
        <w:ilvl w:val="1"/>
        <w:numId w:val="5"/>
      </w:numPr>
      <w:shd w:val="clear" w:color="auto" w:fill="CABDE9"/>
      <w:tabs>
        <w:tab w:val="left" w:pos="840"/>
      </w:tabs>
      <w:overflowPunct/>
      <w:adjustRightInd/>
      <w:spacing w:before="100" w:beforeAutospacing="1" w:after="100" w:afterAutospacing="1" w:line="320" w:lineRule="exact"/>
      <w:jc w:val="both"/>
      <w:textAlignment w:val="auto"/>
    </w:pPr>
    <w:rPr>
      <w:rFonts w:ascii="Arial" w:hAnsi="Arial" w:eastAsia="黑体" w:cs="Arial"/>
      <w:sz w:val="28"/>
      <w:szCs w:val="28"/>
    </w:rPr>
  </w:style>
  <w:style w:type="paragraph" w:customStyle="1" w:styleId="302">
    <w:name w:val="xl105"/>
    <w:basedOn w:val="1"/>
    <w:qFormat/>
    <w:uiPriority w:val="99"/>
    <w:pPr>
      <w:widowControl/>
      <w:pBdr>
        <w:top w:val="single" w:color="auto" w:sz="4" w:space="0"/>
      </w:pBdr>
      <w:spacing w:before="100" w:beforeAutospacing="1" w:after="100" w:afterAutospacing="1"/>
      <w:jc w:val="center"/>
    </w:pPr>
    <w:rPr>
      <w:rFonts w:eastAsia="宋体"/>
      <w:b/>
      <w:bCs/>
      <w:kern w:val="0"/>
      <w:sz w:val="24"/>
      <w:szCs w:val="24"/>
    </w:rPr>
  </w:style>
  <w:style w:type="paragraph" w:customStyle="1" w:styleId="303">
    <w:name w:val="小四 段落 宋体 Char Char"/>
    <w:basedOn w:val="20"/>
    <w:qFormat/>
    <w:uiPriority w:val="99"/>
    <w:pPr>
      <w:numPr>
        <w:ilvl w:val="0"/>
        <w:numId w:val="0"/>
      </w:numPr>
      <w:spacing w:line="360" w:lineRule="auto"/>
      <w:ind w:right="-33" w:firstLine="480" w:firstLineChars="200"/>
      <w:jc w:val="left"/>
    </w:pPr>
    <w:rPr>
      <w:sz w:val="24"/>
      <w:szCs w:val="24"/>
    </w:rPr>
  </w:style>
  <w:style w:type="paragraph" w:customStyle="1" w:styleId="304">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szCs w:val="22"/>
    </w:rPr>
  </w:style>
  <w:style w:type="table" w:customStyle="1" w:styleId="305">
    <w:name w:val="Table Normal1"/>
    <w:qFormat/>
    <w:uiPriority w:val="99"/>
    <w:pPr>
      <w:widowControl w:val="0"/>
      <w:autoSpaceDE w:val="0"/>
      <w:autoSpaceDN w:val="0"/>
    </w:pPr>
    <w:rPr>
      <w:rFonts w:cs="Calibri"/>
      <w:sz w:val="22"/>
      <w:lang w:eastAsia="en-US"/>
    </w:rPr>
    <w:tblPr>
      <w:tblLayout w:type="fixed"/>
      <w:tblCellMar>
        <w:top w:w="0" w:type="dxa"/>
        <w:left w:w="0" w:type="dxa"/>
        <w:bottom w:w="0" w:type="dxa"/>
        <w:right w:w="0" w:type="dxa"/>
      </w:tblCellMar>
    </w:tblPr>
  </w:style>
  <w:style w:type="paragraph" w:customStyle="1" w:styleId="306">
    <w:name w:val="列出段落"/>
    <w:basedOn w:val="1"/>
    <w:qFormat/>
    <w:uiPriority w:val="99"/>
    <w:pPr>
      <w:ind w:firstLine="420" w:firstLineChars="200"/>
    </w:pPr>
    <w:rPr>
      <w:rFonts w:ascii="Times New Roman" w:hAnsi="Times New Roman" w:eastAsia="宋体" w:cs="Times New Roman"/>
      <w:sz w:val="21"/>
      <w:szCs w:val="21"/>
    </w:rPr>
  </w:style>
  <w:style w:type="table" w:customStyle="1" w:styleId="307">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08">
    <w:name w:val="网格型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09">
    <w:name w:val="网格型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310">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11">
    <w:name w:val="网格型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1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13">
    <w:name w:val="null3"/>
    <w:hidden/>
    <w:qFormat/>
    <w:uiPriority w:val="0"/>
    <w:rPr>
      <w:rFonts w:hint="eastAsia" w:asciiTheme="minorHAnsi" w:hAnsiTheme="minorHAnsi" w:eastAsiaTheme="minorEastAsia" w:cstheme="minorBidi"/>
      <w:lang w:val="en-US" w:eastAsia="zh-Hans"/>
    </w:rPr>
  </w:style>
  <w:style w:type="paragraph" w:customStyle="1" w:styleId="314">
    <w:name w:val="无间隔1"/>
    <w:qFormat/>
    <w:uiPriority w:val="0"/>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SHSY</Company>
  <Pages>39</Pages>
  <Words>22965</Words>
  <Characters>23881</Characters>
  <Lines>246</Lines>
  <Paragraphs>69</Paragraphs>
  <TotalTime>3</TotalTime>
  <ScaleCrop>false</ScaleCrop>
  <LinksUpToDate>false</LinksUpToDate>
  <CharactersWithSpaces>24369</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2024-11-26T02:55:00Z</dcterms:created>
  <dc:creator>SHSY</dc:creator>
  <cp:lastModifiedBy>gu</cp:lastModifiedBy>
  <cp:lastPrinted>2022-12-17T04:38:00Z</cp:lastPrinted>
  <dcterms:modified xsi:type="dcterms:W3CDTF">2025-02-19T00:38:16Z</dcterms:modified>
  <dc:title>崇川区政府采购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543127DE692641EF993045A107C3558D_13</vt:lpwstr>
  </property>
  <property fmtid="{D5CDD505-2E9C-101B-9397-08002B2CF9AE}" pid="4" name="KSOTemplateDocerSaveRecord">
    <vt:lpwstr>eyJoZGlkIjoiNmIyZGRkNWM0MDg4MjNlNDY2ZGQyNmM4ZDEyODVjODYiLCJ1c2VySWQiOiIyMzY3OTgzMTUifQ==</vt:lpwstr>
  </property>
</Properties>
</file>